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1"/>
        <w:tblW w:w="0" w:type="auto"/>
        <w:tblInd w:w="113" w:type="dxa"/>
        <w:tblLayout w:type="fixed"/>
        <w:tblLook w:val="01E0" w:firstRow="1" w:lastRow="1" w:firstColumn="1" w:lastColumn="1" w:noHBand="0" w:noVBand="0"/>
      </w:tblPr>
      <w:tblGrid>
        <w:gridCol w:w="2487"/>
        <w:gridCol w:w="6539"/>
      </w:tblGrid>
      <w:tr w:rsidR="005D282E" w:rsidRPr="006C668C" w14:paraId="449B0D0A" w14:textId="77777777">
        <w:trPr>
          <w:trHeight w:val="1095"/>
        </w:trPr>
        <w:tc>
          <w:tcPr>
            <w:tcW w:w="2487" w:type="dxa"/>
          </w:tcPr>
          <w:p w14:paraId="449B0D04" w14:textId="77777777" w:rsidR="005D282E" w:rsidRPr="006C668C" w:rsidRDefault="00E47DB2">
            <w:pPr>
              <w:pStyle w:val="TableParagraph"/>
              <w:ind w:left="200"/>
              <w:rPr>
                <w:sz w:val="20"/>
                <w:lang w:val="en-GB"/>
              </w:rPr>
            </w:pPr>
            <w:bookmarkStart w:id="0" w:name="_GoBack"/>
            <w:bookmarkEnd w:id="0"/>
            <w:r w:rsidRPr="006C668C">
              <w:rPr>
                <w:noProof/>
                <w:sz w:val="20"/>
                <w:lang w:bidi="ar-SA"/>
              </w:rPr>
              <w:drawing>
                <wp:inline distT="0" distB="0" distL="0" distR="0" wp14:anchorId="449B0F3A" wp14:editId="449B0F3B">
                  <wp:extent cx="1385896" cy="67208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385896" cy="672083"/>
                          </a:xfrm>
                          <a:prstGeom prst="rect">
                            <a:avLst/>
                          </a:prstGeom>
                        </pic:spPr>
                      </pic:pic>
                    </a:graphicData>
                  </a:graphic>
                </wp:inline>
              </w:drawing>
            </w:r>
          </w:p>
        </w:tc>
        <w:tc>
          <w:tcPr>
            <w:tcW w:w="6539" w:type="dxa"/>
          </w:tcPr>
          <w:p w14:paraId="449B0D05" w14:textId="77777777" w:rsidR="005D282E" w:rsidRPr="006C668C" w:rsidRDefault="00E47DB2">
            <w:pPr>
              <w:pStyle w:val="TableParagraph"/>
              <w:spacing w:before="87" w:line="275" w:lineRule="exact"/>
              <w:ind w:left="95"/>
              <w:rPr>
                <w:rFonts w:ascii="Arial"/>
                <w:sz w:val="24"/>
                <w:lang w:val="en-GB"/>
              </w:rPr>
            </w:pPr>
            <w:r w:rsidRPr="006C668C">
              <w:rPr>
                <w:rFonts w:ascii="Arial"/>
                <w:sz w:val="24"/>
                <w:lang w:val="en-GB"/>
              </w:rPr>
              <w:t>EUROPEAN COMMISSION</w:t>
            </w:r>
          </w:p>
          <w:p w14:paraId="449B0D06" w14:textId="77777777" w:rsidR="005D282E" w:rsidRPr="006C668C" w:rsidRDefault="00E47DB2">
            <w:pPr>
              <w:pStyle w:val="TableParagraph"/>
              <w:spacing w:line="183" w:lineRule="exact"/>
              <w:ind w:left="95"/>
              <w:rPr>
                <w:rFonts w:ascii="Arial"/>
                <w:sz w:val="16"/>
                <w:lang w:val="en-GB"/>
              </w:rPr>
            </w:pPr>
            <w:r w:rsidRPr="006C668C">
              <w:rPr>
                <w:rFonts w:ascii="Arial"/>
                <w:sz w:val="16"/>
                <w:lang w:val="en-GB"/>
              </w:rPr>
              <w:t>Directorate-General for Financial Stability, Financial Services and Capital Markets Union</w:t>
            </w:r>
          </w:p>
          <w:p w14:paraId="449B0D07" w14:textId="77777777" w:rsidR="005D282E" w:rsidRPr="006C668C" w:rsidRDefault="005D282E">
            <w:pPr>
              <w:pStyle w:val="TableParagraph"/>
              <w:spacing w:before="1"/>
              <w:rPr>
                <w:sz w:val="16"/>
                <w:lang w:val="en-GB"/>
              </w:rPr>
            </w:pPr>
          </w:p>
          <w:p w14:paraId="449B0D08" w14:textId="77777777" w:rsidR="005D282E" w:rsidRPr="006C668C" w:rsidRDefault="00E47DB2">
            <w:pPr>
              <w:pStyle w:val="TableParagraph"/>
              <w:spacing w:line="182" w:lineRule="exact"/>
              <w:ind w:left="95"/>
              <w:rPr>
                <w:rFonts w:ascii="Arial"/>
                <w:sz w:val="16"/>
                <w:lang w:val="en-GB"/>
              </w:rPr>
            </w:pPr>
            <w:r w:rsidRPr="006C668C">
              <w:rPr>
                <w:rFonts w:ascii="Arial"/>
                <w:sz w:val="16"/>
                <w:lang w:val="en-GB"/>
              </w:rPr>
              <w:t>HORIZONTAL POLICIES</w:t>
            </w:r>
          </w:p>
          <w:p w14:paraId="449B0D09" w14:textId="77777777" w:rsidR="005D282E" w:rsidRPr="006C668C" w:rsidRDefault="00E47DB2">
            <w:pPr>
              <w:pStyle w:val="TableParagraph"/>
              <w:spacing w:line="162" w:lineRule="exact"/>
              <w:ind w:left="95"/>
              <w:rPr>
                <w:rFonts w:ascii="Arial"/>
                <w:b/>
                <w:sz w:val="16"/>
                <w:lang w:val="en-GB"/>
              </w:rPr>
            </w:pPr>
            <w:r w:rsidRPr="006C668C">
              <w:rPr>
                <w:rFonts w:ascii="Arial"/>
                <w:b/>
                <w:sz w:val="16"/>
                <w:lang w:val="en-GB"/>
              </w:rPr>
              <w:t>Sustainable finance</w:t>
            </w:r>
          </w:p>
        </w:tc>
      </w:tr>
    </w:tbl>
    <w:p w14:paraId="449B0D0B" w14:textId="77777777" w:rsidR="005D282E" w:rsidRPr="006C668C" w:rsidRDefault="005D282E">
      <w:pPr>
        <w:pStyle w:val="BodyText"/>
        <w:rPr>
          <w:sz w:val="20"/>
          <w:lang w:val="en-GB"/>
        </w:rPr>
      </w:pPr>
    </w:p>
    <w:p w14:paraId="449B0D0C" w14:textId="77777777" w:rsidR="005D282E" w:rsidRPr="006C668C" w:rsidRDefault="005D282E">
      <w:pPr>
        <w:pStyle w:val="BodyText"/>
        <w:rPr>
          <w:sz w:val="20"/>
          <w:lang w:val="en-GB"/>
        </w:rPr>
      </w:pPr>
    </w:p>
    <w:p w14:paraId="449B0D0D" w14:textId="77777777" w:rsidR="005D282E" w:rsidRPr="006C668C" w:rsidRDefault="005D282E">
      <w:pPr>
        <w:pStyle w:val="BodyText"/>
        <w:rPr>
          <w:sz w:val="20"/>
          <w:lang w:val="en-GB"/>
        </w:rPr>
      </w:pPr>
    </w:p>
    <w:p w14:paraId="449B0D0E" w14:textId="77777777" w:rsidR="005D282E" w:rsidRPr="006C668C" w:rsidRDefault="005D282E">
      <w:pPr>
        <w:pStyle w:val="BodyText"/>
        <w:rPr>
          <w:sz w:val="20"/>
          <w:lang w:val="en-GB"/>
        </w:rPr>
      </w:pPr>
    </w:p>
    <w:p w14:paraId="449B0D0F" w14:textId="77777777" w:rsidR="005D282E" w:rsidRPr="006C668C" w:rsidRDefault="005D282E">
      <w:pPr>
        <w:pStyle w:val="BodyText"/>
        <w:rPr>
          <w:sz w:val="20"/>
          <w:lang w:val="en-GB"/>
        </w:rPr>
      </w:pPr>
    </w:p>
    <w:p w14:paraId="449B0D10" w14:textId="77777777" w:rsidR="005D282E" w:rsidRPr="006C668C" w:rsidRDefault="005D282E">
      <w:pPr>
        <w:pStyle w:val="BodyText"/>
        <w:rPr>
          <w:sz w:val="20"/>
          <w:lang w:val="en-GB"/>
        </w:rPr>
      </w:pPr>
    </w:p>
    <w:p w14:paraId="449B0D11" w14:textId="77777777" w:rsidR="005D282E" w:rsidRPr="006C668C" w:rsidRDefault="005D282E">
      <w:pPr>
        <w:pStyle w:val="BodyText"/>
        <w:rPr>
          <w:sz w:val="20"/>
          <w:lang w:val="en-GB"/>
        </w:rPr>
      </w:pPr>
    </w:p>
    <w:p w14:paraId="449B0D12" w14:textId="77777777" w:rsidR="005D282E" w:rsidRPr="006C668C" w:rsidRDefault="005D282E">
      <w:pPr>
        <w:pStyle w:val="BodyText"/>
        <w:rPr>
          <w:sz w:val="20"/>
          <w:lang w:val="en-GB"/>
        </w:rPr>
      </w:pPr>
    </w:p>
    <w:p w14:paraId="449B0D13" w14:textId="77777777" w:rsidR="005D282E" w:rsidRPr="006C668C" w:rsidRDefault="005D282E">
      <w:pPr>
        <w:pStyle w:val="BodyText"/>
        <w:rPr>
          <w:sz w:val="20"/>
          <w:lang w:val="en-GB"/>
        </w:rPr>
      </w:pPr>
    </w:p>
    <w:p w14:paraId="449B0D14" w14:textId="77777777" w:rsidR="005D282E" w:rsidRPr="006C668C" w:rsidRDefault="005D282E">
      <w:pPr>
        <w:pStyle w:val="BodyText"/>
        <w:rPr>
          <w:sz w:val="20"/>
          <w:lang w:val="en-GB"/>
        </w:rPr>
      </w:pPr>
    </w:p>
    <w:p w14:paraId="449B0D15" w14:textId="77777777" w:rsidR="005D282E" w:rsidRPr="006C668C" w:rsidRDefault="005D282E">
      <w:pPr>
        <w:pStyle w:val="BodyText"/>
        <w:spacing w:before="9"/>
        <w:rPr>
          <w:lang w:val="en-GB"/>
        </w:rPr>
      </w:pPr>
    </w:p>
    <w:p w14:paraId="449B0D16" w14:textId="77777777" w:rsidR="005D282E" w:rsidRPr="006C668C" w:rsidRDefault="00E47DB2">
      <w:pPr>
        <w:pStyle w:val="Heading2"/>
        <w:spacing w:before="90"/>
        <w:ind w:left="337" w:right="350" w:firstLine="0"/>
        <w:jc w:val="center"/>
        <w:rPr>
          <w:lang w:val="en-GB"/>
        </w:rPr>
      </w:pPr>
      <w:r w:rsidRPr="006C668C">
        <w:rPr>
          <w:lang w:val="en-GB"/>
        </w:rPr>
        <w:t>CONSULTATION DOCUMENT</w:t>
      </w:r>
    </w:p>
    <w:p w14:paraId="449B0D17" w14:textId="77777777" w:rsidR="005D282E" w:rsidRPr="006C668C" w:rsidRDefault="005D282E">
      <w:pPr>
        <w:pStyle w:val="BodyText"/>
        <w:spacing w:before="10"/>
        <w:rPr>
          <w:b/>
          <w:sz w:val="20"/>
          <w:lang w:val="en-GB"/>
        </w:rPr>
      </w:pPr>
    </w:p>
    <w:p w14:paraId="449B0D18" w14:textId="77777777" w:rsidR="005D282E" w:rsidRPr="006C668C" w:rsidRDefault="00E47DB2">
      <w:pPr>
        <w:ind w:left="337" w:right="351"/>
        <w:jc w:val="center"/>
        <w:rPr>
          <w:b/>
          <w:sz w:val="24"/>
          <w:lang w:val="en-GB"/>
        </w:rPr>
      </w:pPr>
      <w:r w:rsidRPr="006C668C">
        <w:rPr>
          <w:b/>
          <w:sz w:val="24"/>
          <w:lang w:val="en-GB"/>
        </w:rPr>
        <w:t>CONSULTATION ON THE RENEWED SUSTAINABLE FINANCE STRATEGY</w:t>
      </w:r>
    </w:p>
    <w:p w14:paraId="449B0D19" w14:textId="77777777" w:rsidR="005D282E" w:rsidRPr="006C668C" w:rsidRDefault="005D282E">
      <w:pPr>
        <w:pStyle w:val="BodyText"/>
        <w:rPr>
          <w:b/>
          <w:sz w:val="20"/>
          <w:lang w:val="en-GB"/>
        </w:rPr>
      </w:pPr>
    </w:p>
    <w:p w14:paraId="449B0D1A" w14:textId="77777777" w:rsidR="005D282E" w:rsidRPr="006C668C" w:rsidRDefault="005D282E">
      <w:pPr>
        <w:pStyle w:val="BodyText"/>
        <w:rPr>
          <w:b/>
          <w:sz w:val="20"/>
          <w:lang w:val="en-GB"/>
        </w:rPr>
      </w:pPr>
    </w:p>
    <w:p w14:paraId="449B0D1B" w14:textId="77777777" w:rsidR="005D282E" w:rsidRPr="006C668C" w:rsidRDefault="005D282E">
      <w:pPr>
        <w:pStyle w:val="BodyText"/>
        <w:rPr>
          <w:b/>
          <w:sz w:val="20"/>
          <w:lang w:val="en-GB"/>
        </w:rPr>
      </w:pPr>
    </w:p>
    <w:p w14:paraId="449B0D1C" w14:textId="77777777" w:rsidR="005D282E" w:rsidRPr="006C668C" w:rsidRDefault="005D282E">
      <w:pPr>
        <w:pStyle w:val="BodyText"/>
        <w:rPr>
          <w:b/>
          <w:sz w:val="20"/>
          <w:lang w:val="en-GB"/>
        </w:rPr>
      </w:pPr>
    </w:p>
    <w:p w14:paraId="449B0D1D" w14:textId="77777777" w:rsidR="005D282E" w:rsidRPr="006C668C" w:rsidRDefault="005D282E">
      <w:pPr>
        <w:pStyle w:val="BodyText"/>
        <w:rPr>
          <w:b/>
          <w:sz w:val="20"/>
          <w:lang w:val="en-GB"/>
        </w:rPr>
      </w:pPr>
    </w:p>
    <w:p w14:paraId="449B0D1E" w14:textId="77777777" w:rsidR="005D282E" w:rsidRPr="006C668C" w:rsidRDefault="005D282E">
      <w:pPr>
        <w:pStyle w:val="BodyText"/>
        <w:rPr>
          <w:b/>
          <w:sz w:val="20"/>
          <w:lang w:val="en-GB"/>
        </w:rPr>
      </w:pPr>
    </w:p>
    <w:p w14:paraId="449B0D1F" w14:textId="77777777" w:rsidR="005D282E" w:rsidRPr="006C668C" w:rsidRDefault="005D282E">
      <w:pPr>
        <w:pStyle w:val="BodyText"/>
        <w:rPr>
          <w:b/>
          <w:sz w:val="20"/>
          <w:lang w:val="en-GB"/>
        </w:rPr>
      </w:pPr>
    </w:p>
    <w:p w14:paraId="449B0D20" w14:textId="77777777" w:rsidR="005D282E" w:rsidRPr="006C668C" w:rsidRDefault="005D282E">
      <w:pPr>
        <w:pStyle w:val="BodyText"/>
        <w:rPr>
          <w:b/>
          <w:sz w:val="20"/>
          <w:lang w:val="en-GB"/>
        </w:rPr>
      </w:pPr>
    </w:p>
    <w:p w14:paraId="449B0D21" w14:textId="77777777" w:rsidR="005D282E" w:rsidRPr="006C668C" w:rsidRDefault="005D282E">
      <w:pPr>
        <w:pStyle w:val="BodyText"/>
        <w:rPr>
          <w:b/>
          <w:sz w:val="20"/>
          <w:lang w:val="en-GB"/>
        </w:rPr>
      </w:pPr>
    </w:p>
    <w:p w14:paraId="449B0D22" w14:textId="77777777" w:rsidR="005D282E" w:rsidRPr="006C668C" w:rsidRDefault="00B97C1A">
      <w:pPr>
        <w:pStyle w:val="BodyText"/>
        <w:spacing w:before="4"/>
        <w:rPr>
          <w:b/>
          <w:sz w:val="19"/>
          <w:lang w:val="en-GB"/>
        </w:rPr>
      </w:pPr>
      <w:r w:rsidRPr="006C668C">
        <w:rPr>
          <w:noProof/>
          <w:lang w:bidi="ar-SA"/>
        </w:rPr>
        <mc:AlternateContent>
          <mc:Choice Requires="wps">
            <w:drawing>
              <wp:anchor distT="0" distB="0" distL="0" distR="0" simplePos="0" relativeHeight="251658240" behindDoc="1" locked="0" layoutInCell="1" allowOverlap="1" wp14:anchorId="449B0F3C" wp14:editId="449B0F3D">
                <wp:simplePos x="0" y="0"/>
                <wp:positionH relativeFrom="page">
                  <wp:posOffset>939165</wp:posOffset>
                </wp:positionH>
                <wp:positionV relativeFrom="paragraph">
                  <wp:posOffset>169545</wp:posOffset>
                </wp:positionV>
                <wp:extent cx="5611495" cy="1339850"/>
                <wp:effectExtent l="0" t="0" r="0" b="0"/>
                <wp:wrapTopAndBottom/>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1339850"/>
                        </a:xfrm>
                        <a:prstGeom prst="rect">
                          <a:avLst/>
                        </a:prstGeom>
                        <a:solidFill>
                          <a:srgbClr val="B1B1B1"/>
                        </a:solidFill>
                        <a:ln w="6096">
                          <a:solidFill>
                            <a:srgbClr val="000000"/>
                          </a:solidFill>
                          <a:prstDash val="solid"/>
                          <a:miter lim="800000"/>
                          <a:headEnd/>
                          <a:tailEnd/>
                        </a:ln>
                      </wps:spPr>
                      <wps:txbx>
                        <w:txbxContent>
                          <w:p w14:paraId="449B0F5E" w14:textId="77777777" w:rsidR="004048B3" w:rsidRDefault="004048B3">
                            <w:pPr>
                              <w:spacing w:line="273" w:lineRule="exact"/>
                              <w:ind w:left="103"/>
                              <w:rPr>
                                <w:b/>
                                <w:sz w:val="24"/>
                              </w:rPr>
                            </w:pPr>
                            <w:r>
                              <w:rPr>
                                <w:b/>
                                <w:sz w:val="24"/>
                              </w:rPr>
                              <w:t>Disclaimer</w:t>
                            </w:r>
                          </w:p>
                          <w:p w14:paraId="449B0F5F" w14:textId="77777777" w:rsidR="004048B3" w:rsidRDefault="004048B3">
                            <w:pPr>
                              <w:pStyle w:val="BodyText"/>
                              <w:spacing w:before="5"/>
                              <w:rPr>
                                <w:b/>
                                <w:sz w:val="20"/>
                              </w:rPr>
                            </w:pPr>
                          </w:p>
                          <w:p w14:paraId="449B0F60" w14:textId="77777777" w:rsidR="004048B3" w:rsidRDefault="004048B3">
                            <w:pPr>
                              <w:pStyle w:val="BodyText"/>
                              <w:ind w:left="103"/>
                            </w:pPr>
                            <w:r>
                              <w:t>This document is a working document of the Commission services for consultation and does not prejudge the final decision that the Commission may take.</w:t>
                            </w:r>
                          </w:p>
                          <w:p w14:paraId="449B0F61" w14:textId="77777777" w:rsidR="004048B3" w:rsidRDefault="004048B3">
                            <w:pPr>
                              <w:pStyle w:val="BodyText"/>
                              <w:spacing w:before="10"/>
                              <w:rPr>
                                <w:b/>
                                <w:sz w:val="20"/>
                              </w:rPr>
                            </w:pPr>
                          </w:p>
                          <w:p w14:paraId="449B0F62" w14:textId="77777777" w:rsidR="004048B3" w:rsidRDefault="004048B3">
                            <w:pPr>
                              <w:pStyle w:val="BodyText"/>
                              <w:ind w:left="103"/>
                            </w:pPr>
                            <w:r>
                              <w:t>The responses to this consultation paper will provide important guidance to the Commission when preparing, if considered appropriate, a formal Commission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9B0F3C" id="_x0000_t202" coordsize="21600,21600" o:spt="202" path="m,l,21600r21600,l21600,xe">
                <v:stroke joinstyle="miter"/>
                <v:path gradientshapeok="t" o:connecttype="rect"/>
              </v:shapetype>
              <v:shape id="Text Box 28" o:spid="_x0000_s1026" type="#_x0000_t202" style="position:absolute;margin-left:73.95pt;margin-top:13.35pt;width:441.85pt;height:10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" fillcolor="#b1b1b1" strokeweight=".48pt">
                <v:textbox inset="0,0,0,0">
                  <w:txbxContent>
                    <w:p w14:paraId="449B0F5E" w14:textId="77777777" w:rsidR="004048B3" w:rsidRDefault="004048B3">
                      <w:pPr>
                        <w:spacing w:line="273" w:lineRule="exact"/>
                        <w:ind w:left="103"/>
                        <w:rPr>
                          <w:b/>
                          <w:sz w:val="24"/>
                        </w:rPr>
                      </w:pPr>
                      <w:r>
                        <w:rPr>
                          <w:b/>
                          <w:sz w:val="24"/>
                        </w:rPr>
                        <w:t>Disclaimer</w:t>
                      </w:r>
                    </w:p>
                    <w:p w14:paraId="449B0F5F" w14:textId="77777777" w:rsidR="004048B3" w:rsidRDefault="004048B3">
                      <w:pPr>
                        <w:pStyle w:val="BodyText"/>
                        <w:spacing w:before="5"/>
                        <w:rPr>
                          <w:b/>
                          <w:sz w:val="20"/>
                        </w:rPr>
                      </w:pPr>
                    </w:p>
                    <w:p w14:paraId="449B0F60" w14:textId="77777777" w:rsidR="004048B3" w:rsidRDefault="004048B3">
                      <w:pPr>
                        <w:pStyle w:val="BodyText"/>
                        <w:ind w:left="103"/>
                      </w:pPr>
                      <w:r>
                        <w:t>This document is a working document of the Commission services for consultation and does not prejudge the final decision that the Commission may take.</w:t>
                      </w:r>
                    </w:p>
                    <w:p w14:paraId="449B0F61" w14:textId="77777777" w:rsidR="004048B3" w:rsidRDefault="004048B3">
                      <w:pPr>
                        <w:pStyle w:val="BodyText"/>
                        <w:spacing w:before="10"/>
                        <w:rPr>
                          <w:b/>
                          <w:sz w:val="20"/>
                        </w:rPr>
                      </w:pPr>
                    </w:p>
                    <w:p w14:paraId="449B0F62" w14:textId="77777777" w:rsidR="004048B3" w:rsidRDefault="004048B3">
                      <w:pPr>
                        <w:pStyle w:val="BodyText"/>
                        <w:ind w:left="103"/>
                      </w:pPr>
                      <w:r>
                        <w:t>The responses to this consultation paper will provide important guidance to the Commission when preparing, if considered appropriate, a formal Commission proposal.</w:t>
                      </w:r>
                    </w:p>
                  </w:txbxContent>
                </v:textbox>
                <w10:wrap type="topAndBottom" anchorx="page"/>
              </v:shape>
            </w:pict>
          </mc:Fallback>
        </mc:AlternateContent>
      </w:r>
    </w:p>
    <w:p w14:paraId="449B0D23" w14:textId="77777777" w:rsidR="005D282E" w:rsidRPr="006C668C" w:rsidRDefault="005D282E">
      <w:pPr>
        <w:pStyle w:val="BodyText"/>
        <w:rPr>
          <w:b/>
          <w:sz w:val="20"/>
          <w:lang w:val="en-GB"/>
        </w:rPr>
      </w:pPr>
    </w:p>
    <w:p w14:paraId="449B0D24" w14:textId="77777777" w:rsidR="005D282E" w:rsidRPr="006C668C" w:rsidRDefault="005D282E">
      <w:pPr>
        <w:pStyle w:val="BodyText"/>
        <w:rPr>
          <w:b/>
          <w:sz w:val="20"/>
          <w:lang w:val="en-GB"/>
        </w:rPr>
      </w:pPr>
    </w:p>
    <w:p w14:paraId="449B0D25" w14:textId="77777777" w:rsidR="005D282E" w:rsidRPr="006C668C" w:rsidRDefault="005D282E">
      <w:pPr>
        <w:pStyle w:val="BodyText"/>
        <w:rPr>
          <w:b/>
          <w:sz w:val="20"/>
          <w:lang w:val="en-GB"/>
        </w:rPr>
      </w:pPr>
    </w:p>
    <w:p w14:paraId="449B0D26" w14:textId="77777777" w:rsidR="005D282E" w:rsidRPr="006C668C" w:rsidRDefault="005D282E">
      <w:pPr>
        <w:pStyle w:val="BodyText"/>
        <w:rPr>
          <w:b/>
          <w:sz w:val="20"/>
          <w:lang w:val="en-GB"/>
        </w:rPr>
      </w:pPr>
    </w:p>
    <w:p w14:paraId="449B0D27" w14:textId="77777777" w:rsidR="005D282E" w:rsidRPr="006C668C" w:rsidRDefault="005D282E">
      <w:pPr>
        <w:pStyle w:val="BodyText"/>
        <w:rPr>
          <w:b/>
          <w:sz w:val="20"/>
          <w:lang w:val="en-GB"/>
        </w:rPr>
      </w:pPr>
    </w:p>
    <w:p w14:paraId="449B0D28" w14:textId="77777777" w:rsidR="005D282E" w:rsidRPr="006C668C" w:rsidRDefault="005D282E">
      <w:pPr>
        <w:pStyle w:val="BodyText"/>
        <w:rPr>
          <w:b/>
          <w:sz w:val="20"/>
          <w:lang w:val="en-GB"/>
        </w:rPr>
      </w:pPr>
    </w:p>
    <w:p w14:paraId="449B0D29" w14:textId="77777777" w:rsidR="005D282E" w:rsidRPr="006C668C" w:rsidRDefault="005D282E">
      <w:pPr>
        <w:pStyle w:val="BodyText"/>
        <w:rPr>
          <w:b/>
          <w:sz w:val="20"/>
          <w:lang w:val="en-GB"/>
        </w:rPr>
      </w:pPr>
    </w:p>
    <w:p w14:paraId="449B0D2A" w14:textId="77777777" w:rsidR="005D282E" w:rsidRPr="006C668C" w:rsidRDefault="005D282E">
      <w:pPr>
        <w:pStyle w:val="BodyText"/>
        <w:rPr>
          <w:b/>
          <w:sz w:val="20"/>
          <w:lang w:val="en-GB"/>
        </w:rPr>
      </w:pPr>
    </w:p>
    <w:p w14:paraId="449B0D2B" w14:textId="77777777" w:rsidR="005D282E" w:rsidRPr="006C668C" w:rsidRDefault="005D282E">
      <w:pPr>
        <w:pStyle w:val="BodyText"/>
        <w:rPr>
          <w:b/>
          <w:sz w:val="20"/>
          <w:lang w:val="en-GB"/>
        </w:rPr>
      </w:pPr>
    </w:p>
    <w:p w14:paraId="449B0D2C" w14:textId="77777777" w:rsidR="005D282E" w:rsidRPr="006C668C" w:rsidRDefault="005D282E">
      <w:pPr>
        <w:pStyle w:val="BodyText"/>
        <w:rPr>
          <w:b/>
          <w:sz w:val="20"/>
          <w:lang w:val="en-GB"/>
        </w:rPr>
      </w:pPr>
    </w:p>
    <w:p w14:paraId="449B0D2D" w14:textId="77777777" w:rsidR="005D282E" w:rsidRPr="006C668C" w:rsidRDefault="005D282E">
      <w:pPr>
        <w:pStyle w:val="BodyText"/>
        <w:rPr>
          <w:b/>
          <w:sz w:val="20"/>
          <w:lang w:val="en-GB"/>
        </w:rPr>
      </w:pPr>
    </w:p>
    <w:p w14:paraId="449B0D2E" w14:textId="77777777" w:rsidR="005D282E" w:rsidRPr="006C668C" w:rsidRDefault="005D282E">
      <w:pPr>
        <w:pStyle w:val="BodyText"/>
        <w:rPr>
          <w:b/>
          <w:sz w:val="20"/>
          <w:lang w:val="en-GB"/>
        </w:rPr>
      </w:pPr>
    </w:p>
    <w:p w14:paraId="449B0D2F" w14:textId="77777777" w:rsidR="005D282E" w:rsidRPr="006C668C" w:rsidRDefault="005D282E">
      <w:pPr>
        <w:pStyle w:val="BodyText"/>
        <w:rPr>
          <w:b/>
          <w:sz w:val="20"/>
          <w:lang w:val="en-GB"/>
        </w:rPr>
      </w:pPr>
    </w:p>
    <w:p w14:paraId="449B0D30" w14:textId="77777777" w:rsidR="005D282E" w:rsidRPr="006C668C" w:rsidRDefault="005D282E">
      <w:pPr>
        <w:pStyle w:val="BodyText"/>
        <w:rPr>
          <w:b/>
          <w:sz w:val="20"/>
          <w:lang w:val="en-GB"/>
        </w:rPr>
      </w:pPr>
    </w:p>
    <w:p w14:paraId="449B0D31" w14:textId="77777777" w:rsidR="005D282E" w:rsidRPr="006C668C" w:rsidRDefault="005D282E">
      <w:pPr>
        <w:pStyle w:val="BodyText"/>
        <w:rPr>
          <w:b/>
          <w:sz w:val="20"/>
          <w:lang w:val="en-GB"/>
        </w:rPr>
      </w:pPr>
    </w:p>
    <w:p w14:paraId="449B0D34" w14:textId="77777777" w:rsidR="005D282E" w:rsidRPr="006C668C" w:rsidRDefault="005D282E">
      <w:pPr>
        <w:pStyle w:val="BodyText"/>
        <w:rPr>
          <w:b/>
          <w:sz w:val="20"/>
          <w:lang w:val="en-GB"/>
        </w:rPr>
      </w:pPr>
    </w:p>
    <w:p w14:paraId="449B0D35" w14:textId="77777777" w:rsidR="005D282E" w:rsidRPr="006C668C" w:rsidRDefault="005D282E">
      <w:pPr>
        <w:pStyle w:val="BodyText"/>
        <w:rPr>
          <w:b/>
          <w:sz w:val="20"/>
          <w:lang w:val="en-GB"/>
        </w:rPr>
      </w:pPr>
    </w:p>
    <w:p w14:paraId="449B0D36" w14:textId="77777777" w:rsidR="005D282E" w:rsidRPr="006C668C" w:rsidRDefault="005D282E">
      <w:pPr>
        <w:pStyle w:val="BodyText"/>
        <w:rPr>
          <w:b/>
          <w:sz w:val="20"/>
          <w:lang w:val="en-GB"/>
        </w:rPr>
      </w:pPr>
    </w:p>
    <w:p w14:paraId="449B0D37" w14:textId="77777777" w:rsidR="005D282E" w:rsidRPr="006C668C" w:rsidRDefault="005D282E">
      <w:pPr>
        <w:pStyle w:val="BodyText"/>
        <w:rPr>
          <w:b/>
          <w:sz w:val="20"/>
          <w:lang w:val="en-GB"/>
        </w:rPr>
      </w:pPr>
    </w:p>
    <w:p w14:paraId="449B0D38" w14:textId="77777777" w:rsidR="005D282E" w:rsidRPr="006C668C" w:rsidRDefault="005D282E">
      <w:pPr>
        <w:pStyle w:val="BodyText"/>
        <w:spacing w:before="4"/>
        <w:rPr>
          <w:b/>
          <w:sz w:val="21"/>
          <w:lang w:val="en-GB"/>
        </w:rPr>
      </w:pPr>
    </w:p>
    <w:p w14:paraId="449B0D39" w14:textId="77777777" w:rsidR="005D282E" w:rsidRPr="006C668C" w:rsidRDefault="00E47DB2">
      <w:pPr>
        <w:spacing w:before="96"/>
        <w:ind w:left="306" w:right="857"/>
        <w:rPr>
          <w:rFonts w:ascii="Arial" w:hAnsi="Arial"/>
          <w:sz w:val="16"/>
          <w:lang w:val="en-GB"/>
        </w:rPr>
      </w:pPr>
      <w:r w:rsidRPr="006B7208">
        <w:rPr>
          <w:rFonts w:ascii="Arial" w:hAnsi="Arial"/>
          <w:sz w:val="16"/>
          <w:lang w:val="it-IT"/>
        </w:rPr>
        <w:t xml:space="preserve">Commission européenne/Europese Commissie, 1049 Bruxelles/Brussel, BELGIQUE/BELGIË - Tel. </w:t>
      </w:r>
      <w:r w:rsidRPr="006C668C">
        <w:rPr>
          <w:rFonts w:ascii="Arial" w:hAnsi="Arial"/>
          <w:sz w:val="16"/>
          <w:lang w:val="en-GB"/>
        </w:rPr>
        <w:t xml:space="preserve">+32 22991111 </w:t>
      </w:r>
      <w:hyperlink r:id="rId12">
        <w:r w:rsidRPr="006C668C">
          <w:rPr>
            <w:rFonts w:ascii="Arial" w:hAnsi="Arial"/>
            <w:color w:val="0000FF"/>
            <w:sz w:val="16"/>
            <w:u w:val="single" w:color="0000FF"/>
            <w:lang w:val="en-GB"/>
          </w:rPr>
          <w:t>https://ec.europa.eu/info/business-economy-euro_en</w:t>
        </w:r>
      </w:hyperlink>
    </w:p>
    <w:p w14:paraId="449B0D3A" w14:textId="77777777" w:rsidR="005D282E" w:rsidRPr="006C668C" w:rsidRDefault="005D282E">
      <w:pPr>
        <w:rPr>
          <w:rFonts w:ascii="Arial" w:hAnsi="Arial"/>
          <w:sz w:val="16"/>
          <w:lang w:val="en-GB"/>
        </w:rPr>
        <w:sectPr w:rsidR="005D282E" w:rsidRPr="006C668C">
          <w:headerReference w:type="default" r:id="rId13"/>
          <w:type w:val="continuous"/>
          <w:pgSz w:w="11910" w:h="16840"/>
          <w:pgMar w:top="1160" w:right="1380" w:bottom="280" w:left="1280" w:header="720" w:footer="720" w:gutter="0"/>
          <w:cols w:space="720"/>
        </w:sectPr>
      </w:pPr>
    </w:p>
    <w:p w14:paraId="449B0D3B" w14:textId="77777777" w:rsidR="005D282E" w:rsidRPr="006C668C" w:rsidRDefault="005D282E">
      <w:pPr>
        <w:pStyle w:val="BodyText"/>
        <w:rPr>
          <w:rFonts w:ascii="Arial"/>
          <w:sz w:val="20"/>
          <w:lang w:val="en-GB"/>
        </w:rPr>
      </w:pPr>
    </w:p>
    <w:p w14:paraId="449B0D3C" w14:textId="77777777" w:rsidR="005D282E" w:rsidRPr="006C668C" w:rsidRDefault="005D282E">
      <w:pPr>
        <w:pStyle w:val="BodyText"/>
        <w:rPr>
          <w:rFonts w:ascii="Arial"/>
          <w:sz w:val="20"/>
          <w:lang w:val="en-GB"/>
        </w:rPr>
      </w:pPr>
    </w:p>
    <w:p w14:paraId="449B0D3D" w14:textId="77777777" w:rsidR="005D282E" w:rsidRPr="006C668C" w:rsidRDefault="005D282E">
      <w:pPr>
        <w:pStyle w:val="BodyText"/>
        <w:rPr>
          <w:rFonts w:ascii="Arial"/>
          <w:sz w:val="20"/>
          <w:lang w:val="en-GB"/>
        </w:rPr>
      </w:pPr>
    </w:p>
    <w:p w14:paraId="449B0D3E" w14:textId="77777777" w:rsidR="005D282E" w:rsidRPr="006C668C" w:rsidRDefault="005D282E">
      <w:pPr>
        <w:pStyle w:val="BodyText"/>
        <w:rPr>
          <w:rFonts w:ascii="Arial"/>
          <w:sz w:val="20"/>
          <w:lang w:val="en-GB"/>
        </w:rPr>
      </w:pPr>
    </w:p>
    <w:p w14:paraId="449B0D3F" w14:textId="77777777" w:rsidR="005D282E" w:rsidRPr="006C668C" w:rsidRDefault="005D282E">
      <w:pPr>
        <w:pStyle w:val="BodyText"/>
        <w:rPr>
          <w:rFonts w:ascii="Arial"/>
          <w:sz w:val="20"/>
          <w:lang w:val="en-GB"/>
        </w:rPr>
      </w:pPr>
    </w:p>
    <w:p w14:paraId="449B0D40" w14:textId="77777777" w:rsidR="005D282E" w:rsidRPr="006C668C" w:rsidRDefault="005D282E">
      <w:pPr>
        <w:pStyle w:val="BodyText"/>
        <w:rPr>
          <w:rFonts w:ascii="Arial"/>
          <w:sz w:val="20"/>
          <w:lang w:val="en-GB"/>
        </w:rPr>
      </w:pPr>
    </w:p>
    <w:p w14:paraId="449B0D41" w14:textId="77777777" w:rsidR="005D282E" w:rsidRPr="006C668C" w:rsidRDefault="005D282E">
      <w:pPr>
        <w:pStyle w:val="BodyText"/>
        <w:rPr>
          <w:rFonts w:ascii="Arial"/>
          <w:sz w:val="20"/>
          <w:lang w:val="en-GB"/>
        </w:rPr>
      </w:pPr>
    </w:p>
    <w:p w14:paraId="449B0D42" w14:textId="77777777" w:rsidR="005D282E" w:rsidRPr="006C668C" w:rsidRDefault="005D282E">
      <w:pPr>
        <w:pStyle w:val="BodyText"/>
        <w:rPr>
          <w:rFonts w:ascii="Arial"/>
          <w:sz w:val="20"/>
          <w:lang w:val="en-GB"/>
        </w:rPr>
      </w:pPr>
    </w:p>
    <w:p w14:paraId="449B0D43" w14:textId="77777777" w:rsidR="005D282E" w:rsidRPr="006C668C" w:rsidRDefault="005D282E">
      <w:pPr>
        <w:pStyle w:val="BodyText"/>
        <w:rPr>
          <w:rFonts w:ascii="Arial"/>
          <w:sz w:val="20"/>
          <w:lang w:val="en-GB"/>
        </w:rPr>
      </w:pPr>
    </w:p>
    <w:p w14:paraId="449B0D44" w14:textId="77777777" w:rsidR="005D282E" w:rsidRPr="006C668C" w:rsidRDefault="005D282E">
      <w:pPr>
        <w:pStyle w:val="BodyText"/>
        <w:rPr>
          <w:rFonts w:ascii="Arial"/>
          <w:sz w:val="20"/>
          <w:lang w:val="en-GB"/>
        </w:rPr>
      </w:pPr>
    </w:p>
    <w:p w14:paraId="449B0D45" w14:textId="77777777" w:rsidR="005D282E" w:rsidRPr="006C668C" w:rsidRDefault="005D282E">
      <w:pPr>
        <w:pStyle w:val="BodyText"/>
        <w:rPr>
          <w:rFonts w:ascii="Arial"/>
          <w:sz w:val="20"/>
          <w:lang w:val="en-GB"/>
        </w:rPr>
      </w:pPr>
    </w:p>
    <w:p w14:paraId="449B0D46" w14:textId="77777777" w:rsidR="005D282E" w:rsidRPr="006C668C" w:rsidRDefault="005D282E">
      <w:pPr>
        <w:pStyle w:val="BodyText"/>
        <w:rPr>
          <w:rFonts w:ascii="Arial"/>
          <w:sz w:val="20"/>
          <w:lang w:val="en-GB"/>
        </w:rPr>
      </w:pPr>
    </w:p>
    <w:p w14:paraId="449B0D47" w14:textId="77777777" w:rsidR="005D282E" w:rsidRPr="006C668C" w:rsidRDefault="005D282E">
      <w:pPr>
        <w:pStyle w:val="BodyText"/>
        <w:rPr>
          <w:rFonts w:ascii="Arial"/>
          <w:sz w:val="20"/>
          <w:lang w:val="en-GB"/>
        </w:rPr>
      </w:pPr>
    </w:p>
    <w:p w14:paraId="449B0D48" w14:textId="77777777" w:rsidR="005D282E" w:rsidRPr="006C668C" w:rsidRDefault="005D282E">
      <w:pPr>
        <w:pStyle w:val="BodyText"/>
        <w:rPr>
          <w:rFonts w:ascii="Arial"/>
          <w:sz w:val="20"/>
          <w:lang w:val="en-GB"/>
        </w:rPr>
      </w:pPr>
    </w:p>
    <w:p w14:paraId="449B0D49" w14:textId="77777777" w:rsidR="005D282E" w:rsidRPr="006C668C" w:rsidRDefault="005D282E">
      <w:pPr>
        <w:pStyle w:val="BodyText"/>
        <w:spacing w:before="4"/>
        <w:rPr>
          <w:rFonts w:ascii="Arial"/>
          <w:sz w:val="23"/>
          <w:lang w:val="en-GB"/>
        </w:rPr>
      </w:pPr>
    </w:p>
    <w:p w14:paraId="449B0D4A" w14:textId="77777777" w:rsidR="005D282E" w:rsidRPr="006C668C" w:rsidRDefault="00E47DB2">
      <w:pPr>
        <w:spacing w:before="90"/>
        <w:ind w:left="306"/>
        <w:rPr>
          <w:b/>
          <w:sz w:val="24"/>
          <w:lang w:val="en-GB"/>
        </w:rPr>
      </w:pPr>
      <w:r w:rsidRPr="006C668C">
        <w:rPr>
          <w:sz w:val="24"/>
          <w:lang w:val="en-GB"/>
        </w:rPr>
        <w:t xml:space="preserve">You are invited to reply </w:t>
      </w:r>
      <w:r w:rsidRPr="006C668C">
        <w:rPr>
          <w:b/>
          <w:sz w:val="24"/>
          <w:lang w:val="en-GB"/>
        </w:rPr>
        <w:t xml:space="preserve">by 15 July 2020 </w:t>
      </w:r>
      <w:r w:rsidRPr="006C668C">
        <w:rPr>
          <w:sz w:val="24"/>
          <w:lang w:val="en-GB"/>
        </w:rPr>
        <w:t xml:space="preserve">at the latest to the </w:t>
      </w:r>
      <w:r w:rsidRPr="006C668C">
        <w:rPr>
          <w:b/>
          <w:sz w:val="24"/>
          <w:lang w:val="en-GB"/>
        </w:rPr>
        <w:t>online questionnaire</w:t>
      </w:r>
    </w:p>
    <w:p w14:paraId="449B0D4B" w14:textId="77777777" w:rsidR="005D282E" w:rsidRPr="006C668C" w:rsidRDefault="00E47DB2">
      <w:pPr>
        <w:pStyle w:val="BodyText"/>
        <w:ind w:left="306"/>
        <w:rPr>
          <w:lang w:val="en-GB"/>
        </w:rPr>
      </w:pPr>
      <w:r w:rsidRPr="006C668C">
        <w:rPr>
          <w:lang w:val="en-GB"/>
        </w:rPr>
        <w:t>available on the following webpage:</w:t>
      </w:r>
    </w:p>
    <w:p w14:paraId="449B0D4C" w14:textId="77777777" w:rsidR="005D282E" w:rsidRPr="000A7DF5" w:rsidRDefault="00161DA6">
      <w:pPr>
        <w:pStyle w:val="BodyText"/>
        <w:ind w:left="306" w:right="659"/>
        <w:rPr>
          <w:lang w:val="fr-BE"/>
        </w:rPr>
      </w:pPr>
      <w:hyperlink r:id="rId14">
        <w:r w:rsidR="00E47DB2" w:rsidRPr="000A7DF5">
          <w:rPr>
            <w:color w:val="0000FF"/>
            <w:u w:val="single" w:color="0000FF"/>
            <w:lang w:val="fr-BE"/>
          </w:rPr>
          <w:t>https://ec.europa.eu/info/publications/finance-consultations-2020-sustainable-finance-</w:t>
        </w:r>
      </w:hyperlink>
      <w:r w:rsidR="00E47DB2" w:rsidRPr="000A7DF5">
        <w:rPr>
          <w:color w:val="0000FF"/>
          <w:lang w:val="fr-BE"/>
        </w:rPr>
        <w:t xml:space="preserve"> </w:t>
      </w:r>
      <w:hyperlink r:id="rId15">
        <w:r w:rsidR="00E47DB2" w:rsidRPr="000A7DF5">
          <w:rPr>
            <w:color w:val="0000FF"/>
            <w:u w:val="single" w:color="0000FF"/>
            <w:lang w:val="fr-BE"/>
          </w:rPr>
          <w:t>strategy_en</w:t>
        </w:r>
      </w:hyperlink>
    </w:p>
    <w:p w14:paraId="449B0D4D" w14:textId="77777777" w:rsidR="005D282E" w:rsidRPr="000A7DF5" w:rsidRDefault="005D282E">
      <w:pPr>
        <w:pStyle w:val="BodyText"/>
        <w:spacing w:before="10"/>
        <w:rPr>
          <w:sz w:val="20"/>
          <w:lang w:val="fr-BE"/>
        </w:rPr>
      </w:pPr>
    </w:p>
    <w:p w14:paraId="449B0D4E" w14:textId="77777777" w:rsidR="005D282E" w:rsidRPr="006C668C" w:rsidRDefault="00E47DB2">
      <w:pPr>
        <w:ind w:left="306" w:right="318"/>
        <w:jc w:val="both"/>
        <w:rPr>
          <w:sz w:val="24"/>
          <w:lang w:val="en-GB"/>
        </w:rPr>
      </w:pPr>
      <w:r w:rsidRPr="006C668C">
        <w:rPr>
          <w:sz w:val="24"/>
          <w:lang w:val="en-GB"/>
        </w:rPr>
        <w:t xml:space="preserve">Please note that in order to ensure a fair and transparent consultation process </w:t>
      </w:r>
      <w:r w:rsidRPr="006C668C">
        <w:rPr>
          <w:b/>
          <w:sz w:val="24"/>
          <w:lang w:val="en-GB"/>
        </w:rPr>
        <w:t>only responses received through the online questionnaire will be taken into account and included in the report summarising the responses</w:t>
      </w:r>
      <w:r w:rsidRPr="006C668C">
        <w:rPr>
          <w:sz w:val="24"/>
          <w:lang w:val="en-GB"/>
        </w:rPr>
        <w:t>.</w:t>
      </w:r>
    </w:p>
    <w:p w14:paraId="449B0D4F" w14:textId="77777777" w:rsidR="005D282E" w:rsidRPr="006C668C" w:rsidRDefault="005D282E">
      <w:pPr>
        <w:pStyle w:val="BodyText"/>
        <w:spacing w:before="10"/>
        <w:rPr>
          <w:sz w:val="20"/>
          <w:lang w:val="en-GB"/>
        </w:rPr>
      </w:pPr>
    </w:p>
    <w:p w14:paraId="449B0D50" w14:textId="77777777" w:rsidR="005D282E" w:rsidRPr="006C668C" w:rsidRDefault="00E47DB2">
      <w:pPr>
        <w:pStyle w:val="BodyText"/>
        <w:ind w:left="306" w:right="320"/>
        <w:rPr>
          <w:lang w:val="en-GB"/>
        </w:rPr>
      </w:pPr>
      <w:r w:rsidRPr="006C668C">
        <w:rPr>
          <w:lang w:val="en-GB"/>
        </w:rPr>
        <w:t xml:space="preserve">Responses authorised for publication will be published on the following webpage: </w:t>
      </w:r>
      <w:hyperlink r:id="rId16" w:anchor="contributions">
        <w:r w:rsidRPr="006C668C">
          <w:rPr>
            <w:color w:val="0000FF"/>
            <w:u w:val="single" w:color="0000FF"/>
            <w:lang w:val="en-GB"/>
          </w:rPr>
          <w:t>https://ec.europa.eu/info/consultations/finance-2020-sustainable-finance-</w:t>
        </w:r>
      </w:hyperlink>
      <w:r w:rsidRPr="006C668C">
        <w:rPr>
          <w:color w:val="0000FF"/>
          <w:lang w:val="en-GB"/>
        </w:rPr>
        <w:t xml:space="preserve"> </w:t>
      </w:r>
      <w:hyperlink r:id="rId17" w:anchor="contributions">
        <w:r w:rsidRPr="006C668C">
          <w:rPr>
            <w:color w:val="0000FF"/>
            <w:u w:val="single" w:color="0000FF"/>
            <w:lang w:val="en-GB"/>
          </w:rPr>
          <w:t>strategy_en#contributions</w:t>
        </w:r>
      </w:hyperlink>
    </w:p>
    <w:p w14:paraId="449B0D51" w14:textId="77777777" w:rsidR="005D282E" w:rsidRPr="006C668C" w:rsidRDefault="005D282E">
      <w:pPr>
        <w:rPr>
          <w:lang w:val="en-GB"/>
        </w:rPr>
        <w:sectPr w:rsidR="005D282E" w:rsidRPr="006C668C">
          <w:footerReference w:type="default" r:id="rId18"/>
          <w:pgSz w:w="11910" w:h="16840"/>
          <w:pgMar w:top="1580" w:right="1380" w:bottom="1220" w:left="1280" w:header="0" w:footer="1026" w:gutter="0"/>
          <w:pgNumType w:start="2"/>
          <w:cols w:space="720"/>
        </w:sectPr>
      </w:pPr>
    </w:p>
    <w:p w14:paraId="449B0D52" w14:textId="77777777" w:rsidR="005D282E" w:rsidRPr="006C668C" w:rsidRDefault="00E47DB2">
      <w:pPr>
        <w:pStyle w:val="Heading1"/>
        <w:rPr>
          <w:lang w:val="en-GB"/>
        </w:rPr>
      </w:pPr>
      <w:bookmarkStart w:id="1" w:name="Introduction"/>
      <w:bookmarkStart w:id="2" w:name="_bookmark0"/>
      <w:bookmarkEnd w:id="1"/>
      <w:bookmarkEnd w:id="2"/>
      <w:r w:rsidRPr="006C668C">
        <w:rPr>
          <w:sz w:val="32"/>
          <w:lang w:val="en-GB"/>
        </w:rPr>
        <w:lastRenderedPageBreak/>
        <w:t>I</w:t>
      </w:r>
      <w:r w:rsidRPr="006C668C">
        <w:rPr>
          <w:lang w:val="en-GB"/>
        </w:rPr>
        <w:t>NTRODUCTION</w:t>
      </w:r>
    </w:p>
    <w:p w14:paraId="449B0D53" w14:textId="77777777" w:rsidR="005D282E" w:rsidRPr="006C668C" w:rsidRDefault="00E47DB2">
      <w:pPr>
        <w:spacing w:before="240" w:line="237" w:lineRule="auto"/>
        <w:ind w:left="306" w:right="316"/>
        <w:jc w:val="both"/>
        <w:rPr>
          <w:sz w:val="24"/>
          <w:lang w:val="en-GB"/>
        </w:rPr>
      </w:pPr>
      <w:r w:rsidRPr="006C668C">
        <w:rPr>
          <w:b/>
          <w:sz w:val="24"/>
          <w:lang w:val="en-GB"/>
        </w:rPr>
        <w:t xml:space="preserve">On 11 December 2019, the European Commission adopted its </w:t>
      </w:r>
      <w:hyperlink r:id="rId19">
        <w:r w:rsidRPr="006C668C">
          <w:rPr>
            <w:b/>
            <w:color w:val="0000FF"/>
            <w:sz w:val="24"/>
            <w:u w:val="thick" w:color="0000FF"/>
            <w:lang w:val="en-GB"/>
          </w:rPr>
          <w:t>Communication on a</w:t>
        </w:r>
      </w:hyperlink>
      <w:r w:rsidRPr="006C668C">
        <w:rPr>
          <w:b/>
          <w:color w:val="0000FF"/>
          <w:sz w:val="24"/>
          <w:lang w:val="en-GB"/>
        </w:rPr>
        <w:t xml:space="preserve"> </w:t>
      </w:r>
      <w:hyperlink r:id="rId20">
        <w:r w:rsidRPr="006C668C">
          <w:rPr>
            <w:b/>
            <w:color w:val="0000FF"/>
            <w:sz w:val="24"/>
            <w:u w:val="thick" w:color="0000FF"/>
            <w:lang w:val="en-GB"/>
          </w:rPr>
          <w:t>European Green Deal</w:t>
        </w:r>
        <w:r w:rsidRPr="006C668C">
          <w:rPr>
            <w:sz w:val="24"/>
            <w:lang w:val="en-GB"/>
          </w:rPr>
          <w:t>,</w:t>
        </w:r>
      </w:hyperlink>
      <w:r w:rsidRPr="006C668C">
        <w:rPr>
          <w:sz w:val="24"/>
          <w:lang w:val="en-GB"/>
        </w:rPr>
        <w:t xml:space="preserve"> which significantly increases the EU’s climate action and environmental policy ambitions.</w:t>
      </w:r>
    </w:p>
    <w:p w14:paraId="449B0D54" w14:textId="77777777" w:rsidR="005D282E" w:rsidRPr="006C668C" w:rsidRDefault="005D282E">
      <w:pPr>
        <w:pStyle w:val="BodyText"/>
        <w:spacing w:before="4"/>
        <w:rPr>
          <w:sz w:val="21"/>
          <w:lang w:val="en-GB"/>
        </w:rPr>
      </w:pPr>
    </w:p>
    <w:p w14:paraId="449B0D55" w14:textId="77777777" w:rsidR="005D282E" w:rsidRPr="006C668C" w:rsidRDefault="00E47DB2">
      <w:pPr>
        <w:spacing w:before="1"/>
        <w:ind w:left="306" w:right="316"/>
        <w:jc w:val="both"/>
        <w:rPr>
          <w:sz w:val="24"/>
          <w:lang w:val="en-GB"/>
        </w:rPr>
      </w:pPr>
      <w:r w:rsidRPr="006C668C">
        <w:rPr>
          <w:b/>
          <w:sz w:val="24"/>
          <w:lang w:val="en-GB"/>
        </w:rPr>
        <w:t xml:space="preserve">A number of levers will need to be pulled in order to build this growth strategy, starting with enshrining the climate-neutrality target in law. </w:t>
      </w:r>
      <w:r w:rsidRPr="006C668C">
        <w:rPr>
          <w:sz w:val="24"/>
          <w:lang w:val="en-GB"/>
        </w:rPr>
        <w:t xml:space="preserve">On 4 March 2020, the European Commission proposed a European </w:t>
      </w:r>
      <w:hyperlink r:id="rId21">
        <w:r w:rsidRPr="006C668C">
          <w:rPr>
            <w:color w:val="0000FF"/>
            <w:sz w:val="24"/>
            <w:u w:val="single" w:color="0000FF"/>
            <w:lang w:val="en-GB"/>
          </w:rPr>
          <w:t>Climate Law</w:t>
        </w:r>
      </w:hyperlink>
      <w:r w:rsidRPr="006C668C">
        <w:rPr>
          <w:color w:val="0000FF"/>
          <w:sz w:val="24"/>
          <w:lang w:val="en-GB"/>
        </w:rPr>
        <w:t xml:space="preserve"> </w:t>
      </w:r>
      <w:r w:rsidRPr="006C668C">
        <w:rPr>
          <w:sz w:val="24"/>
          <w:lang w:val="en-GB"/>
        </w:rPr>
        <w:t xml:space="preserve">to turn the political commitment of climate-neutrality by 2050 into a legal obligation. This follows the European Parliament’s </w:t>
      </w:r>
      <w:hyperlink r:id="rId22">
        <w:r w:rsidRPr="006C668C">
          <w:rPr>
            <w:color w:val="0000FF"/>
            <w:sz w:val="24"/>
            <w:u w:val="single" w:color="0000FF"/>
            <w:lang w:val="en-GB"/>
          </w:rPr>
          <w:t>declaration of a climate emergency</w:t>
        </w:r>
        <w:r w:rsidRPr="006C668C">
          <w:rPr>
            <w:color w:val="0000FF"/>
            <w:sz w:val="24"/>
            <w:lang w:val="en-GB"/>
          </w:rPr>
          <w:t xml:space="preserve"> </w:t>
        </w:r>
      </w:hyperlink>
      <w:r w:rsidRPr="006C668C">
        <w:rPr>
          <w:sz w:val="24"/>
          <w:lang w:val="en-GB"/>
        </w:rPr>
        <w:t xml:space="preserve">on 28 November 2019 and the </w:t>
      </w:r>
      <w:hyperlink r:id="rId23">
        <w:r w:rsidRPr="006C668C">
          <w:rPr>
            <w:color w:val="0000FF"/>
            <w:sz w:val="24"/>
            <w:u w:val="single" w:color="0000FF"/>
            <w:lang w:val="en-GB"/>
          </w:rPr>
          <w:t>European Council conclusions</w:t>
        </w:r>
      </w:hyperlink>
      <w:r w:rsidRPr="006C668C">
        <w:rPr>
          <w:color w:val="0000FF"/>
          <w:sz w:val="24"/>
          <w:lang w:val="en-GB"/>
        </w:rPr>
        <w:t xml:space="preserve"> </w:t>
      </w:r>
      <w:r w:rsidRPr="006C668C">
        <w:rPr>
          <w:sz w:val="24"/>
          <w:lang w:val="en-GB"/>
        </w:rPr>
        <w:t>of 12 December 2019, endorsing the objective of achieving a climate-neutral EU by 2050.</w:t>
      </w:r>
    </w:p>
    <w:p w14:paraId="449B0D56" w14:textId="77777777" w:rsidR="005D282E" w:rsidRPr="006C668C" w:rsidRDefault="005D282E">
      <w:pPr>
        <w:pStyle w:val="BodyText"/>
        <w:spacing w:before="10"/>
        <w:rPr>
          <w:sz w:val="20"/>
          <w:lang w:val="en-GB"/>
        </w:rPr>
      </w:pPr>
    </w:p>
    <w:p w14:paraId="449B0D57" w14:textId="77777777" w:rsidR="005D282E" w:rsidRPr="006C668C" w:rsidRDefault="00E47DB2">
      <w:pPr>
        <w:pStyle w:val="BodyText"/>
        <w:ind w:left="306" w:right="318"/>
        <w:jc w:val="both"/>
        <w:rPr>
          <w:lang w:val="en-GB"/>
        </w:rPr>
      </w:pPr>
      <w:r w:rsidRPr="006C668C">
        <w:rPr>
          <w:b/>
          <w:lang w:val="en-GB"/>
        </w:rPr>
        <w:t xml:space="preserve">The ongoing COVID-19 outbreak in particular shows the critical need to strengthen the sustainability and resilience of our societies and the ways in which our economies function. </w:t>
      </w:r>
      <w:r w:rsidRPr="006C668C">
        <w:rPr>
          <w:lang w:val="en-GB"/>
        </w:rPr>
        <w:t>This is necessary to, above all, minimise the risk of similar health emergencies in the future, which are more likely to occur as climate and environmental impacts escalate. In parallel, it will be paramount to ensure the resilience and capacity of our societies and economies to resist and recover from such emergencies. The COVID-19 outbreak underscores some of the subtle links and risks associated with human activity and biodiversity loss. Many of the recent outbreaks (e.g. SARs, MERS, and avian flu) can be linked to the illegal trade in, and consumption of, often endangered wild animal species. Furthermore, experts suggest that degraded habitats coupled with a warming climate may encourage higher risks of disease transmission, as pathogens spread more easily to livestock and humans.</w:t>
      </w:r>
      <w:r w:rsidRPr="006C668C">
        <w:rPr>
          <w:vertAlign w:val="superscript"/>
          <w:lang w:val="en-GB"/>
        </w:rPr>
        <w:t>1</w:t>
      </w:r>
      <w:r w:rsidRPr="006C668C">
        <w:rPr>
          <w:lang w:val="en-GB"/>
        </w:rPr>
        <w:t xml:space="preserve"> Therefore, it is important – now more than ever - to address the multiple and often interacting threats to ecosystems and wildlife to buffer against the risk of future pandemics, as well as preserve and enhance their role as carbon sinks and in climate</w:t>
      </w:r>
      <w:r w:rsidRPr="006C668C">
        <w:rPr>
          <w:spacing w:val="-1"/>
          <w:lang w:val="en-GB"/>
        </w:rPr>
        <w:t xml:space="preserve"> </w:t>
      </w:r>
      <w:r w:rsidRPr="006C668C">
        <w:rPr>
          <w:lang w:val="en-GB"/>
        </w:rPr>
        <w:t>adaptation.</w:t>
      </w:r>
    </w:p>
    <w:p w14:paraId="449B0D58" w14:textId="77777777" w:rsidR="005D282E" w:rsidRPr="006C668C" w:rsidRDefault="005D282E">
      <w:pPr>
        <w:pStyle w:val="BodyText"/>
        <w:spacing w:before="11"/>
        <w:rPr>
          <w:sz w:val="20"/>
          <w:lang w:val="en-GB"/>
        </w:rPr>
      </w:pPr>
    </w:p>
    <w:p w14:paraId="449B0D59" w14:textId="77777777" w:rsidR="005D282E" w:rsidRPr="006C668C" w:rsidRDefault="00E47DB2">
      <w:pPr>
        <w:pStyle w:val="Heading2"/>
        <w:ind w:left="306" w:right="323" w:firstLine="0"/>
        <w:rPr>
          <w:lang w:val="en-GB"/>
        </w:rPr>
      </w:pPr>
      <w:r w:rsidRPr="006C668C">
        <w:rPr>
          <w:lang w:val="en-GB"/>
        </w:rPr>
        <w:t>Financing the European Green Deal and increasing the financial resilience of the economy, companies and citizens</w:t>
      </w:r>
    </w:p>
    <w:p w14:paraId="449B0D5A" w14:textId="77777777" w:rsidR="005D282E" w:rsidRPr="006C668C" w:rsidRDefault="005D282E">
      <w:pPr>
        <w:pStyle w:val="BodyText"/>
        <w:spacing w:before="1"/>
        <w:rPr>
          <w:b/>
          <w:sz w:val="21"/>
          <w:lang w:val="en-GB"/>
        </w:rPr>
      </w:pPr>
    </w:p>
    <w:p w14:paraId="449B0D5B" w14:textId="77777777" w:rsidR="005D282E" w:rsidRPr="006C668C" w:rsidRDefault="00E47DB2">
      <w:pPr>
        <w:spacing w:line="237" w:lineRule="auto"/>
        <w:ind w:left="306" w:right="317"/>
        <w:jc w:val="both"/>
        <w:rPr>
          <w:sz w:val="24"/>
          <w:lang w:val="en-GB"/>
        </w:rPr>
      </w:pPr>
      <w:r w:rsidRPr="006C668C">
        <w:rPr>
          <w:b/>
          <w:sz w:val="24"/>
          <w:lang w:val="en-GB"/>
        </w:rPr>
        <w:t xml:space="preserve">Above all, the transition to a sustainable economy will entail significant investment efforts across all sectors, meaning that financing frameworks, both public and private, must support this overall policy direction: </w:t>
      </w:r>
      <w:r w:rsidRPr="006C668C">
        <w:rPr>
          <w:sz w:val="24"/>
          <w:lang w:val="en-GB"/>
        </w:rPr>
        <w:t>reaching the current 2030 climate and energy targets alone would already require additional investments of approximately</w:t>
      </w:r>
    </w:p>
    <w:p w14:paraId="449B0D5C" w14:textId="77777777" w:rsidR="005D282E" w:rsidRPr="006C668C" w:rsidRDefault="00E47DB2">
      <w:pPr>
        <w:pStyle w:val="BodyText"/>
        <w:spacing w:before="4"/>
        <w:ind w:left="306" w:right="316"/>
        <w:jc w:val="both"/>
        <w:rPr>
          <w:lang w:val="en-GB"/>
        </w:rPr>
      </w:pPr>
      <w:r w:rsidRPr="006C668C">
        <w:rPr>
          <w:lang w:val="en-GB"/>
        </w:rPr>
        <w:t>€260 billion a year by 2030. And as the EU raises its ambition to cut emissions, the need for investment will be even larger than the current estimate. In addition, significant investments in the upskilling and reskilling of the labour force will be necessary to  enable a just transition for all. Hence, the scale of the investment needs goes well beyond the capacity of the public sector. Furthermore, if the climate and biodiversity crises are to be successfully addressed and reversed before potentially dangerous tipping points are reached, much of the investment needs to happen in the next 5-10 years. In this context, a more sustainable financial system should also contribute to mitigate existing and future risks to wildlife habitats and biodiversity in general, as well as support the prevention of pandemics -such as the COVID-19 outbreak.</w:t>
      </w:r>
    </w:p>
    <w:p w14:paraId="449B0D5D" w14:textId="77777777" w:rsidR="005D282E" w:rsidRPr="006C668C" w:rsidRDefault="005D282E">
      <w:pPr>
        <w:pStyle w:val="BodyText"/>
        <w:rPr>
          <w:sz w:val="20"/>
          <w:lang w:val="en-GB"/>
        </w:rPr>
      </w:pPr>
    </w:p>
    <w:p w14:paraId="449B0D5E" w14:textId="77777777" w:rsidR="005D282E" w:rsidRPr="006C668C" w:rsidRDefault="005D282E">
      <w:pPr>
        <w:pStyle w:val="BodyText"/>
        <w:rPr>
          <w:sz w:val="20"/>
          <w:lang w:val="en-GB"/>
        </w:rPr>
      </w:pPr>
    </w:p>
    <w:p w14:paraId="449B0D5F" w14:textId="77777777" w:rsidR="005D282E" w:rsidRPr="006C668C" w:rsidRDefault="005D282E">
      <w:pPr>
        <w:pStyle w:val="BodyText"/>
        <w:rPr>
          <w:sz w:val="20"/>
          <w:lang w:val="en-GB"/>
        </w:rPr>
      </w:pPr>
    </w:p>
    <w:p w14:paraId="449B0D60" w14:textId="77777777" w:rsidR="005D282E" w:rsidRPr="006C668C" w:rsidRDefault="00B97C1A">
      <w:pPr>
        <w:pStyle w:val="BodyText"/>
        <w:spacing w:before="6"/>
        <w:rPr>
          <w:sz w:val="11"/>
          <w:lang w:val="en-GB"/>
        </w:rPr>
      </w:pPr>
      <w:r w:rsidRPr="006C668C">
        <w:rPr>
          <w:noProof/>
          <w:lang w:bidi="ar-SA"/>
        </w:rPr>
        <mc:AlternateContent>
          <mc:Choice Requires="wps">
            <w:drawing>
              <wp:anchor distT="0" distB="0" distL="0" distR="0" simplePos="0" relativeHeight="251659264" behindDoc="1" locked="0" layoutInCell="1" allowOverlap="1" wp14:anchorId="449B0F3E" wp14:editId="449B0F3F">
                <wp:simplePos x="0" y="0"/>
                <wp:positionH relativeFrom="page">
                  <wp:posOffset>1007745</wp:posOffset>
                </wp:positionH>
                <wp:positionV relativeFrom="paragraph">
                  <wp:posOffset>113030</wp:posOffset>
                </wp:positionV>
                <wp:extent cx="1828800" cy="0"/>
                <wp:effectExtent l="0" t="0" r="0" b="0"/>
                <wp:wrapTopAndBottom/>
                <wp:docPr id="3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C23889" id="Line 2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35pt,8.9pt" to="223.3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" strokeweight=".6pt">
                <w10:wrap type="topAndBottom" anchorx="page"/>
              </v:line>
            </w:pict>
          </mc:Fallback>
        </mc:AlternateContent>
      </w:r>
    </w:p>
    <w:p w14:paraId="449B0D61" w14:textId="77777777" w:rsidR="005D282E" w:rsidRPr="006C668C" w:rsidRDefault="00E47DB2">
      <w:pPr>
        <w:spacing w:before="50"/>
        <w:ind w:left="664" w:right="320" w:hanging="358"/>
        <w:rPr>
          <w:sz w:val="20"/>
          <w:lang w:val="en-GB"/>
        </w:rPr>
      </w:pPr>
      <w:r w:rsidRPr="006C668C">
        <w:rPr>
          <w:position w:val="9"/>
          <w:sz w:val="13"/>
          <w:lang w:val="en-GB"/>
        </w:rPr>
        <w:t xml:space="preserve">1 </w:t>
      </w:r>
      <w:r w:rsidRPr="006C668C">
        <w:rPr>
          <w:sz w:val="20"/>
          <w:lang w:val="en-GB"/>
        </w:rPr>
        <w:t>See for instance “UNEP Frontiers 2016 Report on Emerging Issues of Environment Concern”, UNEP, 2016.</w:t>
      </w:r>
    </w:p>
    <w:p w14:paraId="449B0D62" w14:textId="77777777" w:rsidR="005D282E" w:rsidRPr="006C668C" w:rsidRDefault="005D282E">
      <w:pPr>
        <w:rPr>
          <w:sz w:val="20"/>
          <w:lang w:val="en-GB"/>
        </w:rPr>
        <w:sectPr w:rsidR="005D282E" w:rsidRPr="006C668C">
          <w:pgSz w:w="11910" w:h="16840"/>
          <w:pgMar w:top="940" w:right="1380" w:bottom="1240" w:left="1280" w:header="0" w:footer="1026" w:gutter="0"/>
          <w:cols w:space="720"/>
        </w:sectPr>
      </w:pPr>
    </w:p>
    <w:p w14:paraId="449B0D63" w14:textId="77777777" w:rsidR="005D282E" w:rsidRPr="006C668C" w:rsidRDefault="00E47DB2">
      <w:pPr>
        <w:spacing w:before="78"/>
        <w:ind w:left="306" w:right="316"/>
        <w:jc w:val="both"/>
        <w:rPr>
          <w:sz w:val="24"/>
          <w:lang w:val="en-GB"/>
        </w:rPr>
      </w:pPr>
      <w:r w:rsidRPr="006C668C">
        <w:rPr>
          <w:b/>
          <w:sz w:val="24"/>
          <w:lang w:val="en-GB"/>
        </w:rPr>
        <w:lastRenderedPageBreak/>
        <w:t xml:space="preserve">In this context, the European Green Deal Investment Plan - the Sustainable Europe Investment Plan – announced on 14 January 2020 aims to mobilise public investment and help to unlock private funds through the EU budget </w:t>
      </w:r>
      <w:r w:rsidRPr="006C668C">
        <w:rPr>
          <w:sz w:val="24"/>
          <w:lang w:val="en-GB"/>
        </w:rPr>
        <w:t xml:space="preserve">and associated instruments, notably through the InvestEU programme. Combined, the objective is to mobilise at least €1 trillion of sustainability-related investments over the next decade. In addition, for the next financial cycle (2021-2027) the </w:t>
      </w:r>
      <w:r w:rsidRPr="006C668C">
        <w:rPr>
          <w:b/>
          <w:sz w:val="24"/>
          <w:lang w:val="en-GB"/>
        </w:rPr>
        <w:t xml:space="preserve">External Investment Plan (EIP) and the European Fund for Sustainable Development Plus (EFSD+) </w:t>
      </w:r>
      <w:r w:rsidRPr="006C668C">
        <w:rPr>
          <w:sz w:val="24"/>
          <w:lang w:val="en-GB"/>
        </w:rPr>
        <w:t xml:space="preserve">will be available for all partner countries with a new External Action Guarantee of up to €60 billion. </w:t>
      </w:r>
      <w:r w:rsidRPr="006C668C">
        <w:rPr>
          <w:spacing w:val="-3"/>
          <w:sz w:val="24"/>
          <w:lang w:val="en-GB"/>
        </w:rPr>
        <w:t xml:space="preserve">It </w:t>
      </w:r>
      <w:r w:rsidRPr="006C668C">
        <w:rPr>
          <w:sz w:val="24"/>
          <w:lang w:val="en-GB"/>
        </w:rPr>
        <w:t xml:space="preserve">is expected to leverage half a trillion Euros worth of sustainable investments. Lastly, the </w:t>
      </w:r>
      <w:r w:rsidRPr="006C668C">
        <w:rPr>
          <w:b/>
          <w:sz w:val="24"/>
          <w:lang w:val="en-GB"/>
        </w:rPr>
        <w:t xml:space="preserve">European Investment Bank (EIB) </w:t>
      </w:r>
      <w:r w:rsidRPr="006C668C">
        <w:rPr>
          <w:sz w:val="24"/>
          <w:lang w:val="en-GB"/>
        </w:rPr>
        <w:t xml:space="preserve">published on 14 November 2019 its </w:t>
      </w:r>
      <w:hyperlink r:id="rId24">
        <w:r w:rsidRPr="006C668C">
          <w:rPr>
            <w:color w:val="0000FF"/>
            <w:sz w:val="24"/>
            <w:u w:val="single" w:color="0000FF"/>
            <w:lang w:val="en-GB"/>
          </w:rPr>
          <w:t>new climate</w:t>
        </w:r>
      </w:hyperlink>
      <w:r w:rsidRPr="006C668C">
        <w:rPr>
          <w:color w:val="0000FF"/>
          <w:sz w:val="24"/>
          <w:lang w:val="en-GB"/>
        </w:rPr>
        <w:t xml:space="preserve"> </w:t>
      </w:r>
      <w:hyperlink r:id="rId25">
        <w:r w:rsidRPr="006C668C">
          <w:rPr>
            <w:color w:val="0000FF"/>
            <w:sz w:val="24"/>
            <w:u w:val="single" w:color="0000FF"/>
            <w:lang w:val="en-GB"/>
          </w:rPr>
          <w:t>strategy and Energy Lending Policy</w:t>
        </w:r>
        <w:r w:rsidRPr="006C668C">
          <w:rPr>
            <w:sz w:val="24"/>
            <w:lang w:val="en-GB"/>
          </w:rPr>
          <w:t xml:space="preserve">, </w:t>
        </w:r>
      </w:hyperlink>
      <w:r w:rsidRPr="006C668C">
        <w:rPr>
          <w:sz w:val="24"/>
          <w:lang w:val="en-GB"/>
        </w:rPr>
        <w:t xml:space="preserve">which notably sets out that the EIB Group will align all their financing activities with the goals of the Paris Agreement from the end </w:t>
      </w:r>
      <w:r w:rsidRPr="006C668C">
        <w:rPr>
          <w:spacing w:val="4"/>
          <w:sz w:val="24"/>
          <w:lang w:val="en-GB"/>
        </w:rPr>
        <w:t xml:space="preserve">of </w:t>
      </w:r>
      <w:r w:rsidRPr="006C668C">
        <w:rPr>
          <w:sz w:val="24"/>
          <w:lang w:val="en-GB"/>
        </w:rPr>
        <w:t>2020. This includes, among other measures, a stop to the financing of fossil fuel  energy projects from the end of</w:t>
      </w:r>
      <w:r w:rsidRPr="006C668C">
        <w:rPr>
          <w:spacing w:val="1"/>
          <w:sz w:val="24"/>
          <w:lang w:val="en-GB"/>
        </w:rPr>
        <w:t xml:space="preserve"> </w:t>
      </w:r>
      <w:r w:rsidRPr="006C668C">
        <w:rPr>
          <w:sz w:val="24"/>
          <w:lang w:val="en-GB"/>
        </w:rPr>
        <w:t>2021.</w:t>
      </w:r>
    </w:p>
    <w:p w14:paraId="449B0D64" w14:textId="77777777" w:rsidR="005D282E" w:rsidRPr="006C668C" w:rsidRDefault="005D282E">
      <w:pPr>
        <w:pStyle w:val="BodyText"/>
        <w:rPr>
          <w:sz w:val="21"/>
          <w:lang w:val="en-GB"/>
        </w:rPr>
      </w:pPr>
    </w:p>
    <w:p w14:paraId="449B0D65" w14:textId="77777777" w:rsidR="005D282E" w:rsidRPr="006C668C" w:rsidRDefault="00E47DB2">
      <w:pPr>
        <w:pStyle w:val="BodyText"/>
        <w:ind w:left="306" w:right="318"/>
        <w:jc w:val="both"/>
        <w:rPr>
          <w:lang w:val="en-GB"/>
        </w:rPr>
      </w:pPr>
      <w:r w:rsidRPr="006C668C">
        <w:rPr>
          <w:b/>
          <w:lang w:val="en-GB"/>
        </w:rPr>
        <w:t xml:space="preserve">However, the financial system as a whole is not yet transitioning fast enough. </w:t>
      </w:r>
      <w:r w:rsidRPr="006C668C">
        <w:rPr>
          <w:lang w:val="en-GB"/>
        </w:rPr>
        <w:t>Substantial progress still needs to be made to ensure that the financial sector genuinely supports businesses on their transition path towards sustainability, as well as further supporting businesses that are already sustainable. It will also mean putting in place the buffers that are necessary to support de- carbonisation pathways across all European Member States, industries that will need greater support, as well as SMEs.</w:t>
      </w:r>
    </w:p>
    <w:p w14:paraId="449B0D66" w14:textId="77777777" w:rsidR="005D282E" w:rsidRPr="006C668C" w:rsidRDefault="005D282E">
      <w:pPr>
        <w:pStyle w:val="BodyText"/>
        <w:spacing w:before="10"/>
        <w:rPr>
          <w:sz w:val="20"/>
          <w:lang w:val="en-GB"/>
        </w:rPr>
      </w:pPr>
    </w:p>
    <w:p w14:paraId="449B0D67" w14:textId="77777777" w:rsidR="005D282E" w:rsidRPr="006C668C" w:rsidRDefault="00E47DB2">
      <w:pPr>
        <w:ind w:left="306" w:right="318"/>
        <w:jc w:val="both"/>
        <w:rPr>
          <w:sz w:val="24"/>
          <w:lang w:val="en-GB"/>
        </w:rPr>
      </w:pPr>
      <w:r w:rsidRPr="006C668C">
        <w:rPr>
          <w:b/>
          <w:sz w:val="24"/>
          <w:lang w:val="en-GB"/>
        </w:rPr>
        <w:t xml:space="preserve">For all of these reasons, the European Green Deal announced a Renewed Sustainable Finance Strategy. </w:t>
      </w:r>
      <w:r w:rsidRPr="006C668C">
        <w:rPr>
          <w:sz w:val="24"/>
          <w:lang w:val="en-GB"/>
        </w:rPr>
        <w:t xml:space="preserve">The renewed strategy will build on the 10 actions put forward in the European Commission’s initial </w:t>
      </w:r>
      <w:hyperlink r:id="rId26">
        <w:r w:rsidRPr="006C668C">
          <w:rPr>
            <w:b/>
            <w:color w:val="0000FF"/>
            <w:sz w:val="24"/>
            <w:u w:val="thick" w:color="0000FF"/>
            <w:lang w:val="en-GB"/>
          </w:rPr>
          <w:t>2018 Action Plan on Financing</w:t>
        </w:r>
      </w:hyperlink>
      <w:r w:rsidRPr="006C668C">
        <w:rPr>
          <w:b/>
          <w:color w:val="0000FF"/>
          <w:sz w:val="24"/>
          <w:lang w:val="en-GB"/>
        </w:rPr>
        <w:t xml:space="preserve"> </w:t>
      </w:r>
      <w:hyperlink r:id="rId27">
        <w:r w:rsidRPr="006C668C">
          <w:rPr>
            <w:b/>
            <w:color w:val="0000FF"/>
            <w:sz w:val="24"/>
            <w:u w:val="thick" w:color="0000FF"/>
            <w:lang w:val="en-GB"/>
          </w:rPr>
          <w:t>Sustainable Growth</w:t>
        </w:r>
      </w:hyperlink>
      <w:r w:rsidRPr="006C668C">
        <w:rPr>
          <w:color w:val="0000FF"/>
          <w:sz w:val="24"/>
          <w:u w:val="thick" w:color="0000FF"/>
          <w:lang w:val="en-GB"/>
        </w:rPr>
        <w:t xml:space="preserve">, which </w:t>
      </w:r>
      <w:r w:rsidRPr="006C668C">
        <w:rPr>
          <w:sz w:val="24"/>
          <w:lang w:val="en-GB"/>
        </w:rPr>
        <w:t>laid down the foundations for channelling private capital towards sustainable investments.</w:t>
      </w:r>
    </w:p>
    <w:p w14:paraId="449B0D68" w14:textId="77777777" w:rsidR="005D282E" w:rsidRPr="006C668C" w:rsidRDefault="005D282E">
      <w:pPr>
        <w:pStyle w:val="BodyText"/>
        <w:spacing w:before="10"/>
        <w:rPr>
          <w:sz w:val="20"/>
          <w:lang w:val="en-GB"/>
        </w:rPr>
      </w:pPr>
    </w:p>
    <w:p w14:paraId="449B0D69" w14:textId="77777777" w:rsidR="005D282E" w:rsidRPr="006C668C" w:rsidRDefault="00E47DB2">
      <w:pPr>
        <w:spacing w:before="1"/>
        <w:ind w:left="306" w:right="317"/>
        <w:jc w:val="both"/>
        <w:rPr>
          <w:sz w:val="24"/>
          <w:lang w:val="en-GB"/>
        </w:rPr>
      </w:pPr>
      <w:r w:rsidRPr="006C668C">
        <w:rPr>
          <w:b/>
          <w:sz w:val="24"/>
          <w:lang w:val="en-GB"/>
        </w:rPr>
        <w:t>As the EU moves towards climate-neutrality and steps up the fight against environmental degradation, the financial and industrial sectors will have to undergo a large-scale transformation, requiring massive investment</w:t>
      </w:r>
      <w:r w:rsidRPr="006C668C">
        <w:rPr>
          <w:sz w:val="24"/>
          <w:lang w:val="en-GB"/>
        </w:rPr>
        <w:t xml:space="preserve">. Progress has already been made, but efforts need to be stepped up. Building on the achievements of the Action Plan on Financing Sustainable Growth, the current context requires a more comprehensive and ambitious strategy. </w:t>
      </w:r>
      <w:r w:rsidRPr="006C668C">
        <w:rPr>
          <w:b/>
          <w:sz w:val="24"/>
          <w:lang w:val="en-GB"/>
        </w:rPr>
        <w:t>The Renewed Sustainable Finance Strategy will predominantly focus on three</w:t>
      </w:r>
      <w:r w:rsidRPr="006C668C">
        <w:rPr>
          <w:b/>
          <w:spacing w:val="-4"/>
          <w:sz w:val="24"/>
          <w:lang w:val="en-GB"/>
        </w:rPr>
        <w:t xml:space="preserve"> </w:t>
      </w:r>
      <w:r w:rsidRPr="006C668C">
        <w:rPr>
          <w:b/>
          <w:sz w:val="24"/>
          <w:lang w:val="en-GB"/>
        </w:rPr>
        <w:t>areas</w:t>
      </w:r>
      <w:r w:rsidRPr="006C668C">
        <w:rPr>
          <w:sz w:val="24"/>
          <w:lang w:val="en-GB"/>
        </w:rPr>
        <w:t>:</w:t>
      </w:r>
    </w:p>
    <w:p w14:paraId="449B0D6A" w14:textId="77777777" w:rsidR="005D282E" w:rsidRPr="006C668C" w:rsidRDefault="005D282E">
      <w:pPr>
        <w:pStyle w:val="BodyText"/>
        <w:spacing w:before="1"/>
        <w:rPr>
          <w:sz w:val="26"/>
          <w:lang w:val="en-GB"/>
        </w:rPr>
      </w:pPr>
    </w:p>
    <w:p w14:paraId="449B0D6B" w14:textId="77777777" w:rsidR="005D282E" w:rsidRPr="006C668C" w:rsidRDefault="00E47DB2">
      <w:pPr>
        <w:pStyle w:val="ListParagraph"/>
        <w:numPr>
          <w:ilvl w:val="0"/>
          <w:numId w:val="18"/>
        </w:numPr>
        <w:tabs>
          <w:tab w:val="left" w:pos="667"/>
        </w:tabs>
        <w:spacing w:line="271" w:lineRule="auto"/>
        <w:ind w:right="316"/>
        <w:rPr>
          <w:lang w:val="en-GB"/>
        </w:rPr>
      </w:pPr>
      <w:r w:rsidRPr="006C668C">
        <w:rPr>
          <w:b/>
          <w:lang w:val="en-GB"/>
        </w:rPr>
        <w:t xml:space="preserve">Strengthening the foundations for sustainable investment by creating </w:t>
      </w:r>
      <w:r w:rsidRPr="006C668C">
        <w:rPr>
          <w:b/>
          <w:spacing w:val="3"/>
          <w:lang w:val="en-GB"/>
        </w:rPr>
        <w:t xml:space="preserve">an </w:t>
      </w:r>
      <w:r w:rsidRPr="006C668C">
        <w:rPr>
          <w:b/>
          <w:lang w:val="en-GB"/>
        </w:rPr>
        <w:t xml:space="preserve">enabling framework, with appropriate tools and structures. </w:t>
      </w:r>
      <w:r w:rsidRPr="006C668C">
        <w:rPr>
          <w:lang w:val="en-GB"/>
        </w:rPr>
        <w:t>Many financial and non-financial companies still focus excessively on short-term financial performance instead of their long- term development and sustainability-related challenges and</w:t>
      </w:r>
      <w:r w:rsidRPr="006C668C">
        <w:rPr>
          <w:spacing w:val="-8"/>
          <w:lang w:val="en-GB"/>
        </w:rPr>
        <w:t xml:space="preserve"> </w:t>
      </w:r>
      <w:r w:rsidRPr="006C668C">
        <w:rPr>
          <w:lang w:val="en-GB"/>
        </w:rPr>
        <w:t>opportunities.</w:t>
      </w:r>
    </w:p>
    <w:p w14:paraId="449B0D6C" w14:textId="77777777" w:rsidR="005D282E" w:rsidRPr="006C668C" w:rsidRDefault="00E47DB2">
      <w:pPr>
        <w:pStyle w:val="ListParagraph"/>
        <w:numPr>
          <w:ilvl w:val="0"/>
          <w:numId w:val="18"/>
        </w:numPr>
        <w:tabs>
          <w:tab w:val="left" w:pos="665"/>
        </w:tabs>
        <w:spacing w:before="126" w:line="268" w:lineRule="auto"/>
        <w:ind w:left="664" w:right="317" w:hanging="358"/>
        <w:rPr>
          <w:lang w:val="en-GB"/>
        </w:rPr>
      </w:pPr>
      <w:r w:rsidRPr="006C668C">
        <w:rPr>
          <w:b/>
          <w:lang w:val="en-GB"/>
        </w:rPr>
        <w:t>Increased opportunities to have a positive impact on sustainability for citizens, financial institutions and corporates</w:t>
      </w:r>
      <w:r w:rsidRPr="006C668C">
        <w:rPr>
          <w:lang w:val="en-GB"/>
        </w:rPr>
        <w:t>. This second pillar aims at maximising the impact of the frameworks and tools in our arsenal in order to “finance</w:t>
      </w:r>
      <w:r w:rsidRPr="006C668C">
        <w:rPr>
          <w:spacing w:val="-15"/>
          <w:lang w:val="en-GB"/>
        </w:rPr>
        <w:t xml:space="preserve"> </w:t>
      </w:r>
      <w:r w:rsidRPr="006C668C">
        <w:rPr>
          <w:lang w:val="en-GB"/>
        </w:rPr>
        <w:t>green”.</w:t>
      </w:r>
    </w:p>
    <w:p w14:paraId="449B0D6D" w14:textId="77777777" w:rsidR="005D282E" w:rsidRPr="006C668C" w:rsidRDefault="00E47DB2">
      <w:pPr>
        <w:pStyle w:val="ListParagraph"/>
        <w:numPr>
          <w:ilvl w:val="0"/>
          <w:numId w:val="18"/>
        </w:numPr>
        <w:tabs>
          <w:tab w:val="left" w:pos="665"/>
        </w:tabs>
        <w:spacing w:before="131" w:line="271" w:lineRule="auto"/>
        <w:ind w:left="664" w:right="315" w:hanging="358"/>
        <w:rPr>
          <w:lang w:val="en-GB"/>
        </w:rPr>
      </w:pPr>
      <w:r w:rsidRPr="006C668C">
        <w:rPr>
          <w:b/>
          <w:lang w:val="en-GB"/>
        </w:rPr>
        <w:t>Climate and environmental risks will need to be fully managed and integrated into financial institutions and the financial system as a whole</w:t>
      </w:r>
      <w:r w:rsidRPr="006C668C">
        <w:rPr>
          <w:lang w:val="en-GB"/>
        </w:rPr>
        <w:t>, while ensuring social risks are duly taken into account where relevant. Reducing the exposure to climate and environmental risks will further contribute to “greening</w:t>
      </w:r>
      <w:r w:rsidRPr="006C668C">
        <w:rPr>
          <w:spacing w:val="-8"/>
          <w:lang w:val="en-GB"/>
        </w:rPr>
        <w:t xml:space="preserve"> </w:t>
      </w:r>
      <w:r w:rsidRPr="006C668C">
        <w:rPr>
          <w:lang w:val="en-GB"/>
        </w:rPr>
        <w:t>finance”.</w:t>
      </w:r>
    </w:p>
    <w:p w14:paraId="449B0D6E" w14:textId="77777777" w:rsidR="005D282E" w:rsidRPr="006C668C" w:rsidRDefault="00E47DB2">
      <w:pPr>
        <w:pStyle w:val="Heading2"/>
        <w:spacing w:before="65"/>
        <w:ind w:left="306" w:firstLine="0"/>
        <w:rPr>
          <w:lang w:val="en-GB"/>
        </w:rPr>
      </w:pPr>
      <w:r w:rsidRPr="006C668C">
        <w:rPr>
          <w:lang w:val="en-GB"/>
        </w:rPr>
        <w:t>Objectives of this consultation and links with other consultation activities</w:t>
      </w:r>
    </w:p>
    <w:p w14:paraId="449B0D6F" w14:textId="77777777" w:rsidR="005D282E" w:rsidRPr="006C668C" w:rsidRDefault="005D282E">
      <w:pPr>
        <w:pStyle w:val="BodyText"/>
        <w:spacing w:before="10"/>
        <w:rPr>
          <w:b/>
          <w:sz w:val="20"/>
          <w:lang w:val="en-GB"/>
        </w:rPr>
      </w:pPr>
    </w:p>
    <w:p w14:paraId="449B0D70" w14:textId="77777777" w:rsidR="005D282E" w:rsidRPr="006C668C" w:rsidRDefault="00E47DB2">
      <w:pPr>
        <w:ind w:left="306" w:right="327"/>
        <w:jc w:val="both"/>
        <w:rPr>
          <w:b/>
          <w:sz w:val="24"/>
          <w:lang w:val="en-GB"/>
        </w:rPr>
      </w:pPr>
      <w:r w:rsidRPr="006C668C">
        <w:rPr>
          <w:b/>
          <w:sz w:val="24"/>
          <w:lang w:val="en-GB"/>
        </w:rPr>
        <w:t>The aim of this consultation, available for 14 weeks (until 15 July) is to collect the views and opinions of interested parties in order to inform the development of the</w:t>
      </w:r>
    </w:p>
    <w:p w14:paraId="449B0D71" w14:textId="77777777" w:rsidR="005D282E" w:rsidRPr="006C668C" w:rsidRDefault="005D282E">
      <w:pPr>
        <w:jc w:val="both"/>
        <w:rPr>
          <w:sz w:val="24"/>
          <w:lang w:val="en-GB"/>
        </w:rPr>
        <w:sectPr w:rsidR="005D282E" w:rsidRPr="006C668C">
          <w:pgSz w:w="11910" w:h="16840"/>
          <w:pgMar w:top="920" w:right="1380" w:bottom="1240" w:left="1280" w:header="0" w:footer="1026" w:gutter="0"/>
          <w:cols w:space="720"/>
        </w:sectPr>
      </w:pPr>
    </w:p>
    <w:p w14:paraId="449B0D72" w14:textId="77777777" w:rsidR="005D282E" w:rsidRPr="006C668C" w:rsidRDefault="00E47DB2">
      <w:pPr>
        <w:pStyle w:val="BodyText"/>
        <w:spacing w:before="73"/>
        <w:ind w:left="306" w:right="319"/>
        <w:jc w:val="both"/>
        <w:rPr>
          <w:lang w:val="en-GB"/>
        </w:rPr>
      </w:pPr>
      <w:r w:rsidRPr="006C668C">
        <w:rPr>
          <w:b/>
          <w:lang w:val="en-GB"/>
        </w:rPr>
        <w:lastRenderedPageBreak/>
        <w:t xml:space="preserve">renewed strategy. </w:t>
      </w:r>
      <w:r w:rsidRPr="006C668C">
        <w:rPr>
          <w:lang w:val="en-GB"/>
        </w:rPr>
        <w:t>All citizens, public authorities, including Member States, and private organisations are invited to contribute. Given the diversity of topics under consultation, stakeholders may choose to provide replies to some questions only. Section I (covering questions 1-5) is addressed to all stakeholders, including citizens, while Section II (covering questions 6-102) requires a certain degree of financial and sustainability- related knowledge and is primarily addressed at experts.</w:t>
      </w:r>
    </w:p>
    <w:p w14:paraId="449B0D73" w14:textId="77777777" w:rsidR="005D282E" w:rsidRPr="006C668C" w:rsidRDefault="005D282E">
      <w:pPr>
        <w:pStyle w:val="BodyText"/>
        <w:spacing w:before="11"/>
        <w:rPr>
          <w:sz w:val="20"/>
          <w:lang w:val="en-GB"/>
        </w:rPr>
      </w:pPr>
    </w:p>
    <w:p w14:paraId="449B0D74" w14:textId="77777777" w:rsidR="005D282E" w:rsidRPr="006C668C" w:rsidRDefault="00E47DB2">
      <w:pPr>
        <w:ind w:left="306" w:right="319"/>
        <w:jc w:val="both"/>
        <w:rPr>
          <w:sz w:val="24"/>
          <w:lang w:val="en-GB"/>
        </w:rPr>
      </w:pPr>
      <w:r w:rsidRPr="006C668C">
        <w:rPr>
          <w:b/>
          <w:sz w:val="24"/>
          <w:lang w:val="en-GB"/>
        </w:rPr>
        <w:t>This consultation builds on a number of previous initiatives and reports</w:t>
      </w:r>
      <w:r w:rsidRPr="006C668C">
        <w:rPr>
          <w:sz w:val="24"/>
          <w:lang w:val="en-GB"/>
        </w:rPr>
        <w:t>, as well as complementing other consultation activities of the Commission, in particular:</w:t>
      </w:r>
    </w:p>
    <w:p w14:paraId="449B0D75" w14:textId="77777777" w:rsidR="005D282E" w:rsidRPr="006C668C" w:rsidRDefault="005D282E">
      <w:pPr>
        <w:pStyle w:val="BodyText"/>
        <w:spacing w:before="1"/>
        <w:rPr>
          <w:sz w:val="26"/>
          <w:lang w:val="en-GB"/>
        </w:rPr>
      </w:pPr>
    </w:p>
    <w:p w14:paraId="449B0D76" w14:textId="77777777" w:rsidR="005D282E" w:rsidRPr="006C668C" w:rsidRDefault="00E47DB2">
      <w:pPr>
        <w:pStyle w:val="ListParagraph"/>
        <w:numPr>
          <w:ilvl w:val="1"/>
          <w:numId w:val="18"/>
        </w:numPr>
        <w:tabs>
          <w:tab w:val="left" w:pos="1026"/>
          <w:tab w:val="left" w:pos="1027"/>
        </w:tabs>
        <w:ind w:hanging="361"/>
        <w:jc w:val="left"/>
        <w:rPr>
          <w:lang w:val="en-GB"/>
        </w:rPr>
      </w:pPr>
      <w:r w:rsidRPr="006C668C">
        <w:rPr>
          <w:lang w:val="en-GB"/>
        </w:rPr>
        <w:t>The final report of the</w:t>
      </w:r>
      <w:r w:rsidRPr="006C668C">
        <w:rPr>
          <w:color w:val="000080"/>
          <w:lang w:val="en-GB"/>
        </w:rPr>
        <w:t xml:space="preserve"> </w:t>
      </w:r>
      <w:hyperlink r:id="rId28">
        <w:r w:rsidRPr="006C668C">
          <w:rPr>
            <w:color w:val="000080"/>
            <w:u w:val="single" w:color="000080"/>
            <w:lang w:val="en-GB"/>
          </w:rPr>
          <w:t>High-Level Expert Group on Sustainable Finance</w:t>
        </w:r>
        <w:r w:rsidRPr="006C668C">
          <w:rPr>
            <w:color w:val="0000FF"/>
            <w:spacing w:val="-8"/>
            <w:u w:val="single" w:color="000080"/>
            <w:lang w:val="en-GB"/>
          </w:rPr>
          <w:t xml:space="preserve"> </w:t>
        </w:r>
      </w:hyperlink>
      <w:r w:rsidRPr="006C668C">
        <w:rPr>
          <w:color w:val="0000FF"/>
          <w:u w:val="single" w:color="000080"/>
          <w:lang w:val="en-GB"/>
        </w:rPr>
        <w:t>(2018)</w:t>
      </w:r>
      <w:r w:rsidRPr="006C668C">
        <w:rPr>
          <w:lang w:val="en-GB"/>
        </w:rPr>
        <w:t>;</w:t>
      </w:r>
    </w:p>
    <w:p w14:paraId="449B0D77" w14:textId="77777777" w:rsidR="005D282E" w:rsidRPr="006C668C" w:rsidRDefault="00E47DB2">
      <w:pPr>
        <w:pStyle w:val="ListParagraph"/>
        <w:numPr>
          <w:ilvl w:val="1"/>
          <w:numId w:val="18"/>
        </w:numPr>
        <w:tabs>
          <w:tab w:val="left" w:pos="1026"/>
          <w:tab w:val="left" w:pos="1027"/>
        </w:tabs>
        <w:spacing w:before="38"/>
        <w:ind w:hanging="361"/>
        <w:jc w:val="left"/>
        <w:rPr>
          <w:lang w:val="en-GB"/>
        </w:rPr>
      </w:pPr>
      <w:r w:rsidRPr="006C668C">
        <w:rPr>
          <w:lang w:val="en-GB"/>
        </w:rPr>
        <w:t>The</w:t>
      </w:r>
      <w:r w:rsidRPr="006C668C">
        <w:rPr>
          <w:color w:val="000080"/>
          <w:lang w:val="en-GB"/>
        </w:rPr>
        <w:t xml:space="preserve"> </w:t>
      </w:r>
      <w:hyperlink r:id="rId29">
        <w:r w:rsidRPr="006C668C">
          <w:rPr>
            <w:color w:val="000080"/>
            <w:u w:val="single" w:color="000080"/>
            <w:lang w:val="en-GB"/>
          </w:rPr>
          <w:t>EU Action Plan on Financing Sustainable Growth</w:t>
        </w:r>
        <w:r w:rsidRPr="006C668C">
          <w:rPr>
            <w:color w:val="000080"/>
            <w:spacing w:val="-10"/>
            <w:lang w:val="en-GB"/>
          </w:rPr>
          <w:t xml:space="preserve"> </w:t>
        </w:r>
      </w:hyperlink>
      <w:r w:rsidRPr="006C668C">
        <w:rPr>
          <w:lang w:val="en-GB"/>
        </w:rPr>
        <w:t>(2018);</w:t>
      </w:r>
    </w:p>
    <w:p w14:paraId="449B0D78" w14:textId="77777777" w:rsidR="005D282E" w:rsidRPr="006C668C" w:rsidRDefault="00E47DB2">
      <w:pPr>
        <w:pStyle w:val="ListParagraph"/>
        <w:numPr>
          <w:ilvl w:val="1"/>
          <w:numId w:val="18"/>
        </w:numPr>
        <w:tabs>
          <w:tab w:val="left" w:pos="1026"/>
          <w:tab w:val="left" w:pos="1027"/>
        </w:tabs>
        <w:spacing w:before="38"/>
        <w:ind w:hanging="361"/>
        <w:jc w:val="left"/>
        <w:rPr>
          <w:lang w:val="en-GB"/>
        </w:rPr>
      </w:pPr>
      <w:r w:rsidRPr="006C668C">
        <w:rPr>
          <w:lang w:val="en-GB"/>
        </w:rPr>
        <w:t>The</w:t>
      </w:r>
      <w:r w:rsidRPr="006C668C">
        <w:rPr>
          <w:spacing w:val="-3"/>
          <w:lang w:val="en-GB"/>
        </w:rPr>
        <w:t xml:space="preserve"> </w:t>
      </w:r>
      <w:r w:rsidRPr="006C668C">
        <w:rPr>
          <w:lang w:val="en-GB"/>
        </w:rPr>
        <w:t>communication</w:t>
      </w:r>
      <w:r w:rsidRPr="006C668C">
        <w:rPr>
          <w:spacing w:val="-3"/>
          <w:lang w:val="en-GB"/>
        </w:rPr>
        <w:t xml:space="preserve"> </w:t>
      </w:r>
      <w:r w:rsidRPr="006C668C">
        <w:rPr>
          <w:lang w:val="en-GB"/>
        </w:rPr>
        <w:t>of</w:t>
      </w:r>
      <w:r w:rsidRPr="006C668C">
        <w:rPr>
          <w:spacing w:val="-3"/>
          <w:lang w:val="en-GB"/>
        </w:rPr>
        <w:t xml:space="preserve"> </w:t>
      </w:r>
      <w:r w:rsidRPr="006C668C">
        <w:rPr>
          <w:lang w:val="en-GB"/>
        </w:rPr>
        <w:t>the</w:t>
      </w:r>
      <w:r w:rsidRPr="006C668C">
        <w:rPr>
          <w:spacing w:val="-2"/>
          <w:lang w:val="en-GB"/>
        </w:rPr>
        <w:t xml:space="preserve"> </w:t>
      </w:r>
      <w:r w:rsidRPr="006C668C">
        <w:rPr>
          <w:lang w:val="en-GB"/>
        </w:rPr>
        <w:t>Commission on</w:t>
      </w:r>
      <w:r w:rsidRPr="006C668C">
        <w:rPr>
          <w:spacing w:val="-1"/>
          <w:lang w:val="en-GB"/>
        </w:rPr>
        <w:t xml:space="preserve"> </w:t>
      </w:r>
      <w:r w:rsidRPr="006C668C">
        <w:rPr>
          <w:lang w:val="en-GB"/>
        </w:rPr>
        <w:t>‘</w:t>
      </w:r>
      <w:hyperlink r:id="rId30">
        <w:r w:rsidRPr="006C668C">
          <w:rPr>
            <w:color w:val="000080"/>
            <w:u w:val="single" w:color="000080"/>
            <w:lang w:val="en-GB"/>
          </w:rPr>
          <w:t>The European Green</w:t>
        </w:r>
        <w:r w:rsidRPr="006C668C">
          <w:rPr>
            <w:color w:val="000080"/>
            <w:spacing w:val="-1"/>
            <w:u w:val="single" w:color="000080"/>
            <w:lang w:val="en-GB"/>
          </w:rPr>
          <w:t xml:space="preserve"> </w:t>
        </w:r>
        <w:r w:rsidRPr="006C668C">
          <w:rPr>
            <w:color w:val="000080"/>
            <w:u w:val="single" w:color="000080"/>
            <w:lang w:val="en-GB"/>
          </w:rPr>
          <w:t>Deal’</w:t>
        </w:r>
        <w:r w:rsidRPr="006C668C">
          <w:rPr>
            <w:color w:val="000080"/>
            <w:lang w:val="en-GB"/>
          </w:rPr>
          <w:t xml:space="preserve"> </w:t>
        </w:r>
      </w:hyperlink>
      <w:r w:rsidRPr="006C668C">
        <w:rPr>
          <w:lang w:val="en-GB"/>
        </w:rPr>
        <w:t>(2019);</w:t>
      </w:r>
    </w:p>
    <w:p w14:paraId="449B0D79" w14:textId="77777777" w:rsidR="005D282E" w:rsidRPr="006C668C" w:rsidRDefault="00E47DB2">
      <w:pPr>
        <w:pStyle w:val="ListParagraph"/>
        <w:numPr>
          <w:ilvl w:val="1"/>
          <w:numId w:val="18"/>
        </w:numPr>
        <w:tabs>
          <w:tab w:val="left" w:pos="1027"/>
        </w:tabs>
        <w:spacing w:before="36" w:line="273" w:lineRule="auto"/>
        <w:ind w:right="317"/>
        <w:rPr>
          <w:lang w:val="en-GB"/>
        </w:rPr>
      </w:pPr>
      <w:r w:rsidRPr="006C668C">
        <w:rPr>
          <w:lang w:val="en-GB"/>
        </w:rPr>
        <w:t xml:space="preserve">The communication of the Commission on </w:t>
      </w:r>
      <w:r w:rsidRPr="006C668C">
        <w:rPr>
          <w:spacing w:val="4"/>
          <w:lang w:val="en-GB"/>
        </w:rPr>
        <w:t>‘</w:t>
      </w:r>
      <w:hyperlink r:id="rId31">
        <w:r w:rsidRPr="006C668C">
          <w:rPr>
            <w:color w:val="000080"/>
            <w:spacing w:val="4"/>
            <w:u w:val="single" w:color="000080"/>
            <w:lang w:val="en-GB"/>
          </w:rPr>
          <w:t xml:space="preserve"> </w:t>
        </w:r>
        <w:r w:rsidRPr="006C668C">
          <w:rPr>
            <w:color w:val="000080"/>
            <w:u w:val="single" w:color="000080"/>
            <w:lang w:val="en-GB"/>
          </w:rPr>
          <w:t>The European Green Deal Investment Plan’</w:t>
        </w:r>
      </w:hyperlink>
      <w:r w:rsidRPr="006C668C">
        <w:rPr>
          <w:lang w:val="en-GB"/>
        </w:rPr>
        <w:t xml:space="preserve"> (2020);</w:t>
      </w:r>
    </w:p>
    <w:p w14:paraId="449B0D7A" w14:textId="77777777" w:rsidR="005D282E" w:rsidRPr="006C668C" w:rsidRDefault="00E47DB2">
      <w:pPr>
        <w:pStyle w:val="ListParagraph"/>
        <w:numPr>
          <w:ilvl w:val="1"/>
          <w:numId w:val="18"/>
        </w:numPr>
        <w:tabs>
          <w:tab w:val="left" w:pos="1027"/>
        </w:tabs>
        <w:spacing w:before="2" w:line="276" w:lineRule="auto"/>
        <w:ind w:right="320"/>
        <w:rPr>
          <w:lang w:val="en-GB"/>
        </w:rPr>
      </w:pPr>
      <w:r w:rsidRPr="006C668C">
        <w:rPr>
          <w:lang w:val="en-GB"/>
        </w:rPr>
        <w:t>The</w:t>
      </w:r>
      <w:r w:rsidRPr="006C668C">
        <w:rPr>
          <w:color w:val="0000FF"/>
          <w:lang w:val="en-GB"/>
        </w:rPr>
        <w:t xml:space="preserve"> </w:t>
      </w:r>
      <w:hyperlink r:id="rId32">
        <w:r w:rsidRPr="006C668C">
          <w:rPr>
            <w:color w:val="0000FF"/>
            <w:u w:val="single" w:color="0000FF"/>
            <w:lang w:val="en-GB"/>
          </w:rPr>
          <w:t>reports</w:t>
        </w:r>
        <w:r w:rsidRPr="006C668C">
          <w:rPr>
            <w:color w:val="0000FF"/>
            <w:lang w:val="en-GB"/>
          </w:rPr>
          <w:t xml:space="preserve"> </w:t>
        </w:r>
      </w:hyperlink>
      <w:r w:rsidRPr="006C668C">
        <w:rPr>
          <w:lang w:val="en-GB"/>
        </w:rPr>
        <w:t>published by the Technical Expert Group on sustainable finance (TEG) with regard to an EU taxonomy of sustainable activities, an EU Green Bond Standard, methodologies for EU climate benchmarks and disclosures for benchmarks and guidance to improve corporate disclosure of climate-related</w:t>
      </w:r>
      <w:r w:rsidRPr="006C668C">
        <w:rPr>
          <w:spacing w:val="-6"/>
          <w:lang w:val="en-GB"/>
        </w:rPr>
        <w:t xml:space="preserve"> </w:t>
      </w:r>
      <w:r w:rsidRPr="006C668C">
        <w:rPr>
          <w:lang w:val="en-GB"/>
        </w:rPr>
        <w:t>information.</w:t>
      </w:r>
    </w:p>
    <w:p w14:paraId="449B0D7B" w14:textId="77777777" w:rsidR="005D282E" w:rsidRPr="006C668C" w:rsidRDefault="00E47DB2">
      <w:pPr>
        <w:spacing w:before="57"/>
        <w:ind w:left="306" w:right="315"/>
        <w:jc w:val="both"/>
        <w:rPr>
          <w:sz w:val="24"/>
          <w:lang w:val="en-GB"/>
        </w:rPr>
      </w:pPr>
      <w:r w:rsidRPr="006C668C">
        <w:rPr>
          <w:b/>
          <w:sz w:val="24"/>
          <w:lang w:val="en-GB"/>
        </w:rPr>
        <w:t>This consultation also makes references to past, ongoing and future consultations</w:t>
      </w:r>
      <w:r w:rsidRPr="006C668C">
        <w:rPr>
          <w:sz w:val="24"/>
          <w:lang w:val="en-GB"/>
        </w:rPr>
        <w:t xml:space="preserve">, such as the </w:t>
      </w:r>
      <w:hyperlink r:id="rId33">
        <w:r w:rsidRPr="006C668C">
          <w:rPr>
            <w:color w:val="0000FF"/>
            <w:sz w:val="24"/>
            <w:u w:val="single" w:color="0000FF"/>
            <w:lang w:val="en-GB"/>
          </w:rPr>
          <w:t>public consultation</w:t>
        </w:r>
        <w:r w:rsidRPr="006C668C">
          <w:rPr>
            <w:color w:val="0000FF"/>
            <w:sz w:val="24"/>
            <w:lang w:val="en-GB"/>
          </w:rPr>
          <w:t xml:space="preserve"> </w:t>
        </w:r>
      </w:hyperlink>
      <w:r w:rsidRPr="006C668C">
        <w:rPr>
          <w:sz w:val="24"/>
          <w:lang w:val="en-GB"/>
        </w:rPr>
        <w:t xml:space="preserve">and </w:t>
      </w:r>
      <w:hyperlink r:id="rId34">
        <w:r w:rsidRPr="006C668C">
          <w:rPr>
            <w:color w:val="0000FF"/>
            <w:sz w:val="24"/>
            <w:u w:val="single" w:color="0000FF"/>
            <w:lang w:val="en-GB"/>
          </w:rPr>
          <w:t>inception impact assessment</w:t>
        </w:r>
        <w:r w:rsidRPr="006C668C">
          <w:rPr>
            <w:color w:val="0000FF"/>
            <w:sz w:val="24"/>
            <w:lang w:val="en-GB"/>
          </w:rPr>
          <w:t xml:space="preserve"> </w:t>
        </w:r>
      </w:hyperlink>
      <w:r w:rsidRPr="006C668C">
        <w:rPr>
          <w:sz w:val="24"/>
          <w:lang w:val="en-GB"/>
        </w:rPr>
        <w:t>on the possible revision of the Non-Financial Reporting Directive (NFRD), the inception impact assessment on the review of the Solvency II Directive or the future consultation on investment protection.</w:t>
      </w:r>
    </w:p>
    <w:p w14:paraId="449B0D7C" w14:textId="77777777" w:rsidR="005D282E" w:rsidRPr="006C668C" w:rsidRDefault="005D282E">
      <w:pPr>
        <w:pStyle w:val="BodyText"/>
        <w:spacing w:before="10"/>
        <w:rPr>
          <w:sz w:val="20"/>
          <w:lang w:val="en-GB"/>
        </w:rPr>
      </w:pPr>
    </w:p>
    <w:p w14:paraId="449B0D7D" w14:textId="77777777" w:rsidR="005D282E" w:rsidRPr="006C668C" w:rsidRDefault="00E47DB2">
      <w:pPr>
        <w:spacing w:before="1"/>
        <w:ind w:left="306" w:right="316"/>
        <w:jc w:val="both"/>
        <w:rPr>
          <w:sz w:val="24"/>
          <w:lang w:val="en-GB"/>
        </w:rPr>
      </w:pPr>
      <w:r w:rsidRPr="006C668C">
        <w:rPr>
          <w:sz w:val="24"/>
          <w:lang w:val="en-GB"/>
        </w:rPr>
        <w:t xml:space="preserve">Please note that in order to ensure a fair and transparent consultation process </w:t>
      </w:r>
      <w:r w:rsidRPr="006C668C">
        <w:rPr>
          <w:b/>
          <w:sz w:val="24"/>
          <w:lang w:val="en-GB"/>
        </w:rPr>
        <w:t>only responses received through the online questionnaire on time will be analysed and included in the report summarising the responses</w:t>
      </w:r>
      <w:r w:rsidRPr="006C668C">
        <w:rPr>
          <w:sz w:val="24"/>
          <w:lang w:val="en-GB"/>
        </w:rPr>
        <w:t xml:space="preserve">. Should you have a problem completing this questionnaire or if you require particular assistance, please contact </w:t>
      </w:r>
      <w:hyperlink r:id="rId35">
        <w:r w:rsidRPr="006C668C">
          <w:rPr>
            <w:color w:val="0000FF"/>
            <w:sz w:val="24"/>
            <w:u w:val="single" w:color="0000FF"/>
            <w:lang w:val="en-GB"/>
          </w:rPr>
          <w:t>fisma-sf-consultation@ec.europa.eu</w:t>
        </w:r>
        <w:r w:rsidRPr="006C668C">
          <w:rPr>
            <w:sz w:val="24"/>
            <w:lang w:val="en-GB"/>
          </w:rPr>
          <w:t>.</w:t>
        </w:r>
      </w:hyperlink>
    </w:p>
    <w:p w14:paraId="449B0D7E" w14:textId="77777777" w:rsidR="005D282E" w:rsidRPr="006C668C" w:rsidRDefault="00B97C1A">
      <w:pPr>
        <w:pStyle w:val="BodyText"/>
        <w:spacing w:before="3"/>
        <w:rPr>
          <w:sz w:val="21"/>
          <w:lang w:val="en-GB"/>
        </w:rPr>
      </w:pPr>
      <w:r w:rsidRPr="006C668C">
        <w:rPr>
          <w:noProof/>
          <w:lang w:bidi="ar-SA"/>
        </w:rPr>
        <mc:AlternateContent>
          <mc:Choice Requires="wpg">
            <w:drawing>
              <wp:anchor distT="0" distB="0" distL="0" distR="0" simplePos="0" relativeHeight="251665408" behindDoc="1" locked="0" layoutInCell="1" allowOverlap="1" wp14:anchorId="449B0F40" wp14:editId="449B0F41">
                <wp:simplePos x="0" y="0"/>
                <wp:positionH relativeFrom="page">
                  <wp:posOffset>935990</wp:posOffset>
                </wp:positionH>
                <wp:positionV relativeFrom="paragraph">
                  <wp:posOffset>180340</wp:posOffset>
                </wp:positionV>
                <wp:extent cx="5617210" cy="995680"/>
                <wp:effectExtent l="0" t="0" r="0" b="0"/>
                <wp:wrapTopAndBottom/>
                <wp:docPr id="1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7210" cy="995680"/>
                          <a:chOff x="1474" y="284"/>
                          <a:chExt cx="8846" cy="1568"/>
                        </a:xfrm>
                      </wpg:grpSpPr>
                      <wps:wsp>
                        <wps:cNvPr id="18" name="Rectangle 26"/>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5"/>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24"/>
                        <wps:cNvCnPr>
                          <a:cxnSpLocks noChangeShapeType="1"/>
                        </wps:cNvCnPr>
                        <wps:spPr bwMode="auto">
                          <a:xfrm>
                            <a:off x="1484" y="289"/>
                            <a:ext cx="882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Rectangle 23"/>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2"/>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1"/>
                        <wps:cNvCnPr>
                          <a:cxnSpLocks noChangeShapeType="1"/>
                        </wps:cNvCnPr>
                        <wps:spPr bwMode="auto">
                          <a:xfrm>
                            <a:off x="1479" y="294"/>
                            <a:ext cx="0" cy="155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20"/>
                        <wps:cNvCnPr>
                          <a:cxnSpLocks noChangeShapeType="1"/>
                        </wps:cNvCnPr>
                        <wps:spPr bwMode="auto">
                          <a:xfrm>
                            <a:off x="1484" y="1847"/>
                            <a:ext cx="882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 name="Line 19"/>
                        <wps:cNvCnPr>
                          <a:cxnSpLocks noChangeShapeType="1"/>
                        </wps:cNvCnPr>
                        <wps:spPr bwMode="auto">
                          <a:xfrm>
                            <a:off x="10315" y="294"/>
                            <a:ext cx="0" cy="155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Text Box 18"/>
                        <wps:cNvSpPr txBox="1">
                          <a:spLocks noChangeArrowheads="1"/>
                        </wps:cNvSpPr>
                        <wps:spPr bwMode="auto">
                          <a:xfrm>
                            <a:off x="2306" y="1327"/>
                            <a:ext cx="594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3" w14:textId="77777777" w:rsidR="004048B3" w:rsidRDefault="00161DA6">
                              <w:pPr>
                                <w:spacing w:line="266" w:lineRule="exact"/>
                                <w:rPr>
                                  <w:sz w:val="24"/>
                                </w:rPr>
                              </w:pPr>
                              <w:hyperlink r:id="rId36">
                                <w:r w:rsidR="004048B3">
                                  <w:rPr>
                                    <w:color w:val="0000FF"/>
                                    <w:sz w:val="24"/>
                                    <w:u w:val="single" w:color="0000FF"/>
                                  </w:rPr>
                                  <w:t>on the protection of personal data regime for this consultation</w:t>
                                </w:r>
                              </w:hyperlink>
                            </w:p>
                          </w:txbxContent>
                        </wps:txbx>
                        <wps:bodyPr rot="0" vert="horz" wrap="square" lIns="0" tIns="0" rIns="0" bIns="0" anchor="t" anchorCtr="0" upright="1">
                          <a:noAutofit/>
                        </wps:bodyPr>
                      </wps:wsp>
                      <wps:wsp>
                        <wps:cNvPr id="27" name="Text Box 17"/>
                        <wps:cNvSpPr txBox="1">
                          <a:spLocks noChangeArrowheads="1"/>
                        </wps:cNvSpPr>
                        <wps:spPr bwMode="auto">
                          <a:xfrm>
                            <a:off x="1586" y="1327"/>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4" w14:textId="77777777" w:rsidR="004048B3" w:rsidRDefault="004048B3">
                              <w:pPr>
                                <w:spacing w:line="266" w:lineRule="exact"/>
                                <w:rPr>
                                  <w:sz w:val="24"/>
                                </w:rPr>
                              </w:pPr>
                              <w:r>
                                <w:rPr>
                                  <w:sz w:val="24"/>
                                </w:rPr>
                                <w:t>•</w:t>
                              </w:r>
                            </w:p>
                          </w:txbxContent>
                        </wps:txbx>
                        <wps:bodyPr rot="0" vert="horz" wrap="square" lIns="0" tIns="0" rIns="0" bIns="0" anchor="t" anchorCtr="0" upright="1">
                          <a:noAutofit/>
                        </wps:bodyPr>
                      </wps:wsp>
                      <wps:wsp>
                        <wps:cNvPr id="28" name="Text Box 16"/>
                        <wps:cNvSpPr txBox="1">
                          <a:spLocks noChangeArrowheads="1"/>
                        </wps:cNvSpPr>
                        <wps:spPr bwMode="auto">
                          <a:xfrm>
                            <a:off x="2306" y="811"/>
                            <a:ext cx="1901"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5" w14:textId="77777777" w:rsidR="004048B3" w:rsidRDefault="00161DA6">
                              <w:pPr>
                                <w:spacing w:line="266" w:lineRule="exact"/>
                                <w:rPr>
                                  <w:sz w:val="24"/>
                                </w:rPr>
                              </w:pPr>
                              <w:hyperlink r:id="rId37">
                                <w:r w:rsidR="004048B3">
                                  <w:rPr>
                                    <w:color w:val="0000FF"/>
                                    <w:sz w:val="24"/>
                                    <w:u w:val="single" w:color="0000FF"/>
                                  </w:rPr>
                                  <w:t>on this consultation</w:t>
                                </w:r>
                              </w:hyperlink>
                            </w:p>
                          </w:txbxContent>
                        </wps:txbx>
                        <wps:bodyPr rot="0" vert="horz" wrap="square" lIns="0" tIns="0" rIns="0" bIns="0" anchor="t" anchorCtr="0" upright="1">
                          <a:noAutofit/>
                        </wps:bodyPr>
                      </wps:wsp>
                      <wps:wsp>
                        <wps:cNvPr id="29" name="Text Box 15"/>
                        <wps:cNvSpPr txBox="1">
                          <a:spLocks noChangeArrowheads="1"/>
                        </wps:cNvSpPr>
                        <wps:spPr bwMode="auto">
                          <a:xfrm>
                            <a:off x="1586" y="811"/>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6" w14:textId="77777777" w:rsidR="004048B3" w:rsidRDefault="004048B3">
                              <w:pPr>
                                <w:spacing w:line="266" w:lineRule="exact"/>
                                <w:rPr>
                                  <w:sz w:val="24"/>
                                </w:rPr>
                              </w:pPr>
                              <w:r>
                                <w:rPr>
                                  <w:sz w:val="24"/>
                                </w:rPr>
                                <w:t>•</w:t>
                              </w:r>
                            </w:p>
                          </w:txbxContent>
                        </wps:txbx>
                        <wps:bodyPr rot="0" vert="horz" wrap="square" lIns="0" tIns="0" rIns="0" bIns="0" anchor="t" anchorCtr="0" upright="1">
                          <a:noAutofit/>
                        </wps:bodyPr>
                      </wps:wsp>
                      <wps:wsp>
                        <wps:cNvPr id="30" name="Text Box 14"/>
                        <wps:cNvSpPr txBox="1">
                          <a:spLocks noChangeArrowheads="1"/>
                        </wps:cNvSpPr>
                        <wps:spPr bwMode="auto">
                          <a:xfrm>
                            <a:off x="1586" y="295"/>
                            <a:ext cx="1798"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7" w14:textId="77777777" w:rsidR="004048B3" w:rsidRDefault="004048B3">
                              <w:pPr>
                                <w:spacing w:line="266" w:lineRule="exact"/>
                                <w:rPr>
                                  <w:sz w:val="24"/>
                                </w:rPr>
                              </w:pPr>
                              <w:r>
                                <w:rPr>
                                  <w:sz w:val="24"/>
                                </w:rPr>
                                <w:t>More information: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9B0F40" id="Group 13" o:spid="_x0000_s1027" style="position:absolute;margin-left:73.7pt;margin-top:14.2pt;width:442.3pt;height:78.4pt;z-index:-251651072;mso-wrap-distance-left:0;mso-wrap-distance-right:0;mso-position-horizontal-relative:page" coordorigin="1474,284" coordsize="8846,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">
                <v:rect id="Rectangle 26" o:spid="_x0000_s1028"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rect id="Rectangle 25" o:spid="_x0000_s1029"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24" o:spid="_x0000_s1030" style="position:absolute;visibility:visible;mso-wrap-style:square" from="1484,289" to="10310,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23" o:spid="_x0000_s1031"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rect id="Rectangle 22" o:spid="_x0000_s1032"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line id="Line 21" o:spid="_x0000_s1033" style="position:absolute;visibility:visible;mso-wrap-style:square" from="1479,294" to="1479,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v:line id="Line 20" o:spid="_x0000_s1034" style="position:absolute;visibility:visible;mso-wrap-style:square" from="1484,1847" to="10310,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" strokeweight=".16936mm"/>
                <v:line id="Line 19" o:spid="_x0000_s1035" style="position:absolute;visibility:visible;mso-wrap-style:square" from="10315,294" to="10315,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shape id="Text Box 18" o:spid="_x0000_s1036" type="#_x0000_t202" style="position:absolute;left:2306;top:1327;width:594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449B0F63" w14:textId="77777777" w:rsidR="004048B3" w:rsidRDefault="005E1141">
                        <w:pPr>
                          <w:spacing w:line="266" w:lineRule="exact"/>
                          <w:rPr>
                            <w:sz w:val="24"/>
                          </w:rPr>
                        </w:pPr>
                        <w:hyperlink r:id="rId38">
                          <w:r w:rsidR="004048B3">
                            <w:rPr>
                              <w:color w:val="0000FF"/>
                              <w:sz w:val="24"/>
                              <w:u w:val="single" w:color="0000FF"/>
                            </w:rPr>
                            <w:t>on the protection of personal data regime for this consultation</w:t>
                          </w:r>
                        </w:hyperlink>
                      </w:p>
                    </w:txbxContent>
                  </v:textbox>
                </v:shape>
                <v:shape id="Text Box 17" o:spid="_x0000_s1037" type="#_x0000_t202" style="position:absolute;left:1586;top:1327;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449B0F64" w14:textId="77777777" w:rsidR="004048B3" w:rsidRDefault="004048B3">
                        <w:pPr>
                          <w:spacing w:line="266" w:lineRule="exact"/>
                          <w:rPr>
                            <w:sz w:val="24"/>
                          </w:rPr>
                        </w:pPr>
                        <w:r>
                          <w:rPr>
                            <w:sz w:val="24"/>
                          </w:rPr>
                          <w:t>•</w:t>
                        </w:r>
                      </w:p>
                    </w:txbxContent>
                  </v:textbox>
                </v:shape>
                <v:shape id="Text Box 16" o:spid="_x0000_s1038" type="#_x0000_t202" style="position:absolute;left:2306;top:811;width:1901;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449B0F65" w14:textId="77777777" w:rsidR="004048B3" w:rsidRDefault="005E1141">
                        <w:pPr>
                          <w:spacing w:line="266" w:lineRule="exact"/>
                          <w:rPr>
                            <w:sz w:val="24"/>
                          </w:rPr>
                        </w:pPr>
                        <w:hyperlink r:id="rId39">
                          <w:r w:rsidR="004048B3">
                            <w:rPr>
                              <w:color w:val="0000FF"/>
                              <w:sz w:val="24"/>
                              <w:u w:val="single" w:color="0000FF"/>
                            </w:rPr>
                            <w:t>on this consultation</w:t>
                          </w:r>
                        </w:hyperlink>
                      </w:p>
                    </w:txbxContent>
                  </v:textbox>
                </v:shape>
                <v:shape id="Text Box 15" o:spid="_x0000_s1039" type="#_x0000_t202" style="position:absolute;left:1586;top:811;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49B0F66" w14:textId="77777777" w:rsidR="004048B3" w:rsidRDefault="004048B3">
                        <w:pPr>
                          <w:spacing w:line="266" w:lineRule="exact"/>
                          <w:rPr>
                            <w:sz w:val="24"/>
                          </w:rPr>
                        </w:pPr>
                        <w:r>
                          <w:rPr>
                            <w:sz w:val="24"/>
                          </w:rPr>
                          <w:t>•</w:t>
                        </w:r>
                      </w:p>
                    </w:txbxContent>
                  </v:textbox>
                </v:shape>
                <v:shape id="Text Box 14" o:spid="_x0000_s1040" type="#_x0000_t202" style="position:absolute;left:1586;top:295;width:179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449B0F67" w14:textId="77777777" w:rsidR="004048B3" w:rsidRDefault="004048B3">
                        <w:pPr>
                          <w:spacing w:line="266" w:lineRule="exact"/>
                          <w:rPr>
                            <w:sz w:val="24"/>
                          </w:rPr>
                        </w:pPr>
                        <w:r>
                          <w:rPr>
                            <w:sz w:val="24"/>
                          </w:rPr>
                          <w:t>More information:</w:t>
                        </w:r>
                      </w:p>
                    </w:txbxContent>
                  </v:textbox>
                </v:shape>
                <w10:wrap type="topAndBottom" anchorx="page"/>
              </v:group>
            </w:pict>
          </mc:Fallback>
        </mc:AlternateContent>
      </w:r>
    </w:p>
    <w:p w14:paraId="449B0D7F" w14:textId="77777777" w:rsidR="005D282E" w:rsidRPr="006C668C" w:rsidRDefault="005D282E">
      <w:pPr>
        <w:rPr>
          <w:sz w:val="21"/>
          <w:lang w:val="en-GB"/>
        </w:rPr>
        <w:sectPr w:rsidR="005D282E" w:rsidRPr="006C668C">
          <w:pgSz w:w="11910" w:h="16840"/>
          <w:pgMar w:top="920" w:right="1380" w:bottom="1240" w:left="1280" w:header="0" w:footer="1026" w:gutter="0"/>
          <w:cols w:space="720"/>
        </w:sectPr>
      </w:pPr>
    </w:p>
    <w:p w14:paraId="449B0D80" w14:textId="77777777" w:rsidR="005D282E" w:rsidRPr="006C668C" w:rsidRDefault="00E47DB2">
      <w:pPr>
        <w:spacing w:before="61"/>
        <w:ind w:left="1053" w:right="351"/>
        <w:jc w:val="center"/>
        <w:rPr>
          <w:b/>
          <w:i/>
          <w:lang w:val="en-GB"/>
        </w:rPr>
      </w:pPr>
      <w:bookmarkStart w:id="3" w:name="Table_of_contents"/>
      <w:bookmarkStart w:id="4" w:name="_bookmark1"/>
      <w:bookmarkEnd w:id="3"/>
      <w:bookmarkEnd w:id="4"/>
      <w:r w:rsidRPr="006C668C">
        <w:rPr>
          <w:b/>
          <w:i/>
          <w:sz w:val="28"/>
          <w:lang w:val="en-GB"/>
        </w:rPr>
        <w:lastRenderedPageBreak/>
        <w:t>T</w:t>
      </w:r>
      <w:r w:rsidRPr="006C668C">
        <w:rPr>
          <w:b/>
          <w:i/>
          <w:lang w:val="en-GB"/>
        </w:rPr>
        <w:t>ABLE OF CONTENTS</w:t>
      </w:r>
    </w:p>
    <w:p w14:paraId="449B0D81" w14:textId="77777777" w:rsidR="005D282E" w:rsidRPr="006C668C" w:rsidRDefault="005D282E">
      <w:pPr>
        <w:jc w:val="center"/>
        <w:rPr>
          <w:lang w:val="en-GB"/>
        </w:rPr>
        <w:sectPr w:rsidR="005D282E" w:rsidRPr="006C668C">
          <w:pgSz w:w="11910" w:h="16840"/>
          <w:pgMar w:top="940" w:right="1380" w:bottom="1742" w:left="1280" w:header="0" w:footer="1026" w:gutter="0"/>
          <w:cols w:space="720"/>
        </w:sectPr>
      </w:pPr>
    </w:p>
    <w:sdt>
      <w:sdtPr>
        <w:rPr>
          <w:lang w:val="en-GB"/>
        </w:rPr>
        <w:id w:val="-1767682321"/>
        <w:docPartObj>
          <w:docPartGallery w:val="Table of Contents"/>
          <w:docPartUnique/>
        </w:docPartObj>
      </w:sdtPr>
      <w:sdtEndPr/>
      <w:sdtContent>
        <w:p w14:paraId="449B0D82" w14:textId="77777777" w:rsidR="005D282E" w:rsidRPr="006C668C" w:rsidRDefault="00161DA6">
          <w:pPr>
            <w:pStyle w:val="TOC1"/>
            <w:tabs>
              <w:tab w:val="left" w:leader="dot" w:pos="8521"/>
            </w:tabs>
            <w:spacing w:before="352"/>
            <w:rPr>
              <w:lang w:val="en-GB"/>
            </w:rPr>
          </w:pPr>
          <w:hyperlink w:anchor="_bookmark0" w:history="1">
            <w:r w:rsidR="00E47DB2" w:rsidRPr="006C668C">
              <w:rPr>
                <w:lang w:val="en-GB"/>
              </w:rPr>
              <w:t>INTRODUCTION</w:t>
            </w:r>
            <w:r w:rsidR="00E47DB2" w:rsidRPr="006C668C">
              <w:rPr>
                <w:lang w:val="en-GB"/>
              </w:rPr>
              <w:tab/>
              <w:t>3</w:t>
            </w:r>
          </w:hyperlink>
        </w:p>
        <w:p w14:paraId="449B0D83" w14:textId="77777777" w:rsidR="005D282E" w:rsidRPr="006C668C" w:rsidRDefault="00161DA6">
          <w:pPr>
            <w:pStyle w:val="TOC2"/>
            <w:tabs>
              <w:tab w:val="left" w:leader="dot" w:pos="8521"/>
            </w:tabs>
            <w:rPr>
              <w:i w:val="0"/>
              <w:lang w:val="en-GB"/>
            </w:rPr>
          </w:pPr>
          <w:hyperlink w:anchor="_bookmark1" w:history="1">
            <w:r w:rsidR="00E47DB2" w:rsidRPr="006C668C">
              <w:rPr>
                <w:lang w:val="en-GB"/>
              </w:rPr>
              <w:t>TABLE</w:t>
            </w:r>
            <w:r w:rsidR="00E47DB2" w:rsidRPr="006C668C">
              <w:rPr>
                <w:spacing w:val="-1"/>
                <w:lang w:val="en-GB"/>
              </w:rPr>
              <w:t xml:space="preserve"> </w:t>
            </w:r>
            <w:r w:rsidR="00E47DB2" w:rsidRPr="006C668C">
              <w:rPr>
                <w:lang w:val="en-GB"/>
              </w:rPr>
              <w:t>OF CONTENTS</w:t>
            </w:r>
            <w:r w:rsidR="00E47DB2" w:rsidRPr="006C668C">
              <w:rPr>
                <w:lang w:val="en-GB"/>
              </w:rPr>
              <w:tab/>
            </w:r>
            <w:r w:rsidR="00E47DB2" w:rsidRPr="006C668C">
              <w:rPr>
                <w:i w:val="0"/>
                <w:lang w:val="en-GB"/>
              </w:rPr>
              <w:t>6</w:t>
            </w:r>
          </w:hyperlink>
        </w:p>
        <w:p w14:paraId="449B0D84" w14:textId="77777777" w:rsidR="005D282E" w:rsidRPr="006C668C" w:rsidRDefault="00161DA6">
          <w:pPr>
            <w:pStyle w:val="TOC3"/>
            <w:tabs>
              <w:tab w:val="left" w:pos="1571"/>
              <w:tab w:val="left" w:pos="2245"/>
              <w:tab w:val="left" w:pos="3741"/>
              <w:tab w:val="left" w:pos="4874"/>
              <w:tab w:val="left" w:pos="5601"/>
              <w:tab w:val="left" w:pos="6275"/>
              <w:tab w:val="left" w:pos="7697"/>
            </w:tabs>
            <w:ind w:right="1037"/>
            <w:rPr>
              <w:lang w:val="en-GB"/>
            </w:rPr>
          </w:pPr>
          <w:hyperlink w:anchor="_bookmark2" w:history="1">
            <w:r w:rsidR="00E47DB2" w:rsidRPr="006C668C">
              <w:rPr>
                <w:lang w:val="en-GB"/>
              </w:rPr>
              <w:t>SECTION I: QUESTIONS ADDRESSED TO ALL STAKEHOLDERS ON</w:t>
            </w:r>
          </w:hyperlink>
          <w:r w:rsidR="00E47DB2" w:rsidRPr="006C668C">
            <w:rPr>
              <w:lang w:val="en-GB"/>
            </w:rPr>
            <w:t xml:space="preserve"> </w:t>
          </w:r>
          <w:hyperlink w:anchor="_bookmark2" w:history="1">
            <w:r w:rsidR="00E47DB2" w:rsidRPr="006C668C">
              <w:rPr>
                <w:lang w:val="en-GB"/>
              </w:rPr>
              <w:t>HOW</w:t>
            </w:r>
            <w:r w:rsidR="00E47DB2" w:rsidRPr="006C668C">
              <w:rPr>
                <w:lang w:val="en-GB"/>
              </w:rPr>
              <w:tab/>
              <w:t>THE</w:t>
            </w:r>
            <w:r w:rsidR="00E47DB2" w:rsidRPr="006C668C">
              <w:rPr>
                <w:lang w:val="en-GB"/>
              </w:rPr>
              <w:tab/>
              <w:t>FINANCIAL</w:t>
            </w:r>
            <w:r w:rsidR="00E47DB2" w:rsidRPr="006C668C">
              <w:rPr>
                <w:lang w:val="en-GB"/>
              </w:rPr>
              <w:tab/>
              <w:t>SECTOR</w:t>
            </w:r>
            <w:r w:rsidR="00E47DB2" w:rsidRPr="006C668C">
              <w:rPr>
                <w:lang w:val="en-GB"/>
              </w:rPr>
              <w:tab/>
              <w:t>AND</w:t>
            </w:r>
            <w:r w:rsidR="00E47DB2" w:rsidRPr="006C668C">
              <w:rPr>
                <w:lang w:val="en-GB"/>
              </w:rPr>
              <w:tab/>
              <w:t>THE</w:t>
            </w:r>
            <w:r w:rsidR="00E47DB2" w:rsidRPr="006C668C">
              <w:rPr>
                <w:lang w:val="en-GB"/>
              </w:rPr>
              <w:tab/>
              <w:t>ECONOMY</w:t>
            </w:r>
            <w:r w:rsidR="00E47DB2" w:rsidRPr="006C668C">
              <w:rPr>
                <w:lang w:val="en-GB"/>
              </w:rPr>
              <w:tab/>
            </w:r>
            <w:r w:rsidR="00E47DB2" w:rsidRPr="006C668C">
              <w:rPr>
                <w:spacing w:val="-5"/>
                <w:lang w:val="en-GB"/>
              </w:rPr>
              <w:t>CAN</w:t>
            </w:r>
          </w:hyperlink>
        </w:p>
        <w:p w14:paraId="449B0D85" w14:textId="77777777" w:rsidR="005D282E" w:rsidRPr="006C668C" w:rsidRDefault="00161DA6">
          <w:pPr>
            <w:pStyle w:val="TOC1"/>
            <w:tabs>
              <w:tab w:val="left" w:leader="dot" w:pos="8039"/>
            </w:tabs>
            <w:spacing w:before="0"/>
            <w:rPr>
              <w:lang w:val="en-GB"/>
            </w:rPr>
          </w:pPr>
          <w:hyperlink w:anchor="_bookmark2" w:history="1">
            <w:r w:rsidR="00E47DB2" w:rsidRPr="006C668C">
              <w:rPr>
                <w:lang w:val="en-GB"/>
              </w:rPr>
              <w:t>BECOME</w:t>
            </w:r>
            <w:r w:rsidR="00E47DB2" w:rsidRPr="006C668C">
              <w:rPr>
                <w:spacing w:val="-2"/>
                <w:lang w:val="en-GB"/>
              </w:rPr>
              <w:t xml:space="preserve"> </w:t>
            </w:r>
            <w:r w:rsidR="00E47DB2" w:rsidRPr="006C668C">
              <w:rPr>
                <w:lang w:val="en-GB"/>
              </w:rPr>
              <w:t>MORE</w:t>
            </w:r>
            <w:r w:rsidR="00E47DB2" w:rsidRPr="006C668C">
              <w:rPr>
                <w:spacing w:val="-1"/>
                <w:lang w:val="en-GB"/>
              </w:rPr>
              <w:t xml:space="preserve"> </w:t>
            </w:r>
            <w:r w:rsidR="00E47DB2" w:rsidRPr="006C668C">
              <w:rPr>
                <w:lang w:val="en-GB"/>
              </w:rPr>
              <w:t>SUSTAINABLE</w:t>
            </w:r>
            <w:r w:rsidR="00E47DB2" w:rsidRPr="006C668C">
              <w:rPr>
                <w:lang w:val="en-GB"/>
              </w:rPr>
              <w:tab/>
              <w:t>8</w:t>
            </w:r>
          </w:hyperlink>
        </w:p>
        <w:p w14:paraId="449B0D86" w14:textId="77777777" w:rsidR="005D282E" w:rsidRPr="006C668C" w:rsidRDefault="00161DA6">
          <w:pPr>
            <w:pStyle w:val="TOC3"/>
            <w:tabs>
              <w:tab w:val="left" w:leader="dot" w:pos="8828"/>
            </w:tabs>
            <w:ind w:left="306" w:right="0" w:firstLine="0"/>
            <w:rPr>
              <w:lang w:val="en-GB"/>
            </w:rPr>
          </w:pPr>
          <w:hyperlink w:anchor="_bookmark3" w:history="1">
            <w:r w:rsidR="00E47DB2" w:rsidRPr="006C668C">
              <w:rPr>
                <w:lang w:val="en-GB"/>
              </w:rPr>
              <w:t>SECTION II: QUESTIONS TARGETED</w:t>
            </w:r>
            <w:r w:rsidR="00E47DB2" w:rsidRPr="006C668C">
              <w:rPr>
                <w:spacing w:val="-5"/>
                <w:lang w:val="en-GB"/>
              </w:rPr>
              <w:t xml:space="preserve"> </w:t>
            </w:r>
            <w:r w:rsidR="00E47DB2" w:rsidRPr="006C668C">
              <w:rPr>
                <w:lang w:val="en-GB"/>
              </w:rPr>
              <w:t>AT</w:t>
            </w:r>
            <w:r w:rsidR="00E47DB2" w:rsidRPr="006C668C">
              <w:rPr>
                <w:spacing w:val="-1"/>
                <w:lang w:val="en-GB"/>
              </w:rPr>
              <w:t xml:space="preserve"> </w:t>
            </w:r>
            <w:r w:rsidR="00E47DB2" w:rsidRPr="006C668C">
              <w:rPr>
                <w:lang w:val="en-GB"/>
              </w:rPr>
              <w:t>EXPERTS</w:t>
            </w:r>
            <w:r w:rsidR="00E47DB2" w:rsidRPr="006C668C">
              <w:rPr>
                <w:lang w:val="en-GB"/>
              </w:rPr>
              <w:tab/>
              <w:t>9</w:t>
            </w:r>
          </w:hyperlink>
        </w:p>
        <w:p w14:paraId="449B0D87" w14:textId="77777777" w:rsidR="005D282E" w:rsidRPr="006C668C" w:rsidRDefault="00161DA6">
          <w:pPr>
            <w:pStyle w:val="TOC3"/>
            <w:numPr>
              <w:ilvl w:val="0"/>
              <w:numId w:val="17"/>
            </w:numPr>
            <w:tabs>
              <w:tab w:val="left" w:pos="789"/>
              <w:tab w:val="left" w:pos="790"/>
              <w:tab w:val="left" w:leader="dot" w:pos="8708"/>
            </w:tabs>
            <w:rPr>
              <w:lang w:val="en-GB"/>
            </w:rPr>
          </w:pPr>
          <w:hyperlink w:anchor="_bookmark4" w:history="1">
            <w:r w:rsidR="00E47DB2" w:rsidRPr="006C668C">
              <w:rPr>
                <w:lang w:val="en-GB"/>
              </w:rPr>
              <w:t>STRENGTHENING   THE   FOUNDATIONS    FOR    SUSTAINABLE</w:t>
            </w:r>
          </w:hyperlink>
          <w:hyperlink w:anchor="_bookmark4" w:history="1">
            <w:r w:rsidR="00E47DB2" w:rsidRPr="006C668C">
              <w:rPr>
                <w:lang w:val="en-GB"/>
              </w:rPr>
              <w:t xml:space="preserve"> FINANCE</w:t>
            </w:r>
            <w:r w:rsidR="00E47DB2" w:rsidRPr="006C668C">
              <w:rPr>
                <w:lang w:val="en-GB"/>
              </w:rPr>
              <w:tab/>
            </w:r>
            <w:r w:rsidR="00E47DB2" w:rsidRPr="006C668C">
              <w:rPr>
                <w:spacing w:val="-9"/>
                <w:lang w:val="en-GB"/>
              </w:rPr>
              <w:t>10</w:t>
            </w:r>
          </w:hyperlink>
        </w:p>
        <w:p w14:paraId="449B0D88" w14:textId="77777777" w:rsidR="005D282E" w:rsidRPr="006C668C" w:rsidRDefault="00161DA6">
          <w:pPr>
            <w:pStyle w:val="TOC4"/>
            <w:numPr>
              <w:ilvl w:val="1"/>
              <w:numId w:val="17"/>
            </w:numPr>
            <w:tabs>
              <w:tab w:val="left" w:pos="1384"/>
              <w:tab w:val="left" w:pos="1385"/>
              <w:tab w:val="left" w:leader="dot" w:pos="8708"/>
            </w:tabs>
            <w:spacing w:before="181"/>
            <w:rPr>
              <w:lang w:val="en-GB"/>
            </w:rPr>
          </w:pPr>
          <w:hyperlink w:anchor="_bookmark5" w:history="1">
            <w:r w:rsidR="00E47DB2" w:rsidRPr="006C668C">
              <w:rPr>
                <w:lang w:val="en-GB"/>
              </w:rPr>
              <w:t>Company reporting</w:t>
            </w:r>
            <w:r w:rsidR="00E47DB2" w:rsidRPr="006C668C">
              <w:rPr>
                <w:spacing w:val="-5"/>
                <w:lang w:val="en-GB"/>
              </w:rPr>
              <w:t xml:space="preserve"> </w:t>
            </w:r>
            <w:r w:rsidR="00E47DB2" w:rsidRPr="006C668C">
              <w:rPr>
                <w:lang w:val="en-GB"/>
              </w:rPr>
              <w:t>and</w:t>
            </w:r>
            <w:r w:rsidR="00E47DB2" w:rsidRPr="006C668C">
              <w:rPr>
                <w:spacing w:val="1"/>
                <w:lang w:val="en-GB"/>
              </w:rPr>
              <w:t xml:space="preserve"> </w:t>
            </w:r>
            <w:r w:rsidR="00E47DB2" w:rsidRPr="006C668C">
              <w:rPr>
                <w:lang w:val="en-GB"/>
              </w:rPr>
              <w:t>transparency</w:t>
            </w:r>
            <w:r w:rsidR="00E47DB2" w:rsidRPr="006C668C">
              <w:rPr>
                <w:lang w:val="en-GB"/>
              </w:rPr>
              <w:tab/>
              <w:t>11</w:t>
            </w:r>
          </w:hyperlink>
        </w:p>
        <w:p w14:paraId="449B0D89"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6" w:history="1">
            <w:r w:rsidR="00E47DB2" w:rsidRPr="006C668C">
              <w:rPr>
                <w:lang w:val="en-GB"/>
              </w:rPr>
              <w:t>Accounting standards</w:t>
            </w:r>
            <w:r w:rsidR="00E47DB2" w:rsidRPr="006C668C">
              <w:rPr>
                <w:spacing w:val="-4"/>
                <w:lang w:val="en-GB"/>
              </w:rPr>
              <w:t xml:space="preserve"> </w:t>
            </w:r>
            <w:r w:rsidR="00E47DB2" w:rsidRPr="006C668C">
              <w:rPr>
                <w:lang w:val="en-GB"/>
              </w:rPr>
              <w:t>and</w:t>
            </w:r>
            <w:r w:rsidR="00E47DB2" w:rsidRPr="006C668C">
              <w:rPr>
                <w:spacing w:val="-1"/>
                <w:lang w:val="en-GB"/>
              </w:rPr>
              <w:t xml:space="preserve"> </w:t>
            </w:r>
            <w:r w:rsidR="00E47DB2" w:rsidRPr="006C668C">
              <w:rPr>
                <w:lang w:val="en-GB"/>
              </w:rPr>
              <w:t>rules</w:t>
            </w:r>
            <w:r w:rsidR="00E47DB2" w:rsidRPr="006C668C">
              <w:rPr>
                <w:lang w:val="en-GB"/>
              </w:rPr>
              <w:tab/>
              <w:t>12</w:t>
            </w:r>
          </w:hyperlink>
        </w:p>
        <w:p w14:paraId="449B0D8A"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7" w:history="1">
            <w:r w:rsidR="00E47DB2" w:rsidRPr="006C668C">
              <w:rPr>
                <w:lang w:val="en-GB"/>
              </w:rPr>
              <w:t>Sustainability research</w:t>
            </w:r>
            <w:r w:rsidR="00E47DB2" w:rsidRPr="006C668C">
              <w:rPr>
                <w:spacing w:val="-8"/>
                <w:lang w:val="en-GB"/>
              </w:rPr>
              <w:t xml:space="preserve"> </w:t>
            </w:r>
            <w:r w:rsidR="00E47DB2" w:rsidRPr="006C668C">
              <w:rPr>
                <w:lang w:val="en-GB"/>
              </w:rPr>
              <w:t>and</w:t>
            </w:r>
            <w:r w:rsidR="00E47DB2" w:rsidRPr="006C668C">
              <w:rPr>
                <w:spacing w:val="-1"/>
                <w:lang w:val="en-GB"/>
              </w:rPr>
              <w:t xml:space="preserve"> </w:t>
            </w:r>
            <w:r w:rsidR="00E47DB2" w:rsidRPr="006C668C">
              <w:rPr>
                <w:lang w:val="en-GB"/>
              </w:rPr>
              <w:t>ratings</w:t>
            </w:r>
            <w:r w:rsidR="00E47DB2" w:rsidRPr="006C668C">
              <w:rPr>
                <w:lang w:val="en-GB"/>
              </w:rPr>
              <w:tab/>
              <w:t>12</w:t>
            </w:r>
          </w:hyperlink>
        </w:p>
        <w:p w14:paraId="449B0D8B" w14:textId="77777777" w:rsidR="005D282E" w:rsidRPr="006C668C" w:rsidRDefault="00161DA6">
          <w:pPr>
            <w:pStyle w:val="TOC4"/>
            <w:numPr>
              <w:ilvl w:val="1"/>
              <w:numId w:val="17"/>
            </w:numPr>
            <w:tabs>
              <w:tab w:val="left" w:pos="1384"/>
              <w:tab w:val="left" w:pos="1385"/>
              <w:tab w:val="left" w:leader="dot" w:pos="8708"/>
            </w:tabs>
            <w:ind w:right="296"/>
            <w:rPr>
              <w:lang w:val="en-GB"/>
            </w:rPr>
          </w:pPr>
          <w:hyperlink w:anchor="_bookmark8" w:history="1">
            <w:r w:rsidR="00E47DB2" w:rsidRPr="006C668C">
              <w:rPr>
                <w:lang w:val="en-GB"/>
              </w:rPr>
              <w:t>Definitions, standards and labels for sustainable  financial  assets  and</w:t>
            </w:r>
          </w:hyperlink>
          <w:hyperlink w:anchor="_bookmark8" w:history="1">
            <w:r w:rsidR="00E47DB2" w:rsidRPr="006C668C">
              <w:rPr>
                <w:lang w:val="en-GB"/>
              </w:rPr>
              <w:t xml:space="preserve"> financial</w:t>
            </w:r>
            <w:r w:rsidR="00E47DB2" w:rsidRPr="006C668C">
              <w:rPr>
                <w:spacing w:val="-1"/>
                <w:lang w:val="en-GB"/>
              </w:rPr>
              <w:t xml:space="preserve"> </w:t>
            </w:r>
            <w:r w:rsidR="00E47DB2" w:rsidRPr="006C668C">
              <w:rPr>
                <w:lang w:val="en-GB"/>
              </w:rPr>
              <w:t>products</w:t>
            </w:r>
            <w:r w:rsidR="00E47DB2" w:rsidRPr="006C668C">
              <w:rPr>
                <w:lang w:val="en-GB"/>
              </w:rPr>
              <w:tab/>
            </w:r>
            <w:r w:rsidR="00E47DB2" w:rsidRPr="006C668C">
              <w:rPr>
                <w:spacing w:val="-9"/>
                <w:lang w:val="en-GB"/>
              </w:rPr>
              <w:t>13</w:t>
            </w:r>
          </w:hyperlink>
        </w:p>
        <w:p w14:paraId="449B0D8C" w14:textId="77777777" w:rsidR="005D282E" w:rsidRPr="006C668C" w:rsidRDefault="00161DA6">
          <w:pPr>
            <w:pStyle w:val="TOC1"/>
            <w:tabs>
              <w:tab w:val="left" w:leader="dot" w:pos="7323"/>
            </w:tabs>
            <w:rPr>
              <w:lang w:val="en-GB"/>
            </w:rPr>
          </w:pPr>
          <w:hyperlink w:anchor="_bookmark9" w:history="1">
            <w:r w:rsidR="00E47DB2" w:rsidRPr="006C668C">
              <w:rPr>
                <w:lang w:val="en-GB"/>
              </w:rPr>
              <w:t>EU Green</w:t>
            </w:r>
            <w:r w:rsidR="00E47DB2" w:rsidRPr="006C668C">
              <w:rPr>
                <w:spacing w:val="-2"/>
                <w:lang w:val="en-GB"/>
              </w:rPr>
              <w:t xml:space="preserve"> </w:t>
            </w:r>
            <w:r w:rsidR="00E47DB2" w:rsidRPr="006C668C">
              <w:rPr>
                <w:lang w:val="en-GB"/>
              </w:rPr>
              <w:t>Bond</w:t>
            </w:r>
            <w:r w:rsidR="00E47DB2" w:rsidRPr="006C668C">
              <w:rPr>
                <w:spacing w:val="-1"/>
                <w:lang w:val="en-GB"/>
              </w:rPr>
              <w:t xml:space="preserve"> </w:t>
            </w:r>
            <w:r w:rsidR="00E47DB2" w:rsidRPr="006C668C">
              <w:rPr>
                <w:lang w:val="en-GB"/>
              </w:rPr>
              <w:t>Standard</w:t>
            </w:r>
            <w:r w:rsidR="00E47DB2" w:rsidRPr="006C668C">
              <w:rPr>
                <w:lang w:val="en-GB"/>
              </w:rPr>
              <w:tab/>
              <w:t>14</w:t>
            </w:r>
          </w:hyperlink>
        </w:p>
        <w:p w14:paraId="449B0D8D" w14:textId="77777777" w:rsidR="005D282E" w:rsidRPr="006C668C" w:rsidRDefault="00161DA6">
          <w:pPr>
            <w:pStyle w:val="TOC1"/>
            <w:tabs>
              <w:tab w:val="left" w:leader="dot" w:pos="7323"/>
            </w:tabs>
            <w:rPr>
              <w:lang w:val="en-GB"/>
            </w:rPr>
          </w:pPr>
          <w:hyperlink w:anchor="_bookmark10" w:history="1">
            <w:r w:rsidR="00E47DB2" w:rsidRPr="006C668C">
              <w:rPr>
                <w:lang w:val="en-GB"/>
              </w:rPr>
              <w:t>Prospectus and green</w:t>
            </w:r>
            <w:r w:rsidR="00E47DB2" w:rsidRPr="006C668C">
              <w:rPr>
                <w:spacing w:val="-1"/>
                <w:lang w:val="en-GB"/>
              </w:rPr>
              <w:t xml:space="preserve"> </w:t>
            </w:r>
            <w:r w:rsidR="00E47DB2" w:rsidRPr="006C668C">
              <w:rPr>
                <w:lang w:val="en-GB"/>
              </w:rPr>
              <w:t>bonds</w:t>
            </w:r>
            <w:r w:rsidR="00E47DB2" w:rsidRPr="006C668C">
              <w:rPr>
                <w:lang w:val="en-GB"/>
              </w:rPr>
              <w:tab/>
              <w:t>15</w:t>
            </w:r>
          </w:hyperlink>
        </w:p>
        <w:p w14:paraId="449B0D8E" w14:textId="77777777" w:rsidR="005D282E" w:rsidRPr="006C668C" w:rsidRDefault="00161DA6">
          <w:pPr>
            <w:pStyle w:val="TOC1"/>
            <w:tabs>
              <w:tab w:val="left" w:leader="dot" w:pos="7323"/>
            </w:tabs>
            <w:rPr>
              <w:lang w:val="en-GB"/>
            </w:rPr>
          </w:pPr>
          <w:hyperlink w:anchor="_bookmark11" w:history="1">
            <w:r w:rsidR="00E47DB2" w:rsidRPr="006C668C">
              <w:rPr>
                <w:lang w:val="en-GB"/>
              </w:rPr>
              <w:t>Other standards</w:t>
            </w:r>
            <w:r w:rsidR="00E47DB2" w:rsidRPr="006C668C">
              <w:rPr>
                <w:spacing w:val="-2"/>
                <w:lang w:val="en-GB"/>
              </w:rPr>
              <w:t xml:space="preserve"> </w:t>
            </w:r>
            <w:r w:rsidR="00E47DB2" w:rsidRPr="006C668C">
              <w:rPr>
                <w:lang w:val="en-GB"/>
              </w:rPr>
              <w:t>and labels</w:t>
            </w:r>
            <w:r w:rsidR="00E47DB2" w:rsidRPr="006C668C">
              <w:rPr>
                <w:lang w:val="en-GB"/>
              </w:rPr>
              <w:tab/>
              <w:t>15</w:t>
            </w:r>
          </w:hyperlink>
        </w:p>
        <w:p w14:paraId="449B0D8F" w14:textId="77777777" w:rsidR="005D282E" w:rsidRPr="006C668C" w:rsidRDefault="00161DA6">
          <w:pPr>
            <w:pStyle w:val="TOC1"/>
            <w:numPr>
              <w:ilvl w:val="1"/>
              <w:numId w:val="17"/>
            </w:numPr>
            <w:tabs>
              <w:tab w:val="left" w:pos="595"/>
              <w:tab w:val="left" w:pos="1385"/>
              <w:tab w:val="left" w:leader="dot" w:pos="7919"/>
            </w:tabs>
            <w:spacing w:before="121"/>
            <w:ind w:hanging="1385"/>
            <w:rPr>
              <w:lang w:val="en-GB"/>
            </w:rPr>
          </w:pPr>
          <w:hyperlink w:anchor="_bookmark12" w:history="1">
            <w:r w:rsidR="00E47DB2" w:rsidRPr="006C668C">
              <w:rPr>
                <w:lang w:val="en-GB"/>
              </w:rPr>
              <w:t>Capital</w:t>
            </w:r>
            <w:r w:rsidR="00E47DB2" w:rsidRPr="006C668C">
              <w:rPr>
                <w:spacing w:val="-1"/>
                <w:lang w:val="en-GB"/>
              </w:rPr>
              <w:t xml:space="preserve"> </w:t>
            </w:r>
            <w:r w:rsidR="00E47DB2" w:rsidRPr="006C668C">
              <w:rPr>
                <w:lang w:val="en-GB"/>
              </w:rPr>
              <w:t>markets</w:t>
            </w:r>
            <w:r w:rsidR="00E47DB2" w:rsidRPr="006C668C">
              <w:rPr>
                <w:spacing w:val="-2"/>
                <w:lang w:val="en-GB"/>
              </w:rPr>
              <w:t xml:space="preserve"> </w:t>
            </w:r>
            <w:r w:rsidR="00E47DB2" w:rsidRPr="006C668C">
              <w:rPr>
                <w:lang w:val="en-GB"/>
              </w:rPr>
              <w:t>infrastructure</w:t>
            </w:r>
            <w:r w:rsidR="00E47DB2" w:rsidRPr="006C668C">
              <w:rPr>
                <w:lang w:val="en-GB"/>
              </w:rPr>
              <w:tab/>
              <w:t>17</w:t>
            </w:r>
          </w:hyperlink>
        </w:p>
        <w:p w14:paraId="449B0D90" w14:textId="77777777" w:rsidR="005D282E" w:rsidRPr="006C668C" w:rsidRDefault="00161DA6">
          <w:pPr>
            <w:pStyle w:val="TOC1"/>
            <w:numPr>
              <w:ilvl w:val="1"/>
              <w:numId w:val="17"/>
            </w:numPr>
            <w:tabs>
              <w:tab w:val="left" w:pos="595"/>
              <w:tab w:val="left" w:pos="1385"/>
              <w:tab w:val="left" w:leader="dot" w:pos="7919"/>
            </w:tabs>
            <w:ind w:hanging="1385"/>
            <w:rPr>
              <w:lang w:val="en-GB"/>
            </w:rPr>
          </w:pPr>
          <w:hyperlink w:anchor="_bookmark13" w:history="1">
            <w:r w:rsidR="00E47DB2" w:rsidRPr="006C668C">
              <w:rPr>
                <w:lang w:val="en-GB"/>
              </w:rPr>
              <w:t>Corporate governance, long-termism and</w:t>
            </w:r>
            <w:r w:rsidR="00E47DB2" w:rsidRPr="006C668C">
              <w:rPr>
                <w:spacing w:val="-6"/>
                <w:lang w:val="en-GB"/>
              </w:rPr>
              <w:t xml:space="preserve"> </w:t>
            </w:r>
            <w:r w:rsidR="00E47DB2" w:rsidRPr="006C668C">
              <w:rPr>
                <w:lang w:val="en-GB"/>
              </w:rPr>
              <w:t>investor engagement</w:t>
            </w:r>
            <w:r w:rsidR="00E47DB2" w:rsidRPr="006C668C">
              <w:rPr>
                <w:lang w:val="en-GB"/>
              </w:rPr>
              <w:tab/>
              <w:t>17</w:t>
            </w:r>
          </w:hyperlink>
        </w:p>
        <w:p w14:paraId="449B0D91" w14:textId="77777777" w:rsidR="005D282E" w:rsidRPr="006C668C" w:rsidRDefault="00161DA6">
          <w:pPr>
            <w:pStyle w:val="TOC3"/>
            <w:numPr>
              <w:ilvl w:val="0"/>
              <w:numId w:val="17"/>
            </w:numPr>
            <w:tabs>
              <w:tab w:val="left" w:pos="789"/>
              <w:tab w:val="left" w:pos="790"/>
              <w:tab w:val="left" w:pos="2544"/>
              <w:tab w:val="left" w:leader="dot" w:pos="8708"/>
            </w:tabs>
            <w:spacing w:before="180"/>
            <w:rPr>
              <w:lang w:val="en-GB"/>
            </w:rPr>
          </w:pPr>
          <w:hyperlink w:anchor="_bookmark14" w:history="1">
            <w:r w:rsidR="00E47DB2" w:rsidRPr="006C668C">
              <w:rPr>
                <w:lang w:val="en-GB"/>
              </w:rPr>
              <w:t>INCREASING</w:t>
            </w:r>
            <w:r w:rsidR="00E47DB2" w:rsidRPr="006C668C">
              <w:rPr>
                <w:lang w:val="en-GB"/>
              </w:rPr>
              <w:tab/>
              <w:t>OPPORTUNITIES FOR CITIZENS, FINANCIAL</w:t>
            </w:r>
          </w:hyperlink>
          <w:hyperlink w:anchor="_bookmark14" w:history="1">
            <w:r w:rsidR="00E47DB2" w:rsidRPr="006C668C">
              <w:rPr>
                <w:lang w:val="en-GB"/>
              </w:rPr>
              <w:t xml:space="preserve"> INSTITUTIONS   AND    CORPORATES    TO    ENHANCE</w:t>
            </w:r>
          </w:hyperlink>
          <w:r w:rsidR="00E47DB2" w:rsidRPr="006C668C">
            <w:rPr>
              <w:lang w:val="en-GB"/>
            </w:rPr>
            <w:t xml:space="preserve"> </w:t>
          </w:r>
          <w:hyperlink w:anchor="_bookmark14" w:history="1">
            <w:r w:rsidR="00E47DB2" w:rsidRPr="006C668C">
              <w:rPr>
                <w:lang w:val="en-GB"/>
              </w:rPr>
              <w:t xml:space="preserve"> SUSTAINABILITY</w:t>
            </w:r>
            <w:r w:rsidR="00E47DB2" w:rsidRPr="006C668C">
              <w:rPr>
                <w:lang w:val="en-GB"/>
              </w:rPr>
              <w:tab/>
            </w:r>
            <w:r w:rsidR="00E47DB2" w:rsidRPr="006C668C">
              <w:rPr>
                <w:spacing w:val="-9"/>
                <w:lang w:val="en-GB"/>
              </w:rPr>
              <w:t>20</w:t>
            </w:r>
          </w:hyperlink>
        </w:p>
        <w:p w14:paraId="449B0D92" w14:textId="77777777" w:rsidR="005D282E" w:rsidRPr="006C668C" w:rsidRDefault="00161DA6">
          <w:pPr>
            <w:pStyle w:val="TOC4"/>
            <w:numPr>
              <w:ilvl w:val="1"/>
              <w:numId w:val="17"/>
            </w:numPr>
            <w:tabs>
              <w:tab w:val="left" w:pos="1384"/>
              <w:tab w:val="left" w:pos="1385"/>
              <w:tab w:val="left" w:leader="dot" w:pos="8708"/>
            </w:tabs>
            <w:spacing w:before="180"/>
            <w:rPr>
              <w:lang w:val="en-GB"/>
            </w:rPr>
          </w:pPr>
          <w:hyperlink w:anchor="_bookmark15" w:history="1">
            <w:r w:rsidR="00E47DB2" w:rsidRPr="006C668C">
              <w:rPr>
                <w:lang w:val="en-GB"/>
              </w:rPr>
              <w:t>Mobilising retail investors</w:t>
            </w:r>
            <w:r w:rsidR="00E47DB2" w:rsidRPr="006C668C">
              <w:rPr>
                <w:spacing w:val="-3"/>
                <w:lang w:val="en-GB"/>
              </w:rPr>
              <w:t xml:space="preserve"> </w:t>
            </w:r>
            <w:r w:rsidR="00E47DB2" w:rsidRPr="006C668C">
              <w:rPr>
                <w:lang w:val="en-GB"/>
              </w:rPr>
              <w:t>and</w:t>
            </w:r>
            <w:r w:rsidR="00E47DB2" w:rsidRPr="006C668C">
              <w:rPr>
                <w:spacing w:val="-2"/>
                <w:lang w:val="en-GB"/>
              </w:rPr>
              <w:t xml:space="preserve"> </w:t>
            </w:r>
            <w:r w:rsidR="00E47DB2" w:rsidRPr="006C668C">
              <w:rPr>
                <w:lang w:val="en-GB"/>
              </w:rPr>
              <w:t>citizens</w:t>
            </w:r>
            <w:r w:rsidR="00E47DB2" w:rsidRPr="006C668C">
              <w:rPr>
                <w:lang w:val="en-GB"/>
              </w:rPr>
              <w:tab/>
              <w:t>20</w:t>
            </w:r>
          </w:hyperlink>
        </w:p>
        <w:p w14:paraId="449B0D93" w14:textId="77777777" w:rsidR="005D282E" w:rsidRPr="006C668C" w:rsidRDefault="00161DA6">
          <w:pPr>
            <w:pStyle w:val="TOC4"/>
            <w:numPr>
              <w:ilvl w:val="1"/>
              <w:numId w:val="17"/>
            </w:numPr>
            <w:tabs>
              <w:tab w:val="left" w:pos="1384"/>
              <w:tab w:val="left" w:pos="1385"/>
              <w:tab w:val="left" w:pos="2213"/>
              <w:tab w:val="left" w:leader="dot" w:pos="8708"/>
            </w:tabs>
            <w:ind w:right="296"/>
            <w:rPr>
              <w:lang w:val="en-GB"/>
            </w:rPr>
          </w:pPr>
          <w:hyperlink w:anchor="_bookmark16" w:history="1">
            <w:r w:rsidR="00E47DB2" w:rsidRPr="006C668C">
              <w:rPr>
                <w:lang w:val="en-GB"/>
              </w:rPr>
              <w:t>Better</w:t>
            </w:r>
            <w:r w:rsidR="00E47DB2" w:rsidRPr="006C668C">
              <w:rPr>
                <w:lang w:val="en-GB"/>
              </w:rPr>
              <w:tab/>
              <w:t>understanding  the  impact  of   sustainable   finance   on</w:t>
            </w:r>
          </w:hyperlink>
          <w:hyperlink w:anchor="_bookmark16" w:history="1">
            <w:r w:rsidR="00E47DB2" w:rsidRPr="006C668C">
              <w:rPr>
                <w:lang w:val="en-GB"/>
              </w:rPr>
              <w:t xml:space="preserve"> sustainability</w:t>
            </w:r>
            <w:r w:rsidR="00E47DB2" w:rsidRPr="006C668C">
              <w:rPr>
                <w:spacing w:val="-7"/>
                <w:lang w:val="en-GB"/>
              </w:rPr>
              <w:t xml:space="preserve"> </w:t>
            </w:r>
            <w:r w:rsidR="00E47DB2" w:rsidRPr="006C668C">
              <w:rPr>
                <w:lang w:val="en-GB"/>
              </w:rPr>
              <w:t>factors</w:t>
            </w:r>
            <w:r w:rsidR="00E47DB2" w:rsidRPr="006C668C">
              <w:rPr>
                <w:lang w:val="en-GB"/>
              </w:rPr>
              <w:tab/>
            </w:r>
            <w:r w:rsidR="00E47DB2" w:rsidRPr="006C668C">
              <w:rPr>
                <w:spacing w:val="-9"/>
                <w:lang w:val="en-GB"/>
              </w:rPr>
              <w:t>21</w:t>
            </w:r>
          </w:hyperlink>
        </w:p>
        <w:p w14:paraId="449B0D94"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17" w:history="1">
            <w:r w:rsidR="00E47DB2" w:rsidRPr="006C668C">
              <w:rPr>
                <w:lang w:val="en-GB"/>
              </w:rPr>
              <w:t>Green</w:t>
            </w:r>
            <w:r w:rsidR="00E47DB2" w:rsidRPr="006C668C">
              <w:rPr>
                <w:spacing w:val="-2"/>
                <w:lang w:val="en-GB"/>
              </w:rPr>
              <w:t xml:space="preserve"> </w:t>
            </w:r>
            <w:r w:rsidR="00E47DB2" w:rsidRPr="006C668C">
              <w:rPr>
                <w:lang w:val="en-GB"/>
              </w:rPr>
              <w:t>securitisation</w:t>
            </w:r>
            <w:r w:rsidR="00E47DB2" w:rsidRPr="006C668C">
              <w:rPr>
                <w:lang w:val="en-GB"/>
              </w:rPr>
              <w:tab/>
              <w:t>22</w:t>
            </w:r>
          </w:hyperlink>
        </w:p>
        <w:p w14:paraId="449B0D95"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18" w:history="1">
            <w:r w:rsidR="00E47DB2" w:rsidRPr="006C668C">
              <w:rPr>
                <w:lang w:val="en-GB"/>
              </w:rPr>
              <w:t>Digital</w:t>
            </w:r>
            <w:r w:rsidR="00E47DB2" w:rsidRPr="006C668C">
              <w:rPr>
                <w:spacing w:val="-2"/>
                <w:lang w:val="en-GB"/>
              </w:rPr>
              <w:t xml:space="preserve"> </w:t>
            </w:r>
            <w:r w:rsidR="00E47DB2" w:rsidRPr="006C668C">
              <w:rPr>
                <w:lang w:val="en-GB"/>
              </w:rPr>
              <w:t>sustainable</w:t>
            </w:r>
            <w:r w:rsidR="00E47DB2" w:rsidRPr="006C668C">
              <w:rPr>
                <w:spacing w:val="-1"/>
                <w:lang w:val="en-GB"/>
              </w:rPr>
              <w:t xml:space="preserve"> </w:t>
            </w:r>
            <w:r w:rsidR="00E47DB2" w:rsidRPr="006C668C">
              <w:rPr>
                <w:lang w:val="en-GB"/>
              </w:rPr>
              <w:t>finance</w:t>
            </w:r>
            <w:r w:rsidR="00E47DB2" w:rsidRPr="006C668C">
              <w:rPr>
                <w:lang w:val="en-GB"/>
              </w:rPr>
              <w:tab/>
              <w:t>22</w:t>
            </w:r>
          </w:hyperlink>
        </w:p>
        <w:p w14:paraId="449B0D96" w14:textId="77777777" w:rsidR="005D282E" w:rsidRPr="006C668C" w:rsidRDefault="00161DA6">
          <w:pPr>
            <w:pStyle w:val="TOC4"/>
            <w:tabs>
              <w:tab w:val="left" w:pos="1384"/>
              <w:tab w:val="left" w:leader="dot" w:pos="8708"/>
            </w:tabs>
            <w:ind w:left="789" w:firstLine="0"/>
            <w:rPr>
              <w:lang w:val="en-GB"/>
            </w:rPr>
          </w:pPr>
          <w:hyperlink w:anchor="_bookmark19" w:history="1">
            <w:r w:rsidR="00E47DB2" w:rsidRPr="006C668C">
              <w:rPr>
                <w:lang w:val="en-GB"/>
              </w:rPr>
              <w:t>1.1.</w:t>
            </w:r>
            <w:r w:rsidR="00E47DB2" w:rsidRPr="006C668C">
              <w:rPr>
                <w:lang w:val="en-GB"/>
              </w:rPr>
              <w:tab/>
              <w:t>Project</w:t>
            </w:r>
            <w:r w:rsidR="00E47DB2" w:rsidRPr="006C668C">
              <w:rPr>
                <w:spacing w:val="-1"/>
                <w:lang w:val="en-GB"/>
              </w:rPr>
              <w:t xml:space="preserve"> </w:t>
            </w:r>
            <w:r w:rsidR="00E47DB2" w:rsidRPr="006C668C">
              <w:rPr>
                <w:lang w:val="en-GB"/>
              </w:rPr>
              <w:t>Pipeline</w:t>
            </w:r>
            <w:r w:rsidR="00E47DB2" w:rsidRPr="006C668C">
              <w:rPr>
                <w:lang w:val="en-GB"/>
              </w:rPr>
              <w:tab/>
              <w:t>23</w:t>
            </w:r>
          </w:hyperlink>
        </w:p>
        <w:p w14:paraId="449B0D97"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20" w:history="1">
            <w:r w:rsidR="00E47DB2" w:rsidRPr="006C668C">
              <w:rPr>
                <w:lang w:val="en-GB"/>
              </w:rPr>
              <w:t>Incentives to scale up</w:t>
            </w:r>
            <w:r w:rsidR="00E47DB2" w:rsidRPr="006C668C">
              <w:rPr>
                <w:spacing w:val="-5"/>
                <w:lang w:val="en-GB"/>
              </w:rPr>
              <w:t xml:space="preserve"> </w:t>
            </w:r>
            <w:r w:rsidR="00E47DB2" w:rsidRPr="006C668C">
              <w:rPr>
                <w:lang w:val="en-GB"/>
              </w:rPr>
              <w:t>sustainable</w:t>
            </w:r>
            <w:r w:rsidR="00E47DB2" w:rsidRPr="006C668C">
              <w:rPr>
                <w:spacing w:val="-2"/>
                <w:lang w:val="en-GB"/>
              </w:rPr>
              <w:t xml:space="preserve"> </w:t>
            </w:r>
            <w:r w:rsidR="00E47DB2" w:rsidRPr="006C668C">
              <w:rPr>
                <w:lang w:val="en-GB"/>
              </w:rPr>
              <w:t>investments</w:t>
            </w:r>
            <w:r w:rsidR="00E47DB2" w:rsidRPr="006C668C">
              <w:rPr>
                <w:lang w:val="en-GB"/>
              </w:rPr>
              <w:tab/>
              <w:t>25</w:t>
            </w:r>
          </w:hyperlink>
        </w:p>
        <w:p w14:paraId="449B0D98" w14:textId="77777777" w:rsidR="005D282E" w:rsidRPr="006C668C" w:rsidRDefault="00161DA6">
          <w:pPr>
            <w:pStyle w:val="TOC4"/>
            <w:numPr>
              <w:ilvl w:val="1"/>
              <w:numId w:val="17"/>
            </w:numPr>
            <w:tabs>
              <w:tab w:val="left" w:pos="1384"/>
              <w:tab w:val="left" w:pos="1385"/>
              <w:tab w:val="left" w:leader="dot" w:pos="8708"/>
            </w:tabs>
            <w:spacing w:before="121"/>
            <w:ind w:right="296"/>
            <w:rPr>
              <w:lang w:val="en-GB"/>
            </w:rPr>
          </w:pPr>
          <w:hyperlink w:anchor="_bookmark21" w:history="1">
            <w:r w:rsidR="00E47DB2" w:rsidRPr="006C668C">
              <w:rPr>
                <w:lang w:val="en-GB"/>
              </w:rPr>
              <w:t>The  use  of  sustainable  finance  tools  and  frameworks  by  public</w:t>
            </w:r>
          </w:hyperlink>
          <w:hyperlink w:anchor="_bookmark21" w:history="1">
            <w:r w:rsidR="00E47DB2" w:rsidRPr="006C668C">
              <w:rPr>
                <w:lang w:val="en-GB"/>
              </w:rPr>
              <w:t xml:space="preserve"> authorities</w:t>
            </w:r>
            <w:r w:rsidR="00E47DB2" w:rsidRPr="006C668C">
              <w:rPr>
                <w:lang w:val="en-GB"/>
              </w:rPr>
              <w:tab/>
            </w:r>
            <w:r w:rsidR="00E47DB2" w:rsidRPr="006C668C">
              <w:rPr>
                <w:spacing w:val="-9"/>
                <w:lang w:val="en-GB"/>
              </w:rPr>
              <w:t>26</w:t>
            </w:r>
          </w:hyperlink>
        </w:p>
        <w:p w14:paraId="449B0D99"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22" w:history="1">
            <w:r w:rsidR="00E47DB2" w:rsidRPr="006C668C">
              <w:rPr>
                <w:lang w:val="en-GB"/>
              </w:rPr>
              <w:t>Promoting intra-EU cross-border</w:t>
            </w:r>
            <w:r w:rsidR="00E47DB2" w:rsidRPr="006C668C">
              <w:rPr>
                <w:spacing w:val="-5"/>
                <w:lang w:val="en-GB"/>
              </w:rPr>
              <w:t xml:space="preserve"> </w:t>
            </w:r>
            <w:r w:rsidR="00E47DB2" w:rsidRPr="006C668C">
              <w:rPr>
                <w:lang w:val="en-GB"/>
              </w:rPr>
              <w:t>sustainable</w:t>
            </w:r>
            <w:r w:rsidR="00E47DB2" w:rsidRPr="006C668C">
              <w:rPr>
                <w:spacing w:val="-2"/>
                <w:lang w:val="en-GB"/>
              </w:rPr>
              <w:t xml:space="preserve"> </w:t>
            </w:r>
            <w:r w:rsidR="00E47DB2" w:rsidRPr="006C668C">
              <w:rPr>
                <w:lang w:val="en-GB"/>
              </w:rPr>
              <w:t>investments</w:t>
            </w:r>
            <w:r w:rsidR="00E47DB2" w:rsidRPr="006C668C">
              <w:rPr>
                <w:lang w:val="en-GB"/>
              </w:rPr>
              <w:tab/>
              <w:t>27</w:t>
            </w:r>
          </w:hyperlink>
        </w:p>
        <w:p w14:paraId="449B0D9A"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23" w:history="1">
            <w:r w:rsidR="00E47DB2" w:rsidRPr="006C668C">
              <w:rPr>
                <w:lang w:val="en-GB"/>
              </w:rPr>
              <w:t>EU Investment</w:t>
            </w:r>
            <w:r w:rsidR="00E47DB2" w:rsidRPr="006C668C">
              <w:rPr>
                <w:spacing w:val="-4"/>
                <w:lang w:val="en-GB"/>
              </w:rPr>
              <w:t xml:space="preserve"> </w:t>
            </w:r>
            <w:r w:rsidR="00E47DB2" w:rsidRPr="006C668C">
              <w:rPr>
                <w:lang w:val="en-GB"/>
              </w:rPr>
              <w:t>Protection</w:t>
            </w:r>
            <w:r w:rsidR="00E47DB2" w:rsidRPr="006C668C">
              <w:rPr>
                <w:spacing w:val="-2"/>
                <w:lang w:val="en-GB"/>
              </w:rPr>
              <w:t xml:space="preserve"> </w:t>
            </w:r>
            <w:r w:rsidR="00E47DB2" w:rsidRPr="006C668C">
              <w:rPr>
                <w:lang w:val="en-GB"/>
              </w:rPr>
              <w:t>Framework</w:t>
            </w:r>
            <w:r w:rsidR="00E47DB2" w:rsidRPr="006C668C">
              <w:rPr>
                <w:lang w:val="en-GB"/>
              </w:rPr>
              <w:tab/>
              <w:t>28</w:t>
            </w:r>
          </w:hyperlink>
        </w:p>
        <w:p w14:paraId="449B0D9B" w14:textId="77777777" w:rsidR="005D282E" w:rsidRPr="006C668C" w:rsidRDefault="00161DA6">
          <w:pPr>
            <w:pStyle w:val="TOC4"/>
            <w:numPr>
              <w:ilvl w:val="1"/>
              <w:numId w:val="17"/>
            </w:numPr>
            <w:tabs>
              <w:tab w:val="left" w:pos="1384"/>
              <w:tab w:val="left" w:pos="1385"/>
              <w:tab w:val="left" w:leader="dot" w:pos="8708"/>
            </w:tabs>
            <w:rPr>
              <w:lang w:val="en-GB"/>
            </w:rPr>
          </w:pPr>
          <w:hyperlink w:anchor="_bookmark24" w:history="1">
            <w:r w:rsidR="00E47DB2" w:rsidRPr="006C668C">
              <w:rPr>
                <w:lang w:val="en-GB"/>
              </w:rPr>
              <w:t>Promoting sustainable</w:t>
            </w:r>
            <w:r w:rsidR="00E47DB2" w:rsidRPr="006C668C">
              <w:rPr>
                <w:spacing w:val="-5"/>
                <w:lang w:val="en-GB"/>
              </w:rPr>
              <w:t xml:space="preserve"> </w:t>
            </w:r>
            <w:r w:rsidR="00E47DB2" w:rsidRPr="006C668C">
              <w:rPr>
                <w:lang w:val="en-GB"/>
              </w:rPr>
              <w:t>finance</w:t>
            </w:r>
            <w:r w:rsidR="00E47DB2" w:rsidRPr="006C668C">
              <w:rPr>
                <w:spacing w:val="1"/>
                <w:lang w:val="en-GB"/>
              </w:rPr>
              <w:t xml:space="preserve"> </w:t>
            </w:r>
            <w:r w:rsidR="00E47DB2" w:rsidRPr="006C668C">
              <w:rPr>
                <w:lang w:val="en-GB"/>
              </w:rPr>
              <w:t>globally</w:t>
            </w:r>
            <w:r w:rsidR="00E47DB2" w:rsidRPr="006C668C">
              <w:rPr>
                <w:lang w:val="en-GB"/>
              </w:rPr>
              <w:tab/>
              <w:t>28</w:t>
            </w:r>
          </w:hyperlink>
        </w:p>
        <w:p w14:paraId="449B0D9C" w14:textId="77777777" w:rsidR="005D282E" w:rsidRPr="006C668C" w:rsidRDefault="00161DA6">
          <w:pPr>
            <w:pStyle w:val="TOC3"/>
            <w:numPr>
              <w:ilvl w:val="0"/>
              <w:numId w:val="17"/>
            </w:numPr>
            <w:tabs>
              <w:tab w:val="left" w:pos="789"/>
              <w:tab w:val="left" w:pos="790"/>
              <w:tab w:val="left" w:leader="dot" w:pos="8708"/>
            </w:tabs>
            <w:spacing w:before="180" w:after="20"/>
            <w:rPr>
              <w:lang w:val="en-GB"/>
            </w:rPr>
          </w:pPr>
          <w:hyperlink w:anchor="_bookmark25" w:history="1">
            <w:r w:rsidR="00E47DB2" w:rsidRPr="006C668C">
              <w:rPr>
                <w:lang w:val="en-GB"/>
              </w:rPr>
              <w:t>REDUCING  AND  MANAGING  CLIMATE   AND   ENVIRONMENTAL</w:t>
            </w:r>
          </w:hyperlink>
          <w:hyperlink w:anchor="_bookmark25" w:history="1">
            <w:r w:rsidR="00E47DB2" w:rsidRPr="006C668C">
              <w:rPr>
                <w:lang w:val="en-GB"/>
              </w:rPr>
              <w:t xml:space="preserve"> RISKS</w:t>
            </w:r>
            <w:r w:rsidR="00E47DB2" w:rsidRPr="006C668C">
              <w:rPr>
                <w:lang w:val="en-GB"/>
              </w:rPr>
              <w:tab/>
            </w:r>
            <w:r w:rsidR="00E47DB2" w:rsidRPr="006C668C">
              <w:rPr>
                <w:spacing w:val="-9"/>
                <w:lang w:val="en-GB"/>
              </w:rPr>
              <w:t>30</w:t>
            </w:r>
          </w:hyperlink>
        </w:p>
        <w:p w14:paraId="449B0D9D" w14:textId="77777777" w:rsidR="005D282E" w:rsidRPr="006C668C" w:rsidRDefault="00161DA6">
          <w:pPr>
            <w:pStyle w:val="TOC4"/>
            <w:numPr>
              <w:ilvl w:val="1"/>
              <w:numId w:val="17"/>
            </w:numPr>
            <w:tabs>
              <w:tab w:val="left" w:pos="1384"/>
              <w:tab w:val="left" w:pos="1385"/>
              <w:tab w:val="left" w:pos="2695"/>
              <w:tab w:val="left" w:pos="3902"/>
              <w:tab w:val="left" w:pos="4336"/>
              <w:tab w:val="left" w:pos="5341"/>
              <w:tab w:val="left" w:pos="6454"/>
              <w:tab w:val="right" w:leader="dot" w:pos="8948"/>
            </w:tabs>
            <w:spacing w:before="73"/>
            <w:ind w:right="296"/>
            <w:rPr>
              <w:lang w:val="en-GB"/>
            </w:rPr>
          </w:pPr>
          <w:hyperlink w:anchor="_bookmark26" w:history="1">
            <w:r w:rsidR="00E47DB2" w:rsidRPr="006C668C">
              <w:rPr>
                <w:lang w:val="en-GB"/>
              </w:rPr>
              <w:t>Identifying</w:t>
            </w:r>
            <w:r w:rsidR="00E47DB2" w:rsidRPr="006C668C">
              <w:rPr>
                <w:lang w:val="en-GB"/>
              </w:rPr>
              <w:tab/>
              <w:t>exposures</w:t>
            </w:r>
            <w:r w:rsidR="00E47DB2" w:rsidRPr="006C668C">
              <w:rPr>
                <w:lang w:val="en-GB"/>
              </w:rPr>
              <w:tab/>
              <w:t>to</w:t>
            </w:r>
            <w:r w:rsidR="00E47DB2" w:rsidRPr="006C668C">
              <w:rPr>
                <w:lang w:val="en-GB"/>
              </w:rPr>
              <w:tab/>
              <w:t>harmful</w:t>
            </w:r>
            <w:r w:rsidR="00E47DB2" w:rsidRPr="006C668C">
              <w:rPr>
                <w:lang w:val="en-GB"/>
              </w:rPr>
              <w:tab/>
              <w:t>activities</w:t>
            </w:r>
            <w:r w:rsidR="00E47DB2" w:rsidRPr="006C668C">
              <w:rPr>
                <w:lang w:val="en-GB"/>
              </w:rPr>
              <w:tab/>
              <w:t>and assets and</w:t>
            </w:r>
          </w:hyperlink>
          <w:hyperlink w:anchor="_bookmark26" w:history="1">
            <w:r w:rsidR="00E47DB2" w:rsidRPr="006C668C">
              <w:rPr>
                <w:lang w:val="en-GB"/>
              </w:rPr>
              <w:t xml:space="preserve"> disincentivising environmentally</w:t>
            </w:r>
            <w:r w:rsidR="00E47DB2" w:rsidRPr="006C668C">
              <w:rPr>
                <w:spacing w:val="-9"/>
                <w:lang w:val="en-GB"/>
              </w:rPr>
              <w:t xml:space="preserve"> </w:t>
            </w:r>
            <w:r w:rsidR="00E47DB2" w:rsidRPr="006C668C">
              <w:rPr>
                <w:lang w:val="en-GB"/>
              </w:rPr>
              <w:t>harmful investments</w:t>
            </w:r>
            <w:r w:rsidR="00E47DB2" w:rsidRPr="006C668C">
              <w:rPr>
                <w:lang w:val="en-GB"/>
              </w:rPr>
              <w:tab/>
              <w:t>30</w:t>
            </w:r>
          </w:hyperlink>
        </w:p>
        <w:p w14:paraId="449B0D9E" w14:textId="77777777" w:rsidR="005D282E" w:rsidRPr="006C668C" w:rsidRDefault="00161DA6">
          <w:pPr>
            <w:pStyle w:val="TOC1"/>
            <w:numPr>
              <w:ilvl w:val="1"/>
              <w:numId w:val="17"/>
            </w:numPr>
            <w:tabs>
              <w:tab w:val="left" w:pos="595"/>
              <w:tab w:val="left" w:pos="596"/>
              <w:tab w:val="right" w:leader="dot" w:pos="8159"/>
            </w:tabs>
            <w:spacing w:before="121"/>
            <w:ind w:hanging="1385"/>
            <w:rPr>
              <w:lang w:val="en-GB"/>
            </w:rPr>
          </w:pPr>
          <w:hyperlink w:anchor="_bookmark27" w:history="1">
            <w:r w:rsidR="00E47DB2" w:rsidRPr="006C668C">
              <w:rPr>
                <w:lang w:val="en-GB"/>
              </w:rPr>
              <w:t>Financial</w:t>
            </w:r>
            <w:r w:rsidR="00E47DB2" w:rsidRPr="006C668C">
              <w:rPr>
                <w:spacing w:val="-1"/>
                <w:lang w:val="en-GB"/>
              </w:rPr>
              <w:t xml:space="preserve"> </w:t>
            </w:r>
            <w:r w:rsidR="00E47DB2" w:rsidRPr="006C668C">
              <w:rPr>
                <w:lang w:val="en-GB"/>
              </w:rPr>
              <w:t>stability</w:t>
            </w:r>
            <w:r w:rsidR="00E47DB2" w:rsidRPr="006C668C">
              <w:rPr>
                <w:spacing w:val="-3"/>
                <w:lang w:val="en-GB"/>
              </w:rPr>
              <w:t xml:space="preserve"> </w:t>
            </w:r>
            <w:r w:rsidR="00E47DB2" w:rsidRPr="006C668C">
              <w:rPr>
                <w:lang w:val="en-GB"/>
              </w:rPr>
              <w:t>risk</w:t>
            </w:r>
            <w:r w:rsidR="00E47DB2" w:rsidRPr="006C668C">
              <w:rPr>
                <w:lang w:val="en-GB"/>
              </w:rPr>
              <w:tab/>
              <w:t>31</w:t>
            </w:r>
          </w:hyperlink>
        </w:p>
        <w:p w14:paraId="449B0D9F" w14:textId="77777777" w:rsidR="005D282E" w:rsidRPr="006C668C" w:rsidRDefault="00161DA6">
          <w:pPr>
            <w:pStyle w:val="TOC1"/>
            <w:tabs>
              <w:tab w:val="right" w:leader="dot" w:pos="7563"/>
            </w:tabs>
            <w:rPr>
              <w:lang w:val="en-GB"/>
            </w:rPr>
          </w:pPr>
          <w:hyperlink w:anchor="_bookmark28" w:history="1">
            <w:r w:rsidR="00E47DB2" w:rsidRPr="006C668C">
              <w:rPr>
                <w:lang w:val="en-GB"/>
              </w:rPr>
              <w:t>Insurance</w:t>
            </w:r>
            <w:r w:rsidR="00E47DB2" w:rsidRPr="006C668C">
              <w:rPr>
                <w:spacing w:val="-2"/>
                <w:lang w:val="en-GB"/>
              </w:rPr>
              <w:t xml:space="preserve"> </w:t>
            </w:r>
            <w:r w:rsidR="00E47DB2" w:rsidRPr="006C668C">
              <w:rPr>
                <w:lang w:val="en-GB"/>
              </w:rPr>
              <w:t>prudential framework</w:t>
            </w:r>
            <w:r w:rsidR="00E47DB2" w:rsidRPr="006C668C">
              <w:rPr>
                <w:lang w:val="en-GB"/>
              </w:rPr>
              <w:tab/>
              <w:t>31</w:t>
            </w:r>
          </w:hyperlink>
        </w:p>
        <w:p w14:paraId="449B0DA0" w14:textId="77777777" w:rsidR="005D282E" w:rsidRPr="006C668C" w:rsidRDefault="00161DA6">
          <w:pPr>
            <w:pStyle w:val="TOC1"/>
            <w:tabs>
              <w:tab w:val="right" w:leader="dot" w:pos="7563"/>
            </w:tabs>
            <w:rPr>
              <w:lang w:val="en-GB"/>
            </w:rPr>
          </w:pPr>
          <w:hyperlink w:anchor="_bookmark29" w:history="1">
            <w:r w:rsidR="00E47DB2" w:rsidRPr="006C668C">
              <w:rPr>
                <w:lang w:val="en-GB"/>
              </w:rPr>
              <w:t>Banking</w:t>
            </w:r>
            <w:r w:rsidR="00E47DB2" w:rsidRPr="006C668C">
              <w:rPr>
                <w:spacing w:val="-4"/>
                <w:lang w:val="en-GB"/>
              </w:rPr>
              <w:t xml:space="preserve"> </w:t>
            </w:r>
            <w:r w:rsidR="00E47DB2" w:rsidRPr="006C668C">
              <w:rPr>
                <w:lang w:val="en-GB"/>
              </w:rPr>
              <w:t>prudential framework</w:t>
            </w:r>
            <w:r w:rsidR="00E47DB2" w:rsidRPr="006C668C">
              <w:rPr>
                <w:lang w:val="en-GB"/>
              </w:rPr>
              <w:tab/>
              <w:t>32</w:t>
            </w:r>
          </w:hyperlink>
        </w:p>
        <w:p w14:paraId="449B0DA1" w14:textId="77777777" w:rsidR="005D282E" w:rsidRPr="006C668C" w:rsidRDefault="00161DA6">
          <w:pPr>
            <w:pStyle w:val="TOC1"/>
            <w:tabs>
              <w:tab w:val="right" w:leader="dot" w:pos="7563"/>
            </w:tabs>
            <w:rPr>
              <w:lang w:val="en-GB"/>
            </w:rPr>
          </w:pPr>
          <w:hyperlink w:anchor="_bookmark30" w:history="1">
            <w:r w:rsidR="00E47DB2" w:rsidRPr="006C668C">
              <w:rPr>
                <w:lang w:val="en-GB"/>
              </w:rPr>
              <w:t>Asset</w:t>
            </w:r>
            <w:r w:rsidR="00E47DB2" w:rsidRPr="006C668C">
              <w:rPr>
                <w:spacing w:val="-1"/>
                <w:lang w:val="en-GB"/>
              </w:rPr>
              <w:t xml:space="preserve"> </w:t>
            </w:r>
            <w:r w:rsidR="00E47DB2" w:rsidRPr="006C668C">
              <w:rPr>
                <w:lang w:val="en-GB"/>
              </w:rPr>
              <w:t>managers</w:t>
            </w:r>
            <w:r w:rsidR="00E47DB2" w:rsidRPr="006C668C">
              <w:rPr>
                <w:lang w:val="en-GB"/>
              </w:rPr>
              <w:tab/>
              <w:t>33</w:t>
            </w:r>
          </w:hyperlink>
        </w:p>
        <w:p w14:paraId="449B0DA2" w14:textId="77777777" w:rsidR="005D282E" w:rsidRPr="006C668C" w:rsidRDefault="00161DA6">
          <w:pPr>
            <w:pStyle w:val="TOC1"/>
            <w:tabs>
              <w:tab w:val="right" w:leader="dot" w:pos="7563"/>
            </w:tabs>
            <w:rPr>
              <w:lang w:val="en-GB"/>
            </w:rPr>
          </w:pPr>
          <w:hyperlink w:anchor="_bookmark31" w:history="1">
            <w:r w:rsidR="00E47DB2" w:rsidRPr="006C668C">
              <w:rPr>
                <w:lang w:val="en-GB"/>
              </w:rPr>
              <w:t>Pension</w:t>
            </w:r>
            <w:r w:rsidR="00E47DB2" w:rsidRPr="006C668C">
              <w:rPr>
                <w:spacing w:val="-1"/>
                <w:lang w:val="en-GB"/>
              </w:rPr>
              <w:t xml:space="preserve"> </w:t>
            </w:r>
            <w:r w:rsidR="00E47DB2" w:rsidRPr="006C668C">
              <w:rPr>
                <w:lang w:val="en-GB"/>
              </w:rPr>
              <w:t>providers</w:t>
            </w:r>
            <w:r w:rsidR="00E47DB2" w:rsidRPr="006C668C">
              <w:rPr>
                <w:lang w:val="en-GB"/>
              </w:rPr>
              <w:tab/>
              <w:t>33</w:t>
            </w:r>
          </w:hyperlink>
        </w:p>
        <w:p w14:paraId="449B0DA3" w14:textId="77777777" w:rsidR="005D282E" w:rsidRPr="006C668C" w:rsidRDefault="00161DA6">
          <w:pPr>
            <w:pStyle w:val="TOC1"/>
            <w:numPr>
              <w:ilvl w:val="1"/>
              <w:numId w:val="17"/>
            </w:numPr>
            <w:tabs>
              <w:tab w:val="left" w:pos="595"/>
              <w:tab w:val="left" w:pos="596"/>
              <w:tab w:val="right" w:leader="dot" w:pos="8159"/>
            </w:tabs>
            <w:ind w:hanging="1385"/>
            <w:rPr>
              <w:lang w:val="en-GB"/>
            </w:rPr>
          </w:pPr>
          <w:hyperlink w:anchor="_bookmark32" w:history="1">
            <w:r w:rsidR="00E47DB2" w:rsidRPr="006C668C">
              <w:rPr>
                <w:lang w:val="en-GB"/>
              </w:rPr>
              <w:t>Credit rating</w:t>
            </w:r>
            <w:r w:rsidR="00E47DB2" w:rsidRPr="006C668C">
              <w:rPr>
                <w:spacing w:val="-1"/>
                <w:lang w:val="en-GB"/>
              </w:rPr>
              <w:t xml:space="preserve"> </w:t>
            </w:r>
            <w:r w:rsidR="00E47DB2" w:rsidRPr="006C668C">
              <w:rPr>
                <w:lang w:val="en-GB"/>
              </w:rPr>
              <w:t>agencies</w:t>
            </w:r>
            <w:r w:rsidR="00E47DB2" w:rsidRPr="006C668C">
              <w:rPr>
                <w:lang w:val="en-GB"/>
              </w:rPr>
              <w:tab/>
              <w:t>35</w:t>
            </w:r>
          </w:hyperlink>
        </w:p>
        <w:p w14:paraId="449B0DA4" w14:textId="77777777" w:rsidR="005D282E" w:rsidRPr="006C668C" w:rsidRDefault="00161DA6">
          <w:pPr>
            <w:pStyle w:val="TOC1"/>
            <w:numPr>
              <w:ilvl w:val="1"/>
              <w:numId w:val="17"/>
            </w:numPr>
            <w:tabs>
              <w:tab w:val="left" w:pos="595"/>
              <w:tab w:val="left" w:pos="596"/>
              <w:tab w:val="right" w:leader="dot" w:pos="8159"/>
            </w:tabs>
            <w:ind w:hanging="1385"/>
            <w:rPr>
              <w:lang w:val="en-GB"/>
            </w:rPr>
          </w:pPr>
          <w:hyperlink w:anchor="_bookmark33" w:history="1">
            <w:r w:rsidR="00E47DB2" w:rsidRPr="006C668C">
              <w:rPr>
                <w:lang w:val="en-GB"/>
              </w:rPr>
              <w:t>Natural capital accounting or</w:t>
            </w:r>
            <w:r w:rsidR="00E47DB2" w:rsidRPr="006C668C">
              <w:rPr>
                <w:spacing w:val="-4"/>
                <w:lang w:val="en-GB"/>
              </w:rPr>
              <w:t xml:space="preserve"> </w:t>
            </w:r>
            <w:r w:rsidR="00E47DB2" w:rsidRPr="006C668C">
              <w:rPr>
                <w:lang w:val="en-GB"/>
              </w:rPr>
              <w:t>“environmental footprint”</w:t>
            </w:r>
            <w:r w:rsidR="00E47DB2" w:rsidRPr="006C668C">
              <w:rPr>
                <w:lang w:val="en-GB"/>
              </w:rPr>
              <w:tab/>
              <w:t>35</w:t>
            </w:r>
          </w:hyperlink>
        </w:p>
        <w:p w14:paraId="449B0DA5" w14:textId="77777777" w:rsidR="005D282E" w:rsidRPr="006C668C" w:rsidRDefault="00161DA6">
          <w:pPr>
            <w:pStyle w:val="TOC1"/>
            <w:numPr>
              <w:ilvl w:val="1"/>
              <w:numId w:val="17"/>
            </w:numPr>
            <w:tabs>
              <w:tab w:val="left" w:pos="595"/>
              <w:tab w:val="left" w:pos="596"/>
              <w:tab w:val="right" w:leader="dot" w:pos="8159"/>
            </w:tabs>
            <w:ind w:hanging="1385"/>
            <w:rPr>
              <w:lang w:val="en-GB"/>
            </w:rPr>
          </w:pPr>
          <w:hyperlink w:anchor="_bookmark34" w:history="1">
            <w:r w:rsidR="00E47DB2" w:rsidRPr="006C668C">
              <w:rPr>
                <w:lang w:val="en-GB"/>
              </w:rPr>
              <w:t>Improving resilience to adverse climate and</w:t>
            </w:r>
            <w:r w:rsidR="00E47DB2" w:rsidRPr="006C668C">
              <w:rPr>
                <w:spacing w:val="-9"/>
                <w:lang w:val="en-GB"/>
              </w:rPr>
              <w:t xml:space="preserve"> </w:t>
            </w:r>
            <w:r w:rsidR="00E47DB2" w:rsidRPr="006C668C">
              <w:rPr>
                <w:lang w:val="en-GB"/>
              </w:rPr>
              <w:t>environmental</w:t>
            </w:r>
            <w:r w:rsidR="00E47DB2" w:rsidRPr="006C668C">
              <w:rPr>
                <w:spacing w:val="-2"/>
                <w:lang w:val="en-GB"/>
              </w:rPr>
              <w:t xml:space="preserve"> </w:t>
            </w:r>
            <w:r w:rsidR="00E47DB2" w:rsidRPr="006C668C">
              <w:rPr>
                <w:lang w:val="en-GB"/>
              </w:rPr>
              <w:t>impacts</w:t>
            </w:r>
            <w:r w:rsidR="00E47DB2" w:rsidRPr="006C668C">
              <w:rPr>
                <w:lang w:val="en-GB"/>
              </w:rPr>
              <w:tab/>
              <w:t>36</w:t>
            </w:r>
          </w:hyperlink>
        </w:p>
        <w:p w14:paraId="449B0DA6" w14:textId="77777777" w:rsidR="005D282E" w:rsidRPr="006C668C" w:rsidRDefault="00161DA6">
          <w:pPr>
            <w:pStyle w:val="TOC1"/>
            <w:tabs>
              <w:tab w:val="right" w:leader="dot" w:pos="7563"/>
            </w:tabs>
            <w:rPr>
              <w:lang w:val="en-GB"/>
            </w:rPr>
          </w:pPr>
          <w:hyperlink w:anchor="_bookmark35" w:history="1">
            <w:r w:rsidR="00E47DB2" w:rsidRPr="006C668C">
              <w:rPr>
                <w:lang w:val="en-GB"/>
              </w:rPr>
              <w:t>Climate-related loss and physical</w:t>
            </w:r>
            <w:r w:rsidR="00E47DB2" w:rsidRPr="006C668C">
              <w:rPr>
                <w:spacing w:val="3"/>
                <w:lang w:val="en-GB"/>
              </w:rPr>
              <w:t xml:space="preserve"> </w:t>
            </w:r>
            <w:r w:rsidR="00E47DB2" w:rsidRPr="006C668C">
              <w:rPr>
                <w:lang w:val="en-GB"/>
              </w:rPr>
              <w:t>risk</w:t>
            </w:r>
            <w:r w:rsidR="00E47DB2" w:rsidRPr="006C668C">
              <w:rPr>
                <w:spacing w:val="-1"/>
                <w:lang w:val="en-GB"/>
              </w:rPr>
              <w:t xml:space="preserve"> </w:t>
            </w:r>
            <w:r w:rsidR="00E47DB2" w:rsidRPr="006C668C">
              <w:rPr>
                <w:lang w:val="en-GB"/>
              </w:rPr>
              <w:t>data</w:t>
            </w:r>
            <w:r w:rsidR="00E47DB2" w:rsidRPr="006C668C">
              <w:rPr>
                <w:lang w:val="en-GB"/>
              </w:rPr>
              <w:tab/>
              <w:t>36</w:t>
            </w:r>
          </w:hyperlink>
        </w:p>
        <w:p w14:paraId="449B0DA7" w14:textId="77777777" w:rsidR="005D282E" w:rsidRPr="006C668C" w:rsidRDefault="00161DA6">
          <w:pPr>
            <w:pStyle w:val="TOC1"/>
            <w:tabs>
              <w:tab w:val="right" w:leader="dot" w:pos="7563"/>
            </w:tabs>
            <w:rPr>
              <w:lang w:val="en-GB"/>
            </w:rPr>
          </w:pPr>
          <w:hyperlink w:anchor="_bookmark36" w:history="1">
            <w:r w:rsidR="00E47DB2" w:rsidRPr="006C668C">
              <w:rPr>
                <w:lang w:val="en-GB"/>
              </w:rPr>
              <w:t>Financial management of physical</w:t>
            </w:r>
            <w:r w:rsidR="00E47DB2" w:rsidRPr="006C668C">
              <w:rPr>
                <w:spacing w:val="2"/>
                <w:lang w:val="en-GB"/>
              </w:rPr>
              <w:t xml:space="preserve"> </w:t>
            </w:r>
            <w:r w:rsidR="00E47DB2" w:rsidRPr="006C668C">
              <w:rPr>
                <w:lang w:val="en-GB"/>
              </w:rPr>
              <w:t>risk</w:t>
            </w:r>
            <w:r w:rsidR="00E47DB2" w:rsidRPr="006C668C">
              <w:rPr>
                <w:lang w:val="en-GB"/>
              </w:rPr>
              <w:tab/>
              <w:t>36</w:t>
            </w:r>
          </w:hyperlink>
        </w:p>
        <w:p w14:paraId="449B0DA8" w14:textId="77777777" w:rsidR="005D282E" w:rsidRPr="006C668C" w:rsidRDefault="00161DA6">
          <w:pPr>
            <w:pStyle w:val="TOC1"/>
            <w:numPr>
              <w:ilvl w:val="0"/>
              <w:numId w:val="17"/>
            </w:numPr>
            <w:tabs>
              <w:tab w:val="left" w:pos="482"/>
              <w:tab w:val="left" w:pos="483"/>
              <w:tab w:val="right" w:leader="dot" w:pos="8641"/>
            </w:tabs>
            <w:spacing w:before="188"/>
            <w:ind w:hanging="790"/>
            <w:rPr>
              <w:rFonts w:ascii="Calibri"/>
              <w:lang w:val="en-GB"/>
            </w:rPr>
          </w:pPr>
          <w:hyperlink w:anchor="_bookmark37" w:history="1">
            <w:r w:rsidR="00E47DB2" w:rsidRPr="006C668C">
              <w:rPr>
                <w:lang w:val="en-GB"/>
              </w:rPr>
              <w:t>ADDITIONAL</w:t>
            </w:r>
            <w:r w:rsidR="00E47DB2" w:rsidRPr="006C668C">
              <w:rPr>
                <w:spacing w:val="-2"/>
                <w:lang w:val="en-GB"/>
              </w:rPr>
              <w:t xml:space="preserve"> </w:t>
            </w:r>
            <w:r w:rsidR="00E47DB2" w:rsidRPr="006C668C">
              <w:rPr>
                <w:lang w:val="en-GB"/>
              </w:rPr>
              <w:t>INFORMATION</w:t>
            </w:r>
            <w:r w:rsidR="00E47DB2" w:rsidRPr="006C668C">
              <w:rPr>
                <w:lang w:val="en-GB"/>
              </w:rPr>
              <w:tab/>
              <w:t>38</w:t>
            </w:r>
          </w:hyperlink>
        </w:p>
      </w:sdtContent>
    </w:sdt>
    <w:p w14:paraId="449B0DA9" w14:textId="77777777" w:rsidR="005D282E" w:rsidRPr="006C668C" w:rsidRDefault="005D282E" w:rsidP="00E47DB2">
      <w:pPr>
        <w:jc w:val="center"/>
        <w:rPr>
          <w:rFonts w:ascii="Calibri"/>
          <w:lang w:val="en-GB"/>
        </w:rPr>
      </w:pPr>
    </w:p>
    <w:p w14:paraId="449B0DAA" w14:textId="77777777" w:rsidR="00E47DB2" w:rsidRPr="006C668C" w:rsidRDefault="00E47DB2" w:rsidP="00E47DB2">
      <w:pPr>
        <w:jc w:val="center"/>
        <w:rPr>
          <w:rFonts w:ascii="Calibri"/>
          <w:lang w:val="en-GB"/>
        </w:rPr>
        <w:sectPr w:rsidR="00E47DB2" w:rsidRPr="006C668C">
          <w:type w:val="continuous"/>
          <w:pgSz w:w="11910" w:h="16840"/>
          <w:pgMar w:top="940" w:right="1380" w:bottom="1742" w:left="1280" w:header="720" w:footer="720" w:gutter="0"/>
          <w:cols w:space="720"/>
        </w:sectPr>
      </w:pPr>
    </w:p>
    <w:p w14:paraId="449B0DAB" w14:textId="77777777" w:rsidR="00FF5CC2" w:rsidRPr="006C668C" w:rsidRDefault="00FF5CC2" w:rsidP="00FF5CC2">
      <w:pPr>
        <w:pStyle w:val="BodyText"/>
        <w:rPr>
          <w:b/>
          <w:bCs/>
          <w:sz w:val="19"/>
          <w:szCs w:val="19"/>
          <w:lang w:val="en-GB"/>
        </w:rPr>
      </w:pPr>
      <w:bookmarkStart w:id="5" w:name="Section_I:_Questions_addressed_to_all_st"/>
      <w:bookmarkStart w:id="6" w:name="_bookmark2"/>
      <w:bookmarkEnd w:id="5"/>
      <w:bookmarkEnd w:id="6"/>
      <w:r w:rsidRPr="006C668C">
        <w:rPr>
          <w:b/>
          <w:bCs/>
          <w:sz w:val="23"/>
          <w:szCs w:val="23"/>
          <w:lang w:val="en-GB"/>
        </w:rPr>
        <w:t>S</w:t>
      </w:r>
      <w:r w:rsidRPr="006C668C">
        <w:rPr>
          <w:b/>
          <w:bCs/>
          <w:sz w:val="19"/>
          <w:szCs w:val="19"/>
          <w:lang w:val="en-GB"/>
        </w:rPr>
        <w:t xml:space="preserve">ECTION </w:t>
      </w:r>
      <w:r w:rsidRPr="006C668C">
        <w:rPr>
          <w:b/>
          <w:bCs/>
          <w:sz w:val="23"/>
          <w:szCs w:val="23"/>
          <w:lang w:val="en-GB"/>
        </w:rPr>
        <w:t>I: Q</w:t>
      </w:r>
      <w:r w:rsidRPr="006C668C">
        <w:rPr>
          <w:b/>
          <w:bCs/>
          <w:sz w:val="19"/>
          <w:szCs w:val="19"/>
          <w:lang w:val="en-GB"/>
        </w:rPr>
        <w:t>UESTIONS ADDRESSED TO ALL STAKEHOLDERS ON HOW THE FINANCIAL SECTOR AND THE ECONOMY CAN BECOME MORE SUSTAINABLE</w:t>
      </w:r>
    </w:p>
    <w:p w14:paraId="449B0DAC" w14:textId="77777777" w:rsidR="00FF5CC2" w:rsidRPr="006C668C" w:rsidRDefault="00FF5CC2">
      <w:pPr>
        <w:pStyle w:val="BodyText"/>
        <w:rPr>
          <w:color w:val="9BBB59" w:themeColor="accent3"/>
          <w:lang w:val="en-GB"/>
        </w:rPr>
      </w:pPr>
    </w:p>
    <w:p w14:paraId="449B0DAD" w14:textId="77777777" w:rsidR="00FF5CC2" w:rsidRPr="006C668C" w:rsidRDefault="00E47DB2" w:rsidP="00471AC4">
      <w:pPr>
        <w:pStyle w:val="BodyText"/>
        <w:rPr>
          <w:color w:val="9BBB59" w:themeColor="accent3"/>
          <w:lang w:val="en-GB"/>
        </w:rPr>
      </w:pPr>
      <w:r w:rsidRPr="006C668C">
        <w:rPr>
          <w:color w:val="9BBB59" w:themeColor="accent3"/>
          <w:lang w:val="en-GB"/>
        </w:rPr>
        <w:t>[…]</w:t>
      </w:r>
      <w:bookmarkStart w:id="7" w:name="Section_II:_Questions_targeted_at_expert"/>
      <w:bookmarkStart w:id="8" w:name="_bookmark3"/>
      <w:bookmarkEnd w:id="7"/>
      <w:bookmarkEnd w:id="8"/>
    </w:p>
    <w:p w14:paraId="449B0DAE" w14:textId="77777777" w:rsidR="005D282E" w:rsidRPr="006C668C" w:rsidRDefault="00E47DB2" w:rsidP="00471AC4">
      <w:pPr>
        <w:spacing w:before="183"/>
        <w:ind w:left="306"/>
        <w:jc w:val="both"/>
        <w:rPr>
          <w:b/>
          <w:sz w:val="19"/>
          <w:lang w:val="en-GB"/>
        </w:rPr>
      </w:pPr>
      <w:r w:rsidRPr="006C668C">
        <w:rPr>
          <w:b/>
          <w:sz w:val="24"/>
          <w:lang w:val="en-GB"/>
        </w:rPr>
        <w:t>S</w:t>
      </w:r>
      <w:r w:rsidRPr="006C668C">
        <w:rPr>
          <w:b/>
          <w:sz w:val="19"/>
          <w:lang w:val="en-GB"/>
        </w:rPr>
        <w:t xml:space="preserve">ECTION </w:t>
      </w:r>
      <w:r w:rsidRPr="006C668C">
        <w:rPr>
          <w:b/>
          <w:sz w:val="24"/>
          <w:lang w:val="en-GB"/>
        </w:rPr>
        <w:t>II: Q</w:t>
      </w:r>
      <w:r w:rsidRPr="006C668C">
        <w:rPr>
          <w:b/>
          <w:sz w:val="19"/>
          <w:lang w:val="en-GB"/>
        </w:rPr>
        <w:t>UESTIONS TARGETED AT EXPERTS</w:t>
      </w:r>
    </w:p>
    <w:p w14:paraId="449B0DAF" w14:textId="77777777" w:rsidR="00471AC4" w:rsidRPr="006C668C" w:rsidRDefault="00471AC4" w:rsidP="00471AC4">
      <w:pPr>
        <w:spacing w:before="183"/>
        <w:ind w:left="306"/>
        <w:jc w:val="both"/>
        <w:rPr>
          <w:b/>
          <w:sz w:val="19"/>
          <w:lang w:val="en-GB"/>
        </w:rPr>
      </w:pPr>
    </w:p>
    <w:p w14:paraId="449B0DB0" w14:textId="77777777" w:rsidR="00FF5CC2" w:rsidRPr="006C668C" w:rsidRDefault="00FF5CC2">
      <w:pPr>
        <w:pStyle w:val="BodyText"/>
        <w:spacing w:before="2"/>
        <w:rPr>
          <w:color w:val="9BBB59" w:themeColor="accent3"/>
          <w:lang w:val="en-GB"/>
        </w:rPr>
      </w:pPr>
      <w:r w:rsidRPr="006C668C">
        <w:rPr>
          <w:color w:val="9BBB59" w:themeColor="accent3"/>
          <w:lang w:val="en-GB"/>
        </w:rPr>
        <w:t>[…]</w:t>
      </w:r>
    </w:p>
    <w:p w14:paraId="449B0DB1" w14:textId="77777777" w:rsidR="005D282E" w:rsidRPr="006C668C" w:rsidRDefault="00E47DB2">
      <w:pPr>
        <w:pStyle w:val="ListParagraph"/>
        <w:numPr>
          <w:ilvl w:val="0"/>
          <w:numId w:val="15"/>
        </w:numPr>
        <w:tabs>
          <w:tab w:val="left" w:pos="1027"/>
        </w:tabs>
        <w:ind w:hanging="361"/>
        <w:jc w:val="both"/>
        <w:rPr>
          <w:b/>
          <w:sz w:val="24"/>
          <w:lang w:val="en-GB"/>
        </w:rPr>
      </w:pPr>
      <w:bookmarkStart w:id="9" w:name="1._Strengthening_the_foundations_for_sus"/>
      <w:bookmarkStart w:id="10" w:name="_bookmark4"/>
      <w:bookmarkEnd w:id="9"/>
      <w:bookmarkEnd w:id="10"/>
      <w:r w:rsidRPr="006C668C">
        <w:rPr>
          <w:b/>
          <w:sz w:val="24"/>
          <w:lang w:val="en-GB"/>
        </w:rPr>
        <w:t>S</w:t>
      </w:r>
      <w:r w:rsidRPr="006C668C">
        <w:rPr>
          <w:b/>
          <w:sz w:val="19"/>
          <w:lang w:val="en-GB"/>
        </w:rPr>
        <w:t>TRENGTHENING THE FOUNDATIONS FOR SUSTAINABLE</w:t>
      </w:r>
      <w:r w:rsidRPr="006C668C">
        <w:rPr>
          <w:b/>
          <w:spacing w:val="-3"/>
          <w:sz w:val="19"/>
          <w:lang w:val="en-GB"/>
        </w:rPr>
        <w:t xml:space="preserve"> </w:t>
      </w:r>
      <w:r w:rsidRPr="006C668C">
        <w:rPr>
          <w:b/>
          <w:sz w:val="19"/>
          <w:lang w:val="en-GB"/>
        </w:rPr>
        <w:t>FINANCE</w:t>
      </w:r>
    </w:p>
    <w:p w14:paraId="449B0DB2" w14:textId="77777777" w:rsidR="00FF5CC2" w:rsidRPr="006C668C" w:rsidRDefault="00FF5CC2" w:rsidP="00FF5CC2">
      <w:pPr>
        <w:pStyle w:val="ListParagraph"/>
        <w:tabs>
          <w:tab w:val="left" w:pos="1027"/>
        </w:tabs>
        <w:ind w:firstLine="0"/>
        <w:jc w:val="right"/>
        <w:rPr>
          <w:b/>
          <w:sz w:val="24"/>
          <w:lang w:val="en-GB"/>
        </w:rPr>
      </w:pPr>
    </w:p>
    <w:p w14:paraId="449B0DB3" w14:textId="77777777" w:rsidR="005D282E" w:rsidRPr="006C668C" w:rsidRDefault="00FF5CC2" w:rsidP="00FF5CC2">
      <w:pPr>
        <w:pStyle w:val="BodyText"/>
        <w:spacing w:before="36"/>
        <w:ind w:left="306" w:right="319"/>
        <w:jc w:val="both"/>
        <w:rPr>
          <w:lang w:val="en-GB"/>
        </w:rPr>
      </w:pPr>
      <w:r w:rsidRPr="006C668C">
        <w:rPr>
          <w:lang w:val="en-GB"/>
        </w:rPr>
        <w:t>In order to enable the scale-up</w:t>
      </w:r>
      <w:r w:rsidR="00E47DB2" w:rsidRPr="006C668C">
        <w:rPr>
          <w:lang w:val="en-GB"/>
        </w:rPr>
        <w:t xml:space="preserve"> of sustainable investments, it is crucial to have sufficient and reliable information from financial and non-financial companies on their climate, environmental and social risks and impacts. To this end, companies also need to consider long-term horizons. Similarly, investors and companies need access to reliable climate-related and environmental data and information on social risks, in order to make sound business and investment decisions. Labelling tools, among other measures, can provide clarity and confidence to investors and issuers, which contributes to increasing sustainable investments. In this context, the full deployment of innovative digital solutions requires data to be available in open access and in standardised</w:t>
      </w:r>
      <w:r w:rsidR="00E47DB2" w:rsidRPr="006C668C">
        <w:rPr>
          <w:spacing w:val="-3"/>
          <w:lang w:val="en-GB"/>
        </w:rPr>
        <w:t xml:space="preserve"> </w:t>
      </w:r>
      <w:r w:rsidR="00E47DB2" w:rsidRPr="006C668C">
        <w:rPr>
          <w:lang w:val="en-GB"/>
        </w:rPr>
        <w:t>formats.</w:t>
      </w:r>
    </w:p>
    <w:p w14:paraId="449B0DB4" w14:textId="77777777" w:rsidR="005D282E" w:rsidRPr="006C668C" w:rsidRDefault="005D282E">
      <w:pPr>
        <w:pStyle w:val="BodyText"/>
        <w:spacing w:before="10"/>
        <w:rPr>
          <w:lang w:val="en-GB"/>
        </w:rPr>
      </w:pPr>
    </w:p>
    <w:p w14:paraId="449B0DB5" w14:textId="77777777" w:rsidR="005D282E" w:rsidRPr="006C668C" w:rsidRDefault="00E47DB2">
      <w:pPr>
        <w:pStyle w:val="Heading2"/>
        <w:numPr>
          <w:ilvl w:val="1"/>
          <w:numId w:val="15"/>
        </w:numPr>
        <w:tabs>
          <w:tab w:val="left" w:pos="1027"/>
        </w:tabs>
        <w:ind w:hanging="361"/>
        <w:rPr>
          <w:lang w:val="en-GB"/>
        </w:rPr>
      </w:pPr>
      <w:bookmarkStart w:id="11" w:name="1.1_Company_reporting_and_transparency"/>
      <w:bookmarkStart w:id="12" w:name="_bookmark5"/>
      <w:bookmarkEnd w:id="11"/>
      <w:bookmarkEnd w:id="12"/>
      <w:r w:rsidRPr="006C668C">
        <w:rPr>
          <w:lang w:val="en-GB"/>
        </w:rPr>
        <w:t>Company reporting and</w:t>
      </w:r>
      <w:r w:rsidRPr="006C668C">
        <w:rPr>
          <w:spacing w:val="-1"/>
          <w:lang w:val="en-GB"/>
        </w:rPr>
        <w:t xml:space="preserve"> </w:t>
      </w:r>
      <w:r w:rsidRPr="006C668C">
        <w:rPr>
          <w:lang w:val="en-GB"/>
        </w:rPr>
        <w:t>transparency</w:t>
      </w:r>
    </w:p>
    <w:p w14:paraId="449B0DB6" w14:textId="77777777" w:rsidR="005D282E" w:rsidRPr="006C668C" w:rsidRDefault="005D282E">
      <w:pPr>
        <w:pStyle w:val="BodyText"/>
        <w:spacing w:before="2"/>
        <w:rPr>
          <w:b/>
          <w:sz w:val="27"/>
          <w:lang w:val="en-GB"/>
        </w:rPr>
      </w:pPr>
    </w:p>
    <w:p w14:paraId="449B0DB7" w14:textId="77777777" w:rsidR="005D282E" w:rsidRPr="006C668C" w:rsidRDefault="00E47DB2">
      <w:pPr>
        <w:pStyle w:val="BodyText"/>
        <w:ind w:left="306" w:right="320"/>
        <w:jc w:val="both"/>
        <w:rPr>
          <w:lang w:val="en-GB"/>
        </w:rPr>
      </w:pPr>
      <w:r w:rsidRPr="006C668C">
        <w:rPr>
          <w:lang w:val="en-GB"/>
        </w:rPr>
        <w:t xml:space="preserve">In its Communication on the </w:t>
      </w:r>
      <w:hyperlink r:id="rId40">
        <w:r w:rsidRPr="006C668C">
          <w:rPr>
            <w:color w:val="0000FF"/>
            <w:u w:val="single" w:color="0000FF"/>
            <w:lang w:val="en-GB"/>
          </w:rPr>
          <w:t>European Green Deal</w:t>
        </w:r>
      </w:hyperlink>
      <w:r w:rsidRPr="006C668C">
        <w:rPr>
          <w:lang w:val="en-GB"/>
        </w:rPr>
        <w:t xml:space="preserve">, the Commission recognised the need to improve the disclosure of non-financial information by corporates and financial institutions. To that end, the Commission committed to reviewing the </w:t>
      </w:r>
      <w:hyperlink r:id="rId41">
        <w:r w:rsidRPr="006C668C">
          <w:rPr>
            <w:color w:val="0000FF"/>
            <w:u w:val="single" w:color="0000FF"/>
            <w:lang w:val="en-GB"/>
          </w:rPr>
          <w:t>Non-Financial</w:t>
        </w:r>
      </w:hyperlink>
      <w:r w:rsidRPr="006C668C">
        <w:rPr>
          <w:color w:val="0000FF"/>
          <w:lang w:val="en-GB"/>
        </w:rPr>
        <w:t xml:space="preserve"> </w:t>
      </w:r>
      <w:hyperlink r:id="rId42">
        <w:r w:rsidRPr="006C668C">
          <w:rPr>
            <w:color w:val="0000FF"/>
            <w:u w:val="single" w:color="0000FF"/>
            <w:lang w:val="en-GB"/>
          </w:rPr>
          <w:t>Reporting Directive</w:t>
        </w:r>
        <w:r w:rsidRPr="006C668C">
          <w:rPr>
            <w:color w:val="0000FF"/>
            <w:lang w:val="en-GB"/>
          </w:rPr>
          <w:t xml:space="preserve"> </w:t>
        </w:r>
      </w:hyperlink>
      <w:r w:rsidRPr="006C668C">
        <w:rPr>
          <w:lang w:val="en-GB"/>
        </w:rPr>
        <w:t xml:space="preserve">(NFRD) in 2020, as part of its strategy to strengthen the foundations for sustainable investment. A </w:t>
      </w:r>
      <w:hyperlink r:id="rId43">
        <w:r w:rsidRPr="006C668C">
          <w:rPr>
            <w:color w:val="0000FF"/>
            <w:u w:val="single" w:color="0000FF"/>
            <w:lang w:val="en-GB"/>
          </w:rPr>
          <w:t>public consultation</w:t>
        </w:r>
        <w:r w:rsidRPr="006C668C">
          <w:rPr>
            <w:color w:val="0000FF"/>
            <w:lang w:val="en-GB"/>
          </w:rPr>
          <w:t xml:space="preserve"> </w:t>
        </w:r>
      </w:hyperlink>
      <w:r w:rsidRPr="006C668C">
        <w:rPr>
          <w:lang w:val="en-GB"/>
        </w:rPr>
        <w:t>is ongoing for that purpose.</w:t>
      </w:r>
    </w:p>
    <w:p w14:paraId="449B0DB8" w14:textId="77777777" w:rsidR="005D282E" w:rsidRPr="006C668C" w:rsidRDefault="005D282E">
      <w:pPr>
        <w:pStyle w:val="BodyText"/>
        <w:spacing w:before="10"/>
        <w:rPr>
          <w:sz w:val="20"/>
          <w:lang w:val="en-GB"/>
        </w:rPr>
      </w:pPr>
    </w:p>
    <w:p w14:paraId="449B0DB9" w14:textId="77777777" w:rsidR="005D282E" w:rsidRPr="006C668C" w:rsidRDefault="00E47DB2">
      <w:pPr>
        <w:spacing w:before="1"/>
        <w:ind w:left="306" w:right="321"/>
        <w:jc w:val="both"/>
        <w:rPr>
          <w:sz w:val="24"/>
          <w:lang w:val="en-GB"/>
        </w:rPr>
      </w:pPr>
      <w:r w:rsidRPr="006C668C">
        <w:rPr>
          <w:sz w:val="24"/>
          <w:lang w:val="en-GB"/>
        </w:rPr>
        <w:t xml:space="preserve">The </w:t>
      </w:r>
      <w:hyperlink r:id="rId44">
        <w:r w:rsidRPr="006C668C">
          <w:rPr>
            <w:color w:val="0000FF"/>
            <w:sz w:val="24"/>
            <w:u w:val="single" w:color="0000FF"/>
            <w:lang w:val="en-GB"/>
          </w:rPr>
          <w:t>political agreement</w:t>
        </w:r>
      </w:hyperlink>
      <w:r w:rsidRPr="006C668C">
        <w:rPr>
          <w:color w:val="0000FF"/>
          <w:sz w:val="24"/>
          <w:lang w:val="en-GB"/>
        </w:rPr>
        <w:t xml:space="preserve"> </w:t>
      </w:r>
      <w:r w:rsidRPr="006C668C">
        <w:rPr>
          <w:sz w:val="24"/>
          <w:lang w:val="en-GB"/>
        </w:rPr>
        <w:t xml:space="preserve">on the Regulation on establishing a framework to facilitate sustainable investment (‘Taxonomy Regulation’) places </w:t>
      </w:r>
      <w:r w:rsidRPr="006C668C">
        <w:rPr>
          <w:b/>
          <w:sz w:val="24"/>
          <w:lang w:val="en-GB"/>
        </w:rPr>
        <w:t>complementary reporting requirements on the companies that fall under the scope of the NFRD</w:t>
      </w:r>
      <w:r w:rsidRPr="006C668C">
        <w:rPr>
          <w:sz w:val="24"/>
          <w:lang w:val="en-GB"/>
        </w:rPr>
        <w:t>.</w:t>
      </w:r>
    </w:p>
    <w:p w14:paraId="449B0DBA" w14:textId="77777777" w:rsidR="005D282E" w:rsidRPr="006C668C" w:rsidRDefault="005D282E">
      <w:pPr>
        <w:pStyle w:val="BodyText"/>
        <w:spacing w:before="10"/>
        <w:rPr>
          <w:sz w:val="20"/>
          <w:lang w:val="en-GB"/>
        </w:rPr>
      </w:pPr>
    </w:p>
    <w:p w14:paraId="449B0DBB" w14:textId="77777777" w:rsidR="005D282E" w:rsidRPr="006C668C" w:rsidRDefault="00E47DB2">
      <w:pPr>
        <w:pStyle w:val="BodyText"/>
        <w:ind w:left="306" w:right="319"/>
        <w:jc w:val="both"/>
        <w:rPr>
          <w:lang w:val="en-GB"/>
        </w:rPr>
      </w:pPr>
      <w:r w:rsidRPr="006C668C">
        <w:rPr>
          <w:lang w:val="en-GB"/>
        </w:rPr>
        <w:t xml:space="preserve">In addition to the production of relevant and comparable data, it may be useful to ensure open and centralised access not only to company reporting under the NFRD, but also to relevant company information on other available ESG metrics and data points (please also see the dedicated section on sustainability research and ratings 1.3). To this end, a </w:t>
      </w:r>
      <w:r w:rsidRPr="006C668C">
        <w:rPr>
          <w:b/>
          <w:lang w:val="en-GB"/>
        </w:rPr>
        <w:t xml:space="preserve">common database </w:t>
      </w:r>
      <w:r w:rsidRPr="006C668C">
        <w:rPr>
          <w:lang w:val="en-GB"/>
        </w:rPr>
        <w:t xml:space="preserve">would ease transparency and comparability, while avoiding duplication of data collection efforts. The Commission is developing a common European data space in order to create a </w:t>
      </w:r>
      <w:hyperlink r:id="rId45">
        <w:r w:rsidRPr="006C668C">
          <w:rPr>
            <w:color w:val="0000FF"/>
            <w:u w:val="single" w:color="0000FF"/>
            <w:lang w:val="en-GB"/>
          </w:rPr>
          <w:t>single market for data</w:t>
        </w:r>
        <w:r w:rsidRPr="006C668C">
          <w:rPr>
            <w:color w:val="0000FF"/>
            <w:lang w:val="en-GB"/>
          </w:rPr>
          <w:t xml:space="preserve"> </w:t>
        </w:r>
      </w:hyperlink>
      <w:r w:rsidRPr="006C668C">
        <w:rPr>
          <w:lang w:val="en-GB"/>
        </w:rPr>
        <w:t>by connecting existing databases through digital means. Since 2017, DG FISMA has been assessing the prospects of using Distributed Ledger Technologies (including blockchain) to federate and provide a single point of access to information relevant to investors in European listed companies (</w:t>
      </w:r>
      <w:hyperlink r:id="rId46" w:anchor="eftg">
        <w:r w:rsidRPr="006C668C">
          <w:rPr>
            <w:color w:val="0000FF"/>
            <w:u w:val="single" w:color="0000FF"/>
            <w:lang w:val="en-GB"/>
          </w:rPr>
          <w:t>European Financial Transparency Gateway</w:t>
        </w:r>
        <w:r w:rsidRPr="006C668C">
          <w:rPr>
            <w:color w:val="0000FF"/>
            <w:lang w:val="en-GB"/>
          </w:rPr>
          <w:t xml:space="preserve"> </w:t>
        </w:r>
      </w:hyperlink>
      <w:r w:rsidRPr="006C668C">
        <w:rPr>
          <w:lang w:val="en-GB"/>
        </w:rPr>
        <w:t>-</w:t>
      </w:r>
      <w:r w:rsidRPr="006C668C">
        <w:rPr>
          <w:spacing w:val="-6"/>
          <w:lang w:val="en-GB"/>
        </w:rPr>
        <w:t xml:space="preserve"> </w:t>
      </w:r>
      <w:r w:rsidRPr="006C668C">
        <w:rPr>
          <w:lang w:val="en-GB"/>
        </w:rPr>
        <w:t>EFTG).</w:t>
      </w:r>
    </w:p>
    <w:p w14:paraId="449B0DBC" w14:textId="77777777" w:rsidR="005D282E" w:rsidRPr="006C668C" w:rsidRDefault="005D282E">
      <w:pPr>
        <w:pStyle w:val="BodyText"/>
        <w:spacing w:before="10"/>
        <w:rPr>
          <w:sz w:val="20"/>
          <w:lang w:val="en-GB"/>
        </w:rPr>
      </w:pPr>
    </w:p>
    <w:p w14:paraId="449B0DBD" w14:textId="77777777" w:rsidR="005D282E" w:rsidRPr="006C668C" w:rsidRDefault="00E47DB2">
      <w:pPr>
        <w:pStyle w:val="BodyText"/>
        <w:ind w:left="306" w:right="318"/>
        <w:jc w:val="both"/>
        <w:rPr>
          <w:lang w:val="en-GB"/>
        </w:rPr>
      </w:pPr>
      <w:r w:rsidRPr="006C668C">
        <w:rPr>
          <w:b/>
          <w:lang w:val="en-GB"/>
        </w:rPr>
        <w:t xml:space="preserve">Question 14: </w:t>
      </w:r>
      <w:r w:rsidRPr="006C668C">
        <w:rPr>
          <w:lang w:val="en-GB"/>
        </w:rPr>
        <w:t>In your opinion, should the EU take action to support the development of a common, publicly accessible, free-of-cost environmental data space for companies’ ESG information, including data reported under the NFRD and other relevant ESG data?</w:t>
      </w:r>
    </w:p>
    <w:p w14:paraId="449B0DBE" w14:textId="77777777" w:rsidR="005D282E" w:rsidRPr="006C668C" w:rsidRDefault="005D282E">
      <w:pPr>
        <w:pStyle w:val="BodyText"/>
        <w:spacing w:before="3"/>
        <w:rPr>
          <w:sz w:val="26"/>
          <w:lang w:val="en-GB"/>
        </w:rPr>
      </w:pPr>
    </w:p>
    <w:p w14:paraId="449B0DBF" w14:textId="77777777" w:rsidR="005D282E" w:rsidRPr="006C668C" w:rsidRDefault="00E47DB2">
      <w:pPr>
        <w:pStyle w:val="ListParagraph"/>
        <w:numPr>
          <w:ilvl w:val="0"/>
          <w:numId w:val="16"/>
        </w:numPr>
        <w:tabs>
          <w:tab w:val="left" w:pos="1027"/>
        </w:tabs>
        <w:ind w:hanging="361"/>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DC0" w14:textId="77777777" w:rsidR="005D282E" w:rsidRPr="006C668C" w:rsidRDefault="00E47DB2">
      <w:pPr>
        <w:pStyle w:val="ListParagraph"/>
        <w:numPr>
          <w:ilvl w:val="0"/>
          <w:numId w:val="16"/>
        </w:numPr>
        <w:tabs>
          <w:tab w:val="left" w:pos="1027"/>
        </w:tabs>
        <w:spacing w:before="38" w:line="276" w:lineRule="auto"/>
        <w:ind w:right="319"/>
        <w:rPr>
          <w:rFonts w:ascii="Wingdings" w:hAnsi="Wingdings"/>
          <w:lang w:val="en-GB"/>
        </w:rPr>
      </w:pPr>
      <w:r w:rsidRPr="006C668C">
        <w:rPr>
          <w:lang w:val="en-GB"/>
        </w:rPr>
        <w:t>If yes, please explain how it should be structured and what type of ESG information should feature therein. [BOX, 2000</w:t>
      </w:r>
      <w:r w:rsidRPr="006C668C">
        <w:rPr>
          <w:spacing w:val="-3"/>
          <w:lang w:val="en-GB"/>
        </w:rPr>
        <w:t xml:space="preserve"> </w:t>
      </w:r>
      <w:r w:rsidRPr="006C668C">
        <w:rPr>
          <w:lang w:val="en-GB"/>
        </w:rPr>
        <w:t>characters]</w:t>
      </w:r>
    </w:p>
    <w:p w14:paraId="021E927A" w14:textId="77777777" w:rsidR="002560C0" w:rsidRPr="006C668C" w:rsidRDefault="002560C0" w:rsidP="002560C0">
      <w:pPr>
        <w:ind w:left="306"/>
        <w:contextualSpacing/>
        <w:rPr>
          <w:rFonts w:ascii="Calibri" w:hAnsi="Calibri" w:cs="Calibri"/>
          <w:color w:val="FF0000"/>
          <w:lang w:val="en-GB"/>
        </w:rPr>
      </w:pPr>
    </w:p>
    <w:p w14:paraId="3114A2D0" w14:textId="29F9DBCA" w:rsidR="001C7AC7" w:rsidRPr="00257936" w:rsidRDefault="002560C0" w:rsidP="003028AA">
      <w:pPr>
        <w:contextualSpacing/>
        <w:jc w:val="both"/>
        <w:rPr>
          <w:rFonts w:ascii="Calibri" w:hAnsi="Calibri" w:cs="Calibri"/>
          <w:color w:val="FF0000"/>
          <w:lang w:val="en-GB"/>
        </w:rPr>
      </w:pPr>
      <w:r w:rsidRPr="006C668C">
        <w:rPr>
          <w:rFonts w:ascii="Calibri" w:hAnsi="Calibri" w:cs="Calibri"/>
          <w:color w:val="FF0000"/>
          <w:lang w:val="en-GB"/>
        </w:rPr>
        <w:t xml:space="preserve">FERMA supports the digitalisation of non-financial </w:t>
      </w:r>
      <w:r w:rsidRPr="00257936">
        <w:rPr>
          <w:rFonts w:ascii="Calibri" w:hAnsi="Calibri" w:cs="Calibri"/>
          <w:color w:val="FF0000"/>
          <w:lang w:val="en-GB"/>
        </w:rPr>
        <w:t>information in a centrali</w:t>
      </w:r>
      <w:r w:rsidR="002F18A6">
        <w:rPr>
          <w:rFonts w:ascii="Calibri" w:hAnsi="Calibri" w:cs="Calibri"/>
          <w:color w:val="FF0000"/>
          <w:lang w:val="en-GB"/>
        </w:rPr>
        <w:t>s</w:t>
      </w:r>
      <w:r w:rsidRPr="00257936">
        <w:rPr>
          <w:rFonts w:ascii="Calibri" w:hAnsi="Calibri" w:cs="Calibri"/>
          <w:color w:val="FF0000"/>
          <w:lang w:val="en-GB"/>
        </w:rPr>
        <w:t>ed European repository to facilitate its availability and comparability.</w:t>
      </w:r>
      <w:r w:rsidR="00040521">
        <w:rPr>
          <w:rFonts w:ascii="Calibri" w:hAnsi="Calibri" w:cs="Calibri"/>
          <w:color w:val="FF0000"/>
          <w:lang w:val="en-GB"/>
        </w:rPr>
        <w:t xml:space="preserve"> </w:t>
      </w:r>
      <w:r w:rsidR="00040521" w:rsidRPr="000447C3">
        <w:rPr>
          <w:rFonts w:ascii="Calibri" w:hAnsi="Calibri" w:cs="Calibri"/>
          <w:color w:val="FF0000"/>
          <w:lang w:val="en-GB"/>
        </w:rPr>
        <w:t>To be actionable, this data should be delivered in an accessible and interactive format.</w:t>
      </w:r>
      <w:r w:rsidRPr="000447C3">
        <w:rPr>
          <w:rFonts w:ascii="Calibri" w:hAnsi="Calibri" w:cs="Calibri"/>
          <w:color w:val="FF0000"/>
          <w:lang w:val="en-GB"/>
        </w:rPr>
        <w:t xml:space="preserve"> </w:t>
      </w:r>
      <w:r w:rsidR="00B9567C" w:rsidRPr="000447C3">
        <w:rPr>
          <w:rFonts w:ascii="Calibri" w:hAnsi="Calibri" w:cs="Calibri"/>
          <w:color w:val="FF0000"/>
          <w:lang w:val="en-GB"/>
        </w:rPr>
        <w:t>Th</w:t>
      </w:r>
      <w:r w:rsidR="00040521" w:rsidRPr="000447C3">
        <w:rPr>
          <w:rFonts w:ascii="Calibri" w:hAnsi="Calibri" w:cs="Calibri"/>
          <w:color w:val="FF0000"/>
          <w:lang w:val="en-GB"/>
        </w:rPr>
        <w:t>e</w:t>
      </w:r>
      <w:r w:rsidR="00B9567C" w:rsidRPr="000447C3">
        <w:rPr>
          <w:rFonts w:ascii="Calibri" w:hAnsi="Calibri" w:cs="Calibri"/>
          <w:color w:val="FF0000"/>
          <w:lang w:val="en-GB"/>
        </w:rPr>
        <w:t xml:space="preserve"> database should </w:t>
      </w:r>
      <w:r w:rsidR="00040521" w:rsidRPr="000447C3">
        <w:rPr>
          <w:rFonts w:ascii="Calibri" w:hAnsi="Calibri" w:cs="Calibri"/>
          <w:color w:val="FF0000"/>
          <w:lang w:val="en-GB"/>
        </w:rPr>
        <w:t xml:space="preserve">therefore </w:t>
      </w:r>
      <w:r w:rsidR="00B9567C" w:rsidRPr="000447C3">
        <w:rPr>
          <w:rFonts w:ascii="Calibri" w:hAnsi="Calibri" w:cs="Calibri"/>
          <w:color w:val="FF0000"/>
          <w:lang w:val="en-GB"/>
        </w:rPr>
        <w:t>be arranged by industry</w:t>
      </w:r>
      <w:r w:rsidR="006B7BBA" w:rsidRPr="000447C3">
        <w:rPr>
          <w:rFonts w:ascii="Calibri" w:hAnsi="Calibri" w:cs="Calibri"/>
          <w:color w:val="FF0000"/>
          <w:lang w:val="en-GB"/>
        </w:rPr>
        <w:t xml:space="preserve"> </w:t>
      </w:r>
      <w:r w:rsidR="001C7AC7" w:rsidRPr="000447C3">
        <w:rPr>
          <w:rFonts w:ascii="Calibri" w:hAnsi="Calibri" w:cs="Calibri"/>
          <w:color w:val="FF0000"/>
          <w:lang w:val="en-GB"/>
        </w:rPr>
        <w:t>with the possibility to</w:t>
      </w:r>
      <w:r w:rsidR="00597EC4" w:rsidRPr="000447C3">
        <w:rPr>
          <w:rFonts w:ascii="Calibri" w:hAnsi="Calibri" w:cs="Calibri"/>
          <w:color w:val="FF0000"/>
          <w:lang w:val="en-GB"/>
        </w:rPr>
        <w:t xml:space="preserve"> </w:t>
      </w:r>
      <w:r w:rsidR="000972F6" w:rsidRPr="000447C3">
        <w:rPr>
          <w:rFonts w:ascii="Calibri" w:hAnsi="Calibri" w:cs="Calibri"/>
          <w:color w:val="FF0000"/>
          <w:lang w:val="en-GB"/>
        </w:rPr>
        <w:t>sort</w:t>
      </w:r>
      <w:r w:rsidR="001C7AC7" w:rsidRPr="000447C3">
        <w:rPr>
          <w:rFonts w:ascii="Calibri" w:hAnsi="Calibri" w:cs="Calibri"/>
          <w:color w:val="FF0000"/>
          <w:lang w:val="en-GB"/>
        </w:rPr>
        <w:t xml:space="preserve"> companies</w:t>
      </w:r>
      <w:r w:rsidR="00257936" w:rsidRPr="000447C3">
        <w:rPr>
          <w:rFonts w:ascii="Calibri" w:hAnsi="Calibri" w:cs="Calibri"/>
          <w:color w:val="FF0000"/>
          <w:lang w:val="en-GB"/>
        </w:rPr>
        <w:t xml:space="preserve"> </w:t>
      </w:r>
      <w:r w:rsidR="00040521" w:rsidRPr="000447C3">
        <w:rPr>
          <w:rFonts w:ascii="Calibri" w:hAnsi="Calibri" w:cs="Calibri"/>
          <w:color w:val="FF0000"/>
          <w:lang w:val="en-GB"/>
        </w:rPr>
        <w:t xml:space="preserve">on different </w:t>
      </w:r>
      <w:r w:rsidR="00257936" w:rsidRPr="000447C3">
        <w:rPr>
          <w:rFonts w:ascii="Calibri" w:hAnsi="Calibri" w:cs="Calibri"/>
          <w:color w:val="FF0000"/>
          <w:lang w:val="en-GB"/>
        </w:rPr>
        <w:t>dimensions</w:t>
      </w:r>
      <w:r w:rsidR="00040521" w:rsidRPr="000447C3">
        <w:rPr>
          <w:rFonts w:ascii="Calibri" w:hAnsi="Calibri" w:cs="Calibri"/>
          <w:color w:val="FF0000"/>
          <w:lang w:val="en-GB"/>
        </w:rPr>
        <w:t xml:space="preserve">, such as by country or other </w:t>
      </w:r>
      <w:r w:rsidR="00700D58" w:rsidRPr="000447C3">
        <w:rPr>
          <w:rFonts w:ascii="Calibri" w:hAnsi="Calibri" w:cs="Calibri"/>
          <w:color w:val="FF0000"/>
          <w:lang w:val="en-GB"/>
        </w:rPr>
        <w:t>indicators</w:t>
      </w:r>
      <w:r w:rsidR="00257936" w:rsidRPr="000447C3">
        <w:rPr>
          <w:rFonts w:ascii="Calibri" w:hAnsi="Calibri" w:cs="Calibri"/>
          <w:color w:val="FF0000"/>
          <w:lang w:val="en-GB"/>
        </w:rPr>
        <w:t>.</w:t>
      </w:r>
    </w:p>
    <w:p w14:paraId="67ACFC70" w14:textId="77777777" w:rsidR="00423986" w:rsidRPr="00257936" w:rsidRDefault="00423986" w:rsidP="003028AA">
      <w:pPr>
        <w:contextualSpacing/>
        <w:jc w:val="both"/>
        <w:rPr>
          <w:rFonts w:ascii="Calibri" w:hAnsi="Calibri" w:cs="Calibri"/>
          <w:color w:val="FF0000"/>
          <w:lang w:val="en-GB"/>
        </w:rPr>
      </w:pPr>
    </w:p>
    <w:p w14:paraId="3495D07B" w14:textId="1C9DDAAD" w:rsidR="00436C41" w:rsidRPr="00257936" w:rsidRDefault="0023372C" w:rsidP="003028AA">
      <w:pPr>
        <w:contextualSpacing/>
        <w:jc w:val="both"/>
        <w:rPr>
          <w:rFonts w:ascii="Calibri" w:hAnsi="Calibri" w:cs="Calibri"/>
          <w:color w:val="FF0000"/>
          <w:lang w:val="en-GB"/>
        </w:rPr>
      </w:pPr>
      <w:r w:rsidRPr="00257936">
        <w:rPr>
          <w:rFonts w:ascii="Calibri" w:hAnsi="Calibri" w:cs="Calibri"/>
          <w:color w:val="FF0000"/>
          <w:lang w:val="en-GB"/>
        </w:rPr>
        <w:t>Data should be collected</w:t>
      </w:r>
      <w:r w:rsidR="00DE737D" w:rsidRPr="00257936">
        <w:rPr>
          <w:rFonts w:ascii="Calibri" w:hAnsi="Calibri" w:cs="Calibri"/>
          <w:color w:val="FF0000"/>
          <w:lang w:val="en-GB"/>
        </w:rPr>
        <w:t>,</w:t>
      </w:r>
      <w:r w:rsidRPr="00257936">
        <w:rPr>
          <w:rFonts w:ascii="Calibri" w:hAnsi="Calibri" w:cs="Calibri"/>
          <w:color w:val="FF0000"/>
          <w:lang w:val="en-GB"/>
        </w:rPr>
        <w:t xml:space="preserve"> reported </w:t>
      </w:r>
      <w:r w:rsidR="00DE737D" w:rsidRPr="00257936">
        <w:rPr>
          <w:rFonts w:ascii="Calibri" w:hAnsi="Calibri" w:cs="Calibri"/>
          <w:color w:val="FF0000"/>
          <w:lang w:val="en-GB"/>
        </w:rPr>
        <w:t xml:space="preserve">and </w:t>
      </w:r>
      <w:r w:rsidRPr="00257936">
        <w:rPr>
          <w:rFonts w:ascii="Calibri" w:hAnsi="Calibri" w:cs="Calibri"/>
          <w:color w:val="FF0000"/>
          <w:lang w:val="en-GB"/>
        </w:rPr>
        <w:t xml:space="preserve">classified in </w:t>
      </w:r>
      <w:r w:rsidR="00DE737D" w:rsidRPr="00257936">
        <w:rPr>
          <w:rFonts w:ascii="Calibri" w:hAnsi="Calibri" w:cs="Calibri"/>
          <w:color w:val="FF0000"/>
          <w:lang w:val="en-GB"/>
        </w:rPr>
        <w:t>three</w:t>
      </w:r>
      <w:r w:rsidRPr="00257936">
        <w:rPr>
          <w:rFonts w:ascii="Calibri" w:hAnsi="Calibri" w:cs="Calibri"/>
          <w:color w:val="FF0000"/>
          <w:lang w:val="en-GB"/>
        </w:rPr>
        <w:t xml:space="preserve"> main </w:t>
      </w:r>
      <w:r w:rsidR="00B647AE" w:rsidRPr="00257936">
        <w:rPr>
          <w:rFonts w:ascii="Calibri" w:hAnsi="Calibri" w:cs="Calibri"/>
          <w:color w:val="FF0000"/>
          <w:lang w:val="en-GB"/>
        </w:rPr>
        <w:t xml:space="preserve">ESG </w:t>
      </w:r>
      <w:r w:rsidR="008B1370" w:rsidRPr="00257936">
        <w:rPr>
          <w:rFonts w:ascii="Calibri" w:hAnsi="Calibri" w:cs="Calibri"/>
          <w:color w:val="FF0000"/>
          <w:lang w:val="en-GB"/>
        </w:rPr>
        <w:t>sections</w:t>
      </w:r>
      <w:r w:rsidR="00436C41" w:rsidRPr="00257936">
        <w:rPr>
          <w:rFonts w:ascii="Calibri" w:hAnsi="Calibri" w:cs="Calibri"/>
          <w:color w:val="FF0000"/>
          <w:lang w:val="en-GB"/>
        </w:rPr>
        <w:t xml:space="preserve"> (</w:t>
      </w:r>
      <w:r w:rsidR="002F18A6">
        <w:rPr>
          <w:rFonts w:ascii="Calibri" w:hAnsi="Calibri" w:cs="Calibri"/>
          <w:color w:val="FF0000"/>
          <w:lang w:val="en-GB"/>
        </w:rPr>
        <w:t xml:space="preserve">corresponding to the three topic areas, namely </w:t>
      </w:r>
      <w:r w:rsidR="008B1370" w:rsidRPr="00257936">
        <w:rPr>
          <w:rFonts w:ascii="Calibri" w:hAnsi="Calibri" w:cs="Calibri"/>
          <w:color w:val="FF0000"/>
          <w:lang w:val="en-GB"/>
        </w:rPr>
        <w:t>Environment</w:t>
      </w:r>
      <w:r w:rsidR="00B647AE" w:rsidRPr="00257936">
        <w:rPr>
          <w:rFonts w:ascii="Calibri" w:hAnsi="Calibri" w:cs="Calibri"/>
          <w:color w:val="FF0000"/>
          <w:lang w:val="en-GB"/>
        </w:rPr>
        <w:t>al</w:t>
      </w:r>
      <w:r w:rsidR="008B1370" w:rsidRPr="00257936">
        <w:rPr>
          <w:rFonts w:ascii="Calibri" w:hAnsi="Calibri" w:cs="Calibri"/>
          <w:color w:val="FF0000"/>
          <w:lang w:val="en-GB"/>
        </w:rPr>
        <w:t>, Social</w:t>
      </w:r>
      <w:r w:rsidR="00B647AE" w:rsidRPr="00257936">
        <w:rPr>
          <w:rFonts w:ascii="Calibri" w:hAnsi="Calibri" w:cs="Calibri"/>
          <w:color w:val="FF0000"/>
          <w:lang w:val="en-GB"/>
        </w:rPr>
        <w:t xml:space="preserve"> and </w:t>
      </w:r>
      <w:r w:rsidR="008B1370" w:rsidRPr="00257936">
        <w:rPr>
          <w:rFonts w:ascii="Calibri" w:hAnsi="Calibri" w:cs="Calibri"/>
          <w:color w:val="FF0000"/>
          <w:lang w:val="en-GB"/>
        </w:rPr>
        <w:t>Governance</w:t>
      </w:r>
      <w:r w:rsidR="00436C41" w:rsidRPr="00257936">
        <w:rPr>
          <w:rFonts w:ascii="Calibri" w:hAnsi="Calibri" w:cs="Calibri"/>
          <w:color w:val="FF0000"/>
          <w:lang w:val="en-GB"/>
        </w:rPr>
        <w:t>)</w:t>
      </w:r>
      <w:r w:rsidR="00DE737D" w:rsidRPr="00257936">
        <w:rPr>
          <w:rFonts w:ascii="Calibri" w:hAnsi="Calibri" w:cs="Calibri"/>
          <w:color w:val="FF0000"/>
          <w:lang w:val="en-GB"/>
        </w:rPr>
        <w:t xml:space="preserve">. An additional section </w:t>
      </w:r>
      <w:r w:rsidR="00436C41" w:rsidRPr="00257936">
        <w:rPr>
          <w:rFonts w:ascii="Calibri" w:hAnsi="Calibri" w:cs="Calibri"/>
          <w:color w:val="FF0000"/>
          <w:lang w:val="en-GB"/>
        </w:rPr>
        <w:t xml:space="preserve">titled “Other” </w:t>
      </w:r>
      <w:r w:rsidR="00DE737D" w:rsidRPr="00257936">
        <w:rPr>
          <w:rFonts w:ascii="Calibri" w:hAnsi="Calibri" w:cs="Calibri"/>
          <w:color w:val="FF0000"/>
          <w:lang w:val="en-GB"/>
        </w:rPr>
        <w:t>will give companies the opportunity to</w:t>
      </w:r>
      <w:r w:rsidR="00436C41" w:rsidRPr="00257936">
        <w:rPr>
          <w:rFonts w:ascii="Calibri" w:hAnsi="Calibri" w:cs="Calibri"/>
          <w:color w:val="FF0000"/>
          <w:lang w:val="en-GB"/>
        </w:rPr>
        <w:t xml:space="preserve"> provide any further non-financial information </w:t>
      </w:r>
      <w:r w:rsidR="006C668C" w:rsidRPr="00257936">
        <w:rPr>
          <w:rFonts w:ascii="Calibri" w:hAnsi="Calibri" w:cs="Calibri"/>
          <w:color w:val="FF0000"/>
          <w:lang w:val="en-GB"/>
        </w:rPr>
        <w:t>they consider relevant</w:t>
      </w:r>
      <w:r w:rsidR="00436C41" w:rsidRPr="00257936">
        <w:rPr>
          <w:rFonts w:ascii="Calibri" w:hAnsi="Calibri" w:cs="Calibri"/>
          <w:color w:val="FF0000"/>
          <w:lang w:val="en-GB"/>
        </w:rPr>
        <w:t xml:space="preserve">. </w:t>
      </w:r>
    </w:p>
    <w:p w14:paraId="7DBA4C99" w14:textId="77777777" w:rsidR="00423986" w:rsidRPr="00257936" w:rsidRDefault="00423986" w:rsidP="003028AA">
      <w:pPr>
        <w:ind w:left="306"/>
        <w:contextualSpacing/>
        <w:jc w:val="both"/>
        <w:rPr>
          <w:rFonts w:ascii="Calibri" w:hAnsi="Calibri" w:cs="Calibri"/>
          <w:color w:val="FF0000"/>
          <w:lang w:val="en-GB"/>
        </w:rPr>
      </w:pPr>
    </w:p>
    <w:p w14:paraId="760AC47D" w14:textId="5A1D9C30" w:rsidR="005D4964" w:rsidRPr="005D4964" w:rsidRDefault="00523389" w:rsidP="003028AA">
      <w:pPr>
        <w:jc w:val="both"/>
        <w:rPr>
          <w:sz w:val="24"/>
          <w:szCs w:val="24"/>
          <w:lang w:eastAsia="en-GB" w:bidi="ar-SA"/>
        </w:rPr>
      </w:pPr>
      <w:r w:rsidRPr="00257936">
        <w:rPr>
          <w:rFonts w:ascii="Calibri" w:hAnsi="Calibri" w:cs="Calibri"/>
          <w:color w:val="FF0000"/>
          <w:lang w:val="en-GB"/>
        </w:rPr>
        <w:t xml:space="preserve">Each section should be structured </w:t>
      </w:r>
      <w:r w:rsidR="00257936" w:rsidRPr="00257936">
        <w:rPr>
          <w:rFonts w:ascii="Calibri" w:hAnsi="Calibri" w:cs="Calibri"/>
          <w:color w:val="FF0000"/>
          <w:lang w:val="en-GB"/>
        </w:rPr>
        <w:t>following</w:t>
      </w:r>
      <w:r w:rsidRPr="00257936">
        <w:rPr>
          <w:rFonts w:ascii="Calibri" w:hAnsi="Calibri" w:cs="Calibri"/>
          <w:color w:val="FF0000"/>
          <w:lang w:val="en-GB"/>
        </w:rPr>
        <w:t xml:space="preserve"> </w:t>
      </w:r>
      <w:r w:rsidR="00DE737D" w:rsidRPr="00257936">
        <w:rPr>
          <w:rFonts w:ascii="Calibri" w:hAnsi="Calibri" w:cs="Calibri"/>
          <w:color w:val="FF0000"/>
          <w:lang w:val="en-GB"/>
        </w:rPr>
        <w:t xml:space="preserve">the requirements of the </w:t>
      </w:r>
      <w:r w:rsidR="00F732C2">
        <w:rPr>
          <w:rFonts w:ascii="Calibri" w:hAnsi="Calibri" w:cs="Calibri"/>
          <w:color w:val="FF0000"/>
          <w:lang w:val="en-GB"/>
        </w:rPr>
        <w:t>Non-Financial Reporting Directi</w:t>
      </w:r>
      <w:r w:rsidR="00040521">
        <w:rPr>
          <w:rFonts w:ascii="Calibri" w:hAnsi="Calibri" w:cs="Calibri"/>
          <w:color w:val="FF0000"/>
          <w:lang w:val="en-GB"/>
        </w:rPr>
        <w:t>ve</w:t>
      </w:r>
      <w:ins w:id="13" w:author="Typhaine Beauperin" w:date="2020-07-13T17:02:00Z">
        <w:r w:rsidR="00F732C2">
          <w:rPr>
            <w:rFonts w:ascii="Calibri" w:hAnsi="Calibri" w:cs="Calibri"/>
            <w:color w:val="FF0000"/>
            <w:lang w:val="en-GB"/>
          </w:rPr>
          <w:t xml:space="preserve"> </w:t>
        </w:r>
      </w:ins>
      <w:r w:rsidR="00040521">
        <w:rPr>
          <w:rFonts w:ascii="Calibri" w:hAnsi="Calibri" w:cs="Calibri"/>
          <w:color w:val="FF0000"/>
          <w:lang w:val="en-GB"/>
        </w:rPr>
        <w:t xml:space="preserve">(NFRD). </w:t>
      </w:r>
      <w:r w:rsidR="00423986" w:rsidRPr="00257936">
        <w:rPr>
          <w:rFonts w:ascii="Calibri" w:hAnsi="Calibri" w:cs="Calibri"/>
          <w:color w:val="FF0000"/>
          <w:lang w:val="en-GB"/>
        </w:rPr>
        <w:t>C</w:t>
      </w:r>
      <w:r w:rsidR="005D0544" w:rsidRPr="00257936">
        <w:rPr>
          <w:rFonts w:ascii="Calibri" w:hAnsi="Calibri" w:cs="Calibri"/>
          <w:color w:val="FF0000"/>
          <w:lang w:val="en-GB"/>
        </w:rPr>
        <w:t xml:space="preserve">ompanies should indicate the applicability of each requirement </w:t>
      </w:r>
      <w:r w:rsidR="002D657D" w:rsidRPr="00257936">
        <w:rPr>
          <w:rFonts w:ascii="Calibri" w:hAnsi="Calibri" w:cs="Calibri"/>
          <w:color w:val="FF0000"/>
          <w:lang w:val="en-GB"/>
        </w:rPr>
        <w:t>based on the “</w:t>
      </w:r>
      <w:r w:rsidR="002D657D" w:rsidRPr="00257936">
        <w:rPr>
          <w:rFonts w:ascii="Calibri" w:hAnsi="Calibri" w:cs="Calibri"/>
          <w:i/>
          <w:color w:val="FF0000"/>
          <w:lang w:val="en-GB"/>
        </w:rPr>
        <w:t>comply or explain</w:t>
      </w:r>
      <w:r w:rsidR="002D657D" w:rsidRPr="00257936">
        <w:rPr>
          <w:rFonts w:ascii="Calibri" w:hAnsi="Calibri" w:cs="Calibri"/>
          <w:color w:val="FF0000"/>
          <w:lang w:val="en-GB"/>
        </w:rPr>
        <w:t>” principle</w:t>
      </w:r>
      <w:r w:rsidR="00257936" w:rsidRPr="00257936">
        <w:rPr>
          <w:rFonts w:ascii="Calibri" w:hAnsi="Calibri" w:cs="Calibri"/>
          <w:color w:val="FF0000"/>
          <w:lang w:val="en-GB"/>
        </w:rPr>
        <w:t>. This principle permits companies to</w:t>
      </w:r>
      <w:r w:rsidR="00143803" w:rsidRPr="00257936">
        <w:rPr>
          <w:rFonts w:ascii="Calibri" w:hAnsi="Calibri" w:cs="Calibri"/>
          <w:color w:val="FF0000"/>
          <w:lang w:val="en-GB"/>
        </w:rPr>
        <w:t xml:space="preserve"> either comply with </w:t>
      </w:r>
      <w:r w:rsidR="00BC6A0F" w:rsidRPr="00257936">
        <w:rPr>
          <w:rFonts w:ascii="Calibri" w:hAnsi="Calibri" w:cs="Calibri"/>
          <w:color w:val="FF0000"/>
          <w:lang w:val="en-GB"/>
        </w:rPr>
        <w:t>the NFR</w:t>
      </w:r>
      <w:r w:rsidR="00257936" w:rsidRPr="00257936">
        <w:rPr>
          <w:rFonts w:ascii="Calibri" w:hAnsi="Calibri" w:cs="Calibri"/>
          <w:color w:val="FF0000"/>
          <w:lang w:val="en-GB"/>
        </w:rPr>
        <w:t>D</w:t>
      </w:r>
      <w:r w:rsidR="00143803" w:rsidRPr="00257936">
        <w:rPr>
          <w:rFonts w:ascii="Calibri" w:hAnsi="Calibri" w:cs="Calibri"/>
          <w:color w:val="FF0000"/>
          <w:lang w:val="en-GB"/>
        </w:rPr>
        <w:t xml:space="preserve"> provisions or explain why they </w:t>
      </w:r>
      <w:r w:rsidR="00257936" w:rsidRPr="00257936">
        <w:rPr>
          <w:rFonts w:ascii="Calibri" w:hAnsi="Calibri" w:cs="Calibri"/>
          <w:color w:val="FF0000"/>
          <w:lang w:val="en-GB"/>
        </w:rPr>
        <w:t>have not complied</w:t>
      </w:r>
      <w:r w:rsidR="00143803" w:rsidRPr="00257936">
        <w:rPr>
          <w:rFonts w:ascii="Calibri" w:hAnsi="Calibri" w:cs="Calibri"/>
          <w:color w:val="FF0000"/>
          <w:lang w:val="en-GB"/>
        </w:rPr>
        <w:t xml:space="preserve">, that is, why they </w:t>
      </w:r>
      <w:r w:rsidR="00257936" w:rsidRPr="00257936">
        <w:rPr>
          <w:rFonts w:ascii="Calibri" w:hAnsi="Calibri" w:cs="Calibri"/>
          <w:color w:val="FF0000"/>
          <w:lang w:val="en-GB"/>
        </w:rPr>
        <w:t xml:space="preserve">have </w:t>
      </w:r>
      <w:r w:rsidR="00143803" w:rsidRPr="00257936">
        <w:rPr>
          <w:rFonts w:ascii="Calibri" w:hAnsi="Calibri" w:cs="Calibri"/>
          <w:color w:val="FF0000"/>
          <w:lang w:val="en-GB"/>
        </w:rPr>
        <w:t>deviate</w:t>
      </w:r>
      <w:r w:rsidR="00257936" w:rsidRPr="00257936">
        <w:rPr>
          <w:rFonts w:ascii="Calibri" w:hAnsi="Calibri" w:cs="Calibri"/>
          <w:color w:val="FF0000"/>
          <w:lang w:val="en-GB"/>
        </w:rPr>
        <w:t>d</w:t>
      </w:r>
      <w:r w:rsidR="00143803" w:rsidRPr="00257936">
        <w:rPr>
          <w:rFonts w:ascii="Calibri" w:hAnsi="Calibri" w:cs="Calibri"/>
          <w:color w:val="FF0000"/>
          <w:lang w:val="en-GB"/>
        </w:rPr>
        <w:t xml:space="preserve"> from </w:t>
      </w:r>
      <w:r w:rsidR="00257936" w:rsidRPr="00257936">
        <w:rPr>
          <w:rFonts w:ascii="Calibri" w:hAnsi="Calibri" w:cs="Calibri"/>
          <w:color w:val="FF0000"/>
          <w:lang w:val="en-GB"/>
        </w:rPr>
        <w:t>the</w:t>
      </w:r>
      <w:r w:rsidR="00143803" w:rsidRPr="00257936">
        <w:rPr>
          <w:rFonts w:ascii="Calibri" w:hAnsi="Calibri" w:cs="Calibri"/>
          <w:color w:val="FF0000"/>
          <w:lang w:val="en-GB"/>
        </w:rPr>
        <w:t xml:space="preserve"> provision</w:t>
      </w:r>
      <w:r w:rsidR="00257936" w:rsidRPr="00257936">
        <w:rPr>
          <w:rFonts w:ascii="Calibri" w:hAnsi="Calibri" w:cs="Calibri"/>
          <w:color w:val="FF0000"/>
          <w:lang w:val="en-GB"/>
        </w:rPr>
        <w:t>s</w:t>
      </w:r>
      <w:r w:rsidR="00143803" w:rsidRPr="00257936">
        <w:rPr>
          <w:rFonts w:ascii="Calibri" w:hAnsi="Calibri" w:cs="Calibri"/>
          <w:color w:val="FF0000"/>
          <w:lang w:val="en-GB"/>
        </w:rPr>
        <w:t xml:space="preserve"> of the </w:t>
      </w:r>
      <w:r w:rsidR="00BC6A0F" w:rsidRPr="00257936">
        <w:rPr>
          <w:rFonts w:ascii="Calibri" w:hAnsi="Calibri" w:cs="Calibri"/>
          <w:color w:val="FF0000"/>
          <w:lang w:val="en-GB"/>
        </w:rPr>
        <w:t>directive.</w:t>
      </w:r>
      <w:r w:rsidR="00035F61" w:rsidRPr="00257936">
        <w:rPr>
          <w:rFonts w:ascii="Calibri" w:hAnsi="Calibri" w:cs="Calibri"/>
          <w:color w:val="FF0000"/>
          <w:lang w:val="en-GB"/>
        </w:rPr>
        <w:t xml:space="preserve"> </w:t>
      </w:r>
      <w:r w:rsidR="00257936" w:rsidRPr="00257936">
        <w:rPr>
          <w:rFonts w:ascii="Calibri" w:hAnsi="Calibri" w:cs="Calibri"/>
          <w:color w:val="FF0000"/>
          <w:lang w:val="en-GB"/>
        </w:rPr>
        <w:t>A</w:t>
      </w:r>
      <w:r w:rsidR="00035F61" w:rsidRPr="00257936">
        <w:rPr>
          <w:rFonts w:ascii="Calibri" w:hAnsi="Calibri" w:cs="Calibri"/>
          <w:color w:val="FF0000"/>
          <w:lang w:val="en-GB"/>
        </w:rPr>
        <w:t xml:space="preserve">pplicability should be </w:t>
      </w:r>
      <w:r w:rsidR="00257936" w:rsidRPr="00257936">
        <w:rPr>
          <w:rFonts w:ascii="Calibri" w:hAnsi="Calibri" w:cs="Calibri"/>
          <w:color w:val="FF0000"/>
          <w:lang w:val="en-GB"/>
        </w:rPr>
        <w:t xml:space="preserve">determined </w:t>
      </w:r>
      <w:r w:rsidR="002F18A6">
        <w:rPr>
          <w:rFonts w:ascii="Calibri" w:hAnsi="Calibri" w:cs="Calibri"/>
          <w:color w:val="FF0000"/>
          <w:lang w:val="en-GB"/>
        </w:rPr>
        <w:t>through</w:t>
      </w:r>
      <w:r w:rsidR="00257936" w:rsidRPr="00257936">
        <w:rPr>
          <w:rFonts w:ascii="Calibri" w:hAnsi="Calibri" w:cs="Calibri"/>
          <w:color w:val="FF0000"/>
          <w:lang w:val="en-GB"/>
        </w:rPr>
        <w:t xml:space="preserve"> a </w:t>
      </w:r>
      <w:r w:rsidR="00035F61" w:rsidRPr="00257936">
        <w:rPr>
          <w:rFonts w:ascii="Calibri" w:hAnsi="Calibri" w:cs="Calibri"/>
          <w:color w:val="FF0000"/>
          <w:lang w:val="en-GB"/>
        </w:rPr>
        <w:t xml:space="preserve">risk </w:t>
      </w:r>
      <w:r w:rsidR="00257936" w:rsidRPr="00257936">
        <w:rPr>
          <w:rFonts w:ascii="Calibri" w:hAnsi="Calibri" w:cs="Calibri"/>
          <w:color w:val="FF0000"/>
          <w:lang w:val="en-GB"/>
        </w:rPr>
        <w:t>and</w:t>
      </w:r>
      <w:r w:rsidR="00035F61" w:rsidRPr="00257936">
        <w:rPr>
          <w:rFonts w:ascii="Calibri" w:hAnsi="Calibri" w:cs="Calibri"/>
          <w:color w:val="FF0000"/>
          <w:lang w:val="en-GB"/>
        </w:rPr>
        <w:t xml:space="preserve"> opportunity materiality assessment</w:t>
      </w:r>
      <w:r w:rsidR="00257936" w:rsidRPr="00257936">
        <w:rPr>
          <w:rFonts w:ascii="Calibri" w:hAnsi="Calibri" w:cs="Calibri"/>
          <w:color w:val="FF0000"/>
          <w:lang w:val="en-GB"/>
        </w:rPr>
        <w:t>, following the process described by FERMA in</w:t>
      </w:r>
      <w:r w:rsidR="00F732C2">
        <w:rPr>
          <w:rFonts w:ascii="Calibri" w:hAnsi="Calibri" w:cs="Calibri"/>
          <w:color w:val="FF0000"/>
          <w:lang w:val="en-GB"/>
        </w:rPr>
        <w:t xml:space="preserve"> its response to</w:t>
      </w:r>
      <w:r w:rsidR="00257936" w:rsidRPr="00257936">
        <w:rPr>
          <w:rFonts w:ascii="Calibri" w:hAnsi="Calibri" w:cs="Calibri"/>
          <w:color w:val="FF0000"/>
          <w:lang w:val="en-GB"/>
        </w:rPr>
        <w:t xml:space="preserve"> the recent public consultation</w:t>
      </w:r>
      <w:r w:rsidR="00040521">
        <w:rPr>
          <w:rFonts w:ascii="Calibri" w:hAnsi="Calibri" w:cs="Calibri"/>
          <w:color w:val="FF0000"/>
          <w:lang w:val="en-GB"/>
        </w:rPr>
        <w:t xml:space="preserve"> on the review of the NFRD</w:t>
      </w:r>
      <w:r w:rsidR="00F732C2">
        <w:rPr>
          <w:rFonts w:ascii="Calibri" w:hAnsi="Calibri" w:cs="Calibri"/>
          <w:color w:val="FF0000"/>
          <w:lang w:val="en-GB"/>
        </w:rPr>
        <w:t xml:space="preserve"> (see link below)</w:t>
      </w:r>
      <w:r w:rsidR="00E3294A" w:rsidRPr="00257936">
        <w:rPr>
          <w:rFonts w:ascii="Calibri" w:hAnsi="Calibri" w:cs="Calibri"/>
          <w:color w:val="FF0000"/>
          <w:lang w:val="en-GB"/>
        </w:rPr>
        <w:t>.</w:t>
      </w:r>
      <w:r w:rsidR="005D4964">
        <w:rPr>
          <w:rFonts w:ascii="Calibri" w:hAnsi="Calibri" w:cs="Calibri"/>
          <w:color w:val="FF0000"/>
          <w:lang w:val="en-GB"/>
        </w:rPr>
        <w:t xml:space="preserve"> </w:t>
      </w:r>
      <w:r w:rsidR="005D4964" w:rsidRPr="003028AA">
        <w:rPr>
          <w:rFonts w:ascii="Calibri" w:hAnsi="Calibri" w:cs="Calibri"/>
          <w:color w:val="FF0000"/>
          <w:lang w:val="en-GB"/>
        </w:rPr>
        <w:t xml:space="preserve">This process involves the construction of a risk and opportunity-based Materiality Matrix, focused on a few clear priorities that may distinguish information that is important and necessary to disclose from that which could be considered secondary and optional. </w:t>
      </w:r>
      <w:r w:rsidR="00F732C2">
        <w:rPr>
          <w:rFonts w:ascii="Calibri" w:hAnsi="Calibri" w:cs="Calibri"/>
          <w:color w:val="FF0000"/>
          <w:lang w:val="en-GB"/>
        </w:rPr>
        <w:t>This Matrix uses</w:t>
      </w:r>
      <w:r w:rsidR="005D4964" w:rsidRPr="003028AA">
        <w:rPr>
          <w:rFonts w:ascii="Calibri" w:hAnsi="Calibri" w:cs="Calibri"/>
          <w:color w:val="FF0000"/>
          <w:lang w:val="en-GB"/>
        </w:rPr>
        <w:t xml:space="preserve"> Enterprise Risk Management (ERM) to assess the relevance of each risk and opportunity in order to select key sustainability topics</w:t>
      </w:r>
      <w:r w:rsidR="00F732C2">
        <w:rPr>
          <w:rFonts w:ascii="Calibri" w:hAnsi="Calibri" w:cs="Calibri"/>
          <w:color w:val="FF0000"/>
          <w:lang w:val="en-GB"/>
        </w:rPr>
        <w:t>. It</w:t>
      </w:r>
      <w:r w:rsidR="005D4964" w:rsidRPr="003028AA">
        <w:rPr>
          <w:rFonts w:ascii="Calibri" w:hAnsi="Calibri" w:cs="Calibri"/>
          <w:color w:val="FF0000"/>
          <w:lang w:val="en-GB"/>
        </w:rPr>
        <w:t xml:space="preserve"> will increase the quality of non-financial information for both companies and stakeholders, while ensuring the scope remains limited to only the most relevant aspects. For more information about this process, and to read FERMA’s overall position on the NFRD, please visit </w:t>
      </w:r>
      <w:hyperlink r:id="rId47" w:history="1">
        <w:r w:rsidR="005D4964" w:rsidRPr="003028AA">
          <w:rPr>
            <w:rFonts w:ascii="Calibri" w:hAnsi="Calibri" w:cs="Calibri"/>
            <w:color w:val="0000FF"/>
            <w:u w:val="single"/>
            <w:lang w:eastAsia="en-GB" w:bidi="ar-SA"/>
          </w:rPr>
          <w:t>https://www.ferma.eu/advocacy/ferma-calls-for-a-clarified-and-targeted-non-financial-reporting-standard-based-on-erm/</w:t>
        </w:r>
      </w:hyperlink>
      <w:r w:rsidR="005D4964" w:rsidRPr="003028AA">
        <w:rPr>
          <w:rFonts w:ascii="Calibri" w:hAnsi="Calibri" w:cs="Calibri"/>
          <w:lang w:eastAsia="en-GB" w:bidi="ar-SA"/>
        </w:rPr>
        <w:t>.</w:t>
      </w:r>
    </w:p>
    <w:p w14:paraId="17DDD7FB" w14:textId="1620F144" w:rsidR="00E31B53" w:rsidRPr="00257936" w:rsidRDefault="00E31B53" w:rsidP="00257936">
      <w:pPr>
        <w:ind w:left="306"/>
        <w:contextualSpacing/>
        <w:rPr>
          <w:rFonts w:ascii="Calibri" w:hAnsi="Calibri" w:cs="Calibri"/>
          <w:color w:val="FF0000"/>
          <w:lang w:val="en-GB"/>
        </w:rPr>
      </w:pPr>
    </w:p>
    <w:p w14:paraId="449B0DC5" w14:textId="6C53ADDE" w:rsidR="005D282E" w:rsidRPr="006C668C" w:rsidRDefault="00FF5CC2" w:rsidP="00471AC4">
      <w:pPr>
        <w:pStyle w:val="BodyText"/>
        <w:rPr>
          <w:color w:val="9BBB59" w:themeColor="accent3"/>
          <w:lang w:val="en-GB"/>
        </w:rPr>
      </w:pPr>
      <w:r w:rsidRPr="006C668C">
        <w:rPr>
          <w:color w:val="9BBB59" w:themeColor="accent3"/>
          <w:lang w:val="en-GB"/>
        </w:rPr>
        <w:t>[…]</w:t>
      </w:r>
    </w:p>
    <w:p w14:paraId="62FB7C57" w14:textId="35484B45" w:rsidR="0027304B" w:rsidRPr="006C668C" w:rsidRDefault="0027304B" w:rsidP="00471AC4">
      <w:pPr>
        <w:pStyle w:val="BodyText"/>
        <w:rPr>
          <w:color w:val="9BBB59" w:themeColor="accent3"/>
          <w:lang w:val="en-GB"/>
        </w:rPr>
      </w:pPr>
    </w:p>
    <w:p w14:paraId="449B0DC6" w14:textId="77777777" w:rsidR="00471AC4" w:rsidRPr="006C668C" w:rsidRDefault="00471AC4" w:rsidP="00471AC4">
      <w:pPr>
        <w:pStyle w:val="BodyText"/>
        <w:rPr>
          <w:color w:val="9BBB59" w:themeColor="accent3"/>
          <w:lang w:val="en-GB"/>
        </w:rPr>
      </w:pPr>
    </w:p>
    <w:p w14:paraId="449B0DC7" w14:textId="77777777" w:rsidR="005D282E" w:rsidRPr="006C668C" w:rsidRDefault="00471AC4" w:rsidP="00471AC4">
      <w:pPr>
        <w:pStyle w:val="Heading2"/>
        <w:numPr>
          <w:ilvl w:val="1"/>
          <w:numId w:val="22"/>
        </w:numPr>
        <w:tabs>
          <w:tab w:val="left" w:pos="1027"/>
        </w:tabs>
        <w:rPr>
          <w:lang w:val="en-GB"/>
        </w:rPr>
      </w:pPr>
      <w:bookmarkStart w:id="14" w:name="1.3_Sustainability_research_and_ratings"/>
      <w:bookmarkStart w:id="15" w:name="_bookmark7"/>
      <w:bookmarkEnd w:id="14"/>
      <w:bookmarkEnd w:id="15"/>
      <w:r w:rsidRPr="006C668C">
        <w:rPr>
          <w:lang w:val="en-GB"/>
        </w:rPr>
        <w:t xml:space="preserve"> </w:t>
      </w:r>
      <w:r w:rsidR="00E47DB2" w:rsidRPr="006C668C">
        <w:rPr>
          <w:lang w:val="en-GB"/>
        </w:rPr>
        <w:t>Sustainability research and</w:t>
      </w:r>
      <w:r w:rsidR="00E47DB2" w:rsidRPr="006C668C">
        <w:rPr>
          <w:spacing w:val="1"/>
          <w:lang w:val="en-GB"/>
        </w:rPr>
        <w:t xml:space="preserve"> </w:t>
      </w:r>
      <w:r w:rsidR="00E47DB2" w:rsidRPr="006C668C">
        <w:rPr>
          <w:lang w:val="en-GB"/>
        </w:rPr>
        <w:t>ratings</w:t>
      </w:r>
    </w:p>
    <w:p w14:paraId="449B0DC8" w14:textId="77777777" w:rsidR="005D282E" w:rsidRPr="006C668C" w:rsidRDefault="005D282E">
      <w:pPr>
        <w:pStyle w:val="BodyText"/>
        <w:spacing w:before="1"/>
        <w:rPr>
          <w:b/>
          <w:sz w:val="27"/>
          <w:lang w:val="en-GB"/>
        </w:rPr>
      </w:pPr>
    </w:p>
    <w:p w14:paraId="449B0DC9" w14:textId="77777777" w:rsidR="005D282E" w:rsidRPr="006C668C" w:rsidRDefault="00E47DB2">
      <w:pPr>
        <w:pStyle w:val="BodyText"/>
        <w:spacing w:before="1"/>
        <w:ind w:left="306" w:right="320"/>
        <w:jc w:val="both"/>
        <w:rPr>
          <w:lang w:val="en-GB"/>
        </w:rPr>
      </w:pPr>
      <w:r w:rsidRPr="006C668C">
        <w:rPr>
          <w:lang w:val="en-GB"/>
        </w:rPr>
        <w:t>A variety of sustainability-related assessment tools (ratings, research, scenario analysis, screening lists, carbon data, ESG benchmarks, etc.) are offered by specialised agencies that analyse individual risks and by traditional providers, such as rating agencies and data providers. In the autumn of 2019, the Commission launched a study on the market structure, providers and their role as intermediaries between companies and investors. The study will also explore possible measures to manage conflicts of interest and enhance transparency in the market for sustainability assessment tools. The results are due in the autumn of 2020. To complement this work, the Commission would like to gather further evidence through this</w:t>
      </w:r>
      <w:r w:rsidRPr="006C668C">
        <w:rPr>
          <w:spacing w:val="-2"/>
          <w:lang w:val="en-GB"/>
        </w:rPr>
        <w:t xml:space="preserve"> </w:t>
      </w:r>
      <w:r w:rsidRPr="006C668C">
        <w:rPr>
          <w:lang w:val="en-GB"/>
        </w:rPr>
        <w:t>consultation.</w:t>
      </w:r>
    </w:p>
    <w:p w14:paraId="449B0DCA" w14:textId="77777777" w:rsidR="005D282E" w:rsidRPr="006C668C" w:rsidRDefault="005D282E">
      <w:pPr>
        <w:pStyle w:val="BodyText"/>
        <w:spacing w:before="10"/>
        <w:rPr>
          <w:sz w:val="20"/>
          <w:lang w:val="en-GB"/>
        </w:rPr>
      </w:pPr>
    </w:p>
    <w:p w14:paraId="449B0DCB" w14:textId="77777777" w:rsidR="005D282E" w:rsidRPr="006C668C" w:rsidRDefault="00E47DB2">
      <w:pPr>
        <w:pStyle w:val="BodyText"/>
        <w:ind w:left="306"/>
        <w:rPr>
          <w:lang w:val="en-GB"/>
        </w:rPr>
      </w:pPr>
      <w:r w:rsidRPr="006C668C">
        <w:rPr>
          <w:b/>
          <w:lang w:val="en-GB"/>
        </w:rPr>
        <w:t xml:space="preserve">Question 17: </w:t>
      </w:r>
      <w:r w:rsidRPr="006C668C">
        <w:rPr>
          <w:lang w:val="en-GB"/>
        </w:rPr>
        <w:t>Do you have concerns on the level of concentration in the market for ESG ratings and data?</w:t>
      </w:r>
    </w:p>
    <w:p w14:paraId="3D15333A" w14:textId="77777777" w:rsidR="003B2B71" w:rsidRPr="003B2B71" w:rsidRDefault="00E47DB2" w:rsidP="003B2B71">
      <w:pPr>
        <w:pStyle w:val="ListParagraph"/>
        <w:numPr>
          <w:ilvl w:val="0"/>
          <w:numId w:val="16"/>
        </w:numPr>
        <w:tabs>
          <w:tab w:val="left" w:pos="1026"/>
          <w:tab w:val="left" w:pos="1027"/>
        </w:tabs>
        <w:spacing w:before="62" w:line="276" w:lineRule="auto"/>
        <w:ind w:right="312"/>
        <w:jc w:val="left"/>
        <w:rPr>
          <w:rFonts w:ascii="Wingdings" w:hAnsi="Wingdings"/>
          <w:lang w:val="en-GB"/>
        </w:rPr>
      </w:pPr>
      <w:r w:rsidRPr="006C668C">
        <w:rPr>
          <w:lang w:val="en-GB"/>
        </w:rPr>
        <w:t>Please express your view by using a scale of 1 (not concerned at all) to 5 (very concerned).</w:t>
      </w:r>
      <w:r w:rsidR="002F0E22" w:rsidRPr="006C668C">
        <w:rPr>
          <w:lang w:val="en-GB"/>
        </w:rPr>
        <w:t xml:space="preserve"> </w:t>
      </w:r>
      <w:r w:rsidR="005470FB" w:rsidRPr="006C668C">
        <w:rPr>
          <w:b/>
          <w:color w:val="FF0000"/>
          <w:lang w:val="en-GB"/>
        </w:rPr>
        <w:t>4</w:t>
      </w:r>
    </w:p>
    <w:p w14:paraId="4FEB25B0" w14:textId="21072D20" w:rsidR="00257936" w:rsidRPr="003028AA" w:rsidRDefault="00E47DB2" w:rsidP="003B2B71">
      <w:pPr>
        <w:pStyle w:val="ListParagraph"/>
        <w:numPr>
          <w:ilvl w:val="0"/>
          <w:numId w:val="16"/>
        </w:numPr>
        <w:tabs>
          <w:tab w:val="left" w:pos="1026"/>
          <w:tab w:val="left" w:pos="1027"/>
        </w:tabs>
        <w:spacing w:before="62" w:line="276" w:lineRule="auto"/>
        <w:ind w:right="312"/>
        <w:jc w:val="left"/>
        <w:rPr>
          <w:ins w:id="16" w:author="Administration" w:date="2020-06-24T09:16:00Z"/>
          <w:rFonts w:ascii="Wingdings" w:hAnsi="Wingdings"/>
          <w:lang w:val="en-GB"/>
        </w:rPr>
      </w:pPr>
      <w:r w:rsidRPr="003B2B71">
        <w:rPr>
          <w:lang w:val="en-GB"/>
        </w:rPr>
        <w:t>If necessary, please explain the reasons for your answer. [BOX, 2000</w:t>
      </w:r>
      <w:r w:rsidRPr="003B2B71">
        <w:rPr>
          <w:spacing w:val="-12"/>
          <w:lang w:val="en-GB"/>
        </w:rPr>
        <w:t xml:space="preserve"> </w:t>
      </w:r>
      <w:r w:rsidRPr="003B2B71">
        <w:rPr>
          <w:lang w:val="en-GB"/>
        </w:rPr>
        <w:t>characters]</w:t>
      </w:r>
      <w:r w:rsidR="005470FB" w:rsidRPr="003B2B71">
        <w:rPr>
          <w:lang w:val="en-GB"/>
        </w:rPr>
        <w:t xml:space="preserve"> </w:t>
      </w:r>
      <w:r w:rsidR="00257936" w:rsidRPr="003B2B71">
        <w:rPr>
          <w:color w:val="FF0000"/>
          <w:lang w:val="en-GB"/>
        </w:rPr>
        <w:t xml:space="preserve">Although there are many ESG assessment tools available to help gauge a company’s sustainability level, few of them are well-recognised internationally. This leads to a concentration in the market for those few that are well-recognised, namely the Dow Jones Sustainability Index, Carbon Disclosure Project (CDP) and Ecovadis (particularly for the automotive industry). Companies are </w:t>
      </w:r>
      <w:r w:rsidR="005D4964" w:rsidRPr="003B2B71">
        <w:rPr>
          <w:color w:val="FF0000"/>
          <w:lang w:val="en-GB"/>
        </w:rPr>
        <w:t>subsequently</w:t>
      </w:r>
      <w:r w:rsidR="00257936" w:rsidRPr="003B2B71">
        <w:rPr>
          <w:color w:val="FF0000"/>
          <w:lang w:val="en-GB"/>
        </w:rPr>
        <w:t xml:space="preserve"> more interested in obtaining a high score/rating from one of the above than from other providers.</w:t>
      </w:r>
      <w:r w:rsidR="005D4964" w:rsidRPr="003B2B71">
        <w:rPr>
          <w:color w:val="FF0000"/>
          <w:lang w:val="en-GB"/>
        </w:rPr>
        <w:t xml:space="preserve"> </w:t>
      </w:r>
      <w:r w:rsidR="005D4964" w:rsidRPr="003028AA">
        <w:rPr>
          <w:color w:val="FF0000"/>
          <w:lang w:val="en-GB"/>
        </w:rPr>
        <w:t>Therefore, in addition to the Commission study that will explore possible measures to manage conflicts of interest and enhance transparency in the market for sustainability tools, there may be a further need to</w:t>
      </w:r>
      <w:r w:rsidR="003028AA">
        <w:rPr>
          <w:color w:val="FF0000"/>
          <w:lang w:val="en-GB"/>
        </w:rPr>
        <w:t xml:space="preserve"> define the minimum requirements </w:t>
      </w:r>
      <w:ins w:id="17" w:author="Typhaine Beauperin" w:date="2020-07-13T17:38:00Z">
        <w:r w:rsidR="004048B3">
          <w:rPr>
            <w:color w:val="FF0000"/>
            <w:lang w:val="en-GB"/>
          </w:rPr>
          <w:t xml:space="preserve">(i.e. standards) </w:t>
        </w:r>
      </w:ins>
      <w:r w:rsidR="003028AA">
        <w:rPr>
          <w:color w:val="FF0000"/>
          <w:lang w:val="en-GB"/>
        </w:rPr>
        <w:t xml:space="preserve">with which any tool should comply to ensure comparability of information independently of the tool used. </w:t>
      </w:r>
      <w:r w:rsidR="003B2B71" w:rsidRPr="003028AA">
        <w:rPr>
          <w:color w:val="FF0000"/>
          <w:lang w:val="en-GB"/>
        </w:rPr>
        <w:t xml:space="preserve">Such criteria will help to avoid the market concentration described above and the unfair focus on a few well-recognised providers to the detriment of others. </w:t>
      </w:r>
    </w:p>
    <w:p w14:paraId="449B0DCE" w14:textId="0B11A04A" w:rsidR="00471AC4" w:rsidRPr="003B2B71" w:rsidRDefault="00471AC4" w:rsidP="003B2B71">
      <w:pPr>
        <w:tabs>
          <w:tab w:val="left" w:pos="1026"/>
          <w:tab w:val="left" w:pos="1027"/>
        </w:tabs>
        <w:spacing w:line="252" w:lineRule="exact"/>
        <w:rPr>
          <w:rFonts w:ascii="Wingdings" w:hAnsi="Wingdings"/>
          <w:lang w:val="en-GB"/>
        </w:rPr>
      </w:pPr>
    </w:p>
    <w:p w14:paraId="449B0DCF" w14:textId="77777777" w:rsidR="005D282E" w:rsidRPr="006C668C" w:rsidRDefault="00E47DB2">
      <w:pPr>
        <w:pStyle w:val="BodyText"/>
        <w:spacing w:before="73"/>
        <w:ind w:left="306"/>
        <w:rPr>
          <w:b/>
          <w:lang w:val="en-GB"/>
        </w:rPr>
      </w:pPr>
      <w:r w:rsidRPr="006C668C">
        <w:rPr>
          <w:b/>
          <w:lang w:val="en-GB"/>
        </w:rPr>
        <w:t xml:space="preserve">Question 18: </w:t>
      </w:r>
      <w:r w:rsidRPr="006C668C">
        <w:rPr>
          <w:lang w:val="en-GB"/>
        </w:rPr>
        <w:t>How would you rate the comparability, quality and reliability of ESG</w:t>
      </w:r>
      <w:r w:rsidRPr="006C668C">
        <w:rPr>
          <w:spacing w:val="57"/>
          <w:lang w:val="en-GB"/>
        </w:rPr>
        <w:t xml:space="preserve"> </w:t>
      </w:r>
      <w:r w:rsidRPr="006C668C">
        <w:rPr>
          <w:b/>
          <w:u w:val="thick"/>
          <w:lang w:val="en-GB"/>
        </w:rPr>
        <w:t>data</w:t>
      </w:r>
    </w:p>
    <w:p w14:paraId="449B0DD0" w14:textId="77777777" w:rsidR="005D282E" w:rsidRPr="006C668C" w:rsidRDefault="00E47DB2">
      <w:pPr>
        <w:pStyle w:val="BodyText"/>
        <w:ind w:left="306"/>
        <w:rPr>
          <w:lang w:val="en-GB"/>
        </w:rPr>
      </w:pPr>
      <w:r w:rsidRPr="006C668C">
        <w:rPr>
          <w:lang w:val="en-GB"/>
        </w:rPr>
        <w:t>from sustainability providers currently available in the market?</w:t>
      </w:r>
    </w:p>
    <w:p w14:paraId="449B0DD1" w14:textId="77777777" w:rsidR="005D282E" w:rsidRPr="006C668C" w:rsidRDefault="005D282E">
      <w:pPr>
        <w:pStyle w:val="BodyText"/>
        <w:spacing w:before="3"/>
        <w:rPr>
          <w:sz w:val="26"/>
          <w:lang w:val="en-GB"/>
        </w:rPr>
      </w:pPr>
    </w:p>
    <w:p w14:paraId="449B0DD2" w14:textId="23B95A77" w:rsidR="005D282E" w:rsidRPr="006C668C" w:rsidRDefault="00E47DB2">
      <w:pPr>
        <w:pStyle w:val="ListParagraph"/>
        <w:numPr>
          <w:ilvl w:val="0"/>
          <w:numId w:val="16"/>
        </w:numPr>
        <w:tabs>
          <w:tab w:val="left" w:pos="1026"/>
          <w:tab w:val="left" w:pos="1027"/>
        </w:tabs>
        <w:spacing w:before="1"/>
        <w:ind w:hanging="361"/>
        <w:jc w:val="left"/>
        <w:rPr>
          <w:rFonts w:ascii="Wingdings" w:hAnsi="Wingdings"/>
          <w:lang w:val="en-GB"/>
        </w:rPr>
      </w:pPr>
      <w:r w:rsidRPr="006C668C">
        <w:rPr>
          <w:lang w:val="en-GB"/>
        </w:rPr>
        <w:t>Please express your view by using a scale of 1 (very poor) to 5 (very</w:t>
      </w:r>
      <w:r w:rsidRPr="006C668C">
        <w:rPr>
          <w:spacing w:val="-15"/>
          <w:lang w:val="en-GB"/>
        </w:rPr>
        <w:t xml:space="preserve"> </w:t>
      </w:r>
      <w:r w:rsidRPr="006C668C">
        <w:rPr>
          <w:lang w:val="en-GB"/>
        </w:rPr>
        <w:t>good).</w:t>
      </w:r>
      <w:r w:rsidR="00B0132C" w:rsidRPr="006C668C">
        <w:rPr>
          <w:lang w:val="en-GB"/>
        </w:rPr>
        <w:t xml:space="preserve"> </w:t>
      </w:r>
      <w:r w:rsidR="00B0132C" w:rsidRPr="006C668C">
        <w:rPr>
          <w:b/>
          <w:color w:val="FF0000"/>
          <w:lang w:val="en-GB"/>
        </w:rPr>
        <w:t>4</w:t>
      </w:r>
    </w:p>
    <w:p w14:paraId="449B0DD3" w14:textId="6BCC59DE" w:rsidR="005D282E" w:rsidRPr="006C668C" w:rsidRDefault="00E47DB2">
      <w:pPr>
        <w:pStyle w:val="ListParagraph"/>
        <w:numPr>
          <w:ilvl w:val="0"/>
          <w:numId w:val="16"/>
        </w:numPr>
        <w:tabs>
          <w:tab w:val="left" w:pos="1026"/>
          <w:tab w:val="left" w:pos="1027"/>
        </w:tabs>
        <w:spacing w:before="37"/>
        <w:ind w:hanging="361"/>
        <w:jc w:val="left"/>
        <w:rPr>
          <w:rFonts w:ascii="Wingdings" w:hAnsi="Wingdings"/>
          <w:color w:val="FF0000"/>
          <w:lang w:val="en-GB"/>
        </w:rPr>
      </w:pPr>
      <w:r w:rsidRPr="006C668C">
        <w:rPr>
          <w:lang w:val="en-GB"/>
        </w:rPr>
        <w:t>If necessary, please explain the reasons for your answer. [BOX, 2000</w:t>
      </w:r>
      <w:r w:rsidRPr="006C668C">
        <w:rPr>
          <w:spacing w:val="-12"/>
          <w:lang w:val="en-GB"/>
        </w:rPr>
        <w:t xml:space="preserve"> </w:t>
      </w:r>
      <w:r w:rsidRPr="006C668C">
        <w:rPr>
          <w:lang w:val="en-GB"/>
        </w:rPr>
        <w:t>characters]</w:t>
      </w:r>
      <w:r w:rsidR="00E26CBF" w:rsidRPr="006C668C">
        <w:rPr>
          <w:lang w:val="en-GB"/>
        </w:rPr>
        <w:t xml:space="preserve"> </w:t>
      </w:r>
      <w:r w:rsidR="008922EF" w:rsidRPr="008922EF">
        <w:rPr>
          <w:color w:val="FF0000"/>
          <w:lang w:val="en-GB"/>
        </w:rPr>
        <w:t>Sustainability providers request that respondents complete a standard questionnaire, with the option to provide supporting documentation if desired. This standardi</w:t>
      </w:r>
      <w:r w:rsidR="002F18A6">
        <w:rPr>
          <w:color w:val="FF0000"/>
          <w:lang w:val="en-GB"/>
        </w:rPr>
        <w:t>s</w:t>
      </w:r>
      <w:r w:rsidR="008922EF" w:rsidRPr="008922EF">
        <w:rPr>
          <w:color w:val="FF0000"/>
          <w:lang w:val="en-GB"/>
        </w:rPr>
        <w:t xml:space="preserve">ation greatly improves the quality and reliability of ESG data as it makes it possible to compare </w:t>
      </w:r>
      <w:r w:rsidR="008922EF">
        <w:rPr>
          <w:color w:val="FF0000"/>
          <w:lang w:val="en-GB"/>
        </w:rPr>
        <w:t xml:space="preserve">results </w:t>
      </w:r>
      <w:r w:rsidR="008922EF" w:rsidRPr="008922EF">
        <w:rPr>
          <w:color w:val="FF0000"/>
          <w:lang w:val="en-GB"/>
        </w:rPr>
        <w:t xml:space="preserve">across the EU. </w:t>
      </w:r>
    </w:p>
    <w:p w14:paraId="0F139825" w14:textId="77777777" w:rsidR="00BC4A4F" w:rsidRPr="006C668C" w:rsidRDefault="00BC4A4F" w:rsidP="00BA3E59">
      <w:pPr>
        <w:pStyle w:val="BodyText"/>
        <w:spacing w:before="96"/>
        <w:ind w:right="317"/>
        <w:jc w:val="both"/>
        <w:rPr>
          <w:b/>
          <w:lang w:val="en-GB"/>
        </w:rPr>
      </w:pPr>
    </w:p>
    <w:p w14:paraId="449B0DDA" w14:textId="39D72E2F" w:rsidR="005D282E" w:rsidRPr="006C668C" w:rsidRDefault="00E47DB2">
      <w:pPr>
        <w:pStyle w:val="BodyText"/>
        <w:spacing w:before="96"/>
        <w:ind w:left="306" w:right="317"/>
        <w:jc w:val="both"/>
        <w:rPr>
          <w:lang w:val="en-GB"/>
        </w:rPr>
      </w:pPr>
      <w:r w:rsidRPr="006C668C">
        <w:rPr>
          <w:b/>
          <w:lang w:val="en-GB"/>
        </w:rPr>
        <w:t xml:space="preserve">Question 20: </w:t>
      </w:r>
      <w:r w:rsidRPr="006C668C">
        <w:rPr>
          <w:lang w:val="en-GB"/>
        </w:rPr>
        <w:t xml:space="preserve">How would you assess the quality and relevance of ESG </w:t>
      </w:r>
      <w:r w:rsidRPr="006C668C">
        <w:rPr>
          <w:b/>
          <w:u w:val="thick"/>
          <w:lang w:val="en-GB"/>
        </w:rPr>
        <w:t>ratings</w:t>
      </w:r>
      <w:r w:rsidRPr="006C668C">
        <w:rPr>
          <w:b/>
          <w:lang w:val="en-GB"/>
        </w:rPr>
        <w:t xml:space="preserve"> </w:t>
      </w:r>
      <w:r w:rsidRPr="006C668C">
        <w:rPr>
          <w:lang w:val="en-GB"/>
        </w:rPr>
        <w:t>for your investment decisions, both ratings of individual Environmental, Social or Governance factors and aggregated ones?</w:t>
      </w:r>
    </w:p>
    <w:p w14:paraId="449B0DDB" w14:textId="77777777" w:rsidR="005D282E" w:rsidRPr="006C668C" w:rsidRDefault="005D282E">
      <w:pPr>
        <w:pStyle w:val="BodyText"/>
        <w:spacing w:before="3"/>
        <w:rPr>
          <w:sz w:val="26"/>
          <w:lang w:val="en-GB"/>
        </w:rPr>
      </w:pPr>
    </w:p>
    <w:p w14:paraId="449B0DDC" w14:textId="0A0F5B53" w:rsidR="005D282E" w:rsidRPr="006C668C" w:rsidRDefault="00E47DB2">
      <w:pPr>
        <w:pStyle w:val="ListParagraph"/>
        <w:numPr>
          <w:ilvl w:val="0"/>
          <w:numId w:val="16"/>
        </w:numPr>
        <w:tabs>
          <w:tab w:val="left" w:pos="1026"/>
          <w:tab w:val="left" w:pos="1027"/>
        </w:tabs>
        <w:spacing w:line="276" w:lineRule="auto"/>
        <w:ind w:right="316"/>
        <w:jc w:val="left"/>
        <w:rPr>
          <w:rFonts w:ascii="Wingdings" w:hAnsi="Wingdings"/>
          <w:lang w:val="en-GB"/>
        </w:rPr>
      </w:pPr>
      <w:r w:rsidRPr="006C668C">
        <w:rPr>
          <w:lang w:val="en-GB"/>
        </w:rPr>
        <w:t>Individual: Please express your view by using a scale of 1 (very poor quality and relevance) to 5 (very</w:t>
      </w:r>
      <w:r w:rsidRPr="006C668C">
        <w:rPr>
          <w:spacing w:val="-8"/>
          <w:lang w:val="en-GB"/>
        </w:rPr>
        <w:t xml:space="preserve"> </w:t>
      </w:r>
      <w:r w:rsidRPr="006C668C">
        <w:rPr>
          <w:lang w:val="en-GB"/>
        </w:rPr>
        <w:t>good).</w:t>
      </w:r>
      <w:r w:rsidR="00CF222F" w:rsidRPr="006C668C">
        <w:rPr>
          <w:lang w:val="en-GB"/>
        </w:rPr>
        <w:t xml:space="preserve"> </w:t>
      </w:r>
      <w:r w:rsidR="00CF222F" w:rsidRPr="006C668C">
        <w:rPr>
          <w:b/>
          <w:color w:val="FF0000"/>
          <w:lang w:val="en-GB"/>
        </w:rPr>
        <w:t>4</w:t>
      </w:r>
    </w:p>
    <w:p w14:paraId="449B0DDD" w14:textId="5EBBF919" w:rsidR="005D282E" w:rsidRPr="006C668C" w:rsidRDefault="00E47DB2">
      <w:pPr>
        <w:pStyle w:val="ListParagraph"/>
        <w:numPr>
          <w:ilvl w:val="0"/>
          <w:numId w:val="16"/>
        </w:numPr>
        <w:tabs>
          <w:tab w:val="left" w:pos="1026"/>
          <w:tab w:val="left" w:pos="1027"/>
        </w:tabs>
        <w:spacing w:line="276" w:lineRule="auto"/>
        <w:ind w:right="316"/>
        <w:jc w:val="left"/>
        <w:rPr>
          <w:rFonts w:ascii="Wingdings" w:hAnsi="Wingdings"/>
          <w:lang w:val="en-GB"/>
        </w:rPr>
      </w:pPr>
      <w:r w:rsidRPr="006C668C">
        <w:rPr>
          <w:lang w:val="en-GB"/>
        </w:rPr>
        <w:t>Aggregated: Please express your view by using a scale of 1 (very poor quality and relevance) to 5 (very</w:t>
      </w:r>
      <w:r w:rsidRPr="006C668C">
        <w:rPr>
          <w:spacing w:val="-8"/>
          <w:lang w:val="en-GB"/>
        </w:rPr>
        <w:t xml:space="preserve"> </w:t>
      </w:r>
      <w:r w:rsidRPr="006C668C">
        <w:rPr>
          <w:lang w:val="en-GB"/>
        </w:rPr>
        <w:t>good).</w:t>
      </w:r>
      <w:r w:rsidR="00CF222F" w:rsidRPr="006C668C">
        <w:rPr>
          <w:lang w:val="en-GB"/>
        </w:rPr>
        <w:t xml:space="preserve"> </w:t>
      </w:r>
      <w:r w:rsidR="0029775B" w:rsidRPr="006C668C">
        <w:rPr>
          <w:b/>
          <w:color w:val="FF0000"/>
          <w:lang w:val="en-GB"/>
        </w:rPr>
        <w:t>3</w:t>
      </w:r>
    </w:p>
    <w:p w14:paraId="449B0DDE" w14:textId="6B9AB3D9" w:rsidR="005D282E" w:rsidRPr="006C668C" w:rsidRDefault="00E47DB2">
      <w:pPr>
        <w:pStyle w:val="ListParagraph"/>
        <w:numPr>
          <w:ilvl w:val="0"/>
          <w:numId w:val="16"/>
        </w:numPr>
        <w:tabs>
          <w:tab w:val="left" w:pos="1026"/>
          <w:tab w:val="left" w:pos="1027"/>
        </w:tabs>
        <w:spacing w:before="1"/>
        <w:ind w:hanging="361"/>
        <w:jc w:val="left"/>
        <w:rPr>
          <w:rFonts w:ascii="Wingdings" w:hAnsi="Wingdings"/>
          <w:color w:val="FF0000"/>
          <w:lang w:val="en-GB"/>
        </w:rPr>
      </w:pPr>
      <w:r w:rsidRPr="006C668C">
        <w:rPr>
          <w:lang w:val="en-GB"/>
        </w:rPr>
        <w:t>If necessary, please explain the reasons for your answer. [BOX, 2000</w:t>
      </w:r>
      <w:r w:rsidRPr="006C668C">
        <w:rPr>
          <w:spacing w:val="-12"/>
          <w:lang w:val="en-GB"/>
        </w:rPr>
        <w:t xml:space="preserve"> </w:t>
      </w:r>
      <w:r w:rsidRPr="006C668C">
        <w:rPr>
          <w:lang w:val="en-GB"/>
        </w:rPr>
        <w:t>characters]</w:t>
      </w:r>
      <w:r w:rsidR="0029775B" w:rsidRPr="006C668C">
        <w:rPr>
          <w:lang w:val="en-GB"/>
        </w:rPr>
        <w:t xml:space="preserve"> </w:t>
      </w:r>
      <w:r w:rsidR="00856805" w:rsidRPr="006C668C">
        <w:rPr>
          <w:lang w:val="en-GB"/>
        </w:rPr>
        <w:t>–</w:t>
      </w:r>
      <w:r w:rsidR="0029775B" w:rsidRPr="006C668C">
        <w:rPr>
          <w:lang w:val="en-GB"/>
        </w:rPr>
        <w:t xml:space="preserve"> </w:t>
      </w:r>
      <w:r w:rsidR="00856805" w:rsidRPr="006C668C">
        <w:rPr>
          <w:color w:val="FF0000"/>
          <w:lang w:val="en-GB"/>
        </w:rPr>
        <w:t xml:space="preserve">The </w:t>
      </w:r>
      <w:r w:rsidR="00EE1E60" w:rsidRPr="006C668C">
        <w:rPr>
          <w:color w:val="FF0000"/>
          <w:lang w:val="en-GB"/>
        </w:rPr>
        <w:t xml:space="preserve">individual </w:t>
      </w:r>
      <w:r w:rsidR="00100239" w:rsidRPr="006C668C">
        <w:rPr>
          <w:color w:val="FF0000"/>
          <w:lang w:val="en-GB"/>
        </w:rPr>
        <w:t>rat</w:t>
      </w:r>
      <w:r w:rsidR="00100239">
        <w:rPr>
          <w:color w:val="FF0000"/>
          <w:lang w:val="en-GB"/>
        </w:rPr>
        <w:t>ing</w:t>
      </w:r>
      <w:r w:rsidR="00100239" w:rsidRPr="006C668C">
        <w:rPr>
          <w:color w:val="FF0000"/>
          <w:lang w:val="en-GB"/>
        </w:rPr>
        <w:t xml:space="preserve"> </w:t>
      </w:r>
      <w:r w:rsidR="00100239">
        <w:rPr>
          <w:color w:val="FF0000"/>
          <w:lang w:val="en-GB"/>
        </w:rPr>
        <w:t>is particularly well-suited to</w:t>
      </w:r>
      <w:r w:rsidR="00DC6813" w:rsidRPr="006C668C">
        <w:rPr>
          <w:color w:val="FF0000"/>
          <w:lang w:val="en-GB"/>
        </w:rPr>
        <w:t xml:space="preserve"> address </w:t>
      </w:r>
      <w:r w:rsidR="00B433DB" w:rsidRPr="006C668C">
        <w:rPr>
          <w:color w:val="FF0000"/>
          <w:lang w:val="en-GB"/>
        </w:rPr>
        <w:t xml:space="preserve">concrete </w:t>
      </w:r>
      <w:r w:rsidR="00DC6813" w:rsidRPr="006C668C">
        <w:rPr>
          <w:color w:val="FF0000"/>
          <w:lang w:val="en-GB"/>
        </w:rPr>
        <w:t xml:space="preserve">investment decisions </w:t>
      </w:r>
      <w:r w:rsidR="00EE1E60" w:rsidRPr="006C668C">
        <w:rPr>
          <w:color w:val="FF0000"/>
          <w:lang w:val="en-GB"/>
        </w:rPr>
        <w:t>on each ESG factor</w:t>
      </w:r>
      <w:r w:rsidR="00CA1888">
        <w:rPr>
          <w:color w:val="FF0000"/>
          <w:lang w:val="en-GB"/>
        </w:rPr>
        <w:t xml:space="preserve"> as it is designed</w:t>
      </w:r>
      <w:r w:rsidR="00E96134" w:rsidRPr="006C668C">
        <w:rPr>
          <w:color w:val="FF0000"/>
          <w:lang w:val="en-GB"/>
        </w:rPr>
        <w:t xml:space="preserve"> to </w:t>
      </w:r>
      <w:r w:rsidR="008922EF">
        <w:rPr>
          <w:color w:val="FF0000"/>
          <w:lang w:val="en-GB"/>
        </w:rPr>
        <w:t xml:space="preserve">indicate </w:t>
      </w:r>
      <w:r w:rsidR="00E96134" w:rsidRPr="006C668C">
        <w:rPr>
          <w:color w:val="FF0000"/>
          <w:lang w:val="en-GB"/>
        </w:rPr>
        <w:t xml:space="preserve">best performance. </w:t>
      </w:r>
      <w:r w:rsidR="008922EF">
        <w:rPr>
          <w:color w:val="FF0000"/>
          <w:lang w:val="en-GB"/>
        </w:rPr>
        <w:t>The aggregated rating is slightly less relevant as it is, by nature, less targeted. However, since the aggregated rating is used to compare ESG factors across companies, it is more strategic for a company to obtain</w:t>
      </w:r>
      <w:r w:rsidR="0028389C">
        <w:rPr>
          <w:color w:val="FF0000"/>
          <w:lang w:val="en-GB"/>
        </w:rPr>
        <w:t xml:space="preserve"> a high aggregated than individual rating as it will have more effect on a company’s image and reputation. </w:t>
      </w:r>
    </w:p>
    <w:p w14:paraId="449B0DDF" w14:textId="77777777" w:rsidR="00471AC4" w:rsidRPr="006C668C" w:rsidRDefault="00471AC4" w:rsidP="00471AC4">
      <w:pPr>
        <w:pStyle w:val="ListParagraph"/>
        <w:tabs>
          <w:tab w:val="left" w:pos="1026"/>
          <w:tab w:val="left" w:pos="1027"/>
        </w:tabs>
        <w:spacing w:before="1"/>
        <w:ind w:firstLine="0"/>
        <w:jc w:val="left"/>
        <w:rPr>
          <w:color w:val="FF0000"/>
          <w:lang w:val="en-GB"/>
        </w:rPr>
      </w:pPr>
    </w:p>
    <w:p w14:paraId="449B0DE0" w14:textId="77777777" w:rsidR="005D282E" w:rsidRPr="006C668C" w:rsidRDefault="00E47DB2">
      <w:pPr>
        <w:pStyle w:val="BodyText"/>
        <w:spacing w:before="95"/>
        <w:ind w:left="306"/>
        <w:rPr>
          <w:lang w:val="en-GB"/>
        </w:rPr>
      </w:pPr>
      <w:r w:rsidRPr="006C668C">
        <w:rPr>
          <w:b/>
          <w:lang w:val="en-GB"/>
        </w:rPr>
        <w:t xml:space="preserve">Question 21: </w:t>
      </w:r>
      <w:r w:rsidRPr="006C668C">
        <w:rPr>
          <w:lang w:val="en-GB"/>
        </w:rPr>
        <w:t>In your opinion, should the EU take action in this area?</w:t>
      </w:r>
    </w:p>
    <w:p w14:paraId="449B0DE1" w14:textId="77777777" w:rsidR="005D282E" w:rsidRPr="006C668C" w:rsidRDefault="00E47DB2">
      <w:pPr>
        <w:pStyle w:val="ListParagraph"/>
        <w:numPr>
          <w:ilvl w:val="0"/>
          <w:numId w:val="16"/>
        </w:numPr>
        <w:tabs>
          <w:tab w:val="left" w:pos="1027"/>
        </w:tabs>
        <w:spacing w:before="62"/>
        <w:ind w:hanging="361"/>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DE2" w14:textId="6ED19ABD" w:rsidR="00471AC4" w:rsidRPr="006C668C" w:rsidRDefault="00E47DB2" w:rsidP="00471AC4">
      <w:pPr>
        <w:pStyle w:val="ListParagraph"/>
        <w:numPr>
          <w:ilvl w:val="0"/>
          <w:numId w:val="16"/>
        </w:numPr>
        <w:tabs>
          <w:tab w:val="left" w:pos="1027"/>
        </w:tabs>
        <w:spacing w:before="38" w:line="276" w:lineRule="auto"/>
        <w:ind w:right="316"/>
        <w:rPr>
          <w:rFonts w:ascii="Wingdings" w:hAnsi="Wingdings"/>
          <w:lang w:val="en-GB"/>
        </w:rPr>
      </w:pPr>
      <w:r w:rsidRPr="006C668C">
        <w:rPr>
          <w:lang w:val="en-GB"/>
        </w:rPr>
        <w:t>If yes, please explain why and what kind of action you consider would address the identified problems. In particular, do you think the EU should consider regulatory intervention? [BOX, 2000</w:t>
      </w:r>
      <w:r w:rsidRPr="006C668C">
        <w:rPr>
          <w:spacing w:val="-9"/>
          <w:lang w:val="en-GB"/>
        </w:rPr>
        <w:t xml:space="preserve"> </w:t>
      </w:r>
      <w:r w:rsidRPr="006C668C">
        <w:rPr>
          <w:lang w:val="en-GB"/>
        </w:rPr>
        <w:t>characters]</w:t>
      </w:r>
    </w:p>
    <w:p w14:paraId="219F1019" w14:textId="1324F0FF" w:rsidR="00D76B83" w:rsidRDefault="00A80498" w:rsidP="00D76B83">
      <w:pPr>
        <w:pStyle w:val="ListParagraph"/>
        <w:tabs>
          <w:tab w:val="left" w:pos="1027"/>
        </w:tabs>
        <w:spacing w:before="38" w:line="276" w:lineRule="auto"/>
        <w:ind w:right="316" w:firstLine="0"/>
        <w:rPr>
          <w:color w:val="FF0000"/>
          <w:lang w:val="en-GB"/>
        </w:rPr>
      </w:pPr>
      <w:r w:rsidRPr="006C668C">
        <w:rPr>
          <w:color w:val="FF0000"/>
          <w:lang w:val="en-GB"/>
        </w:rPr>
        <w:t xml:space="preserve">In order to </w:t>
      </w:r>
      <w:r w:rsidR="00443C1F">
        <w:rPr>
          <w:color w:val="FF0000"/>
          <w:lang w:val="en-GB"/>
        </w:rPr>
        <w:t>incentivi</w:t>
      </w:r>
      <w:r w:rsidR="000447C3">
        <w:rPr>
          <w:color w:val="FF0000"/>
          <w:lang w:val="en-GB"/>
        </w:rPr>
        <w:t>s</w:t>
      </w:r>
      <w:r w:rsidR="00443C1F">
        <w:rPr>
          <w:color w:val="FF0000"/>
          <w:lang w:val="en-GB"/>
        </w:rPr>
        <w:t xml:space="preserve">e </w:t>
      </w:r>
      <w:r w:rsidR="00040521">
        <w:rPr>
          <w:color w:val="FF0000"/>
          <w:lang w:val="en-GB"/>
        </w:rPr>
        <w:t>c</w:t>
      </w:r>
      <w:r w:rsidR="00443C1F">
        <w:rPr>
          <w:color w:val="FF0000"/>
          <w:lang w:val="en-GB"/>
        </w:rPr>
        <w:t>ompan</w:t>
      </w:r>
      <w:r w:rsidR="00CE450D">
        <w:rPr>
          <w:color w:val="FF0000"/>
          <w:lang w:val="en-GB"/>
        </w:rPr>
        <w:t>ies’</w:t>
      </w:r>
      <w:r w:rsidR="00443C1F">
        <w:rPr>
          <w:color w:val="FF0000"/>
          <w:lang w:val="en-GB"/>
        </w:rPr>
        <w:t xml:space="preserve"> investment decisions in ESG factors</w:t>
      </w:r>
      <w:r w:rsidRPr="006C668C">
        <w:rPr>
          <w:color w:val="FF0000"/>
          <w:lang w:val="en-GB"/>
        </w:rPr>
        <w:t>, the E</w:t>
      </w:r>
      <w:r w:rsidR="0028389C">
        <w:rPr>
          <w:color w:val="FF0000"/>
          <w:lang w:val="en-GB"/>
        </w:rPr>
        <w:t>uropean</w:t>
      </w:r>
      <w:r w:rsidRPr="006C668C">
        <w:rPr>
          <w:color w:val="FF0000"/>
          <w:lang w:val="en-GB"/>
        </w:rPr>
        <w:t xml:space="preserve"> Commission should define</w:t>
      </w:r>
      <w:r w:rsidR="00406472" w:rsidRPr="006C668C">
        <w:rPr>
          <w:color w:val="FF0000"/>
          <w:lang w:val="en-GB"/>
        </w:rPr>
        <w:t xml:space="preserve"> the acceptable rate</w:t>
      </w:r>
      <w:r w:rsidR="00384EAD" w:rsidRPr="006C668C">
        <w:rPr>
          <w:color w:val="FF0000"/>
          <w:lang w:val="en-GB"/>
        </w:rPr>
        <w:t xml:space="preserve">/thresholds </w:t>
      </w:r>
      <w:r w:rsidR="00406472" w:rsidRPr="006C668C">
        <w:rPr>
          <w:color w:val="FF0000"/>
          <w:lang w:val="en-GB"/>
        </w:rPr>
        <w:t>for ESG</w:t>
      </w:r>
      <w:r w:rsidR="00CA1888">
        <w:rPr>
          <w:color w:val="FF0000"/>
          <w:lang w:val="en-GB"/>
        </w:rPr>
        <w:t>, similar to an EU-level</w:t>
      </w:r>
      <w:r w:rsidR="00CF4698" w:rsidRPr="006C668C">
        <w:rPr>
          <w:color w:val="FF0000"/>
          <w:lang w:val="en-GB"/>
        </w:rPr>
        <w:t xml:space="preserve"> </w:t>
      </w:r>
      <w:r w:rsidR="00CF4698" w:rsidRPr="002F18A6">
        <w:rPr>
          <w:bCs/>
          <w:color w:val="FF0000"/>
          <w:lang w:val="en-GB"/>
        </w:rPr>
        <w:t>Sustainability Risk Appetite</w:t>
      </w:r>
      <w:r w:rsidR="00CA1888">
        <w:rPr>
          <w:color w:val="FF0000"/>
          <w:lang w:val="en-GB"/>
        </w:rPr>
        <w:t xml:space="preserve">. This means that </w:t>
      </w:r>
      <w:r w:rsidR="002C5AD1" w:rsidRPr="006C668C">
        <w:rPr>
          <w:color w:val="FF0000"/>
          <w:lang w:val="en-GB"/>
        </w:rPr>
        <w:t>for each ESG factor</w:t>
      </w:r>
      <w:r w:rsidR="00CA1888">
        <w:rPr>
          <w:color w:val="FF0000"/>
          <w:lang w:val="en-GB"/>
        </w:rPr>
        <w:t>,</w:t>
      </w:r>
      <w:r w:rsidR="002C5AD1" w:rsidRPr="006C668C">
        <w:rPr>
          <w:color w:val="FF0000"/>
          <w:lang w:val="en-GB"/>
        </w:rPr>
        <w:t xml:space="preserve"> the </w:t>
      </w:r>
      <w:r w:rsidR="0028389C">
        <w:rPr>
          <w:color w:val="FF0000"/>
          <w:lang w:val="en-GB"/>
        </w:rPr>
        <w:t>Commission</w:t>
      </w:r>
      <w:r w:rsidR="002C5AD1" w:rsidRPr="006C668C">
        <w:rPr>
          <w:color w:val="FF0000"/>
          <w:lang w:val="en-GB"/>
        </w:rPr>
        <w:t xml:space="preserve"> should define the minimum acceptable rat</w:t>
      </w:r>
      <w:r w:rsidR="00CA1888">
        <w:rPr>
          <w:color w:val="FF0000"/>
          <w:lang w:val="en-GB"/>
        </w:rPr>
        <w:t>ing</w:t>
      </w:r>
      <w:r w:rsidR="009B72A0" w:rsidRPr="006C668C">
        <w:rPr>
          <w:color w:val="FF0000"/>
          <w:lang w:val="en-GB"/>
        </w:rPr>
        <w:t xml:space="preserve"> </w:t>
      </w:r>
      <w:r w:rsidR="002C5AD1" w:rsidRPr="006C668C">
        <w:rPr>
          <w:color w:val="FF0000"/>
          <w:lang w:val="en-GB"/>
        </w:rPr>
        <w:t xml:space="preserve">that </w:t>
      </w:r>
      <w:r w:rsidR="00CA1888">
        <w:rPr>
          <w:color w:val="FF0000"/>
          <w:lang w:val="en-GB"/>
        </w:rPr>
        <w:t>c</w:t>
      </w:r>
      <w:r w:rsidR="002C5AD1" w:rsidRPr="006C668C">
        <w:rPr>
          <w:color w:val="FF0000"/>
          <w:lang w:val="en-GB"/>
        </w:rPr>
        <w:t xml:space="preserve">ompanies need to </w:t>
      </w:r>
      <w:r w:rsidR="00E06E63" w:rsidRPr="006C668C">
        <w:rPr>
          <w:color w:val="FF0000"/>
          <w:lang w:val="en-GB"/>
        </w:rPr>
        <w:t>achieve</w:t>
      </w:r>
      <w:r w:rsidR="00CA1888">
        <w:rPr>
          <w:color w:val="FF0000"/>
          <w:lang w:val="en-GB"/>
        </w:rPr>
        <w:t xml:space="preserve"> </w:t>
      </w:r>
      <w:r w:rsidR="00CA1888" w:rsidRPr="006C668C">
        <w:rPr>
          <w:color w:val="FF0000"/>
          <w:lang w:val="en-GB"/>
        </w:rPr>
        <w:t>(based on one or a combination of ratings provided in the market</w:t>
      </w:r>
      <w:r w:rsidR="00CA1888">
        <w:rPr>
          <w:color w:val="FF0000"/>
          <w:lang w:val="en-GB"/>
        </w:rPr>
        <w:t>, for example</w:t>
      </w:r>
      <w:r w:rsidR="00CA1888" w:rsidRPr="006C668C">
        <w:rPr>
          <w:color w:val="FF0000"/>
          <w:lang w:val="en-GB"/>
        </w:rPr>
        <w:t>)</w:t>
      </w:r>
      <w:r w:rsidR="00E06E63" w:rsidRPr="006C668C">
        <w:rPr>
          <w:color w:val="FF0000"/>
          <w:lang w:val="en-GB"/>
        </w:rPr>
        <w:t xml:space="preserve">. </w:t>
      </w:r>
      <w:r w:rsidR="00B64BC2">
        <w:rPr>
          <w:color w:val="FF0000"/>
          <w:lang w:val="en-GB"/>
        </w:rPr>
        <w:t>Any</w:t>
      </w:r>
      <w:r w:rsidR="00040521">
        <w:rPr>
          <w:color w:val="FF0000"/>
          <w:lang w:val="en-GB"/>
        </w:rPr>
        <w:t xml:space="preserve"> </w:t>
      </w:r>
      <w:r w:rsidR="00B4332C" w:rsidRPr="006C668C">
        <w:rPr>
          <w:color w:val="FF0000"/>
          <w:lang w:val="en-GB"/>
        </w:rPr>
        <w:t>result</w:t>
      </w:r>
      <w:r w:rsidR="00E06E63" w:rsidRPr="006C668C">
        <w:rPr>
          <w:color w:val="FF0000"/>
          <w:lang w:val="en-GB"/>
        </w:rPr>
        <w:t xml:space="preserve"> </w:t>
      </w:r>
      <w:r w:rsidR="00040521">
        <w:rPr>
          <w:color w:val="FF0000"/>
          <w:lang w:val="en-GB"/>
        </w:rPr>
        <w:t xml:space="preserve">that is </w:t>
      </w:r>
      <w:r w:rsidR="00E06E63" w:rsidRPr="006C668C">
        <w:rPr>
          <w:color w:val="FF0000"/>
          <w:lang w:val="en-GB"/>
        </w:rPr>
        <w:t>below the acceptable rat</w:t>
      </w:r>
      <w:r w:rsidR="004851FB">
        <w:rPr>
          <w:color w:val="FF0000"/>
          <w:lang w:val="en-GB"/>
        </w:rPr>
        <w:t>ing</w:t>
      </w:r>
      <w:r w:rsidR="00E06E63" w:rsidRPr="006C668C">
        <w:rPr>
          <w:color w:val="FF0000"/>
          <w:lang w:val="en-GB"/>
        </w:rPr>
        <w:t xml:space="preserve">, </w:t>
      </w:r>
      <w:r w:rsidR="00B4332C" w:rsidRPr="006C668C">
        <w:rPr>
          <w:color w:val="FF0000"/>
          <w:lang w:val="en-GB"/>
        </w:rPr>
        <w:t xml:space="preserve">meaning that </w:t>
      </w:r>
      <w:r w:rsidR="00CA1888">
        <w:rPr>
          <w:color w:val="FF0000"/>
          <w:lang w:val="en-GB"/>
        </w:rPr>
        <w:t>the company risks non-alignment with</w:t>
      </w:r>
      <w:r w:rsidR="00B4332C" w:rsidRPr="006C668C">
        <w:rPr>
          <w:color w:val="FF0000"/>
          <w:lang w:val="en-GB"/>
        </w:rPr>
        <w:t xml:space="preserve"> the EU</w:t>
      </w:r>
      <w:r w:rsidR="00CA1888">
        <w:rPr>
          <w:color w:val="FF0000"/>
          <w:lang w:val="en-GB"/>
        </w:rPr>
        <w:t>’s</w:t>
      </w:r>
      <w:r w:rsidR="00B4332C" w:rsidRPr="006C668C">
        <w:rPr>
          <w:color w:val="FF0000"/>
          <w:lang w:val="en-GB"/>
        </w:rPr>
        <w:t xml:space="preserve"> sustainability strategies</w:t>
      </w:r>
      <w:r w:rsidR="003B7B4C" w:rsidRPr="006C668C">
        <w:rPr>
          <w:color w:val="FF0000"/>
          <w:lang w:val="en-GB"/>
        </w:rPr>
        <w:t xml:space="preserve"> (such as carbon neutrality),</w:t>
      </w:r>
      <w:r w:rsidR="00FD2E3C">
        <w:rPr>
          <w:color w:val="FF0000"/>
          <w:lang w:val="en-GB"/>
        </w:rPr>
        <w:t xml:space="preserve"> will incentivi</w:t>
      </w:r>
      <w:r w:rsidR="000447C3">
        <w:rPr>
          <w:color w:val="FF0000"/>
          <w:lang w:val="en-GB"/>
        </w:rPr>
        <w:t>s</w:t>
      </w:r>
      <w:r w:rsidR="00FD2E3C">
        <w:rPr>
          <w:color w:val="FF0000"/>
          <w:lang w:val="en-GB"/>
        </w:rPr>
        <w:t xml:space="preserve">e </w:t>
      </w:r>
      <w:r w:rsidR="00040521">
        <w:rPr>
          <w:color w:val="FF0000"/>
          <w:lang w:val="en-GB"/>
        </w:rPr>
        <w:t>a c</w:t>
      </w:r>
      <w:r w:rsidR="00FD2E3C">
        <w:rPr>
          <w:color w:val="FF0000"/>
          <w:lang w:val="en-GB"/>
        </w:rPr>
        <w:t>ompany to define</w:t>
      </w:r>
      <w:r w:rsidR="003B7B4C" w:rsidRPr="006C668C">
        <w:rPr>
          <w:color w:val="FF0000"/>
          <w:lang w:val="en-GB"/>
        </w:rPr>
        <w:t xml:space="preserve"> </w:t>
      </w:r>
      <w:r w:rsidR="00283E98" w:rsidRPr="006C668C">
        <w:rPr>
          <w:color w:val="FF0000"/>
          <w:lang w:val="en-GB"/>
        </w:rPr>
        <w:t xml:space="preserve">clear action plans </w:t>
      </w:r>
      <w:r w:rsidR="00CE450D">
        <w:rPr>
          <w:color w:val="FF0000"/>
          <w:lang w:val="en-GB"/>
        </w:rPr>
        <w:t>to achieve the target</w:t>
      </w:r>
      <w:r w:rsidR="003B7B4C" w:rsidRPr="006C668C">
        <w:rPr>
          <w:color w:val="FF0000"/>
          <w:lang w:val="en-GB"/>
        </w:rPr>
        <w:t xml:space="preserve">. </w:t>
      </w:r>
    </w:p>
    <w:p w14:paraId="04961DD2" w14:textId="77777777" w:rsidR="00D76B83" w:rsidRPr="00D76B83" w:rsidRDefault="00D76B83" w:rsidP="00D76B83">
      <w:pPr>
        <w:pStyle w:val="ListParagraph"/>
        <w:tabs>
          <w:tab w:val="left" w:pos="1027"/>
        </w:tabs>
        <w:spacing w:before="38" w:line="276" w:lineRule="auto"/>
        <w:ind w:right="316" w:firstLine="0"/>
        <w:rPr>
          <w:color w:val="FF0000"/>
          <w:lang w:val="en-GB"/>
        </w:rPr>
      </w:pPr>
    </w:p>
    <w:p w14:paraId="5D55BD9B" w14:textId="5982A28B" w:rsidR="00E61DA3" w:rsidRDefault="00D76B83" w:rsidP="005A0B50">
      <w:pPr>
        <w:pStyle w:val="ListParagraph"/>
        <w:tabs>
          <w:tab w:val="left" w:pos="1027"/>
        </w:tabs>
        <w:spacing w:before="38" w:line="276" w:lineRule="auto"/>
        <w:ind w:right="316" w:firstLine="0"/>
        <w:rPr>
          <w:color w:val="FF0000"/>
          <w:lang w:val="en-GB"/>
        </w:rPr>
      </w:pPr>
      <w:r>
        <w:rPr>
          <w:color w:val="FF0000"/>
          <w:lang w:val="en-GB"/>
        </w:rPr>
        <w:t>Although n</w:t>
      </w:r>
      <w:r w:rsidR="00E33B77" w:rsidRPr="006C668C">
        <w:rPr>
          <w:color w:val="FF0000"/>
          <w:lang w:val="en-GB"/>
        </w:rPr>
        <w:t xml:space="preserve">o penalties or fines should be </w:t>
      </w:r>
      <w:r w:rsidR="00CA1888">
        <w:rPr>
          <w:color w:val="FF0000"/>
          <w:lang w:val="en-GB"/>
        </w:rPr>
        <w:t>levied</w:t>
      </w:r>
      <w:r w:rsidR="007A0F82" w:rsidRPr="003028AA">
        <w:rPr>
          <w:color w:val="FF0000"/>
          <w:lang w:val="en-GB"/>
        </w:rPr>
        <w:t xml:space="preserve">, </w:t>
      </w:r>
      <w:r w:rsidRPr="003028AA">
        <w:rPr>
          <w:color w:val="FF0000"/>
          <w:lang w:val="en-GB"/>
        </w:rPr>
        <w:t>it is important that each judgment is well justified by the European Commission, taking into account particular interdependencies within certain industries that may mean compliance with one ESG factor necessitates non-compliance with another.</w:t>
      </w:r>
      <w:r>
        <w:rPr>
          <w:color w:val="FF0000"/>
          <w:lang w:val="en-GB"/>
        </w:rPr>
        <w:t xml:space="preserve"> </w:t>
      </w:r>
    </w:p>
    <w:p w14:paraId="449B0DE3" w14:textId="77777777" w:rsidR="00471AC4" w:rsidRPr="006C668C" w:rsidRDefault="00471AC4" w:rsidP="00471AC4">
      <w:pPr>
        <w:pStyle w:val="BodyText"/>
        <w:rPr>
          <w:color w:val="9BBB59" w:themeColor="accent3"/>
          <w:lang w:val="en-GB"/>
        </w:rPr>
      </w:pPr>
      <w:bookmarkStart w:id="18" w:name="1.4_Definitions,_standards_and_labels_fo"/>
      <w:bookmarkStart w:id="19" w:name="_bookmark8"/>
      <w:bookmarkEnd w:id="18"/>
      <w:bookmarkEnd w:id="19"/>
    </w:p>
    <w:p w14:paraId="449B0DE4" w14:textId="77777777" w:rsidR="00471AC4" w:rsidRPr="006C668C" w:rsidRDefault="00471AC4" w:rsidP="00471AC4">
      <w:pPr>
        <w:pStyle w:val="BodyText"/>
        <w:rPr>
          <w:color w:val="9BBB59" w:themeColor="accent3"/>
          <w:lang w:val="en-GB"/>
        </w:rPr>
      </w:pPr>
      <w:r w:rsidRPr="006C668C">
        <w:rPr>
          <w:color w:val="9BBB59" w:themeColor="accent3"/>
          <w:lang w:val="en-GB"/>
        </w:rPr>
        <w:t xml:space="preserve"> </w:t>
      </w:r>
      <w:r w:rsidR="00FF5CC2" w:rsidRPr="006C668C">
        <w:rPr>
          <w:color w:val="9BBB59" w:themeColor="accent3"/>
          <w:lang w:val="en-GB"/>
        </w:rPr>
        <w:t>[…]</w:t>
      </w:r>
    </w:p>
    <w:p w14:paraId="449B0DE5" w14:textId="77777777" w:rsidR="00471AC4" w:rsidRPr="006C668C" w:rsidRDefault="00471AC4" w:rsidP="00471AC4">
      <w:pPr>
        <w:pStyle w:val="BodyText"/>
        <w:rPr>
          <w:color w:val="9BBB59" w:themeColor="accent3"/>
          <w:lang w:val="en-GB"/>
        </w:rPr>
      </w:pPr>
    </w:p>
    <w:p w14:paraId="449B0DE6" w14:textId="77777777" w:rsidR="005D282E" w:rsidRPr="006C668C" w:rsidRDefault="00471AC4" w:rsidP="00471AC4">
      <w:pPr>
        <w:pStyle w:val="Heading2"/>
        <w:numPr>
          <w:ilvl w:val="1"/>
          <w:numId w:val="21"/>
        </w:numPr>
        <w:tabs>
          <w:tab w:val="left" w:pos="1027"/>
        </w:tabs>
        <w:spacing w:before="1"/>
        <w:rPr>
          <w:lang w:val="en-GB"/>
        </w:rPr>
      </w:pPr>
      <w:bookmarkStart w:id="20" w:name="1.6_Corporate_governance,_long-termism_a"/>
      <w:bookmarkStart w:id="21" w:name="_bookmark13"/>
      <w:bookmarkEnd w:id="20"/>
      <w:bookmarkEnd w:id="21"/>
      <w:r w:rsidRPr="006C668C">
        <w:rPr>
          <w:lang w:val="en-GB"/>
        </w:rPr>
        <w:t xml:space="preserve"> </w:t>
      </w:r>
      <w:r w:rsidR="00E47DB2" w:rsidRPr="006C668C">
        <w:rPr>
          <w:lang w:val="en-GB"/>
        </w:rPr>
        <w:t>Corporate governance, long-termism and investor</w:t>
      </w:r>
      <w:r w:rsidR="00E47DB2" w:rsidRPr="006C668C">
        <w:rPr>
          <w:spacing w:val="-7"/>
          <w:lang w:val="en-GB"/>
        </w:rPr>
        <w:t xml:space="preserve"> </w:t>
      </w:r>
      <w:r w:rsidR="00E47DB2" w:rsidRPr="006C668C">
        <w:rPr>
          <w:lang w:val="en-GB"/>
        </w:rPr>
        <w:t>engagement</w:t>
      </w:r>
    </w:p>
    <w:p w14:paraId="449B0DE7" w14:textId="77777777" w:rsidR="005D282E" w:rsidRPr="006C668C" w:rsidRDefault="005D282E">
      <w:pPr>
        <w:pStyle w:val="BodyText"/>
        <w:spacing w:before="1"/>
        <w:rPr>
          <w:b/>
          <w:sz w:val="27"/>
          <w:lang w:val="en-GB"/>
        </w:rPr>
      </w:pPr>
    </w:p>
    <w:p w14:paraId="449B0DE8" w14:textId="77777777" w:rsidR="005D282E" w:rsidRPr="006C668C" w:rsidRDefault="00E47DB2">
      <w:pPr>
        <w:pStyle w:val="BodyText"/>
        <w:ind w:left="306" w:right="317"/>
        <w:jc w:val="both"/>
        <w:rPr>
          <w:lang w:val="en-GB"/>
        </w:rPr>
      </w:pPr>
      <w:r w:rsidRPr="006C668C">
        <w:rPr>
          <w:lang w:val="en-GB"/>
        </w:rPr>
        <w:t xml:space="preserve">To reflect long-term opportunities and risks, such as those connected to climate change and environmental degradation, </w:t>
      </w:r>
      <w:r w:rsidRPr="006C668C">
        <w:rPr>
          <w:b/>
          <w:lang w:val="en-GB"/>
        </w:rPr>
        <w:t>companies and investors need to integrate long-term horizons and sustainability in their decision-making processes</w:t>
      </w:r>
      <w:r w:rsidRPr="006C668C">
        <w:rPr>
          <w:lang w:val="en-GB"/>
        </w:rPr>
        <w:t>. However, this is often difficult in a context where market pressure and prevailing corporate culture prompt corporate managers and financial market participants to focus on near-term financial performance at the expense of mid- to long-term objectives. Focusing on short-term returns without accounting for long-term implications may lead to underperformance of the corporation and investors in the long-term, and, by extension, of the economy as a whole. In this context, investors should be driving long-termism, where this is relevant, and not pressure companies to deliver short-term returns by default.</w:t>
      </w:r>
    </w:p>
    <w:p w14:paraId="449B0DE9" w14:textId="77777777" w:rsidR="005D282E" w:rsidRPr="006C668C" w:rsidRDefault="005D282E">
      <w:pPr>
        <w:pStyle w:val="BodyText"/>
        <w:spacing w:before="4"/>
        <w:rPr>
          <w:sz w:val="21"/>
          <w:lang w:val="en-GB"/>
        </w:rPr>
      </w:pPr>
    </w:p>
    <w:p w14:paraId="449B0DEA" w14:textId="77777777" w:rsidR="005D282E" w:rsidRPr="006C668C" w:rsidRDefault="00E47DB2" w:rsidP="00471AC4">
      <w:pPr>
        <w:ind w:left="306" w:right="316"/>
        <w:jc w:val="both"/>
        <w:rPr>
          <w:b/>
          <w:sz w:val="24"/>
          <w:lang w:val="en-GB"/>
        </w:rPr>
      </w:pPr>
      <w:r w:rsidRPr="006C668C">
        <w:rPr>
          <w:b/>
          <w:sz w:val="24"/>
          <w:lang w:val="en-GB"/>
        </w:rPr>
        <w:t>The ongoing COVID-19 outbreak in particular underscores that companies should prioritise the long term interests of their stakeholders</w:t>
      </w:r>
      <w:r w:rsidRPr="006C668C">
        <w:rPr>
          <w:sz w:val="24"/>
          <w:lang w:val="en-GB"/>
        </w:rPr>
        <w:t>. Many companies in the EU have decided to prioritise the interests of key stakeholders, in particular employees, customers and suppliers, over short-term shareholder interest.</w:t>
      </w:r>
      <w:r w:rsidR="00FF5CC2" w:rsidRPr="006C668C">
        <w:rPr>
          <w:rStyle w:val="FootnoteReference"/>
          <w:sz w:val="24"/>
          <w:lang w:val="en-GB"/>
        </w:rPr>
        <w:footnoteReference w:id="1"/>
      </w:r>
      <w:r w:rsidRPr="006C668C">
        <w:rPr>
          <w:sz w:val="24"/>
          <w:lang w:val="en-GB"/>
        </w:rPr>
        <w:t xml:space="preserve"> These factors contribute  to driving long-term returns as they are crucial in order to maintain companies’ ability to operate. Therefore, institutional investors have an important role to play in this context. As part of action 10 of the Action Plan on Financing Sustainable Growth, in December 2019 the </w:t>
      </w:r>
      <w:r w:rsidRPr="006C668C">
        <w:rPr>
          <w:b/>
          <w:sz w:val="24"/>
          <w:lang w:val="en-GB"/>
        </w:rPr>
        <w:t>European Supervisory Authorities delivered reports (</w:t>
      </w:r>
      <w:hyperlink r:id="rId48">
        <w:r w:rsidRPr="006C668C">
          <w:rPr>
            <w:b/>
            <w:color w:val="0000FF"/>
            <w:sz w:val="24"/>
            <w:u w:val="thick" w:color="0000FF"/>
            <w:lang w:val="en-GB"/>
          </w:rPr>
          <w:t>ESMA report</w:t>
        </w:r>
        <w:r w:rsidRPr="006C668C">
          <w:rPr>
            <w:b/>
            <w:sz w:val="24"/>
            <w:lang w:val="en-GB"/>
          </w:rPr>
          <w:t xml:space="preserve">, </w:t>
        </w:r>
      </w:hyperlink>
      <w:hyperlink r:id="rId49">
        <w:r w:rsidRPr="006C668C">
          <w:rPr>
            <w:b/>
            <w:color w:val="0000FF"/>
            <w:sz w:val="24"/>
            <w:u w:val="thick" w:color="0000FF"/>
            <w:lang w:val="en-GB"/>
          </w:rPr>
          <w:t>EBA</w:t>
        </w:r>
      </w:hyperlink>
      <w:r w:rsidRPr="006C668C">
        <w:rPr>
          <w:b/>
          <w:color w:val="0000FF"/>
          <w:sz w:val="24"/>
          <w:lang w:val="en-GB"/>
        </w:rPr>
        <w:t xml:space="preserve"> </w:t>
      </w:r>
      <w:hyperlink r:id="rId50">
        <w:r w:rsidRPr="006C668C">
          <w:rPr>
            <w:b/>
            <w:color w:val="0000FF"/>
            <w:sz w:val="24"/>
            <w:u w:val="thick" w:color="0000FF"/>
            <w:lang w:val="en-GB"/>
          </w:rPr>
          <w:t>report</w:t>
        </w:r>
        <w:r w:rsidRPr="006C668C">
          <w:rPr>
            <w:b/>
            <w:sz w:val="24"/>
            <w:lang w:val="en-GB"/>
          </w:rPr>
          <w:t>,</w:t>
        </w:r>
        <w:r w:rsidRPr="006C668C">
          <w:rPr>
            <w:b/>
            <w:spacing w:val="15"/>
            <w:sz w:val="24"/>
            <w:lang w:val="en-GB"/>
          </w:rPr>
          <w:t xml:space="preserve"> </w:t>
        </w:r>
      </w:hyperlink>
      <w:hyperlink r:id="rId51">
        <w:r w:rsidRPr="006C668C">
          <w:rPr>
            <w:b/>
            <w:color w:val="0000FF"/>
            <w:sz w:val="24"/>
            <w:u w:val="thick" w:color="0000FF"/>
            <w:lang w:val="en-GB"/>
          </w:rPr>
          <w:t>EIOPA</w:t>
        </w:r>
        <w:r w:rsidRPr="006C668C">
          <w:rPr>
            <w:b/>
            <w:color w:val="0000FF"/>
            <w:spacing w:val="15"/>
            <w:sz w:val="24"/>
            <w:u w:val="thick" w:color="0000FF"/>
            <w:lang w:val="en-GB"/>
          </w:rPr>
          <w:t xml:space="preserve"> </w:t>
        </w:r>
        <w:r w:rsidRPr="006C668C">
          <w:rPr>
            <w:b/>
            <w:color w:val="0000FF"/>
            <w:sz w:val="24"/>
            <w:u w:val="thick" w:color="0000FF"/>
            <w:lang w:val="en-GB"/>
          </w:rPr>
          <w:t>report</w:t>
        </w:r>
      </w:hyperlink>
      <w:r w:rsidRPr="006C668C">
        <w:rPr>
          <w:b/>
          <w:sz w:val="24"/>
          <w:lang w:val="en-GB"/>
        </w:rPr>
        <w:t>)</w:t>
      </w:r>
      <w:r w:rsidRPr="006C668C">
        <w:rPr>
          <w:b/>
          <w:spacing w:val="17"/>
          <w:sz w:val="24"/>
          <w:lang w:val="en-GB"/>
        </w:rPr>
        <w:t xml:space="preserve"> </w:t>
      </w:r>
      <w:r w:rsidRPr="006C668C">
        <w:rPr>
          <w:b/>
          <w:sz w:val="24"/>
          <w:lang w:val="en-GB"/>
        </w:rPr>
        <w:t>that</w:t>
      </w:r>
      <w:r w:rsidRPr="006C668C">
        <w:rPr>
          <w:b/>
          <w:spacing w:val="15"/>
          <w:sz w:val="24"/>
          <w:lang w:val="en-GB"/>
        </w:rPr>
        <w:t xml:space="preserve"> </w:t>
      </w:r>
      <w:r w:rsidRPr="006C668C">
        <w:rPr>
          <w:b/>
          <w:sz w:val="24"/>
          <w:lang w:val="en-GB"/>
        </w:rPr>
        <w:t>had</w:t>
      </w:r>
      <w:r w:rsidRPr="006C668C">
        <w:rPr>
          <w:b/>
          <w:spacing w:val="16"/>
          <w:sz w:val="24"/>
          <w:lang w:val="en-GB"/>
        </w:rPr>
        <w:t xml:space="preserve"> </w:t>
      </w:r>
      <w:r w:rsidRPr="006C668C">
        <w:rPr>
          <w:b/>
          <w:sz w:val="24"/>
          <w:lang w:val="en-GB"/>
        </w:rPr>
        <w:t>the</w:t>
      </w:r>
      <w:r w:rsidRPr="006C668C">
        <w:rPr>
          <w:b/>
          <w:spacing w:val="14"/>
          <w:sz w:val="24"/>
          <w:lang w:val="en-GB"/>
        </w:rPr>
        <w:t xml:space="preserve"> </w:t>
      </w:r>
      <w:r w:rsidRPr="006C668C">
        <w:rPr>
          <w:b/>
          <w:sz w:val="24"/>
          <w:lang w:val="en-GB"/>
        </w:rPr>
        <w:t>objective</w:t>
      </w:r>
      <w:r w:rsidRPr="006C668C">
        <w:rPr>
          <w:b/>
          <w:spacing w:val="16"/>
          <w:sz w:val="24"/>
          <w:lang w:val="en-GB"/>
        </w:rPr>
        <w:t xml:space="preserve"> </w:t>
      </w:r>
      <w:r w:rsidRPr="006C668C">
        <w:rPr>
          <w:b/>
          <w:sz w:val="24"/>
          <w:lang w:val="en-GB"/>
        </w:rPr>
        <w:t>of</w:t>
      </w:r>
      <w:r w:rsidRPr="006C668C">
        <w:rPr>
          <w:b/>
          <w:spacing w:val="17"/>
          <w:sz w:val="24"/>
          <w:lang w:val="en-GB"/>
        </w:rPr>
        <w:t xml:space="preserve"> </w:t>
      </w:r>
      <w:r w:rsidRPr="006C668C">
        <w:rPr>
          <w:b/>
          <w:sz w:val="24"/>
          <w:lang w:val="en-GB"/>
        </w:rPr>
        <w:t>assessing</w:t>
      </w:r>
      <w:r w:rsidRPr="006C668C">
        <w:rPr>
          <w:b/>
          <w:spacing w:val="16"/>
          <w:sz w:val="24"/>
          <w:lang w:val="en-GB"/>
        </w:rPr>
        <w:t xml:space="preserve"> </w:t>
      </w:r>
      <w:r w:rsidRPr="006C668C">
        <w:rPr>
          <w:b/>
          <w:sz w:val="24"/>
          <w:lang w:val="en-GB"/>
        </w:rPr>
        <w:t>evidence</w:t>
      </w:r>
      <w:r w:rsidRPr="006C668C">
        <w:rPr>
          <w:b/>
          <w:spacing w:val="14"/>
          <w:sz w:val="24"/>
          <w:lang w:val="en-GB"/>
        </w:rPr>
        <w:t xml:space="preserve"> </w:t>
      </w:r>
      <w:r w:rsidRPr="006C668C">
        <w:rPr>
          <w:b/>
          <w:sz w:val="24"/>
          <w:lang w:val="en-GB"/>
        </w:rPr>
        <w:t>of</w:t>
      </w:r>
      <w:r w:rsidRPr="006C668C">
        <w:rPr>
          <w:b/>
          <w:spacing w:val="14"/>
          <w:sz w:val="24"/>
          <w:lang w:val="en-GB"/>
        </w:rPr>
        <w:t xml:space="preserve"> </w:t>
      </w:r>
      <w:r w:rsidRPr="006C668C">
        <w:rPr>
          <w:b/>
          <w:sz w:val="24"/>
          <w:lang w:val="en-GB"/>
        </w:rPr>
        <w:t>undue</w:t>
      </w:r>
      <w:r w:rsidRPr="006C668C">
        <w:rPr>
          <w:b/>
          <w:spacing w:val="14"/>
          <w:sz w:val="24"/>
          <w:lang w:val="en-GB"/>
        </w:rPr>
        <w:t xml:space="preserve"> </w:t>
      </w:r>
      <w:r w:rsidRPr="006C668C">
        <w:rPr>
          <w:b/>
          <w:sz w:val="24"/>
          <w:lang w:val="en-GB"/>
        </w:rPr>
        <w:t>short-</w:t>
      </w:r>
      <w:r w:rsidRPr="006C668C">
        <w:rPr>
          <w:b/>
          <w:lang w:val="en-GB"/>
        </w:rPr>
        <w:t>term pressure from the financial sector on corporations</w:t>
      </w:r>
      <w:r w:rsidRPr="006C668C">
        <w:rPr>
          <w:lang w:val="en-GB"/>
        </w:rPr>
        <w:t>. They identified areas within their remit where they found some degree of short-termism and issued policy recommendations accordingly. For instance, they advise the adoption of longer-term perspectives among financial institutions through more explicit legal provisions on sustainability.</w:t>
      </w:r>
    </w:p>
    <w:p w14:paraId="449B0DF7" w14:textId="77777777" w:rsidR="005D282E" w:rsidRPr="006C668C" w:rsidRDefault="005D282E">
      <w:pPr>
        <w:pStyle w:val="BodyText"/>
        <w:spacing w:before="2"/>
        <w:rPr>
          <w:sz w:val="29"/>
          <w:lang w:val="en-GB"/>
        </w:rPr>
      </w:pPr>
    </w:p>
    <w:p w14:paraId="449B0DF8" w14:textId="77777777" w:rsidR="005D282E" w:rsidRPr="006C668C" w:rsidRDefault="00E47DB2">
      <w:pPr>
        <w:pStyle w:val="BodyText"/>
        <w:ind w:left="306" w:right="317"/>
        <w:jc w:val="both"/>
        <w:rPr>
          <w:lang w:val="en-GB"/>
        </w:rPr>
      </w:pPr>
      <w:r w:rsidRPr="006C668C">
        <w:rPr>
          <w:lang w:val="en-GB"/>
        </w:rPr>
        <w:t xml:space="preserve">The Shareholder Rights Directive II states that </w:t>
      </w:r>
      <w:r w:rsidRPr="006C668C">
        <w:rPr>
          <w:b/>
          <w:lang w:val="en-GB"/>
        </w:rPr>
        <w:t xml:space="preserve">directors’ variable remuneration </w:t>
      </w:r>
      <w:r w:rsidRPr="006C668C">
        <w:rPr>
          <w:lang w:val="en-GB"/>
        </w:rPr>
        <w:t>should be based on both financial and non-financial performance, where applicable. However, there is currently no requirement regarding what the fraction of variable remuneration should be linked to, when it comes to non-financial performance.</w:t>
      </w:r>
    </w:p>
    <w:p w14:paraId="63A0D4E0" w14:textId="77777777" w:rsidR="003F727E" w:rsidRPr="006C668C" w:rsidRDefault="003F727E">
      <w:pPr>
        <w:pStyle w:val="BodyText"/>
        <w:ind w:left="306" w:right="317"/>
        <w:jc w:val="both"/>
        <w:rPr>
          <w:lang w:val="en-GB"/>
        </w:rPr>
      </w:pPr>
    </w:p>
    <w:p w14:paraId="04671713" w14:textId="77777777" w:rsidR="003F727E" w:rsidRPr="006C668C" w:rsidRDefault="003F727E" w:rsidP="003F727E">
      <w:pPr>
        <w:pStyle w:val="BodyText"/>
        <w:rPr>
          <w:color w:val="9BBB59" w:themeColor="accent3"/>
          <w:lang w:val="en-GB"/>
        </w:rPr>
      </w:pPr>
      <w:r w:rsidRPr="006C668C">
        <w:rPr>
          <w:color w:val="9BBB59" w:themeColor="accent3"/>
          <w:lang w:val="en-GB"/>
        </w:rPr>
        <w:t>[…]</w:t>
      </w:r>
    </w:p>
    <w:p w14:paraId="2C138877" w14:textId="77777777" w:rsidR="003F727E" w:rsidRPr="006C668C" w:rsidRDefault="003F727E">
      <w:pPr>
        <w:pStyle w:val="BodyText"/>
        <w:ind w:left="306" w:right="317"/>
        <w:jc w:val="both"/>
        <w:rPr>
          <w:lang w:val="en-GB"/>
        </w:rPr>
      </w:pPr>
    </w:p>
    <w:p w14:paraId="449B0DF9" w14:textId="77777777" w:rsidR="005D282E" w:rsidRPr="006C668C" w:rsidRDefault="005D282E">
      <w:pPr>
        <w:pStyle w:val="BodyText"/>
        <w:spacing w:before="10"/>
        <w:rPr>
          <w:sz w:val="20"/>
          <w:lang w:val="en-GB"/>
        </w:rPr>
      </w:pPr>
    </w:p>
    <w:p w14:paraId="449B0DFA" w14:textId="77777777" w:rsidR="005D282E" w:rsidRPr="006C668C" w:rsidRDefault="00E47DB2">
      <w:pPr>
        <w:pStyle w:val="BodyText"/>
        <w:spacing w:before="1"/>
        <w:ind w:left="306" w:right="318"/>
        <w:jc w:val="both"/>
        <w:rPr>
          <w:lang w:val="en-GB"/>
        </w:rPr>
      </w:pPr>
      <w:r w:rsidRPr="006C668C">
        <w:rPr>
          <w:b/>
          <w:lang w:val="en-GB"/>
        </w:rPr>
        <w:t>Question 40</w:t>
      </w:r>
      <w:r w:rsidRPr="006C668C">
        <w:rPr>
          <w:lang w:val="en-GB"/>
        </w:rPr>
        <w:t>: In your view, should there be a mandatory share of variable remuneration linked to non-financial performance for corporates and financial institutions?</w:t>
      </w:r>
    </w:p>
    <w:p w14:paraId="449B0DFB" w14:textId="77777777" w:rsidR="005D282E" w:rsidRPr="006C668C" w:rsidRDefault="005D282E">
      <w:pPr>
        <w:pStyle w:val="BodyText"/>
        <w:spacing w:before="2"/>
        <w:rPr>
          <w:sz w:val="26"/>
          <w:lang w:val="en-GB"/>
        </w:rPr>
      </w:pPr>
    </w:p>
    <w:p w14:paraId="449B0DFC" w14:textId="77777777" w:rsidR="005D282E" w:rsidRPr="006C668C" w:rsidRDefault="00E47DB2">
      <w:pPr>
        <w:pStyle w:val="ListParagraph"/>
        <w:numPr>
          <w:ilvl w:val="0"/>
          <w:numId w:val="16"/>
        </w:numPr>
        <w:tabs>
          <w:tab w:val="left" w:pos="1027"/>
        </w:tabs>
        <w:spacing w:before="1"/>
        <w:ind w:hanging="361"/>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74D00871" w14:textId="41A2437E" w:rsidR="006C56A8" w:rsidRPr="006C56A8" w:rsidRDefault="00E47DB2" w:rsidP="006C56A8">
      <w:pPr>
        <w:pStyle w:val="ListParagraph"/>
        <w:numPr>
          <w:ilvl w:val="0"/>
          <w:numId w:val="16"/>
        </w:numPr>
        <w:tabs>
          <w:tab w:val="left" w:pos="1027"/>
        </w:tabs>
        <w:spacing w:before="38"/>
        <w:ind w:hanging="361"/>
        <w:rPr>
          <w:rFonts w:ascii="Wingdings" w:hAnsi="Wingdings"/>
          <w:color w:val="FF0000"/>
          <w:lang w:val="en-GB"/>
        </w:rPr>
      </w:pPr>
      <w:r w:rsidRPr="006C668C">
        <w:rPr>
          <w:lang w:val="en-GB"/>
        </w:rPr>
        <w:t>If yes, please indicate what share. [box 2000</w:t>
      </w:r>
      <w:r w:rsidRPr="006C668C">
        <w:rPr>
          <w:spacing w:val="-3"/>
          <w:lang w:val="en-GB"/>
        </w:rPr>
        <w:t xml:space="preserve"> </w:t>
      </w:r>
      <w:r w:rsidRPr="006C668C">
        <w:rPr>
          <w:lang w:val="en-GB"/>
        </w:rPr>
        <w:t>characters]</w:t>
      </w:r>
      <w:r w:rsidR="004B7E3C" w:rsidRPr="006C668C">
        <w:rPr>
          <w:lang w:val="en-GB"/>
        </w:rPr>
        <w:t xml:space="preserve"> </w:t>
      </w:r>
      <w:r w:rsidR="00B145A0" w:rsidRPr="006C668C">
        <w:rPr>
          <w:lang w:val="en-GB"/>
        </w:rPr>
        <w:t>–</w:t>
      </w:r>
      <w:r w:rsidR="004B7E3C" w:rsidRPr="006C668C">
        <w:rPr>
          <w:lang w:val="en-GB"/>
        </w:rPr>
        <w:t xml:space="preserve"> </w:t>
      </w:r>
      <w:r w:rsidR="00CA1888">
        <w:rPr>
          <w:color w:val="FF0000"/>
          <w:lang w:val="en-GB"/>
        </w:rPr>
        <w:t>A</w:t>
      </w:r>
      <w:r w:rsidR="00B145A0" w:rsidRPr="006C668C">
        <w:rPr>
          <w:color w:val="FF0000"/>
          <w:lang w:val="en-GB"/>
        </w:rPr>
        <w:t xml:space="preserve"> mandatory share should</w:t>
      </w:r>
      <w:r w:rsidR="00723EAB" w:rsidRPr="006C668C">
        <w:rPr>
          <w:color w:val="FF0000"/>
          <w:lang w:val="en-GB"/>
        </w:rPr>
        <w:t xml:space="preserve"> ensure that non-financial performance </w:t>
      </w:r>
      <w:r w:rsidR="00CA1888">
        <w:rPr>
          <w:color w:val="FF0000"/>
          <w:lang w:val="en-GB"/>
        </w:rPr>
        <w:t>is</w:t>
      </w:r>
      <w:r w:rsidR="00723EAB" w:rsidRPr="006C668C">
        <w:rPr>
          <w:color w:val="FF0000"/>
          <w:lang w:val="en-GB"/>
        </w:rPr>
        <w:t xml:space="preserve"> included in directors’ variable remuneration. </w:t>
      </w:r>
      <w:r w:rsidR="00CA1888">
        <w:rPr>
          <w:color w:val="FF0000"/>
          <w:lang w:val="en-GB"/>
        </w:rPr>
        <w:t>I</w:t>
      </w:r>
      <w:r w:rsidR="00A359EC" w:rsidRPr="006C668C">
        <w:rPr>
          <w:color w:val="FF0000"/>
          <w:lang w:val="en-GB"/>
        </w:rPr>
        <w:t xml:space="preserve">t is </w:t>
      </w:r>
      <w:r w:rsidR="00AF36C5" w:rsidRPr="006C668C">
        <w:rPr>
          <w:color w:val="FF0000"/>
          <w:lang w:val="en-GB"/>
        </w:rPr>
        <w:t>important</w:t>
      </w:r>
      <w:r w:rsidR="00A359EC" w:rsidRPr="006C668C">
        <w:rPr>
          <w:color w:val="FF0000"/>
          <w:lang w:val="en-GB"/>
        </w:rPr>
        <w:t xml:space="preserve"> that </w:t>
      </w:r>
      <w:r w:rsidR="002F18A6">
        <w:rPr>
          <w:color w:val="FF0000"/>
          <w:lang w:val="en-GB"/>
        </w:rPr>
        <w:t xml:space="preserve">the </w:t>
      </w:r>
      <w:r w:rsidR="00A359EC" w:rsidRPr="006C668C">
        <w:rPr>
          <w:color w:val="FF0000"/>
          <w:lang w:val="en-GB"/>
        </w:rPr>
        <w:t>E</w:t>
      </w:r>
      <w:r w:rsidR="0028389C">
        <w:rPr>
          <w:color w:val="FF0000"/>
          <w:lang w:val="en-GB"/>
        </w:rPr>
        <w:t>uropean</w:t>
      </w:r>
      <w:r w:rsidR="00A359EC" w:rsidRPr="006C668C">
        <w:rPr>
          <w:color w:val="FF0000"/>
          <w:lang w:val="en-GB"/>
        </w:rPr>
        <w:t xml:space="preserve"> </w:t>
      </w:r>
      <w:r w:rsidR="00CA1888">
        <w:rPr>
          <w:color w:val="FF0000"/>
          <w:lang w:val="en-GB"/>
        </w:rPr>
        <w:t>C</w:t>
      </w:r>
      <w:r w:rsidR="00A359EC" w:rsidRPr="006C668C">
        <w:rPr>
          <w:color w:val="FF0000"/>
          <w:lang w:val="en-GB"/>
        </w:rPr>
        <w:t xml:space="preserve">ommission defines </w:t>
      </w:r>
      <w:r w:rsidR="007831E9" w:rsidRPr="006C668C">
        <w:rPr>
          <w:color w:val="FF0000"/>
          <w:lang w:val="en-GB"/>
        </w:rPr>
        <w:t xml:space="preserve">clear guidelines </w:t>
      </w:r>
      <w:r w:rsidR="00E3481F" w:rsidRPr="006C668C">
        <w:rPr>
          <w:color w:val="FF0000"/>
          <w:lang w:val="en-GB"/>
        </w:rPr>
        <w:t xml:space="preserve">or instructions to help companies </w:t>
      </w:r>
      <w:r w:rsidR="00CA1888">
        <w:rPr>
          <w:color w:val="FF0000"/>
          <w:lang w:val="en-GB"/>
        </w:rPr>
        <w:t>select</w:t>
      </w:r>
      <w:r w:rsidR="00E3481F" w:rsidRPr="006C668C">
        <w:rPr>
          <w:color w:val="FF0000"/>
          <w:lang w:val="en-GB"/>
        </w:rPr>
        <w:t xml:space="preserve"> the </w:t>
      </w:r>
      <w:r w:rsidR="00CA1888">
        <w:rPr>
          <w:color w:val="FF0000"/>
          <w:lang w:val="en-GB"/>
        </w:rPr>
        <w:t xml:space="preserve">specific </w:t>
      </w:r>
      <w:r w:rsidR="007831E9" w:rsidRPr="006C668C">
        <w:rPr>
          <w:color w:val="FF0000"/>
          <w:lang w:val="en-GB"/>
        </w:rPr>
        <w:t xml:space="preserve">non-financial </w:t>
      </w:r>
      <w:r w:rsidR="00E3481F" w:rsidRPr="006C668C">
        <w:rPr>
          <w:color w:val="FF0000"/>
          <w:lang w:val="en-GB"/>
        </w:rPr>
        <w:t xml:space="preserve">performance to </w:t>
      </w:r>
      <w:r w:rsidR="00CA1888">
        <w:rPr>
          <w:color w:val="FF0000"/>
          <w:lang w:val="en-GB"/>
        </w:rPr>
        <w:t xml:space="preserve">be </w:t>
      </w:r>
      <w:r w:rsidR="00E3481F" w:rsidRPr="006C668C">
        <w:rPr>
          <w:color w:val="FF0000"/>
          <w:lang w:val="en-GB"/>
        </w:rPr>
        <w:t xml:space="preserve">taken into account. </w:t>
      </w:r>
      <w:r w:rsidR="00CA1888" w:rsidRPr="003028AA">
        <w:rPr>
          <w:color w:val="FF0000"/>
          <w:lang w:val="en-GB"/>
        </w:rPr>
        <w:t>To be compliant</w:t>
      </w:r>
      <w:r w:rsidR="009C1FD5" w:rsidRPr="003028AA">
        <w:rPr>
          <w:color w:val="FF0000"/>
          <w:lang w:val="en-GB"/>
        </w:rPr>
        <w:t xml:space="preserve"> with the S</w:t>
      </w:r>
      <w:r w:rsidR="00D76B83" w:rsidRPr="003028AA">
        <w:rPr>
          <w:color w:val="FF0000"/>
          <w:lang w:val="en-GB"/>
        </w:rPr>
        <w:t xml:space="preserve">hareholder </w:t>
      </w:r>
      <w:r w:rsidR="009C1FD5" w:rsidRPr="003028AA">
        <w:rPr>
          <w:color w:val="FF0000"/>
          <w:lang w:val="en-GB"/>
        </w:rPr>
        <w:t>R</w:t>
      </w:r>
      <w:r w:rsidR="00D76B83" w:rsidRPr="003028AA">
        <w:rPr>
          <w:color w:val="FF0000"/>
          <w:lang w:val="en-GB"/>
        </w:rPr>
        <w:t xml:space="preserve">ights </w:t>
      </w:r>
      <w:r w:rsidR="009C1FD5" w:rsidRPr="003028AA">
        <w:rPr>
          <w:color w:val="FF0000"/>
          <w:lang w:val="en-GB"/>
        </w:rPr>
        <w:t>D</w:t>
      </w:r>
      <w:r w:rsidR="00D76B83" w:rsidRPr="003028AA">
        <w:rPr>
          <w:color w:val="FF0000"/>
          <w:lang w:val="en-GB"/>
        </w:rPr>
        <w:t>irective</w:t>
      </w:r>
      <w:r w:rsidR="009C1FD5" w:rsidRPr="003028AA">
        <w:rPr>
          <w:color w:val="FF0000"/>
          <w:lang w:val="en-GB"/>
        </w:rPr>
        <w:t xml:space="preserve"> </w:t>
      </w:r>
      <w:r w:rsidR="00D76B83" w:rsidRPr="003028AA">
        <w:rPr>
          <w:color w:val="FF0000"/>
          <w:lang w:val="en-GB"/>
        </w:rPr>
        <w:t xml:space="preserve">(SRD </w:t>
      </w:r>
      <w:r w:rsidR="009C1FD5" w:rsidRPr="003028AA">
        <w:rPr>
          <w:color w:val="FF0000"/>
          <w:lang w:val="en-GB"/>
        </w:rPr>
        <w:t>II</w:t>
      </w:r>
      <w:r w:rsidR="00D76B83" w:rsidRPr="003028AA">
        <w:rPr>
          <w:color w:val="FF0000"/>
          <w:lang w:val="en-GB"/>
        </w:rPr>
        <w:t>)</w:t>
      </w:r>
      <w:r w:rsidR="004851FB" w:rsidRPr="003028AA">
        <w:rPr>
          <w:color w:val="FF0000"/>
          <w:lang w:val="en-GB"/>
        </w:rPr>
        <w:t>,</w:t>
      </w:r>
      <w:r w:rsidR="009C1FD5" w:rsidRPr="003028AA">
        <w:rPr>
          <w:color w:val="FF0000"/>
          <w:lang w:val="en-GB"/>
        </w:rPr>
        <w:t xml:space="preserve"> </w:t>
      </w:r>
      <w:r w:rsidR="00F0581C" w:rsidRPr="003028AA">
        <w:rPr>
          <w:color w:val="FF0000"/>
          <w:lang w:val="en-GB"/>
        </w:rPr>
        <w:t xml:space="preserve">it is most important that </w:t>
      </w:r>
      <w:r w:rsidR="00D76B83" w:rsidRPr="003028AA">
        <w:rPr>
          <w:color w:val="FF0000"/>
          <w:lang w:val="en-GB"/>
        </w:rPr>
        <w:t>these targets are</w:t>
      </w:r>
      <w:r w:rsidR="007B6BA7" w:rsidRPr="003028AA">
        <w:rPr>
          <w:bCs/>
          <w:color w:val="FF0000"/>
          <w:lang w:val="en-GB"/>
        </w:rPr>
        <w:t xml:space="preserve"> easily monitored and verified.</w:t>
      </w:r>
      <w:r w:rsidR="007B6BA7" w:rsidRPr="003028AA">
        <w:rPr>
          <w:color w:val="FF0000"/>
          <w:lang w:val="en-GB"/>
        </w:rPr>
        <w:t xml:space="preserve"> </w:t>
      </w:r>
      <w:r w:rsidR="006C56A8" w:rsidRPr="003028AA">
        <w:rPr>
          <w:color w:val="FF0000"/>
          <w:lang w:val="en-GB"/>
        </w:rPr>
        <w:t>With regard to the following question, FERMA believes that a defined set of EU companies should be required to include carbon emission reductions in their lists of ESG factors affecting directors’ variable remuneration providing</w:t>
      </w:r>
      <w:r w:rsidR="006C56A8">
        <w:rPr>
          <w:color w:val="FF0000"/>
          <w:lang w:val="en-GB"/>
        </w:rPr>
        <w:t xml:space="preserve"> that a carbon emission strategy is clearly defined at company level, implying a commitment to specific investments and actions. Thorough non-financial performance reporting can be achieved only if there is commitment from the company on each specific topic. </w:t>
      </w:r>
    </w:p>
    <w:p w14:paraId="449B0DFE" w14:textId="77777777" w:rsidR="00471AC4" w:rsidRPr="006C668C" w:rsidRDefault="00471AC4" w:rsidP="00471AC4">
      <w:pPr>
        <w:pStyle w:val="ListParagraph"/>
        <w:tabs>
          <w:tab w:val="left" w:pos="1027"/>
        </w:tabs>
        <w:spacing w:before="38"/>
        <w:ind w:firstLine="0"/>
        <w:rPr>
          <w:rFonts w:ascii="Wingdings" w:hAnsi="Wingdings"/>
          <w:lang w:val="en-GB"/>
        </w:rPr>
      </w:pPr>
    </w:p>
    <w:p w14:paraId="449B0DFF" w14:textId="77777777" w:rsidR="005D282E" w:rsidRPr="006C668C" w:rsidRDefault="00E47DB2">
      <w:pPr>
        <w:pStyle w:val="BodyText"/>
        <w:spacing w:before="95"/>
        <w:ind w:left="306" w:right="324"/>
        <w:jc w:val="both"/>
        <w:rPr>
          <w:lang w:val="en-GB"/>
        </w:rPr>
      </w:pPr>
      <w:r w:rsidRPr="006C668C">
        <w:rPr>
          <w:b/>
          <w:lang w:val="en-GB"/>
        </w:rPr>
        <w:t>Question 41</w:t>
      </w:r>
      <w:r w:rsidRPr="006C668C">
        <w:rPr>
          <w:lang w:val="en-GB"/>
        </w:rPr>
        <w:t>: Do you think that a defined set of EU companies should be required to include carbon emission reductions, where applicable, in their lists of ESG factors affecting directors’ variable remuneration?</w:t>
      </w:r>
    </w:p>
    <w:p w14:paraId="449B0E00" w14:textId="77777777" w:rsidR="005D282E" w:rsidRPr="006C668C" w:rsidRDefault="005D282E">
      <w:pPr>
        <w:pStyle w:val="BodyText"/>
        <w:spacing w:before="3"/>
        <w:rPr>
          <w:sz w:val="26"/>
          <w:lang w:val="en-GB"/>
        </w:rPr>
      </w:pPr>
    </w:p>
    <w:p w14:paraId="45DB65CC" w14:textId="44AC08B7" w:rsidR="003C1FF6" w:rsidRPr="006C668C" w:rsidRDefault="00E47DB2" w:rsidP="006C56A8">
      <w:pPr>
        <w:pStyle w:val="ListParagraph"/>
        <w:numPr>
          <w:ilvl w:val="0"/>
          <w:numId w:val="16"/>
        </w:numPr>
        <w:tabs>
          <w:tab w:val="left" w:pos="1027"/>
        </w:tabs>
        <w:ind w:hanging="361"/>
        <w:rPr>
          <w:b/>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01ECDF37" w14:textId="77777777" w:rsidR="003F727E" w:rsidRPr="006C668C" w:rsidRDefault="003F727E" w:rsidP="003F727E">
      <w:pPr>
        <w:pStyle w:val="BodyText"/>
        <w:rPr>
          <w:color w:val="9BBB59" w:themeColor="accent3"/>
          <w:lang w:val="en-GB"/>
        </w:rPr>
      </w:pPr>
      <w:bookmarkStart w:id="22" w:name="2._Increasing_opportunities_for_citizens"/>
      <w:bookmarkStart w:id="23" w:name="_bookmark14"/>
      <w:bookmarkStart w:id="24" w:name="2.8_Promoting_intra-EU_cross-border_sust"/>
      <w:bookmarkStart w:id="25" w:name="_bookmark22"/>
      <w:bookmarkEnd w:id="22"/>
      <w:bookmarkEnd w:id="23"/>
      <w:bookmarkEnd w:id="24"/>
      <w:bookmarkEnd w:id="25"/>
      <w:r w:rsidRPr="006C668C">
        <w:rPr>
          <w:color w:val="9BBB59" w:themeColor="accent3"/>
          <w:lang w:val="en-GB"/>
        </w:rPr>
        <w:t>[…]</w:t>
      </w:r>
    </w:p>
    <w:p w14:paraId="449B0E97" w14:textId="77777777" w:rsidR="005D282E" w:rsidRPr="006C668C" w:rsidRDefault="005D282E">
      <w:pPr>
        <w:pStyle w:val="BodyText"/>
        <w:spacing w:before="2"/>
        <w:rPr>
          <w:sz w:val="29"/>
          <w:lang w:val="en-GB"/>
        </w:rPr>
      </w:pPr>
    </w:p>
    <w:p w14:paraId="449B0E98" w14:textId="0AAF3923" w:rsidR="005D282E" w:rsidRPr="006C668C" w:rsidRDefault="003C1FF6" w:rsidP="003C1FF6">
      <w:pPr>
        <w:tabs>
          <w:tab w:val="left" w:pos="1027"/>
        </w:tabs>
        <w:ind w:left="666"/>
        <w:rPr>
          <w:b/>
          <w:sz w:val="24"/>
          <w:lang w:val="en-GB"/>
        </w:rPr>
      </w:pPr>
      <w:bookmarkStart w:id="26" w:name="3._Reducing_and_managing_climate_and_env"/>
      <w:bookmarkStart w:id="27" w:name="_bookmark25"/>
      <w:bookmarkEnd w:id="26"/>
      <w:bookmarkEnd w:id="27"/>
      <w:r w:rsidRPr="006C668C">
        <w:rPr>
          <w:b/>
          <w:sz w:val="24"/>
          <w:lang w:val="en-GB"/>
        </w:rPr>
        <w:t xml:space="preserve">3. </w:t>
      </w:r>
      <w:r w:rsidR="00E47DB2" w:rsidRPr="006C668C">
        <w:rPr>
          <w:b/>
          <w:sz w:val="24"/>
          <w:lang w:val="en-GB"/>
        </w:rPr>
        <w:t>R</w:t>
      </w:r>
      <w:r w:rsidR="00E47DB2" w:rsidRPr="006C668C">
        <w:rPr>
          <w:b/>
          <w:sz w:val="19"/>
          <w:lang w:val="en-GB"/>
        </w:rPr>
        <w:t>EDUCING AND MANAGING CLIMATE AND ENVIRONMENTAL</w:t>
      </w:r>
      <w:r w:rsidR="00E47DB2" w:rsidRPr="006C668C">
        <w:rPr>
          <w:b/>
          <w:spacing w:val="-6"/>
          <w:sz w:val="19"/>
          <w:lang w:val="en-GB"/>
        </w:rPr>
        <w:t xml:space="preserve"> </w:t>
      </w:r>
      <w:r w:rsidR="00E47DB2" w:rsidRPr="006C668C">
        <w:rPr>
          <w:b/>
          <w:sz w:val="19"/>
          <w:lang w:val="en-GB"/>
        </w:rPr>
        <w:t>RISKS</w:t>
      </w:r>
    </w:p>
    <w:p w14:paraId="449B0E99" w14:textId="77777777" w:rsidR="005D282E" w:rsidRPr="006C668C" w:rsidRDefault="00E47DB2">
      <w:pPr>
        <w:pStyle w:val="BodyText"/>
        <w:spacing w:before="36"/>
        <w:ind w:left="306" w:right="318"/>
        <w:jc w:val="both"/>
        <w:rPr>
          <w:lang w:val="en-GB"/>
        </w:rPr>
      </w:pPr>
      <w:r w:rsidRPr="006C668C">
        <w:rPr>
          <w:lang w:val="en-GB"/>
        </w:rPr>
        <w:t>Climate and environmental risks, including relevant transition risks, and their possible negative social impacts, can have a disruptive impact on our economies and financial system, if not managed appropriately. Against this background, the three European supervisory authorities (ESAs) have each developed work plans on sustainable finance.</w:t>
      </w:r>
      <w:r w:rsidR="000A48FA" w:rsidRPr="006C668C">
        <w:rPr>
          <w:rStyle w:val="FootnoteReference"/>
          <w:lang w:val="en-GB"/>
        </w:rPr>
        <w:footnoteReference w:id="2"/>
      </w:r>
      <w:r w:rsidR="000A48FA" w:rsidRPr="006C668C">
        <w:rPr>
          <w:vertAlign w:val="superscript"/>
          <w:lang w:val="en-GB"/>
        </w:rPr>
        <w:t xml:space="preserve"> </w:t>
      </w:r>
      <w:r w:rsidRPr="006C668C">
        <w:rPr>
          <w:lang w:val="en-GB"/>
        </w:rPr>
        <w:t>Building, among others, on the ESAs’ activities further actions are envisaged to improve the management of climate and environmental risks by all actors in the financial system. In particular, the political agreement on the Taxonomy Regulation tasks the Commission with publishing a report on the provisions required for extending its requirements to activities that do significantly harm environmental sustainability (the so-called “brown taxonomy”).</w:t>
      </w:r>
    </w:p>
    <w:p w14:paraId="449B0E9A" w14:textId="77777777" w:rsidR="005D282E" w:rsidRPr="006C668C" w:rsidRDefault="005D282E">
      <w:pPr>
        <w:pStyle w:val="BodyText"/>
        <w:rPr>
          <w:sz w:val="26"/>
          <w:lang w:val="en-GB"/>
        </w:rPr>
      </w:pPr>
    </w:p>
    <w:p w14:paraId="449B0E9B" w14:textId="77777777" w:rsidR="005D282E" w:rsidRPr="006C668C" w:rsidRDefault="005D282E">
      <w:pPr>
        <w:pStyle w:val="BodyText"/>
        <w:spacing w:before="10"/>
        <w:rPr>
          <w:sz w:val="22"/>
          <w:lang w:val="en-GB"/>
        </w:rPr>
      </w:pPr>
    </w:p>
    <w:p w14:paraId="449B0E9C" w14:textId="5FFAD625" w:rsidR="005D282E" w:rsidRPr="006C668C" w:rsidRDefault="003F727E" w:rsidP="003F727E">
      <w:pPr>
        <w:pStyle w:val="Heading2"/>
        <w:numPr>
          <w:ilvl w:val="1"/>
          <w:numId w:val="25"/>
        </w:numPr>
        <w:tabs>
          <w:tab w:val="left" w:pos="1027"/>
        </w:tabs>
        <w:spacing w:before="1" w:line="278" w:lineRule="auto"/>
        <w:ind w:right="325"/>
        <w:rPr>
          <w:lang w:val="en-GB"/>
        </w:rPr>
      </w:pPr>
      <w:bookmarkStart w:id="28" w:name="3.1_Identifying_exposures_to_harmful_act"/>
      <w:bookmarkStart w:id="29" w:name="_bookmark26"/>
      <w:bookmarkEnd w:id="28"/>
      <w:bookmarkEnd w:id="29"/>
      <w:r w:rsidRPr="006C668C">
        <w:rPr>
          <w:lang w:val="en-GB"/>
        </w:rPr>
        <w:t xml:space="preserve"> </w:t>
      </w:r>
      <w:r w:rsidR="00E47DB2" w:rsidRPr="006C668C">
        <w:rPr>
          <w:lang w:val="en-GB"/>
        </w:rPr>
        <w:t>Identifying exposures to harmful activities and assets and disincentivising environmentally harmful</w:t>
      </w:r>
      <w:r w:rsidR="00E47DB2" w:rsidRPr="006C668C">
        <w:rPr>
          <w:spacing w:val="-1"/>
          <w:lang w:val="en-GB"/>
        </w:rPr>
        <w:t xml:space="preserve"> </w:t>
      </w:r>
      <w:r w:rsidR="00E47DB2" w:rsidRPr="006C668C">
        <w:rPr>
          <w:lang w:val="en-GB"/>
        </w:rPr>
        <w:t>investments</w:t>
      </w:r>
    </w:p>
    <w:p w14:paraId="449B0E9D" w14:textId="77777777" w:rsidR="005D282E" w:rsidRPr="006C668C" w:rsidRDefault="005D282E">
      <w:pPr>
        <w:pStyle w:val="BodyText"/>
        <w:spacing w:before="11"/>
        <w:rPr>
          <w:b/>
          <w:sz w:val="22"/>
          <w:lang w:val="en-GB"/>
        </w:rPr>
      </w:pPr>
    </w:p>
    <w:p w14:paraId="449B0E9E" w14:textId="77777777" w:rsidR="005D282E" w:rsidRPr="006C668C" w:rsidRDefault="00E47DB2">
      <w:pPr>
        <w:pStyle w:val="BodyText"/>
        <w:ind w:left="306" w:right="320"/>
        <w:jc w:val="both"/>
        <w:rPr>
          <w:lang w:val="en-GB"/>
        </w:rPr>
      </w:pPr>
      <w:r w:rsidRPr="006C668C">
        <w:rPr>
          <w:b/>
          <w:lang w:val="en-GB"/>
        </w:rPr>
        <w:t>Question 82</w:t>
      </w:r>
      <w:r w:rsidRPr="006C668C">
        <w:rPr>
          <w:lang w:val="en-GB"/>
        </w:rPr>
        <w:t xml:space="preserve">: </w:t>
      </w:r>
      <w:r w:rsidRPr="006C668C">
        <w:rPr>
          <w:spacing w:val="-3"/>
          <w:lang w:val="en-GB"/>
        </w:rPr>
        <w:t xml:space="preserve">In </w:t>
      </w:r>
      <w:r w:rsidRPr="006C668C">
        <w:rPr>
          <w:lang w:val="en-GB"/>
        </w:rPr>
        <w:t>particular, do you think that existing actions need to be complemented by the development of a taxonomy for economic activities that are most exposed to the transition due to their current negative environmental impacts (the so-called “brown taxonomy”) at EU level, in line with the review clause of the political agreement on the Taxonomy</w:t>
      </w:r>
      <w:r w:rsidRPr="006C668C">
        <w:rPr>
          <w:spacing w:val="-8"/>
          <w:lang w:val="en-GB"/>
        </w:rPr>
        <w:t xml:space="preserve"> </w:t>
      </w:r>
      <w:r w:rsidRPr="006C668C">
        <w:rPr>
          <w:lang w:val="en-GB"/>
        </w:rPr>
        <w:t>Regulation?</w:t>
      </w:r>
    </w:p>
    <w:p w14:paraId="449B0E9F" w14:textId="77777777" w:rsidR="005D282E" w:rsidRPr="006C668C" w:rsidRDefault="005D282E">
      <w:pPr>
        <w:pStyle w:val="BodyText"/>
        <w:spacing w:before="3"/>
        <w:rPr>
          <w:sz w:val="26"/>
          <w:lang w:val="en-GB"/>
        </w:rPr>
      </w:pPr>
    </w:p>
    <w:p w14:paraId="449B0EA0" w14:textId="77777777" w:rsidR="005D282E" w:rsidRPr="006C668C" w:rsidRDefault="00E47DB2">
      <w:pPr>
        <w:pStyle w:val="ListParagraph"/>
        <w:numPr>
          <w:ilvl w:val="0"/>
          <w:numId w:val="16"/>
        </w:numPr>
        <w:tabs>
          <w:tab w:val="left" w:pos="1026"/>
          <w:tab w:val="left" w:pos="1027"/>
        </w:tabs>
        <w:spacing w:before="1"/>
        <w:ind w:hanging="361"/>
        <w:jc w:val="left"/>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EA1" w14:textId="77777777" w:rsidR="005D282E" w:rsidRPr="006C668C" w:rsidRDefault="00E47DB2">
      <w:pPr>
        <w:pStyle w:val="ListParagraph"/>
        <w:numPr>
          <w:ilvl w:val="0"/>
          <w:numId w:val="16"/>
        </w:numPr>
        <w:tabs>
          <w:tab w:val="left" w:pos="1026"/>
          <w:tab w:val="left" w:pos="1027"/>
        </w:tabs>
        <w:spacing w:before="37"/>
        <w:ind w:hanging="361"/>
        <w:jc w:val="left"/>
        <w:rPr>
          <w:rFonts w:ascii="Wingdings" w:hAnsi="Wingdings"/>
          <w:lang w:val="en-GB"/>
        </w:rPr>
      </w:pPr>
      <w:r w:rsidRPr="006C668C">
        <w:rPr>
          <w:lang w:val="en-GB"/>
        </w:rPr>
        <w:t>If no, please explain why you disagree [BOX max. 2000</w:t>
      </w:r>
      <w:r w:rsidRPr="006C668C">
        <w:rPr>
          <w:spacing w:val="-5"/>
          <w:lang w:val="en-GB"/>
        </w:rPr>
        <w:t xml:space="preserve"> </w:t>
      </w:r>
      <w:r w:rsidRPr="006C668C">
        <w:rPr>
          <w:lang w:val="en-GB"/>
        </w:rPr>
        <w:t>characters]</w:t>
      </w:r>
    </w:p>
    <w:p w14:paraId="449B0EA2" w14:textId="77777777" w:rsidR="005D282E" w:rsidRPr="006C668C" w:rsidRDefault="00E47DB2">
      <w:pPr>
        <w:pStyle w:val="ListParagraph"/>
        <w:numPr>
          <w:ilvl w:val="0"/>
          <w:numId w:val="16"/>
        </w:numPr>
        <w:tabs>
          <w:tab w:val="left" w:pos="1026"/>
          <w:tab w:val="left" w:pos="1027"/>
        </w:tabs>
        <w:spacing w:before="38"/>
        <w:ind w:hanging="361"/>
        <w:jc w:val="left"/>
        <w:rPr>
          <w:rFonts w:ascii="Wingdings" w:hAnsi="Wingdings"/>
          <w:lang w:val="en-GB"/>
        </w:rPr>
      </w:pPr>
      <w:r w:rsidRPr="006C668C">
        <w:rPr>
          <w:lang w:val="en-GB"/>
        </w:rPr>
        <w:t>If yes, what would be the purpose of such a brown taxonomy? (select all that</w:t>
      </w:r>
      <w:r w:rsidRPr="006C668C">
        <w:rPr>
          <w:spacing w:val="-14"/>
          <w:lang w:val="en-GB"/>
        </w:rPr>
        <w:t xml:space="preserve"> </w:t>
      </w:r>
      <w:r w:rsidRPr="006C668C">
        <w:rPr>
          <w:lang w:val="en-GB"/>
        </w:rPr>
        <w:t>apply)</w:t>
      </w:r>
    </w:p>
    <w:p w14:paraId="449B0EA3" w14:textId="77777777" w:rsidR="005D282E" w:rsidRPr="006C668C" w:rsidRDefault="00E47DB2">
      <w:pPr>
        <w:pStyle w:val="ListParagraph"/>
        <w:numPr>
          <w:ilvl w:val="1"/>
          <w:numId w:val="16"/>
        </w:numPr>
        <w:tabs>
          <w:tab w:val="left" w:pos="1746"/>
          <w:tab w:val="left" w:pos="1747"/>
        </w:tabs>
        <w:spacing w:before="37"/>
        <w:ind w:hanging="361"/>
        <w:jc w:val="left"/>
        <w:rPr>
          <w:lang w:val="en-GB"/>
        </w:rPr>
      </w:pPr>
      <w:r w:rsidRPr="006C668C">
        <w:rPr>
          <w:highlight w:val="yellow"/>
          <w:lang w:val="en-GB"/>
        </w:rPr>
        <w:t>Help supervisors to identify and manage climate and environmental</w:t>
      </w:r>
      <w:r w:rsidRPr="006C668C">
        <w:rPr>
          <w:spacing w:val="-14"/>
          <w:highlight w:val="yellow"/>
          <w:lang w:val="en-GB"/>
        </w:rPr>
        <w:t xml:space="preserve"> </w:t>
      </w:r>
      <w:r w:rsidRPr="006C668C">
        <w:rPr>
          <w:highlight w:val="yellow"/>
          <w:lang w:val="en-GB"/>
        </w:rPr>
        <w:t>risks</w:t>
      </w:r>
      <w:r w:rsidRPr="006C668C">
        <w:rPr>
          <w:lang w:val="en-GB"/>
        </w:rPr>
        <w:t>.</w:t>
      </w:r>
    </w:p>
    <w:p w14:paraId="449B0EA4" w14:textId="77777777" w:rsidR="005D282E" w:rsidRPr="006C668C" w:rsidRDefault="00E47DB2">
      <w:pPr>
        <w:pStyle w:val="ListParagraph"/>
        <w:numPr>
          <w:ilvl w:val="1"/>
          <w:numId w:val="16"/>
        </w:numPr>
        <w:tabs>
          <w:tab w:val="left" w:pos="1746"/>
          <w:tab w:val="left" w:pos="1747"/>
        </w:tabs>
        <w:spacing w:before="21"/>
        <w:ind w:hanging="361"/>
        <w:jc w:val="left"/>
        <w:rPr>
          <w:highlight w:val="yellow"/>
          <w:lang w:val="en-GB"/>
        </w:rPr>
      </w:pPr>
      <w:r w:rsidRPr="006C668C">
        <w:rPr>
          <w:highlight w:val="yellow"/>
          <w:lang w:val="en-GB"/>
        </w:rPr>
        <w:t>Create new prudential tools, such as for exposures to carbon-intensive</w:t>
      </w:r>
      <w:r w:rsidRPr="006C668C">
        <w:rPr>
          <w:spacing w:val="-13"/>
          <w:highlight w:val="yellow"/>
          <w:lang w:val="en-GB"/>
        </w:rPr>
        <w:t xml:space="preserve"> </w:t>
      </w:r>
      <w:r w:rsidRPr="006C668C">
        <w:rPr>
          <w:highlight w:val="yellow"/>
          <w:lang w:val="en-GB"/>
        </w:rPr>
        <w:t>industries.</w:t>
      </w:r>
    </w:p>
    <w:p w14:paraId="449B0EA5" w14:textId="77777777" w:rsidR="005D282E" w:rsidRPr="006C668C" w:rsidRDefault="00E47DB2">
      <w:pPr>
        <w:pStyle w:val="ListParagraph"/>
        <w:numPr>
          <w:ilvl w:val="1"/>
          <w:numId w:val="16"/>
        </w:numPr>
        <w:tabs>
          <w:tab w:val="left" w:pos="1746"/>
          <w:tab w:val="left" w:pos="1747"/>
        </w:tabs>
        <w:spacing w:before="19" w:line="256" w:lineRule="auto"/>
        <w:ind w:right="322"/>
        <w:jc w:val="left"/>
        <w:rPr>
          <w:lang w:val="en-GB"/>
        </w:rPr>
      </w:pPr>
      <w:r w:rsidRPr="006C668C">
        <w:rPr>
          <w:highlight w:val="yellow"/>
          <w:lang w:val="en-GB"/>
        </w:rPr>
        <w:t>Make it easier for investors and financial institutions to voluntarily lower their exposure to these</w:t>
      </w:r>
      <w:r w:rsidRPr="006C668C">
        <w:rPr>
          <w:spacing w:val="-3"/>
          <w:highlight w:val="yellow"/>
          <w:lang w:val="en-GB"/>
        </w:rPr>
        <w:t xml:space="preserve"> </w:t>
      </w:r>
      <w:r w:rsidRPr="006C668C">
        <w:rPr>
          <w:highlight w:val="yellow"/>
          <w:lang w:val="en-GB"/>
        </w:rPr>
        <w:t>activities</w:t>
      </w:r>
      <w:r w:rsidRPr="006C668C">
        <w:rPr>
          <w:lang w:val="en-GB"/>
        </w:rPr>
        <w:t>.</w:t>
      </w:r>
    </w:p>
    <w:p w14:paraId="449B0EA6" w14:textId="77777777" w:rsidR="005D282E" w:rsidRPr="006C668C" w:rsidRDefault="00E47DB2">
      <w:pPr>
        <w:pStyle w:val="ListParagraph"/>
        <w:numPr>
          <w:ilvl w:val="1"/>
          <w:numId w:val="16"/>
        </w:numPr>
        <w:tabs>
          <w:tab w:val="left" w:pos="1746"/>
          <w:tab w:val="left" w:pos="1747"/>
        </w:tabs>
        <w:spacing w:before="21"/>
        <w:ind w:hanging="361"/>
        <w:jc w:val="left"/>
        <w:rPr>
          <w:lang w:val="en-GB"/>
        </w:rPr>
      </w:pPr>
      <w:r w:rsidRPr="006C668C">
        <w:rPr>
          <w:lang w:val="en-GB"/>
        </w:rPr>
        <w:t>Identify and stop environmentally harmful</w:t>
      </w:r>
      <w:r w:rsidRPr="006C668C">
        <w:rPr>
          <w:spacing w:val="-6"/>
          <w:lang w:val="en-GB"/>
        </w:rPr>
        <w:t xml:space="preserve"> </w:t>
      </w:r>
      <w:r w:rsidRPr="006C668C">
        <w:rPr>
          <w:lang w:val="en-GB"/>
        </w:rPr>
        <w:t>subsidies.</w:t>
      </w:r>
    </w:p>
    <w:p w14:paraId="449B0EA7" w14:textId="77777777" w:rsidR="005D282E" w:rsidRPr="006C668C" w:rsidRDefault="00E47DB2">
      <w:pPr>
        <w:pStyle w:val="ListParagraph"/>
        <w:numPr>
          <w:ilvl w:val="1"/>
          <w:numId w:val="16"/>
        </w:numPr>
        <w:tabs>
          <w:tab w:val="left" w:pos="1746"/>
          <w:tab w:val="left" w:pos="1747"/>
        </w:tabs>
        <w:spacing w:before="19"/>
        <w:ind w:hanging="361"/>
        <w:jc w:val="left"/>
        <w:rPr>
          <w:lang w:val="en-GB"/>
        </w:rPr>
      </w:pPr>
      <w:r w:rsidRPr="006C668C">
        <w:rPr>
          <w:lang w:val="en-GB"/>
        </w:rPr>
        <w:t>Other, please specify. [box max. 2000</w:t>
      </w:r>
      <w:r w:rsidRPr="006C668C">
        <w:rPr>
          <w:spacing w:val="-7"/>
          <w:lang w:val="en-GB"/>
        </w:rPr>
        <w:t xml:space="preserve"> </w:t>
      </w:r>
      <w:r w:rsidRPr="006C668C">
        <w:rPr>
          <w:lang w:val="en-GB"/>
        </w:rPr>
        <w:t>characters]</w:t>
      </w:r>
    </w:p>
    <w:p w14:paraId="449B0EA8" w14:textId="77777777" w:rsidR="000A48FA" w:rsidRPr="006C668C" w:rsidRDefault="000A48FA" w:rsidP="000A48FA">
      <w:pPr>
        <w:pStyle w:val="ListParagraph"/>
        <w:tabs>
          <w:tab w:val="left" w:pos="1746"/>
          <w:tab w:val="left" w:pos="1747"/>
        </w:tabs>
        <w:spacing w:before="19"/>
        <w:ind w:left="1746" w:firstLine="0"/>
        <w:jc w:val="left"/>
        <w:rPr>
          <w:lang w:val="en-GB"/>
        </w:rPr>
      </w:pPr>
    </w:p>
    <w:p w14:paraId="449B0EA9" w14:textId="77777777" w:rsidR="005D282E" w:rsidRPr="006C668C" w:rsidRDefault="00E47DB2">
      <w:pPr>
        <w:pStyle w:val="BodyText"/>
        <w:spacing w:before="73"/>
        <w:ind w:left="306" w:right="321"/>
        <w:jc w:val="both"/>
        <w:rPr>
          <w:lang w:val="en-GB"/>
        </w:rPr>
      </w:pPr>
      <w:r w:rsidRPr="006C668C">
        <w:rPr>
          <w:b/>
          <w:lang w:val="en-GB"/>
        </w:rPr>
        <w:t>Question 83</w:t>
      </w:r>
      <w:r w:rsidRPr="006C668C">
        <w:rPr>
          <w:lang w:val="en-GB"/>
        </w:rPr>
        <w:t>: Beyond a sustainable and a brown taxonomy, do you see the need for a taxonomy which would cover all other economic activities that lie in between the two ends of the spectrum, and which may have a more limited negative or positive impact, in line with the review clause of the political agreement on the Taxonomy Regulation?</w:t>
      </w:r>
    </w:p>
    <w:p w14:paraId="449B0EAA" w14:textId="77777777" w:rsidR="005D282E" w:rsidRPr="006C668C" w:rsidRDefault="005D282E">
      <w:pPr>
        <w:pStyle w:val="BodyText"/>
        <w:spacing w:before="3"/>
        <w:rPr>
          <w:sz w:val="26"/>
          <w:lang w:val="en-GB"/>
        </w:rPr>
      </w:pPr>
    </w:p>
    <w:p w14:paraId="449B0EAB" w14:textId="77777777" w:rsidR="005D282E" w:rsidRPr="006C668C" w:rsidRDefault="00E47DB2">
      <w:pPr>
        <w:pStyle w:val="ListParagraph"/>
        <w:numPr>
          <w:ilvl w:val="0"/>
          <w:numId w:val="16"/>
        </w:numPr>
        <w:tabs>
          <w:tab w:val="left" w:pos="1026"/>
          <w:tab w:val="left" w:pos="1027"/>
        </w:tabs>
        <w:spacing w:before="1"/>
        <w:ind w:hanging="361"/>
        <w:jc w:val="left"/>
        <w:rPr>
          <w:rFonts w:ascii="Wingdings" w:hAnsi="Wingdings"/>
          <w:lang w:val="en-GB"/>
        </w:rPr>
      </w:pPr>
      <w:r w:rsidRPr="006C668C">
        <w:rPr>
          <w:lang w:val="en-GB"/>
        </w:rPr>
        <w:t>Yes/No/</w:t>
      </w:r>
      <w:r w:rsidRPr="006C668C">
        <w:rPr>
          <w:highlight w:val="yellow"/>
          <w:lang w:val="en-GB"/>
        </w:rPr>
        <w:t>Do not</w:t>
      </w:r>
      <w:r w:rsidRPr="006C668C">
        <w:rPr>
          <w:spacing w:val="-3"/>
          <w:highlight w:val="yellow"/>
          <w:lang w:val="en-GB"/>
        </w:rPr>
        <w:t xml:space="preserve"> </w:t>
      </w:r>
      <w:r w:rsidRPr="006C668C">
        <w:rPr>
          <w:highlight w:val="yellow"/>
          <w:lang w:val="en-GB"/>
        </w:rPr>
        <w:t>know</w:t>
      </w:r>
      <w:r w:rsidRPr="006C668C">
        <w:rPr>
          <w:lang w:val="en-GB"/>
        </w:rPr>
        <w:t>.</w:t>
      </w:r>
    </w:p>
    <w:p w14:paraId="449B0EAC" w14:textId="77777777" w:rsidR="005D282E" w:rsidRPr="006C668C" w:rsidRDefault="00E47DB2">
      <w:pPr>
        <w:pStyle w:val="ListParagraph"/>
        <w:numPr>
          <w:ilvl w:val="0"/>
          <w:numId w:val="16"/>
        </w:numPr>
        <w:tabs>
          <w:tab w:val="left" w:pos="1026"/>
          <w:tab w:val="left" w:pos="1027"/>
        </w:tabs>
        <w:spacing w:before="37" w:line="276" w:lineRule="auto"/>
        <w:ind w:right="315"/>
        <w:jc w:val="left"/>
        <w:rPr>
          <w:rFonts w:ascii="Wingdings" w:hAnsi="Wingdings"/>
          <w:lang w:val="en-GB"/>
        </w:rPr>
      </w:pPr>
      <w:r w:rsidRPr="006C668C">
        <w:rPr>
          <w:lang w:val="en-GB"/>
        </w:rPr>
        <w:t>If yes, what should be the purpose of such a taxonomy? Please specify. [BOX max. 2000 characters]</w:t>
      </w:r>
    </w:p>
    <w:p w14:paraId="61837506" w14:textId="77777777" w:rsidR="003F727E" w:rsidRPr="006C668C" w:rsidRDefault="003F727E" w:rsidP="003F727E">
      <w:pPr>
        <w:pStyle w:val="BodyText"/>
        <w:rPr>
          <w:color w:val="9BBB59" w:themeColor="accent3"/>
          <w:lang w:val="en-GB"/>
        </w:rPr>
      </w:pPr>
      <w:bookmarkStart w:id="30" w:name="3.2_Financial_stability_risk"/>
      <w:bookmarkStart w:id="31" w:name="_bookmark27"/>
      <w:bookmarkEnd w:id="30"/>
      <w:bookmarkEnd w:id="31"/>
    </w:p>
    <w:p w14:paraId="34F62202" w14:textId="77777777" w:rsidR="003F727E" w:rsidRPr="006C668C" w:rsidRDefault="003F727E" w:rsidP="003F727E">
      <w:pPr>
        <w:pStyle w:val="BodyText"/>
        <w:rPr>
          <w:color w:val="9BBB59" w:themeColor="accent3"/>
          <w:lang w:val="en-GB"/>
        </w:rPr>
      </w:pPr>
      <w:r w:rsidRPr="006C668C">
        <w:rPr>
          <w:color w:val="9BBB59" w:themeColor="accent3"/>
          <w:lang w:val="en-GB"/>
        </w:rPr>
        <w:t>[…]</w:t>
      </w:r>
    </w:p>
    <w:p w14:paraId="449B0EC1" w14:textId="77777777" w:rsidR="000A48FA" w:rsidRPr="006C668C" w:rsidRDefault="000A48FA" w:rsidP="003C1FF6">
      <w:pPr>
        <w:tabs>
          <w:tab w:val="left" w:pos="1026"/>
          <w:tab w:val="left" w:pos="1027"/>
        </w:tabs>
        <w:spacing w:before="38" w:line="278" w:lineRule="auto"/>
        <w:ind w:right="322"/>
        <w:rPr>
          <w:rFonts w:ascii="Wingdings" w:hAnsi="Wingdings"/>
          <w:lang w:val="en-GB"/>
        </w:rPr>
      </w:pPr>
    </w:p>
    <w:p w14:paraId="449B0EC2" w14:textId="77777777" w:rsidR="005D282E" w:rsidRPr="006C668C" w:rsidRDefault="00E47DB2">
      <w:pPr>
        <w:spacing w:before="54"/>
        <w:ind w:left="306"/>
        <w:rPr>
          <w:i/>
          <w:sz w:val="24"/>
          <w:lang w:val="en-GB"/>
        </w:rPr>
      </w:pPr>
      <w:bookmarkStart w:id="32" w:name="Insurance_prudential_framework"/>
      <w:bookmarkStart w:id="33" w:name="_bookmark28"/>
      <w:bookmarkEnd w:id="32"/>
      <w:bookmarkEnd w:id="33"/>
      <w:r w:rsidRPr="006C668C">
        <w:rPr>
          <w:i/>
          <w:sz w:val="24"/>
          <w:lang w:val="en-GB"/>
        </w:rPr>
        <w:t>Insurance prudential framework</w:t>
      </w:r>
    </w:p>
    <w:p w14:paraId="449B0EC3" w14:textId="77777777" w:rsidR="005D282E" w:rsidRPr="006C668C" w:rsidRDefault="005D282E">
      <w:pPr>
        <w:pStyle w:val="BodyText"/>
        <w:spacing w:before="10"/>
        <w:rPr>
          <w:i/>
          <w:sz w:val="20"/>
          <w:lang w:val="en-GB"/>
        </w:rPr>
      </w:pPr>
    </w:p>
    <w:p w14:paraId="449B0EC4" w14:textId="77777777" w:rsidR="005D282E" w:rsidRPr="006C668C" w:rsidRDefault="00E47DB2" w:rsidP="000A48FA">
      <w:pPr>
        <w:pStyle w:val="BodyText"/>
        <w:ind w:left="306" w:right="365"/>
        <w:jc w:val="both"/>
        <w:rPr>
          <w:lang w:val="en-GB"/>
        </w:rPr>
      </w:pPr>
      <w:r w:rsidRPr="006C668C">
        <w:rPr>
          <w:lang w:val="en-GB"/>
        </w:rPr>
        <w:t>Insurers manage large volumes of assets on behalf of policyholders and they can therefore play an important role in the transition to a sustainable economy. At the</w:t>
      </w:r>
      <w:r w:rsidRPr="006C668C">
        <w:rPr>
          <w:spacing w:val="-4"/>
          <w:lang w:val="en-GB"/>
        </w:rPr>
        <w:t xml:space="preserve"> </w:t>
      </w:r>
      <w:r w:rsidRPr="006C668C">
        <w:rPr>
          <w:lang w:val="en-GB"/>
        </w:rPr>
        <w:t>same</w:t>
      </w:r>
      <w:r w:rsidR="000A48FA" w:rsidRPr="006C668C">
        <w:rPr>
          <w:lang w:val="en-GB"/>
        </w:rPr>
        <w:t xml:space="preserve"> </w:t>
      </w:r>
      <w:r w:rsidRPr="006C668C">
        <w:rPr>
          <w:lang w:val="en-GB"/>
        </w:rPr>
        <w:t xml:space="preserve">time, insurance companies have underwriting liabilities exposed to sustainability risks. In addition, the (re)insurance sector plays a key role in managing risks arising from natural catastrophes though risk-pooling and influencing risk mitigating behaviour. The </w:t>
      </w:r>
      <w:hyperlink r:id="rId52">
        <w:r w:rsidRPr="006C668C">
          <w:rPr>
            <w:color w:val="0000FF"/>
            <w:u w:val="single" w:color="0000FF"/>
            <w:lang w:val="en-GB"/>
          </w:rPr>
          <w:t>Solvency II Directive</w:t>
        </w:r>
      </w:hyperlink>
      <w:r w:rsidR="000A48FA" w:rsidRPr="006C668C">
        <w:rPr>
          <w:rStyle w:val="FootnoteReference"/>
          <w:color w:val="0000FF"/>
          <w:u w:val="single" w:color="0000FF"/>
          <w:lang w:val="en-GB"/>
        </w:rPr>
        <w:footnoteReference w:id="3"/>
      </w:r>
      <w:r w:rsidRPr="006C668C">
        <w:rPr>
          <w:lang w:val="en-GB"/>
        </w:rPr>
        <w:t xml:space="preserve"> sets out the prudential framework for insurance companies. The Commission requested </w:t>
      </w:r>
      <w:hyperlink r:id="rId53">
        <w:r w:rsidRPr="006C668C">
          <w:rPr>
            <w:color w:val="0000FF"/>
            <w:u w:val="single" w:color="0000FF"/>
            <w:lang w:val="en-GB"/>
          </w:rPr>
          <w:t>technical advice</w:t>
        </w:r>
      </w:hyperlink>
      <w:r w:rsidRPr="006C668C">
        <w:rPr>
          <w:color w:val="0000FF"/>
          <w:lang w:val="en-GB"/>
        </w:rPr>
        <w:t xml:space="preserve"> </w:t>
      </w:r>
      <w:r w:rsidRPr="006C668C">
        <w:rPr>
          <w:lang w:val="en-GB"/>
        </w:rPr>
        <w:t xml:space="preserve">from the European Insurance and Occupation Pensions Authority (EIOPA) on the integration of sustainability risks and sustainability factors in Solvency II. The Commission also </w:t>
      </w:r>
      <w:hyperlink r:id="rId54">
        <w:r w:rsidRPr="006C668C">
          <w:rPr>
            <w:color w:val="0000FF"/>
            <w:u w:val="single" w:color="0000FF"/>
            <w:lang w:val="en-GB"/>
          </w:rPr>
          <w:t>mandated EIOPA</w:t>
        </w:r>
      </w:hyperlink>
      <w:r w:rsidRPr="006C668C">
        <w:rPr>
          <w:color w:val="0000FF"/>
          <w:lang w:val="en-GB"/>
        </w:rPr>
        <w:t xml:space="preserve"> </w:t>
      </w:r>
      <w:r w:rsidRPr="006C668C">
        <w:rPr>
          <w:lang w:val="en-GB"/>
        </w:rPr>
        <w:t>to investigate whether there is undue volatility of their solvency position that may impede long-term investments, as part of the 2020 Review of Solvency II. EIOPA is expected to submit its final advice in June</w:t>
      </w:r>
      <w:r w:rsidRPr="006C668C">
        <w:rPr>
          <w:spacing w:val="-3"/>
          <w:lang w:val="en-GB"/>
        </w:rPr>
        <w:t xml:space="preserve"> </w:t>
      </w:r>
      <w:r w:rsidRPr="006C668C">
        <w:rPr>
          <w:lang w:val="en-GB"/>
        </w:rPr>
        <w:t>2020.</w:t>
      </w:r>
    </w:p>
    <w:p w14:paraId="449B0EC5" w14:textId="77777777" w:rsidR="005D282E" w:rsidRPr="006C668C" w:rsidRDefault="005D282E">
      <w:pPr>
        <w:pStyle w:val="BodyText"/>
        <w:spacing w:before="11"/>
        <w:rPr>
          <w:sz w:val="20"/>
          <w:lang w:val="en-GB"/>
        </w:rPr>
      </w:pPr>
    </w:p>
    <w:p w14:paraId="449B0EC6" w14:textId="77777777" w:rsidR="005D282E" w:rsidRPr="006C668C" w:rsidRDefault="00E47DB2">
      <w:pPr>
        <w:pStyle w:val="BodyText"/>
        <w:ind w:left="306" w:right="320"/>
        <w:jc w:val="both"/>
        <w:rPr>
          <w:lang w:val="en-GB"/>
        </w:rPr>
      </w:pPr>
      <w:r w:rsidRPr="006C668C">
        <w:rPr>
          <w:lang w:val="en-GB"/>
        </w:rPr>
        <w:t xml:space="preserve">In September 2019, EIOPA already provided an </w:t>
      </w:r>
      <w:hyperlink r:id="rId55">
        <w:r w:rsidRPr="006C668C">
          <w:rPr>
            <w:color w:val="0000FF"/>
            <w:u w:val="single" w:color="0000FF"/>
            <w:lang w:val="en-GB"/>
          </w:rPr>
          <w:t>opinion</w:t>
        </w:r>
      </w:hyperlink>
      <w:r w:rsidRPr="006C668C">
        <w:rPr>
          <w:color w:val="0000FF"/>
          <w:lang w:val="en-GB"/>
        </w:rPr>
        <w:t xml:space="preserve"> </w:t>
      </w:r>
      <w:r w:rsidRPr="006C668C">
        <w:rPr>
          <w:lang w:val="en-GB"/>
        </w:rPr>
        <w:t>on sustainability within Solvency II. EIOPA identified additional practices that should be adopted by insurance companies to ensure that sustainability risks are duly taken into account in companies’ risk</w:t>
      </w:r>
      <w:r w:rsidRPr="006C668C">
        <w:rPr>
          <w:spacing w:val="-1"/>
          <w:lang w:val="en-GB"/>
        </w:rPr>
        <w:t xml:space="preserve"> </w:t>
      </w:r>
      <w:r w:rsidRPr="006C668C">
        <w:rPr>
          <w:lang w:val="en-GB"/>
        </w:rPr>
        <w:t>management.</w:t>
      </w:r>
    </w:p>
    <w:p w14:paraId="449B0EC7" w14:textId="77777777" w:rsidR="005D282E" w:rsidRPr="006C668C" w:rsidRDefault="005D282E">
      <w:pPr>
        <w:pStyle w:val="BodyText"/>
        <w:spacing w:before="10"/>
        <w:rPr>
          <w:sz w:val="20"/>
          <w:lang w:val="en-GB"/>
        </w:rPr>
      </w:pPr>
    </w:p>
    <w:p w14:paraId="449B0EC8" w14:textId="77777777" w:rsidR="005D282E" w:rsidRPr="006C668C" w:rsidRDefault="00E47DB2">
      <w:pPr>
        <w:pStyle w:val="BodyText"/>
        <w:spacing w:before="1"/>
        <w:ind w:left="306" w:right="324"/>
        <w:jc w:val="both"/>
        <w:rPr>
          <w:lang w:val="en-GB"/>
        </w:rPr>
      </w:pPr>
      <w:r w:rsidRPr="006C668C">
        <w:rPr>
          <w:lang w:val="en-GB"/>
        </w:rPr>
        <w:t>On that basis, the Commission could consider clarifications of insurers’ obligations as part of the review of the Solvency II Directive. Stakeholders will soon be invited to comment on the Commission’s inception impact assessment as regards the review. The Commission will also launch a public consultation as part of the review.</w:t>
      </w:r>
    </w:p>
    <w:p w14:paraId="449B0EC9" w14:textId="77777777" w:rsidR="005D282E" w:rsidRPr="006C668C" w:rsidRDefault="005D282E">
      <w:pPr>
        <w:pStyle w:val="BodyText"/>
        <w:spacing w:before="10"/>
        <w:rPr>
          <w:sz w:val="20"/>
          <w:lang w:val="en-GB"/>
        </w:rPr>
      </w:pPr>
    </w:p>
    <w:p w14:paraId="449B0ECA" w14:textId="77777777" w:rsidR="005D282E" w:rsidRPr="006C668C" w:rsidRDefault="00E47DB2">
      <w:pPr>
        <w:pStyle w:val="BodyText"/>
        <w:ind w:left="306" w:right="316"/>
        <w:jc w:val="both"/>
        <w:rPr>
          <w:lang w:val="en-GB"/>
        </w:rPr>
      </w:pPr>
      <w:r w:rsidRPr="006C668C">
        <w:rPr>
          <w:b/>
          <w:lang w:val="en-GB"/>
        </w:rPr>
        <w:t xml:space="preserve">Question 87: </w:t>
      </w:r>
      <w:r w:rsidRPr="006C668C">
        <w:rPr>
          <w:lang w:val="en-GB"/>
        </w:rPr>
        <w:t>Beyond prudential regulation, do you consider that the EU should take further action to mobilise insurance companies to finance the transition and manage climate and environmental risks?</w:t>
      </w:r>
    </w:p>
    <w:p w14:paraId="449B0ECB" w14:textId="77777777" w:rsidR="005D282E" w:rsidRPr="006C668C" w:rsidRDefault="005D282E">
      <w:pPr>
        <w:pStyle w:val="BodyText"/>
        <w:spacing w:before="2"/>
        <w:rPr>
          <w:sz w:val="26"/>
          <w:lang w:val="en-GB"/>
        </w:rPr>
      </w:pPr>
    </w:p>
    <w:p w14:paraId="449B0ECC" w14:textId="77777777" w:rsidR="005D282E" w:rsidRPr="006C668C" w:rsidRDefault="00E47DB2">
      <w:pPr>
        <w:pStyle w:val="ListParagraph"/>
        <w:numPr>
          <w:ilvl w:val="0"/>
          <w:numId w:val="16"/>
        </w:numPr>
        <w:tabs>
          <w:tab w:val="left" w:pos="1026"/>
          <w:tab w:val="left" w:pos="1027"/>
        </w:tabs>
        <w:spacing w:before="1"/>
        <w:ind w:hanging="361"/>
        <w:jc w:val="left"/>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ECD" w14:textId="6A32E375" w:rsidR="005D282E" w:rsidRPr="006C668C" w:rsidRDefault="00E47DB2" w:rsidP="000A48FA">
      <w:pPr>
        <w:pStyle w:val="ListParagraph"/>
        <w:numPr>
          <w:ilvl w:val="0"/>
          <w:numId w:val="16"/>
        </w:numPr>
        <w:tabs>
          <w:tab w:val="left" w:pos="1026"/>
          <w:tab w:val="left" w:pos="1027"/>
        </w:tabs>
        <w:spacing w:before="38"/>
        <w:ind w:hanging="361"/>
        <w:jc w:val="left"/>
        <w:rPr>
          <w:sz w:val="29"/>
          <w:szCs w:val="24"/>
          <w:lang w:val="en-GB"/>
        </w:rPr>
      </w:pPr>
      <w:r w:rsidRPr="006C668C">
        <w:rPr>
          <w:lang w:val="en-GB"/>
        </w:rPr>
        <w:t>If yes, please specify which actions would be relevant. [BOX max. 2000</w:t>
      </w:r>
      <w:r w:rsidRPr="006C668C">
        <w:rPr>
          <w:spacing w:val="-10"/>
          <w:lang w:val="en-GB"/>
        </w:rPr>
        <w:t xml:space="preserve"> </w:t>
      </w:r>
      <w:r w:rsidRPr="006C668C">
        <w:rPr>
          <w:lang w:val="en-GB"/>
        </w:rPr>
        <w:t>characters]</w:t>
      </w:r>
      <w:r w:rsidR="00A43A74" w:rsidRPr="006C668C">
        <w:rPr>
          <w:lang w:val="en-GB"/>
        </w:rPr>
        <w:t xml:space="preserve"> </w:t>
      </w:r>
      <w:r w:rsidR="00CC57EB" w:rsidRPr="006C668C">
        <w:rPr>
          <w:color w:val="FF0000"/>
          <w:lang w:val="en-GB"/>
        </w:rPr>
        <w:t>–</w:t>
      </w:r>
      <w:r w:rsidR="00A43A74" w:rsidRPr="006C668C">
        <w:rPr>
          <w:color w:val="FF0000"/>
          <w:lang w:val="en-GB"/>
        </w:rPr>
        <w:t xml:space="preserve"> </w:t>
      </w:r>
      <w:r w:rsidR="004851FB">
        <w:rPr>
          <w:color w:val="FF0000"/>
          <w:lang w:val="en-GB"/>
        </w:rPr>
        <w:t xml:space="preserve">The </w:t>
      </w:r>
      <w:r w:rsidR="00CC57EB" w:rsidRPr="006C668C">
        <w:rPr>
          <w:color w:val="FF0000"/>
          <w:lang w:val="en-GB"/>
        </w:rPr>
        <w:t xml:space="preserve">EU should help </w:t>
      </w:r>
      <w:r w:rsidR="004851FB">
        <w:rPr>
          <w:color w:val="FF0000"/>
          <w:lang w:val="en-GB"/>
        </w:rPr>
        <w:t xml:space="preserve">the </w:t>
      </w:r>
      <w:r w:rsidR="00CC57EB" w:rsidRPr="006C668C">
        <w:rPr>
          <w:color w:val="FF0000"/>
          <w:lang w:val="en-GB"/>
        </w:rPr>
        <w:t>insurance market clarify</w:t>
      </w:r>
      <w:r w:rsidR="004851FB">
        <w:rPr>
          <w:color w:val="FF0000"/>
          <w:lang w:val="en-GB"/>
        </w:rPr>
        <w:t xml:space="preserve">, </w:t>
      </w:r>
      <w:r w:rsidR="004851FB" w:rsidRPr="006C668C">
        <w:rPr>
          <w:color w:val="FF0000"/>
          <w:lang w:val="en-GB"/>
        </w:rPr>
        <w:t>by industry</w:t>
      </w:r>
      <w:r w:rsidR="004851FB">
        <w:rPr>
          <w:color w:val="FF0000"/>
          <w:lang w:val="en-GB"/>
        </w:rPr>
        <w:t xml:space="preserve">, </w:t>
      </w:r>
      <w:r w:rsidR="00CC57EB" w:rsidRPr="006C668C">
        <w:rPr>
          <w:color w:val="FF0000"/>
          <w:lang w:val="en-GB"/>
        </w:rPr>
        <w:t xml:space="preserve">the </w:t>
      </w:r>
      <w:r w:rsidR="00731B78" w:rsidRPr="006C668C">
        <w:rPr>
          <w:color w:val="FF0000"/>
          <w:lang w:val="en-GB"/>
        </w:rPr>
        <w:t>perimeter of climate and environmental risks</w:t>
      </w:r>
      <w:r w:rsidR="006C56A8">
        <w:rPr>
          <w:color w:val="FF0000"/>
          <w:lang w:val="en-GB"/>
        </w:rPr>
        <w:t>,</w:t>
      </w:r>
      <w:r w:rsidR="00731B78" w:rsidRPr="006C668C">
        <w:rPr>
          <w:color w:val="FF0000"/>
          <w:lang w:val="en-GB"/>
        </w:rPr>
        <w:t xml:space="preserve"> and </w:t>
      </w:r>
      <w:r w:rsidR="006C56A8">
        <w:rPr>
          <w:color w:val="FF0000"/>
          <w:lang w:val="en-GB"/>
        </w:rPr>
        <w:t xml:space="preserve">their </w:t>
      </w:r>
      <w:r w:rsidR="00731B78" w:rsidRPr="006C668C">
        <w:rPr>
          <w:color w:val="FF0000"/>
          <w:lang w:val="en-GB"/>
        </w:rPr>
        <w:t>related effects</w:t>
      </w:r>
      <w:r w:rsidR="006C56A8">
        <w:rPr>
          <w:color w:val="FF0000"/>
          <w:lang w:val="en-GB"/>
        </w:rPr>
        <w:t xml:space="preserve">; </w:t>
      </w:r>
      <w:r w:rsidR="006C56A8" w:rsidRPr="003028AA">
        <w:rPr>
          <w:color w:val="FF0000"/>
          <w:lang w:val="en-GB"/>
        </w:rPr>
        <w:t>t</w:t>
      </w:r>
      <w:r w:rsidR="0028389C" w:rsidRPr="003028AA">
        <w:rPr>
          <w:color w:val="FF0000"/>
        </w:rPr>
        <w:t>he current scope is too broad for the insurance market to manage without additional support</w:t>
      </w:r>
      <w:r w:rsidR="00317361" w:rsidRPr="003028AA">
        <w:rPr>
          <w:color w:val="FF0000"/>
          <w:lang w:val="en-GB"/>
        </w:rPr>
        <w:t>.</w:t>
      </w:r>
      <w:r w:rsidR="006C56A8" w:rsidRPr="003028AA">
        <w:rPr>
          <w:color w:val="FF0000"/>
          <w:lang w:val="en-GB"/>
        </w:rPr>
        <w:t xml:space="preserve"> Additionally, the EU should consider new cooperative partnerships with </w:t>
      </w:r>
      <w:r w:rsidR="00513648" w:rsidRPr="003028AA">
        <w:rPr>
          <w:color w:val="FF0000"/>
          <w:lang w:val="en-GB"/>
        </w:rPr>
        <w:t xml:space="preserve">insurance companies and other </w:t>
      </w:r>
      <w:r w:rsidR="006C56A8" w:rsidRPr="003028AA">
        <w:rPr>
          <w:color w:val="FF0000"/>
          <w:lang w:val="en-GB"/>
        </w:rPr>
        <w:t xml:space="preserve">industry </w:t>
      </w:r>
      <w:r w:rsidR="00513648" w:rsidRPr="003028AA">
        <w:rPr>
          <w:color w:val="FF0000"/>
          <w:lang w:val="en-GB"/>
        </w:rPr>
        <w:t xml:space="preserve">representatives </w:t>
      </w:r>
      <w:r w:rsidR="006C56A8" w:rsidRPr="003028AA">
        <w:rPr>
          <w:color w:val="FF0000"/>
          <w:lang w:val="en-GB"/>
        </w:rPr>
        <w:t xml:space="preserve">in order to incentivise the accumulation of reserves </w:t>
      </w:r>
      <w:r w:rsidR="00513648" w:rsidRPr="003028AA">
        <w:rPr>
          <w:color w:val="FF0000"/>
          <w:lang w:val="en-GB"/>
        </w:rPr>
        <w:t xml:space="preserve">needed to response effectively to a range of systemic risks, including climate change and environmental degradation. To that end, </w:t>
      </w:r>
      <w:r w:rsidR="006C56A8" w:rsidRPr="003028AA">
        <w:rPr>
          <w:color w:val="FF0000"/>
          <w:lang w:val="en-GB"/>
        </w:rPr>
        <w:t xml:space="preserve">FERMA is </w:t>
      </w:r>
      <w:r w:rsidR="00513648" w:rsidRPr="003028AA">
        <w:rPr>
          <w:color w:val="FF0000"/>
          <w:lang w:val="en-GB"/>
        </w:rPr>
        <w:t xml:space="preserve">currently </w:t>
      </w:r>
      <w:r w:rsidR="006C56A8" w:rsidRPr="003028AA">
        <w:rPr>
          <w:color w:val="FF0000"/>
          <w:lang w:val="en-GB"/>
        </w:rPr>
        <w:t xml:space="preserve">working to develop a Resilience Framework for Catastrophic Risks (RFCR) that will create a multi-layered and graduated public-private partnership </w:t>
      </w:r>
      <w:r w:rsidR="00513648" w:rsidRPr="003028AA">
        <w:rPr>
          <w:color w:val="FF0000"/>
          <w:lang w:val="en-GB"/>
        </w:rPr>
        <w:t>to encourage the prudential assessment and identification of risks needed to access public funds, while enhancing coordination</w:t>
      </w:r>
      <w:r w:rsidR="00975CBE" w:rsidRPr="003028AA">
        <w:rPr>
          <w:color w:val="FF0000"/>
          <w:lang w:val="en-GB"/>
        </w:rPr>
        <w:t xml:space="preserve"> across the EU</w:t>
      </w:r>
      <w:r w:rsidR="00513648" w:rsidRPr="003028AA">
        <w:rPr>
          <w:color w:val="FF0000"/>
          <w:lang w:val="en-GB"/>
        </w:rPr>
        <w:t xml:space="preserve">. Should the Commission wish to learn more about this initiative, </w:t>
      </w:r>
      <w:r w:rsidR="00975CBE" w:rsidRPr="003028AA">
        <w:rPr>
          <w:color w:val="FF0000"/>
          <w:lang w:val="en-GB"/>
        </w:rPr>
        <w:t>please refer to the position paper included with this consultation, or contact FERMA CEO, Typhaine Beaupérin, directly at typhaine.beauperin[at]ferma.eu.</w:t>
      </w:r>
    </w:p>
    <w:p w14:paraId="449B0F04" w14:textId="77777777" w:rsidR="000A48FA" w:rsidRPr="006C668C" w:rsidRDefault="000A48FA" w:rsidP="000A48FA">
      <w:pPr>
        <w:pStyle w:val="BodyText"/>
        <w:rPr>
          <w:color w:val="9BBB59" w:themeColor="accent3"/>
          <w:lang w:val="en-GB"/>
        </w:rPr>
      </w:pPr>
      <w:bookmarkStart w:id="34" w:name="Banking_prudential_framework"/>
      <w:bookmarkStart w:id="35" w:name="_bookmark29"/>
      <w:bookmarkStart w:id="36" w:name="Asset_managers"/>
      <w:bookmarkStart w:id="37" w:name="_bookmark30"/>
      <w:bookmarkEnd w:id="34"/>
      <w:bookmarkEnd w:id="35"/>
      <w:bookmarkEnd w:id="36"/>
      <w:bookmarkEnd w:id="37"/>
    </w:p>
    <w:p w14:paraId="449B0F05" w14:textId="77777777" w:rsidR="000A48FA" w:rsidRPr="006C668C" w:rsidRDefault="000A48FA" w:rsidP="000A48FA">
      <w:pPr>
        <w:pStyle w:val="BodyText"/>
        <w:rPr>
          <w:color w:val="9BBB59" w:themeColor="accent3"/>
          <w:lang w:val="en-GB"/>
        </w:rPr>
      </w:pPr>
      <w:r w:rsidRPr="006C668C">
        <w:rPr>
          <w:color w:val="9BBB59" w:themeColor="accent3"/>
          <w:lang w:val="en-GB"/>
        </w:rPr>
        <w:t>[…]</w:t>
      </w:r>
    </w:p>
    <w:p w14:paraId="449B0F06" w14:textId="77777777" w:rsidR="005D282E" w:rsidRPr="006C668C" w:rsidRDefault="005D282E">
      <w:pPr>
        <w:pStyle w:val="BodyText"/>
        <w:spacing w:before="9"/>
        <w:rPr>
          <w:sz w:val="25"/>
          <w:lang w:val="en-GB"/>
        </w:rPr>
      </w:pPr>
      <w:bookmarkStart w:id="38" w:name="3.3_Credit_rating_agencies"/>
      <w:bookmarkStart w:id="39" w:name="_bookmark32"/>
      <w:bookmarkEnd w:id="38"/>
      <w:bookmarkEnd w:id="39"/>
    </w:p>
    <w:p w14:paraId="449B0F07" w14:textId="77777777" w:rsidR="005D282E" w:rsidRPr="006C668C" w:rsidRDefault="000A48FA" w:rsidP="000A48FA">
      <w:pPr>
        <w:pStyle w:val="Heading2"/>
        <w:numPr>
          <w:ilvl w:val="1"/>
          <w:numId w:val="23"/>
        </w:numPr>
        <w:tabs>
          <w:tab w:val="left" w:pos="1027"/>
        </w:tabs>
        <w:spacing w:before="1"/>
        <w:rPr>
          <w:lang w:val="en-GB"/>
        </w:rPr>
      </w:pPr>
      <w:bookmarkStart w:id="40" w:name="3.5_Improving_resilience_to_adverse_clim"/>
      <w:bookmarkStart w:id="41" w:name="_bookmark34"/>
      <w:bookmarkEnd w:id="40"/>
      <w:bookmarkEnd w:id="41"/>
      <w:r w:rsidRPr="006C668C">
        <w:rPr>
          <w:lang w:val="en-GB"/>
        </w:rPr>
        <w:t xml:space="preserve"> </w:t>
      </w:r>
      <w:r w:rsidR="00E47DB2" w:rsidRPr="006C668C">
        <w:rPr>
          <w:lang w:val="en-GB"/>
        </w:rPr>
        <w:t>Improving resilience to adverse climate and environmental</w:t>
      </w:r>
      <w:r w:rsidR="00E47DB2" w:rsidRPr="006C668C">
        <w:rPr>
          <w:spacing w:val="-2"/>
          <w:lang w:val="en-GB"/>
        </w:rPr>
        <w:t xml:space="preserve"> </w:t>
      </w:r>
      <w:r w:rsidR="00E47DB2" w:rsidRPr="006C668C">
        <w:rPr>
          <w:lang w:val="en-GB"/>
        </w:rPr>
        <w:t>impacts</w:t>
      </w:r>
      <w:r w:rsidRPr="006C668C">
        <w:rPr>
          <w:rStyle w:val="FootnoteReference"/>
          <w:lang w:val="en-GB"/>
        </w:rPr>
        <w:footnoteReference w:id="4"/>
      </w:r>
    </w:p>
    <w:p w14:paraId="449B0F08" w14:textId="77777777" w:rsidR="005D282E" w:rsidRPr="006C668C" w:rsidRDefault="005D282E">
      <w:pPr>
        <w:pStyle w:val="BodyText"/>
        <w:spacing w:before="1"/>
        <w:rPr>
          <w:b/>
          <w:sz w:val="27"/>
          <w:lang w:val="en-GB"/>
        </w:rPr>
      </w:pPr>
    </w:p>
    <w:p w14:paraId="449B0F09" w14:textId="77777777" w:rsidR="005D282E" w:rsidRPr="006C668C" w:rsidRDefault="00E47DB2">
      <w:pPr>
        <w:ind w:left="306"/>
        <w:jc w:val="both"/>
        <w:rPr>
          <w:i/>
          <w:sz w:val="24"/>
          <w:lang w:val="en-GB"/>
        </w:rPr>
      </w:pPr>
      <w:bookmarkStart w:id="42" w:name="Climate-related_loss_and_physical_risk_d"/>
      <w:bookmarkStart w:id="43" w:name="_bookmark35"/>
      <w:bookmarkEnd w:id="42"/>
      <w:bookmarkEnd w:id="43"/>
      <w:r w:rsidRPr="006C668C">
        <w:rPr>
          <w:i/>
          <w:sz w:val="24"/>
          <w:lang w:val="en-GB"/>
        </w:rPr>
        <w:t>Climate-related loss and physical risk data</w:t>
      </w:r>
    </w:p>
    <w:p w14:paraId="449B0F0A" w14:textId="77777777" w:rsidR="005D282E" w:rsidRPr="006C668C" w:rsidRDefault="005D282E">
      <w:pPr>
        <w:pStyle w:val="BodyText"/>
        <w:rPr>
          <w:i/>
          <w:sz w:val="21"/>
          <w:lang w:val="en-GB"/>
        </w:rPr>
      </w:pPr>
    </w:p>
    <w:p w14:paraId="449B0F0B" w14:textId="77777777" w:rsidR="005D282E" w:rsidRPr="006C668C" w:rsidRDefault="00E47DB2">
      <w:pPr>
        <w:spacing w:before="1" w:line="276" w:lineRule="auto"/>
        <w:ind w:left="306" w:right="313"/>
        <w:jc w:val="both"/>
        <w:rPr>
          <w:lang w:val="en-GB"/>
        </w:rPr>
      </w:pPr>
      <w:r w:rsidRPr="006C668C">
        <w:rPr>
          <w:lang w:val="en-GB"/>
        </w:rPr>
        <w:t>Investors and asset owners, be they businesses, citizens or public authorities</w:t>
      </w:r>
      <w:r w:rsidRPr="006C668C">
        <w:rPr>
          <w:color w:val="1F487C"/>
          <w:lang w:val="en-GB"/>
        </w:rPr>
        <w:t xml:space="preserve">, </w:t>
      </w:r>
      <w:r w:rsidRPr="006C668C">
        <w:rPr>
          <w:lang w:val="en-GB"/>
        </w:rPr>
        <w:t>can better navigate and manage the increased adverse impacts of a changing climate when given access to decision- relevant data. Although many non-life insurance undertakings have built up significant knowledge, most other financial institutions and economic actors have a limited understanding of (increasing) climate-related physical risks.</w:t>
      </w:r>
    </w:p>
    <w:p w14:paraId="449B0F0C" w14:textId="77777777" w:rsidR="005D282E" w:rsidRPr="006C668C" w:rsidRDefault="00E47DB2">
      <w:pPr>
        <w:spacing w:line="276" w:lineRule="auto"/>
        <w:ind w:left="306" w:right="313"/>
        <w:jc w:val="both"/>
        <w:rPr>
          <w:lang w:val="en-GB"/>
        </w:rPr>
      </w:pPr>
      <w:r w:rsidRPr="006C668C">
        <w:rPr>
          <w:lang w:val="en-GB"/>
        </w:rPr>
        <w:t>A wider-spread and more precise understanding of current losses arising from climate- and weather</w:t>
      </w:r>
      <w:r w:rsidRPr="006C668C">
        <w:rPr>
          <w:color w:val="1F487C"/>
          <w:lang w:val="en-GB"/>
        </w:rPr>
        <w:t>-</w:t>
      </w:r>
      <w:r w:rsidRPr="006C668C">
        <w:rPr>
          <w:lang w:val="en-GB"/>
        </w:rPr>
        <w:t>related events is hence crucial to assess macro-economic impacts, which determine investment environments. It could also be helpful to better calibrate and customise climate- related physical risk models needed to inform investment decisions going forward, to unlock public and private adaptation and resilience investments and to enhance the resilience of the EU’s economy and society to the unavoidable impacts of climate change.</w:t>
      </w:r>
    </w:p>
    <w:p w14:paraId="449B0F0D" w14:textId="77777777" w:rsidR="005D282E" w:rsidRPr="006C668C" w:rsidRDefault="005D282E">
      <w:pPr>
        <w:pStyle w:val="BodyText"/>
        <w:spacing w:before="2"/>
        <w:rPr>
          <w:sz w:val="25"/>
          <w:lang w:val="en-GB"/>
        </w:rPr>
      </w:pPr>
    </w:p>
    <w:p w14:paraId="449B0F0E" w14:textId="77777777" w:rsidR="005D282E" w:rsidRPr="006C668C" w:rsidRDefault="00E47DB2">
      <w:pPr>
        <w:spacing w:line="276" w:lineRule="auto"/>
        <w:ind w:left="306" w:right="319"/>
        <w:jc w:val="both"/>
        <w:rPr>
          <w:lang w:val="en-GB"/>
        </w:rPr>
      </w:pPr>
      <w:r w:rsidRPr="006C668C">
        <w:rPr>
          <w:b/>
          <w:lang w:val="en-GB"/>
        </w:rPr>
        <w:t>Question 99</w:t>
      </w:r>
      <w:r w:rsidRPr="006C668C">
        <w:rPr>
          <w:lang w:val="en-GB"/>
        </w:rPr>
        <w:t>: In your opinion, should the European Commission take action to enhance the availability, usability and comparability of climate-related loss and physical risk data across the EU?</w:t>
      </w:r>
    </w:p>
    <w:p w14:paraId="449B0F0F" w14:textId="77777777" w:rsidR="005D282E" w:rsidRPr="006C668C" w:rsidRDefault="00E47DB2">
      <w:pPr>
        <w:pStyle w:val="ListParagraph"/>
        <w:numPr>
          <w:ilvl w:val="0"/>
          <w:numId w:val="16"/>
        </w:numPr>
        <w:tabs>
          <w:tab w:val="left" w:pos="1026"/>
          <w:tab w:val="left" w:pos="1027"/>
        </w:tabs>
        <w:spacing w:before="102"/>
        <w:ind w:hanging="361"/>
        <w:jc w:val="left"/>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F10" w14:textId="77777777" w:rsidR="005D282E" w:rsidRPr="006C668C" w:rsidRDefault="00E47DB2">
      <w:pPr>
        <w:pStyle w:val="ListParagraph"/>
        <w:numPr>
          <w:ilvl w:val="0"/>
          <w:numId w:val="16"/>
        </w:numPr>
        <w:tabs>
          <w:tab w:val="left" w:pos="1026"/>
          <w:tab w:val="left" w:pos="1027"/>
        </w:tabs>
        <w:spacing w:before="38"/>
        <w:ind w:hanging="361"/>
        <w:jc w:val="left"/>
        <w:rPr>
          <w:rFonts w:ascii="Wingdings" w:hAnsi="Wingdings"/>
          <w:lang w:val="en-GB"/>
        </w:rPr>
      </w:pPr>
      <w:r w:rsidRPr="006C668C">
        <w:rPr>
          <w:lang w:val="en-GB"/>
        </w:rPr>
        <w:t>If yes, please select all that</w:t>
      </w:r>
      <w:r w:rsidRPr="006C668C">
        <w:rPr>
          <w:spacing w:val="-1"/>
          <w:lang w:val="en-GB"/>
        </w:rPr>
        <w:t xml:space="preserve"> </w:t>
      </w:r>
      <w:r w:rsidRPr="006C668C">
        <w:rPr>
          <w:lang w:val="en-GB"/>
        </w:rPr>
        <w:t>apply:</w:t>
      </w:r>
    </w:p>
    <w:p w14:paraId="449B0F11" w14:textId="77777777" w:rsidR="005D282E" w:rsidRPr="006C668C" w:rsidRDefault="00E47DB2">
      <w:pPr>
        <w:pStyle w:val="ListParagraph"/>
        <w:numPr>
          <w:ilvl w:val="0"/>
          <w:numId w:val="3"/>
        </w:numPr>
        <w:tabs>
          <w:tab w:val="left" w:pos="1746"/>
          <w:tab w:val="left" w:pos="1747"/>
        </w:tabs>
        <w:spacing w:before="35"/>
        <w:ind w:hanging="361"/>
        <w:jc w:val="left"/>
        <w:rPr>
          <w:lang w:val="en-GB"/>
        </w:rPr>
      </w:pPr>
      <w:r w:rsidRPr="006C668C">
        <w:rPr>
          <w:highlight w:val="yellow"/>
          <w:lang w:val="en-GB"/>
        </w:rPr>
        <w:t>Loss data</w:t>
      </w:r>
      <w:r w:rsidRPr="006C668C">
        <w:rPr>
          <w:lang w:val="en-GB"/>
        </w:rPr>
        <w:t>, please explain why [BOX max. 2000</w:t>
      </w:r>
      <w:r w:rsidRPr="006C668C">
        <w:rPr>
          <w:spacing w:val="-7"/>
          <w:lang w:val="en-GB"/>
        </w:rPr>
        <w:t xml:space="preserve"> </w:t>
      </w:r>
      <w:r w:rsidRPr="006C668C">
        <w:rPr>
          <w:lang w:val="en-GB"/>
        </w:rPr>
        <w:t>characters]</w:t>
      </w:r>
    </w:p>
    <w:p w14:paraId="449B0F12" w14:textId="0653601A" w:rsidR="005D282E" w:rsidRPr="006C668C" w:rsidRDefault="00E47DB2">
      <w:pPr>
        <w:pStyle w:val="ListParagraph"/>
        <w:numPr>
          <w:ilvl w:val="0"/>
          <w:numId w:val="3"/>
        </w:numPr>
        <w:tabs>
          <w:tab w:val="left" w:pos="1746"/>
          <w:tab w:val="left" w:pos="1747"/>
        </w:tabs>
        <w:spacing w:before="128"/>
        <w:ind w:hanging="361"/>
        <w:jc w:val="left"/>
        <w:rPr>
          <w:lang w:val="en-GB"/>
        </w:rPr>
      </w:pPr>
      <w:r w:rsidRPr="006C668C">
        <w:rPr>
          <w:highlight w:val="yellow"/>
          <w:lang w:val="en-GB"/>
        </w:rPr>
        <w:t>Physical risk data</w:t>
      </w:r>
      <w:r w:rsidRPr="006C668C">
        <w:rPr>
          <w:lang w:val="en-GB"/>
        </w:rPr>
        <w:t>, please explain why [BOX max. 2000</w:t>
      </w:r>
      <w:r w:rsidRPr="006C668C">
        <w:rPr>
          <w:spacing w:val="-12"/>
          <w:lang w:val="en-GB"/>
        </w:rPr>
        <w:t xml:space="preserve"> </w:t>
      </w:r>
      <w:r w:rsidRPr="006C668C">
        <w:rPr>
          <w:lang w:val="en-GB"/>
        </w:rPr>
        <w:t>characters]</w:t>
      </w:r>
    </w:p>
    <w:p w14:paraId="2C836716" w14:textId="1FCA59B6" w:rsidR="00B82731" w:rsidRPr="0028389C" w:rsidRDefault="005572B2" w:rsidP="00B82731">
      <w:pPr>
        <w:tabs>
          <w:tab w:val="left" w:pos="1746"/>
          <w:tab w:val="left" w:pos="1747"/>
        </w:tabs>
        <w:spacing w:before="128"/>
        <w:rPr>
          <w:color w:val="FF0000"/>
          <w:lang w:val="en-GB"/>
        </w:rPr>
      </w:pPr>
      <w:r w:rsidRPr="003028AA">
        <w:rPr>
          <w:color w:val="FF0000"/>
          <w:lang w:val="en-GB"/>
        </w:rPr>
        <w:t>M</w:t>
      </w:r>
      <w:r w:rsidR="00B82731" w:rsidRPr="003028AA">
        <w:rPr>
          <w:color w:val="FF0000"/>
          <w:lang w:val="en-GB"/>
        </w:rPr>
        <w:t>ore reliable and accessible risk data</w:t>
      </w:r>
      <w:r w:rsidRPr="003028AA">
        <w:rPr>
          <w:color w:val="FF0000"/>
          <w:lang w:val="en-GB"/>
        </w:rPr>
        <w:t xml:space="preserve"> will place</w:t>
      </w:r>
      <w:r w:rsidR="00B82731" w:rsidRPr="003028AA">
        <w:rPr>
          <w:color w:val="FF0000"/>
          <w:lang w:val="en-GB"/>
        </w:rPr>
        <w:t xml:space="preserve"> public and private decision makers in a better position to apply risk management practices </w:t>
      </w:r>
      <w:r w:rsidRPr="003028AA">
        <w:rPr>
          <w:color w:val="FF0000"/>
          <w:lang w:val="en-GB"/>
        </w:rPr>
        <w:t xml:space="preserve">that </w:t>
      </w:r>
      <w:r w:rsidR="00513648" w:rsidRPr="003028AA">
        <w:rPr>
          <w:color w:val="FF0000"/>
          <w:lang w:val="en-GB"/>
        </w:rPr>
        <w:t xml:space="preserve">will help them make more informed </w:t>
      </w:r>
      <w:r w:rsidR="00FB2E8D" w:rsidRPr="003028AA">
        <w:rPr>
          <w:color w:val="FF0000"/>
          <w:lang w:val="en-GB"/>
        </w:rPr>
        <w:t>decisions. If applied correctly, these practices s</w:t>
      </w:r>
      <w:r w:rsidRPr="003028AA">
        <w:rPr>
          <w:color w:val="FF0000"/>
          <w:lang w:val="en-GB"/>
        </w:rPr>
        <w:t>hould</w:t>
      </w:r>
      <w:r w:rsidR="00FB2E8D" w:rsidRPr="003028AA">
        <w:rPr>
          <w:color w:val="FF0000"/>
          <w:lang w:val="en-GB"/>
        </w:rPr>
        <w:t xml:space="preserve"> </w:t>
      </w:r>
      <w:r w:rsidR="00B82731" w:rsidRPr="003028AA">
        <w:rPr>
          <w:color w:val="FF0000"/>
          <w:lang w:val="en-GB"/>
        </w:rPr>
        <w:t>increase</w:t>
      </w:r>
      <w:r w:rsidR="00B82731" w:rsidRPr="0028389C">
        <w:rPr>
          <w:color w:val="FF0000"/>
          <w:lang w:val="en-GB"/>
        </w:rPr>
        <w:t xml:space="preserve"> the resilience of public infrastructures</w:t>
      </w:r>
      <w:r w:rsidRPr="0028389C">
        <w:rPr>
          <w:color w:val="FF0000"/>
          <w:lang w:val="en-GB"/>
        </w:rPr>
        <w:t xml:space="preserve">, </w:t>
      </w:r>
      <w:r w:rsidR="00B82731" w:rsidRPr="0028389C">
        <w:rPr>
          <w:color w:val="FF0000"/>
          <w:lang w:val="en-GB"/>
        </w:rPr>
        <w:t>services and commerce, and reduce the financial impact of climate-related risks</w:t>
      </w:r>
      <w:r w:rsidR="00FB2E8D">
        <w:rPr>
          <w:color w:val="FF0000"/>
          <w:lang w:val="en-GB"/>
        </w:rPr>
        <w:t xml:space="preserve"> on the economy at large</w:t>
      </w:r>
      <w:r w:rsidR="00B82731" w:rsidRPr="0028389C">
        <w:rPr>
          <w:color w:val="FF0000"/>
          <w:lang w:val="en-GB"/>
        </w:rPr>
        <w:t>.</w:t>
      </w:r>
    </w:p>
    <w:p w14:paraId="7C14B777" w14:textId="7EE35512" w:rsidR="00B82731" w:rsidRPr="0028389C" w:rsidRDefault="00B82731" w:rsidP="00B82731">
      <w:pPr>
        <w:tabs>
          <w:tab w:val="left" w:pos="1746"/>
          <w:tab w:val="left" w:pos="1747"/>
        </w:tabs>
        <w:spacing w:before="128"/>
        <w:rPr>
          <w:color w:val="FF0000"/>
          <w:lang w:val="en-GB"/>
        </w:rPr>
      </w:pPr>
      <w:r w:rsidRPr="0028389C">
        <w:rPr>
          <w:color w:val="FF0000"/>
          <w:lang w:val="en-GB"/>
        </w:rPr>
        <w:t xml:space="preserve">Ensuring wider access to climate-related data </w:t>
      </w:r>
      <w:r w:rsidR="00FB2E8D">
        <w:rPr>
          <w:color w:val="FF0000"/>
          <w:lang w:val="en-GB"/>
        </w:rPr>
        <w:t xml:space="preserve">also </w:t>
      </w:r>
      <w:r w:rsidRPr="0028389C">
        <w:rPr>
          <w:color w:val="FF0000"/>
          <w:lang w:val="en-GB"/>
        </w:rPr>
        <w:t>reduces the risk of asymmetric information between insureds and insurers, in which there is a significant risk of adverse selection</w:t>
      </w:r>
      <w:r w:rsidR="002F18A6">
        <w:rPr>
          <w:color w:val="FF0000"/>
          <w:lang w:val="en-GB"/>
        </w:rPr>
        <w:t>. This creates</w:t>
      </w:r>
      <w:r w:rsidR="00D6584E">
        <w:rPr>
          <w:color w:val="FF0000"/>
          <w:lang w:val="en-GB"/>
        </w:rPr>
        <w:t>, in turn,</w:t>
      </w:r>
      <w:r w:rsidRPr="0028389C">
        <w:rPr>
          <w:color w:val="FF0000"/>
          <w:lang w:val="en-GB"/>
        </w:rPr>
        <w:t xml:space="preserve"> a solid foundation for </w:t>
      </w:r>
      <w:r w:rsidR="00D6584E">
        <w:rPr>
          <w:color w:val="FF0000"/>
          <w:lang w:val="en-GB"/>
        </w:rPr>
        <w:t>f</w:t>
      </w:r>
      <w:r w:rsidRPr="0028389C">
        <w:rPr>
          <w:color w:val="FF0000"/>
          <w:lang w:val="en-GB"/>
        </w:rPr>
        <w:t>airer dialogue between corporate insurance buyers and the insurance market.</w:t>
      </w:r>
    </w:p>
    <w:p w14:paraId="245C436D" w14:textId="7D660020" w:rsidR="00B82731" w:rsidRPr="0028389C" w:rsidRDefault="00B82731" w:rsidP="00B82731">
      <w:pPr>
        <w:tabs>
          <w:tab w:val="left" w:pos="1746"/>
          <w:tab w:val="left" w:pos="1747"/>
        </w:tabs>
        <w:spacing w:before="128"/>
        <w:rPr>
          <w:color w:val="FF0000"/>
          <w:lang w:val="en-GB"/>
        </w:rPr>
      </w:pPr>
      <w:r w:rsidRPr="0028389C">
        <w:rPr>
          <w:color w:val="FF0000"/>
          <w:lang w:val="en-GB"/>
        </w:rPr>
        <w:t>Ultimately</w:t>
      </w:r>
      <w:r w:rsidR="005572B2" w:rsidRPr="0028389C">
        <w:rPr>
          <w:color w:val="FF0000"/>
          <w:lang w:val="en-GB"/>
        </w:rPr>
        <w:t>,</w:t>
      </w:r>
      <w:r w:rsidRPr="0028389C">
        <w:rPr>
          <w:color w:val="FF0000"/>
          <w:lang w:val="en-GB"/>
        </w:rPr>
        <w:t xml:space="preserve"> </w:t>
      </w:r>
      <w:r w:rsidR="005572B2" w:rsidRPr="0028389C">
        <w:rPr>
          <w:color w:val="FF0000"/>
          <w:lang w:val="en-GB"/>
        </w:rPr>
        <w:t xml:space="preserve">enhancing the availability, usability and comparability of climate-related loss and physical risk data across the EU </w:t>
      </w:r>
      <w:r w:rsidRPr="0028389C">
        <w:rPr>
          <w:color w:val="FF0000"/>
          <w:lang w:val="en-GB"/>
        </w:rPr>
        <w:t xml:space="preserve">would support economic growth, </w:t>
      </w:r>
      <w:r w:rsidR="005572B2" w:rsidRPr="0028389C">
        <w:rPr>
          <w:color w:val="FF0000"/>
          <w:lang w:val="en-GB"/>
        </w:rPr>
        <w:t xml:space="preserve">as </w:t>
      </w:r>
      <w:r w:rsidRPr="0028389C">
        <w:rPr>
          <w:color w:val="FF0000"/>
          <w:lang w:val="en-GB"/>
        </w:rPr>
        <w:t>it would reduce the financial impact of climate-related risks on businesses in terms of physical damage and business interruption</w:t>
      </w:r>
      <w:r w:rsidR="00D6584E">
        <w:rPr>
          <w:color w:val="FF0000"/>
          <w:lang w:val="en-GB"/>
        </w:rPr>
        <w:t>,</w:t>
      </w:r>
      <w:r w:rsidRPr="0028389C">
        <w:rPr>
          <w:color w:val="FF0000"/>
          <w:lang w:val="en-GB"/>
        </w:rPr>
        <w:t xml:space="preserve"> </w:t>
      </w:r>
      <w:r w:rsidR="005572B2" w:rsidRPr="0028389C">
        <w:rPr>
          <w:color w:val="FF0000"/>
          <w:lang w:val="en-GB"/>
        </w:rPr>
        <w:t>while keeping</w:t>
      </w:r>
      <w:r w:rsidRPr="0028389C">
        <w:rPr>
          <w:color w:val="FF0000"/>
          <w:lang w:val="en-GB"/>
        </w:rPr>
        <w:t xml:space="preserve"> insurance costs at a sustainable level. </w:t>
      </w:r>
    </w:p>
    <w:p w14:paraId="7EF98FBD" w14:textId="6984866B" w:rsidR="00B82731" w:rsidRPr="0028389C" w:rsidRDefault="00B82731" w:rsidP="00B82731">
      <w:pPr>
        <w:tabs>
          <w:tab w:val="left" w:pos="1746"/>
          <w:tab w:val="left" w:pos="1747"/>
        </w:tabs>
        <w:spacing w:before="128"/>
        <w:rPr>
          <w:color w:val="FF0000"/>
          <w:lang w:val="en-GB"/>
        </w:rPr>
      </w:pPr>
      <w:r w:rsidRPr="0028389C">
        <w:rPr>
          <w:color w:val="FF0000"/>
          <w:lang w:val="en-GB"/>
        </w:rPr>
        <w:t xml:space="preserve">To be actionable, data from both public and private sources should be delivered in an accessible and interactive format. This is already the case in some countries, such as France (French Géorisques portal), Slovenia (Geoportal ARSO), the United Kingdom (UK Flood map), </w:t>
      </w:r>
      <w:r w:rsidR="0035345A" w:rsidRPr="0028389C">
        <w:rPr>
          <w:color w:val="FF0000"/>
          <w:lang w:val="en-GB"/>
        </w:rPr>
        <w:t xml:space="preserve">as well as in </w:t>
      </w:r>
      <w:r w:rsidRPr="0028389C">
        <w:rPr>
          <w:color w:val="FF0000"/>
          <w:lang w:val="en-GB"/>
        </w:rPr>
        <w:t xml:space="preserve">the Global Wind Atlas </w:t>
      </w:r>
      <w:r w:rsidR="0035345A" w:rsidRPr="0028389C">
        <w:rPr>
          <w:color w:val="FF0000"/>
          <w:lang w:val="en-GB"/>
        </w:rPr>
        <w:t>(</w:t>
      </w:r>
      <w:r w:rsidRPr="0028389C">
        <w:rPr>
          <w:color w:val="FF0000"/>
          <w:lang w:val="en-GB"/>
        </w:rPr>
        <w:t>used for the energy sector</w:t>
      </w:r>
      <w:r w:rsidR="0035345A" w:rsidRPr="0028389C">
        <w:rPr>
          <w:color w:val="FF0000"/>
          <w:lang w:val="en-GB"/>
        </w:rPr>
        <w:t>)</w:t>
      </w:r>
      <w:r w:rsidRPr="0028389C">
        <w:rPr>
          <w:color w:val="FF0000"/>
          <w:lang w:val="en-GB"/>
        </w:rPr>
        <w:t xml:space="preserve"> and the European Climate Database (ECAD). To allow all economic actors to develop adaptation strategies, climate-related risk data should ideally be aggregated on joint platforms and kept up to date by their operators.</w:t>
      </w:r>
    </w:p>
    <w:p w14:paraId="01416B3B" w14:textId="73319CD3" w:rsidR="00B82731" w:rsidRPr="0028389C" w:rsidRDefault="00B82731" w:rsidP="00B82731">
      <w:pPr>
        <w:tabs>
          <w:tab w:val="left" w:pos="1746"/>
          <w:tab w:val="left" w:pos="1747"/>
        </w:tabs>
        <w:spacing w:before="128"/>
        <w:rPr>
          <w:color w:val="FF0000"/>
          <w:lang w:val="en-GB"/>
        </w:rPr>
      </w:pPr>
      <w:r w:rsidRPr="0028389C">
        <w:rPr>
          <w:color w:val="FF0000"/>
          <w:lang w:val="en-GB"/>
        </w:rPr>
        <w:t xml:space="preserve">Private organisations and Member States should </w:t>
      </w:r>
      <w:r w:rsidR="00FB2E8D">
        <w:rPr>
          <w:color w:val="FF0000"/>
          <w:lang w:val="en-GB"/>
        </w:rPr>
        <w:t xml:space="preserve">also </w:t>
      </w:r>
      <w:r w:rsidRPr="0028389C">
        <w:rPr>
          <w:color w:val="FF0000"/>
          <w:lang w:val="en-GB"/>
        </w:rPr>
        <w:t>be encouraged to share data publicly at EU level for all types of climate-related risks (storms, floods, droughts</w:t>
      </w:r>
      <w:r w:rsidR="0035345A" w:rsidRPr="0028389C">
        <w:rPr>
          <w:color w:val="FF0000"/>
          <w:lang w:val="en-GB"/>
        </w:rPr>
        <w:t>,</w:t>
      </w:r>
      <w:r w:rsidRPr="0028389C">
        <w:rPr>
          <w:color w:val="FF0000"/>
          <w:lang w:val="en-GB"/>
        </w:rPr>
        <w:t xml:space="preserve"> wildfires</w:t>
      </w:r>
      <w:r w:rsidR="0035345A" w:rsidRPr="0028389C">
        <w:rPr>
          <w:color w:val="FF0000"/>
          <w:lang w:val="en-GB"/>
        </w:rPr>
        <w:t>, etc.</w:t>
      </w:r>
      <w:r w:rsidRPr="0028389C">
        <w:rPr>
          <w:color w:val="FF0000"/>
          <w:lang w:val="en-GB"/>
        </w:rPr>
        <w:t>).</w:t>
      </w:r>
      <w:r w:rsidR="0028389C" w:rsidRPr="0028389C">
        <w:rPr>
          <w:color w:val="FF0000"/>
          <w:lang w:val="en-GB"/>
        </w:rPr>
        <w:t xml:space="preserve"> Risk Managers and</w:t>
      </w:r>
      <w:r w:rsidRPr="0028389C">
        <w:rPr>
          <w:color w:val="FF0000"/>
          <w:lang w:val="en-GB"/>
        </w:rPr>
        <w:t xml:space="preserve"> Insurers should be closely involved and incentivised by public authorities to actively provide and update EU-wide weather-related risk data.</w:t>
      </w:r>
    </w:p>
    <w:p w14:paraId="606785A0" w14:textId="77777777" w:rsidR="00B82731" w:rsidRPr="006C668C" w:rsidRDefault="00B82731" w:rsidP="00B82731">
      <w:pPr>
        <w:tabs>
          <w:tab w:val="left" w:pos="1746"/>
          <w:tab w:val="left" w:pos="1747"/>
        </w:tabs>
        <w:spacing w:before="128"/>
        <w:rPr>
          <w:color w:val="76923C" w:themeColor="accent3" w:themeShade="BF"/>
          <w:lang w:val="en-GB"/>
        </w:rPr>
      </w:pPr>
    </w:p>
    <w:p w14:paraId="449B0F13" w14:textId="77777777" w:rsidR="005D282E" w:rsidRPr="006C668C" w:rsidRDefault="00E47DB2">
      <w:pPr>
        <w:spacing w:before="125"/>
        <w:ind w:left="306"/>
        <w:rPr>
          <w:i/>
          <w:sz w:val="24"/>
          <w:lang w:val="en-GB"/>
        </w:rPr>
      </w:pPr>
      <w:bookmarkStart w:id="44" w:name="Financial_management_of_physical_risk"/>
      <w:bookmarkStart w:id="45" w:name="_bookmark36"/>
      <w:bookmarkEnd w:id="44"/>
      <w:bookmarkEnd w:id="45"/>
      <w:r w:rsidRPr="006C668C">
        <w:rPr>
          <w:i/>
          <w:sz w:val="24"/>
          <w:lang w:val="en-GB"/>
        </w:rPr>
        <w:t>Financial management of physical risk</w:t>
      </w:r>
    </w:p>
    <w:p w14:paraId="449B0F14" w14:textId="77777777" w:rsidR="005D282E" w:rsidRPr="006C668C" w:rsidRDefault="005D282E">
      <w:pPr>
        <w:pStyle w:val="BodyText"/>
        <w:spacing w:before="9"/>
        <w:rPr>
          <w:i/>
          <w:sz w:val="20"/>
          <w:lang w:val="en-GB"/>
        </w:rPr>
      </w:pPr>
    </w:p>
    <w:p w14:paraId="449B0F18" w14:textId="558EA038" w:rsidR="005D282E" w:rsidRPr="006C668C" w:rsidRDefault="00E47DB2" w:rsidP="00F968C8">
      <w:pPr>
        <w:pStyle w:val="BodyText"/>
        <w:spacing w:before="1"/>
        <w:ind w:left="306" w:right="317"/>
        <w:jc w:val="both"/>
        <w:rPr>
          <w:lang w:val="en-GB"/>
        </w:rPr>
      </w:pPr>
      <w:r w:rsidRPr="006C668C">
        <w:rPr>
          <w:lang w:val="en-GB"/>
        </w:rPr>
        <w:t xml:space="preserve">According to a </w:t>
      </w:r>
      <w:hyperlink r:id="rId56">
        <w:r w:rsidRPr="006C668C">
          <w:rPr>
            <w:color w:val="0000FF"/>
            <w:u w:val="single" w:color="0000FF"/>
            <w:lang w:val="en-GB"/>
          </w:rPr>
          <w:t>report</w:t>
        </w:r>
      </w:hyperlink>
      <w:r w:rsidRPr="006C668C">
        <w:rPr>
          <w:color w:val="0000FF"/>
          <w:lang w:val="en-GB"/>
        </w:rPr>
        <w:t xml:space="preserve"> </w:t>
      </w:r>
      <w:r w:rsidRPr="006C668C">
        <w:rPr>
          <w:lang w:val="en-GB"/>
        </w:rPr>
        <w:t>by the European Environmental Agency, during the period of 1980-2017, 65% of direct economic losses from climate disasters were not covered by insurance in EU and EFTA countries, with wide discrepancies between Member States, hazards and types of policyholders. The availability and affordability of natural</w:t>
      </w:r>
      <w:r w:rsidR="00F968C8" w:rsidRPr="006C668C">
        <w:rPr>
          <w:lang w:val="en-GB"/>
        </w:rPr>
        <w:t xml:space="preserve"> </w:t>
      </w:r>
      <w:r w:rsidRPr="006C668C">
        <w:rPr>
          <w:lang w:val="en-GB"/>
        </w:rPr>
        <w:t xml:space="preserve">catastrophe financial risk management tools differs widely across the EU, also due to different choices and cultural preferences with regards to ex-ante and ex-post financial management in case of disasters. While the financial industry (and in particular the insurance sector) can play a leading role in managing the financial risk arising from adverse climate impacts by absorbing losses and promoting resilience, EIOPA has </w:t>
      </w:r>
      <w:hyperlink r:id="rId57">
        <w:r w:rsidRPr="006C668C">
          <w:rPr>
            <w:color w:val="0000FF"/>
            <w:u w:val="single" w:color="0000FF"/>
            <w:lang w:val="en-GB"/>
          </w:rPr>
          <w:t>warned</w:t>
        </w:r>
        <w:r w:rsidRPr="006C668C">
          <w:rPr>
            <w:color w:val="0000FF"/>
            <w:lang w:val="en-GB"/>
          </w:rPr>
          <w:t xml:space="preserve"> </w:t>
        </w:r>
      </w:hyperlink>
      <w:r w:rsidRPr="006C668C">
        <w:rPr>
          <w:lang w:val="en-GB"/>
        </w:rPr>
        <w:t>that insurability is likely to become an increasing concern. Measures to maintain and broaden risk transfer mechanisms might hence require (potentially temporary) public policy</w:t>
      </w:r>
      <w:r w:rsidRPr="006C668C">
        <w:rPr>
          <w:spacing w:val="-5"/>
          <w:lang w:val="en-GB"/>
        </w:rPr>
        <w:t xml:space="preserve"> </w:t>
      </w:r>
      <w:r w:rsidRPr="006C668C">
        <w:rPr>
          <w:lang w:val="en-GB"/>
        </w:rPr>
        <w:t>solutions.</w:t>
      </w:r>
    </w:p>
    <w:p w14:paraId="449B0F19" w14:textId="77777777" w:rsidR="005D282E" w:rsidRPr="006C668C" w:rsidRDefault="005D282E">
      <w:pPr>
        <w:pStyle w:val="BodyText"/>
        <w:spacing w:before="11"/>
        <w:rPr>
          <w:sz w:val="20"/>
          <w:lang w:val="en-GB"/>
        </w:rPr>
      </w:pPr>
    </w:p>
    <w:p w14:paraId="449B0F1A" w14:textId="77777777" w:rsidR="005D282E" w:rsidRPr="006C668C" w:rsidRDefault="00E47DB2">
      <w:pPr>
        <w:pStyle w:val="BodyText"/>
        <w:ind w:left="306" w:right="317"/>
        <w:jc w:val="both"/>
        <w:rPr>
          <w:lang w:val="en-GB"/>
        </w:rPr>
      </w:pPr>
      <w:r w:rsidRPr="006C668C">
        <w:rPr>
          <w:lang w:val="en-GB"/>
        </w:rPr>
        <w:t>Furthermore, the ongoing COVID-19 outbreak is highlighting the growing risk arising from pandemics in particular, which will become more frequent with the reduction of biodiversity and wildlife habitat.</w:t>
      </w:r>
      <w:hyperlink r:id="rId58">
        <w:r w:rsidRPr="006C668C">
          <w:rPr>
            <w:color w:val="0000FF"/>
            <w:u w:val="single" w:color="0000FF"/>
            <w:lang w:val="en-GB"/>
          </w:rPr>
          <w:t xml:space="preserve"> UNEP’s Frontiers 2016 Report on Emerging Issues of</w:t>
        </w:r>
      </w:hyperlink>
      <w:r w:rsidRPr="006C668C">
        <w:rPr>
          <w:color w:val="0000FF"/>
          <w:lang w:val="en-GB"/>
        </w:rPr>
        <w:t xml:space="preserve"> </w:t>
      </w:r>
      <w:hyperlink r:id="rId59">
        <w:r w:rsidRPr="006C668C">
          <w:rPr>
            <w:color w:val="0000FF"/>
            <w:u w:val="single" w:color="0000FF"/>
            <w:lang w:val="en-GB"/>
          </w:rPr>
          <w:t>Environment Concern</w:t>
        </w:r>
        <w:r w:rsidRPr="006C668C">
          <w:rPr>
            <w:color w:val="0000FF"/>
            <w:lang w:val="en-GB"/>
          </w:rPr>
          <w:t xml:space="preserve"> </w:t>
        </w:r>
      </w:hyperlink>
      <w:r w:rsidRPr="006C668C">
        <w:rPr>
          <w:lang w:val="en-GB"/>
        </w:rPr>
        <w:t>shows that such diseases can threaten economic development.</w:t>
      </w:r>
    </w:p>
    <w:p w14:paraId="449B0F1B" w14:textId="77777777" w:rsidR="005D282E" w:rsidRPr="006C668C" w:rsidRDefault="005D282E">
      <w:pPr>
        <w:pStyle w:val="BodyText"/>
        <w:spacing w:before="10"/>
        <w:rPr>
          <w:sz w:val="20"/>
          <w:lang w:val="en-GB"/>
        </w:rPr>
      </w:pPr>
    </w:p>
    <w:p w14:paraId="449B0F1C" w14:textId="77777777" w:rsidR="005D282E" w:rsidRPr="006C668C" w:rsidRDefault="00E47DB2">
      <w:pPr>
        <w:pStyle w:val="BodyText"/>
        <w:spacing w:before="1"/>
        <w:ind w:left="306" w:right="324"/>
        <w:jc w:val="both"/>
        <w:rPr>
          <w:lang w:val="en-GB"/>
        </w:rPr>
      </w:pPr>
      <w:r w:rsidRPr="006C668C">
        <w:rPr>
          <w:lang w:val="en-GB"/>
        </w:rPr>
        <w:t>In this context, social and catastrophe bonds could play a crucial role: the former to orient use of proceeds towards the health system (e.g. IFFIM first vaccine bond issued in 2006), and the latter to broaden the financing options that are available to insurers when it comes to catastrophe reinsurance. Such instruments would help mobilise the broadest possible range of private finance alongside public budgets to contribute to the resilience of the EU’s health and economic systems, via prevention and</w:t>
      </w:r>
      <w:r w:rsidRPr="006C668C">
        <w:rPr>
          <w:spacing w:val="-7"/>
          <w:lang w:val="en-GB"/>
        </w:rPr>
        <w:t xml:space="preserve"> </w:t>
      </w:r>
      <w:r w:rsidRPr="006C668C">
        <w:rPr>
          <w:lang w:val="en-GB"/>
        </w:rPr>
        <w:t>reinsurance.</w:t>
      </w:r>
    </w:p>
    <w:p w14:paraId="449B0F1D" w14:textId="77777777" w:rsidR="005D282E" w:rsidRPr="006C668C" w:rsidRDefault="005D282E">
      <w:pPr>
        <w:pStyle w:val="BodyText"/>
        <w:rPr>
          <w:sz w:val="21"/>
          <w:lang w:val="en-GB"/>
        </w:rPr>
      </w:pPr>
    </w:p>
    <w:p w14:paraId="449B0F1E" w14:textId="77777777" w:rsidR="005D282E" w:rsidRPr="006C668C" w:rsidRDefault="00E47DB2">
      <w:pPr>
        <w:spacing w:line="273" w:lineRule="auto"/>
        <w:ind w:left="306" w:right="316"/>
        <w:jc w:val="both"/>
        <w:rPr>
          <w:lang w:val="en-GB"/>
        </w:rPr>
      </w:pPr>
      <w:r w:rsidRPr="006C668C">
        <w:rPr>
          <w:b/>
          <w:lang w:val="en-GB"/>
        </w:rPr>
        <w:t xml:space="preserve">Question 100: </w:t>
      </w:r>
      <w:r w:rsidRPr="006C668C">
        <w:rPr>
          <w:lang w:val="en-GB"/>
        </w:rPr>
        <w:t>Is there a role for the EU to promote more equal access to climate-related financial risk management mechanisms for businesses and citizens across the</w:t>
      </w:r>
      <w:r w:rsidRPr="006C668C">
        <w:rPr>
          <w:spacing w:val="-11"/>
          <w:lang w:val="en-GB"/>
        </w:rPr>
        <w:t xml:space="preserve"> </w:t>
      </w:r>
      <w:r w:rsidRPr="006C668C">
        <w:rPr>
          <w:lang w:val="en-GB"/>
        </w:rPr>
        <w:t>EU?</w:t>
      </w:r>
    </w:p>
    <w:p w14:paraId="449B0F1F" w14:textId="77777777" w:rsidR="005D282E" w:rsidRPr="006C668C" w:rsidRDefault="00E47DB2">
      <w:pPr>
        <w:pStyle w:val="ListParagraph"/>
        <w:numPr>
          <w:ilvl w:val="0"/>
          <w:numId w:val="16"/>
        </w:numPr>
        <w:tabs>
          <w:tab w:val="left" w:pos="1027"/>
        </w:tabs>
        <w:spacing w:before="105"/>
        <w:ind w:hanging="361"/>
        <w:rPr>
          <w:rFonts w:ascii="Wingdings" w:hAnsi="Wingdings"/>
          <w:lang w:val="en-GB"/>
        </w:rPr>
      </w:pPr>
      <w:r w:rsidRPr="006C668C">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F20" w14:textId="77777777" w:rsidR="005D282E" w:rsidRPr="006C668C" w:rsidRDefault="00E47DB2">
      <w:pPr>
        <w:pStyle w:val="ListParagraph"/>
        <w:numPr>
          <w:ilvl w:val="0"/>
          <w:numId w:val="16"/>
        </w:numPr>
        <w:tabs>
          <w:tab w:val="left" w:pos="1027"/>
        </w:tabs>
        <w:spacing w:before="37" w:line="276" w:lineRule="auto"/>
        <w:ind w:right="322"/>
        <w:rPr>
          <w:rFonts w:ascii="Wingdings" w:hAnsi="Wingdings"/>
          <w:lang w:val="en-GB"/>
        </w:rPr>
      </w:pPr>
      <w:r w:rsidRPr="006C668C">
        <w:rPr>
          <w:lang w:val="en-GB"/>
        </w:rPr>
        <w:t>If yes, please indicate the degree to which you believe the following actions could be helpful, using a scale of 1 (not helpful at all) to 5 (very helpful) and substantiate your reasoning:</w:t>
      </w:r>
    </w:p>
    <w:p w14:paraId="449B0F21" w14:textId="2801D6C1" w:rsidR="005D282E" w:rsidRPr="006C668C" w:rsidRDefault="00E47DB2">
      <w:pPr>
        <w:pStyle w:val="ListParagraph"/>
        <w:numPr>
          <w:ilvl w:val="0"/>
          <w:numId w:val="2"/>
        </w:numPr>
        <w:tabs>
          <w:tab w:val="left" w:pos="1387"/>
        </w:tabs>
        <w:spacing w:line="266" w:lineRule="auto"/>
        <w:ind w:right="315"/>
        <w:rPr>
          <w:rFonts w:ascii="Calibri" w:hAnsi="Calibri"/>
          <w:lang w:val="en-GB"/>
        </w:rPr>
      </w:pPr>
      <w:r w:rsidRPr="006C668C">
        <w:rPr>
          <w:lang w:val="en-GB"/>
        </w:rPr>
        <w:t>Financial support to the development of more accurate climate physical risk models. [BOX max. 2000 characters]</w:t>
      </w:r>
      <w:r w:rsidR="00452D0D" w:rsidRPr="006C668C">
        <w:rPr>
          <w:lang w:val="en-GB"/>
        </w:rPr>
        <w:t xml:space="preserve"> </w:t>
      </w:r>
      <w:r w:rsidR="00BA5679" w:rsidRPr="006C668C">
        <w:rPr>
          <w:b/>
          <w:color w:val="FF0000"/>
          <w:lang w:val="en-GB"/>
        </w:rPr>
        <w:t>4 –</w:t>
      </w:r>
      <w:r w:rsidR="00BA5679" w:rsidRPr="006C668C">
        <w:rPr>
          <w:color w:val="FF0000"/>
          <w:lang w:val="en-GB"/>
        </w:rPr>
        <w:t xml:space="preserve"> to facilitate the estimate of </w:t>
      </w:r>
      <w:r w:rsidR="00083512" w:rsidRPr="006C668C">
        <w:rPr>
          <w:color w:val="FF0000"/>
          <w:lang w:val="en-GB"/>
        </w:rPr>
        <w:t>financial impacts expected from climate physical risks</w:t>
      </w:r>
    </w:p>
    <w:p w14:paraId="449B0F22" w14:textId="2CB0A866" w:rsidR="005D282E" w:rsidRPr="006C668C" w:rsidRDefault="00E47DB2">
      <w:pPr>
        <w:pStyle w:val="ListParagraph"/>
        <w:numPr>
          <w:ilvl w:val="0"/>
          <w:numId w:val="2"/>
        </w:numPr>
        <w:tabs>
          <w:tab w:val="left" w:pos="1387"/>
        </w:tabs>
        <w:spacing w:before="7"/>
        <w:ind w:hanging="361"/>
        <w:rPr>
          <w:rFonts w:ascii="Calibri" w:hAnsi="Calibri"/>
          <w:color w:val="FF0000"/>
          <w:lang w:val="en-GB"/>
        </w:rPr>
      </w:pPr>
      <w:r w:rsidRPr="006C668C">
        <w:rPr>
          <w:lang w:val="en-GB"/>
        </w:rPr>
        <w:t>Raise awareness about climate physical risk. [BOX max. 2000</w:t>
      </w:r>
      <w:r w:rsidRPr="006C668C">
        <w:rPr>
          <w:spacing w:val="-2"/>
          <w:lang w:val="en-GB"/>
        </w:rPr>
        <w:t xml:space="preserve"> </w:t>
      </w:r>
      <w:r w:rsidRPr="006C668C">
        <w:rPr>
          <w:lang w:val="en-GB"/>
        </w:rPr>
        <w:t>characters]</w:t>
      </w:r>
      <w:r w:rsidRPr="006C668C">
        <w:rPr>
          <w:color w:val="1F487C"/>
          <w:lang w:val="en-GB"/>
        </w:rPr>
        <w:t>.</w:t>
      </w:r>
      <w:r w:rsidR="00452D0D" w:rsidRPr="006C668C">
        <w:rPr>
          <w:color w:val="1F487C"/>
          <w:lang w:val="en-GB"/>
        </w:rPr>
        <w:t xml:space="preserve"> </w:t>
      </w:r>
      <w:r w:rsidR="00452D0D" w:rsidRPr="006C668C">
        <w:rPr>
          <w:b/>
          <w:color w:val="FF0000"/>
          <w:lang w:val="en-GB"/>
        </w:rPr>
        <w:t>5</w:t>
      </w:r>
      <w:r w:rsidR="00452D0D" w:rsidRPr="006C668C">
        <w:rPr>
          <w:color w:val="FF0000"/>
          <w:lang w:val="en-GB"/>
        </w:rPr>
        <w:t xml:space="preserve"> </w:t>
      </w:r>
      <w:r w:rsidR="004E71F3" w:rsidRPr="006C668C">
        <w:rPr>
          <w:color w:val="FF0000"/>
          <w:lang w:val="en-GB"/>
        </w:rPr>
        <w:t>–</w:t>
      </w:r>
      <w:r w:rsidR="00452D0D" w:rsidRPr="006C668C">
        <w:rPr>
          <w:color w:val="FF0000"/>
          <w:lang w:val="en-GB"/>
        </w:rPr>
        <w:t xml:space="preserve"> </w:t>
      </w:r>
      <w:r w:rsidR="004E71F3" w:rsidRPr="006C668C">
        <w:rPr>
          <w:color w:val="FF0000"/>
          <w:lang w:val="en-GB"/>
        </w:rPr>
        <w:t xml:space="preserve">the potential effects of climate physical risk are not yet well understood and known by companies </w:t>
      </w:r>
      <w:r w:rsidR="004851FB">
        <w:rPr>
          <w:color w:val="FF0000"/>
          <w:lang w:val="en-GB"/>
        </w:rPr>
        <w:t>who focus more on near-term profits than strategic fundamentals. Following the recommendations of the H</w:t>
      </w:r>
      <w:r w:rsidR="000408CF">
        <w:rPr>
          <w:color w:val="FF0000"/>
          <w:lang w:val="en-GB"/>
        </w:rPr>
        <w:t>igh-Level Expert Group (HLEG)</w:t>
      </w:r>
      <w:r w:rsidR="004851FB">
        <w:rPr>
          <w:color w:val="FF0000"/>
          <w:lang w:val="en-GB"/>
        </w:rPr>
        <w:t xml:space="preserve"> on sustainable finance, </w:t>
      </w:r>
      <w:r w:rsidR="000408CF">
        <w:rPr>
          <w:color w:val="FF0000"/>
          <w:lang w:val="en-GB"/>
        </w:rPr>
        <w:t xml:space="preserve">greater awareness of long-term systemic threats, including ESG risks, would be very helpful </w:t>
      </w:r>
      <w:r w:rsidR="00D6584E">
        <w:rPr>
          <w:color w:val="FF0000"/>
          <w:lang w:val="en-GB"/>
        </w:rPr>
        <w:t>to discourage</w:t>
      </w:r>
      <w:r w:rsidR="000408CF">
        <w:rPr>
          <w:color w:val="FF0000"/>
          <w:lang w:val="en-GB"/>
        </w:rPr>
        <w:t xml:space="preserve"> short-termism. </w:t>
      </w:r>
    </w:p>
    <w:p w14:paraId="449B0F23" w14:textId="77777777" w:rsidR="005D282E" w:rsidRPr="006C668C" w:rsidRDefault="00E47DB2">
      <w:pPr>
        <w:pStyle w:val="ListParagraph"/>
        <w:numPr>
          <w:ilvl w:val="0"/>
          <w:numId w:val="2"/>
        </w:numPr>
        <w:tabs>
          <w:tab w:val="left" w:pos="1387"/>
        </w:tabs>
        <w:spacing w:before="26" w:line="271" w:lineRule="auto"/>
        <w:ind w:right="315"/>
        <w:rPr>
          <w:rFonts w:ascii="Calibri" w:hAnsi="Calibri"/>
          <w:lang w:val="en-GB"/>
        </w:rPr>
      </w:pPr>
      <w:r w:rsidRPr="006C668C">
        <w:rPr>
          <w:lang w:val="en-GB"/>
        </w:rPr>
        <w:t>Promote ex-ante “build back better” requirements to improve future resilience of the affected regions and or/sectors after a natural catastrophe. [BOX max. 2000 characters]</w:t>
      </w:r>
      <w:r w:rsidRPr="006C668C">
        <w:rPr>
          <w:color w:val="1F487C"/>
          <w:lang w:val="en-GB"/>
        </w:rPr>
        <w:t>.</w:t>
      </w:r>
    </w:p>
    <w:p w14:paraId="449B0F24" w14:textId="09E0D7E1" w:rsidR="005D282E" w:rsidRPr="006C668C" w:rsidRDefault="00E47DB2">
      <w:pPr>
        <w:pStyle w:val="ListParagraph"/>
        <w:numPr>
          <w:ilvl w:val="0"/>
          <w:numId w:val="2"/>
        </w:numPr>
        <w:tabs>
          <w:tab w:val="left" w:pos="1387"/>
        </w:tabs>
        <w:spacing w:before="1" w:line="266" w:lineRule="auto"/>
        <w:ind w:right="322"/>
        <w:rPr>
          <w:rFonts w:ascii="Calibri" w:hAnsi="Calibri"/>
          <w:lang w:val="en-GB"/>
        </w:rPr>
      </w:pPr>
      <w:r w:rsidRPr="006C668C">
        <w:rPr>
          <w:lang w:val="en-GB"/>
        </w:rPr>
        <w:t>Facilitate public-private partnerships to expand affordable and comprehensive insurance coverage. [BOX max. 2000</w:t>
      </w:r>
      <w:r w:rsidRPr="006C668C">
        <w:rPr>
          <w:spacing w:val="-1"/>
          <w:lang w:val="en-GB"/>
        </w:rPr>
        <w:t xml:space="preserve"> </w:t>
      </w:r>
      <w:r w:rsidRPr="006C668C">
        <w:rPr>
          <w:lang w:val="en-GB"/>
        </w:rPr>
        <w:t>characters]</w:t>
      </w:r>
      <w:r w:rsidRPr="006C668C">
        <w:rPr>
          <w:color w:val="1F487C"/>
          <w:lang w:val="en-GB"/>
        </w:rPr>
        <w:t>.</w:t>
      </w:r>
      <w:r w:rsidR="00FB2E8D">
        <w:rPr>
          <w:color w:val="1F487C"/>
          <w:lang w:val="en-GB"/>
        </w:rPr>
        <w:t xml:space="preserve"> </w:t>
      </w:r>
      <w:r w:rsidR="00FB2E8D" w:rsidRPr="0042046F">
        <w:rPr>
          <w:b/>
          <w:color w:val="FF0000"/>
          <w:lang w:val="en-GB"/>
        </w:rPr>
        <w:t>5</w:t>
      </w:r>
      <w:r w:rsidR="00FB2E8D">
        <w:rPr>
          <w:b/>
          <w:color w:val="FF0000"/>
          <w:lang w:val="en-GB"/>
        </w:rPr>
        <w:t xml:space="preserve"> </w:t>
      </w:r>
      <w:r w:rsidR="005A36F4" w:rsidRPr="003028AA">
        <w:rPr>
          <w:b/>
          <w:color w:val="FF0000"/>
          <w:lang w:val="en-GB"/>
        </w:rPr>
        <w:t xml:space="preserve">– </w:t>
      </w:r>
      <w:r w:rsidR="00FB2E8D" w:rsidRPr="003028AA">
        <w:rPr>
          <w:color w:val="FF0000"/>
          <w:lang w:val="en-GB"/>
        </w:rPr>
        <w:t>In some cases, it is beyond the capital of the private insurance market to provide material capacity for the transfer of systemic risks, such as climate change, due to their large-scale effects. Public-private partnerships</w:t>
      </w:r>
      <w:r w:rsidR="0042046F" w:rsidRPr="003028AA">
        <w:rPr>
          <w:color w:val="FF0000"/>
          <w:lang w:val="en-GB"/>
        </w:rPr>
        <w:t xml:space="preserve">, such as the RFCR described in response to question 87, </w:t>
      </w:r>
      <w:r w:rsidR="00D6584E" w:rsidRPr="003028AA">
        <w:rPr>
          <w:bCs/>
          <w:color w:val="FF0000"/>
          <w:lang w:val="en-GB"/>
        </w:rPr>
        <w:t xml:space="preserve">may </w:t>
      </w:r>
      <w:r w:rsidR="00FB2E8D" w:rsidRPr="003028AA">
        <w:rPr>
          <w:bCs/>
          <w:color w:val="FF0000"/>
          <w:lang w:val="en-GB"/>
        </w:rPr>
        <w:t>h</w:t>
      </w:r>
      <w:r w:rsidR="0042046F" w:rsidRPr="003028AA">
        <w:rPr>
          <w:bCs/>
          <w:color w:val="FF0000"/>
          <w:lang w:val="en-GB"/>
        </w:rPr>
        <w:t xml:space="preserve">elp to address this issue, </w:t>
      </w:r>
      <w:r w:rsidR="00D6584E" w:rsidRPr="003028AA">
        <w:rPr>
          <w:bCs/>
          <w:color w:val="FF0000"/>
          <w:lang w:val="en-GB"/>
        </w:rPr>
        <w:t>lead</w:t>
      </w:r>
      <w:r w:rsidR="0042046F" w:rsidRPr="003028AA">
        <w:rPr>
          <w:bCs/>
          <w:color w:val="FF0000"/>
          <w:lang w:val="en-GB"/>
        </w:rPr>
        <w:t>ing</w:t>
      </w:r>
      <w:r w:rsidR="00D6584E" w:rsidRPr="003028AA">
        <w:rPr>
          <w:bCs/>
          <w:color w:val="FF0000"/>
          <w:lang w:val="en-GB"/>
        </w:rPr>
        <w:t xml:space="preserve"> to</w:t>
      </w:r>
      <w:r w:rsidR="005A36F4" w:rsidRPr="003028AA">
        <w:rPr>
          <w:color w:val="FF0000"/>
          <w:lang w:val="en-GB"/>
        </w:rPr>
        <w:t xml:space="preserve"> a </w:t>
      </w:r>
      <w:r w:rsidR="00D6584E" w:rsidRPr="003028AA">
        <w:rPr>
          <w:color w:val="FF0000"/>
          <w:lang w:val="en-GB"/>
        </w:rPr>
        <w:t xml:space="preserve">favourable </w:t>
      </w:r>
      <w:r w:rsidR="005A36F4" w:rsidRPr="003028AA">
        <w:rPr>
          <w:color w:val="FF0000"/>
          <w:lang w:val="en-GB"/>
        </w:rPr>
        <w:t>common insurance approach</w:t>
      </w:r>
      <w:r w:rsidR="00FB2E8D" w:rsidRPr="003028AA">
        <w:rPr>
          <w:color w:val="FF0000"/>
          <w:lang w:val="en-GB"/>
        </w:rPr>
        <w:t xml:space="preserve"> while also helping to incentivise the accumulation of reserves needed to respon</w:t>
      </w:r>
      <w:r w:rsidR="0042046F" w:rsidRPr="003028AA">
        <w:rPr>
          <w:color w:val="FF0000"/>
          <w:lang w:val="en-GB"/>
        </w:rPr>
        <w:t>d</w:t>
      </w:r>
      <w:r w:rsidR="00FB2E8D" w:rsidRPr="003028AA">
        <w:rPr>
          <w:color w:val="FF0000"/>
          <w:lang w:val="en-GB"/>
        </w:rPr>
        <w:t xml:space="preserve"> effectively to a range of systemic risks</w:t>
      </w:r>
      <w:r w:rsidR="0042046F" w:rsidRPr="003028AA">
        <w:rPr>
          <w:color w:val="FF0000"/>
          <w:lang w:val="en-GB"/>
        </w:rPr>
        <w:t xml:space="preserve"> that are currently addressed on an ad hoc basis</w:t>
      </w:r>
      <w:r w:rsidR="00FB2E8D" w:rsidRPr="003028AA">
        <w:rPr>
          <w:color w:val="FF0000"/>
          <w:lang w:val="en-GB"/>
        </w:rPr>
        <w:t>.</w:t>
      </w:r>
      <w:r w:rsidR="00FB2E8D">
        <w:rPr>
          <w:color w:val="FF0000"/>
          <w:lang w:val="en-GB"/>
        </w:rPr>
        <w:t xml:space="preserve"> </w:t>
      </w:r>
    </w:p>
    <w:p w14:paraId="449B0F25" w14:textId="77777777" w:rsidR="005D282E" w:rsidRPr="006C668C" w:rsidRDefault="00E47DB2">
      <w:pPr>
        <w:pStyle w:val="ListParagraph"/>
        <w:numPr>
          <w:ilvl w:val="0"/>
          <w:numId w:val="2"/>
        </w:numPr>
        <w:tabs>
          <w:tab w:val="left" w:pos="1387"/>
        </w:tabs>
        <w:spacing w:before="7"/>
        <w:ind w:hanging="361"/>
        <w:rPr>
          <w:rFonts w:ascii="Calibri" w:hAnsi="Calibri"/>
          <w:lang w:val="en-GB"/>
        </w:rPr>
      </w:pPr>
      <w:r w:rsidRPr="00276130">
        <w:rPr>
          <w:lang w:val="en-GB"/>
        </w:rPr>
        <w:t xml:space="preserve">Reform EU post-disaster financial support. </w:t>
      </w:r>
      <w:r w:rsidRPr="006C668C">
        <w:rPr>
          <w:lang w:val="en-GB"/>
        </w:rPr>
        <w:t>[BOX max. 2000</w:t>
      </w:r>
      <w:r w:rsidRPr="006C668C">
        <w:rPr>
          <w:spacing w:val="-11"/>
          <w:lang w:val="en-GB"/>
        </w:rPr>
        <w:t xml:space="preserve"> </w:t>
      </w:r>
      <w:r w:rsidRPr="006C668C">
        <w:rPr>
          <w:lang w:val="en-GB"/>
        </w:rPr>
        <w:t>characters]</w:t>
      </w:r>
      <w:r w:rsidRPr="006C668C">
        <w:rPr>
          <w:color w:val="1F487C"/>
          <w:lang w:val="en-GB"/>
        </w:rPr>
        <w:t>.</w:t>
      </w:r>
    </w:p>
    <w:p w14:paraId="449B0F26" w14:textId="72E86715" w:rsidR="005D282E" w:rsidRPr="006C668C" w:rsidRDefault="00E47DB2">
      <w:pPr>
        <w:pStyle w:val="ListParagraph"/>
        <w:numPr>
          <w:ilvl w:val="0"/>
          <w:numId w:val="2"/>
        </w:numPr>
        <w:tabs>
          <w:tab w:val="left" w:pos="1387"/>
        </w:tabs>
        <w:spacing w:before="27" w:line="271" w:lineRule="auto"/>
        <w:ind w:right="316"/>
        <w:rPr>
          <w:rFonts w:ascii="Calibri" w:hAnsi="Calibri"/>
          <w:lang w:val="en-GB"/>
        </w:rPr>
      </w:pPr>
      <w:r w:rsidRPr="006C668C">
        <w:rPr>
          <w:lang w:val="en-GB"/>
        </w:rPr>
        <w:t>Support the development of alternative financial products (e.g. catastrophe bonds) offering protection/hedging against financial losses stemming from climate- or environment-related events. [BOX max. 2000</w:t>
      </w:r>
      <w:r w:rsidRPr="006C668C">
        <w:rPr>
          <w:spacing w:val="-1"/>
          <w:lang w:val="en-GB"/>
        </w:rPr>
        <w:t xml:space="preserve"> </w:t>
      </w:r>
      <w:r w:rsidRPr="006C668C">
        <w:rPr>
          <w:lang w:val="en-GB"/>
        </w:rPr>
        <w:t>characters]</w:t>
      </w:r>
      <w:r w:rsidR="007B6656" w:rsidRPr="006C668C">
        <w:rPr>
          <w:lang w:val="en-GB"/>
        </w:rPr>
        <w:t xml:space="preserve"> </w:t>
      </w:r>
      <w:r w:rsidR="007B6656" w:rsidRPr="006C668C">
        <w:rPr>
          <w:b/>
          <w:color w:val="FF0000"/>
          <w:lang w:val="en-GB"/>
        </w:rPr>
        <w:t>4</w:t>
      </w:r>
      <w:r w:rsidR="007B6656" w:rsidRPr="006C668C">
        <w:rPr>
          <w:color w:val="FF0000"/>
          <w:lang w:val="en-GB"/>
        </w:rPr>
        <w:t xml:space="preserve"> – </w:t>
      </w:r>
      <w:r w:rsidR="000408CF">
        <w:rPr>
          <w:color w:val="FF0000"/>
          <w:lang w:val="en-GB"/>
        </w:rPr>
        <w:t>Such financial products</w:t>
      </w:r>
      <w:r w:rsidR="00540761" w:rsidRPr="006C668C">
        <w:rPr>
          <w:color w:val="FF0000"/>
          <w:lang w:val="en-GB"/>
        </w:rPr>
        <w:t xml:space="preserve"> could </w:t>
      </w:r>
      <w:r w:rsidR="000408CF">
        <w:rPr>
          <w:color w:val="FF0000"/>
          <w:lang w:val="en-GB"/>
        </w:rPr>
        <w:t>help substitute or compensate existing</w:t>
      </w:r>
      <w:r w:rsidR="00167A26" w:rsidRPr="006C668C">
        <w:rPr>
          <w:color w:val="FF0000"/>
          <w:lang w:val="en-GB"/>
        </w:rPr>
        <w:t xml:space="preserve"> insurance coverage</w:t>
      </w:r>
    </w:p>
    <w:p w14:paraId="449B0F27" w14:textId="77777777" w:rsidR="005D282E" w:rsidRPr="006C668C" w:rsidRDefault="00E47DB2">
      <w:pPr>
        <w:pStyle w:val="ListParagraph"/>
        <w:numPr>
          <w:ilvl w:val="0"/>
          <w:numId w:val="2"/>
        </w:numPr>
        <w:tabs>
          <w:tab w:val="left" w:pos="1387"/>
        </w:tabs>
        <w:spacing w:before="3" w:line="266" w:lineRule="auto"/>
        <w:ind w:right="319"/>
        <w:rPr>
          <w:rFonts w:ascii="Calibri" w:hAnsi="Calibri"/>
          <w:lang w:val="en-GB"/>
        </w:rPr>
      </w:pPr>
      <w:r w:rsidRPr="006C668C">
        <w:rPr>
          <w:lang w:val="en-GB"/>
        </w:rPr>
        <w:t>Advise Member States on their national natural disaster insurance and post disaster compensation and reconstruction frameworks. [BOX max. 2000</w:t>
      </w:r>
      <w:r w:rsidRPr="006C668C">
        <w:rPr>
          <w:spacing w:val="-3"/>
          <w:lang w:val="en-GB"/>
        </w:rPr>
        <w:t xml:space="preserve"> </w:t>
      </w:r>
      <w:r w:rsidRPr="006C668C">
        <w:rPr>
          <w:lang w:val="en-GB"/>
        </w:rPr>
        <w:t>characters]</w:t>
      </w:r>
      <w:r w:rsidRPr="006C668C">
        <w:rPr>
          <w:color w:val="1F487C"/>
          <w:lang w:val="en-GB"/>
        </w:rPr>
        <w:t>.</w:t>
      </w:r>
    </w:p>
    <w:p w14:paraId="449B0F28" w14:textId="77777777" w:rsidR="005D282E" w:rsidRPr="006C668C" w:rsidRDefault="00E47DB2">
      <w:pPr>
        <w:pStyle w:val="ListParagraph"/>
        <w:numPr>
          <w:ilvl w:val="0"/>
          <w:numId w:val="2"/>
        </w:numPr>
        <w:tabs>
          <w:tab w:val="left" w:pos="1387"/>
        </w:tabs>
        <w:spacing w:before="7" w:line="266" w:lineRule="auto"/>
        <w:ind w:right="316"/>
        <w:rPr>
          <w:rFonts w:ascii="Calibri" w:hAnsi="Calibri"/>
          <w:lang w:val="en-GB"/>
        </w:rPr>
      </w:pPr>
      <w:r w:rsidRPr="006C668C">
        <w:rPr>
          <w:lang w:val="en-GB"/>
        </w:rPr>
        <w:t>Regulate by setting minimum performance features for national climate-related disaster financial management schemes. [BOX max. 2000</w:t>
      </w:r>
      <w:r w:rsidRPr="006C668C">
        <w:rPr>
          <w:spacing w:val="1"/>
          <w:lang w:val="en-GB"/>
        </w:rPr>
        <w:t xml:space="preserve"> </w:t>
      </w:r>
      <w:r w:rsidRPr="006C668C">
        <w:rPr>
          <w:lang w:val="en-GB"/>
        </w:rPr>
        <w:t>characters]</w:t>
      </w:r>
      <w:r w:rsidRPr="006C668C">
        <w:rPr>
          <w:color w:val="1F487C"/>
          <w:lang w:val="en-GB"/>
        </w:rPr>
        <w:t>.</w:t>
      </w:r>
    </w:p>
    <w:p w14:paraId="449B0F29" w14:textId="3940BD1C" w:rsidR="005D282E" w:rsidRPr="006C668C" w:rsidRDefault="00E47DB2">
      <w:pPr>
        <w:pStyle w:val="ListParagraph"/>
        <w:numPr>
          <w:ilvl w:val="0"/>
          <w:numId w:val="2"/>
        </w:numPr>
        <w:tabs>
          <w:tab w:val="left" w:pos="1387"/>
        </w:tabs>
        <w:spacing w:before="7" w:line="266" w:lineRule="auto"/>
        <w:ind w:right="315"/>
        <w:rPr>
          <w:rFonts w:ascii="Calibri" w:hAnsi="Calibri"/>
          <w:color w:val="1F487C"/>
          <w:lang w:val="en-GB"/>
        </w:rPr>
      </w:pPr>
      <w:r w:rsidRPr="006C668C">
        <w:rPr>
          <w:lang w:val="en-GB"/>
        </w:rPr>
        <w:t>Create a European climate-related disaster risk transfer mechanism. [BOX max. 2000 characters]</w:t>
      </w:r>
      <w:r w:rsidRPr="006C668C">
        <w:rPr>
          <w:color w:val="1F487C"/>
          <w:lang w:val="en-GB"/>
        </w:rPr>
        <w:t>.</w:t>
      </w:r>
      <w:r w:rsidR="009A38FC" w:rsidRPr="006C668C">
        <w:rPr>
          <w:color w:val="1F487C"/>
          <w:lang w:val="en-GB"/>
        </w:rPr>
        <w:t xml:space="preserve"> </w:t>
      </w:r>
      <w:r w:rsidR="00FB2E8D" w:rsidRPr="0042046F">
        <w:rPr>
          <w:b/>
          <w:bCs/>
          <w:color w:val="FF0000"/>
          <w:lang w:val="en-GB"/>
        </w:rPr>
        <w:t>5</w:t>
      </w:r>
      <w:r w:rsidR="009A38FC" w:rsidRPr="006C668C">
        <w:rPr>
          <w:color w:val="FF0000"/>
          <w:lang w:val="en-GB"/>
        </w:rPr>
        <w:t xml:space="preserve"> – </w:t>
      </w:r>
      <w:r w:rsidR="0042046F" w:rsidRPr="003028AA">
        <w:rPr>
          <w:color w:val="FF0000"/>
          <w:lang w:val="en-GB"/>
        </w:rPr>
        <w:t xml:space="preserve">As mentioned previously, FERMA is currently working to develop the RFCR with the aim to help governments and Member States respond </w:t>
      </w:r>
      <w:r w:rsidR="005D1C8F" w:rsidRPr="003028AA">
        <w:rPr>
          <w:color w:val="FF0000"/>
          <w:lang w:val="en-GB"/>
        </w:rPr>
        <w:t xml:space="preserve">better </w:t>
      </w:r>
      <w:r w:rsidR="0042046F" w:rsidRPr="003028AA">
        <w:rPr>
          <w:color w:val="FF0000"/>
          <w:lang w:val="en-GB"/>
        </w:rPr>
        <w:t xml:space="preserve">to systemic risks and their associated market failures. </w:t>
      </w:r>
      <w:r w:rsidR="00975CBE" w:rsidRPr="003028AA">
        <w:rPr>
          <w:color w:val="FF0000"/>
          <w:lang w:val="en-GB"/>
        </w:rPr>
        <w:t xml:space="preserve">Specifically, FERMA envisages a </w:t>
      </w:r>
      <w:r w:rsidR="005D1C8F" w:rsidRPr="003028AA">
        <w:rPr>
          <w:color w:val="FF0000"/>
          <w:lang w:val="en-GB"/>
        </w:rPr>
        <w:t>multi-layered</w:t>
      </w:r>
      <w:r w:rsidR="00975CBE" w:rsidRPr="003028AA">
        <w:rPr>
          <w:color w:val="FF0000"/>
          <w:lang w:val="en-GB"/>
        </w:rPr>
        <w:t xml:space="preserve"> approach that st</w:t>
      </w:r>
      <w:r w:rsidR="005D1C8F" w:rsidRPr="003028AA">
        <w:rPr>
          <w:color w:val="FF0000"/>
          <w:lang w:val="en-GB"/>
        </w:rPr>
        <w:t>arts with the identification of risks through enterprise-level risk management (ERM). Th</w:t>
      </w:r>
      <w:r w:rsidR="009E4533" w:rsidRPr="003028AA">
        <w:rPr>
          <w:color w:val="FF0000"/>
          <w:lang w:val="en-GB"/>
        </w:rPr>
        <w:t>ese</w:t>
      </w:r>
      <w:r w:rsidR="005D1C8F" w:rsidRPr="003028AA">
        <w:rPr>
          <w:color w:val="FF0000"/>
          <w:lang w:val="en-GB"/>
        </w:rPr>
        <w:t xml:space="preserve"> risk</w:t>
      </w:r>
      <w:r w:rsidR="009E4533" w:rsidRPr="003028AA">
        <w:rPr>
          <w:color w:val="FF0000"/>
          <w:lang w:val="en-GB"/>
        </w:rPr>
        <w:t>s</w:t>
      </w:r>
      <w:r w:rsidR="005D1C8F" w:rsidRPr="003028AA">
        <w:rPr>
          <w:color w:val="FF0000"/>
          <w:lang w:val="en-GB"/>
        </w:rPr>
        <w:t xml:space="preserve"> </w:t>
      </w:r>
      <w:r w:rsidR="009E4533" w:rsidRPr="003028AA">
        <w:rPr>
          <w:color w:val="FF0000"/>
          <w:lang w:val="en-GB"/>
        </w:rPr>
        <w:t xml:space="preserve">are </w:t>
      </w:r>
      <w:r w:rsidR="005D1C8F" w:rsidRPr="003028AA">
        <w:rPr>
          <w:color w:val="FF0000"/>
          <w:lang w:val="en-GB"/>
        </w:rPr>
        <w:t>then transferred to the private insurance and reinsurance markets, supported by national Member State pool guarantees</w:t>
      </w:r>
      <w:r w:rsidR="009E4533" w:rsidRPr="003028AA">
        <w:rPr>
          <w:color w:val="FF0000"/>
          <w:lang w:val="en-GB"/>
        </w:rPr>
        <w:t>, and coordinated by t</w:t>
      </w:r>
      <w:r w:rsidR="005D1C8F" w:rsidRPr="003028AA">
        <w:rPr>
          <w:color w:val="FF0000"/>
          <w:lang w:val="en-GB"/>
        </w:rPr>
        <w:t xml:space="preserve">he European Union. </w:t>
      </w:r>
      <w:r w:rsidR="000408CF" w:rsidRPr="003028AA">
        <w:rPr>
          <w:color w:val="FF0000"/>
          <w:lang w:val="en-GB"/>
        </w:rPr>
        <w:t xml:space="preserve">The promotion of this mechanism at EU level </w:t>
      </w:r>
      <w:r w:rsidR="009A38FC" w:rsidRPr="003028AA">
        <w:rPr>
          <w:color w:val="FF0000"/>
          <w:lang w:val="en-GB"/>
        </w:rPr>
        <w:t xml:space="preserve">will facilitate </w:t>
      </w:r>
      <w:r w:rsidR="00A0610D" w:rsidRPr="003028AA">
        <w:rPr>
          <w:color w:val="FF0000"/>
          <w:lang w:val="en-GB"/>
        </w:rPr>
        <w:t>its</w:t>
      </w:r>
      <w:r w:rsidR="009A38FC" w:rsidRPr="003028AA">
        <w:rPr>
          <w:color w:val="FF0000"/>
          <w:lang w:val="en-GB"/>
        </w:rPr>
        <w:t xml:space="preserve"> adoption across Member Stat</w:t>
      </w:r>
      <w:r w:rsidR="00A0610D" w:rsidRPr="003028AA">
        <w:rPr>
          <w:color w:val="FF0000"/>
          <w:lang w:val="en-GB"/>
        </w:rPr>
        <w:t xml:space="preserve">es, </w:t>
      </w:r>
      <w:r w:rsidR="009E4533" w:rsidRPr="003028AA">
        <w:rPr>
          <w:color w:val="FF0000"/>
          <w:lang w:val="en-GB"/>
        </w:rPr>
        <w:t xml:space="preserve">increasing the capacity of European insurance markets and enhancing </w:t>
      </w:r>
      <w:r w:rsidR="0042046F" w:rsidRPr="003028AA">
        <w:rPr>
          <w:color w:val="FF0000"/>
          <w:lang w:val="en-GB"/>
        </w:rPr>
        <w:t>the resilience of EU businesses overall</w:t>
      </w:r>
      <w:r w:rsidR="00A0610D" w:rsidRPr="003028AA">
        <w:rPr>
          <w:color w:val="1F487C"/>
          <w:lang w:val="en-GB"/>
        </w:rPr>
        <w:t>.</w:t>
      </w:r>
    </w:p>
    <w:p w14:paraId="7AC90AB2" w14:textId="57DD158B" w:rsidR="00AA2D32" w:rsidRPr="006C668C" w:rsidRDefault="00E47DB2" w:rsidP="00AA2D32">
      <w:pPr>
        <w:pStyle w:val="ListParagraph"/>
        <w:numPr>
          <w:ilvl w:val="0"/>
          <w:numId w:val="2"/>
        </w:numPr>
        <w:tabs>
          <w:tab w:val="left" w:pos="1387"/>
        </w:tabs>
        <w:spacing w:before="6"/>
        <w:ind w:hanging="361"/>
        <w:rPr>
          <w:rFonts w:ascii="Calibri" w:hAnsi="Calibri"/>
          <w:lang w:val="en-GB"/>
        </w:rPr>
      </w:pPr>
      <w:r w:rsidRPr="006C668C">
        <w:rPr>
          <w:lang w:val="en-GB"/>
        </w:rPr>
        <w:t>Other, please specify. [BOX max. 2000</w:t>
      </w:r>
      <w:r w:rsidRPr="006C668C">
        <w:rPr>
          <w:spacing w:val="-3"/>
          <w:lang w:val="en-GB"/>
        </w:rPr>
        <w:t xml:space="preserve"> </w:t>
      </w:r>
      <w:r w:rsidRPr="006C668C">
        <w:rPr>
          <w:lang w:val="en-GB"/>
        </w:rPr>
        <w:t>characters]</w:t>
      </w:r>
      <w:r w:rsidRPr="006C668C">
        <w:rPr>
          <w:color w:val="1F487C"/>
          <w:lang w:val="en-GB"/>
        </w:rPr>
        <w:t>.</w:t>
      </w:r>
    </w:p>
    <w:p w14:paraId="449B0F2B" w14:textId="77777777" w:rsidR="005D282E" w:rsidRPr="006C668C" w:rsidRDefault="005D282E">
      <w:pPr>
        <w:pStyle w:val="BodyText"/>
        <w:spacing w:before="8"/>
        <w:rPr>
          <w:sz w:val="27"/>
          <w:lang w:val="en-GB"/>
        </w:rPr>
      </w:pPr>
    </w:p>
    <w:p w14:paraId="449B0F2C" w14:textId="77777777" w:rsidR="005D282E" w:rsidRPr="006C668C" w:rsidRDefault="00E47DB2">
      <w:pPr>
        <w:spacing w:before="1" w:line="276" w:lineRule="auto"/>
        <w:ind w:left="306" w:right="318"/>
        <w:jc w:val="both"/>
        <w:rPr>
          <w:lang w:val="en-GB"/>
        </w:rPr>
      </w:pPr>
      <w:r w:rsidRPr="006C668C">
        <w:rPr>
          <w:b/>
          <w:lang w:val="en-GB"/>
        </w:rPr>
        <w:t xml:space="preserve">Question 101: </w:t>
      </w:r>
      <w:r w:rsidRPr="006C668C">
        <w:rPr>
          <w:lang w:val="en-GB"/>
        </w:rPr>
        <w:t>Specifically with regards to the insurability of climate-related risks, do you see a role for the EU in this area?</w:t>
      </w:r>
    </w:p>
    <w:p w14:paraId="4A526935" w14:textId="77777777" w:rsidR="00990272" w:rsidRPr="006C668C" w:rsidRDefault="00E47DB2" w:rsidP="00990272">
      <w:pPr>
        <w:pStyle w:val="ListParagraph"/>
        <w:numPr>
          <w:ilvl w:val="0"/>
          <w:numId w:val="16"/>
        </w:numPr>
        <w:tabs>
          <w:tab w:val="left" w:pos="1027"/>
        </w:tabs>
        <w:spacing w:before="75" w:line="276" w:lineRule="auto"/>
        <w:ind w:right="316"/>
        <w:rPr>
          <w:rFonts w:ascii="Wingdings" w:hAnsi="Wingdings"/>
          <w:lang w:val="en-GB"/>
        </w:rPr>
      </w:pPr>
      <w:r w:rsidRPr="00040521">
        <w:rPr>
          <w:highlight w:val="yellow"/>
          <w:lang w:val="en-GB"/>
        </w:rPr>
        <w:t>Yes</w:t>
      </w:r>
      <w:r w:rsidRPr="006C668C">
        <w:rPr>
          <w:lang w:val="en-GB"/>
        </w:rPr>
        <w:t>/No/Do not</w:t>
      </w:r>
      <w:r w:rsidRPr="006C668C">
        <w:rPr>
          <w:spacing w:val="-3"/>
          <w:lang w:val="en-GB"/>
        </w:rPr>
        <w:t xml:space="preserve"> </w:t>
      </w:r>
      <w:r w:rsidRPr="006C668C">
        <w:rPr>
          <w:lang w:val="en-GB"/>
        </w:rPr>
        <w:t>know.</w:t>
      </w:r>
    </w:p>
    <w:p w14:paraId="449B0F2F" w14:textId="552367D0" w:rsidR="005D282E" w:rsidRPr="006C668C" w:rsidRDefault="00E47DB2" w:rsidP="00990272">
      <w:pPr>
        <w:pStyle w:val="ListParagraph"/>
        <w:numPr>
          <w:ilvl w:val="0"/>
          <w:numId w:val="16"/>
        </w:numPr>
        <w:tabs>
          <w:tab w:val="left" w:pos="1027"/>
        </w:tabs>
        <w:spacing w:before="75" w:line="276" w:lineRule="auto"/>
        <w:ind w:right="316"/>
        <w:rPr>
          <w:rFonts w:ascii="Wingdings" w:hAnsi="Wingdings"/>
          <w:lang w:val="en-GB"/>
        </w:rPr>
      </w:pPr>
      <w:r w:rsidRPr="006C668C">
        <w:rPr>
          <w:lang w:val="en-GB"/>
        </w:rPr>
        <w:t>If yes, which actions you would consider to be useful? In particular, is there scope for EU action to improve the offer of products and services for climate-related disaster risk reduction, enhance insurers’ potential to promote increased resilience of their policyholders beyond a mere compensatory role?</w:t>
      </w:r>
      <w:r w:rsidR="000A48FA" w:rsidRPr="006C668C">
        <w:rPr>
          <w:rStyle w:val="FootnoteReference"/>
          <w:lang w:val="en-GB"/>
        </w:rPr>
        <w:footnoteReference w:id="5"/>
      </w:r>
    </w:p>
    <w:p w14:paraId="449B0F30" w14:textId="77777777" w:rsidR="005D282E" w:rsidRPr="006C668C" w:rsidRDefault="00E47DB2">
      <w:pPr>
        <w:pStyle w:val="ListParagraph"/>
        <w:numPr>
          <w:ilvl w:val="0"/>
          <w:numId w:val="1"/>
        </w:numPr>
        <w:tabs>
          <w:tab w:val="left" w:pos="1746"/>
          <w:tab w:val="left" w:pos="1747"/>
        </w:tabs>
        <w:spacing w:line="268" w:lineRule="exact"/>
        <w:ind w:hanging="361"/>
        <w:jc w:val="left"/>
        <w:rPr>
          <w:lang w:val="en-GB"/>
        </w:rPr>
      </w:pPr>
      <w:r w:rsidRPr="00040521">
        <w:rPr>
          <w:highlight w:val="yellow"/>
          <w:lang w:val="en-GB"/>
        </w:rPr>
        <w:t>Yes</w:t>
      </w:r>
      <w:r w:rsidRPr="006C668C">
        <w:rPr>
          <w:lang w:val="en-GB"/>
        </w:rPr>
        <w:t>/No/Do not</w:t>
      </w:r>
      <w:r w:rsidRPr="006C668C">
        <w:rPr>
          <w:spacing w:val="-3"/>
          <w:lang w:val="en-GB"/>
        </w:rPr>
        <w:t xml:space="preserve"> </w:t>
      </w:r>
      <w:r w:rsidRPr="006C668C">
        <w:rPr>
          <w:lang w:val="en-GB"/>
        </w:rPr>
        <w:t>know.</w:t>
      </w:r>
    </w:p>
    <w:p w14:paraId="260FFEB4" w14:textId="5CC98421" w:rsidR="00712F22" w:rsidRPr="000E7026" w:rsidRDefault="00E47DB2" w:rsidP="00712F22">
      <w:pPr>
        <w:pStyle w:val="ListParagraph"/>
        <w:numPr>
          <w:ilvl w:val="0"/>
          <w:numId w:val="1"/>
        </w:numPr>
        <w:tabs>
          <w:tab w:val="left" w:pos="1746"/>
          <w:tab w:val="left" w:pos="1747"/>
        </w:tabs>
        <w:spacing w:before="27" w:line="266" w:lineRule="auto"/>
        <w:ind w:right="325"/>
        <w:rPr>
          <w:color w:val="FF0000"/>
          <w:lang w:val="en-GB"/>
        </w:rPr>
      </w:pPr>
      <w:r w:rsidRPr="006C668C">
        <w:rPr>
          <w:lang w:val="en-GB"/>
        </w:rPr>
        <w:t>If yes, please explain which actions and the expected impact (high, medium, low). [BOX max. 2000</w:t>
      </w:r>
      <w:r w:rsidRPr="006C668C">
        <w:rPr>
          <w:spacing w:val="-2"/>
          <w:lang w:val="en-GB"/>
        </w:rPr>
        <w:t xml:space="preserve"> </w:t>
      </w:r>
      <w:r w:rsidRPr="006C668C">
        <w:rPr>
          <w:lang w:val="en-GB"/>
        </w:rPr>
        <w:t>characters]</w:t>
      </w:r>
      <w:r w:rsidR="002F26A2">
        <w:rPr>
          <w:lang w:val="en-GB"/>
        </w:rPr>
        <w:t xml:space="preserve"> </w:t>
      </w:r>
      <w:r w:rsidR="00712F22" w:rsidRPr="00040521">
        <w:rPr>
          <w:color w:val="FF0000"/>
          <w:lang w:val="en-GB"/>
        </w:rPr>
        <w:t xml:space="preserve">The EU should be part of a risk transfer solution for systemic risks, </w:t>
      </w:r>
      <w:r w:rsidR="004B04CF" w:rsidRPr="000E7026">
        <w:rPr>
          <w:color w:val="FF0000"/>
          <w:lang w:val="en-GB"/>
        </w:rPr>
        <w:t xml:space="preserve">including </w:t>
      </w:r>
      <w:r w:rsidR="004B04CF" w:rsidRPr="000E7026">
        <w:rPr>
          <w:i/>
          <w:iCs/>
          <w:color w:val="FF0000"/>
          <w:lang w:val="en-GB"/>
        </w:rPr>
        <w:t>inter alia</w:t>
      </w:r>
      <w:r w:rsidR="00712F22" w:rsidRPr="000E7026">
        <w:rPr>
          <w:color w:val="FF0000"/>
          <w:lang w:val="en-GB"/>
        </w:rPr>
        <w:t xml:space="preserve"> climate-related disaster risk, because the currently existing national insurance pools are:</w:t>
      </w:r>
    </w:p>
    <w:p w14:paraId="4EAAFDE1" w14:textId="23F20D85" w:rsidR="00712F22" w:rsidRPr="000E7026" w:rsidRDefault="00712F22" w:rsidP="00040521">
      <w:pPr>
        <w:pStyle w:val="ListParagraph"/>
        <w:numPr>
          <w:ilvl w:val="1"/>
          <w:numId w:val="1"/>
        </w:numPr>
        <w:tabs>
          <w:tab w:val="left" w:pos="1746"/>
          <w:tab w:val="left" w:pos="1747"/>
        </w:tabs>
        <w:spacing w:before="27" w:line="266" w:lineRule="auto"/>
        <w:ind w:right="325"/>
        <w:rPr>
          <w:color w:val="FF0000"/>
          <w:lang w:val="en-GB"/>
        </w:rPr>
      </w:pPr>
      <w:r w:rsidRPr="000E7026">
        <w:rPr>
          <w:color w:val="FF0000"/>
          <w:lang w:val="en-GB"/>
        </w:rPr>
        <w:t>Only available in a minority of Member States</w:t>
      </w:r>
    </w:p>
    <w:p w14:paraId="10DA8D50" w14:textId="17FD6031" w:rsidR="00712F22" w:rsidRPr="000E7026" w:rsidRDefault="00712F22" w:rsidP="00040521">
      <w:pPr>
        <w:pStyle w:val="ListParagraph"/>
        <w:numPr>
          <w:ilvl w:val="1"/>
          <w:numId w:val="1"/>
        </w:numPr>
        <w:tabs>
          <w:tab w:val="left" w:pos="1746"/>
          <w:tab w:val="left" w:pos="1747"/>
        </w:tabs>
        <w:spacing w:before="27" w:line="266" w:lineRule="auto"/>
        <w:ind w:right="325"/>
        <w:rPr>
          <w:color w:val="FF0000"/>
          <w:lang w:val="en-GB"/>
        </w:rPr>
      </w:pPr>
      <w:r w:rsidRPr="000E7026">
        <w:rPr>
          <w:color w:val="FF0000"/>
          <w:lang w:val="en-GB"/>
        </w:rPr>
        <w:t>Even if available, triggers, coverage and funding are not consistent.</w:t>
      </w:r>
    </w:p>
    <w:p w14:paraId="2B6BF11C" w14:textId="1DD299B4" w:rsidR="00712F22" w:rsidRPr="000E7026" w:rsidRDefault="00712F22" w:rsidP="00040521">
      <w:pPr>
        <w:pStyle w:val="ListParagraph"/>
        <w:numPr>
          <w:ilvl w:val="1"/>
          <w:numId w:val="1"/>
        </w:numPr>
        <w:tabs>
          <w:tab w:val="left" w:pos="1746"/>
          <w:tab w:val="left" w:pos="1747"/>
        </w:tabs>
        <w:spacing w:before="27" w:line="266" w:lineRule="auto"/>
        <w:ind w:right="325"/>
        <w:rPr>
          <w:color w:val="FF0000"/>
          <w:lang w:val="en-GB"/>
        </w:rPr>
      </w:pPr>
      <w:r w:rsidRPr="000E7026">
        <w:rPr>
          <w:color w:val="FF0000"/>
          <w:lang w:val="en-GB"/>
        </w:rPr>
        <w:t xml:space="preserve">As they are national, these pools do not cover pan-European losses. Given the interdependency of European economies, this </w:t>
      </w:r>
      <w:r w:rsidR="004B04CF" w:rsidRPr="000E7026">
        <w:rPr>
          <w:color w:val="FF0000"/>
          <w:lang w:val="en-GB"/>
        </w:rPr>
        <w:t>makes national pools an</w:t>
      </w:r>
      <w:r w:rsidRPr="000E7026">
        <w:rPr>
          <w:color w:val="FF0000"/>
          <w:lang w:val="en-GB"/>
        </w:rPr>
        <w:t xml:space="preserve"> insufficient</w:t>
      </w:r>
      <w:r w:rsidR="004B04CF" w:rsidRPr="000E7026">
        <w:rPr>
          <w:color w:val="FF0000"/>
          <w:lang w:val="en-GB"/>
        </w:rPr>
        <w:t xml:space="preserve"> solution</w:t>
      </w:r>
      <w:r w:rsidRPr="000E7026">
        <w:rPr>
          <w:color w:val="FF0000"/>
          <w:lang w:val="en-GB"/>
        </w:rPr>
        <w:t xml:space="preserve">, </w:t>
      </w:r>
      <w:r w:rsidR="004B04CF" w:rsidRPr="000E7026">
        <w:rPr>
          <w:color w:val="FF0000"/>
          <w:lang w:val="en-GB"/>
        </w:rPr>
        <w:t>particularly</w:t>
      </w:r>
      <w:r w:rsidRPr="000E7026">
        <w:rPr>
          <w:color w:val="FF0000"/>
          <w:lang w:val="en-GB"/>
        </w:rPr>
        <w:t xml:space="preserve"> for losses</w:t>
      </w:r>
      <w:r w:rsidR="004B04CF" w:rsidRPr="000E7026">
        <w:rPr>
          <w:color w:val="FF0000"/>
          <w:lang w:val="en-GB"/>
        </w:rPr>
        <w:t xml:space="preserve"> caused by Business Interruption</w:t>
      </w:r>
      <w:r w:rsidRPr="000E7026">
        <w:rPr>
          <w:color w:val="FF0000"/>
          <w:lang w:val="en-GB"/>
        </w:rPr>
        <w:t>.</w:t>
      </w:r>
    </w:p>
    <w:p w14:paraId="75A05B6F" w14:textId="7B0CD189" w:rsidR="00712F22" w:rsidRPr="004B04CF" w:rsidRDefault="00712F22" w:rsidP="00040521">
      <w:pPr>
        <w:pStyle w:val="ListParagraph"/>
        <w:tabs>
          <w:tab w:val="left" w:pos="1746"/>
          <w:tab w:val="left" w:pos="1747"/>
        </w:tabs>
        <w:spacing w:before="27" w:line="266" w:lineRule="auto"/>
        <w:ind w:left="1746" w:right="325" w:firstLine="0"/>
        <w:jc w:val="left"/>
        <w:rPr>
          <w:ins w:id="46" w:author="Typhaine Beauperin" w:date="2020-07-13T18:09:00Z"/>
          <w:color w:val="FF0000"/>
          <w:lang w:val="en-GB"/>
        </w:rPr>
      </w:pPr>
      <w:r w:rsidRPr="000E7026">
        <w:rPr>
          <w:color w:val="FF0000"/>
          <w:lang w:val="en-GB"/>
        </w:rPr>
        <w:t xml:space="preserve">The uneven landscape across Member States with regards to the current availability of insurance pools points to a weakness in insurance markets that must be addressed if the EU is to increase the resilience of the Internal Market. </w:t>
      </w:r>
      <w:r w:rsidR="004B04CF" w:rsidRPr="000E7026">
        <w:rPr>
          <w:color w:val="FF0000"/>
          <w:lang w:val="en-GB"/>
        </w:rPr>
        <w:t>Therefore, any EU action in this area will likely result in a high expected impact.</w:t>
      </w:r>
      <w:r w:rsidR="004B04CF">
        <w:rPr>
          <w:color w:val="FF0000"/>
          <w:lang w:val="en-GB"/>
        </w:rPr>
        <w:t xml:space="preserve"> </w:t>
      </w:r>
    </w:p>
    <w:p w14:paraId="449B0F32" w14:textId="77777777" w:rsidR="005D282E" w:rsidRPr="006C668C" w:rsidRDefault="00E47DB2" w:rsidP="00040521">
      <w:pPr>
        <w:pStyle w:val="ListParagraph"/>
        <w:tabs>
          <w:tab w:val="left" w:pos="1746"/>
          <w:tab w:val="left" w:pos="1747"/>
        </w:tabs>
        <w:spacing w:before="6"/>
        <w:ind w:left="1746" w:firstLine="0"/>
        <w:jc w:val="left"/>
        <w:rPr>
          <w:lang w:val="en-GB"/>
        </w:rPr>
      </w:pPr>
      <w:r w:rsidRPr="006C668C">
        <w:rPr>
          <w:lang w:val="en-GB"/>
        </w:rPr>
        <w:t>If no, please explain. [BOX max. 2000</w:t>
      </w:r>
      <w:r w:rsidRPr="006C668C">
        <w:rPr>
          <w:spacing w:val="-3"/>
          <w:lang w:val="en-GB"/>
        </w:rPr>
        <w:t xml:space="preserve"> </w:t>
      </w:r>
      <w:r w:rsidRPr="006C668C">
        <w:rPr>
          <w:lang w:val="en-GB"/>
        </w:rPr>
        <w:t>characters]</w:t>
      </w:r>
    </w:p>
    <w:p w14:paraId="449B0F33" w14:textId="77777777" w:rsidR="000A48FA" w:rsidRPr="006C668C" w:rsidRDefault="000A48FA" w:rsidP="000A48FA">
      <w:pPr>
        <w:pStyle w:val="ListParagraph"/>
        <w:tabs>
          <w:tab w:val="left" w:pos="1746"/>
          <w:tab w:val="left" w:pos="1747"/>
        </w:tabs>
        <w:spacing w:before="6"/>
        <w:ind w:left="1746" w:firstLine="0"/>
        <w:jc w:val="left"/>
        <w:rPr>
          <w:lang w:val="en-GB"/>
        </w:rPr>
      </w:pPr>
    </w:p>
    <w:p w14:paraId="449B0F34" w14:textId="77777777" w:rsidR="005D282E" w:rsidRPr="006C668C" w:rsidRDefault="00E47DB2">
      <w:pPr>
        <w:spacing w:before="89" w:line="273" w:lineRule="auto"/>
        <w:ind w:left="306" w:right="319"/>
        <w:jc w:val="both"/>
        <w:rPr>
          <w:lang w:val="en-GB"/>
        </w:rPr>
      </w:pPr>
      <w:r w:rsidRPr="006C668C">
        <w:rPr>
          <w:b/>
          <w:lang w:val="en-GB"/>
        </w:rPr>
        <w:t xml:space="preserve">Question 102: </w:t>
      </w:r>
      <w:r w:rsidRPr="006C668C">
        <w:rPr>
          <w:lang w:val="en-GB"/>
        </w:rPr>
        <w:t>In your view, should investors and / or credit institutions, when they provide financing, be required to carry out an assessment of the potential long-term environmental and climate risks on the project, economic activity, or other assets?</w:t>
      </w:r>
    </w:p>
    <w:p w14:paraId="449B0F35" w14:textId="77777777" w:rsidR="005D282E" w:rsidRPr="006C668C" w:rsidRDefault="00E47DB2">
      <w:pPr>
        <w:pStyle w:val="ListParagraph"/>
        <w:numPr>
          <w:ilvl w:val="0"/>
          <w:numId w:val="16"/>
        </w:numPr>
        <w:tabs>
          <w:tab w:val="left" w:pos="1027"/>
        </w:tabs>
        <w:spacing w:before="104"/>
        <w:ind w:hanging="361"/>
        <w:rPr>
          <w:rFonts w:ascii="Wingdings" w:hAnsi="Wingdings"/>
          <w:lang w:val="en-GB"/>
        </w:rPr>
      </w:pPr>
      <w:r w:rsidRPr="006C668C">
        <w:rPr>
          <w:highlight w:val="yellow"/>
          <w:lang w:val="en-GB"/>
        </w:rPr>
        <w:t>Yes</w:t>
      </w:r>
      <w:r w:rsidRPr="006C668C">
        <w:rPr>
          <w:lang w:val="en-GB"/>
        </w:rPr>
        <w:t xml:space="preserve"> / No / Do not know.</w:t>
      </w:r>
    </w:p>
    <w:p w14:paraId="449B0F36" w14:textId="3CE38FEA" w:rsidR="000A48FA" w:rsidRPr="006C668C" w:rsidRDefault="00E47DB2" w:rsidP="000A48FA">
      <w:pPr>
        <w:pStyle w:val="ListParagraph"/>
        <w:numPr>
          <w:ilvl w:val="0"/>
          <w:numId w:val="16"/>
        </w:numPr>
        <w:tabs>
          <w:tab w:val="left" w:pos="1027"/>
        </w:tabs>
        <w:spacing w:before="141" w:line="273" w:lineRule="auto"/>
        <w:ind w:right="326"/>
        <w:rPr>
          <w:rFonts w:ascii="Wingdings" w:hAnsi="Wingdings"/>
          <w:color w:val="FF0000"/>
          <w:lang w:val="en-GB"/>
        </w:rPr>
      </w:pPr>
      <w:r w:rsidRPr="006C668C">
        <w:rPr>
          <w:lang w:val="en-GB"/>
        </w:rPr>
        <w:t>If yes, what action should the EU take? Please list a maximum of three actions. [BOX max. 2000</w:t>
      </w:r>
      <w:r w:rsidRPr="006C668C">
        <w:rPr>
          <w:spacing w:val="-1"/>
          <w:lang w:val="en-GB"/>
        </w:rPr>
        <w:t xml:space="preserve"> </w:t>
      </w:r>
      <w:r w:rsidRPr="006C668C">
        <w:rPr>
          <w:lang w:val="en-GB"/>
        </w:rPr>
        <w:t>characters]</w:t>
      </w:r>
      <w:r w:rsidR="003D77AA" w:rsidRPr="006C668C">
        <w:rPr>
          <w:lang w:val="en-GB"/>
        </w:rPr>
        <w:t xml:space="preserve"> – </w:t>
      </w:r>
      <w:r w:rsidR="003D77AA" w:rsidRPr="006C668C">
        <w:rPr>
          <w:color w:val="FF0000"/>
          <w:lang w:val="en-GB"/>
        </w:rPr>
        <w:t xml:space="preserve">As mentioned in the previous sections, </w:t>
      </w:r>
      <w:r w:rsidR="0035345A">
        <w:rPr>
          <w:color w:val="FF0000"/>
          <w:lang w:val="en-GB"/>
        </w:rPr>
        <w:t xml:space="preserve">the </w:t>
      </w:r>
      <w:r w:rsidR="003D77AA" w:rsidRPr="006C668C">
        <w:rPr>
          <w:color w:val="FF0000"/>
          <w:lang w:val="en-GB"/>
        </w:rPr>
        <w:t xml:space="preserve">EU should help companies clarify the perimeter of climate and environmental risks </w:t>
      </w:r>
      <w:r w:rsidR="00E04B2D" w:rsidRPr="006C668C">
        <w:rPr>
          <w:color w:val="FF0000"/>
          <w:lang w:val="en-GB"/>
        </w:rPr>
        <w:t>and related impacts on business</w:t>
      </w:r>
      <w:r w:rsidR="001B43B3" w:rsidRPr="006C668C">
        <w:rPr>
          <w:color w:val="FF0000"/>
          <w:lang w:val="en-GB"/>
        </w:rPr>
        <w:t>, facilitating the internal assessment and consequent dialogue with investors and credit institution</w:t>
      </w:r>
      <w:r w:rsidR="0035345A">
        <w:rPr>
          <w:color w:val="FF0000"/>
          <w:lang w:val="en-GB"/>
        </w:rPr>
        <w:t>s</w:t>
      </w:r>
      <w:r w:rsidR="001B43B3" w:rsidRPr="006C668C">
        <w:rPr>
          <w:color w:val="FF0000"/>
          <w:lang w:val="en-GB"/>
        </w:rPr>
        <w:t xml:space="preserve">. </w:t>
      </w:r>
    </w:p>
    <w:p w14:paraId="449B0F37" w14:textId="77777777" w:rsidR="000A48FA" w:rsidRPr="006C668C" w:rsidRDefault="000A48FA" w:rsidP="000A48FA">
      <w:pPr>
        <w:tabs>
          <w:tab w:val="left" w:pos="1027"/>
        </w:tabs>
        <w:spacing w:before="141" w:line="273" w:lineRule="auto"/>
        <w:ind w:left="666" w:right="326"/>
        <w:rPr>
          <w:rFonts w:ascii="Wingdings" w:hAnsi="Wingdings"/>
          <w:lang w:val="en-GB"/>
        </w:rPr>
      </w:pPr>
    </w:p>
    <w:p w14:paraId="449B0F38" w14:textId="77777777" w:rsidR="005D282E" w:rsidRPr="006C668C" w:rsidRDefault="00E47DB2" w:rsidP="003F727E">
      <w:pPr>
        <w:pStyle w:val="ListParagraph"/>
        <w:numPr>
          <w:ilvl w:val="0"/>
          <w:numId w:val="24"/>
        </w:numPr>
        <w:tabs>
          <w:tab w:val="left" w:pos="667"/>
        </w:tabs>
        <w:spacing w:before="149"/>
        <w:ind w:left="666" w:hanging="361"/>
        <w:jc w:val="left"/>
        <w:rPr>
          <w:rFonts w:ascii="Calibri"/>
          <w:b/>
          <w:sz w:val="24"/>
          <w:lang w:val="en-GB"/>
        </w:rPr>
      </w:pPr>
      <w:bookmarkStart w:id="47" w:name="4._Additional_information"/>
      <w:bookmarkStart w:id="48" w:name="_bookmark37"/>
      <w:bookmarkEnd w:id="47"/>
      <w:bookmarkEnd w:id="48"/>
      <w:r w:rsidRPr="006C668C">
        <w:rPr>
          <w:b/>
          <w:sz w:val="24"/>
          <w:lang w:val="en-GB"/>
        </w:rPr>
        <w:t>A</w:t>
      </w:r>
      <w:r w:rsidRPr="006C668C">
        <w:rPr>
          <w:b/>
          <w:sz w:val="19"/>
          <w:lang w:val="en-GB"/>
        </w:rPr>
        <w:t>DDITIONAL</w:t>
      </w:r>
      <w:r w:rsidRPr="006C668C">
        <w:rPr>
          <w:b/>
          <w:spacing w:val="-1"/>
          <w:sz w:val="19"/>
          <w:lang w:val="en-GB"/>
        </w:rPr>
        <w:t xml:space="preserve"> </w:t>
      </w:r>
      <w:r w:rsidRPr="006C668C">
        <w:rPr>
          <w:b/>
          <w:sz w:val="19"/>
          <w:lang w:val="en-GB"/>
        </w:rPr>
        <w:t>INFORMATION</w:t>
      </w:r>
    </w:p>
    <w:p w14:paraId="449B0F39" w14:textId="77777777" w:rsidR="005D282E" w:rsidRPr="006C668C" w:rsidRDefault="00E47DB2" w:rsidP="000A48FA">
      <w:pPr>
        <w:pStyle w:val="BodyText"/>
        <w:spacing w:before="24"/>
        <w:ind w:left="306" w:right="321"/>
        <w:jc w:val="both"/>
        <w:rPr>
          <w:lang w:val="en-GB"/>
        </w:rPr>
      </w:pPr>
      <w:r w:rsidRPr="006C668C">
        <w:rPr>
          <w:lang w:val="en-GB"/>
        </w:rPr>
        <w:t>Should you wish to provide additional information (e.g. a position paper, report, further quantitative evidence, other) or raise specific points not covered by the questionnaire, you can upload your additional document(s). Please be aware that such additional information will not be considered if the questionnaire is left completely</w:t>
      </w:r>
      <w:r w:rsidRPr="006C668C">
        <w:rPr>
          <w:spacing w:val="-10"/>
          <w:lang w:val="en-GB"/>
        </w:rPr>
        <w:t xml:space="preserve"> </w:t>
      </w:r>
      <w:r w:rsidRPr="006C668C">
        <w:rPr>
          <w:lang w:val="en-GB"/>
        </w:rPr>
        <w:t>empty.</w:t>
      </w:r>
    </w:p>
    <w:p w14:paraId="7FCB6F7C" w14:textId="71B470CF" w:rsidR="00AA2D32" w:rsidRPr="006C668C" w:rsidRDefault="00AA2D32" w:rsidP="000C4154">
      <w:pPr>
        <w:pStyle w:val="BodyText"/>
        <w:spacing w:before="24"/>
        <w:ind w:right="321"/>
        <w:jc w:val="both"/>
        <w:rPr>
          <w:lang w:val="en-GB"/>
        </w:rPr>
      </w:pPr>
    </w:p>
    <w:sectPr w:rsidR="00AA2D32" w:rsidRPr="006C668C">
      <w:footerReference w:type="default" r:id="rId60"/>
      <w:pgSz w:w="11910" w:h="16840"/>
      <w:pgMar w:top="920" w:right="1380" w:bottom="1240" w:left="1280" w:header="0" w:footer="10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58FC4" w14:textId="77777777" w:rsidR="001056DC" w:rsidRDefault="001056DC">
      <w:r>
        <w:separator/>
      </w:r>
    </w:p>
  </w:endnote>
  <w:endnote w:type="continuationSeparator" w:id="0">
    <w:p w14:paraId="4C3B07D8" w14:textId="77777777" w:rsidR="001056DC" w:rsidRDefault="0010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B0F46" w14:textId="77777777" w:rsidR="004048B3" w:rsidRDefault="004048B3">
    <w:pPr>
      <w:pStyle w:val="BodyText"/>
      <w:spacing w:line="14" w:lineRule="auto"/>
      <w:rPr>
        <w:sz w:val="17"/>
      </w:rPr>
    </w:pPr>
    <w:r>
      <w:rPr>
        <w:noProof/>
        <w:lang w:bidi="ar-SA"/>
      </w:rPr>
      <mc:AlternateContent>
        <mc:Choice Requires="wps">
          <w:drawing>
            <wp:anchor distT="0" distB="0" distL="114300" distR="114300" simplePos="0" relativeHeight="250183680" behindDoc="1" locked="0" layoutInCell="1" allowOverlap="1" wp14:anchorId="449B0F48" wp14:editId="449B0F49">
              <wp:simplePos x="0" y="0"/>
              <wp:positionH relativeFrom="page">
                <wp:posOffset>3670935</wp:posOffset>
              </wp:positionH>
              <wp:positionV relativeFrom="page">
                <wp:posOffset>9879965</wp:posOffset>
              </wp:positionV>
              <wp:extent cx="163830" cy="1397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8" w14:textId="77777777" w:rsidR="004048B3" w:rsidRDefault="004048B3">
                          <w:pPr>
                            <w:spacing w:before="15"/>
                            <w:ind w:left="40"/>
                            <w:rPr>
                              <w:rFonts w:ascii="Arial"/>
                              <w:sz w:val="16"/>
                            </w:rPr>
                          </w:pPr>
                          <w:r>
                            <w:fldChar w:fldCharType="begin"/>
                          </w:r>
                          <w:r>
                            <w:rPr>
                              <w:rFonts w:ascii="Arial"/>
                              <w:sz w:val="16"/>
                            </w:rPr>
                            <w:instrText xml:space="preserve"> PAGE </w:instrText>
                          </w:r>
                          <w:r>
                            <w:fldChar w:fldCharType="separate"/>
                          </w:r>
                          <w:r w:rsidR="00161DA6">
                            <w:rPr>
                              <w:rFonts w:ascii="Arial"/>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B0F48" id="_x0000_t202" coordsize="21600,21600" o:spt="202" path="m,l,21600r21600,l21600,xe">
              <v:stroke joinstyle="miter"/>
              <v:path gradientshapeok="t" o:connecttype="rect"/>
            </v:shapetype>
            <v:shape id="Text Box 4" o:spid="_x0000_s1041" type="#_x0000_t202" style="position:absolute;margin-left:289.05pt;margin-top:777.95pt;width:12.9pt;height:11pt;z-index:-2531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" filled="f" stroked="f">
              <v:textbox inset="0,0,0,0">
                <w:txbxContent>
                  <w:p w14:paraId="449B0F68" w14:textId="77777777" w:rsidR="004048B3" w:rsidRDefault="004048B3">
                    <w:pPr>
                      <w:spacing w:before="15"/>
                      <w:ind w:left="40"/>
                      <w:rPr>
                        <w:rFonts w:ascii="Arial"/>
                        <w:sz w:val="16"/>
                      </w:rPr>
                    </w:pPr>
                    <w:r>
                      <w:fldChar w:fldCharType="begin"/>
                    </w:r>
                    <w:r>
                      <w:rPr>
                        <w:rFonts w:ascii="Arial"/>
                        <w:sz w:val="16"/>
                      </w:rPr>
                      <w:instrText xml:space="preserve"> PAGE </w:instrText>
                    </w:r>
                    <w:r>
                      <w:fldChar w:fldCharType="separate"/>
                    </w:r>
                    <w:r w:rsidR="00161DA6">
                      <w:rPr>
                        <w:rFonts w:ascii="Arial"/>
                        <w:noProof/>
                        <w:sz w:val="16"/>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B0F47" w14:textId="77777777" w:rsidR="004048B3" w:rsidRDefault="004048B3">
    <w:pPr>
      <w:pStyle w:val="BodyText"/>
      <w:spacing w:line="14" w:lineRule="auto"/>
      <w:rPr>
        <w:sz w:val="20"/>
      </w:rPr>
    </w:pPr>
    <w:r>
      <w:rPr>
        <w:noProof/>
        <w:lang w:bidi="ar-SA"/>
      </w:rPr>
      <mc:AlternateContent>
        <mc:Choice Requires="wps">
          <w:drawing>
            <wp:anchor distT="0" distB="0" distL="114300" distR="114300" simplePos="0" relativeHeight="250186752" behindDoc="1" locked="0" layoutInCell="1" allowOverlap="1" wp14:anchorId="449B0F4A" wp14:editId="449B0F4B">
              <wp:simplePos x="0" y="0"/>
              <wp:positionH relativeFrom="page">
                <wp:posOffset>3670935</wp:posOffset>
              </wp:positionH>
              <wp:positionV relativeFrom="page">
                <wp:posOffset>9879965</wp:posOffset>
              </wp:positionV>
              <wp:extent cx="163830"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B0F69" w14:textId="77777777" w:rsidR="004048B3" w:rsidRDefault="004048B3">
                          <w:pPr>
                            <w:spacing w:before="15"/>
                            <w:ind w:left="40"/>
                            <w:rPr>
                              <w:rFonts w:ascii="Arial"/>
                              <w:sz w:val="16"/>
                            </w:rPr>
                          </w:pPr>
                          <w:r>
                            <w:fldChar w:fldCharType="begin"/>
                          </w:r>
                          <w:r>
                            <w:rPr>
                              <w:rFonts w:ascii="Arial"/>
                              <w:sz w:val="16"/>
                            </w:rPr>
                            <w:instrText xml:space="preserve"> PAGE </w:instrText>
                          </w:r>
                          <w:r>
                            <w:fldChar w:fldCharType="separate"/>
                          </w:r>
                          <w:r w:rsidR="00161DA6">
                            <w:rPr>
                              <w:rFonts w:ascii="Arial"/>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B0F4A" id="_x0000_t202" coordsize="21600,21600" o:spt="202" path="m,l,21600r21600,l21600,xe">
              <v:stroke joinstyle="miter"/>
              <v:path gradientshapeok="t" o:connecttype="rect"/>
            </v:shapetype>
            <v:shape id="Text Box 1" o:spid="_x0000_s1042" type="#_x0000_t202" style="position:absolute;margin-left:289.05pt;margin-top:777.95pt;width:12.9pt;height:11pt;z-index:-2531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" filled="f" stroked="f">
              <v:textbox inset="0,0,0,0">
                <w:txbxContent>
                  <w:p w14:paraId="449B0F69" w14:textId="77777777" w:rsidR="004048B3" w:rsidRDefault="004048B3">
                    <w:pPr>
                      <w:spacing w:before="15"/>
                      <w:ind w:left="40"/>
                      <w:rPr>
                        <w:rFonts w:ascii="Arial"/>
                        <w:sz w:val="16"/>
                      </w:rPr>
                    </w:pPr>
                    <w:r>
                      <w:fldChar w:fldCharType="begin"/>
                    </w:r>
                    <w:r>
                      <w:rPr>
                        <w:rFonts w:ascii="Arial"/>
                        <w:sz w:val="16"/>
                      </w:rPr>
                      <w:instrText xml:space="preserve"> PAGE </w:instrText>
                    </w:r>
                    <w:r>
                      <w:fldChar w:fldCharType="separate"/>
                    </w:r>
                    <w:r w:rsidR="00161DA6">
                      <w:rPr>
                        <w:rFonts w:ascii="Arial"/>
                        <w:noProof/>
                        <w:sz w:val="16"/>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415DA" w14:textId="77777777" w:rsidR="001056DC" w:rsidRDefault="001056DC">
      <w:r>
        <w:separator/>
      </w:r>
    </w:p>
  </w:footnote>
  <w:footnote w:type="continuationSeparator" w:id="0">
    <w:p w14:paraId="5C7D11B7" w14:textId="77777777" w:rsidR="001056DC" w:rsidRDefault="001056DC">
      <w:r>
        <w:continuationSeparator/>
      </w:r>
    </w:p>
  </w:footnote>
  <w:footnote w:id="1">
    <w:p w14:paraId="449B0F50" w14:textId="77777777" w:rsidR="004048B3" w:rsidRDefault="004048B3" w:rsidP="00FF5CC2">
      <w:pPr>
        <w:spacing w:before="95"/>
        <w:ind w:left="664" w:right="319" w:hanging="358"/>
        <w:jc w:val="both"/>
        <w:rPr>
          <w:sz w:val="20"/>
        </w:rPr>
      </w:pPr>
      <w:r>
        <w:rPr>
          <w:rStyle w:val="FootnoteReference"/>
        </w:rPr>
        <w:footnoteRef/>
      </w:r>
      <w:r>
        <w:t xml:space="preserve"> </w:t>
      </w:r>
      <w:r>
        <w:rPr>
          <w:sz w:val="20"/>
        </w:rPr>
        <w:t xml:space="preserve">The </w:t>
      </w:r>
      <w:hyperlink r:id="rId1">
        <w:r>
          <w:rPr>
            <w:color w:val="0000FF"/>
            <w:sz w:val="20"/>
            <w:u w:val="single" w:color="0000FF"/>
          </w:rPr>
          <w:t>European Central Bank also recommended on 27 March 2020</w:t>
        </w:r>
      </w:hyperlink>
      <w:r>
        <w:rPr>
          <w:color w:val="0000FF"/>
          <w:sz w:val="20"/>
        </w:rPr>
        <w:t xml:space="preserve"> </w:t>
      </w:r>
      <w:r>
        <w:rPr>
          <w:sz w:val="20"/>
        </w:rPr>
        <w:t>that significant credit institution  refrain from distributing dividend so that “they can continue to fulfil their role to fund households, small and medium businesses and corporations” during the COVID-19 economic</w:t>
      </w:r>
      <w:r>
        <w:rPr>
          <w:spacing w:val="-4"/>
          <w:sz w:val="20"/>
        </w:rPr>
        <w:t xml:space="preserve"> </w:t>
      </w:r>
      <w:r>
        <w:rPr>
          <w:sz w:val="20"/>
        </w:rPr>
        <w:t>shock.</w:t>
      </w:r>
    </w:p>
    <w:p w14:paraId="449B0F51" w14:textId="77777777" w:rsidR="004048B3" w:rsidRPr="00FF5CC2" w:rsidRDefault="004048B3">
      <w:pPr>
        <w:pStyle w:val="FootnoteText"/>
      </w:pPr>
    </w:p>
  </w:footnote>
  <w:footnote w:id="2">
    <w:p w14:paraId="449B0F54" w14:textId="77777777" w:rsidR="004048B3" w:rsidRPr="000A48FA" w:rsidRDefault="004048B3">
      <w:pPr>
        <w:pStyle w:val="FootnoteText"/>
        <w:rPr>
          <w:lang w:val="en-GB"/>
        </w:rPr>
      </w:pPr>
      <w:r>
        <w:rPr>
          <w:rStyle w:val="FootnoteReference"/>
        </w:rPr>
        <w:footnoteRef/>
      </w:r>
      <w:r>
        <w:t xml:space="preserve"> More information on the ESAs’ activities on sustainable finance is available on the authorities’ websites. See in particular ESMA’s strategy (</w:t>
      </w:r>
      <w:hyperlink r:id="rId2">
        <w:r>
          <w:rPr>
            <w:color w:val="0000FF"/>
            <w:u w:val="single" w:color="0000FF"/>
          </w:rPr>
          <w:t>https://www.esma.europa.eu/sites/default/files/library/esma22-105-</w:t>
        </w:r>
      </w:hyperlink>
      <w:r>
        <w:rPr>
          <w:color w:val="0000FF"/>
        </w:rPr>
        <w:t xml:space="preserve"> </w:t>
      </w:r>
      <w:hyperlink r:id="rId3">
        <w:r>
          <w:rPr>
            <w:color w:val="0000FF"/>
            <w:u w:val="single" w:color="0000FF"/>
          </w:rPr>
          <w:t>1052_sustainable_finance_strategy.pdf</w:t>
        </w:r>
      </w:hyperlink>
      <w:r>
        <w:t>), EBA Action Plan (, and EIOPA’s dedicated webpage (https://</w:t>
      </w:r>
      <w:hyperlink r:id="rId4">
        <w:r>
          <w:t>www.eiopa.europa.eu/browse/sustainable-finance_en)</w:t>
        </w:r>
      </w:hyperlink>
    </w:p>
  </w:footnote>
  <w:footnote w:id="3">
    <w:p w14:paraId="449B0F57" w14:textId="77777777" w:rsidR="004048B3" w:rsidRDefault="004048B3" w:rsidP="000A48FA">
      <w:pPr>
        <w:spacing w:before="50"/>
        <w:ind w:left="664" w:right="322" w:hanging="358"/>
        <w:jc w:val="both"/>
        <w:rPr>
          <w:sz w:val="20"/>
        </w:rPr>
      </w:pPr>
      <w:r>
        <w:rPr>
          <w:rStyle w:val="FootnoteReference"/>
        </w:rPr>
        <w:footnoteRef/>
      </w:r>
      <w:r>
        <w:t xml:space="preserve"> </w:t>
      </w:r>
      <w:r>
        <w:rPr>
          <w:sz w:val="20"/>
        </w:rPr>
        <w:t>The analysis shows that the preparedness of pension schemes to integrate sustainability factors is widely dispersed and seems correlated to how advanced national frameworks were. IORP II directive sets minimum harmonisation and was expected to be transposed in national law by January 2019 (and hence could not necessarily be expected to be implemented by end-2018 for the EIOPA survey for the 2019 stress test).</w:t>
      </w:r>
    </w:p>
    <w:p w14:paraId="449B0F58" w14:textId="77777777" w:rsidR="004048B3" w:rsidRPr="000A48FA" w:rsidRDefault="004048B3">
      <w:pPr>
        <w:pStyle w:val="FootnoteText"/>
      </w:pPr>
    </w:p>
  </w:footnote>
  <w:footnote w:id="4">
    <w:p w14:paraId="449B0F5B" w14:textId="77777777" w:rsidR="004048B3" w:rsidRDefault="004048B3" w:rsidP="000A48FA">
      <w:pPr>
        <w:spacing w:before="50"/>
        <w:ind w:right="659"/>
        <w:rPr>
          <w:sz w:val="20"/>
        </w:rPr>
      </w:pPr>
      <w:r>
        <w:rPr>
          <w:rStyle w:val="FootnoteReference"/>
        </w:rPr>
        <w:footnoteRef/>
      </w:r>
      <w:r>
        <w:t xml:space="preserve"> </w:t>
      </w:r>
      <w:r>
        <w:rPr>
          <w:sz w:val="20"/>
        </w:rPr>
        <w:t>Please note that the Commission is also preparing an upgraded EU Adaptation Strategy. A dedicated public consultation will be launched soon.</w:t>
      </w:r>
    </w:p>
    <w:p w14:paraId="449B0F5C" w14:textId="77777777" w:rsidR="004048B3" w:rsidRPr="000A48FA" w:rsidRDefault="004048B3">
      <w:pPr>
        <w:pStyle w:val="FootnoteText"/>
        <w:rPr>
          <w:lang w:val="en-GB"/>
        </w:rPr>
      </w:pPr>
    </w:p>
  </w:footnote>
  <w:footnote w:id="5">
    <w:p w14:paraId="449B0F5D" w14:textId="77777777" w:rsidR="004048B3" w:rsidRPr="000A48FA" w:rsidRDefault="004048B3">
      <w:pPr>
        <w:pStyle w:val="FootnoteText"/>
        <w:rPr>
          <w:lang w:val="en-GB"/>
        </w:rPr>
      </w:pPr>
      <w:r>
        <w:rPr>
          <w:rStyle w:val="FootnoteReference"/>
        </w:rPr>
        <w:footnoteRef/>
      </w:r>
      <w:r>
        <w:t xml:space="preserve"> For instance, EIOPA in its </w:t>
      </w:r>
      <w:hyperlink r:id="rId5">
        <w:r>
          <w:rPr>
            <w:color w:val="0000FF"/>
            <w:u w:val="single" w:color="0000FF"/>
          </w:rPr>
          <w:t>opinion on sustainability on Solvency II</w:t>
        </w:r>
      </w:hyperlink>
      <w:r>
        <w:rPr>
          <w:color w:val="0000FF"/>
        </w:rPr>
        <w:t xml:space="preserve"> </w:t>
      </w:r>
      <w:r>
        <w:t>talks about “impact underwriting which includes the development of new insurance products, adjustments in the design and pricing of the products and the engagement with public authorities without disregard for actuarial risk-based principles of risk selection and pricing”.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A43B" w14:textId="4751E3B9" w:rsidR="004048B3" w:rsidRDefault="004048B3" w:rsidP="002F18A6">
    <w:pPr>
      <w:pStyle w:val="Header"/>
      <w:jc w:val="right"/>
    </w:pPr>
    <w:r>
      <w:t>Please note that this document contains only sections and questions of relevance to FERMA. For the full consultation document please visit the website of the European Commission.</w:t>
    </w:r>
  </w:p>
  <w:p w14:paraId="2B9A09E6" w14:textId="35F47101" w:rsidR="004048B3" w:rsidRPr="002F18A6" w:rsidRDefault="004048B3" w:rsidP="002F18A6">
    <w:pPr>
      <w:pStyle w:val="Header"/>
      <w:jc w:val="right"/>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C4C8A"/>
    <w:multiLevelType w:val="multilevel"/>
    <w:tmpl w:val="115C605A"/>
    <w:lvl w:ilvl="0">
      <w:start w:val="2"/>
      <w:numFmt w:val="decimal"/>
      <w:lvlText w:val="%1."/>
      <w:lvlJc w:val="left"/>
      <w:pPr>
        <w:ind w:left="360" w:hanging="360"/>
      </w:pPr>
      <w:rPr>
        <w:rFonts w:hint="default"/>
      </w:rPr>
    </w:lvl>
    <w:lvl w:ilvl="1">
      <w:start w:val="7"/>
      <w:numFmt w:val="decimal"/>
      <w:lvlText w:val="%1.%2."/>
      <w:lvlJc w:val="left"/>
      <w:pPr>
        <w:ind w:left="1026" w:hanging="360"/>
      </w:pPr>
      <w:rPr>
        <w:rFonts w:hint="default"/>
      </w:rPr>
    </w:lvl>
    <w:lvl w:ilvl="2">
      <w:start w:val="1"/>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1" w15:restartNumberingAfterBreak="0">
    <w:nsid w:val="04055D1D"/>
    <w:multiLevelType w:val="multilevel"/>
    <w:tmpl w:val="BC00D114"/>
    <w:lvl w:ilvl="0">
      <w:start w:val="1"/>
      <w:numFmt w:val="decimal"/>
      <w:lvlText w:val="%1."/>
      <w:lvlJc w:val="left"/>
      <w:pPr>
        <w:ind w:left="360" w:hanging="360"/>
      </w:pPr>
      <w:rPr>
        <w:rFonts w:hint="default"/>
      </w:rPr>
    </w:lvl>
    <w:lvl w:ilvl="1">
      <w:start w:val="3"/>
      <w:numFmt w:val="decimal"/>
      <w:lvlText w:val="%1.%2."/>
      <w:lvlJc w:val="left"/>
      <w:pPr>
        <w:ind w:left="1026" w:hanging="360"/>
      </w:pPr>
      <w:rPr>
        <w:rFonts w:hint="default"/>
      </w:rPr>
    </w:lvl>
    <w:lvl w:ilvl="2">
      <w:start w:val="1"/>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2" w15:restartNumberingAfterBreak="0">
    <w:nsid w:val="07086621"/>
    <w:multiLevelType w:val="multilevel"/>
    <w:tmpl w:val="9F8EA518"/>
    <w:lvl w:ilvl="0">
      <w:start w:val="1"/>
      <w:numFmt w:val="decimal"/>
      <w:lvlText w:val="%1."/>
      <w:lvlJc w:val="left"/>
      <w:pPr>
        <w:ind w:left="360" w:hanging="360"/>
      </w:pPr>
      <w:rPr>
        <w:rFonts w:hint="default"/>
      </w:rPr>
    </w:lvl>
    <w:lvl w:ilvl="1">
      <w:start w:val="6"/>
      <w:numFmt w:val="decimal"/>
      <w:lvlText w:val="%1.%2."/>
      <w:lvlJc w:val="left"/>
      <w:pPr>
        <w:ind w:left="1026" w:hanging="360"/>
      </w:pPr>
      <w:rPr>
        <w:rFonts w:hint="default"/>
      </w:rPr>
    </w:lvl>
    <w:lvl w:ilvl="2">
      <w:start w:val="1"/>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3" w15:restartNumberingAfterBreak="0">
    <w:nsid w:val="0CFB2F7F"/>
    <w:multiLevelType w:val="multilevel"/>
    <w:tmpl w:val="625E322C"/>
    <w:lvl w:ilvl="0">
      <w:start w:val="1"/>
      <w:numFmt w:val="decimal"/>
      <w:lvlText w:val="%1."/>
      <w:lvlJc w:val="left"/>
      <w:pPr>
        <w:ind w:left="1026" w:hanging="360"/>
        <w:jc w:val="right"/>
      </w:pPr>
      <w:rPr>
        <w:rFonts w:hint="default"/>
        <w:b/>
        <w:bCs/>
        <w:spacing w:val="-2"/>
        <w:w w:val="99"/>
        <w:lang w:val="en-US" w:eastAsia="en-US" w:bidi="en-US"/>
      </w:rPr>
    </w:lvl>
    <w:lvl w:ilvl="1">
      <w:start w:val="1"/>
      <w:numFmt w:val="decimal"/>
      <w:lvlText w:val="%1.%2"/>
      <w:lvlJc w:val="left"/>
      <w:pPr>
        <w:ind w:left="644" w:hanging="360"/>
      </w:pPr>
      <w:rPr>
        <w:rFonts w:ascii="Times New Roman" w:eastAsia="Times New Roman" w:hAnsi="Times New Roman" w:cs="Times New Roman" w:hint="default"/>
        <w:b/>
        <w:bCs/>
        <w:w w:val="100"/>
        <w:sz w:val="24"/>
        <w:szCs w:val="24"/>
        <w:lang w:val="en-US" w:eastAsia="en-US" w:bidi="en-US"/>
      </w:rPr>
    </w:lvl>
    <w:lvl w:ilvl="2">
      <w:numFmt w:val="bullet"/>
      <w:lvlText w:val=""/>
      <w:lvlJc w:val="left"/>
      <w:pPr>
        <w:ind w:left="1746" w:hanging="360"/>
      </w:pPr>
      <w:rPr>
        <w:rFonts w:ascii="Wingdings" w:eastAsia="Wingdings" w:hAnsi="Wingdings" w:cs="Wingdings" w:hint="default"/>
        <w:w w:val="100"/>
        <w:sz w:val="22"/>
        <w:szCs w:val="22"/>
        <w:lang w:val="en-US" w:eastAsia="en-US" w:bidi="en-US"/>
      </w:rPr>
    </w:lvl>
    <w:lvl w:ilvl="3">
      <w:numFmt w:val="bullet"/>
      <w:lvlText w:val="•"/>
      <w:lvlJc w:val="left"/>
      <w:pPr>
        <w:ind w:left="3408" w:hanging="360"/>
      </w:pPr>
      <w:rPr>
        <w:rFonts w:hint="default"/>
        <w:lang w:val="en-US" w:eastAsia="en-US" w:bidi="en-US"/>
      </w:rPr>
    </w:lvl>
    <w:lvl w:ilvl="4">
      <w:numFmt w:val="bullet"/>
      <w:lvlText w:val="•"/>
      <w:lvlJc w:val="left"/>
      <w:pPr>
        <w:ind w:left="4242" w:hanging="360"/>
      </w:pPr>
      <w:rPr>
        <w:rFonts w:hint="default"/>
        <w:lang w:val="en-US" w:eastAsia="en-US" w:bidi="en-US"/>
      </w:rPr>
    </w:lvl>
    <w:lvl w:ilvl="5">
      <w:numFmt w:val="bullet"/>
      <w:lvlText w:val="•"/>
      <w:lvlJc w:val="left"/>
      <w:pPr>
        <w:ind w:left="5076" w:hanging="360"/>
      </w:pPr>
      <w:rPr>
        <w:rFonts w:hint="default"/>
        <w:lang w:val="en-US" w:eastAsia="en-US" w:bidi="en-US"/>
      </w:rPr>
    </w:lvl>
    <w:lvl w:ilvl="6">
      <w:numFmt w:val="bullet"/>
      <w:lvlText w:val="•"/>
      <w:lvlJc w:val="left"/>
      <w:pPr>
        <w:ind w:left="5910" w:hanging="360"/>
      </w:pPr>
      <w:rPr>
        <w:rFonts w:hint="default"/>
        <w:lang w:val="en-US" w:eastAsia="en-US" w:bidi="en-US"/>
      </w:rPr>
    </w:lvl>
    <w:lvl w:ilvl="7">
      <w:numFmt w:val="bullet"/>
      <w:lvlText w:val="•"/>
      <w:lvlJc w:val="left"/>
      <w:pPr>
        <w:ind w:left="6744" w:hanging="360"/>
      </w:pPr>
      <w:rPr>
        <w:rFonts w:hint="default"/>
        <w:lang w:val="en-US" w:eastAsia="en-US" w:bidi="en-US"/>
      </w:rPr>
    </w:lvl>
    <w:lvl w:ilvl="8">
      <w:numFmt w:val="bullet"/>
      <w:lvlText w:val="•"/>
      <w:lvlJc w:val="left"/>
      <w:pPr>
        <w:ind w:left="7578" w:hanging="360"/>
      </w:pPr>
      <w:rPr>
        <w:rFonts w:hint="default"/>
        <w:lang w:val="en-US" w:eastAsia="en-US" w:bidi="en-US"/>
      </w:rPr>
    </w:lvl>
  </w:abstractNum>
  <w:abstractNum w:abstractNumId="4" w15:restartNumberingAfterBreak="0">
    <w:nsid w:val="10EC5515"/>
    <w:multiLevelType w:val="hybridMultilevel"/>
    <w:tmpl w:val="A43ABE54"/>
    <w:lvl w:ilvl="0" w:tplc="44A03246">
      <w:numFmt w:val="bullet"/>
      <w:lvlText w:val="-"/>
      <w:lvlJc w:val="left"/>
      <w:pPr>
        <w:ind w:left="1746" w:hanging="360"/>
      </w:pPr>
      <w:rPr>
        <w:rFonts w:ascii="Calibri" w:eastAsia="Calibri" w:hAnsi="Calibri" w:cs="Calibri" w:hint="default"/>
        <w:w w:val="100"/>
        <w:sz w:val="22"/>
        <w:szCs w:val="22"/>
        <w:lang w:val="en-US" w:eastAsia="en-US" w:bidi="en-US"/>
      </w:rPr>
    </w:lvl>
    <w:lvl w:ilvl="1" w:tplc="36548168">
      <w:numFmt w:val="bullet"/>
      <w:lvlText w:val="•"/>
      <w:lvlJc w:val="left"/>
      <w:pPr>
        <w:ind w:left="2490" w:hanging="360"/>
      </w:pPr>
      <w:rPr>
        <w:rFonts w:hint="default"/>
        <w:lang w:val="en-US" w:eastAsia="en-US" w:bidi="en-US"/>
      </w:rPr>
    </w:lvl>
    <w:lvl w:ilvl="2" w:tplc="F0CA1644">
      <w:numFmt w:val="bullet"/>
      <w:lvlText w:val="•"/>
      <w:lvlJc w:val="left"/>
      <w:pPr>
        <w:ind w:left="3241" w:hanging="360"/>
      </w:pPr>
      <w:rPr>
        <w:rFonts w:hint="default"/>
        <w:lang w:val="en-US" w:eastAsia="en-US" w:bidi="en-US"/>
      </w:rPr>
    </w:lvl>
    <w:lvl w:ilvl="3" w:tplc="837A59FE">
      <w:numFmt w:val="bullet"/>
      <w:lvlText w:val="•"/>
      <w:lvlJc w:val="left"/>
      <w:pPr>
        <w:ind w:left="3991" w:hanging="360"/>
      </w:pPr>
      <w:rPr>
        <w:rFonts w:hint="default"/>
        <w:lang w:val="en-US" w:eastAsia="en-US" w:bidi="en-US"/>
      </w:rPr>
    </w:lvl>
    <w:lvl w:ilvl="4" w:tplc="D9B6D95A">
      <w:numFmt w:val="bullet"/>
      <w:lvlText w:val="•"/>
      <w:lvlJc w:val="left"/>
      <w:pPr>
        <w:ind w:left="4742" w:hanging="360"/>
      </w:pPr>
      <w:rPr>
        <w:rFonts w:hint="default"/>
        <w:lang w:val="en-US" w:eastAsia="en-US" w:bidi="en-US"/>
      </w:rPr>
    </w:lvl>
    <w:lvl w:ilvl="5" w:tplc="014C3306">
      <w:numFmt w:val="bullet"/>
      <w:lvlText w:val="•"/>
      <w:lvlJc w:val="left"/>
      <w:pPr>
        <w:ind w:left="5493" w:hanging="360"/>
      </w:pPr>
      <w:rPr>
        <w:rFonts w:hint="default"/>
        <w:lang w:val="en-US" w:eastAsia="en-US" w:bidi="en-US"/>
      </w:rPr>
    </w:lvl>
    <w:lvl w:ilvl="6" w:tplc="F5EA9A32">
      <w:numFmt w:val="bullet"/>
      <w:lvlText w:val="•"/>
      <w:lvlJc w:val="left"/>
      <w:pPr>
        <w:ind w:left="6243" w:hanging="360"/>
      </w:pPr>
      <w:rPr>
        <w:rFonts w:hint="default"/>
        <w:lang w:val="en-US" w:eastAsia="en-US" w:bidi="en-US"/>
      </w:rPr>
    </w:lvl>
    <w:lvl w:ilvl="7" w:tplc="1FC2D162">
      <w:numFmt w:val="bullet"/>
      <w:lvlText w:val="•"/>
      <w:lvlJc w:val="left"/>
      <w:pPr>
        <w:ind w:left="6994" w:hanging="360"/>
      </w:pPr>
      <w:rPr>
        <w:rFonts w:hint="default"/>
        <w:lang w:val="en-US" w:eastAsia="en-US" w:bidi="en-US"/>
      </w:rPr>
    </w:lvl>
    <w:lvl w:ilvl="8" w:tplc="1318F0FA">
      <w:numFmt w:val="bullet"/>
      <w:lvlText w:val="•"/>
      <w:lvlJc w:val="left"/>
      <w:pPr>
        <w:ind w:left="7745" w:hanging="360"/>
      </w:pPr>
      <w:rPr>
        <w:rFonts w:hint="default"/>
        <w:lang w:val="en-US" w:eastAsia="en-US" w:bidi="en-US"/>
      </w:rPr>
    </w:lvl>
  </w:abstractNum>
  <w:abstractNum w:abstractNumId="5" w15:restartNumberingAfterBreak="0">
    <w:nsid w:val="19C13165"/>
    <w:multiLevelType w:val="hybridMultilevel"/>
    <w:tmpl w:val="4B5427C6"/>
    <w:lvl w:ilvl="0" w:tplc="49FE2B9A">
      <w:numFmt w:val="bullet"/>
      <w:lvlText w:val=""/>
      <w:lvlJc w:val="left"/>
      <w:pPr>
        <w:ind w:left="1746" w:hanging="360"/>
      </w:pPr>
      <w:rPr>
        <w:rFonts w:ascii="Wingdings" w:eastAsia="Wingdings" w:hAnsi="Wingdings" w:cs="Wingdings" w:hint="default"/>
        <w:w w:val="100"/>
        <w:sz w:val="22"/>
        <w:szCs w:val="22"/>
        <w:lang w:val="en-US" w:eastAsia="en-US" w:bidi="en-US"/>
      </w:rPr>
    </w:lvl>
    <w:lvl w:ilvl="1" w:tplc="1982FB20">
      <w:numFmt w:val="bullet"/>
      <w:lvlText w:val="•"/>
      <w:lvlJc w:val="left"/>
      <w:pPr>
        <w:ind w:left="2490" w:hanging="360"/>
      </w:pPr>
      <w:rPr>
        <w:rFonts w:hint="default"/>
        <w:lang w:val="en-US" w:eastAsia="en-US" w:bidi="en-US"/>
      </w:rPr>
    </w:lvl>
    <w:lvl w:ilvl="2" w:tplc="C6680440">
      <w:numFmt w:val="bullet"/>
      <w:lvlText w:val="•"/>
      <w:lvlJc w:val="left"/>
      <w:pPr>
        <w:ind w:left="3241" w:hanging="360"/>
      </w:pPr>
      <w:rPr>
        <w:rFonts w:hint="default"/>
        <w:lang w:val="en-US" w:eastAsia="en-US" w:bidi="en-US"/>
      </w:rPr>
    </w:lvl>
    <w:lvl w:ilvl="3" w:tplc="52529532">
      <w:numFmt w:val="bullet"/>
      <w:lvlText w:val="•"/>
      <w:lvlJc w:val="left"/>
      <w:pPr>
        <w:ind w:left="3991" w:hanging="360"/>
      </w:pPr>
      <w:rPr>
        <w:rFonts w:hint="default"/>
        <w:lang w:val="en-US" w:eastAsia="en-US" w:bidi="en-US"/>
      </w:rPr>
    </w:lvl>
    <w:lvl w:ilvl="4" w:tplc="2FF09062">
      <w:numFmt w:val="bullet"/>
      <w:lvlText w:val="•"/>
      <w:lvlJc w:val="left"/>
      <w:pPr>
        <w:ind w:left="4742" w:hanging="360"/>
      </w:pPr>
      <w:rPr>
        <w:rFonts w:hint="default"/>
        <w:lang w:val="en-US" w:eastAsia="en-US" w:bidi="en-US"/>
      </w:rPr>
    </w:lvl>
    <w:lvl w:ilvl="5" w:tplc="A1D296EA">
      <w:numFmt w:val="bullet"/>
      <w:lvlText w:val="•"/>
      <w:lvlJc w:val="left"/>
      <w:pPr>
        <w:ind w:left="5493" w:hanging="360"/>
      </w:pPr>
      <w:rPr>
        <w:rFonts w:hint="default"/>
        <w:lang w:val="en-US" w:eastAsia="en-US" w:bidi="en-US"/>
      </w:rPr>
    </w:lvl>
    <w:lvl w:ilvl="6" w:tplc="301E34E4">
      <w:numFmt w:val="bullet"/>
      <w:lvlText w:val="•"/>
      <w:lvlJc w:val="left"/>
      <w:pPr>
        <w:ind w:left="6243" w:hanging="360"/>
      </w:pPr>
      <w:rPr>
        <w:rFonts w:hint="default"/>
        <w:lang w:val="en-US" w:eastAsia="en-US" w:bidi="en-US"/>
      </w:rPr>
    </w:lvl>
    <w:lvl w:ilvl="7" w:tplc="5BC05B66">
      <w:numFmt w:val="bullet"/>
      <w:lvlText w:val="•"/>
      <w:lvlJc w:val="left"/>
      <w:pPr>
        <w:ind w:left="6994" w:hanging="360"/>
      </w:pPr>
      <w:rPr>
        <w:rFonts w:hint="default"/>
        <w:lang w:val="en-US" w:eastAsia="en-US" w:bidi="en-US"/>
      </w:rPr>
    </w:lvl>
    <w:lvl w:ilvl="8" w:tplc="D49E5236">
      <w:numFmt w:val="bullet"/>
      <w:lvlText w:val="•"/>
      <w:lvlJc w:val="left"/>
      <w:pPr>
        <w:ind w:left="7745" w:hanging="360"/>
      </w:pPr>
      <w:rPr>
        <w:rFonts w:hint="default"/>
        <w:lang w:val="en-US" w:eastAsia="en-US" w:bidi="en-US"/>
      </w:rPr>
    </w:lvl>
  </w:abstractNum>
  <w:abstractNum w:abstractNumId="6" w15:restartNumberingAfterBreak="0">
    <w:nsid w:val="216672C8"/>
    <w:multiLevelType w:val="hybridMultilevel"/>
    <w:tmpl w:val="CA8ACB3E"/>
    <w:lvl w:ilvl="0" w:tplc="2FDEA356">
      <w:start w:val="2"/>
      <w:numFmt w:val="bullet"/>
      <w:lvlText w:val="-"/>
      <w:lvlJc w:val="left"/>
      <w:pPr>
        <w:ind w:left="666" w:hanging="360"/>
      </w:pPr>
      <w:rPr>
        <w:rFonts w:ascii="Calibri" w:eastAsia="Times New Roman" w:hAnsi="Calibri" w:cs="Calibri" w:hint="default"/>
      </w:rPr>
    </w:lvl>
    <w:lvl w:ilvl="1" w:tplc="08090003" w:tentative="1">
      <w:start w:val="1"/>
      <w:numFmt w:val="bullet"/>
      <w:lvlText w:val="o"/>
      <w:lvlJc w:val="left"/>
      <w:pPr>
        <w:ind w:left="1386" w:hanging="360"/>
      </w:pPr>
      <w:rPr>
        <w:rFonts w:ascii="Courier New" w:hAnsi="Courier New" w:cs="Courier New" w:hint="default"/>
      </w:rPr>
    </w:lvl>
    <w:lvl w:ilvl="2" w:tplc="08090005" w:tentative="1">
      <w:start w:val="1"/>
      <w:numFmt w:val="bullet"/>
      <w:lvlText w:val=""/>
      <w:lvlJc w:val="left"/>
      <w:pPr>
        <w:ind w:left="2106" w:hanging="360"/>
      </w:pPr>
      <w:rPr>
        <w:rFonts w:ascii="Wingdings" w:hAnsi="Wingdings" w:hint="default"/>
      </w:rPr>
    </w:lvl>
    <w:lvl w:ilvl="3" w:tplc="08090001" w:tentative="1">
      <w:start w:val="1"/>
      <w:numFmt w:val="bullet"/>
      <w:lvlText w:val=""/>
      <w:lvlJc w:val="left"/>
      <w:pPr>
        <w:ind w:left="2826" w:hanging="360"/>
      </w:pPr>
      <w:rPr>
        <w:rFonts w:ascii="Symbol" w:hAnsi="Symbol" w:hint="default"/>
      </w:rPr>
    </w:lvl>
    <w:lvl w:ilvl="4" w:tplc="08090003" w:tentative="1">
      <w:start w:val="1"/>
      <w:numFmt w:val="bullet"/>
      <w:lvlText w:val="o"/>
      <w:lvlJc w:val="left"/>
      <w:pPr>
        <w:ind w:left="3546" w:hanging="360"/>
      </w:pPr>
      <w:rPr>
        <w:rFonts w:ascii="Courier New" w:hAnsi="Courier New" w:cs="Courier New" w:hint="default"/>
      </w:rPr>
    </w:lvl>
    <w:lvl w:ilvl="5" w:tplc="08090005" w:tentative="1">
      <w:start w:val="1"/>
      <w:numFmt w:val="bullet"/>
      <w:lvlText w:val=""/>
      <w:lvlJc w:val="left"/>
      <w:pPr>
        <w:ind w:left="4266" w:hanging="360"/>
      </w:pPr>
      <w:rPr>
        <w:rFonts w:ascii="Wingdings" w:hAnsi="Wingdings" w:hint="default"/>
      </w:rPr>
    </w:lvl>
    <w:lvl w:ilvl="6" w:tplc="08090001" w:tentative="1">
      <w:start w:val="1"/>
      <w:numFmt w:val="bullet"/>
      <w:lvlText w:val=""/>
      <w:lvlJc w:val="left"/>
      <w:pPr>
        <w:ind w:left="4986" w:hanging="360"/>
      </w:pPr>
      <w:rPr>
        <w:rFonts w:ascii="Symbol" w:hAnsi="Symbol" w:hint="default"/>
      </w:rPr>
    </w:lvl>
    <w:lvl w:ilvl="7" w:tplc="08090003" w:tentative="1">
      <w:start w:val="1"/>
      <w:numFmt w:val="bullet"/>
      <w:lvlText w:val="o"/>
      <w:lvlJc w:val="left"/>
      <w:pPr>
        <w:ind w:left="5706" w:hanging="360"/>
      </w:pPr>
      <w:rPr>
        <w:rFonts w:ascii="Courier New" w:hAnsi="Courier New" w:cs="Courier New" w:hint="default"/>
      </w:rPr>
    </w:lvl>
    <w:lvl w:ilvl="8" w:tplc="08090005" w:tentative="1">
      <w:start w:val="1"/>
      <w:numFmt w:val="bullet"/>
      <w:lvlText w:val=""/>
      <w:lvlJc w:val="left"/>
      <w:pPr>
        <w:ind w:left="6426" w:hanging="360"/>
      </w:pPr>
      <w:rPr>
        <w:rFonts w:ascii="Wingdings" w:hAnsi="Wingdings" w:hint="default"/>
      </w:rPr>
    </w:lvl>
  </w:abstractNum>
  <w:abstractNum w:abstractNumId="7" w15:restartNumberingAfterBreak="0">
    <w:nsid w:val="30B41FAE"/>
    <w:multiLevelType w:val="hybridMultilevel"/>
    <w:tmpl w:val="330A549C"/>
    <w:lvl w:ilvl="0" w:tplc="65086104">
      <w:numFmt w:val="bullet"/>
      <w:lvlText w:val=""/>
      <w:lvlJc w:val="left"/>
      <w:pPr>
        <w:ind w:left="1026" w:hanging="360"/>
      </w:pPr>
      <w:rPr>
        <w:rFonts w:ascii="Symbol" w:eastAsia="Symbol" w:hAnsi="Symbol" w:cs="Symbol" w:hint="default"/>
        <w:w w:val="100"/>
        <w:sz w:val="22"/>
        <w:szCs w:val="22"/>
        <w:lang w:val="en-US" w:eastAsia="en-US" w:bidi="en-US"/>
      </w:rPr>
    </w:lvl>
    <w:lvl w:ilvl="1" w:tplc="6712BD84">
      <w:numFmt w:val="bullet"/>
      <w:lvlText w:val="•"/>
      <w:lvlJc w:val="left"/>
      <w:pPr>
        <w:ind w:left="1842" w:hanging="360"/>
      </w:pPr>
      <w:rPr>
        <w:rFonts w:hint="default"/>
        <w:lang w:val="en-US" w:eastAsia="en-US" w:bidi="en-US"/>
      </w:rPr>
    </w:lvl>
    <w:lvl w:ilvl="2" w:tplc="0E92646C">
      <w:numFmt w:val="bullet"/>
      <w:lvlText w:val="•"/>
      <w:lvlJc w:val="left"/>
      <w:pPr>
        <w:ind w:left="2665" w:hanging="360"/>
      </w:pPr>
      <w:rPr>
        <w:rFonts w:hint="default"/>
        <w:lang w:val="en-US" w:eastAsia="en-US" w:bidi="en-US"/>
      </w:rPr>
    </w:lvl>
    <w:lvl w:ilvl="3" w:tplc="13F611F8">
      <w:numFmt w:val="bullet"/>
      <w:lvlText w:val="•"/>
      <w:lvlJc w:val="left"/>
      <w:pPr>
        <w:ind w:left="3487" w:hanging="360"/>
      </w:pPr>
      <w:rPr>
        <w:rFonts w:hint="default"/>
        <w:lang w:val="en-US" w:eastAsia="en-US" w:bidi="en-US"/>
      </w:rPr>
    </w:lvl>
    <w:lvl w:ilvl="4" w:tplc="B680F6CC">
      <w:numFmt w:val="bullet"/>
      <w:lvlText w:val="•"/>
      <w:lvlJc w:val="left"/>
      <w:pPr>
        <w:ind w:left="4310" w:hanging="360"/>
      </w:pPr>
      <w:rPr>
        <w:rFonts w:hint="default"/>
        <w:lang w:val="en-US" w:eastAsia="en-US" w:bidi="en-US"/>
      </w:rPr>
    </w:lvl>
    <w:lvl w:ilvl="5" w:tplc="9282FA7A">
      <w:numFmt w:val="bullet"/>
      <w:lvlText w:val="•"/>
      <w:lvlJc w:val="left"/>
      <w:pPr>
        <w:ind w:left="5133" w:hanging="360"/>
      </w:pPr>
      <w:rPr>
        <w:rFonts w:hint="default"/>
        <w:lang w:val="en-US" w:eastAsia="en-US" w:bidi="en-US"/>
      </w:rPr>
    </w:lvl>
    <w:lvl w:ilvl="6" w:tplc="E5AA304A">
      <w:numFmt w:val="bullet"/>
      <w:lvlText w:val="•"/>
      <w:lvlJc w:val="left"/>
      <w:pPr>
        <w:ind w:left="5955" w:hanging="360"/>
      </w:pPr>
      <w:rPr>
        <w:rFonts w:hint="default"/>
        <w:lang w:val="en-US" w:eastAsia="en-US" w:bidi="en-US"/>
      </w:rPr>
    </w:lvl>
    <w:lvl w:ilvl="7" w:tplc="F78433F4">
      <w:numFmt w:val="bullet"/>
      <w:lvlText w:val="•"/>
      <w:lvlJc w:val="left"/>
      <w:pPr>
        <w:ind w:left="6778" w:hanging="360"/>
      </w:pPr>
      <w:rPr>
        <w:rFonts w:hint="default"/>
        <w:lang w:val="en-US" w:eastAsia="en-US" w:bidi="en-US"/>
      </w:rPr>
    </w:lvl>
    <w:lvl w:ilvl="8" w:tplc="82C43BBA">
      <w:numFmt w:val="bullet"/>
      <w:lvlText w:val="•"/>
      <w:lvlJc w:val="left"/>
      <w:pPr>
        <w:ind w:left="7601" w:hanging="360"/>
      </w:pPr>
      <w:rPr>
        <w:rFonts w:hint="default"/>
        <w:lang w:val="en-US" w:eastAsia="en-US" w:bidi="en-US"/>
      </w:rPr>
    </w:lvl>
  </w:abstractNum>
  <w:abstractNum w:abstractNumId="8" w15:restartNumberingAfterBreak="0">
    <w:nsid w:val="33102BC5"/>
    <w:multiLevelType w:val="hybridMultilevel"/>
    <w:tmpl w:val="C302A5B8"/>
    <w:lvl w:ilvl="0" w:tplc="F51CB32C">
      <w:numFmt w:val="bullet"/>
      <w:lvlText w:val="-"/>
      <w:lvlJc w:val="left"/>
      <w:pPr>
        <w:ind w:left="1746" w:hanging="360"/>
      </w:pPr>
      <w:rPr>
        <w:rFonts w:ascii="Calibri" w:eastAsia="Calibri" w:hAnsi="Calibri" w:cs="Calibri" w:hint="default"/>
        <w:w w:val="100"/>
        <w:sz w:val="22"/>
        <w:szCs w:val="22"/>
        <w:lang w:val="en-US" w:eastAsia="en-US" w:bidi="en-US"/>
      </w:rPr>
    </w:lvl>
    <w:lvl w:ilvl="1" w:tplc="50D2DC4E">
      <w:numFmt w:val="bullet"/>
      <w:lvlText w:val="•"/>
      <w:lvlJc w:val="left"/>
      <w:pPr>
        <w:ind w:left="2490" w:hanging="360"/>
      </w:pPr>
      <w:rPr>
        <w:rFonts w:hint="default"/>
        <w:lang w:val="en-US" w:eastAsia="en-US" w:bidi="en-US"/>
      </w:rPr>
    </w:lvl>
    <w:lvl w:ilvl="2" w:tplc="15A6C220">
      <w:numFmt w:val="bullet"/>
      <w:lvlText w:val="•"/>
      <w:lvlJc w:val="left"/>
      <w:pPr>
        <w:ind w:left="3241" w:hanging="360"/>
      </w:pPr>
      <w:rPr>
        <w:rFonts w:hint="default"/>
        <w:lang w:val="en-US" w:eastAsia="en-US" w:bidi="en-US"/>
      </w:rPr>
    </w:lvl>
    <w:lvl w:ilvl="3" w:tplc="F918A1F2">
      <w:numFmt w:val="bullet"/>
      <w:lvlText w:val="•"/>
      <w:lvlJc w:val="left"/>
      <w:pPr>
        <w:ind w:left="3991" w:hanging="360"/>
      </w:pPr>
      <w:rPr>
        <w:rFonts w:hint="default"/>
        <w:lang w:val="en-US" w:eastAsia="en-US" w:bidi="en-US"/>
      </w:rPr>
    </w:lvl>
    <w:lvl w:ilvl="4" w:tplc="6FBAD0B2">
      <w:numFmt w:val="bullet"/>
      <w:lvlText w:val="•"/>
      <w:lvlJc w:val="left"/>
      <w:pPr>
        <w:ind w:left="4742" w:hanging="360"/>
      </w:pPr>
      <w:rPr>
        <w:rFonts w:hint="default"/>
        <w:lang w:val="en-US" w:eastAsia="en-US" w:bidi="en-US"/>
      </w:rPr>
    </w:lvl>
    <w:lvl w:ilvl="5" w:tplc="F2CE7076">
      <w:numFmt w:val="bullet"/>
      <w:lvlText w:val="•"/>
      <w:lvlJc w:val="left"/>
      <w:pPr>
        <w:ind w:left="5493" w:hanging="360"/>
      </w:pPr>
      <w:rPr>
        <w:rFonts w:hint="default"/>
        <w:lang w:val="en-US" w:eastAsia="en-US" w:bidi="en-US"/>
      </w:rPr>
    </w:lvl>
    <w:lvl w:ilvl="6" w:tplc="F2B22836">
      <w:numFmt w:val="bullet"/>
      <w:lvlText w:val="•"/>
      <w:lvlJc w:val="left"/>
      <w:pPr>
        <w:ind w:left="6243" w:hanging="360"/>
      </w:pPr>
      <w:rPr>
        <w:rFonts w:hint="default"/>
        <w:lang w:val="en-US" w:eastAsia="en-US" w:bidi="en-US"/>
      </w:rPr>
    </w:lvl>
    <w:lvl w:ilvl="7" w:tplc="12521190">
      <w:numFmt w:val="bullet"/>
      <w:lvlText w:val="•"/>
      <w:lvlJc w:val="left"/>
      <w:pPr>
        <w:ind w:left="6994" w:hanging="360"/>
      </w:pPr>
      <w:rPr>
        <w:rFonts w:hint="default"/>
        <w:lang w:val="en-US" w:eastAsia="en-US" w:bidi="en-US"/>
      </w:rPr>
    </w:lvl>
    <w:lvl w:ilvl="8" w:tplc="15B040F8">
      <w:numFmt w:val="bullet"/>
      <w:lvlText w:val="•"/>
      <w:lvlJc w:val="left"/>
      <w:pPr>
        <w:ind w:left="7745" w:hanging="360"/>
      </w:pPr>
      <w:rPr>
        <w:rFonts w:hint="default"/>
        <w:lang w:val="en-US" w:eastAsia="en-US" w:bidi="en-US"/>
      </w:rPr>
    </w:lvl>
  </w:abstractNum>
  <w:abstractNum w:abstractNumId="9" w15:restartNumberingAfterBreak="0">
    <w:nsid w:val="36C024AA"/>
    <w:multiLevelType w:val="hybridMultilevel"/>
    <w:tmpl w:val="731468BA"/>
    <w:lvl w:ilvl="0" w:tplc="030E9396">
      <w:numFmt w:val="bullet"/>
      <w:lvlText w:val="-"/>
      <w:lvlJc w:val="left"/>
      <w:pPr>
        <w:ind w:left="1746" w:hanging="360"/>
      </w:pPr>
      <w:rPr>
        <w:rFonts w:ascii="Calibri" w:eastAsia="Calibri" w:hAnsi="Calibri" w:cs="Calibri" w:hint="default"/>
        <w:w w:val="100"/>
        <w:sz w:val="22"/>
        <w:szCs w:val="22"/>
        <w:lang w:val="en-US" w:eastAsia="en-US" w:bidi="en-US"/>
      </w:rPr>
    </w:lvl>
    <w:lvl w:ilvl="1" w:tplc="73F4D2E2">
      <w:numFmt w:val="bullet"/>
      <w:lvlText w:val=""/>
      <w:lvlJc w:val="left"/>
      <w:pPr>
        <w:ind w:left="2467" w:hanging="361"/>
      </w:pPr>
      <w:rPr>
        <w:rFonts w:ascii="Wingdings" w:eastAsia="Wingdings" w:hAnsi="Wingdings" w:cs="Wingdings" w:hint="default"/>
        <w:w w:val="100"/>
        <w:sz w:val="22"/>
        <w:szCs w:val="22"/>
        <w:lang w:val="en-US" w:eastAsia="en-US" w:bidi="en-US"/>
      </w:rPr>
    </w:lvl>
    <w:lvl w:ilvl="2" w:tplc="DBACFD40">
      <w:numFmt w:val="bullet"/>
      <w:lvlText w:val="•"/>
      <w:lvlJc w:val="left"/>
      <w:pPr>
        <w:ind w:left="3214" w:hanging="361"/>
      </w:pPr>
      <w:rPr>
        <w:rFonts w:hint="default"/>
        <w:lang w:val="en-US" w:eastAsia="en-US" w:bidi="en-US"/>
      </w:rPr>
    </w:lvl>
    <w:lvl w:ilvl="3" w:tplc="4BA4687E">
      <w:numFmt w:val="bullet"/>
      <w:lvlText w:val="•"/>
      <w:lvlJc w:val="left"/>
      <w:pPr>
        <w:ind w:left="3968" w:hanging="361"/>
      </w:pPr>
      <w:rPr>
        <w:rFonts w:hint="default"/>
        <w:lang w:val="en-US" w:eastAsia="en-US" w:bidi="en-US"/>
      </w:rPr>
    </w:lvl>
    <w:lvl w:ilvl="4" w:tplc="FF9243B6">
      <w:numFmt w:val="bullet"/>
      <w:lvlText w:val="•"/>
      <w:lvlJc w:val="left"/>
      <w:pPr>
        <w:ind w:left="4722" w:hanging="361"/>
      </w:pPr>
      <w:rPr>
        <w:rFonts w:hint="default"/>
        <w:lang w:val="en-US" w:eastAsia="en-US" w:bidi="en-US"/>
      </w:rPr>
    </w:lvl>
    <w:lvl w:ilvl="5" w:tplc="E8B4DD62">
      <w:numFmt w:val="bullet"/>
      <w:lvlText w:val="•"/>
      <w:lvlJc w:val="left"/>
      <w:pPr>
        <w:ind w:left="5476" w:hanging="361"/>
      </w:pPr>
      <w:rPr>
        <w:rFonts w:hint="default"/>
        <w:lang w:val="en-US" w:eastAsia="en-US" w:bidi="en-US"/>
      </w:rPr>
    </w:lvl>
    <w:lvl w:ilvl="6" w:tplc="A830AEC0">
      <w:numFmt w:val="bullet"/>
      <w:lvlText w:val="•"/>
      <w:lvlJc w:val="left"/>
      <w:pPr>
        <w:ind w:left="6230" w:hanging="361"/>
      </w:pPr>
      <w:rPr>
        <w:rFonts w:hint="default"/>
        <w:lang w:val="en-US" w:eastAsia="en-US" w:bidi="en-US"/>
      </w:rPr>
    </w:lvl>
    <w:lvl w:ilvl="7" w:tplc="A2285FD2">
      <w:numFmt w:val="bullet"/>
      <w:lvlText w:val="•"/>
      <w:lvlJc w:val="left"/>
      <w:pPr>
        <w:ind w:left="6984" w:hanging="361"/>
      </w:pPr>
      <w:rPr>
        <w:rFonts w:hint="default"/>
        <w:lang w:val="en-US" w:eastAsia="en-US" w:bidi="en-US"/>
      </w:rPr>
    </w:lvl>
    <w:lvl w:ilvl="8" w:tplc="8FA88BC0">
      <w:numFmt w:val="bullet"/>
      <w:lvlText w:val="•"/>
      <w:lvlJc w:val="left"/>
      <w:pPr>
        <w:ind w:left="7738" w:hanging="361"/>
      </w:pPr>
      <w:rPr>
        <w:rFonts w:hint="default"/>
        <w:lang w:val="en-US" w:eastAsia="en-US" w:bidi="en-US"/>
      </w:rPr>
    </w:lvl>
  </w:abstractNum>
  <w:abstractNum w:abstractNumId="10" w15:restartNumberingAfterBreak="0">
    <w:nsid w:val="375E448B"/>
    <w:multiLevelType w:val="hybridMultilevel"/>
    <w:tmpl w:val="77546782"/>
    <w:lvl w:ilvl="0" w:tplc="3BD4B022">
      <w:numFmt w:val="bullet"/>
      <w:lvlText w:val=""/>
      <w:lvlJc w:val="left"/>
      <w:pPr>
        <w:ind w:left="1746" w:hanging="360"/>
      </w:pPr>
      <w:rPr>
        <w:rFonts w:ascii="Wingdings" w:eastAsia="Wingdings" w:hAnsi="Wingdings" w:cs="Wingdings" w:hint="default"/>
        <w:w w:val="100"/>
        <w:sz w:val="22"/>
        <w:szCs w:val="22"/>
        <w:lang w:val="en-US" w:eastAsia="en-US" w:bidi="en-US"/>
      </w:rPr>
    </w:lvl>
    <w:lvl w:ilvl="1" w:tplc="7DB6540E">
      <w:numFmt w:val="bullet"/>
      <w:lvlText w:val="•"/>
      <w:lvlJc w:val="left"/>
      <w:pPr>
        <w:ind w:left="2490" w:hanging="360"/>
      </w:pPr>
      <w:rPr>
        <w:rFonts w:hint="default"/>
        <w:lang w:val="en-US" w:eastAsia="en-US" w:bidi="en-US"/>
      </w:rPr>
    </w:lvl>
    <w:lvl w:ilvl="2" w:tplc="F86CECEC">
      <w:numFmt w:val="bullet"/>
      <w:lvlText w:val="•"/>
      <w:lvlJc w:val="left"/>
      <w:pPr>
        <w:ind w:left="3241" w:hanging="360"/>
      </w:pPr>
      <w:rPr>
        <w:rFonts w:hint="default"/>
        <w:lang w:val="en-US" w:eastAsia="en-US" w:bidi="en-US"/>
      </w:rPr>
    </w:lvl>
    <w:lvl w:ilvl="3" w:tplc="C3960D58">
      <w:numFmt w:val="bullet"/>
      <w:lvlText w:val="•"/>
      <w:lvlJc w:val="left"/>
      <w:pPr>
        <w:ind w:left="3991" w:hanging="360"/>
      </w:pPr>
      <w:rPr>
        <w:rFonts w:hint="default"/>
        <w:lang w:val="en-US" w:eastAsia="en-US" w:bidi="en-US"/>
      </w:rPr>
    </w:lvl>
    <w:lvl w:ilvl="4" w:tplc="32D8EEC2">
      <w:numFmt w:val="bullet"/>
      <w:lvlText w:val="•"/>
      <w:lvlJc w:val="left"/>
      <w:pPr>
        <w:ind w:left="4742" w:hanging="360"/>
      </w:pPr>
      <w:rPr>
        <w:rFonts w:hint="default"/>
        <w:lang w:val="en-US" w:eastAsia="en-US" w:bidi="en-US"/>
      </w:rPr>
    </w:lvl>
    <w:lvl w:ilvl="5" w:tplc="178A8600">
      <w:numFmt w:val="bullet"/>
      <w:lvlText w:val="•"/>
      <w:lvlJc w:val="left"/>
      <w:pPr>
        <w:ind w:left="5493" w:hanging="360"/>
      </w:pPr>
      <w:rPr>
        <w:rFonts w:hint="default"/>
        <w:lang w:val="en-US" w:eastAsia="en-US" w:bidi="en-US"/>
      </w:rPr>
    </w:lvl>
    <w:lvl w:ilvl="6" w:tplc="2FD69B8E">
      <w:numFmt w:val="bullet"/>
      <w:lvlText w:val="•"/>
      <w:lvlJc w:val="left"/>
      <w:pPr>
        <w:ind w:left="6243" w:hanging="360"/>
      </w:pPr>
      <w:rPr>
        <w:rFonts w:hint="default"/>
        <w:lang w:val="en-US" w:eastAsia="en-US" w:bidi="en-US"/>
      </w:rPr>
    </w:lvl>
    <w:lvl w:ilvl="7" w:tplc="18246612">
      <w:numFmt w:val="bullet"/>
      <w:lvlText w:val="•"/>
      <w:lvlJc w:val="left"/>
      <w:pPr>
        <w:ind w:left="6994" w:hanging="360"/>
      </w:pPr>
      <w:rPr>
        <w:rFonts w:hint="default"/>
        <w:lang w:val="en-US" w:eastAsia="en-US" w:bidi="en-US"/>
      </w:rPr>
    </w:lvl>
    <w:lvl w:ilvl="8" w:tplc="3BB059A6">
      <w:numFmt w:val="bullet"/>
      <w:lvlText w:val="•"/>
      <w:lvlJc w:val="left"/>
      <w:pPr>
        <w:ind w:left="7745" w:hanging="360"/>
      </w:pPr>
      <w:rPr>
        <w:rFonts w:hint="default"/>
        <w:lang w:val="en-US" w:eastAsia="en-US" w:bidi="en-US"/>
      </w:rPr>
    </w:lvl>
  </w:abstractNum>
  <w:abstractNum w:abstractNumId="11" w15:restartNumberingAfterBreak="0">
    <w:nsid w:val="3B2F2782"/>
    <w:multiLevelType w:val="hybridMultilevel"/>
    <w:tmpl w:val="AEAEF8FE"/>
    <w:lvl w:ilvl="0" w:tplc="D78006B2">
      <w:start w:val="1"/>
      <w:numFmt w:val="decimal"/>
      <w:lvlText w:val="%1."/>
      <w:lvlJc w:val="left"/>
      <w:pPr>
        <w:ind w:left="666" w:hanging="360"/>
      </w:pPr>
      <w:rPr>
        <w:rFonts w:ascii="Calibri" w:eastAsia="Calibri" w:hAnsi="Calibri" w:cs="Calibri" w:hint="default"/>
        <w:b/>
        <w:bCs/>
        <w:w w:val="100"/>
        <w:sz w:val="22"/>
        <w:szCs w:val="22"/>
        <w:lang w:val="en-US" w:eastAsia="en-US" w:bidi="en-US"/>
      </w:rPr>
    </w:lvl>
    <w:lvl w:ilvl="1" w:tplc="4022BF48">
      <w:numFmt w:val="bullet"/>
      <w:lvlText w:val=""/>
      <w:lvlJc w:val="left"/>
      <w:pPr>
        <w:ind w:left="1026" w:hanging="360"/>
      </w:pPr>
      <w:rPr>
        <w:rFonts w:ascii="Symbol" w:eastAsia="Symbol" w:hAnsi="Symbol" w:cs="Symbol" w:hint="default"/>
        <w:w w:val="100"/>
        <w:sz w:val="22"/>
        <w:szCs w:val="22"/>
        <w:lang w:val="en-US" w:eastAsia="en-US" w:bidi="en-US"/>
      </w:rPr>
    </w:lvl>
    <w:lvl w:ilvl="2" w:tplc="C75A4BB2">
      <w:numFmt w:val="bullet"/>
      <w:lvlText w:val="•"/>
      <w:lvlJc w:val="left"/>
      <w:pPr>
        <w:ind w:left="1934" w:hanging="360"/>
      </w:pPr>
      <w:rPr>
        <w:rFonts w:hint="default"/>
        <w:lang w:val="en-US" w:eastAsia="en-US" w:bidi="en-US"/>
      </w:rPr>
    </w:lvl>
    <w:lvl w:ilvl="3" w:tplc="5448A6F0">
      <w:numFmt w:val="bullet"/>
      <w:lvlText w:val="•"/>
      <w:lvlJc w:val="left"/>
      <w:pPr>
        <w:ind w:left="2848" w:hanging="360"/>
      </w:pPr>
      <w:rPr>
        <w:rFonts w:hint="default"/>
        <w:lang w:val="en-US" w:eastAsia="en-US" w:bidi="en-US"/>
      </w:rPr>
    </w:lvl>
    <w:lvl w:ilvl="4" w:tplc="F1F4E398">
      <w:numFmt w:val="bullet"/>
      <w:lvlText w:val="•"/>
      <w:lvlJc w:val="left"/>
      <w:pPr>
        <w:ind w:left="3762" w:hanging="360"/>
      </w:pPr>
      <w:rPr>
        <w:rFonts w:hint="default"/>
        <w:lang w:val="en-US" w:eastAsia="en-US" w:bidi="en-US"/>
      </w:rPr>
    </w:lvl>
    <w:lvl w:ilvl="5" w:tplc="BFCCA134">
      <w:numFmt w:val="bullet"/>
      <w:lvlText w:val="•"/>
      <w:lvlJc w:val="left"/>
      <w:pPr>
        <w:ind w:left="4676" w:hanging="360"/>
      </w:pPr>
      <w:rPr>
        <w:rFonts w:hint="default"/>
        <w:lang w:val="en-US" w:eastAsia="en-US" w:bidi="en-US"/>
      </w:rPr>
    </w:lvl>
    <w:lvl w:ilvl="6" w:tplc="FA1EDC66">
      <w:numFmt w:val="bullet"/>
      <w:lvlText w:val="•"/>
      <w:lvlJc w:val="left"/>
      <w:pPr>
        <w:ind w:left="5590" w:hanging="360"/>
      </w:pPr>
      <w:rPr>
        <w:rFonts w:hint="default"/>
        <w:lang w:val="en-US" w:eastAsia="en-US" w:bidi="en-US"/>
      </w:rPr>
    </w:lvl>
    <w:lvl w:ilvl="7" w:tplc="EDCEA652">
      <w:numFmt w:val="bullet"/>
      <w:lvlText w:val="•"/>
      <w:lvlJc w:val="left"/>
      <w:pPr>
        <w:ind w:left="6504" w:hanging="360"/>
      </w:pPr>
      <w:rPr>
        <w:rFonts w:hint="default"/>
        <w:lang w:val="en-US" w:eastAsia="en-US" w:bidi="en-US"/>
      </w:rPr>
    </w:lvl>
    <w:lvl w:ilvl="8" w:tplc="34540C70">
      <w:numFmt w:val="bullet"/>
      <w:lvlText w:val="•"/>
      <w:lvlJc w:val="left"/>
      <w:pPr>
        <w:ind w:left="7418" w:hanging="360"/>
      </w:pPr>
      <w:rPr>
        <w:rFonts w:hint="default"/>
        <w:lang w:val="en-US" w:eastAsia="en-US" w:bidi="en-US"/>
      </w:rPr>
    </w:lvl>
  </w:abstractNum>
  <w:abstractNum w:abstractNumId="12" w15:restartNumberingAfterBreak="0">
    <w:nsid w:val="3C803A35"/>
    <w:multiLevelType w:val="hybridMultilevel"/>
    <w:tmpl w:val="711CA0C0"/>
    <w:lvl w:ilvl="0" w:tplc="6472C154">
      <w:numFmt w:val="bullet"/>
      <w:lvlText w:val=""/>
      <w:lvlJc w:val="left"/>
      <w:pPr>
        <w:ind w:left="1026" w:hanging="360"/>
      </w:pPr>
      <w:rPr>
        <w:rFonts w:hint="default"/>
        <w:w w:val="100"/>
        <w:lang w:val="en-US" w:eastAsia="en-US" w:bidi="en-US"/>
      </w:rPr>
    </w:lvl>
    <w:lvl w:ilvl="1" w:tplc="687A9528">
      <w:numFmt w:val="bullet"/>
      <w:lvlText w:val="o"/>
      <w:lvlJc w:val="left"/>
      <w:pPr>
        <w:ind w:left="1746" w:hanging="360"/>
      </w:pPr>
      <w:rPr>
        <w:rFonts w:ascii="Courier New" w:eastAsia="Courier New" w:hAnsi="Courier New" w:cs="Courier New" w:hint="default"/>
        <w:w w:val="100"/>
        <w:sz w:val="22"/>
        <w:szCs w:val="22"/>
        <w:lang w:val="en-US" w:eastAsia="en-US" w:bidi="en-US"/>
      </w:rPr>
    </w:lvl>
    <w:lvl w:ilvl="2" w:tplc="85F0D066">
      <w:numFmt w:val="bullet"/>
      <w:lvlText w:val="•"/>
      <w:lvlJc w:val="left"/>
      <w:pPr>
        <w:ind w:left="2574" w:hanging="360"/>
      </w:pPr>
      <w:rPr>
        <w:rFonts w:hint="default"/>
        <w:lang w:val="en-US" w:eastAsia="en-US" w:bidi="en-US"/>
      </w:rPr>
    </w:lvl>
    <w:lvl w:ilvl="3" w:tplc="6A3047D6">
      <w:numFmt w:val="bullet"/>
      <w:lvlText w:val="•"/>
      <w:lvlJc w:val="left"/>
      <w:pPr>
        <w:ind w:left="3408" w:hanging="360"/>
      </w:pPr>
      <w:rPr>
        <w:rFonts w:hint="default"/>
        <w:lang w:val="en-US" w:eastAsia="en-US" w:bidi="en-US"/>
      </w:rPr>
    </w:lvl>
    <w:lvl w:ilvl="4" w:tplc="6E72ADF6">
      <w:numFmt w:val="bullet"/>
      <w:lvlText w:val="•"/>
      <w:lvlJc w:val="left"/>
      <w:pPr>
        <w:ind w:left="4242" w:hanging="360"/>
      </w:pPr>
      <w:rPr>
        <w:rFonts w:hint="default"/>
        <w:lang w:val="en-US" w:eastAsia="en-US" w:bidi="en-US"/>
      </w:rPr>
    </w:lvl>
    <w:lvl w:ilvl="5" w:tplc="6960EED6">
      <w:numFmt w:val="bullet"/>
      <w:lvlText w:val="•"/>
      <w:lvlJc w:val="left"/>
      <w:pPr>
        <w:ind w:left="5076" w:hanging="360"/>
      </w:pPr>
      <w:rPr>
        <w:rFonts w:hint="default"/>
        <w:lang w:val="en-US" w:eastAsia="en-US" w:bidi="en-US"/>
      </w:rPr>
    </w:lvl>
    <w:lvl w:ilvl="6" w:tplc="47F88B8A">
      <w:numFmt w:val="bullet"/>
      <w:lvlText w:val="•"/>
      <w:lvlJc w:val="left"/>
      <w:pPr>
        <w:ind w:left="5910" w:hanging="360"/>
      </w:pPr>
      <w:rPr>
        <w:rFonts w:hint="default"/>
        <w:lang w:val="en-US" w:eastAsia="en-US" w:bidi="en-US"/>
      </w:rPr>
    </w:lvl>
    <w:lvl w:ilvl="7" w:tplc="B7829ED8">
      <w:numFmt w:val="bullet"/>
      <w:lvlText w:val="•"/>
      <w:lvlJc w:val="left"/>
      <w:pPr>
        <w:ind w:left="6744" w:hanging="360"/>
      </w:pPr>
      <w:rPr>
        <w:rFonts w:hint="default"/>
        <w:lang w:val="en-US" w:eastAsia="en-US" w:bidi="en-US"/>
      </w:rPr>
    </w:lvl>
    <w:lvl w:ilvl="8" w:tplc="4EFA2F02">
      <w:numFmt w:val="bullet"/>
      <w:lvlText w:val="•"/>
      <w:lvlJc w:val="left"/>
      <w:pPr>
        <w:ind w:left="7578" w:hanging="360"/>
      </w:pPr>
      <w:rPr>
        <w:rFonts w:hint="default"/>
        <w:lang w:val="en-US" w:eastAsia="en-US" w:bidi="en-US"/>
      </w:rPr>
    </w:lvl>
  </w:abstractNum>
  <w:abstractNum w:abstractNumId="13" w15:restartNumberingAfterBreak="0">
    <w:nsid w:val="473574A8"/>
    <w:multiLevelType w:val="hybridMultilevel"/>
    <w:tmpl w:val="357C29AA"/>
    <w:lvl w:ilvl="0" w:tplc="BFD85E06">
      <w:numFmt w:val="bullet"/>
      <w:lvlText w:val="-"/>
      <w:lvlJc w:val="left"/>
      <w:pPr>
        <w:ind w:left="1386" w:hanging="360"/>
      </w:pPr>
      <w:rPr>
        <w:rFonts w:ascii="Calibri" w:eastAsia="Calibri" w:hAnsi="Calibri" w:cs="Calibri" w:hint="default"/>
        <w:w w:val="100"/>
        <w:sz w:val="22"/>
        <w:szCs w:val="22"/>
        <w:lang w:val="en-US" w:eastAsia="en-US" w:bidi="en-US"/>
      </w:rPr>
    </w:lvl>
    <w:lvl w:ilvl="1" w:tplc="8F845E34">
      <w:numFmt w:val="bullet"/>
      <w:lvlText w:val="•"/>
      <w:lvlJc w:val="left"/>
      <w:pPr>
        <w:ind w:left="2166" w:hanging="360"/>
      </w:pPr>
      <w:rPr>
        <w:rFonts w:hint="default"/>
        <w:lang w:val="en-US" w:eastAsia="en-US" w:bidi="en-US"/>
      </w:rPr>
    </w:lvl>
    <w:lvl w:ilvl="2" w:tplc="67A496B6">
      <w:numFmt w:val="bullet"/>
      <w:lvlText w:val="•"/>
      <w:lvlJc w:val="left"/>
      <w:pPr>
        <w:ind w:left="2953" w:hanging="360"/>
      </w:pPr>
      <w:rPr>
        <w:rFonts w:hint="default"/>
        <w:lang w:val="en-US" w:eastAsia="en-US" w:bidi="en-US"/>
      </w:rPr>
    </w:lvl>
    <w:lvl w:ilvl="3" w:tplc="67408E56">
      <w:numFmt w:val="bullet"/>
      <w:lvlText w:val="•"/>
      <w:lvlJc w:val="left"/>
      <w:pPr>
        <w:ind w:left="3739" w:hanging="360"/>
      </w:pPr>
      <w:rPr>
        <w:rFonts w:hint="default"/>
        <w:lang w:val="en-US" w:eastAsia="en-US" w:bidi="en-US"/>
      </w:rPr>
    </w:lvl>
    <w:lvl w:ilvl="4" w:tplc="00E25EEE">
      <w:numFmt w:val="bullet"/>
      <w:lvlText w:val="•"/>
      <w:lvlJc w:val="left"/>
      <w:pPr>
        <w:ind w:left="4526" w:hanging="360"/>
      </w:pPr>
      <w:rPr>
        <w:rFonts w:hint="default"/>
        <w:lang w:val="en-US" w:eastAsia="en-US" w:bidi="en-US"/>
      </w:rPr>
    </w:lvl>
    <w:lvl w:ilvl="5" w:tplc="47482C0E">
      <w:numFmt w:val="bullet"/>
      <w:lvlText w:val="•"/>
      <w:lvlJc w:val="left"/>
      <w:pPr>
        <w:ind w:left="5313" w:hanging="360"/>
      </w:pPr>
      <w:rPr>
        <w:rFonts w:hint="default"/>
        <w:lang w:val="en-US" w:eastAsia="en-US" w:bidi="en-US"/>
      </w:rPr>
    </w:lvl>
    <w:lvl w:ilvl="6" w:tplc="5B4E1A52">
      <w:numFmt w:val="bullet"/>
      <w:lvlText w:val="•"/>
      <w:lvlJc w:val="left"/>
      <w:pPr>
        <w:ind w:left="6099" w:hanging="360"/>
      </w:pPr>
      <w:rPr>
        <w:rFonts w:hint="default"/>
        <w:lang w:val="en-US" w:eastAsia="en-US" w:bidi="en-US"/>
      </w:rPr>
    </w:lvl>
    <w:lvl w:ilvl="7" w:tplc="2AD6ADEE">
      <w:numFmt w:val="bullet"/>
      <w:lvlText w:val="•"/>
      <w:lvlJc w:val="left"/>
      <w:pPr>
        <w:ind w:left="6886" w:hanging="360"/>
      </w:pPr>
      <w:rPr>
        <w:rFonts w:hint="default"/>
        <w:lang w:val="en-US" w:eastAsia="en-US" w:bidi="en-US"/>
      </w:rPr>
    </w:lvl>
    <w:lvl w:ilvl="8" w:tplc="031C9DD6">
      <w:numFmt w:val="bullet"/>
      <w:lvlText w:val="•"/>
      <w:lvlJc w:val="left"/>
      <w:pPr>
        <w:ind w:left="7673" w:hanging="360"/>
      </w:pPr>
      <w:rPr>
        <w:rFonts w:hint="default"/>
        <w:lang w:val="en-US" w:eastAsia="en-US" w:bidi="en-US"/>
      </w:rPr>
    </w:lvl>
  </w:abstractNum>
  <w:abstractNum w:abstractNumId="14" w15:restartNumberingAfterBreak="0">
    <w:nsid w:val="486A5EC6"/>
    <w:multiLevelType w:val="hybridMultilevel"/>
    <w:tmpl w:val="4510D71C"/>
    <w:lvl w:ilvl="0" w:tplc="FF74ABE8">
      <w:numFmt w:val="bullet"/>
      <w:lvlText w:val=""/>
      <w:lvlJc w:val="left"/>
      <w:pPr>
        <w:ind w:left="1746" w:hanging="360"/>
      </w:pPr>
      <w:rPr>
        <w:rFonts w:ascii="Wingdings" w:eastAsia="Wingdings" w:hAnsi="Wingdings" w:cs="Wingdings" w:hint="default"/>
        <w:w w:val="100"/>
        <w:sz w:val="22"/>
        <w:szCs w:val="22"/>
        <w:lang w:val="en-US" w:eastAsia="en-US" w:bidi="en-US"/>
      </w:rPr>
    </w:lvl>
    <w:lvl w:ilvl="1" w:tplc="5384832C">
      <w:numFmt w:val="bullet"/>
      <w:lvlText w:val="•"/>
      <w:lvlJc w:val="left"/>
      <w:pPr>
        <w:ind w:left="2490" w:hanging="360"/>
      </w:pPr>
      <w:rPr>
        <w:rFonts w:hint="default"/>
        <w:lang w:val="en-US" w:eastAsia="en-US" w:bidi="en-US"/>
      </w:rPr>
    </w:lvl>
    <w:lvl w:ilvl="2" w:tplc="CDC2004E">
      <w:numFmt w:val="bullet"/>
      <w:lvlText w:val="•"/>
      <w:lvlJc w:val="left"/>
      <w:pPr>
        <w:ind w:left="3241" w:hanging="360"/>
      </w:pPr>
      <w:rPr>
        <w:rFonts w:hint="default"/>
        <w:lang w:val="en-US" w:eastAsia="en-US" w:bidi="en-US"/>
      </w:rPr>
    </w:lvl>
    <w:lvl w:ilvl="3" w:tplc="EB8884F4">
      <w:numFmt w:val="bullet"/>
      <w:lvlText w:val="•"/>
      <w:lvlJc w:val="left"/>
      <w:pPr>
        <w:ind w:left="3991" w:hanging="360"/>
      </w:pPr>
      <w:rPr>
        <w:rFonts w:hint="default"/>
        <w:lang w:val="en-US" w:eastAsia="en-US" w:bidi="en-US"/>
      </w:rPr>
    </w:lvl>
    <w:lvl w:ilvl="4" w:tplc="E5A81AD8">
      <w:numFmt w:val="bullet"/>
      <w:lvlText w:val="•"/>
      <w:lvlJc w:val="left"/>
      <w:pPr>
        <w:ind w:left="4742" w:hanging="360"/>
      </w:pPr>
      <w:rPr>
        <w:rFonts w:hint="default"/>
        <w:lang w:val="en-US" w:eastAsia="en-US" w:bidi="en-US"/>
      </w:rPr>
    </w:lvl>
    <w:lvl w:ilvl="5" w:tplc="4EB26146">
      <w:numFmt w:val="bullet"/>
      <w:lvlText w:val="•"/>
      <w:lvlJc w:val="left"/>
      <w:pPr>
        <w:ind w:left="5493" w:hanging="360"/>
      </w:pPr>
      <w:rPr>
        <w:rFonts w:hint="default"/>
        <w:lang w:val="en-US" w:eastAsia="en-US" w:bidi="en-US"/>
      </w:rPr>
    </w:lvl>
    <w:lvl w:ilvl="6" w:tplc="553E964A">
      <w:numFmt w:val="bullet"/>
      <w:lvlText w:val="•"/>
      <w:lvlJc w:val="left"/>
      <w:pPr>
        <w:ind w:left="6243" w:hanging="360"/>
      </w:pPr>
      <w:rPr>
        <w:rFonts w:hint="default"/>
        <w:lang w:val="en-US" w:eastAsia="en-US" w:bidi="en-US"/>
      </w:rPr>
    </w:lvl>
    <w:lvl w:ilvl="7" w:tplc="3446CC10">
      <w:numFmt w:val="bullet"/>
      <w:lvlText w:val="•"/>
      <w:lvlJc w:val="left"/>
      <w:pPr>
        <w:ind w:left="6994" w:hanging="360"/>
      </w:pPr>
      <w:rPr>
        <w:rFonts w:hint="default"/>
        <w:lang w:val="en-US" w:eastAsia="en-US" w:bidi="en-US"/>
      </w:rPr>
    </w:lvl>
    <w:lvl w:ilvl="8" w:tplc="39BA28A8">
      <w:numFmt w:val="bullet"/>
      <w:lvlText w:val="•"/>
      <w:lvlJc w:val="left"/>
      <w:pPr>
        <w:ind w:left="7745" w:hanging="360"/>
      </w:pPr>
      <w:rPr>
        <w:rFonts w:hint="default"/>
        <w:lang w:val="en-US" w:eastAsia="en-US" w:bidi="en-US"/>
      </w:rPr>
    </w:lvl>
  </w:abstractNum>
  <w:abstractNum w:abstractNumId="15" w15:restartNumberingAfterBreak="0">
    <w:nsid w:val="4F8433FE"/>
    <w:multiLevelType w:val="hybridMultilevel"/>
    <w:tmpl w:val="B1C691BE"/>
    <w:lvl w:ilvl="0" w:tplc="C4F44200">
      <w:numFmt w:val="bullet"/>
      <w:lvlText w:val=""/>
      <w:lvlJc w:val="left"/>
      <w:pPr>
        <w:ind w:left="1386" w:hanging="360"/>
      </w:pPr>
      <w:rPr>
        <w:rFonts w:ascii="Wingdings" w:eastAsia="Wingdings" w:hAnsi="Wingdings" w:cs="Wingdings" w:hint="default"/>
        <w:w w:val="100"/>
        <w:sz w:val="22"/>
        <w:szCs w:val="22"/>
        <w:lang w:val="en-US" w:eastAsia="en-US" w:bidi="en-US"/>
      </w:rPr>
    </w:lvl>
    <w:lvl w:ilvl="1" w:tplc="4B509E12">
      <w:numFmt w:val="bullet"/>
      <w:lvlText w:val="•"/>
      <w:lvlJc w:val="left"/>
      <w:pPr>
        <w:ind w:left="2166" w:hanging="360"/>
      </w:pPr>
      <w:rPr>
        <w:rFonts w:hint="default"/>
        <w:lang w:val="en-US" w:eastAsia="en-US" w:bidi="en-US"/>
      </w:rPr>
    </w:lvl>
    <w:lvl w:ilvl="2" w:tplc="C07011F8">
      <w:numFmt w:val="bullet"/>
      <w:lvlText w:val="•"/>
      <w:lvlJc w:val="left"/>
      <w:pPr>
        <w:ind w:left="2953" w:hanging="360"/>
      </w:pPr>
      <w:rPr>
        <w:rFonts w:hint="default"/>
        <w:lang w:val="en-US" w:eastAsia="en-US" w:bidi="en-US"/>
      </w:rPr>
    </w:lvl>
    <w:lvl w:ilvl="3" w:tplc="983A976C">
      <w:numFmt w:val="bullet"/>
      <w:lvlText w:val="•"/>
      <w:lvlJc w:val="left"/>
      <w:pPr>
        <w:ind w:left="3739" w:hanging="360"/>
      </w:pPr>
      <w:rPr>
        <w:rFonts w:hint="default"/>
        <w:lang w:val="en-US" w:eastAsia="en-US" w:bidi="en-US"/>
      </w:rPr>
    </w:lvl>
    <w:lvl w:ilvl="4" w:tplc="7DE2E37C">
      <w:numFmt w:val="bullet"/>
      <w:lvlText w:val="•"/>
      <w:lvlJc w:val="left"/>
      <w:pPr>
        <w:ind w:left="4526" w:hanging="360"/>
      </w:pPr>
      <w:rPr>
        <w:rFonts w:hint="default"/>
        <w:lang w:val="en-US" w:eastAsia="en-US" w:bidi="en-US"/>
      </w:rPr>
    </w:lvl>
    <w:lvl w:ilvl="5" w:tplc="C2526348">
      <w:numFmt w:val="bullet"/>
      <w:lvlText w:val="•"/>
      <w:lvlJc w:val="left"/>
      <w:pPr>
        <w:ind w:left="5313" w:hanging="360"/>
      </w:pPr>
      <w:rPr>
        <w:rFonts w:hint="default"/>
        <w:lang w:val="en-US" w:eastAsia="en-US" w:bidi="en-US"/>
      </w:rPr>
    </w:lvl>
    <w:lvl w:ilvl="6" w:tplc="48D0DE26">
      <w:numFmt w:val="bullet"/>
      <w:lvlText w:val="•"/>
      <w:lvlJc w:val="left"/>
      <w:pPr>
        <w:ind w:left="6099" w:hanging="360"/>
      </w:pPr>
      <w:rPr>
        <w:rFonts w:hint="default"/>
        <w:lang w:val="en-US" w:eastAsia="en-US" w:bidi="en-US"/>
      </w:rPr>
    </w:lvl>
    <w:lvl w:ilvl="7" w:tplc="0E30A8C8">
      <w:numFmt w:val="bullet"/>
      <w:lvlText w:val="•"/>
      <w:lvlJc w:val="left"/>
      <w:pPr>
        <w:ind w:left="6886" w:hanging="360"/>
      </w:pPr>
      <w:rPr>
        <w:rFonts w:hint="default"/>
        <w:lang w:val="en-US" w:eastAsia="en-US" w:bidi="en-US"/>
      </w:rPr>
    </w:lvl>
    <w:lvl w:ilvl="8" w:tplc="90AA360A">
      <w:numFmt w:val="bullet"/>
      <w:lvlText w:val="•"/>
      <w:lvlJc w:val="left"/>
      <w:pPr>
        <w:ind w:left="7673" w:hanging="360"/>
      </w:pPr>
      <w:rPr>
        <w:rFonts w:hint="default"/>
        <w:lang w:val="en-US" w:eastAsia="en-US" w:bidi="en-US"/>
      </w:rPr>
    </w:lvl>
  </w:abstractNum>
  <w:abstractNum w:abstractNumId="16" w15:restartNumberingAfterBreak="0">
    <w:nsid w:val="5FBB4C0B"/>
    <w:multiLevelType w:val="hybridMultilevel"/>
    <w:tmpl w:val="23C0EE9C"/>
    <w:lvl w:ilvl="0" w:tplc="8BF49196">
      <w:numFmt w:val="bullet"/>
      <w:lvlText w:val="-"/>
      <w:lvlJc w:val="left"/>
      <w:pPr>
        <w:ind w:left="1386" w:hanging="360"/>
      </w:pPr>
      <w:rPr>
        <w:rFonts w:hint="default"/>
        <w:w w:val="100"/>
        <w:lang w:val="en-US" w:eastAsia="en-US" w:bidi="en-US"/>
      </w:rPr>
    </w:lvl>
    <w:lvl w:ilvl="1" w:tplc="A4E0ABC6">
      <w:numFmt w:val="bullet"/>
      <w:lvlText w:val="•"/>
      <w:lvlJc w:val="left"/>
      <w:pPr>
        <w:ind w:left="2166" w:hanging="360"/>
      </w:pPr>
      <w:rPr>
        <w:rFonts w:hint="default"/>
        <w:lang w:val="en-US" w:eastAsia="en-US" w:bidi="en-US"/>
      </w:rPr>
    </w:lvl>
    <w:lvl w:ilvl="2" w:tplc="70480322">
      <w:numFmt w:val="bullet"/>
      <w:lvlText w:val="•"/>
      <w:lvlJc w:val="left"/>
      <w:pPr>
        <w:ind w:left="2953" w:hanging="360"/>
      </w:pPr>
      <w:rPr>
        <w:rFonts w:hint="default"/>
        <w:lang w:val="en-US" w:eastAsia="en-US" w:bidi="en-US"/>
      </w:rPr>
    </w:lvl>
    <w:lvl w:ilvl="3" w:tplc="AE58F196">
      <w:numFmt w:val="bullet"/>
      <w:lvlText w:val="•"/>
      <w:lvlJc w:val="left"/>
      <w:pPr>
        <w:ind w:left="3739" w:hanging="360"/>
      </w:pPr>
      <w:rPr>
        <w:rFonts w:hint="default"/>
        <w:lang w:val="en-US" w:eastAsia="en-US" w:bidi="en-US"/>
      </w:rPr>
    </w:lvl>
    <w:lvl w:ilvl="4" w:tplc="9F9EEFF8">
      <w:numFmt w:val="bullet"/>
      <w:lvlText w:val="•"/>
      <w:lvlJc w:val="left"/>
      <w:pPr>
        <w:ind w:left="4526" w:hanging="360"/>
      </w:pPr>
      <w:rPr>
        <w:rFonts w:hint="default"/>
        <w:lang w:val="en-US" w:eastAsia="en-US" w:bidi="en-US"/>
      </w:rPr>
    </w:lvl>
    <w:lvl w:ilvl="5" w:tplc="B18E0504">
      <w:numFmt w:val="bullet"/>
      <w:lvlText w:val="•"/>
      <w:lvlJc w:val="left"/>
      <w:pPr>
        <w:ind w:left="5313" w:hanging="360"/>
      </w:pPr>
      <w:rPr>
        <w:rFonts w:hint="default"/>
        <w:lang w:val="en-US" w:eastAsia="en-US" w:bidi="en-US"/>
      </w:rPr>
    </w:lvl>
    <w:lvl w:ilvl="6" w:tplc="E7B25298">
      <w:numFmt w:val="bullet"/>
      <w:lvlText w:val="•"/>
      <w:lvlJc w:val="left"/>
      <w:pPr>
        <w:ind w:left="6099" w:hanging="360"/>
      </w:pPr>
      <w:rPr>
        <w:rFonts w:hint="default"/>
        <w:lang w:val="en-US" w:eastAsia="en-US" w:bidi="en-US"/>
      </w:rPr>
    </w:lvl>
    <w:lvl w:ilvl="7" w:tplc="E12031C8">
      <w:numFmt w:val="bullet"/>
      <w:lvlText w:val="•"/>
      <w:lvlJc w:val="left"/>
      <w:pPr>
        <w:ind w:left="6886" w:hanging="360"/>
      </w:pPr>
      <w:rPr>
        <w:rFonts w:hint="default"/>
        <w:lang w:val="en-US" w:eastAsia="en-US" w:bidi="en-US"/>
      </w:rPr>
    </w:lvl>
    <w:lvl w:ilvl="8" w:tplc="4D3C607E">
      <w:numFmt w:val="bullet"/>
      <w:lvlText w:val="•"/>
      <w:lvlJc w:val="left"/>
      <w:pPr>
        <w:ind w:left="7673" w:hanging="360"/>
      </w:pPr>
      <w:rPr>
        <w:rFonts w:hint="default"/>
        <w:lang w:val="en-US" w:eastAsia="en-US" w:bidi="en-US"/>
      </w:rPr>
    </w:lvl>
  </w:abstractNum>
  <w:abstractNum w:abstractNumId="17" w15:restartNumberingAfterBreak="0">
    <w:nsid w:val="60CC341D"/>
    <w:multiLevelType w:val="hybridMultilevel"/>
    <w:tmpl w:val="03621708"/>
    <w:lvl w:ilvl="0" w:tplc="E214B58E">
      <w:numFmt w:val="bullet"/>
      <w:lvlText w:val="-"/>
      <w:lvlJc w:val="left"/>
      <w:pPr>
        <w:ind w:left="1386" w:hanging="360"/>
      </w:pPr>
      <w:rPr>
        <w:rFonts w:ascii="Calibri" w:eastAsia="Calibri" w:hAnsi="Calibri" w:cs="Calibri" w:hint="default"/>
        <w:w w:val="100"/>
        <w:sz w:val="22"/>
        <w:szCs w:val="22"/>
        <w:lang w:val="en-US" w:eastAsia="en-US" w:bidi="en-US"/>
      </w:rPr>
    </w:lvl>
    <w:lvl w:ilvl="1" w:tplc="BF04B6C2">
      <w:numFmt w:val="bullet"/>
      <w:lvlText w:val="•"/>
      <w:lvlJc w:val="left"/>
      <w:pPr>
        <w:ind w:left="2166" w:hanging="360"/>
      </w:pPr>
      <w:rPr>
        <w:rFonts w:hint="default"/>
        <w:lang w:val="en-US" w:eastAsia="en-US" w:bidi="en-US"/>
      </w:rPr>
    </w:lvl>
    <w:lvl w:ilvl="2" w:tplc="C1D82F8A">
      <w:numFmt w:val="bullet"/>
      <w:lvlText w:val="•"/>
      <w:lvlJc w:val="left"/>
      <w:pPr>
        <w:ind w:left="2953" w:hanging="360"/>
      </w:pPr>
      <w:rPr>
        <w:rFonts w:hint="default"/>
        <w:lang w:val="en-US" w:eastAsia="en-US" w:bidi="en-US"/>
      </w:rPr>
    </w:lvl>
    <w:lvl w:ilvl="3" w:tplc="06B818C8">
      <w:numFmt w:val="bullet"/>
      <w:lvlText w:val="•"/>
      <w:lvlJc w:val="left"/>
      <w:pPr>
        <w:ind w:left="3739" w:hanging="360"/>
      </w:pPr>
      <w:rPr>
        <w:rFonts w:hint="default"/>
        <w:lang w:val="en-US" w:eastAsia="en-US" w:bidi="en-US"/>
      </w:rPr>
    </w:lvl>
    <w:lvl w:ilvl="4" w:tplc="F47AB3AC">
      <w:numFmt w:val="bullet"/>
      <w:lvlText w:val="•"/>
      <w:lvlJc w:val="left"/>
      <w:pPr>
        <w:ind w:left="4526" w:hanging="360"/>
      </w:pPr>
      <w:rPr>
        <w:rFonts w:hint="default"/>
        <w:lang w:val="en-US" w:eastAsia="en-US" w:bidi="en-US"/>
      </w:rPr>
    </w:lvl>
    <w:lvl w:ilvl="5" w:tplc="76785882">
      <w:numFmt w:val="bullet"/>
      <w:lvlText w:val="•"/>
      <w:lvlJc w:val="left"/>
      <w:pPr>
        <w:ind w:left="5313" w:hanging="360"/>
      </w:pPr>
      <w:rPr>
        <w:rFonts w:hint="default"/>
        <w:lang w:val="en-US" w:eastAsia="en-US" w:bidi="en-US"/>
      </w:rPr>
    </w:lvl>
    <w:lvl w:ilvl="6" w:tplc="E014F3B6">
      <w:numFmt w:val="bullet"/>
      <w:lvlText w:val="•"/>
      <w:lvlJc w:val="left"/>
      <w:pPr>
        <w:ind w:left="6099" w:hanging="360"/>
      </w:pPr>
      <w:rPr>
        <w:rFonts w:hint="default"/>
        <w:lang w:val="en-US" w:eastAsia="en-US" w:bidi="en-US"/>
      </w:rPr>
    </w:lvl>
    <w:lvl w:ilvl="7" w:tplc="0D46A26C">
      <w:numFmt w:val="bullet"/>
      <w:lvlText w:val="•"/>
      <w:lvlJc w:val="left"/>
      <w:pPr>
        <w:ind w:left="6886" w:hanging="360"/>
      </w:pPr>
      <w:rPr>
        <w:rFonts w:hint="default"/>
        <w:lang w:val="en-US" w:eastAsia="en-US" w:bidi="en-US"/>
      </w:rPr>
    </w:lvl>
    <w:lvl w:ilvl="8" w:tplc="745C7092">
      <w:numFmt w:val="bullet"/>
      <w:lvlText w:val="•"/>
      <w:lvlJc w:val="left"/>
      <w:pPr>
        <w:ind w:left="7673" w:hanging="360"/>
      </w:pPr>
      <w:rPr>
        <w:rFonts w:hint="default"/>
        <w:lang w:val="en-US" w:eastAsia="en-US" w:bidi="en-US"/>
      </w:rPr>
    </w:lvl>
  </w:abstractNum>
  <w:abstractNum w:abstractNumId="18" w15:restartNumberingAfterBreak="0">
    <w:nsid w:val="6583232C"/>
    <w:multiLevelType w:val="hybridMultilevel"/>
    <w:tmpl w:val="2CF0687E"/>
    <w:lvl w:ilvl="0" w:tplc="22906298">
      <w:numFmt w:val="bullet"/>
      <w:lvlText w:val=""/>
      <w:lvlJc w:val="left"/>
      <w:pPr>
        <w:ind w:left="1386" w:hanging="360"/>
      </w:pPr>
      <w:rPr>
        <w:rFonts w:ascii="Wingdings" w:eastAsia="Wingdings" w:hAnsi="Wingdings" w:cs="Wingdings" w:hint="default"/>
        <w:w w:val="100"/>
        <w:sz w:val="22"/>
        <w:szCs w:val="22"/>
        <w:lang w:val="en-US" w:eastAsia="en-US" w:bidi="en-US"/>
      </w:rPr>
    </w:lvl>
    <w:lvl w:ilvl="1" w:tplc="D05253B2">
      <w:numFmt w:val="bullet"/>
      <w:lvlText w:val="•"/>
      <w:lvlJc w:val="left"/>
      <w:pPr>
        <w:ind w:left="2166" w:hanging="360"/>
      </w:pPr>
      <w:rPr>
        <w:rFonts w:hint="default"/>
        <w:lang w:val="en-US" w:eastAsia="en-US" w:bidi="en-US"/>
      </w:rPr>
    </w:lvl>
    <w:lvl w:ilvl="2" w:tplc="37D8E8C6">
      <w:numFmt w:val="bullet"/>
      <w:lvlText w:val="•"/>
      <w:lvlJc w:val="left"/>
      <w:pPr>
        <w:ind w:left="2953" w:hanging="360"/>
      </w:pPr>
      <w:rPr>
        <w:rFonts w:hint="default"/>
        <w:lang w:val="en-US" w:eastAsia="en-US" w:bidi="en-US"/>
      </w:rPr>
    </w:lvl>
    <w:lvl w:ilvl="3" w:tplc="B4F0F6D2">
      <w:numFmt w:val="bullet"/>
      <w:lvlText w:val="•"/>
      <w:lvlJc w:val="left"/>
      <w:pPr>
        <w:ind w:left="3739" w:hanging="360"/>
      </w:pPr>
      <w:rPr>
        <w:rFonts w:hint="default"/>
        <w:lang w:val="en-US" w:eastAsia="en-US" w:bidi="en-US"/>
      </w:rPr>
    </w:lvl>
    <w:lvl w:ilvl="4" w:tplc="59A6ABD2">
      <w:numFmt w:val="bullet"/>
      <w:lvlText w:val="•"/>
      <w:lvlJc w:val="left"/>
      <w:pPr>
        <w:ind w:left="4526" w:hanging="360"/>
      </w:pPr>
      <w:rPr>
        <w:rFonts w:hint="default"/>
        <w:lang w:val="en-US" w:eastAsia="en-US" w:bidi="en-US"/>
      </w:rPr>
    </w:lvl>
    <w:lvl w:ilvl="5" w:tplc="3A74E9C2">
      <w:numFmt w:val="bullet"/>
      <w:lvlText w:val="•"/>
      <w:lvlJc w:val="left"/>
      <w:pPr>
        <w:ind w:left="5313" w:hanging="360"/>
      </w:pPr>
      <w:rPr>
        <w:rFonts w:hint="default"/>
        <w:lang w:val="en-US" w:eastAsia="en-US" w:bidi="en-US"/>
      </w:rPr>
    </w:lvl>
    <w:lvl w:ilvl="6" w:tplc="5A143A3A">
      <w:numFmt w:val="bullet"/>
      <w:lvlText w:val="•"/>
      <w:lvlJc w:val="left"/>
      <w:pPr>
        <w:ind w:left="6099" w:hanging="360"/>
      </w:pPr>
      <w:rPr>
        <w:rFonts w:hint="default"/>
        <w:lang w:val="en-US" w:eastAsia="en-US" w:bidi="en-US"/>
      </w:rPr>
    </w:lvl>
    <w:lvl w:ilvl="7" w:tplc="45F422DE">
      <w:numFmt w:val="bullet"/>
      <w:lvlText w:val="•"/>
      <w:lvlJc w:val="left"/>
      <w:pPr>
        <w:ind w:left="6886" w:hanging="360"/>
      </w:pPr>
      <w:rPr>
        <w:rFonts w:hint="default"/>
        <w:lang w:val="en-US" w:eastAsia="en-US" w:bidi="en-US"/>
      </w:rPr>
    </w:lvl>
    <w:lvl w:ilvl="8" w:tplc="F87C4DA0">
      <w:numFmt w:val="bullet"/>
      <w:lvlText w:val="•"/>
      <w:lvlJc w:val="left"/>
      <w:pPr>
        <w:ind w:left="7673" w:hanging="360"/>
      </w:pPr>
      <w:rPr>
        <w:rFonts w:hint="default"/>
        <w:lang w:val="en-US" w:eastAsia="en-US" w:bidi="en-US"/>
      </w:rPr>
    </w:lvl>
  </w:abstractNum>
  <w:abstractNum w:abstractNumId="19" w15:restartNumberingAfterBreak="0">
    <w:nsid w:val="668F3A6D"/>
    <w:multiLevelType w:val="multilevel"/>
    <w:tmpl w:val="389C1796"/>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696E5DB3"/>
    <w:multiLevelType w:val="multilevel"/>
    <w:tmpl w:val="D2A6B636"/>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74D30B2F"/>
    <w:multiLevelType w:val="multilevel"/>
    <w:tmpl w:val="529ED23A"/>
    <w:lvl w:ilvl="0">
      <w:start w:val="1"/>
      <w:numFmt w:val="decimal"/>
      <w:lvlText w:val="%1."/>
      <w:lvlJc w:val="left"/>
      <w:pPr>
        <w:ind w:left="789" w:hanging="483"/>
      </w:pPr>
      <w:rPr>
        <w:rFonts w:hint="default"/>
        <w:spacing w:val="-18"/>
        <w:w w:val="99"/>
        <w:lang w:val="en-US" w:eastAsia="en-US" w:bidi="en-US"/>
      </w:rPr>
    </w:lvl>
    <w:lvl w:ilvl="1">
      <w:start w:val="1"/>
      <w:numFmt w:val="decimal"/>
      <w:lvlText w:val="%1.%2"/>
      <w:lvlJc w:val="left"/>
      <w:pPr>
        <w:ind w:left="1384" w:hanging="596"/>
      </w:pPr>
      <w:rPr>
        <w:rFonts w:ascii="Times New Roman" w:eastAsia="Times New Roman" w:hAnsi="Times New Roman" w:cs="Times New Roman" w:hint="default"/>
        <w:spacing w:val="-5"/>
        <w:w w:val="100"/>
        <w:sz w:val="24"/>
        <w:szCs w:val="24"/>
        <w:lang w:val="en-US" w:eastAsia="en-US" w:bidi="en-US"/>
      </w:rPr>
    </w:lvl>
    <w:lvl w:ilvl="2">
      <w:numFmt w:val="bullet"/>
      <w:lvlText w:val="•"/>
      <w:lvlJc w:val="left"/>
      <w:pPr>
        <w:ind w:left="2254" w:hanging="596"/>
      </w:pPr>
      <w:rPr>
        <w:rFonts w:hint="default"/>
        <w:lang w:val="en-US" w:eastAsia="en-US" w:bidi="en-US"/>
      </w:rPr>
    </w:lvl>
    <w:lvl w:ilvl="3">
      <w:numFmt w:val="bullet"/>
      <w:lvlText w:val="•"/>
      <w:lvlJc w:val="left"/>
      <w:pPr>
        <w:ind w:left="3128" w:hanging="596"/>
      </w:pPr>
      <w:rPr>
        <w:rFonts w:hint="default"/>
        <w:lang w:val="en-US" w:eastAsia="en-US" w:bidi="en-US"/>
      </w:rPr>
    </w:lvl>
    <w:lvl w:ilvl="4">
      <w:numFmt w:val="bullet"/>
      <w:lvlText w:val="•"/>
      <w:lvlJc w:val="left"/>
      <w:pPr>
        <w:ind w:left="4002" w:hanging="596"/>
      </w:pPr>
      <w:rPr>
        <w:rFonts w:hint="default"/>
        <w:lang w:val="en-US" w:eastAsia="en-US" w:bidi="en-US"/>
      </w:rPr>
    </w:lvl>
    <w:lvl w:ilvl="5">
      <w:numFmt w:val="bullet"/>
      <w:lvlText w:val="•"/>
      <w:lvlJc w:val="left"/>
      <w:pPr>
        <w:ind w:left="4876" w:hanging="596"/>
      </w:pPr>
      <w:rPr>
        <w:rFonts w:hint="default"/>
        <w:lang w:val="en-US" w:eastAsia="en-US" w:bidi="en-US"/>
      </w:rPr>
    </w:lvl>
    <w:lvl w:ilvl="6">
      <w:numFmt w:val="bullet"/>
      <w:lvlText w:val="•"/>
      <w:lvlJc w:val="left"/>
      <w:pPr>
        <w:ind w:left="5750" w:hanging="596"/>
      </w:pPr>
      <w:rPr>
        <w:rFonts w:hint="default"/>
        <w:lang w:val="en-US" w:eastAsia="en-US" w:bidi="en-US"/>
      </w:rPr>
    </w:lvl>
    <w:lvl w:ilvl="7">
      <w:numFmt w:val="bullet"/>
      <w:lvlText w:val="•"/>
      <w:lvlJc w:val="left"/>
      <w:pPr>
        <w:ind w:left="6624" w:hanging="596"/>
      </w:pPr>
      <w:rPr>
        <w:rFonts w:hint="default"/>
        <w:lang w:val="en-US" w:eastAsia="en-US" w:bidi="en-US"/>
      </w:rPr>
    </w:lvl>
    <w:lvl w:ilvl="8">
      <w:numFmt w:val="bullet"/>
      <w:lvlText w:val="•"/>
      <w:lvlJc w:val="left"/>
      <w:pPr>
        <w:ind w:left="7498" w:hanging="596"/>
      </w:pPr>
      <w:rPr>
        <w:rFonts w:hint="default"/>
        <w:lang w:val="en-US" w:eastAsia="en-US" w:bidi="en-US"/>
      </w:rPr>
    </w:lvl>
  </w:abstractNum>
  <w:abstractNum w:abstractNumId="22" w15:restartNumberingAfterBreak="0">
    <w:nsid w:val="793B1351"/>
    <w:multiLevelType w:val="multilevel"/>
    <w:tmpl w:val="A29E3064"/>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3" w15:restartNumberingAfterBreak="0">
    <w:nsid w:val="7A107C2E"/>
    <w:multiLevelType w:val="hybridMultilevel"/>
    <w:tmpl w:val="8DD0F8A2"/>
    <w:lvl w:ilvl="0" w:tplc="F1529428">
      <w:numFmt w:val="bullet"/>
      <w:lvlText w:val="-"/>
      <w:lvlJc w:val="left"/>
      <w:pPr>
        <w:ind w:left="1746" w:hanging="360"/>
      </w:pPr>
      <w:rPr>
        <w:rFonts w:ascii="Calibri" w:eastAsia="Calibri" w:hAnsi="Calibri" w:cs="Calibri" w:hint="default"/>
        <w:w w:val="100"/>
        <w:sz w:val="22"/>
        <w:szCs w:val="22"/>
        <w:lang w:val="en-US" w:eastAsia="en-US" w:bidi="en-US"/>
      </w:rPr>
    </w:lvl>
    <w:lvl w:ilvl="1" w:tplc="58C01F6E">
      <w:numFmt w:val="bullet"/>
      <w:lvlText w:val="•"/>
      <w:lvlJc w:val="left"/>
      <w:pPr>
        <w:ind w:left="2490" w:hanging="360"/>
      </w:pPr>
      <w:rPr>
        <w:rFonts w:hint="default"/>
        <w:lang w:val="en-US" w:eastAsia="en-US" w:bidi="en-US"/>
      </w:rPr>
    </w:lvl>
    <w:lvl w:ilvl="2" w:tplc="05562568">
      <w:numFmt w:val="bullet"/>
      <w:lvlText w:val="•"/>
      <w:lvlJc w:val="left"/>
      <w:pPr>
        <w:ind w:left="3241" w:hanging="360"/>
      </w:pPr>
      <w:rPr>
        <w:rFonts w:hint="default"/>
        <w:lang w:val="en-US" w:eastAsia="en-US" w:bidi="en-US"/>
      </w:rPr>
    </w:lvl>
    <w:lvl w:ilvl="3" w:tplc="52D29C6C">
      <w:numFmt w:val="bullet"/>
      <w:lvlText w:val="•"/>
      <w:lvlJc w:val="left"/>
      <w:pPr>
        <w:ind w:left="3991" w:hanging="360"/>
      </w:pPr>
      <w:rPr>
        <w:rFonts w:hint="default"/>
        <w:lang w:val="en-US" w:eastAsia="en-US" w:bidi="en-US"/>
      </w:rPr>
    </w:lvl>
    <w:lvl w:ilvl="4" w:tplc="74DA6B9E">
      <w:numFmt w:val="bullet"/>
      <w:lvlText w:val="•"/>
      <w:lvlJc w:val="left"/>
      <w:pPr>
        <w:ind w:left="4742" w:hanging="360"/>
      </w:pPr>
      <w:rPr>
        <w:rFonts w:hint="default"/>
        <w:lang w:val="en-US" w:eastAsia="en-US" w:bidi="en-US"/>
      </w:rPr>
    </w:lvl>
    <w:lvl w:ilvl="5" w:tplc="E59C37F4">
      <w:numFmt w:val="bullet"/>
      <w:lvlText w:val="•"/>
      <w:lvlJc w:val="left"/>
      <w:pPr>
        <w:ind w:left="5493" w:hanging="360"/>
      </w:pPr>
      <w:rPr>
        <w:rFonts w:hint="default"/>
        <w:lang w:val="en-US" w:eastAsia="en-US" w:bidi="en-US"/>
      </w:rPr>
    </w:lvl>
    <w:lvl w:ilvl="6" w:tplc="1576CC02">
      <w:numFmt w:val="bullet"/>
      <w:lvlText w:val="•"/>
      <w:lvlJc w:val="left"/>
      <w:pPr>
        <w:ind w:left="6243" w:hanging="360"/>
      </w:pPr>
      <w:rPr>
        <w:rFonts w:hint="default"/>
        <w:lang w:val="en-US" w:eastAsia="en-US" w:bidi="en-US"/>
      </w:rPr>
    </w:lvl>
    <w:lvl w:ilvl="7" w:tplc="138C3010">
      <w:numFmt w:val="bullet"/>
      <w:lvlText w:val="•"/>
      <w:lvlJc w:val="left"/>
      <w:pPr>
        <w:ind w:left="6994" w:hanging="360"/>
      </w:pPr>
      <w:rPr>
        <w:rFonts w:hint="default"/>
        <w:lang w:val="en-US" w:eastAsia="en-US" w:bidi="en-US"/>
      </w:rPr>
    </w:lvl>
    <w:lvl w:ilvl="8" w:tplc="41AA666A">
      <w:numFmt w:val="bullet"/>
      <w:lvlText w:val="•"/>
      <w:lvlJc w:val="left"/>
      <w:pPr>
        <w:ind w:left="7745" w:hanging="360"/>
      </w:pPr>
      <w:rPr>
        <w:rFonts w:hint="default"/>
        <w:lang w:val="en-US" w:eastAsia="en-US" w:bidi="en-US"/>
      </w:rPr>
    </w:lvl>
  </w:abstractNum>
  <w:abstractNum w:abstractNumId="24" w15:restartNumberingAfterBreak="0">
    <w:nsid w:val="7AF73417"/>
    <w:multiLevelType w:val="multilevel"/>
    <w:tmpl w:val="3D565B5E"/>
    <w:lvl w:ilvl="0">
      <w:start w:val="2"/>
      <w:numFmt w:val="decimal"/>
      <w:lvlText w:val="%1."/>
      <w:lvlJc w:val="left"/>
      <w:pPr>
        <w:ind w:left="360" w:hanging="360"/>
      </w:pPr>
      <w:rPr>
        <w:rFonts w:hint="default"/>
      </w:rPr>
    </w:lvl>
    <w:lvl w:ilvl="1">
      <w:start w:val="6"/>
      <w:numFmt w:val="decimal"/>
      <w:lvlText w:val="%1.%2."/>
      <w:lvlJc w:val="left"/>
      <w:pPr>
        <w:ind w:left="1025" w:hanging="360"/>
      </w:pPr>
      <w:rPr>
        <w:rFonts w:hint="default"/>
      </w:rPr>
    </w:lvl>
    <w:lvl w:ilvl="2">
      <w:start w:val="1"/>
      <w:numFmt w:val="decimal"/>
      <w:lvlText w:val="%1.%2.%3."/>
      <w:lvlJc w:val="left"/>
      <w:pPr>
        <w:ind w:left="2050" w:hanging="720"/>
      </w:pPr>
      <w:rPr>
        <w:rFonts w:hint="default"/>
      </w:rPr>
    </w:lvl>
    <w:lvl w:ilvl="3">
      <w:start w:val="1"/>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25" w15:restartNumberingAfterBreak="0">
    <w:nsid w:val="7D6F7088"/>
    <w:multiLevelType w:val="hybridMultilevel"/>
    <w:tmpl w:val="BF70AF66"/>
    <w:lvl w:ilvl="0" w:tplc="68E6A586">
      <w:numFmt w:val="bullet"/>
      <w:lvlText w:val="-"/>
      <w:lvlJc w:val="left"/>
      <w:pPr>
        <w:ind w:left="1746" w:hanging="360"/>
      </w:pPr>
      <w:rPr>
        <w:rFonts w:ascii="Calibri" w:eastAsia="Calibri" w:hAnsi="Calibri" w:cs="Calibri" w:hint="default"/>
        <w:w w:val="100"/>
        <w:sz w:val="22"/>
        <w:szCs w:val="22"/>
        <w:lang w:val="en-US" w:eastAsia="en-US" w:bidi="en-US"/>
      </w:rPr>
    </w:lvl>
    <w:lvl w:ilvl="1" w:tplc="A9DE1674">
      <w:numFmt w:val="bullet"/>
      <w:lvlText w:val="•"/>
      <w:lvlJc w:val="left"/>
      <w:pPr>
        <w:ind w:left="2490" w:hanging="360"/>
      </w:pPr>
      <w:rPr>
        <w:rFonts w:hint="default"/>
        <w:lang w:val="en-US" w:eastAsia="en-US" w:bidi="en-US"/>
      </w:rPr>
    </w:lvl>
    <w:lvl w:ilvl="2" w:tplc="D054C702">
      <w:numFmt w:val="bullet"/>
      <w:lvlText w:val="•"/>
      <w:lvlJc w:val="left"/>
      <w:pPr>
        <w:ind w:left="3241" w:hanging="360"/>
      </w:pPr>
      <w:rPr>
        <w:rFonts w:hint="default"/>
        <w:lang w:val="en-US" w:eastAsia="en-US" w:bidi="en-US"/>
      </w:rPr>
    </w:lvl>
    <w:lvl w:ilvl="3" w:tplc="463832AA">
      <w:numFmt w:val="bullet"/>
      <w:lvlText w:val="•"/>
      <w:lvlJc w:val="left"/>
      <w:pPr>
        <w:ind w:left="3991" w:hanging="360"/>
      </w:pPr>
      <w:rPr>
        <w:rFonts w:hint="default"/>
        <w:lang w:val="en-US" w:eastAsia="en-US" w:bidi="en-US"/>
      </w:rPr>
    </w:lvl>
    <w:lvl w:ilvl="4" w:tplc="22C2D7D4">
      <w:numFmt w:val="bullet"/>
      <w:lvlText w:val="•"/>
      <w:lvlJc w:val="left"/>
      <w:pPr>
        <w:ind w:left="4742" w:hanging="360"/>
      </w:pPr>
      <w:rPr>
        <w:rFonts w:hint="default"/>
        <w:lang w:val="en-US" w:eastAsia="en-US" w:bidi="en-US"/>
      </w:rPr>
    </w:lvl>
    <w:lvl w:ilvl="5" w:tplc="9E7C770A">
      <w:numFmt w:val="bullet"/>
      <w:lvlText w:val="•"/>
      <w:lvlJc w:val="left"/>
      <w:pPr>
        <w:ind w:left="5493" w:hanging="360"/>
      </w:pPr>
      <w:rPr>
        <w:rFonts w:hint="default"/>
        <w:lang w:val="en-US" w:eastAsia="en-US" w:bidi="en-US"/>
      </w:rPr>
    </w:lvl>
    <w:lvl w:ilvl="6" w:tplc="4A4A4962">
      <w:numFmt w:val="bullet"/>
      <w:lvlText w:val="•"/>
      <w:lvlJc w:val="left"/>
      <w:pPr>
        <w:ind w:left="6243" w:hanging="360"/>
      </w:pPr>
      <w:rPr>
        <w:rFonts w:hint="default"/>
        <w:lang w:val="en-US" w:eastAsia="en-US" w:bidi="en-US"/>
      </w:rPr>
    </w:lvl>
    <w:lvl w:ilvl="7" w:tplc="BBFE7A1C">
      <w:numFmt w:val="bullet"/>
      <w:lvlText w:val="•"/>
      <w:lvlJc w:val="left"/>
      <w:pPr>
        <w:ind w:left="6994" w:hanging="360"/>
      </w:pPr>
      <w:rPr>
        <w:rFonts w:hint="default"/>
        <w:lang w:val="en-US" w:eastAsia="en-US" w:bidi="en-US"/>
      </w:rPr>
    </w:lvl>
    <w:lvl w:ilvl="8" w:tplc="03F2C2C8">
      <w:numFmt w:val="bullet"/>
      <w:lvlText w:val="•"/>
      <w:lvlJc w:val="left"/>
      <w:pPr>
        <w:ind w:left="7745" w:hanging="360"/>
      </w:pPr>
      <w:rPr>
        <w:rFonts w:hint="default"/>
        <w:lang w:val="en-US" w:eastAsia="en-US" w:bidi="en-US"/>
      </w:rPr>
    </w:lvl>
  </w:abstractNum>
  <w:num w:numId="1">
    <w:abstractNumId w:val="8"/>
  </w:num>
  <w:num w:numId="2">
    <w:abstractNumId w:val="16"/>
  </w:num>
  <w:num w:numId="3">
    <w:abstractNumId w:val="4"/>
  </w:num>
  <w:num w:numId="4">
    <w:abstractNumId w:val="5"/>
  </w:num>
  <w:num w:numId="5">
    <w:abstractNumId w:val="7"/>
  </w:num>
  <w:num w:numId="6">
    <w:abstractNumId w:val="15"/>
  </w:num>
  <w:num w:numId="7">
    <w:abstractNumId w:val="13"/>
  </w:num>
  <w:num w:numId="8">
    <w:abstractNumId w:val="18"/>
  </w:num>
  <w:num w:numId="9">
    <w:abstractNumId w:val="9"/>
  </w:num>
  <w:num w:numId="10">
    <w:abstractNumId w:val="17"/>
  </w:num>
  <w:num w:numId="11">
    <w:abstractNumId w:val="25"/>
  </w:num>
  <w:num w:numId="12">
    <w:abstractNumId w:val="23"/>
  </w:num>
  <w:num w:numId="13">
    <w:abstractNumId w:val="10"/>
  </w:num>
  <w:num w:numId="14">
    <w:abstractNumId w:val="14"/>
  </w:num>
  <w:num w:numId="15">
    <w:abstractNumId w:val="3"/>
  </w:num>
  <w:num w:numId="16">
    <w:abstractNumId w:val="12"/>
  </w:num>
  <w:num w:numId="17">
    <w:abstractNumId w:val="21"/>
  </w:num>
  <w:num w:numId="18">
    <w:abstractNumId w:val="11"/>
  </w:num>
  <w:num w:numId="19">
    <w:abstractNumId w:val="0"/>
  </w:num>
  <w:num w:numId="20">
    <w:abstractNumId w:val="24"/>
  </w:num>
  <w:num w:numId="21">
    <w:abstractNumId w:val="2"/>
  </w:num>
  <w:num w:numId="22">
    <w:abstractNumId w:val="1"/>
  </w:num>
  <w:num w:numId="23">
    <w:abstractNumId w:val="19"/>
  </w:num>
  <w:num w:numId="24">
    <w:abstractNumId w:val="20"/>
  </w:num>
  <w:num w:numId="25">
    <w:abstractNumId w:val="22"/>
  </w:num>
  <w:num w:numId="2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yphaine Beauperin">
    <w15:presenceInfo w15:providerId="AD" w15:userId="S-1-5-21-2682370392-3430223627-2029748423-2113"/>
  </w15:person>
  <w15:person w15:author="Administration">
    <w15:presenceInfo w15:providerId="AD" w15:userId="S-1-5-21-2682370392-3430223627-2029748423-2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2E"/>
    <w:rsid w:val="0000233A"/>
    <w:rsid w:val="0000603C"/>
    <w:rsid w:val="000210F6"/>
    <w:rsid w:val="000221A2"/>
    <w:rsid w:val="00023885"/>
    <w:rsid w:val="000350F2"/>
    <w:rsid w:val="000355F3"/>
    <w:rsid w:val="00035F61"/>
    <w:rsid w:val="00040521"/>
    <w:rsid w:val="000408CF"/>
    <w:rsid w:val="000447C3"/>
    <w:rsid w:val="00051BB9"/>
    <w:rsid w:val="00052742"/>
    <w:rsid w:val="0005467D"/>
    <w:rsid w:val="00083512"/>
    <w:rsid w:val="000856F2"/>
    <w:rsid w:val="0008584C"/>
    <w:rsid w:val="000867AA"/>
    <w:rsid w:val="00091088"/>
    <w:rsid w:val="000966C7"/>
    <w:rsid w:val="000972F6"/>
    <w:rsid w:val="000A2040"/>
    <w:rsid w:val="000A48FA"/>
    <w:rsid w:val="000A7DF5"/>
    <w:rsid w:val="000B6EB6"/>
    <w:rsid w:val="000C4154"/>
    <w:rsid w:val="000D00CD"/>
    <w:rsid w:val="000E03F3"/>
    <w:rsid w:val="000E1A79"/>
    <w:rsid w:val="000E1CE8"/>
    <w:rsid w:val="000E7026"/>
    <w:rsid w:val="000F22D5"/>
    <w:rsid w:val="00100239"/>
    <w:rsid w:val="001056DC"/>
    <w:rsid w:val="0012646F"/>
    <w:rsid w:val="00143803"/>
    <w:rsid w:val="00157CB2"/>
    <w:rsid w:val="00161DA6"/>
    <w:rsid w:val="001658CC"/>
    <w:rsid w:val="00167A26"/>
    <w:rsid w:val="001826DA"/>
    <w:rsid w:val="001A260F"/>
    <w:rsid w:val="001A72ED"/>
    <w:rsid w:val="001B43B3"/>
    <w:rsid w:val="001C0D08"/>
    <w:rsid w:val="001C1318"/>
    <w:rsid w:val="001C7AC7"/>
    <w:rsid w:val="001E54EE"/>
    <w:rsid w:val="0022097A"/>
    <w:rsid w:val="00221EC9"/>
    <w:rsid w:val="002325AE"/>
    <w:rsid w:val="00232EC3"/>
    <w:rsid w:val="0023372C"/>
    <w:rsid w:val="002431EC"/>
    <w:rsid w:val="00247E93"/>
    <w:rsid w:val="002560C0"/>
    <w:rsid w:val="00257936"/>
    <w:rsid w:val="00261040"/>
    <w:rsid w:val="0026528E"/>
    <w:rsid w:val="00270961"/>
    <w:rsid w:val="0027304B"/>
    <w:rsid w:val="00275A82"/>
    <w:rsid w:val="00276130"/>
    <w:rsid w:val="0028389C"/>
    <w:rsid w:val="00283E98"/>
    <w:rsid w:val="00287500"/>
    <w:rsid w:val="0029775B"/>
    <w:rsid w:val="002C1E98"/>
    <w:rsid w:val="002C238D"/>
    <w:rsid w:val="002C5AD1"/>
    <w:rsid w:val="002D325E"/>
    <w:rsid w:val="002D657D"/>
    <w:rsid w:val="002F0E22"/>
    <w:rsid w:val="002F18A6"/>
    <w:rsid w:val="002F26A2"/>
    <w:rsid w:val="00300254"/>
    <w:rsid w:val="003028AA"/>
    <w:rsid w:val="00316E74"/>
    <w:rsid w:val="00317361"/>
    <w:rsid w:val="00321714"/>
    <w:rsid w:val="0032422E"/>
    <w:rsid w:val="00332E7D"/>
    <w:rsid w:val="00341007"/>
    <w:rsid w:val="00341595"/>
    <w:rsid w:val="0035345A"/>
    <w:rsid w:val="003578C2"/>
    <w:rsid w:val="00357C91"/>
    <w:rsid w:val="00364E91"/>
    <w:rsid w:val="0037478A"/>
    <w:rsid w:val="00384EAD"/>
    <w:rsid w:val="00387504"/>
    <w:rsid w:val="00387F0C"/>
    <w:rsid w:val="003903E1"/>
    <w:rsid w:val="00393C07"/>
    <w:rsid w:val="00393CFD"/>
    <w:rsid w:val="003941DD"/>
    <w:rsid w:val="003B2A97"/>
    <w:rsid w:val="003B2B71"/>
    <w:rsid w:val="003B7B4C"/>
    <w:rsid w:val="003C1FF6"/>
    <w:rsid w:val="003C3820"/>
    <w:rsid w:val="003C5432"/>
    <w:rsid w:val="003D429D"/>
    <w:rsid w:val="003D707E"/>
    <w:rsid w:val="003D77AA"/>
    <w:rsid w:val="003E2E45"/>
    <w:rsid w:val="003E4A98"/>
    <w:rsid w:val="003F727E"/>
    <w:rsid w:val="00404075"/>
    <w:rsid w:val="004045A6"/>
    <w:rsid w:val="004048B3"/>
    <w:rsid w:val="00406472"/>
    <w:rsid w:val="0042046F"/>
    <w:rsid w:val="0042204A"/>
    <w:rsid w:val="00423986"/>
    <w:rsid w:val="00430180"/>
    <w:rsid w:val="00436C41"/>
    <w:rsid w:val="00441059"/>
    <w:rsid w:val="00443C1F"/>
    <w:rsid w:val="0044798B"/>
    <w:rsid w:val="00452D0D"/>
    <w:rsid w:val="004536E4"/>
    <w:rsid w:val="004538DF"/>
    <w:rsid w:val="00471AC4"/>
    <w:rsid w:val="00475EBF"/>
    <w:rsid w:val="004851FB"/>
    <w:rsid w:val="00490EC3"/>
    <w:rsid w:val="00496085"/>
    <w:rsid w:val="004A5A96"/>
    <w:rsid w:val="004B04CF"/>
    <w:rsid w:val="004B7E3C"/>
    <w:rsid w:val="004C768F"/>
    <w:rsid w:val="004C7928"/>
    <w:rsid w:val="004E6E53"/>
    <w:rsid w:val="004E71F3"/>
    <w:rsid w:val="00513648"/>
    <w:rsid w:val="00523389"/>
    <w:rsid w:val="00531A9E"/>
    <w:rsid w:val="00536BAF"/>
    <w:rsid w:val="0054021F"/>
    <w:rsid w:val="00540761"/>
    <w:rsid w:val="005470FB"/>
    <w:rsid w:val="005572B2"/>
    <w:rsid w:val="00561DD3"/>
    <w:rsid w:val="005845BF"/>
    <w:rsid w:val="00597EC4"/>
    <w:rsid w:val="005A03BC"/>
    <w:rsid w:val="005A0B50"/>
    <w:rsid w:val="005A0F18"/>
    <w:rsid w:val="005A36F4"/>
    <w:rsid w:val="005B183B"/>
    <w:rsid w:val="005B6ECA"/>
    <w:rsid w:val="005C654E"/>
    <w:rsid w:val="005C713B"/>
    <w:rsid w:val="005D0544"/>
    <w:rsid w:val="005D1C8F"/>
    <w:rsid w:val="005D282E"/>
    <w:rsid w:val="005D4964"/>
    <w:rsid w:val="005E1141"/>
    <w:rsid w:val="005E6DF3"/>
    <w:rsid w:val="006021AC"/>
    <w:rsid w:val="006142A9"/>
    <w:rsid w:val="00655430"/>
    <w:rsid w:val="00661F93"/>
    <w:rsid w:val="00676B14"/>
    <w:rsid w:val="00681425"/>
    <w:rsid w:val="00682532"/>
    <w:rsid w:val="006843BC"/>
    <w:rsid w:val="00691A20"/>
    <w:rsid w:val="00696284"/>
    <w:rsid w:val="006B7208"/>
    <w:rsid w:val="006B7BBA"/>
    <w:rsid w:val="006C56A8"/>
    <w:rsid w:val="006C668C"/>
    <w:rsid w:val="006D2057"/>
    <w:rsid w:val="006D67F9"/>
    <w:rsid w:val="006D724B"/>
    <w:rsid w:val="006E606B"/>
    <w:rsid w:val="006F0FE7"/>
    <w:rsid w:val="006F3D86"/>
    <w:rsid w:val="006F7582"/>
    <w:rsid w:val="00700D58"/>
    <w:rsid w:val="00704EB1"/>
    <w:rsid w:val="00711A99"/>
    <w:rsid w:val="00712F22"/>
    <w:rsid w:val="00723EAB"/>
    <w:rsid w:val="0072480C"/>
    <w:rsid w:val="007318A5"/>
    <w:rsid w:val="00731B78"/>
    <w:rsid w:val="00754818"/>
    <w:rsid w:val="00756C9C"/>
    <w:rsid w:val="007831E9"/>
    <w:rsid w:val="007A0F82"/>
    <w:rsid w:val="007B6656"/>
    <w:rsid w:val="007B6BA7"/>
    <w:rsid w:val="007B6E07"/>
    <w:rsid w:val="007C567A"/>
    <w:rsid w:val="007E55D6"/>
    <w:rsid w:val="007F2927"/>
    <w:rsid w:val="0082455B"/>
    <w:rsid w:val="00837C47"/>
    <w:rsid w:val="00856805"/>
    <w:rsid w:val="00876326"/>
    <w:rsid w:val="0088452C"/>
    <w:rsid w:val="008922EF"/>
    <w:rsid w:val="008A1062"/>
    <w:rsid w:val="008B1370"/>
    <w:rsid w:val="008B388E"/>
    <w:rsid w:val="008C76CC"/>
    <w:rsid w:val="008C7C9B"/>
    <w:rsid w:val="008D5D01"/>
    <w:rsid w:val="008D6BA0"/>
    <w:rsid w:val="00910B48"/>
    <w:rsid w:val="0091217D"/>
    <w:rsid w:val="00913853"/>
    <w:rsid w:val="009156B8"/>
    <w:rsid w:val="009343C8"/>
    <w:rsid w:val="00935B66"/>
    <w:rsid w:val="00942D72"/>
    <w:rsid w:val="00970E3F"/>
    <w:rsid w:val="00975CBE"/>
    <w:rsid w:val="00986080"/>
    <w:rsid w:val="009870AB"/>
    <w:rsid w:val="00990272"/>
    <w:rsid w:val="0099499C"/>
    <w:rsid w:val="009A38FC"/>
    <w:rsid w:val="009A5D45"/>
    <w:rsid w:val="009B0675"/>
    <w:rsid w:val="009B57CF"/>
    <w:rsid w:val="009B72A0"/>
    <w:rsid w:val="009C1FD5"/>
    <w:rsid w:val="009E4533"/>
    <w:rsid w:val="009F5621"/>
    <w:rsid w:val="009F7DE5"/>
    <w:rsid w:val="00A0610D"/>
    <w:rsid w:val="00A10564"/>
    <w:rsid w:val="00A1180A"/>
    <w:rsid w:val="00A22430"/>
    <w:rsid w:val="00A359EC"/>
    <w:rsid w:val="00A402FC"/>
    <w:rsid w:val="00A43A74"/>
    <w:rsid w:val="00A53563"/>
    <w:rsid w:val="00A6144F"/>
    <w:rsid w:val="00A66ACC"/>
    <w:rsid w:val="00A80498"/>
    <w:rsid w:val="00A81D20"/>
    <w:rsid w:val="00A8414E"/>
    <w:rsid w:val="00A867FC"/>
    <w:rsid w:val="00AA2D32"/>
    <w:rsid w:val="00AD75F4"/>
    <w:rsid w:val="00AF2916"/>
    <w:rsid w:val="00AF36C5"/>
    <w:rsid w:val="00AF55D1"/>
    <w:rsid w:val="00B0132C"/>
    <w:rsid w:val="00B145A0"/>
    <w:rsid w:val="00B25653"/>
    <w:rsid w:val="00B26B03"/>
    <w:rsid w:val="00B3416E"/>
    <w:rsid w:val="00B373E6"/>
    <w:rsid w:val="00B428B2"/>
    <w:rsid w:val="00B4332C"/>
    <w:rsid w:val="00B433DB"/>
    <w:rsid w:val="00B47D64"/>
    <w:rsid w:val="00B62121"/>
    <w:rsid w:val="00B647AE"/>
    <w:rsid w:val="00B64A90"/>
    <w:rsid w:val="00B64BC2"/>
    <w:rsid w:val="00B6752F"/>
    <w:rsid w:val="00B82731"/>
    <w:rsid w:val="00B85B52"/>
    <w:rsid w:val="00B913C1"/>
    <w:rsid w:val="00B91DF8"/>
    <w:rsid w:val="00B9567C"/>
    <w:rsid w:val="00B97C1A"/>
    <w:rsid w:val="00BA0F8A"/>
    <w:rsid w:val="00BA3E59"/>
    <w:rsid w:val="00BA5679"/>
    <w:rsid w:val="00BC10B7"/>
    <w:rsid w:val="00BC1D57"/>
    <w:rsid w:val="00BC4A4F"/>
    <w:rsid w:val="00BC6A0F"/>
    <w:rsid w:val="00BD2656"/>
    <w:rsid w:val="00C0550D"/>
    <w:rsid w:val="00C07EBA"/>
    <w:rsid w:val="00C15959"/>
    <w:rsid w:val="00C173D5"/>
    <w:rsid w:val="00C17446"/>
    <w:rsid w:val="00C31C66"/>
    <w:rsid w:val="00C32FFE"/>
    <w:rsid w:val="00C448A0"/>
    <w:rsid w:val="00C75D10"/>
    <w:rsid w:val="00C75E70"/>
    <w:rsid w:val="00C76C8B"/>
    <w:rsid w:val="00C77764"/>
    <w:rsid w:val="00C83109"/>
    <w:rsid w:val="00CA1888"/>
    <w:rsid w:val="00CB3738"/>
    <w:rsid w:val="00CC489A"/>
    <w:rsid w:val="00CC57EB"/>
    <w:rsid w:val="00CD021B"/>
    <w:rsid w:val="00CE0C3F"/>
    <w:rsid w:val="00CE450D"/>
    <w:rsid w:val="00CF015A"/>
    <w:rsid w:val="00CF222F"/>
    <w:rsid w:val="00CF4698"/>
    <w:rsid w:val="00D043BF"/>
    <w:rsid w:val="00D14D31"/>
    <w:rsid w:val="00D255D7"/>
    <w:rsid w:val="00D6584E"/>
    <w:rsid w:val="00D76B83"/>
    <w:rsid w:val="00D957B1"/>
    <w:rsid w:val="00D95E12"/>
    <w:rsid w:val="00DA493A"/>
    <w:rsid w:val="00DB7387"/>
    <w:rsid w:val="00DC14FF"/>
    <w:rsid w:val="00DC6813"/>
    <w:rsid w:val="00DD3062"/>
    <w:rsid w:val="00DE45BB"/>
    <w:rsid w:val="00DE737D"/>
    <w:rsid w:val="00DF3740"/>
    <w:rsid w:val="00E04B2D"/>
    <w:rsid w:val="00E05040"/>
    <w:rsid w:val="00E06B95"/>
    <w:rsid w:val="00E06E63"/>
    <w:rsid w:val="00E07AE3"/>
    <w:rsid w:val="00E14792"/>
    <w:rsid w:val="00E2390E"/>
    <w:rsid w:val="00E25D45"/>
    <w:rsid w:val="00E26AF3"/>
    <w:rsid w:val="00E26CBF"/>
    <w:rsid w:val="00E31B53"/>
    <w:rsid w:val="00E3294A"/>
    <w:rsid w:val="00E33B77"/>
    <w:rsid w:val="00E3481F"/>
    <w:rsid w:val="00E47DB2"/>
    <w:rsid w:val="00E6153C"/>
    <w:rsid w:val="00E61DA3"/>
    <w:rsid w:val="00E8161A"/>
    <w:rsid w:val="00E832F8"/>
    <w:rsid w:val="00E93866"/>
    <w:rsid w:val="00E96134"/>
    <w:rsid w:val="00E968F3"/>
    <w:rsid w:val="00E96D85"/>
    <w:rsid w:val="00EA3BA6"/>
    <w:rsid w:val="00EB5091"/>
    <w:rsid w:val="00EB711A"/>
    <w:rsid w:val="00ED0044"/>
    <w:rsid w:val="00ED6CA6"/>
    <w:rsid w:val="00EE00A5"/>
    <w:rsid w:val="00EE1033"/>
    <w:rsid w:val="00EE1E60"/>
    <w:rsid w:val="00EF617F"/>
    <w:rsid w:val="00EF6410"/>
    <w:rsid w:val="00F020F3"/>
    <w:rsid w:val="00F0581C"/>
    <w:rsid w:val="00F074CC"/>
    <w:rsid w:val="00F61F7A"/>
    <w:rsid w:val="00F70069"/>
    <w:rsid w:val="00F732C2"/>
    <w:rsid w:val="00F85158"/>
    <w:rsid w:val="00F94BEE"/>
    <w:rsid w:val="00F95AAD"/>
    <w:rsid w:val="00F968C8"/>
    <w:rsid w:val="00FA715A"/>
    <w:rsid w:val="00FB00A6"/>
    <w:rsid w:val="00FB2ACF"/>
    <w:rsid w:val="00FB2E8D"/>
    <w:rsid w:val="00FC14FA"/>
    <w:rsid w:val="00FC4721"/>
    <w:rsid w:val="00FD0911"/>
    <w:rsid w:val="00FD2E3C"/>
    <w:rsid w:val="00FD6BE3"/>
    <w:rsid w:val="00FE43F3"/>
    <w:rsid w:val="00FE483D"/>
    <w:rsid w:val="00FE4CEC"/>
    <w:rsid w:val="00FF24BF"/>
    <w:rsid w:val="00FF5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9B0D04"/>
  <w15:docId w15:val="{591227DD-5493-4962-9EB0-8E5DA6FD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60"/>
      <w:ind w:left="306"/>
      <w:outlineLvl w:val="0"/>
    </w:pPr>
    <w:rPr>
      <w:b/>
      <w:bCs/>
      <w:sz w:val="26"/>
      <w:szCs w:val="26"/>
    </w:rPr>
  </w:style>
  <w:style w:type="paragraph" w:styleId="Heading2">
    <w:name w:val="heading 2"/>
    <w:basedOn w:val="Normal"/>
    <w:uiPriority w:val="1"/>
    <w:qFormat/>
    <w:pPr>
      <w:ind w:left="1026" w:hanging="361"/>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120"/>
      <w:ind w:right="296"/>
      <w:jc w:val="right"/>
    </w:pPr>
    <w:rPr>
      <w:sz w:val="24"/>
      <w:szCs w:val="24"/>
    </w:rPr>
  </w:style>
  <w:style w:type="paragraph" w:styleId="TOC2">
    <w:name w:val="toc 2"/>
    <w:basedOn w:val="Normal"/>
    <w:uiPriority w:val="1"/>
    <w:qFormat/>
    <w:pPr>
      <w:spacing w:before="240"/>
      <w:ind w:right="296"/>
      <w:jc w:val="right"/>
    </w:pPr>
    <w:rPr>
      <w:i/>
      <w:sz w:val="24"/>
      <w:szCs w:val="24"/>
    </w:rPr>
  </w:style>
  <w:style w:type="paragraph" w:styleId="TOC3">
    <w:name w:val="toc 3"/>
    <w:basedOn w:val="Normal"/>
    <w:uiPriority w:val="1"/>
    <w:qFormat/>
    <w:pPr>
      <w:spacing w:before="240"/>
      <w:ind w:left="789" w:right="296" w:hanging="483"/>
    </w:pPr>
    <w:rPr>
      <w:sz w:val="24"/>
      <w:szCs w:val="24"/>
    </w:rPr>
  </w:style>
  <w:style w:type="paragraph" w:styleId="TOC4">
    <w:name w:val="toc 4"/>
    <w:basedOn w:val="Normal"/>
    <w:uiPriority w:val="1"/>
    <w:qFormat/>
    <w:pPr>
      <w:spacing w:before="120"/>
      <w:ind w:left="1384" w:hanging="596"/>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26" w:hanging="361"/>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FF5CC2"/>
    <w:rPr>
      <w:sz w:val="20"/>
      <w:szCs w:val="20"/>
    </w:rPr>
  </w:style>
  <w:style w:type="character" w:customStyle="1" w:styleId="FootnoteTextChar">
    <w:name w:val="Footnote Text Char"/>
    <w:basedOn w:val="DefaultParagraphFont"/>
    <w:link w:val="FootnoteText"/>
    <w:uiPriority w:val="99"/>
    <w:semiHidden/>
    <w:rsid w:val="00FF5CC2"/>
    <w:rPr>
      <w:rFonts w:ascii="Times New Roman" w:eastAsia="Times New Roman" w:hAnsi="Times New Roman" w:cs="Times New Roman"/>
      <w:sz w:val="20"/>
      <w:szCs w:val="20"/>
      <w:lang w:bidi="en-US"/>
    </w:rPr>
  </w:style>
  <w:style w:type="character" w:styleId="FootnoteReference">
    <w:name w:val="footnote reference"/>
    <w:basedOn w:val="DefaultParagraphFont"/>
    <w:uiPriority w:val="99"/>
    <w:semiHidden/>
    <w:unhideWhenUsed/>
    <w:rsid w:val="00FF5CC2"/>
    <w:rPr>
      <w:vertAlign w:val="superscript"/>
    </w:rPr>
  </w:style>
  <w:style w:type="paragraph" w:styleId="BalloonText">
    <w:name w:val="Balloon Text"/>
    <w:basedOn w:val="Normal"/>
    <w:link w:val="BalloonTextChar"/>
    <w:uiPriority w:val="99"/>
    <w:semiHidden/>
    <w:unhideWhenUsed/>
    <w:rsid w:val="00910B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B48"/>
    <w:rPr>
      <w:rFonts w:ascii="Segoe UI" w:eastAsia="Times New Roman" w:hAnsi="Segoe UI" w:cs="Segoe UI"/>
      <w:sz w:val="18"/>
      <w:szCs w:val="18"/>
      <w:lang w:bidi="en-US"/>
    </w:rPr>
  </w:style>
  <w:style w:type="character" w:styleId="CommentReference">
    <w:name w:val="annotation reference"/>
    <w:basedOn w:val="DefaultParagraphFont"/>
    <w:uiPriority w:val="99"/>
    <w:semiHidden/>
    <w:unhideWhenUsed/>
    <w:rsid w:val="00DA493A"/>
    <w:rPr>
      <w:sz w:val="16"/>
      <w:szCs w:val="16"/>
    </w:rPr>
  </w:style>
  <w:style w:type="paragraph" w:styleId="CommentText">
    <w:name w:val="annotation text"/>
    <w:basedOn w:val="Normal"/>
    <w:link w:val="CommentTextChar"/>
    <w:uiPriority w:val="99"/>
    <w:semiHidden/>
    <w:unhideWhenUsed/>
    <w:rsid w:val="00DA493A"/>
    <w:rPr>
      <w:sz w:val="20"/>
      <w:szCs w:val="20"/>
    </w:rPr>
  </w:style>
  <w:style w:type="character" w:customStyle="1" w:styleId="CommentTextChar">
    <w:name w:val="Comment Text Char"/>
    <w:basedOn w:val="DefaultParagraphFont"/>
    <w:link w:val="CommentText"/>
    <w:uiPriority w:val="99"/>
    <w:semiHidden/>
    <w:rsid w:val="00DA493A"/>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A493A"/>
    <w:rPr>
      <w:b/>
      <w:bCs/>
    </w:rPr>
  </w:style>
  <w:style w:type="character" w:customStyle="1" w:styleId="CommentSubjectChar">
    <w:name w:val="Comment Subject Char"/>
    <w:basedOn w:val="CommentTextChar"/>
    <w:link w:val="CommentSubject"/>
    <w:uiPriority w:val="99"/>
    <w:semiHidden/>
    <w:rsid w:val="00DA493A"/>
    <w:rPr>
      <w:rFonts w:ascii="Times New Roman" w:eastAsia="Times New Roman" w:hAnsi="Times New Roman" w:cs="Times New Roman"/>
      <w:b/>
      <w:bCs/>
      <w:sz w:val="20"/>
      <w:szCs w:val="20"/>
      <w:lang w:bidi="en-US"/>
    </w:rPr>
  </w:style>
  <w:style w:type="paragraph" w:customStyle="1" w:styleId="Default">
    <w:name w:val="Default"/>
    <w:rsid w:val="00B82731"/>
    <w:pPr>
      <w:widowControl/>
      <w:adjustRightInd w:val="0"/>
    </w:pPr>
    <w:rPr>
      <w:rFonts w:ascii="Calibri" w:hAnsi="Calibri" w:cs="Calibri"/>
      <w:color w:val="000000"/>
      <w:sz w:val="24"/>
      <w:szCs w:val="24"/>
      <w:lang w:val="en-GB"/>
    </w:rPr>
  </w:style>
  <w:style w:type="paragraph" w:styleId="Revision">
    <w:name w:val="Revision"/>
    <w:hidden/>
    <w:uiPriority w:val="99"/>
    <w:semiHidden/>
    <w:rsid w:val="00257936"/>
    <w:pPr>
      <w:widowControl/>
      <w:autoSpaceDE/>
      <w:autoSpaceDN/>
    </w:pPr>
    <w:rPr>
      <w:rFonts w:ascii="Times New Roman" w:eastAsia="Times New Roman" w:hAnsi="Times New Roman" w:cs="Times New Roman"/>
      <w:lang w:bidi="en-US"/>
    </w:rPr>
  </w:style>
  <w:style w:type="paragraph" w:styleId="Header">
    <w:name w:val="header"/>
    <w:basedOn w:val="Normal"/>
    <w:link w:val="HeaderChar"/>
    <w:uiPriority w:val="99"/>
    <w:unhideWhenUsed/>
    <w:rsid w:val="002F18A6"/>
    <w:pPr>
      <w:tabs>
        <w:tab w:val="center" w:pos="4513"/>
        <w:tab w:val="right" w:pos="9026"/>
      </w:tabs>
    </w:pPr>
  </w:style>
  <w:style w:type="character" w:customStyle="1" w:styleId="HeaderChar">
    <w:name w:val="Header Char"/>
    <w:basedOn w:val="DefaultParagraphFont"/>
    <w:link w:val="Header"/>
    <w:uiPriority w:val="99"/>
    <w:rsid w:val="002F18A6"/>
    <w:rPr>
      <w:rFonts w:ascii="Times New Roman" w:eastAsia="Times New Roman" w:hAnsi="Times New Roman" w:cs="Times New Roman"/>
      <w:lang w:bidi="en-US"/>
    </w:rPr>
  </w:style>
  <w:style w:type="paragraph" w:styleId="Footer">
    <w:name w:val="footer"/>
    <w:basedOn w:val="Normal"/>
    <w:link w:val="FooterChar"/>
    <w:uiPriority w:val="99"/>
    <w:unhideWhenUsed/>
    <w:rsid w:val="002F18A6"/>
    <w:pPr>
      <w:tabs>
        <w:tab w:val="center" w:pos="4513"/>
        <w:tab w:val="right" w:pos="9026"/>
      </w:tabs>
    </w:pPr>
  </w:style>
  <w:style w:type="character" w:customStyle="1" w:styleId="FooterChar">
    <w:name w:val="Footer Char"/>
    <w:basedOn w:val="DefaultParagraphFont"/>
    <w:link w:val="Footer"/>
    <w:uiPriority w:val="99"/>
    <w:rsid w:val="002F18A6"/>
    <w:rPr>
      <w:rFonts w:ascii="Times New Roman" w:eastAsia="Times New Roman" w:hAnsi="Times New Roman" w:cs="Times New Roman"/>
      <w:lang w:bidi="en-US"/>
    </w:rPr>
  </w:style>
  <w:style w:type="character" w:styleId="Hyperlink">
    <w:name w:val="Hyperlink"/>
    <w:basedOn w:val="DefaultParagraphFont"/>
    <w:uiPriority w:val="99"/>
    <w:semiHidden/>
    <w:unhideWhenUsed/>
    <w:rsid w:val="005D49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676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hyperlink" Target="https://ec.europa.eu/info/publications/180308-action-plan-sustainable-growth_en" TargetMode="External"/><Relationship Id="rId39" Type="http://schemas.openxmlformats.org/officeDocument/2006/relationships/hyperlink" Target="https://ec.europa.eu/info/publications/finance-consultations-2020-sustainable-finance-strategy_en" TargetMode="External"/><Relationship Id="rId21" Type="http://schemas.openxmlformats.org/officeDocument/2006/relationships/hyperlink" Target="https://ec.europa.eu/commission/presscorner/detail/en/IP_20_335" TargetMode="External"/><Relationship Id="rId34" Type="http://schemas.openxmlformats.org/officeDocument/2006/relationships/hyperlink" Target="https://ec.europa.eu/info/law/better-regulation/have-your-say/initiatives/12129-Revision-of-Non-Financial-Reporting-Directive" TargetMode="External"/><Relationship Id="rId42" Type="http://schemas.openxmlformats.org/officeDocument/2006/relationships/hyperlink" Target="https://eur-lex.europa.eu/legal-content/EN/TXT/?uri=CELEX%3A32014L0095" TargetMode="External"/><Relationship Id="rId47" Type="http://schemas.openxmlformats.org/officeDocument/2006/relationships/hyperlink" Target="https://www.ferma.eu/advocacy/ferma-calls-for-a-clarified-and-targeted-non-financial-reporting-standard-based-on-erm/" TargetMode="External"/><Relationship Id="rId50" Type="http://schemas.openxmlformats.org/officeDocument/2006/relationships/hyperlink" Target="https://eba.europa.eu/eba-calls-banks-consider-long-term-horizons-their-strategies-and-business-activities" TargetMode="External"/><Relationship Id="rId55" Type="http://schemas.openxmlformats.org/officeDocument/2006/relationships/hyperlink" Target="https://www.eiopa.europa.eu/Publications/Opinions/2019-09-30%20OpinionSustainabilityWithinSolvencyII.pdf"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c.europa.eu/info/consultations/finance-2020-sustainable-finance-strategy_en" TargetMode="External"/><Relationship Id="rId20" Type="http://schemas.openxmlformats.org/officeDocument/2006/relationships/hyperlink" Target="https://eur-lex.europa.eu/legal-content/EN/TXT/?qid=1576150542719&amp;amp;uri=COM%3A2019%3A640%3AFIN" TargetMode="External"/><Relationship Id="rId29" Type="http://schemas.openxmlformats.org/officeDocument/2006/relationships/hyperlink" Target="https://ec.europa.eu/info/publications/180308-action-plan-sustainable-growth_en" TargetMode="External"/><Relationship Id="rId41" Type="http://schemas.openxmlformats.org/officeDocument/2006/relationships/hyperlink" Target="https://eur-lex.europa.eu/legal-content/EN/TXT/?uri=CELEX%3A32014L0095" TargetMode="External"/><Relationship Id="rId54" Type="http://schemas.openxmlformats.org/officeDocument/2006/relationships/hyperlink" Target="https://ec.europa.eu/info/files/190211-request-eiopa-technical-advice-review-solvency-2_en" TargetMode="Externa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eib.org/en/press/all/2019-313-eu-bank-launches-ambitious-new-climate-strategy-and-energy-lending-policy" TargetMode="External"/><Relationship Id="rId32" Type="http://schemas.openxmlformats.org/officeDocument/2006/relationships/hyperlink" Target="https://ec.europa.eu/info/publications/sustainable-finance-technical-expert-group_en" TargetMode="External"/><Relationship Id="rId37" Type="http://schemas.openxmlformats.org/officeDocument/2006/relationships/hyperlink" Target="https://ec.europa.eu/info/publications/finance-consultations-2020-sustainable-finance-strategy_en" TargetMode="External"/><Relationship Id="rId40" Type="http://schemas.openxmlformats.org/officeDocument/2006/relationships/hyperlink" Target="https://eur-lex.europa.eu/legal-content/EN/TXT/?uri=COM%3A2019%3A640%3AFIN" TargetMode="External"/><Relationship Id="rId45" Type="http://schemas.openxmlformats.org/officeDocument/2006/relationships/hyperlink" Target="https://ec.europa.eu/digital-single-market/en/policies/building-european-data-economy" TargetMode="External"/><Relationship Id="rId53" Type="http://schemas.openxmlformats.org/officeDocument/2006/relationships/hyperlink" Target="https://www.eiopa.europa.eu/content/technical-advice-integration-sustainability-risks-and-factors-solvency-ii-and-insurance" TargetMode="External"/><Relationship Id="rId58" Type="http://schemas.openxmlformats.org/officeDocument/2006/relationships/hyperlink" Target="http://wedocs.unep.org/handle/20.500.11822/7664" TargetMode="External"/><Relationship Id="rId5" Type="http://schemas.openxmlformats.org/officeDocument/2006/relationships/numbering" Target="numbering.xml"/><Relationship Id="rId15" Type="http://schemas.openxmlformats.org/officeDocument/2006/relationships/hyperlink" Target="https://ec.europa.eu/info/publications/finance-consultations-2020-sustainable-finance-strategy_en" TargetMode="External"/><Relationship Id="rId23" Type="http://schemas.openxmlformats.org/officeDocument/2006/relationships/hyperlink" Target="https://data.consilium.europa.eu/doc/document/ST-29-2019-INIT/en/pdf" TargetMode="External"/><Relationship Id="rId28" Type="http://schemas.openxmlformats.org/officeDocument/2006/relationships/hyperlink" Target="https://ec.europa.eu/info/publications/180131-sustainable-finance-report_en" TargetMode="External"/><Relationship Id="rId36" Type="http://schemas.openxmlformats.org/officeDocument/2006/relationships/hyperlink" Target="https://ec.europa.eu/info/files/2020-sustainable-finance-strategy-specific-privacy-statement_en" TargetMode="External"/><Relationship Id="rId49" Type="http://schemas.openxmlformats.org/officeDocument/2006/relationships/hyperlink" Target="https://eba.europa.eu/eba-calls-banks-consider-long-term-horizons-their-strategies-and-business-activities" TargetMode="External"/><Relationship Id="rId57" Type="http://schemas.openxmlformats.org/officeDocument/2006/relationships/hyperlink" Target="https://www.eiopa.europa.eu/content/discussion-paper-protection-gap-natural-catastrophes" TargetMode="Externa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lex.europa.eu/legal-content/EN/TXT/?qid=1576150542719&amp;amp;uri=COM%3A2019%3A640%3AFIN" TargetMode="External"/><Relationship Id="rId31" Type="http://schemas.openxmlformats.org/officeDocument/2006/relationships/hyperlink" Target="https://ec.europa.eu/info/strategy/priorities-2019-2024/european-green-deal_en" TargetMode="External"/><Relationship Id="rId44" Type="http://schemas.openxmlformats.org/officeDocument/2006/relationships/hyperlink" Target="https://data.consilium.europa.eu/doc/document/ST-14970-2019-ADD-1/en/pdf" TargetMode="External"/><Relationship Id="rId52" Type="http://schemas.openxmlformats.org/officeDocument/2006/relationships/hyperlink" Target="https://eur-lex.europa.eu/legal-content/EN/ALL/?uri=celex%3A32009L0138" TargetMode="External"/><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publications/finance-consultations-2020-sustainable-finance-strategy_en" TargetMode="External"/><Relationship Id="rId22" Type="http://schemas.openxmlformats.org/officeDocument/2006/relationships/hyperlink" Target="https://www.europarl.europa.eu/news/en/press-room/20191121IPR67110/the-european-parliament-declares-climate-emergency" TargetMode="External"/><Relationship Id="rId27" Type="http://schemas.openxmlformats.org/officeDocument/2006/relationships/hyperlink" Target="https://ec.europa.eu/info/publications/180308-action-plan-sustainable-growth_en" TargetMode="External"/><Relationship Id="rId30" Type="http://schemas.openxmlformats.org/officeDocument/2006/relationships/hyperlink" Target="https://ec.europa.eu/info/strategy/priorities-2019-2024/european-green-deal_en" TargetMode="External"/><Relationship Id="rId35" Type="http://schemas.openxmlformats.org/officeDocument/2006/relationships/hyperlink" Target="mailto:fisma-sf-consultation@ec.europa.eu" TargetMode="External"/><Relationship Id="rId43" Type="http://schemas.openxmlformats.org/officeDocument/2006/relationships/hyperlink" Target="https://ec.europa.eu/info/law/better-regulation/have-your-say/initiatives/12129-Revision-of-Non-Financial-Reporting-Directive/public-consultation" TargetMode="External"/><Relationship Id="rId48" Type="http://schemas.openxmlformats.org/officeDocument/2006/relationships/hyperlink" Target="https://www.esma.europa.eu/press-news/esma-news/esma-proposes-strengthened-rules-address-undue-short-termism-in-securities" TargetMode="External"/><Relationship Id="rId56" Type="http://schemas.openxmlformats.org/officeDocument/2006/relationships/hyperlink" Target="https://www.eea.europa.eu/data-and-maps/indicators/direct-losses-from-weather-disasters-3/assessment-2" TargetMode="External"/><Relationship Id="rId8" Type="http://schemas.openxmlformats.org/officeDocument/2006/relationships/webSettings" Target="webSettings.xml"/><Relationship Id="rId51" Type="http://schemas.openxmlformats.org/officeDocument/2006/relationships/hyperlink" Target="https://www.eiopa.europa.eu/content/potential-undue-short-term-pressure-financial-markets" TargetMode="External"/><Relationship Id="rId3" Type="http://schemas.openxmlformats.org/officeDocument/2006/relationships/customXml" Target="../customXml/item3.xml"/><Relationship Id="rId12" Type="http://schemas.openxmlformats.org/officeDocument/2006/relationships/hyperlink" Target="https://ec.europa.eu/info/business-economy-euro_en" TargetMode="External"/><Relationship Id="rId17" Type="http://schemas.openxmlformats.org/officeDocument/2006/relationships/hyperlink" Target="https://ec.europa.eu/info/consultations/finance-2020-sustainable-finance-strategy_en" TargetMode="External"/><Relationship Id="rId25" Type="http://schemas.openxmlformats.org/officeDocument/2006/relationships/hyperlink" Target="https://www.eib.org/en/press/all/2019-313-eu-bank-launches-ambitious-new-climate-strategy-and-energy-lending-policy" TargetMode="External"/><Relationship Id="rId33" Type="http://schemas.openxmlformats.org/officeDocument/2006/relationships/hyperlink" Target="https://ec.europa.eu/info/law/better-regulation/have-your-say/initiatives/12129-Revision-of-Non-Financial-Reporting-Directive/public-consultation" TargetMode="External"/><Relationship Id="rId38" Type="http://schemas.openxmlformats.org/officeDocument/2006/relationships/hyperlink" Target="https://ec.europa.eu/info/files/2020-sustainable-finance-strategy-specific-privacy-statement_en" TargetMode="External"/><Relationship Id="rId46" Type="http://schemas.openxmlformats.org/officeDocument/2006/relationships/hyperlink" Target="https://ec.europa.eu/info/business-economy-euro/company-reporting-and-auditing/company-reporting/transparency-requirements-listed-companies_en" TargetMode="External"/><Relationship Id="rId59" Type="http://schemas.openxmlformats.org/officeDocument/2006/relationships/hyperlink" Target="http://wedocs.unep.org/handle/20.500.11822/766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sma.europa.eu/sites/default/files/library/esma22-105-1052_sustainable_finance_strategy.pdf" TargetMode="External"/><Relationship Id="rId2" Type="http://schemas.openxmlformats.org/officeDocument/2006/relationships/hyperlink" Target="https://www.esma.europa.eu/sites/default/files/library/esma22-105-1052_sustainable_finance_strategy.pdf" TargetMode="External"/><Relationship Id="rId1" Type="http://schemas.openxmlformats.org/officeDocument/2006/relationships/hyperlink" Target="https://www.ecb.europa.eu/ecb/legal/pdf/ecb_2020_19_f_sign.pdf" TargetMode="External"/><Relationship Id="rId5" Type="http://schemas.openxmlformats.org/officeDocument/2006/relationships/hyperlink" Target="https://eiopa.europa.eu/Publications/Opinions/2019-09-30%20OpinionSustainabilityWithinSolvencyII.pdf" TargetMode="External"/><Relationship Id="rId4" Type="http://schemas.openxmlformats.org/officeDocument/2006/relationships/hyperlink" Target="http://www.eiopa.europa.eu/browse/sustainable-financ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D68487EA223E4AB0E0C555980E82EC" ma:contentTypeVersion="10" ma:contentTypeDescription="Create a new document." ma:contentTypeScope="" ma:versionID="4f32fa3ded0b5dac6d49216470416e8a">
  <xsd:schema xmlns:xsd="http://www.w3.org/2001/XMLSchema" xmlns:xs="http://www.w3.org/2001/XMLSchema" xmlns:p="http://schemas.microsoft.com/office/2006/metadata/properties" xmlns:ns3="82c7b95d-1b82-40a6-adf9-7a7a41f6939f" targetNamespace="http://schemas.microsoft.com/office/2006/metadata/properties" ma:root="true" ma:fieldsID="54ccd00f29d3d4c36ea41160143a067a" ns3:_="">
    <xsd:import namespace="82c7b95d-1b82-40a6-adf9-7a7a41f6939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c7b95d-1b82-40a6-adf9-7a7a41f693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22B1B-319B-4F06-9EBD-78A9467FD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c7b95d-1b82-40a6-adf9-7a7a41f69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BE9D0-09E4-43CE-90D5-F2152149EA2D}">
  <ds:schemaRefs>
    <ds:schemaRef ds:uri="http://schemas.microsoft.com/sharepoint/v3/contenttype/forms"/>
  </ds:schemaRefs>
</ds:datastoreItem>
</file>

<file path=customXml/itemProps3.xml><?xml version="1.0" encoding="utf-8"?>
<ds:datastoreItem xmlns:ds="http://schemas.openxmlformats.org/officeDocument/2006/customXml" ds:itemID="{81282D06-FC95-4262-9554-1970A29EB5CC}">
  <ds:schemaRefs>
    <ds:schemaRef ds:uri="http://schemas.microsoft.com/office/infopath/2007/PartnerControls"/>
    <ds:schemaRef ds:uri="http://purl.org/dc/elements/1.1/"/>
    <ds:schemaRef ds:uri="http://schemas.microsoft.com/office/2006/metadata/properties"/>
    <ds:schemaRef ds:uri="82c7b95d-1b82-40a6-adf9-7a7a41f6939f"/>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BBB8E7C-3735-47BC-9C06-152A09B0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7227</Words>
  <Characters>41199</Characters>
  <Application>Microsoft Office Word</Application>
  <DocSecurity>4</DocSecurity>
  <Lines>343</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Consultation document - Consultation on the renewed sustainable finance strategy</vt:lpstr>
      <vt:lpstr>Consultation document - Consultation on the renewed sustainable finance strategy</vt:lpstr>
    </vt:vector>
  </TitlesOfParts>
  <Company/>
  <LinksUpToDate>false</LinksUpToDate>
  <CharactersWithSpaces>48330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Consultation on the renewed sustainable finance strategy</dc:title>
  <dc:subject>Consultation document - Public consultation on covered bonds in the European Union</dc:subject>
  <dc:creator>European Commission</dc:creator>
  <cp:lastModifiedBy>Typhaine Beauperin</cp:lastModifiedBy>
  <cp:revision>2</cp:revision>
  <dcterms:created xsi:type="dcterms:W3CDTF">2020-07-15T10:21:00Z</dcterms:created>
  <dcterms:modified xsi:type="dcterms:W3CDTF">2020-07-15T10:21:00Z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PDF CoDe 2018 4.7111.7111 (c) 2002-2018 European Commission</vt:lpwstr>
  </property>
  <property fmtid="{D5CDD505-2E9C-101B-9397-08002B2CF9AE}" pid="4" name="LastSaved">
    <vt:filetime>2020-06-04T00:00:00Z</vt:filetime>
  </property>
  <property fmtid="{D5CDD505-2E9C-101B-9397-08002B2CF9AE}" pid="5" name="ContentTypeId">
    <vt:lpwstr>0x010100C3D68487EA223E4AB0E0C555980E82EC</vt:lpwstr>
  </property>
</Properties>
</file>