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98DD71" w14:textId="77777777" w:rsidR="005C74A2" w:rsidRPr="001E4D55" w:rsidRDefault="005C74A2" w:rsidP="003646D8">
      <w:pPr>
        <w:autoSpaceDE w:val="0"/>
        <w:autoSpaceDN w:val="0"/>
        <w:adjustRightInd w:val="0"/>
        <w:spacing w:after="0" w:line="240" w:lineRule="auto"/>
        <w:ind w:right="144"/>
        <w:jc w:val="center"/>
        <w:rPr>
          <w:rFonts w:cstheme="minorHAnsi"/>
          <w:b/>
          <w:color w:val="000000"/>
          <w:sz w:val="48"/>
          <w:szCs w:val="48"/>
        </w:rPr>
      </w:pPr>
      <w:r w:rsidRPr="001E4D55">
        <w:rPr>
          <w:rFonts w:cstheme="minorHAnsi"/>
          <w:b/>
          <w:color w:val="000000"/>
          <w:sz w:val="48"/>
          <w:szCs w:val="48"/>
        </w:rPr>
        <w:t>NOT FOR PUBLICATION- NOT FOR DISTRIBUTION</w:t>
      </w:r>
    </w:p>
    <w:p w14:paraId="3A73FE42" w14:textId="77777777" w:rsidR="005C74A2" w:rsidRPr="001E4D55" w:rsidRDefault="005C74A2" w:rsidP="003646D8">
      <w:pPr>
        <w:autoSpaceDE w:val="0"/>
        <w:autoSpaceDN w:val="0"/>
        <w:adjustRightInd w:val="0"/>
        <w:spacing w:after="0" w:line="240" w:lineRule="auto"/>
        <w:ind w:right="144"/>
        <w:jc w:val="center"/>
        <w:rPr>
          <w:rFonts w:cstheme="minorHAnsi"/>
          <w:b/>
          <w:color w:val="000000"/>
          <w:sz w:val="48"/>
          <w:szCs w:val="48"/>
        </w:rPr>
      </w:pPr>
    </w:p>
    <w:p w14:paraId="0EEE0B63" w14:textId="77777777" w:rsidR="003646D8" w:rsidRPr="001E4D55" w:rsidRDefault="003646D8" w:rsidP="003646D8">
      <w:pPr>
        <w:autoSpaceDE w:val="0"/>
        <w:autoSpaceDN w:val="0"/>
        <w:adjustRightInd w:val="0"/>
        <w:spacing w:after="0" w:line="240" w:lineRule="auto"/>
        <w:ind w:right="144"/>
        <w:jc w:val="center"/>
        <w:rPr>
          <w:rFonts w:cstheme="minorHAnsi"/>
          <w:b/>
          <w:color w:val="000000"/>
          <w:sz w:val="48"/>
          <w:szCs w:val="48"/>
        </w:rPr>
      </w:pPr>
      <w:r w:rsidRPr="001E4D55">
        <w:rPr>
          <w:rFonts w:cstheme="minorHAnsi"/>
          <w:b/>
          <w:color w:val="000000"/>
          <w:sz w:val="48"/>
          <w:szCs w:val="48"/>
        </w:rPr>
        <w:t>A snapshot insight into the ESG data, research and rating market</w:t>
      </w:r>
    </w:p>
    <w:p w14:paraId="5D378D89" w14:textId="77777777" w:rsidR="003646D8" w:rsidRPr="001E4D55" w:rsidRDefault="003646D8" w:rsidP="00710347">
      <w:pPr>
        <w:autoSpaceDE w:val="0"/>
        <w:autoSpaceDN w:val="0"/>
        <w:adjustRightInd w:val="0"/>
        <w:spacing w:after="0" w:line="240" w:lineRule="auto"/>
        <w:ind w:right="144"/>
        <w:rPr>
          <w:rFonts w:cstheme="minorHAnsi"/>
          <w:color w:val="000000"/>
          <w:sz w:val="19"/>
          <w:szCs w:val="19"/>
        </w:rPr>
      </w:pPr>
    </w:p>
    <w:p w14:paraId="373D9FEE" w14:textId="77777777" w:rsidR="003646D8" w:rsidRPr="001E4D55" w:rsidRDefault="003646D8" w:rsidP="003646D8">
      <w:pPr>
        <w:autoSpaceDE w:val="0"/>
        <w:autoSpaceDN w:val="0"/>
        <w:adjustRightInd w:val="0"/>
        <w:spacing w:after="0" w:line="240" w:lineRule="auto"/>
        <w:ind w:right="144"/>
        <w:jc w:val="center"/>
        <w:rPr>
          <w:rFonts w:cstheme="minorHAnsi"/>
          <w:color w:val="000000"/>
          <w:sz w:val="28"/>
          <w:szCs w:val="28"/>
        </w:rPr>
      </w:pPr>
      <w:r w:rsidRPr="001E4D55">
        <w:rPr>
          <w:rFonts w:cstheme="minorHAnsi"/>
          <w:color w:val="000000"/>
          <w:sz w:val="28"/>
          <w:szCs w:val="28"/>
        </w:rPr>
        <w:t>Background document in support of the EC “consultation on the renewed sustainable finance strategy”, questions 17 to 21</w:t>
      </w:r>
    </w:p>
    <w:p w14:paraId="522D3B29" w14:textId="77777777" w:rsidR="003646D8" w:rsidRPr="001E4D55" w:rsidRDefault="003646D8" w:rsidP="003646D8">
      <w:pPr>
        <w:autoSpaceDE w:val="0"/>
        <w:autoSpaceDN w:val="0"/>
        <w:adjustRightInd w:val="0"/>
        <w:spacing w:after="0" w:line="240" w:lineRule="auto"/>
        <w:ind w:right="144"/>
        <w:jc w:val="center"/>
        <w:rPr>
          <w:rFonts w:cstheme="minorHAnsi"/>
          <w:color w:val="000000"/>
          <w:sz w:val="28"/>
          <w:szCs w:val="28"/>
        </w:rPr>
      </w:pPr>
    </w:p>
    <w:p w14:paraId="2C437B99" w14:textId="77777777" w:rsidR="003646D8" w:rsidRPr="00752071" w:rsidRDefault="003646D8" w:rsidP="00CE5F15">
      <w:pPr>
        <w:autoSpaceDE w:val="0"/>
        <w:autoSpaceDN w:val="0"/>
        <w:adjustRightInd w:val="0"/>
        <w:spacing w:after="0" w:line="240" w:lineRule="auto"/>
        <w:ind w:right="144"/>
        <w:jc w:val="center"/>
        <w:rPr>
          <w:rFonts w:cstheme="minorHAnsi"/>
          <w:color w:val="000000"/>
        </w:rPr>
      </w:pPr>
      <w:r w:rsidRPr="00752071">
        <w:rPr>
          <w:rFonts w:cstheme="minorHAnsi"/>
          <w:color w:val="000000"/>
        </w:rPr>
        <w:t>15 July 2020</w:t>
      </w:r>
    </w:p>
    <w:p w14:paraId="33E95F0B" w14:textId="77777777" w:rsidR="003646D8" w:rsidRPr="00752071" w:rsidRDefault="003646D8" w:rsidP="00710347">
      <w:pPr>
        <w:autoSpaceDE w:val="0"/>
        <w:autoSpaceDN w:val="0"/>
        <w:adjustRightInd w:val="0"/>
        <w:spacing w:after="0" w:line="240" w:lineRule="auto"/>
        <w:ind w:right="144"/>
        <w:rPr>
          <w:rFonts w:cstheme="minorHAnsi"/>
          <w:color w:val="000000"/>
        </w:rPr>
      </w:pPr>
    </w:p>
    <w:p w14:paraId="1AF00742" w14:textId="77777777" w:rsidR="003646D8" w:rsidRPr="00752071" w:rsidRDefault="003646D8" w:rsidP="00710347">
      <w:pPr>
        <w:autoSpaceDE w:val="0"/>
        <w:autoSpaceDN w:val="0"/>
        <w:adjustRightInd w:val="0"/>
        <w:spacing w:after="0" w:line="240" w:lineRule="auto"/>
        <w:ind w:right="144"/>
        <w:rPr>
          <w:rFonts w:cstheme="minorHAnsi"/>
          <w:color w:val="000000"/>
        </w:rPr>
      </w:pPr>
      <w:r w:rsidRPr="00752071">
        <w:rPr>
          <w:rFonts w:cstheme="minorHAnsi"/>
          <w:color w:val="000000"/>
        </w:rPr>
        <w:t>Author: Myriam Vander Stichele, Senior Researcher SOMO</w:t>
      </w:r>
    </w:p>
    <w:p w14:paraId="055335CA" w14:textId="77777777" w:rsidR="003646D8" w:rsidRPr="00752071" w:rsidRDefault="003646D8" w:rsidP="00710347">
      <w:pPr>
        <w:autoSpaceDE w:val="0"/>
        <w:autoSpaceDN w:val="0"/>
        <w:adjustRightInd w:val="0"/>
        <w:spacing w:after="0" w:line="240" w:lineRule="auto"/>
        <w:ind w:right="144"/>
        <w:rPr>
          <w:rFonts w:cstheme="minorHAnsi"/>
          <w:color w:val="000000"/>
        </w:rPr>
      </w:pPr>
    </w:p>
    <w:p w14:paraId="64432C72" w14:textId="77777777" w:rsidR="00C50107" w:rsidRPr="00752071" w:rsidRDefault="00C50107" w:rsidP="00710347">
      <w:pPr>
        <w:autoSpaceDE w:val="0"/>
        <w:autoSpaceDN w:val="0"/>
        <w:adjustRightInd w:val="0"/>
        <w:spacing w:after="0" w:line="240" w:lineRule="auto"/>
        <w:ind w:right="144"/>
        <w:rPr>
          <w:rFonts w:cstheme="minorHAnsi"/>
          <w:b/>
          <w:color w:val="000000"/>
        </w:rPr>
      </w:pPr>
    </w:p>
    <w:p w14:paraId="000CF5BF" w14:textId="77777777" w:rsidR="003646D8" w:rsidRPr="00CE5F15" w:rsidRDefault="0041646A" w:rsidP="00710347">
      <w:pPr>
        <w:autoSpaceDE w:val="0"/>
        <w:autoSpaceDN w:val="0"/>
        <w:adjustRightInd w:val="0"/>
        <w:spacing w:after="0" w:line="240" w:lineRule="auto"/>
        <w:ind w:right="144"/>
        <w:rPr>
          <w:rFonts w:cstheme="minorHAnsi"/>
          <w:color w:val="000000"/>
          <w:sz w:val="28"/>
          <w:szCs w:val="28"/>
        </w:rPr>
      </w:pPr>
      <w:r w:rsidRPr="00CE5F15">
        <w:rPr>
          <w:rFonts w:cstheme="minorHAnsi"/>
          <w:b/>
          <w:color w:val="000000"/>
          <w:sz w:val="28"/>
          <w:szCs w:val="28"/>
        </w:rPr>
        <w:t>Disclaimer</w:t>
      </w:r>
      <w:r w:rsidR="00C50107" w:rsidRPr="00CE5F15">
        <w:rPr>
          <w:rFonts w:cstheme="minorHAnsi"/>
          <w:b/>
          <w:color w:val="000000"/>
          <w:sz w:val="28"/>
          <w:szCs w:val="28"/>
        </w:rPr>
        <w:t xml:space="preserve"> </w:t>
      </w:r>
    </w:p>
    <w:p w14:paraId="0C3C5C2F" w14:textId="77777777" w:rsidR="003646D8" w:rsidRPr="00752071" w:rsidRDefault="003646D8" w:rsidP="00710347">
      <w:pPr>
        <w:autoSpaceDE w:val="0"/>
        <w:autoSpaceDN w:val="0"/>
        <w:adjustRightInd w:val="0"/>
        <w:spacing w:after="0" w:line="240" w:lineRule="auto"/>
        <w:ind w:right="144"/>
        <w:rPr>
          <w:rFonts w:cstheme="minorHAnsi"/>
          <w:color w:val="000000"/>
        </w:rPr>
      </w:pPr>
    </w:p>
    <w:p w14:paraId="02A9289B" w14:textId="77777777" w:rsidR="005C74A2" w:rsidRPr="00752071" w:rsidRDefault="005C74A2" w:rsidP="00710347">
      <w:pPr>
        <w:autoSpaceDE w:val="0"/>
        <w:autoSpaceDN w:val="0"/>
        <w:adjustRightInd w:val="0"/>
        <w:spacing w:after="0" w:line="240" w:lineRule="auto"/>
        <w:ind w:right="144"/>
        <w:rPr>
          <w:rFonts w:cstheme="minorHAnsi"/>
          <w:color w:val="000000"/>
        </w:rPr>
      </w:pPr>
      <w:r w:rsidRPr="00752071">
        <w:rPr>
          <w:rFonts w:cstheme="minorHAnsi"/>
          <w:color w:val="000000"/>
        </w:rPr>
        <w:t>This background document is a response to the Commission</w:t>
      </w:r>
      <w:r w:rsidR="00244D72" w:rsidRPr="00752071">
        <w:rPr>
          <w:rFonts w:cstheme="minorHAnsi"/>
          <w:color w:val="000000"/>
        </w:rPr>
        <w:t>’</w:t>
      </w:r>
      <w:r w:rsidRPr="00752071">
        <w:rPr>
          <w:rFonts w:cstheme="minorHAnsi"/>
          <w:color w:val="000000"/>
        </w:rPr>
        <w:t>s request “to gather further evidence through this consultation”</w:t>
      </w:r>
      <w:r w:rsidRPr="00752071">
        <w:rPr>
          <w:rStyle w:val="FootnoteReference"/>
          <w:rFonts w:cstheme="minorHAnsi"/>
          <w:color w:val="000000"/>
        </w:rPr>
        <w:footnoteReference w:id="1"/>
      </w:r>
      <w:r w:rsidRPr="00752071">
        <w:rPr>
          <w:rFonts w:cstheme="minorHAnsi"/>
          <w:color w:val="000000"/>
        </w:rPr>
        <w:t xml:space="preserve"> on ESG market concentration, data, research, rating and regulatory measures (covering questions 17 to 21 of the consultation). This research note provides some additional information and specific points that could not be incorporated in the space of the consultations’ responses.  It is uploaded with SOMO’s consultation responses as made possible at the end of the EC’s online consultation format. This research note is </w:t>
      </w:r>
      <w:r w:rsidR="00244D72" w:rsidRPr="00752071">
        <w:rPr>
          <w:rFonts w:cstheme="minorHAnsi"/>
          <w:color w:val="000000"/>
        </w:rPr>
        <w:t xml:space="preserve">only </w:t>
      </w:r>
      <w:r w:rsidRPr="00752071">
        <w:rPr>
          <w:rFonts w:cstheme="minorHAnsi"/>
          <w:color w:val="000000"/>
        </w:rPr>
        <w:t>inten</w:t>
      </w:r>
      <w:r w:rsidR="00244D72" w:rsidRPr="00752071">
        <w:rPr>
          <w:rFonts w:cstheme="minorHAnsi"/>
          <w:color w:val="000000"/>
        </w:rPr>
        <w:t>ded for the European Commission</w:t>
      </w:r>
      <w:r w:rsidRPr="00752071">
        <w:rPr>
          <w:rFonts w:cstheme="minorHAnsi"/>
          <w:color w:val="000000"/>
        </w:rPr>
        <w:t>, and s</w:t>
      </w:r>
      <w:r w:rsidR="00244D72" w:rsidRPr="00752071">
        <w:rPr>
          <w:rFonts w:cstheme="minorHAnsi"/>
          <w:color w:val="000000"/>
        </w:rPr>
        <w:t>h</w:t>
      </w:r>
      <w:r w:rsidRPr="00752071">
        <w:rPr>
          <w:rFonts w:cstheme="minorHAnsi"/>
          <w:color w:val="000000"/>
        </w:rPr>
        <w:t>ould not be published or distributed.</w:t>
      </w:r>
    </w:p>
    <w:p w14:paraId="2E8785EA" w14:textId="77777777" w:rsidR="00244D72" w:rsidRPr="00752071" w:rsidRDefault="00244D72" w:rsidP="00710347">
      <w:pPr>
        <w:autoSpaceDE w:val="0"/>
        <w:autoSpaceDN w:val="0"/>
        <w:adjustRightInd w:val="0"/>
        <w:spacing w:after="0" w:line="240" w:lineRule="auto"/>
        <w:ind w:right="144"/>
        <w:rPr>
          <w:rFonts w:cstheme="minorHAnsi"/>
          <w:color w:val="000000"/>
        </w:rPr>
      </w:pPr>
    </w:p>
    <w:p w14:paraId="20292DDC" w14:textId="77777777" w:rsidR="005C74A2" w:rsidRPr="00752071" w:rsidRDefault="00E2411C" w:rsidP="00710347">
      <w:pPr>
        <w:autoSpaceDE w:val="0"/>
        <w:autoSpaceDN w:val="0"/>
        <w:adjustRightInd w:val="0"/>
        <w:spacing w:after="0" w:line="240" w:lineRule="auto"/>
        <w:ind w:right="144"/>
        <w:rPr>
          <w:rFonts w:cstheme="minorHAnsi"/>
          <w:color w:val="000000"/>
        </w:rPr>
      </w:pPr>
      <w:r w:rsidRPr="00752071">
        <w:rPr>
          <w:rFonts w:cstheme="minorHAnsi"/>
          <w:color w:val="000000"/>
        </w:rPr>
        <w:lastRenderedPageBreak/>
        <w:t xml:space="preserve">This preliminary research </w:t>
      </w:r>
      <w:r w:rsidR="005C74A2" w:rsidRPr="00752071">
        <w:rPr>
          <w:rFonts w:cstheme="minorHAnsi"/>
          <w:color w:val="000000"/>
        </w:rPr>
        <w:t xml:space="preserve">note </w:t>
      </w:r>
      <w:r w:rsidRPr="00752071">
        <w:rPr>
          <w:rFonts w:cstheme="minorHAnsi"/>
          <w:color w:val="000000"/>
        </w:rPr>
        <w:t xml:space="preserve">by SOMO cannot be considered as a </w:t>
      </w:r>
      <w:r w:rsidR="003646D8" w:rsidRPr="00752071">
        <w:rPr>
          <w:rFonts w:cstheme="minorHAnsi"/>
          <w:color w:val="000000"/>
        </w:rPr>
        <w:t>finali</w:t>
      </w:r>
      <w:r w:rsidR="00C50107" w:rsidRPr="00752071">
        <w:rPr>
          <w:rFonts w:cstheme="minorHAnsi"/>
          <w:color w:val="000000"/>
        </w:rPr>
        <w:t>s</w:t>
      </w:r>
      <w:r w:rsidR="003646D8" w:rsidRPr="00752071">
        <w:rPr>
          <w:rFonts w:cstheme="minorHAnsi"/>
          <w:color w:val="000000"/>
        </w:rPr>
        <w:t xml:space="preserve">ed </w:t>
      </w:r>
      <w:r w:rsidRPr="00752071">
        <w:rPr>
          <w:rFonts w:cstheme="minorHAnsi"/>
          <w:color w:val="000000"/>
        </w:rPr>
        <w:t xml:space="preserve">research </w:t>
      </w:r>
      <w:r w:rsidR="003646D8" w:rsidRPr="00752071">
        <w:rPr>
          <w:rFonts w:cstheme="minorHAnsi"/>
          <w:color w:val="000000"/>
        </w:rPr>
        <w:t xml:space="preserve">report </w:t>
      </w:r>
      <w:r w:rsidRPr="00752071">
        <w:rPr>
          <w:rFonts w:cstheme="minorHAnsi"/>
          <w:color w:val="000000"/>
        </w:rPr>
        <w:t xml:space="preserve">that provides a good overview of the ESG </w:t>
      </w:r>
      <w:r w:rsidR="00CE5F15">
        <w:rPr>
          <w:rFonts w:cstheme="minorHAnsi"/>
          <w:color w:val="000000"/>
        </w:rPr>
        <w:t>industry and its methodologies</w:t>
      </w:r>
      <w:r w:rsidRPr="00752071">
        <w:rPr>
          <w:rFonts w:cstheme="minorHAnsi"/>
          <w:color w:val="000000"/>
        </w:rPr>
        <w:t xml:space="preserve">. Rather it provides some snapshot insights in particular issues </w:t>
      </w:r>
      <w:r w:rsidR="00CE5F15">
        <w:rPr>
          <w:rFonts w:cstheme="minorHAnsi"/>
          <w:color w:val="000000"/>
        </w:rPr>
        <w:t xml:space="preserve">from </w:t>
      </w:r>
      <w:r w:rsidRPr="00752071">
        <w:rPr>
          <w:rFonts w:cstheme="minorHAnsi"/>
          <w:color w:val="000000"/>
        </w:rPr>
        <w:t>SOMO</w:t>
      </w:r>
      <w:r w:rsidR="00CE5F15">
        <w:rPr>
          <w:rFonts w:cstheme="minorHAnsi"/>
          <w:color w:val="000000"/>
        </w:rPr>
        <w:t xml:space="preserve">’s </w:t>
      </w:r>
      <w:r w:rsidRPr="00752071">
        <w:rPr>
          <w:rFonts w:cstheme="minorHAnsi"/>
          <w:color w:val="000000"/>
        </w:rPr>
        <w:t xml:space="preserve">perspective </w:t>
      </w:r>
      <w:r w:rsidR="005C74A2" w:rsidRPr="00752071">
        <w:rPr>
          <w:rFonts w:cstheme="minorHAnsi"/>
          <w:color w:val="000000"/>
        </w:rPr>
        <w:t xml:space="preserve">in order </w:t>
      </w:r>
      <w:r w:rsidRPr="00752071">
        <w:rPr>
          <w:rFonts w:cstheme="minorHAnsi"/>
          <w:color w:val="000000"/>
        </w:rPr>
        <w:t>to start an understanding of the business models of a few ESG firms</w:t>
      </w:r>
      <w:r w:rsidR="003646D8" w:rsidRPr="00752071">
        <w:rPr>
          <w:rFonts w:cstheme="minorHAnsi"/>
          <w:color w:val="000000"/>
        </w:rPr>
        <w:t xml:space="preserve">, </w:t>
      </w:r>
      <w:r w:rsidR="005C74A2" w:rsidRPr="00752071">
        <w:rPr>
          <w:rFonts w:cstheme="minorHAnsi"/>
          <w:color w:val="000000"/>
        </w:rPr>
        <w:t xml:space="preserve">their </w:t>
      </w:r>
      <w:r w:rsidR="003646D8" w:rsidRPr="00752071">
        <w:rPr>
          <w:rFonts w:cstheme="minorHAnsi"/>
          <w:color w:val="000000"/>
        </w:rPr>
        <w:t>corporate structures and practices</w:t>
      </w:r>
      <w:r w:rsidRPr="00752071">
        <w:rPr>
          <w:rFonts w:cstheme="minorHAnsi"/>
          <w:color w:val="000000"/>
        </w:rPr>
        <w:t xml:space="preserve">. </w:t>
      </w:r>
      <w:r w:rsidR="00876B1F" w:rsidRPr="00752071">
        <w:rPr>
          <w:rFonts w:cstheme="minorHAnsi"/>
          <w:color w:val="000000"/>
        </w:rPr>
        <w:t xml:space="preserve">By no means does SOMO </w:t>
      </w:r>
      <w:r w:rsidRPr="00752071">
        <w:rPr>
          <w:rFonts w:cstheme="minorHAnsi"/>
          <w:color w:val="000000"/>
        </w:rPr>
        <w:t xml:space="preserve">intend </w:t>
      </w:r>
      <w:r w:rsidR="00876B1F" w:rsidRPr="00752071">
        <w:rPr>
          <w:rFonts w:cstheme="minorHAnsi"/>
          <w:color w:val="000000"/>
        </w:rPr>
        <w:t xml:space="preserve">this document </w:t>
      </w:r>
      <w:r w:rsidRPr="00752071">
        <w:rPr>
          <w:rFonts w:cstheme="minorHAnsi"/>
          <w:color w:val="000000"/>
        </w:rPr>
        <w:t xml:space="preserve">to be a complete overview </w:t>
      </w:r>
      <w:r w:rsidR="00876B1F" w:rsidRPr="00752071">
        <w:rPr>
          <w:rFonts w:cstheme="minorHAnsi"/>
          <w:color w:val="000000"/>
        </w:rPr>
        <w:t>of the ESG</w:t>
      </w:r>
      <w:r w:rsidR="005C74A2" w:rsidRPr="00752071">
        <w:rPr>
          <w:rFonts w:cstheme="minorHAnsi"/>
          <w:color w:val="000000"/>
        </w:rPr>
        <w:t xml:space="preserve"> market</w:t>
      </w:r>
      <w:r w:rsidR="003646D8" w:rsidRPr="00752071">
        <w:rPr>
          <w:rFonts w:cstheme="minorHAnsi"/>
          <w:color w:val="000000"/>
        </w:rPr>
        <w:t xml:space="preserve">. </w:t>
      </w:r>
    </w:p>
    <w:p w14:paraId="66D10CA3" w14:textId="77777777" w:rsidR="006A7FA7" w:rsidRPr="00752071" w:rsidRDefault="006A7FA7" w:rsidP="00710347">
      <w:pPr>
        <w:autoSpaceDE w:val="0"/>
        <w:autoSpaceDN w:val="0"/>
        <w:adjustRightInd w:val="0"/>
        <w:spacing w:after="0" w:line="240" w:lineRule="auto"/>
        <w:ind w:right="144"/>
        <w:rPr>
          <w:rFonts w:cstheme="minorHAnsi"/>
          <w:color w:val="000000"/>
        </w:rPr>
      </w:pPr>
    </w:p>
    <w:p w14:paraId="7CDEC07F" w14:textId="77777777" w:rsidR="00876B1F" w:rsidRPr="00752071" w:rsidRDefault="005C74A2" w:rsidP="00710347">
      <w:pPr>
        <w:autoSpaceDE w:val="0"/>
        <w:autoSpaceDN w:val="0"/>
        <w:adjustRightInd w:val="0"/>
        <w:spacing w:after="0" w:line="240" w:lineRule="auto"/>
        <w:ind w:right="144"/>
        <w:rPr>
          <w:rFonts w:cstheme="minorHAnsi"/>
          <w:color w:val="000000"/>
        </w:rPr>
      </w:pPr>
      <w:r w:rsidRPr="00752071">
        <w:rPr>
          <w:rFonts w:cstheme="minorHAnsi"/>
          <w:color w:val="000000"/>
        </w:rPr>
        <w:t>Most information in this research note is based on literature while information about the corporate structures has also been retrieved from ThomsonReuters Eikon (Refinitiv) data bases</w:t>
      </w:r>
      <w:r w:rsidR="00CE5F15">
        <w:rPr>
          <w:rFonts w:cstheme="minorHAnsi"/>
          <w:color w:val="000000"/>
        </w:rPr>
        <w:t>,</w:t>
      </w:r>
      <w:r w:rsidRPr="00752071">
        <w:rPr>
          <w:rFonts w:cstheme="minorHAnsi"/>
          <w:color w:val="000000"/>
        </w:rPr>
        <w:t xml:space="preserve"> and corporate annual reports and websites.</w:t>
      </w:r>
      <w:r w:rsidR="00C50107" w:rsidRPr="00752071">
        <w:rPr>
          <w:rStyle w:val="FootnoteReference"/>
          <w:rFonts w:cstheme="minorHAnsi"/>
          <w:color w:val="000000"/>
        </w:rPr>
        <w:footnoteReference w:id="2"/>
      </w:r>
    </w:p>
    <w:p w14:paraId="088BCEF0" w14:textId="77777777" w:rsidR="00E2411C" w:rsidRPr="00752071" w:rsidRDefault="00E2411C" w:rsidP="00710347">
      <w:pPr>
        <w:autoSpaceDE w:val="0"/>
        <w:autoSpaceDN w:val="0"/>
        <w:adjustRightInd w:val="0"/>
        <w:spacing w:after="0" w:line="240" w:lineRule="auto"/>
        <w:ind w:right="144"/>
        <w:rPr>
          <w:rFonts w:cstheme="minorHAnsi"/>
          <w:color w:val="000000"/>
        </w:rPr>
      </w:pPr>
    </w:p>
    <w:p w14:paraId="768E77F8" w14:textId="22D1D1B1" w:rsidR="005C74A2" w:rsidRPr="00752071" w:rsidRDefault="005C74A2" w:rsidP="00710347">
      <w:pPr>
        <w:autoSpaceDE w:val="0"/>
        <w:autoSpaceDN w:val="0"/>
        <w:adjustRightInd w:val="0"/>
        <w:spacing w:after="0" w:line="240" w:lineRule="auto"/>
        <w:ind w:right="144"/>
        <w:rPr>
          <w:rFonts w:cstheme="minorHAnsi"/>
          <w:color w:val="000000"/>
        </w:rPr>
      </w:pPr>
      <w:r w:rsidRPr="00752071">
        <w:rPr>
          <w:rFonts w:cstheme="minorHAnsi"/>
          <w:color w:val="000000"/>
        </w:rPr>
        <w:t xml:space="preserve">SOMO </w:t>
      </w:r>
      <w:r w:rsidR="00A37B74" w:rsidRPr="00A37B74">
        <w:rPr>
          <w:noProof/>
        </w:rPr>
        <w:t>refutes</w:t>
      </w:r>
      <w:r w:rsidR="00A37B74" w:rsidRPr="00A37B74">
        <w:rPr>
          <w:noProof/>
        </w:rPr>
        <w:t xml:space="preserve"> </w:t>
      </w:r>
      <w:r w:rsidR="00A37B74">
        <w:rPr>
          <w:noProof/>
        </w:rPr>
        <w:t xml:space="preserve">any liability </w:t>
      </w:r>
      <w:r w:rsidRPr="00752071">
        <w:rPr>
          <w:rFonts w:cstheme="minorHAnsi"/>
          <w:color w:val="000000"/>
        </w:rPr>
        <w:t>for any information contained in this research note.</w:t>
      </w:r>
    </w:p>
    <w:p w14:paraId="529D5A6E" w14:textId="77777777" w:rsidR="005C74A2" w:rsidRPr="00752071" w:rsidRDefault="005C74A2" w:rsidP="00710347">
      <w:pPr>
        <w:autoSpaceDE w:val="0"/>
        <w:autoSpaceDN w:val="0"/>
        <w:adjustRightInd w:val="0"/>
        <w:spacing w:after="0" w:line="240" w:lineRule="auto"/>
        <w:ind w:right="144"/>
        <w:rPr>
          <w:rFonts w:cstheme="minorHAnsi"/>
          <w:color w:val="000000"/>
        </w:rPr>
      </w:pPr>
    </w:p>
    <w:p w14:paraId="79A3192E" w14:textId="77777777" w:rsidR="00EC156E" w:rsidRPr="00752071" w:rsidRDefault="00752071" w:rsidP="00710347">
      <w:pPr>
        <w:autoSpaceDE w:val="0"/>
        <w:autoSpaceDN w:val="0"/>
        <w:adjustRightInd w:val="0"/>
        <w:spacing w:after="0" w:line="240" w:lineRule="auto"/>
        <w:ind w:right="144"/>
        <w:rPr>
          <w:rFonts w:cstheme="minorHAnsi"/>
          <w:b/>
          <w:bCs/>
          <w:color w:val="000000"/>
        </w:rPr>
      </w:pPr>
      <w:r w:rsidRPr="00752071">
        <w:rPr>
          <w:rFonts w:cstheme="minorHAnsi"/>
          <w:b/>
          <w:color w:val="000000"/>
        </w:rPr>
        <w:t>About SOMO</w:t>
      </w:r>
      <w:r>
        <w:rPr>
          <w:rFonts w:cstheme="minorHAnsi"/>
          <w:b/>
          <w:color w:val="000000"/>
        </w:rPr>
        <w:t xml:space="preserve">: </w:t>
      </w:r>
    </w:p>
    <w:p w14:paraId="0109F725" w14:textId="77777777" w:rsidR="00752071" w:rsidRPr="00752071" w:rsidRDefault="00752071" w:rsidP="00710347">
      <w:pPr>
        <w:autoSpaceDE w:val="0"/>
        <w:autoSpaceDN w:val="0"/>
        <w:adjustRightInd w:val="0"/>
        <w:spacing w:after="0" w:line="240" w:lineRule="auto"/>
        <w:ind w:right="144"/>
        <w:rPr>
          <w:rFonts w:cstheme="minorHAnsi"/>
          <w:b/>
          <w:bCs/>
          <w:color w:val="000000"/>
        </w:rPr>
      </w:pPr>
      <w:r w:rsidRPr="00752071">
        <w:t>The Centre for Research on Multinational Corporations (</w:t>
      </w:r>
      <w:hyperlink r:id="rId8" w:history="1">
        <w:r w:rsidRPr="00CE5F15">
          <w:rPr>
            <w:rStyle w:val="Hyperlink"/>
          </w:rPr>
          <w:t>SOMO</w:t>
        </w:r>
      </w:hyperlink>
      <w:r w:rsidRPr="00752071">
        <w:t>) is a critical, independent, not-for-profit knowledge centre on multinationals. Since 1973 we have </w:t>
      </w:r>
      <w:hyperlink r:id="rId9" w:anchor="research" w:history="1">
        <w:r w:rsidRPr="00752071">
          <w:rPr>
            <w:rStyle w:val="Hyperlink"/>
          </w:rPr>
          <w:t>investigated</w:t>
        </w:r>
      </w:hyperlink>
      <w:r w:rsidRPr="00752071">
        <w:t xml:space="preserve"> multinational corporations and the impact of their activities on people and the environment. We provide </w:t>
      </w:r>
      <w:hyperlink r:id="rId10" w:anchor="services" w:history="1">
        <w:r w:rsidRPr="00752071">
          <w:rPr>
            <w:rStyle w:val="Hyperlink"/>
          </w:rPr>
          <w:t>custom-made services</w:t>
        </w:r>
      </w:hyperlink>
      <w:r w:rsidRPr="00752071">
        <w:t xml:space="preserve"> (research, consulting </w:t>
      </w:r>
      <w:r w:rsidRPr="00752071">
        <w:lastRenderedPageBreak/>
        <w:t xml:space="preserve">and training) to non-profit organisations and the public sector. We strengthen collaboration between civil society organisations through our </w:t>
      </w:r>
      <w:hyperlink r:id="rId11" w:anchor="network" w:history="1">
        <w:r w:rsidRPr="00752071">
          <w:rPr>
            <w:rStyle w:val="Hyperlink"/>
          </w:rPr>
          <w:t>worldwide network</w:t>
        </w:r>
      </w:hyperlink>
      <w:r w:rsidRPr="00752071">
        <w:t>.</w:t>
      </w:r>
    </w:p>
    <w:p w14:paraId="765AFC9D" w14:textId="77777777" w:rsidR="00096DF2" w:rsidRPr="00752071" w:rsidRDefault="00096DF2">
      <w:pPr>
        <w:rPr>
          <w:rFonts w:cstheme="minorHAnsi"/>
          <w:b/>
          <w:bCs/>
          <w:color w:val="000000"/>
        </w:rPr>
      </w:pPr>
      <w:r w:rsidRPr="00752071">
        <w:rPr>
          <w:rFonts w:cstheme="minorHAnsi"/>
          <w:b/>
          <w:bCs/>
          <w:color w:val="000000"/>
        </w:rPr>
        <w:br w:type="page"/>
      </w:r>
    </w:p>
    <w:p w14:paraId="1B99F964" w14:textId="77777777" w:rsidR="00C84ECE" w:rsidRPr="001E4D55" w:rsidRDefault="00E47661" w:rsidP="00710347">
      <w:pPr>
        <w:autoSpaceDE w:val="0"/>
        <w:autoSpaceDN w:val="0"/>
        <w:adjustRightInd w:val="0"/>
        <w:spacing w:after="0" w:line="240" w:lineRule="auto"/>
        <w:ind w:right="144"/>
        <w:rPr>
          <w:rFonts w:cstheme="minorHAnsi"/>
          <w:b/>
          <w:bCs/>
          <w:color w:val="000000"/>
          <w:sz w:val="27"/>
          <w:szCs w:val="27"/>
        </w:rPr>
      </w:pPr>
      <w:r w:rsidRPr="001E4D55">
        <w:rPr>
          <w:rFonts w:cstheme="minorHAnsi"/>
          <w:b/>
          <w:bCs/>
          <w:color w:val="000000"/>
          <w:sz w:val="27"/>
          <w:szCs w:val="27"/>
        </w:rPr>
        <w:lastRenderedPageBreak/>
        <w:t xml:space="preserve">Information related to consultation </w:t>
      </w:r>
      <w:r w:rsidR="00C84ECE" w:rsidRPr="001E4D55">
        <w:rPr>
          <w:rFonts w:cstheme="minorHAnsi"/>
          <w:b/>
          <w:bCs/>
          <w:color w:val="000000"/>
          <w:sz w:val="27"/>
          <w:szCs w:val="27"/>
        </w:rPr>
        <w:t xml:space="preserve">Question 17. Do you have concerns </w:t>
      </w:r>
      <w:r w:rsidR="00C84ECE" w:rsidRPr="009B48F7">
        <w:rPr>
          <w:rFonts w:cstheme="minorHAnsi"/>
          <w:b/>
          <w:bCs/>
          <w:color w:val="000000"/>
          <w:sz w:val="27"/>
          <w:szCs w:val="27"/>
        </w:rPr>
        <w:t xml:space="preserve">on the </w:t>
      </w:r>
      <w:r w:rsidR="00C84ECE" w:rsidRPr="009B48F7">
        <w:rPr>
          <w:rFonts w:cstheme="minorHAnsi"/>
          <w:b/>
          <w:bCs/>
          <w:color w:val="000000"/>
          <w:sz w:val="27"/>
          <w:szCs w:val="27"/>
          <w:u w:val="single"/>
        </w:rPr>
        <w:t>level of concentration</w:t>
      </w:r>
      <w:r w:rsidR="00C84ECE" w:rsidRPr="009B48F7">
        <w:rPr>
          <w:rFonts w:cstheme="minorHAnsi"/>
          <w:b/>
          <w:bCs/>
          <w:color w:val="000000"/>
          <w:sz w:val="27"/>
          <w:szCs w:val="27"/>
        </w:rPr>
        <w:t xml:space="preserve"> in the</w:t>
      </w:r>
      <w:r w:rsidRPr="009B48F7">
        <w:rPr>
          <w:rFonts w:cstheme="minorHAnsi"/>
          <w:b/>
          <w:bCs/>
          <w:color w:val="000000"/>
          <w:sz w:val="27"/>
          <w:szCs w:val="27"/>
        </w:rPr>
        <w:t xml:space="preserve"> </w:t>
      </w:r>
      <w:r w:rsidR="00C84ECE" w:rsidRPr="009B48F7">
        <w:rPr>
          <w:rFonts w:cstheme="minorHAnsi"/>
          <w:b/>
          <w:bCs/>
          <w:color w:val="000000"/>
          <w:sz w:val="27"/>
          <w:szCs w:val="27"/>
        </w:rPr>
        <w:t>market for ESG ratings and data?</w:t>
      </w:r>
    </w:p>
    <w:p w14:paraId="7D0134FC" w14:textId="77777777" w:rsidR="00CA209F" w:rsidRPr="001E4D55" w:rsidRDefault="00CA209F" w:rsidP="00710347">
      <w:pPr>
        <w:autoSpaceDE w:val="0"/>
        <w:autoSpaceDN w:val="0"/>
        <w:adjustRightInd w:val="0"/>
        <w:spacing w:after="0" w:line="240" w:lineRule="auto"/>
        <w:ind w:right="144"/>
        <w:rPr>
          <w:rFonts w:cstheme="minorHAnsi"/>
          <w:color w:val="666666"/>
          <w:sz w:val="18"/>
          <w:szCs w:val="18"/>
        </w:rPr>
      </w:pPr>
    </w:p>
    <w:p w14:paraId="325AA893" w14:textId="77777777" w:rsidR="00CA209F" w:rsidRPr="001E4D55" w:rsidRDefault="00CA209F" w:rsidP="00710347">
      <w:pPr>
        <w:autoSpaceDE w:val="0"/>
        <w:autoSpaceDN w:val="0"/>
        <w:adjustRightInd w:val="0"/>
        <w:spacing w:after="0" w:line="240" w:lineRule="auto"/>
        <w:ind w:right="144"/>
        <w:rPr>
          <w:rFonts w:cstheme="minorHAnsi"/>
          <w:color w:val="666666"/>
          <w:sz w:val="18"/>
          <w:szCs w:val="18"/>
        </w:rPr>
      </w:pPr>
    </w:p>
    <w:p w14:paraId="5B01E126" w14:textId="77777777" w:rsidR="00CB4206" w:rsidRPr="001E4D55" w:rsidRDefault="006A7FA7" w:rsidP="00710347">
      <w:pPr>
        <w:spacing w:after="0" w:line="240" w:lineRule="auto"/>
        <w:ind w:right="144"/>
        <w:rPr>
          <w:rFonts w:cstheme="minorHAnsi"/>
          <w:b/>
          <w:bCs/>
          <w:color w:val="000000"/>
          <w:sz w:val="24"/>
          <w:szCs w:val="24"/>
        </w:rPr>
      </w:pPr>
      <w:r w:rsidRPr="001E4D55">
        <w:rPr>
          <w:rFonts w:cstheme="minorHAnsi"/>
          <w:b/>
          <w:bCs/>
          <w:color w:val="000000"/>
          <w:sz w:val="24"/>
          <w:szCs w:val="24"/>
        </w:rPr>
        <w:t xml:space="preserve">A. </w:t>
      </w:r>
      <w:r w:rsidR="00CB4206" w:rsidRPr="001E4D55">
        <w:rPr>
          <w:rFonts w:cstheme="minorHAnsi"/>
          <w:b/>
          <w:bCs/>
          <w:color w:val="000000"/>
          <w:sz w:val="24"/>
          <w:szCs w:val="24"/>
        </w:rPr>
        <w:t xml:space="preserve">Level of concentration </w:t>
      </w:r>
    </w:p>
    <w:p w14:paraId="72274F29" w14:textId="77777777" w:rsidR="00CB4206" w:rsidRPr="001E4D55" w:rsidRDefault="00CB4206" w:rsidP="00710347">
      <w:pPr>
        <w:spacing w:after="0" w:line="240" w:lineRule="auto"/>
        <w:ind w:right="144"/>
        <w:rPr>
          <w:rFonts w:cstheme="minorHAnsi"/>
          <w:bCs/>
          <w:color w:val="000000"/>
        </w:rPr>
      </w:pPr>
    </w:p>
    <w:p w14:paraId="6914C85C" w14:textId="77777777" w:rsidR="00E9708B" w:rsidRPr="001E4D55" w:rsidRDefault="00E9708B" w:rsidP="00710347">
      <w:pPr>
        <w:spacing w:after="0" w:line="240" w:lineRule="auto"/>
        <w:ind w:right="144"/>
        <w:rPr>
          <w:rFonts w:cstheme="minorHAnsi"/>
          <w:bCs/>
          <w:color w:val="000000"/>
        </w:rPr>
      </w:pPr>
      <w:r w:rsidRPr="001E4D55">
        <w:rPr>
          <w:rFonts w:cstheme="minorHAnsi"/>
          <w:bCs/>
          <w:color w:val="000000"/>
        </w:rPr>
        <w:t xml:space="preserve">From different sources about </w:t>
      </w:r>
      <w:r w:rsidRPr="001E4D55">
        <w:rPr>
          <w:rFonts w:cstheme="minorHAnsi"/>
          <w:b/>
          <w:bCs/>
          <w:color w:val="000000"/>
        </w:rPr>
        <w:t xml:space="preserve">the use </w:t>
      </w:r>
      <w:r w:rsidRPr="001E4D55">
        <w:rPr>
          <w:rFonts w:cstheme="minorHAnsi"/>
          <w:bCs/>
          <w:color w:val="000000"/>
        </w:rPr>
        <w:t xml:space="preserve">of the ESG firm services, some </w:t>
      </w:r>
      <w:r w:rsidR="00CB4206" w:rsidRPr="001E4D55">
        <w:rPr>
          <w:rFonts w:cstheme="minorHAnsi"/>
          <w:bCs/>
          <w:color w:val="000000"/>
        </w:rPr>
        <w:t>ESG firms seem to be</w:t>
      </w:r>
      <w:r w:rsidR="006A7FA7" w:rsidRPr="001E4D55">
        <w:rPr>
          <w:rFonts w:cstheme="minorHAnsi"/>
          <w:bCs/>
          <w:color w:val="000000"/>
        </w:rPr>
        <w:t xml:space="preserve"> </w:t>
      </w:r>
      <w:r w:rsidR="00710347" w:rsidRPr="001E4D55">
        <w:rPr>
          <w:rFonts w:cstheme="minorHAnsi"/>
          <w:bCs/>
          <w:color w:val="000000"/>
        </w:rPr>
        <w:t>used more frequently by investors, although there is no ESG rating that is useful for all investors</w:t>
      </w:r>
      <w:r w:rsidRPr="001E4D55">
        <w:rPr>
          <w:rFonts w:cstheme="minorHAnsi"/>
          <w:bCs/>
          <w:color w:val="000000"/>
        </w:rPr>
        <w:t>.</w:t>
      </w:r>
    </w:p>
    <w:p w14:paraId="5D5763FC" w14:textId="77777777" w:rsidR="002024DF" w:rsidRPr="001E4D55" w:rsidRDefault="002024DF" w:rsidP="00710347">
      <w:pPr>
        <w:spacing w:after="0" w:line="240" w:lineRule="auto"/>
        <w:ind w:right="144"/>
        <w:rPr>
          <w:rFonts w:cstheme="minorHAnsi"/>
        </w:rPr>
      </w:pPr>
    </w:p>
    <w:p w14:paraId="7CA3B055" w14:textId="77777777" w:rsidR="002024DF" w:rsidRPr="001E4D55" w:rsidRDefault="00603D05" w:rsidP="00710347">
      <w:pPr>
        <w:spacing w:after="0" w:line="240" w:lineRule="auto"/>
        <w:ind w:right="144"/>
        <w:rPr>
          <w:rFonts w:cstheme="minorHAnsi"/>
        </w:rPr>
      </w:pPr>
      <w:r w:rsidRPr="001E4D55">
        <w:rPr>
          <w:rFonts w:cstheme="minorHAnsi"/>
        </w:rPr>
        <w:t>According to a survey by SustainAb</w:t>
      </w:r>
      <w:r w:rsidR="00E47661" w:rsidRPr="001E4D55">
        <w:rPr>
          <w:rFonts w:cstheme="minorHAnsi"/>
        </w:rPr>
        <w:t>i</w:t>
      </w:r>
      <w:r w:rsidRPr="001E4D55">
        <w:rPr>
          <w:rFonts w:cstheme="minorHAnsi"/>
        </w:rPr>
        <w:t>l</w:t>
      </w:r>
      <w:r w:rsidR="00E47661" w:rsidRPr="001E4D55">
        <w:rPr>
          <w:rFonts w:cstheme="minorHAnsi"/>
        </w:rPr>
        <w:t>ity</w:t>
      </w:r>
      <w:r w:rsidR="00710347" w:rsidRPr="001E4D55">
        <w:rPr>
          <w:rStyle w:val="FootnoteReference"/>
          <w:rFonts w:cstheme="minorHAnsi"/>
        </w:rPr>
        <w:footnoteReference w:id="3"/>
      </w:r>
      <w:r w:rsidR="00710347" w:rsidRPr="001E4D55">
        <w:rPr>
          <w:rFonts w:cstheme="minorHAnsi"/>
        </w:rPr>
        <w:t xml:space="preserve"> among investors</w:t>
      </w:r>
      <w:r w:rsidRPr="001E4D55">
        <w:rPr>
          <w:rFonts w:cstheme="minorHAnsi"/>
        </w:rPr>
        <w:t xml:space="preserve">, </w:t>
      </w:r>
      <w:r w:rsidR="002024DF" w:rsidRPr="001E4D55">
        <w:rPr>
          <w:rFonts w:cstheme="minorHAnsi"/>
        </w:rPr>
        <w:t>“Sustainalytics and MSCI were most often mentioned by investors, who favor them for their broad coverage</w:t>
      </w:r>
      <w:r w:rsidR="00710347" w:rsidRPr="001E4D55">
        <w:rPr>
          <w:rFonts w:cstheme="minorHAnsi"/>
        </w:rPr>
        <w:t>”</w:t>
      </w:r>
      <w:r w:rsidR="002024DF" w:rsidRPr="001E4D55">
        <w:rPr>
          <w:rFonts w:cstheme="minorHAnsi"/>
        </w:rPr>
        <w:t xml:space="preserve">. </w:t>
      </w:r>
      <w:r w:rsidR="00710347" w:rsidRPr="001E4D55">
        <w:rPr>
          <w:rFonts w:cstheme="minorHAnsi"/>
        </w:rPr>
        <w:t>“</w:t>
      </w:r>
      <w:r w:rsidR="002024DF" w:rsidRPr="001E4D55">
        <w:rPr>
          <w:rFonts w:cstheme="minorHAnsi"/>
        </w:rPr>
        <w:t>CDP and ISS were often mentioned for quality and usefulness, while ISS is praised most frequently for its governance scoring. The RobecoSAM CSA also was raised by investors as high quality, but the same investors lauding its quality claim it is less useful for investment research than other ratings because access to the underlying data and analysis is so limited. Trucost ESG Analysis, part of S&amp;P Global, and several newer ratings and research providers like Truvalue Labs and S-Ray, which utilize artificial intelligence (AI) to gather ESG data and insights, were also mentioned as deserving attention.”</w:t>
      </w:r>
    </w:p>
    <w:p w14:paraId="2EB09B66" w14:textId="77777777" w:rsidR="00E9708B" w:rsidRPr="001E4D55" w:rsidRDefault="00E9708B" w:rsidP="00710347">
      <w:pPr>
        <w:spacing w:after="0" w:line="240" w:lineRule="auto"/>
        <w:ind w:right="144"/>
        <w:rPr>
          <w:rFonts w:cstheme="minorHAnsi"/>
          <w:bCs/>
          <w:color w:val="000000"/>
        </w:rPr>
      </w:pPr>
    </w:p>
    <w:p w14:paraId="48466EE5" w14:textId="77777777" w:rsidR="003D3554" w:rsidRPr="001E4D55" w:rsidRDefault="003D3554" w:rsidP="00710347">
      <w:pPr>
        <w:spacing w:after="0" w:line="240" w:lineRule="auto"/>
        <w:ind w:right="144"/>
        <w:rPr>
          <w:rFonts w:cstheme="minorHAnsi"/>
        </w:rPr>
      </w:pPr>
      <w:r w:rsidRPr="001E4D55">
        <w:rPr>
          <w:rFonts w:cstheme="minorHAnsi"/>
          <w:bCs/>
          <w:color w:val="000000"/>
        </w:rPr>
        <w:t>According to a</w:t>
      </w:r>
      <w:r w:rsidR="00710347" w:rsidRPr="001E4D55">
        <w:rPr>
          <w:rFonts w:cstheme="minorHAnsi"/>
          <w:bCs/>
          <w:color w:val="000000"/>
        </w:rPr>
        <w:t>n</w:t>
      </w:r>
      <w:r w:rsidRPr="001E4D55">
        <w:rPr>
          <w:rFonts w:cstheme="minorHAnsi"/>
          <w:bCs/>
          <w:color w:val="000000"/>
        </w:rPr>
        <w:t xml:space="preserve"> EBF-IIF survey, the most common data</w:t>
      </w:r>
      <w:r w:rsidR="00710347" w:rsidRPr="001E4D55">
        <w:rPr>
          <w:rFonts w:cstheme="minorHAnsi"/>
          <w:bCs/>
          <w:color w:val="000000"/>
        </w:rPr>
        <w:t xml:space="preserve"> and </w:t>
      </w:r>
      <w:r w:rsidRPr="001E4D55">
        <w:rPr>
          <w:rFonts w:cstheme="minorHAnsi"/>
          <w:bCs/>
          <w:color w:val="000000"/>
        </w:rPr>
        <w:t>service providers used by financial firms for</w:t>
      </w:r>
      <w:r w:rsidR="00E2411C" w:rsidRPr="001E4D55">
        <w:rPr>
          <w:rFonts w:cstheme="minorHAnsi"/>
          <w:bCs/>
          <w:color w:val="000000"/>
        </w:rPr>
        <w:t xml:space="preserve"> their </w:t>
      </w:r>
      <w:r w:rsidR="003F3672" w:rsidRPr="001E4D55">
        <w:rPr>
          <w:rFonts w:cstheme="minorHAnsi"/>
          <w:bCs/>
          <w:color w:val="000000"/>
        </w:rPr>
        <w:t xml:space="preserve">specific </w:t>
      </w:r>
      <w:r w:rsidRPr="001E4D55">
        <w:rPr>
          <w:rFonts w:cstheme="minorHAnsi"/>
          <w:bCs/>
          <w:color w:val="000000"/>
        </w:rPr>
        <w:t>climate risk analysis are “</w:t>
      </w:r>
      <w:r w:rsidRPr="001E4D55">
        <w:rPr>
          <w:rFonts w:cstheme="minorHAnsi"/>
        </w:rPr>
        <w:t>2° Investing  Initiative,  427,  Bloomberg,  CDP,  MSCI, Navigant (Ecofys), Refinitiv, RepRisk, Sustainalytics, and Trucost.”</w:t>
      </w:r>
      <w:r w:rsidRPr="001E4D55">
        <w:rPr>
          <w:rStyle w:val="FootnoteReference"/>
          <w:rFonts w:cstheme="minorHAnsi"/>
        </w:rPr>
        <w:footnoteReference w:id="4"/>
      </w:r>
    </w:p>
    <w:p w14:paraId="51193509" w14:textId="77777777" w:rsidR="00B37757" w:rsidRPr="001E4D55" w:rsidRDefault="00B37757" w:rsidP="00710347">
      <w:pPr>
        <w:spacing w:after="0" w:line="240" w:lineRule="auto"/>
        <w:ind w:right="144"/>
        <w:rPr>
          <w:rFonts w:cstheme="minorHAnsi"/>
        </w:rPr>
      </w:pPr>
    </w:p>
    <w:p w14:paraId="4F147F0C" w14:textId="77777777" w:rsidR="00B37757" w:rsidRPr="001E4D55" w:rsidRDefault="00B37757" w:rsidP="00710347">
      <w:pPr>
        <w:spacing w:after="0" w:line="240" w:lineRule="auto"/>
        <w:ind w:right="144"/>
        <w:rPr>
          <w:rFonts w:cstheme="minorHAnsi"/>
        </w:rPr>
      </w:pPr>
      <w:r w:rsidRPr="001E4D55">
        <w:rPr>
          <w:rFonts w:cstheme="minorHAnsi"/>
        </w:rPr>
        <w:t>A</w:t>
      </w:r>
      <w:r w:rsidR="006E3EE8" w:rsidRPr="001E4D55">
        <w:rPr>
          <w:rFonts w:cstheme="minorHAnsi"/>
        </w:rPr>
        <w:t>n</w:t>
      </w:r>
      <w:r w:rsidRPr="001E4D55">
        <w:rPr>
          <w:rFonts w:cstheme="minorHAnsi"/>
        </w:rPr>
        <w:t xml:space="preserve"> ESG firm from the US, Buzzword, mentioned </w:t>
      </w:r>
      <w:r w:rsidR="006E3EE8" w:rsidRPr="001E4D55">
        <w:rPr>
          <w:rFonts w:cstheme="minorHAnsi"/>
        </w:rPr>
        <w:t>in 2019 the following</w:t>
      </w:r>
      <w:r w:rsidRPr="001E4D55">
        <w:rPr>
          <w:rFonts w:cstheme="minorHAnsi"/>
        </w:rPr>
        <w:t xml:space="preserve"> raters and rankers </w:t>
      </w:r>
      <w:r w:rsidR="006E3EE8" w:rsidRPr="001E4D55">
        <w:rPr>
          <w:rFonts w:cstheme="minorHAnsi"/>
        </w:rPr>
        <w:t>as the most used by various financial players</w:t>
      </w:r>
      <w:r w:rsidRPr="001E4D55">
        <w:rPr>
          <w:rFonts w:cstheme="minorHAnsi"/>
        </w:rPr>
        <w:t xml:space="preserve">: </w:t>
      </w:r>
      <w:r w:rsidR="006E3EE8" w:rsidRPr="001E4D55">
        <w:rPr>
          <w:rFonts w:cstheme="minorHAnsi"/>
        </w:rPr>
        <w:t>Sustainalytics, MSCI, ISS, RobecoSAM and RepRisk.</w:t>
      </w:r>
      <w:r w:rsidR="006E3EE8" w:rsidRPr="001E4D55">
        <w:rPr>
          <w:rStyle w:val="FootnoteReference"/>
          <w:rFonts w:cstheme="minorHAnsi"/>
        </w:rPr>
        <w:footnoteReference w:id="5"/>
      </w:r>
    </w:p>
    <w:p w14:paraId="605AD4F6" w14:textId="77777777" w:rsidR="003D3554" w:rsidRPr="001E4D55" w:rsidRDefault="003D3554" w:rsidP="00710347">
      <w:pPr>
        <w:spacing w:after="0" w:line="240" w:lineRule="auto"/>
        <w:ind w:right="144"/>
        <w:rPr>
          <w:rFonts w:cstheme="minorHAnsi"/>
          <w:bCs/>
          <w:color w:val="000000"/>
        </w:rPr>
      </w:pPr>
    </w:p>
    <w:p w14:paraId="17A8C6E6" w14:textId="77777777" w:rsidR="00056DC8" w:rsidRPr="001E4D55" w:rsidRDefault="00056DC8" w:rsidP="00710347">
      <w:pPr>
        <w:spacing w:after="0" w:line="240" w:lineRule="auto"/>
        <w:ind w:right="144"/>
        <w:rPr>
          <w:rFonts w:cstheme="minorHAnsi"/>
          <w:bCs/>
          <w:color w:val="000000"/>
        </w:rPr>
      </w:pPr>
      <w:r w:rsidRPr="001E4D55">
        <w:rPr>
          <w:rFonts w:cstheme="minorHAnsi"/>
          <w:bCs/>
          <w:color w:val="000000"/>
        </w:rPr>
        <w:t>In addition, ESG firms might have strategic partnerships with other players in the financial sector. For instance Sustainalytics had not only a longstanding strategic partnership with Morningstar (it is now owne</w:t>
      </w:r>
      <w:r w:rsidR="006E3EE8" w:rsidRPr="001E4D55">
        <w:rPr>
          <w:rFonts w:cstheme="minorHAnsi"/>
          <w:bCs/>
          <w:color w:val="000000"/>
        </w:rPr>
        <w:t>d</w:t>
      </w:r>
      <w:r w:rsidRPr="001E4D55">
        <w:rPr>
          <w:rFonts w:cstheme="minorHAnsi"/>
          <w:bCs/>
          <w:color w:val="000000"/>
        </w:rPr>
        <w:t xml:space="preserve"> by Morningstar, see below), but also with Glass Lewis, Stoxx and FTSE Russell.</w:t>
      </w:r>
      <w:r w:rsidRPr="001E4D55">
        <w:rPr>
          <w:rStyle w:val="FootnoteReference"/>
          <w:rFonts w:cstheme="minorHAnsi"/>
          <w:bCs/>
          <w:color w:val="000000"/>
        </w:rPr>
        <w:footnoteReference w:id="6"/>
      </w:r>
      <w:r w:rsidRPr="001E4D55">
        <w:rPr>
          <w:rFonts w:cstheme="minorHAnsi"/>
          <w:bCs/>
          <w:color w:val="000000"/>
        </w:rPr>
        <w:t xml:space="preserve"> </w:t>
      </w:r>
      <w:r w:rsidR="006E3EE8" w:rsidRPr="001E4D55">
        <w:rPr>
          <w:rFonts w:cstheme="minorHAnsi"/>
          <w:bCs/>
          <w:color w:val="000000"/>
        </w:rPr>
        <w:t>Another example is that the Dow Jones Sustainability Index (DJSI) is based on ESG research by RobecoSAM.</w:t>
      </w:r>
      <w:r w:rsidR="007230B8" w:rsidRPr="001E4D55">
        <w:rPr>
          <w:rStyle w:val="FootnoteReference"/>
          <w:rFonts w:cstheme="minorHAnsi"/>
          <w:bCs/>
          <w:color w:val="000000"/>
        </w:rPr>
        <w:footnoteReference w:id="7"/>
      </w:r>
    </w:p>
    <w:p w14:paraId="40E31DC0" w14:textId="77777777" w:rsidR="006E3EE8" w:rsidRPr="001E4D55" w:rsidRDefault="006E3EE8" w:rsidP="00710347">
      <w:pPr>
        <w:spacing w:after="0" w:line="240" w:lineRule="auto"/>
        <w:ind w:right="144"/>
        <w:rPr>
          <w:rFonts w:cstheme="minorHAnsi"/>
          <w:bCs/>
          <w:color w:val="000000"/>
        </w:rPr>
      </w:pPr>
    </w:p>
    <w:p w14:paraId="63F9316E" w14:textId="77777777" w:rsidR="00876B1F" w:rsidRPr="001E4D55" w:rsidRDefault="00A01D47" w:rsidP="00710347">
      <w:pPr>
        <w:spacing w:after="0" w:line="240" w:lineRule="auto"/>
        <w:ind w:right="144"/>
        <w:rPr>
          <w:rFonts w:cstheme="minorHAnsi"/>
          <w:bCs/>
          <w:color w:val="000000"/>
        </w:rPr>
      </w:pPr>
      <w:r w:rsidRPr="001E4D55">
        <w:rPr>
          <w:rFonts w:cstheme="minorHAnsi"/>
          <w:bCs/>
          <w:color w:val="000000"/>
        </w:rPr>
        <w:t xml:space="preserve">The level of </w:t>
      </w:r>
      <w:r w:rsidRPr="001E4D55">
        <w:rPr>
          <w:rFonts w:cstheme="minorHAnsi"/>
          <w:b/>
          <w:bCs/>
          <w:color w:val="000000"/>
        </w:rPr>
        <w:t xml:space="preserve">concentration and consolidation </w:t>
      </w:r>
      <w:r w:rsidR="003D3554" w:rsidRPr="001E4D55">
        <w:rPr>
          <w:rFonts w:cstheme="minorHAnsi"/>
          <w:b/>
          <w:bCs/>
          <w:color w:val="000000"/>
        </w:rPr>
        <w:t>of ESG firms</w:t>
      </w:r>
      <w:r w:rsidR="003D3554" w:rsidRPr="001E4D55">
        <w:rPr>
          <w:rFonts w:cstheme="minorHAnsi"/>
          <w:bCs/>
          <w:color w:val="000000"/>
        </w:rPr>
        <w:t xml:space="preserve"> </w:t>
      </w:r>
      <w:r w:rsidRPr="001E4D55">
        <w:rPr>
          <w:rFonts w:cstheme="minorHAnsi"/>
          <w:bCs/>
          <w:color w:val="000000"/>
        </w:rPr>
        <w:t>has shown a rapidly growing trend</w:t>
      </w:r>
      <w:r w:rsidR="003F3672" w:rsidRPr="001E4D55">
        <w:rPr>
          <w:rFonts w:cstheme="minorHAnsi"/>
          <w:bCs/>
          <w:color w:val="000000"/>
        </w:rPr>
        <w:t>.</w:t>
      </w:r>
      <w:r w:rsidRPr="001E4D55">
        <w:rPr>
          <w:rStyle w:val="FootnoteReference"/>
          <w:rFonts w:cstheme="minorHAnsi"/>
          <w:bCs/>
          <w:color w:val="000000"/>
        </w:rPr>
        <w:footnoteReference w:id="8"/>
      </w:r>
      <w:r w:rsidRPr="001E4D55">
        <w:rPr>
          <w:rFonts w:cstheme="minorHAnsi"/>
          <w:bCs/>
          <w:color w:val="000000"/>
        </w:rPr>
        <w:t xml:space="preserve"> </w:t>
      </w:r>
      <w:r w:rsidR="003F3672" w:rsidRPr="001E4D55">
        <w:rPr>
          <w:rFonts w:cstheme="minorHAnsi"/>
          <w:bCs/>
          <w:color w:val="000000"/>
        </w:rPr>
        <w:t>SOMO research identified that m</w:t>
      </w:r>
      <w:r w:rsidRPr="001E4D55">
        <w:rPr>
          <w:rFonts w:cstheme="minorHAnsi"/>
          <w:bCs/>
          <w:color w:val="000000"/>
        </w:rPr>
        <w:t xml:space="preserve">any </w:t>
      </w:r>
      <w:r w:rsidR="006E3EE8" w:rsidRPr="001E4D55">
        <w:rPr>
          <w:rFonts w:cstheme="minorHAnsi"/>
          <w:bCs/>
          <w:color w:val="000000"/>
        </w:rPr>
        <w:t xml:space="preserve">of the often used </w:t>
      </w:r>
      <w:r w:rsidRPr="001E4D55">
        <w:rPr>
          <w:rFonts w:cstheme="minorHAnsi"/>
          <w:bCs/>
          <w:color w:val="000000"/>
        </w:rPr>
        <w:t xml:space="preserve">ESG firms have </w:t>
      </w:r>
      <w:r w:rsidR="003F3672" w:rsidRPr="001E4D55">
        <w:rPr>
          <w:rFonts w:cstheme="minorHAnsi"/>
          <w:bCs/>
          <w:color w:val="000000"/>
        </w:rPr>
        <w:t>(</w:t>
      </w:r>
      <w:r w:rsidRPr="001E4D55">
        <w:rPr>
          <w:rFonts w:cstheme="minorHAnsi"/>
          <w:bCs/>
          <w:color w:val="000000"/>
        </w:rPr>
        <w:t>recently</w:t>
      </w:r>
      <w:r w:rsidR="003F3672" w:rsidRPr="001E4D55">
        <w:rPr>
          <w:rFonts w:cstheme="minorHAnsi"/>
          <w:bCs/>
          <w:color w:val="000000"/>
        </w:rPr>
        <w:t>)</w:t>
      </w:r>
      <w:r w:rsidRPr="001E4D55">
        <w:rPr>
          <w:rFonts w:cstheme="minorHAnsi"/>
          <w:bCs/>
          <w:color w:val="000000"/>
        </w:rPr>
        <w:t xml:space="preserve"> been acquired by large establish</w:t>
      </w:r>
      <w:r w:rsidR="006E3EE8" w:rsidRPr="001E4D55">
        <w:rPr>
          <w:rFonts w:cstheme="minorHAnsi"/>
          <w:bCs/>
          <w:color w:val="000000"/>
        </w:rPr>
        <w:t>ed</w:t>
      </w:r>
      <w:r w:rsidRPr="001E4D55">
        <w:rPr>
          <w:rFonts w:cstheme="minorHAnsi"/>
          <w:bCs/>
          <w:color w:val="000000"/>
        </w:rPr>
        <w:t xml:space="preserve"> rating </w:t>
      </w:r>
      <w:r w:rsidR="006A7FA7" w:rsidRPr="001E4D55">
        <w:rPr>
          <w:rFonts w:cstheme="minorHAnsi"/>
          <w:bCs/>
          <w:color w:val="000000"/>
        </w:rPr>
        <w:t xml:space="preserve">agencies </w:t>
      </w:r>
      <w:r w:rsidRPr="001E4D55">
        <w:rPr>
          <w:rFonts w:cstheme="minorHAnsi"/>
          <w:bCs/>
          <w:color w:val="000000"/>
        </w:rPr>
        <w:t xml:space="preserve">and </w:t>
      </w:r>
      <w:r w:rsidR="006A7FA7" w:rsidRPr="001E4D55">
        <w:rPr>
          <w:rFonts w:cstheme="minorHAnsi"/>
          <w:bCs/>
          <w:color w:val="000000"/>
        </w:rPr>
        <w:t xml:space="preserve">financial </w:t>
      </w:r>
      <w:r w:rsidRPr="001E4D55">
        <w:rPr>
          <w:rFonts w:cstheme="minorHAnsi"/>
          <w:bCs/>
          <w:color w:val="000000"/>
        </w:rPr>
        <w:t xml:space="preserve">analysis firms: </w:t>
      </w:r>
    </w:p>
    <w:p w14:paraId="69EA2B44" w14:textId="77777777" w:rsidR="00876B1F" w:rsidRPr="001E4D55" w:rsidRDefault="00A01D47" w:rsidP="00710347">
      <w:pPr>
        <w:pStyle w:val="ListParagraph"/>
        <w:numPr>
          <w:ilvl w:val="0"/>
          <w:numId w:val="3"/>
        </w:numPr>
        <w:spacing w:after="0" w:line="240" w:lineRule="auto"/>
        <w:ind w:right="144"/>
        <w:rPr>
          <w:rFonts w:cstheme="minorHAnsi"/>
          <w:bCs/>
          <w:color w:val="000000"/>
        </w:rPr>
      </w:pPr>
      <w:r w:rsidRPr="001E4D55">
        <w:rPr>
          <w:rFonts w:cstheme="minorHAnsi"/>
          <w:bCs/>
          <w:color w:val="000000"/>
        </w:rPr>
        <w:t>Sustainalytics by Morningstar</w:t>
      </w:r>
      <w:r w:rsidR="00E559C7" w:rsidRPr="001E4D55">
        <w:rPr>
          <w:rFonts w:cstheme="minorHAnsi"/>
          <w:bCs/>
          <w:color w:val="000000"/>
        </w:rPr>
        <w:t xml:space="preserve"> (USA)</w:t>
      </w:r>
      <w:r w:rsidRPr="001E4D55">
        <w:rPr>
          <w:rFonts w:cstheme="minorHAnsi"/>
          <w:bCs/>
          <w:color w:val="000000"/>
        </w:rPr>
        <w:t xml:space="preserve">, </w:t>
      </w:r>
    </w:p>
    <w:p w14:paraId="578AB588" w14:textId="77777777" w:rsidR="00876B1F" w:rsidRPr="001E4D55" w:rsidRDefault="00A01D47" w:rsidP="00710347">
      <w:pPr>
        <w:pStyle w:val="ListParagraph"/>
        <w:numPr>
          <w:ilvl w:val="0"/>
          <w:numId w:val="3"/>
        </w:numPr>
        <w:spacing w:after="0" w:line="240" w:lineRule="auto"/>
        <w:ind w:right="144"/>
        <w:rPr>
          <w:rFonts w:cstheme="minorHAnsi"/>
          <w:bCs/>
          <w:color w:val="000000"/>
        </w:rPr>
      </w:pPr>
      <w:r w:rsidRPr="001E4D55">
        <w:rPr>
          <w:rFonts w:cstheme="minorHAnsi"/>
          <w:bCs/>
          <w:color w:val="000000"/>
        </w:rPr>
        <w:t>Trucost and RobecoSAM by S&amp;P Global</w:t>
      </w:r>
      <w:r w:rsidR="00E559C7" w:rsidRPr="001E4D55">
        <w:rPr>
          <w:rFonts w:cstheme="minorHAnsi"/>
          <w:bCs/>
          <w:color w:val="000000"/>
        </w:rPr>
        <w:t xml:space="preserve"> Inc. (USA)</w:t>
      </w:r>
      <w:r w:rsidRPr="001E4D55">
        <w:rPr>
          <w:rFonts w:cstheme="minorHAnsi"/>
          <w:bCs/>
          <w:color w:val="000000"/>
        </w:rPr>
        <w:t xml:space="preserve">, </w:t>
      </w:r>
    </w:p>
    <w:p w14:paraId="7F62F679" w14:textId="77777777" w:rsidR="00876B1F" w:rsidRPr="001E4D55" w:rsidRDefault="00A01D47" w:rsidP="00710347">
      <w:pPr>
        <w:pStyle w:val="ListParagraph"/>
        <w:numPr>
          <w:ilvl w:val="0"/>
          <w:numId w:val="3"/>
        </w:numPr>
        <w:spacing w:after="0" w:line="240" w:lineRule="auto"/>
        <w:ind w:right="144"/>
        <w:rPr>
          <w:rFonts w:cstheme="minorHAnsi"/>
          <w:bCs/>
          <w:color w:val="000000"/>
        </w:rPr>
      </w:pPr>
      <w:r w:rsidRPr="001E4D55">
        <w:rPr>
          <w:rFonts w:cstheme="minorHAnsi"/>
          <w:bCs/>
          <w:color w:val="000000"/>
        </w:rPr>
        <w:t>Vigeo Eiris</w:t>
      </w:r>
      <w:r w:rsidR="00E559C7" w:rsidRPr="001E4D55">
        <w:rPr>
          <w:rStyle w:val="FootnoteReference"/>
          <w:rFonts w:cstheme="minorHAnsi"/>
          <w:bCs/>
          <w:color w:val="000000"/>
        </w:rPr>
        <w:footnoteReference w:id="9"/>
      </w:r>
      <w:r w:rsidRPr="001E4D55">
        <w:rPr>
          <w:rFonts w:cstheme="minorHAnsi"/>
          <w:bCs/>
          <w:color w:val="000000"/>
        </w:rPr>
        <w:t xml:space="preserve"> and “427”</w:t>
      </w:r>
      <w:r w:rsidR="00E559C7" w:rsidRPr="001E4D55">
        <w:rPr>
          <w:rStyle w:val="FootnoteReference"/>
          <w:rFonts w:cstheme="minorHAnsi"/>
          <w:bCs/>
          <w:color w:val="000000"/>
        </w:rPr>
        <w:footnoteReference w:id="10"/>
      </w:r>
      <w:r w:rsidRPr="001E4D55">
        <w:rPr>
          <w:rFonts w:cstheme="minorHAnsi"/>
          <w:bCs/>
          <w:color w:val="000000"/>
        </w:rPr>
        <w:t xml:space="preserve"> by Moody’s</w:t>
      </w:r>
      <w:r w:rsidR="00E559C7" w:rsidRPr="001E4D55">
        <w:rPr>
          <w:rFonts w:cstheme="minorHAnsi"/>
          <w:bCs/>
          <w:color w:val="000000"/>
        </w:rPr>
        <w:t xml:space="preserve"> (USA)</w:t>
      </w:r>
      <w:r w:rsidRPr="001E4D55">
        <w:rPr>
          <w:rFonts w:cstheme="minorHAnsi"/>
          <w:bCs/>
          <w:color w:val="000000"/>
        </w:rPr>
        <w:t xml:space="preserve">, </w:t>
      </w:r>
    </w:p>
    <w:p w14:paraId="12967885" w14:textId="77777777" w:rsidR="00E559C7" w:rsidRPr="001E4D55" w:rsidRDefault="00A01D47" w:rsidP="005C74A2">
      <w:pPr>
        <w:pStyle w:val="ListParagraph"/>
        <w:numPr>
          <w:ilvl w:val="0"/>
          <w:numId w:val="3"/>
        </w:numPr>
        <w:spacing w:after="0" w:line="240" w:lineRule="auto"/>
        <w:ind w:right="144"/>
        <w:rPr>
          <w:rFonts w:cstheme="minorHAnsi"/>
          <w:bCs/>
          <w:color w:val="000000"/>
        </w:rPr>
      </w:pPr>
      <w:r w:rsidRPr="001E4D55">
        <w:rPr>
          <w:rFonts w:cstheme="minorHAnsi"/>
          <w:bCs/>
          <w:color w:val="000000"/>
        </w:rPr>
        <w:t>KLD</w:t>
      </w:r>
      <w:r w:rsidR="00710347" w:rsidRPr="001E4D55">
        <w:rPr>
          <w:rFonts w:cstheme="minorHAnsi"/>
          <w:bCs/>
          <w:color w:val="000000"/>
        </w:rPr>
        <w:t>4/KLD</w:t>
      </w:r>
      <w:r w:rsidRPr="001E4D55">
        <w:rPr>
          <w:rFonts w:cstheme="minorHAnsi"/>
          <w:bCs/>
          <w:color w:val="000000"/>
        </w:rPr>
        <w:t>Stats by MSCI</w:t>
      </w:r>
      <w:r w:rsidR="00E559C7" w:rsidRPr="001E4D55">
        <w:rPr>
          <w:rFonts w:cstheme="minorHAnsi"/>
          <w:bCs/>
          <w:color w:val="000000"/>
        </w:rPr>
        <w:t xml:space="preserve"> (USA)</w:t>
      </w:r>
      <w:r w:rsidR="00E559C7" w:rsidRPr="001E4D55">
        <w:rPr>
          <w:rStyle w:val="FootnoteReference"/>
          <w:rFonts w:cstheme="minorHAnsi"/>
          <w:bCs/>
          <w:color w:val="000000"/>
        </w:rPr>
        <w:footnoteReference w:id="11"/>
      </w:r>
      <w:r w:rsidR="00E559C7" w:rsidRPr="001E4D55">
        <w:rPr>
          <w:rFonts w:cstheme="minorHAnsi"/>
          <w:bCs/>
          <w:color w:val="000000"/>
        </w:rPr>
        <w:t xml:space="preserve"> </w:t>
      </w:r>
    </w:p>
    <w:p w14:paraId="319A43D5" w14:textId="77777777" w:rsidR="00E2411C" w:rsidRPr="001E4D55" w:rsidRDefault="00A01D47" w:rsidP="002C6B84">
      <w:pPr>
        <w:pStyle w:val="ListParagraph"/>
        <w:numPr>
          <w:ilvl w:val="0"/>
          <w:numId w:val="3"/>
        </w:numPr>
        <w:spacing w:after="0" w:line="240" w:lineRule="auto"/>
        <w:ind w:right="144"/>
        <w:rPr>
          <w:rFonts w:cstheme="minorHAnsi"/>
          <w:bCs/>
          <w:color w:val="000000"/>
        </w:rPr>
      </w:pPr>
      <w:r w:rsidRPr="001E4D55">
        <w:rPr>
          <w:rFonts w:cstheme="minorHAnsi"/>
          <w:bCs/>
          <w:color w:val="000000"/>
        </w:rPr>
        <w:t xml:space="preserve">Oekom by </w:t>
      </w:r>
      <w:r w:rsidR="002C6B84" w:rsidRPr="001E4D55">
        <w:rPr>
          <w:rFonts w:cstheme="minorHAnsi"/>
          <w:bCs/>
          <w:color w:val="000000"/>
        </w:rPr>
        <w:t>Institutional Shareholder Services group (</w:t>
      </w:r>
      <w:r w:rsidRPr="001E4D55">
        <w:rPr>
          <w:rFonts w:cstheme="minorHAnsi"/>
          <w:bCs/>
          <w:color w:val="000000"/>
        </w:rPr>
        <w:t>ISS</w:t>
      </w:r>
      <w:r w:rsidR="002C6B84" w:rsidRPr="001E4D55">
        <w:rPr>
          <w:rFonts w:cstheme="minorHAnsi"/>
          <w:bCs/>
          <w:color w:val="000000"/>
        </w:rPr>
        <w:t xml:space="preserve">, </w:t>
      </w:r>
      <w:r w:rsidR="00E559C7" w:rsidRPr="001E4D55">
        <w:rPr>
          <w:rFonts w:cstheme="minorHAnsi"/>
          <w:bCs/>
          <w:color w:val="000000"/>
        </w:rPr>
        <w:t>USA)</w:t>
      </w:r>
      <w:r w:rsidR="002C6B84" w:rsidRPr="001E4D55">
        <w:rPr>
          <w:rStyle w:val="FootnoteReference"/>
          <w:rFonts w:cstheme="minorHAnsi"/>
          <w:bCs/>
          <w:color w:val="000000"/>
        </w:rPr>
        <w:footnoteReference w:id="12"/>
      </w:r>
      <w:r w:rsidRPr="001E4D55">
        <w:rPr>
          <w:rFonts w:cstheme="minorHAnsi"/>
          <w:bCs/>
          <w:color w:val="000000"/>
        </w:rPr>
        <w:t xml:space="preserve"> </w:t>
      </w:r>
    </w:p>
    <w:p w14:paraId="06292118" w14:textId="77777777" w:rsidR="00CB4206" w:rsidRDefault="00CB4206" w:rsidP="00710347">
      <w:pPr>
        <w:spacing w:after="0" w:line="240" w:lineRule="auto"/>
        <w:ind w:right="144"/>
        <w:rPr>
          <w:rFonts w:cstheme="minorHAnsi"/>
          <w:bCs/>
          <w:color w:val="000000"/>
        </w:rPr>
      </w:pPr>
    </w:p>
    <w:p w14:paraId="72E7399B" w14:textId="77777777" w:rsidR="00CE5F15" w:rsidRPr="001E4D55" w:rsidRDefault="00CE5F15" w:rsidP="00710347">
      <w:pPr>
        <w:spacing w:after="0" w:line="240" w:lineRule="auto"/>
        <w:ind w:right="144"/>
        <w:rPr>
          <w:rFonts w:cstheme="minorHAnsi"/>
          <w:bCs/>
          <w:color w:val="000000"/>
        </w:rPr>
      </w:pPr>
    </w:p>
    <w:p w14:paraId="2B99EFBD" w14:textId="77777777" w:rsidR="00CB4206" w:rsidRPr="001E4D55" w:rsidRDefault="006A7FA7" w:rsidP="00710347">
      <w:pPr>
        <w:spacing w:after="0" w:line="240" w:lineRule="auto"/>
        <w:ind w:right="144"/>
        <w:rPr>
          <w:rFonts w:cstheme="minorHAnsi"/>
          <w:b/>
          <w:bCs/>
          <w:color w:val="000000"/>
          <w:sz w:val="24"/>
          <w:szCs w:val="24"/>
        </w:rPr>
      </w:pPr>
      <w:r w:rsidRPr="001E4D55">
        <w:rPr>
          <w:rFonts w:cstheme="minorHAnsi"/>
          <w:b/>
          <w:bCs/>
          <w:color w:val="000000"/>
          <w:sz w:val="24"/>
          <w:szCs w:val="24"/>
        </w:rPr>
        <w:lastRenderedPageBreak/>
        <w:t xml:space="preserve">B. </w:t>
      </w:r>
      <w:r w:rsidR="00CB4206" w:rsidRPr="001E4D55">
        <w:rPr>
          <w:rFonts w:cstheme="minorHAnsi"/>
          <w:b/>
          <w:bCs/>
          <w:color w:val="000000"/>
          <w:sz w:val="24"/>
          <w:szCs w:val="24"/>
        </w:rPr>
        <w:t>ESG firms</w:t>
      </w:r>
      <w:r w:rsidR="00D82B78" w:rsidRPr="001E4D55">
        <w:rPr>
          <w:rFonts w:cstheme="minorHAnsi"/>
          <w:b/>
          <w:bCs/>
          <w:color w:val="000000"/>
          <w:sz w:val="24"/>
          <w:szCs w:val="24"/>
        </w:rPr>
        <w:t>’</w:t>
      </w:r>
      <w:r w:rsidR="00CB4206" w:rsidRPr="001E4D55">
        <w:rPr>
          <w:rFonts w:cstheme="minorHAnsi"/>
          <w:b/>
          <w:bCs/>
          <w:color w:val="000000"/>
          <w:sz w:val="24"/>
          <w:szCs w:val="24"/>
        </w:rPr>
        <w:t xml:space="preserve"> business models</w:t>
      </w:r>
    </w:p>
    <w:p w14:paraId="4B8EE606" w14:textId="77777777" w:rsidR="00CB4206" w:rsidRPr="001E4D55" w:rsidRDefault="00CB4206" w:rsidP="00710347">
      <w:pPr>
        <w:spacing w:after="0" w:line="240" w:lineRule="auto"/>
        <w:ind w:right="144"/>
        <w:rPr>
          <w:rFonts w:cstheme="minorHAnsi"/>
          <w:bCs/>
          <w:color w:val="000000"/>
        </w:rPr>
      </w:pPr>
    </w:p>
    <w:p w14:paraId="441B4F25" w14:textId="77777777" w:rsidR="00A01D47" w:rsidRPr="001E4D55" w:rsidRDefault="00A01D47" w:rsidP="00710347">
      <w:pPr>
        <w:spacing w:after="0" w:line="240" w:lineRule="auto"/>
        <w:ind w:right="144"/>
        <w:rPr>
          <w:rFonts w:cstheme="minorHAnsi"/>
          <w:bCs/>
          <w:color w:val="000000"/>
        </w:rPr>
      </w:pPr>
      <w:r w:rsidRPr="001E4D55">
        <w:rPr>
          <w:rFonts w:cstheme="minorHAnsi"/>
          <w:bCs/>
          <w:color w:val="000000"/>
        </w:rPr>
        <w:t>In order to find out more what problems</w:t>
      </w:r>
      <w:r w:rsidR="00876B1F" w:rsidRPr="001E4D55">
        <w:rPr>
          <w:rFonts w:cstheme="minorHAnsi"/>
          <w:bCs/>
          <w:color w:val="000000"/>
        </w:rPr>
        <w:t>,</w:t>
      </w:r>
      <w:r w:rsidRPr="001E4D55">
        <w:rPr>
          <w:rFonts w:cstheme="minorHAnsi"/>
          <w:bCs/>
          <w:color w:val="000000"/>
        </w:rPr>
        <w:t xml:space="preserve"> e.g. of conflict of interest, the</w:t>
      </w:r>
      <w:r w:rsidR="00CB4206" w:rsidRPr="001E4D55">
        <w:rPr>
          <w:rFonts w:cstheme="minorHAnsi"/>
          <w:bCs/>
          <w:color w:val="000000"/>
        </w:rPr>
        <w:t xml:space="preserve"> growing</w:t>
      </w:r>
      <w:r w:rsidRPr="001E4D55">
        <w:rPr>
          <w:rFonts w:cstheme="minorHAnsi"/>
          <w:bCs/>
          <w:color w:val="000000"/>
        </w:rPr>
        <w:t xml:space="preserve"> mergers and acquisitions </w:t>
      </w:r>
      <w:r w:rsidR="00CB4206" w:rsidRPr="001E4D55">
        <w:rPr>
          <w:rFonts w:cstheme="minorHAnsi"/>
          <w:bCs/>
          <w:color w:val="000000"/>
        </w:rPr>
        <w:t xml:space="preserve">of ESG firms by credit rating agencies (CRAs) and other firms </w:t>
      </w:r>
      <w:r w:rsidRPr="001E4D55">
        <w:rPr>
          <w:rFonts w:cstheme="minorHAnsi"/>
          <w:bCs/>
          <w:color w:val="000000"/>
        </w:rPr>
        <w:t xml:space="preserve">might create, SOMO did some research into the </w:t>
      </w:r>
      <w:r w:rsidR="00CB4206" w:rsidRPr="001E4D55">
        <w:rPr>
          <w:rFonts w:cstheme="minorHAnsi"/>
          <w:bCs/>
          <w:color w:val="000000"/>
        </w:rPr>
        <w:t xml:space="preserve">acquisitions, mergers and </w:t>
      </w:r>
      <w:r w:rsidRPr="001E4D55">
        <w:rPr>
          <w:rFonts w:cstheme="minorHAnsi"/>
          <w:bCs/>
          <w:color w:val="000000"/>
        </w:rPr>
        <w:t>integration of the ESG firms in the</w:t>
      </w:r>
      <w:r w:rsidR="001E4D55">
        <w:rPr>
          <w:rFonts w:cstheme="minorHAnsi"/>
          <w:bCs/>
          <w:color w:val="000000"/>
        </w:rPr>
        <w:t>ir</w:t>
      </w:r>
      <w:r w:rsidRPr="001E4D55">
        <w:rPr>
          <w:rFonts w:cstheme="minorHAnsi"/>
          <w:bCs/>
          <w:color w:val="000000"/>
        </w:rPr>
        <w:t xml:space="preserve"> larger </w:t>
      </w:r>
      <w:r w:rsidR="001E4D55">
        <w:rPr>
          <w:rFonts w:cstheme="minorHAnsi"/>
          <w:bCs/>
          <w:color w:val="000000"/>
        </w:rPr>
        <w:t xml:space="preserve">parent </w:t>
      </w:r>
      <w:r w:rsidRPr="001E4D55">
        <w:rPr>
          <w:rFonts w:cstheme="minorHAnsi"/>
          <w:bCs/>
          <w:color w:val="000000"/>
        </w:rPr>
        <w:t>conglomerates</w:t>
      </w:r>
      <w:r w:rsidR="00CB4206" w:rsidRPr="001E4D55">
        <w:rPr>
          <w:rFonts w:cstheme="minorHAnsi"/>
          <w:bCs/>
          <w:color w:val="000000"/>
        </w:rPr>
        <w:t xml:space="preserve">. SOMO’s </w:t>
      </w:r>
      <w:r w:rsidR="001E4D55">
        <w:rPr>
          <w:rFonts w:cstheme="minorHAnsi"/>
          <w:bCs/>
          <w:color w:val="000000"/>
        </w:rPr>
        <w:t xml:space="preserve">data base and literature research </w:t>
      </w:r>
      <w:r w:rsidR="00CB4206" w:rsidRPr="001E4D55">
        <w:rPr>
          <w:rFonts w:cstheme="minorHAnsi"/>
          <w:bCs/>
          <w:color w:val="000000"/>
        </w:rPr>
        <w:t>provides some insight in the business model by looking at t</w:t>
      </w:r>
      <w:r w:rsidR="00876B1F" w:rsidRPr="001E4D55">
        <w:rPr>
          <w:rFonts w:cstheme="minorHAnsi"/>
          <w:bCs/>
          <w:color w:val="000000"/>
        </w:rPr>
        <w:t xml:space="preserve">he </w:t>
      </w:r>
      <w:r w:rsidR="001E4D55">
        <w:rPr>
          <w:rFonts w:cstheme="minorHAnsi"/>
          <w:bCs/>
          <w:color w:val="000000"/>
        </w:rPr>
        <w:t xml:space="preserve">how the </w:t>
      </w:r>
      <w:r w:rsidR="00CB4206" w:rsidRPr="001E4D55">
        <w:rPr>
          <w:rFonts w:cstheme="minorHAnsi"/>
          <w:bCs/>
          <w:color w:val="000000"/>
        </w:rPr>
        <w:t>ESG firm operate</w:t>
      </w:r>
      <w:r w:rsidR="001E4D55">
        <w:rPr>
          <w:rFonts w:cstheme="minorHAnsi"/>
          <w:bCs/>
          <w:color w:val="000000"/>
        </w:rPr>
        <w:t>s</w:t>
      </w:r>
      <w:r w:rsidR="00CB4206" w:rsidRPr="001E4D55">
        <w:rPr>
          <w:rFonts w:cstheme="minorHAnsi"/>
          <w:bCs/>
          <w:color w:val="000000"/>
        </w:rPr>
        <w:t xml:space="preserve"> in the overall </w:t>
      </w:r>
      <w:r w:rsidR="00876B1F" w:rsidRPr="001E4D55">
        <w:rPr>
          <w:rFonts w:cstheme="minorHAnsi"/>
          <w:bCs/>
          <w:color w:val="000000"/>
        </w:rPr>
        <w:t>corporate structure</w:t>
      </w:r>
      <w:r w:rsidR="00CB4206" w:rsidRPr="001E4D55">
        <w:rPr>
          <w:rFonts w:cstheme="minorHAnsi"/>
          <w:bCs/>
          <w:color w:val="000000"/>
        </w:rPr>
        <w:t>, as well as the profits, dividend payments and tax payments</w:t>
      </w:r>
      <w:r w:rsidR="00876B1F" w:rsidRPr="001E4D55">
        <w:rPr>
          <w:rFonts w:cstheme="minorHAnsi"/>
          <w:bCs/>
          <w:color w:val="000000"/>
        </w:rPr>
        <w:t xml:space="preserve"> </w:t>
      </w:r>
      <w:r w:rsidR="00CB4206" w:rsidRPr="001E4D55">
        <w:rPr>
          <w:rFonts w:cstheme="minorHAnsi"/>
          <w:bCs/>
          <w:color w:val="000000"/>
        </w:rPr>
        <w:t xml:space="preserve">of the ultimate parent company in which the former ESG firm operates. Below are a </w:t>
      </w:r>
      <w:r w:rsidR="0089509F">
        <w:rPr>
          <w:rFonts w:cstheme="minorHAnsi"/>
          <w:bCs/>
          <w:color w:val="000000"/>
        </w:rPr>
        <w:t xml:space="preserve">just </w:t>
      </w:r>
      <w:r w:rsidR="00CB4206" w:rsidRPr="001E4D55">
        <w:rPr>
          <w:rFonts w:cstheme="minorHAnsi"/>
          <w:bCs/>
          <w:color w:val="000000"/>
        </w:rPr>
        <w:t xml:space="preserve">few </w:t>
      </w:r>
      <w:r w:rsidR="0089509F">
        <w:rPr>
          <w:rFonts w:cstheme="minorHAnsi"/>
          <w:bCs/>
          <w:color w:val="000000"/>
        </w:rPr>
        <w:t xml:space="preserve">selected </w:t>
      </w:r>
      <w:r w:rsidR="00CB4206" w:rsidRPr="001E4D55">
        <w:rPr>
          <w:rFonts w:cstheme="minorHAnsi"/>
          <w:bCs/>
          <w:color w:val="000000"/>
        </w:rPr>
        <w:t>examples:</w:t>
      </w:r>
    </w:p>
    <w:p w14:paraId="66B8058C" w14:textId="77777777" w:rsidR="00CB4206" w:rsidRPr="001E4D55" w:rsidRDefault="00CB4206" w:rsidP="00710347">
      <w:pPr>
        <w:spacing w:after="0" w:line="240" w:lineRule="auto"/>
        <w:ind w:right="144"/>
        <w:rPr>
          <w:rFonts w:cstheme="minorHAnsi"/>
          <w:bCs/>
          <w:color w:val="000000"/>
        </w:rPr>
      </w:pPr>
    </w:p>
    <w:p w14:paraId="3CB9B429" w14:textId="77777777" w:rsidR="00CB4206" w:rsidRPr="001E4D55" w:rsidRDefault="00A01D47" w:rsidP="00710347">
      <w:pPr>
        <w:spacing w:after="0" w:line="240" w:lineRule="auto"/>
        <w:ind w:right="144"/>
        <w:rPr>
          <w:rFonts w:cstheme="minorHAnsi"/>
          <w:b/>
        </w:rPr>
      </w:pPr>
      <w:r w:rsidRPr="001E4D55">
        <w:rPr>
          <w:rFonts w:cstheme="minorHAnsi"/>
          <w:b/>
          <w:bCs/>
          <w:color w:val="000000"/>
        </w:rPr>
        <w:t xml:space="preserve">1) </w:t>
      </w:r>
      <w:r w:rsidR="002024DF" w:rsidRPr="001E4D55">
        <w:rPr>
          <w:rFonts w:cstheme="minorHAnsi"/>
          <w:b/>
        </w:rPr>
        <w:t>Sustainalytics BV</w:t>
      </w:r>
      <w:r w:rsidR="00A8007B" w:rsidRPr="001E4D55">
        <w:rPr>
          <w:rFonts w:cstheme="minorHAnsi"/>
          <w:b/>
        </w:rPr>
        <w:t xml:space="preserve"> </w:t>
      </w:r>
      <w:r w:rsidR="00CB4206" w:rsidRPr="001E4D55">
        <w:rPr>
          <w:rFonts w:cstheme="minorHAnsi"/>
          <w:b/>
        </w:rPr>
        <w:t xml:space="preserve">became a </w:t>
      </w:r>
      <w:r w:rsidR="00A8007B" w:rsidRPr="001E4D55">
        <w:rPr>
          <w:rFonts w:cstheme="minorHAnsi"/>
          <w:b/>
        </w:rPr>
        <w:t>Morningstar</w:t>
      </w:r>
      <w:r w:rsidR="00CB4206" w:rsidRPr="001E4D55">
        <w:rPr>
          <w:rFonts w:cstheme="minorHAnsi"/>
          <w:b/>
        </w:rPr>
        <w:t xml:space="preserve"> </w:t>
      </w:r>
      <w:r w:rsidR="005B6F24" w:rsidRPr="001E4D55">
        <w:rPr>
          <w:rFonts w:cstheme="minorHAnsi"/>
          <w:b/>
        </w:rPr>
        <w:t xml:space="preserve">(USA) </w:t>
      </w:r>
      <w:r w:rsidR="00CB4206" w:rsidRPr="001E4D55">
        <w:rPr>
          <w:rFonts w:cstheme="minorHAnsi"/>
          <w:b/>
        </w:rPr>
        <w:t>company</w:t>
      </w:r>
    </w:p>
    <w:p w14:paraId="3B415CBD" w14:textId="77777777" w:rsidR="00DB4F13" w:rsidRPr="001E4D55" w:rsidRDefault="002024DF" w:rsidP="00710347">
      <w:pPr>
        <w:spacing w:after="0" w:line="240" w:lineRule="auto"/>
        <w:ind w:right="144"/>
        <w:rPr>
          <w:rFonts w:cstheme="minorHAnsi"/>
          <w:b/>
        </w:rPr>
      </w:pPr>
      <w:r w:rsidRPr="001E4D55">
        <w:rPr>
          <w:rFonts w:cstheme="minorHAnsi"/>
          <w:b/>
        </w:rPr>
        <w:t xml:space="preserve"> </w:t>
      </w:r>
    </w:p>
    <w:p w14:paraId="558FA250" w14:textId="77777777" w:rsidR="002024DF" w:rsidRPr="0089509F" w:rsidRDefault="002024DF" w:rsidP="00710347">
      <w:pPr>
        <w:spacing w:after="0" w:line="240" w:lineRule="auto"/>
        <w:ind w:right="144"/>
        <w:rPr>
          <w:rFonts w:cstheme="minorHAnsi"/>
        </w:rPr>
      </w:pPr>
      <w:r w:rsidRPr="0089509F">
        <w:rPr>
          <w:rFonts w:cstheme="minorHAnsi"/>
        </w:rPr>
        <w:t xml:space="preserve">As of </w:t>
      </w:r>
      <w:r w:rsidR="007C374A" w:rsidRPr="0089509F">
        <w:rPr>
          <w:rFonts w:cstheme="minorHAnsi"/>
        </w:rPr>
        <w:t xml:space="preserve">6 July </w:t>
      </w:r>
      <w:r w:rsidRPr="0089509F">
        <w:rPr>
          <w:rFonts w:cstheme="minorHAnsi"/>
        </w:rPr>
        <w:t>2020</w:t>
      </w:r>
      <w:r w:rsidR="00F262D7" w:rsidRPr="0089509F">
        <w:rPr>
          <w:rStyle w:val="FootnoteReference"/>
          <w:rFonts w:cstheme="minorHAnsi"/>
        </w:rPr>
        <w:footnoteReference w:id="13"/>
      </w:r>
      <w:r w:rsidR="00876B1F" w:rsidRPr="0089509F">
        <w:rPr>
          <w:rFonts w:cstheme="minorHAnsi"/>
        </w:rPr>
        <w:t>,</w:t>
      </w:r>
      <w:r w:rsidRPr="0089509F">
        <w:rPr>
          <w:rFonts w:cstheme="minorHAnsi"/>
        </w:rPr>
        <w:t xml:space="preserve"> Morningstar Inc. has </w:t>
      </w:r>
      <w:r w:rsidR="007C374A" w:rsidRPr="0089509F">
        <w:rPr>
          <w:rFonts w:cstheme="minorHAnsi"/>
        </w:rPr>
        <w:t>completed its full acquisition (</w:t>
      </w:r>
      <w:r w:rsidRPr="0089509F">
        <w:rPr>
          <w:rFonts w:cstheme="minorHAnsi"/>
        </w:rPr>
        <w:t>100% owner</w:t>
      </w:r>
      <w:r w:rsidR="007C374A" w:rsidRPr="0089509F">
        <w:rPr>
          <w:rFonts w:cstheme="minorHAnsi"/>
        </w:rPr>
        <w:t>ship)</w:t>
      </w:r>
      <w:r w:rsidRPr="0089509F">
        <w:rPr>
          <w:rFonts w:cstheme="minorHAnsi"/>
        </w:rPr>
        <w:t xml:space="preserve"> of Sustainalytics BV</w:t>
      </w:r>
      <w:r w:rsidR="00876B1F" w:rsidRPr="0089509F">
        <w:rPr>
          <w:rFonts w:cstheme="minorHAnsi"/>
        </w:rPr>
        <w:t xml:space="preserve"> (</w:t>
      </w:r>
      <w:r w:rsidR="007C374A" w:rsidRPr="0089509F">
        <w:rPr>
          <w:rFonts w:cstheme="minorHAnsi"/>
        </w:rPr>
        <w:t xml:space="preserve">was headquartered in The </w:t>
      </w:r>
      <w:r w:rsidR="00876B1F" w:rsidRPr="0089509F">
        <w:rPr>
          <w:rFonts w:cstheme="minorHAnsi"/>
        </w:rPr>
        <w:t>Netherlands)</w:t>
      </w:r>
      <w:r w:rsidR="006949C4" w:rsidRPr="0089509F">
        <w:rPr>
          <w:rFonts w:cstheme="minorHAnsi"/>
        </w:rPr>
        <w:t xml:space="preserve">. </w:t>
      </w:r>
      <w:r w:rsidR="00F262D7" w:rsidRPr="0089509F">
        <w:rPr>
          <w:rFonts w:cstheme="minorHAnsi"/>
          <w:color w:val="222222"/>
        </w:rPr>
        <w:t>Morningstar had already used for some years Sustainalytic’s ESG rat</w:t>
      </w:r>
      <w:r w:rsidR="00F262D7" w:rsidRPr="0089509F">
        <w:rPr>
          <w:rFonts w:cstheme="minorHAnsi"/>
          <w:color w:val="222222"/>
        </w:rPr>
        <w:lastRenderedPageBreak/>
        <w:t>ings for its investment research services</w:t>
      </w:r>
      <w:r w:rsidR="0089509F">
        <w:rPr>
          <w:rFonts w:cstheme="minorHAnsi"/>
          <w:color w:val="222222"/>
        </w:rPr>
        <w:t xml:space="preserve"> (</w:t>
      </w:r>
      <w:r w:rsidR="0089509F" w:rsidRPr="0089509F">
        <w:rPr>
          <w:rFonts w:cstheme="minorHAnsi"/>
          <w:color w:val="222222"/>
        </w:rPr>
        <w:t xml:space="preserve">namely </w:t>
      </w:r>
      <w:r w:rsidR="0089509F" w:rsidRPr="0089509F">
        <w:rPr>
          <w:rFonts w:cstheme="minorHAnsi"/>
        </w:rPr>
        <w:t xml:space="preserve">for </w:t>
      </w:r>
      <w:r w:rsidR="0089509F" w:rsidRPr="0089509F">
        <w:rPr>
          <w:rStyle w:val="contentpanediv2"/>
          <w:rFonts w:cstheme="minorHAnsi"/>
        </w:rPr>
        <w:t>Morningstar's Sustainability Rating for funds and Morningstar Indexes</w:t>
      </w:r>
      <w:r w:rsidR="0089509F">
        <w:rPr>
          <w:rStyle w:val="contentpanediv2"/>
          <w:rFonts w:cstheme="minorHAnsi"/>
          <w:sz w:val="16"/>
          <w:szCs w:val="16"/>
        </w:rPr>
        <w:t>).</w:t>
      </w:r>
      <w:r w:rsidR="00F262D7" w:rsidRPr="0089509F">
        <w:rPr>
          <w:rStyle w:val="Strong"/>
          <w:rFonts w:cstheme="minorHAnsi"/>
          <w:color w:val="222222"/>
        </w:rPr>
        <w:t> </w:t>
      </w:r>
      <w:r w:rsidR="006949C4" w:rsidRPr="0089509F">
        <w:rPr>
          <w:rFonts w:cstheme="minorHAnsi"/>
        </w:rPr>
        <w:t>In January 2019,</w:t>
      </w:r>
      <w:r w:rsidRPr="0089509F">
        <w:rPr>
          <w:rFonts w:cstheme="minorHAnsi"/>
        </w:rPr>
        <w:t xml:space="preserve"> </w:t>
      </w:r>
      <w:r w:rsidR="00A8007B" w:rsidRPr="0089509F">
        <w:rPr>
          <w:rFonts w:cstheme="minorHAnsi"/>
        </w:rPr>
        <w:t>Sustainaly</w:t>
      </w:r>
      <w:r w:rsidR="000C4595" w:rsidRPr="0089509F">
        <w:rPr>
          <w:rFonts w:cstheme="minorHAnsi"/>
        </w:rPr>
        <w:t xml:space="preserve">tics </w:t>
      </w:r>
      <w:r w:rsidR="00876B1F" w:rsidRPr="0089509F">
        <w:rPr>
          <w:rFonts w:cstheme="minorHAnsi"/>
        </w:rPr>
        <w:t xml:space="preserve">itself </w:t>
      </w:r>
      <w:r w:rsidR="000C4595" w:rsidRPr="0089509F">
        <w:rPr>
          <w:rFonts w:cstheme="minorHAnsi"/>
        </w:rPr>
        <w:t>had acquired GES International, a service provider to institutional investors related to engagement, screening and fiduciary voting services to institutional investors.</w:t>
      </w:r>
      <w:r w:rsidR="000C4595" w:rsidRPr="0089509F">
        <w:rPr>
          <w:rStyle w:val="FootnoteReference"/>
          <w:rFonts w:cstheme="minorHAnsi"/>
        </w:rPr>
        <w:footnoteReference w:id="14"/>
      </w:r>
    </w:p>
    <w:p w14:paraId="0252C73C" w14:textId="77777777" w:rsidR="00F262D7" w:rsidRPr="0089509F" w:rsidRDefault="00F262D7" w:rsidP="00710347">
      <w:pPr>
        <w:spacing w:after="0" w:line="240" w:lineRule="auto"/>
        <w:ind w:right="144"/>
        <w:rPr>
          <w:rFonts w:cstheme="minorHAnsi"/>
        </w:rPr>
      </w:pPr>
    </w:p>
    <w:p w14:paraId="3CB1F90D" w14:textId="77777777" w:rsidR="00F262D7" w:rsidRPr="0089509F" w:rsidRDefault="00DB4F13" w:rsidP="00710347">
      <w:pPr>
        <w:spacing w:after="0" w:line="240" w:lineRule="auto"/>
        <w:ind w:right="144"/>
        <w:rPr>
          <w:rFonts w:cstheme="minorHAnsi"/>
        </w:rPr>
      </w:pPr>
      <w:r w:rsidRPr="0089509F">
        <w:rPr>
          <w:rFonts w:cstheme="minorHAnsi"/>
        </w:rPr>
        <w:t>Within the corporate structure of Morningstar, Sustainalytics sits as a level 1 subsidiary</w:t>
      </w:r>
      <w:r w:rsidR="00695570" w:rsidRPr="0089509F">
        <w:rPr>
          <w:rFonts w:cstheme="minorHAnsi"/>
        </w:rPr>
        <w:t>, at the same level as</w:t>
      </w:r>
      <w:r w:rsidR="00F262D7" w:rsidRPr="0089509F">
        <w:rPr>
          <w:rFonts w:cstheme="minorHAnsi"/>
        </w:rPr>
        <w:t xml:space="preserve"> </w:t>
      </w:r>
      <w:r w:rsidRPr="0089509F">
        <w:rPr>
          <w:rFonts w:cstheme="minorHAnsi"/>
        </w:rPr>
        <w:t xml:space="preserve"> Morningstar Credit Ratings LLC</w:t>
      </w:r>
      <w:r w:rsidR="00695570" w:rsidRPr="0089509F">
        <w:rPr>
          <w:rFonts w:cstheme="minorHAnsi"/>
        </w:rPr>
        <w:t xml:space="preserve">, </w:t>
      </w:r>
      <w:r w:rsidR="000C4595" w:rsidRPr="0089509F">
        <w:rPr>
          <w:rFonts w:cstheme="minorHAnsi"/>
        </w:rPr>
        <w:t>Morningstar Global LLC</w:t>
      </w:r>
      <w:r w:rsidR="00695570" w:rsidRPr="0089509F">
        <w:rPr>
          <w:rFonts w:cstheme="minorHAnsi"/>
        </w:rPr>
        <w:t xml:space="preserve"> and other level 1 subsidiaries</w:t>
      </w:r>
      <w:r w:rsidR="000C4595" w:rsidRPr="0089509F">
        <w:rPr>
          <w:rFonts w:cstheme="minorHAnsi"/>
        </w:rPr>
        <w:t>.</w:t>
      </w:r>
      <w:r w:rsidR="000C4595" w:rsidRPr="0089509F">
        <w:rPr>
          <w:rStyle w:val="FootnoteReference"/>
          <w:rFonts w:cstheme="minorHAnsi"/>
        </w:rPr>
        <w:footnoteReference w:id="15"/>
      </w:r>
      <w:r w:rsidR="00AC0B4E" w:rsidRPr="0089509F">
        <w:rPr>
          <w:rFonts w:cstheme="minorHAnsi"/>
        </w:rPr>
        <w:t xml:space="preserve"> </w:t>
      </w:r>
    </w:p>
    <w:p w14:paraId="12AC40AB" w14:textId="77777777" w:rsidR="00CE5F15" w:rsidRPr="0029034A" w:rsidRDefault="00AC0B4E" w:rsidP="00CE5F15">
      <w:pPr>
        <w:pStyle w:val="NormalWeb"/>
        <w:shd w:val="clear" w:color="auto" w:fill="FFFFFF"/>
        <w:spacing w:before="0" w:beforeAutospacing="0" w:after="0" w:afterAutospacing="0"/>
        <w:ind w:right="144"/>
        <w:rPr>
          <w:rStyle w:val="contentpanediv2"/>
          <w:rFonts w:asciiTheme="minorHAnsi" w:hAnsiTheme="minorHAnsi" w:cstheme="minorHAnsi"/>
          <w:sz w:val="22"/>
          <w:szCs w:val="22"/>
        </w:rPr>
      </w:pPr>
      <w:r w:rsidRPr="0089509F">
        <w:rPr>
          <w:rFonts w:asciiTheme="minorHAnsi" w:hAnsiTheme="minorHAnsi" w:cstheme="minorHAnsi"/>
          <w:sz w:val="22"/>
          <w:szCs w:val="22"/>
        </w:rPr>
        <w:t xml:space="preserve">After the acquisition, Morningstar </w:t>
      </w:r>
      <w:r w:rsidR="007C37EF" w:rsidRPr="0089509F">
        <w:rPr>
          <w:rFonts w:asciiTheme="minorHAnsi" w:hAnsiTheme="minorHAnsi" w:cstheme="minorHAnsi"/>
          <w:sz w:val="22"/>
          <w:szCs w:val="22"/>
        </w:rPr>
        <w:t>p</w:t>
      </w:r>
      <w:r w:rsidR="007C37EF" w:rsidRPr="0089509F">
        <w:rPr>
          <w:rFonts w:asciiTheme="minorHAnsi" w:hAnsiTheme="minorHAnsi" w:cstheme="minorHAnsi"/>
          <w:color w:val="222222"/>
          <w:sz w:val="22"/>
          <w:szCs w:val="22"/>
        </w:rPr>
        <w:t>lan</w:t>
      </w:r>
      <w:r w:rsidR="0089509F">
        <w:rPr>
          <w:rFonts w:cstheme="minorHAnsi"/>
          <w:color w:val="222222"/>
        </w:rPr>
        <w:t>s</w:t>
      </w:r>
      <w:r w:rsidRPr="0089509F">
        <w:rPr>
          <w:rFonts w:asciiTheme="minorHAnsi" w:hAnsiTheme="minorHAnsi" w:cstheme="minorHAnsi"/>
          <w:color w:val="222222"/>
          <w:sz w:val="22"/>
          <w:szCs w:val="22"/>
        </w:rPr>
        <w:t xml:space="preserve"> to continue to “invest in Sustainalytics’ existing business while also further integrating ESG data and insights across Morningstar’s existing research and solutions for all segments, including individual investors, advisors, private equity firms, asset managers and owners, plan sponsors, and credit issuers.” </w:t>
      </w:r>
      <w:r w:rsidR="005E6394">
        <w:rPr>
          <w:rFonts w:cstheme="minorHAnsi"/>
          <w:color w:val="222222"/>
        </w:rPr>
        <w:t xml:space="preserve"> </w:t>
      </w:r>
      <w:r w:rsidR="005E6394" w:rsidRPr="00BD2016">
        <w:rPr>
          <w:rFonts w:asciiTheme="minorHAnsi" w:hAnsiTheme="minorHAnsi" w:cstheme="minorHAnsi"/>
          <w:sz w:val="22"/>
          <w:szCs w:val="22"/>
          <w:lang w:val="en"/>
        </w:rPr>
        <w:t>“</w:t>
      </w:r>
      <w:r w:rsidR="005E6394" w:rsidRPr="00BD2016">
        <w:rPr>
          <w:rStyle w:val="contentpanediv2"/>
          <w:rFonts w:asciiTheme="minorHAnsi" w:hAnsiTheme="minorHAnsi" w:cstheme="minorHAnsi"/>
          <w:sz w:val="22"/>
          <w:szCs w:val="22"/>
        </w:rPr>
        <w:t>Sustainalytics also works with hundreds of companies and their financial intermediaries to help them consider sustainability in policies, practices and capital projects.”</w:t>
      </w:r>
      <w:r w:rsidR="005E6394" w:rsidRPr="005E6394">
        <w:rPr>
          <w:rStyle w:val="FootnoteReference"/>
          <w:rFonts w:asciiTheme="minorHAnsi" w:hAnsiTheme="minorHAnsi" w:cstheme="minorHAnsi"/>
          <w:color w:val="222222"/>
          <w:sz w:val="22"/>
          <w:szCs w:val="22"/>
        </w:rPr>
        <w:t xml:space="preserve"> </w:t>
      </w:r>
      <w:r w:rsidR="005E6394" w:rsidRPr="0089509F">
        <w:rPr>
          <w:rStyle w:val="FootnoteReference"/>
          <w:rFonts w:asciiTheme="minorHAnsi" w:hAnsiTheme="minorHAnsi" w:cstheme="minorHAnsi"/>
          <w:color w:val="222222"/>
          <w:sz w:val="22"/>
          <w:szCs w:val="22"/>
        </w:rPr>
        <w:footnoteReference w:id="16"/>
      </w:r>
      <w:r w:rsidR="00CE5F15">
        <w:rPr>
          <w:rFonts w:asciiTheme="minorHAnsi" w:hAnsiTheme="minorHAnsi" w:cstheme="minorHAnsi"/>
          <w:color w:val="222222"/>
          <w:sz w:val="22"/>
          <w:szCs w:val="22"/>
        </w:rPr>
        <w:t xml:space="preserve"> </w:t>
      </w:r>
      <w:r w:rsidR="00CE5F15" w:rsidRPr="0029034A">
        <w:rPr>
          <w:rFonts w:asciiTheme="minorHAnsi" w:hAnsiTheme="minorHAnsi" w:cstheme="minorHAnsi"/>
          <w:color w:val="222222"/>
          <w:sz w:val="22"/>
          <w:szCs w:val="22"/>
        </w:rPr>
        <w:t xml:space="preserve">Morningstar bought in May 2019 </w:t>
      </w:r>
      <w:r w:rsidR="00CE5F15" w:rsidRPr="0029034A">
        <w:rPr>
          <w:rFonts w:asciiTheme="minorHAnsi" w:hAnsiTheme="minorHAnsi" w:cstheme="minorHAnsi"/>
          <w:sz w:val="22"/>
          <w:szCs w:val="22"/>
          <w:lang w:val="en"/>
        </w:rPr>
        <w:t>DBRS, considered the fourth biggest ratings agency behind the big three of Moody's, Standard &amp; Poor's and Fitch.</w:t>
      </w:r>
      <w:r w:rsidR="00CE5F15" w:rsidRPr="0029034A">
        <w:rPr>
          <w:rStyle w:val="FootnoteReference"/>
          <w:rFonts w:asciiTheme="minorHAnsi" w:hAnsiTheme="minorHAnsi" w:cstheme="minorHAnsi"/>
          <w:sz w:val="22"/>
          <w:szCs w:val="22"/>
          <w:lang w:val="en"/>
        </w:rPr>
        <w:footnoteReference w:id="17"/>
      </w:r>
    </w:p>
    <w:p w14:paraId="75399B89" w14:textId="77777777" w:rsidR="006949C4" w:rsidRPr="0089509F" w:rsidRDefault="006949C4" w:rsidP="00710347">
      <w:pPr>
        <w:spacing w:after="0" w:line="240" w:lineRule="auto"/>
        <w:ind w:right="144"/>
        <w:rPr>
          <w:rFonts w:cstheme="minorHAnsi"/>
        </w:rPr>
      </w:pPr>
    </w:p>
    <w:p w14:paraId="3E10D88C" w14:textId="77777777" w:rsidR="00F262D7" w:rsidRPr="0089509F" w:rsidRDefault="00F262D7" w:rsidP="00F262D7">
      <w:pPr>
        <w:spacing w:after="0" w:line="240" w:lineRule="auto"/>
        <w:ind w:right="144"/>
        <w:rPr>
          <w:rFonts w:cstheme="minorHAnsi"/>
        </w:rPr>
      </w:pPr>
      <w:r w:rsidRPr="0089509F">
        <w:rPr>
          <w:rFonts w:cstheme="minorHAnsi"/>
        </w:rPr>
        <w:t>In April 2020</w:t>
      </w:r>
      <w:r w:rsidRPr="0089509F">
        <w:rPr>
          <w:rStyle w:val="FootnoteReference"/>
          <w:rFonts w:cstheme="minorHAnsi"/>
        </w:rPr>
        <w:footnoteReference w:id="18"/>
      </w:r>
      <w:r w:rsidRPr="0089509F">
        <w:rPr>
          <w:rFonts w:cstheme="minorHAnsi"/>
        </w:rPr>
        <w:t>, Morningstar Inc</w:t>
      </w:r>
      <w:r w:rsidR="0089509F">
        <w:rPr>
          <w:rFonts w:cstheme="minorHAnsi"/>
        </w:rPr>
        <w:t>.</w:t>
      </w:r>
      <w:r w:rsidRPr="0089509F">
        <w:rPr>
          <w:rFonts w:cstheme="minorHAnsi"/>
        </w:rPr>
        <w:t xml:space="preserve"> (USA) was owned for 49.62% by Joe Mansueto, 4.41% by the Vanguard Group via its funds, 4.51% by FMR LLC via its funds and 4.1% by Virtus Investment Partners Inc via its funds. All shareholders received $ 47.8 million in dividends after Morningstar had net profits of $ 292.9 million in 2019 based on an annual revenue of $ 1.18 billion.</w:t>
      </w:r>
      <w:r w:rsidRPr="0089509F">
        <w:rPr>
          <w:rStyle w:val="FootnoteReference"/>
          <w:rFonts w:cstheme="minorHAnsi"/>
        </w:rPr>
        <w:footnoteReference w:id="19"/>
      </w:r>
      <w:r w:rsidRPr="0089509F">
        <w:rPr>
          <w:rStyle w:val="FootnoteReference"/>
          <w:rFonts w:cstheme="minorHAnsi"/>
        </w:rPr>
        <w:t xml:space="preserve"> </w:t>
      </w:r>
      <w:r w:rsidRPr="0089509F">
        <w:rPr>
          <w:rFonts w:cstheme="minorHAnsi"/>
        </w:rPr>
        <w:t xml:space="preserve"> The effective tax rate was 23.1% in 2019.</w:t>
      </w:r>
      <w:r w:rsidRPr="0089509F">
        <w:rPr>
          <w:rStyle w:val="FootnoteReference"/>
          <w:rFonts w:cstheme="minorHAnsi"/>
        </w:rPr>
        <w:footnoteReference w:id="20"/>
      </w:r>
      <w:r w:rsidRPr="0089509F">
        <w:rPr>
          <w:rFonts w:cstheme="minorHAnsi"/>
        </w:rPr>
        <w:t xml:space="preserve"> </w:t>
      </w:r>
    </w:p>
    <w:p w14:paraId="27503D6A" w14:textId="77777777" w:rsidR="00AB32B1" w:rsidRDefault="00AB32B1" w:rsidP="00710347">
      <w:pPr>
        <w:spacing w:after="0" w:line="240" w:lineRule="auto"/>
        <w:ind w:right="144"/>
        <w:rPr>
          <w:rFonts w:cstheme="minorHAnsi"/>
        </w:rPr>
      </w:pPr>
    </w:p>
    <w:p w14:paraId="4C50DB15" w14:textId="77777777" w:rsidR="00CE5F15" w:rsidRPr="001E4D55" w:rsidRDefault="00CE5F15" w:rsidP="00710347">
      <w:pPr>
        <w:spacing w:after="0" w:line="240" w:lineRule="auto"/>
        <w:ind w:right="144"/>
        <w:rPr>
          <w:rFonts w:cstheme="minorHAnsi"/>
        </w:rPr>
      </w:pPr>
    </w:p>
    <w:p w14:paraId="54F18AB8" w14:textId="77777777" w:rsidR="00DB4F13" w:rsidRPr="001E4D55" w:rsidRDefault="006949C4" w:rsidP="00710347">
      <w:pPr>
        <w:spacing w:after="0" w:line="240" w:lineRule="auto"/>
        <w:ind w:right="144"/>
        <w:rPr>
          <w:rFonts w:cstheme="minorHAnsi"/>
          <w:b/>
        </w:rPr>
      </w:pPr>
      <w:r w:rsidRPr="001E4D55">
        <w:rPr>
          <w:rFonts w:cstheme="minorHAnsi"/>
          <w:b/>
        </w:rPr>
        <w:t xml:space="preserve">2) </w:t>
      </w:r>
      <w:r w:rsidRPr="001E4D55">
        <w:rPr>
          <w:rFonts w:cstheme="minorHAnsi"/>
          <w:b/>
          <w:bCs/>
          <w:color w:val="000000"/>
        </w:rPr>
        <w:t xml:space="preserve">Trucost and RobecoSAM </w:t>
      </w:r>
      <w:r w:rsidR="00A8007B" w:rsidRPr="001E4D55">
        <w:rPr>
          <w:rFonts w:cstheme="minorHAnsi"/>
          <w:b/>
          <w:bCs/>
          <w:color w:val="000000"/>
        </w:rPr>
        <w:t xml:space="preserve">acquired </w:t>
      </w:r>
      <w:r w:rsidRPr="001E4D55">
        <w:rPr>
          <w:rFonts w:cstheme="minorHAnsi"/>
          <w:b/>
          <w:bCs/>
          <w:color w:val="000000"/>
        </w:rPr>
        <w:t>by S&amp;P Global</w:t>
      </w:r>
      <w:r w:rsidR="008B5182" w:rsidRPr="001E4D55">
        <w:rPr>
          <w:rFonts w:cstheme="minorHAnsi"/>
          <w:b/>
          <w:bCs/>
          <w:color w:val="000000"/>
        </w:rPr>
        <w:t xml:space="preserve"> Inc</w:t>
      </w:r>
      <w:r w:rsidR="005B6F24" w:rsidRPr="001E4D55">
        <w:rPr>
          <w:rFonts w:cstheme="minorHAnsi"/>
          <w:b/>
          <w:bCs/>
          <w:color w:val="000000"/>
        </w:rPr>
        <w:t>.</w:t>
      </w:r>
      <w:r w:rsidRPr="001E4D55">
        <w:rPr>
          <w:rFonts w:cstheme="minorHAnsi"/>
          <w:b/>
          <w:bCs/>
          <w:color w:val="000000"/>
        </w:rPr>
        <w:t xml:space="preserve"> (USA)</w:t>
      </w:r>
    </w:p>
    <w:p w14:paraId="5163A9BB" w14:textId="77777777" w:rsidR="005B6F24" w:rsidRPr="001E4D55" w:rsidRDefault="005B6F24" w:rsidP="00710347">
      <w:pPr>
        <w:spacing w:after="0" w:line="240" w:lineRule="auto"/>
        <w:ind w:right="144"/>
        <w:rPr>
          <w:rFonts w:cstheme="minorHAnsi"/>
        </w:rPr>
      </w:pPr>
    </w:p>
    <w:p w14:paraId="7773528E" w14:textId="77777777" w:rsidR="00D0444B" w:rsidRPr="001E4D55" w:rsidRDefault="008B5182" w:rsidP="00710347">
      <w:pPr>
        <w:spacing w:after="0" w:line="240" w:lineRule="auto"/>
        <w:ind w:right="144"/>
        <w:rPr>
          <w:rFonts w:cstheme="minorHAnsi"/>
        </w:rPr>
      </w:pPr>
      <w:r w:rsidRPr="001E4D55">
        <w:rPr>
          <w:rFonts w:cstheme="minorHAnsi"/>
        </w:rPr>
        <w:t>S&amp;P Global Inc</w:t>
      </w:r>
      <w:r w:rsidR="005B6F24" w:rsidRPr="001E4D55">
        <w:rPr>
          <w:rFonts w:cstheme="minorHAnsi"/>
        </w:rPr>
        <w:t>.</w:t>
      </w:r>
      <w:r w:rsidRPr="001E4D55">
        <w:rPr>
          <w:rFonts w:cstheme="minorHAnsi"/>
        </w:rPr>
        <w:t xml:space="preserve"> acquired </w:t>
      </w:r>
      <w:r w:rsidRPr="001E4D55">
        <w:rPr>
          <w:rFonts w:cstheme="minorHAnsi"/>
          <w:b/>
        </w:rPr>
        <w:t xml:space="preserve">Trucost plc </w:t>
      </w:r>
      <w:r w:rsidRPr="001E4D55">
        <w:rPr>
          <w:rFonts w:cstheme="minorHAnsi"/>
        </w:rPr>
        <w:t>in 2016</w:t>
      </w:r>
      <w:r w:rsidR="00A8007B" w:rsidRPr="001E4D55">
        <w:rPr>
          <w:rFonts w:cstheme="minorHAnsi"/>
        </w:rPr>
        <w:t xml:space="preserve">. Trucost provides </w:t>
      </w:r>
      <w:r w:rsidRPr="001E4D55">
        <w:rPr>
          <w:rFonts w:cstheme="minorHAnsi"/>
        </w:rPr>
        <w:t xml:space="preserve">services </w:t>
      </w:r>
      <w:r w:rsidR="00A8007B" w:rsidRPr="001E4D55">
        <w:rPr>
          <w:rFonts w:cstheme="minorHAnsi"/>
        </w:rPr>
        <w:t>of carbon and environmental data</w:t>
      </w:r>
      <w:r w:rsidRPr="001E4D55">
        <w:rPr>
          <w:rFonts w:cstheme="minorHAnsi"/>
        </w:rPr>
        <w:t xml:space="preserve"> and risk analysis.</w:t>
      </w:r>
      <w:r w:rsidR="0089509F">
        <w:rPr>
          <w:rFonts w:cstheme="minorHAnsi"/>
        </w:rPr>
        <w:t xml:space="preserve"> </w:t>
      </w:r>
      <w:r w:rsidR="00D0444B" w:rsidRPr="001E4D55">
        <w:rPr>
          <w:rFonts w:cstheme="minorHAnsi"/>
        </w:rPr>
        <w:t>“</w:t>
      </w:r>
      <w:r w:rsidRPr="001E4D55">
        <w:rPr>
          <w:rFonts w:cstheme="minorHAnsi"/>
        </w:rPr>
        <w:t>In 2018, Trucost was integrated from Indices to Market Intelligence</w:t>
      </w:r>
      <w:r w:rsidR="00D0444B" w:rsidRPr="001E4D55">
        <w:rPr>
          <w:rFonts w:cstheme="minorHAnsi"/>
        </w:rPr>
        <w:t>”.</w:t>
      </w:r>
      <w:r w:rsidRPr="001E4D55">
        <w:rPr>
          <w:rStyle w:val="FootnoteReference"/>
          <w:rFonts w:cstheme="minorHAnsi"/>
        </w:rPr>
        <w:footnoteReference w:id="21"/>
      </w:r>
    </w:p>
    <w:p w14:paraId="1E3319CF" w14:textId="77777777" w:rsidR="008B5182" w:rsidRPr="001E4D55" w:rsidRDefault="008B5182" w:rsidP="00710347">
      <w:pPr>
        <w:spacing w:after="0" w:line="240" w:lineRule="auto"/>
        <w:ind w:right="144"/>
        <w:rPr>
          <w:rFonts w:cstheme="minorHAnsi"/>
        </w:rPr>
      </w:pPr>
      <w:r w:rsidRPr="001E4D55">
        <w:rPr>
          <w:rFonts w:cstheme="minorHAnsi"/>
        </w:rPr>
        <w:t xml:space="preserve"> </w:t>
      </w:r>
    </w:p>
    <w:p w14:paraId="2971D65E" w14:textId="77777777" w:rsidR="00A8007B" w:rsidRPr="001E4D55" w:rsidRDefault="008B5182" w:rsidP="00710347">
      <w:pPr>
        <w:spacing w:after="0" w:line="240" w:lineRule="auto"/>
        <w:ind w:right="144"/>
        <w:rPr>
          <w:rFonts w:cstheme="minorHAnsi"/>
        </w:rPr>
      </w:pPr>
      <w:r w:rsidRPr="001E4D55">
        <w:rPr>
          <w:rFonts w:cstheme="minorHAnsi"/>
        </w:rPr>
        <w:t>S&amp;P Global Inc</w:t>
      </w:r>
      <w:r w:rsidR="00D0444B" w:rsidRPr="001E4D55">
        <w:rPr>
          <w:rFonts w:cstheme="minorHAnsi"/>
        </w:rPr>
        <w:t>.</w:t>
      </w:r>
      <w:r w:rsidRPr="001E4D55">
        <w:rPr>
          <w:rFonts w:cstheme="minorHAnsi"/>
        </w:rPr>
        <w:t xml:space="preserve"> </w:t>
      </w:r>
      <w:r w:rsidR="00F36B19" w:rsidRPr="001E4D55">
        <w:rPr>
          <w:rFonts w:cstheme="minorHAnsi"/>
        </w:rPr>
        <w:t xml:space="preserve">integrated </w:t>
      </w:r>
      <w:r w:rsidR="00AD4E6D" w:rsidRPr="001E4D55">
        <w:rPr>
          <w:rFonts w:cstheme="minorHAnsi"/>
        </w:rPr>
        <w:t xml:space="preserve">the specialized ESG business </w:t>
      </w:r>
      <w:r w:rsidR="00D0444B" w:rsidRPr="001E4D55">
        <w:rPr>
          <w:rFonts w:cstheme="minorHAnsi"/>
        </w:rPr>
        <w:t xml:space="preserve">part of </w:t>
      </w:r>
      <w:r w:rsidRPr="001E4D55">
        <w:rPr>
          <w:rFonts w:cstheme="minorHAnsi"/>
          <w:b/>
        </w:rPr>
        <w:t>RobecoSAM</w:t>
      </w:r>
      <w:r w:rsidR="00F36B19" w:rsidRPr="001E4D55">
        <w:rPr>
          <w:rFonts w:cstheme="minorHAnsi"/>
        </w:rPr>
        <w:t xml:space="preserve"> in January 2020.</w:t>
      </w:r>
      <w:r w:rsidRPr="001E4D55">
        <w:rPr>
          <w:rStyle w:val="FootnoteReference"/>
          <w:rFonts w:cstheme="minorHAnsi"/>
        </w:rPr>
        <w:footnoteReference w:id="22"/>
      </w:r>
      <w:r w:rsidRPr="001E4D55">
        <w:rPr>
          <w:rFonts w:cstheme="minorHAnsi"/>
        </w:rPr>
        <w:t xml:space="preserve"> The acquisition </w:t>
      </w:r>
      <w:r w:rsidR="00D0444B" w:rsidRPr="001E4D55">
        <w:rPr>
          <w:rFonts w:cstheme="minorHAnsi"/>
        </w:rPr>
        <w:t xml:space="preserve">was announced </w:t>
      </w:r>
      <w:r w:rsidR="00F36B19" w:rsidRPr="001E4D55">
        <w:rPr>
          <w:rFonts w:cstheme="minorHAnsi"/>
        </w:rPr>
        <w:t xml:space="preserve">in November 2019 </w:t>
      </w:r>
      <w:r w:rsidRPr="001E4D55">
        <w:rPr>
          <w:rFonts w:cstheme="minorHAnsi"/>
        </w:rPr>
        <w:t>through a divest</w:t>
      </w:r>
      <w:r w:rsidR="00644B83" w:rsidRPr="001E4D55">
        <w:rPr>
          <w:rFonts w:cstheme="minorHAnsi"/>
        </w:rPr>
        <w:t>it</w:t>
      </w:r>
      <w:r w:rsidRPr="001E4D55">
        <w:rPr>
          <w:rFonts w:cstheme="minorHAnsi"/>
        </w:rPr>
        <w:t xml:space="preserve">ure </w:t>
      </w:r>
      <w:r w:rsidR="00BB6DDE" w:rsidRPr="001E4D55">
        <w:rPr>
          <w:rFonts w:cstheme="minorHAnsi"/>
        </w:rPr>
        <w:t xml:space="preserve">by </w:t>
      </w:r>
      <w:r w:rsidRPr="001E4D55">
        <w:rPr>
          <w:rFonts w:cstheme="minorHAnsi"/>
        </w:rPr>
        <w:t xml:space="preserve">ORIX </w:t>
      </w:r>
      <w:r w:rsidR="00BB6DDE" w:rsidRPr="001E4D55">
        <w:rPr>
          <w:rFonts w:cstheme="minorHAnsi"/>
        </w:rPr>
        <w:t xml:space="preserve">(Japan), owner of the Robeco Group (now </w:t>
      </w:r>
      <w:r w:rsidR="00120320" w:rsidRPr="001E4D55">
        <w:rPr>
          <w:rFonts w:cstheme="minorHAnsi"/>
        </w:rPr>
        <w:t xml:space="preserve">part of </w:t>
      </w:r>
      <w:r w:rsidR="00BB6DDE" w:rsidRPr="001E4D55">
        <w:rPr>
          <w:rFonts w:cstheme="minorHAnsi"/>
        </w:rPr>
        <w:t>ORIX Corporation Europe NV)</w:t>
      </w:r>
      <w:r w:rsidRPr="001E4D55">
        <w:rPr>
          <w:rFonts w:cstheme="minorHAnsi"/>
        </w:rPr>
        <w:t>.</w:t>
      </w:r>
      <w:r w:rsidR="00822EA0" w:rsidRPr="001E4D55">
        <w:rPr>
          <w:rStyle w:val="FootnoteReference"/>
          <w:rFonts w:cstheme="minorHAnsi"/>
        </w:rPr>
        <w:footnoteReference w:id="23"/>
      </w:r>
      <w:r w:rsidRPr="001E4D55">
        <w:rPr>
          <w:rFonts w:cstheme="minorHAnsi"/>
        </w:rPr>
        <w:t xml:space="preserve"> </w:t>
      </w:r>
      <w:r w:rsidR="00F36B19" w:rsidRPr="001E4D55">
        <w:rPr>
          <w:rFonts w:cstheme="minorHAnsi"/>
        </w:rPr>
        <w:t xml:space="preserve">The </w:t>
      </w:r>
      <w:r w:rsidR="000D1245" w:rsidRPr="001E4D55">
        <w:rPr>
          <w:rFonts w:cstheme="minorHAnsi"/>
        </w:rPr>
        <w:t>SAM ESG Ratings and</w:t>
      </w:r>
      <w:r w:rsidR="00AD4E6D" w:rsidRPr="001E4D55">
        <w:rPr>
          <w:rFonts w:cstheme="minorHAnsi"/>
        </w:rPr>
        <w:t xml:space="preserve"> SAM</w:t>
      </w:r>
      <w:r w:rsidR="000D1245" w:rsidRPr="001E4D55">
        <w:rPr>
          <w:rFonts w:cstheme="minorHAnsi"/>
        </w:rPr>
        <w:t xml:space="preserve"> </w:t>
      </w:r>
      <w:r w:rsidR="00F36B19" w:rsidRPr="001E4D55">
        <w:rPr>
          <w:rFonts w:cstheme="minorHAnsi"/>
        </w:rPr>
        <w:t xml:space="preserve">ESG </w:t>
      </w:r>
      <w:r w:rsidR="000D1245" w:rsidRPr="001E4D55">
        <w:rPr>
          <w:rFonts w:cstheme="minorHAnsi"/>
        </w:rPr>
        <w:t xml:space="preserve">Benchmarking business units were </w:t>
      </w:r>
      <w:r w:rsidR="00AD4E6D" w:rsidRPr="001E4D55">
        <w:rPr>
          <w:rFonts w:cstheme="minorHAnsi"/>
        </w:rPr>
        <w:t>transferred</w:t>
      </w:r>
      <w:r w:rsidR="000D1245" w:rsidRPr="001E4D55">
        <w:rPr>
          <w:rFonts w:cstheme="minorHAnsi"/>
        </w:rPr>
        <w:t xml:space="preserve"> from RobecoSAM AG to S&amp;P Global Switzerland SA, Zurich branch</w:t>
      </w:r>
      <w:r w:rsidR="00CA0323" w:rsidRPr="001E4D55">
        <w:rPr>
          <w:rFonts w:cstheme="minorHAnsi"/>
        </w:rPr>
        <w:t>,</w:t>
      </w:r>
      <w:r w:rsidR="000D1245" w:rsidRPr="001E4D55">
        <w:rPr>
          <w:rFonts w:cstheme="minorHAnsi"/>
        </w:rPr>
        <w:t xml:space="preserve"> </w:t>
      </w:r>
      <w:r w:rsidR="00F36B19" w:rsidRPr="001E4D55">
        <w:rPr>
          <w:rFonts w:cstheme="minorHAnsi"/>
        </w:rPr>
        <w:t xml:space="preserve">from where they will operate, including the </w:t>
      </w:r>
      <w:r w:rsidR="00CA0323" w:rsidRPr="001E4D55">
        <w:rPr>
          <w:rFonts w:cstheme="minorHAnsi"/>
        </w:rPr>
        <w:t>SAM CSA (CSA stands for Corporate Sustainability Assessment</w:t>
      </w:r>
      <w:r w:rsidR="00F36B19" w:rsidRPr="001E4D55">
        <w:rPr>
          <w:rFonts w:cstheme="minorHAnsi"/>
        </w:rPr>
        <w:t>)</w:t>
      </w:r>
      <w:r w:rsidR="000D1245" w:rsidRPr="001E4D55">
        <w:rPr>
          <w:rFonts w:cstheme="minorHAnsi"/>
        </w:rPr>
        <w:t>.</w:t>
      </w:r>
      <w:r w:rsidR="000D1245" w:rsidRPr="001E4D55">
        <w:rPr>
          <w:rStyle w:val="FootnoteReference"/>
          <w:rFonts w:cstheme="minorHAnsi"/>
        </w:rPr>
        <w:footnoteReference w:id="24"/>
      </w:r>
      <w:r w:rsidR="006A0832" w:rsidRPr="001E4D55">
        <w:rPr>
          <w:rFonts w:cstheme="minorHAnsi"/>
        </w:rPr>
        <w:t xml:space="preserve"> </w:t>
      </w:r>
      <w:r w:rsidR="00A8007B" w:rsidRPr="001E4D55">
        <w:rPr>
          <w:rFonts w:cstheme="minorHAnsi"/>
        </w:rPr>
        <w:t xml:space="preserve">RobecoSAM and Robeco will continue to have access to the CSA data </w:t>
      </w:r>
      <w:r w:rsidR="002D3C07" w:rsidRPr="001E4D55">
        <w:rPr>
          <w:rFonts w:cstheme="minorHAnsi"/>
        </w:rPr>
        <w:t xml:space="preserve">to “focus </w:t>
      </w:r>
      <w:r w:rsidR="00A8007B" w:rsidRPr="001E4D55">
        <w:rPr>
          <w:rFonts w:cstheme="minorHAnsi"/>
        </w:rPr>
        <w:t>o</w:t>
      </w:r>
      <w:r w:rsidR="002D3C07" w:rsidRPr="001E4D55">
        <w:rPr>
          <w:rFonts w:cstheme="minorHAnsi"/>
        </w:rPr>
        <w:t>n</w:t>
      </w:r>
      <w:r w:rsidR="00A8007B" w:rsidRPr="001E4D55">
        <w:rPr>
          <w:rFonts w:cstheme="minorHAnsi"/>
        </w:rPr>
        <w:t xml:space="preserve"> the interpretation and application of ESG data, as well as sustainable investing research for its core asset management activities.</w:t>
      </w:r>
      <w:r w:rsidR="002A53DC" w:rsidRPr="001E4D55">
        <w:rPr>
          <w:rFonts w:cstheme="minorHAnsi"/>
        </w:rPr>
        <w:t>”</w:t>
      </w:r>
      <w:r w:rsidR="002A53DC" w:rsidRPr="001E4D55">
        <w:rPr>
          <w:rStyle w:val="FootnoteReference"/>
          <w:rFonts w:cstheme="minorHAnsi"/>
        </w:rPr>
        <w:footnoteReference w:id="25"/>
      </w:r>
    </w:p>
    <w:p w14:paraId="0F39A885" w14:textId="77777777" w:rsidR="008B5182" w:rsidRPr="001E4D55" w:rsidRDefault="008B5182" w:rsidP="00710347">
      <w:pPr>
        <w:spacing w:after="0" w:line="240" w:lineRule="auto"/>
        <w:ind w:right="144"/>
        <w:rPr>
          <w:rFonts w:cstheme="minorHAnsi"/>
        </w:rPr>
      </w:pPr>
    </w:p>
    <w:p w14:paraId="3202BE06" w14:textId="77777777" w:rsidR="00847C60" w:rsidRPr="001E4D55" w:rsidRDefault="00CA0323" w:rsidP="00847C60">
      <w:pPr>
        <w:spacing w:after="0" w:line="240" w:lineRule="auto"/>
        <w:ind w:right="144"/>
        <w:rPr>
          <w:rFonts w:cstheme="minorHAnsi"/>
          <w:sz w:val="23"/>
          <w:szCs w:val="23"/>
        </w:rPr>
      </w:pPr>
      <w:r w:rsidRPr="001E4D55">
        <w:rPr>
          <w:rFonts w:cstheme="minorHAnsi"/>
        </w:rPr>
        <w:t>The ESG methodology committee for the Corporate Sustainability Assessment (CSA) is formed by representatives of S&amp;P Global and RobecoSAM</w:t>
      </w:r>
      <w:r w:rsidR="004B53E4" w:rsidRPr="001E4D55">
        <w:rPr>
          <w:rFonts w:cstheme="minorHAnsi"/>
        </w:rPr>
        <w:t xml:space="preserve">. The </w:t>
      </w:r>
      <w:r w:rsidRPr="001E4D55">
        <w:rPr>
          <w:rFonts w:cstheme="minorHAnsi"/>
        </w:rPr>
        <w:t xml:space="preserve">ESG focus </w:t>
      </w:r>
      <w:r w:rsidR="004B53E4" w:rsidRPr="001E4D55">
        <w:rPr>
          <w:rFonts w:cstheme="minorHAnsi"/>
        </w:rPr>
        <w:t xml:space="preserve">is </w:t>
      </w:r>
      <w:r w:rsidRPr="001E4D55">
        <w:rPr>
          <w:rFonts w:cstheme="minorHAnsi"/>
        </w:rPr>
        <w:t>on financially material criteria.</w:t>
      </w:r>
      <w:r w:rsidRPr="001E4D55">
        <w:rPr>
          <w:rStyle w:val="FootnoteReference"/>
          <w:rFonts w:cstheme="minorHAnsi"/>
        </w:rPr>
        <w:footnoteReference w:id="26"/>
      </w:r>
      <w:r w:rsidR="006A0832" w:rsidRPr="001E4D55">
        <w:rPr>
          <w:rFonts w:cstheme="minorHAnsi"/>
        </w:rPr>
        <w:t xml:space="preserve"> “The CSA will form the foundation of S&amp;P Global’s ESG research across its different divisions</w:t>
      </w:r>
      <w:r w:rsidR="00847C60">
        <w:rPr>
          <w:rFonts w:cstheme="minorHAnsi"/>
        </w:rPr>
        <w:t>”</w:t>
      </w:r>
      <w:r w:rsidR="00847C60" w:rsidRPr="00847C60">
        <w:rPr>
          <w:rStyle w:val="FootnoteReference"/>
          <w:rFonts w:cstheme="minorHAnsi"/>
        </w:rPr>
        <w:t xml:space="preserve"> </w:t>
      </w:r>
      <w:r w:rsidR="00847C60" w:rsidRPr="001E4D55">
        <w:rPr>
          <w:rStyle w:val="FootnoteReference"/>
          <w:rFonts w:cstheme="minorHAnsi"/>
        </w:rPr>
        <w:footnoteReference w:id="27"/>
      </w:r>
      <w:r w:rsidR="00847C60">
        <w:rPr>
          <w:rFonts w:cstheme="minorHAnsi"/>
        </w:rPr>
        <w:t>, namely three of its four divisions/</w:t>
      </w:r>
      <w:r w:rsidR="00847C60" w:rsidRPr="00847C60">
        <w:rPr>
          <w:rFonts w:cstheme="minorHAnsi"/>
        </w:rPr>
        <w:t xml:space="preserve"> </w:t>
      </w:r>
      <w:r w:rsidR="00847C60">
        <w:rPr>
          <w:rFonts w:cstheme="minorHAnsi"/>
        </w:rPr>
        <w:t>segments/business units</w:t>
      </w:r>
      <w:r w:rsidR="00847C60" w:rsidRPr="001E4D55">
        <w:rPr>
          <w:rFonts w:cstheme="minorHAnsi"/>
          <w:sz w:val="23"/>
          <w:szCs w:val="23"/>
        </w:rPr>
        <w:t>: S&amp;P Global Ratings (“Ratings”), S&amp;P Global Market Intelli</w:t>
      </w:r>
      <w:r w:rsidR="00847C60">
        <w:rPr>
          <w:rFonts w:cstheme="minorHAnsi"/>
          <w:sz w:val="23"/>
          <w:szCs w:val="23"/>
        </w:rPr>
        <w:t xml:space="preserve">gence (“Market Intelligence”), </w:t>
      </w:r>
      <w:r w:rsidR="00847C60" w:rsidRPr="001E4D55">
        <w:rPr>
          <w:rFonts w:cstheme="minorHAnsi"/>
          <w:sz w:val="23"/>
          <w:szCs w:val="23"/>
        </w:rPr>
        <w:t>and S&amp;P</w:t>
      </w:r>
      <w:r w:rsidR="00847C60">
        <w:rPr>
          <w:rFonts w:cstheme="minorHAnsi"/>
          <w:sz w:val="23"/>
          <w:szCs w:val="23"/>
        </w:rPr>
        <w:t xml:space="preserve"> Dow Jones Indices (“Indices”).</w:t>
      </w:r>
      <w:r w:rsidR="00847C60" w:rsidRPr="001E4D55">
        <w:rPr>
          <w:rStyle w:val="FootnoteReference"/>
          <w:rFonts w:cstheme="minorHAnsi"/>
          <w:sz w:val="23"/>
          <w:szCs w:val="23"/>
        </w:rPr>
        <w:footnoteReference w:id="28"/>
      </w:r>
    </w:p>
    <w:p w14:paraId="2E40BF80" w14:textId="77777777" w:rsidR="004B53E4" w:rsidRPr="001E4D55" w:rsidRDefault="004B53E4" w:rsidP="00710347">
      <w:pPr>
        <w:spacing w:after="0" w:line="240" w:lineRule="auto"/>
        <w:ind w:right="144"/>
        <w:rPr>
          <w:rFonts w:cstheme="minorHAnsi"/>
        </w:rPr>
      </w:pPr>
    </w:p>
    <w:p w14:paraId="04FF6ABE" w14:textId="77777777" w:rsidR="004B53E4" w:rsidRPr="001E4D55" w:rsidRDefault="004B53E4" w:rsidP="004B53E4">
      <w:pPr>
        <w:spacing w:after="0" w:line="240" w:lineRule="auto"/>
        <w:ind w:right="144"/>
        <w:rPr>
          <w:rFonts w:cstheme="minorHAnsi"/>
        </w:rPr>
      </w:pPr>
      <w:r w:rsidRPr="001E4D55">
        <w:rPr>
          <w:rFonts w:cstheme="minorHAnsi"/>
        </w:rPr>
        <w:t>S&amp;P Global’s top 20% of shareholders are Vanguard Group via its funds at 8.98%, Blackrock Inc via its funds at 7.68%, and State Street Corporation via its funds at 4.80%.</w:t>
      </w:r>
      <w:r w:rsidRPr="001E4D55">
        <w:rPr>
          <w:rStyle w:val="FootnoteReference"/>
          <w:rFonts w:cstheme="minorHAnsi"/>
        </w:rPr>
        <w:footnoteReference w:id="29"/>
      </w:r>
      <w:r w:rsidRPr="001E4D55">
        <w:rPr>
          <w:rFonts w:cstheme="minorHAnsi"/>
        </w:rPr>
        <w:t xml:space="preserve"> In 2019, S&amp;P Global</w:t>
      </w:r>
      <w:r w:rsidRPr="001E4D55">
        <w:rPr>
          <w:rStyle w:val="FootnoteReference"/>
          <w:rFonts w:cstheme="minorHAnsi"/>
        </w:rPr>
        <w:footnoteReference w:id="30"/>
      </w:r>
      <w:r w:rsidRPr="001E4D55">
        <w:rPr>
          <w:rFonts w:cstheme="minorHAnsi"/>
        </w:rPr>
        <w:t xml:space="preserve"> had net revenue of $ 6.7 billion and a net income of $2.35 billion, and paid 21.5% in taxes and $ 560 million in dividends. </w:t>
      </w:r>
    </w:p>
    <w:p w14:paraId="55AEBB50" w14:textId="77777777" w:rsidR="00F36B19" w:rsidRPr="001E4D55" w:rsidRDefault="00F36B19" w:rsidP="00710347">
      <w:pPr>
        <w:spacing w:after="0" w:line="240" w:lineRule="auto"/>
        <w:ind w:right="144"/>
        <w:rPr>
          <w:rFonts w:cstheme="minorHAnsi"/>
        </w:rPr>
      </w:pPr>
    </w:p>
    <w:p w14:paraId="2B54C00F" w14:textId="77777777" w:rsidR="00CE5F15" w:rsidRDefault="00CE5F15" w:rsidP="00710347">
      <w:pPr>
        <w:spacing w:after="0" w:line="240" w:lineRule="auto"/>
        <w:ind w:right="144"/>
        <w:rPr>
          <w:rFonts w:cstheme="minorHAnsi"/>
          <w:b/>
          <w:bCs/>
          <w:color w:val="000000"/>
        </w:rPr>
      </w:pPr>
    </w:p>
    <w:p w14:paraId="6D58CAAD" w14:textId="77777777" w:rsidR="00E9708B" w:rsidRPr="00096DF2" w:rsidRDefault="00D82B78" w:rsidP="00710347">
      <w:pPr>
        <w:spacing w:after="0" w:line="240" w:lineRule="auto"/>
        <w:ind w:right="144"/>
        <w:rPr>
          <w:rFonts w:cstheme="minorHAnsi"/>
          <w:b/>
          <w:bCs/>
          <w:color w:val="000000"/>
        </w:rPr>
      </w:pPr>
      <w:r w:rsidRPr="00096DF2">
        <w:rPr>
          <w:rFonts w:cstheme="minorHAnsi"/>
          <w:b/>
          <w:bCs/>
          <w:color w:val="000000"/>
        </w:rPr>
        <w:t>3</w:t>
      </w:r>
      <w:r w:rsidR="006E0333" w:rsidRPr="00096DF2">
        <w:rPr>
          <w:rFonts w:cstheme="minorHAnsi"/>
          <w:b/>
          <w:bCs/>
          <w:color w:val="000000"/>
        </w:rPr>
        <w:t>) Refinitiv</w:t>
      </w:r>
    </w:p>
    <w:p w14:paraId="026436C7" w14:textId="77777777" w:rsidR="00BC3B21" w:rsidRPr="001E4D55" w:rsidRDefault="00BC3B21" w:rsidP="00710347">
      <w:pPr>
        <w:spacing w:after="0" w:line="240" w:lineRule="auto"/>
        <w:ind w:right="144"/>
        <w:rPr>
          <w:rFonts w:cstheme="minorHAnsi"/>
        </w:rPr>
      </w:pPr>
    </w:p>
    <w:p w14:paraId="5996215F" w14:textId="77777777" w:rsidR="004929CD" w:rsidRPr="001E4D55" w:rsidRDefault="006B00B4" w:rsidP="00710347">
      <w:pPr>
        <w:spacing w:after="0" w:line="240" w:lineRule="auto"/>
        <w:ind w:right="144"/>
        <w:rPr>
          <w:rFonts w:cstheme="minorHAnsi"/>
        </w:rPr>
      </w:pPr>
      <w:r w:rsidRPr="001E4D55">
        <w:rPr>
          <w:rFonts w:cstheme="minorHAnsi"/>
        </w:rPr>
        <w:t>Refinitiv is a large provider of data and infrastructure</w:t>
      </w:r>
      <w:r w:rsidR="00612A67" w:rsidRPr="001E4D55">
        <w:rPr>
          <w:rFonts w:cstheme="minorHAnsi"/>
        </w:rPr>
        <w:t xml:space="preserve"> about financial markets.</w:t>
      </w:r>
      <w:r w:rsidR="00BE3B53" w:rsidRPr="001E4D55">
        <w:rPr>
          <w:rStyle w:val="FootnoteReference"/>
          <w:rFonts w:cstheme="minorHAnsi"/>
        </w:rPr>
        <w:t xml:space="preserve"> </w:t>
      </w:r>
      <w:r w:rsidR="00BE3B53" w:rsidRPr="001E4D55">
        <w:rPr>
          <w:rStyle w:val="FootnoteReference"/>
          <w:rFonts w:cstheme="minorHAnsi"/>
        </w:rPr>
        <w:footnoteReference w:id="31"/>
      </w:r>
      <w:r w:rsidR="00612A67" w:rsidRPr="001E4D55">
        <w:rPr>
          <w:rFonts w:cstheme="minorHAnsi"/>
        </w:rPr>
        <w:t xml:space="preserve"> </w:t>
      </w:r>
      <w:r w:rsidR="004929CD" w:rsidRPr="001E4D55">
        <w:rPr>
          <w:rFonts w:cstheme="minorHAnsi"/>
        </w:rPr>
        <w:t xml:space="preserve">The ThomsonReuters Eikon databases offered by </w:t>
      </w:r>
      <w:r w:rsidR="006E0333" w:rsidRPr="001E4D55">
        <w:rPr>
          <w:rFonts w:cstheme="minorHAnsi"/>
        </w:rPr>
        <w:t>Refinitiv</w:t>
      </w:r>
      <w:r w:rsidR="004929CD" w:rsidRPr="001E4D55">
        <w:rPr>
          <w:rFonts w:cstheme="minorHAnsi"/>
        </w:rPr>
        <w:t xml:space="preserve">, provide ESG scores for the companies </w:t>
      </w:r>
      <w:r w:rsidR="00B200EB" w:rsidRPr="001E4D55">
        <w:rPr>
          <w:rFonts w:cstheme="minorHAnsi"/>
        </w:rPr>
        <w:t xml:space="preserve">in its databases (see below Q18). </w:t>
      </w:r>
    </w:p>
    <w:p w14:paraId="6F8B1260" w14:textId="77777777" w:rsidR="00B200EB" w:rsidRPr="001E4D55" w:rsidRDefault="00B200EB" w:rsidP="00710347">
      <w:pPr>
        <w:spacing w:after="0" w:line="240" w:lineRule="auto"/>
        <w:ind w:right="144"/>
        <w:rPr>
          <w:rFonts w:cstheme="minorHAnsi"/>
        </w:rPr>
      </w:pPr>
    </w:p>
    <w:p w14:paraId="454CEE0D" w14:textId="77777777" w:rsidR="006B00B4" w:rsidRPr="001E4D55" w:rsidRDefault="00612A67" w:rsidP="006B00B4">
      <w:pPr>
        <w:spacing w:after="0" w:line="240" w:lineRule="auto"/>
        <w:ind w:right="144"/>
        <w:rPr>
          <w:rFonts w:cstheme="minorHAnsi"/>
        </w:rPr>
      </w:pPr>
      <w:r w:rsidRPr="001E4D55">
        <w:rPr>
          <w:rFonts w:cstheme="minorHAnsi"/>
        </w:rPr>
        <w:t xml:space="preserve">Refinitiv Holdings </w:t>
      </w:r>
      <w:r w:rsidR="00822E51" w:rsidRPr="001E4D55">
        <w:rPr>
          <w:rFonts w:cstheme="minorHAnsi"/>
        </w:rPr>
        <w:t>Ltd. is</w:t>
      </w:r>
      <w:r w:rsidRPr="001E4D55">
        <w:rPr>
          <w:rFonts w:cstheme="minorHAnsi"/>
        </w:rPr>
        <w:t xml:space="preserve"> 45% owned by </w:t>
      </w:r>
      <w:r w:rsidR="006B00B4" w:rsidRPr="001E4D55">
        <w:rPr>
          <w:rFonts w:cstheme="minorHAnsi"/>
        </w:rPr>
        <w:t>Thomson Reuters</w:t>
      </w:r>
      <w:r w:rsidRPr="001E4D55">
        <w:rPr>
          <w:rFonts w:cstheme="minorHAnsi"/>
        </w:rPr>
        <w:t xml:space="preserve"> and 55% owned by a consortium lead by BlackStone with co-investors Singapore’s GIC and the Canada Pension Plan Investment Board</w:t>
      </w:r>
      <w:r w:rsidR="006B00B4" w:rsidRPr="001E4D55">
        <w:rPr>
          <w:rFonts w:cstheme="minorHAnsi"/>
        </w:rPr>
        <w:t>.</w:t>
      </w:r>
      <w:r w:rsidR="00BE3B53" w:rsidRPr="001E4D55">
        <w:rPr>
          <w:rStyle w:val="FootnoteReference"/>
          <w:rFonts w:cstheme="minorHAnsi"/>
        </w:rPr>
        <w:footnoteReference w:id="32"/>
      </w:r>
      <w:r w:rsidR="006B00B4" w:rsidRPr="001E4D55">
        <w:rPr>
          <w:rFonts w:cstheme="minorHAnsi"/>
        </w:rPr>
        <w:t xml:space="preserve"> </w:t>
      </w:r>
      <w:r w:rsidRPr="001E4D55">
        <w:rPr>
          <w:rFonts w:cstheme="minorHAnsi"/>
        </w:rPr>
        <w:t xml:space="preserve">Currently, </w:t>
      </w:r>
      <w:r w:rsidR="00ED1B80" w:rsidRPr="001E4D55">
        <w:rPr>
          <w:rFonts w:cstheme="minorHAnsi"/>
        </w:rPr>
        <w:t xml:space="preserve">the London Stock Exchange </w:t>
      </w:r>
      <w:r w:rsidR="00822E51" w:rsidRPr="001E4D55">
        <w:rPr>
          <w:rFonts w:cstheme="minorHAnsi"/>
        </w:rPr>
        <w:t xml:space="preserve">Group </w:t>
      </w:r>
      <w:r w:rsidR="00ED1B80" w:rsidRPr="001E4D55">
        <w:rPr>
          <w:rFonts w:cstheme="minorHAnsi"/>
        </w:rPr>
        <w:t>is in process of buying the majority stake from the BlackStone consortium, awaiting approval of EU competition authorities.</w:t>
      </w:r>
      <w:r w:rsidR="00ED1B80" w:rsidRPr="001E4D55">
        <w:rPr>
          <w:rStyle w:val="FootnoteReference"/>
          <w:rFonts w:cstheme="minorHAnsi"/>
        </w:rPr>
        <w:footnoteReference w:id="33"/>
      </w:r>
      <w:r w:rsidR="00210EE7" w:rsidRPr="001E4D55">
        <w:rPr>
          <w:rFonts w:cstheme="minorHAnsi"/>
        </w:rPr>
        <w:t xml:space="preserve"> Since 4 March 2020, Woodbridge CO LTD - a private company and the primary investment tool for the Thomson family members- is the principal controlling shareholder of Thomson Reuters with approximately 66% ownership.</w:t>
      </w:r>
      <w:r w:rsidR="00210EE7" w:rsidRPr="001E4D55">
        <w:rPr>
          <w:rStyle w:val="FootnoteReference"/>
          <w:rFonts w:cstheme="minorHAnsi"/>
        </w:rPr>
        <w:footnoteReference w:id="34"/>
      </w:r>
    </w:p>
    <w:p w14:paraId="33554842" w14:textId="77777777" w:rsidR="009A5B00" w:rsidRPr="001E4D55" w:rsidRDefault="009A5B00" w:rsidP="00710347">
      <w:pPr>
        <w:spacing w:after="0" w:line="240" w:lineRule="auto"/>
        <w:ind w:right="144"/>
        <w:rPr>
          <w:rFonts w:cstheme="minorHAnsi"/>
        </w:rPr>
      </w:pPr>
    </w:p>
    <w:p w14:paraId="69C1D627" w14:textId="77777777" w:rsidR="009A5B00" w:rsidRPr="001E4D55" w:rsidRDefault="00073D6B" w:rsidP="00710347">
      <w:pPr>
        <w:spacing w:after="0" w:line="240" w:lineRule="auto"/>
        <w:ind w:right="144"/>
        <w:rPr>
          <w:rFonts w:cstheme="minorHAnsi"/>
        </w:rPr>
      </w:pPr>
      <w:r w:rsidRPr="001E4D55">
        <w:rPr>
          <w:rFonts w:cstheme="minorHAnsi"/>
        </w:rPr>
        <w:t xml:space="preserve">In 2019, </w:t>
      </w:r>
      <w:r w:rsidR="00D36BDB" w:rsidRPr="001E4D55">
        <w:rPr>
          <w:rFonts w:cstheme="minorHAnsi"/>
        </w:rPr>
        <w:t>Thomson Reuters’</w:t>
      </w:r>
      <w:r w:rsidRPr="001E4D55">
        <w:rPr>
          <w:rFonts w:cstheme="minorHAnsi"/>
        </w:rPr>
        <w:t xml:space="preserve"> o</w:t>
      </w:r>
      <w:r w:rsidR="009A5B00" w:rsidRPr="001E4D55">
        <w:rPr>
          <w:rFonts w:cstheme="minorHAnsi"/>
        </w:rPr>
        <w:t xml:space="preserve">perating </w:t>
      </w:r>
      <w:r w:rsidRPr="001E4D55">
        <w:rPr>
          <w:rFonts w:cstheme="minorHAnsi"/>
        </w:rPr>
        <w:t xml:space="preserve">profit was </w:t>
      </w:r>
      <w:r w:rsidR="009A5B00" w:rsidRPr="001E4D55">
        <w:rPr>
          <w:rFonts w:cstheme="minorHAnsi"/>
        </w:rPr>
        <w:t>$</w:t>
      </w:r>
      <w:r w:rsidRPr="001E4D55">
        <w:rPr>
          <w:rFonts w:cstheme="minorHAnsi"/>
        </w:rPr>
        <w:t xml:space="preserve"> 1.2 bn</w:t>
      </w:r>
      <w:r w:rsidR="00073450" w:rsidRPr="001E4D55">
        <w:rPr>
          <w:rFonts w:cstheme="minorHAnsi"/>
        </w:rPr>
        <w:t xml:space="preserve"> and</w:t>
      </w:r>
      <w:r w:rsidR="00847C60">
        <w:rPr>
          <w:rFonts w:cstheme="minorHAnsi"/>
        </w:rPr>
        <w:t xml:space="preserve"> had</w:t>
      </w:r>
      <w:r w:rsidR="00073450" w:rsidRPr="001E4D55">
        <w:rPr>
          <w:rFonts w:cstheme="minorHAnsi"/>
        </w:rPr>
        <w:t xml:space="preserve"> $ 5.9 bn</w:t>
      </w:r>
      <w:r w:rsidR="00073450" w:rsidRPr="001E4D55">
        <w:rPr>
          <w:rStyle w:val="FootnoteReference"/>
          <w:rFonts w:cstheme="minorHAnsi"/>
        </w:rPr>
        <w:footnoteReference w:id="35"/>
      </w:r>
      <w:r w:rsidR="00073450" w:rsidRPr="001E4D55">
        <w:rPr>
          <w:rFonts w:cstheme="minorHAnsi"/>
        </w:rPr>
        <w:t xml:space="preserve"> in revenues, and paid $ 698 million in d</w:t>
      </w:r>
      <w:r w:rsidR="009A5B00" w:rsidRPr="001E4D55">
        <w:rPr>
          <w:rFonts w:cstheme="minorHAnsi"/>
        </w:rPr>
        <w:t>ividend</w:t>
      </w:r>
      <w:r w:rsidR="00073450" w:rsidRPr="001E4D55">
        <w:rPr>
          <w:rFonts w:cstheme="minorHAnsi"/>
        </w:rPr>
        <w:t>s</w:t>
      </w:r>
      <w:r w:rsidR="009A5B00" w:rsidRPr="001E4D55">
        <w:rPr>
          <w:rStyle w:val="FootnoteReference"/>
          <w:rFonts w:cstheme="minorHAnsi"/>
        </w:rPr>
        <w:footnoteReference w:id="36"/>
      </w:r>
      <w:r w:rsidR="00073450" w:rsidRPr="001E4D55">
        <w:rPr>
          <w:rFonts w:cstheme="minorHAnsi"/>
        </w:rPr>
        <w:t xml:space="preserve">. The </w:t>
      </w:r>
      <w:r w:rsidR="00D36BDB" w:rsidRPr="001E4D55">
        <w:rPr>
          <w:rFonts w:cstheme="minorHAnsi"/>
        </w:rPr>
        <w:t xml:space="preserve">effective tax rate </w:t>
      </w:r>
      <w:r w:rsidR="00073450" w:rsidRPr="001E4D55">
        <w:rPr>
          <w:rFonts w:cstheme="minorHAnsi"/>
        </w:rPr>
        <w:t xml:space="preserve">was </w:t>
      </w:r>
      <w:r w:rsidR="00D36BDB" w:rsidRPr="001E4D55">
        <w:rPr>
          <w:rFonts w:cstheme="minorHAnsi"/>
        </w:rPr>
        <w:t xml:space="preserve"> 11%</w:t>
      </w:r>
      <w:r w:rsidR="00D36BDB" w:rsidRPr="001E4D55">
        <w:rPr>
          <w:rStyle w:val="FootnoteReference"/>
          <w:rFonts w:cstheme="minorHAnsi"/>
        </w:rPr>
        <w:footnoteReference w:id="37"/>
      </w:r>
      <w:r w:rsidR="00D36BDB" w:rsidRPr="001E4D55">
        <w:rPr>
          <w:rFonts w:cstheme="minorHAnsi"/>
        </w:rPr>
        <w:t xml:space="preserve">. Thomson Reuters has subsidiaries/branches located in tax havens as </w:t>
      </w:r>
      <w:r w:rsidR="00073450" w:rsidRPr="001E4D55">
        <w:rPr>
          <w:rFonts w:cstheme="minorHAnsi"/>
        </w:rPr>
        <w:t xml:space="preserve">defined </w:t>
      </w:r>
      <w:r w:rsidR="00D36BDB" w:rsidRPr="001E4D55">
        <w:rPr>
          <w:rFonts w:cstheme="minorHAnsi"/>
        </w:rPr>
        <w:t>by the Tax Justice Network</w:t>
      </w:r>
      <w:r w:rsidR="00847C60">
        <w:rPr>
          <w:rFonts w:cstheme="minorHAnsi"/>
        </w:rPr>
        <w:t>’</w:t>
      </w:r>
      <w:r w:rsidR="00D36BDB" w:rsidRPr="001E4D55">
        <w:rPr>
          <w:rFonts w:cstheme="minorHAnsi"/>
        </w:rPr>
        <w:t>s list of tax haven countries. Refinitiv Holding L</w:t>
      </w:r>
      <w:r w:rsidR="00822E51" w:rsidRPr="001E4D55">
        <w:rPr>
          <w:rFonts w:cstheme="minorHAnsi"/>
        </w:rPr>
        <w:t xml:space="preserve">td. </w:t>
      </w:r>
      <w:r w:rsidR="00D36BDB" w:rsidRPr="001E4D55">
        <w:rPr>
          <w:rFonts w:cstheme="minorHAnsi"/>
        </w:rPr>
        <w:t>is in</w:t>
      </w:r>
      <w:r w:rsidR="00822E51" w:rsidRPr="001E4D55">
        <w:rPr>
          <w:rFonts w:cstheme="minorHAnsi"/>
        </w:rPr>
        <w:t xml:space="preserve">corporated </w:t>
      </w:r>
      <w:r w:rsidR="00BC3B21" w:rsidRPr="001E4D55">
        <w:rPr>
          <w:rFonts w:cstheme="minorHAnsi"/>
        </w:rPr>
        <w:t xml:space="preserve">under the law of the </w:t>
      </w:r>
      <w:r w:rsidR="00D36BDB" w:rsidRPr="001E4D55">
        <w:rPr>
          <w:rFonts w:cstheme="minorHAnsi"/>
        </w:rPr>
        <w:t xml:space="preserve">Cayman </w:t>
      </w:r>
      <w:r w:rsidR="00BC3B21" w:rsidRPr="001E4D55">
        <w:rPr>
          <w:rFonts w:cstheme="minorHAnsi"/>
        </w:rPr>
        <w:t>I</w:t>
      </w:r>
      <w:r w:rsidR="00D36BDB" w:rsidRPr="001E4D55">
        <w:rPr>
          <w:rFonts w:cstheme="minorHAnsi"/>
        </w:rPr>
        <w:t>slands.</w:t>
      </w:r>
      <w:r w:rsidR="00073450" w:rsidRPr="001E4D55">
        <w:rPr>
          <w:rStyle w:val="FootnoteReference"/>
          <w:rFonts w:cstheme="minorHAnsi"/>
        </w:rPr>
        <w:footnoteReference w:id="38"/>
      </w:r>
      <w:r w:rsidR="00D36BDB" w:rsidRPr="001E4D55">
        <w:rPr>
          <w:rFonts w:cstheme="minorHAnsi"/>
        </w:rPr>
        <w:t xml:space="preserve"> Principle subsidiary Bedrijfsbeheer TRA BV is in the Netherlands, LN Holdings Limited, TR Holdings Limited, and TTC Holding Limited are in Bermuda, Thomson Reuters Finance S.A, and Thomson Reuters Holdings S.A. is in Luxembourg, and Thomson Reuters Global Resources Unlimited Company is in Ireland</w:t>
      </w:r>
      <w:r w:rsidR="00D36BDB" w:rsidRPr="001E4D55">
        <w:rPr>
          <w:rStyle w:val="FootnoteReference"/>
          <w:rFonts w:cstheme="minorHAnsi"/>
        </w:rPr>
        <w:footnoteReference w:id="39"/>
      </w:r>
      <w:r w:rsidR="00D36BDB" w:rsidRPr="001E4D55">
        <w:rPr>
          <w:rFonts w:cstheme="minorHAnsi"/>
        </w:rPr>
        <w:t xml:space="preserve">. </w:t>
      </w:r>
    </w:p>
    <w:p w14:paraId="4C418FA0" w14:textId="77777777" w:rsidR="00822E51" w:rsidRDefault="00822E51" w:rsidP="00710347">
      <w:pPr>
        <w:spacing w:after="0" w:line="240" w:lineRule="auto"/>
        <w:ind w:right="144"/>
        <w:rPr>
          <w:rFonts w:cstheme="minorHAnsi"/>
          <w:i/>
        </w:rPr>
      </w:pPr>
    </w:p>
    <w:p w14:paraId="0A2FD7D4" w14:textId="77777777" w:rsidR="00CE5F15" w:rsidRPr="001E4D55" w:rsidRDefault="00CE5F15" w:rsidP="00710347">
      <w:pPr>
        <w:spacing w:after="0" w:line="240" w:lineRule="auto"/>
        <w:ind w:right="144"/>
        <w:rPr>
          <w:rFonts w:cstheme="minorHAnsi"/>
          <w:i/>
        </w:rPr>
      </w:pPr>
    </w:p>
    <w:p w14:paraId="6877864D" w14:textId="77777777" w:rsidR="00E47661" w:rsidRPr="00C6183F" w:rsidRDefault="00C6183F" w:rsidP="00710347">
      <w:pPr>
        <w:spacing w:after="0" w:line="240" w:lineRule="auto"/>
        <w:ind w:right="144"/>
        <w:rPr>
          <w:rFonts w:cstheme="minorHAnsi"/>
          <w:b/>
          <w:sz w:val="24"/>
          <w:szCs w:val="24"/>
        </w:rPr>
      </w:pPr>
      <w:r w:rsidRPr="00C6183F">
        <w:rPr>
          <w:rFonts w:cstheme="minorHAnsi"/>
          <w:b/>
          <w:sz w:val="24"/>
          <w:szCs w:val="24"/>
        </w:rPr>
        <w:t xml:space="preserve">C. </w:t>
      </w:r>
      <w:r w:rsidR="00E47661" w:rsidRPr="00C6183F">
        <w:rPr>
          <w:rFonts w:cstheme="minorHAnsi"/>
          <w:b/>
          <w:sz w:val="24"/>
          <w:szCs w:val="24"/>
        </w:rPr>
        <w:t>Conclusion for Q17 of the consultation</w:t>
      </w:r>
    </w:p>
    <w:p w14:paraId="4C683135" w14:textId="77777777" w:rsidR="00C6183F" w:rsidRPr="00C6183F" w:rsidRDefault="00C6183F" w:rsidP="00710347">
      <w:pPr>
        <w:spacing w:after="0" w:line="240" w:lineRule="auto"/>
        <w:ind w:right="144"/>
        <w:rPr>
          <w:rFonts w:cstheme="minorHAnsi"/>
          <w:sz w:val="24"/>
          <w:szCs w:val="24"/>
          <w:highlight w:val="yellow"/>
        </w:rPr>
      </w:pPr>
    </w:p>
    <w:p w14:paraId="5434940C" w14:textId="77777777" w:rsidR="009A5B00" w:rsidRPr="00C6183F" w:rsidRDefault="00847C60" w:rsidP="00710347">
      <w:pPr>
        <w:spacing w:after="0" w:line="240" w:lineRule="auto"/>
        <w:ind w:right="144"/>
        <w:rPr>
          <w:rFonts w:cstheme="minorHAnsi"/>
        </w:rPr>
      </w:pPr>
      <w:r w:rsidRPr="00C6183F">
        <w:rPr>
          <w:rFonts w:cstheme="minorHAnsi"/>
        </w:rPr>
        <w:t xml:space="preserve">There is a </w:t>
      </w:r>
      <w:r w:rsidR="00E47661" w:rsidRPr="00C6183F">
        <w:rPr>
          <w:rFonts w:cstheme="minorHAnsi"/>
        </w:rPr>
        <w:t>rapid concentration of the ESG market, resulting from a wave of mergers and acquisitions by credit rating agencies and other financial market firms.</w:t>
      </w:r>
    </w:p>
    <w:p w14:paraId="00206961" w14:textId="77777777" w:rsidR="00E559C7" w:rsidRPr="00C6183F" w:rsidRDefault="00E559C7" w:rsidP="00E559C7">
      <w:pPr>
        <w:spacing w:after="0" w:line="240" w:lineRule="auto"/>
        <w:ind w:right="144"/>
        <w:rPr>
          <w:rFonts w:cstheme="minorHAnsi"/>
          <w:bCs/>
          <w:color w:val="000000"/>
        </w:rPr>
      </w:pPr>
    </w:p>
    <w:p w14:paraId="7677599E" w14:textId="1540D56A" w:rsidR="00313DDE" w:rsidRPr="00C6183F" w:rsidRDefault="00313DDE" w:rsidP="00313DDE">
      <w:pPr>
        <w:spacing w:after="0" w:line="240" w:lineRule="auto"/>
        <w:ind w:right="144"/>
        <w:rPr>
          <w:rFonts w:cstheme="minorHAnsi"/>
        </w:rPr>
      </w:pPr>
      <w:r w:rsidRPr="00C6183F">
        <w:rPr>
          <w:rFonts w:cstheme="minorHAnsi"/>
          <w:bCs/>
          <w:color w:val="000000"/>
        </w:rPr>
        <w:t>T</w:t>
      </w:r>
      <w:r w:rsidR="00E559C7" w:rsidRPr="00C6183F">
        <w:rPr>
          <w:rFonts w:cstheme="minorHAnsi"/>
          <w:bCs/>
          <w:color w:val="000000"/>
        </w:rPr>
        <w:t>he concentration of the ESG firms does not seem to be in a way of forming a few or one large ESG firm</w:t>
      </w:r>
      <w:r w:rsidR="00A37B74">
        <w:rPr>
          <w:rFonts w:cstheme="minorHAnsi"/>
          <w:bCs/>
          <w:color w:val="000000"/>
        </w:rPr>
        <w:t xml:space="preserve">. The concentration happens through </w:t>
      </w:r>
      <w:r w:rsidR="00E559C7" w:rsidRPr="00C6183F">
        <w:rPr>
          <w:rFonts w:cstheme="minorHAnsi"/>
          <w:bCs/>
          <w:color w:val="000000"/>
        </w:rPr>
        <w:t xml:space="preserve">by mergers and acquisitions </w:t>
      </w:r>
      <w:r w:rsidR="00A37B74">
        <w:rPr>
          <w:rFonts w:cstheme="minorHAnsi"/>
          <w:bCs/>
          <w:color w:val="000000"/>
        </w:rPr>
        <w:t xml:space="preserve">of ESG firms </w:t>
      </w:r>
      <w:r w:rsidR="00E559C7" w:rsidRPr="00C6183F">
        <w:rPr>
          <w:rFonts w:cstheme="minorHAnsi"/>
          <w:bCs/>
          <w:color w:val="000000"/>
        </w:rPr>
        <w:t xml:space="preserve">by existing large </w:t>
      </w:r>
      <w:r w:rsidRPr="00C6183F">
        <w:rPr>
          <w:rFonts w:cstheme="minorHAnsi"/>
          <w:bCs/>
          <w:color w:val="000000"/>
        </w:rPr>
        <w:t xml:space="preserve">credit </w:t>
      </w:r>
      <w:r w:rsidR="00E559C7" w:rsidRPr="00C6183F">
        <w:rPr>
          <w:rFonts w:cstheme="minorHAnsi"/>
          <w:bCs/>
          <w:color w:val="000000"/>
        </w:rPr>
        <w:t>rating agencies</w:t>
      </w:r>
      <w:r w:rsidRPr="00C6183F">
        <w:rPr>
          <w:rFonts w:cstheme="minorHAnsi"/>
          <w:bCs/>
          <w:color w:val="000000"/>
        </w:rPr>
        <w:t xml:space="preserve"> and financial analysis corporations</w:t>
      </w:r>
      <w:r w:rsidR="00E559C7" w:rsidRPr="00C6183F">
        <w:rPr>
          <w:rFonts w:cstheme="minorHAnsi"/>
          <w:bCs/>
          <w:color w:val="000000"/>
        </w:rPr>
        <w:t>.</w:t>
      </w:r>
      <w:r w:rsidRPr="00C6183F">
        <w:rPr>
          <w:rFonts w:cstheme="minorHAnsi"/>
        </w:rPr>
        <w:t xml:space="preserve"> </w:t>
      </w:r>
    </w:p>
    <w:p w14:paraId="5BB6091F" w14:textId="77777777" w:rsidR="00313DDE" w:rsidRPr="00C6183F" w:rsidRDefault="00313DDE" w:rsidP="00313DDE">
      <w:pPr>
        <w:spacing w:after="0" w:line="240" w:lineRule="auto"/>
        <w:ind w:right="144"/>
        <w:rPr>
          <w:rFonts w:cstheme="minorHAnsi"/>
        </w:rPr>
      </w:pPr>
    </w:p>
    <w:p w14:paraId="7188C2C0" w14:textId="77777777" w:rsidR="00313DDE" w:rsidRDefault="00313DDE" w:rsidP="00313DDE">
      <w:pPr>
        <w:spacing w:after="0" w:line="240" w:lineRule="auto"/>
        <w:ind w:right="144"/>
        <w:rPr>
          <w:rFonts w:cstheme="minorHAnsi"/>
        </w:rPr>
      </w:pPr>
      <w:r w:rsidRPr="00C6183F">
        <w:rPr>
          <w:rFonts w:cstheme="minorHAnsi"/>
        </w:rPr>
        <w:t xml:space="preserve">The mergers and acquisition often leads to integration of the ESG firms activities throughout services and products by the new parent corporation. </w:t>
      </w:r>
      <w:r w:rsidR="005E6394">
        <w:rPr>
          <w:rFonts w:cstheme="minorHAnsi"/>
        </w:rPr>
        <w:t>This can easily lead to conflicts of interests within the new parent corporation, especially given the latter’s business model of high profitability and dividend payments, with shareholders of dominant investment funds.</w:t>
      </w:r>
      <w:r w:rsidR="002D36CC">
        <w:rPr>
          <w:rFonts w:cstheme="minorHAnsi"/>
        </w:rPr>
        <w:t xml:space="preserve"> Conflicts of interest might also raise when particular negative ESG practices, such as tax avoidance or evasion, by the parent corporation are being practices while they are or are not included in the scope of the ESG data but should.</w:t>
      </w:r>
    </w:p>
    <w:p w14:paraId="26A42D72" w14:textId="77777777" w:rsidR="00096DF2" w:rsidRPr="00C6183F" w:rsidRDefault="00096DF2" w:rsidP="00313DDE">
      <w:pPr>
        <w:spacing w:after="0" w:line="240" w:lineRule="auto"/>
        <w:ind w:right="144"/>
        <w:rPr>
          <w:rFonts w:cstheme="minorHAnsi"/>
        </w:rPr>
      </w:pPr>
    </w:p>
    <w:p w14:paraId="03704543" w14:textId="77777777" w:rsidR="00313DDE" w:rsidRPr="00C6183F" w:rsidRDefault="00313DDE" w:rsidP="00313DDE">
      <w:pPr>
        <w:spacing w:after="0" w:line="240" w:lineRule="auto"/>
        <w:ind w:right="144"/>
        <w:rPr>
          <w:rFonts w:cstheme="minorHAnsi"/>
        </w:rPr>
      </w:pPr>
      <w:r w:rsidRPr="00C6183F">
        <w:rPr>
          <w:rFonts w:cstheme="minorHAnsi"/>
        </w:rPr>
        <w:t xml:space="preserve">The concentration of </w:t>
      </w:r>
      <w:r w:rsidR="00CE5F15">
        <w:rPr>
          <w:rFonts w:cstheme="minorHAnsi"/>
        </w:rPr>
        <w:t xml:space="preserve">frequently </w:t>
      </w:r>
      <w:r w:rsidRPr="00C6183F">
        <w:rPr>
          <w:rFonts w:cstheme="minorHAnsi"/>
        </w:rPr>
        <w:t>used ESG firms happens by CRAs and financial analysis corporations that are headquartered in the USA. This means that the country of origin on the parent corporations of important ESG firms are based outside the EU (see also Q21 below).</w:t>
      </w:r>
    </w:p>
    <w:p w14:paraId="051DBC76" w14:textId="77777777" w:rsidR="00E559C7" w:rsidRPr="00C6183F" w:rsidRDefault="00E559C7" w:rsidP="00710347">
      <w:pPr>
        <w:spacing w:after="0" w:line="240" w:lineRule="auto"/>
        <w:ind w:right="144"/>
        <w:rPr>
          <w:rFonts w:cstheme="minorHAnsi"/>
        </w:rPr>
      </w:pPr>
    </w:p>
    <w:p w14:paraId="60D3B948" w14:textId="77777777" w:rsidR="00BC3B21" w:rsidRPr="00C6183F" w:rsidRDefault="00950139" w:rsidP="00710347">
      <w:pPr>
        <w:spacing w:after="0" w:line="240" w:lineRule="auto"/>
        <w:ind w:right="144"/>
        <w:rPr>
          <w:rFonts w:cstheme="minorHAnsi"/>
        </w:rPr>
      </w:pPr>
      <w:r w:rsidRPr="00C6183F">
        <w:rPr>
          <w:rFonts w:cstheme="minorHAnsi"/>
        </w:rPr>
        <w:t xml:space="preserve">The business model </w:t>
      </w:r>
      <w:r w:rsidR="00CE5F15">
        <w:rPr>
          <w:rFonts w:cstheme="minorHAnsi"/>
        </w:rPr>
        <w:t xml:space="preserve">of corporations </w:t>
      </w:r>
      <w:r w:rsidRPr="00C6183F">
        <w:rPr>
          <w:rFonts w:cstheme="minorHAnsi"/>
        </w:rPr>
        <w:t>in which the ESG firms have been integrated shows one of being able to provide high profits</w:t>
      </w:r>
      <w:r w:rsidR="00D34FA5">
        <w:rPr>
          <w:rFonts w:cstheme="minorHAnsi"/>
        </w:rPr>
        <w:t xml:space="preserve"> for shareholders demanding high returns</w:t>
      </w:r>
      <w:r w:rsidR="006718B9" w:rsidRPr="00C6183F">
        <w:rPr>
          <w:rFonts w:cstheme="minorHAnsi"/>
        </w:rPr>
        <w:t>. The question therefore is how much more investments will be allocated to ESG data gathering, research and ratings</w:t>
      </w:r>
      <w:r w:rsidR="00CE5F15">
        <w:rPr>
          <w:rFonts w:cstheme="minorHAnsi"/>
        </w:rPr>
        <w:t>,</w:t>
      </w:r>
      <w:r w:rsidR="006718B9" w:rsidRPr="00C6183F">
        <w:rPr>
          <w:rFonts w:cstheme="minorHAnsi"/>
        </w:rPr>
        <w:t xml:space="preserve"> given that the quality still needs huge improvements (see next sections).</w:t>
      </w:r>
      <w:r w:rsidR="00390375" w:rsidRPr="00C6183F">
        <w:rPr>
          <w:rFonts w:cstheme="minorHAnsi"/>
        </w:rPr>
        <w:t xml:space="preserve"> </w:t>
      </w:r>
    </w:p>
    <w:p w14:paraId="3577E4C3" w14:textId="77777777" w:rsidR="00313DDE" w:rsidRPr="00C6183F" w:rsidRDefault="00313DDE" w:rsidP="00BC3B21">
      <w:pPr>
        <w:spacing w:after="0" w:line="240" w:lineRule="auto"/>
        <w:ind w:right="144"/>
        <w:rPr>
          <w:rFonts w:cstheme="minorHAnsi"/>
        </w:rPr>
      </w:pPr>
    </w:p>
    <w:p w14:paraId="538FCC01" w14:textId="77777777" w:rsidR="006D31D3" w:rsidRPr="00C6183F" w:rsidRDefault="00BC3B21" w:rsidP="00710347">
      <w:pPr>
        <w:spacing w:after="0" w:line="240" w:lineRule="auto"/>
        <w:ind w:right="144"/>
        <w:rPr>
          <w:rFonts w:cstheme="minorHAnsi"/>
        </w:rPr>
      </w:pPr>
      <w:r w:rsidRPr="00C6183F">
        <w:rPr>
          <w:rFonts w:cstheme="minorHAnsi"/>
        </w:rPr>
        <w:t xml:space="preserve">The </w:t>
      </w:r>
      <w:r w:rsidR="00313DDE" w:rsidRPr="00C6183F">
        <w:rPr>
          <w:rFonts w:cstheme="minorHAnsi"/>
        </w:rPr>
        <w:t xml:space="preserve">concentration and consolidation results in the same data being used for various ESG services and products, within the parent corporation and beyond through strategic partnerships. For instance, </w:t>
      </w:r>
      <w:r w:rsidRPr="00C6183F">
        <w:rPr>
          <w:rFonts w:cstheme="minorHAnsi"/>
        </w:rPr>
        <w:t>SAM ESG business is fully integrated in the S&amp;P Global business, including its credit ratings</w:t>
      </w:r>
      <w:r w:rsidR="00313DDE" w:rsidRPr="00C6183F">
        <w:rPr>
          <w:rFonts w:cstheme="minorHAnsi"/>
        </w:rPr>
        <w:t xml:space="preserve">m but in an </w:t>
      </w:r>
      <w:r w:rsidRPr="00C6183F">
        <w:rPr>
          <w:rFonts w:cstheme="minorHAnsi"/>
        </w:rPr>
        <w:t>arrangement with Robeco and RobecoSAM</w:t>
      </w:r>
      <w:r w:rsidR="00313DDE" w:rsidRPr="00C6183F">
        <w:rPr>
          <w:rFonts w:cstheme="minorHAnsi"/>
        </w:rPr>
        <w:t xml:space="preserve"> the latter can </w:t>
      </w:r>
      <w:r w:rsidRPr="00C6183F">
        <w:rPr>
          <w:rFonts w:cstheme="minorHAnsi"/>
        </w:rPr>
        <w:t xml:space="preserve">use the same </w:t>
      </w:r>
      <w:r w:rsidR="00313DDE" w:rsidRPr="00C6183F">
        <w:rPr>
          <w:rFonts w:cstheme="minorHAnsi"/>
        </w:rPr>
        <w:t xml:space="preserve">SAM ESG/CSA </w:t>
      </w:r>
      <w:r w:rsidRPr="00C6183F">
        <w:rPr>
          <w:rFonts w:cstheme="minorHAnsi"/>
        </w:rPr>
        <w:t xml:space="preserve">data as S&amp;P Global. </w:t>
      </w:r>
    </w:p>
    <w:p w14:paraId="4E9220EC" w14:textId="77777777" w:rsidR="001E4D55" w:rsidRPr="001E4D55" w:rsidRDefault="001E4D55" w:rsidP="00710347">
      <w:pPr>
        <w:spacing w:after="0" w:line="240" w:lineRule="auto"/>
        <w:ind w:right="144"/>
        <w:rPr>
          <w:rFonts w:cstheme="minorHAnsi"/>
          <w:i/>
        </w:rPr>
      </w:pPr>
    </w:p>
    <w:p w14:paraId="5705E06A" w14:textId="77777777" w:rsidR="00313DDE" w:rsidRDefault="00313DDE" w:rsidP="00710347">
      <w:pPr>
        <w:spacing w:after="0" w:line="240" w:lineRule="auto"/>
        <w:ind w:right="144"/>
        <w:rPr>
          <w:rFonts w:cstheme="minorHAnsi"/>
        </w:rPr>
      </w:pPr>
    </w:p>
    <w:p w14:paraId="177F24D1" w14:textId="77777777" w:rsidR="00313DDE" w:rsidRPr="001E4D55" w:rsidRDefault="00313DDE" w:rsidP="00313DDE">
      <w:pPr>
        <w:spacing w:after="0" w:line="240" w:lineRule="auto"/>
        <w:ind w:right="144"/>
        <w:rPr>
          <w:rFonts w:cstheme="minorHAnsi"/>
          <w:highlight w:val="yellow"/>
        </w:rPr>
      </w:pPr>
    </w:p>
    <w:p w14:paraId="03B42565" w14:textId="77777777" w:rsidR="00313DDE" w:rsidRPr="001E4D55" w:rsidRDefault="00313DDE" w:rsidP="00710347">
      <w:pPr>
        <w:spacing w:after="0" w:line="240" w:lineRule="auto"/>
        <w:ind w:right="144"/>
        <w:rPr>
          <w:rFonts w:cstheme="minorHAnsi"/>
        </w:rPr>
      </w:pPr>
    </w:p>
    <w:p w14:paraId="310B4166" w14:textId="77777777" w:rsidR="00E559C7" w:rsidRPr="001E4D55" w:rsidRDefault="00E559C7" w:rsidP="00710347">
      <w:pPr>
        <w:spacing w:after="0" w:line="240" w:lineRule="auto"/>
        <w:ind w:right="144"/>
        <w:rPr>
          <w:rFonts w:cstheme="minorHAnsi"/>
          <w:i/>
        </w:rPr>
      </w:pPr>
    </w:p>
    <w:p w14:paraId="17D8B841" w14:textId="77777777" w:rsidR="006E0333" w:rsidRPr="001E4D55" w:rsidRDefault="006E0333" w:rsidP="00710347">
      <w:pPr>
        <w:spacing w:after="0" w:line="240" w:lineRule="auto"/>
        <w:ind w:right="144"/>
        <w:rPr>
          <w:rFonts w:cstheme="minorHAnsi"/>
          <w:b/>
          <w:bCs/>
          <w:color w:val="000000"/>
          <w:sz w:val="27"/>
          <w:szCs w:val="27"/>
        </w:rPr>
      </w:pPr>
    </w:p>
    <w:p w14:paraId="7021530D" w14:textId="77777777" w:rsidR="00313DDE" w:rsidRDefault="00313DDE">
      <w:pPr>
        <w:rPr>
          <w:rFonts w:ascii="FreeSansBold" w:hAnsi="FreeSansBold" w:cs="FreeSansBold"/>
          <w:b/>
          <w:bCs/>
          <w:color w:val="000000"/>
          <w:sz w:val="27"/>
          <w:szCs w:val="27"/>
        </w:rPr>
      </w:pPr>
      <w:r>
        <w:rPr>
          <w:rFonts w:ascii="FreeSansBold" w:hAnsi="FreeSansBold" w:cs="FreeSansBold"/>
          <w:b/>
          <w:bCs/>
          <w:color w:val="000000"/>
          <w:sz w:val="27"/>
          <w:szCs w:val="27"/>
        </w:rPr>
        <w:br w:type="page"/>
      </w:r>
    </w:p>
    <w:p w14:paraId="497C17D4" w14:textId="77777777" w:rsidR="00C84ECE" w:rsidRPr="00D82441" w:rsidRDefault="00390375" w:rsidP="00710347">
      <w:pPr>
        <w:autoSpaceDE w:val="0"/>
        <w:autoSpaceDN w:val="0"/>
        <w:adjustRightInd w:val="0"/>
        <w:spacing w:after="0" w:line="240" w:lineRule="auto"/>
        <w:ind w:right="144"/>
        <w:rPr>
          <w:rFonts w:cstheme="minorHAnsi"/>
          <w:b/>
          <w:bCs/>
          <w:color w:val="000000"/>
          <w:sz w:val="27"/>
          <w:szCs w:val="27"/>
        </w:rPr>
      </w:pPr>
      <w:r w:rsidRPr="00D82441">
        <w:rPr>
          <w:rFonts w:cstheme="minorHAnsi"/>
          <w:b/>
          <w:bCs/>
          <w:color w:val="000000"/>
          <w:sz w:val="27"/>
          <w:szCs w:val="27"/>
        </w:rPr>
        <w:t xml:space="preserve">Information related to consultation </w:t>
      </w:r>
      <w:r w:rsidR="00C84ECE" w:rsidRPr="00D82441">
        <w:rPr>
          <w:rFonts w:cstheme="minorHAnsi"/>
          <w:b/>
          <w:bCs/>
          <w:color w:val="000000"/>
          <w:sz w:val="27"/>
          <w:szCs w:val="27"/>
        </w:rPr>
        <w:t>Question 18. How would you rate the comparability, quality and reliability of</w:t>
      </w:r>
      <w:r w:rsidRPr="00D82441">
        <w:rPr>
          <w:rFonts w:cstheme="minorHAnsi"/>
          <w:b/>
          <w:bCs/>
          <w:color w:val="000000"/>
          <w:sz w:val="27"/>
          <w:szCs w:val="27"/>
        </w:rPr>
        <w:t xml:space="preserve"> </w:t>
      </w:r>
      <w:r w:rsidR="00C84ECE" w:rsidRPr="00D82441">
        <w:rPr>
          <w:rFonts w:cstheme="minorHAnsi"/>
          <w:b/>
          <w:bCs/>
          <w:color w:val="000000"/>
          <w:sz w:val="27"/>
          <w:szCs w:val="27"/>
        </w:rPr>
        <w:t xml:space="preserve">ESG </w:t>
      </w:r>
      <w:r w:rsidR="00C84ECE" w:rsidRPr="00D82441">
        <w:rPr>
          <w:rFonts w:cstheme="minorHAnsi"/>
          <w:b/>
          <w:bCs/>
          <w:i/>
          <w:iCs/>
          <w:color w:val="000000"/>
          <w:sz w:val="28"/>
          <w:szCs w:val="28"/>
          <w:u w:val="single"/>
        </w:rPr>
        <w:t>data</w:t>
      </w:r>
      <w:r w:rsidR="00382C1F" w:rsidRPr="00D82441">
        <w:rPr>
          <w:rFonts w:cstheme="minorHAnsi"/>
          <w:b/>
          <w:bCs/>
          <w:i/>
          <w:iCs/>
          <w:color w:val="000000"/>
          <w:sz w:val="28"/>
          <w:szCs w:val="28"/>
        </w:rPr>
        <w:t xml:space="preserve"> </w:t>
      </w:r>
      <w:r w:rsidR="00C84ECE" w:rsidRPr="00D82441">
        <w:rPr>
          <w:rFonts w:cstheme="minorHAnsi"/>
          <w:b/>
          <w:bCs/>
          <w:color w:val="000000"/>
          <w:sz w:val="27"/>
          <w:szCs w:val="27"/>
        </w:rPr>
        <w:t>from sustainability providers currently available in the market?</w:t>
      </w:r>
    </w:p>
    <w:p w14:paraId="38AAEE77" w14:textId="77777777" w:rsidR="00C84ECE" w:rsidRPr="00D82441" w:rsidRDefault="00C84ECE" w:rsidP="00710347">
      <w:pPr>
        <w:autoSpaceDE w:val="0"/>
        <w:autoSpaceDN w:val="0"/>
        <w:adjustRightInd w:val="0"/>
        <w:spacing w:after="0" w:line="240" w:lineRule="auto"/>
        <w:ind w:right="144"/>
        <w:rPr>
          <w:rFonts w:cstheme="minorHAnsi"/>
          <w:b/>
          <w:bCs/>
          <w:color w:val="000000"/>
          <w:sz w:val="16"/>
          <w:szCs w:val="16"/>
        </w:rPr>
      </w:pPr>
    </w:p>
    <w:p w14:paraId="108B2BE4" w14:textId="77777777" w:rsidR="00C50261" w:rsidRPr="00401FD6" w:rsidRDefault="00C50261" w:rsidP="00710347">
      <w:pPr>
        <w:autoSpaceDE w:val="0"/>
        <w:autoSpaceDN w:val="0"/>
        <w:adjustRightInd w:val="0"/>
        <w:spacing w:after="0" w:line="240" w:lineRule="auto"/>
        <w:ind w:right="144"/>
        <w:rPr>
          <w:rFonts w:cstheme="minorHAnsi"/>
        </w:rPr>
      </w:pPr>
      <w:r w:rsidRPr="00401FD6">
        <w:rPr>
          <w:rFonts w:cstheme="minorHAnsi"/>
          <w:bCs/>
        </w:rPr>
        <w:t>All investors interviewed for the report “Rate the Raters 2020”</w:t>
      </w:r>
      <w:r w:rsidRPr="00401FD6">
        <w:rPr>
          <w:rStyle w:val="FootnoteReference"/>
          <w:rFonts w:cstheme="minorHAnsi"/>
          <w:bCs/>
        </w:rPr>
        <w:footnoteReference w:id="40"/>
      </w:r>
      <w:r w:rsidRPr="00401FD6">
        <w:rPr>
          <w:rFonts w:cstheme="minorHAnsi"/>
          <w:bCs/>
        </w:rPr>
        <w:t>, “</w:t>
      </w:r>
      <w:r w:rsidRPr="00401FD6">
        <w:rPr>
          <w:rFonts w:cstheme="minorHAnsi"/>
        </w:rPr>
        <w:t>expressed a</w:t>
      </w:r>
      <w:r w:rsidR="00D36BDB" w:rsidRPr="00401FD6">
        <w:rPr>
          <w:rFonts w:cstheme="minorHAnsi"/>
        </w:rPr>
        <w:t xml:space="preserve"> </w:t>
      </w:r>
      <w:r w:rsidRPr="00401FD6">
        <w:rPr>
          <w:rFonts w:cstheme="minorHAnsi"/>
        </w:rPr>
        <w:t>desire for better data.” “Investors want companies to provide better ESG data disclosure, to focus on what is most material to the business and to more fully integrate ESG information into financial statements. Regular reporting, and, where possible, real-time information are keenly desired. Investors also strongly prefer to get ESG data all in one place, ideally via short ESG data or fact sheets instead of long reports. In addition to data, investors</w:t>
      </w:r>
      <w:r w:rsidR="00D36BDB" w:rsidRPr="00401FD6">
        <w:rPr>
          <w:rFonts w:cstheme="minorHAnsi"/>
        </w:rPr>
        <w:t xml:space="preserve"> </w:t>
      </w:r>
      <w:r w:rsidRPr="00401FD6">
        <w:rPr>
          <w:rFonts w:cstheme="minorHAnsi"/>
        </w:rPr>
        <w:t>want better commentary on how leadership thinks about ESG and how it fits company strategy.”</w:t>
      </w:r>
      <w:r w:rsidR="00BE07DD" w:rsidRPr="00401FD6">
        <w:rPr>
          <w:rFonts w:cstheme="minorHAnsi"/>
        </w:rPr>
        <w:t xml:space="preserve"> “</w:t>
      </w:r>
      <w:r w:rsidR="00D36BDB" w:rsidRPr="00401FD6">
        <w:rPr>
          <w:rFonts w:cstheme="minorHAnsi"/>
        </w:rPr>
        <w:t>[C]</w:t>
      </w:r>
      <w:r w:rsidR="00BE07DD" w:rsidRPr="00401FD6">
        <w:rPr>
          <w:rFonts w:cstheme="minorHAnsi"/>
        </w:rPr>
        <w:t>ompanies need to work towards greater ESG transparency, reporting and consistency especially within sectors”</w:t>
      </w:r>
      <w:r w:rsidR="00D36BDB" w:rsidRPr="00401FD6">
        <w:rPr>
          <w:rFonts w:cstheme="minorHAnsi"/>
        </w:rPr>
        <w:t>.</w:t>
      </w:r>
      <w:r w:rsidR="00BE07DD" w:rsidRPr="00401FD6">
        <w:rPr>
          <w:rStyle w:val="FootnoteReference"/>
          <w:rFonts w:cstheme="minorHAnsi"/>
        </w:rPr>
        <w:footnoteReference w:id="41"/>
      </w:r>
    </w:p>
    <w:p w14:paraId="461F8971" w14:textId="77777777" w:rsidR="009B48F7" w:rsidRPr="00401FD6" w:rsidRDefault="009B48F7" w:rsidP="00710347">
      <w:pPr>
        <w:autoSpaceDE w:val="0"/>
        <w:autoSpaceDN w:val="0"/>
        <w:adjustRightInd w:val="0"/>
        <w:spacing w:after="0" w:line="240" w:lineRule="auto"/>
        <w:ind w:right="144"/>
        <w:rPr>
          <w:rFonts w:cstheme="minorHAnsi"/>
        </w:rPr>
      </w:pPr>
    </w:p>
    <w:p w14:paraId="42E8960F" w14:textId="77777777" w:rsidR="009B48F7" w:rsidRPr="00401FD6" w:rsidRDefault="009B48F7" w:rsidP="009B48F7">
      <w:pPr>
        <w:autoSpaceDE w:val="0"/>
        <w:autoSpaceDN w:val="0"/>
        <w:adjustRightInd w:val="0"/>
        <w:spacing w:after="0" w:line="240" w:lineRule="auto"/>
        <w:ind w:right="144"/>
        <w:rPr>
          <w:rFonts w:cstheme="minorHAnsi"/>
        </w:rPr>
      </w:pPr>
      <w:r w:rsidRPr="00401FD6">
        <w:rPr>
          <w:rFonts w:cstheme="minorHAnsi"/>
        </w:rPr>
        <w:t>In the case of Refinitiv</w:t>
      </w:r>
      <w:r w:rsidRPr="00401FD6">
        <w:rPr>
          <w:rStyle w:val="FootnoteReference"/>
          <w:rFonts w:cstheme="minorHAnsi"/>
        </w:rPr>
        <w:footnoteReference w:id="42"/>
      </w:r>
      <w:r w:rsidRPr="00401FD6">
        <w:rPr>
          <w:rFonts w:cstheme="minorHAnsi"/>
        </w:rPr>
        <w:t xml:space="preserve">, the six sources for the analysis research is based on publically available information, four of which come from the companies themselves: annual reports, company websites, stock exchange filings and CSR reports. Only two publically available information sources are not from the companies themselves: news sources (which does not seem to include social media) and NGO websites. </w:t>
      </w:r>
    </w:p>
    <w:p w14:paraId="6FD18767" w14:textId="77777777" w:rsidR="009B48F7" w:rsidRPr="00401FD6" w:rsidRDefault="009B48F7" w:rsidP="009B48F7">
      <w:pPr>
        <w:autoSpaceDE w:val="0"/>
        <w:autoSpaceDN w:val="0"/>
        <w:adjustRightInd w:val="0"/>
        <w:spacing w:after="0" w:line="240" w:lineRule="auto"/>
        <w:ind w:right="144"/>
        <w:rPr>
          <w:rFonts w:cstheme="minorHAnsi"/>
          <w:i/>
        </w:rPr>
      </w:pPr>
    </w:p>
    <w:p w14:paraId="54445EF9" w14:textId="77777777" w:rsidR="00D36BDB" w:rsidRPr="00401FD6" w:rsidRDefault="00D36BDB" w:rsidP="00710347">
      <w:pPr>
        <w:autoSpaceDE w:val="0"/>
        <w:autoSpaceDN w:val="0"/>
        <w:adjustRightInd w:val="0"/>
        <w:spacing w:after="0" w:line="240" w:lineRule="auto"/>
        <w:ind w:right="144"/>
        <w:rPr>
          <w:rFonts w:cstheme="minorHAnsi"/>
        </w:rPr>
      </w:pPr>
    </w:p>
    <w:p w14:paraId="5DFC474E" w14:textId="77777777" w:rsidR="00D36BDB" w:rsidRPr="00401FD6" w:rsidRDefault="00D36BDB" w:rsidP="00710347">
      <w:pPr>
        <w:autoSpaceDE w:val="0"/>
        <w:autoSpaceDN w:val="0"/>
        <w:adjustRightInd w:val="0"/>
        <w:spacing w:after="0" w:line="240" w:lineRule="auto"/>
        <w:ind w:right="144"/>
        <w:rPr>
          <w:rFonts w:cstheme="minorHAnsi"/>
          <w:b/>
        </w:rPr>
      </w:pPr>
      <w:r w:rsidRPr="00401FD6">
        <w:rPr>
          <w:rFonts w:cstheme="minorHAnsi"/>
          <w:b/>
        </w:rPr>
        <w:t>Comment</w:t>
      </w:r>
    </w:p>
    <w:p w14:paraId="324854CD" w14:textId="77777777" w:rsidR="009B48F7" w:rsidRPr="00401FD6" w:rsidRDefault="009B48F7" w:rsidP="00710347">
      <w:pPr>
        <w:autoSpaceDE w:val="0"/>
        <w:autoSpaceDN w:val="0"/>
        <w:adjustRightInd w:val="0"/>
        <w:spacing w:after="0" w:line="240" w:lineRule="auto"/>
        <w:ind w:right="144"/>
        <w:rPr>
          <w:rFonts w:cstheme="minorHAnsi"/>
          <w:i/>
        </w:rPr>
      </w:pPr>
    </w:p>
    <w:p w14:paraId="1BEA11AB" w14:textId="77777777" w:rsidR="00096DF2" w:rsidRPr="00401FD6" w:rsidRDefault="00096DF2" w:rsidP="00096DF2">
      <w:pPr>
        <w:autoSpaceDE w:val="0"/>
        <w:autoSpaceDN w:val="0"/>
        <w:adjustRightInd w:val="0"/>
        <w:spacing w:after="0" w:line="240" w:lineRule="auto"/>
        <w:ind w:right="144"/>
        <w:rPr>
          <w:rFonts w:cstheme="minorHAnsi"/>
        </w:rPr>
      </w:pPr>
      <w:r w:rsidRPr="00401FD6">
        <w:rPr>
          <w:rFonts w:cstheme="minorHAnsi"/>
        </w:rPr>
        <w:t>Over-reliance on ESG data from the companies themselves, or even on publically information, might result in biased and incomplete information.</w:t>
      </w:r>
    </w:p>
    <w:p w14:paraId="7DB494C0" w14:textId="77777777" w:rsidR="00096DF2" w:rsidRPr="00401FD6" w:rsidRDefault="00096DF2" w:rsidP="00710347">
      <w:pPr>
        <w:autoSpaceDE w:val="0"/>
        <w:autoSpaceDN w:val="0"/>
        <w:adjustRightInd w:val="0"/>
        <w:spacing w:after="0" w:line="240" w:lineRule="auto"/>
        <w:ind w:right="144"/>
        <w:rPr>
          <w:rFonts w:cstheme="minorHAnsi"/>
          <w:i/>
        </w:rPr>
      </w:pPr>
    </w:p>
    <w:p w14:paraId="13BB7C78" w14:textId="77777777" w:rsidR="00BD2016" w:rsidRPr="00401FD6" w:rsidRDefault="009B48F7" w:rsidP="00096DF2">
      <w:pPr>
        <w:autoSpaceDE w:val="0"/>
        <w:autoSpaceDN w:val="0"/>
        <w:adjustRightInd w:val="0"/>
        <w:spacing w:after="0" w:line="240" w:lineRule="auto"/>
        <w:ind w:right="144"/>
        <w:rPr>
          <w:rFonts w:cstheme="minorHAnsi"/>
        </w:rPr>
      </w:pPr>
      <w:r w:rsidRPr="00401FD6">
        <w:rPr>
          <w:rFonts w:cstheme="minorHAnsi"/>
        </w:rPr>
        <w:t xml:space="preserve">From SOMO’s experience of corporate research, corporations often report on policies and not on their implementaton, are doing box ticking on ESG issues and report little about impact on people and planet, let alone reporting controversies which they think have no financial (‘material) impact.  Impact research on the ground where a company and its supply chain operate, needs a lot of time and careful methods </w:t>
      </w:r>
      <w:r w:rsidR="00096DF2" w:rsidRPr="00401FD6">
        <w:rPr>
          <w:rFonts w:cstheme="minorHAnsi"/>
        </w:rPr>
        <w:t xml:space="preserve">from </w:t>
      </w:r>
      <w:r w:rsidRPr="00401FD6">
        <w:rPr>
          <w:rFonts w:cstheme="minorHAnsi"/>
        </w:rPr>
        <w:t>reach</w:t>
      </w:r>
      <w:r w:rsidR="00096DF2" w:rsidRPr="00401FD6">
        <w:rPr>
          <w:rFonts w:cstheme="minorHAnsi"/>
        </w:rPr>
        <w:t>ing</w:t>
      </w:r>
      <w:r w:rsidRPr="00401FD6">
        <w:rPr>
          <w:rFonts w:cstheme="minorHAnsi"/>
        </w:rPr>
        <w:t xml:space="preserve"> </w:t>
      </w:r>
      <w:r w:rsidR="00096DF2" w:rsidRPr="00401FD6">
        <w:rPr>
          <w:rFonts w:cstheme="minorHAnsi"/>
        </w:rPr>
        <w:t>(</w:t>
      </w:r>
      <w:r w:rsidRPr="00401FD6">
        <w:rPr>
          <w:rFonts w:cstheme="minorHAnsi"/>
        </w:rPr>
        <w:t>but also protect</w:t>
      </w:r>
      <w:r w:rsidR="00096DF2" w:rsidRPr="00401FD6">
        <w:rPr>
          <w:rFonts w:cstheme="minorHAnsi"/>
        </w:rPr>
        <w:t xml:space="preserve">ing) </w:t>
      </w:r>
      <w:r w:rsidRPr="00401FD6">
        <w:rPr>
          <w:rFonts w:cstheme="minorHAnsi"/>
        </w:rPr>
        <w:t xml:space="preserve"> affected stakeholders (workers, communities) up to verification of objective data (e.g. tax payment figures) with the corporation. This means that while </w:t>
      </w:r>
      <w:r w:rsidR="00096DF2" w:rsidRPr="00401FD6">
        <w:rPr>
          <w:rFonts w:cstheme="minorHAnsi"/>
        </w:rPr>
        <w:t xml:space="preserve">SOMO and other </w:t>
      </w:r>
      <w:r w:rsidRPr="00401FD6">
        <w:rPr>
          <w:rFonts w:cstheme="minorHAnsi"/>
        </w:rPr>
        <w:t xml:space="preserve">NGO </w:t>
      </w:r>
      <w:r w:rsidR="00096DF2" w:rsidRPr="00401FD6">
        <w:rPr>
          <w:rFonts w:cstheme="minorHAnsi"/>
        </w:rPr>
        <w:t xml:space="preserve">research </w:t>
      </w:r>
      <w:r w:rsidRPr="00401FD6">
        <w:rPr>
          <w:rFonts w:cstheme="minorHAnsi"/>
        </w:rPr>
        <w:t>reports result from real on the ground impact research</w:t>
      </w:r>
      <w:r w:rsidR="00096DF2" w:rsidRPr="00401FD6">
        <w:rPr>
          <w:rFonts w:cstheme="minorHAnsi"/>
        </w:rPr>
        <w:t xml:space="preserve"> and expose controversies</w:t>
      </w:r>
      <w:r w:rsidRPr="00401FD6">
        <w:rPr>
          <w:rFonts w:cstheme="minorHAnsi"/>
        </w:rPr>
        <w:t>, such reports are often a snapshot of the corporation’s impact of its operations around the world.</w:t>
      </w:r>
      <w:r w:rsidR="00096DF2" w:rsidRPr="00401FD6">
        <w:rPr>
          <w:rFonts w:cstheme="minorHAnsi"/>
        </w:rPr>
        <w:t xml:space="preserve"> </w:t>
      </w:r>
    </w:p>
    <w:p w14:paraId="1AA2BEAB" w14:textId="77777777" w:rsidR="00CE5F15" w:rsidRPr="00CE5F15" w:rsidRDefault="00CE5F15" w:rsidP="00CE5F15">
      <w:pPr>
        <w:autoSpaceDE w:val="0"/>
        <w:autoSpaceDN w:val="0"/>
        <w:adjustRightInd w:val="0"/>
        <w:spacing w:after="0" w:line="240" w:lineRule="auto"/>
        <w:ind w:right="144"/>
        <w:rPr>
          <w:rFonts w:cstheme="minorHAnsi"/>
        </w:rPr>
      </w:pPr>
      <w:r w:rsidRPr="00CE5F15">
        <w:rPr>
          <w:rFonts w:cstheme="minorHAnsi"/>
        </w:rPr>
        <w:t>The question is whether profit making ESG services are willing to make the costs to better investigate the actual impacts and forward looking assessments, in order to</w:t>
      </w:r>
      <w:r w:rsidRPr="00CE5F15">
        <w:t xml:space="preserve"> </w:t>
      </w:r>
      <w:r w:rsidRPr="00CE5F15">
        <w:rPr>
          <w:rFonts w:cstheme="minorHAnsi"/>
        </w:rPr>
        <w:t>to get better data on which to better assess the real sustainability of a company.</w:t>
      </w:r>
    </w:p>
    <w:p w14:paraId="70796D00" w14:textId="77777777" w:rsidR="00401FD6" w:rsidRDefault="00096DF2" w:rsidP="00401FD6">
      <w:pPr>
        <w:autoSpaceDE w:val="0"/>
        <w:autoSpaceDN w:val="0"/>
        <w:adjustRightInd w:val="0"/>
        <w:spacing w:after="0" w:line="240" w:lineRule="auto"/>
        <w:ind w:right="144"/>
        <w:rPr>
          <w:rFonts w:cstheme="minorHAnsi"/>
        </w:rPr>
      </w:pPr>
      <w:r w:rsidRPr="00CE5F15">
        <w:rPr>
          <w:rFonts w:cstheme="minorHAnsi"/>
        </w:rPr>
        <w:t>In other words, there is still a lot of</w:t>
      </w:r>
      <w:r w:rsidRPr="00401FD6">
        <w:rPr>
          <w:rFonts w:cstheme="minorHAnsi"/>
        </w:rPr>
        <w:t xml:space="preserve"> ESG reporting and impact information missing and thus lacking in all ESG data used </w:t>
      </w:r>
      <w:r w:rsidR="00BD2016" w:rsidRPr="00401FD6">
        <w:rPr>
          <w:rFonts w:cstheme="minorHAnsi"/>
        </w:rPr>
        <w:t xml:space="preserve">for research and rating </w:t>
      </w:r>
      <w:r w:rsidRPr="00401FD6">
        <w:rPr>
          <w:rFonts w:cstheme="minorHAnsi"/>
        </w:rPr>
        <w:t>(see also next sections Q 19-20). More reports from stakeholders, civil society around the world where companies operate and have supply chains, and other independent researchers are needed</w:t>
      </w:r>
      <w:r w:rsidR="00CE5F15">
        <w:rPr>
          <w:rFonts w:cstheme="minorHAnsi"/>
        </w:rPr>
        <w:t>, but resources are lacking</w:t>
      </w:r>
      <w:r w:rsidRPr="00401FD6">
        <w:rPr>
          <w:rFonts w:cstheme="minorHAnsi"/>
        </w:rPr>
        <w:t>.</w:t>
      </w:r>
    </w:p>
    <w:p w14:paraId="7D5792C1" w14:textId="77777777" w:rsidR="00401FD6" w:rsidRDefault="00401FD6">
      <w:pPr>
        <w:rPr>
          <w:rFonts w:cstheme="minorHAnsi"/>
        </w:rPr>
      </w:pPr>
      <w:r>
        <w:rPr>
          <w:rFonts w:cstheme="minorHAnsi"/>
        </w:rPr>
        <w:br w:type="page"/>
      </w:r>
    </w:p>
    <w:p w14:paraId="23A5FCC3" w14:textId="77777777" w:rsidR="00C84ECE" w:rsidRDefault="00390375" w:rsidP="00710347">
      <w:pPr>
        <w:autoSpaceDE w:val="0"/>
        <w:autoSpaceDN w:val="0"/>
        <w:adjustRightInd w:val="0"/>
        <w:spacing w:after="0" w:line="240" w:lineRule="auto"/>
        <w:ind w:right="144"/>
        <w:rPr>
          <w:rFonts w:ascii="FreeSansBold" w:hAnsi="FreeSansBold" w:cs="FreeSansBold"/>
          <w:b/>
          <w:bCs/>
          <w:color w:val="000000"/>
          <w:sz w:val="27"/>
          <w:szCs w:val="27"/>
        </w:rPr>
      </w:pPr>
      <w:r w:rsidRPr="00D82441">
        <w:rPr>
          <w:rFonts w:ascii="FreeSansBold" w:hAnsi="FreeSansBold" w:cs="FreeSansBold"/>
          <w:b/>
          <w:bCs/>
          <w:color w:val="000000"/>
          <w:sz w:val="27"/>
          <w:szCs w:val="27"/>
        </w:rPr>
        <w:t xml:space="preserve">Information related to consultation </w:t>
      </w:r>
      <w:r w:rsidR="00C84ECE" w:rsidRPr="00D82441">
        <w:rPr>
          <w:rFonts w:ascii="FreeSansBold" w:hAnsi="FreeSansBold" w:cs="FreeSansBold"/>
          <w:b/>
          <w:bCs/>
          <w:color w:val="000000"/>
          <w:sz w:val="27"/>
          <w:szCs w:val="27"/>
        </w:rPr>
        <w:t xml:space="preserve">Question 19. How would you rate the quality and relevance of ESG </w:t>
      </w:r>
      <w:r w:rsidR="00C84ECE" w:rsidRPr="00D82441">
        <w:rPr>
          <w:rFonts w:ascii="FreeSansBoldOblique" w:hAnsi="FreeSansBoldOblique" w:cs="FreeSansBoldOblique"/>
          <w:b/>
          <w:bCs/>
          <w:i/>
          <w:iCs/>
          <w:color w:val="000000"/>
          <w:sz w:val="28"/>
          <w:szCs w:val="28"/>
          <w:u w:val="single"/>
        </w:rPr>
        <w:t>research</w:t>
      </w:r>
      <w:r w:rsidRPr="00D82441">
        <w:rPr>
          <w:rFonts w:ascii="FreeSansBoldOblique" w:hAnsi="FreeSansBoldOblique" w:cs="FreeSansBoldOblique"/>
          <w:b/>
          <w:bCs/>
          <w:i/>
          <w:iCs/>
          <w:color w:val="000000"/>
          <w:sz w:val="28"/>
          <w:szCs w:val="28"/>
          <w:u w:val="single"/>
        </w:rPr>
        <w:t xml:space="preserve"> </w:t>
      </w:r>
      <w:r w:rsidR="00C84ECE" w:rsidRPr="00D82441">
        <w:rPr>
          <w:rFonts w:ascii="FreeSansBold" w:hAnsi="FreeSansBold" w:cs="FreeSansBold"/>
          <w:b/>
          <w:bCs/>
          <w:color w:val="000000"/>
          <w:sz w:val="27"/>
          <w:szCs w:val="27"/>
          <w:u w:val="single"/>
        </w:rPr>
        <w:t>material</w:t>
      </w:r>
      <w:r w:rsidR="00C84ECE" w:rsidRPr="00D82441">
        <w:rPr>
          <w:rFonts w:ascii="FreeSansBold" w:hAnsi="FreeSansBold" w:cs="FreeSansBold"/>
          <w:b/>
          <w:bCs/>
          <w:color w:val="000000"/>
          <w:sz w:val="27"/>
          <w:szCs w:val="27"/>
        </w:rPr>
        <w:t xml:space="preserve"> currently available in the market?</w:t>
      </w:r>
    </w:p>
    <w:p w14:paraId="31DE880D" w14:textId="77777777" w:rsidR="00C84ECE" w:rsidRDefault="00C84ECE" w:rsidP="00710347">
      <w:pPr>
        <w:autoSpaceDE w:val="0"/>
        <w:autoSpaceDN w:val="0"/>
        <w:adjustRightInd w:val="0"/>
        <w:spacing w:after="0" w:line="240" w:lineRule="auto"/>
        <w:ind w:right="144"/>
        <w:rPr>
          <w:rFonts w:ascii="FreeSansBold" w:hAnsi="FreeSansBold" w:cs="FreeSansBold"/>
          <w:b/>
          <w:bCs/>
          <w:color w:val="000000"/>
          <w:sz w:val="27"/>
          <w:szCs w:val="27"/>
        </w:rPr>
      </w:pPr>
    </w:p>
    <w:p w14:paraId="411631F0" w14:textId="77777777" w:rsidR="00A84D44" w:rsidRPr="00BD2016" w:rsidRDefault="00A84D44" w:rsidP="00710347">
      <w:pPr>
        <w:autoSpaceDE w:val="0"/>
        <w:autoSpaceDN w:val="0"/>
        <w:adjustRightInd w:val="0"/>
        <w:spacing w:after="0" w:line="240" w:lineRule="auto"/>
        <w:ind w:right="144"/>
        <w:rPr>
          <w:rFonts w:cstheme="minorHAnsi"/>
        </w:rPr>
      </w:pPr>
      <w:r w:rsidRPr="00BD2016">
        <w:rPr>
          <w:rFonts w:cstheme="minorHAnsi"/>
          <w:bCs/>
        </w:rPr>
        <w:t xml:space="preserve">Investors </w:t>
      </w:r>
      <w:r w:rsidR="00A333BB" w:rsidRPr="00BD2016">
        <w:rPr>
          <w:rFonts w:cstheme="minorHAnsi"/>
          <w:bCs/>
        </w:rPr>
        <w:t xml:space="preserve">surveyed and interviewed by </w:t>
      </w:r>
      <w:r w:rsidR="00A333BB" w:rsidRPr="00BD2016">
        <w:rPr>
          <w:rFonts w:cstheme="minorHAnsi"/>
        </w:rPr>
        <w:t>SustainAbility</w:t>
      </w:r>
      <w:r w:rsidR="00BD2016" w:rsidRPr="00BD2016">
        <w:rPr>
          <w:rStyle w:val="FootnoteReference"/>
          <w:rFonts w:cstheme="minorHAnsi"/>
        </w:rPr>
        <w:footnoteReference w:id="43"/>
      </w:r>
      <w:r w:rsidR="00A333BB" w:rsidRPr="00BD2016">
        <w:rPr>
          <w:rFonts w:cstheme="minorHAnsi"/>
          <w:bCs/>
        </w:rPr>
        <w:t xml:space="preserve"> indicated where they were </w:t>
      </w:r>
      <w:r w:rsidR="00D82441">
        <w:rPr>
          <w:rFonts w:cstheme="minorHAnsi"/>
          <w:bCs/>
        </w:rPr>
        <w:t>researching for ESG data. The f</w:t>
      </w:r>
      <w:r w:rsidR="00A333BB" w:rsidRPr="00BD2016">
        <w:rPr>
          <w:rFonts w:cstheme="minorHAnsi"/>
          <w:bCs/>
        </w:rPr>
        <w:t xml:space="preserve">our most useful </w:t>
      </w:r>
      <w:r w:rsidRPr="00BD2016">
        <w:rPr>
          <w:rFonts w:cstheme="minorHAnsi"/>
        </w:rPr>
        <w:t xml:space="preserve">sources of corporate ESG information </w:t>
      </w:r>
      <w:r w:rsidR="00A333BB" w:rsidRPr="00BD2016">
        <w:rPr>
          <w:rFonts w:cstheme="minorHAnsi"/>
        </w:rPr>
        <w:t>were: “</w:t>
      </w:r>
      <w:r w:rsidRPr="00BD2016">
        <w:rPr>
          <w:rFonts w:cstheme="minorHAnsi"/>
        </w:rPr>
        <w:t>corporate ESG ratings, direct engagement with companies, corporate sustainability reports and in-house research.</w:t>
      </w:r>
      <w:r w:rsidR="00A333BB" w:rsidRPr="00BD2016">
        <w:rPr>
          <w:rFonts w:cstheme="minorHAnsi"/>
        </w:rPr>
        <w:t>”</w:t>
      </w:r>
      <w:r w:rsidRPr="00BD2016">
        <w:rPr>
          <w:rFonts w:cstheme="minorHAnsi"/>
          <w:b/>
          <w:bCs/>
        </w:rPr>
        <w:t xml:space="preserve"> </w:t>
      </w:r>
      <w:r w:rsidR="00BD2016" w:rsidRPr="00BD2016">
        <w:rPr>
          <w:rFonts w:cstheme="minorHAnsi"/>
          <w:b/>
          <w:bCs/>
        </w:rPr>
        <w:t>“</w:t>
      </w:r>
      <w:r w:rsidRPr="00BD2016">
        <w:rPr>
          <w:rFonts w:cstheme="minorHAnsi"/>
        </w:rPr>
        <w:t>Most investors described using ESG ratings more for the underlying data and not the scores. Those that have their own internal scoring methodologies and KPIs do not need the scores. What they do need is a way to efficiently gather ESG data to feed these internal scoring and analysis mechanisms.”</w:t>
      </w:r>
      <w:r w:rsidRPr="00BD2016">
        <w:rPr>
          <w:rStyle w:val="FootnoteReference"/>
          <w:rFonts w:cstheme="minorHAnsi"/>
        </w:rPr>
        <w:footnoteReference w:id="44"/>
      </w:r>
    </w:p>
    <w:p w14:paraId="0B86AE84" w14:textId="77777777" w:rsidR="0081618A" w:rsidRPr="00BD2016" w:rsidRDefault="0081618A" w:rsidP="00710347">
      <w:pPr>
        <w:autoSpaceDE w:val="0"/>
        <w:autoSpaceDN w:val="0"/>
        <w:adjustRightInd w:val="0"/>
        <w:spacing w:after="0" w:line="240" w:lineRule="auto"/>
        <w:ind w:right="144"/>
        <w:rPr>
          <w:rFonts w:cstheme="minorHAnsi"/>
        </w:rPr>
      </w:pPr>
    </w:p>
    <w:p w14:paraId="48E1A7C3" w14:textId="77777777" w:rsidR="0081618A" w:rsidRPr="00E74936" w:rsidRDefault="0081618A" w:rsidP="00710347">
      <w:pPr>
        <w:autoSpaceDE w:val="0"/>
        <w:autoSpaceDN w:val="0"/>
        <w:adjustRightInd w:val="0"/>
        <w:spacing w:after="0" w:line="240" w:lineRule="auto"/>
        <w:ind w:right="144"/>
        <w:rPr>
          <w:rFonts w:cstheme="minorHAnsi"/>
          <w:iCs/>
        </w:rPr>
      </w:pPr>
      <w:r w:rsidRPr="000E62DA">
        <w:rPr>
          <w:rFonts w:cstheme="minorHAnsi"/>
        </w:rPr>
        <w:t xml:space="preserve">There are several references that the staff in ESG rating firms are too small or the human resources allocated to research and analyse for ESG ratings are too </w:t>
      </w:r>
      <w:r w:rsidR="00D82441" w:rsidRPr="000E62DA">
        <w:rPr>
          <w:rFonts w:cstheme="minorHAnsi"/>
        </w:rPr>
        <w:t>limited</w:t>
      </w:r>
      <w:r w:rsidRPr="000E62DA">
        <w:rPr>
          <w:rFonts w:cstheme="minorHAnsi"/>
        </w:rPr>
        <w:t>.</w:t>
      </w:r>
      <w:r w:rsidRPr="000E62DA">
        <w:rPr>
          <w:rStyle w:val="FootnoteReference"/>
          <w:rFonts w:cstheme="minorHAnsi"/>
        </w:rPr>
        <w:footnoteReference w:id="45"/>
      </w:r>
      <w:r w:rsidRPr="000E62DA">
        <w:rPr>
          <w:rFonts w:cstheme="minorHAnsi"/>
        </w:rPr>
        <w:t xml:space="preserve"> “Many investors noted that the seniority and tenure of research analysts that develop ESG ratings is not sufficient. Investors described a business model where research teams are spread too thin and thus do not have a deep enough understanding of the issues and sectors</w:t>
      </w:r>
      <w:r w:rsidR="00D82441" w:rsidRPr="000E62DA">
        <w:rPr>
          <w:rFonts w:cstheme="minorHAnsi"/>
        </w:rPr>
        <w:t xml:space="preserve"> of the companies</w:t>
      </w:r>
      <w:r w:rsidRPr="000E62DA">
        <w:rPr>
          <w:rFonts w:cstheme="minorHAnsi"/>
        </w:rPr>
        <w:t>. Investors want to know they are</w:t>
      </w:r>
      <w:r w:rsidR="00D82441" w:rsidRPr="000E62DA">
        <w:rPr>
          <w:rFonts w:cstheme="minorHAnsi"/>
        </w:rPr>
        <w:t xml:space="preserve"> </w:t>
      </w:r>
      <w:r w:rsidRPr="000E62DA">
        <w:rPr>
          <w:rFonts w:cstheme="minorHAnsi"/>
        </w:rPr>
        <w:t>getting the best analysis from an experienced professional with deep expertise across an industry”</w:t>
      </w:r>
      <w:r w:rsidR="005E6394" w:rsidRPr="000E62DA">
        <w:rPr>
          <w:rFonts w:cstheme="minorHAnsi"/>
        </w:rPr>
        <w:t>.</w:t>
      </w:r>
      <w:r w:rsidRPr="000E62DA">
        <w:rPr>
          <w:rStyle w:val="FootnoteReference"/>
          <w:rFonts w:cstheme="minorHAnsi"/>
        </w:rPr>
        <w:footnoteReference w:id="46"/>
      </w:r>
      <w:r w:rsidRPr="000E62DA">
        <w:rPr>
          <w:rFonts w:cstheme="minorHAnsi"/>
        </w:rPr>
        <w:t xml:space="preserve"> “</w:t>
      </w:r>
      <w:r w:rsidRPr="000E62DA">
        <w:rPr>
          <w:rFonts w:cstheme="minorHAnsi"/>
          <w:iCs/>
        </w:rPr>
        <w:t>ESG ratings analysts, who cover hundreds of companies and don’t know them well. They often do a check-box exercise, use AI”</w:t>
      </w:r>
      <w:r w:rsidR="005E6394" w:rsidRPr="000E62DA">
        <w:rPr>
          <w:rFonts w:cstheme="minorHAnsi"/>
          <w:iCs/>
        </w:rPr>
        <w:t>.</w:t>
      </w:r>
      <w:r w:rsidRPr="000E62DA">
        <w:rPr>
          <w:rStyle w:val="FootnoteReference"/>
          <w:rFonts w:cstheme="minorHAnsi"/>
          <w:iCs/>
        </w:rPr>
        <w:footnoteReference w:id="47"/>
      </w:r>
      <w:r w:rsidRPr="000E62DA">
        <w:rPr>
          <w:rFonts w:cstheme="minorHAnsi"/>
          <w:iCs/>
        </w:rPr>
        <w:t xml:space="preserve"> Investors’</w:t>
      </w:r>
      <w:r w:rsidR="005E6394" w:rsidRPr="000E62DA">
        <w:rPr>
          <w:rFonts w:cstheme="minorHAnsi"/>
          <w:iCs/>
        </w:rPr>
        <w:t xml:space="preserve"> ”</w:t>
      </w:r>
      <w:r w:rsidRPr="000E62DA">
        <w:rPr>
          <w:rFonts w:cstheme="minorHAnsi"/>
          <w:iCs/>
        </w:rPr>
        <w:t>analysts have 25 years of experience while ESG ratings providers will usually have younger graduates and have them work on a checklist of issues, which may not be critical to the way business operates and generates value”</w:t>
      </w:r>
      <w:r w:rsidRPr="000E62DA">
        <w:rPr>
          <w:rStyle w:val="FootnoteReference"/>
          <w:rFonts w:cstheme="minorHAnsi"/>
          <w:iCs/>
        </w:rPr>
        <w:footnoteReference w:id="48"/>
      </w:r>
    </w:p>
    <w:p w14:paraId="13EDCB52" w14:textId="77777777" w:rsidR="00A333BB" w:rsidRPr="00BD2016" w:rsidRDefault="00A333BB" w:rsidP="00710347">
      <w:pPr>
        <w:autoSpaceDE w:val="0"/>
        <w:autoSpaceDN w:val="0"/>
        <w:adjustRightInd w:val="0"/>
        <w:spacing w:after="0" w:line="240" w:lineRule="auto"/>
        <w:ind w:right="144"/>
        <w:rPr>
          <w:rFonts w:cstheme="minorHAnsi"/>
        </w:rPr>
      </w:pPr>
    </w:p>
    <w:p w14:paraId="249DB659" w14:textId="77777777" w:rsidR="0081618A" w:rsidRPr="00BD2016" w:rsidRDefault="00A333BB" w:rsidP="00710347">
      <w:pPr>
        <w:autoSpaceDE w:val="0"/>
        <w:autoSpaceDN w:val="0"/>
        <w:adjustRightInd w:val="0"/>
        <w:spacing w:after="0" w:line="240" w:lineRule="auto"/>
        <w:ind w:right="144"/>
        <w:rPr>
          <w:rFonts w:cstheme="minorHAnsi"/>
        </w:rPr>
      </w:pPr>
      <w:r w:rsidRPr="000E62DA">
        <w:rPr>
          <w:rFonts w:cstheme="minorHAnsi"/>
          <w:bCs/>
        </w:rPr>
        <w:t xml:space="preserve">In their study, </w:t>
      </w:r>
      <w:r w:rsidRPr="000E62DA">
        <w:rPr>
          <w:rFonts w:cstheme="minorHAnsi"/>
        </w:rPr>
        <w:t>by F. Berg, J. Koelbe, and R. Rigobon</w:t>
      </w:r>
      <w:r w:rsidRPr="000E62DA">
        <w:rPr>
          <w:rStyle w:val="FootnoteReference"/>
          <w:rFonts w:cstheme="minorHAnsi"/>
        </w:rPr>
        <w:footnoteReference w:id="49"/>
      </w:r>
      <w:r w:rsidRPr="000E62DA">
        <w:rPr>
          <w:rFonts w:cstheme="minorHAnsi"/>
        </w:rPr>
        <w:t xml:space="preserve"> indicate that the ‘rater effect’ </w:t>
      </w:r>
      <w:r w:rsidR="005E6394" w:rsidRPr="000E62DA">
        <w:rPr>
          <w:rFonts w:cstheme="minorHAnsi"/>
        </w:rPr>
        <w:t xml:space="preserve">(see below Q 20) </w:t>
      </w:r>
      <w:r w:rsidRPr="000E62DA">
        <w:rPr>
          <w:rFonts w:cstheme="minorHAnsi"/>
        </w:rPr>
        <w:t>could perhaps</w:t>
      </w:r>
      <w:r w:rsidRPr="00BD2016">
        <w:rPr>
          <w:rFonts w:cstheme="minorHAnsi"/>
        </w:rPr>
        <w:t xml:space="preserve"> be attributed to the fact that the ESG analysts are divided by firm rather than by ESG category, thus the analysts having less thorough knowledge of each of the ESG categories.</w:t>
      </w:r>
    </w:p>
    <w:p w14:paraId="51693897" w14:textId="77777777" w:rsidR="00A333BB" w:rsidRPr="00BD2016" w:rsidRDefault="00A333BB" w:rsidP="00710347">
      <w:pPr>
        <w:autoSpaceDE w:val="0"/>
        <w:autoSpaceDN w:val="0"/>
        <w:adjustRightInd w:val="0"/>
        <w:spacing w:after="0" w:line="240" w:lineRule="auto"/>
        <w:ind w:right="144"/>
        <w:rPr>
          <w:rFonts w:cstheme="minorHAnsi"/>
          <w:b/>
          <w:bCs/>
        </w:rPr>
      </w:pPr>
    </w:p>
    <w:p w14:paraId="4CACE4E7" w14:textId="77777777" w:rsidR="00822E51" w:rsidRPr="00BD2016" w:rsidRDefault="000E62DA" w:rsidP="000E62DA">
      <w:pPr>
        <w:autoSpaceDE w:val="0"/>
        <w:autoSpaceDN w:val="0"/>
        <w:adjustRightInd w:val="0"/>
        <w:spacing w:after="0" w:line="240" w:lineRule="auto"/>
        <w:ind w:right="144"/>
        <w:rPr>
          <w:rStyle w:val="contentpanediv2"/>
          <w:rFonts w:cstheme="minorHAnsi"/>
        </w:rPr>
      </w:pPr>
      <w:r w:rsidRPr="000E62DA">
        <w:rPr>
          <w:rFonts w:cstheme="minorHAnsi"/>
          <w:bCs/>
        </w:rPr>
        <w:t>In t</w:t>
      </w:r>
      <w:r w:rsidR="00822E51" w:rsidRPr="000E62DA">
        <w:rPr>
          <w:rFonts w:cstheme="minorHAnsi"/>
          <w:bCs/>
        </w:rPr>
        <w:t>he case of Sustainalytics, a Morningstar company</w:t>
      </w:r>
      <w:r w:rsidRPr="000E62DA">
        <w:rPr>
          <w:rFonts w:cstheme="minorHAnsi"/>
          <w:bCs/>
        </w:rPr>
        <w:t xml:space="preserve">, </w:t>
      </w:r>
      <w:r w:rsidR="00822E51" w:rsidRPr="000E62DA">
        <w:rPr>
          <w:rFonts w:cstheme="minorHAnsi"/>
        </w:rPr>
        <w:t>its ESG research and rating business</w:t>
      </w:r>
      <w:r w:rsidRPr="000E62DA">
        <w:rPr>
          <w:rFonts w:cstheme="minorHAnsi"/>
        </w:rPr>
        <w:t xml:space="preserve"> </w:t>
      </w:r>
      <w:r w:rsidR="00822E51" w:rsidRPr="000E62DA">
        <w:rPr>
          <w:rFonts w:cstheme="minorHAnsi"/>
          <w:lang w:val="en"/>
        </w:rPr>
        <w:t xml:space="preserve">“offers </w:t>
      </w:r>
      <w:r w:rsidR="00822E51" w:rsidRPr="000E62DA">
        <w:rPr>
          <w:rFonts w:cstheme="minorHAnsi"/>
        </w:rPr>
        <w:t>data on 40,000 companies worldwide and ratings on 20,000 companies and on 172 countries.”</w:t>
      </w:r>
      <w:r w:rsidR="00822E51" w:rsidRPr="000E62DA">
        <w:rPr>
          <w:rStyle w:val="FootnoteReference"/>
          <w:rFonts w:cstheme="minorHAnsi"/>
        </w:rPr>
        <w:footnoteReference w:id="50"/>
      </w:r>
      <w:r w:rsidR="00822E51" w:rsidRPr="000E62DA">
        <w:rPr>
          <w:rFonts w:cstheme="minorHAnsi"/>
        </w:rPr>
        <w:t xml:space="preserve"> It </w:t>
      </w:r>
      <w:r w:rsidR="00822E51" w:rsidRPr="000E62DA">
        <w:rPr>
          <w:rFonts w:cstheme="minorHAnsi"/>
          <w:lang w:val="en"/>
        </w:rPr>
        <w:t>“has 16 offices globally, has more</w:t>
      </w:r>
      <w:r w:rsidR="00822E51" w:rsidRPr="00BD2016">
        <w:rPr>
          <w:rFonts w:cstheme="minorHAnsi"/>
          <w:lang w:val="en"/>
        </w:rPr>
        <w:t xml:space="preserve"> than 650 staff members, including more than 200 analysts with varied multidisciplinary expertise across more than 40 industry groups”.</w:t>
      </w:r>
      <w:r w:rsidR="00822E51" w:rsidRPr="00BD2016">
        <w:rPr>
          <w:rStyle w:val="FootnoteReference"/>
          <w:rFonts w:cstheme="minorHAnsi"/>
          <w:lang w:val="en"/>
        </w:rPr>
        <w:footnoteReference w:id="51"/>
      </w:r>
      <w:r w:rsidR="00822E51" w:rsidRPr="00BD2016">
        <w:rPr>
          <w:rFonts w:cstheme="minorHAnsi"/>
          <w:lang w:val="en"/>
        </w:rPr>
        <w:t xml:space="preserve"> </w:t>
      </w:r>
    </w:p>
    <w:p w14:paraId="1FD648E9" w14:textId="77777777" w:rsidR="00E74936" w:rsidRDefault="00E74936" w:rsidP="00822E51">
      <w:pPr>
        <w:spacing w:after="0" w:line="240" w:lineRule="auto"/>
        <w:ind w:right="144"/>
        <w:rPr>
          <w:rFonts w:cstheme="minorHAnsi"/>
        </w:rPr>
      </w:pPr>
    </w:p>
    <w:p w14:paraId="7AB7E80F" w14:textId="77777777" w:rsidR="00950139" w:rsidRPr="00BD2016" w:rsidRDefault="0081618A" w:rsidP="00710347">
      <w:pPr>
        <w:autoSpaceDE w:val="0"/>
        <w:autoSpaceDN w:val="0"/>
        <w:adjustRightInd w:val="0"/>
        <w:spacing w:after="0" w:line="240" w:lineRule="auto"/>
        <w:ind w:right="144"/>
        <w:rPr>
          <w:rFonts w:cstheme="minorHAnsi"/>
        </w:rPr>
      </w:pPr>
      <w:r w:rsidRPr="00BD2016">
        <w:rPr>
          <w:rFonts w:cstheme="minorHAnsi"/>
        </w:rPr>
        <w:t>Refini</w:t>
      </w:r>
      <w:r w:rsidR="00DC53A0" w:rsidRPr="00BD2016">
        <w:rPr>
          <w:rFonts w:cstheme="minorHAnsi"/>
        </w:rPr>
        <w:t>ti</w:t>
      </w:r>
      <w:r w:rsidRPr="00BD2016">
        <w:rPr>
          <w:rFonts w:cstheme="minorHAnsi"/>
        </w:rPr>
        <w:t>v</w:t>
      </w:r>
      <w:r w:rsidRPr="00BD2016">
        <w:rPr>
          <w:rStyle w:val="FootnoteReference"/>
          <w:rFonts w:cstheme="minorHAnsi"/>
        </w:rPr>
        <w:footnoteReference w:id="52"/>
      </w:r>
      <w:r w:rsidR="00DC53A0" w:rsidRPr="00BD2016">
        <w:rPr>
          <w:rFonts w:cstheme="minorHAnsi"/>
        </w:rPr>
        <w:t xml:space="preserve"> explains that the research to get the ESG data </w:t>
      </w:r>
      <w:r w:rsidR="000E62DA">
        <w:rPr>
          <w:rFonts w:cstheme="minorHAnsi"/>
        </w:rPr>
        <w:t xml:space="preserve">(in the ThomsonReuters Eikon data base) </w:t>
      </w:r>
      <w:r w:rsidR="00DC53A0" w:rsidRPr="00BD2016">
        <w:rPr>
          <w:rFonts w:cstheme="minorHAnsi"/>
        </w:rPr>
        <w:t>is done with a staff of more than 150 “content research analysts</w:t>
      </w:r>
      <w:r w:rsidR="001A7764" w:rsidRPr="00BD2016">
        <w:rPr>
          <w:rFonts w:cstheme="minorHAnsi"/>
        </w:rPr>
        <w:t xml:space="preserve"> train</w:t>
      </w:r>
      <w:r w:rsidR="00DC53A0" w:rsidRPr="00BD2016">
        <w:rPr>
          <w:rFonts w:cstheme="minorHAnsi"/>
        </w:rPr>
        <w:t>ed to collect ESG. This staff is based in in Gdynia (Poland), Beijing (China), Bangalore (India), Mauritius and Manila (The Philippines). They are covering 9000 companies from all over the world</w:t>
      </w:r>
      <w:r w:rsidR="001A7764" w:rsidRPr="00BD2016">
        <w:rPr>
          <w:rFonts w:cstheme="minorHAnsi"/>
        </w:rPr>
        <w:t xml:space="preserve">. The “analysts process manually for each company within the ESG universe”. They do that throughout the year to continuously update the ESG data base. </w:t>
      </w:r>
      <w:r w:rsidR="00950139" w:rsidRPr="00BD2016">
        <w:rPr>
          <w:rFonts w:cstheme="minorHAnsi"/>
        </w:rPr>
        <w:t>A standardization process with automated checks for errors and quality, sample audits, weighing factors (e.g. size of the company) and automated quantitative score updates follow the data hunt, to ultimately come to an overall ESG score.</w:t>
      </w:r>
    </w:p>
    <w:p w14:paraId="7C4E8A58" w14:textId="77777777" w:rsidR="00950139" w:rsidRPr="00BD2016" w:rsidRDefault="00950139" w:rsidP="00710347">
      <w:pPr>
        <w:autoSpaceDE w:val="0"/>
        <w:autoSpaceDN w:val="0"/>
        <w:adjustRightInd w:val="0"/>
        <w:spacing w:after="0" w:line="240" w:lineRule="auto"/>
        <w:ind w:right="144"/>
        <w:rPr>
          <w:rFonts w:cstheme="minorHAnsi"/>
        </w:rPr>
      </w:pPr>
    </w:p>
    <w:p w14:paraId="6C1E5EC2" w14:textId="77777777" w:rsidR="000E62DA" w:rsidRPr="00FE2263" w:rsidRDefault="000E62DA" w:rsidP="000E62DA">
      <w:pPr>
        <w:spacing w:after="0" w:line="240" w:lineRule="auto"/>
        <w:ind w:right="144"/>
        <w:rPr>
          <w:rFonts w:cstheme="minorHAnsi"/>
          <w:b/>
        </w:rPr>
      </w:pPr>
      <w:r w:rsidRPr="00FE2263">
        <w:rPr>
          <w:rFonts w:cstheme="minorHAnsi"/>
          <w:b/>
        </w:rPr>
        <w:t>Comments</w:t>
      </w:r>
    </w:p>
    <w:p w14:paraId="64261E01" w14:textId="77777777" w:rsidR="000E62DA" w:rsidRDefault="000E62DA" w:rsidP="000E62DA">
      <w:pPr>
        <w:spacing w:after="0" w:line="240" w:lineRule="auto"/>
        <w:ind w:right="144"/>
        <w:rPr>
          <w:rFonts w:cstheme="minorHAnsi"/>
        </w:rPr>
      </w:pPr>
    </w:p>
    <w:p w14:paraId="2559EB00" w14:textId="77777777" w:rsidR="000E62DA" w:rsidRPr="00BE7E3F" w:rsidRDefault="000E62DA" w:rsidP="000E62DA">
      <w:pPr>
        <w:spacing w:after="0" w:line="240" w:lineRule="auto"/>
        <w:ind w:right="144"/>
        <w:rPr>
          <w:rFonts w:cstheme="minorHAnsi"/>
        </w:rPr>
      </w:pPr>
      <w:r w:rsidRPr="00FE2263">
        <w:rPr>
          <w:rFonts w:cstheme="minorHAnsi"/>
        </w:rPr>
        <w:t xml:space="preserve">Based on the figures provided by Morningstar and Sustainalytics (see above), SOMO calculated that if there would be 200 full time Sustainalytics’ analysts, each analyst on average rates around 100 companies and provides ESG data on average of 200 companies. Calculated for a year of 220 working days (ca. 11 months) a year, that means </w:t>
      </w:r>
      <w:r w:rsidRPr="00BE7E3F">
        <w:rPr>
          <w:rFonts w:cstheme="minorHAnsi"/>
        </w:rPr>
        <w:t>that each analyst is rating is on average each company during 2.2 days a year, and ESG data being provided on average 0.9 days per analyst per company.</w:t>
      </w:r>
    </w:p>
    <w:p w14:paraId="0599224A" w14:textId="77777777" w:rsidR="000E62DA" w:rsidRPr="00BE7E3F" w:rsidRDefault="000E62DA" w:rsidP="00710347">
      <w:pPr>
        <w:autoSpaceDE w:val="0"/>
        <w:autoSpaceDN w:val="0"/>
        <w:adjustRightInd w:val="0"/>
        <w:spacing w:after="0" w:line="240" w:lineRule="auto"/>
        <w:ind w:right="144"/>
        <w:rPr>
          <w:rFonts w:cstheme="minorHAnsi"/>
        </w:rPr>
      </w:pPr>
    </w:p>
    <w:p w14:paraId="5EC528B4" w14:textId="77777777" w:rsidR="000E62DA" w:rsidRPr="00BE7E3F" w:rsidRDefault="00950139" w:rsidP="00710347">
      <w:pPr>
        <w:autoSpaceDE w:val="0"/>
        <w:autoSpaceDN w:val="0"/>
        <w:adjustRightInd w:val="0"/>
        <w:spacing w:after="0" w:line="240" w:lineRule="auto"/>
        <w:ind w:right="144"/>
        <w:rPr>
          <w:rFonts w:cstheme="minorHAnsi"/>
        </w:rPr>
      </w:pPr>
      <w:r w:rsidRPr="00BE7E3F">
        <w:rPr>
          <w:rFonts w:cstheme="minorHAnsi"/>
        </w:rPr>
        <w:t xml:space="preserve">Based on </w:t>
      </w:r>
      <w:r w:rsidR="007C03E0" w:rsidRPr="00BE7E3F">
        <w:rPr>
          <w:rFonts w:cstheme="minorHAnsi"/>
        </w:rPr>
        <w:t xml:space="preserve">SOMO’s </w:t>
      </w:r>
      <w:r w:rsidRPr="00BE7E3F">
        <w:rPr>
          <w:rFonts w:cstheme="minorHAnsi"/>
        </w:rPr>
        <w:t>calculations</w:t>
      </w:r>
      <w:r w:rsidR="007C03E0" w:rsidRPr="00BE7E3F">
        <w:rPr>
          <w:rFonts w:cstheme="minorHAnsi"/>
        </w:rPr>
        <w:t xml:space="preserve"> of the </w:t>
      </w:r>
      <w:r w:rsidR="00FE2263" w:rsidRPr="00BE7E3F">
        <w:rPr>
          <w:rFonts w:cstheme="minorHAnsi"/>
        </w:rPr>
        <w:t>above-</w:t>
      </w:r>
      <w:r w:rsidR="007C03E0" w:rsidRPr="00BE7E3F">
        <w:rPr>
          <w:rFonts w:cstheme="minorHAnsi"/>
        </w:rPr>
        <w:t>mentioned information provided by Refinitv</w:t>
      </w:r>
      <w:r w:rsidRPr="00BE7E3F">
        <w:rPr>
          <w:rFonts w:cstheme="minorHAnsi"/>
        </w:rPr>
        <w:t xml:space="preserve">, each </w:t>
      </w:r>
      <w:r w:rsidR="007C03E0" w:rsidRPr="00BE7E3F">
        <w:rPr>
          <w:rFonts w:cstheme="minorHAnsi"/>
        </w:rPr>
        <w:t xml:space="preserve">ESG </w:t>
      </w:r>
      <w:r w:rsidRPr="00BE7E3F">
        <w:rPr>
          <w:rFonts w:cstheme="minorHAnsi"/>
        </w:rPr>
        <w:t xml:space="preserve">analyst has to cover </w:t>
      </w:r>
      <w:r w:rsidR="007C03E0" w:rsidRPr="00BE7E3F">
        <w:rPr>
          <w:rFonts w:cstheme="minorHAnsi"/>
        </w:rPr>
        <w:t xml:space="preserve">on average </w:t>
      </w:r>
      <w:r w:rsidRPr="00BE7E3F">
        <w:rPr>
          <w:rFonts w:cstheme="minorHAnsi"/>
        </w:rPr>
        <w:t xml:space="preserve">60 companies. </w:t>
      </w:r>
      <w:r w:rsidR="00F779A2" w:rsidRPr="00BE7E3F">
        <w:rPr>
          <w:rFonts w:cstheme="minorHAnsi"/>
        </w:rPr>
        <w:t xml:space="preserve">The </w:t>
      </w:r>
      <w:r w:rsidR="007C03E0" w:rsidRPr="00BE7E3F">
        <w:rPr>
          <w:rFonts w:cstheme="minorHAnsi"/>
        </w:rPr>
        <w:t xml:space="preserve">ESG </w:t>
      </w:r>
      <w:r w:rsidR="00F779A2" w:rsidRPr="00BE7E3F">
        <w:rPr>
          <w:rFonts w:cstheme="minorHAnsi"/>
        </w:rPr>
        <w:t>analysts are based in law wage countries and not in one country for the whole team. Given that four of the six sources of ESG data are based on company information</w:t>
      </w:r>
      <w:r w:rsidR="007C03E0" w:rsidRPr="00BE7E3F">
        <w:rPr>
          <w:rStyle w:val="FootnoteReference"/>
          <w:rFonts w:cstheme="minorHAnsi"/>
          <w:color w:val="333333"/>
        </w:rPr>
        <w:footnoteReference w:id="53"/>
      </w:r>
      <w:r w:rsidR="00F779A2" w:rsidRPr="00BE7E3F">
        <w:rPr>
          <w:rFonts w:cstheme="minorHAnsi"/>
        </w:rPr>
        <w:t xml:space="preserve">, there should be questions about the reliability of those data and related research. </w:t>
      </w:r>
    </w:p>
    <w:p w14:paraId="4CB76798" w14:textId="77777777" w:rsidR="000E62DA" w:rsidRPr="00BE7E3F" w:rsidRDefault="000E62DA" w:rsidP="00710347">
      <w:pPr>
        <w:autoSpaceDE w:val="0"/>
        <w:autoSpaceDN w:val="0"/>
        <w:adjustRightInd w:val="0"/>
        <w:spacing w:after="0" w:line="240" w:lineRule="auto"/>
        <w:ind w:right="144"/>
        <w:rPr>
          <w:rFonts w:cstheme="minorHAnsi"/>
        </w:rPr>
      </w:pPr>
    </w:p>
    <w:p w14:paraId="330E02C5" w14:textId="77777777" w:rsidR="00950139" w:rsidRPr="00BE7E3F" w:rsidRDefault="000E62DA" w:rsidP="00710347">
      <w:pPr>
        <w:autoSpaceDE w:val="0"/>
        <w:autoSpaceDN w:val="0"/>
        <w:adjustRightInd w:val="0"/>
        <w:spacing w:after="0" w:line="240" w:lineRule="auto"/>
        <w:ind w:right="144"/>
        <w:rPr>
          <w:rFonts w:cstheme="minorHAnsi"/>
        </w:rPr>
      </w:pPr>
      <w:r w:rsidRPr="00BE7E3F">
        <w:rPr>
          <w:rFonts w:cstheme="minorHAnsi"/>
        </w:rPr>
        <w:t xml:space="preserve">As far as can be deduced from the literature and </w:t>
      </w:r>
      <w:r w:rsidR="00FE2263" w:rsidRPr="00BE7E3F">
        <w:rPr>
          <w:rFonts w:cstheme="minorHAnsi"/>
        </w:rPr>
        <w:t>information about the analysts, n</w:t>
      </w:r>
      <w:r w:rsidR="00F779A2" w:rsidRPr="00BE7E3F">
        <w:rPr>
          <w:rFonts w:cstheme="minorHAnsi"/>
        </w:rPr>
        <w:t>one of the sources are based on verification and impact research on the ground where the company and its supply chain operate.</w:t>
      </w:r>
      <w:r w:rsidR="007C03E0" w:rsidRPr="00BE7E3F">
        <w:rPr>
          <w:rFonts w:cstheme="minorHAnsi"/>
        </w:rPr>
        <w:t xml:space="preserve"> </w:t>
      </w:r>
    </w:p>
    <w:p w14:paraId="3B8CFD28" w14:textId="77777777" w:rsidR="007C03E0" w:rsidRPr="00BE7E3F" w:rsidRDefault="007C03E0" w:rsidP="00710347">
      <w:pPr>
        <w:autoSpaceDE w:val="0"/>
        <w:autoSpaceDN w:val="0"/>
        <w:adjustRightInd w:val="0"/>
        <w:spacing w:after="0" w:line="240" w:lineRule="auto"/>
        <w:ind w:right="144"/>
        <w:rPr>
          <w:rFonts w:cstheme="minorHAnsi"/>
        </w:rPr>
      </w:pPr>
    </w:p>
    <w:p w14:paraId="2AD8CD36" w14:textId="77777777" w:rsidR="00950139" w:rsidRPr="00BE7E3F" w:rsidRDefault="007C03E0" w:rsidP="00710347">
      <w:pPr>
        <w:autoSpaceDE w:val="0"/>
        <w:autoSpaceDN w:val="0"/>
        <w:adjustRightInd w:val="0"/>
        <w:spacing w:after="0" w:line="240" w:lineRule="auto"/>
        <w:ind w:right="144"/>
        <w:rPr>
          <w:rFonts w:cstheme="minorHAnsi"/>
        </w:rPr>
      </w:pPr>
      <w:r w:rsidRPr="00BE7E3F">
        <w:rPr>
          <w:rFonts w:cstheme="minorHAnsi"/>
        </w:rPr>
        <w:t xml:space="preserve">The ESG data and research </w:t>
      </w:r>
      <w:r w:rsidR="00950139" w:rsidRPr="00BE7E3F">
        <w:rPr>
          <w:rFonts w:cstheme="minorHAnsi"/>
        </w:rPr>
        <w:t>info</w:t>
      </w:r>
      <w:r w:rsidRPr="00BE7E3F">
        <w:rPr>
          <w:rFonts w:cstheme="minorHAnsi"/>
        </w:rPr>
        <w:t>rmation</w:t>
      </w:r>
      <w:r w:rsidR="00950139" w:rsidRPr="00BE7E3F">
        <w:rPr>
          <w:rFonts w:cstheme="minorHAnsi"/>
        </w:rPr>
        <w:t xml:space="preserve"> ha</w:t>
      </w:r>
      <w:r w:rsidRPr="00BE7E3F">
        <w:rPr>
          <w:rFonts w:cstheme="minorHAnsi"/>
        </w:rPr>
        <w:t>ve</w:t>
      </w:r>
      <w:r w:rsidR="00950139" w:rsidRPr="00BE7E3F">
        <w:rPr>
          <w:rFonts w:cstheme="minorHAnsi"/>
        </w:rPr>
        <w:t xml:space="preserve"> to fit into the computerized systems with numbers and ultimately one indicator (in the same way as credit ratings)</w:t>
      </w:r>
      <w:r w:rsidR="00FE2263" w:rsidRPr="00BE7E3F">
        <w:rPr>
          <w:rFonts w:cstheme="minorHAnsi"/>
        </w:rPr>
        <w:t xml:space="preserve">, suitable for the </w:t>
      </w:r>
      <w:r w:rsidR="00950139" w:rsidRPr="00BE7E3F">
        <w:rPr>
          <w:rFonts w:cstheme="minorHAnsi"/>
        </w:rPr>
        <w:t>cost cutting business models of the financial sector.</w:t>
      </w:r>
    </w:p>
    <w:p w14:paraId="5A4556C0" w14:textId="77777777" w:rsidR="00A84D44" w:rsidRPr="00BE7E3F" w:rsidRDefault="00A84D44" w:rsidP="00710347">
      <w:pPr>
        <w:autoSpaceDE w:val="0"/>
        <w:autoSpaceDN w:val="0"/>
        <w:adjustRightInd w:val="0"/>
        <w:spacing w:after="0" w:line="240" w:lineRule="auto"/>
        <w:ind w:right="144"/>
        <w:rPr>
          <w:rFonts w:cstheme="minorHAnsi"/>
          <w:b/>
          <w:bCs/>
        </w:rPr>
      </w:pPr>
    </w:p>
    <w:p w14:paraId="311DDE31" w14:textId="77777777" w:rsidR="007C03E0" w:rsidRPr="00BE7E3F" w:rsidRDefault="007C03E0" w:rsidP="007C03E0">
      <w:pPr>
        <w:autoSpaceDE w:val="0"/>
        <w:autoSpaceDN w:val="0"/>
        <w:adjustRightInd w:val="0"/>
        <w:spacing w:after="0" w:line="240" w:lineRule="auto"/>
        <w:ind w:right="144"/>
        <w:rPr>
          <w:rFonts w:cstheme="minorHAnsi"/>
        </w:rPr>
      </w:pPr>
      <w:r w:rsidRPr="00BE7E3F">
        <w:rPr>
          <w:rFonts w:cstheme="minorHAnsi"/>
        </w:rPr>
        <w:t>The insufficient human and financial resources for the ESG data gathering and rese</w:t>
      </w:r>
      <w:r w:rsidR="002D36CC" w:rsidRPr="00BE7E3F">
        <w:rPr>
          <w:rFonts w:cstheme="minorHAnsi"/>
        </w:rPr>
        <w:t>arch might be a consequence of the profitability model (good profits and dividends, competitive prices) of the ESG firms and their parent corporations</w:t>
      </w:r>
      <w:r w:rsidRPr="00BE7E3F">
        <w:rPr>
          <w:rFonts w:cstheme="minorHAnsi"/>
        </w:rPr>
        <w:t xml:space="preserve"> </w:t>
      </w:r>
    </w:p>
    <w:p w14:paraId="61E1BA7E" w14:textId="77777777" w:rsidR="00A84D44" w:rsidRPr="00FE2263" w:rsidRDefault="00A84D44" w:rsidP="00710347">
      <w:pPr>
        <w:autoSpaceDE w:val="0"/>
        <w:autoSpaceDN w:val="0"/>
        <w:adjustRightInd w:val="0"/>
        <w:spacing w:after="0" w:line="240" w:lineRule="auto"/>
        <w:ind w:right="144"/>
        <w:rPr>
          <w:rFonts w:cstheme="minorHAnsi"/>
          <w:b/>
          <w:bCs/>
        </w:rPr>
      </w:pPr>
    </w:p>
    <w:p w14:paraId="2BBC528F" w14:textId="77777777" w:rsidR="006F2365" w:rsidRPr="00BD2016" w:rsidRDefault="006F2365" w:rsidP="00710347">
      <w:pPr>
        <w:spacing w:after="0" w:line="240" w:lineRule="auto"/>
        <w:ind w:right="144"/>
        <w:rPr>
          <w:rFonts w:cstheme="minorHAnsi"/>
          <w:b/>
          <w:bCs/>
        </w:rPr>
      </w:pPr>
    </w:p>
    <w:p w14:paraId="72B8092B" w14:textId="77777777" w:rsidR="002024DF" w:rsidRPr="00BD2016" w:rsidRDefault="002024DF" w:rsidP="00710347">
      <w:pPr>
        <w:spacing w:after="0" w:line="240" w:lineRule="auto"/>
        <w:ind w:right="144"/>
        <w:rPr>
          <w:rFonts w:ascii="FreeSansBold" w:hAnsi="FreeSansBold" w:cs="FreeSansBold"/>
          <w:b/>
          <w:bCs/>
          <w:sz w:val="27"/>
          <w:szCs w:val="27"/>
        </w:rPr>
      </w:pPr>
      <w:r w:rsidRPr="00BD2016">
        <w:rPr>
          <w:rFonts w:ascii="FreeSansBold" w:hAnsi="FreeSansBold" w:cs="FreeSansBold"/>
          <w:b/>
          <w:bCs/>
          <w:sz w:val="27"/>
          <w:szCs w:val="27"/>
        </w:rPr>
        <w:br w:type="page"/>
      </w:r>
    </w:p>
    <w:p w14:paraId="1944B2EE" w14:textId="77777777" w:rsidR="00C84ECE" w:rsidRDefault="00390375" w:rsidP="00710347">
      <w:pPr>
        <w:autoSpaceDE w:val="0"/>
        <w:autoSpaceDN w:val="0"/>
        <w:adjustRightInd w:val="0"/>
        <w:spacing w:after="0" w:line="240" w:lineRule="auto"/>
        <w:ind w:right="144"/>
        <w:rPr>
          <w:rFonts w:ascii="FreeSansBold" w:hAnsi="FreeSansBold" w:cs="FreeSansBold"/>
          <w:b/>
          <w:bCs/>
          <w:color w:val="000000"/>
          <w:sz w:val="27"/>
          <w:szCs w:val="27"/>
        </w:rPr>
      </w:pPr>
      <w:r>
        <w:rPr>
          <w:rFonts w:ascii="FreeSansBold" w:hAnsi="FreeSansBold" w:cs="FreeSansBold"/>
          <w:b/>
          <w:bCs/>
          <w:color w:val="000000"/>
          <w:sz w:val="27"/>
          <w:szCs w:val="27"/>
        </w:rPr>
        <w:t xml:space="preserve">Information related to </w:t>
      </w:r>
      <w:r w:rsidRPr="00FE2263">
        <w:rPr>
          <w:rFonts w:ascii="FreeSansBold" w:hAnsi="FreeSansBold" w:cs="FreeSansBold"/>
          <w:b/>
          <w:bCs/>
          <w:color w:val="000000"/>
          <w:sz w:val="27"/>
          <w:szCs w:val="27"/>
        </w:rPr>
        <w:t xml:space="preserve">consultation </w:t>
      </w:r>
      <w:r w:rsidR="00C84ECE" w:rsidRPr="00FE2263">
        <w:rPr>
          <w:rFonts w:ascii="FreeSansBold" w:hAnsi="FreeSansBold" w:cs="FreeSansBold"/>
          <w:b/>
          <w:bCs/>
          <w:color w:val="000000"/>
          <w:sz w:val="27"/>
          <w:szCs w:val="27"/>
        </w:rPr>
        <w:t xml:space="preserve">Question 20. How would you assess the quality and relevance of ESG </w:t>
      </w:r>
      <w:r w:rsidR="00C84ECE" w:rsidRPr="00FE2263">
        <w:rPr>
          <w:rFonts w:ascii="FreeSansBoldOblique" w:hAnsi="FreeSansBoldOblique" w:cs="FreeSansBoldOblique"/>
          <w:b/>
          <w:bCs/>
          <w:i/>
          <w:iCs/>
          <w:color w:val="000000"/>
          <w:sz w:val="28"/>
          <w:szCs w:val="28"/>
          <w:u w:val="single"/>
        </w:rPr>
        <w:t>ratings</w:t>
      </w:r>
      <w:r w:rsidRPr="00FE2263">
        <w:rPr>
          <w:rFonts w:ascii="FreeSansBoldOblique" w:hAnsi="FreeSansBoldOblique" w:cs="FreeSansBoldOblique"/>
          <w:b/>
          <w:bCs/>
          <w:i/>
          <w:iCs/>
          <w:color w:val="000000"/>
          <w:sz w:val="28"/>
          <w:szCs w:val="28"/>
        </w:rPr>
        <w:t xml:space="preserve"> </w:t>
      </w:r>
      <w:r w:rsidR="00C84ECE" w:rsidRPr="00FE2263">
        <w:rPr>
          <w:rFonts w:ascii="FreeSansBold" w:hAnsi="FreeSansBold" w:cs="FreeSansBold"/>
          <w:b/>
          <w:bCs/>
          <w:color w:val="000000"/>
          <w:sz w:val="27"/>
          <w:szCs w:val="27"/>
        </w:rPr>
        <w:t>for your investment decisions, both ratings of individual Environmental,</w:t>
      </w:r>
      <w:r w:rsidRPr="00FE2263">
        <w:rPr>
          <w:rFonts w:ascii="FreeSansBold" w:hAnsi="FreeSansBold" w:cs="FreeSansBold"/>
          <w:b/>
          <w:bCs/>
          <w:color w:val="000000"/>
          <w:sz w:val="27"/>
          <w:szCs w:val="27"/>
        </w:rPr>
        <w:t xml:space="preserve"> </w:t>
      </w:r>
      <w:r w:rsidR="00C84ECE" w:rsidRPr="00FE2263">
        <w:rPr>
          <w:rFonts w:ascii="FreeSansBold" w:hAnsi="FreeSansBold" w:cs="FreeSansBold"/>
          <w:b/>
          <w:bCs/>
          <w:color w:val="000000"/>
          <w:sz w:val="27"/>
          <w:szCs w:val="27"/>
        </w:rPr>
        <w:t>Social or Governance factors and aggregated ones?</w:t>
      </w:r>
    </w:p>
    <w:p w14:paraId="7B91151F" w14:textId="77777777" w:rsidR="00C84ECE" w:rsidRDefault="00C84ECE" w:rsidP="00FE2263">
      <w:pPr>
        <w:autoSpaceDE w:val="0"/>
        <w:autoSpaceDN w:val="0"/>
        <w:adjustRightInd w:val="0"/>
        <w:spacing w:after="0" w:line="240" w:lineRule="auto"/>
        <w:ind w:right="144"/>
        <w:rPr>
          <w:rFonts w:ascii="Times New Roman" w:hAnsi="Times New Roman" w:cs="Times New Roman"/>
          <w:color w:val="000000"/>
          <w:sz w:val="24"/>
          <w:szCs w:val="24"/>
        </w:rPr>
      </w:pPr>
    </w:p>
    <w:p w14:paraId="07E43D1A" w14:textId="77777777" w:rsidR="00D03089" w:rsidRPr="00D03089" w:rsidRDefault="00D03089" w:rsidP="00710347">
      <w:pPr>
        <w:autoSpaceDE w:val="0"/>
        <w:autoSpaceDN w:val="0"/>
        <w:adjustRightInd w:val="0"/>
        <w:spacing w:after="0" w:line="240" w:lineRule="auto"/>
        <w:ind w:right="144"/>
        <w:rPr>
          <w:rFonts w:ascii="Arial" w:hAnsi="Arial" w:cs="Arial"/>
          <w:color w:val="666666"/>
          <w:sz w:val="24"/>
          <w:szCs w:val="24"/>
        </w:rPr>
      </w:pPr>
    </w:p>
    <w:p w14:paraId="5A08C537" w14:textId="77777777" w:rsidR="007F2FDF" w:rsidRPr="00FE2263" w:rsidRDefault="0085738D" w:rsidP="00181605">
      <w:pPr>
        <w:spacing w:after="0" w:line="240" w:lineRule="auto"/>
        <w:ind w:right="144"/>
        <w:rPr>
          <w:rFonts w:cstheme="minorHAnsi"/>
        </w:rPr>
      </w:pPr>
      <w:r w:rsidRPr="00FE2263">
        <w:rPr>
          <w:rFonts w:cstheme="minorHAnsi"/>
        </w:rPr>
        <w:t xml:space="preserve">In their </w:t>
      </w:r>
      <w:r w:rsidR="00266C55" w:rsidRPr="00FE2263">
        <w:rPr>
          <w:rFonts w:cstheme="minorHAnsi"/>
        </w:rPr>
        <w:t xml:space="preserve">thorough comparative research paper </w:t>
      </w:r>
      <w:r w:rsidR="007812EF" w:rsidRPr="00FE2263">
        <w:rPr>
          <w:rFonts w:cstheme="minorHAnsi"/>
        </w:rPr>
        <w:t xml:space="preserve">of </w:t>
      </w:r>
      <w:r w:rsidR="00FE2263">
        <w:rPr>
          <w:rFonts w:cstheme="minorHAnsi"/>
        </w:rPr>
        <w:t>six</w:t>
      </w:r>
      <w:r w:rsidR="007812EF" w:rsidRPr="00FE2263">
        <w:rPr>
          <w:rFonts w:cstheme="minorHAnsi"/>
        </w:rPr>
        <w:t xml:space="preserve"> rating firms</w:t>
      </w:r>
      <w:r w:rsidR="00181605">
        <w:rPr>
          <w:rFonts w:cstheme="minorHAnsi"/>
        </w:rPr>
        <w:t xml:space="preserve"> (Sustainalytics, RobecoSAM, Asset4, Vigeo Eiris, MSCI and KLD), </w:t>
      </w:r>
      <w:r w:rsidR="00266C55" w:rsidRPr="00FE2263">
        <w:rPr>
          <w:rFonts w:cstheme="minorHAnsi"/>
        </w:rPr>
        <w:t>F. Berg, J. Koelbe, and R. Rigobon</w:t>
      </w:r>
      <w:r w:rsidR="00266C55" w:rsidRPr="00FE2263">
        <w:rPr>
          <w:rStyle w:val="FootnoteReference"/>
          <w:rFonts w:cstheme="minorHAnsi"/>
        </w:rPr>
        <w:footnoteReference w:id="54"/>
      </w:r>
      <w:r w:rsidRPr="00FE2263">
        <w:rPr>
          <w:rFonts w:cstheme="minorHAnsi"/>
        </w:rPr>
        <w:t xml:space="preserve"> explain the </w:t>
      </w:r>
      <w:r w:rsidR="00266C55" w:rsidRPr="00FE2263">
        <w:rPr>
          <w:rFonts w:cstheme="minorHAnsi"/>
        </w:rPr>
        <w:t>divergence among current ESG ratings</w:t>
      </w:r>
      <w:r w:rsidR="007812EF" w:rsidRPr="00FE2263">
        <w:rPr>
          <w:rFonts w:cstheme="minorHAnsi"/>
        </w:rPr>
        <w:t xml:space="preserve"> of companies</w:t>
      </w:r>
      <w:r w:rsidR="00181605">
        <w:rPr>
          <w:rFonts w:cstheme="minorHAnsi"/>
        </w:rPr>
        <w:t xml:space="preserve">. The rating differences are explained </w:t>
      </w:r>
      <w:r w:rsidRPr="00FE2263">
        <w:rPr>
          <w:rFonts w:cstheme="minorHAnsi"/>
        </w:rPr>
        <w:t>as</w:t>
      </w:r>
      <w:r w:rsidR="00266C55" w:rsidRPr="00FE2263">
        <w:rPr>
          <w:rFonts w:cstheme="minorHAnsi"/>
        </w:rPr>
        <w:t xml:space="preserve"> mostly </w:t>
      </w:r>
      <w:r w:rsidR="00181605">
        <w:rPr>
          <w:rFonts w:cstheme="minorHAnsi"/>
        </w:rPr>
        <w:t xml:space="preserve">being </w:t>
      </w:r>
      <w:r w:rsidR="00266C55" w:rsidRPr="00FE2263">
        <w:rPr>
          <w:rFonts w:cstheme="minorHAnsi"/>
        </w:rPr>
        <w:t xml:space="preserve">the result of divergence in </w:t>
      </w:r>
      <w:r w:rsidR="00266C55" w:rsidRPr="00FE2263">
        <w:rPr>
          <w:rFonts w:cstheme="minorHAnsi"/>
          <w:b/>
        </w:rPr>
        <w:t>measurement</w:t>
      </w:r>
      <w:r w:rsidR="00FE2263">
        <w:rPr>
          <w:rFonts w:cstheme="minorHAnsi"/>
          <w:b/>
        </w:rPr>
        <w:t xml:space="preserve">, </w:t>
      </w:r>
      <w:r w:rsidR="00266C55" w:rsidRPr="00FE2263">
        <w:rPr>
          <w:rFonts w:cstheme="minorHAnsi"/>
        </w:rPr>
        <w:t xml:space="preserve">because the ESG rating </w:t>
      </w:r>
      <w:r w:rsidR="003460A2" w:rsidRPr="00FE2263">
        <w:rPr>
          <w:rFonts w:cstheme="minorHAnsi"/>
        </w:rPr>
        <w:t>firms measure the same</w:t>
      </w:r>
      <w:r w:rsidR="00FE2263">
        <w:rPr>
          <w:rFonts w:cstheme="minorHAnsi"/>
        </w:rPr>
        <w:t xml:space="preserve"> issue (“category”, “attribute”</w:t>
      </w:r>
      <w:r w:rsidR="003460A2" w:rsidRPr="00FE2263">
        <w:rPr>
          <w:rFonts w:cstheme="minorHAnsi"/>
        </w:rPr>
        <w:t>, e.g. labour practices</w:t>
      </w:r>
      <w:r w:rsidR="00FE2263">
        <w:rPr>
          <w:rFonts w:cstheme="minorHAnsi"/>
        </w:rPr>
        <w:t>)</w:t>
      </w:r>
      <w:r w:rsidR="003460A2" w:rsidRPr="00FE2263">
        <w:rPr>
          <w:rFonts w:cstheme="minorHAnsi"/>
        </w:rPr>
        <w:t xml:space="preserve"> with different indicators</w:t>
      </w:r>
      <w:r w:rsidR="000B0D91" w:rsidRPr="00FE2263">
        <w:rPr>
          <w:rFonts w:cstheme="minorHAnsi"/>
        </w:rPr>
        <w:t xml:space="preserve"> that produce a numerical value</w:t>
      </w:r>
      <w:r w:rsidR="00266C55" w:rsidRPr="00FE2263">
        <w:rPr>
          <w:rFonts w:cstheme="minorHAnsi"/>
        </w:rPr>
        <w:t xml:space="preserve">, </w:t>
      </w:r>
      <w:r w:rsidR="003460A2" w:rsidRPr="00FE2263">
        <w:rPr>
          <w:rFonts w:cstheme="minorHAnsi"/>
        </w:rPr>
        <w:t xml:space="preserve">e.g. workforce turnover or </w:t>
      </w:r>
      <w:r w:rsidR="000B0D91" w:rsidRPr="00FE2263">
        <w:rPr>
          <w:rFonts w:cstheme="minorHAnsi"/>
        </w:rPr>
        <w:t xml:space="preserve">number of </w:t>
      </w:r>
      <w:r w:rsidR="003460A2" w:rsidRPr="00FE2263">
        <w:rPr>
          <w:rFonts w:cstheme="minorHAnsi"/>
        </w:rPr>
        <w:t xml:space="preserve">labour-related court cases. This </w:t>
      </w:r>
      <w:r w:rsidR="00F4063A" w:rsidRPr="00FE2263">
        <w:rPr>
          <w:rFonts w:cstheme="minorHAnsi"/>
        </w:rPr>
        <w:t xml:space="preserve">measurement </w:t>
      </w:r>
      <w:r w:rsidR="007812EF" w:rsidRPr="00FE2263">
        <w:rPr>
          <w:rFonts w:cstheme="minorHAnsi"/>
        </w:rPr>
        <w:t xml:space="preserve">divergence </w:t>
      </w:r>
      <w:r w:rsidR="003460A2" w:rsidRPr="00FE2263">
        <w:rPr>
          <w:rFonts w:cstheme="minorHAnsi"/>
        </w:rPr>
        <w:t xml:space="preserve">is most </w:t>
      </w:r>
      <w:r w:rsidR="00F734BF" w:rsidRPr="00FE2263">
        <w:rPr>
          <w:rFonts w:cstheme="minorHAnsi"/>
        </w:rPr>
        <w:t>noticeable</w:t>
      </w:r>
      <w:r w:rsidR="003460A2" w:rsidRPr="00FE2263">
        <w:rPr>
          <w:rFonts w:cstheme="minorHAnsi"/>
        </w:rPr>
        <w:t xml:space="preserve"> for the issues human rights an</w:t>
      </w:r>
      <w:r w:rsidR="007812EF" w:rsidRPr="00FE2263">
        <w:rPr>
          <w:rFonts w:cstheme="minorHAnsi"/>
        </w:rPr>
        <w:t>d</w:t>
      </w:r>
      <w:r w:rsidR="003460A2" w:rsidRPr="00FE2263">
        <w:rPr>
          <w:rFonts w:cstheme="minorHAnsi"/>
        </w:rPr>
        <w:t xml:space="preserve"> product safety. The second important reason for </w:t>
      </w:r>
      <w:r w:rsidRPr="00FE2263">
        <w:rPr>
          <w:rFonts w:cstheme="minorHAnsi"/>
        </w:rPr>
        <w:t xml:space="preserve">ESG </w:t>
      </w:r>
      <w:r w:rsidR="003460A2" w:rsidRPr="00FE2263">
        <w:rPr>
          <w:rFonts w:cstheme="minorHAnsi"/>
        </w:rPr>
        <w:t xml:space="preserve">rating divergence is the </w:t>
      </w:r>
      <w:r w:rsidR="00742CBE" w:rsidRPr="00FE2263">
        <w:rPr>
          <w:rFonts w:cstheme="minorHAnsi"/>
        </w:rPr>
        <w:t xml:space="preserve">considerable </w:t>
      </w:r>
      <w:r w:rsidR="003460A2" w:rsidRPr="00FE2263">
        <w:rPr>
          <w:rFonts w:cstheme="minorHAnsi"/>
        </w:rPr>
        <w:t xml:space="preserve">divergence in </w:t>
      </w:r>
      <w:r w:rsidR="003460A2" w:rsidRPr="00FE2263">
        <w:rPr>
          <w:rFonts w:cstheme="minorHAnsi"/>
          <w:b/>
        </w:rPr>
        <w:t>scope</w:t>
      </w:r>
      <w:r w:rsidR="00FE2263">
        <w:rPr>
          <w:rFonts w:cstheme="minorHAnsi"/>
          <w:b/>
        </w:rPr>
        <w:t>,</w:t>
      </w:r>
      <w:r w:rsidR="003460A2" w:rsidRPr="00FE2263">
        <w:rPr>
          <w:rFonts w:cstheme="minorHAnsi"/>
        </w:rPr>
        <w:t xml:space="preserve"> because the ESG rating firms select a different list of </w:t>
      </w:r>
      <w:r w:rsidR="00742CBE" w:rsidRPr="00FE2263">
        <w:rPr>
          <w:rFonts w:cstheme="minorHAnsi"/>
        </w:rPr>
        <w:t>issues</w:t>
      </w:r>
      <w:r w:rsidR="002B793D" w:rsidRPr="00FE2263">
        <w:rPr>
          <w:rFonts w:cstheme="minorHAnsi"/>
        </w:rPr>
        <w:t xml:space="preserve">. Issues that were integrated by </w:t>
      </w:r>
      <w:r w:rsidR="00FE2263">
        <w:rPr>
          <w:rFonts w:cstheme="minorHAnsi"/>
        </w:rPr>
        <w:t xml:space="preserve">three </w:t>
      </w:r>
      <w:r w:rsidR="002B793D" w:rsidRPr="00FE2263">
        <w:rPr>
          <w:rFonts w:cstheme="minorHAnsi"/>
        </w:rPr>
        <w:t>or less rating firms were</w:t>
      </w:r>
      <w:r w:rsidRPr="00FE2263">
        <w:rPr>
          <w:rFonts w:cstheme="minorHAnsi"/>
        </w:rPr>
        <w:t>,</w:t>
      </w:r>
      <w:r w:rsidR="003460A2" w:rsidRPr="00FE2263">
        <w:rPr>
          <w:rFonts w:cstheme="minorHAnsi"/>
        </w:rPr>
        <w:t xml:space="preserve"> </w:t>
      </w:r>
      <w:r w:rsidR="002B793D" w:rsidRPr="00FE2263">
        <w:rPr>
          <w:rFonts w:cstheme="minorHAnsi"/>
        </w:rPr>
        <w:t>for instance</w:t>
      </w:r>
      <w:r w:rsidRPr="00FE2263">
        <w:rPr>
          <w:rFonts w:cstheme="minorHAnsi"/>
        </w:rPr>
        <w:t>,</w:t>
      </w:r>
      <w:r w:rsidR="002B793D" w:rsidRPr="00FE2263">
        <w:rPr>
          <w:rFonts w:cstheme="minorHAnsi"/>
        </w:rPr>
        <w:t xml:space="preserve"> </w:t>
      </w:r>
      <w:r w:rsidR="003460A2" w:rsidRPr="00FE2263">
        <w:rPr>
          <w:rFonts w:cstheme="minorHAnsi"/>
        </w:rPr>
        <w:t>lobbying</w:t>
      </w:r>
      <w:r w:rsidR="002B793D" w:rsidRPr="00FE2263">
        <w:rPr>
          <w:rFonts w:cstheme="minorHAnsi"/>
        </w:rPr>
        <w:t>, taxes, unions, and forests</w:t>
      </w:r>
      <w:r w:rsidR="003460A2" w:rsidRPr="00FE2263">
        <w:rPr>
          <w:rFonts w:cstheme="minorHAnsi"/>
        </w:rPr>
        <w:t>.</w:t>
      </w:r>
      <w:r w:rsidR="002B793D" w:rsidRPr="00FE2263">
        <w:rPr>
          <w:rStyle w:val="FootnoteReference"/>
          <w:rFonts w:cstheme="minorHAnsi"/>
        </w:rPr>
        <w:footnoteReference w:id="55"/>
      </w:r>
      <w:r w:rsidR="003460A2" w:rsidRPr="00FE2263">
        <w:rPr>
          <w:rFonts w:cstheme="minorHAnsi"/>
        </w:rPr>
        <w:t xml:space="preserve"> </w:t>
      </w:r>
      <w:r w:rsidRPr="00FE2263">
        <w:rPr>
          <w:rFonts w:cstheme="minorHAnsi"/>
        </w:rPr>
        <w:t>In a few cases, the ESG rating firms came to opposite conclusions, e.g. o</w:t>
      </w:r>
      <w:r w:rsidR="002B793D" w:rsidRPr="00FE2263">
        <w:rPr>
          <w:rFonts w:cstheme="minorHAnsi"/>
        </w:rPr>
        <w:t>n lobbying</w:t>
      </w:r>
      <w:r w:rsidRPr="00FE2263">
        <w:rPr>
          <w:rFonts w:cstheme="minorHAnsi"/>
        </w:rPr>
        <w:t xml:space="preserve">. </w:t>
      </w:r>
      <w:r w:rsidR="003460A2" w:rsidRPr="00FE2263">
        <w:rPr>
          <w:rFonts w:cstheme="minorHAnsi"/>
        </w:rPr>
        <w:t xml:space="preserve">Of a lesser importance is the divergence in </w:t>
      </w:r>
      <w:r w:rsidR="003460A2" w:rsidRPr="00FE2263">
        <w:rPr>
          <w:rFonts w:cstheme="minorHAnsi"/>
          <w:b/>
        </w:rPr>
        <w:t>weighing</w:t>
      </w:r>
      <w:r w:rsidR="007812EF" w:rsidRPr="00FE2263">
        <w:rPr>
          <w:rFonts w:cstheme="minorHAnsi"/>
        </w:rPr>
        <w:t xml:space="preserve"> of each of the issues and indicators, which together form the overall rating. What </w:t>
      </w:r>
      <w:r w:rsidR="00F4063A" w:rsidRPr="00FE2263">
        <w:rPr>
          <w:rFonts w:cstheme="minorHAnsi"/>
        </w:rPr>
        <w:t xml:space="preserve">is </w:t>
      </w:r>
      <w:r w:rsidR="007812EF" w:rsidRPr="00FE2263">
        <w:rPr>
          <w:rFonts w:cstheme="minorHAnsi"/>
        </w:rPr>
        <w:t xml:space="preserve">also </w:t>
      </w:r>
      <w:r w:rsidR="00F734BF" w:rsidRPr="00FE2263">
        <w:rPr>
          <w:rFonts w:cstheme="minorHAnsi"/>
        </w:rPr>
        <w:t xml:space="preserve">likely </w:t>
      </w:r>
      <w:r w:rsidR="00F4063A" w:rsidRPr="00FE2263">
        <w:rPr>
          <w:rFonts w:cstheme="minorHAnsi"/>
        </w:rPr>
        <w:t xml:space="preserve">to </w:t>
      </w:r>
      <w:r w:rsidR="007812EF" w:rsidRPr="00FE2263">
        <w:rPr>
          <w:rFonts w:cstheme="minorHAnsi"/>
        </w:rPr>
        <w:t>play</w:t>
      </w:r>
      <w:r w:rsidR="00F734BF" w:rsidRPr="00FE2263">
        <w:rPr>
          <w:rFonts w:cstheme="minorHAnsi"/>
        </w:rPr>
        <w:t xml:space="preserve"> </w:t>
      </w:r>
      <w:r w:rsidR="007812EF" w:rsidRPr="00FE2263">
        <w:rPr>
          <w:rFonts w:cstheme="minorHAnsi"/>
        </w:rPr>
        <w:t>a role</w:t>
      </w:r>
      <w:r w:rsidR="00F4063A" w:rsidRPr="00FE2263">
        <w:rPr>
          <w:rFonts w:cstheme="minorHAnsi"/>
        </w:rPr>
        <w:t>,</w:t>
      </w:r>
      <w:r w:rsidR="007812EF" w:rsidRPr="00FE2263">
        <w:rPr>
          <w:rFonts w:cstheme="minorHAnsi"/>
        </w:rPr>
        <w:t xml:space="preserve"> is who is rating (“</w:t>
      </w:r>
      <w:r w:rsidR="007812EF" w:rsidRPr="00FE2263">
        <w:rPr>
          <w:rFonts w:cstheme="minorHAnsi"/>
          <w:b/>
        </w:rPr>
        <w:t>rater effect</w:t>
      </w:r>
      <w:r w:rsidR="007812EF" w:rsidRPr="00FE2263">
        <w:rPr>
          <w:rFonts w:cstheme="minorHAnsi"/>
        </w:rPr>
        <w:t>”</w:t>
      </w:r>
      <w:r w:rsidR="00F734BF" w:rsidRPr="00FE2263">
        <w:rPr>
          <w:rFonts w:cstheme="minorHAnsi"/>
        </w:rPr>
        <w:t xml:space="preserve">) because a company that gets </w:t>
      </w:r>
      <w:r w:rsidR="007812EF" w:rsidRPr="00FE2263">
        <w:rPr>
          <w:rFonts w:cstheme="minorHAnsi"/>
        </w:rPr>
        <w:t xml:space="preserve">a good score in one category, </w:t>
      </w:r>
      <w:r w:rsidR="00F734BF" w:rsidRPr="00FE2263">
        <w:rPr>
          <w:rFonts w:cstheme="minorHAnsi"/>
        </w:rPr>
        <w:t xml:space="preserve">is also likely to have good scores in the other categories. </w:t>
      </w:r>
    </w:p>
    <w:p w14:paraId="1D82C6B8" w14:textId="77777777" w:rsidR="00F4063A" w:rsidRPr="00FE2263" w:rsidRDefault="00F4063A" w:rsidP="00710347">
      <w:pPr>
        <w:autoSpaceDE w:val="0"/>
        <w:autoSpaceDN w:val="0"/>
        <w:adjustRightInd w:val="0"/>
        <w:spacing w:after="0" w:line="240" w:lineRule="auto"/>
        <w:ind w:right="144"/>
        <w:rPr>
          <w:rFonts w:cstheme="minorHAnsi"/>
        </w:rPr>
      </w:pPr>
    </w:p>
    <w:p w14:paraId="3D0E3E5C" w14:textId="77777777" w:rsidR="005A5698" w:rsidRPr="00FE2263" w:rsidRDefault="005A5698" w:rsidP="005A5698">
      <w:pPr>
        <w:autoSpaceDE w:val="0"/>
        <w:autoSpaceDN w:val="0"/>
        <w:adjustRightInd w:val="0"/>
        <w:spacing w:after="0" w:line="240" w:lineRule="auto"/>
        <w:ind w:right="144"/>
        <w:rPr>
          <w:rFonts w:cstheme="minorHAnsi"/>
        </w:rPr>
      </w:pPr>
      <w:r w:rsidRPr="00FE2263">
        <w:rPr>
          <w:rFonts w:cstheme="minorHAnsi"/>
        </w:rPr>
        <w:t>The divergence is least for the environmental dimension (correlation average 0.53), somewhat more for the social dimension (correlation average 0.42) and most for the governance dimension (correlation 0.30).</w:t>
      </w:r>
      <w:r w:rsidRPr="00FE2263">
        <w:rPr>
          <w:rStyle w:val="FootnoteReference"/>
          <w:rFonts w:cstheme="minorHAnsi"/>
        </w:rPr>
        <w:footnoteReference w:id="56"/>
      </w:r>
    </w:p>
    <w:p w14:paraId="667B2E21" w14:textId="77777777" w:rsidR="006560E4" w:rsidRPr="00FE2263" w:rsidRDefault="006560E4" w:rsidP="00710347">
      <w:pPr>
        <w:autoSpaceDE w:val="0"/>
        <w:autoSpaceDN w:val="0"/>
        <w:adjustRightInd w:val="0"/>
        <w:spacing w:after="0" w:line="240" w:lineRule="auto"/>
        <w:ind w:left="360" w:right="144"/>
        <w:rPr>
          <w:rFonts w:cstheme="minorHAnsi"/>
          <w:b/>
          <w:bCs/>
          <w:color w:val="000000"/>
        </w:rPr>
      </w:pPr>
    </w:p>
    <w:p w14:paraId="1EA5989C" w14:textId="77777777" w:rsidR="00294E7D" w:rsidRPr="00FE2263" w:rsidRDefault="006560E4" w:rsidP="005A5698">
      <w:pPr>
        <w:spacing w:after="0" w:line="240" w:lineRule="auto"/>
        <w:ind w:right="144"/>
        <w:rPr>
          <w:rFonts w:cstheme="minorHAnsi"/>
          <w:i/>
        </w:rPr>
      </w:pPr>
      <w:r w:rsidRPr="00FE2263">
        <w:rPr>
          <w:rFonts w:cstheme="minorHAnsi"/>
          <w:bCs/>
          <w:color w:val="000000"/>
        </w:rPr>
        <w:t xml:space="preserve">The research by </w:t>
      </w:r>
      <w:r w:rsidRPr="00FE2263">
        <w:rPr>
          <w:rFonts w:cstheme="minorHAnsi"/>
        </w:rPr>
        <w:t>F. Berg, J. Koelbe, and R. Rigobon</w:t>
      </w:r>
      <w:r w:rsidRPr="00FE2263">
        <w:rPr>
          <w:rStyle w:val="FootnoteReference"/>
          <w:rFonts w:cstheme="minorHAnsi"/>
        </w:rPr>
        <w:footnoteReference w:id="57"/>
      </w:r>
      <w:r w:rsidRPr="00FE2263">
        <w:rPr>
          <w:rFonts w:cstheme="minorHAnsi"/>
        </w:rPr>
        <w:t>,</w:t>
      </w:r>
      <w:r w:rsidR="00693B85" w:rsidRPr="00FE2263">
        <w:rPr>
          <w:rFonts w:cstheme="minorHAnsi"/>
        </w:rPr>
        <w:t xml:space="preserve"> also reveals that measurements can diverge between indicators that relate to </w:t>
      </w:r>
      <w:r w:rsidR="00F4063A" w:rsidRPr="00FE2263">
        <w:rPr>
          <w:rFonts w:cstheme="minorHAnsi"/>
        </w:rPr>
        <w:t xml:space="preserve">corporate ESG </w:t>
      </w:r>
      <w:r w:rsidR="00693B85" w:rsidRPr="00FE2263">
        <w:rPr>
          <w:rFonts w:cstheme="minorHAnsi"/>
        </w:rPr>
        <w:t>policies</w:t>
      </w:r>
      <w:r w:rsidR="00F4063A" w:rsidRPr="00FE2263">
        <w:rPr>
          <w:rFonts w:cstheme="minorHAnsi"/>
        </w:rPr>
        <w:t xml:space="preserve"> (</w:t>
      </w:r>
      <w:r w:rsidR="00693B85" w:rsidRPr="00FE2263">
        <w:rPr>
          <w:rFonts w:cstheme="minorHAnsi"/>
        </w:rPr>
        <w:t>which do not reveal actual practices</w:t>
      </w:r>
      <w:r w:rsidR="00F4063A" w:rsidRPr="00FE2263">
        <w:rPr>
          <w:rFonts w:cstheme="minorHAnsi"/>
        </w:rPr>
        <w:t>)</w:t>
      </w:r>
      <w:r w:rsidR="00693B85" w:rsidRPr="00FE2263">
        <w:rPr>
          <w:rFonts w:cstheme="minorHAnsi"/>
        </w:rPr>
        <w:t xml:space="preserve"> and actual outcomes </w:t>
      </w:r>
      <w:r w:rsidR="008B5E68" w:rsidRPr="00FE2263">
        <w:rPr>
          <w:rFonts w:cstheme="minorHAnsi"/>
        </w:rPr>
        <w:t>and impacts</w:t>
      </w:r>
      <w:r w:rsidR="00F4063A" w:rsidRPr="00FE2263">
        <w:rPr>
          <w:rFonts w:cstheme="minorHAnsi"/>
        </w:rPr>
        <w:t xml:space="preserve"> </w:t>
      </w:r>
      <w:r w:rsidR="00693B85" w:rsidRPr="00FE2263">
        <w:rPr>
          <w:rFonts w:cstheme="minorHAnsi"/>
        </w:rPr>
        <w:t xml:space="preserve">(e.g. work accidents).  </w:t>
      </w:r>
    </w:p>
    <w:p w14:paraId="51DC4C5F" w14:textId="77777777" w:rsidR="00053204" w:rsidRPr="00FE2263" w:rsidRDefault="00053204" w:rsidP="00710347">
      <w:pPr>
        <w:pStyle w:val="Pa3"/>
        <w:spacing w:line="240" w:lineRule="auto"/>
        <w:ind w:right="144"/>
        <w:rPr>
          <w:rFonts w:asciiTheme="minorHAnsi" w:hAnsiTheme="minorHAnsi" w:cstheme="minorHAnsi"/>
          <w:color w:val="000000"/>
          <w:sz w:val="22"/>
          <w:szCs w:val="22"/>
        </w:rPr>
      </w:pPr>
    </w:p>
    <w:p w14:paraId="0B6ABF18" w14:textId="77777777" w:rsidR="005A5698" w:rsidRPr="00FE2263" w:rsidRDefault="005A5698" w:rsidP="005A5698">
      <w:pPr>
        <w:autoSpaceDE w:val="0"/>
        <w:autoSpaceDN w:val="0"/>
        <w:adjustRightInd w:val="0"/>
        <w:spacing w:after="0" w:line="240" w:lineRule="auto"/>
        <w:ind w:right="144"/>
        <w:rPr>
          <w:rFonts w:cstheme="minorHAnsi"/>
        </w:rPr>
      </w:pPr>
      <w:r w:rsidRPr="00FE2263">
        <w:rPr>
          <w:rFonts w:cstheme="minorHAnsi"/>
        </w:rPr>
        <w:t xml:space="preserve">The </w:t>
      </w:r>
      <w:r>
        <w:rPr>
          <w:rFonts w:cstheme="minorHAnsi"/>
        </w:rPr>
        <w:t xml:space="preserve">researchers comment that </w:t>
      </w:r>
      <w:r w:rsidRPr="00FE2263">
        <w:rPr>
          <w:rFonts w:cstheme="minorHAnsi"/>
        </w:rPr>
        <w:t xml:space="preserve">scope divergence reflects that ESG ratings diverge on what is considered to be relevant ESG categories. This might also still be the case by the users of ESG ratings, who might have different opinions and preferences of what is important as ESG.  The confusion is especially created when the same issue is measured differently, as is the case for Human Rights and energy. This could result in companies improving on particular issues but not seeing that reflected in particular ratings. </w:t>
      </w:r>
    </w:p>
    <w:p w14:paraId="1931A262" w14:textId="77777777" w:rsidR="005A5698" w:rsidRDefault="005A5698" w:rsidP="00710347">
      <w:pPr>
        <w:pStyle w:val="Pa3"/>
        <w:spacing w:line="240" w:lineRule="auto"/>
        <w:ind w:right="144"/>
        <w:rPr>
          <w:rFonts w:asciiTheme="minorHAnsi" w:hAnsiTheme="minorHAnsi" w:cstheme="minorHAnsi"/>
          <w:color w:val="000000"/>
          <w:sz w:val="22"/>
          <w:szCs w:val="22"/>
        </w:rPr>
      </w:pPr>
    </w:p>
    <w:p w14:paraId="202F58F4" w14:textId="77777777" w:rsidR="005A5698" w:rsidRPr="003D4C5B" w:rsidRDefault="005A5698" w:rsidP="003D4C5B">
      <w:pPr>
        <w:pStyle w:val="Pa3"/>
        <w:spacing w:line="240" w:lineRule="auto"/>
        <w:ind w:right="144"/>
        <w:rPr>
          <w:rFonts w:asciiTheme="minorHAnsi" w:hAnsiTheme="minorHAnsi" w:cstheme="minorHAnsi"/>
          <w:sz w:val="22"/>
          <w:szCs w:val="22"/>
        </w:rPr>
      </w:pPr>
      <w:r w:rsidRPr="003D4C5B">
        <w:rPr>
          <w:rFonts w:asciiTheme="minorHAnsi" w:hAnsiTheme="minorHAnsi" w:cstheme="minorHAnsi"/>
          <w:sz w:val="22"/>
          <w:szCs w:val="22"/>
        </w:rPr>
        <w:t>SOMO comments are that the above measurement divergence does not clarify whether the rating reveals the ESG impacts or ESG risks that are financially material for the company, whether the ESG issues integrated relate to doing no harm, or what contributes to fighting climate change/aligning to the Paris agreement and diminishing human rights and social abuses.</w:t>
      </w:r>
      <w:r w:rsidR="003D4C5B" w:rsidRPr="003D4C5B">
        <w:rPr>
          <w:rFonts w:asciiTheme="minorHAnsi" w:hAnsiTheme="minorHAnsi" w:cstheme="minorHAnsi"/>
          <w:sz w:val="22"/>
          <w:szCs w:val="22"/>
        </w:rPr>
        <w:t xml:space="preserve"> </w:t>
      </w:r>
      <w:r w:rsidRPr="003D4C5B">
        <w:rPr>
          <w:rFonts w:asciiTheme="minorHAnsi" w:hAnsiTheme="minorHAnsi" w:cstheme="minorHAnsi"/>
          <w:sz w:val="22"/>
          <w:szCs w:val="22"/>
        </w:rPr>
        <w:t>When examining the issues that show important divergence in the above-mentioned research paper by F. Berg, J. Koelbe, and R. Rigobon,  it is important to expose whether they related to issues that might play a role in the future such as biodiversity, resource efficiency, social security and living wages, privacy and IT,  shareholders and taxes. The issue of privacy and IT, for instance, was only included by four of the six ESG rating firms researched by F. Berg, J. Koelbe, and R. Rigobon.</w:t>
      </w:r>
      <w:r w:rsidRPr="003D4C5B">
        <w:rPr>
          <w:rStyle w:val="FootnoteReference"/>
          <w:rFonts w:asciiTheme="minorHAnsi" w:hAnsiTheme="minorHAnsi" w:cstheme="minorHAnsi"/>
          <w:sz w:val="22"/>
          <w:szCs w:val="22"/>
        </w:rPr>
        <w:footnoteReference w:id="58"/>
      </w:r>
      <w:r w:rsidRPr="003D4C5B">
        <w:rPr>
          <w:rFonts w:asciiTheme="minorHAnsi" w:hAnsiTheme="minorHAnsi" w:cstheme="minorHAnsi"/>
          <w:sz w:val="22"/>
          <w:szCs w:val="22"/>
        </w:rPr>
        <w:t xml:space="preserve"> Payment of taxes might become a focus as it will be important to fill the public budget deficits due to COVID-19, but the rating firms show large divergence in their measurement (almost zero correlation on tax issues.</w:t>
      </w:r>
      <w:r w:rsidRPr="003D4C5B">
        <w:rPr>
          <w:rStyle w:val="FootnoteReference"/>
          <w:rFonts w:asciiTheme="minorHAnsi" w:hAnsiTheme="minorHAnsi" w:cstheme="minorHAnsi"/>
          <w:sz w:val="22"/>
          <w:szCs w:val="22"/>
        </w:rPr>
        <w:footnoteReference w:id="59"/>
      </w:r>
      <w:r w:rsidRPr="003D4C5B">
        <w:rPr>
          <w:rFonts w:asciiTheme="minorHAnsi" w:hAnsiTheme="minorHAnsi" w:cstheme="minorHAnsi"/>
          <w:sz w:val="22"/>
          <w:szCs w:val="22"/>
        </w:rPr>
        <w:t>)</w:t>
      </w:r>
    </w:p>
    <w:p w14:paraId="537449D4" w14:textId="77777777" w:rsidR="005A5698" w:rsidRDefault="005A5698" w:rsidP="00710347">
      <w:pPr>
        <w:pStyle w:val="Pa3"/>
        <w:spacing w:line="240" w:lineRule="auto"/>
        <w:ind w:right="144"/>
        <w:rPr>
          <w:rFonts w:asciiTheme="minorHAnsi" w:hAnsiTheme="minorHAnsi" w:cstheme="minorHAnsi"/>
          <w:color w:val="000000"/>
          <w:sz w:val="22"/>
          <w:szCs w:val="22"/>
        </w:rPr>
      </w:pPr>
    </w:p>
    <w:p w14:paraId="2F4124E8" w14:textId="77777777" w:rsidR="003D4C5B" w:rsidRPr="003D4C5B" w:rsidRDefault="005A5698" w:rsidP="003D4C5B">
      <w:pPr>
        <w:pStyle w:val="Pa3"/>
        <w:spacing w:line="240" w:lineRule="auto"/>
        <w:ind w:right="144"/>
        <w:rPr>
          <w:rFonts w:asciiTheme="minorHAnsi" w:hAnsiTheme="minorHAnsi" w:cstheme="minorHAnsi"/>
          <w:color w:val="000000"/>
          <w:sz w:val="22"/>
          <w:szCs w:val="22"/>
        </w:rPr>
      </w:pPr>
      <w:r w:rsidRPr="003D4C5B">
        <w:rPr>
          <w:rFonts w:asciiTheme="minorHAnsi" w:hAnsiTheme="minorHAnsi" w:cstheme="minorHAnsi"/>
          <w:sz w:val="22"/>
          <w:szCs w:val="22"/>
        </w:rPr>
        <w:t>The measurement divergence in Human Rights in ESG ratings is worrying because 70% of the 75 large asset managers who were questioned by ShareAction</w:t>
      </w:r>
      <w:r w:rsidRPr="003D4C5B">
        <w:rPr>
          <w:rStyle w:val="FootnoteReference"/>
          <w:rFonts w:asciiTheme="minorHAnsi" w:hAnsiTheme="minorHAnsi" w:cstheme="minorHAnsi"/>
          <w:sz w:val="22"/>
          <w:szCs w:val="22"/>
        </w:rPr>
        <w:footnoteReference w:id="60"/>
      </w:r>
      <w:r w:rsidRPr="003D4C5B">
        <w:rPr>
          <w:rFonts w:asciiTheme="minorHAnsi" w:hAnsiTheme="minorHAnsi" w:cstheme="minorHAnsi"/>
          <w:sz w:val="22"/>
          <w:szCs w:val="22"/>
        </w:rPr>
        <w:t xml:space="preserve">, responded that they </w:t>
      </w:r>
      <w:r w:rsidRPr="003D4C5B">
        <w:rPr>
          <w:rFonts w:asciiTheme="minorHAnsi" w:hAnsiTheme="minorHAnsi" w:cstheme="minorHAnsi"/>
          <w:color w:val="000000"/>
          <w:sz w:val="22"/>
          <w:szCs w:val="22"/>
        </w:rPr>
        <w:t>rely on external data providers for ESG data, with very few conducting own assessment of investee companies about indicators relating to Human Rights and labour rights. The researched asset managers showed a ”very limited ability to identify salient human rights impacts of their investments”</w:t>
      </w:r>
      <w:r w:rsidRPr="003D4C5B">
        <w:rPr>
          <w:rStyle w:val="FootnoteReference"/>
          <w:rFonts w:asciiTheme="minorHAnsi" w:hAnsiTheme="minorHAnsi" w:cstheme="minorHAnsi"/>
          <w:color w:val="000000"/>
          <w:sz w:val="22"/>
          <w:szCs w:val="22"/>
        </w:rPr>
        <w:footnoteReference w:id="61"/>
      </w:r>
      <w:r w:rsidRPr="003D4C5B">
        <w:rPr>
          <w:rFonts w:asciiTheme="minorHAnsi" w:hAnsiTheme="minorHAnsi" w:cstheme="minorHAnsi"/>
          <w:color w:val="000000"/>
          <w:sz w:val="22"/>
          <w:szCs w:val="22"/>
        </w:rPr>
        <w:t xml:space="preserve"> beyond general policies. Moreover, the majority of these asset managers have a weak or non-existent approach to engagement on human rights.</w:t>
      </w:r>
      <w:r w:rsidRPr="003D4C5B">
        <w:rPr>
          <w:rStyle w:val="FootnoteReference"/>
          <w:rFonts w:asciiTheme="minorHAnsi" w:hAnsiTheme="minorHAnsi" w:cstheme="minorHAnsi"/>
          <w:color w:val="000000"/>
          <w:sz w:val="22"/>
          <w:szCs w:val="22"/>
        </w:rPr>
        <w:footnoteReference w:id="62"/>
      </w:r>
      <w:r w:rsidRPr="003D4C5B">
        <w:rPr>
          <w:rFonts w:asciiTheme="minorHAnsi" w:hAnsiTheme="minorHAnsi" w:cstheme="minorHAnsi"/>
          <w:color w:val="000000"/>
          <w:sz w:val="22"/>
          <w:szCs w:val="22"/>
        </w:rPr>
        <w:t xml:space="preserve"> </w:t>
      </w:r>
      <w:r w:rsidR="003D4C5B" w:rsidRPr="003D4C5B">
        <w:rPr>
          <w:rFonts w:asciiTheme="minorHAnsi" w:hAnsiTheme="minorHAnsi" w:cstheme="minorHAnsi"/>
          <w:color w:val="000000"/>
          <w:sz w:val="22"/>
          <w:szCs w:val="22"/>
        </w:rPr>
        <w:t xml:space="preserve"> The ShareAction research exposed that “asset managers lack sufficient due diligence processes to appropriately identify salient negative human rights impacts. Only seven (nine per cent) asset managers were able to identify negative impacts that may be a result of their investments.”</w:t>
      </w:r>
      <w:r w:rsidR="003D4C5B" w:rsidRPr="003D4C5B">
        <w:rPr>
          <w:rStyle w:val="FootnoteReference"/>
          <w:rFonts w:asciiTheme="minorHAnsi" w:hAnsiTheme="minorHAnsi" w:cstheme="minorHAnsi"/>
          <w:color w:val="000000"/>
          <w:sz w:val="22"/>
          <w:szCs w:val="22"/>
        </w:rPr>
        <w:footnoteReference w:id="63"/>
      </w:r>
    </w:p>
    <w:p w14:paraId="7131986B" w14:textId="77777777" w:rsidR="005A5698" w:rsidRPr="003D4C5B" w:rsidRDefault="005A5698" w:rsidP="005A5698">
      <w:pPr>
        <w:pStyle w:val="Pa3"/>
        <w:spacing w:line="240" w:lineRule="auto"/>
        <w:ind w:right="144"/>
        <w:rPr>
          <w:rFonts w:asciiTheme="minorHAnsi" w:hAnsiTheme="minorHAnsi" w:cstheme="minorHAnsi"/>
          <w:color w:val="000000"/>
          <w:sz w:val="22"/>
          <w:szCs w:val="22"/>
        </w:rPr>
      </w:pPr>
    </w:p>
    <w:p w14:paraId="16B12D4C" w14:textId="77777777" w:rsidR="003D4C5B" w:rsidRPr="003D4C5B" w:rsidRDefault="003D4C5B" w:rsidP="003D4C5B">
      <w:pPr>
        <w:pStyle w:val="Pa3"/>
        <w:spacing w:line="240" w:lineRule="auto"/>
        <w:ind w:right="144"/>
        <w:rPr>
          <w:rFonts w:asciiTheme="minorHAnsi" w:hAnsiTheme="minorHAnsi" w:cstheme="minorHAnsi"/>
          <w:color w:val="000000"/>
          <w:sz w:val="22"/>
          <w:szCs w:val="22"/>
        </w:rPr>
      </w:pPr>
      <w:r w:rsidRPr="003D4C5B">
        <w:rPr>
          <w:rFonts w:asciiTheme="minorHAnsi" w:hAnsiTheme="minorHAnsi" w:cstheme="minorHAnsi"/>
          <w:color w:val="000000"/>
          <w:sz w:val="22"/>
          <w:szCs w:val="22"/>
        </w:rPr>
        <w:t xml:space="preserve">SOMO comments that ShareAction’s research could mean that ESG rating firms will not be hard pushed by their client asset managers, i.e. “the market”, to improve their measurement, scope and rating on Human Rights. Since “Asset managers are addressing human rights issues only where they have identified financial risk, while failing to account for salient human rights impacts”, the ESG ratings might be playing a not so important role in sanctioning or improving corporate behaviour through investment choices based on current voluntary ESG criteria on human rights. </w:t>
      </w:r>
    </w:p>
    <w:p w14:paraId="262369CB" w14:textId="77777777" w:rsidR="005A5698" w:rsidRDefault="005A5698" w:rsidP="00710347">
      <w:pPr>
        <w:autoSpaceDE w:val="0"/>
        <w:autoSpaceDN w:val="0"/>
        <w:adjustRightInd w:val="0"/>
        <w:spacing w:after="0" w:line="240" w:lineRule="auto"/>
        <w:ind w:right="144"/>
        <w:rPr>
          <w:rFonts w:cstheme="minorHAnsi"/>
        </w:rPr>
      </w:pPr>
    </w:p>
    <w:p w14:paraId="379E5887" w14:textId="77777777" w:rsidR="00413D54" w:rsidRPr="00FE2263" w:rsidRDefault="00D31D97" w:rsidP="00710347">
      <w:pPr>
        <w:autoSpaceDE w:val="0"/>
        <w:autoSpaceDN w:val="0"/>
        <w:adjustRightInd w:val="0"/>
        <w:spacing w:after="0" w:line="240" w:lineRule="auto"/>
        <w:ind w:right="144"/>
        <w:rPr>
          <w:rFonts w:cstheme="minorHAnsi"/>
          <w:color w:val="333333"/>
        </w:rPr>
      </w:pPr>
      <w:r w:rsidRPr="00FE2263">
        <w:rPr>
          <w:rFonts w:cstheme="minorHAnsi"/>
        </w:rPr>
        <w:t xml:space="preserve">In the </w:t>
      </w:r>
      <w:r w:rsidR="00053204" w:rsidRPr="00FE2263">
        <w:rPr>
          <w:rFonts w:cstheme="minorHAnsi"/>
        </w:rPr>
        <w:t xml:space="preserve">survey </w:t>
      </w:r>
      <w:r w:rsidR="003D4C5B">
        <w:rPr>
          <w:rFonts w:cstheme="minorHAnsi"/>
        </w:rPr>
        <w:t>“Rate the R</w:t>
      </w:r>
      <w:r w:rsidRPr="00FE2263">
        <w:rPr>
          <w:rFonts w:cstheme="minorHAnsi"/>
        </w:rPr>
        <w:t>aters 2020”</w:t>
      </w:r>
      <w:r w:rsidRPr="00FE2263">
        <w:rPr>
          <w:rStyle w:val="FootnoteReference"/>
          <w:rFonts w:cstheme="minorHAnsi"/>
        </w:rPr>
        <w:footnoteReference w:id="64"/>
      </w:r>
      <w:r w:rsidRPr="00FE2263">
        <w:rPr>
          <w:rFonts w:cstheme="minorHAnsi"/>
        </w:rPr>
        <w:t>, investors using ESG ratings “</w:t>
      </w:r>
      <w:r w:rsidRPr="00FE2263">
        <w:rPr>
          <w:rFonts w:cstheme="minorHAnsi"/>
          <w:color w:val="333333"/>
        </w:rPr>
        <w:t>expressed strong</w:t>
      </w:r>
      <w:r w:rsidR="00053204" w:rsidRPr="00FE2263">
        <w:rPr>
          <w:rFonts w:cstheme="minorHAnsi"/>
          <w:color w:val="333333"/>
        </w:rPr>
        <w:t xml:space="preserve"> </w:t>
      </w:r>
      <w:r w:rsidRPr="00FE2263">
        <w:rPr>
          <w:rFonts w:cstheme="minorHAnsi"/>
          <w:color w:val="333333"/>
        </w:rPr>
        <w:t>critiques of ratings, from inaccuracies and use of old or backwards-looking data, to more</w:t>
      </w:r>
      <w:r w:rsidR="00053204" w:rsidRPr="00FE2263">
        <w:rPr>
          <w:rFonts w:cstheme="minorHAnsi"/>
          <w:color w:val="333333"/>
        </w:rPr>
        <w:t xml:space="preserve"> </w:t>
      </w:r>
      <w:r w:rsidRPr="00FE2263">
        <w:rPr>
          <w:rFonts w:cstheme="minorHAnsi"/>
          <w:color w:val="333333"/>
        </w:rPr>
        <w:t>fundamental concerns about whether ESG performance can ever be distilled into a single</w:t>
      </w:r>
      <w:r w:rsidR="00053204" w:rsidRPr="00FE2263">
        <w:rPr>
          <w:rFonts w:cstheme="minorHAnsi"/>
          <w:color w:val="333333"/>
        </w:rPr>
        <w:t xml:space="preserve"> </w:t>
      </w:r>
      <w:r w:rsidRPr="00FE2263">
        <w:rPr>
          <w:rFonts w:cstheme="minorHAnsi"/>
          <w:color w:val="333333"/>
        </w:rPr>
        <w:t>score. Investors also complained about holes in corporate data and the need for companies to</w:t>
      </w:r>
      <w:r w:rsidR="00053204" w:rsidRPr="00FE2263">
        <w:rPr>
          <w:rFonts w:cstheme="minorHAnsi"/>
          <w:color w:val="333333"/>
        </w:rPr>
        <w:t xml:space="preserve"> </w:t>
      </w:r>
      <w:r w:rsidRPr="00FE2263">
        <w:rPr>
          <w:rFonts w:cstheme="minorHAnsi"/>
          <w:color w:val="333333"/>
        </w:rPr>
        <w:t>improve disclosure, reporting and transparency.</w:t>
      </w:r>
      <w:r w:rsidR="00053204" w:rsidRPr="00FE2263">
        <w:rPr>
          <w:rFonts w:cstheme="minorHAnsi"/>
          <w:color w:val="333333"/>
        </w:rPr>
        <w:t>” They “</w:t>
      </w:r>
      <w:r w:rsidRPr="00FE2263">
        <w:rPr>
          <w:rFonts w:cstheme="minorHAnsi"/>
          <w:color w:val="333333"/>
        </w:rPr>
        <w:t>believe</w:t>
      </w:r>
      <w:r w:rsidR="00053204" w:rsidRPr="00FE2263">
        <w:rPr>
          <w:rFonts w:cstheme="minorHAnsi"/>
          <w:color w:val="333333"/>
        </w:rPr>
        <w:t xml:space="preserve"> </w:t>
      </w:r>
      <w:r w:rsidRPr="00FE2263">
        <w:rPr>
          <w:rFonts w:cstheme="minorHAnsi"/>
          <w:color w:val="333333"/>
        </w:rPr>
        <w:t>that their own research analysts know better than ESG rating analysts, often because ratings</w:t>
      </w:r>
      <w:r w:rsidR="00053204" w:rsidRPr="00FE2263">
        <w:rPr>
          <w:rFonts w:cstheme="minorHAnsi"/>
          <w:color w:val="333333"/>
        </w:rPr>
        <w:t xml:space="preserve"> </w:t>
      </w:r>
      <w:r w:rsidRPr="00FE2263">
        <w:rPr>
          <w:rFonts w:cstheme="minorHAnsi"/>
          <w:color w:val="333333"/>
        </w:rPr>
        <w:t>research teams don’t have as much experience and are spread too thin.”</w:t>
      </w:r>
    </w:p>
    <w:p w14:paraId="50B70D55" w14:textId="77777777" w:rsidR="003D4C5B" w:rsidRPr="00FE2263" w:rsidRDefault="00CA209F" w:rsidP="003D4C5B">
      <w:pPr>
        <w:autoSpaceDE w:val="0"/>
        <w:autoSpaceDN w:val="0"/>
        <w:adjustRightInd w:val="0"/>
        <w:spacing w:after="0" w:line="240" w:lineRule="auto"/>
        <w:ind w:right="144"/>
        <w:rPr>
          <w:rFonts w:cstheme="minorHAnsi"/>
          <w:color w:val="333333"/>
        </w:rPr>
      </w:pPr>
      <w:r w:rsidRPr="00FE2263">
        <w:rPr>
          <w:rFonts w:cstheme="minorHAnsi"/>
          <w:color w:val="333333"/>
        </w:rPr>
        <w:t xml:space="preserve">None of the investors interviewed for Rate the Raters state that ESG ratings </w:t>
      </w:r>
      <w:r w:rsidR="00053204" w:rsidRPr="00FE2263">
        <w:rPr>
          <w:rFonts w:cstheme="minorHAnsi"/>
          <w:color w:val="333333"/>
        </w:rPr>
        <w:t>are</w:t>
      </w:r>
      <w:r w:rsidRPr="00FE2263">
        <w:rPr>
          <w:rFonts w:cstheme="minorHAnsi"/>
          <w:color w:val="333333"/>
        </w:rPr>
        <w:t xml:space="preserve"> excellent because they had a  series of critiques</w:t>
      </w:r>
      <w:r w:rsidRPr="00FE2263">
        <w:rPr>
          <w:rStyle w:val="FootnoteReference"/>
          <w:rFonts w:cstheme="minorHAnsi"/>
          <w:color w:val="333333"/>
        </w:rPr>
        <w:footnoteReference w:id="65"/>
      </w:r>
      <w:r w:rsidRPr="00FE2263">
        <w:rPr>
          <w:rFonts w:cstheme="minorHAnsi"/>
          <w:color w:val="333333"/>
        </w:rPr>
        <w:t xml:space="preserve">, such as: errors and inaccuracies which leads to holes in the analysis, old data, different figures for the same issue of the same company (e.g. carbon emissions), </w:t>
      </w:r>
      <w:r w:rsidR="00486ABB" w:rsidRPr="00FE2263">
        <w:rPr>
          <w:rFonts w:cstheme="minorHAnsi"/>
          <w:color w:val="333333"/>
        </w:rPr>
        <w:t xml:space="preserve">missing existing information and reports, </w:t>
      </w:r>
      <w:r w:rsidRPr="00FE2263">
        <w:rPr>
          <w:rFonts w:cstheme="minorHAnsi"/>
          <w:color w:val="333333"/>
        </w:rPr>
        <w:t xml:space="preserve">evaluating past performance and thus backwards looking, </w:t>
      </w:r>
      <w:r w:rsidR="00486ABB" w:rsidRPr="00FE2263">
        <w:rPr>
          <w:rFonts w:cstheme="minorHAnsi"/>
          <w:color w:val="333333"/>
        </w:rPr>
        <w:t xml:space="preserve">and </w:t>
      </w:r>
      <w:r w:rsidRPr="00FE2263">
        <w:rPr>
          <w:rFonts w:cstheme="minorHAnsi"/>
          <w:color w:val="333333"/>
        </w:rPr>
        <w:t>too much automated/robo produced reports</w:t>
      </w:r>
      <w:r w:rsidR="00486ABB" w:rsidRPr="00FE2263">
        <w:rPr>
          <w:rFonts w:cstheme="minorHAnsi"/>
          <w:color w:val="333333"/>
        </w:rPr>
        <w:t xml:space="preserve">. </w:t>
      </w:r>
      <w:r w:rsidR="003D4C5B">
        <w:rPr>
          <w:rFonts w:cstheme="minorHAnsi"/>
          <w:color w:val="333333"/>
        </w:rPr>
        <w:t>T</w:t>
      </w:r>
      <w:r w:rsidR="003D4C5B" w:rsidRPr="00FE2263">
        <w:rPr>
          <w:rFonts w:cstheme="minorHAnsi"/>
          <w:color w:val="333333"/>
        </w:rPr>
        <w:t xml:space="preserve">here is no single rating firm which investors fully trust, and therefore </w:t>
      </w:r>
      <w:r w:rsidR="003D4C5B">
        <w:rPr>
          <w:rFonts w:cstheme="minorHAnsi"/>
          <w:color w:val="333333"/>
        </w:rPr>
        <w:t xml:space="preserve">rhey </w:t>
      </w:r>
      <w:r w:rsidR="003D4C5B" w:rsidRPr="00FE2263">
        <w:rPr>
          <w:rFonts w:cstheme="minorHAnsi"/>
          <w:color w:val="333333"/>
        </w:rPr>
        <w:t>often use different ratings and their own research were possible.</w:t>
      </w:r>
    </w:p>
    <w:p w14:paraId="19874B00" w14:textId="77777777" w:rsidR="008B5E68" w:rsidRPr="00FE2263" w:rsidRDefault="00053204" w:rsidP="00710347">
      <w:pPr>
        <w:autoSpaceDE w:val="0"/>
        <w:autoSpaceDN w:val="0"/>
        <w:adjustRightInd w:val="0"/>
        <w:spacing w:after="0" w:line="240" w:lineRule="auto"/>
        <w:ind w:right="144"/>
        <w:rPr>
          <w:rFonts w:cstheme="minorHAnsi"/>
        </w:rPr>
      </w:pPr>
      <w:r w:rsidRPr="00FE2263">
        <w:rPr>
          <w:rFonts w:cstheme="minorHAnsi"/>
          <w:color w:val="333333"/>
        </w:rPr>
        <w:t xml:space="preserve">It is not be noted </w:t>
      </w:r>
      <w:r w:rsidRPr="00BE7E3F">
        <w:rPr>
          <w:rFonts w:cstheme="minorHAnsi"/>
          <w:color w:val="333333"/>
        </w:rPr>
        <w:t>that “many investors expressed concern that their peers may be hiding behind ratings as a quick fix or box checking exercise</w:t>
      </w:r>
      <w:r w:rsidRPr="00FE2263">
        <w:rPr>
          <w:rFonts w:cstheme="minorHAnsi"/>
          <w:color w:val="333333"/>
        </w:rPr>
        <w:t>, using them as a substitute for fundamental ESG research and analysis other investors do themselves. Investors perceive the reason such shortcuts are taken to be, at least in part, a rush to meet growing demand for ESG investment products, and point out that this risks quickly-created, poor quality products undermining demand longer-term.”</w:t>
      </w:r>
      <w:r w:rsidRPr="00FE2263">
        <w:rPr>
          <w:rStyle w:val="FootnoteReference"/>
          <w:rFonts w:cstheme="minorHAnsi"/>
          <w:color w:val="333333"/>
        </w:rPr>
        <w:footnoteReference w:id="66"/>
      </w:r>
    </w:p>
    <w:p w14:paraId="7654FFA9" w14:textId="77777777" w:rsidR="003D4C5B" w:rsidRDefault="003D4C5B" w:rsidP="00710347">
      <w:pPr>
        <w:spacing w:after="0" w:line="240" w:lineRule="auto"/>
        <w:ind w:right="144"/>
        <w:rPr>
          <w:rFonts w:cstheme="minorHAnsi"/>
          <w:highlight w:val="yellow"/>
        </w:rPr>
      </w:pPr>
    </w:p>
    <w:p w14:paraId="35E0ED3B" w14:textId="77777777" w:rsidR="007420A1" w:rsidRPr="00FE2263" w:rsidRDefault="007420A1" w:rsidP="00710347">
      <w:pPr>
        <w:spacing w:after="0" w:line="240" w:lineRule="auto"/>
        <w:ind w:right="144"/>
        <w:rPr>
          <w:rFonts w:cstheme="minorHAnsi"/>
        </w:rPr>
      </w:pPr>
      <w:r w:rsidRPr="00BE7E3F">
        <w:rPr>
          <w:rFonts w:cstheme="minorHAnsi"/>
        </w:rPr>
        <w:t>Taking just one example</w:t>
      </w:r>
      <w:r w:rsidR="003D4C5B" w:rsidRPr="00BE7E3F">
        <w:rPr>
          <w:rFonts w:cstheme="minorHAnsi"/>
        </w:rPr>
        <w:t xml:space="preserve"> in practice</w:t>
      </w:r>
      <w:r w:rsidRPr="00BE7E3F">
        <w:rPr>
          <w:rFonts w:cstheme="minorHAnsi"/>
        </w:rPr>
        <w:t>, the ESG data expressed in scores by the Refinitiv data base</w:t>
      </w:r>
      <w:r w:rsidRPr="00BE7E3F">
        <w:rPr>
          <w:rStyle w:val="FootnoteReference"/>
          <w:rFonts w:cstheme="minorHAnsi"/>
        </w:rPr>
        <w:footnoteReference w:id="67"/>
      </w:r>
      <w:r w:rsidR="007C1904" w:rsidRPr="00BE7E3F">
        <w:rPr>
          <w:rFonts w:cstheme="minorHAnsi"/>
        </w:rPr>
        <w:t xml:space="preserve"> use</w:t>
      </w:r>
      <w:r w:rsidRPr="00BE7E3F">
        <w:rPr>
          <w:rFonts w:cstheme="minorHAnsi"/>
        </w:rPr>
        <w:t xml:space="preserve"> </w:t>
      </w:r>
      <w:r w:rsidR="007C1904" w:rsidRPr="00BE7E3F">
        <w:rPr>
          <w:rFonts w:cstheme="minorHAnsi"/>
        </w:rPr>
        <w:t xml:space="preserve">450 different ESG metrics that </w:t>
      </w:r>
      <w:r w:rsidRPr="00BE7E3F">
        <w:rPr>
          <w:rFonts w:cstheme="minorHAnsi"/>
        </w:rPr>
        <w:t xml:space="preserve">are being used for data-driven processing </w:t>
      </w:r>
      <w:r w:rsidR="007C1904" w:rsidRPr="00BE7E3F">
        <w:rPr>
          <w:rFonts w:cstheme="minorHAnsi"/>
        </w:rPr>
        <w:t xml:space="preserve">that combines environmental, social and governance scores (ESG scores) with the ESG controversies score. Through </w:t>
      </w:r>
      <w:r w:rsidRPr="00BE7E3F">
        <w:rPr>
          <w:rFonts w:cstheme="minorHAnsi"/>
        </w:rPr>
        <w:t xml:space="preserve">different weighing (e.g. regarding size of the company, country of headquarters) and calculations </w:t>
      </w:r>
      <w:r w:rsidR="007C1904" w:rsidRPr="00BE7E3F">
        <w:rPr>
          <w:rFonts w:cstheme="minorHAnsi"/>
        </w:rPr>
        <w:t xml:space="preserve">the ESG scores </w:t>
      </w:r>
      <w:r w:rsidRPr="00BE7E3F">
        <w:rPr>
          <w:rFonts w:cstheme="minorHAnsi"/>
        </w:rPr>
        <w:t>to get at an overall ESG score</w:t>
      </w:r>
      <w:r w:rsidR="007C1904" w:rsidRPr="00BE7E3F">
        <w:rPr>
          <w:rFonts w:cstheme="minorHAnsi"/>
        </w:rPr>
        <w:t>.</w:t>
      </w:r>
      <w:r w:rsidRPr="00BE7E3F">
        <w:rPr>
          <w:rFonts w:cstheme="minorHAnsi"/>
        </w:rPr>
        <w:t xml:space="preserve"> </w:t>
      </w:r>
      <w:r w:rsidR="00A56024" w:rsidRPr="00BE7E3F">
        <w:rPr>
          <w:rFonts w:cstheme="minorHAnsi"/>
        </w:rPr>
        <w:t xml:space="preserve">All these ESG scores are updated weekly but not the historical scores of before 2016. </w:t>
      </w:r>
      <w:r w:rsidRPr="00BE7E3F">
        <w:rPr>
          <w:rFonts w:cstheme="minorHAnsi"/>
        </w:rPr>
        <w:t>There is focus on materiality rather than impact.</w:t>
      </w:r>
    </w:p>
    <w:p w14:paraId="10F9CD93" w14:textId="77777777" w:rsidR="00FE2263" w:rsidRDefault="007C1904" w:rsidP="00FE2263">
      <w:pPr>
        <w:spacing w:after="0" w:line="240" w:lineRule="auto"/>
        <w:ind w:right="144"/>
        <w:rPr>
          <w:rFonts w:cstheme="minorHAnsi"/>
        </w:rPr>
      </w:pPr>
      <w:r>
        <w:rPr>
          <w:rFonts w:cstheme="minorHAnsi"/>
        </w:rPr>
        <w:t>SOMO c</w:t>
      </w:r>
      <w:r w:rsidR="00FE2263" w:rsidRPr="00FE2263">
        <w:rPr>
          <w:rFonts w:cstheme="minorHAnsi"/>
        </w:rPr>
        <w:t xml:space="preserve">omments </w:t>
      </w:r>
      <w:r>
        <w:rPr>
          <w:rFonts w:cstheme="minorHAnsi"/>
        </w:rPr>
        <w:t xml:space="preserve">that a lot of Refinitiv automated calculations and weighing based on numerical ESG metrics are determining the ESG score, which makes it difficult to get a realistic picture of a company’s implemention and </w:t>
      </w:r>
      <w:r w:rsidRPr="00401FD6">
        <w:rPr>
          <w:rFonts w:cstheme="minorHAnsi"/>
        </w:rPr>
        <w:t>impact of ESG issues. The ESG score does not seem to reflect the forward looking sustainability of the company (e.g. climate scenarios, future targets).</w:t>
      </w:r>
      <w:r>
        <w:rPr>
          <w:rFonts w:cstheme="minorHAnsi"/>
        </w:rPr>
        <w:t xml:space="preserve"> </w:t>
      </w:r>
    </w:p>
    <w:p w14:paraId="5A502B69" w14:textId="77777777" w:rsidR="00CE5F15" w:rsidRDefault="00CE5F15" w:rsidP="00CE5F15">
      <w:pPr>
        <w:spacing w:after="0" w:line="240" w:lineRule="auto"/>
        <w:ind w:right="144"/>
        <w:rPr>
          <w:rFonts w:cstheme="minorHAnsi"/>
          <w:highlight w:val="magenta"/>
        </w:rPr>
      </w:pPr>
    </w:p>
    <w:p w14:paraId="509E3F06" w14:textId="77777777" w:rsidR="00CE5F15" w:rsidRPr="00FE2263" w:rsidRDefault="00CE5F15" w:rsidP="00CE5F15">
      <w:pPr>
        <w:spacing w:after="0" w:line="240" w:lineRule="auto"/>
        <w:ind w:right="144"/>
        <w:rPr>
          <w:rFonts w:cstheme="minorHAnsi"/>
        </w:rPr>
      </w:pPr>
      <w:r w:rsidRPr="00CE5F15">
        <w:rPr>
          <w:rFonts w:cstheme="minorHAnsi"/>
        </w:rPr>
        <w:t>Another example are the ESG ratings being applied at fund level. In the case of Morningstar</w:t>
      </w:r>
      <w:r w:rsidRPr="00CE5F15">
        <w:rPr>
          <w:rStyle w:val="FootnoteReference"/>
          <w:rFonts w:cstheme="minorHAnsi"/>
        </w:rPr>
        <w:footnoteReference w:id="68"/>
      </w:r>
      <w:r w:rsidRPr="00CE5F15">
        <w:rPr>
          <w:rFonts w:cstheme="minorHAnsi"/>
        </w:rPr>
        <w:t>,</w:t>
      </w:r>
      <w:r w:rsidRPr="00CE5F15">
        <w:t xml:space="preserve"> </w:t>
      </w:r>
      <w:r w:rsidRPr="00CE5F15">
        <w:rPr>
          <w:rFonts w:cstheme="minorHAnsi"/>
        </w:rPr>
        <w:t>ESG ratings applied at fund level incorporate another proble. In the case of Morningstar, an average performance is rated for the whole fund, which can include both companies with a strong sustainability performance and, problematically, companies with significantly harmful impacts on the ground. Retail investors are informed with such ratings, but as experienced in the Netherlands, when research exposes that their money is being invested in very unsustainable companies, they are disappointed or opposed to such rated funds, which strongly weakens the credibility of ESG ratings.</w:t>
      </w:r>
    </w:p>
    <w:p w14:paraId="61E4A7E3" w14:textId="77777777" w:rsidR="00CE5F15" w:rsidRDefault="00CE5F15" w:rsidP="00CE5F15">
      <w:pPr>
        <w:spacing w:after="0" w:line="240" w:lineRule="auto"/>
        <w:ind w:right="144"/>
        <w:rPr>
          <w:rFonts w:ascii="FreeSansBold" w:hAnsi="FreeSansBold" w:cs="FreeSansBold"/>
          <w:b/>
          <w:bCs/>
          <w:color w:val="000000"/>
          <w:sz w:val="27"/>
          <w:szCs w:val="27"/>
        </w:rPr>
      </w:pPr>
    </w:p>
    <w:p w14:paraId="1C09A016" w14:textId="77777777" w:rsidR="00CE5F15" w:rsidRPr="00FE2263" w:rsidRDefault="00CE5F15" w:rsidP="00FE2263">
      <w:pPr>
        <w:spacing w:after="0" w:line="240" w:lineRule="auto"/>
        <w:ind w:right="144"/>
        <w:rPr>
          <w:rFonts w:cstheme="minorHAnsi"/>
        </w:rPr>
      </w:pPr>
    </w:p>
    <w:p w14:paraId="384F1FB2" w14:textId="77777777" w:rsidR="00FE2263" w:rsidRPr="00FE2263" w:rsidRDefault="00FE2263" w:rsidP="007C1904">
      <w:pPr>
        <w:autoSpaceDE w:val="0"/>
        <w:autoSpaceDN w:val="0"/>
        <w:adjustRightInd w:val="0"/>
        <w:spacing w:after="0" w:line="240" w:lineRule="auto"/>
        <w:ind w:right="144"/>
        <w:rPr>
          <w:rFonts w:cstheme="minorHAnsi"/>
        </w:rPr>
      </w:pPr>
    </w:p>
    <w:p w14:paraId="4E7FAFE1" w14:textId="77777777" w:rsidR="00FE2263" w:rsidRPr="00FE2263" w:rsidRDefault="00FE2263" w:rsidP="00710347">
      <w:pPr>
        <w:spacing w:after="0" w:line="240" w:lineRule="auto"/>
        <w:ind w:right="144"/>
        <w:rPr>
          <w:rFonts w:cstheme="minorHAnsi"/>
        </w:rPr>
      </w:pPr>
    </w:p>
    <w:p w14:paraId="138B17C5" w14:textId="77777777" w:rsidR="00693B85" w:rsidRDefault="00693B85" w:rsidP="00710347">
      <w:pPr>
        <w:spacing w:after="0" w:line="240" w:lineRule="auto"/>
        <w:ind w:right="144"/>
        <w:rPr>
          <w:rFonts w:ascii="FreeSansBold" w:hAnsi="FreeSansBold" w:cs="FreeSansBold"/>
          <w:b/>
          <w:bCs/>
          <w:color w:val="000000"/>
          <w:sz w:val="27"/>
          <w:szCs w:val="27"/>
        </w:rPr>
      </w:pPr>
    </w:p>
    <w:p w14:paraId="5A1B898D" w14:textId="77777777" w:rsidR="00053204" w:rsidRDefault="00053204" w:rsidP="00710347">
      <w:pPr>
        <w:spacing w:after="0" w:line="240" w:lineRule="auto"/>
        <w:ind w:right="144"/>
        <w:rPr>
          <w:rFonts w:ascii="FreeSansBold" w:hAnsi="FreeSansBold" w:cs="FreeSansBold"/>
          <w:b/>
          <w:bCs/>
          <w:color w:val="000000"/>
          <w:sz w:val="27"/>
          <w:szCs w:val="27"/>
        </w:rPr>
      </w:pPr>
      <w:r>
        <w:rPr>
          <w:rFonts w:ascii="FreeSansBold" w:hAnsi="FreeSansBold" w:cs="FreeSansBold"/>
          <w:b/>
          <w:bCs/>
          <w:color w:val="000000"/>
          <w:sz w:val="27"/>
          <w:szCs w:val="27"/>
        </w:rPr>
        <w:br w:type="page"/>
      </w:r>
    </w:p>
    <w:p w14:paraId="6D78CDC5" w14:textId="77777777" w:rsidR="00C84ECE" w:rsidRPr="00BE7E3F" w:rsidRDefault="00FB3A2D" w:rsidP="00710347">
      <w:pPr>
        <w:autoSpaceDE w:val="0"/>
        <w:autoSpaceDN w:val="0"/>
        <w:adjustRightInd w:val="0"/>
        <w:spacing w:after="0" w:line="240" w:lineRule="auto"/>
        <w:ind w:right="144"/>
        <w:rPr>
          <w:rFonts w:cstheme="minorHAnsi"/>
          <w:b/>
          <w:bCs/>
          <w:color w:val="000000"/>
          <w:sz w:val="27"/>
          <w:szCs w:val="27"/>
        </w:rPr>
      </w:pPr>
      <w:r w:rsidRPr="00401FD6">
        <w:rPr>
          <w:rFonts w:cstheme="minorHAnsi"/>
          <w:b/>
          <w:bCs/>
          <w:color w:val="000000"/>
          <w:sz w:val="27"/>
          <w:szCs w:val="27"/>
        </w:rPr>
        <w:t xml:space="preserve">Information related to consultation </w:t>
      </w:r>
      <w:r w:rsidR="00C84ECE" w:rsidRPr="00401FD6">
        <w:rPr>
          <w:rFonts w:cstheme="minorHAnsi"/>
          <w:b/>
          <w:bCs/>
          <w:color w:val="000000"/>
          <w:sz w:val="27"/>
          <w:szCs w:val="27"/>
        </w:rPr>
        <w:t xml:space="preserve">Question 21. In your opinion, should the EU take </w:t>
      </w:r>
      <w:r w:rsidR="00C84ECE" w:rsidRPr="00401FD6">
        <w:rPr>
          <w:rFonts w:cstheme="minorHAnsi"/>
          <w:b/>
          <w:bCs/>
          <w:color w:val="000000"/>
          <w:sz w:val="27"/>
          <w:szCs w:val="27"/>
          <w:u w:val="single"/>
        </w:rPr>
        <w:t xml:space="preserve">action </w:t>
      </w:r>
      <w:r w:rsidR="00C84ECE" w:rsidRPr="00401FD6">
        <w:rPr>
          <w:rFonts w:cstheme="minorHAnsi"/>
          <w:b/>
          <w:bCs/>
          <w:color w:val="000000"/>
          <w:sz w:val="27"/>
          <w:szCs w:val="27"/>
        </w:rPr>
        <w:t>in any of these areas?</w:t>
      </w:r>
      <w:r w:rsidRPr="00401FD6">
        <w:rPr>
          <w:rFonts w:cstheme="minorHAnsi"/>
          <w:b/>
          <w:bCs/>
          <w:color w:val="000000"/>
          <w:sz w:val="27"/>
          <w:szCs w:val="27"/>
        </w:rPr>
        <w:t xml:space="preserve"> E</w:t>
      </w:r>
      <w:r w:rsidR="00C84ECE" w:rsidRPr="00401FD6">
        <w:rPr>
          <w:rFonts w:cstheme="minorHAnsi"/>
          <w:b/>
          <w:bCs/>
          <w:color w:val="000000"/>
          <w:sz w:val="27"/>
          <w:szCs w:val="27"/>
        </w:rPr>
        <w:t>xplain why and what kind of action you consider</w:t>
      </w:r>
      <w:r w:rsidRPr="00401FD6">
        <w:rPr>
          <w:rFonts w:cstheme="minorHAnsi"/>
          <w:b/>
          <w:bCs/>
          <w:color w:val="000000"/>
          <w:sz w:val="27"/>
          <w:szCs w:val="27"/>
        </w:rPr>
        <w:t xml:space="preserve"> </w:t>
      </w:r>
      <w:r w:rsidR="00C84ECE" w:rsidRPr="00401FD6">
        <w:rPr>
          <w:rFonts w:cstheme="minorHAnsi"/>
          <w:b/>
          <w:bCs/>
          <w:color w:val="000000"/>
          <w:sz w:val="27"/>
          <w:szCs w:val="27"/>
        </w:rPr>
        <w:t>would address the identified problems.</w:t>
      </w:r>
      <w:r w:rsidR="00EB734A" w:rsidRPr="00401FD6">
        <w:rPr>
          <w:rFonts w:cstheme="minorHAnsi"/>
          <w:b/>
          <w:bCs/>
          <w:color w:val="000000"/>
          <w:sz w:val="27"/>
          <w:szCs w:val="27"/>
        </w:rPr>
        <w:t xml:space="preserve"> </w:t>
      </w:r>
      <w:r w:rsidR="00C84ECE" w:rsidRPr="00401FD6">
        <w:rPr>
          <w:rFonts w:cstheme="minorHAnsi"/>
          <w:b/>
          <w:bCs/>
          <w:color w:val="000000"/>
          <w:sz w:val="27"/>
          <w:szCs w:val="27"/>
        </w:rPr>
        <w:t xml:space="preserve">In particular, do you think the EU should consider </w:t>
      </w:r>
      <w:r w:rsidR="00C84ECE" w:rsidRPr="00401FD6">
        <w:rPr>
          <w:rFonts w:cstheme="minorHAnsi"/>
          <w:b/>
          <w:bCs/>
          <w:color w:val="000000"/>
          <w:sz w:val="27"/>
          <w:szCs w:val="27"/>
          <w:u w:val="single"/>
        </w:rPr>
        <w:t>regulatory intervention</w:t>
      </w:r>
      <w:r w:rsidR="00C84ECE" w:rsidRPr="00401FD6">
        <w:rPr>
          <w:rFonts w:cstheme="minorHAnsi"/>
          <w:b/>
          <w:bCs/>
          <w:color w:val="000000"/>
          <w:sz w:val="27"/>
          <w:szCs w:val="27"/>
        </w:rPr>
        <w:t>?</w:t>
      </w:r>
    </w:p>
    <w:p w14:paraId="4E7AFFD1" w14:textId="77777777" w:rsidR="00D03089" w:rsidRPr="002D72B4" w:rsidRDefault="00D03089" w:rsidP="00710347">
      <w:pPr>
        <w:autoSpaceDE w:val="0"/>
        <w:autoSpaceDN w:val="0"/>
        <w:adjustRightInd w:val="0"/>
        <w:spacing w:after="0" w:line="240" w:lineRule="auto"/>
        <w:ind w:right="144"/>
        <w:rPr>
          <w:rFonts w:cstheme="minorHAnsi"/>
          <w:color w:val="666666"/>
        </w:rPr>
      </w:pPr>
      <w:bookmarkStart w:id="0" w:name="_GoBack"/>
      <w:bookmarkEnd w:id="0"/>
    </w:p>
    <w:p w14:paraId="5FB4DB80" w14:textId="77777777" w:rsidR="00FB3A2D" w:rsidRPr="002D72B4" w:rsidRDefault="00FB3A2D" w:rsidP="00710347">
      <w:pPr>
        <w:autoSpaceDE w:val="0"/>
        <w:autoSpaceDN w:val="0"/>
        <w:adjustRightInd w:val="0"/>
        <w:spacing w:after="0" w:line="240" w:lineRule="auto"/>
        <w:ind w:right="144"/>
        <w:rPr>
          <w:rFonts w:cstheme="minorHAnsi"/>
        </w:rPr>
      </w:pPr>
    </w:p>
    <w:p w14:paraId="3855B0E4" w14:textId="77777777" w:rsidR="00FB3A2D" w:rsidRPr="002D72B4" w:rsidRDefault="00FB3A2D" w:rsidP="00710347">
      <w:pPr>
        <w:autoSpaceDE w:val="0"/>
        <w:autoSpaceDN w:val="0"/>
        <w:adjustRightInd w:val="0"/>
        <w:spacing w:after="0" w:line="240" w:lineRule="auto"/>
        <w:ind w:right="144"/>
        <w:rPr>
          <w:rFonts w:cstheme="minorHAnsi"/>
        </w:rPr>
      </w:pPr>
      <w:r w:rsidRPr="002D72B4">
        <w:rPr>
          <w:rFonts w:cstheme="minorHAnsi"/>
        </w:rPr>
        <w:t>In order to deal with the growing level of concentration, the EU and member state competition authorities should monitor</w:t>
      </w:r>
      <w:r w:rsidR="00BE7E3F">
        <w:rPr>
          <w:rFonts w:cstheme="minorHAnsi"/>
        </w:rPr>
        <w:t>,</w:t>
      </w:r>
      <w:r w:rsidRPr="002D72B4">
        <w:rPr>
          <w:rFonts w:cstheme="minorHAnsi"/>
        </w:rPr>
        <w:t xml:space="preserve"> and were need be</w:t>
      </w:r>
      <w:r w:rsidR="00BE7E3F">
        <w:rPr>
          <w:rFonts w:cstheme="minorHAnsi"/>
        </w:rPr>
        <w:t>,</w:t>
      </w:r>
      <w:r w:rsidRPr="002D72B4">
        <w:rPr>
          <w:rFonts w:cstheme="minorHAnsi"/>
        </w:rPr>
        <w:t xml:space="preserve"> consider how to use </w:t>
      </w:r>
      <w:r w:rsidR="00BE7E3F">
        <w:rPr>
          <w:rFonts w:cstheme="minorHAnsi"/>
        </w:rPr>
        <w:t xml:space="preserve">EU </w:t>
      </w:r>
      <w:r w:rsidRPr="002D72B4">
        <w:rPr>
          <w:rFonts w:cstheme="minorHAnsi"/>
        </w:rPr>
        <w:t>competition policy regulation.</w:t>
      </w:r>
    </w:p>
    <w:p w14:paraId="4A6FEA2D" w14:textId="77777777" w:rsidR="00FB3A2D" w:rsidRPr="002D72B4" w:rsidRDefault="00FB3A2D" w:rsidP="00710347">
      <w:pPr>
        <w:autoSpaceDE w:val="0"/>
        <w:autoSpaceDN w:val="0"/>
        <w:adjustRightInd w:val="0"/>
        <w:spacing w:after="0" w:line="240" w:lineRule="auto"/>
        <w:ind w:right="144"/>
        <w:rPr>
          <w:rFonts w:cstheme="minorHAnsi"/>
        </w:rPr>
      </w:pPr>
    </w:p>
    <w:p w14:paraId="4277A7E6" w14:textId="77777777" w:rsidR="00666E62" w:rsidRPr="002D72B4" w:rsidRDefault="001D7E8A" w:rsidP="00710347">
      <w:pPr>
        <w:autoSpaceDE w:val="0"/>
        <w:autoSpaceDN w:val="0"/>
        <w:adjustRightInd w:val="0"/>
        <w:spacing w:after="0" w:line="240" w:lineRule="auto"/>
        <w:ind w:right="144"/>
        <w:rPr>
          <w:rFonts w:cstheme="minorHAnsi"/>
        </w:rPr>
      </w:pPr>
      <w:r w:rsidRPr="002D72B4">
        <w:rPr>
          <w:rFonts w:cstheme="minorHAnsi"/>
        </w:rPr>
        <w:t xml:space="preserve">Given that </w:t>
      </w:r>
      <w:r w:rsidR="00BE7E3F">
        <w:rPr>
          <w:rFonts w:cstheme="minorHAnsi"/>
        </w:rPr>
        <w:t xml:space="preserve">various </w:t>
      </w:r>
      <w:r w:rsidRPr="002D72B4">
        <w:rPr>
          <w:rFonts w:cstheme="minorHAnsi"/>
        </w:rPr>
        <w:t xml:space="preserve">EU laws require </w:t>
      </w:r>
      <w:r w:rsidR="00666E62" w:rsidRPr="002D72B4">
        <w:rPr>
          <w:rFonts w:cstheme="minorHAnsi"/>
        </w:rPr>
        <w:t xml:space="preserve">the consideration of </w:t>
      </w:r>
      <w:r w:rsidRPr="002D72B4">
        <w:rPr>
          <w:rFonts w:cstheme="minorHAnsi"/>
        </w:rPr>
        <w:t xml:space="preserve">ESG risks and factors to be </w:t>
      </w:r>
      <w:r w:rsidR="00666E62" w:rsidRPr="002D72B4">
        <w:rPr>
          <w:rFonts w:cstheme="minorHAnsi"/>
        </w:rPr>
        <w:t>repor</w:t>
      </w:r>
      <w:r w:rsidRPr="002D72B4">
        <w:rPr>
          <w:rFonts w:cstheme="minorHAnsi"/>
        </w:rPr>
        <w:t>t</w:t>
      </w:r>
      <w:r w:rsidR="00666E62" w:rsidRPr="002D72B4">
        <w:rPr>
          <w:rFonts w:cstheme="minorHAnsi"/>
        </w:rPr>
        <w:t xml:space="preserve">ed and used, it is necessary to regulate the ESG data/research/rating business. </w:t>
      </w:r>
    </w:p>
    <w:p w14:paraId="0370FD72" w14:textId="77777777" w:rsidR="00BE7E3F" w:rsidRDefault="00BE7E3F" w:rsidP="00710347">
      <w:pPr>
        <w:autoSpaceDE w:val="0"/>
        <w:autoSpaceDN w:val="0"/>
        <w:adjustRightInd w:val="0"/>
        <w:spacing w:after="0" w:line="240" w:lineRule="auto"/>
        <w:ind w:right="144"/>
        <w:rPr>
          <w:rFonts w:cstheme="minorHAnsi"/>
        </w:rPr>
      </w:pPr>
    </w:p>
    <w:p w14:paraId="20B7BE8E" w14:textId="77777777" w:rsidR="00666E62" w:rsidRPr="002D72B4" w:rsidRDefault="00666E62" w:rsidP="00710347">
      <w:pPr>
        <w:autoSpaceDE w:val="0"/>
        <w:autoSpaceDN w:val="0"/>
        <w:adjustRightInd w:val="0"/>
        <w:spacing w:after="0" w:line="240" w:lineRule="auto"/>
        <w:ind w:right="144"/>
        <w:rPr>
          <w:rFonts w:cstheme="minorHAnsi"/>
        </w:rPr>
      </w:pPr>
      <w:r w:rsidRPr="002D72B4">
        <w:rPr>
          <w:rFonts w:cstheme="minorHAnsi"/>
        </w:rPr>
        <w:t>R</w:t>
      </w:r>
      <w:r w:rsidR="00BE7E3F">
        <w:rPr>
          <w:rFonts w:cstheme="minorHAnsi"/>
        </w:rPr>
        <w:t xml:space="preserve">esearch mentioned above reveals amongst others </w:t>
      </w:r>
      <w:r w:rsidRPr="002D72B4">
        <w:rPr>
          <w:rFonts w:cstheme="minorHAnsi"/>
        </w:rPr>
        <w:t>that:</w:t>
      </w:r>
    </w:p>
    <w:p w14:paraId="441613A5" w14:textId="77777777" w:rsidR="00666E62" w:rsidRPr="002D72B4" w:rsidRDefault="00666E62" w:rsidP="00710347">
      <w:pPr>
        <w:pStyle w:val="ListParagraph"/>
        <w:numPr>
          <w:ilvl w:val="0"/>
          <w:numId w:val="4"/>
        </w:numPr>
        <w:autoSpaceDE w:val="0"/>
        <w:autoSpaceDN w:val="0"/>
        <w:adjustRightInd w:val="0"/>
        <w:spacing w:after="0" w:line="240" w:lineRule="auto"/>
        <w:ind w:right="144"/>
        <w:rPr>
          <w:rFonts w:cstheme="minorHAnsi"/>
        </w:rPr>
      </w:pPr>
      <w:r w:rsidRPr="002D72B4">
        <w:rPr>
          <w:rFonts w:cstheme="minorHAnsi"/>
        </w:rPr>
        <w:t>There is a lack of transparency about t</w:t>
      </w:r>
      <w:r w:rsidR="001D7E8A" w:rsidRPr="002D72B4">
        <w:rPr>
          <w:rFonts w:cstheme="minorHAnsi"/>
        </w:rPr>
        <w:t xml:space="preserve">he </w:t>
      </w:r>
      <w:r w:rsidR="00D318DC" w:rsidRPr="002D72B4">
        <w:rPr>
          <w:rFonts w:cstheme="minorHAnsi"/>
        </w:rPr>
        <w:t xml:space="preserve">ESG </w:t>
      </w:r>
      <w:r w:rsidRPr="002D72B4">
        <w:rPr>
          <w:rFonts w:cstheme="minorHAnsi"/>
        </w:rPr>
        <w:t>data used, their measurements and the scope</w:t>
      </w:r>
      <w:r w:rsidR="00BE7E3F">
        <w:rPr>
          <w:rFonts w:cstheme="minorHAnsi"/>
        </w:rPr>
        <w:t xml:space="preserve">, which </w:t>
      </w:r>
      <w:r w:rsidRPr="002D72B4">
        <w:rPr>
          <w:rFonts w:cstheme="minorHAnsi"/>
        </w:rPr>
        <w:t>make</w:t>
      </w:r>
      <w:r w:rsidR="00BE7E3F">
        <w:rPr>
          <w:rFonts w:cstheme="minorHAnsi"/>
        </w:rPr>
        <w:t>s</w:t>
      </w:r>
      <w:r w:rsidRPr="002D72B4">
        <w:rPr>
          <w:rFonts w:cstheme="minorHAnsi"/>
        </w:rPr>
        <w:t xml:space="preserve"> it difficult for investors to assess what the particular ESG risks and/or impacts are</w:t>
      </w:r>
      <w:r w:rsidR="00BE7E3F">
        <w:rPr>
          <w:rFonts w:cstheme="minorHAnsi"/>
        </w:rPr>
        <w:t>.</w:t>
      </w:r>
    </w:p>
    <w:p w14:paraId="1DFC746A" w14:textId="77777777" w:rsidR="00666E62" w:rsidRPr="002D72B4" w:rsidRDefault="00666E62" w:rsidP="00710347">
      <w:pPr>
        <w:pStyle w:val="ListParagraph"/>
        <w:numPr>
          <w:ilvl w:val="0"/>
          <w:numId w:val="4"/>
        </w:numPr>
        <w:autoSpaceDE w:val="0"/>
        <w:autoSpaceDN w:val="0"/>
        <w:adjustRightInd w:val="0"/>
        <w:spacing w:after="0" w:line="240" w:lineRule="auto"/>
        <w:ind w:right="144"/>
        <w:rPr>
          <w:rFonts w:cstheme="minorHAnsi"/>
        </w:rPr>
      </w:pPr>
      <w:r w:rsidRPr="002D72B4">
        <w:rPr>
          <w:rFonts w:cstheme="minorHAnsi"/>
        </w:rPr>
        <w:t xml:space="preserve">The </w:t>
      </w:r>
      <w:r w:rsidR="00BE7E3F">
        <w:rPr>
          <w:rFonts w:cstheme="minorHAnsi"/>
        </w:rPr>
        <w:t xml:space="preserve">ESG </w:t>
      </w:r>
      <w:r w:rsidRPr="002D72B4">
        <w:rPr>
          <w:rFonts w:cstheme="minorHAnsi"/>
        </w:rPr>
        <w:t>analysts are too thinly allocated per company that is being researched and rated, with use of automated systems; they might be based in different parts of the world, especially seeming to be in cheap labour places</w:t>
      </w:r>
      <w:r w:rsidR="00BE7E3F">
        <w:rPr>
          <w:rFonts w:cstheme="minorHAnsi"/>
        </w:rPr>
        <w:t>.</w:t>
      </w:r>
      <w:r w:rsidR="00253343" w:rsidRPr="002D72B4">
        <w:rPr>
          <w:rFonts w:cstheme="minorHAnsi"/>
        </w:rPr>
        <w:t xml:space="preserve"> </w:t>
      </w:r>
    </w:p>
    <w:p w14:paraId="790AC751" w14:textId="77777777" w:rsidR="00666E62" w:rsidRPr="002D72B4" w:rsidRDefault="00666E62" w:rsidP="00710347">
      <w:pPr>
        <w:pStyle w:val="ListParagraph"/>
        <w:numPr>
          <w:ilvl w:val="0"/>
          <w:numId w:val="4"/>
        </w:numPr>
        <w:autoSpaceDE w:val="0"/>
        <w:autoSpaceDN w:val="0"/>
        <w:adjustRightInd w:val="0"/>
        <w:spacing w:after="0" w:line="240" w:lineRule="auto"/>
        <w:ind w:right="144"/>
        <w:rPr>
          <w:rFonts w:cstheme="minorHAnsi"/>
        </w:rPr>
      </w:pPr>
      <w:r w:rsidRPr="002D72B4">
        <w:rPr>
          <w:rFonts w:cstheme="minorHAnsi"/>
        </w:rPr>
        <w:t>There is a lack of trust in the current ESG ratings, so that investors tend to use different ones, in addition have an in-house ESG research team (what is a good idea)</w:t>
      </w:r>
      <w:r w:rsidR="00BE7E3F">
        <w:rPr>
          <w:rFonts w:cstheme="minorHAnsi"/>
        </w:rPr>
        <w:t xml:space="preserve">; more worrying is that </w:t>
      </w:r>
      <w:r w:rsidRPr="002D72B4">
        <w:rPr>
          <w:rFonts w:cstheme="minorHAnsi"/>
        </w:rPr>
        <w:t xml:space="preserve">ESG ratings are used by those wanting to easily develop ESG financial products without thorough research (which competitors might do). </w:t>
      </w:r>
    </w:p>
    <w:p w14:paraId="2D8D7333" w14:textId="77777777" w:rsidR="00BE7E3F" w:rsidRDefault="00BE7E3F" w:rsidP="00BE7E3F">
      <w:pPr>
        <w:pStyle w:val="ListParagraph"/>
        <w:numPr>
          <w:ilvl w:val="0"/>
          <w:numId w:val="4"/>
        </w:numPr>
        <w:autoSpaceDE w:val="0"/>
        <w:autoSpaceDN w:val="0"/>
        <w:adjustRightInd w:val="0"/>
        <w:spacing w:after="0" w:line="240" w:lineRule="auto"/>
        <w:ind w:right="144"/>
        <w:rPr>
          <w:rFonts w:cstheme="minorHAnsi"/>
        </w:rPr>
      </w:pPr>
      <w:r>
        <w:rPr>
          <w:rFonts w:cstheme="minorHAnsi"/>
        </w:rPr>
        <w:t xml:space="preserve">There are a few ESG firms and data sets that are being </w:t>
      </w:r>
      <w:r w:rsidR="002A225C">
        <w:rPr>
          <w:rFonts w:cstheme="minorHAnsi"/>
        </w:rPr>
        <w:t xml:space="preserve">frequently </w:t>
      </w:r>
      <w:r>
        <w:rPr>
          <w:rFonts w:cstheme="minorHAnsi"/>
        </w:rPr>
        <w:t>used by many investors.</w:t>
      </w:r>
    </w:p>
    <w:p w14:paraId="26894046" w14:textId="77777777" w:rsidR="001D7E8A" w:rsidRPr="002D72B4" w:rsidRDefault="00BE7E3F" w:rsidP="00710347">
      <w:pPr>
        <w:pStyle w:val="ListParagraph"/>
        <w:numPr>
          <w:ilvl w:val="0"/>
          <w:numId w:val="4"/>
        </w:numPr>
        <w:autoSpaceDE w:val="0"/>
        <w:autoSpaceDN w:val="0"/>
        <w:adjustRightInd w:val="0"/>
        <w:spacing w:after="0" w:line="240" w:lineRule="auto"/>
        <w:ind w:right="144"/>
        <w:rPr>
          <w:rFonts w:cstheme="minorHAnsi"/>
        </w:rPr>
      </w:pPr>
      <w:r>
        <w:rPr>
          <w:rFonts w:cstheme="minorHAnsi"/>
        </w:rPr>
        <w:t xml:space="preserve">The </w:t>
      </w:r>
      <w:r w:rsidR="002A225C">
        <w:rPr>
          <w:rFonts w:cstheme="minorHAnsi"/>
        </w:rPr>
        <w:t xml:space="preserve">frequently </w:t>
      </w:r>
      <w:r>
        <w:rPr>
          <w:rFonts w:cstheme="minorHAnsi"/>
        </w:rPr>
        <w:t xml:space="preserve">used </w:t>
      </w:r>
      <w:r w:rsidR="00253343" w:rsidRPr="002D72B4">
        <w:rPr>
          <w:rFonts w:cstheme="minorHAnsi"/>
        </w:rPr>
        <w:t xml:space="preserve">ESG firms are being acquired by the </w:t>
      </w:r>
      <w:r>
        <w:rPr>
          <w:rFonts w:cstheme="minorHAnsi"/>
        </w:rPr>
        <w:t xml:space="preserve">existing </w:t>
      </w:r>
      <w:r w:rsidR="00253343" w:rsidRPr="002D72B4">
        <w:rPr>
          <w:rFonts w:cstheme="minorHAnsi"/>
        </w:rPr>
        <w:t xml:space="preserve">dominant large rating agencies, which means that the ultimate owners are not based in the EU. These ESG firms are often being integrated and used in different strategies and products of the mother CRAs.  </w:t>
      </w:r>
    </w:p>
    <w:p w14:paraId="7A73819C" w14:textId="77777777" w:rsidR="00253343" w:rsidRPr="002D72B4" w:rsidRDefault="00253343" w:rsidP="00710347">
      <w:pPr>
        <w:autoSpaceDE w:val="0"/>
        <w:autoSpaceDN w:val="0"/>
        <w:adjustRightInd w:val="0"/>
        <w:spacing w:after="0" w:line="240" w:lineRule="auto"/>
        <w:ind w:left="360" w:right="144"/>
        <w:rPr>
          <w:rFonts w:cstheme="minorHAnsi"/>
        </w:rPr>
      </w:pPr>
    </w:p>
    <w:p w14:paraId="3C40491D" w14:textId="77777777" w:rsidR="00D318DC" w:rsidRPr="002D72B4" w:rsidRDefault="00253343" w:rsidP="00710347">
      <w:pPr>
        <w:autoSpaceDE w:val="0"/>
        <w:autoSpaceDN w:val="0"/>
        <w:adjustRightInd w:val="0"/>
        <w:spacing w:after="0" w:line="240" w:lineRule="auto"/>
        <w:ind w:right="144"/>
        <w:rPr>
          <w:rFonts w:cstheme="minorHAnsi"/>
        </w:rPr>
      </w:pPr>
      <w:r w:rsidRPr="002D72B4">
        <w:rPr>
          <w:rFonts w:cstheme="minorHAnsi"/>
        </w:rPr>
        <w:t>When regulating</w:t>
      </w:r>
      <w:r w:rsidR="00CD37FD" w:rsidRPr="002D72B4">
        <w:rPr>
          <w:rFonts w:cstheme="minorHAnsi"/>
        </w:rPr>
        <w:t xml:space="preserve"> ESG data, research and rating firms,</w:t>
      </w:r>
      <w:r w:rsidRPr="002D72B4">
        <w:rPr>
          <w:rFonts w:cstheme="minorHAnsi"/>
        </w:rPr>
        <w:t xml:space="preserve"> the first question is whether to initiate a new </w:t>
      </w:r>
      <w:r w:rsidR="00BE7E3F">
        <w:rPr>
          <w:rFonts w:cstheme="minorHAnsi"/>
        </w:rPr>
        <w:t xml:space="preserve">EU </w:t>
      </w:r>
      <w:r w:rsidRPr="002D72B4">
        <w:rPr>
          <w:rFonts w:cstheme="minorHAnsi"/>
        </w:rPr>
        <w:t>law or to amend the exiting EU Regulation</w:t>
      </w:r>
      <w:r w:rsidR="0039171D" w:rsidRPr="002D72B4">
        <w:rPr>
          <w:rFonts w:cstheme="minorHAnsi"/>
        </w:rPr>
        <w:t xml:space="preserve"> on Credit Rating Agencies (Regulation nr </w:t>
      </w:r>
      <w:r w:rsidRPr="002D72B4">
        <w:rPr>
          <w:rFonts w:cstheme="minorHAnsi"/>
        </w:rPr>
        <w:t xml:space="preserve">1060/2009, as amended by Regulation </w:t>
      </w:r>
      <w:r w:rsidR="00CD37FD" w:rsidRPr="002D72B4">
        <w:rPr>
          <w:rFonts w:cstheme="minorHAnsi"/>
        </w:rPr>
        <w:t xml:space="preserve">462/2013). Given the fact that </w:t>
      </w:r>
      <w:r w:rsidR="002A225C">
        <w:rPr>
          <w:rFonts w:cstheme="minorHAnsi"/>
        </w:rPr>
        <w:t>(a</w:t>
      </w:r>
      <w:r w:rsidR="00D318DC" w:rsidRPr="002D72B4">
        <w:rPr>
          <w:rFonts w:cstheme="minorHAnsi"/>
        </w:rPr>
        <w:t xml:space="preserve">) some frequently used </w:t>
      </w:r>
      <w:r w:rsidR="00CD37FD" w:rsidRPr="002D72B4">
        <w:rPr>
          <w:rFonts w:cstheme="minorHAnsi"/>
        </w:rPr>
        <w:t xml:space="preserve">ESG firms are now part of, and integrated in, major existing credit rating agencies, </w:t>
      </w:r>
      <w:r w:rsidR="00D318DC" w:rsidRPr="002D72B4">
        <w:rPr>
          <w:rFonts w:cstheme="minorHAnsi"/>
        </w:rPr>
        <w:t xml:space="preserve">and </w:t>
      </w:r>
      <w:r w:rsidR="002A225C">
        <w:rPr>
          <w:rFonts w:cstheme="minorHAnsi"/>
        </w:rPr>
        <w:t>(b</w:t>
      </w:r>
      <w:r w:rsidR="00D318DC" w:rsidRPr="002D72B4">
        <w:rPr>
          <w:rFonts w:cstheme="minorHAnsi"/>
        </w:rPr>
        <w:t>) some ESG factors are or increasingly become material risks which credit rating agencies have to take into account</w:t>
      </w:r>
      <w:r w:rsidR="0039171D" w:rsidRPr="002D72B4">
        <w:rPr>
          <w:rFonts w:cstheme="minorHAnsi"/>
        </w:rPr>
        <w:t xml:space="preserve"> (as required by the ESMA Guidelines issued on 18 July 2019</w:t>
      </w:r>
      <w:r w:rsidR="0039171D" w:rsidRPr="002D72B4">
        <w:rPr>
          <w:rStyle w:val="FootnoteReference"/>
          <w:rFonts w:cstheme="minorHAnsi"/>
        </w:rPr>
        <w:footnoteReference w:id="69"/>
      </w:r>
      <w:r w:rsidR="0039171D" w:rsidRPr="002D72B4">
        <w:rPr>
          <w:rFonts w:cstheme="minorHAnsi"/>
        </w:rPr>
        <w:t>)</w:t>
      </w:r>
      <w:r w:rsidR="00D318DC" w:rsidRPr="002D72B4">
        <w:rPr>
          <w:rFonts w:cstheme="minorHAnsi"/>
        </w:rPr>
        <w:t xml:space="preserve">, </w:t>
      </w:r>
      <w:r w:rsidR="00CD37FD" w:rsidRPr="002D72B4">
        <w:rPr>
          <w:rFonts w:cstheme="minorHAnsi"/>
        </w:rPr>
        <w:t>amending the E</w:t>
      </w:r>
      <w:r w:rsidR="00CE5F15">
        <w:rPr>
          <w:rFonts w:cstheme="minorHAnsi"/>
        </w:rPr>
        <w:t>U</w:t>
      </w:r>
      <w:r w:rsidR="00CD37FD" w:rsidRPr="002D72B4">
        <w:rPr>
          <w:rFonts w:cstheme="minorHAnsi"/>
        </w:rPr>
        <w:t>’s CRA</w:t>
      </w:r>
      <w:r w:rsidR="00CE5F15">
        <w:rPr>
          <w:rFonts w:cstheme="minorHAnsi"/>
        </w:rPr>
        <w:t xml:space="preserve"> Regulation </w:t>
      </w:r>
      <w:r w:rsidR="00CD37FD" w:rsidRPr="002D72B4">
        <w:rPr>
          <w:rFonts w:cstheme="minorHAnsi"/>
        </w:rPr>
        <w:t xml:space="preserve">is likely to be the most effective. </w:t>
      </w:r>
    </w:p>
    <w:p w14:paraId="0941B8BA" w14:textId="77777777" w:rsidR="002A225C" w:rsidRDefault="002A225C" w:rsidP="00710347">
      <w:pPr>
        <w:autoSpaceDE w:val="0"/>
        <w:autoSpaceDN w:val="0"/>
        <w:adjustRightInd w:val="0"/>
        <w:spacing w:after="0" w:line="240" w:lineRule="auto"/>
        <w:ind w:right="144"/>
        <w:rPr>
          <w:rFonts w:cstheme="minorHAnsi"/>
        </w:rPr>
      </w:pPr>
    </w:p>
    <w:p w14:paraId="39586D38" w14:textId="77777777" w:rsidR="00253343" w:rsidRPr="002D72B4" w:rsidRDefault="00CD37FD" w:rsidP="00710347">
      <w:pPr>
        <w:autoSpaceDE w:val="0"/>
        <w:autoSpaceDN w:val="0"/>
        <w:adjustRightInd w:val="0"/>
        <w:spacing w:after="0" w:line="240" w:lineRule="auto"/>
        <w:ind w:right="144"/>
        <w:rPr>
          <w:rFonts w:cstheme="minorHAnsi"/>
        </w:rPr>
      </w:pPr>
      <w:r w:rsidRPr="002D72B4">
        <w:rPr>
          <w:rFonts w:cstheme="minorHAnsi"/>
        </w:rPr>
        <w:t xml:space="preserve">Many basic principles of the CRA Regulation should also be applicable to </w:t>
      </w:r>
      <w:r w:rsidR="002A225C">
        <w:rPr>
          <w:rFonts w:cstheme="minorHAnsi"/>
        </w:rPr>
        <w:t xml:space="preserve">an amended CRA Regulation covering  </w:t>
      </w:r>
      <w:r w:rsidRPr="002D72B4">
        <w:rPr>
          <w:rFonts w:cstheme="minorHAnsi"/>
        </w:rPr>
        <w:t>ESG firms and ESG data, research and rating activities such as:</w:t>
      </w:r>
    </w:p>
    <w:p w14:paraId="1062D949" w14:textId="77777777" w:rsidR="0023556C" w:rsidRPr="002D72B4" w:rsidRDefault="0023556C" w:rsidP="00710347">
      <w:pPr>
        <w:pStyle w:val="ListParagraph"/>
        <w:numPr>
          <w:ilvl w:val="0"/>
          <w:numId w:val="5"/>
        </w:numPr>
        <w:autoSpaceDE w:val="0"/>
        <w:autoSpaceDN w:val="0"/>
        <w:adjustRightInd w:val="0"/>
        <w:spacing w:after="0" w:line="240" w:lineRule="auto"/>
        <w:ind w:right="144"/>
        <w:rPr>
          <w:rFonts w:cstheme="minorHAnsi"/>
        </w:rPr>
      </w:pPr>
      <w:r w:rsidRPr="002D72B4">
        <w:rPr>
          <w:rFonts w:cstheme="minorHAnsi"/>
        </w:rPr>
        <w:t>Transparency about methodologies and models and key rating assumptions</w:t>
      </w:r>
    </w:p>
    <w:p w14:paraId="3B367420" w14:textId="77777777" w:rsidR="0023556C" w:rsidRPr="002D72B4" w:rsidRDefault="0023556C" w:rsidP="00710347">
      <w:pPr>
        <w:pStyle w:val="ListParagraph"/>
        <w:numPr>
          <w:ilvl w:val="0"/>
          <w:numId w:val="5"/>
        </w:numPr>
        <w:autoSpaceDE w:val="0"/>
        <w:autoSpaceDN w:val="0"/>
        <w:adjustRightInd w:val="0"/>
        <w:spacing w:after="0" w:line="240" w:lineRule="auto"/>
        <w:ind w:right="144"/>
        <w:rPr>
          <w:rFonts w:cstheme="minorHAnsi"/>
        </w:rPr>
      </w:pPr>
      <w:r w:rsidRPr="002D72B4">
        <w:rPr>
          <w:rFonts w:cstheme="minorHAnsi"/>
        </w:rPr>
        <w:t>Disclosure and the presentation of the credit ratings</w:t>
      </w:r>
    </w:p>
    <w:p w14:paraId="3311C8B7" w14:textId="77777777" w:rsidR="00CD37FD" w:rsidRPr="002D72B4" w:rsidRDefault="00CD37FD" w:rsidP="00710347">
      <w:pPr>
        <w:pStyle w:val="ListParagraph"/>
        <w:numPr>
          <w:ilvl w:val="0"/>
          <w:numId w:val="5"/>
        </w:numPr>
        <w:autoSpaceDE w:val="0"/>
        <w:autoSpaceDN w:val="0"/>
        <w:adjustRightInd w:val="0"/>
        <w:spacing w:after="0" w:line="240" w:lineRule="auto"/>
        <w:ind w:right="144"/>
        <w:rPr>
          <w:rFonts w:cstheme="minorHAnsi"/>
        </w:rPr>
      </w:pPr>
      <w:r w:rsidRPr="002D72B4">
        <w:rPr>
          <w:rFonts w:cstheme="minorHAnsi"/>
        </w:rPr>
        <w:t>Registration and certification</w:t>
      </w:r>
    </w:p>
    <w:p w14:paraId="4C4DED32" w14:textId="77777777" w:rsidR="00EB535D" w:rsidRPr="002D72B4" w:rsidRDefault="00EB535D" w:rsidP="00710347">
      <w:pPr>
        <w:pStyle w:val="ListParagraph"/>
        <w:numPr>
          <w:ilvl w:val="0"/>
          <w:numId w:val="5"/>
        </w:numPr>
        <w:autoSpaceDE w:val="0"/>
        <w:autoSpaceDN w:val="0"/>
        <w:adjustRightInd w:val="0"/>
        <w:spacing w:after="0" w:line="240" w:lineRule="auto"/>
        <w:ind w:right="144"/>
        <w:rPr>
          <w:rFonts w:cstheme="minorHAnsi"/>
        </w:rPr>
      </w:pPr>
      <w:r w:rsidRPr="002D72B4">
        <w:rPr>
          <w:rFonts w:cstheme="minorHAnsi"/>
        </w:rPr>
        <w:t xml:space="preserve">Organisational </w:t>
      </w:r>
      <w:r w:rsidR="009E4FAC" w:rsidRPr="002D72B4">
        <w:rPr>
          <w:rFonts w:cstheme="minorHAnsi"/>
        </w:rPr>
        <w:t xml:space="preserve">and governance </w:t>
      </w:r>
      <w:r w:rsidRPr="002D72B4">
        <w:rPr>
          <w:rFonts w:cstheme="minorHAnsi"/>
        </w:rPr>
        <w:t>requirements</w:t>
      </w:r>
      <w:r w:rsidR="00E20C93" w:rsidRPr="002D72B4">
        <w:rPr>
          <w:rFonts w:cstheme="minorHAnsi"/>
        </w:rPr>
        <w:t>; ownership issues</w:t>
      </w:r>
    </w:p>
    <w:p w14:paraId="64917366" w14:textId="77777777" w:rsidR="00EB535D" w:rsidRPr="002D72B4" w:rsidRDefault="00EB535D" w:rsidP="00710347">
      <w:pPr>
        <w:pStyle w:val="ListParagraph"/>
        <w:numPr>
          <w:ilvl w:val="0"/>
          <w:numId w:val="5"/>
        </w:numPr>
        <w:autoSpaceDE w:val="0"/>
        <w:autoSpaceDN w:val="0"/>
        <w:adjustRightInd w:val="0"/>
        <w:spacing w:after="0" w:line="240" w:lineRule="auto"/>
        <w:ind w:right="144"/>
        <w:rPr>
          <w:rFonts w:cstheme="minorHAnsi"/>
        </w:rPr>
      </w:pPr>
      <w:r w:rsidRPr="002D72B4">
        <w:rPr>
          <w:rFonts w:cstheme="minorHAnsi"/>
        </w:rPr>
        <w:t>Operational requirements (code of conduct)</w:t>
      </w:r>
    </w:p>
    <w:p w14:paraId="3B0500E6" w14:textId="77777777" w:rsidR="00D318DC" w:rsidRPr="002D72B4" w:rsidRDefault="00D318DC" w:rsidP="00710347">
      <w:pPr>
        <w:pStyle w:val="ListParagraph"/>
        <w:numPr>
          <w:ilvl w:val="0"/>
          <w:numId w:val="5"/>
        </w:numPr>
        <w:autoSpaceDE w:val="0"/>
        <w:autoSpaceDN w:val="0"/>
        <w:adjustRightInd w:val="0"/>
        <w:spacing w:after="0" w:line="240" w:lineRule="auto"/>
        <w:ind w:right="144"/>
        <w:rPr>
          <w:rFonts w:cstheme="minorHAnsi"/>
        </w:rPr>
      </w:pPr>
      <w:r w:rsidRPr="002D72B4">
        <w:rPr>
          <w:rFonts w:cstheme="minorHAnsi"/>
        </w:rPr>
        <w:t>No conflict of interest</w:t>
      </w:r>
    </w:p>
    <w:p w14:paraId="4A004029" w14:textId="77777777" w:rsidR="00BC790C" w:rsidRPr="002D72B4" w:rsidRDefault="00BC790C" w:rsidP="00710347">
      <w:pPr>
        <w:pStyle w:val="ListParagraph"/>
        <w:numPr>
          <w:ilvl w:val="0"/>
          <w:numId w:val="5"/>
        </w:numPr>
        <w:autoSpaceDE w:val="0"/>
        <w:autoSpaceDN w:val="0"/>
        <w:adjustRightInd w:val="0"/>
        <w:spacing w:after="0" w:line="240" w:lineRule="auto"/>
        <w:ind w:right="144"/>
        <w:rPr>
          <w:rFonts w:cstheme="minorHAnsi"/>
        </w:rPr>
      </w:pPr>
      <w:r w:rsidRPr="002D72B4">
        <w:rPr>
          <w:rFonts w:cstheme="minorHAnsi"/>
        </w:rPr>
        <w:t>Supervised and sanctioned by ESMA</w:t>
      </w:r>
      <w:r w:rsidR="00F95C20" w:rsidRPr="002D72B4">
        <w:rPr>
          <w:rFonts w:cstheme="minorHAnsi"/>
        </w:rPr>
        <w:t>: with sufficient expertise, human and financial resources.</w:t>
      </w:r>
    </w:p>
    <w:p w14:paraId="06AA3F1D" w14:textId="77777777" w:rsidR="00CD37FD" w:rsidRPr="002D72B4" w:rsidRDefault="00CD37FD" w:rsidP="00710347">
      <w:pPr>
        <w:autoSpaceDE w:val="0"/>
        <w:autoSpaceDN w:val="0"/>
        <w:adjustRightInd w:val="0"/>
        <w:spacing w:after="0" w:line="240" w:lineRule="auto"/>
        <w:ind w:right="144"/>
        <w:rPr>
          <w:rFonts w:cstheme="minorHAnsi"/>
        </w:rPr>
      </w:pPr>
    </w:p>
    <w:p w14:paraId="4C43E352" w14:textId="77777777" w:rsidR="00EB535D" w:rsidRPr="002D72B4" w:rsidRDefault="00BC790C" w:rsidP="00710347">
      <w:pPr>
        <w:autoSpaceDE w:val="0"/>
        <w:autoSpaceDN w:val="0"/>
        <w:adjustRightInd w:val="0"/>
        <w:spacing w:after="0" w:line="240" w:lineRule="auto"/>
        <w:ind w:right="144"/>
        <w:rPr>
          <w:rFonts w:cstheme="minorHAnsi"/>
        </w:rPr>
      </w:pPr>
      <w:r w:rsidRPr="002D72B4">
        <w:rPr>
          <w:rFonts w:cstheme="minorHAnsi"/>
        </w:rPr>
        <w:t xml:space="preserve">Regarding the </w:t>
      </w:r>
      <w:r w:rsidRPr="002D72B4">
        <w:rPr>
          <w:rFonts w:cstheme="minorHAnsi"/>
          <w:b/>
        </w:rPr>
        <w:t>specificity of the amendments</w:t>
      </w:r>
      <w:r w:rsidRPr="002D72B4">
        <w:rPr>
          <w:rFonts w:cstheme="minorHAnsi"/>
        </w:rPr>
        <w:t xml:space="preserve"> to deal with challenges and requirements of ESG data (</w:t>
      </w:r>
      <w:r w:rsidR="00EB535D" w:rsidRPr="002D72B4">
        <w:rPr>
          <w:rFonts w:cstheme="minorHAnsi"/>
        </w:rPr>
        <w:t>gathering</w:t>
      </w:r>
      <w:r w:rsidRPr="002D72B4">
        <w:rPr>
          <w:rFonts w:cstheme="minorHAnsi"/>
        </w:rPr>
        <w:t xml:space="preserve">), </w:t>
      </w:r>
      <w:r w:rsidR="00EB535D" w:rsidRPr="002D72B4">
        <w:rPr>
          <w:rFonts w:cstheme="minorHAnsi"/>
        </w:rPr>
        <w:t xml:space="preserve">ESG </w:t>
      </w:r>
      <w:r w:rsidRPr="002D72B4">
        <w:rPr>
          <w:rFonts w:cstheme="minorHAnsi"/>
        </w:rPr>
        <w:t xml:space="preserve">research and </w:t>
      </w:r>
      <w:r w:rsidR="00EB535D" w:rsidRPr="002D72B4">
        <w:rPr>
          <w:rFonts w:cstheme="minorHAnsi"/>
        </w:rPr>
        <w:t xml:space="preserve">ESG </w:t>
      </w:r>
      <w:r w:rsidRPr="002D72B4">
        <w:rPr>
          <w:rFonts w:cstheme="minorHAnsi"/>
        </w:rPr>
        <w:t>rating</w:t>
      </w:r>
      <w:r w:rsidR="00EB535D" w:rsidRPr="002D72B4">
        <w:rPr>
          <w:rFonts w:cstheme="minorHAnsi"/>
        </w:rPr>
        <w:t>, the following would be important ingredients:</w:t>
      </w:r>
      <w:r w:rsidR="0023556C" w:rsidRPr="002D72B4">
        <w:rPr>
          <w:rFonts w:cstheme="minorHAnsi"/>
        </w:rPr>
        <w:br/>
      </w:r>
      <w:r w:rsidR="00E202E5" w:rsidRPr="002D72B4">
        <w:rPr>
          <w:rFonts w:cstheme="minorHAnsi"/>
        </w:rPr>
        <w:t xml:space="preserve">1) </w:t>
      </w:r>
      <w:r w:rsidR="000965E6" w:rsidRPr="002D72B4">
        <w:rPr>
          <w:rFonts w:cstheme="minorHAnsi"/>
        </w:rPr>
        <w:t xml:space="preserve">Public </w:t>
      </w:r>
      <w:r w:rsidR="000965E6" w:rsidRPr="002D72B4">
        <w:rPr>
          <w:rFonts w:cstheme="minorHAnsi"/>
          <w:b/>
        </w:rPr>
        <w:t>t</w:t>
      </w:r>
      <w:r w:rsidR="0023556C" w:rsidRPr="002D72B4">
        <w:rPr>
          <w:rFonts w:cstheme="minorHAnsi"/>
          <w:b/>
        </w:rPr>
        <w:t>ransparency</w:t>
      </w:r>
      <w:r w:rsidR="0023556C" w:rsidRPr="002D72B4">
        <w:rPr>
          <w:rFonts w:cstheme="minorHAnsi"/>
        </w:rPr>
        <w:t xml:space="preserve"> </w:t>
      </w:r>
      <w:r w:rsidR="000965E6" w:rsidRPr="002D72B4">
        <w:rPr>
          <w:rFonts w:cstheme="minorHAnsi"/>
        </w:rPr>
        <w:t xml:space="preserve">in general, and in more detail to paying clients, </w:t>
      </w:r>
      <w:r w:rsidR="0023556C" w:rsidRPr="002D72B4">
        <w:rPr>
          <w:rFonts w:cstheme="minorHAnsi"/>
        </w:rPr>
        <w:t>about the</w:t>
      </w:r>
      <w:r w:rsidR="00EB535D" w:rsidRPr="002D72B4">
        <w:rPr>
          <w:rFonts w:cstheme="minorHAnsi"/>
        </w:rPr>
        <w:t>:</w:t>
      </w:r>
    </w:p>
    <w:p w14:paraId="6374ABEF" w14:textId="77777777" w:rsidR="00E202E5" w:rsidRPr="002D72B4" w:rsidRDefault="00E377A7" w:rsidP="00710347">
      <w:pPr>
        <w:pStyle w:val="ListParagraph"/>
        <w:numPr>
          <w:ilvl w:val="0"/>
          <w:numId w:val="4"/>
        </w:numPr>
        <w:autoSpaceDE w:val="0"/>
        <w:autoSpaceDN w:val="0"/>
        <w:adjustRightInd w:val="0"/>
        <w:spacing w:after="0" w:line="240" w:lineRule="auto"/>
        <w:ind w:left="1080" w:right="144"/>
        <w:rPr>
          <w:rFonts w:cstheme="minorHAnsi"/>
        </w:rPr>
      </w:pPr>
      <w:r w:rsidRPr="002D72B4">
        <w:rPr>
          <w:rFonts w:cstheme="minorHAnsi"/>
        </w:rPr>
        <w:t>Source</w:t>
      </w:r>
      <w:r w:rsidR="00E202E5" w:rsidRPr="002D72B4">
        <w:rPr>
          <w:rFonts w:cstheme="minorHAnsi"/>
        </w:rPr>
        <w:t xml:space="preserve"> categories </w:t>
      </w:r>
      <w:r w:rsidRPr="002D72B4">
        <w:rPr>
          <w:rFonts w:cstheme="minorHAnsi"/>
        </w:rPr>
        <w:t xml:space="preserve">of </w:t>
      </w:r>
      <w:r w:rsidR="00E202E5" w:rsidRPr="002D72B4">
        <w:rPr>
          <w:rFonts w:cstheme="minorHAnsi"/>
        </w:rPr>
        <w:t xml:space="preserve">ESG </w:t>
      </w:r>
      <w:r w:rsidRPr="002D72B4">
        <w:rPr>
          <w:rFonts w:cstheme="minorHAnsi"/>
        </w:rPr>
        <w:t>data</w:t>
      </w:r>
      <w:r w:rsidR="002A225C">
        <w:rPr>
          <w:rFonts w:cstheme="minorHAnsi"/>
        </w:rPr>
        <w:t xml:space="preserve"> </w:t>
      </w:r>
      <w:r w:rsidR="002A225C" w:rsidRPr="002D72B4">
        <w:rPr>
          <w:rFonts w:cstheme="minorHAnsi"/>
        </w:rPr>
        <w:t>(e.g. publicly available or not, from the rated company or not)</w:t>
      </w:r>
      <w:r w:rsidR="002A225C">
        <w:rPr>
          <w:rFonts w:cstheme="minorHAnsi"/>
        </w:rPr>
        <w:t>;</w:t>
      </w:r>
    </w:p>
    <w:p w14:paraId="0DF4E64A" w14:textId="77777777" w:rsidR="002A225C" w:rsidRPr="002A225C" w:rsidRDefault="00340B4B" w:rsidP="003F1092">
      <w:pPr>
        <w:pStyle w:val="ListParagraph"/>
        <w:numPr>
          <w:ilvl w:val="0"/>
          <w:numId w:val="4"/>
        </w:numPr>
        <w:autoSpaceDE w:val="0"/>
        <w:autoSpaceDN w:val="0"/>
        <w:adjustRightInd w:val="0"/>
        <w:spacing w:after="0" w:line="240" w:lineRule="auto"/>
        <w:ind w:left="1080" w:right="144"/>
        <w:rPr>
          <w:rFonts w:cstheme="minorHAnsi"/>
        </w:rPr>
      </w:pPr>
      <w:r w:rsidRPr="002D72B4">
        <w:rPr>
          <w:rFonts w:cstheme="minorHAnsi"/>
          <w:bCs/>
        </w:rPr>
        <w:t>Whether</w:t>
      </w:r>
      <w:r w:rsidR="002A225C">
        <w:rPr>
          <w:rFonts w:cstheme="minorHAnsi"/>
          <w:bCs/>
        </w:rPr>
        <w:t>,</w:t>
      </w:r>
      <w:r w:rsidRPr="002D72B4">
        <w:rPr>
          <w:rFonts w:cstheme="minorHAnsi"/>
          <w:bCs/>
        </w:rPr>
        <w:t xml:space="preserve"> and what</w:t>
      </w:r>
      <w:r w:rsidR="002A225C">
        <w:rPr>
          <w:rFonts w:cstheme="minorHAnsi"/>
          <w:bCs/>
        </w:rPr>
        <w:t>,</w:t>
      </w:r>
      <w:r w:rsidRPr="002D72B4">
        <w:rPr>
          <w:rFonts w:cstheme="minorHAnsi"/>
          <w:bCs/>
        </w:rPr>
        <w:t xml:space="preserve"> </w:t>
      </w:r>
      <w:r w:rsidR="00E377A7" w:rsidRPr="002D72B4">
        <w:rPr>
          <w:rFonts w:cstheme="minorHAnsi"/>
          <w:bCs/>
        </w:rPr>
        <w:t xml:space="preserve">the </w:t>
      </w:r>
      <w:r w:rsidRPr="002D72B4">
        <w:rPr>
          <w:rFonts w:cstheme="minorHAnsi"/>
          <w:bCs/>
        </w:rPr>
        <w:t xml:space="preserve">researched or rated </w:t>
      </w:r>
      <w:r w:rsidR="00E377A7" w:rsidRPr="002D72B4">
        <w:rPr>
          <w:rFonts w:cstheme="minorHAnsi"/>
          <w:bCs/>
        </w:rPr>
        <w:t>compan</w:t>
      </w:r>
      <w:r w:rsidRPr="002D72B4">
        <w:rPr>
          <w:rFonts w:cstheme="minorHAnsi"/>
          <w:bCs/>
        </w:rPr>
        <w:t xml:space="preserve">y is reporting </w:t>
      </w:r>
      <w:r w:rsidR="002A225C">
        <w:rPr>
          <w:rFonts w:cstheme="minorHAnsi"/>
          <w:bCs/>
        </w:rPr>
        <w:t xml:space="preserve">on </w:t>
      </w:r>
      <w:r w:rsidRPr="002D72B4">
        <w:rPr>
          <w:rFonts w:cstheme="minorHAnsi"/>
          <w:bCs/>
        </w:rPr>
        <w:t>how much of its activities are according to EU taxonomy,</w:t>
      </w:r>
      <w:r w:rsidR="00E377A7" w:rsidRPr="002D72B4">
        <w:rPr>
          <w:rFonts w:cstheme="minorHAnsi"/>
          <w:bCs/>
        </w:rPr>
        <w:t xml:space="preserve"> as required by NFRD through the amendment</w:t>
      </w:r>
      <w:r w:rsidR="000E352F" w:rsidRPr="002D72B4">
        <w:rPr>
          <w:rFonts w:cstheme="minorHAnsi"/>
          <w:bCs/>
        </w:rPr>
        <w:t xml:space="preserve"> in Art. 8 of the</w:t>
      </w:r>
      <w:r w:rsidR="00096DF2" w:rsidRPr="002D72B4">
        <w:rPr>
          <w:rFonts w:cstheme="minorHAnsi"/>
          <w:bCs/>
        </w:rPr>
        <w:t xml:space="preserve"> EU’s </w:t>
      </w:r>
      <w:r w:rsidR="000E352F" w:rsidRPr="002D72B4">
        <w:rPr>
          <w:rFonts w:cstheme="minorHAnsi"/>
          <w:bCs/>
        </w:rPr>
        <w:t xml:space="preserve">Taxonomy </w:t>
      </w:r>
      <w:r w:rsidR="00096DF2" w:rsidRPr="002D72B4">
        <w:rPr>
          <w:rFonts w:cstheme="minorHAnsi"/>
          <w:bCs/>
        </w:rPr>
        <w:t>Regulation</w:t>
      </w:r>
      <w:r w:rsidR="002A225C">
        <w:rPr>
          <w:rFonts w:cstheme="minorHAnsi"/>
          <w:bCs/>
        </w:rPr>
        <w:t>;</w:t>
      </w:r>
    </w:p>
    <w:p w14:paraId="07335F08" w14:textId="77777777" w:rsidR="000E352F" w:rsidRPr="002D72B4" w:rsidRDefault="00340B4B" w:rsidP="003F1092">
      <w:pPr>
        <w:pStyle w:val="ListParagraph"/>
        <w:numPr>
          <w:ilvl w:val="0"/>
          <w:numId w:val="4"/>
        </w:numPr>
        <w:autoSpaceDE w:val="0"/>
        <w:autoSpaceDN w:val="0"/>
        <w:adjustRightInd w:val="0"/>
        <w:spacing w:after="0" w:line="240" w:lineRule="auto"/>
        <w:ind w:left="1080" w:right="144"/>
        <w:rPr>
          <w:rFonts w:cstheme="minorHAnsi"/>
        </w:rPr>
      </w:pPr>
      <w:r w:rsidRPr="002D72B4">
        <w:rPr>
          <w:rFonts w:cstheme="minorHAnsi"/>
        </w:rPr>
        <w:t>Whether the data are about ESG characteristics, ESG material risks and/or ESG impacts (the latter being gathered by on the ground investigations and verifications, up to what level of the supply chain</w:t>
      </w:r>
      <w:r w:rsidR="000E352F" w:rsidRPr="002D72B4">
        <w:rPr>
          <w:rFonts w:cstheme="minorHAnsi"/>
        </w:rPr>
        <w:t>)</w:t>
      </w:r>
      <w:r w:rsidR="002A225C">
        <w:rPr>
          <w:rFonts w:cstheme="minorHAnsi"/>
        </w:rPr>
        <w:t xml:space="preserve"> of the company: the purpose would be to give an idea in how far the ESG data, research and rating are reflecting the (long term) effective impact on the environment and society, i.e. sustainability, of the company</w:t>
      </w:r>
    </w:p>
    <w:p w14:paraId="58D16795" w14:textId="77777777" w:rsidR="00340B4B" w:rsidRPr="002D72B4" w:rsidRDefault="000E352F" w:rsidP="00710347">
      <w:pPr>
        <w:pStyle w:val="ListParagraph"/>
        <w:numPr>
          <w:ilvl w:val="0"/>
          <w:numId w:val="4"/>
        </w:numPr>
        <w:autoSpaceDE w:val="0"/>
        <w:autoSpaceDN w:val="0"/>
        <w:adjustRightInd w:val="0"/>
        <w:spacing w:after="0" w:line="240" w:lineRule="auto"/>
        <w:ind w:left="1080" w:right="144"/>
        <w:rPr>
          <w:rFonts w:cstheme="minorHAnsi"/>
        </w:rPr>
      </w:pPr>
      <w:r w:rsidRPr="002D72B4">
        <w:rPr>
          <w:rFonts w:cstheme="minorHAnsi"/>
        </w:rPr>
        <w:t xml:space="preserve">The </w:t>
      </w:r>
      <w:r w:rsidR="00340B4B" w:rsidRPr="002D72B4">
        <w:rPr>
          <w:rFonts w:cstheme="minorHAnsi"/>
          <w:bCs/>
        </w:rPr>
        <w:t>scope of th</w:t>
      </w:r>
      <w:r w:rsidRPr="002D72B4">
        <w:rPr>
          <w:rFonts w:cstheme="minorHAnsi"/>
          <w:bCs/>
        </w:rPr>
        <w:t xml:space="preserve">e ESG issues or categories covered </w:t>
      </w:r>
    </w:p>
    <w:p w14:paraId="747FA960" w14:textId="77777777" w:rsidR="00EB535D" w:rsidRPr="002D72B4" w:rsidRDefault="000E352F" w:rsidP="00710347">
      <w:pPr>
        <w:pStyle w:val="ListParagraph"/>
        <w:numPr>
          <w:ilvl w:val="0"/>
          <w:numId w:val="4"/>
        </w:numPr>
        <w:spacing w:after="0" w:line="240" w:lineRule="auto"/>
        <w:ind w:left="1080" w:right="144"/>
        <w:rPr>
          <w:rFonts w:cstheme="minorHAnsi"/>
          <w:bCs/>
        </w:rPr>
      </w:pPr>
      <w:r w:rsidRPr="002D72B4">
        <w:rPr>
          <w:rFonts w:cstheme="minorHAnsi"/>
          <w:bCs/>
        </w:rPr>
        <w:t>T</w:t>
      </w:r>
      <w:r w:rsidR="00EB535D" w:rsidRPr="002D72B4">
        <w:rPr>
          <w:rFonts w:cstheme="minorHAnsi"/>
          <w:bCs/>
        </w:rPr>
        <w:t>he methodologies used for measuring aggregation of ESG data to come to a credit rating</w:t>
      </w:r>
      <w:r w:rsidR="00EB535D" w:rsidRPr="002D72B4">
        <w:rPr>
          <w:rFonts w:cstheme="minorHAnsi"/>
          <w:bCs/>
          <w:vertAlign w:val="superscript"/>
        </w:rPr>
        <w:footnoteReference w:id="70"/>
      </w:r>
      <w:r w:rsidR="00EB535D" w:rsidRPr="002D72B4">
        <w:rPr>
          <w:rFonts w:cstheme="minorHAnsi"/>
          <w:bCs/>
        </w:rPr>
        <w:t xml:space="preserve"> </w:t>
      </w:r>
    </w:p>
    <w:p w14:paraId="6091B771" w14:textId="77777777" w:rsidR="0023556C" w:rsidRPr="002D72B4" w:rsidRDefault="000E352F" w:rsidP="00710347">
      <w:pPr>
        <w:pStyle w:val="ListParagraph"/>
        <w:numPr>
          <w:ilvl w:val="0"/>
          <w:numId w:val="4"/>
        </w:numPr>
        <w:autoSpaceDE w:val="0"/>
        <w:autoSpaceDN w:val="0"/>
        <w:adjustRightInd w:val="0"/>
        <w:spacing w:after="0" w:line="240" w:lineRule="auto"/>
        <w:ind w:left="1080" w:right="144"/>
        <w:rPr>
          <w:rFonts w:cstheme="minorHAnsi"/>
        </w:rPr>
      </w:pPr>
      <w:r w:rsidRPr="002D72B4">
        <w:rPr>
          <w:rFonts w:cstheme="minorHAnsi"/>
        </w:rPr>
        <w:t>T</w:t>
      </w:r>
      <w:r w:rsidR="00EB535D" w:rsidRPr="002D72B4">
        <w:rPr>
          <w:rFonts w:cstheme="minorHAnsi"/>
        </w:rPr>
        <w:t xml:space="preserve">he </w:t>
      </w:r>
      <w:r w:rsidR="0023556C" w:rsidRPr="002D72B4">
        <w:rPr>
          <w:rFonts w:cstheme="minorHAnsi"/>
        </w:rPr>
        <w:t xml:space="preserve">frequency of updating </w:t>
      </w:r>
      <w:r w:rsidR="00F95C20" w:rsidRPr="002D72B4">
        <w:rPr>
          <w:rFonts w:cstheme="minorHAnsi"/>
        </w:rPr>
        <w:t>of the ESG data</w:t>
      </w:r>
    </w:p>
    <w:p w14:paraId="513755B9" w14:textId="77777777" w:rsidR="00340B4B" w:rsidRPr="002D72B4" w:rsidRDefault="00340B4B" w:rsidP="00710347">
      <w:pPr>
        <w:pStyle w:val="ListParagraph"/>
        <w:numPr>
          <w:ilvl w:val="0"/>
          <w:numId w:val="4"/>
        </w:numPr>
        <w:autoSpaceDE w:val="0"/>
        <w:autoSpaceDN w:val="0"/>
        <w:adjustRightInd w:val="0"/>
        <w:spacing w:after="0" w:line="240" w:lineRule="auto"/>
        <w:ind w:left="1080" w:right="144"/>
        <w:rPr>
          <w:rFonts w:cstheme="minorHAnsi"/>
        </w:rPr>
      </w:pPr>
      <w:r w:rsidRPr="002D72B4">
        <w:rPr>
          <w:rFonts w:cstheme="minorHAnsi"/>
        </w:rPr>
        <w:t>Whether</w:t>
      </w:r>
      <w:r w:rsidR="000E352F" w:rsidRPr="002D72B4">
        <w:rPr>
          <w:rFonts w:cstheme="minorHAnsi"/>
        </w:rPr>
        <w:t xml:space="preserve"> </w:t>
      </w:r>
      <w:r w:rsidRPr="002D72B4">
        <w:rPr>
          <w:rFonts w:cstheme="minorHAnsi"/>
        </w:rPr>
        <w:t>and how forwar</w:t>
      </w:r>
      <w:r w:rsidR="002A225C">
        <w:rPr>
          <w:rFonts w:cstheme="minorHAnsi"/>
        </w:rPr>
        <w:t>d looking models have been used</w:t>
      </w:r>
    </w:p>
    <w:p w14:paraId="52E074B8" w14:textId="77777777" w:rsidR="00340B4B" w:rsidRPr="002D72B4" w:rsidRDefault="00340B4B" w:rsidP="00710347">
      <w:pPr>
        <w:autoSpaceDE w:val="0"/>
        <w:autoSpaceDN w:val="0"/>
        <w:adjustRightInd w:val="0"/>
        <w:spacing w:after="0" w:line="240" w:lineRule="auto"/>
        <w:ind w:left="720" w:right="144"/>
        <w:rPr>
          <w:rFonts w:cstheme="minorHAnsi"/>
        </w:rPr>
      </w:pPr>
    </w:p>
    <w:p w14:paraId="07EAA0DF" w14:textId="77777777" w:rsidR="00E377A7" w:rsidRPr="002D72B4" w:rsidRDefault="00E202E5" w:rsidP="00710347">
      <w:pPr>
        <w:autoSpaceDE w:val="0"/>
        <w:autoSpaceDN w:val="0"/>
        <w:adjustRightInd w:val="0"/>
        <w:spacing w:after="0" w:line="240" w:lineRule="auto"/>
        <w:ind w:left="360" w:right="144"/>
        <w:rPr>
          <w:rFonts w:cstheme="minorHAnsi"/>
        </w:rPr>
      </w:pPr>
      <w:r w:rsidRPr="002D72B4">
        <w:rPr>
          <w:rFonts w:cstheme="minorHAnsi"/>
        </w:rPr>
        <w:t xml:space="preserve">2) </w:t>
      </w:r>
      <w:r w:rsidR="00E377A7" w:rsidRPr="002D72B4">
        <w:rPr>
          <w:rFonts w:cstheme="minorHAnsi"/>
        </w:rPr>
        <w:t xml:space="preserve">The </w:t>
      </w:r>
      <w:r w:rsidR="00E377A7" w:rsidRPr="002D72B4">
        <w:rPr>
          <w:rFonts w:cstheme="minorHAnsi"/>
          <w:b/>
        </w:rPr>
        <w:t>quality of the staff</w:t>
      </w:r>
      <w:r w:rsidR="00E377A7" w:rsidRPr="002D72B4">
        <w:rPr>
          <w:rFonts w:cstheme="minorHAnsi"/>
        </w:rPr>
        <w:t xml:space="preserve"> allocated to the preparation of sustainability-related products and services, including their level of experience and seniority, and the average number of companies or financial products covered </w:t>
      </w:r>
      <w:r w:rsidR="002A225C">
        <w:rPr>
          <w:rFonts w:cstheme="minorHAnsi"/>
        </w:rPr>
        <w:t>per analyst.</w:t>
      </w:r>
    </w:p>
    <w:p w14:paraId="4F2A3F50" w14:textId="77777777" w:rsidR="0023556C" w:rsidRPr="002D72B4" w:rsidRDefault="00E202E5" w:rsidP="00710347">
      <w:pPr>
        <w:autoSpaceDE w:val="0"/>
        <w:autoSpaceDN w:val="0"/>
        <w:adjustRightInd w:val="0"/>
        <w:spacing w:after="0" w:line="240" w:lineRule="auto"/>
        <w:ind w:left="360" w:right="144"/>
        <w:rPr>
          <w:rFonts w:cstheme="minorHAnsi"/>
        </w:rPr>
      </w:pPr>
      <w:r w:rsidRPr="002D72B4">
        <w:rPr>
          <w:rFonts w:cstheme="minorHAnsi"/>
        </w:rPr>
        <w:t xml:space="preserve">3) </w:t>
      </w:r>
      <w:r w:rsidR="0023556C" w:rsidRPr="002D72B4">
        <w:rPr>
          <w:rFonts w:cstheme="minorHAnsi"/>
        </w:rPr>
        <w:t xml:space="preserve">The </w:t>
      </w:r>
      <w:r w:rsidR="0023556C" w:rsidRPr="002D72B4">
        <w:rPr>
          <w:rFonts w:cstheme="minorHAnsi"/>
          <w:b/>
        </w:rPr>
        <w:t>use of ESG data</w:t>
      </w:r>
      <w:r w:rsidR="0023556C" w:rsidRPr="002D72B4">
        <w:rPr>
          <w:rFonts w:cstheme="minorHAnsi"/>
        </w:rPr>
        <w:t>, research and ratings</w:t>
      </w:r>
      <w:r w:rsidR="00032988" w:rsidRPr="002D72B4">
        <w:rPr>
          <w:rFonts w:cstheme="minorHAnsi"/>
        </w:rPr>
        <w:t>: s</w:t>
      </w:r>
      <w:r w:rsidR="0039171D" w:rsidRPr="002D72B4">
        <w:rPr>
          <w:rFonts w:cstheme="minorHAnsi"/>
        </w:rPr>
        <w:t xml:space="preserve">pecific attention </w:t>
      </w:r>
      <w:r w:rsidR="00032988" w:rsidRPr="002D72B4">
        <w:rPr>
          <w:rFonts w:cstheme="minorHAnsi"/>
        </w:rPr>
        <w:t xml:space="preserve">should be paid </w:t>
      </w:r>
      <w:r w:rsidR="0039171D" w:rsidRPr="002D72B4">
        <w:rPr>
          <w:rFonts w:cstheme="minorHAnsi"/>
        </w:rPr>
        <w:t xml:space="preserve">to preventing </w:t>
      </w:r>
      <w:r w:rsidR="0023556C" w:rsidRPr="002D72B4">
        <w:rPr>
          <w:rFonts w:cstheme="minorHAnsi"/>
        </w:rPr>
        <w:t>over-reliance on ESG ratings</w:t>
      </w:r>
      <w:r w:rsidR="00032988" w:rsidRPr="002D72B4">
        <w:rPr>
          <w:rFonts w:cstheme="minorHAnsi"/>
        </w:rPr>
        <w:t xml:space="preserve"> with </w:t>
      </w:r>
      <w:r w:rsidR="0023556C" w:rsidRPr="002D72B4">
        <w:rPr>
          <w:rFonts w:cstheme="minorHAnsi"/>
        </w:rPr>
        <w:t>specif</w:t>
      </w:r>
      <w:r w:rsidR="00032988" w:rsidRPr="002D72B4">
        <w:rPr>
          <w:rFonts w:cstheme="minorHAnsi"/>
        </w:rPr>
        <w:t xml:space="preserve">ication </w:t>
      </w:r>
      <w:r w:rsidR="0023556C" w:rsidRPr="002D72B4">
        <w:rPr>
          <w:rFonts w:cstheme="minorHAnsi"/>
        </w:rPr>
        <w:t>to reduce</w:t>
      </w:r>
      <w:r w:rsidR="002A225C">
        <w:rPr>
          <w:rFonts w:cstheme="minorHAnsi"/>
        </w:rPr>
        <w:t>,</w:t>
      </w:r>
      <w:r w:rsidR="0023556C" w:rsidRPr="002D72B4">
        <w:rPr>
          <w:rFonts w:cstheme="minorHAnsi"/>
        </w:rPr>
        <w:t xml:space="preserve"> or forbid for products with ESG characteristics or sustainable impact claims, the </w:t>
      </w:r>
      <w:r w:rsidR="00032988" w:rsidRPr="002D72B4">
        <w:rPr>
          <w:rFonts w:cstheme="minorHAnsi"/>
        </w:rPr>
        <w:t>“</w:t>
      </w:r>
      <w:r w:rsidR="0023556C" w:rsidRPr="002D72B4">
        <w:rPr>
          <w:rFonts w:cstheme="minorHAnsi"/>
        </w:rPr>
        <w:t>sole and mechanistic reliance</w:t>
      </w:r>
      <w:r w:rsidR="00032988" w:rsidRPr="002D72B4">
        <w:rPr>
          <w:rFonts w:cstheme="minorHAnsi"/>
        </w:rPr>
        <w:t>”</w:t>
      </w:r>
      <w:r w:rsidR="0023556C" w:rsidRPr="002D72B4">
        <w:rPr>
          <w:rFonts w:cstheme="minorHAnsi"/>
        </w:rPr>
        <w:t xml:space="preserve"> on ESG ratings (</w:t>
      </w:r>
      <w:r w:rsidR="00032988" w:rsidRPr="002D72B4">
        <w:rPr>
          <w:rFonts w:cstheme="minorHAnsi"/>
        </w:rPr>
        <w:t xml:space="preserve">in the same way as </w:t>
      </w:r>
      <w:r w:rsidR="0023556C" w:rsidRPr="002D72B4">
        <w:rPr>
          <w:rFonts w:cstheme="minorHAnsi"/>
        </w:rPr>
        <w:t xml:space="preserve">Directive 2013/14/EU) </w:t>
      </w:r>
      <w:r w:rsidR="002A225C">
        <w:rPr>
          <w:rFonts w:cstheme="minorHAnsi"/>
        </w:rPr>
        <w:t xml:space="preserve">requires from various </w:t>
      </w:r>
      <w:r w:rsidR="0023556C" w:rsidRPr="002D72B4">
        <w:rPr>
          <w:rFonts w:cstheme="minorHAnsi"/>
        </w:rPr>
        <w:t>financial players)</w:t>
      </w:r>
    </w:p>
    <w:p w14:paraId="22CBB1A9" w14:textId="77777777" w:rsidR="00BC790C" w:rsidRPr="002D72B4" w:rsidRDefault="00032988" w:rsidP="00710347">
      <w:pPr>
        <w:autoSpaceDE w:val="0"/>
        <w:autoSpaceDN w:val="0"/>
        <w:adjustRightInd w:val="0"/>
        <w:spacing w:after="0" w:line="240" w:lineRule="auto"/>
        <w:ind w:left="360" w:right="144"/>
        <w:rPr>
          <w:rFonts w:cstheme="minorHAnsi"/>
        </w:rPr>
      </w:pPr>
      <w:r w:rsidRPr="002D72B4">
        <w:rPr>
          <w:rFonts w:cstheme="minorHAnsi"/>
        </w:rPr>
        <w:t xml:space="preserve">4) The use of ESG of climate, the environmental and social </w:t>
      </w:r>
      <w:r w:rsidRPr="002D72B4">
        <w:rPr>
          <w:rFonts w:cstheme="minorHAnsi"/>
          <w:b/>
        </w:rPr>
        <w:t>impact assessments</w:t>
      </w:r>
      <w:r w:rsidRPr="002D72B4">
        <w:rPr>
          <w:rFonts w:cstheme="minorHAnsi"/>
        </w:rPr>
        <w:t xml:space="preserve"> and</w:t>
      </w:r>
      <w:r w:rsidR="0023556C" w:rsidRPr="002D72B4">
        <w:rPr>
          <w:rFonts w:cstheme="minorHAnsi"/>
        </w:rPr>
        <w:t xml:space="preserve"> forward looking models</w:t>
      </w:r>
      <w:r w:rsidRPr="002D72B4">
        <w:rPr>
          <w:rFonts w:cstheme="minorHAnsi"/>
        </w:rPr>
        <w:t xml:space="preserve">, in order to distinguish between </w:t>
      </w:r>
      <w:r w:rsidR="004F597B" w:rsidRPr="002D72B4">
        <w:rPr>
          <w:rFonts w:cstheme="minorHAnsi"/>
        </w:rPr>
        <w:t xml:space="preserve">companies with </w:t>
      </w:r>
      <w:r w:rsidRPr="002D72B4">
        <w:rPr>
          <w:rFonts w:cstheme="minorHAnsi"/>
        </w:rPr>
        <w:t xml:space="preserve">ESG </w:t>
      </w:r>
      <w:r w:rsidR="004F597B" w:rsidRPr="002D72B4">
        <w:rPr>
          <w:rFonts w:cstheme="minorHAnsi"/>
        </w:rPr>
        <w:t>policies</w:t>
      </w:r>
      <w:r w:rsidR="002A225C">
        <w:rPr>
          <w:rFonts w:cstheme="minorHAnsi"/>
        </w:rPr>
        <w:t xml:space="preserve"> that </w:t>
      </w:r>
      <w:r w:rsidR="004F597B" w:rsidRPr="002D72B4">
        <w:rPr>
          <w:rFonts w:cstheme="minorHAnsi"/>
        </w:rPr>
        <w:t xml:space="preserve">are not verified by their practices, ESG </w:t>
      </w:r>
      <w:r w:rsidRPr="002D72B4">
        <w:rPr>
          <w:rFonts w:cstheme="minorHAnsi"/>
        </w:rPr>
        <w:t xml:space="preserve">characteristics </w:t>
      </w:r>
      <w:r w:rsidR="002A225C">
        <w:rPr>
          <w:rFonts w:cstheme="minorHAnsi"/>
        </w:rPr>
        <w:t xml:space="preserve">that </w:t>
      </w:r>
      <w:r w:rsidRPr="002D72B4">
        <w:rPr>
          <w:rFonts w:cstheme="minorHAnsi"/>
        </w:rPr>
        <w:t xml:space="preserve">might be </w:t>
      </w:r>
      <w:r w:rsidR="004F597B" w:rsidRPr="002D72B4">
        <w:rPr>
          <w:rFonts w:cstheme="minorHAnsi"/>
        </w:rPr>
        <w:t xml:space="preserve">not more than </w:t>
      </w:r>
      <w:r w:rsidRPr="002D72B4">
        <w:rPr>
          <w:rFonts w:cstheme="minorHAnsi"/>
        </w:rPr>
        <w:t xml:space="preserve">doing no </w:t>
      </w:r>
      <w:r w:rsidR="004F597B" w:rsidRPr="002D72B4">
        <w:rPr>
          <w:rFonts w:cstheme="minorHAnsi"/>
        </w:rPr>
        <w:t xml:space="preserve">significant </w:t>
      </w:r>
      <w:r w:rsidRPr="002D72B4">
        <w:rPr>
          <w:rFonts w:cstheme="minorHAnsi"/>
        </w:rPr>
        <w:t xml:space="preserve">harm, </w:t>
      </w:r>
      <w:r w:rsidR="004F597B" w:rsidRPr="002D72B4">
        <w:rPr>
          <w:rFonts w:cstheme="minorHAnsi"/>
        </w:rPr>
        <w:t xml:space="preserve">companies’ ESG material risks and companies’ </w:t>
      </w:r>
      <w:r w:rsidRPr="002D72B4">
        <w:rPr>
          <w:rFonts w:cstheme="minorHAnsi"/>
        </w:rPr>
        <w:t>effective sustainability</w:t>
      </w:r>
      <w:r w:rsidR="004F597B" w:rsidRPr="002D72B4">
        <w:rPr>
          <w:rFonts w:cstheme="minorHAnsi"/>
        </w:rPr>
        <w:t xml:space="preserve"> such </w:t>
      </w:r>
      <w:r w:rsidR="002A225C">
        <w:rPr>
          <w:rFonts w:cstheme="minorHAnsi"/>
        </w:rPr>
        <w:t xml:space="preserve">as </w:t>
      </w:r>
      <w:r w:rsidR="004F597B" w:rsidRPr="002D72B4">
        <w:rPr>
          <w:rFonts w:cstheme="minorHAnsi"/>
        </w:rPr>
        <w:t>harming or achieving</w:t>
      </w:r>
      <w:r w:rsidRPr="002D72B4">
        <w:rPr>
          <w:rFonts w:cstheme="minorHAnsi"/>
        </w:rPr>
        <w:t xml:space="preserve"> the </w:t>
      </w:r>
      <w:r w:rsidR="004F597B" w:rsidRPr="002D72B4">
        <w:rPr>
          <w:rFonts w:cstheme="minorHAnsi"/>
        </w:rPr>
        <w:t xml:space="preserve">effective </w:t>
      </w:r>
      <w:r w:rsidRPr="002D72B4">
        <w:rPr>
          <w:rFonts w:cstheme="minorHAnsi"/>
        </w:rPr>
        <w:t>alignment with a 1.5</w:t>
      </w:r>
      <w:r w:rsidR="00710347" w:rsidRPr="002D72B4">
        <w:rPr>
          <w:rFonts w:cstheme="minorHAnsi"/>
        </w:rPr>
        <w:t>°</w:t>
      </w:r>
      <w:r w:rsidRPr="002D72B4">
        <w:rPr>
          <w:rFonts w:cstheme="minorHAnsi"/>
        </w:rPr>
        <w:t>C climate goals</w:t>
      </w:r>
      <w:r w:rsidR="004F597B" w:rsidRPr="002D72B4">
        <w:rPr>
          <w:rFonts w:cstheme="minorHAnsi"/>
        </w:rPr>
        <w:t xml:space="preserve"> or UN SDGs</w:t>
      </w:r>
      <w:r w:rsidRPr="002D72B4">
        <w:rPr>
          <w:rFonts w:cstheme="minorHAnsi"/>
        </w:rPr>
        <w:t xml:space="preserve">. </w:t>
      </w:r>
      <w:r w:rsidR="004F597B" w:rsidRPr="002D72B4">
        <w:rPr>
          <w:rFonts w:cstheme="minorHAnsi"/>
        </w:rPr>
        <w:t xml:space="preserve"> The purpose would be to avoid greenwashing and wrong impressions of sustainability, e.g. through over-reliance on company</w:t>
      </w:r>
      <w:r w:rsidR="002A225C">
        <w:rPr>
          <w:rFonts w:cstheme="minorHAnsi"/>
        </w:rPr>
        <w:t xml:space="preserve"> ESG information </w:t>
      </w:r>
      <w:r w:rsidR="004F597B" w:rsidRPr="002D72B4">
        <w:rPr>
          <w:rFonts w:cstheme="minorHAnsi"/>
        </w:rPr>
        <w:t>and best</w:t>
      </w:r>
      <w:r w:rsidR="00710347" w:rsidRPr="002D72B4">
        <w:rPr>
          <w:rFonts w:cstheme="minorHAnsi"/>
        </w:rPr>
        <w:t>-</w:t>
      </w:r>
      <w:r w:rsidR="004F597B" w:rsidRPr="002D72B4">
        <w:rPr>
          <w:rFonts w:cstheme="minorHAnsi"/>
        </w:rPr>
        <w:t>in</w:t>
      </w:r>
      <w:r w:rsidR="00710347" w:rsidRPr="002D72B4">
        <w:rPr>
          <w:rFonts w:cstheme="minorHAnsi"/>
        </w:rPr>
        <w:t>-</w:t>
      </w:r>
      <w:r w:rsidR="004F597B" w:rsidRPr="002D72B4">
        <w:rPr>
          <w:rFonts w:cstheme="minorHAnsi"/>
        </w:rPr>
        <w:t>class rating.</w:t>
      </w:r>
    </w:p>
    <w:p w14:paraId="7B6B72D0" w14:textId="77777777" w:rsidR="0023556C" w:rsidRPr="002D72B4" w:rsidRDefault="0023556C" w:rsidP="00710347">
      <w:pPr>
        <w:autoSpaceDE w:val="0"/>
        <w:autoSpaceDN w:val="0"/>
        <w:adjustRightInd w:val="0"/>
        <w:spacing w:after="0" w:line="240" w:lineRule="auto"/>
        <w:ind w:right="144"/>
        <w:rPr>
          <w:rFonts w:cstheme="minorHAnsi"/>
        </w:rPr>
      </w:pPr>
    </w:p>
    <w:p w14:paraId="64208E45" w14:textId="77777777" w:rsidR="00EB535D" w:rsidRPr="002D72B4" w:rsidRDefault="00EB535D" w:rsidP="00710347">
      <w:pPr>
        <w:autoSpaceDE w:val="0"/>
        <w:autoSpaceDN w:val="0"/>
        <w:adjustRightInd w:val="0"/>
        <w:spacing w:after="0" w:line="240" w:lineRule="auto"/>
        <w:ind w:right="144"/>
        <w:rPr>
          <w:rFonts w:cstheme="minorHAnsi"/>
        </w:rPr>
      </w:pPr>
      <w:r w:rsidRPr="002D72B4">
        <w:rPr>
          <w:rFonts w:cstheme="minorHAnsi"/>
        </w:rPr>
        <w:t>Given that frequently used ESG firms have become part of non-EU CRAs or other corporations</w:t>
      </w:r>
      <w:r w:rsidR="00E20C93" w:rsidRPr="002D72B4">
        <w:rPr>
          <w:rFonts w:cstheme="minorHAnsi"/>
        </w:rPr>
        <w:t xml:space="preserve"> outside the EU</w:t>
      </w:r>
      <w:r w:rsidRPr="002D72B4">
        <w:rPr>
          <w:rFonts w:cstheme="minorHAnsi"/>
        </w:rPr>
        <w:t xml:space="preserve">, it is important to deal with </w:t>
      </w:r>
      <w:r w:rsidRPr="002D72B4">
        <w:rPr>
          <w:rFonts w:cstheme="minorHAnsi"/>
          <w:b/>
        </w:rPr>
        <w:t>third country ESG research and ratings</w:t>
      </w:r>
      <w:r w:rsidRPr="002D72B4">
        <w:rPr>
          <w:rFonts w:cstheme="minorHAnsi"/>
        </w:rPr>
        <w:t xml:space="preserve">. Given that in most third countries, there </w:t>
      </w:r>
      <w:r w:rsidR="003E2924" w:rsidRPr="002D72B4">
        <w:rPr>
          <w:rFonts w:cstheme="minorHAnsi"/>
        </w:rPr>
        <w:t xml:space="preserve">is no, or </w:t>
      </w:r>
      <w:r w:rsidRPr="002D72B4">
        <w:rPr>
          <w:rFonts w:cstheme="minorHAnsi"/>
        </w:rPr>
        <w:t xml:space="preserve">will </w:t>
      </w:r>
      <w:r w:rsidR="003E2924" w:rsidRPr="002D72B4">
        <w:rPr>
          <w:rFonts w:cstheme="minorHAnsi"/>
        </w:rPr>
        <w:t xml:space="preserve">not </w:t>
      </w:r>
      <w:r w:rsidRPr="002D72B4">
        <w:rPr>
          <w:rFonts w:cstheme="minorHAnsi"/>
        </w:rPr>
        <w:t xml:space="preserve">be </w:t>
      </w:r>
      <w:r w:rsidR="003E2924" w:rsidRPr="002D72B4">
        <w:rPr>
          <w:rFonts w:cstheme="minorHAnsi"/>
        </w:rPr>
        <w:t xml:space="preserve">in the near future, </w:t>
      </w:r>
      <w:r w:rsidRPr="002D72B4">
        <w:rPr>
          <w:rFonts w:cstheme="minorHAnsi"/>
        </w:rPr>
        <w:t xml:space="preserve">regulation and supervision of ESG firms or ESG divisions in other </w:t>
      </w:r>
      <w:r w:rsidR="003E2924" w:rsidRPr="002D72B4">
        <w:rPr>
          <w:rFonts w:cstheme="minorHAnsi"/>
        </w:rPr>
        <w:t>(rating) firms</w:t>
      </w:r>
      <w:r w:rsidRPr="002D72B4">
        <w:rPr>
          <w:rFonts w:cstheme="minorHAnsi"/>
        </w:rPr>
        <w:t xml:space="preserve">, regulating third country ESG </w:t>
      </w:r>
      <w:r w:rsidR="003E2924" w:rsidRPr="002D72B4">
        <w:rPr>
          <w:rFonts w:cstheme="minorHAnsi"/>
        </w:rPr>
        <w:t>data</w:t>
      </w:r>
      <w:r w:rsidRPr="002D72B4">
        <w:rPr>
          <w:rFonts w:cstheme="minorHAnsi"/>
        </w:rPr>
        <w:t>, resea</w:t>
      </w:r>
      <w:r w:rsidR="003E2924" w:rsidRPr="002D72B4">
        <w:rPr>
          <w:rFonts w:cstheme="minorHAnsi"/>
        </w:rPr>
        <w:t>r</w:t>
      </w:r>
      <w:r w:rsidRPr="002D72B4">
        <w:rPr>
          <w:rFonts w:cstheme="minorHAnsi"/>
        </w:rPr>
        <w:t>ch and rating</w:t>
      </w:r>
      <w:r w:rsidR="003E2924" w:rsidRPr="002D72B4">
        <w:rPr>
          <w:rFonts w:cstheme="minorHAnsi"/>
        </w:rPr>
        <w:t xml:space="preserve"> </w:t>
      </w:r>
      <w:r w:rsidRPr="002D72B4">
        <w:rPr>
          <w:rFonts w:cstheme="minorHAnsi"/>
        </w:rPr>
        <w:t>will not be possible</w:t>
      </w:r>
      <w:r w:rsidR="003E2924" w:rsidRPr="002D72B4">
        <w:rPr>
          <w:rFonts w:cstheme="minorHAnsi"/>
        </w:rPr>
        <w:t xml:space="preserve"> through equivalence of, and cooperation agreements with, third country supervisors (as </w:t>
      </w:r>
      <w:r w:rsidR="002A225C">
        <w:rPr>
          <w:rFonts w:cstheme="minorHAnsi"/>
        </w:rPr>
        <w:t xml:space="preserve">arranged through </w:t>
      </w:r>
      <w:r w:rsidR="003E2924" w:rsidRPr="002D72B4">
        <w:rPr>
          <w:rFonts w:cstheme="minorHAnsi"/>
        </w:rPr>
        <w:t>Art. 4 and 5 of the CRA Regulation</w:t>
      </w:r>
      <w:r w:rsidR="002A225C">
        <w:rPr>
          <w:rFonts w:cstheme="minorHAnsi"/>
        </w:rPr>
        <w:t xml:space="preserve"> regarding credit ratings</w:t>
      </w:r>
      <w:r w:rsidR="003E2924" w:rsidRPr="002D72B4">
        <w:rPr>
          <w:rFonts w:cstheme="minorHAnsi"/>
        </w:rPr>
        <w:t xml:space="preserve">). </w:t>
      </w:r>
      <w:r w:rsidRPr="002D72B4">
        <w:rPr>
          <w:rFonts w:cstheme="minorHAnsi"/>
        </w:rPr>
        <w:t xml:space="preserve">The solution can be to require that all ESG data </w:t>
      </w:r>
      <w:r w:rsidR="003E2924" w:rsidRPr="002D72B4">
        <w:rPr>
          <w:rFonts w:cstheme="minorHAnsi"/>
        </w:rPr>
        <w:t>gathering,</w:t>
      </w:r>
      <w:r w:rsidRPr="002D72B4">
        <w:rPr>
          <w:rFonts w:cstheme="minorHAnsi"/>
        </w:rPr>
        <w:t xml:space="preserve"> research and rating </w:t>
      </w:r>
      <w:r w:rsidR="003E2924" w:rsidRPr="002D72B4">
        <w:rPr>
          <w:rFonts w:cstheme="minorHAnsi"/>
        </w:rPr>
        <w:t xml:space="preserve">provided in the EU, </w:t>
      </w:r>
      <w:r w:rsidRPr="002D72B4">
        <w:rPr>
          <w:rFonts w:cstheme="minorHAnsi"/>
        </w:rPr>
        <w:t xml:space="preserve">are subject to EU regulation by requiring that ESG </w:t>
      </w:r>
      <w:r w:rsidR="003E2924" w:rsidRPr="002D72B4">
        <w:rPr>
          <w:rFonts w:cstheme="minorHAnsi"/>
        </w:rPr>
        <w:t xml:space="preserve">firms and divisions </w:t>
      </w:r>
      <w:r w:rsidR="002A225C">
        <w:rPr>
          <w:rFonts w:cstheme="minorHAnsi"/>
        </w:rPr>
        <w:t xml:space="preserve">to be </w:t>
      </w:r>
      <w:r w:rsidRPr="002D72B4">
        <w:rPr>
          <w:rFonts w:cstheme="minorHAnsi"/>
        </w:rPr>
        <w:t>incorporated in the EU</w:t>
      </w:r>
      <w:r w:rsidR="003E2924" w:rsidRPr="002D72B4">
        <w:rPr>
          <w:rFonts w:cstheme="minorHAnsi"/>
        </w:rPr>
        <w:t xml:space="preserve">, so that </w:t>
      </w:r>
      <w:r w:rsidRPr="002D72B4">
        <w:rPr>
          <w:rFonts w:cstheme="minorHAnsi"/>
        </w:rPr>
        <w:t xml:space="preserve">all activity of ESG data </w:t>
      </w:r>
      <w:r w:rsidR="003E2924" w:rsidRPr="002D72B4">
        <w:rPr>
          <w:rFonts w:cstheme="minorHAnsi"/>
        </w:rPr>
        <w:t>gathering</w:t>
      </w:r>
      <w:r w:rsidRPr="002D72B4">
        <w:rPr>
          <w:rFonts w:cstheme="minorHAnsi"/>
        </w:rPr>
        <w:t xml:space="preserve">, research and rating is operated according to the EU amended CRA Regulation. </w:t>
      </w:r>
      <w:r w:rsidR="00647C66" w:rsidRPr="002D72B4">
        <w:rPr>
          <w:rFonts w:cstheme="minorHAnsi"/>
        </w:rPr>
        <w:t>If not incorporated in the EU, t</w:t>
      </w:r>
      <w:r w:rsidRPr="002D72B4">
        <w:rPr>
          <w:rFonts w:cstheme="minorHAnsi"/>
        </w:rPr>
        <w:t xml:space="preserve">he problem is that the EU supervisor will need to go and supervise outside the EU. For instance, ESG </w:t>
      </w:r>
      <w:r w:rsidR="00CB6420">
        <w:rPr>
          <w:rFonts w:cstheme="minorHAnsi"/>
        </w:rPr>
        <w:t xml:space="preserve">analyst </w:t>
      </w:r>
      <w:r w:rsidRPr="002D72B4">
        <w:rPr>
          <w:rFonts w:cstheme="minorHAnsi"/>
        </w:rPr>
        <w:t xml:space="preserve">divisions are often located in different parts of the world. </w:t>
      </w:r>
    </w:p>
    <w:p w14:paraId="4FFEDEE2" w14:textId="77777777" w:rsidR="00EB535D" w:rsidRPr="002D72B4" w:rsidRDefault="00EB535D" w:rsidP="00710347">
      <w:pPr>
        <w:autoSpaceDE w:val="0"/>
        <w:autoSpaceDN w:val="0"/>
        <w:adjustRightInd w:val="0"/>
        <w:spacing w:after="0" w:line="240" w:lineRule="auto"/>
        <w:ind w:right="144"/>
        <w:rPr>
          <w:rFonts w:cstheme="minorHAnsi"/>
        </w:rPr>
      </w:pPr>
    </w:p>
    <w:p w14:paraId="7FB95A91" w14:textId="77777777" w:rsidR="00BC790C" w:rsidRPr="002D72B4" w:rsidRDefault="00BC790C" w:rsidP="00710347">
      <w:pPr>
        <w:autoSpaceDE w:val="0"/>
        <w:autoSpaceDN w:val="0"/>
        <w:adjustRightInd w:val="0"/>
        <w:spacing w:after="0" w:line="240" w:lineRule="auto"/>
        <w:ind w:right="144"/>
        <w:rPr>
          <w:rFonts w:cstheme="minorHAnsi"/>
        </w:rPr>
      </w:pPr>
      <w:r w:rsidRPr="002D72B4">
        <w:rPr>
          <w:rFonts w:cstheme="minorHAnsi"/>
        </w:rPr>
        <w:t xml:space="preserve">Given the complexity of the </w:t>
      </w:r>
      <w:r w:rsidR="00647C66" w:rsidRPr="002D72B4">
        <w:rPr>
          <w:rFonts w:cstheme="minorHAnsi"/>
        </w:rPr>
        <w:t xml:space="preserve">ESG </w:t>
      </w:r>
      <w:r w:rsidRPr="002D72B4">
        <w:rPr>
          <w:rFonts w:cstheme="minorHAnsi"/>
        </w:rPr>
        <w:t>issue</w:t>
      </w:r>
      <w:r w:rsidR="00647C66" w:rsidRPr="002D72B4">
        <w:rPr>
          <w:rFonts w:cstheme="minorHAnsi"/>
        </w:rPr>
        <w:t>s</w:t>
      </w:r>
      <w:r w:rsidRPr="002D72B4">
        <w:rPr>
          <w:rFonts w:cstheme="minorHAnsi"/>
        </w:rPr>
        <w:t xml:space="preserve">, the </w:t>
      </w:r>
      <w:r w:rsidR="00647C66" w:rsidRPr="002D72B4">
        <w:rPr>
          <w:rFonts w:cstheme="minorHAnsi"/>
        </w:rPr>
        <w:t xml:space="preserve">increasing </w:t>
      </w:r>
      <w:r w:rsidRPr="002D72B4">
        <w:rPr>
          <w:rFonts w:cstheme="minorHAnsi"/>
        </w:rPr>
        <w:t xml:space="preserve">importance </w:t>
      </w:r>
      <w:r w:rsidR="00647C66" w:rsidRPr="002D72B4">
        <w:rPr>
          <w:rFonts w:cstheme="minorHAnsi"/>
        </w:rPr>
        <w:t xml:space="preserve">of ESG and sustainability </w:t>
      </w:r>
      <w:r w:rsidRPr="002D72B4">
        <w:rPr>
          <w:rFonts w:cstheme="minorHAnsi"/>
        </w:rPr>
        <w:t>for many EU sustainable finance policies and laws</w:t>
      </w:r>
      <w:r w:rsidR="00647C66" w:rsidRPr="002D72B4">
        <w:rPr>
          <w:rFonts w:cstheme="minorHAnsi"/>
        </w:rPr>
        <w:t xml:space="preserve"> as well as EU policies (green deal, just transition)</w:t>
      </w:r>
      <w:r w:rsidRPr="002D72B4">
        <w:rPr>
          <w:rFonts w:cstheme="minorHAnsi"/>
        </w:rPr>
        <w:t>, the experience of non-regulate</w:t>
      </w:r>
      <w:r w:rsidR="00647C66" w:rsidRPr="002D72B4">
        <w:rPr>
          <w:rFonts w:cstheme="minorHAnsi"/>
        </w:rPr>
        <w:t>d</w:t>
      </w:r>
      <w:r w:rsidRPr="002D72B4">
        <w:rPr>
          <w:rFonts w:cstheme="minorHAnsi"/>
        </w:rPr>
        <w:t xml:space="preserve"> CRAs before the financial crisis and the divergence of risk weighing by banks b</w:t>
      </w:r>
      <w:r w:rsidR="006204E7" w:rsidRPr="002D72B4">
        <w:rPr>
          <w:rFonts w:cstheme="minorHAnsi"/>
        </w:rPr>
        <w:t xml:space="preserve">ased on their internal </w:t>
      </w:r>
      <w:r w:rsidR="00647C66" w:rsidRPr="002D72B4">
        <w:rPr>
          <w:rFonts w:cstheme="minorHAnsi"/>
        </w:rPr>
        <w:t>rating-</w:t>
      </w:r>
      <w:r w:rsidR="006204E7" w:rsidRPr="002D72B4">
        <w:rPr>
          <w:rFonts w:cstheme="minorHAnsi"/>
        </w:rPr>
        <w:t xml:space="preserve">based </w:t>
      </w:r>
      <w:r w:rsidR="00647C66" w:rsidRPr="002D72B4">
        <w:rPr>
          <w:rFonts w:cstheme="minorHAnsi"/>
        </w:rPr>
        <w:t>approach to credit risk</w:t>
      </w:r>
      <w:r w:rsidR="006204E7" w:rsidRPr="002D72B4">
        <w:rPr>
          <w:rFonts w:cstheme="minorHAnsi"/>
        </w:rPr>
        <w:t xml:space="preserve">, the EU should be willing to </w:t>
      </w:r>
      <w:r w:rsidR="006204E7" w:rsidRPr="00CB6420">
        <w:rPr>
          <w:rFonts w:cstheme="minorHAnsi"/>
          <w:b/>
        </w:rPr>
        <w:t>establish an official independent</w:t>
      </w:r>
      <w:r w:rsidR="00CB6420">
        <w:rPr>
          <w:rFonts w:cstheme="minorHAnsi"/>
          <w:b/>
        </w:rPr>
        <w:t xml:space="preserve"> EU </w:t>
      </w:r>
      <w:r w:rsidR="006204E7" w:rsidRPr="00CB6420">
        <w:rPr>
          <w:rFonts w:cstheme="minorHAnsi"/>
          <w:b/>
        </w:rPr>
        <w:t>ESG rating agency</w:t>
      </w:r>
      <w:r w:rsidR="006204E7" w:rsidRPr="002D72B4">
        <w:rPr>
          <w:rFonts w:cstheme="minorHAnsi"/>
        </w:rPr>
        <w:t xml:space="preserve">. Such an EU ESG rating would provide a </w:t>
      </w:r>
      <w:r w:rsidR="00CB6420">
        <w:rPr>
          <w:rFonts w:cstheme="minorHAnsi"/>
        </w:rPr>
        <w:t>standardis</w:t>
      </w:r>
      <w:r w:rsidR="006204E7" w:rsidRPr="002D72B4">
        <w:rPr>
          <w:rFonts w:cstheme="minorHAnsi"/>
        </w:rPr>
        <w:t>ed model of ESG ratings, which should at least be the minimum requirement</w:t>
      </w:r>
      <w:r w:rsidR="00CB6420">
        <w:rPr>
          <w:rFonts w:cstheme="minorHAnsi"/>
        </w:rPr>
        <w:t xml:space="preserve"> and reflecting the EU’s environmental and social definitions</w:t>
      </w:r>
      <w:r w:rsidR="006204E7" w:rsidRPr="002D72B4">
        <w:rPr>
          <w:rFonts w:cstheme="minorHAnsi"/>
        </w:rPr>
        <w:t>. Commercial ESG ratings would be able to diverge and deviate</w:t>
      </w:r>
      <w:r w:rsidR="00647C66" w:rsidRPr="002D72B4">
        <w:rPr>
          <w:rFonts w:cstheme="minorHAnsi"/>
        </w:rPr>
        <w:t xml:space="preserve"> to improve</w:t>
      </w:r>
      <w:r w:rsidR="006204E7" w:rsidRPr="002D72B4">
        <w:rPr>
          <w:rFonts w:cstheme="minorHAnsi"/>
        </w:rPr>
        <w:t xml:space="preserve">, but the supervisors would have a benchmark from where to start supervising the ESG firms and divisions. Given that China has also created its own CRA, the EU should </w:t>
      </w:r>
      <w:r w:rsidR="00647C66" w:rsidRPr="002D72B4">
        <w:rPr>
          <w:rFonts w:cstheme="minorHAnsi"/>
        </w:rPr>
        <w:t xml:space="preserve">have the political will </w:t>
      </w:r>
      <w:r w:rsidR="006204E7" w:rsidRPr="002D72B4">
        <w:rPr>
          <w:rFonts w:cstheme="minorHAnsi"/>
        </w:rPr>
        <w:t xml:space="preserve">to create its </w:t>
      </w:r>
      <w:r w:rsidR="00CB6420">
        <w:rPr>
          <w:rFonts w:cstheme="minorHAnsi"/>
        </w:rPr>
        <w:t xml:space="preserve">EU </w:t>
      </w:r>
      <w:r w:rsidR="006204E7" w:rsidRPr="002D72B4">
        <w:rPr>
          <w:rFonts w:cstheme="minorHAnsi"/>
        </w:rPr>
        <w:t>ESG CRA, while ensuring its political independence as various EU supervisory authorities</w:t>
      </w:r>
      <w:r w:rsidR="00D318DC" w:rsidRPr="002D72B4">
        <w:rPr>
          <w:rFonts w:cstheme="minorHAnsi"/>
        </w:rPr>
        <w:t>, and the ECB,</w:t>
      </w:r>
      <w:r w:rsidR="006204E7" w:rsidRPr="002D72B4">
        <w:rPr>
          <w:rFonts w:cstheme="minorHAnsi"/>
        </w:rPr>
        <w:t xml:space="preserve"> are.</w:t>
      </w:r>
    </w:p>
    <w:sectPr w:rsidR="00BC790C" w:rsidRPr="002D72B4" w:rsidSect="00CE5F15">
      <w:headerReference w:type="even" r:id="rId12"/>
      <w:headerReference w:type="default" r:id="rId13"/>
      <w:headerReference w:type="first" r:id="rId14"/>
      <w:pgSz w:w="12240" w:h="15840"/>
      <w:pgMar w:top="2070" w:right="1170" w:bottom="990" w:left="117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0AC58" w14:textId="77777777" w:rsidR="0053090B" w:rsidRDefault="0053090B" w:rsidP="00266C55">
      <w:pPr>
        <w:spacing w:after="0" w:line="240" w:lineRule="auto"/>
      </w:pPr>
      <w:r>
        <w:separator/>
      </w:r>
    </w:p>
  </w:endnote>
  <w:endnote w:type="continuationSeparator" w:id="0">
    <w:p w14:paraId="14F73773" w14:textId="77777777" w:rsidR="0053090B" w:rsidRDefault="0053090B" w:rsidP="00266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Gotham">
    <w:altName w:val="Gotham"/>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FreeSansBold">
    <w:panose1 w:val="00000000000000000000"/>
    <w:charset w:val="00"/>
    <w:family w:val="auto"/>
    <w:notTrueType/>
    <w:pitch w:val="default"/>
    <w:sig w:usb0="00000003" w:usb1="00000000" w:usb2="00000000" w:usb3="00000000" w:csb0="00000001" w:csb1="00000000"/>
  </w:font>
  <w:font w:name="FreeSansBoldOblique">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BC270E" w14:textId="77777777" w:rsidR="0053090B" w:rsidRDefault="0053090B" w:rsidP="00266C55">
      <w:pPr>
        <w:spacing w:after="0" w:line="240" w:lineRule="auto"/>
      </w:pPr>
      <w:r>
        <w:separator/>
      </w:r>
    </w:p>
  </w:footnote>
  <w:footnote w:type="continuationSeparator" w:id="0">
    <w:p w14:paraId="45C753F6" w14:textId="77777777" w:rsidR="0053090B" w:rsidRDefault="0053090B" w:rsidP="00266C55">
      <w:pPr>
        <w:spacing w:after="0" w:line="240" w:lineRule="auto"/>
      </w:pPr>
      <w:r>
        <w:continuationSeparator/>
      </w:r>
    </w:p>
  </w:footnote>
  <w:footnote w:id="1">
    <w:p w14:paraId="5A3BDCF1" w14:textId="77777777" w:rsidR="005C74A2" w:rsidRPr="00CE5F15" w:rsidRDefault="005C74A2" w:rsidP="005C74A2">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EC consultation on the Renewed Sustainable Finance Strategy, chapter 1.3 Sustainability research and ratings, </w:t>
      </w:r>
      <w:hyperlink r:id="rId1" w:history="1">
        <w:r w:rsidRPr="00CE5F15">
          <w:rPr>
            <w:rStyle w:val="Hyperlink"/>
            <w:rFonts w:cstheme="minorHAnsi"/>
            <w:sz w:val="16"/>
            <w:szCs w:val="16"/>
          </w:rPr>
          <w:t>https://ec.europa.eu/info/consultations/finance-2020-sustainable-finance-strategy_en</w:t>
        </w:r>
      </w:hyperlink>
      <w:r w:rsidRPr="00CE5F15">
        <w:rPr>
          <w:rFonts w:cstheme="minorHAnsi"/>
          <w:sz w:val="16"/>
          <w:szCs w:val="16"/>
        </w:rPr>
        <w:t xml:space="preserve"> : A variety of sustainability-related assessment tools (ratings, research, scenario analysis, screening lists, carbon data, ESG benchmarks, etc.) are offered by specialised agencies that analyse individual risks and by traditional providers, such as rating agencies and data providers. In the autumn of 2019, the Commission launched a study on the market structure, providers and their role as intermediaries between companies and investors. The study will also explore possible measures to manage conflicts of interest and enhance transparency in the market for sustainability assessment tools. The results are due in the autumn of 2020. To complement this work, the Commission would like to gather further evidence through this consultation.”  </w:t>
      </w:r>
      <w:hyperlink r:id="rId2" w:history="1">
        <w:r w:rsidRPr="00CE5F15">
          <w:rPr>
            <w:rStyle w:val="Hyperlink"/>
            <w:rFonts w:cstheme="minorHAnsi"/>
            <w:sz w:val="16"/>
            <w:szCs w:val="16"/>
          </w:rPr>
          <w:t>https://ec.europa.eu/info/consultations/finance-2020-sustainable-finance-strategy_en</w:t>
        </w:r>
      </w:hyperlink>
      <w:r w:rsidRPr="00CE5F15">
        <w:rPr>
          <w:rFonts w:cstheme="minorHAnsi"/>
          <w:sz w:val="16"/>
          <w:szCs w:val="16"/>
        </w:rPr>
        <w:t xml:space="preserve"> </w:t>
      </w:r>
    </w:p>
  </w:footnote>
  <w:footnote w:id="2">
    <w:p w14:paraId="4597FB5E" w14:textId="77777777" w:rsidR="00C50107" w:rsidRPr="00CE5F15" w:rsidRDefault="00C50107" w:rsidP="00C50107">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All information was retrieved and viewed between 15 April and 15 July 2020.</w:t>
      </w:r>
    </w:p>
  </w:footnote>
  <w:footnote w:id="3">
    <w:p w14:paraId="72931B9D" w14:textId="77777777" w:rsidR="005C74A2" w:rsidRPr="00CE5F15" w:rsidRDefault="005C74A2" w:rsidP="00710347">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SustainAbility, Rate the Raters 2020 - Investor survey and interview Results, March 2020, p. 14.</w:t>
      </w:r>
    </w:p>
  </w:footnote>
  <w:footnote w:id="4">
    <w:p w14:paraId="10974768" w14:textId="77777777" w:rsidR="005C74A2" w:rsidRPr="00CE5F15" w:rsidRDefault="005C74A2" w:rsidP="003D3554">
      <w:pPr>
        <w:spacing w:after="0" w:line="240" w:lineRule="auto"/>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IIF &amp;EBF, Global climate finance survey: A look at how financial firms are approaching climate risk analysis, measurement, and disclosure, IIF-EBF survey, 28 January 2020, page 4: </w:t>
      </w:r>
      <w:hyperlink r:id="rId3" w:history="1">
        <w:r w:rsidRPr="00CE5F15">
          <w:rPr>
            <w:rStyle w:val="Hyperlink"/>
            <w:rFonts w:cstheme="minorHAnsi"/>
            <w:sz w:val="16"/>
            <w:szCs w:val="16"/>
          </w:rPr>
          <w:t>https://www.iif.com/Portals/0/Files/content/2020_global_climate_survey.pdf</w:t>
        </w:r>
      </w:hyperlink>
      <w:r w:rsidRPr="00CE5F15">
        <w:rPr>
          <w:rFonts w:cstheme="minorHAnsi"/>
          <w:sz w:val="16"/>
          <w:szCs w:val="16"/>
        </w:rPr>
        <w:t xml:space="preserve"> : </w:t>
      </w:r>
    </w:p>
  </w:footnote>
  <w:footnote w:id="5">
    <w:p w14:paraId="169B0D84" w14:textId="77777777" w:rsidR="005C74A2" w:rsidRPr="00CE5F15" w:rsidRDefault="005C74A2">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Buzzword, Score! Making the most of raters and rankers, GRI North America Summit, 25 February 2019, slide 12, </w:t>
      </w:r>
      <w:hyperlink r:id="rId4" w:history="1">
        <w:r w:rsidRPr="00CE5F15">
          <w:rPr>
            <w:rStyle w:val="Hyperlink"/>
            <w:rFonts w:cstheme="minorHAnsi"/>
            <w:sz w:val="16"/>
            <w:szCs w:val="16"/>
          </w:rPr>
          <w:t>https://uploads-ssl.webflow.com/5d5c269b98d227a3d0669e85/5dc5b8a0a52bdb87cf80bf6d_Buzzword-GRI%20ESG%20Raters%20and%20Rankers-FINAL-2-25-19-3.pdf</w:t>
        </w:r>
      </w:hyperlink>
    </w:p>
  </w:footnote>
  <w:footnote w:id="6">
    <w:p w14:paraId="55624549" w14:textId="77777777" w:rsidR="005C74A2" w:rsidRPr="00CE5F15" w:rsidRDefault="005C74A2">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Sustainalytics, About us – Strategic partnerships, </w:t>
      </w:r>
      <w:hyperlink r:id="rId5" w:history="1">
        <w:r w:rsidRPr="00CE5F15">
          <w:rPr>
            <w:rStyle w:val="Hyperlink"/>
            <w:rFonts w:cstheme="minorHAnsi"/>
            <w:sz w:val="16"/>
            <w:szCs w:val="16"/>
          </w:rPr>
          <w:t>https://www.sustainalytics.com/about-us/</w:t>
        </w:r>
      </w:hyperlink>
      <w:r w:rsidRPr="00CE5F15">
        <w:rPr>
          <w:rFonts w:cstheme="minorHAnsi"/>
          <w:sz w:val="16"/>
          <w:szCs w:val="16"/>
        </w:rPr>
        <w:t xml:space="preserve"> (viewed 10 July 2020).</w:t>
      </w:r>
    </w:p>
  </w:footnote>
  <w:footnote w:id="7">
    <w:p w14:paraId="3608F489" w14:textId="77777777" w:rsidR="005C74A2" w:rsidRPr="00CE5F15" w:rsidRDefault="005C74A2">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Buzzword, Score! Making the most of raters and rankers, GRI North America Summit, 25 February 2019, slide 14.</w:t>
      </w:r>
    </w:p>
  </w:footnote>
  <w:footnote w:id="8">
    <w:p w14:paraId="1099FEA5" w14:textId="77777777" w:rsidR="005C74A2" w:rsidRPr="00CE5F15" w:rsidRDefault="005C74A2" w:rsidP="00A8007B">
      <w:pPr>
        <w:spacing w:after="0" w:line="240" w:lineRule="auto"/>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See also: Rate the raters 2020, p. 7 </w:t>
      </w:r>
    </w:p>
  </w:footnote>
  <w:footnote w:id="9">
    <w:p w14:paraId="7ECAAF5E" w14:textId="77777777" w:rsidR="005C74A2" w:rsidRPr="00CE5F15" w:rsidRDefault="005C74A2" w:rsidP="00E559C7">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“Moody’s Acquires Majority Stake in Vigeo Eiris, a Global Leader in ESG Assessments”, Businesswire, 15 April 2019, </w:t>
      </w:r>
      <w:hyperlink r:id="rId6" w:history="1">
        <w:r w:rsidRPr="00CE5F15">
          <w:rPr>
            <w:rStyle w:val="Hyperlink"/>
            <w:rFonts w:cstheme="minorHAnsi"/>
            <w:sz w:val="16"/>
            <w:szCs w:val="16"/>
          </w:rPr>
          <w:t>www.businesswire.com/news/home/20190415005184/en/Moody%E2%80%99s-Acquires-Majority-Stake-Vigeo-Eiris-Global</w:t>
        </w:r>
      </w:hyperlink>
      <w:r w:rsidRPr="00CE5F15">
        <w:rPr>
          <w:rFonts w:cstheme="minorHAnsi"/>
          <w:sz w:val="16"/>
          <w:szCs w:val="16"/>
        </w:rPr>
        <w:t xml:space="preserve"> . </w:t>
      </w:r>
    </w:p>
  </w:footnote>
  <w:footnote w:id="10">
    <w:p w14:paraId="40B6A887" w14:textId="77777777" w:rsidR="005C74A2" w:rsidRPr="00CE5F15" w:rsidRDefault="005C74A2" w:rsidP="00E559C7">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C. Flavelle, “Moody’s Buys Climate Data Firm, Signaling New Scrutiny of Climate Risks”, 24 July 2019, New York times, </w:t>
      </w:r>
    </w:p>
    <w:p w14:paraId="3A6C14CA" w14:textId="77777777" w:rsidR="005C74A2" w:rsidRPr="00CE5F15" w:rsidRDefault="00A37B74" w:rsidP="00E559C7">
      <w:pPr>
        <w:pStyle w:val="FootnoteText"/>
        <w:rPr>
          <w:rFonts w:cstheme="minorHAnsi"/>
          <w:sz w:val="16"/>
          <w:szCs w:val="16"/>
        </w:rPr>
      </w:pPr>
      <w:hyperlink r:id="rId7" w:history="1">
        <w:r w:rsidR="005C74A2" w:rsidRPr="00CE5F15">
          <w:rPr>
            <w:rStyle w:val="Hyperlink"/>
            <w:rFonts w:cstheme="minorHAnsi"/>
            <w:sz w:val="16"/>
            <w:szCs w:val="16"/>
          </w:rPr>
          <w:t>https://www.nytimes.com/2019/07/24/climate/moodys-ratings-climate-change-data.html</w:t>
        </w:r>
      </w:hyperlink>
      <w:r w:rsidR="005C74A2" w:rsidRPr="00CE5F15">
        <w:rPr>
          <w:rFonts w:cstheme="minorHAnsi"/>
          <w:sz w:val="16"/>
          <w:szCs w:val="16"/>
        </w:rPr>
        <w:t xml:space="preserve">  .</w:t>
      </w:r>
    </w:p>
  </w:footnote>
  <w:footnote w:id="11">
    <w:p w14:paraId="5F6669BD" w14:textId="77777777" w:rsidR="005C74A2" w:rsidRPr="00CE5F15" w:rsidRDefault="005C74A2">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w:t>
      </w:r>
      <w:r w:rsidRPr="00CE5F15">
        <w:rPr>
          <w:rFonts w:cstheme="minorHAnsi"/>
          <w:bCs/>
          <w:color w:val="000000"/>
          <w:sz w:val="16"/>
          <w:szCs w:val="16"/>
        </w:rPr>
        <w:t>became MSCI ESG Research LLC, a subsidiary of MSCI</w:t>
      </w:r>
    </w:p>
  </w:footnote>
  <w:footnote w:id="12">
    <w:p w14:paraId="76F36820" w14:textId="77777777" w:rsidR="005C74A2" w:rsidRPr="00CE5F15" w:rsidRDefault="005C74A2">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ISSm Deal Furthers ISS’ Responsible Investment Business Expansion, Press Release, 15 March 2018, </w:t>
      </w:r>
      <w:hyperlink r:id="rId8" w:history="1">
        <w:r w:rsidRPr="00CE5F15">
          <w:rPr>
            <w:rStyle w:val="Hyperlink"/>
            <w:rFonts w:cstheme="minorHAnsi"/>
            <w:sz w:val="16"/>
            <w:szCs w:val="16"/>
          </w:rPr>
          <w:t>https://www.issgovernance.com/oekom-research-ag-join-institutional-shareholder-services/</w:t>
        </w:r>
      </w:hyperlink>
      <w:r w:rsidRPr="00CE5F15">
        <w:rPr>
          <w:rFonts w:cstheme="minorHAnsi"/>
          <w:sz w:val="16"/>
          <w:szCs w:val="16"/>
        </w:rPr>
        <w:t xml:space="preserve"> .</w:t>
      </w:r>
    </w:p>
  </w:footnote>
  <w:footnote w:id="13">
    <w:p w14:paraId="72EE861D" w14:textId="77777777" w:rsidR="005C74A2" w:rsidRPr="00CE5F15" w:rsidRDefault="005C74A2" w:rsidP="00F262D7">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Morningstar, Morningstar, Inc. completes acquisition of Sustainalytics, Press Release, 6 July 2020,  </w:t>
      </w:r>
      <w:hyperlink r:id="rId9" w:history="1">
        <w:r w:rsidRPr="00CE5F15">
          <w:rPr>
            <w:rStyle w:val="Hyperlink"/>
            <w:rFonts w:cstheme="minorHAnsi"/>
            <w:sz w:val="16"/>
            <w:szCs w:val="16"/>
          </w:rPr>
          <w:t>https://www.sustainalytics.com/esg-investing-news/morningstar-inc-completes-acquisition-of-sustainalytics/</w:t>
        </w:r>
      </w:hyperlink>
      <w:r w:rsidRPr="00CE5F15">
        <w:rPr>
          <w:rFonts w:cstheme="minorHAnsi"/>
          <w:sz w:val="16"/>
          <w:szCs w:val="16"/>
        </w:rPr>
        <w:t xml:space="preserve"> </w:t>
      </w:r>
    </w:p>
  </w:footnote>
  <w:footnote w:id="14">
    <w:p w14:paraId="439BF55B" w14:textId="77777777" w:rsidR="005C74A2" w:rsidRPr="00CE5F15" w:rsidRDefault="005C74A2" w:rsidP="000C4595">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Sustainalytics, Sustainalytics acquires GES International, Press Release, 9 January 2019.</w:t>
      </w:r>
    </w:p>
  </w:footnote>
  <w:footnote w:id="15">
    <w:p w14:paraId="51207069" w14:textId="77777777" w:rsidR="005C74A2" w:rsidRPr="00CE5F15" w:rsidRDefault="005C74A2">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Morningstar Inc Company Structure </w:t>
      </w:r>
      <w:r w:rsidR="0089509F" w:rsidRPr="00CE5F15">
        <w:rPr>
          <w:rFonts w:cstheme="minorHAnsi"/>
          <w:sz w:val="16"/>
          <w:szCs w:val="16"/>
        </w:rPr>
        <w:t xml:space="preserve">information </w:t>
      </w:r>
      <w:r w:rsidRPr="00CE5F15">
        <w:rPr>
          <w:rFonts w:cstheme="minorHAnsi"/>
          <w:sz w:val="16"/>
          <w:szCs w:val="16"/>
        </w:rPr>
        <w:t>from Orbis, retrieved on 16 June 2020 (orbis).</w:t>
      </w:r>
    </w:p>
  </w:footnote>
  <w:footnote w:id="16">
    <w:p w14:paraId="64854981" w14:textId="77777777" w:rsidR="005E6394" w:rsidRPr="00CE5F15" w:rsidRDefault="005E6394" w:rsidP="005E6394">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“Morningstar to Acquire Sustainalytics and Expand Access to ESG Research, Data, and Analytics for Investors Worldwide”, Press Release, 21 April 2020, </w:t>
      </w:r>
      <w:hyperlink r:id="rId10" w:history="1">
        <w:r w:rsidRPr="00CE5F15">
          <w:rPr>
            <w:rStyle w:val="Hyperlink"/>
            <w:rFonts w:cstheme="minorHAnsi"/>
            <w:sz w:val="16"/>
            <w:szCs w:val="16"/>
          </w:rPr>
          <w:t>https://newsroom.morningstar.com/newsroom/news-archive/press-release-details/2020/Morningstar-to-Acquire-Sustainalytics-and-Expand-Access-to-ESG-Research-Data-and-Analytics-for-Investors-Worldwide/default.aspx</w:t>
        </w:r>
      </w:hyperlink>
      <w:r w:rsidRPr="00CE5F15">
        <w:rPr>
          <w:rFonts w:cstheme="minorHAnsi"/>
          <w:sz w:val="16"/>
          <w:szCs w:val="16"/>
        </w:rPr>
        <w:t xml:space="preserve"> ; Morningstar, Morningstar, Inc. completes acquisition of sustainalytics, Press Release, 6 July  2020, </w:t>
      </w:r>
      <w:hyperlink r:id="rId11" w:history="1">
        <w:r w:rsidRPr="00CE5F15">
          <w:rPr>
            <w:rStyle w:val="Hyperlink"/>
            <w:rFonts w:cstheme="minorHAnsi"/>
            <w:sz w:val="16"/>
            <w:szCs w:val="16"/>
          </w:rPr>
          <w:t>https://www.sustainalytics.com/esg-investing-news/morningstar-inc-completes-acquisition-of-sustainalytics/</w:t>
        </w:r>
      </w:hyperlink>
      <w:r w:rsidRPr="00CE5F15">
        <w:rPr>
          <w:rFonts w:cstheme="minorHAnsi"/>
          <w:sz w:val="16"/>
          <w:szCs w:val="16"/>
        </w:rPr>
        <w:t xml:space="preserve"> </w:t>
      </w:r>
    </w:p>
  </w:footnote>
  <w:footnote w:id="17">
    <w:p w14:paraId="6861C023" w14:textId="77777777" w:rsidR="00CE5F15" w:rsidRPr="00CE5F15" w:rsidRDefault="00CE5F15" w:rsidP="00CE5F15">
      <w:pPr>
        <w:pStyle w:val="FootnoteText"/>
        <w:rPr>
          <w:rFonts w:cstheme="minorHAnsi"/>
          <w:sz w:val="16"/>
          <w:szCs w:val="16"/>
          <w:lang w:val="en"/>
        </w:rPr>
      </w:pPr>
      <w:r w:rsidRPr="00CE5F15">
        <w:rPr>
          <w:rStyle w:val="FootnoteReference"/>
          <w:rFonts w:cstheme="minorHAnsi"/>
          <w:sz w:val="16"/>
          <w:szCs w:val="16"/>
        </w:rPr>
        <w:footnoteRef/>
      </w:r>
      <w:r w:rsidRPr="00CE5F15">
        <w:rPr>
          <w:rFonts w:cstheme="minorHAnsi"/>
          <w:sz w:val="16"/>
          <w:szCs w:val="16"/>
        </w:rPr>
        <w:t xml:space="preserve"> J. Cox and M. Turner, “Morningstar makes credit ratings drive with DBRS buy”, GlobalCapital, 29 May 2019, </w:t>
      </w:r>
      <w:hyperlink r:id="rId12" w:history="1">
        <w:r w:rsidRPr="00CE5F15">
          <w:rPr>
            <w:rStyle w:val="Hyperlink"/>
            <w:rFonts w:cstheme="minorHAnsi"/>
            <w:sz w:val="16"/>
            <w:szCs w:val="16"/>
          </w:rPr>
          <w:t>https://www.globalcapital.com/article/b1fm6w0jt5625k/morningstar-makes-credit-ratings-drive-with-dbrs-buy</w:t>
        </w:r>
      </w:hyperlink>
      <w:r w:rsidRPr="00CE5F15">
        <w:rPr>
          <w:rFonts w:cstheme="minorHAnsi"/>
          <w:sz w:val="16"/>
          <w:szCs w:val="16"/>
        </w:rPr>
        <w:t>.</w:t>
      </w:r>
    </w:p>
  </w:footnote>
  <w:footnote w:id="18">
    <w:p w14:paraId="0914FC99" w14:textId="77777777" w:rsidR="005C74A2" w:rsidRPr="00CE5F15" w:rsidRDefault="005C74A2" w:rsidP="00F262D7">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Morningstar Inc Company Structure Eikon retrieved on 11062020</w:t>
      </w:r>
    </w:p>
  </w:footnote>
  <w:footnote w:id="19">
    <w:p w14:paraId="052B330E" w14:textId="77777777" w:rsidR="005C74A2" w:rsidRPr="00CE5F15" w:rsidRDefault="005C74A2" w:rsidP="00F262D7">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Extracted from Morningstar Annual Reports 2019  </w:t>
      </w:r>
    </w:p>
  </w:footnote>
  <w:footnote w:id="20">
    <w:p w14:paraId="65525FC6" w14:textId="77777777" w:rsidR="005C74A2" w:rsidRPr="00CE5F15" w:rsidRDefault="005C74A2" w:rsidP="00F262D7">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Extracted from Morningstar Annual Reports 2017-2019  </w:t>
      </w:r>
    </w:p>
  </w:footnote>
  <w:footnote w:id="21">
    <w:p w14:paraId="243117E8" w14:textId="77777777" w:rsidR="005C74A2" w:rsidRPr="00CE5F15" w:rsidRDefault="005C74A2" w:rsidP="008B5182">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S&amp;P Global, Powering the markets of the future – Annual Report 2018, p. 58, </w:t>
      </w:r>
      <w:hyperlink r:id="rId13" w:history="1">
        <w:r w:rsidRPr="00CE5F15">
          <w:rPr>
            <w:rStyle w:val="Hyperlink"/>
            <w:rFonts w:cstheme="minorHAnsi"/>
            <w:sz w:val="16"/>
            <w:szCs w:val="16"/>
          </w:rPr>
          <w:t>http://investor.spglobal.com/Cache/IRCache/06e6d9bb-5f68-8f3b-82c9-3aaf22475b7e.PDF?O=PDF&amp;T=&amp;Y=&amp;D=&amp;FID=06e6d9bb-5f68-8f3b-82c9-3aaf22475b7e&amp;iid=4023623</w:t>
        </w:r>
      </w:hyperlink>
      <w:r w:rsidRPr="00CE5F15">
        <w:rPr>
          <w:rFonts w:cstheme="minorHAnsi"/>
          <w:sz w:val="16"/>
          <w:szCs w:val="16"/>
        </w:rPr>
        <w:t xml:space="preserve"> </w:t>
      </w:r>
    </w:p>
  </w:footnote>
  <w:footnote w:id="22">
    <w:p w14:paraId="0A6EE51E" w14:textId="77777777" w:rsidR="005C74A2" w:rsidRPr="00CE5F15" w:rsidRDefault="005C74A2" w:rsidP="008B5182">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S&amp;P Global, CSA to become the pillar of ESG data collection at S&amp;P Global – benefits for corporates, website article, 10 January 2020, </w:t>
      </w:r>
      <w:hyperlink r:id="rId14" w:history="1">
        <w:r w:rsidRPr="00CE5F15">
          <w:rPr>
            <w:rStyle w:val="Hyperlink"/>
            <w:rFonts w:cstheme="minorHAnsi"/>
            <w:sz w:val="16"/>
            <w:szCs w:val="16"/>
          </w:rPr>
          <w:t>https://www.spglobal.com/esg/csa/insights/2020/csa-to-become-the-pillar-of-esg-data-collection-at-sp-global-benefits-for-corporates</w:t>
        </w:r>
      </w:hyperlink>
      <w:r w:rsidRPr="00CE5F15">
        <w:rPr>
          <w:rFonts w:cstheme="minorHAnsi"/>
          <w:sz w:val="16"/>
          <w:szCs w:val="16"/>
        </w:rPr>
        <w:t xml:space="preserve">   . </w:t>
      </w:r>
    </w:p>
  </w:footnote>
  <w:footnote w:id="23">
    <w:p w14:paraId="5B586E76" w14:textId="77777777" w:rsidR="005C74A2" w:rsidRPr="00CE5F15" w:rsidRDefault="005C74A2" w:rsidP="00822EA0">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Retrieved from Thomson Reuters Eikon, 17 June 2020; S&amp;P Global, Accelerating progress in the world - Annual Report 2019, p. 20, </w:t>
      </w:r>
      <w:hyperlink r:id="rId15" w:history="1">
        <w:r w:rsidRPr="00CE5F15">
          <w:rPr>
            <w:rStyle w:val="Hyperlink"/>
            <w:rFonts w:cstheme="minorHAnsi"/>
            <w:sz w:val="16"/>
            <w:szCs w:val="16"/>
          </w:rPr>
          <w:t>https://www.spglobal.com/en/annual-reports/2019/2019-annual-report.pdf</w:t>
        </w:r>
      </w:hyperlink>
      <w:r w:rsidRPr="00CE5F15">
        <w:rPr>
          <w:rFonts w:cstheme="minorHAnsi"/>
          <w:sz w:val="16"/>
          <w:szCs w:val="16"/>
        </w:rPr>
        <w:t xml:space="preserve">; Robeco, About the ORIX corporation Europe N.V.,  </w:t>
      </w:r>
      <w:hyperlink r:id="rId16" w:history="1">
        <w:r w:rsidRPr="00CE5F15">
          <w:rPr>
            <w:rStyle w:val="Hyperlink"/>
            <w:rFonts w:cstheme="minorHAnsi"/>
            <w:sz w:val="16"/>
            <w:szCs w:val="16"/>
          </w:rPr>
          <w:t>https://www.robeco.com/en/about-us/about-orix-corporation-europe.html</w:t>
        </w:r>
      </w:hyperlink>
      <w:r w:rsidRPr="00CE5F15">
        <w:rPr>
          <w:rFonts w:cstheme="minorHAnsi"/>
          <w:sz w:val="16"/>
          <w:szCs w:val="16"/>
        </w:rPr>
        <w:t xml:space="preserve"> . </w:t>
      </w:r>
    </w:p>
  </w:footnote>
  <w:footnote w:id="24">
    <w:p w14:paraId="6A929868" w14:textId="77777777" w:rsidR="005C74A2" w:rsidRPr="00CE5F15" w:rsidRDefault="005C74A2">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Robeco, RobecoSAM to transfer the SAM ESG Ratings and ESG Benchmarking Business to S&amp;P Global, Press Release, 21 November 2019, </w:t>
      </w:r>
      <w:hyperlink r:id="rId17" w:history="1">
        <w:r w:rsidRPr="00CE5F15">
          <w:rPr>
            <w:rStyle w:val="Hyperlink"/>
            <w:rFonts w:cstheme="minorHAnsi"/>
            <w:sz w:val="16"/>
            <w:szCs w:val="16"/>
          </w:rPr>
          <w:t>https://www.robeco.com/en/media/press-releases/2019/robecosam-to-transfer-the-sam-esg-ratings-and-esg-benchmarking-business-to-sp-global.html</w:t>
        </w:r>
      </w:hyperlink>
      <w:r w:rsidRPr="00CE5F15">
        <w:rPr>
          <w:rFonts w:cstheme="minorHAnsi"/>
          <w:sz w:val="16"/>
          <w:szCs w:val="16"/>
        </w:rPr>
        <w:t xml:space="preserve"> ;   </w:t>
      </w:r>
      <w:hyperlink r:id="rId18" w:history="1">
        <w:r w:rsidRPr="00CE5F15">
          <w:rPr>
            <w:rStyle w:val="Hyperlink"/>
            <w:rFonts w:cstheme="minorHAnsi"/>
            <w:sz w:val="16"/>
            <w:szCs w:val="16"/>
          </w:rPr>
          <w:t>https://www.robecosam.com/csa/</w:t>
        </w:r>
      </w:hyperlink>
      <w:r w:rsidRPr="00CE5F15">
        <w:rPr>
          <w:rFonts w:cstheme="minorHAnsi"/>
          <w:sz w:val="16"/>
          <w:szCs w:val="16"/>
        </w:rPr>
        <w:t xml:space="preserve"> ; S&amp;P Global, CSA to become the pillar of ESG data collection at S&amp;P Global – benefits for corporates, 10 January 2020, </w:t>
      </w:r>
      <w:hyperlink r:id="rId19" w:history="1">
        <w:r w:rsidRPr="00CE5F15">
          <w:rPr>
            <w:rStyle w:val="Hyperlink"/>
            <w:rFonts w:cstheme="minorHAnsi"/>
            <w:sz w:val="16"/>
            <w:szCs w:val="16"/>
          </w:rPr>
          <w:t>https://www.spglobal.com/esg/csa/insights/2020/csa-to-become-the-pillar-of-esg-data-collection-at-sp-global-benefits-for-corporates</w:t>
        </w:r>
      </w:hyperlink>
      <w:r w:rsidRPr="00CE5F15">
        <w:rPr>
          <w:rFonts w:cstheme="minorHAnsi"/>
          <w:sz w:val="16"/>
          <w:szCs w:val="16"/>
        </w:rPr>
        <w:t xml:space="preserve">  </w:t>
      </w:r>
    </w:p>
  </w:footnote>
  <w:footnote w:id="25">
    <w:p w14:paraId="14EDAB12" w14:textId="77777777" w:rsidR="005C74A2" w:rsidRPr="00CE5F15" w:rsidRDefault="005C74A2">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Robeco, RobecoSAM to transfer the SAM ESG Ratings and ESG Benchmarking Business to S&amp;P Global, Press Release, 21 November 2019.</w:t>
      </w:r>
    </w:p>
  </w:footnote>
  <w:footnote w:id="26">
    <w:p w14:paraId="7CC88A7B" w14:textId="77777777" w:rsidR="005C74A2" w:rsidRPr="00CE5F15" w:rsidRDefault="005C74A2">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S&amp;P Global, CSA to become the pillar of ESG data collection at S&amp;P Global – benefits for corporates, website article, 10 January 2020, </w:t>
      </w:r>
      <w:hyperlink r:id="rId20" w:history="1">
        <w:r w:rsidRPr="00CE5F15">
          <w:rPr>
            <w:rStyle w:val="Hyperlink"/>
            <w:rFonts w:cstheme="minorHAnsi"/>
            <w:sz w:val="16"/>
            <w:szCs w:val="16"/>
          </w:rPr>
          <w:t>https://www.spglobal.com/esg/csa/insights/2020/csa-to-become-the-pillar-of-esg-data-collection-at-sp-global-benefits-for-corporates</w:t>
        </w:r>
      </w:hyperlink>
      <w:r w:rsidRPr="00CE5F15">
        <w:rPr>
          <w:rFonts w:cstheme="minorHAnsi"/>
          <w:sz w:val="16"/>
          <w:szCs w:val="16"/>
        </w:rPr>
        <w:t xml:space="preserve">  </w:t>
      </w:r>
    </w:p>
  </w:footnote>
  <w:footnote w:id="27">
    <w:p w14:paraId="347592AF" w14:textId="77777777" w:rsidR="00847C60" w:rsidRPr="00CE5F15" w:rsidRDefault="00847C60" w:rsidP="00847C60">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S&amp;P Global, CSA to become the pillar of ESG data collection at S&amp;P Global – benefits for corporates, website article, 10 January 2020, </w:t>
      </w:r>
      <w:hyperlink r:id="rId21" w:history="1">
        <w:r w:rsidRPr="00CE5F15">
          <w:rPr>
            <w:rStyle w:val="Hyperlink"/>
            <w:rFonts w:cstheme="minorHAnsi"/>
            <w:sz w:val="16"/>
            <w:szCs w:val="16"/>
          </w:rPr>
          <w:t>https://www.spglobal.com/esg/csa/insights/2020/csa-to-become-the-pillar-of-esg-data-collection-at-sp-global-benefits-for-corporates</w:t>
        </w:r>
      </w:hyperlink>
    </w:p>
  </w:footnote>
  <w:footnote w:id="28">
    <w:p w14:paraId="1D89231C" w14:textId="77777777" w:rsidR="00847C60" w:rsidRPr="00CE5F15" w:rsidRDefault="00847C60" w:rsidP="00847C60">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S&amp;P Global Inc., Annual Report 2019, p. 20.</w:t>
      </w:r>
    </w:p>
  </w:footnote>
  <w:footnote w:id="29">
    <w:p w14:paraId="3114B35A" w14:textId="77777777" w:rsidR="005C74A2" w:rsidRPr="00CE5F15" w:rsidRDefault="005C74A2" w:rsidP="004B53E4">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S&amp;P Global Inc Company Structure, retrieved from Orbis on 22 June 2020.</w:t>
      </w:r>
    </w:p>
  </w:footnote>
  <w:footnote w:id="30">
    <w:p w14:paraId="023156CB" w14:textId="77777777" w:rsidR="005C74A2" w:rsidRPr="00CE5F15" w:rsidRDefault="005C74A2" w:rsidP="004B53E4">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S&amp;P Global Inc Annual Report 2019, p. 20,51 ,9; S&amp;P Global Inc Annual Report 2019, p. 20, </w:t>
      </w:r>
      <w:hyperlink r:id="rId22" w:history="1">
        <w:r w:rsidRPr="00CE5F15">
          <w:rPr>
            <w:rStyle w:val="Hyperlink"/>
            <w:rFonts w:cstheme="minorHAnsi"/>
            <w:sz w:val="16"/>
            <w:szCs w:val="16"/>
          </w:rPr>
          <w:t>https://www.spglobal.com/en/annual-reports/2019/2019-annual-report.pdf</w:t>
        </w:r>
      </w:hyperlink>
      <w:r w:rsidRPr="00CE5F15">
        <w:rPr>
          <w:rFonts w:cstheme="minorHAnsi"/>
          <w:sz w:val="16"/>
          <w:szCs w:val="16"/>
        </w:rPr>
        <w:t xml:space="preserve"> : “During the three years ended December 31, 2019, we have returned approximately $5.4 billion to our shareholders through a combination of share repurchases and our quarterly dividends: we completed share repurchases of approximately $3.9 billion and distributed regular quarterly dividends totaling approximately $1.5 billion.”</w:t>
      </w:r>
    </w:p>
  </w:footnote>
  <w:footnote w:id="31">
    <w:p w14:paraId="39DB6E15" w14:textId="77777777" w:rsidR="005C74A2" w:rsidRPr="00CE5F15" w:rsidRDefault="005C74A2" w:rsidP="00BE3B53">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Refinitiv, About Refinitiv, website page, </w:t>
      </w:r>
      <w:hyperlink r:id="rId23" w:history="1">
        <w:r w:rsidRPr="00CE5F15">
          <w:rPr>
            <w:rStyle w:val="Hyperlink"/>
            <w:rFonts w:cstheme="minorHAnsi"/>
            <w:sz w:val="16"/>
            <w:szCs w:val="16"/>
          </w:rPr>
          <w:t>https://www.refinitiv.com/en/investor-information</w:t>
        </w:r>
      </w:hyperlink>
      <w:r w:rsidRPr="00CE5F15">
        <w:rPr>
          <w:rFonts w:cstheme="minorHAnsi"/>
          <w:sz w:val="16"/>
          <w:szCs w:val="16"/>
        </w:rPr>
        <w:t xml:space="preserve"> </w:t>
      </w:r>
    </w:p>
  </w:footnote>
  <w:footnote w:id="32">
    <w:p w14:paraId="321AE849" w14:textId="77777777" w:rsidR="005C74A2" w:rsidRPr="00CE5F15" w:rsidRDefault="005C74A2" w:rsidP="00BE3B53">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J. Foley, “Thomson Reuters beats Blackstone in Refinitiv deal”, Reuters, 1 August 2019, </w:t>
      </w:r>
      <w:hyperlink r:id="rId24" w:history="1">
        <w:r w:rsidRPr="00CE5F15">
          <w:rPr>
            <w:rStyle w:val="Hyperlink"/>
            <w:rFonts w:cstheme="minorHAnsi"/>
            <w:sz w:val="16"/>
            <w:szCs w:val="16"/>
          </w:rPr>
          <w:t>https://www.reuters.com/article/us-refinitiv-m-a-breakingviews/breakingviews-thomson-reuters-beats-blackstone-in-refinitiv-deal-idUSKCN1UR501</w:t>
        </w:r>
      </w:hyperlink>
      <w:r w:rsidRPr="00CE5F15">
        <w:rPr>
          <w:rFonts w:cstheme="minorHAnsi"/>
          <w:sz w:val="16"/>
          <w:szCs w:val="16"/>
        </w:rPr>
        <w:t xml:space="preserve"> </w:t>
      </w:r>
    </w:p>
  </w:footnote>
  <w:footnote w:id="33">
    <w:p w14:paraId="4D4DFC08" w14:textId="77777777" w:rsidR="005C74A2" w:rsidRPr="00CE5F15" w:rsidRDefault="005C74A2" w:rsidP="00ED1B80">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A. Menin, “London Stock Exchange gets US approval for Refinitiv deal”, City A.M., 16 March 2020, </w:t>
      </w:r>
      <w:hyperlink r:id="rId25" w:history="1">
        <w:r w:rsidRPr="00CE5F15">
          <w:rPr>
            <w:rStyle w:val="Hyperlink"/>
            <w:rFonts w:cstheme="minorHAnsi"/>
            <w:sz w:val="16"/>
            <w:szCs w:val="16"/>
          </w:rPr>
          <w:t>https://www.cityam.com/london-stock-exchange-gets-us-approval-for-refinitiv-deal/</w:t>
        </w:r>
      </w:hyperlink>
      <w:r w:rsidRPr="00CE5F15">
        <w:rPr>
          <w:rFonts w:cstheme="minorHAnsi"/>
          <w:sz w:val="16"/>
          <w:szCs w:val="16"/>
        </w:rPr>
        <w:t xml:space="preserve">  </w:t>
      </w:r>
    </w:p>
  </w:footnote>
  <w:footnote w:id="34">
    <w:p w14:paraId="43CA8BA2" w14:textId="77777777" w:rsidR="005C74A2" w:rsidRPr="00CE5F15" w:rsidRDefault="005C74A2" w:rsidP="00210EE7">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Thomson Reuters,  Annual Report 2019, 10 March 2020, p. 191.</w:t>
      </w:r>
    </w:p>
  </w:footnote>
  <w:footnote w:id="35">
    <w:p w14:paraId="4C5B9FB1" w14:textId="77777777" w:rsidR="005C74A2" w:rsidRPr="00CE5F15" w:rsidRDefault="005C74A2" w:rsidP="00073450">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Thomson Reuters, Annual Report 2019, 10 March 2020, p. 4.</w:t>
      </w:r>
    </w:p>
  </w:footnote>
  <w:footnote w:id="36">
    <w:p w14:paraId="720A1AF8" w14:textId="77777777" w:rsidR="005C74A2" w:rsidRPr="00CE5F15" w:rsidRDefault="005C74A2" w:rsidP="009A5B00">
      <w:pPr>
        <w:pStyle w:val="FootnoteText"/>
        <w:rPr>
          <w:rFonts w:cstheme="minorHAnsi"/>
          <w:sz w:val="16"/>
          <w:szCs w:val="16"/>
          <w:lang w:val="de-DE"/>
        </w:rPr>
      </w:pPr>
      <w:r w:rsidRPr="00CE5F15">
        <w:rPr>
          <w:rStyle w:val="FootnoteReference"/>
          <w:rFonts w:cstheme="minorHAnsi"/>
          <w:sz w:val="16"/>
          <w:szCs w:val="16"/>
        </w:rPr>
        <w:footnoteRef/>
      </w:r>
      <w:r w:rsidRPr="00CE5F15">
        <w:rPr>
          <w:rFonts w:cstheme="minorHAnsi"/>
          <w:sz w:val="16"/>
          <w:szCs w:val="16"/>
          <w:lang w:val="de-DE"/>
        </w:rPr>
        <w:t xml:space="preserve"> Ibidem, p. 53.</w:t>
      </w:r>
    </w:p>
  </w:footnote>
  <w:footnote w:id="37">
    <w:p w14:paraId="08B99BDA" w14:textId="77777777" w:rsidR="005C74A2" w:rsidRPr="00CE5F15" w:rsidRDefault="005C74A2" w:rsidP="00D36BDB">
      <w:pPr>
        <w:pStyle w:val="FootnoteText"/>
        <w:rPr>
          <w:rFonts w:cstheme="minorHAnsi"/>
          <w:sz w:val="16"/>
          <w:szCs w:val="16"/>
          <w:lang w:val="de-DE"/>
        </w:rPr>
      </w:pPr>
      <w:r w:rsidRPr="00CE5F15">
        <w:rPr>
          <w:rStyle w:val="FootnoteReference"/>
          <w:rFonts w:cstheme="minorHAnsi"/>
          <w:sz w:val="16"/>
          <w:szCs w:val="16"/>
        </w:rPr>
        <w:footnoteRef/>
      </w:r>
      <w:r w:rsidRPr="00CE5F15">
        <w:rPr>
          <w:rFonts w:cstheme="minorHAnsi"/>
          <w:sz w:val="16"/>
          <w:szCs w:val="16"/>
          <w:lang w:val="de-DE"/>
        </w:rPr>
        <w:t xml:space="preserve"> Ibidem, p. 4.</w:t>
      </w:r>
    </w:p>
  </w:footnote>
  <w:footnote w:id="38">
    <w:p w14:paraId="539CA222" w14:textId="77777777" w:rsidR="005C74A2" w:rsidRPr="00CE5F15" w:rsidRDefault="005C74A2">
      <w:pPr>
        <w:pStyle w:val="FootnoteText"/>
        <w:rPr>
          <w:rFonts w:cstheme="minorHAnsi"/>
          <w:sz w:val="16"/>
          <w:szCs w:val="16"/>
          <w:lang w:val="de-DE"/>
        </w:rPr>
      </w:pPr>
      <w:r w:rsidRPr="00CE5F15">
        <w:rPr>
          <w:rStyle w:val="FootnoteReference"/>
          <w:rFonts w:cstheme="minorHAnsi"/>
          <w:sz w:val="16"/>
          <w:szCs w:val="16"/>
        </w:rPr>
        <w:footnoteRef/>
      </w:r>
      <w:r w:rsidRPr="00CE5F15">
        <w:rPr>
          <w:rFonts w:cstheme="minorHAnsi"/>
          <w:sz w:val="16"/>
          <w:szCs w:val="16"/>
          <w:lang w:val="de-DE"/>
        </w:rPr>
        <w:t xml:space="preserve"> Ibidem, p. 127.</w:t>
      </w:r>
    </w:p>
  </w:footnote>
  <w:footnote w:id="39">
    <w:p w14:paraId="3B04C513" w14:textId="77777777" w:rsidR="005C74A2" w:rsidRPr="00CE5F15" w:rsidRDefault="005C74A2" w:rsidP="00D36BDB">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Thomson Reuters, Annual Report 2019, pg. 200</w:t>
      </w:r>
    </w:p>
  </w:footnote>
  <w:footnote w:id="40">
    <w:p w14:paraId="410931C2" w14:textId="77777777" w:rsidR="005C74A2" w:rsidRPr="00CE5F15" w:rsidRDefault="005C74A2" w:rsidP="002024DF">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SustainAbility, Rate the Raters 2020, March 2020, p. 14.</w:t>
      </w:r>
    </w:p>
  </w:footnote>
  <w:footnote w:id="41">
    <w:p w14:paraId="18C6C0BC" w14:textId="77777777" w:rsidR="005C74A2" w:rsidRPr="00CE5F15" w:rsidRDefault="005C74A2" w:rsidP="002024DF">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w:t>
      </w:r>
      <w:r w:rsidR="00BD2016" w:rsidRPr="00CE5F15">
        <w:rPr>
          <w:rFonts w:cstheme="minorHAnsi"/>
          <w:sz w:val="16"/>
          <w:szCs w:val="16"/>
        </w:rPr>
        <w:t>Ibidem, p</w:t>
      </w:r>
      <w:r w:rsidRPr="00CE5F15">
        <w:rPr>
          <w:rFonts w:cstheme="minorHAnsi"/>
          <w:sz w:val="16"/>
          <w:szCs w:val="16"/>
        </w:rPr>
        <w:t>. 28</w:t>
      </w:r>
      <w:r w:rsidR="00BD2016" w:rsidRPr="00CE5F15">
        <w:rPr>
          <w:rFonts w:cstheme="minorHAnsi"/>
          <w:sz w:val="16"/>
          <w:szCs w:val="16"/>
        </w:rPr>
        <w:t>.</w:t>
      </w:r>
    </w:p>
  </w:footnote>
  <w:footnote w:id="42">
    <w:p w14:paraId="1BDCBD4C" w14:textId="77777777" w:rsidR="009B48F7" w:rsidRPr="00CE5F15" w:rsidRDefault="009B48F7" w:rsidP="009B48F7">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Refinitiv, Environmental, social and governance (ESG) scores from Refinitiv, April 2020,  p. 4</w:t>
      </w:r>
      <w:r w:rsidR="00D82441" w:rsidRPr="00CE5F15">
        <w:rPr>
          <w:rFonts w:cstheme="minorHAnsi"/>
          <w:sz w:val="16"/>
          <w:szCs w:val="16"/>
        </w:rPr>
        <w:t xml:space="preserve">-5, </w:t>
      </w:r>
      <w:hyperlink r:id="rId26" w:history="1">
        <w:r w:rsidRPr="00CE5F15">
          <w:rPr>
            <w:rStyle w:val="Hyperlink"/>
            <w:rFonts w:cstheme="minorHAnsi"/>
            <w:sz w:val="16"/>
            <w:szCs w:val="16"/>
          </w:rPr>
          <w:t>https://www.refinitiv.com/content/dam/marketing/en_us/documents/methodology/esg-scores-methodology.pdf</w:t>
        </w:r>
      </w:hyperlink>
      <w:r w:rsidRPr="00CE5F15">
        <w:rPr>
          <w:rFonts w:cstheme="minorHAnsi"/>
          <w:sz w:val="16"/>
          <w:szCs w:val="16"/>
        </w:rPr>
        <w:t xml:space="preserve">  </w:t>
      </w:r>
      <w:r w:rsidR="00D82441" w:rsidRPr="00CE5F15">
        <w:rPr>
          <w:rFonts w:cstheme="minorHAnsi"/>
          <w:sz w:val="16"/>
          <w:szCs w:val="16"/>
        </w:rPr>
        <w:t>.</w:t>
      </w:r>
    </w:p>
  </w:footnote>
  <w:footnote w:id="43">
    <w:p w14:paraId="7E56CDA5" w14:textId="77777777" w:rsidR="00BD2016" w:rsidRPr="00CE5F15" w:rsidRDefault="00BD2016" w:rsidP="00BD2016">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SustainAbility, Rate the Raters 2020, March 2020, p. 17.</w:t>
      </w:r>
    </w:p>
  </w:footnote>
  <w:footnote w:id="44">
    <w:p w14:paraId="631C2641" w14:textId="77777777" w:rsidR="005C74A2" w:rsidRPr="00CE5F15" w:rsidRDefault="005C74A2" w:rsidP="002024DF">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Ibidem, p. 24.</w:t>
      </w:r>
    </w:p>
  </w:footnote>
  <w:footnote w:id="45">
    <w:p w14:paraId="49F47A6F" w14:textId="77777777" w:rsidR="005C74A2" w:rsidRPr="00CE5F15" w:rsidRDefault="005C74A2" w:rsidP="002024DF">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For example: SustainAbility, Rate the Raters 2020, March 2020, p. 28</w:t>
      </w:r>
      <w:r w:rsidR="00D82441" w:rsidRPr="00CE5F15">
        <w:rPr>
          <w:rFonts w:cstheme="minorHAnsi"/>
          <w:sz w:val="16"/>
          <w:szCs w:val="16"/>
        </w:rPr>
        <w:t xml:space="preserve">: quoting </w:t>
      </w:r>
      <w:r w:rsidRPr="00CE5F15">
        <w:rPr>
          <w:rFonts w:cstheme="minorHAnsi"/>
          <w:sz w:val="16"/>
          <w:szCs w:val="16"/>
        </w:rPr>
        <w:t>”</w:t>
      </w:r>
      <w:r w:rsidRPr="00CE5F15">
        <w:rPr>
          <w:rFonts w:cstheme="minorHAnsi"/>
          <w:i/>
          <w:iCs/>
          <w:color w:val="333333"/>
          <w:sz w:val="16"/>
          <w:szCs w:val="16"/>
        </w:rPr>
        <w:t xml:space="preserve"> they aren’t staffed for strong support”</w:t>
      </w:r>
    </w:p>
  </w:footnote>
  <w:footnote w:id="46">
    <w:p w14:paraId="4309C09A" w14:textId="77777777" w:rsidR="005C74A2" w:rsidRPr="00CE5F15" w:rsidRDefault="005C74A2" w:rsidP="002024DF">
      <w:pPr>
        <w:pStyle w:val="FootnoteText"/>
        <w:rPr>
          <w:rFonts w:cstheme="minorHAnsi"/>
          <w:sz w:val="16"/>
          <w:szCs w:val="16"/>
          <w:lang w:val="de-DE"/>
        </w:rPr>
      </w:pPr>
      <w:r w:rsidRPr="00CE5F15">
        <w:rPr>
          <w:rStyle w:val="FootnoteReference"/>
          <w:rFonts w:cstheme="minorHAnsi"/>
          <w:sz w:val="16"/>
          <w:szCs w:val="16"/>
        </w:rPr>
        <w:footnoteRef/>
      </w:r>
      <w:r w:rsidRPr="00CE5F15">
        <w:rPr>
          <w:rFonts w:cstheme="minorHAnsi"/>
          <w:sz w:val="16"/>
          <w:szCs w:val="16"/>
          <w:lang w:val="de-DE"/>
        </w:rPr>
        <w:t xml:space="preserve"> Ibdem p. 29</w:t>
      </w:r>
    </w:p>
  </w:footnote>
  <w:footnote w:id="47">
    <w:p w14:paraId="682EAA56" w14:textId="77777777" w:rsidR="005C74A2" w:rsidRPr="00CE5F15" w:rsidRDefault="005C74A2" w:rsidP="002024DF">
      <w:pPr>
        <w:pStyle w:val="FootnoteText"/>
        <w:rPr>
          <w:rFonts w:cstheme="minorHAnsi"/>
          <w:sz w:val="16"/>
          <w:szCs w:val="16"/>
          <w:lang w:val="de-DE"/>
        </w:rPr>
      </w:pPr>
      <w:r w:rsidRPr="00CE5F15">
        <w:rPr>
          <w:rStyle w:val="FootnoteReference"/>
          <w:rFonts w:cstheme="minorHAnsi"/>
          <w:sz w:val="16"/>
          <w:szCs w:val="16"/>
        </w:rPr>
        <w:footnoteRef/>
      </w:r>
      <w:r w:rsidRPr="00CE5F15">
        <w:rPr>
          <w:rFonts w:cstheme="minorHAnsi"/>
          <w:sz w:val="16"/>
          <w:szCs w:val="16"/>
          <w:lang w:val="de-DE"/>
        </w:rPr>
        <w:t xml:space="preserve"> Ibdem p. 29</w:t>
      </w:r>
    </w:p>
  </w:footnote>
  <w:footnote w:id="48">
    <w:p w14:paraId="61498FA3" w14:textId="77777777" w:rsidR="005C74A2" w:rsidRPr="00CE5F15" w:rsidRDefault="005C74A2" w:rsidP="002024DF">
      <w:pPr>
        <w:pStyle w:val="FootnoteText"/>
        <w:rPr>
          <w:rFonts w:cstheme="minorHAnsi"/>
          <w:sz w:val="16"/>
          <w:szCs w:val="16"/>
          <w:lang w:val="de-DE"/>
        </w:rPr>
      </w:pPr>
      <w:r w:rsidRPr="00CE5F15">
        <w:rPr>
          <w:rStyle w:val="FootnoteReference"/>
          <w:rFonts w:cstheme="minorHAnsi"/>
          <w:sz w:val="16"/>
          <w:szCs w:val="16"/>
        </w:rPr>
        <w:footnoteRef/>
      </w:r>
      <w:r w:rsidRPr="00CE5F15">
        <w:rPr>
          <w:rFonts w:cstheme="minorHAnsi"/>
          <w:sz w:val="16"/>
          <w:szCs w:val="16"/>
          <w:lang w:val="de-DE"/>
        </w:rPr>
        <w:t xml:space="preserve"> Ibdem p. 30.</w:t>
      </w:r>
    </w:p>
  </w:footnote>
  <w:footnote w:id="49">
    <w:p w14:paraId="5E185DB8" w14:textId="77777777" w:rsidR="005C74A2" w:rsidRPr="00CE5F15" w:rsidRDefault="005C74A2" w:rsidP="00A333BB">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F. Berg, J. Koelbe, and R. Rigobon, Aggregate confusion: The divergence of ESG ratings, MIT Sloan School working paper 5882-19, 17 May 2020</w:t>
      </w:r>
    </w:p>
  </w:footnote>
  <w:footnote w:id="50">
    <w:p w14:paraId="67D03F32" w14:textId="77777777" w:rsidR="005C74A2" w:rsidRPr="00CE5F15" w:rsidRDefault="005C74A2" w:rsidP="00822E51">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Morningstar, Morningstar, Inc. completes acquisition of sustainalytics, Press Release, 6 July  2020, </w:t>
      </w:r>
      <w:hyperlink r:id="rId27" w:history="1">
        <w:r w:rsidRPr="00CE5F15">
          <w:rPr>
            <w:rStyle w:val="Hyperlink"/>
            <w:rFonts w:cstheme="minorHAnsi"/>
            <w:sz w:val="16"/>
            <w:szCs w:val="16"/>
          </w:rPr>
          <w:t>https://www.sustainalytics.com/esg-investing-news/morningstar-inc-completes-acquisition-of-sustainalytics/</w:t>
        </w:r>
      </w:hyperlink>
      <w:r w:rsidRPr="00CE5F15">
        <w:rPr>
          <w:rFonts w:cstheme="minorHAnsi"/>
          <w:sz w:val="16"/>
          <w:szCs w:val="16"/>
        </w:rPr>
        <w:t xml:space="preserve"> </w:t>
      </w:r>
    </w:p>
  </w:footnote>
  <w:footnote w:id="51">
    <w:p w14:paraId="3B155BD3" w14:textId="77777777" w:rsidR="005C74A2" w:rsidRPr="00CE5F15" w:rsidRDefault="005C74A2" w:rsidP="00822E51">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Morningstar, “Morningstar to Acquire Sustainalytics and Expand Access to ESG Research, Data, and Analytics for Investors Worldwide”, Press release,  21 April 2020.</w:t>
      </w:r>
    </w:p>
  </w:footnote>
  <w:footnote w:id="52">
    <w:p w14:paraId="3D706E64" w14:textId="77777777" w:rsidR="005C74A2" w:rsidRPr="00CE5F15" w:rsidRDefault="005C74A2" w:rsidP="002024DF">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Refinitiv, Environmental, social and governance (ESG) scores from Refinitiv, April 2020,  p. 4 –</w:t>
      </w:r>
      <w:r w:rsidR="009B48F7" w:rsidRPr="00CE5F15">
        <w:rPr>
          <w:rFonts w:cstheme="minorHAnsi"/>
          <w:sz w:val="16"/>
          <w:szCs w:val="16"/>
        </w:rPr>
        <w:t xml:space="preserve"> 5.</w:t>
      </w:r>
      <w:hyperlink r:id="rId28" w:history="1">
        <w:r w:rsidRPr="00CE5F15">
          <w:rPr>
            <w:rStyle w:val="Hyperlink"/>
            <w:rFonts w:cstheme="minorHAnsi"/>
            <w:sz w:val="16"/>
            <w:szCs w:val="16"/>
          </w:rPr>
          <w:t>https://www.refinitiv.com/content/dam/marketing/en_us/documents/methodology/esg-scores-methodology.pdf</w:t>
        </w:r>
      </w:hyperlink>
      <w:r w:rsidRPr="00CE5F15">
        <w:rPr>
          <w:rFonts w:cstheme="minorHAnsi"/>
          <w:sz w:val="16"/>
          <w:szCs w:val="16"/>
        </w:rPr>
        <w:t xml:space="preserve">   </w:t>
      </w:r>
    </w:p>
  </w:footnote>
  <w:footnote w:id="53">
    <w:p w14:paraId="1D47C9C6" w14:textId="77777777" w:rsidR="007C03E0" w:rsidRPr="00CE5F15" w:rsidRDefault="007C03E0" w:rsidP="007C03E0">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Refinitiv, Environmental, social and governance (ESG) scores from Refinitiv, April 2020,  p. 4-5, </w:t>
      </w:r>
      <w:hyperlink r:id="rId29" w:history="1">
        <w:r w:rsidRPr="00CE5F15">
          <w:rPr>
            <w:rStyle w:val="Hyperlink"/>
            <w:rFonts w:cstheme="minorHAnsi"/>
            <w:sz w:val="16"/>
            <w:szCs w:val="16"/>
          </w:rPr>
          <w:t>https://www.refinitiv.com/content/dam/marketing/en_us/documents/methodology/esg-scores-methodology.pdf</w:t>
        </w:r>
      </w:hyperlink>
      <w:r w:rsidRPr="00CE5F15">
        <w:rPr>
          <w:rFonts w:cstheme="minorHAnsi"/>
          <w:sz w:val="16"/>
          <w:szCs w:val="16"/>
        </w:rPr>
        <w:t xml:space="preserve">  .</w:t>
      </w:r>
    </w:p>
  </w:footnote>
  <w:footnote w:id="54">
    <w:p w14:paraId="6614636E" w14:textId="77777777" w:rsidR="005C74A2" w:rsidRPr="00CE5F15" w:rsidRDefault="005C74A2" w:rsidP="002024DF">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F. Berg, J. Koelbe, and R. Rigobon, Aggregate confusion: The divergence of ESG ratings, MIT Sloan School working paper 5882-19, </w:t>
      </w:r>
      <w:r w:rsidR="00181605" w:rsidRPr="00CE5F15">
        <w:rPr>
          <w:rFonts w:cstheme="minorHAnsi"/>
          <w:sz w:val="16"/>
          <w:szCs w:val="16"/>
        </w:rPr>
        <w:t xml:space="preserve">15 August 2019 - </w:t>
      </w:r>
      <w:r w:rsidRPr="00CE5F15">
        <w:rPr>
          <w:rFonts w:cstheme="minorHAnsi"/>
          <w:sz w:val="16"/>
          <w:szCs w:val="16"/>
        </w:rPr>
        <w:t>17 May 2020</w:t>
      </w:r>
      <w:r w:rsidR="00181605" w:rsidRPr="00CE5F15">
        <w:rPr>
          <w:rFonts w:cstheme="minorHAnsi"/>
          <w:sz w:val="16"/>
          <w:szCs w:val="16"/>
        </w:rPr>
        <w:t xml:space="preserve">, </w:t>
      </w:r>
      <w:hyperlink r:id="rId30" w:tgtFrame="_blank" w:history="1">
        <w:r w:rsidR="00181605" w:rsidRPr="00CE5F15">
          <w:rPr>
            <w:rStyle w:val="Hyperlink"/>
            <w:rFonts w:cstheme="minorHAnsi"/>
            <w:sz w:val="16"/>
            <w:szCs w:val="16"/>
          </w:rPr>
          <w:t>https://papers.ssrn.com/sol3/papers.cfm?abstract_id=3438533</w:t>
        </w:r>
      </w:hyperlink>
      <w:r w:rsidR="00181605" w:rsidRPr="00CE5F15">
        <w:rPr>
          <w:rFonts w:cstheme="minorHAnsi"/>
          <w:color w:val="1F497D"/>
          <w:sz w:val="16"/>
          <w:szCs w:val="16"/>
        </w:rPr>
        <w:t> </w:t>
      </w:r>
      <w:r w:rsidR="00FE2263" w:rsidRPr="00CE5F15">
        <w:rPr>
          <w:rFonts w:cstheme="minorHAnsi"/>
          <w:sz w:val="16"/>
          <w:szCs w:val="16"/>
        </w:rPr>
        <w:t xml:space="preserve">: the research used information from </w:t>
      </w:r>
      <w:r w:rsidR="00181605" w:rsidRPr="00CE5F15">
        <w:rPr>
          <w:rFonts w:cstheme="minorHAnsi"/>
          <w:sz w:val="16"/>
          <w:szCs w:val="16"/>
        </w:rPr>
        <w:t>ratings especially in 2014, with comparisons in 2014.</w:t>
      </w:r>
    </w:p>
  </w:footnote>
  <w:footnote w:id="55">
    <w:p w14:paraId="37375D23" w14:textId="77777777" w:rsidR="005C74A2" w:rsidRPr="00CE5F15" w:rsidRDefault="005C74A2" w:rsidP="002024DF">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Ibidem: see table 5 an d6.</w:t>
      </w:r>
    </w:p>
  </w:footnote>
  <w:footnote w:id="56">
    <w:p w14:paraId="61FCC9F3" w14:textId="77777777" w:rsidR="005A5698" w:rsidRPr="00CE5F15" w:rsidRDefault="005A5698" w:rsidP="005A5698">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Ibidem, p. 9.</w:t>
      </w:r>
    </w:p>
  </w:footnote>
  <w:footnote w:id="57">
    <w:p w14:paraId="39DC5EFF" w14:textId="77777777" w:rsidR="005C74A2" w:rsidRPr="00CE5F15" w:rsidRDefault="005C74A2" w:rsidP="002024DF">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F. Berg, J. Koelbe, and R. Rigobon, Aggregate confusion: The divergence of ESG ratings, MIT Sloan School working paper 5882-19, 17 May 2020, p. 3.</w:t>
      </w:r>
    </w:p>
  </w:footnote>
  <w:footnote w:id="58">
    <w:p w14:paraId="56352FCE" w14:textId="77777777" w:rsidR="005A5698" w:rsidRPr="00CE5F15" w:rsidRDefault="005A5698" w:rsidP="005A5698">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F. Berg, J. Koelbe, and R. Rigobon, Aggregate confusion: The divergence of ESG ratings, MIT Sloan School working paper 5882-19, 17 May 2020, Table 5: provides a global overview of the different issues and number of their indicators by the 6 researched ESG firms.</w:t>
      </w:r>
    </w:p>
  </w:footnote>
  <w:footnote w:id="59">
    <w:p w14:paraId="5177E380" w14:textId="77777777" w:rsidR="005A5698" w:rsidRPr="00CE5F15" w:rsidRDefault="005A5698" w:rsidP="005A5698">
      <w:pPr>
        <w:pStyle w:val="FootnoteText"/>
        <w:rPr>
          <w:rFonts w:cstheme="minorHAnsi"/>
          <w:sz w:val="16"/>
          <w:szCs w:val="16"/>
        </w:rPr>
      </w:pPr>
      <w:r w:rsidRPr="00CE5F15">
        <w:rPr>
          <w:rStyle w:val="FootnoteReference"/>
          <w:rFonts w:cstheme="minorHAnsi"/>
          <w:sz w:val="16"/>
          <w:szCs w:val="16"/>
        </w:rPr>
        <w:footnoteRef/>
      </w:r>
      <w:r w:rsidR="001429CA" w:rsidRPr="00CE5F15">
        <w:rPr>
          <w:rFonts w:cstheme="minorHAnsi"/>
          <w:sz w:val="16"/>
          <w:szCs w:val="16"/>
        </w:rPr>
        <w:t xml:space="preserve"> Ibid</w:t>
      </w:r>
      <w:r w:rsidRPr="00CE5F15">
        <w:rPr>
          <w:rFonts w:cstheme="minorHAnsi"/>
          <w:sz w:val="16"/>
          <w:szCs w:val="16"/>
        </w:rPr>
        <w:t>e</w:t>
      </w:r>
      <w:r w:rsidR="001429CA" w:rsidRPr="00CE5F15">
        <w:rPr>
          <w:rFonts w:cstheme="minorHAnsi"/>
          <w:sz w:val="16"/>
          <w:szCs w:val="16"/>
        </w:rPr>
        <w:t>m</w:t>
      </w:r>
      <w:r w:rsidRPr="00CE5F15">
        <w:rPr>
          <w:rFonts w:cstheme="minorHAnsi"/>
          <w:sz w:val="16"/>
          <w:szCs w:val="16"/>
        </w:rPr>
        <w:t>, p. 48, Table 6.</w:t>
      </w:r>
    </w:p>
  </w:footnote>
  <w:footnote w:id="60">
    <w:p w14:paraId="7F5F9464" w14:textId="77777777" w:rsidR="005A5698" w:rsidRPr="00CE5F15" w:rsidRDefault="005A5698" w:rsidP="005A5698">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w:t>
      </w:r>
      <w:r w:rsidRPr="00CE5F15">
        <w:rPr>
          <w:rFonts w:cstheme="minorHAnsi"/>
          <w:color w:val="000000"/>
          <w:sz w:val="16"/>
          <w:szCs w:val="16"/>
        </w:rPr>
        <w:t>F. Nagrawala</w:t>
      </w:r>
      <w:r w:rsidRPr="00CE5F15">
        <w:rPr>
          <w:rFonts w:cstheme="minorHAnsi"/>
          <w:sz w:val="16"/>
          <w:szCs w:val="16"/>
        </w:rPr>
        <w:t>, Point of No Returns Part II – Human Rights: An assessment of asset managers’ approaches to human and labour rights, ShareAction, [May] 2020.</w:t>
      </w:r>
    </w:p>
  </w:footnote>
  <w:footnote w:id="61">
    <w:p w14:paraId="10CCB9F1" w14:textId="77777777" w:rsidR="005A5698" w:rsidRPr="00CE5F15" w:rsidRDefault="005A5698" w:rsidP="005A5698">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w:t>
      </w:r>
      <w:r w:rsidRPr="00CE5F15">
        <w:rPr>
          <w:rFonts w:cstheme="minorHAnsi"/>
          <w:color w:val="000000"/>
          <w:sz w:val="16"/>
          <w:szCs w:val="16"/>
        </w:rPr>
        <w:t>F. Nagrawala</w:t>
      </w:r>
      <w:r w:rsidRPr="00CE5F15">
        <w:rPr>
          <w:rFonts w:cstheme="minorHAnsi"/>
          <w:sz w:val="16"/>
          <w:szCs w:val="16"/>
        </w:rPr>
        <w:t>, Point of No Returns Part II – Human Rights: An assessment of asset managers’ approaches to human and labour rights, ShareAction, [May] 2020.</w:t>
      </w:r>
    </w:p>
  </w:footnote>
  <w:footnote w:id="62">
    <w:p w14:paraId="1905FE89" w14:textId="77777777" w:rsidR="005A5698" w:rsidRPr="00CE5F15" w:rsidRDefault="005A5698" w:rsidP="005A5698">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Ibidem, p. 6.</w:t>
      </w:r>
    </w:p>
  </w:footnote>
  <w:footnote w:id="63">
    <w:p w14:paraId="16029926" w14:textId="77777777" w:rsidR="003D4C5B" w:rsidRPr="00CE5F15" w:rsidRDefault="003D4C5B" w:rsidP="003D4C5B">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Ibidem, p. 15.</w:t>
      </w:r>
    </w:p>
  </w:footnote>
  <w:footnote w:id="64">
    <w:p w14:paraId="7CBA164D" w14:textId="77777777" w:rsidR="005C74A2" w:rsidRPr="00CE5F15" w:rsidRDefault="005C74A2" w:rsidP="002024DF">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SustainAbility, Rate the Raters 2020: Investor Survey and Interview Results, March 2020, p. 14, </w:t>
      </w:r>
      <w:hyperlink r:id="rId31" w:history="1">
        <w:r w:rsidRPr="00CE5F15">
          <w:rPr>
            <w:rStyle w:val="Hyperlink"/>
            <w:rFonts w:cstheme="minorHAnsi"/>
            <w:sz w:val="16"/>
            <w:szCs w:val="16"/>
          </w:rPr>
          <w:t>https://sustainability.com/wp-content/uploads/2020/03/sustainability-ratetheraters2020-report.pdf</w:t>
        </w:r>
      </w:hyperlink>
      <w:r w:rsidRPr="00CE5F15">
        <w:rPr>
          <w:rFonts w:cstheme="minorHAnsi"/>
          <w:sz w:val="16"/>
          <w:szCs w:val="16"/>
        </w:rPr>
        <w:t xml:space="preserve"> .</w:t>
      </w:r>
    </w:p>
  </w:footnote>
  <w:footnote w:id="65">
    <w:p w14:paraId="09F67D77" w14:textId="77777777" w:rsidR="005C74A2" w:rsidRPr="00CE5F15" w:rsidRDefault="005C74A2" w:rsidP="002024DF">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Rate the raters 2020, p. 28-30</w:t>
      </w:r>
    </w:p>
  </w:footnote>
  <w:footnote w:id="66">
    <w:p w14:paraId="5037EA83" w14:textId="77777777" w:rsidR="005C74A2" w:rsidRPr="00CE5F15" w:rsidRDefault="005C74A2">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SustainAbility, Rate the Raters 2020: Investor Survey and Interview Results, March 2020, p. 14.</w:t>
      </w:r>
    </w:p>
  </w:footnote>
  <w:footnote w:id="67">
    <w:p w14:paraId="0C2C8AD8" w14:textId="77777777" w:rsidR="005C74A2" w:rsidRPr="00CE5F15" w:rsidRDefault="005C74A2" w:rsidP="002024DF">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Refinitiv, Environmental, social and governance (ESG) scores from Refinitiv, April 2020,      </w:t>
      </w:r>
      <w:hyperlink r:id="rId32" w:history="1">
        <w:r w:rsidRPr="00CE5F15">
          <w:rPr>
            <w:rStyle w:val="Hyperlink"/>
            <w:rFonts w:cstheme="minorHAnsi"/>
            <w:sz w:val="16"/>
            <w:szCs w:val="16"/>
          </w:rPr>
          <w:t>https://www.refinitiv.com/content/dam/marketing/en_us/documents/methodology/esg-scores-methodology.pdf</w:t>
        </w:r>
      </w:hyperlink>
      <w:r w:rsidRPr="00CE5F15">
        <w:rPr>
          <w:rFonts w:cstheme="minorHAnsi"/>
          <w:sz w:val="16"/>
          <w:szCs w:val="16"/>
        </w:rPr>
        <w:t xml:space="preserve">   : see also the appendices.</w:t>
      </w:r>
    </w:p>
  </w:footnote>
  <w:footnote w:id="68">
    <w:p w14:paraId="23D73F7C" w14:textId="77777777" w:rsidR="00CE5F15" w:rsidRPr="00CE5F15" w:rsidRDefault="00CE5F15" w:rsidP="00CE5F15">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Morningstar, Morningstar Sustainability Rating  Methodology, 31 October 2019, p. 2, </w:t>
      </w:r>
      <w:hyperlink r:id="rId33" w:history="1">
        <w:r w:rsidRPr="00CE5F15">
          <w:rPr>
            <w:rStyle w:val="Hyperlink"/>
            <w:rFonts w:cstheme="minorHAnsi"/>
            <w:sz w:val="16"/>
            <w:szCs w:val="16"/>
          </w:rPr>
          <w:t>https://www.morningstar.com/content/dam/marketing/shared/research/methodology/744156_Morningstar_Sustainability_Rating_for_Funds_Methodology.pdf</w:t>
        </w:r>
      </w:hyperlink>
    </w:p>
  </w:footnote>
  <w:footnote w:id="69">
    <w:p w14:paraId="13AB48AC" w14:textId="77777777" w:rsidR="005C74A2" w:rsidRPr="00CE5F15" w:rsidRDefault="005C74A2">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ESMA, Guidelines on Disclosure Requirements Applicable to Credit Ratings – Final Report, ESMA-33-9-320, 18 July 2019.</w:t>
      </w:r>
    </w:p>
  </w:footnote>
  <w:footnote w:id="70">
    <w:p w14:paraId="2D0FB30C" w14:textId="77777777" w:rsidR="005C74A2" w:rsidRPr="00CE5F15" w:rsidRDefault="005C74A2" w:rsidP="00EB535D">
      <w:pPr>
        <w:pStyle w:val="FootnoteText"/>
        <w:rPr>
          <w:rFonts w:cstheme="minorHAnsi"/>
          <w:sz w:val="16"/>
          <w:szCs w:val="16"/>
        </w:rPr>
      </w:pPr>
      <w:r w:rsidRPr="00CE5F15">
        <w:rPr>
          <w:rStyle w:val="FootnoteReference"/>
          <w:rFonts w:cstheme="minorHAnsi"/>
          <w:sz w:val="16"/>
          <w:szCs w:val="16"/>
        </w:rPr>
        <w:footnoteRef/>
      </w:r>
      <w:r w:rsidRPr="00CE5F15">
        <w:rPr>
          <w:rFonts w:cstheme="minorHAnsi"/>
          <w:sz w:val="16"/>
          <w:szCs w:val="16"/>
        </w:rPr>
        <w:t xml:space="preserve"> See:</w:t>
      </w:r>
      <w:r w:rsidR="007947DA" w:rsidRPr="00CE5F15">
        <w:rPr>
          <w:rFonts w:cstheme="minorHAnsi"/>
          <w:sz w:val="16"/>
          <w:szCs w:val="16"/>
        </w:rPr>
        <w:t xml:space="preserve"> </w:t>
      </w:r>
      <w:r w:rsidRPr="00CE5F15">
        <w:rPr>
          <w:rFonts w:cstheme="minorHAnsi"/>
          <w:sz w:val="16"/>
          <w:szCs w:val="16"/>
        </w:rPr>
        <w:t>F. Berg, J. Koelbe, and R. Rigobon, Aggregate confusion: The divergence of ESG ratings, MIT Sloan School working paper 5882-19, 17 May 2020, p. 32.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25A64" w14:textId="77777777" w:rsidR="0041646A" w:rsidRDefault="00A37B74">
    <w:pPr>
      <w:pStyle w:val="Header"/>
    </w:pPr>
    <w:r>
      <w:rPr>
        <w:noProof/>
      </w:rPr>
      <w:pict w14:anchorId="0869D4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36516" o:spid="_x0000_s2053" type="#_x0000_t136" style="position:absolute;margin-left:0;margin-top:0;width:670.95pt;height:64.9pt;rotation:315;z-index:-251655168;mso-position-horizontal:center;mso-position-horizontal-relative:margin;mso-position-vertical:center;mso-position-vertical-relative:margin" o:allowincell="f" fillcolor="#747070 [1614]" stroked="f">
          <v:fill opacity=".5"/>
          <v:textpath style="font-family:&quot;Calibri&quot;;font-size:1pt" string="NOT FOR PUBLICATION OR DISTRIBUTIO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BEAB5" w14:textId="77777777" w:rsidR="0041646A" w:rsidRDefault="00A37B74">
    <w:pPr>
      <w:pStyle w:val="Header"/>
    </w:pPr>
    <w:r>
      <w:rPr>
        <w:noProof/>
      </w:rPr>
      <w:pict w14:anchorId="5F0D1B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36517" o:spid="_x0000_s2054" type="#_x0000_t136" style="position:absolute;margin-left:0;margin-top:0;width:670.95pt;height:64.9pt;rotation:315;z-index:-251653120;mso-position-horizontal:center;mso-position-horizontal-relative:margin;mso-position-vertical:center;mso-position-vertical-relative:margin" o:allowincell="f" fillcolor="#747070 [1614]" stroked="f">
          <v:fill opacity=".5"/>
          <v:textpath style="font-family:&quot;Calibri&quot;;font-size:1pt" string="NOT FOR PUBLICATION OR DISTRIBUTION"/>
          <w10:wrap anchorx="margin" anchory="margin"/>
        </v:shape>
      </w:pict>
    </w:r>
    <w:r w:rsidR="0041646A">
      <w:rPr>
        <w:noProof/>
      </w:rPr>
      <w:drawing>
        <wp:inline distT="0" distB="0" distL="0" distR="0" wp14:anchorId="14EFEF0D" wp14:editId="53B270F5">
          <wp:extent cx="2468119" cy="779680"/>
          <wp:effectExtent l="0" t="0" r="0" b="190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web_met_tekst.png"/>
                  <pic:cNvPicPr/>
                </pic:nvPicPr>
                <pic:blipFill>
                  <a:blip r:embed="rId1">
                    <a:extLst>
                      <a:ext uri="{28A0092B-C50C-407E-A947-70E740481C1C}">
                        <a14:useLocalDpi xmlns:a14="http://schemas.microsoft.com/office/drawing/2010/main" val="0"/>
                      </a:ext>
                    </a:extLst>
                  </a:blip>
                  <a:stretch>
                    <a:fillRect/>
                  </a:stretch>
                </pic:blipFill>
                <pic:spPr>
                  <a:xfrm>
                    <a:off x="0" y="0"/>
                    <a:ext cx="2519816" cy="796011"/>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F8BB8" w14:textId="77777777" w:rsidR="0041646A" w:rsidRDefault="00A37B74">
    <w:pPr>
      <w:pStyle w:val="Header"/>
    </w:pPr>
    <w:r>
      <w:rPr>
        <w:noProof/>
      </w:rPr>
      <w:pict w14:anchorId="7FA439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36515" o:spid="_x0000_s2052" type="#_x0000_t136" style="position:absolute;margin-left:0;margin-top:0;width:670.95pt;height:64.9pt;rotation:315;z-index:-251657216;mso-position-horizontal:center;mso-position-horizontal-relative:margin;mso-position-vertical:center;mso-position-vertical-relative:margin" o:allowincell="f" fillcolor="#747070 [1614]" stroked="f">
          <v:fill opacity=".5"/>
          <v:textpath style="font-family:&quot;Calibri&quot;;font-size:1pt" string="NOT FOR PUBLICATION OR DISTRIBUTIO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90385"/>
    <w:multiLevelType w:val="hybridMultilevel"/>
    <w:tmpl w:val="7A3A70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4F157D"/>
    <w:multiLevelType w:val="hybridMultilevel"/>
    <w:tmpl w:val="56CE93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FA03888"/>
    <w:multiLevelType w:val="hybridMultilevel"/>
    <w:tmpl w:val="ECB447A6"/>
    <w:lvl w:ilvl="0" w:tplc="05E0AE16">
      <w:start w:val="2000"/>
      <w:numFmt w:val="bullet"/>
      <w:lvlText w:val="-"/>
      <w:lvlJc w:val="left"/>
      <w:pPr>
        <w:ind w:left="720" w:hanging="360"/>
      </w:pPr>
      <w:rPr>
        <w:rFonts w:ascii="Cambria" w:eastAsiaTheme="minorHAnsi" w:hAnsi="Cambria" w:cs="Cambria" w:hint="default"/>
        <w:b w:val="0"/>
        <w:color w:val="auto"/>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B76529"/>
    <w:multiLevelType w:val="hybridMultilevel"/>
    <w:tmpl w:val="E3BE9F26"/>
    <w:lvl w:ilvl="0" w:tplc="497EE1F4">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7844863"/>
    <w:multiLevelType w:val="hybridMultilevel"/>
    <w:tmpl w:val="A7782BBA"/>
    <w:lvl w:ilvl="0" w:tplc="AC58305C">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ECE"/>
    <w:rsid w:val="00032988"/>
    <w:rsid w:val="00053204"/>
    <w:rsid w:val="00056DC8"/>
    <w:rsid w:val="00073450"/>
    <w:rsid w:val="00073D6B"/>
    <w:rsid w:val="000965E6"/>
    <w:rsid w:val="00096DF2"/>
    <w:rsid w:val="000B0D91"/>
    <w:rsid w:val="000C4595"/>
    <w:rsid w:val="000D1245"/>
    <w:rsid w:val="000E352F"/>
    <w:rsid w:val="000E62DA"/>
    <w:rsid w:val="00120320"/>
    <w:rsid w:val="001429CA"/>
    <w:rsid w:val="00151566"/>
    <w:rsid w:val="00181605"/>
    <w:rsid w:val="001A7764"/>
    <w:rsid w:val="001D7E8A"/>
    <w:rsid w:val="001E401F"/>
    <w:rsid w:val="001E4D55"/>
    <w:rsid w:val="002024DF"/>
    <w:rsid w:val="00210EE7"/>
    <w:rsid w:val="002129BE"/>
    <w:rsid w:val="0023556C"/>
    <w:rsid w:val="00244D72"/>
    <w:rsid w:val="00253343"/>
    <w:rsid w:val="00266C55"/>
    <w:rsid w:val="00294E7D"/>
    <w:rsid w:val="002A225C"/>
    <w:rsid w:val="002A53DC"/>
    <w:rsid w:val="002B793D"/>
    <w:rsid w:val="002C6B84"/>
    <w:rsid w:val="002D36CC"/>
    <w:rsid w:val="002D3C07"/>
    <w:rsid w:val="002D72B4"/>
    <w:rsid w:val="002F0262"/>
    <w:rsid w:val="002F60DC"/>
    <w:rsid w:val="00313DDE"/>
    <w:rsid w:val="00340B4B"/>
    <w:rsid w:val="003460A2"/>
    <w:rsid w:val="003646D8"/>
    <w:rsid w:val="00370E6A"/>
    <w:rsid w:val="00382C1F"/>
    <w:rsid w:val="00390375"/>
    <w:rsid w:val="0039171D"/>
    <w:rsid w:val="003D3554"/>
    <w:rsid w:val="003D4C5B"/>
    <w:rsid w:val="003D50FB"/>
    <w:rsid w:val="003E1EEE"/>
    <w:rsid w:val="003E2924"/>
    <w:rsid w:val="003F3672"/>
    <w:rsid w:val="00401FD6"/>
    <w:rsid w:val="004038E5"/>
    <w:rsid w:val="00413D54"/>
    <w:rsid w:val="0041646A"/>
    <w:rsid w:val="00424419"/>
    <w:rsid w:val="00460394"/>
    <w:rsid w:val="00482A48"/>
    <w:rsid w:val="00486ABB"/>
    <w:rsid w:val="004929CD"/>
    <w:rsid w:val="004B53E4"/>
    <w:rsid w:val="004F597B"/>
    <w:rsid w:val="005039B0"/>
    <w:rsid w:val="0053090B"/>
    <w:rsid w:val="00591E94"/>
    <w:rsid w:val="005A5698"/>
    <w:rsid w:val="005B6F24"/>
    <w:rsid w:val="005C74A2"/>
    <w:rsid w:val="005D5135"/>
    <w:rsid w:val="005E6394"/>
    <w:rsid w:val="00603D05"/>
    <w:rsid w:val="00612A67"/>
    <w:rsid w:val="006204E7"/>
    <w:rsid w:val="0064132A"/>
    <w:rsid w:val="00644B83"/>
    <w:rsid w:val="00647C66"/>
    <w:rsid w:val="006506E2"/>
    <w:rsid w:val="006560E4"/>
    <w:rsid w:val="00666E62"/>
    <w:rsid w:val="006718B9"/>
    <w:rsid w:val="00677978"/>
    <w:rsid w:val="00693B85"/>
    <w:rsid w:val="006949C4"/>
    <w:rsid w:val="00695570"/>
    <w:rsid w:val="006A0832"/>
    <w:rsid w:val="006A7FA7"/>
    <w:rsid w:val="006B00B4"/>
    <w:rsid w:val="006D31D3"/>
    <w:rsid w:val="006D4922"/>
    <w:rsid w:val="006E0333"/>
    <w:rsid w:val="006E3EE8"/>
    <w:rsid w:val="006F2365"/>
    <w:rsid w:val="00710347"/>
    <w:rsid w:val="007230B8"/>
    <w:rsid w:val="00734025"/>
    <w:rsid w:val="007420A1"/>
    <w:rsid w:val="00742CBE"/>
    <w:rsid w:val="00752071"/>
    <w:rsid w:val="007564BF"/>
    <w:rsid w:val="00766AA3"/>
    <w:rsid w:val="007812EF"/>
    <w:rsid w:val="007947DA"/>
    <w:rsid w:val="007A1B58"/>
    <w:rsid w:val="007C03E0"/>
    <w:rsid w:val="007C1904"/>
    <w:rsid w:val="007C374A"/>
    <w:rsid w:val="007C37EF"/>
    <w:rsid w:val="007C532E"/>
    <w:rsid w:val="007F2FDF"/>
    <w:rsid w:val="007F4881"/>
    <w:rsid w:val="0081618A"/>
    <w:rsid w:val="00822E51"/>
    <w:rsid w:val="00822EA0"/>
    <w:rsid w:val="008326F3"/>
    <w:rsid w:val="00847C60"/>
    <w:rsid w:val="00853719"/>
    <w:rsid w:val="0085738D"/>
    <w:rsid w:val="0086604B"/>
    <w:rsid w:val="00876B1F"/>
    <w:rsid w:val="00883945"/>
    <w:rsid w:val="0089509F"/>
    <w:rsid w:val="00897E11"/>
    <w:rsid w:val="008B5182"/>
    <w:rsid w:val="008B5E68"/>
    <w:rsid w:val="00950139"/>
    <w:rsid w:val="00950EAA"/>
    <w:rsid w:val="00951613"/>
    <w:rsid w:val="009A5B00"/>
    <w:rsid w:val="009B0D1D"/>
    <w:rsid w:val="009B48F7"/>
    <w:rsid w:val="009E4FAC"/>
    <w:rsid w:val="00A01D47"/>
    <w:rsid w:val="00A333BB"/>
    <w:rsid w:val="00A37B74"/>
    <w:rsid w:val="00A56024"/>
    <w:rsid w:val="00A8007B"/>
    <w:rsid w:val="00A83F17"/>
    <w:rsid w:val="00A84D44"/>
    <w:rsid w:val="00A86976"/>
    <w:rsid w:val="00AB32B1"/>
    <w:rsid w:val="00AC0B4E"/>
    <w:rsid w:val="00AD4E6D"/>
    <w:rsid w:val="00AD6942"/>
    <w:rsid w:val="00B200EB"/>
    <w:rsid w:val="00B21129"/>
    <w:rsid w:val="00B26C3F"/>
    <w:rsid w:val="00B37757"/>
    <w:rsid w:val="00B42DBC"/>
    <w:rsid w:val="00B668B5"/>
    <w:rsid w:val="00BA3BCA"/>
    <w:rsid w:val="00BB6DDE"/>
    <w:rsid w:val="00BC3B21"/>
    <w:rsid w:val="00BC790C"/>
    <w:rsid w:val="00BD2016"/>
    <w:rsid w:val="00BE07DD"/>
    <w:rsid w:val="00BE3B53"/>
    <w:rsid w:val="00BE7E3F"/>
    <w:rsid w:val="00C1568C"/>
    <w:rsid w:val="00C50107"/>
    <w:rsid w:val="00C50261"/>
    <w:rsid w:val="00C6183F"/>
    <w:rsid w:val="00C6797D"/>
    <w:rsid w:val="00C84ECE"/>
    <w:rsid w:val="00CA0323"/>
    <w:rsid w:val="00CA209F"/>
    <w:rsid w:val="00CB4206"/>
    <w:rsid w:val="00CB6420"/>
    <w:rsid w:val="00CD37FD"/>
    <w:rsid w:val="00CE5F15"/>
    <w:rsid w:val="00CF6622"/>
    <w:rsid w:val="00D02D3B"/>
    <w:rsid w:val="00D03089"/>
    <w:rsid w:val="00D0444B"/>
    <w:rsid w:val="00D14246"/>
    <w:rsid w:val="00D16741"/>
    <w:rsid w:val="00D318DC"/>
    <w:rsid w:val="00D31D97"/>
    <w:rsid w:val="00D34FA5"/>
    <w:rsid w:val="00D36BDB"/>
    <w:rsid w:val="00D82441"/>
    <w:rsid w:val="00D82B78"/>
    <w:rsid w:val="00DB4F13"/>
    <w:rsid w:val="00DC44C2"/>
    <w:rsid w:val="00DC53A0"/>
    <w:rsid w:val="00DC6E42"/>
    <w:rsid w:val="00E04CE8"/>
    <w:rsid w:val="00E202E5"/>
    <w:rsid w:val="00E20C93"/>
    <w:rsid w:val="00E2411C"/>
    <w:rsid w:val="00E377A7"/>
    <w:rsid w:val="00E47661"/>
    <w:rsid w:val="00E559C7"/>
    <w:rsid w:val="00E74936"/>
    <w:rsid w:val="00E91303"/>
    <w:rsid w:val="00E9708B"/>
    <w:rsid w:val="00EB01B1"/>
    <w:rsid w:val="00EB535D"/>
    <w:rsid w:val="00EB5B86"/>
    <w:rsid w:val="00EB734A"/>
    <w:rsid w:val="00EC156E"/>
    <w:rsid w:val="00ED1B80"/>
    <w:rsid w:val="00EF0901"/>
    <w:rsid w:val="00F2319E"/>
    <w:rsid w:val="00F262D7"/>
    <w:rsid w:val="00F36B19"/>
    <w:rsid w:val="00F4063A"/>
    <w:rsid w:val="00F47F93"/>
    <w:rsid w:val="00F65A49"/>
    <w:rsid w:val="00F734BF"/>
    <w:rsid w:val="00F779A2"/>
    <w:rsid w:val="00F811FE"/>
    <w:rsid w:val="00F95C20"/>
    <w:rsid w:val="00FB3A2D"/>
    <w:rsid w:val="00FE22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63BD03A2"/>
  <w15:chartTrackingRefBased/>
  <w15:docId w15:val="{F4EEC0E0-4142-4D14-AA98-FA3619E44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03D0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E0333"/>
    <w:pPr>
      <w:keepNext/>
      <w:keepLines/>
      <w:spacing w:before="40" w:after="0" w:line="240" w:lineRule="auto"/>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2C6B8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266C55"/>
    <w:pPr>
      <w:spacing w:after="0" w:line="240" w:lineRule="auto"/>
    </w:pPr>
    <w:rPr>
      <w:sz w:val="20"/>
      <w:szCs w:val="20"/>
    </w:rPr>
  </w:style>
  <w:style w:type="character" w:customStyle="1" w:styleId="FootnoteTextChar">
    <w:name w:val="Footnote Text Char"/>
    <w:basedOn w:val="DefaultParagraphFont"/>
    <w:link w:val="FootnoteText"/>
    <w:uiPriority w:val="99"/>
    <w:rsid w:val="00266C55"/>
    <w:rPr>
      <w:sz w:val="20"/>
      <w:szCs w:val="20"/>
    </w:rPr>
  </w:style>
  <w:style w:type="character" w:styleId="FootnoteReference">
    <w:name w:val="footnote reference"/>
    <w:basedOn w:val="DefaultParagraphFont"/>
    <w:uiPriority w:val="99"/>
    <w:semiHidden/>
    <w:unhideWhenUsed/>
    <w:rsid w:val="00266C55"/>
    <w:rPr>
      <w:vertAlign w:val="superscript"/>
    </w:rPr>
  </w:style>
  <w:style w:type="paragraph" w:styleId="ListParagraph">
    <w:name w:val="List Paragraph"/>
    <w:basedOn w:val="Normal"/>
    <w:uiPriority w:val="34"/>
    <w:qFormat/>
    <w:rsid w:val="006560E4"/>
    <w:pPr>
      <w:ind w:left="720"/>
      <w:contextualSpacing/>
    </w:pPr>
  </w:style>
  <w:style w:type="paragraph" w:customStyle="1" w:styleId="Pa3">
    <w:name w:val="Pa3"/>
    <w:basedOn w:val="Normal"/>
    <w:next w:val="Normal"/>
    <w:uiPriority w:val="99"/>
    <w:rsid w:val="008B5E68"/>
    <w:pPr>
      <w:autoSpaceDE w:val="0"/>
      <w:autoSpaceDN w:val="0"/>
      <w:adjustRightInd w:val="0"/>
      <w:spacing w:after="0" w:line="211" w:lineRule="atLeast"/>
    </w:pPr>
    <w:rPr>
      <w:rFonts w:ascii="Gotham" w:hAnsi="Gotham"/>
      <w:sz w:val="24"/>
      <w:szCs w:val="24"/>
    </w:rPr>
  </w:style>
  <w:style w:type="paragraph" w:styleId="EndnoteText">
    <w:name w:val="endnote text"/>
    <w:basedOn w:val="Normal"/>
    <w:link w:val="EndnoteTextChar"/>
    <w:uiPriority w:val="99"/>
    <w:semiHidden/>
    <w:unhideWhenUsed/>
    <w:rsid w:val="00C6797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6797D"/>
    <w:rPr>
      <w:sz w:val="20"/>
      <w:szCs w:val="20"/>
    </w:rPr>
  </w:style>
  <w:style w:type="character" w:styleId="EndnoteReference">
    <w:name w:val="endnote reference"/>
    <w:basedOn w:val="DefaultParagraphFont"/>
    <w:uiPriority w:val="99"/>
    <w:semiHidden/>
    <w:unhideWhenUsed/>
    <w:rsid w:val="00C6797D"/>
    <w:rPr>
      <w:vertAlign w:val="superscript"/>
    </w:rPr>
  </w:style>
  <w:style w:type="character" w:styleId="Hyperlink">
    <w:name w:val="Hyperlink"/>
    <w:basedOn w:val="DefaultParagraphFont"/>
    <w:uiPriority w:val="99"/>
    <w:unhideWhenUsed/>
    <w:rsid w:val="007420A1"/>
    <w:rPr>
      <w:color w:val="0000FF"/>
      <w:u w:val="single"/>
    </w:rPr>
  </w:style>
  <w:style w:type="paragraph" w:styleId="NormalWeb">
    <w:name w:val="Normal (Web)"/>
    <w:basedOn w:val="Normal"/>
    <w:uiPriority w:val="99"/>
    <w:semiHidden/>
    <w:unhideWhenUsed/>
    <w:rsid w:val="00AC0B4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C0B4E"/>
    <w:rPr>
      <w:b/>
      <w:bCs/>
    </w:rPr>
  </w:style>
  <w:style w:type="character" w:styleId="CommentReference">
    <w:name w:val="annotation reference"/>
    <w:basedOn w:val="DefaultParagraphFont"/>
    <w:uiPriority w:val="99"/>
    <w:semiHidden/>
    <w:unhideWhenUsed/>
    <w:rsid w:val="00EB01B1"/>
    <w:rPr>
      <w:sz w:val="16"/>
      <w:szCs w:val="16"/>
    </w:rPr>
  </w:style>
  <w:style w:type="paragraph" w:styleId="CommentText">
    <w:name w:val="annotation text"/>
    <w:basedOn w:val="Normal"/>
    <w:link w:val="CommentTextChar"/>
    <w:uiPriority w:val="99"/>
    <w:semiHidden/>
    <w:unhideWhenUsed/>
    <w:rsid w:val="00EB01B1"/>
    <w:pPr>
      <w:spacing w:after="0" w:line="240" w:lineRule="auto"/>
    </w:pPr>
    <w:rPr>
      <w:sz w:val="20"/>
      <w:szCs w:val="20"/>
    </w:rPr>
  </w:style>
  <w:style w:type="character" w:customStyle="1" w:styleId="CommentTextChar">
    <w:name w:val="Comment Text Char"/>
    <w:basedOn w:val="DefaultParagraphFont"/>
    <w:link w:val="CommentText"/>
    <w:uiPriority w:val="99"/>
    <w:semiHidden/>
    <w:rsid w:val="00EB01B1"/>
    <w:rPr>
      <w:sz w:val="20"/>
      <w:szCs w:val="20"/>
    </w:rPr>
  </w:style>
  <w:style w:type="paragraph" w:styleId="BalloonText">
    <w:name w:val="Balloon Text"/>
    <w:basedOn w:val="Normal"/>
    <w:link w:val="BalloonTextChar"/>
    <w:uiPriority w:val="99"/>
    <w:semiHidden/>
    <w:unhideWhenUsed/>
    <w:rsid w:val="00EB01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01B1"/>
    <w:rPr>
      <w:rFonts w:ascii="Segoe UI" w:hAnsi="Segoe UI" w:cs="Segoe UI"/>
      <w:sz w:val="18"/>
      <w:szCs w:val="18"/>
    </w:rPr>
  </w:style>
  <w:style w:type="character" w:customStyle="1" w:styleId="Heading2Char">
    <w:name w:val="Heading 2 Char"/>
    <w:basedOn w:val="DefaultParagraphFont"/>
    <w:link w:val="Heading2"/>
    <w:uiPriority w:val="9"/>
    <w:rsid w:val="006E0333"/>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603D05"/>
    <w:rPr>
      <w:rFonts w:asciiTheme="majorHAnsi" w:eastAsiaTheme="majorEastAsia" w:hAnsiTheme="majorHAnsi" w:cstheme="majorBidi"/>
      <w:color w:val="2E74B5" w:themeColor="accent1" w:themeShade="BF"/>
      <w:sz w:val="32"/>
      <w:szCs w:val="32"/>
    </w:rPr>
  </w:style>
  <w:style w:type="character" w:customStyle="1" w:styleId="contentpanediv2">
    <w:name w:val="contentpanediv2"/>
    <w:basedOn w:val="DefaultParagraphFont"/>
    <w:rsid w:val="006D4922"/>
  </w:style>
  <w:style w:type="character" w:customStyle="1" w:styleId="Heading3Char">
    <w:name w:val="Heading 3 Char"/>
    <w:basedOn w:val="DefaultParagraphFont"/>
    <w:link w:val="Heading3"/>
    <w:uiPriority w:val="9"/>
    <w:semiHidden/>
    <w:rsid w:val="002C6B84"/>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4164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646A"/>
  </w:style>
  <w:style w:type="paragraph" w:styleId="Footer">
    <w:name w:val="footer"/>
    <w:basedOn w:val="Normal"/>
    <w:link w:val="FooterChar"/>
    <w:uiPriority w:val="99"/>
    <w:unhideWhenUsed/>
    <w:rsid w:val="004164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646A"/>
  </w:style>
  <w:style w:type="paragraph" w:styleId="CommentSubject">
    <w:name w:val="annotation subject"/>
    <w:basedOn w:val="CommentText"/>
    <w:next w:val="CommentText"/>
    <w:link w:val="CommentSubjectChar"/>
    <w:uiPriority w:val="99"/>
    <w:semiHidden/>
    <w:unhideWhenUsed/>
    <w:rsid w:val="00883945"/>
    <w:pPr>
      <w:spacing w:after="160"/>
    </w:pPr>
    <w:rPr>
      <w:b/>
      <w:bCs/>
    </w:rPr>
  </w:style>
  <w:style w:type="character" w:customStyle="1" w:styleId="CommentSubjectChar">
    <w:name w:val="Comment Subject Char"/>
    <w:basedOn w:val="CommentTextChar"/>
    <w:link w:val="CommentSubject"/>
    <w:uiPriority w:val="99"/>
    <w:semiHidden/>
    <w:rsid w:val="00883945"/>
    <w:rPr>
      <w:b/>
      <w:bCs/>
      <w:sz w:val="20"/>
      <w:szCs w:val="20"/>
    </w:rPr>
  </w:style>
  <w:style w:type="paragraph" w:styleId="Revision">
    <w:name w:val="Revision"/>
    <w:hidden/>
    <w:uiPriority w:val="99"/>
    <w:semiHidden/>
    <w:rsid w:val="0088394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489563">
      <w:bodyDiv w:val="1"/>
      <w:marLeft w:val="0"/>
      <w:marRight w:val="0"/>
      <w:marTop w:val="0"/>
      <w:marBottom w:val="0"/>
      <w:divBdr>
        <w:top w:val="none" w:sz="0" w:space="0" w:color="auto"/>
        <w:left w:val="none" w:sz="0" w:space="0" w:color="auto"/>
        <w:bottom w:val="none" w:sz="0" w:space="0" w:color="auto"/>
        <w:right w:val="none" w:sz="0" w:space="0" w:color="auto"/>
      </w:divBdr>
    </w:div>
    <w:div w:id="157623601">
      <w:bodyDiv w:val="1"/>
      <w:marLeft w:val="0"/>
      <w:marRight w:val="0"/>
      <w:marTop w:val="0"/>
      <w:marBottom w:val="0"/>
      <w:divBdr>
        <w:top w:val="none" w:sz="0" w:space="0" w:color="auto"/>
        <w:left w:val="none" w:sz="0" w:space="0" w:color="auto"/>
        <w:bottom w:val="none" w:sz="0" w:space="0" w:color="auto"/>
        <w:right w:val="none" w:sz="0" w:space="0" w:color="auto"/>
      </w:divBdr>
    </w:div>
    <w:div w:id="654917023">
      <w:bodyDiv w:val="1"/>
      <w:marLeft w:val="0"/>
      <w:marRight w:val="0"/>
      <w:marTop w:val="0"/>
      <w:marBottom w:val="0"/>
      <w:divBdr>
        <w:top w:val="none" w:sz="0" w:space="0" w:color="auto"/>
        <w:left w:val="none" w:sz="0" w:space="0" w:color="auto"/>
        <w:bottom w:val="none" w:sz="0" w:space="0" w:color="auto"/>
        <w:right w:val="none" w:sz="0" w:space="0" w:color="auto"/>
      </w:divBdr>
    </w:div>
    <w:div w:id="939946272">
      <w:bodyDiv w:val="1"/>
      <w:marLeft w:val="0"/>
      <w:marRight w:val="0"/>
      <w:marTop w:val="0"/>
      <w:marBottom w:val="0"/>
      <w:divBdr>
        <w:top w:val="none" w:sz="0" w:space="0" w:color="auto"/>
        <w:left w:val="none" w:sz="0" w:space="0" w:color="auto"/>
        <w:bottom w:val="none" w:sz="0" w:space="0" w:color="auto"/>
        <w:right w:val="none" w:sz="0" w:space="0" w:color="auto"/>
      </w:divBdr>
    </w:div>
    <w:div w:id="1532456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mo.n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omo.nl/about-som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omo.nl/about-somo/" TargetMode="External"/><Relationship Id="rId4" Type="http://schemas.openxmlformats.org/officeDocument/2006/relationships/settings" Target="settings.xml"/><Relationship Id="rId9" Type="http://schemas.openxmlformats.org/officeDocument/2006/relationships/hyperlink" Target="https://www.somo.nl/about-somo/"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s://www.issgovernance.com/oekom-research-ag-join-institutional-shareholder-services/" TargetMode="External"/><Relationship Id="rId13" Type="http://schemas.openxmlformats.org/officeDocument/2006/relationships/hyperlink" Target="http://investor.spglobal.com/Cache/IRCache/06e6d9bb-5f68-8f3b-82c9-3aaf22475b7e.PDF?O=PDF&amp;T=&amp;Y=&amp;D=&amp;FID=06e6d9bb-5f68-8f3b-82c9-3aaf22475b7e&amp;iid=4023623" TargetMode="External"/><Relationship Id="rId18" Type="http://schemas.openxmlformats.org/officeDocument/2006/relationships/hyperlink" Target="https://www.robecosam.com/csa/" TargetMode="External"/><Relationship Id="rId26" Type="http://schemas.openxmlformats.org/officeDocument/2006/relationships/hyperlink" Target="https://www.refinitiv.com/content/dam/marketing/en_us/documents/methodology/esg-scores-methodology.pdf" TargetMode="External"/><Relationship Id="rId3" Type="http://schemas.openxmlformats.org/officeDocument/2006/relationships/hyperlink" Target="https://www.iif.com/Portals/0/Files/content/2020_global_climate_survey.pdf" TargetMode="External"/><Relationship Id="rId21" Type="http://schemas.openxmlformats.org/officeDocument/2006/relationships/hyperlink" Target="https://www.spglobal.com/esg/csa/insights/2020/csa-to-become-the-pillar-of-esg-data-collection-at-sp-global-benefits-for-corporates" TargetMode="External"/><Relationship Id="rId7" Type="http://schemas.openxmlformats.org/officeDocument/2006/relationships/hyperlink" Target="https://www.nytimes.com/2019/07/24/climate/moodys-ratings-climate-change-data.html" TargetMode="External"/><Relationship Id="rId12" Type="http://schemas.openxmlformats.org/officeDocument/2006/relationships/hyperlink" Target="https://www.globalcapital.com/article/b1fm6w0jt5625k/morningstar-makes-credit-ratings-drive-with-dbrs-buy" TargetMode="External"/><Relationship Id="rId17" Type="http://schemas.openxmlformats.org/officeDocument/2006/relationships/hyperlink" Target="https://www.robeco.com/en/media/press-releases/2019/robecosam-to-transfer-the-sam-esg-ratings-and-esg-benchmarking-business-to-sp-global.html" TargetMode="External"/><Relationship Id="rId25" Type="http://schemas.openxmlformats.org/officeDocument/2006/relationships/hyperlink" Target="https://www.cityam.com/london-stock-exchange-gets-us-approval-for-refinitiv-deal/" TargetMode="External"/><Relationship Id="rId33" Type="http://schemas.openxmlformats.org/officeDocument/2006/relationships/hyperlink" Target="https://www.morningstar.com/content/dam/marketing/shared/research/methodology/744156_Morningstar_Sustainability_Rating_for_Funds_Methodology.pdf" TargetMode="External"/><Relationship Id="rId2" Type="http://schemas.openxmlformats.org/officeDocument/2006/relationships/hyperlink" Target="https://ec.europa.eu/info/consultations/finance-2020-sustainable-finance-strategy_en" TargetMode="External"/><Relationship Id="rId16" Type="http://schemas.openxmlformats.org/officeDocument/2006/relationships/hyperlink" Target="https://www.robeco.com/en/about-us/about-orix-corporation-europe.html" TargetMode="External"/><Relationship Id="rId20" Type="http://schemas.openxmlformats.org/officeDocument/2006/relationships/hyperlink" Target="https://www.spglobal.com/esg/csa/insights/2020/csa-to-become-the-pillar-of-esg-data-collection-at-sp-global-benefits-for-corporates" TargetMode="External"/><Relationship Id="rId29" Type="http://schemas.openxmlformats.org/officeDocument/2006/relationships/hyperlink" Target="https://www.refinitiv.com/content/dam/marketing/en_us/documents/methodology/esg-scores-methodology.pdf" TargetMode="External"/><Relationship Id="rId1" Type="http://schemas.openxmlformats.org/officeDocument/2006/relationships/hyperlink" Target="https://ec.europa.eu/info/consultations/finance-2020-sustainable-finance-strategy_en" TargetMode="External"/><Relationship Id="rId6" Type="http://schemas.openxmlformats.org/officeDocument/2006/relationships/hyperlink" Target="http://www.businesswire.com/news/home/20190415005184/en/Moody%E2%80%99s-Acquires-Majority-Stake-Vigeo-Eiris-Global" TargetMode="External"/><Relationship Id="rId11" Type="http://schemas.openxmlformats.org/officeDocument/2006/relationships/hyperlink" Target="https://www.sustainalytics.com/esg-investing-news/morningstar-inc-completes-acquisition-of-sustainalytics/" TargetMode="External"/><Relationship Id="rId24" Type="http://schemas.openxmlformats.org/officeDocument/2006/relationships/hyperlink" Target="https://www.reuters.com/article/us-refinitiv-m-a-breakingviews/breakingviews-thomson-reuters-beats-blackstone-in-refinitiv-deal-idUSKCN1UR501" TargetMode="External"/><Relationship Id="rId32" Type="http://schemas.openxmlformats.org/officeDocument/2006/relationships/hyperlink" Target="https://www.refinitiv.com/content/dam/marketing/en_us/documents/methodology/esg-scores-methodology.pdf" TargetMode="External"/><Relationship Id="rId5" Type="http://schemas.openxmlformats.org/officeDocument/2006/relationships/hyperlink" Target="https://www.sustainalytics.com/about-us/" TargetMode="External"/><Relationship Id="rId15" Type="http://schemas.openxmlformats.org/officeDocument/2006/relationships/hyperlink" Target="https://www.spglobal.com/en/annual-reports/2019/2019-annual-report.pdf" TargetMode="External"/><Relationship Id="rId23" Type="http://schemas.openxmlformats.org/officeDocument/2006/relationships/hyperlink" Target="https://www.refinitiv.com/en/investor-information" TargetMode="External"/><Relationship Id="rId28" Type="http://schemas.openxmlformats.org/officeDocument/2006/relationships/hyperlink" Target="https://www.refinitiv.com/content/dam/marketing/en_us/documents/methodology/esg-scores-methodology.pdf" TargetMode="External"/><Relationship Id="rId10" Type="http://schemas.openxmlformats.org/officeDocument/2006/relationships/hyperlink" Target="https://newsroom.morningstar.com/newsroom/news-archive/press-release-details/2020/Morningstar-to-Acquire-Sustainalytics-and-Expand-Access-to-ESG-Research-Data-and-Analytics-for-Investors-Worldwide/default.aspx" TargetMode="External"/><Relationship Id="rId19" Type="http://schemas.openxmlformats.org/officeDocument/2006/relationships/hyperlink" Target="https://www.spglobal.com/esg/csa/insights/2020/csa-to-become-the-pillar-of-esg-data-collection-at-sp-global-benefits-for-corporates" TargetMode="External"/><Relationship Id="rId31" Type="http://schemas.openxmlformats.org/officeDocument/2006/relationships/hyperlink" Target="https://sustainability.com/wp-content/uploads/2020/03/sustainability-ratetheraters2020-report.pdf" TargetMode="External"/><Relationship Id="rId4" Type="http://schemas.openxmlformats.org/officeDocument/2006/relationships/hyperlink" Target="https://uploads-ssl.webflow.com/5d5c269b98d227a3d0669e85/5dc5b8a0a52bdb87cf80bf6d_Buzzword-GRI%20ESG%20Raters%20and%20Rankers-FINAL-2-25-19-3.pdf" TargetMode="External"/><Relationship Id="rId9" Type="http://schemas.openxmlformats.org/officeDocument/2006/relationships/hyperlink" Target="https://www.sustainalytics.com/esg-investing-news/morningstar-inc-completes-acquisition-of-sustainalytics/" TargetMode="External"/><Relationship Id="rId14" Type="http://schemas.openxmlformats.org/officeDocument/2006/relationships/hyperlink" Target="https://www.spglobal.com/esg/csa/insights/2020/csa-to-become-the-pillar-of-esg-data-collection-at-sp-global-benefits-for-corporates" TargetMode="External"/><Relationship Id="rId22" Type="http://schemas.openxmlformats.org/officeDocument/2006/relationships/hyperlink" Target="https://www.spglobal.com/en/annual-reports/2019/2019-annual-report.pdf" TargetMode="External"/><Relationship Id="rId27" Type="http://schemas.openxmlformats.org/officeDocument/2006/relationships/hyperlink" Target="https://www.sustainalytics.com/esg-investing-news/morningstar-inc-completes-acquisition-of-sustainalytics/" TargetMode="External"/><Relationship Id="rId30" Type="http://schemas.openxmlformats.org/officeDocument/2006/relationships/hyperlink" Target="https://papers.ssrn.com/sol3/papers.cfm?abstract_id=3438533"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653294-2F5B-423D-B102-9B480D566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5423</Words>
  <Characters>30917</Characters>
  <Application>Microsoft Office Word</Application>
  <DocSecurity>4</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Myriam Vander Stichele</dc:creator>
  <cp:keywords/>
  <dc:description/>
  <cp:lastModifiedBy>Myriam Vander Stichele</cp:lastModifiedBy>
  <cp:revision>2</cp:revision>
  <dcterms:created xsi:type="dcterms:W3CDTF">2020-07-15T21:41:00Z</dcterms:created>
  <dcterms:modified xsi:type="dcterms:W3CDTF">2020-07-15T21:41:00Z</dcterms:modified>
</cp:coreProperties>
</file>