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288C5" w14:textId="7489EFAA" w:rsidR="00B2155D" w:rsidRDefault="00B2155D" w:rsidP="00EA5331">
      <w:pPr>
        <w:ind w:left="-284"/>
      </w:pPr>
      <w:r>
        <w:rPr>
          <w:b/>
        </w:rPr>
        <w:t>Additional comments we wanted to provide to questions, where space was not provided.</w:t>
      </w:r>
    </w:p>
    <w:tbl>
      <w:tblPr>
        <w:tblStyle w:val="TableGrid"/>
        <w:tblW w:w="14743" w:type="dxa"/>
        <w:tblInd w:w="-289" w:type="dxa"/>
        <w:tblLook w:val="04A0" w:firstRow="1" w:lastRow="0" w:firstColumn="1" w:lastColumn="0" w:noHBand="0" w:noVBand="1"/>
      </w:tblPr>
      <w:tblGrid>
        <w:gridCol w:w="4248"/>
        <w:gridCol w:w="10495"/>
      </w:tblGrid>
      <w:tr w:rsidR="007F4B4C" w:rsidRPr="007F4B4C" w14:paraId="7386FE3F" w14:textId="77777777" w:rsidTr="00EA5331">
        <w:tc>
          <w:tcPr>
            <w:tcW w:w="4248" w:type="dxa"/>
            <w:shd w:val="clear" w:color="auto" w:fill="auto"/>
          </w:tcPr>
          <w:p w14:paraId="260E6965" w14:textId="0C970FB7" w:rsidR="000C6B8A" w:rsidRPr="007F4B4C" w:rsidRDefault="000C6B8A" w:rsidP="000C6B8A">
            <w:pPr>
              <w:pStyle w:val="Heading1"/>
              <w:widowControl w:val="0"/>
              <w:tabs>
                <w:tab w:val="left" w:pos="454"/>
              </w:tabs>
              <w:kinsoku w:val="0"/>
              <w:overflowPunct w:val="0"/>
              <w:autoSpaceDE w:val="0"/>
              <w:autoSpaceDN w:val="0"/>
              <w:adjustRightInd w:val="0"/>
              <w:spacing w:before="120" w:line="240" w:lineRule="auto"/>
              <w:outlineLvl w:val="0"/>
              <w:rPr>
                <w:sz w:val="20"/>
                <w:szCs w:val="20"/>
              </w:rPr>
            </w:pPr>
            <w:r w:rsidRPr="007F4B4C">
              <w:rPr>
                <w:sz w:val="20"/>
                <w:szCs w:val="20"/>
              </w:rPr>
              <w:t>FINANCIAL STABILITY</w:t>
            </w:r>
            <w:r w:rsidRPr="007F4B4C">
              <w:rPr>
                <w:spacing w:val="-1"/>
                <w:sz w:val="20"/>
                <w:szCs w:val="20"/>
              </w:rPr>
              <w:t xml:space="preserve"> </w:t>
            </w:r>
            <w:r w:rsidRPr="007F4B4C">
              <w:rPr>
                <w:sz w:val="20"/>
                <w:szCs w:val="20"/>
              </w:rPr>
              <w:t>RISK</w:t>
            </w:r>
          </w:p>
        </w:tc>
        <w:tc>
          <w:tcPr>
            <w:tcW w:w="10495" w:type="dxa"/>
          </w:tcPr>
          <w:p w14:paraId="11EE06C9" w14:textId="77777777" w:rsidR="000C6B8A" w:rsidRPr="007F4B4C" w:rsidRDefault="000C6B8A" w:rsidP="000C6B8A">
            <w:pPr>
              <w:pStyle w:val="Heading1"/>
              <w:widowControl w:val="0"/>
              <w:tabs>
                <w:tab w:val="left" w:pos="454"/>
              </w:tabs>
              <w:kinsoku w:val="0"/>
              <w:overflowPunct w:val="0"/>
              <w:autoSpaceDE w:val="0"/>
              <w:autoSpaceDN w:val="0"/>
              <w:adjustRightInd w:val="0"/>
              <w:spacing w:before="120" w:line="240" w:lineRule="auto"/>
              <w:ind w:left="29"/>
              <w:outlineLvl w:val="0"/>
              <w:rPr>
                <w:sz w:val="20"/>
                <w:szCs w:val="20"/>
              </w:rPr>
            </w:pPr>
          </w:p>
        </w:tc>
      </w:tr>
      <w:tr w:rsidR="007F4B4C" w:rsidRPr="007F4B4C" w14:paraId="76DAE962" w14:textId="77777777" w:rsidTr="00EA5331">
        <w:tc>
          <w:tcPr>
            <w:tcW w:w="4248" w:type="dxa"/>
            <w:shd w:val="clear" w:color="auto" w:fill="auto"/>
          </w:tcPr>
          <w:p w14:paraId="719AE60B" w14:textId="77777777" w:rsidR="000C6B8A" w:rsidRPr="00B2155D" w:rsidRDefault="000C6B8A" w:rsidP="000C6B8A">
            <w:pPr>
              <w:pStyle w:val="BodyText"/>
              <w:kinsoku w:val="0"/>
              <w:overflowPunct w:val="0"/>
              <w:spacing w:before="57"/>
              <w:ind w:right="319"/>
            </w:pPr>
            <w:r w:rsidRPr="00B2155D">
              <w:rPr>
                <w:b/>
                <w:bCs/>
              </w:rPr>
              <w:t xml:space="preserve">Question 86: </w:t>
            </w:r>
            <w:r w:rsidRPr="00B2155D">
              <w:t>Following the financial crisis, the EU has developed several macro- prudential instruments, in particular for the banking sector (CRR/CRDIV), which aim to address systemic risk in the financial system. Do you consider the current macro- prudential policy toolbox for the EU financial sector sufficient to identify and address potential systemic financial stability risks related to climate change?</w:t>
            </w:r>
          </w:p>
          <w:p w14:paraId="5E78243D" w14:textId="77777777" w:rsidR="000C6B8A" w:rsidRPr="00B2155D" w:rsidRDefault="000C6B8A" w:rsidP="000C6B8A">
            <w:pPr>
              <w:pStyle w:val="ListParagraph"/>
              <w:widowControl w:val="0"/>
              <w:numPr>
                <w:ilvl w:val="0"/>
                <w:numId w:val="3"/>
              </w:numPr>
              <w:tabs>
                <w:tab w:val="left" w:pos="1027"/>
              </w:tabs>
              <w:kinsoku w:val="0"/>
              <w:overflowPunct w:val="0"/>
              <w:autoSpaceDE w:val="0"/>
              <w:autoSpaceDN w:val="0"/>
              <w:adjustRightInd w:val="0"/>
              <w:spacing w:before="120" w:after="120"/>
              <w:ind w:left="448" w:right="318" w:hanging="425"/>
              <w:contextualSpacing w:val="0"/>
              <w:jc w:val="both"/>
            </w:pPr>
            <w:r w:rsidRPr="00B2155D">
              <w:t>Please express your view by using a scale of 1 (highly inadequate) to 5 (fully sufficient).</w:t>
            </w:r>
          </w:p>
          <w:p w14:paraId="421315E5" w14:textId="77777777" w:rsidR="000C6B8A" w:rsidRPr="00B2155D" w:rsidRDefault="000C6B8A" w:rsidP="000C6B8A">
            <w:pPr>
              <w:pStyle w:val="ListParagraph"/>
              <w:widowControl w:val="0"/>
              <w:numPr>
                <w:ilvl w:val="0"/>
                <w:numId w:val="3"/>
              </w:numPr>
              <w:tabs>
                <w:tab w:val="left" w:pos="1027"/>
              </w:tabs>
              <w:kinsoku w:val="0"/>
              <w:overflowPunct w:val="0"/>
              <w:autoSpaceDE w:val="0"/>
              <w:autoSpaceDN w:val="0"/>
              <w:adjustRightInd w:val="0"/>
              <w:spacing w:before="120" w:after="120"/>
              <w:ind w:left="448" w:right="318" w:hanging="425"/>
              <w:contextualSpacing w:val="0"/>
              <w:jc w:val="both"/>
              <w:rPr>
                <w:rFonts w:ascii="Wingdings" w:hAnsi="Wingdings" w:cs="Wingdings"/>
              </w:rPr>
            </w:pPr>
            <w:r w:rsidRPr="00B2155D">
              <w:t>For scores of 1-2, what solution would you propose? Please list a maximum of three. [BOX max 2000 characters]</w:t>
            </w:r>
          </w:p>
        </w:tc>
        <w:tc>
          <w:tcPr>
            <w:tcW w:w="10495" w:type="dxa"/>
          </w:tcPr>
          <w:p w14:paraId="6DDE9EC6" w14:textId="39801840" w:rsidR="000C6B8A" w:rsidRPr="00B2155D" w:rsidRDefault="000C6B8A" w:rsidP="000C6B8A">
            <w:pPr>
              <w:pStyle w:val="BodyText"/>
              <w:kinsoku w:val="0"/>
              <w:overflowPunct w:val="0"/>
              <w:spacing w:before="57"/>
              <w:ind w:right="319"/>
              <w:rPr>
                <w:bCs/>
              </w:rPr>
            </w:pPr>
            <w:r w:rsidRPr="00B2155D">
              <w:rPr>
                <w:bCs/>
              </w:rPr>
              <w:t>4</w:t>
            </w:r>
          </w:p>
          <w:p w14:paraId="75F58EFA" w14:textId="1C345505" w:rsidR="009A5BCD" w:rsidRPr="00B2155D" w:rsidRDefault="000C6B8A" w:rsidP="000C6B8A">
            <w:pPr>
              <w:pStyle w:val="BodyText"/>
              <w:overflowPunct w:val="0"/>
              <w:ind w:right="319"/>
            </w:pPr>
            <w:r w:rsidRPr="00B2155D">
              <w:t xml:space="preserve">We </w:t>
            </w:r>
            <w:r w:rsidRPr="00B2155D">
              <w:t xml:space="preserve">believe </w:t>
            </w:r>
            <w:r w:rsidR="000160DE" w:rsidRPr="00B2155D">
              <w:t xml:space="preserve">climate change </w:t>
            </w:r>
            <w:r w:rsidRPr="00B2155D">
              <w:t xml:space="preserve">considerations are </w:t>
            </w:r>
            <w:r w:rsidR="009A5BCD" w:rsidRPr="00B2155D">
              <w:t xml:space="preserve">currently </w:t>
            </w:r>
            <w:r w:rsidRPr="00B2155D">
              <w:t>being sufficiently considered from a macro-prudential perspective by supervisors and central banks, in particular as part of current and future stress testing</w:t>
            </w:r>
            <w:r w:rsidR="009A5BCD" w:rsidRPr="00B2155D">
              <w:t xml:space="preserve"> – ie within Pillar 1 and 2 requirements</w:t>
            </w:r>
            <w:r w:rsidRPr="00B2155D">
              <w:t>. There is also the possibility, via the existing pillar 2 regime and resolution planning regimes, for additional capital charges to be applied to certain exposures</w:t>
            </w:r>
            <w:r w:rsidR="009A5BCD" w:rsidRPr="00B2155D">
              <w:t xml:space="preserve"> should assessments yield findings that justify this </w:t>
            </w:r>
            <w:r w:rsidRPr="00B2155D">
              <w:t xml:space="preserve">in order to ensure resolvability and sufficient conservativism of bank balance sheets relative to risk. We believe these tools are appropriate for the moment. There is also a need to fully </w:t>
            </w:r>
            <w:r w:rsidR="009A5BCD" w:rsidRPr="00B2155D">
              <w:t>develop the methodologi</w:t>
            </w:r>
            <w:r w:rsidR="00BA5237" w:rsidRPr="00B2155D">
              <w:t>es and</w:t>
            </w:r>
            <w:r w:rsidR="009A5BCD" w:rsidRPr="00B2155D">
              <w:t xml:space="preserve"> tools to properly </w:t>
            </w:r>
            <w:r w:rsidRPr="00B2155D">
              <w:t xml:space="preserve">assess </w:t>
            </w:r>
            <w:r w:rsidR="009A5BCD" w:rsidRPr="00B2155D">
              <w:t>climate-related risk – while this work is underway across the banking sector, there is much more to be done (e.g. development of acceptable scenarios, assessment methodologies)</w:t>
            </w:r>
            <w:r w:rsidRPr="00B2155D">
              <w:t xml:space="preserve">. </w:t>
            </w:r>
            <w:r w:rsidR="00BA5237" w:rsidRPr="00B2155D">
              <w:t>One area that should be considered is how climate-related risk should be integrated into existing risk assessment frameworks/toolbox (principal risks organised around credit, market, liquidity, operational risk and others). The design of a prudential toolbox to address climate change and related risks should reflect the interlinkages between these risk types rather than looking to provide additional, additive measures for capital and liquidity to capture such risks</w:t>
            </w:r>
            <w:r w:rsidR="009A5BCD" w:rsidRPr="00B2155D">
              <w:t>.</w:t>
            </w:r>
          </w:p>
          <w:p w14:paraId="306391BE" w14:textId="5378EF2B" w:rsidR="000C6B8A" w:rsidRPr="00EA5331" w:rsidRDefault="009A5BCD" w:rsidP="00EA5331">
            <w:pPr>
              <w:pStyle w:val="BodyText"/>
              <w:overflowPunct w:val="0"/>
              <w:ind w:right="319"/>
            </w:pPr>
            <w:r w:rsidRPr="00B2155D">
              <w:t xml:space="preserve">Further development of conceptual frameworks, approaches, tools, methodologies and forward looking data – and the implementation of these in practice is needed in order to confidently consider and make </w:t>
            </w:r>
            <w:r w:rsidR="000C6B8A" w:rsidRPr="00B2155D">
              <w:t>changes to the prudential regime designed to incentive (positively or negatively) the financing of certain activities</w:t>
            </w:r>
            <w:r w:rsidRPr="00B2155D">
              <w:t xml:space="preserve"> – although this is not to say that prudential tools will not be needed in the future</w:t>
            </w:r>
            <w:r w:rsidR="00EA5331">
              <w:t>.</w:t>
            </w:r>
            <w:bookmarkStart w:id="0" w:name="_GoBack"/>
            <w:bookmarkEnd w:id="0"/>
          </w:p>
        </w:tc>
      </w:tr>
      <w:tr w:rsidR="007F4B4C" w:rsidRPr="007F4B4C" w14:paraId="163A13DB" w14:textId="77777777" w:rsidTr="00EA5331">
        <w:tc>
          <w:tcPr>
            <w:tcW w:w="4248" w:type="dxa"/>
          </w:tcPr>
          <w:p w14:paraId="52B218DB" w14:textId="77777777" w:rsidR="000C6B8A" w:rsidRPr="007F4B4C" w:rsidRDefault="000C6B8A" w:rsidP="000C6B8A">
            <w:pPr>
              <w:pStyle w:val="Heading1"/>
              <w:widowControl w:val="0"/>
              <w:tabs>
                <w:tab w:val="left" w:pos="454"/>
              </w:tabs>
              <w:kinsoku w:val="0"/>
              <w:overflowPunct w:val="0"/>
              <w:autoSpaceDE w:val="0"/>
              <w:autoSpaceDN w:val="0"/>
              <w:adjustRightInd w:val="0"/>
              <w:spacing w:before="120" w:line="240" w:lineRule="auto"/>
              <w:jc w:val="both"/>
              <w:outlineLvl w:val="0"/>
              <w:rPr>
                <w:sz w:val="20"/>
                <w:szCs w:val="20"/>
              </w:rPr>
            </w:pPr>
            <w:r w:rsidRPr="007F4B4C">
              <w:rPr>
                <w:sz w:val="20"/>
                <w:szCs w:val="20"/>
              </w:rPr>
              <w:t>CREDIT RATING</w:t>
            </w:r>
            <w:r w:rsidRPr="007F4B4C">
              <w:rPr>
                <w:spacing w:val="-1"/>
                <w:sz w:val="20"/>
                <w:szCs w:val="20"/>
              </w:rPr>
              <w:t xml:space="preserve"> </w:t>
            </w:r>
            <w:r w:rsidRPr="007F4B4C">
              <w:rPr>
                <w:sz w:val="20"/>
                <w:szCs w:val="20"/>
              </w:rPr>
              <w:t>AGENCIES</w:t>
            </w:r>
          </w:p>
        </w:tc>
        <w:tc>
          <w:tcPr>
            <w:tcW w:w="10495" w:type="dxa"/>
          </w:tcPr>
          <w:p w14:paraId="157074B5" w14:textId="77777777" w:rsidR="000C6B8A" w:rsidRPr="007F4B4C" w:rsidRDefault="000C6B8A" w:rsidP="000C6B8A">
            <w:pPr>
              <w:pStyle w:val="Heading1"/>
              <w:widowControl w:val="0"/>
              <w:tabs>
                <w:tab w:val="left" w:pos="454"/>
              </w:tabs>
              <w:kinsoku w:val="0"/>
              <w:overflowPunct w:val="0"/>
              <w:autoSpaceDE w:val="0"/>
              <w:autoSpaceDN w:val="0"/>
              <w:adjustRightInd w:val="0"/>
              <w:spacing w:before="120" w:line="240" w:lineRule="auto"/>
              <w:ind w:left="29"/>
              <w:jc w:val="both"/>
              <w:outlineLvl w:val="0"/>
              <w:rPr>
                <w:sz w:val="20"/>
                <w:szCs w:val="20"/>
              </w:rPr>
            </w:pPr>
          </w:p>
        </w:tc>
      </w:tr>
      <w:tr w:rsidR="007F4B4C" w:rsidRPr="007F4B4C" w14:paraId="1C0EFF5F" w14:textId="77777777" w:rsidTr="00EA5331">
        <w:tc>
          <w:tcPr>
            <w:tcW w:w="4248" w:type="dxa"/>
            <w:shd w:val="clear" w:color="auto" w:fill="auto"/>
          </w:tcPr>
          <w:p w14:paraId="4271B93C" w14:textId="77777777" w:rsidR="000C6B8A" w:rsidRPr="007F4B4C" w:rsidRDefault="000C6B8A" w:rsidP="000C6B8A">
            <w:pPr>
              <w:pStyle w:val="BodyText"/>
              <w:kinsoku w:val="0"/>
              <w:overflowPunct w:val="0"/>
              <w:spacing w:before="96"/>
              <w:ind w:right="318"/>
            </w:pPr>
            <w:r w:rsidRPr="007F4B4C">
              <w:rPr>
                <w:b/>
                <w:bCs/>
              </w:rPr>
              <w:t xml:space="preserve">Question 97: </w:t>
            </w:r>
            <w:r w:rsidRPr="007F4B4C">
              <w:t>Beyond the guidelines, in your opinion, should the EU take further actions in this area?</w:t>
            </w:r>
          </w:p>
          <w:p w14:paraId="1FDBFD0E" w14:textId="77777777" w:rsidR="000C6B8A" w:rsidRPr="007F4B4C" w:rsidRDefault="000C6B8A" w:rsidP="000C6B8A">
            <w:pPr>
              <w:pStyle w:val="ListParagraph"/>
              <w:widowControl w:val="0"/>
              <w:numPr>
                <w:ilvl w:val="0"/>
                <w:numId w:val="3"/>
              </w:numPr>
              <w:tabs>
                <w:tab w:val="left" w:pos="1027"/>
              </w:tabs>
              <w:kinsoku w:val="0"/>
              <w:overflowPunct w:val="0"/>
              <w:autoSpaceDE w:val="0"/>
              <w:autoSpaceDN w:val="0"/>
              <w:adjustRightInd w:val="0"/>
              <w:spacing w:before="120" w:after="120"/>
              <w:ind w:left="448" w:right="318" w:hanging="425"/>
              <w:contextualSpacing w:val="0"/>
              <w:jc w:val="both"/>
            </w:pPr>
            <w:r w:rsidRPr="007F4B4C">
              <w:t>Yes/No/Do not know.</w:t>
            </w:r>
          </w:p>
          <w:p w14:paraId="5587B5C9" w14:textId="77777777" w:rsidR="000C6B8A" w:rsidRPr="007F4B4C" w:rsidRDefault="000C6B8A" w:rsidP="000C6B8A">
            <w:pPr>
              <w:pStyle w:val="ListParagraph"/>
              <w:widowControl w:val="0"/>
              <w:numPr>
                <w:ilvl w:val="0"/>
                <w:numId w:val="3"/>
              </w:numPr>
              <w:tabs>
                <w:tab w:val="left" w:pos="1027"/>
              </w:tabs>
              <w:kinsoku w:val="0"/>
              <w:overflowPunct w:val="0"/>
              <w:autoSpaceDE w:val="0"/>
              <w:autoSpaceDN w:val="0"/>
              <w:adjustRightInd w:val="0"/>
              <w:spacing w:before="120" w:after="120"/>
              <w:ind w:left="448" w:right="318" w:hanging="425"/>
              <w:contextualSpacing w:val="0"/>
              <w:jc w:val="both"/>
              <w:rPr>
                <w:rFonts w:ascii="Wingdings" w:hAnsi="Wingdings" w:cs="Wingdings"/>
              </w:rPr>
            </w:pPr>
            <w:r w:rsidRPr="007F4B4C">
              <w:t xml:space="preserve">If yes, please specify what kind of action you consider would address the identified problems. In particular should the EU consider regulatory </w:t>
            </w:r>
            <w:r w:rsidRPr="007F4B4C">
              <w:lastRenderedPageBreak/>
              <w:t>intervention? [BOX max. 2000 characters]</w:t>
            </w:r>
          </w:p>
        </w:tc>
        <w:tc>
          <w:tcPr>
            <w:tcW w:w="10495" w:type="dxa"/>
          </w:tcPr>
          <w:p w14:paraId="37DB67E6" w14:textId="77777777" w:rsidR="009C7FB9" w:rsidRDefault="009C7FB9" w:rsidP="009C7FB9">
            <w:pPr>
              <w:pStyle w:val="BodyText"/>
              <w:kinsoku w:val="0"/>
              <w:overflowPunct w:val="0"/>
              <w:spacing w:before="96"/>
              <w:ind w:right="318"/>
            </w:pPr>
            <w:r>
              <w:lastRenderedPageBreak/>
              <w:t xml:space="preserve">No </w:t>
            </w:r>
          </w:p>
          <w:p w14:paraId="772DA7C9" w14:textId="77777777" w:rsidR="009C7FB9" w:rsidRPr="00B84831" w:rsidRDefault="009C7FB9" w:rsidP="009C7FB9">
            <w:pPr>
              <w:pStyle w:val="BodyText"/>
              <w:kinsoku w:val="0"/>
              <w:overflowPunct w:val="0"/>
              <w:spacing w:before="96"/>
              <w:ind w:right="318"/>
            </w:pPr>
          </w:p>
          <w:p w14:paraId="2D8AC3EE" w14:textId="77777777" w:rsidR="009C7FB9" w:rsidRPr="00B84831" w:rsidRDefault="009C7FB9" w:rsidP="009C7FB9">
            <w:r w:rsidRPr="00B84831">
              <w:t>The EU is showing thought leadership in this space and helping to develop analysis and tools needed to measure and manage these risks. We also note that various organisations across a range of disciplines, for example rating agencies, universities, are focussing on developing analysis and tools and the EU should continue to encourage this understanding to develop and consider its insight.</w:t>
            </w:r>
          </w:p>
          <w:p w14:paraId="3F8B4951" w14:textId="77777777" w:rsidR="009C7FB9" w:rsidRPr="00B84831" w:rsidRDefault="009C7FB9" w:rsidP="009C7FB9">
            <w:pPr>
              <w:autoSpaceDE w:val="0"/>
              <w:autoSpaceDN w:val="0"/>
              <w:spacing w:after="120"/>
              <w:ind w:right="318"/>
              <w:jc w:val="both"/>
            </w:pPr>
            <w:r w:rsidRPr="00B84831">
              <w:t>It is also important that i) there exists an even regulatory playing field geographically and sectorally and ii) that a consistent approach is developed when considering the management of ESG issues and risks.</w:t>
            </w:r>
          </w:p>
          <w:p w14:paraId="5D8889AE" w14:textId="77777777" w:rsidR="009C7FB9" w:rsidRPr="00B84831" w:rsidRDefault="009C7FB9" w:rsidP="009C7FB9">
            <w:pPr>
              <w:pStyle w:val="BodyText"/>
              <w:ind w:right="318"/>
            </w:pPr>
            <w:r w:rsidRPr="00B84831">
              <w:lastRenderedPageBreak/>
              <w:t>While showing thought leadership, the need exists for the EU to bring other countries along this journey, including those which may be less advanced in their understanding and management of ESG issues. This will involve close engagement with these countries, sharing best practice, and developing solutions and a consistent approach that works across the board.</w:t>
            </w:r>
          </w:p>
          <w:p w14:paraId="77413805" w14:textId="2E59502E" w:rsidR="00590FE2" w:rsidRPr="007F4B4C" w:rsidRDefault="00590FE2" w:rsidP="00590FE2">
            <w:pPr>
              <w:pStyle w:val="BodyText"/>
              <w:kinsoku w:val="0"/>
              <w:overflowPunct w:val="0"/>
              <w:spacing w:before="96"/>
              <w:ind w:right="318"/>
              <w:rPr>
                <w:b/>
                <w:bCs/>
              </w:rPr>
            </w:pPr>
          </w:p>
        </w:tc>
      </w:tr>
    </w:tbl>
    <w:p w14:paraId="487A15C2" w14:textId="77777777" w:rsidR="00EA6884" w:rsidRPr="007F4B4C" w:rsidRDefault="00EA6884" w:rsidP="00EA6884"/>
    <w:sectPr w:rsidR="00EA6884" w:rsidRPr="007F4B4C" w:rsidSect="00EA5331">
      <w:headerReference w:type="default" r:id="rId8"/>
      <w:footerReference w:type="default" r:id="rId9"/>
      <w:pgSz w:w="16838" w:h="11906" w:orient="landscape"/>
      <w:pgMar w:top="709" w:right="1440" w:bottom="709"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20309" w14:textId="77777777" w:rsidR="00286805" w:rsidRDefault="00286805" w:rsidP="003F3A26">
      <w:pPr>
        <w:spacing w:after="0" w:line="240" w:lineRule="auto"/>
      </w:pPr>
      <w:r>
        <w:separator/>
      </w:r>
    </w:p>
  </w:endnote>
  <w:endnote w:type="continuationSeparator" w:id="0">
    <w:p w14:paraId="1EA6C6A4" w14:textId="77777777" w:rsidR="00286805" w:rsidRDefault="00286805" w:rsidP="003F3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6CC18" w14:textId="18F0B037" w:rsidR="00EA5331" w:rsidRDefault="00EA5331">
    <w:pPr>
      <w:pStyle w:val="Footer"/>
    </w:pPr>
  </w:p>
  <w:p w14:paraId="36AD02D3" w14:textId="093AF3C7" w:rsidR="00B2155D" w:rsidRDefault="00B21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50F11" w14:textId="77777777" w:rsidR="00286805" w:rsidRDefault="00286805" w:rsidP="003F3A26">
      <w:pPr>
        <w:spacing w:after="0" w:line="240" w:lineRule="auto"/>
      </w:pPr>
      <w:r>
        <w:separator/>
      </w:r>
    </w:p>
  </w:footnote>
  <w:footnote w:type="continuationSeparator" w:id="0">
    <w:p w14:paraId="6D8D82A3" w14:textId="77777777" w:rsidR="00286805" w:rsidRDefault="00286805" w:rsidP="003F3A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73BC" w14:textId="3DA7638C" w:rsidR="00B2155D" w:rsidRDefault="00B2155D">
    <w:pPr>
      <w:pStyle w:val="Header"/>
    </w:pPr>
  </w:p>
  <w:p w14:paraId="6BE42483" w14:textId="4E2E1C7F" w:rsidR="00286805" w:rsidRDefault="002868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5"/>
    <w:multiLevelType w:val="multilevel"/>
    <w:tmpl w:val="06C2AECA"/>
    <w:lvl w:ilvl="0">
      <w:start w:val="1"/>
      <w:numFmt w:val="decimal"/>
      <w:lvlText w:val="%1."/>
      <w:lvlJc w:val="left"/>
      <w:pPr>
        <w:ind w:left="1026" w:hanging="360"/>
      </w:pPr>
      <w:rPr>
        <w:b/>
        <w:bCs/>
        <w:color w:val="78A22F"/>
        <w:spacing w:val="-2"/>
        <w:w w:val="99"/>
      </w:rPr>
    </w:lvl>
    <w:lvl w:ilvl="1">
      <w:start w:val="1"/>
      <w:numFmt w:val="decimal"/>
      <w:lvlText w:val="%1.%2"/>
      <w:lvlJc w:val="left"/>
      <w:pPr>
        <w:ind w:left="1026" w:hanging="360"/>
      </w:pPr>
      <w:rPr>
        <w:rFonts w:ascii="Cambria" w:hAnsi="Cambria" w:cs="Times New Roman" w:hint="default"/>
        <w:b/>
        <w:bCs/>
        <w:color w:val="78A22F"/>
        <w:w w:val="100"/>
        <w:sz w:val="20"/>
        <w:szCs w:val="20"/>
      </w:rPr>
    </w:lvl>
    <w:lvl w:ilvl="2">
      <w:numFmt w:val="bullet"/>
      <w:lvlText w:val=""/>
      <w:lvlJc w:val="left"/>
      <w:pPr>
        <w:ind w:left="1746" w:hanging="360"/>
      </w:pPr>
      <w:rPr>
        <w:rFonts w:ascii="Wingdings" w:hAnsi="Wingdings" w:cs="Wingdings"/>
        <w:b w:val="0"/>
        <w:bCs w:val="0"/>
        <w:w w:val="100"/>
        <w:sz w:val="22"/>
        <w:szCs w:val="22"/>
      </w:rPr>
    </w:lvl>
    <w:lvl w:ilvl="3">
      <w:numFmt w:val="bullet"/>
      <w:lvlText w:val="•"/>
      <w:lvlJc w:val="left"/>
      <w:pPr>
        <w:ind w:left="3408" w:hanging="360"/>
      </w:pPr>
    </w:lvl>
    <w:lvl w:ilvl="4">
      <w:numFmt w:val="bullet"/>
      <w:lvlText w:val="•"/>
      <w:lvlJc w:val="left"/>
      <w:pPr>
        <w:ind w:left="4242" w:hanging="360"/>
      </w:pPr>
    </w:lvl>
    <w:lvl w:ilvl="5">
      <w:numFmt w:val="bullet"/>
      <w:lvlText w:val="•"/>
      <w:lvlJc w:val="left"/>
      <w:pPr>
        <w:ind w:left="5076" w:hanging="360"/>
      </w:pPr>
    </w:lvl>
    <w:lvl w:ilvl="6">
      <w:numFmt w:val="bullet"/>
      <w:lvlText w:val="•"/>
      <w:lvlJc w:val="left"/>
      <w:pPr>
        <w:ind w:left="5910" w:hanging="360"/>
      </w:pPr>
    </w:lvl>
    <w:lvl w:ilvl="7">
      <w:numFmt w:val="bullet"/>
      <w:lvlText w:val="•"/>
      <w:lvlJc w:val="left"/>
      <w:pPr>
        <w:ind w:left="6744" w:hanging="360"/>
      </w:pPr>
    </w:lvl>
    <w:lvl w:ilvl="8">
      <w:numFmt w:val="bullet"/>
      <w:lvlText w:val="•"/>
      <w:lvlJc w:val="left"/>
      <w:pPr>
        <w:ind w:left="7578" w:hanging="360"/>
      </w:pPr>
    </w:lvl>
  </w:abstractNum>
  <w:abstractNum w:abstractNumId="1" w15:restartNumberingAfterBreak="0">
    <w:nsid w:val="00D50B44"/>
    <w:multiLevelType w:val="hybridMultilevel"/>
    <w:tmpl w:val="C9A6A4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A93A17"/>
    <w:multiLevelType w:val="multilevel"/>
    <w:tmpl w:val="06C2AECA"/>
    <w:lvl w:ilvl="0">
      <w:start w:val="1"/>
      <w:numFmt w:val="decimal"/>
      <w:lvlText w:val="%1."/>
      <w:lvlJc w:val="left"/>
      <w:pPr>
        <w:ind w:left="1026" w:hanging="360"/>
      </w:pPr>
      <w:rPr>
        <w:b/>
        <w:bCs/>
        <w:color w:val="78A22F"/>
        <w:spacing w:val="-2"/>
        <w:w w:val="99"/>
      </w:rPr>
    </w:lvl>
    <w:lvl w:ilvl="1">
      <w:start w:val="1"/>
      <w:numFmt w:val="decimal"/>
      <w:lvlText w:val="%1.%2"/>
      <w:lvlJc w:val="left"/>
      <w:pPr>
        <w:ind w:left="1026" w:hanging="360"/>
      </w:pPr>
      <w:rPr>
        <w:rFonts w:ascii="Cambria" w:hAnsi="Cambria" w:cs="Times New Roman" w:hint="default"/>
        <w:b/>
        <w:bCs/>
        <w:color w:val="78A22F"/>
        <w:w w:val="100"/>
        <w:sz w:val="20"/>
        <w:szCs w:val="20"/>
      </w:rPr>
    </w:lvl>
    <w:lvl w:ilvl="2">
      <w:numFmt w:val="bullet"/>
      <w:lvlText w:val=""/>
      <w:lvlJc w:val="left"/>
      <w:pPr>
        <w:ind w:left="1746" w:hanging="360"/>
      </w:pPr>
      <w:rPr>
        <w:rFonts w:ascii="Wingdings" w:hAnsi="Wingdings" w:cs="Wingdings"/>
        <w:b w:val="0"/>
        <w:bCs w:val="0"/>
        <w:w w:val="100"/>
        <w:sz w:val="22"/>
        <w:szCs w:val="22"/>
      </w:rPr>
    </w:lvl>
    <w:lvl w:ilvl="3">
      <w:numFmt w:val="bullet"/>
      <w:lvlText w:val="•"/>
      <w:lvlJc w:val="left"/>
      <w:pPr>
        <w:ind w:left="3408" w:hanging="360"/>
      </w:pPr>
    </w:lvl>
    <w:lvl w:ilvl="4">
      <w:numFmt w:val="bullet"/>
      <w:lvlText w:val="•"/>
      <w:lvlJc w:val="left"/>
      <w:pPr>
        <w:ind w:left="4242" w:hanging="360"/>
      </w:pPr>
    </w:lvl>
    <w:lvl w:ilvl="5">
      <w:numFmt w:val="bullet"/>
      <w:lvlText w:val="•"/>
      <w:lvlJc w:val="left"/>
      <w:pPr>
        <w:ind w:left="5076" w:hanging="360"/>
      </w:pPr>
    </w:lvl>
    <w:lvl w:ilvl="6">
      <w:numFmt w:val="bullet"/>
      <w:lvlText w:val="•"/>
      <w:lvlJc w:val="left"/>
      <w:pPr>
        <w:ind w:left="5910" w:hanging="360"/>
      </w:pPr>
    </w:lvl>
    <w:lvl w:ilvl="7">
      <w:numFmt w:val="bullet"/>
      <w:lvlText w:val="•"/>
      <w:lvlJc w:val="left"/>
      <w:pPr>
        <w:ind w:left="6744" w:hanging="360"/>
      </w:pPr>
    </w:lvl>
    <w:lvl w:ilvl="8">
      <w:numFmt w:val="bullet"/>
      <w:lvlText w:val="•"/>
      <w:lvlJc w:val="left"/>
      <w:pPr>
        <w:ind w:left="7578" w:hanging="360"/>
      </w:pPr>
    </w:lvl>
  </w:abstractNum>
  <w:abstractNum w:abstractNumId="3" w15:restartNumberingAfterBreak="0">
    <w:nsid w:val="0CB81B3A"/>
    <w:multiLevelType w:val="hybridMultilevel"/>
    <w:tmpl w:val="C40EE0E6"/>
    <w:lvl w:ilvl="0" w:tplc="72BE4166">
      <w:start w:val="1"/>
      <w:numFmt w:val="bullet"/>
      <w:lvlText w:val=""/>
      <w:lvlJc w:val="left"/>
      <w:pPr>
        <w:ind w:left="502" w:hanging="360"/>
      </w:pPr>
      <w:rPr>
        <w:rFonts w:ascii="Symbol" w:hAnsi="Symbol" w:hint="default"/>
        <w:color w:val="1F4E79" w:themeColor="accent1" w:themeShade="8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E656A37"/>
    <w:multiLevelType w:val="multilevel"/>
    <w:tmpl w:val="06C2AECA"/>
    <w:lvl w:ilvl="0">
      <w:start w:val="1"/>
      <w:numFmt w:val="decimal"/>
      <w:lvlText w:val="%1."/>
      <w:lvlJc w:val="left"/>
      <w:pPr>
        <w:ind w:left="1026" w:hanging="360"/>
      </w:pPr>
      <w:rPr>
        <w:b/>
        <w:bCs/>
        <w:color w:val="78A22F"/>
        <w:spacing w:val="-2"/>
        <w:w w:val="99"/>
      </w:rPr>
    </w:lvl>
    <w:lvl w:ilvl="1">
      <w:start w:val="1"/>
      <w:numFmt w:val="decimal"/>
      <w:lvlText w:val="%1.%2"/>
      <w:lvlJc w:val="left"/>
      <w:pPr>
        <w:ind w:left="1026" w:hanging="360"/>
      </w:pPr>
      <w:rPr>
        <w:rFonts w:ascii="Cambria" w:hAnsi="Cambria" w:cs="Times New Roman" w:hint="default"/>
        <w:b/>
        <w:bCs/>
        <w:color w:val="78A22F"/>
        <w:w w:val="100"/>
        <w:sz w:val="20"/>
        <w:szCs w:val="20"/>
      </w:rPr>
    </w:lvl>
    <w:lvl w:ilvl="2">
      <w:numFmt w:val="bullet"/>
      <w:lvlText w:val=""/>
      <w:lvlJc w:val="left"/>
      <w:pPr>
        <w:ind w:left="1746" w:hanging="360"/>
      </w:pPr>
      <w:rPr>
        <w:rFonts w:ascii="Wingdings" w:hAnsi="Wingdings" w:cs="Wingdings"/>
        <w:b w:val="0"/>
        <w:bCs w:val="0"/>
        <w:w w:val="100"/>
        <w:sz w:val="22"/>
        <w:szCs w:val="22"/>
      </w:rPr>
    </w:lvl>
    <w:lvl w:ilvl="3">
      <w:numFmt w:val="bullet"/>
      <w:lvlText w:val="•"/>
      <w:lvlJc w:val="left"/>
      <w:pPr>
        <w:ind w:left="3408" w:hanging="360"/>
      </w:pPr>
    </w:lvl>
    <w:lvl w:ilvl="4">
      <w:numFmt w:val="bullet"/>
      <w:lvlText w:val="•"/>
      <w:lvlJc w:val="left"/>
      <w:pPr>
        <w:ind w:left="4242" w:hanging="360"/>
      </w:pPr>
    </w:lvl>
    <w:lvl w:ilvl="5">
      <w:numFmt w:val="bullet"/>
      <w:lvlText w:val="•"/>
      <w:lvlJc w:val="left"/>
      <w:pPr>
        <w:ind w:left="5076" w:hanging="360"/>
      </w:pPr>
    </w:lvl>
    <w:lvl w:ilvl="6">
      <w:numFmt w:val="bullet"/>
      <w:lvlText w:val="•"/>
      <w:lvlJc w:val="left"/>
      <w:pPr>
        <w:ind w:left="5910" w:hanging="360"/>
      </w:pPr>
    </w:lvl>
    <w:lvl w:ilvl="7">
      <w:numFmt w:val="bullet"/>
      <w:lvlText w:val="•"/>
      <w:lvlJc w:val="left"/>
      <w:pPr>
        <w:ind w:left="6744" w:hanging="360"/>
      </w:pPr>
    </w:lvl>
    <w:lvl w:ilvl="8">
      <w:numFmt w:val="bullet"/>
      <w:lvlText w:val="•"/>
      <w:lvlJc w:val="left"/>
      <w:pPr>
        <w:ind w:left="7578" w:hanging="360"/>
      </w:pPr>
    </w:lvl>
  </w:abstractNum>
  <w:abstractNum w:abstractNumId="5" w15:restartNumberingAfterBreak="0">
    <w:nsid w:val="0FAE3C28"/>
    <w:multiLevelType w:val="hybridMultilevel"/>
    <w:tmpl w:val="27FA2842"/>
    <w:lvl w:ilvl="0" w:tplc="A3266A9C">
      <w:start w:val="15"/>
      <w:numFmt w:val="bullet"/>
      <w:lvlText w:val="-"/>
      <w:lvlJc w:val="left"/>
      <w:pPr>
        <w:ind w:left="360" w:hanging="360"/>
      </w:pPr>
      <w:rPr>
        <w:rFonts w:ascii="Calibri" w:eastAsia="MS Mincho" w:hAnsi="Calibri" w:cs="Calibri"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B5467A"/>
    <w:multiLevelType w:val="hybridMultilevel"/>
    <w:tmpl w:val="17602BCE"/>
    <w:lvl w:ilvl="0" w:tplc="08090003">
      <w:start w:val="1"/>
      <w:numFmt w:val="bullet"/>
      <w:lvlText w:val="o"/>
      <w:lvlJc w:val="left"/>
      <w:pPr>
        <w:ind w:left="1167" w:hanging="360"/>
      </w:pPr>
      <w:rPr>
        <w:rFonts w:ascii="Courier New" w:hAnsi="Courier New" w:cs="Courier New" w:hint="default"/>
      </w:rPr>
    </w:lvl>
    <w:lvl w:ilvl="1" w:tplc="08090003" w:tentative="1">
      <w:start w:val="1"/>
      <w:numFmt w:val="bullet"/>
      <w:lvlText w:val="o"/>
      <w:lvlJc w:val="left"/>
      <w:pPr>
        <w:ind w:left="1887" w:hanging="360"/>
      </w:pPr>
      <w:rPr>
        <w:rFonts w:ascii="Courier New" w:hAnsi="Courier New" w:cs="Courier New" w:hint="default"/>
      </w:rPr>
    </w:lvl>
    <w:lvl w:ilvl="2" w:tplc="08090005" w:tentative="1">
      <w:start w:val="1"/>
      <w:numFmt w:val="bullet"/>
      <w:lvlText w:val=""/>
      <w:lvlJc w:val="left"/>
      <w:pPr>
        <w:ind w:left="2607" w:hanging="360"/>
      </w:pPr>
      <w:rPr>
        <w:rFonts w:ascii="Wingdings" w:hAnsi="Wingdings" w:cs="Wingdings" w:hint="default"/>
      </w:rPr>
    </w:lvl>
    <w:lvl w:ilvl="3" w:tplc="08090001" w:tentative="1">
      <w:start w:val="1"/>
      <w:numFmt w:val="bullet"/>
      <w:lvlText w:val=""/>
      <w:lvlJc w:val="left"/>
      <w:pPr>
        <w:ind w:left="3327" w:hanging="360"/>
      </w:pPr>
      <w:rPr>
        <w:rFonts w:ascii="Symbol" w:hAnsi="Symbol" w:cs="Symbol" w:hint="default"/>
      </w:rPr>
    </w:lvl>
    <w:lvl w:ilvl="4" w:tplc="08090003" w:tentative="1">
      <w:start w:val="1"/>
      <w:numFmt w:val="bullet"/>
      <w:lvlText w:val="o"/>
      <w:lvlJc w:val="left"/>
      <w:pPr>
        <w:ind w:left="4047" w:hanging="360"/>
      </w:pPr>
      <w:rPr>
        <w:rFonts w:ascii="Courier New" w:hAnsi="Courier New" w:cs="Courier New" w:hint="default"/>
      </w:rPr>
    </w:lvl>
    <w:lvl w:ilvl="5" w:tplc="08090005" w:tentative="1">
      <w:start w:val="1"/>
      <w:numFmt w:val="bullet"/>
      <w:lvlText w:val=""/>
      <w:lvlJc w:val="left"/>
      <w:pPr>
        <w:ind w:left="4767" w:hanging="360"/>
      </w:pPr>
      <w:rPr>
        <w:rFonts w:ascii="Wingdings" w:hAnsi="Wingdings" w:cs="Wingdings" w:hint="default"/>
      </w:rPr>
    </w:lvl>
    <w:lvl w:ilvl="6" w:tplc="08090001" w:tentative="1">
      <w:start w:val="1"/>
      <w:numFmt w:val="bullet"/>
      <w:lvlText w:val=""/>
      <w:lvlJc w:val="left"/>
      <w:pPr>
        <w:ind w:left="5487" w:hanging="360"/>
      </w:pPr>
      <w:rPr>
        <w:rFonts w:ascii="Symbol" w:hAnsi="Symbol" w:cs="Symbol" w:hint="default"/>
      </w:rPr>
    </w:lvl>
    <w:lvl w:ilvl="7" w:tplc="08090003" w:tentative="1">
      <w:start w:val="1"/>
      <w:numFmt w:val="bullet"/>
      <w:lvlText w:val="o"/>
      <w:lvlJc w:val="left"/>
      <w:pPr>
        <w:ind w:left="6207" w:hanging="360"/>
      </w:pPr>
      <w:rPr>
        <w:rFonts w:ascii="Courier New" w:hAnsi="Courier New" w:cs="Courier New" w:hint="default"/>
      </w:rPr>
    </w:lvl>
    <w:lvl w:ilvl="8" w:tplc="08090005" w:tentative="1">
      <w:start w:val="1"/>
      <w:numFmt w:val="bullet"/>
      <w:lvlText w:val=""/>
      <w:lvlJc w:val="left"/>
      <w:pPr>
        <w:ind w:left="6927" w:hanging="360"/>
      </w:pPr>
      <w:rPr>
        <w:rFonts w:ascii="Wingdings" w:hAnsi="Wingdings" w:cs="Wingdings" w:hint="default"/>
      </w:rPr>
    </w:lvl>
  </w:abstractNum>
  <w:abstractNum w:abstractNumId="7" w15:restartNumberingAfterBreak="0">
    <w:nsid w:val="106949FB"/>
    <w:multiLevelType w:val="hybridMultilevel"/>
    <w:tmpl w:val="4E8E2A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B2F1121"/>
    <w:multiLevelType w:val="multilevel"/>
    <w:tmpl w:val="90EC3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D577B"/>
    <w:multiLevelType w:val="hybridMultilevel"/>
    <w:tmpl w:val="BAA83CB2"/>
    <w:lvl w:ilvl="0" w:tplc="F148EA9A">
      <w:numFmt w:val="bullet"/>
      <w:lvlText w:val="-"/>
      <w:lvlJc w:val="left"/>
      <w:pPr>
        <w:ind w:left="360" w:hanging="360"/>
      </w:pPr>
      <w:rPr>
        <w:rFonts w:ascii="Calibri Light" w:eastAsia="Calibri" w:hAnsi="Calibri Light" w:cs="Calibri Light"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20D07949"/>
    <w:multiLevelType w:val="hybridMultilevel"/>
    <w:tmpl w:val="4C1E977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1B77987"/>
    <w:multiLevelType w:val="hybridMultilevel"/>
    <w:tmpl w:val="E9389CE8"/>
    <w:lvl w:ilvl="0" w:tplc="08090001">
      <w:start w:val="1"/>
      <w:numFmt w:val="bullet"/>
      <w:lvlText w:val=""/>
      <w:lvlJc w:val="left"/>
      <w:pPr>
        <w:ind w:left="742" w:hanging="360"/>
      </w:pPr>
      <w:rPr>
        <w:rFonts w:ascii="Symbol" w:hAnsi="Symbol" w:hint="default"/>
      </w:rPr>
    </w:lvl>
    <w:lvl w:ilvl="1" w:tplc="08090003" w:tentative="1">
      <w:start w:val="1"/>
      <w:numFmt w:val="bullet"/>
      <w:lvlText w:val="o"/>
      <w:lvlJc w:val="left"/>
      <w:pPr>
        <w:ind w:left="1462" w:hanging="360"/>
      </w:pPr>
      <w:rPr>
        <w:rFonts w:ascii="Courier New" w:hAnsi="Courier New" w:cs="Courier New" w:hint="default"/>
      </w:rPr>
    </w:lvl>
    <w:lvl w:ilvl="2" w:tplc="08090005" w:tentative="1">
      <w:start w:val="1"/>
      <w:numFmt w:val="bullet"/>
      <w:lvlText w:val=""/>
      <w:lvlJc w:val="left"/>
      <w:pPr>
        <w:ind w:left="2182" w:hanging="360"/>
      </w:pPr>
      <w:rPr>
        <w:rFonts w:ascii="Wingdings" w:hAnsi="Wingdings" w:cs="Wingdings" w:hint="default"/>
      </w:rPr>
    </w:lvl>
    <w:lvl w:ilvl="3" w:tplc="08090001" w:tentative="1">
      <w:start w:val="1"/>
      <w:numFmt w:val="bullet"/>
      <w:lvlText w:val=""/>
      <w:lvlJc w:val="left"/>
      <w:pPr>
        <w:ind w:left="2902" w:hanging="360"/>
      </w:pPr>
      <w:rPr>
        <w:rFonts w:ascii="Symbol" w:hAnsi="Symbol" w:cs="Symbol" w:hint="default"/>
      </w:rPr>
    </w:lvl>
    <w:lvl w:ilvl="4" w:tplc="08090003" w:tentative="1">
      <w:start w:val="1"/>
      <w:numFmt w:val="bullet"/>
      <w:lvlText w:val="o"/>
      <w:lvlJc w:val="left"/>
      <w:pPr>
        <w:ind w:left="3622" w:hanging="360"/>
      </w:pPr>
      <w:rPr>
        <w:rFonts w:ascii="Courier New" w:hAnsi="Courier New" w:cs="Courier New" w:hint="default"/>
      </w:rPr>
    </w:lvl>
    <w:lvl w:ilvl="5" w:tplc="08090005" w:tentative="1">
      <w:start w:val="1"/>
      <w:numFmt w:val="bullet"/>
      <w:lvlText w:val=""/>
      <w:lvlJc w:val="left"/>
      <w:pPr>
        <w:ind w:left="4342" w:hanging="360"/>
      </w:pPr>
      <w:rPr>
        <w:rFonts w:ascii="Wingdings" w:hAnsi="Wingdings" w:cs="Wingdings" w:hint="default"/>
      </w:rPr>
    </w:lvl>
    <w:lvl w:ilvl="6" w:tplc="08090001" w:tentative="1">
      <w:start w:val="1"/>
      <w:numFmt w:val="bullet"/>
      <w:lvlText w:val=""/>
      <w:lvlJc w:val="left"/>
      <w:pPr>
        <w:ind w:left="5062" w:hanging="360"/>
      </w:pPr>
      <w:rPr>
        <w:rFonts w:ascii="Symbol" w:hAnsi="Symbol" w:cs="Symbol" w:hint="default"/>
      </w:rPr>
    </w:lvl>
    <w:lvl w:ilvl="7" w:tplc="08090003" w:tentative="1">
      <w:start w:val="1"/>
      <w:numFmt w:val="bullet"/>
      <w:lvlText w:val="o"/>
      <w:lvlJc w:val="left"/>
      <w:pPr>
        <w:ind w:left="5782" w:hanging="360"/>
      </w:pPr>
      <w:rPr>
        <w:rFonts w:ascii="Courier New" w:hAnsi="Courier New" w:cs="Courier New" w:hint="default"/>
      </w:rPr>
    </w:lvl>
    <w:lvl w:ilvl="8" w:tplc="08090005" w:tentative="1">
      <w:start w:val="1"/>
      <w:numFmt w:val="bullet"/>
      <w:lvlText w:val=""/>
      <w:lvlJc w:val="left"/>
      <w:pPr>
        <w:ind w:left="6502" w:hanging="360"/>
      </w:pPr>
      <w:rPr>
        <w:rFonts w:ascii="Wingdings" w:hAnsi="Wingdings" w:cs="Wingdings" w:hint="default"/>
      </w:rPr>
    </w:lvl>
  </w:abstractNum>
  <w:abstractNum w:abstractNumId="12" w15:restartNumberingAfterBreak="0">
    <w:nsid w:val="3EB55B3A"/>
    <w:multiLevelType w:val="multilevel"/>
    <w:tmpl w:val="06C2AECA"/>
    <w:lvl w:ilvl="0">
      <w:start w:val="1"/>
      <w:numFmt w:val="decimal"/>
      <w:lvlText w:val="%1."/>
      <w:lvlJc w:val="left"/>
      <w:pPr>
        <w:ind w:left="1026" w:hanging="360"/>
      </w:pPr>
      <w:rPr>
        <w:b/>
        <w:bCs/>
        <w:color w:val="78A22F"/>
        <w:spacing w:val="-2"/>
        <w:w w:val="99"/>
      </w:rPr>
    </w:lvl>
    <w:lvl w:ilvl="1">
      <w:start w:val="1"/>
      <w:numFmt w:val="decimal"/>
      <w:lvlText w:val="%1.%2"/>
      <w:lvlJc w:val="left"/>
      <w:pPr>
        <w:ind w:left="1026" w:hanging="360"/>
      </w:pPr>
      <w:rPr>
        <w:rFonts w:ascii="Cambria" w:hAnsi="Cambria" w:cs="Times New Roman" w:hint="default"/>
        <w:b/>
        <w:bCs/>
        <w:color w:val="78A22F"/>
        <w:w w:val="100"/>
        <w:sz w:val="20"/>
        <w:szCs w:val="20"/>
      </w:rPr>
    </w:lvl>
    <w:lvl w:ilvl="2">
      <w:numFmt w:val="bullet"/>
      <w:lvlText w:val=""/>
      <w:lvlJc w:val="left"/>
      <w:pPr>
        <w:ind w:left="1746" w:hanging="360"/>
      </w:pPr>
      <w:rPr>
        <w:rFonts w:ascii="Wingdings" w:hAnsi="Wingdings" w:cs="Wingdings"/>
        <w:b w:val="0"/>
        <w:bCs w:val="0"/>
        <w:w w:val="100"/>
        <w:sz w:val="22"/>
        <w:szCs w:val="22"/>
      </w:rPr>
    </w:lvl>
    <w:lvl w:ilvl="3">
      <w:numFmt w:val="bullet"/>
      <w:lvlText w:val="•"/>
      <w:lvlJc w:val="left"/>
      <w:pPr>
        <w:ind w:left="3408" w:hanging="360"/>
      </w:pPr>
    </w:lvl>
    <w:lvl w:ilvl="4">
      <w:numFmt w:val="bullet"/>
      <w:lvlText w:val="•"/>
      <w:lvlJc w:val="left"/>
      <w:pPr>
        <w:ind w:left="4242" w:hanging="360"/>
      </w:pPr>
    </w:lvl>
    <w:lvl w:ilvl="5">
      <w:numFmt w:val="bullet"/>
      <w:lvlText w:val="•"/>
      <w:lvlJc w:val="left"/>
      <w:pPr>
        <w:ind w:left="5076" w:hanging="360"/>
      </w:pPr>
    </w:lvl>
    <w:lvl w:ilvl="6">
      <w:numFmt w:val="bullet"/>
      <w:lvlText w:val="•"/>
      <w:lvlJc w:val="left"/>
      <w:pPr>
        <w:ind w:left="5910" w:hanging="360"/>
      </w:pPr>
    </w:lvl>
    <w:lvl w:ilvl="7">
      <w:numFmt w:val="bullet"/>
      <w:lvlText w:val="•"/>
      <w:lvlJc w:val="left"/>
      <w:pPr>
        <w:ind w:left="6744" w:hanging="360"/>
      </w:pPr>
    </w:lvl>
    <w:lvl w:ilvl="8">
      <w:numFmt w:val="bullet"/>
      <w:lvlText w:val="•"/>
      <w:lvlJc w:val="left"/>
      <w:pPr>
        <w:ind w:left="7578" w:hanging="360"/>
      </w:pPr>
    </w:lvl>
  </w:abstractNum>
  <w:abstractNum w:abstractNumId="13" w15:restartNumberingAfterBreak="0">
    <w:nsid w:val="497C7062"/>
    <w:multiLevelType w:val="multilevel"/>
    <w:tmpl w:val="62F6E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EA41AA"/>
    <w:multiLevelType w:val="hybridMultilevel"/>
    <w:tmpl w:val="557A8DA6"/>
    <w:lvl w:ilvl="0" w:tplc="A3266A9C">
      <w:start w:val="15"/>
      <w:numFmt w:val="bullet"/>
      <w:lvlText w:val="-"/>
      <w:lvlJc w:val="left"/>
      <w:pPr>
        <w:ind w:left="360" w:hanging="360"/>
      </w:pPr>
      <w:rPr>
        <w:rFonts w:ascii="Calibri" w:eastAsia="MS Mincho"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E91FB7"/>
    <w:multiLevelType w:val="hybridMultilevel"/>
    <w:tmpl w:val="8E061244"/>
    <w:lvl w:ilvl="0" w:tplc="29C24084">
      <w:start w:val="1"/>
      <w:numFmt w:val="lowerLetter"/>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16" w15:restartNumberingAfterBreak="0">
    <w:nsid w:val="6148415F"/>
    <w:multiLevelType w:val="multilevel"/>
    <w:tmpl w:val="2BCC9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EF1664"/>
    <w:multiLevelType w:val="hybridMultilevel"/>
    <w:tmpl w:val="65A01B5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14"/>
  </w:num>
  <w:num w:numId="2">
    <w:abstractNumId w:val="11"/>
  </w:num>
  <w:num w:numId="3">
    <w:abstractNumId w:val="3"/>
  </w:num>
  <w:num w:numId="4">
    <w:abstractNumId w:val="6"/>
  </w:num>
  <w:num w:numId="5">
    <w:abstractNumId w:val="0"/>
  </w:num>
  <w:num w:numId="6">
    <w:abstractNumId w:val="4"/>
  </w:num>
  <w:num w:numId="7">
    <w:abstractNumId w:val="2"/>
  </w:num>
  <w:num w:numId="8">
    <w:abstractNumId w:val="12"/>
  </w:num>
  <w:num w:numId="9">
    <w:abstractNumId w:val="1"/>
  </w:num>
  <w:num w:numId="10">
    <w:abstractNumId w:val="5"/>
  </w:num>
  <w:num w:numId="11">
    <w:abstractNumId w:val="9"/>
  </w:num>
  <w:num w:numId="12">
    <w:abstractNumId w:val="10"/>
  </w:num>
  <w:num w:numId="13">
    <w:abstractNumId w:val="15"/>
  </w:num>
  <w:num w:numId="14">
    <w:abstractNumId w:val="7"/>
  </w:num>
  <w:num w:numId="15">
    <w:abstractNumId w:val="8"/>
  </w:num>
  <w:num w:numId="16">
    <w:abstractNumId w:val="16"/>
  </w:num>
  <w:num w:numId="17">
    <w:abstractNumId w:val="13"/>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884"/>
    <w:rsid w:val="000160DE"/>
    <w:rsid w:val="00016479"/>
    <w:rsid w:val="00081560"/>
    <w:rsid w:val="000C6B8A"/>
    <w:rsid w:val="001576A7"/>
    <w:rsid w:val="001A318F"/>
    <w:rsid w:val="00215C6F"/>
    <w:rsid w:val="002615AA"/>
    <w:rsid w:val="00281BCA"/>
    <w:rsid w:val="00286805"/>
    <w:rsid w:val="002C0B75"/>
    <w:rsid w:val="003F3A26"/>
    <w:rsid w:val="00486E1D"/>
    <w:rsid w:val="0056599F"/>
    <w:rsid w:val="00565AEB"/>
    <w:rsid w:val="00590FE2"/>
    <w:rsid w:val="005A0CAC"/>
    <w:rsid w:val="005A10DD"/>
    <w:rsid w:val="005E1F30"/>
    <w:rsid w:val="00645E95"/>
    <w:rsid w:val="007A3E48"/>
    <w:rsid w:val="007F4B4C"/>
    <w:rsid w:val="008558F8"/>
    <w:rsid w:val="00883112"/>
    <w:rsid w:val="00883CF1"/>
    <w:rsid w:val="009A5BCD"/>
    <w:rsid w:val="009C7FB9"/>
    <w:rsid w:val="00A475FC"/>
    <w:rsid w:val="00AE6845"/>
    <w:rsid w:val="00B2155D"/>
    <w:rsid w:val="00BA5237"/>
    <w:rsid w:val="00BF5D22"/>
    <w:rsid w:val="00C804F1"/>
    <w:rsid w:val="00CE2682"/>
    <w:rsid w:val="00E95CAB"/>
    <w:rsid w:val="00EA5331"/>
    <w:rsid w:val="00EA6884"/>
    <w:rsid w:val="00FC65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69AAC8E"/>
  <w15:chartTrackingRefBased/>
  <w15:docId w15:val="{4BF458C4-AA7C-4E61-ADD2-5F8731256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884"/>
  </w:style>
  <w:style w:type="paragraph" w:styleId="Heading1">
    <w:name w:val="heading 1"/>
    <w:basedOn w:val="Normal"/>
    <w:next w:val="BodyText"/>
    <w:link w:val="Heading1Char"/>
    <w:uiPriority w:val="2"/>
    <w:qFormat/>
    <w:rsid w:val="00EA6884"/>
    <w:pPr>
      <w:spacing w:before="240" w:after="120" w:line="260" w:lineRule="atLeast"/>
      <w:outlineLvl w:val="0"/>
    </w:pPr>
    <w:rPr>
      <w:rFonts w:eastAsia="Calibri" w:cs="Times New Roman"/>
      <w:b/>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EA6884"/>
    <w:rPr>
      <w:rFonts w:eastAsia="Calibri" w:cs="Times New Roman"/>
      <w:b/>
      <w:lang w:eastAsia="en-GB"/>
    </w:rPr>
  </w:style>
  <w:style w:type="paragraph" w:styleId="NoSpacing">
    <w:name w:val="No Spacing"/>
    <w:uiPriority w:val="1"/>
    <w:qFormat/>
    <w:rsid w:val="00EA6884"/>
    <w:pPr>
      <w:spacing w:after="0" w:line="240" w:lineRule="auto"/>
    </w:pPr>
    <w:rPr>
      <w:rFonts w:ascii="Times New Roman" w:eastAsia="MS Mincho" w:hAnsi="Times New Roman" w:cs="Times New Roman"/>
      <w:sz w:val="24"/>
      <w:szCs w:val="24"/>
      <w:lang w:val="en-US" w:eastAsia="ja-JP"/>
    </w:rPr>
  </w:style>
  <w:style w:type="paragraph" w:styleId="Header">
    <w:name w:val="header"/>
    <w:basedOn w:val="Normal"/>
    <w:link w:val="HeaderChar"/>
    <w:uiPriority w:val="99"/>
    <w:unhideWhenUsed/>
    <w:rsid w:val="00EA68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6884"/>
  </w:style>
  <w:style w:type="paragraph" w:styleId="Footer">
    <w:name w:val="footer"/>
    <w:basedOn w:val="Normal"/>
    <w:link w:val="FooterChar"/>
    <w:uiPriority w:val="99"/>
    <w:unhideWhenUsed/>
    <w:rsid w:val="00EA68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6884"/>
  </w:style>
  <w:style w:type="paragraph" w:styleId="ListParagraph">
    <w:name w:val="List Paragraph"/>
    <w:aliases w:val="08_Multi-levelList Paragraph,Dot pt,No Spacing1,List Paragraph Char Char Char,Indicator Text,List Paragraph1,Numbered Para 1,Bullet 1,List Paragraph12,Bullet Style,Bullet Points,MAIN CONTENT,OBC Bullet,List Paragraph11,F5 List Paragraph"/>
    <w:basedOn w:val="Normal"/>
    <w:link w:val="ListParagraphChar"/>
    <w:uiPriority w:val="34"/>
    <w:qFormat/>
    <w:rsid w:val="00EA6884"/>
    <w:pPr>
      <w:ind w:left="720"/>
      <w:contextualSpacing/>
    </w:pPr>
  </w:style>
  <w:style w:type="paragraph" w:styleId="BodyText">
    <w:name w:val="Body Text"/>
    <w:basedOn w:val="Normal"/>
    <w:link w:val="BodyTextChar"/>
    <w:qFormat/>
    <w:rsid w:val="00EA6884"/>
    <w:pPr>
      <w:spacing w:after="120" w:line="260" w:lineRule="atLeast"/>
      <w:jc w:val="both"/>
    </w:pPr>
    <w:rPr>
      <w:rFonts w:eastAsia="Calibri" w:cs="Times New Roman"/>
      <w:lang w:eastAsia="en-GB"/>
    </w:rPr>
  </w:style>
  <w:style w:type="character" w:customStyle="1" w:styleId="BodyTextChar">
    <w:name w:val="Body Text Char"/>
    <w:basedOn w:val="DefaultParagraphFont"/>
    <w:link w:val="BodyText"/>
    <w:rsid w:val="00EA6884"/>
    <w:rPr>
      <w:rFonts w:eastAsia="Calibri" w:cs="Times New Roman"/>
      <w:lang w:eastAsia="en-GB"/>
    </w:rPr>
  </w:style>
  <w:style w:type="table" w:styleId="TableGrid">
    <w:name w:val="Table Grid"/>
    <w:basedOn w:val="TableNormal"/>
    <w:uiPriority w:val="59"/>
    <w:rsid w:val="00EA6884"/>
    <w:pPr>
      <w:spacing w:after="0" w:line="240" w:lineRule="auto"/>
    </w:pPr>
    <w:rPr>
      <w:rFonts w:eastAsia="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A6884"/>
    <w:pPr>
      <w:widowControl w:val="0"/>
      <w:autoSpaceDE w:val="0"/>
      <w:autoSpaceDN w:val="0"/>
      <w:adjustRightInd w:val="0"/>
      <w:spacing w:after="0"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EA68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884"/>
    <w:rPr>
      <w:rFonts w:ascii="Segoe UI" w:hAnsi="Segoe UI" w:cs="Segoe UI"/>
      <w:sz w:val="18"/>
      <w:szCs w:val="18"/>
    </w:rPr>
  </w:style>
  <w:style w:type="character" w:styleId="CommentReference">
    <w:name w:val="annotation reference"/>
    <w:basedOn w:val="DefaultParagraphFont"/>
    <w:uiPriority w:val="99"/>
    <w:semiHidden/>
    <w:unhideWhenUsed/>
    <w:rsid w:val="00EA6884"/>
    <w:rPr>
      <w:sz w:val="16"/>
      <w:szCs w:val="16"/>
    </w:rPr>
  </w:style>
  <w:style w:type="paragraph" w:styleId="CommentText">
    <w:name w:val="annotation text"/>
    <w:basedOn w:val="Normal"/>
    <w:link w:val="CommentTextChar"/>
    <w:uiPriority w:val="99"/>
    <w:unhideWhenUsed/>
    <w:rsid w:val="00EA6884"/>
    <w:pPr>
      <w:spacing w:line="240" w:lineRule="auto"/>
    </w:pPr>
    <w:rPr>
      <w:sz w:val="20"/>
      <w:szCs w:val="20"/>
    </w:rPr>
  </w:style>
  <w:style w:type="character" w:customStyle="1" w:styleId="CommentTextChar">
    <w:name w:val="Comment Text Char"/>
    <w:basedOn w:val="DefaultParagraphFont"/>
    <w:link w:val="CommentText"/>
    <w:uiPriority w:val="99"/>
    <w:rsid w:val="00EA6884"/>
    <w:rPr>
      <w:sz w:val="20"/>
      <w:szCs w:val="20"/>
    </w:rPr>
  </w:style>
  <w:style w:type="paragraph" w:styleId="CommentSubject">
    <w:name w:val="annotation subject"/>
    <w:basedOn w:val="CommentText"/>
    <w:next w:val="CommentText"/>
    <w:link w:val="CommentSubjectChar"/>
    <w:uiPriority w:val="99"/>
    <w:semiHidden/>
    <w:unhideWhenUsed/>
    <w:rsid w:val="00EA6884"/>
    <w:rPr>
      <w:b/>
      <w:bCs/>
    </w:rPr>
  </w:style>
  <w:style w:type="character" w:customStyle="1" w:styleId="CommentSubjectChar">
    <w:name w:val="Comment Subject Char"/>
    <w:basedOn w:val="CommentTextChar"/>
    <w:link w:val="CommentSubject"/>
    <w:uiPriority w:val="99"/>
    <w:semiHidden/>
    <w:rsid w:val="00EA6884"/>
    <w:rPr>
      <w:b/>
      <w:bCs/>
      <w:sz w:val="20"/>
      <w:szCs w:val="20"/>
    </w:rPr>
  </w:style>
  <w:style w:type="character" w:styleId="Hyperlink">
    <w:name w:val="Hyperlink"/>
    <w:basedOn w:val="DefaultParagraphFont"/>
    <w:uiPriority w:val="99"/>
    <w:semiHidden/>
    <w:unhideWhenUsed/>
    <w:rsid w:val="00EA6884"/>
    <w:rPr>
      <w:color w:val="0000FF"/>
      <w:u w:val="single"/>
    </w:rPr>
  </w:style>
  <w:style w:type="character" w:customStyle="1" w:styleId="ListParagraphChar">
    <w:name w:val="List Paragraph Char"/>
    <w:aliases w:val="08_Multi-levelList Paragraph Char,Dot pt Char,No Spacing1 Char,List Paragraph Char Char Char Char,Indicator Text Char,List Paragraph1 Char,Numbered Para 1 Char,Bullet 1 Char,List Paragraph12 Char,Bullet Style Char,Bullet Points Char"/>
    <w:basedOn w:val="DefaultParagraphFont"/>
    <w:link w:val="ListParagraph"/>
    <w:uiPriority w:val="34"/>
    <w:locked/>
    <w:rsid w:val="00E95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7863">
      <w:bodyDiv w:val="1"/>
      <w:marLeft w:val="0"/>
      <w:marRight w:val="0"/>
      <w:marTop w:val="0"/>
      <w:marBottom w:val="0"/>
      <w:divBdr>
        <w:top w:val="none" w:sz="0" w:space="0" w:color="auto"/>
        <w:left w:val="none" w:sz="0" w:space="0" w:color="auto"/>
        <w:bottom w:val="none" w:sz="0" w:space="0" w:color="auto"/>
        <w:right w:val="none" w:sz="0" w:space="0" w:color="auto"/>
      </w:divBdr>
    </w:div>
    <w:div w:id="1106316999">
      <w:bodyDiv w:val="1"/>
      <w:marLeft w:val="0"/>
      <w:marRight w:val="0"/>
      <w:marTop w:val="0"/>
      <w:marBottom w:val="0"/>
      <w:divBdr>
        <w:top w:val="none" w:sz="0" w:space="0" w:color="auto"/>
        <w:left w:val="none" w:sz="0" w:space="0" w:color="auto"/>
        <w:bottom w:val="none" w:sz="0" w:space="0" w:color="auto"/>
        <w:right w:val="none" w:sz="0" w:space="0" w:color="auto"/>
      </w:divBdr>
    </w:div>
    <w:div w:id="1191722246">
      <w:bodyDiv w:val="1"/>
      <w:marLeft w:val="0"/>
      <w:marRight w:val="0"/>
      <w:marTop w:val="0"/>
      <w:marBottom w:val="0"/>
      <w:divBdr>
        <w:top w:val="none" w:sz="0" w:space="0" w:color="auto"/>
        <w:left w:val="none" w:sz="0" w:space="0" w:color="auto"/>
        <w:bottom w:val="none" w:sz="0" w:space="0" w:color="auto"/>
        <w:right w:val="none" w:sz="0" w:space="0" w:color="auto"/>
      </w:divBdr>
    </w:div>
    <w:div w:id="1212379529">
      <w:bodyDiv w:val="1"/>
      <w:marLeft w:val="0"/>
      <w:marRight w:val="0"/>
      <w:marTop w:val="0"/>
      <w:marBottom w:val="0"/>
      <w:divBdr>
        <w:top w:val="none" w:sz="0" w:space="0" w:color="auto"/>
        <w:left w:val="none" w:sz="0" w:space="0" w:color="auto"/>
        <w:bottom w:val="none" w:sz="0" w:space="0" w:color="auto"/>
        <w:right w:val="none" w:sz="0" w:space="0" w:color="auto"/>
      </w:divBdr>
    </w:div>
    <w:div w:id="147648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7812F-1366-457B-9E0E-317FD3DDC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Barclays</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Ghafoor, Ayesha : Government Relations</dc:creator>
  <cp:keywords/>
  <dc:description/>
  <cp:lastModifiedBy>Croucher, Kim : Sustainability &amp; ESG</cp:lastModifiedBy>
  <cp:revision>3</cp:revision>
  <dcterms:created xsi:type="dcterms:W3CDTF">2020-07-15T20:44:00Z</dcterms:created>
  <dcterms:modified xsi:type="dcterms:W3CDTF">2020-07-15T20:46:00Z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-732674347</vt:i4>
  </property>
  <property fmtid="{D5CDD505-2E9C-101B-9397-08002B2CF9AE}" pid="3" name="_NewReviewCycle">
    <vt:lpwstr/>
  </property>
  <property fmtid="{D5CDD505-2E9C-101B-9397-08002B2CF9AE}" pid="4" name="_EmailSubject">
    <vt:lpwstr>EC - Sustainable Finance consultation </vt:lpwstr>
  </property>
  <property fmtid="{D5CDD505-2E9C-101B-9397-08002B2CF9AE}" pid="5" name="_AuthorEmail">
    <vt:lpwstr>ayesha.xa.ghafoor@barclays.com</vt:lpwstr>
  </property>
  <property fmtid="{D5CDD505-2E9C-101B-9397-08002B2CF9AE}" pid="6" name="_AuthorEmailDisplayName">
    <vt:lpwstr>Ghafoor, Ayesha : Government Relations</vt:lpwstr>
  </property>
  <property fmtid="{D5CDD505-2E9C-101B-9397-08002B2CF9AE}" pid="7" name="_ReviewingToolsShownOnce">
    <vt:lpwstr/>
  </property>
  <property fmtid="{D5CDD505-2E9C-101B-9397-08002B2CF9AE}" pid="8" name="MSIP_Label_0004f687-07a0-4c99-84d8-8587e54227ab_Enabled">
    <vt:lpwstr>True</vt:lpwstr>
  </property>
  <property fmtid="{D5CDD505-2E9C-101B-9397-08002B2CF9AE}" pid="9" name="MSIP_Label_0004f687-07a0-4c99-84d8-8587e54227ab_SiteId">
    <vt:lpwstr>c4b62f1d-01e0-4107-a0cc-5ac886858b23</vt:lpwstr>
  </property>
  <property fmtid="{D5CDD505-2E9C-101B-9397-08002B2CF9AE}" pid="10" name="MSIP_Label_0004f687-07a0-4c99-84d8-8587e54227ab_Owner">
    <vt:lpwstr>crouchek@INTRANET.BARCAPINT.com</vt:lpwstr>
  </property>
  <property fmtid="{D5CDD505-2E9C-101B-9397-08002B2CF9AE}" pid="11" name="MSIP_Label_0004f687-07a0-4c99-84d8-8587e54227ab_SetDate">
    <vt:lpwstr>2020-07-01T20:17:15.3438686Z</vt:lpwstr>
  </property>
  <property fmtid="{D5CDD505-2E9C-101B-9397-08002B2CF9AE}" pid="12" name="MSIP_Label_0004f687-07a0-4c99-84d8-8587e54227ab_Name">
    <vt:lpwstr>Restricted - Internal</vt:lpwstr>
  </property>
  <property fmtid="{D5CDD505-2E9C-101B-9397-08002B2CF9AE}" pid="13" name="MSIP_Label_0004f687-07a0-4c99-84d8-8587e54227ab_Application">
    <vt:lpwstr>Microsoft Azure Information Protection</vt:lpwstr>
  </property>
  <property fmtid="{D5CDD505-2E9C-101B-9397-08002B2CF9AE}" pid="14" name="MSIP_Label_0004f687-07a0-4c99-84d8-8587e54227ab_Extended_MSFT_Method">
    <vt:lpwstr>Automatic</vt:lpwstr>
  </property>
  <property fmtid="{D5CDD505-2E9C-101B-9397-08002B2CF9AE}" pid="15" name="barclaysdc">
    <vt:lpwstr>Restricted - Internal</vt:lpwstr>
  </property>
</Properties>
</file>