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F31C0" w14:textId="77777777" w:rsidR="00191A4D" w:rsidRDefault="00191A4D"/>
    <w:p w14:paraId="715AD164" w14:textId="6BDFD56D" w:rsidR="00276F25" w:rsidRDefault="00BF6812" w:rsidP="00276F25">
      <w:pPr>
        <w:pStyle w:val="Nagwek"/>
        <w:jc w:val="center"/>
        <w:rPr>
          <w:rFonts w:ascii="Open Sans" w:hAnsi="Open Sans" w:cs="Open Sans"/>
          <w:b/>
          <w:sz w:val="20"/>
          <w:szCs w:val="20"/>
        </w:rPr>
      </w:pPr>
      <w:r w:rsidRPr="00FE5071">
        <w:rPr>
          <w:rFonts w:ascii="Open Sans" w:hAnsi="Open Sans"/>
          <w:sz w:val="24"/>
          <w:szCs w:val="24"/>
        </w:rPr>
        <w:tab/>
      </w:r>
      <w:r w:rsidR="00276F25">
        <w:rPr>
          <w:rFonts w:ascii="Open Sans" w:hAnsi="Open Sans"/>
          <w:sz w:val="24"/>
          <w:szCs w:val="24"/>
        </w:rPr>
        <w:t xml:space="preserve">                                                                                                                          </w:t>
      </w:r>
      <w:proofErr w:type="spellStart"/>
      <w:r w:rsidR="00276F25" w:rsidRPr="00DD5ED1">
        <w:rPr>
          <w:rFonts w:ascii="Open Sans" w:hAnsi="Open Sans" w:cs="Open Sans"/>
          <w:b/>
          <w:sz w:val="20"/>
          <w:szCs w:val="20"/>
        </w:rPr>
        <w:t>February</w:t>
      </w:r>
      <w:proofErr w:type="spellEnd"/>
      <w:r w:rsidR="00276F25" w:rsidRPr="00DD5ED1">
        <w:rPr>
          <w:rFonts w:ascii="Open Sans" w:hAnsi="Open Sans" w:cs="Open Sans"/>
          <w:b/>
          <w:sz w:val="20"/>
          <w:szCs w:val="20"/>
        </w:rPr>
        <w:t xml:space="preserve"> 2020</w:t>
      </w:r>
    </w:p>
    <w:p w14:paraId="050BAA24" w14:textId="77777777" w:rsidR="00276F25" w:rsidRPr="00276F25" w:rsidRDefault="00276F25" w:rsidP="00276F25">
      <w:pPr>
        <w:pStyle w:val="Nagwek"/>
        <w:jc w:val="center"/>
        <w:rPr>
          <w:rFonts w:ascii="Open Sans" w:hAnsi="Open Sans"/>
          <w:sz w:val="28"/>
          <w:szCs w:val="28"/>
        </w:rPr>
      </w:pPr>
    </w:p>
    <w:p w14:paraId="19B624DD" w14:textId="77777777" w:rsidR="00276F25" w:rsidRPr="0025667C" w:rsidRDefault="00276F25" w:rsidP="00276F25">
      <w:pPr>
        <w:jc w:val="center"/>
        <w:rPr>
          <w:b/>
          <w:sz w:val="36"/>
          <w:szCs w:val="36"/>
        </w:rPr>
      </w:pPr>
      <w:r w:rsidRPr="0025667C">
        <w:rPr>
          <w:b/>
          <w:sz w:val="36"/>
          <w:szCs w:val="36"/>
        </w:rPr>
        <w:t>POSITION PAPER</w:t>
      </w:r>
    </w:p>
    <w:p w14:paraId="7BB0F2CC" w14:textId="77777777" w:rsidR="00276F25" w:rsidRPr="0025667C" w:rsidRDefault="00276F25" w:rsidP="00276F25">
      <w:pPr>
        <w:jc w:val="center"/>
        <w:rPr>
          <w:b/>
          <w:sz w:val="28"/>
          <w:szCs w:val="28"/>
          <w:lang w:val="en-GB"/>
        </w:rPr>
      </w:pPr>
      <w:r>
        <w:rPr>
          <w:b/>
          <w:sz w:val="36"/>
          <w:szCs w:val="36"/>
          <w:lang w:val="en-GB"/>
        </w:rPr>
        <w:t>KGHM Polska Miedź S.A. towards</w:t>
      </w:r>
      <w:r w:rsidRPr="0025667C">
        <w:rPr>
          <w:b/>
          <w:sz w:val="36"/>
          <w:szCs w:val="36"/>
          <w:lang w:val="en-GB"/>
        </w:rPr>
        <w:t xml:space="preserve"> </w:t>
      </w:r>
      <w:r>
        <w:rPr>
          <w:b/>
          <w:sz w:val="36"/>
          <w:szCs w:val="36"/>
          <w:lang w:val="en-GB"/>
        </w:rPr>
        <w:t>European</w:t>
      </w:r>
      <w:r w:rsidRPr="0025667C">
        <w:rPr>
          <w:b/>
          <w:sz w:val="36"/>
          <w:szCs w:val="36"/>
          <w:lang w:val="en-GB"/>
        </w:rPr>
        <w:t xml:space="preserve"> Green Deal</w:t>
      </w:r>
    </w:p>
    <w:p w14:paraId="441FF06D" w14:textId="77777777" w:rsidR="00276F25" w:rsidRPr="0025667C" w:rsidRDefault="00276F25" w:rsidP="00276F25">
      <w:pPr>
        <w:rPr>
          <w:lang w:val="en-GB"/>
        </w:rPr>
      </w:pPr>
    </w:p>
    <w:p w14:paraId="18574C42" w14:textId="77777777" w:rsidR="00276F25" w:rsidRPr="0025667C" w:rsidRDefault="00276F25" w:rsidP="00276F25">
      <w:pPr>
        <w:pStyle w:val="Akapitzlist"/>
        <w:numPr>
          <w:ilvl w:val="0"/>
          <w:numId w:val="5"/>
        </w:numPr>
        <w:jc w:val="both"/>
        <w:rPr>
          <w:rFonts w:ascii="Open Sans" w:hAnsi="Open Sans" w:cs="Open Sans"/>
          <w:b/>
          <w:sz w:val="20"/>
          <w:szCs w:val="20"/>
          <w:lang w:val="en-GB"/>
        </w:rPr>
      </w:pPr>
      <w:r w:rsidRPr="0025667C">
        <w:rPr>
          <w:rFonts w:ascii="Open Sans" w:hAnsi="Open Sans" w:cs="Open Sans"/>
          <w:b/>
          <w:sz w:val="20"/>
          <w:szCs w:val="20"/>
          <w:lang w:val="en-GB"/>
        </w:rPr>
        <w:t>HAVING REGARD TO THE FOLLOWING POLITICAL, ECONOMIC, SOCIAL AND TECHNOLOGICAL CONDITIONS:</w:t>
      </w:r>
    </w:p>
    <w:p w14:paraId="68153E77" w14:textId="77777777" w:rsidR="00276F25" w:rsidRPr="0025667C" w:rsidRDefault="00276F25" w:rsidP="00276F25">
      <w:pPr>
        <w:pStyle w:val="Akapitzlist"/>
        <w:ind w:left="360"/>
        <w:jc w:val="both"/>
        <w:rPr>
          <w:rFonts w:ascii="Open Sans" w:hAnsi="Open Sans" w:cs="Open Sans"/>
          <w:sz w:val="20"/>
          <w:szCs w:val="20"/>
          <w:lang w:val="en-GB"/>
        </w:rPr>
      </w:pPr>
    </w:p>
    <w:p w14:paraId="120A47CE" w14:textId="77777777" w:rsidR="00276F25" w:rsidRPr="0025667C" w:rsidRDefault="00276F25" w:rsidP="00276F25">
      <w:pPr>
        <w:pStyle w:val="Akapitzlist"/>
        <w:numPr>
          <w:ilvl w:val="0"/>
          <w:numId w:val="8"/>
        </w:numPr>
        <w:spacing w:after="0"/>
        <w:jc w:val="both"/>
        <w:rPr>
          <w:rFonts w:ascii="Open Sans" w:hAnsi="Open Sans" w:cs="Open Sans"/>
          <w:b/>
          <w:sz w:val="20"/>
          <w:szCs w:val="20"/>
          <w:lang w:val="en-GB"/>
        </w:rPr>
      </w:pPr>
      <w:r>
        <w:rPr>
          <w:rFonts w:ascii="Open Sans" w:hAnsi="Open Sans" w:cs="Open Sans"/>
          <w:b/>
          <w:sz w:val="20"/>
          <w:szCs w:val="20"/>
          <w:lang w:val="en-GB"/>
        </w:rPr>
        <w:t>European</w:t>
      </w:r>
      <w:r w:rsidRPr="0025667C">
        <w:rPr>
          <w:rFonts w:ascii="Open Sans" w:hAnsi="Open Sans" w:cs="Open Sans"/>
          <w:b/>
          <w:sz w:val="20"/>
          <w:szCs w:val="20"/>
          <w:lang w:val="en-GB"/>
        </w:rPr>
        <w:t xml:space="preserve"> Green Deal as a new main political objective of the EU</w:t>
      </w:r>
    </w:p>
    <w:p w14:paraId="2F7164E1" w14:textId="58197B50"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 xml:space="preserve">Action aimed at achieving climate neutrality by 2050 is a priority for the new European Commission and its President, Ursula Von der </w:t>
      </w:r>
      <w:proofErr w:type="spellStart"/>
      <w:r w:rsidRPr="0025667C">
        <w:rPr>
          <w:rFonts w:ascii="Open Sans" w:hAnsi="Open Sans" w:cs="Open Sans"/>
          <w:sz w:val="20"/>
          <w:szCs w:val="20"/>
          <w:lang w:val="en-GB"/>
        </w:rPr>
        <w:t>Leyen</w:t>
      </w:r>
      <w:proofErr w:type="spellEnd"/>
      <w:r w:rsidRPr="0025667C">
        <w:rPr>
          <w:rFonts w:ascii="Open Sans" w:hAnsi="Open Sans" w:cs="Open Sans"/>
          <w:sz w:val="20"/>
          <w:szCs w:val="20"/>
          <w:lang w:val="en-GB"/>
        </w:rPr>
        <w:t xml:space="preserve">. The political guidelines for the 2019-2024 term of office indicate the pursuit of tightening climate targets, as evidenced by the ambitious proposal of the so-called </w:t>
      </w:r>
      <w:r>
        <w:rPr>
          <w:rFonts w:ascii="Open Sans" w:hAnsi="Open Sans" w:cs="Open Sans"/>
          <w:sz w:val="20"/>
          <w:szCs w:val="20"/>
          <w:lang w:val="en-GB"/>
        </w:rPr>
        <w:t>European</w:t>
      </w:r>
      <w:r w:rsidRPr="0025667C">
        <w:rPr>
          <w:rFonts w:ascii="Open Sans" w:hAnsi="Open Sans" w:cs="Open Sans"/>
          <w:sz w:val="20"/>
          <w:szCs w:val="20"/>
          <w:lang w:val="en-GB"/>
        </w:rPr>
        <w:t xml:space="preserve"> Green Deal</w:t>
      </w:r>
      <w:r>
        <w:rPr>
          <w:rFonts w:ascii="Open Sans" w:hAnsi="Open Sans" w:cs="Open Sans"/>
          <w:sz w:val="20"/>
          <w:szCs w:val="20"/>
          <w:lang w:val="en-GB"/>
        </w:rPr>
        <w:t xml:space="preserve"> (EGD)</w:t>
      </w:r>
      <w:r w:rsidRPr="0025667C">
        <w:rPr>
          <w:rFonts w:ascii="Open Sans" w:hAnsi="Open Sans" w:cs="Open Sans"/>
          <w:sz w:val="20"/>
          <w:szCs w:val="20"/>
          <w:lang w:val="en-GB"/>
        </w:rPr>
        <w:t xml:space="preserve">. First European Climate Law should be proposed by the Commission </w:t>
      </w:r>
      <w:r>
        <w:rPr>
          <w:rFonts w:ascii="Open Sans" w:hAnsi="Open Sans" w:cs="Open Sans"/>
          <w:sz w:val="20"/>
          <w:szCs w:val="20"/>
          <w:lang w:val="en-GB"/>
        </w:rPr>
        <w:t>in March 2020 and then followed by the </w:t>
      </w:r>
      <w:r w:rsidRPr="0025667C">
        <w:rPr>
          <w:rFonts w:ascii="Open Sans" w:hAnsi="Open Sans" w:cs="Open Sans"/>
          <w:sz w:val="20"/>
          <w:szCs w:val="20"/>
          <w:lang w:val="en-GB"/>
        </w:rPr>
        <w:t xml:space="preserve">ordinary legislative procedure. </w:t>
      </w:r>
      <w:r>
        <w:rPr>
          <w:rFonts w:ascii="Open Sans" w:hAnsi="Open Sans" w:cs="Open Sans"/>
          <w:sz w:val="20"/>
          <w:szCs w:val="20"/>
          <w:lang w:val="en-GB"/>
        </w:rPr>
        <w:t>It</w:t>
      </w:r>
      <w:r w:rsidR="005F236A">
        <w:rPr>
          <w:rFonts w:ascii="Open Sans" w:hAnsi="Open Sans" w:cs="Open Sans"/>
          <w:sz w:val="20"/>
          <w:szCs w:val="20"/>
          <w:lang w:val="en-GB"/>
        </w:rPr>
        <w:t xml:space="preserve"> </w:t>
      </w:r>
      <w:r w:rsidRPr="0025667C">
        <w:rPr>
          <w:rFonts w:ascii="Open Sans" w:hAnsi="Open Sans" w:cs="Open Sans"/>
          <w:sz w:val="20"/>
          <w:szCs w:val="20"/>
          <w:lang w:val="en-GB"/>
        </w:rPr>
        <w:t xml:space="preserve">is expected </w:t>
      </w:r>
      <w:r>
        <w:rPr>
          <w:rFonts w:ascii="Open Sans" w:hAnsi="Open Sans" w:cs="Open Sans"/>
          <w:sz w:val="20"/>
          <w:szCs w:val="20"/>
          <w:lang w:val="en-GB"/>
        </w:rPr>
        <w:t>that Commission will</w:t>
      </w:r>
      <w:r w:rsidRPr="0025667C">
        <w:rPr>
          <w:rFonts w:ascii="Open Sans" w:hAnsi="Open Sans" w:cs="Open Sans"/>
          <w:sz w:val="20"/>
          <w:szCs w:val="20"/>
          <w:lang w:val="en-GB"/>
        </w:rPr>
        <w:t xml:space="preserve"> propose </w:t>
      </w:r>
      <w:r>
        <w:rPr>
          <w:rFonts w:ascii="Open Sans" w:hAnsi="Open Sans" w:cs="Open Sans"/>
          <w:sz w:val="20"/>
          <w:szCs w:val="20"/>
          <w:lang w:val="en-GB"/>
        </w:rPr>
        <w:t>to</w:t>
      </w:r>
      <w:r w:rsidRPr="0025667C">
        <w:rPr>
          <w:rFonts w:ascii="Open Sans" w:hAnsi="Open Sans" w:cs="Open Sans"/>
          <w:sz w:val="20"/>
          <w:szCs w:val="20"/>
          <w:lang w:val="en-GB"/>
        </w:rPr>
        <w:t xml:space="preserve"> revis</w:t>
      </w:r>
      <w:r>
        <w:rPr>
          <w:rFonts w:ascii="Open Sans" w:hAnsi="Open Sans" w:cs="Open Sans"/>
          <w:sz w:val="20"/>
          <w:szCs w:val="20"/>
          <w:lang w:val="en-GB"/>
        </w:rPr>
        <w:t xml:space="preserve">e </w:t>
      </w:r>
      <w:r w:rsidRPr="0025667C">
        <w:rPr>
          <w:rFonts w:ascii="Open Sans" w:hAnsi="Open Sans" w:cs="Open Sans"/>
          <w:sz w:val="20"/>
          <w:szCs w:val="20"/>
          <w:lang w:val="en-GB"/>
        </w:rPr>
        <w:t>the 2030 reduction target (</w:t>
      </w:r>
      <w:r>
        <w:rPr>
          <w:rFonts w:ascii="Open Sans" w:hAnsi="Open Sans" w:cs="Open Sans"/>
          <w:sz w:val="20"/>
          <w:szCs w:val="20"/>
          <w:lang w:val="en-GB"/>
        </w:rPr>
        <w:t>t</w:t>
      </w:r>
      <w:r w:rsidRPr="0025667C">
        <w:rPr>
          <w:rFonts w:ascii="Open Sans" w:hAnsi="Open Sans" w:cs="Open Sans"/>
          <w:sz w:val="20"/>
          <w:szCs w:val="20"/>
          <w:lang w:val="en-GB"/>
        </w:rPr>
        <w:t xml:space="preserve">he current level of 40% is expected to increase to 50%). </w:t>
      </w:r>
    </w:p>
    <w:p w14:paraId="2C37EAAD" w14:textId="53191DF9"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For the entire European non-ferrous metals industry, meeting such restrictive requirements in a relatively short period of time means huge challenges related to the energy transformation and the transition to renewable energy sources, all the more so because, apart from the investment outlays in this area</w:t>
      </w:r>
      <w:r>
        <w:rPr>
          <w:rFonts w:ascii="Open Sans" w:hAnsi="Open Sans" w:cs="Open Sans"/>
          <w:sz w:val="20"/>
          <w:szCs w:val="20"/>
          <w:lang w:val="en-GB"/>
        </w:rPr>
        <w:t>, it has to take into account a </w:t>
      </w:r>
      <w:r w:rsidRPr="0025667C">
        <w:rPr>
          <w:rFonts w:ascii="Open Sans" w:hAnsi="Open Sans" w:cs="Open Sans"/>
          <w:sz w:val="20"/>
          <w:szCs w:val="20"/>
          <w:lang w:val="en-GB"/>
        </w:rPr>
        <w:t>drastic increase in the prices of CO2 emission allowances and the risk of serious changes in the list of sectors covered by the system of compensation for indirect costs within the 4</w:t>
      </w:r>
      <w:r w:rsidRPr="00781E70">
        <w:rPr>
          <w:rFonts w:ascii="Open Sans" w:hAnsi="Open Sans" w:cs="Open Sans"/>
          <w:sz w:val="20"/>
          <w:szCs w:val="20"/>
          <w:vertAlign w:val="superscript"/>
          <w:lang w:val="en-GB"/>
        </w:rPr>
        <w:t>th</w:t>
      </w:r>
      <w:r w:rsidRPr="0025667C">
        <w:rPr>
          <w:rFonts w:ascii="Open Sans" w:hAnsi="Open Sans" w:cs="Open Sans"/>
          <w:sz w:val="20"/>
          <w:szCs w:val="20"/>
          <w:lang w:val="en-GB"/>
        </w:rPr>
        <w:t xml:space="preserve"> settlement period of the EU Emissions Tr</w:t>
      </w:r>
      <w:r>
        <w:rPr>
          <w:rFonts w:ascii="Open Sans" w:hAnsi="Open Sans" w:cs="Open Sans"/>
          <w:sz w:val="20"/>
          <w:szCs w:val="20"/>
          <w:lang w:val="en-GB"/>
        </w:rPr>
        <w:t>ading System for the years 2021-</w:t>
      </w:r>
      <w:r w:rsidRPr="0025667C">
        <w:rPr>
          <w:rFonts w:ascii="Open Sans" w:hAnsi="Open Sans" w:cs="Open Sans"/>
          <w:sz w:val="20"/>
          <w:szCs w:val="20"/>
          <w:lang w:val="en-GB"/>
        </w:rPr>
        <w:t>2030.</w:t>
      </w:r>
    </w:p>
    <w:p w14:paraId="7832A7A4" w14:textId="77777777" w:rsidR="00276F25" w:rsidRPr="00D3435F" w:rsidRDefault="00276F25" w:rsidP="00276F25">
      <w:pPr>
        <w:pStyle w:val="Akapitzlist"/>
        <w:numPr>
          <w:ilvl w:val="0"/>
          <w:numId w:val="8"/>
        </w:numPr>
        <w:spacing w:after="0"/>
        <w:jc w:val="both"/>
        <w:rPr>
          <w:rFonts w:ascii="Open Sans" w:hAnsi="Open Sans" w:cs="Open Sans"/>
          <w:b/>
          <w:sz w:val="20"/>
          <w:szCs w:val="20"/>
          <w:lang w:val="en-GB"/>
        </w:rPr>
      </w:pPr>
      <w:r w:rsidRPr="00D3435F">
        <w:rPr>
          <w:rFonts w:ascii="Open Sans" w:hAnsi="Open Sans" w:cs="Open Sans"/>
          <w:b/>
          <w:sz w:val="20"/>
          <w:szCs w:val="20"/>
          <w:lang w:val="en-GB"/>
        </w:rPr>
        <w:t>The role of key industrial chains in the implemen</w:t>
      </w:r>
      <w:r>
        <w:rPr>
          <w:rFonts w:ascii="Open Sans" w:hAnsi="Open Sans" w:cs="Open Sans"/>
          <w:b/>
          <w:sz w:val="20"/>
          <w:szCs w:val="20"/>
          <w:lang w:val="en-GB"/>
        </w:rPr>
        <w:t>tation of EG</w:t>
      </w:r>
      <w:r w:rsidRPr="00D3435F">
        <w:rPr>
          <w:rFonts w:ascii="Open Sans" w:hAnsi="Open Sans" w:cs="Open Sans"/>
          <w:b/>
          <w:sz w:val="20"/>
          <w:szCs w:val="20"/>
          <w:lang w:val="en-GB"/>
        </w:rPr>
        <w:t>D</w:t>
      </w:r>
    </w:p>
    <w:p w14:paraId="4A5632A4" w14:textId="7FE4E845" w:rsidR="00276F25" w:rsidRPr="00D3435F" w:rsidRDefault="00276F25" w:rsidP="00781E70">
      <w:pPr>
        <w:pStyle w:val="Default"/>
        <w:ind w:left="709"/>
        <w:jc w:val="both"/>
        <w:rPr>
          <w:color w:val="auto"/>
          <w:sz w:val="22"/>
          <w:szCs w:val="22"/>
          <w:lang w:val="en-GB"/>
        </w:rPr>
      </w:pPr>
      <w:r>
        <w:rPr>
          <w:color w:val="auto"/>
          <w:sz w:val="22"/>
          <w:szCs w:val="22"/>
          <w:lang w:val="en-GB"/>
        </w:rPr>
        <w:t>According to the report</w:t>
      </w:r>
      <w:r w:rsidR="00781E70">
        <w:rPr>
          <w:rStyle w:val="Odwoanieprzypisudolnego"/>
          <w:color w:val="auto"/>
          <w:sz w:val="22"/>
          <w:szCs w:val="22"/>
          <w:lang w:val="en-GB"/>
        </w:rPr>
        <w:footnoteReference w:id="1"/>
      </w:r>
      <w:r>
        <w:rPr>
          <w:color w:val="auto"/>
          <w:sz w:val="22"/>
          <w:szCs w:val="22"/>
          <w:lang w:val="en-GB"/>
        </w:rPr>
        <w:t xml:space="preserve"> published by Strategic Forum for Important Projects of Common European Interest, t</w:t>
      </w:r>
      <w:r w:rsidRPr="00D3435F">
        <w:rPr>
          <w:color w:val="auto"/>
          <w:sz w:val="22"/>
          <w:szCs w:val="22"/>
          <w:lang w:val="en-GB"/>
        </w:rPr>
        <w:t>he six key strategic value chains for</w:t>
      </w:r>
      <w:r>
        <w:rPr>
          <w:color w:val="auto"/>
          <w:sz w:val="22"/>
          <w:szCs w:val="22"/>
          <w:lang w:val="en-GB"/>
        </w:rPr>
        <w:t xml:space="preserve"> European</w:t>
      </w:r>
      <w:r w:rsidRPr="00D3435F">
        <w:rPr>
          <w:color w:val="auto"/>
          <w:sz w:val="22"/>
          <w:szCs w:val="22"/>
          <w:lang w:val="en-GB"/>
        </w:rPr>
        <w:t xml:space="preserve"> Green Deal are: </w:t>
      </w:r>
    </w:p>
    <w:p w14:paraId="67E1A55A" w14:textId="77777777" w:rsidR="00276F25" w:rsidRPr="00D3435F" w:rsidRDefault="00276F25" w:rsidP="00276F25">
      <w:pPr>
        <w:pStyle w:val="Default"/>
        <w:numPr>
          <w:ilvl w:val="0"/>
          <w:numId w:val="9"/>
        </w:numPr>
        <w:ind w:left="1416"/>
        <w:rPr>
          <w:color w:val="auto"/>
          <w:sz w:val="22"/>
          <w:szCs w:val="22"/>
          <w:lang w:val="en-GB"/>
        </w:rPr>
      </w:pPr>
      <w:r w:rsidRPr="00D3435F">
        <w:rPr>
          <w:color w:val="auto"/>
          <w:sz w:val="22"/>
          <w:szCs w:val="22"/>
          <w:lang w:val="en-GB"/>
        </w:rPr>
        <w:t xml:space="preserve">Clean, connected and autonomous vehicles </w:t>
      </w:r>
    </w:p>
    <w:p w14:paraId="56915D7D" w14:textId="77777777" w:rsidR="00276F25" w:rsidRPr="00D3435F" w:rsidRDefault="00276F25" w:rsidP="00276F25">
      <w:pPr>
        <w:pStyle w:val="Default"/>
        <w:numPr>
          <w:ilvl w:val="0"/>
          <w:numId w:val="9"/>
        </w:numPr>
        <w:ind w:left="1416"/>
        <w:rPr>
          <w:color w:val="auto"/>
          <w:sz w:val="22"/>
          <w:szCs w:val="22"/>
          <w:lang w:val="en-GB"/>
        </w:rPr>
      </w:pPr>
      <w:r w:rsidRPr="00D3435F">
        <w:rPr>
          <w:color w:val="auto"/>
          <w:sz w:val="22"/>
          <w:szCs w:val="22"/>
          <w:lang w:val="en-GB"/>
        </w:rPr>
        <w:t xml:space="preserve">Smart Health </w:t>
      </w:r>
    </w:p>
    <w:p w14:paraId="21BC5E8D" w14:textId="77777777" w:rsidR="00276F25" w:rsidRPr="00D3435F" w:rsidRDefault="00276F25" w:rsidP="00276F25">
      <w:pPr>
        <w:pStyle w:val="Default"/>
        <w:numPr>
          <w:ilvl w:val="0"/>
          <w:numId w:val="9"/>
        </w:numPr>
        <w:ind w:left="1416"/>
        <w:rPr>
          <w:color w:val="auto"/>
          <w:sz w:val="22"/>
          <w:szCs w:val="22"/>
          <w:lang w:val="en-GB"/>
        </w:rPr>
      </w:pPr>
      <w:r w:rsidRPr="00D3435F">
        <w:rPr>
          <w:color w:val="auto"/>
          <w:sz w:val="22"/>
          <w:szCs w:val="22"/>
          <w:lang w:val="en-GB"/>
        </w:rPr>
        <w:t xml:space="preserve">Low CO2 emissions Industry </w:t>
      </w:r>
    </w:p>
    <w:p w14:paraId="52840E67" w14:textId="77777777" w:rsidR="00276F25" w:rsidRPr="00D3435F" w:rsidRDefault="00276F25" w:rsidP="00276F25">
      <w:pPr>
        <w:pStyle w:val="Default"/>
        <w:numPr>
          <w:ilvl w:val="0"/>
          <w:numId w:val="9"/>
        </w:numPr>
        <w:ind w:left="1416"/>
        <w:rPr>
          <w:color w:val="auto"/>
          <w:sz w:val="22"/>
          <w:szCs w:val="22"/>
          <w:lang w:val="en-GB"/>
        </w:rPr>
      </w:pPr>
      <w:r w:rsidRPr="00D3435F">
        <w:rPr>
          <w:color w:val="auto"/>
          <w:sz w:val="22"/>
          <w:szCs w:val="22"/>
          <w:lang w:val="en-GB"/>
        </w:rPr>
        <w:t xml:space="preserve">Hydrogen technologies and systems </w:t>
      </w:r>
    </w:p>
    <w:p w14:paraId="2F2974B0" w14:textId="77777777" w:rsidR="00276F25" w:rsidRPr="00D3435F" w:rsidRDefault="00276F25" w:rsidP="00276F25">
      <w:pPr>
        <w:pStyle w:val="Default"/>
        <w:numPr>
          <w:ilvl w:val="0"/>
          <w:numId w:val="9"/>
        </w:numPr>
        <w:ind w:left="1416"/>
        <w:rPr>
          <w:color w:val="auto"/>
          <w:sz w:val="22"/>
          <w:szCs w:val="22"/>
          <w:lang w:val="en-GB"/>
        </w:rPr>
      </w:pPr>
      <w:r w:rsidRPr="00D3435F">
        <w:rPr>
          <w:color w:val="auto"/>
          <w:sz w:val="22"/>
          <w:szCs w:val="22"/>
          <w:lang w:val="en-GB"/>
        </w:rPr>
        <w:t xml:space="preserve">Industrial Internet of Things </w:t>
      </w:r>
    </w:p>
    <w:p w14:paraId="646E53A9" w14:textId="77777777" w:rsidR="00276F25" w:rsidRPr="00D3435F" w:rsidRDefault="00276F25" w:rsidP="00276F25">
      <w:pPr>
        <w:pStyle w:val="Default"/>
        <w:numPr>
          <w:ilvl w:val="0"/>
          <w:numId w:val="9"/>
        </w:numPr>
        <w:ind w:left="1416"/>
        <w:rPr>
          <w:color w:val="auto"/>
          <w:sz w:val="22"/>
          <w:szCs w:val="22"/>
          <w:lang w:val="en-GB"/>
        </w:rPr>
      </w:pPr>
      <w:r w:rsidRPr="00D3435F">
        <w:rPr>
          <w:color w:val="auto"/>
          <w:sz w:val="22"/>
          <w:szCs w:val="22"/>
          <w:lang w:val="en-GB"/>
        </w:rPr>
        <w:t>Cybersecurity</w:t>
      </w:r>
    </w:p>
    <w:p w14:paraId="778C5E6C" w14:textId="77777777" w:rsidR="00276F25" w:rsidRPr="00D3435F" w:rsidRDefault="00276F25" w:rsidP="00276F25">
      <w:pPr>
        <w:pStyle w:val="Default"/>
        <w:ind w:left="1416"/>
        <w:rPr>
          <w:color w:val="auto"/>
          <w:sz w:val="22"/>
          <w:szCs w:val="22"/>
          <w:lang w:val="en-GB"/>
        </w:rPr>
      </w:pPr>
    </w:p>
    <w:p w14:paraId="5F0F41E1" w14:textId="5DB6595D" w:rsidR="00276F25" w:rsidRPr="00D3435F" w:rsidRDefault="00276F25" w:rsidP="00276F25">
      <w:pPr>
        <w:pStyle w:val="Default"/>
        <w:ind w:left="708"/>
        <w:jc w:val="both"/>
        <w:rPr>
          <w:color w:val="auto"/>
          <w:sz w:val="14"/>
          <w:szCs w:val="14"/>
          <w:lang w:val="en-GB"/>
        </w:rPr>
      </w:pPr>
      <w:r w:rsidRPr="00D3435F">
        <w:rPr>
          <w:color w:val="auto"/>
          <w:sz w:val="22"/>
          <w:szCs w:val="22"/>
          <w:lang w:val="en-GB"/>
        </w:rPr>
        <w:t>The Strategic Forum has also recognised three additional</w:t>
      </w:r>
      <w:r>
        <w:rPr>
          <w:color w:val="auto"/>
          <w:sz w:val="22"/>
          <w:szCs w:val="22"/>
          <w:lang w:val="en-GB"/>
        </w:rPr>
        <w:t xml:space="preserve"> strategic value chains – (i.e. </w:t>
      </w:r>
      <w:r w:rsidRPr="00D3435F">
        <w:rPr>
          <w:color w:val="auto"/>
          <w:sz w:val="22"/>
          <w:szCs w:val="22"/>
          <w:lang w:val="en-GB"/>
        </w:rPr>
        <w:t>batteries, high-performance computing and microelectronics) as of key importance for the EU. However, the Strategic Forum has not developed specific recommendations for these value chains due to already ongoing coordinated initiatives</w:t>
      </w:r>
      <w:r w:rsidRPr="00D3435F">
        <w:rPr>
          <w:color w:val="auto"/>
          <w:sz w:val="14"/>
          <w:szCs w:val="14"/>
          <w:lang w:val="en-GB"/>
        </w:rPr>
        <w:t>.</w:t>
      </w:r>
    </w:p>
    <w:p w14:paraId="675F3D43" w14:textId="77777777" w:rsidR="00276F25" w:rsidRPr="00D3435F" w:rsidRDefault="00276F25" w:rsidP="00276F25">
      <w:pPr>
        <w:pStyle w:val="Default"/>
        <w:ind w:left="1764"/>
        <w:rPr>
          <w:color w:val="auto"/>
          <w:sz w:val="14"/>
          <w:szCs w:val="14"/>
          <w:lang w:val="en-GB"/>
        </w:rPr>
      </w:pPr>
    </w:p>
    <w:p w14:paraId="4BBE1C17" w14:textId="77F81FE2" w:rsidR="00276F25" w:rsidRPr="003E5CCD" w:rsidRDefault="00276F25" w:rsidP="00276F25">
      <w:pPr>
        <w:pStyle w:val="Akapitzlist"/>
        <w:ind w:left="708"/>
        <w:jc w:val="both"/>
        <w:rPr>
          <w:rFonts w:ascii="Open Sans" w:hAnsi="Open Sans" w:cs="Open Sans"/>
          <w:sz w:val="20"/>
          <w:szCs w:val="20"/>
          <w:lang w:val="en-GB"/>
        </w:rPr>
      </w:pPr>
      <w:r w:rsidRPr="00D3435F">
        <w:rPr>
          <w:lang w:val="en-GB"/>
        </w:rPr>
        <w:lastRenderedPageBreak/>
        <w:t>These strategic value chains are all related to the two main drivers of industrial transformation – the transition to a climate-neutral economy and to a data-driven economy. They are directly linked to improving competitiveness, fighting climate change, and enhancing technological development.</w:t>
      </w:r>
      <w:r>
        <w:rPr>
          <w:lang w:val="en-GB"/>
        </w:rPr>
        <w:t xml:space="preserve"> </w:t>
      </w:r>
      <w:r>
        <w:rPr>
          <w:b/>
          <w:lang w:val="en-GB"/>
        </w:rPr>
        <w:t xml:space="preserve">And all of them </w:t>
      </w:r>
      <w:r w:rsidRPr="003E5CCD">
        <w:rPr>
          <w:b/>
          <w:lang w:val="en-GB"/>
        </w:rPr>
        <w:t xml:space="preserve">will inevitably require raw materials: not only those that are currently being tagged as “critical”, </w:t>
      </w:r>
      <w:r w:rsidRPr="003E5CCD">
        <w:rPr>
          <w:b/>
          <w:u w:val="single"/>
          <w:lang w:val="en-GB"/>
        </w:rPr>
        <w:t xml:space="preserve">but also </w:t>
      </w:r>
      <w:r>
        <w:rPr>
          <w:b/>
          <w:u w:val="single"/>
          <w:lang w:val="en-GB"/>
        </w:rPr>
        <w:t xml:space="preserve">huge amount of </w:t>
      </w:r>
      <w:r w:rsidRPr="003E5CCD">
        <w:rPr>
          <w:b/>
          <w:u w:val="single"/>
          <w:lang w:val="en-GB"/>
        </w:rPr>
        <w:t>base metals such as copper, aluminium, silver, lead</w:t>
      </w:r>
      <w:r w:rsidRPr="003E5CCD">
        <w:rPr>
          <w:b/>
          <w:lang w:val="en-GB"/>
        </w:rPr>
        <w:t xml:space="preserve"> and o</w:t>
      </w:r>
      <w:r>
        <w:rPr>
          <w:b/>
          <w:lang w:val="en-GB"/>
        </w:rPr>
        <w:t>thers. European Union should not turn a blind eye on the standards of production of said raw materials, especially in terms of its carbon footprint.</w:t>
      </w:r>
    </w:p>
    <w:p w14:paraId="574875A5" w14:textId="77777777" w:rsidR="00276F25" w:rsidRPr="00D3435F" w:rsidRDefault="00276F25" w:rsidP="00276F25">
      <w:pPr>
        <w:pStyle w:val="Akapitzlist"/>
        <w:jc w:val="both"/>
        <w:rPr>
          <w:rFonts w:ascii="Open Sans" w:hAnsi="Open Sans" w:cs="Open Sans"/>
          <w:sz w:val="20"/>
          <w:szCs w:val="20"/>
          <w:lang w:val="en-GB"/>
        </w:rPr>
      </w:pPr>
    </w:p>
    <w:p w14:paraId="11D62C3C" w14:textId="77777777" w:rsidR="00276F25" w:rsidRPr="0025667C" w:rsidRDefault="00276F25" w:rsidP="00276F25">
      <w:pPr>
        <w:pStyle w:val="Akapitzlist"/>
        <w:numPr>
          <w:ilvl w:val="0"/>
          <w:numId w:val="8"/>
        </w:numPr>
        <w:jc w:val="both"/>
        <w:rPr>
          <w:rFonts w:ascii="Open Sans" w:hAnsi="Open Sans" w:cs="Open Sans"/>
          <w:b/>
          <w:sz w:val="20"/>
          <w:szCs w:val="20"/>
          <w:lang w:val="en-GB"/>
        </w:rPr>
      </w:pPr>
      <w:r w:rsidRPr="0025667C">
        <w:rPr>
          <w:rFonts w:ascii="Open Sans" w:hAnsi="Open Sans" w:cs="Open Sans"/>
          <w:b/>
          <w:sz w:val="20"/>
          <w:szCs w:val="20"/>
          <w:lang w:val="en-GB"/>
        </w:rPr>
        <w:t>Raw materials as an indispensable base for supply chains</w:t>
      </w:r>
    </w:p>
    <w:p w14:paraId="606BC5D9" w14:textId="77777777" w:rsidR="00276F25" w:rsidRPr="00D3435F" w:rsidRDefault="00276F25" w:rsidP="00276F25">
      <w:pPr>
        <w:pStyle w:val="Akapitzlist"/>
        <w:jc w:val="both"/>
        <w:rPr>
          <w:rFonts w:ascii="Open Sans" w:hAnsi="Open Sans" w:cs="Open Sans"/>
          <w:sz w:val="20"/>
          <w:szCs w:val="20"/>
          <w:lang w:val="en-GB"/>
        </w:rPr>
      </w:pPr>
      <w:r w:rsidRPr="00D3435F">
        <w:rPr>
          <w:rFonts w:ascii="Open Sans" w:hAnsi="Open Sans" w:cs="Open Sans"/>
          <w:sz w:val="20"/>
          <w:szCs w:val="20"/>
          <w:lang w:val="en-GB"/>
        </w:rPr>
        <w:t xml:space="preserve">In past years the </w:t>
      </w:r>
      <w:r>
        <w:rPr>
          <w:rFonts w:ascii="Open Sans" w:hAnsi="Open Sans" w:cs="Open Sans"/>
          <w:sz w:val="20"/>
          <w:szCs w:val="20"/>
          <w:lang w:val="en-GB"/>
        </w:rPr>
        <w:t>European</w:t>
      </w:r>
      <w:r w:rsidRPr="00D3435F">
        <w:rPr>
          <w:rFonts w:ascii="Open Sans" w:hAnsi="Open Sans" w:cs="Open Sans"/>
          <w:sz w:val="20"/>
          <w:szCs w:val="20"/>
          <w:lang w:val="en-GB"/>
        </w:rPr>
        <w:t xml:space="preserve"> raw materials industry has radically progressed in productivity and energy efficiency and is still implementing new solutions aiming at further </w:t>
      </w:r>
      <w:r>
        <w:rPr>
          <w:rFonts w:ascii="Open Sans" w:hAnsi="Open Sans" w:cs="Open Sans"/>
          <w:sz w:val="20"/>
          <w:szCs w:val="20"/>
          <w:lang w:val="en-GB"/>
        </w:rPr>
        <w:t xml:space="preserve">reducing the energy consumption per </w:t>
      </w:r>
      <w:r w:rsidRPr="00D3435F">
        <w:rPr>
          <w:rFonts w:ascii="Open Sans" w:hAnsi="Open Sans" w:cs="Open Sans"/>
          <w:sz w:val="20"/>
          <w:szCs w:val="20"/>
          <w:lang w:val="en-GB"/>
        </w:rPr>
        <w:t xml:space="preserve">unit and improving carbon-intensive operations. As the world shifts to a low-carbon future, mining companies explore methods of decarbonisation in order to efficiently and effectively fulfil the continued increasing demand for resources. </w:t>
      </w:r>
    </w:p>
    <w:p w14:paraId="2191FDAF" w14:textId="77777777" w:rsidR="00276F25" w:rsidRPr="00D3435F" w:rsidRDefault="00276F25" w:rsidP="00276F25">
      <w:pPr>
        <w:pStyle w:val="Akapitzlist"/>
        <w:jc w:val="both"/>
        <w:rPr>
          <w:rFonts w:ascii="Open Sans" w:hAnsi="Open Sans" w:cs="Open Sans"/>
          <w:sz w:val="20"/>
          <w:szCs w:val="20"/>
          <w:lang w:val="en-GB"/>
        </w:rPr>
      </w:pPr>
    </w:p>
    <w:p w14:paraId="78BDF2F8" w14:textId="3C60061B" w:rsidR="00276F25" w:rsidRPr="00D3435F" w:rsidRDefault="00276F25" w:rsidP="00276F25">
      <w:pPr>
        <w:pStyle w:val="Akapitzlist"/>
        <w:jc w:val="both"/>
        <w:rPr>
          <w:rFonts w:ascii="Open Sans" w:hAnsi="Open Sans" w:cs="Open Sans"/>
          <w:sz w:val="20"/>
          <w:szCs w:val="20"/>
          <w:lang w:val="en-GB"/>
        </w:rPr>
      </w:pPr>
      <w:r w:rsidRPr="00D3435F">
        <w:rPr>
          <w:rFonts w:ascii="Open Sans" w:hAnsi="Open Sans" w:cs="Open Sans"/>
          <w:sz w:val="20"/>
          <w:szCs w:val="20"/>
          <w:lang w:val="en-GB"/>
        </w:rPr>
        <w:t xml:space="preserve">According to the report of </w:t>
      </w:r>
      <w:proofErr w:type="spellStart"/>
      <w:r w:rsidRPr="00D3435F">
        <w:rPr>
          <w:rFonts w:ascii="Open Sans" w:hAnsi="Open Sans" w:cs="Open Sans"/>
          <w:sz w:val="20"/>
          <w:szCs w:val="20"/>
          <w:lang w:val="en-GB"/>
        </w:rPr>
        <w:t>Euromines</w:t>
      </w:r>
      <w:proofErr w:type="spellEnd"/>
      <w:r w:rsidRPr="00D3435F">
        <w:rPr>
          <w:rFonts w:ascii="Open Sans" w:hAnsi="Open Sans" w:cs="Open Sans"/>
          <w:sz w:val="20"/>
          <w:szCs w:val="20"/>
          <w:lang w:val="en-GB"/>
        </w:rPr>
        <w:t xml:space="preserve"> “Providing metals and minerals for carbon neutrality”</w:t>
      </w:r>
      <w:r w:rsidR="00564FB3">
        <w:rPr>
          <w:rStyle w:val="Odwoanieprzypisudolnego"/>
          <w:rFonts w:ascii="Open Sans" w:hAnsi="Open Sans" w:cs="Open Sans"/>
          <w:sz w:val="20"/>
          <w:szCs w:val="20"/>
          <w:lang w:val="en-GB"/>
        </w:rPr>
        <w:footnoteReference w:id="2"/>
      </w:r>
      <w:r w:rsidRPr="00D3435F">
        <w:rPr>
          <w:rFonts w:ascii="Open Sans" w:hAnsi="Open Sans" w:cs="Open Sans"/>
          <w:sz w:val="20"/>
          <w:szCs w:val="20"/>
          <w:lang w:val="en-GB"/>
        </w:rPr>
        <w:t xml:space="preserve"> the mineral raw materials industry and its raw materials are an integral part of any economy and society. Standing at the beginning of mos</w:t>
      </w:r>
      <w:r>
        <w:rPr>
          <w:rFonts w:ascii="Open Sans" w:hAnsi="Open Sans" w:cs="Open Sans"/>
          <w:sz w:val="20"/>
          <w:szCs w:val="20"/>
          <w:lang w:val="en-GB"/>
        </w:rPr>
        <w:t>t value chains, the sector is a </w:t>
      </w:r>
      <w:r w:rsidRPr="00D3435F">
        <w:rPr>
          <w:rFonts w:ascii="Open Sans" w:hAnsi="Open Sans" w:cs="Open Sans"/>
          <w:sz w:val="20"/>
          <w:szCs w:val="20"/>
          <w:lang w:val="en-GB"/>
        </w:rPr>
        <w:t>critical supplier of essential materials and products and therefore generates added value and growth through employment, economic grow</w:t>
      </w:r>
      <w:r>
        <w:rPr>
          <w:rFonts w:ascii="Open Sans" w:hAnsi="Open Sans" w:cs="Open Sans"/>
          <w:sz w:val="20"/>
          <w:szCs w:val="20"/>
          <w:lang w:val="en-GB"/>
        </w:rPr>
        <w:t>th, development, innovation and </w:t>
      </w:r>
      <w:r w:rsidRPr="00D3435F">
        <w:rPr>
          <w:rFonts w:ascii="Open Sans" w:hAnsi="Open Sans" w:cs="Open Sans"/>
          <w:sz w:val="20"/>
          <w:szCs w:val="20"/>
          <w:lang w:val="en-GB"/>
        </w:rPr>
        <w:t>generating trade. To continue economic gro</w:t>
      </w:r>
      <w:r>
        <w:rPr>
          <w:rFonts w:ascii="Open Sans" w:hAnsi="Open Sans" w:cs="Open Sans"/>
          <w:sz w:val="20"/>
          <w:szCs w:val="20"/>
          <w:lang w:val="en-GB"/>
        </w:rPr>
        <w:t>wth and demographic change as a </w:t>
      </w:r>
      <w:r w:rsidRPr="00D3435F">
        <w:rPr>
          <w:rFonts w:ascii="Open Sans" w:hAnsi="Open Sans" w:cs="Open Sans"/>
          <w:sz w:val="20"/>
          <w:szCs w:val="20"/>
          <w:lang w:val="en-GB"/>
        </w:rPr>
        <w:t>modern society, extraction of commodities will remain essential.</w:t>
      </w:r>
    </w:p>
    <w:p w14:paraId="2A1F107A" w14:textId="77777777" w:rsidR="00276F25" w:rsidRPr="00D3435F" w:rsidRDefault="00276F25" w:rsidP="00276F25">
      <w:pPr>
        <w:pStyle w:val="Akapitzlist"/>
        <w:jc w:val="both"/>
        <w:rPr>
          <w:rFonts w:ascii="Open Sans" w:hAnsi="Open Sans" w:cs="Open Sans"/>
          <w:sz w:val="20"/>
          <w:szCs w:val="20"/>
          <w:lang w:val="en-GB"/>
        </w:rPr>
      </w:pPr>
    </w:p>
    <w:p w14:paraId="04C7DFE1" w14:textId="77777777" w:rsidR="00276F25" w:rsidRDefault="00276F25" w:rsidP="00276F25">
      <w:pPr>
        <w:pStyle w:val="Akapitzlist"/>
        <w:numPr>
          <w:ilvl w:val="0"/>
          <w:numId w:val="8"/>
        </w:numPr>
        <w:jc w:val="both"/>
        <w:rPr>
          <w:rFonts w:ascii="Open Sans" w:hAnsi="Open Sans" w:cs="Open Sans"/>
          <w:b/>
          <w:sz w:val="20"/>
          <w:szCs w:val="20"/>
          <w:lang w:val="en-GB"/>
        </w:rPr>
      </w:pPr>
      <w:r>
        <w:rPr>
          <w:rFonts w:ascii="Open Sans" w:hAnsi="Open Sans" w:cs="Open Sans"/>
          <w:b/>
          <w:sz w:val="20"/>
          <w:szCs w:val="20"/>
          <w:lang w:val="en-GB"/>
        </w:rPr>
        <w:t>European Union’s weakening position on global map of raw materials</w:t>
      </w:r>
    </w:p>
    <w:p w14:paraId="02E48020" w14:textId="7F865ABC" w:rsidR="00276F25" w:rsidRPr="0025667C" w:rsidRDefault="00276F25" w:rsidP="00276F25">
      <w:pPr>
        <w:pStyle w:val="Akapitzlist"/>
        <w:jc w:val="both"/>
        <w:rPr>
          <w:rFonts w:ascii="Open Sans" w:hAnsi="Open Sans" w:cs="Open Sans"/>
          <w:b/>
          <w:sz w:val="20"/>
          <w:szCs w:val="20"/>
          <w:lang w:val="en-GB"/>
        </w:rPr>
      </w:pPr>
      <w:r w:rsidRPr="00D3435F">
        <w:rPr>
          <w:rFonts w:ascii="Open Sans" w:hAnsi="Open Sans" w:cs="Open Sans"/>
          <w:sz w:val="20"/>
          <w:szCs w:val="20"/>
          <w:lang w:val="en-GB"/>
        </w:rPr>
        <w:t>In addition, the EC report "A Clean Planet for All</w:t>
      </w:r>
      <w:r>
        <w:rPr>
          <w:rFonts w:ascii="Open Sans" w:hAnsi="Open Sans" w:cs="Open Sans"/>
          <w:sz w:val="20"/>
          <w:szCs w:val="20"/>
          <w:lang w:val="en-GB"/>
        </w:rPr>
        <w:t>”</w:t>
      </w:r>
      <w:r w:rsidR="00564FB3">
        <w:rPr>
          <w:rStyle w:val="Odwoanieprzypisudolnego"/>
          <w:rFonts w:ascii="Open Sans" w:hAnsi="Open Sans" w:cs="Open Sans"/>
          <w:sz w:val="20"/>
          <w:szCs w:val="20"/>
          <w:lang w:val="en-GB"/>
        </w:rPr>
        <w:footnoteReference w:id="3"/>
      </w:r>
      <w:r w:rsidRPr="00D3435F">
        <w:rPr>
          <w:rFonts w:ascii="Open Sans" w:hAnsi="Open Sans" w:cs="Open Sans"/>
          <w:sz w:val="20"/>
          <w:szCs w:val="20"/>
          <w:lang w:val="en-GB"/>
        </w:rPr>
        <w:t xml:space="preserve"> </w:t>
      </w:r>
      <w:r>
        <w:rPr>
          <w:rFonts w:ascii="Open Sans" w:hAnsi="Open Sans" w:cs="Open Sans"/>
          <w:sz w:val="20"/>
          <w:szCs w:val="20"/>
          <w:lang w:val="en-GB"/>
        </w:rPr>
        <w:t>(</w:t>
      </w:r>
      <w:r w:rsidRPr="00D3435F">
        <w:rPr>
          <w:rFonts w:ascii="Open Sans" w:hAnsi="Open Sans" w:cs="Open Sans"/>
          <w:sz w:val="20"/>
          <w:szCs w:val="20"/>
          <w:lang w:val="en-GB"/>
        </w:rPr>
        <w:t xml:space="preserve">November 2018) shows that raw materials are indispensable enablers for carbon-neutral solutions in all sectors of the economy. Given the scale of fast growing material demand, primary raw materials will continue to provide a large part of the demand. </w:t>
      </w:r>
      <w:r>
        <w:rPr>
          <w:rFonts w:ascii="Open Sans" w:hAnsi="Open Sans" w:cs="Open Sans"/>
          <w:b/>
          <w:sz w:val="20"/>
          <w:szCs w:val="20"/>
          <w:lang w:val="en-GB"/>
        </w:rPr>
        <w:t>A growing role for China and a </w:t>
      </w:r>
      <w:r w:rsidRPr="0025667C">
        <w:rPr>
          <w:rFonts w:ascii="Open Sans" w:hAnsi="Open Sans" w:cs="Open Sans"/>
          <w:b/>
          <w:sz w:val="20"/>
          <w:szCs w:val="20"/>
          <w:lang w:val="en-GB"/>
        </w:rPr>
        <w:t>weakening position for the EU.</w:t>
      </w:r>
    </w:p>
    <w:p w14:paraId="131406BF" w14:textId="326AD32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Today, China accounts for 30 to 54 % of world demand for all base metals. The growing European demand for copper and copper products al</w:t>
      </w:r>
      <w:r>
        <w:rPr>
          <w:rFonts w:ascii="Open Sans" w:hAnsi="Open Sans" w:cs="Open Sans"/>
          <w:sz w:val="20"/>
          <w:szCs w:val="20"/>
          <w:lang w:val="en-GB"/>
        </w:rPr>
        <w:t>so causes a large (about 23% in </w:t>
      </w:r>
      <w:r w:rsidRPr="0025667C">
        <w:rPr>
          <w:rFonts w:ascii="Open Sans" w:hAnsi="Open Sans" w:cs="Open Sans"/>
          <w:sz w:val="20"/>
          <w:szCs w:val="20"/>
          <w:lang w:val="en-GB"/>
        </w:rPr>
        <w:t>recent years) increase in the import of finished products from this metal.</w:t>
      </w:r>
    </w:p>
    <w:p w14:paraId="02538CEF" w14:textId="77777777" w:rsidR="00276F25" w:rsidRPr="0025667C" w:rsidRDefault="00276F25" w:rsidP="00276F25">
      <w:pPr>
        <w:pStyle w:val="Akapitzlist"/>
        <w:numPr>
          <w:ilvl w:val="0"/>
          <w:numId w:val="8"/>
        </w:numPr>
        <w:spacing w:after="0"/>
        <w:jc w:val="both"/>
        <w:rPr>
          <w:rFonts w:ascii="Open Sans" w:hAnsi="Open Sans" w:cs="Open Sans"/>
          <w:b/>
          <w:sz w:val="20"/>
          <w:szCs w:val="20"/>
          <w:lang w:val="en-GB"/>
        </w:rPr>
      </w:pPr>
      <w:r w:rsidRPr="0025667C">
        <w:rPr>
          <w:rFonts w:ascii="Open Sans" w:hAnsi="Open Sans" w:cs="Open Sans"/>
          <w:b/>
          <w:sz w:val="20"/>
          <w:szCs w:val="20"/>
          <w:lang w:val="en-GB"/>
        </w:rPr>
        <w:t>Need to ensure security of raw materials supplies</w:t>
      </w:r>
    </w:p>
    <w:p w14:paraId="6C7BC82B" w14:textId="63BB05BE" w:rsidR="00564FB3" w:rsidRDefault="00276F25" w:rsidP="00564FB3">
      <w:pPr>
        <w:ind w:left="708"/>
        <w:jc w:val="both"/>
        <w:rPr>
          <w:rFonts w:ascii="Open Sans" w:hAnsi="Open Sans" w:cs="Open Sans"/>
          <w:sz w:val="20"/>
          <w:szCs w:val="20"/>
          <w:lang w:val="en-GB"/>
        </w:rPr>
      </w:pPr>
      <w:r w:rsidRPr="0025667C">
        <w:rPr>
          <w:rFonts w:ascii="Open Sans" w:hAnsi="Open Sans" w:cs="Open Sans"/>
          <w:sz w:val="20"/>
          <w:szCs w:val="20"/>
          <w:lang w:val="en-GB"/>
        </w:rPr>
        <w:t>In view of the growing market position of non-European producers, who do not incur expenditure related to adapting their production processes to EU environmental requirements (their products have up to eight times the carbon footprint of European equivalents), it is therefore necessary to provide sy</w:t>
      </w:r>
      <w:r>
        <w:rPr>
          <w:rFonts w:ascii="Open Sans" w:hAnsi="Open Sans" w:cs="Open Sans"/>
          <w:sz w:val="20"/>
          <w:szCs w:val="20"/>
          <w:lang w:val="en-GB"/>
        </w:rPr>
        <w:t>stemic and real support for the </w:t>
      </w:r>
      <w:r w:rsidRPr="0025667C">
        <w:rPr>
          <w:rFonts w:ascii="Open Sans" w:hAnsi="Open Sans" w:cs="Open Sans"/>
          <w:sz w:val="20"/>
          <w:szCs w:val="20"/>
          <w:lang w:val="en-GB"/>
        </w:rPr>
        <w:t>independence of our continent from imports from other regions of the world.</w:t>
      </w:r>
    </w:p>
    <w:p w14:paraId="18D82810" w14:textId="77777777" w:rsidR="00564FB3" w:rsidRPr="0025667C" w:rsidRDefault="00564FB3" w:rsidP="00564FB3">
      <w:pPr>
        <w:ind w:left="708"/>
        <w:jc w:val="both"/>
        <w:rPr>
          <w:rFonts w:ascii="Open Sans" w:hAnsi="Open Sans" w:cs="Open Sans"/>
          <w:sz w:val="20"/>
          <w:szCs w:val="20"/>
          <w:lang w:val="en-GB"/>
        </w:rPr>
      </w:pPr>
    </w:p>
    <w:p w14:paraId="2325F417" w14:textId="77777777" w:rsidR="00276F25" w:rsidRPr="0025667C" w:rsidRDefault="00276F25" w:rsidP="00276F25">
      <w:pPr>
        <w:pStyle w:val="Akapitzlist"/>
        <w:numPr>
          <w:ilvl w:val="0"/>
          <w:numId w:val="8"/>
        </w:numPr>
        <w:spacing w:after="0"/>
        <w:jc w:val="both"/>
        <w:rPr>
          <w:rFonts w:ascii="Open Sans" w:hAnsi="Open Sans" w:cs="Open Sans"/>
          <w:b/>
          <w:sz w:val="20"/>
          <w:szCs w:val="20"/>
          <w:lang w:val="en-GB"/>
        </w:rPr>
      </w:pPr>
      <w:r w:rsidRPr="0025667C">
        <w:rPr>
          <w:rFonts w:ascii="Open Sans" w:hAnsi="Open Sans" w:cs="Open Sans"/>
          <w:b/>
          <w:sz w:val="20"/>
          <w:szCs w:val="20"/>
          <w:lang w:val="en-GB"/>
        </w:rPr>
        <w:t>Corporate Social Responsibility of the non-ferrous metals sector in Europe</w:t>
      </w:r>
    </w:p>
    <w:p w14:paraId="0211EC01"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European non-ferrous metals industry is a complex ecosystem of mining, smelting, processing, refining and recycling activities spread throughout the continent. More than 900 plants producing and processing base, precious and specialty metals employ around 500,000 people today and a further 3 million people are indirectly linked to the sector. The total production volume of the European non-ferrous metals sector is 47 million tonnes. Its annual turnover is EUR 120 billion, making a significant contribution to economic development and raising the standard of living of the people of our continent.</w:t>
      </w:r>
    </w:p>
    <w:p w14:paraId="04978715" w14:textId="77777777" w:rsidR="00276F25" w:rsidRPr="0025667C" w:rsidRDefault="00276F25" w:rsidP="00276F25">
      <w:pPr>
        <w:pStyle w:val="Akapitzlist"/>
        <w:jc w:val="both"/>
        <w:rPr>
          <w:rFonts w:ascii="Open Sans" w:hAnsi="Open Sans" w:cs="Open Sans"/>
          <w:sz w:val="20"/>
          <w:szCs w:val="20"/>
          <w:lang w:val="en-GB"/>
        </w:rPr>
      </w:pPr>
      <w:r w:rsidRPr="0025667C">
        <w:rPr>
          <w:rFonts w:ascii="Open Sans" w:hAnsi="Open Sans" w:cs="Open Sans"/>
          <w:sz w:val="20"/>
          <w:szCs w:val="20"/>
          <w:lang w:val="en-GB"/>
        </w:rPr>
        <w:t>Despite unfavourable market trends in recent years, the European Union is still the third largest producer of industrial minerals in the world and its indigenous industry supplies around 40% of metal ores and concentrates used in the Community.</w:t>
      </w:r>
    </w:p>
    <w:p w14:paraId="4425E442" w14:textId="77777777" w:rsidR="00276F25" w:rsidRPr="0025667C" w:rsidRDefault="00276F25" w:rsidP="00276F25">
      <w:pPr>
        <w:ind w:left="720"/>
        <w:jc w:val="both"/>
        <w:rPr>
          <w:rFonts w:ascii="Open Sans" w:hAnsi="Open Sans" w:cs="Open Sans"/>
          <w:sz w:val="20"/>
          <w:szCs w:val="20"/>
          <w:lang w:val="en-GB"/>
        </w:rPr>
      </w:pPr>
      <w:r w:rsidRPr="0025667C">
        <w:rPr>
          <w:rFonts w:ascii="Open Sans" w:hAnsi="Open Sans" w:cs="Open Sans"/>
          <w:sz w:val="20"/>
          <w:szCs w:val="20"/>
          <w:lang w:val="en-GB"/>
        </w:rPr>
        <w:t xml:space="preserve">The example of KGHM Polska Miedź S.A. shows how the activities of European metal producers affect the regions in which they operate. Along with the development of KGHM's operations, we observe a gradual influx of people to the Copper </w:t>
      </w:r>
      <w:r>
        <w:rPr>
          <w:rFonts w:ascii="Open Sans" w:hAnsi="Open Sans" w:cs="Open Sans"/>
          <w:sz w:val="20"/>
          <w:szCs w:val="20"/>
          <w:lang w:val="en-GB"/>
        </w:rPr>
        <w:t>Basin</w:t>
      </w:r>
      <w:r w:rsidRPr="0025667C">
        <w:rPr>
          <w:rFonts w:ascii="Open Sans" w:hAnsi="Open Sans" w:cs="Open Sans"/>
          <w:sz w:val="20"/>
          <w:szCs w:val="20"/>
          <w:lang w:val="en-GB"/>
        </w:rPr>
        <w:t xml:space="preserve"> region (approximately 187 thousand inhabitants in the 1960s, approximately 520 thousand today), an increase in employment and the creation of thousands of new specialist, highly paid, stable and safe workplaces, rapid development of housing and the health care system, as well as changes in the structure of education, culture and leisure.</w:t>
      </w:r>
    </w:p>
    <w:p w14:paraId="7CB28836"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 xml:space="preserve">According to a survey conducted by the Central Statistical Office in 2016, the average gross salary in </w:t>
      </w:r>
      <w:proofErr w:type="spellStart"/>
      <w:r w:rsidRPr="0025667C">
        <w:rPr>
          <w:rFonts w:ascii="Open Sans" w:hAnsi="Open Sans" w:cs="Open Sans"/>
          <w:sz w:val="20"/>
          <w:szCs w:val="20"/>
          <w:lang w:val="en-GB"/>
        </w:rPr>
        <w:t>Lubin</w:t>
      </w:r>
      <w:proofErr w:type="spellEnd"/>
      <w:r w:rsidRPr="0025667C">
        <w:rPr>
          <w:rFonts w:ascii="Open Sans" w:hAnsi="Open Sans" w:cs="Open Sans"/>
          <w:sz w:val="20"/>
          <w:szCs w:val="20"/>
          <w:lang w:val="en-GB"/>
        </w:rPr>
        <w:t xml:space="preserve"> is the highest in Poland. It is as much as 67% higher than the average gross salary in Poland and 24% higher than in Warsaw, which is generally considered to be the richest city in the country.</w:t>
      </w:r>
    </w:p>
    <w:p w14:paraId="68208523" w14:textId="77777777" w:rsidR="00276F25" w:rsidRPr="0025667C" w:rsidRDefault="00276F25" w:rsidP="00276F25">
      <w:pPr>
        <w:pStyle w:val="Akapitzlist"/>
        <w:numPr>
          <w:ilvl w:val="0"/>
          <w:numId w:val="8"/>
        </w:numPr>
        <w:spacing w:after="0"/>
        <w:jc w:val="both"/>
        <w:rPr>
          <w:rFonts w:ascii="Open Sans" w:hAnsi="Open Sans" w:cs="Open Sans"/>
          <w:b/>
          <w:sz w:val="20"/>
          <w:szCs w:val="20"/>
          <w:lang w:val="en-GB"/>
        </w:rPr>
      </w:pPr>
      <w:r w:rsidRPr="0025667C">
        <w:rPr>
          <w:rFonts w:ascii="Open Sans" w:hAnsi="Open Sans" w:cs="Open Sans"/>
          <w:b/>
          <w:sz w:val="20"/>
          <w:szCs w:val="20"/>
          <w:lang w:val="en-GB"/>
        </w:rPr>
        <w:t>Innovative potential of the raw materials sector and its achievements in climate protection</w:t>
      </w:r>
    </w:p>
    <w:p w14:paraId="42A083EE"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Europe's metal producers are switching to clean electricity more than any other energy-intensive industry as one of the world's leading environmental champions. Compared to 1990 levels, the European non-ferrous metal industry already reduced its greenhouse gas emissions by 61% in 2015.</w:t>
      </w:r>
    </w:p>
    <w:p w14:paraId="22F210BD"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Without the products of the European non-ferrous metals industry, the ongoing technological revolution around us would be much slower and much smaller than what we are all used to in recent years.</w:t>
      </w:r>
    </w:p>
    <w:p w14:paraId="3B78DCE1" w14:textId="3CD6A0DC"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For example, about 15-20 tonnes of copper are needed to produce one 2 MW wind turbine, while the construction of a 1 MW solar power plant requires between 3.1 and 4.5 tonnes of copper. Another opportunity for copper is electro-mobility - up to four times more copper is needed to manufacture an electric veh</w:t>
      </w:r>
      <w:r>
        <w:rPr>
          <w:rFonts w:ascii="Open Sans" w:hAnsi="Open Sans" w:cs="Open Sans"/>
          <w:sz w:val="20"/>
          <w:szCs w:val="20"/>
          <w:lang w:val="en-GB"/>
        </w:rPr>
        <w:t>icle than a combustion car, and </w:t>
      </w:r>
      <w:r w:rsidRPr="0025667C">
        <w:rPr>
          <w:rFonts w:ascii="Open Sans" w:hAnsi="Open Sans" w:cs="Open Sans"/>
          <w:sz w:val="20"/>
          <w:szCs w:val="20"/>
          <w:lang w:val="en-GB"/>
        </w:rPr>
        <w:t xml:space="preserve">another area of application is vehicle charging infrastructure. </w:t>
      </w:r>
    </w:p>
    <w:p w14:paraId="26BE82C0"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 xml:space="preserve">As early as 2017 </w:t>
      </w:r>
      <w:r>
        <w:rPr>
          <w:rFonts w:ascii="Open Sans" w:hAnsi="Open Sans" w:cs="Open Sans"/>
          <w:sz w:val="20"/>
          <w:szCs w:val="20"/>
          <w:lang w:val="en-GB"/>
        </w:rPr>
        <w:t>t</w:t>
      </w:r>
      <w:r w:rsidRPr="0025667C">
        <w:rPr>
          <w:rFonts w:ascii="Open Sans" w:hAnsi="Open Sans" w:cs="Open Sans"/>
          <w:sz w:val="20"/>
          <w:szCs w:val="20"/>
          <w:lang w:val="en-GB"/>
        </w:rPr>
        <w:t>he World Bank predicted that by 2050, the growing production of wind turbines will require 300% more metals, 200% more metals for solar panels and 1000% more metals for battery production.</w:t>
      </w:r>
    </w:p>
    <w:p w14:paraId="3281F489" w14:textId="4949ECA7" w:rsidR="00276F25" w:rsidRDefault="00276F25" w:rsidP="00001283">
      <w:pPr>
        <w:ind w:left="708"/>
        <w:jc w:val="both"/>
        <w:rPr>
          <w:rFonts w:ascii="Open Sans" w:hAnsi="Open Sans" w:cs="Open Sans"/>
          <w:sz w:val="20"/>
          <w:szCs w:val="20"/>
          <w:lang w:val="en-GB"/>
        </w:rPr>
      </w:pPr>
      <w:r w:rsidRPr="0025667C">
        <w:rPr>
          <w:rFonts w:ascii="Open Sans" w:hAnsi="Open Sans" w:cs="Open Sans"/>
          <w:sz w:val="20"/>
          <w:szCs w:val="20"/>
          <w:lang w:val="en-GB"/>
        </w:rPr>
        <w:lastRenderedPageBreak/>
        <w:t>Other future metals are molybdenum and rhenium. The first is widely used in the aerospace, defence, oil, nuclear and electronics industries - more than two-thirds of production is used as an additive in alloys, mainly in high-strength and high-temperature steels. On the other hand, rhenium, of which KGHM is the only European producer, is</w:t>
      </w:r>
      <w:r>
        <w:rPr>
          <w:rFonts w:ascii="Open Sans" w:hAnsi="Open Sans" w:cs="Open Sans"/>
          <w:sz w:val="20"/>
          <w:szCs w:val="20"/>
          <w:lang w:val="en-GB"/>
        </w:rPr>
        <w:t> </w:t>
      </w:r>
      <w:r w:rsidRPr="0025667C">
        <w:rPr>
          <w:rFonts w:ascii="Open Sans" w:hAnsi="Open Sans" w:cs="Open Sans"/>
          <w:sz w:val="20"/>
          <w:szCs w:val="20"/>
          <w:lang w:val="en-GB"/>
        </w:rPr>
        <w:t>used, due to its very high melting point, for the production of jet engine turbines, gas turbines and covers for space vehicles. Silver and</w:t>
      </w:r>
      <w:r>
        <w:rPr>
          <w:rFonts w:ascii="Open Sans" w:hAnsi="Open Sans" w:cs="Open Sans"/>
          <w:sz w:val="20"/>
          <w:szCs w:val="20"/>
          <w:lang w:val="en-GB"/>
        </w:rPr>
        <w:t xml:space="preserve"> palladium are also used in the </w:t>
      </w:r>
      <w:r w:rsidRPr="0025667C">
        <w:rPr>
          <w:rFonts w:ascii="Open Sans" w:hAnsi="Open Sans" w:cs="Open Sans"/>
          <w:sz w:val="20"/>
          <w:szCs w:val="20"/>
          <w:lang w:val="en-GB"/>
        </w:rPr>
        <w:t>electronics industry and in medicine.</w:t>
      </w:r>
    </w:p>
    <w:p w14:paraId="3408A799" w14:textId="77777777" w:rsidR="00001283" w:rsidRPr="0025667C" w:rsidRDefault="00001283" w:rsidP="00001283">
      <w:pPr>
        <w:ind w:left="708"/>
        <w:jc w:val="both"/>
        <w:rPr>
          <w:rFonts w:ascii="Open Sans" w:hAnsi="Open Sans" w:cs="Open Sans"/>
          <w:sz w:val="20"/>
          <w:szCs w:val="20"/>
          <w:lang w:val="en-GB"/>
        </w:rPr>
      </w:pPr>
    </w:p>
    <w:p w14:paraId="3E8EEDA2" w14:textId="77777777" w:rsidR="00276F25" w:rsidRPr="0025667C" w:rsidRDefault="00276F25" w:rsidP="00276F25">
      <w:pPr>
        <w:pStyle w:val="Akapitzlist"/>
        <w:numPr>
          <w:ilvl w:val="0"/>
          <w:numId w:val="5"/>
        </w:numPr>
        <w:jc w:val="both"/>
        <w:rPr>
          <w:rFonts w:ascii="Open Sans" w:hAnsi="Open Sans" w:cs="Open Sans"/>
          <w:b/>
          <w:sz w:val="20"/>
          <w:szCs w:val="20"/>
          <w:lang w:val="en-GB"/>
        </w:rPr>
      </w:pPr>
      <w:r w:rsidRPr="0025667C">
        <w:rPr>
          <w:rFonts w:ascii="Open Sans" w:hAnsi="Open Sans" w:cs="Open Sans"/>
          <w:b/>
          <w:sz w:val="20"/>
          <w:szCs w:val="20"/>
          <w:lang w:val="en-GB"/>
        </w:rPr>
        <w:t>WE PROPOSE:</w:t>
      </w:r>
    </w:p>
    <w:p w14:paraId="0C3F2CBB" w14:textId="77777777" w:rsidR="00276F25" w:rsidRPr="0025667C" w:rsidRDefault="00276F25" w:rsidP="00276F25">
      <w:pPr>
        <w:pStyle w:val="Akapitzlist"/>
        <w:ind w:left="360"/>
        <w:jc w:val="both"/>
        <w:rPr>
          <w:rFonts w:ascii="Open Sans" w:hAnsi="Open Sans" w:cs="Open Sans"/>
          <w:b/>
          <w:sz w:val="20"/>
          <w:szCs w:val="20"/>
          <w:lang w:val="en-GB"/>
        </w:rPr>
      </w:pPr>
    </w:p>
    <w:p w14:paraId="6EA3C358" w14:textId="77777777" w:rsidR="00276F25" w:rsidRPr="0025667C" w:rsidRDefault="00276F25" w:rsidP="00276F25">
      <w:pPr>
        <w:pStyle w:val="Akapitzlist"/>
        <w:numPr>
          <w:ilvl w:val="0"/>
          <w:numId w:val="7"/>
        </w:numPr>
        <w:autoSpaceDE w:val="0"/>
        <w:autoSpaceDN w:val="0"/>
        <w:spacing w:after="0" w:line="240" w:lineRule="auto"/>
        <w:jc w:val="both"/>
        <w:rPr>
          <w:rFonts w:ascii="Open Sans" w:eastAsia="Calibri" w:hAnsi="Open Sans" w:cs="Open Sans"/>
          <w:b/>
          <w:sz w:val="20"/>
          <w:szCs w:val="20"/>
          <w:lang w:val="en-GB"/>
        </w:rPr>
      </w:pPr>
      <w:r w:rsidRPr="0025667C">
        <w:rPr>
          <w:rFonts w:ascii="Open Sans" w:eastAsia="Calibri" w:hAnsi="Open Sans" w:cs="Open Sans"/>
          <w:b/>
          <w:sz w:val="20"/>
          <w:szCs w:val="20"/>
          <w:lang w:val="en-GB"/>
        </w:rPr>
        <w:t xml:space="preserve">Subjecting all EU policies affecting the business environment of raw material companies (including environmental protection in terms of air, water, landscape and soil; health and safety, including </w:t>
      </w:r>
      <w:r>
        <w:rPr>
          <w:rFonts w:ascii="Open Sans" w:eastAsia="Calibri" w:hAnsi="Open Sans" w:cs="Open Sans"/>
          <w:b/>
          <w:sz w:val="20"/>
          <w:szCs w:val="20"/>
          <w:lang w:val="en-GB"/>
        </w:rPr>
        <w:t>OEL</w:t>
      </w:r>
      <w:r w:rsidRPr="0025667C">
        <w:rPr>
          <w:rFonts w:ascii="Open Sans" w:eastAsia="Calibri" w:hAnsi="Open Sans" w:cs="Open Sans"/>
          <w:b/>
          <w:sz w:val="20"/>
          <w:szCs w:val="20"/>
          <w:lang w:val="en-GB"/>
        </w:rPr>
        <w:t xml:space="preserve">; international trade) to the main objective of decarbonisation with </w:t>
      </w:r>
      <w:r>
        <w:rPr>
          <w:rFonts w:ascii="Open Sans" w:eastAsia="Calibri" w:hAnsi="Open Sans" w:cs="Open Sans"/>
          <w:b/>
          <w:sz w:val="20"/>
          <w:szCs w:val="20"/>
          <w:lang w:val="en-GB"/>
        </w:rPr>
        <w:t>C</w:t>
      </w:r>
      <w:r w:rsidRPr="0025667C">
        <w:rPr>
          <w:rFonts w:ascii="Open Sans" w:eastAsia="Calibri" w:hAnsi="Open Sans" w:cs="Open Sans"/>
          <w:b/>
          <w:sz w:val="20"/>
          <w:szCs w:val="20"/>
          <w:lang w:val="en-GB"/>
        </w:rPr>
        <w:t xml:space="preserve">lean </w:t>
      </w:r>
      <w:r>
        <w:rPr>
          <w:rFonts w:ascii="Open Sans" w:eastAsia="Calibri" w:hAnsi="Open Sans" w:cs="Open Sans"/>
          <w:b/>
          <w:sz w:val="20"/>
          <w:szCs w:val="20"/>
          <w:lang w:val="en-GB"/>
        </w:rPr>
        <w:t>&amp;</w:t>
      </w:r>
      <w:r w:rsidRPr="0025667C">
        <w:rPr>
          <w:rFonts w:ascii="Open Sans" w:eastAsia="Calibri" w:hAnsi="Open Sans" w:cs="Open Sans"/>
          <w:b/>
          <w:sz w:val="20"/>
          <w:szCs w:val="20"/>
          <w:lang w:val="en-GB"/>
        </w:rPr>
        <w:t xml:space="preserve"> </w:t>
      </w:r>
      <w:r>
        <w:rPr>
          <w:rFonts w:ascii="Open Sans" w:eastAsia="Calibri" w:hAnsi="Open Sans" w:cs="Open Sans"/>
          <w:b/>
          <w:sz w:val="20"/>
          <w:szCs w:val="20"/>
          <w:lang w:val="en-GB"/>
        </w:rPr>
        <w:t>S</w:t>
      </w:r>
      <w:r w:rsidRPr="0025667C">
        <w:rPr>
          <w:rFonts w:ascii="Open Sans" w:eastAsia="Calibri" w:hAnsi="Open Sans" w:cs="Open Sans"/>
          <w:b/>
          <w:sz w:val="20"/>
          <w:szCs w:val="20"/>
          <w:lang w:val="en-GB"/>
        </w:rPr>
        <w:t xml:space="preserve">afe European </w:t>
      </w:r>
      <w:r>
        <w:rPr>
          <w:rFonts w:ascii="Open Sans" w:eastAsia="Calibri" w:hAnsi="Open Sans" w:cs="Open Sans"/>
          <w:b/>
          <w:sz w:val="20"/>
          <w:szCs w:val="20"/>
          <w:lang w:val="en-GB"/>
        </w:rPr>
        <w:t>R</w:t>
      </w:r>
      <w:r w:rsidRPr="0025667C">
        <w:rPr>
          <w:rFonts w:ascii="Open Sans" w:eastAsia="Calibri" w:hAnsi="Open Sans" w:cs="Open Sans"/>
          <w:b/>
          <w:sz w:val="20"/>
          <w:szCs w:val="20"/>
          <w:lang w:val="en-GB"/>
        </w:rPr>
        <w:t xml:space="preserve">aw </w:t>
      </w:r>
      <w:r>
        <w:rPr>
          <w:rFonts w:ascii="Open Sans" w:eastAsia="Calibri" w:hAnsi="Open Sans" w:cs="Open Sans"/>
          <w:b/>
          <w:sz w:val="20"/>
          <w:szCs w:val="20"/>
          <w:lang w:val="en-GB"/>
        </w:rPr>
        <w:t>Materials</w:t>
      </w:r>
    </w:p>
    <w:p w14:paraId="1B89F6C4" w14:textId="77777777" w:rsidR="00276F25" w:rsidRPr="0025667C" w:rsidRDefault="00276F25" w:rsidP="00276F25">
      <w:pPr>
        <w:pStyle w:val="Akapitzlist"/>
        <w:autoSpaceDE w:val="0"/>
        <w:autoSpaceDN w:val="0"/>
        <w:spacing w:after="0" w:line="240" w:lineRule="auto"/>
        <w:ind w:left="708"/>
        <w:jc w:val="both"/>
        <w:rPr>
          <w:rFonts w:ascii="Open Sans" w:eastAsia="Calibri" w:hAnsi="Open Sans" w:cs="Open Sans"/>
          <w:sz w:val="20"/>
          <w:szCs w:val="20"/>
          <w:lang w:val="en-GB"/>
        </w:rPr>
      </w:pPr>
    </w:p>
    <w:p w14:paraId="16CC70FB" w14:textId="2F8B64BC" w:rsidR="00276F25" w:rsidRPr="0025667C" w:rsidRDefault="00276F25" w:rsidP="00276F25">
      <w:pPr>
        <w:pStyle w:val="Akapitzlist"/>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Not only do raw materials enable the European economy, but looking ahead, they are needed to enable a carbon neutral Europe and help address climate change adaptation. Alternative energy production will require considerable amounts of raw materials. The infrastructure of the energy sector requires the massive</w:t>
      </w:r>
      <w:r>
        <w:rPr>
          <w:rFonts w:ascii="Open Sans" w:eastAsia="Calibri" w:hAnsi="Open Sans" w:cs="Open Sans"/>
          <w:sz w:val="20"/>
          <w:szCs w:val="20"/>
          <w:lang w:val="en-GB"/>
        </w:rPr>
        <w:t xml:space="preserve"> use of metals and minerals, in </w:t>
      </w:r>
      <w:r w:rsidRPr="0025667C">
        <w:rPr>
          <w:rFonts w:ascii="Open Sans" w:eastAsia="Calibri" w:hAnsi="Open Sans" w:cs="Open Sans"/>
          <w:sz w:val="20"/>
          <w:szCs w:val="20"/>
          <w:lang w:val="en-GB"/>
        </w:rPr>
        <w:t>particular steel for ships, pipelines, mining equipmen</w:t>
      </w:r>
      <w:r>
        <w:rPr>
          <w:rFonts w:ascii="Open Sans" w:eastAsia="Calibri" w:hAnsi="Open Sans" w:cs="Open Sans"/>
          <w:sz w:val="20"/>
          <w:szCs w:val="20"/>
          <w:lang w:val="en-GB"/>
        </w:rPr>
        <w:t>t, power plants, refineries and </w:t>
      </w:r>
      <w:r w:rsidRPr="0025667C">
        <w:rPr>
          <w:rFonts w:ascii="Open Sans" w:eastAsia="Calibri" w:hAnsi="Open Sans" w:cs="Open Sans"/>
          <w:sz w:val="20"/>
          <w:szCs w:val="20"/>
          <w:lang w:val="en-GB"/>
        </w:rPr>
        <w:t>exploration activities, copper for the electricity grid, generators and electric motors, and aluminium, primarily for the electricity grid, and a host of other metals and minerals including phosphorous, potassium and nitrogen for biomass production.</w:t>
      </w:r>
    </w:p>
    <w:p w14:paraId="3C17145E"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lang w:val="en-GB"/>
        </w:rPr>
      </w:pPr>
    </w:p>
    <w:p w14:paraId="5C75230D" w14:textId="7560DE51"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Currently, EU Member States have exclusive competence in the field of concession licenses for mining enterprises. However, it should be taken into account that the EU l</w:t>
      </w:r>
      <w:r>
        <w:rPr>
          <w:rFonts w:ascii="Open Sans" w:eastAsia="Calibri" w:hAnsi="Open Sans" w:cs="Open Sans"/>
          <w:sz w:val="20"/>
          <w:szCs w:val="20"/>
          <w:lang w:val="en-GB"/>
        </w:rPr>
        <w:t>argely influences environmental &amp; OSH</w:t>
      </w:r>
      <w:r w:rsidRPr="0025667C">
        <w:rPr>
          <w:rFonts w:ascii="Open Sans" w:eastAsia="Calibri" w:hAnsi="Open Sans" w:cs="Open Sans"/>
          <w:sz w:val="20"/>
          <w:szCs w:val="20"/>
          <w:lang w:val="en-GB"/>
        </w:rPr>
        <w:t xml:space="preserve"> regulations, wh</w:t>
      </w:r>
      <w:r>
        <w:rPr>
          <w:rFonts w:ascii="Open Sans" w:eastAsia="Calibri" w:hAnsi="Open Sans" w:cs="Open Sans"/>
          <w:sz w:val="20"/>
          <w:szCs w:val="20"/>
          <w:lang w:val="en-GB"/>
        </w:rPr>
        <w:t>ich have a strong impact on the </w:t>
      </w:r>
      <w:r w:rsidRPr="0025667C">
        <w:rPr>
          <w:rFonts w:ascii="Open Sans" w:eastAsia="Calibri" w:hAnsi="Open Sans" w:cs="Open Sans"/>
          <w:sz w:val="20"/>
          <w:szCs w:val="20"/>
          <w:lang w:val="en-GB"/>
        </w:rPr>
        <w:t>functionin</w:t>
      </w:r>
      <w:r>
        <w:rPr>
          <w:rFonts w:ascii="Open Sans" w:eastAsia="Calibri" w:hAnsi="Open Sans" w:cs="Open Sans"/>
          <w:sz w:val="20"/>
          <w:szCs w:val="20"/>
          <w:lang w:val="en-GB"/>
        </w:rPr>
        <w:t xml:space="preserve">g and development of raw materials </w:t>
      </w:r>
      <w:r w:rsidRPr="0025667C">
        <w:rPr>
          <w:rFonts w:ascii="Open Sans" w:eastAsia="Calibri" w:hAnsi="Open Sans" w:cs="Open Sans"/>
          <w:sz w:val="20"/>
          <w:szCs w:val="20"/>
          <w:lang w:val="en-GB"/>
        </w:rPr>
        <w:t xml:space="preserve">enterprises. Therefore, all EU policies should consider the important role of the mining and </w:t>
      </w:r>
      <w:r>
        <w:rPr>
          <w:rFonts w:ascii="Open Sans" w:eastAsia="Calibri" w:hAnsi="Open Sans" w:cs="Open Sans"/>
          <w:sz w:val="20"/>
          <w:szCs w:val="20"/>
          <w:lang w:val="en-GB"/>
        </w:rPr>
        <w:t>smelting</w:t>
      </w:r>
      <w:r w:rsidRPr="0025667C">
        <w:rPr>
          <w:rFonts w:ascii="Open Sans" w:eastAsia="Calibri" w:hAnsi="Open Sans" w:cs="Open Sans"/>
          <w:sz w:val="20"/>
          <w:szCs w:val="20"/>
          <w:lang w:val="en-GB"/>
        </w:rPr>
        <w:t xml:space="preserve"> sectors related to raw materials, which are necessary for climate and energy transformation. That is why we propose to introduce the term Clean &amp; Safe European Raw Materials as key raw materials whose extraction and processing are key to the devel</w:t>
      </w:r>
      <w:r>
        <w:rPr>
          <w:rFonts w:ascii="Open Sans" w:eastAsia="Calibri" w:hAnsi="Open Sans" w:cs="Open Sans"/>
          <w:sz w:val="20"/>
          <w:szCs w:val="20"/>
          <w:lang w:val="en-GB"/>
        </w:rPr>
        <w:t>opment of climate neutrality in </w:t>
      </w:r>
      <w:r w:rsidRPr="0025667C">
        <w:rPr>
          <w:rFonts w:ascii="Open Sans" w:eastAsia="Calibri" w:hAnsi="Open Sans" w:cs="Open Sans"/>
          <w:sz w:val="20"/>
          <w:szCs w:val="20"/>
          <w:lang w:val="en-GB"/>
        </w:rPr>
        <w:t>Europe.</w:t>
      </w:r>
    </w:p>
    <w:p w14:paraId="14CE9FD0" w14:textId="77777777" w:rsidR="00276F25" w:rsidRPr="0025667C" w:rsidRDefault="00276F25" w:rsidP="00276F25">
      <w:pPr>
        <w:jc w:val="both"/>
        <w:rPr>
          <w:rFonts w:ascii="Open Sans" w:hAnsi="Open Sans" w:cs="Open Sans"/>
          <w:sz w:val="20"/>
          <w:szCs w:val="20"/>
          <w:lang w:val="en-GB"/>
        </w:rPr>
      </w:pPr>
    </w:p>
    <w:p w14:paraId="55D5AC3A" w14:textId="77777777" w:rsidR="00276F25" w:rsidRPr="0025667C" w:rsidRDefault="00276F25" w:rsidP="00276F25">
      <w:pPr>
        <w:pStyle w:val="Akapitzlist"/>
        <w:numPr>
          <w:ilvl w:val="0"/>
          <w:numId w:val="7"/>
        </w:numPr>
        <w:jc w:val="both"/>
        <w:rPr>
          <w:rFonts w:ascii="Open Sans" w:hAnsi="Open Sans" w:cs="Open Sans"/>
          <w:b/>
          <w:sz w:val="20"/>
          <w:szCs w:val="20"/>
          <w:lang w:val="en-GB"/>
        </w:rPr>
      </w:pPr>
      <w:r w:rsidRPr="0025667C">
        <w:rPr>
          <w:rFonts w:ascii="Open Sans" w:hAnsi="Open Sans" w:cs="Open Sans"/>
          <w:b/>
          <w:sz w:val="20"/>
          <w:szCs w:val="20"/>
          <w:lang w:val="en-GB"/>
        </w:rPr>
        <w:t xml:space="preserve">Each </w:t>
      </w:r>
      <w:r>
        <w:rPr>
          <w:rFonts w:ascii="Open Sans" w:hAnsi="Open Sans" w:cs="Open Sans"/>
          <w:b/>
          <w:sz w:val="20"/>
          <w:szCs w:val="20"/>
          <w:lang w:val="en-GB"/>
        </w:rPr>
        <w:t>new or amended regulation</w:t>
      </w:r>
      <w:r w:rsidRPr="0025667C">
        <w:rPr>
          <w:rFonts w:ascii="Open Sans" w:hAnsi="Open Sans" w:cs="Open Sans"/>
          <w:b/>
          <w:sz w:val="20"/>
          <w:szCs w:val="20"/>
          <w:lang w:val="en-GB"/>
        </w:rPr>
        <w:t xml:space="preserve"> concerning </w:t>
      </w:r>
      <w:r>
        <w:rPr>
          <w:rFonts w:ascii="Open Sans" w:hAnsi="Open Sans" w:cs="Open Sans"/>
          <w:b/>
          <w:sz w:val="20"/>
          <w:szCs w:val="20"/>
          <w:lang w:val="en-GB"/>
        </w:rPr>
        <w:t>every aspect</w:t>
      </w:r>
      <w:r w:rsidRPr="0025667C">
        <w:rPr>
          <w:rFonts w:ascii="Open Sans" w:hAnsi="Open Sans" w:cs="Open Sans"/>
          <w:b/>
          <w:sz w:val="20"/>
          <w:szCs w:val="20"/>
          <w:lang w:val="en-GB"/>
        </w:rPr>
        <w:t xml:space="preserve"> of raw material</w:t>
      </w:r>
      <w:r>
        <w:rPr>
          <w:rFonts w:ascii="Open Sans" w:hAnsi="Open Sans" w:cs="Open Sans"/>
          <w:b/>
          <w:sz w:val="20"/>
          <w:szCs w:val="20"/>
          <w:lang w:val="en-GB"/>
        </w:rPr>
        <w:t>s</w:t>
      </w:r>
      <w:r w:rsidRPr="0025667C">
        <w:rPr>
          <w:rFonts w:ascii="Open Sans" w:hAnsi="Open Sans" w:cs="Open Sans"/>
          <w:b/>
          <w:sz w:val="20"/>
          <w:szCs w:val="20"/>
          <w:lang w:val="en-GB"/>
        </w:rPr>
        <w:t xml:space="preserve"> enterprises' operations </w:t>
      </w:r>
      <w:r>
        <w:rPr>
          <w:rFonts w:ascii="Open Sans" w:hAnsi="Open Sans" w:cs="Open Sans"/>
          <w:b/>
          <w:sz w:val="20"/>
          <w:szCs w:val="20"/>
          <w:lang w:val="en-GB"/>
        </w:rPr>
        <w:t>in Europe should be</w:t>
      </w:r>
      <w:r w:rsidRPr="0025667C">
        <w:rPr>
          <w:rFonts w:ascii="Open Sans" w:hAnsi="Open Sans" w:cs="Open Sans"/>
          <w:b/>
          <w:sz w:val="20"/>
          <w:szCs w:val="20"/>
          <w:lang w:val="en-GB"/>
        </w:rPr>
        <w:t xml:space="preserve"> analysed also in terms of socio-economic costs and consequently the possibility of weakening the sector's competitiveness in relation to foreign competition wit</w:t>
      </w:r>
      <w:r>
        <w:rPr>
          <w:rFonts w:ascii="Open Sans" w:hAnsi="Open Sans" w:cs="Open Sans"/>
          <w:b/>
          <w:sz w:val="20"/>
          <w:szCs w:val="20"/>
          <w:lang w:val="en-GB"/>
        </w:rPr>
        <w:t>h a higher carbon footprint</w:t>
      </w:r>
    </w:p>
    <w:p w14:paraId="013D19B8" w14:textId="77777777" w:rsidR="00276F25" w:rsidRPr="0025667C" w:rsidRDefault="00276F25" w:rsidP="00276F25">
      <w:pPr>
        <w:autoSpaceDE w:val="0"/>
        <w:autoSpaceDN w:val="0"/>
        <w:ind w:left="720"/>
        <w:jc w:val="both"/>
        <w:rPr>
          <w:rFonts w:ascii="Open Sans" w:hAnsi="Open Sans" w:cs="Open Sans"/>
          <w:sz w:val="20"/>
          <w:szCs w:val="20"/>
          <w:lang w:val="en-GB"/>
        </w:rPr>
      </w:pPr>
      <w:r w:rsidRPr="0025667C">
        <w:rPr>
          <w:rFonts w:ascii="Open Sans" w:hAnsi="Open Sans" w:cs="Open Sans"/>
          <w:sz w:val="20"/>
          <w:szCs w:val="20"/>
          <w:lang w:val="en-GB"/>
        </w:rPr>
        <w:t xml:space="preserve">The analysis of the regulations governing raw material enterprises and their impact on socio-economic </w:t>
      </w:r>
      <w:r>
        <w:rPr>
          <w:rFonts w:ascii="Open Sans" w:hAnsi="Open Sans" w:cs="Open Sans"/>
          <w:sz w:val="20"/>
          <w:szCs w:val="20"/>
          <w:lang w:val="en-GB"/>
        </w:rPr>
        <w:t>side of business</w:t>
      </w:r>
      <w:r w:rsidRPr="0025667C">
        <w:rPr>
          <w:rFonts w:ascii="Open Sans" w:hAnsi="Open Sans" w:cs="Open Sans"/>
          <w:sz w:val="20"/>
          <w:szCs w:val="20"/>
          <w:lang w:val="en-GB"/>
        </w:rPr>
        <w:t xml:space="preserve"> should take into account </w:t>
      </w:r>
      <w:r>
        <w:rPr>
          <w:rFonts w:ascii="Open Sans" w:hAnsi="Open Sans" w:cs="Open Sans"/>
          <w:sz w:val="20"/>
          <w:szCs w:val="20"/>
          <w:lang w:val="en-GB"/>
        </w:rPr>
        <w:t xml:space="preserve">how it </w:t>
      </w:r>
      <w:r w:rsidRPr="0025667C">
        <w:rPr>
          <w:rFonts w:ascii="Open Sans" w:hAnsi="Open Sans" w:cs="Open Sans"/>
          <w:sz w:val="20"/>
          <w:szCs w:val="20"/>
          <w:lang w:val="en-GB"/>
        </w:rPr>
        <w:t>affect</w:t>
      </w:r>
      <w:r>
        <w:rPr>
          <w:rFonts w:ascii="Open Sans" w:hAnsi="Open Sans" w:cs="Open Sans"/>
          <w:sz w:val="20"/>
          <w:szCs w:val="20"/>
          <w:lang w:val="en-GB"/>
        </w:rPr>
        <w:t>s</w:t>
      </w:r>
      <w:r w:rsidRPr="0025667C">
        <w:rPr>
          <w:rFonts w:ascii="Open Sans" w:hAnsi="Open Sans" w:cs="Open Sans"/>
          <w:sz w:val="20"/>
          <w:szCs w:val="20"/>
          <w:lang w:val="en-GB"/>
        </w:rPr>
        <w:t xml:space="preserve"> the level of competitive</w:t>
      </w:r>
      <w:r>
        <w:rPr>
          <w:rFonts w:ascii="Open Sans" w:hAnsi="Open Sans" w:cs="Open Sans"/>
          <w:sz w:val="20"/>
          <w:szCs w:val="20"/>
          <w:lang w:val="en-GB"/>
        </w:rPr>
        <w:t>ness</w:t>
      </w:r>
      <w:r w:rsidRPr="0025667C">
        <w:rPr>
          <w:rFonts w:ascii="Open Sans" w:hAnsi="Open Sans" w:cs="Open Sans"/>
          <w:sz w:val="20"/>
          <w:szCs w:val="20"/>
          <w:lang w:val="en-GB"/>
        </w:rPr>
        <w:t xml:space="preserve"> </w:t>
      </w:r>
      <w:r>
        <w:rPr>
          <w:rFonts w:ascii="Open Sans" w:hAnsi="Open Sans" w:cs="Open Sans"/>
          <w:sz w:val="20"/>
          <w:szCs w:val="20"/>
          <w:lang w:val="en-GB"/>
        </w:rPr>
        <w:t>against</w:t>
      </w:r>
      <w:r w:rsidRPr="0025667C">
        <w:rPr>
          <w:rFonts w:ascii="Open Sans" w:hAnsi="Open Sans" w:cs="Open Sans"/>
          <w:sz w:val="20"/>
          <w:szCs w:val="20"/>
          <w:lang w:val="en-GB"/>
        </w:rPr>
        <w:t xml:space="preserve"> non-EU</w:t>
      </w:r>
      <w:r>
        <w:rPr>
          <w:rFonts w:ascii="Open Sans" w:hAnsi="Open Sans" w:cs="Open Sans"/>
          <w:sz w:val="20"/>
          <w:szCs w:val="20"/>
          <w:lang w:val="en-GB"/>
        </w:rPr>
        <w:t xml:space="preserve"> companies. </w:t>
      </w:r>
      <w:r w:rsidRPr="0025667C">
        <w:rPr>
          <w:rFonts w:ascii="Open Sans" w:hAnsi="Open Sans" w:cs="Open Sans"/>
          <w:sz w:val="20"/>
          <w:szCs w:val="20"/>
          <w:lang w:val="en-GB"/>
        </w:rPr>
        <w:t xml:space="preserve">The EC </w:t>
      </w:r>
      <w:r>
        <w:rPr>
          <w:rFonts w:ascii="Open Sans" w:hAnsi="Open Sans" w:cs="Open Sans"/>
          <w:sz w:val="20"/>
          <w:szCs w:val="20"/>
          <w:lang w:val="en-GB"/>
        </w:rPr>
        <w:t>have to</w:t>
      </w:r>
      <w:r w:rsidRPr="0025667C">
        <w:rPr>
          <w:rFonts w:ascii="Open Sans" w:hAnsi="Open Sans" w:cs="Open Sans"/>
          <w:sz w:val="20"/>
          <w:szCs w:val="20"/>
          <w:lang w:val="en-GB"/>
        </w:rPr>
        <w:t xml:space="preserve"> </w:t>
      </w:r>
      <w:r>
        <w:rPr>
          <w:rFonts w:ascii="Open Sans" w:hAnsi="Open Sans" w:cs="Open Sans"/>
          <w:sz w:val="20"/>
          <w:szCs w:val="20"/>
          <w:lang w:val="en-GB"/>
        </w:rPr>
        <w:t>assess if</w:t>
      </w:r>
      <w:r w:rsidRPr="0025667C">
        <w:rPr>
          <w:rFonts w:ascii="Open Sans" w:hAnsi="Open Sans" w:cs="Open Sans"/>
          <w:sz w:val="20"/>
          <w:szCs w:val="20"/>
          <w:lang w:val="en-GB"/>
        </w:rPr>
        <w:t xml:space="preserve"> </w:t>
      </w:r>
      <w:r>
        <w:rPr>
          <w:rFonts w:ascii="Open Sans" w:hAnsi="Open Sans" w:cs="Open Sans"/>
          <w:sz w:val="20"/>
          <w:szCs w:val="20"/>
          <w:lang w:val="en-GB"/>
        </w:rPr>
        <w:t>said</w:t>
      </w:r>
      <w:r w:rsidRPr="0025667C">
        <w:rPr>
          <w:rFonts w:ascii="Open Sans" w:hAnsi="Open Sans" w:cs="Open Sans"/>
          <w:sz w:val="20"/>
          <w:szCs w:val="20"/>
          <w:lang w:val="en-GB"/>
        </w:rPr>
        <w:t xml:space="preserve"> regulations pose a threat to the development of </w:t>
      </w:r>
      <w:r>
        <w:rPr>
          <w:rFonts w:ascii="Open Sans" w:hAnsi="Open Sans" w:cs="Open Sans"/>
          <w:sz w:val="20"/>
          <w:szCs w:val="20"/>
          <w:lang w:val="en-GB"/>
        </w:rPr>
        <w:t>C</w:t>
      </w:r>
      <w:r w:rsidRPr="0025667C">
        <w:rPr>
          <w:rFonts w:ascii="Open Sans" w:hAnsi="Open Sans" w:cs="Open Sans"/>
          <w:sz w:val="20"/>
          <w:szCs w:val="20"/>
          <w:lang w:val="en-GB"/>
        </w:rPr>
        <w:t xml:space="preserve">lean </w:t>
      </w:r>
      <w:r>
        <w:rPr>
          <w:rFonts w:ascii="Open Sans" w:hAnsi="Open Sans" w:cs="Open Sans"/>
          <w:sz w:val="20"/>
          <w:szCs w:val="20"/>
          <w:lang w:val="en-GB"/>
        </w:rPr>
        <w:t>&amp;</w:t>
      </w:r>
      <w:r w:rsidRPr="0025667C">
        <w:rPr>
          <w:rFonts w:ascii="Open Sans" w:hAnsi="Open Sans" w:cs="Open Sans"/>
          <w:sz w:val="20"/>
          <w:szCs w:val="20"/>
          <w:lang w:val="en-GB"/>
        </w:rPr>
        <w:t xml:space="preserve"> </w:t>
      </w:r>
      <w:r>
        <w:rPr>
          <w:rFonts w:ascii="Open Sans" w:hAnsi="Open Sans" w:cs="Open Sans"/>
          <w:sz w:val="20"/>
          <w:szCs w:val="20"/>
          <w:lang w:val="en-GB"/>
        </w:rPr>
        <w:t>S</w:t>
      </w:r>
      <w:r w:rsidRPr="0025667C">
        <w:rPr>
          <w:rFonts w:ascii="Open Sans" w:hAnsi="Open Sans" w:cs="Open Sans"/>
          <w:sz w:val="20"/>
          <w:szCs w:val="20"/>
          <w:lang w:val="en-GB"/>
        </w:rPr>
        <w:t xml:space="preserve">afe </w:t>
      </w:r>
      <w:r>
        <w:rPr>
          <w:rFonts w:ascii="Open Sans" w:hAnsi="Open Sans" w:cs="Open Sans"/>
          <w:sz w:val="20"/>
          <w:szCs w:val="20"/>
          <w:lang w:val="en-GB"/>
        </w:rPr>
        <w:t>European R</w:t>
      </w:r>
      <w:r w:rsidRPr="0025667C">
        <w:rPr>
          <w:rFonts w:ascii="Open Sans" w:hAnsi="Open Sans" w:cs="Open Sans"/>
          <w:sz w:val="20"/>
          <w:szCs w:val="20"/>
          <w:lang w:val="en-GB"/>
        </w:rPr>
        <w:t xml:space="preserve">aw </w:t>
      </w:r>
      <w:r>
        <w:rPr>
          <w:rFonts w:ascii="Open Sans" w:hAnsi="Open Sans" w:cs="Open Sans"/>
          <w:sz w:val="20"/>
          <w:szCs w:val="20"/>
          <w:lang w:val="en-GB"/>
        </w:rPr>
        <w:t>Materials industry, which in result could leverage</w:t>
      </w:r>
      <w:r w:rsidRPr="0025667C">
        <w:rPr>
          <w:rFonts w:ascii="Open Sans" w:hAnsi="Open Sans" w:cs="Open Sans"/>
          <w:sz w:val="20"/>
          <w:szCs w:val="20"/>
          <w:lang w:val="en-GB"/>
        </w:rPr>
        <w:t xml:space="preserve"> </w:t>
      </w:r>
      <w:r>
        <w:rPr>
          <w:rFonts w:ascii="Open Sans" w:hAnsi="Open Sans" w:cs="Open Sans"/>
          <w:sz w:val="20"/>
          <w:szCs w:val="20"/>
          <w:lang w:val="en-GB"/>
        </w:rPr>
        <w:t>non-EU companies with</w:t>
      </w:r>
      <w:r w:rsidRPr="0025667C">
        <w:rPr>
          <w:rFonts w:ascii="Open Sans" w:hAnsi="Open Sans" w:cs="Open Sans"/>
          <w:sz w:val="20"/>
          <w:szCs w:val="20"/>
          <w:lang w:val="en-GB"/>
        </w:rPr>
        <w:t xml:space="preserve"> high</w:t>
      </w:r>
      <w:r>
        <w:rPr>
          <w:rFonts w:ascii="Open Sans" w:hAnsi="Open Sans" w:cs="Open Sans"/>
          <w:sz w:val="20"/>
          <w:szCs w:val="20"/>
          <w:lang w:val="en-GB"/>
        </w:rPr>
        <w:t>er</w:t>
      </w:r>
      <w:r w:rsidRPr="0025667C">
        <w:rPr>
          <w:rFonts w:ascii="Open Sans" w:hAnsi="Open Sans" w:cs="Open Sans"/>
          <w:sz w:val="20"/>
          <w:szCs w:val="20"/>
          <w:lang w:val="en-GB"/>
        </w:rPr>
        <w:t xml:space="preserve"> </w:t>
      </w:r>
      <w:r>
        <w:rPr>
          <w:rFonts w:ascii="Open Sans" w:hAnsi="Open Sans" w:cs="Open Sans"/>
          <w:sz w:val="20"/>
          <w:szCs w:val="20"/>
          <w:lang w:val="en-GB"/>
        </w:rPr>
        <w:t xml:space="preserve">carbon footprint </w:t>
      </w:r>
      <w:r w:rsidRPr="0025667C">
        <w:rPr>
          <w:rFonts w:ascii="Open Sans" w:hAnsi="Open Sans" w:cs="Open Sans"/>
          <w:sz w:val="20"/>
          <w:szCs w:val="20"/>
          <w:lang w:val="en-GB"/>
        </w:rPr>
        <w:t xml:space="preserve">and </w:t>
      </w:r>
      <w:r>
        <w:rPr>
          <w:rFonts w:ascii="Open Sans" w:hAnsi="Open Sans" w:cs="Open Sans"/>
          <w:sz w:val="20"/>
          <w:szCs w:val="20"/>
          <w:lang w:val="en-GB"/>
        </w:rPr>
        <w:t>worse</w:t>
      </w:r>
      <w:r w:rsidRPr="0025667C">
        <w:rPr>
          <w:rFonts w:ascii="Open Sans" w:hAnsi="Open Sans" w:cs="Open Sans"/>
          <w:sz w:val="20"/>
          <w:szCs w:val="20"/>
          <w:lang w:val="en-GB"/>
        </w:rPr>
        <w:t xml:space="preserve"> </w:t>
      </w:r>
      <w:r>
        <w:rPr>
          <w:rFonts w:ascii="Open Sans" w:hAnsi="Open Sans" w:cs="Open Sans"/>
          <w:sz w:val="20"/>
          <w:szCs w:val="20"/>
          <w:lang w:val="en-GB"/>
        </w:rPr>
        <w:t>occupational, health and safety</w:t>
      </w:r>
      <w:r w:rsidRPr="0025667C">
        <w:rPr>
          <w:rFonts w:ascii="Open Sans" w:hAnsi="Open Sans" w:cs="Open Sans"/>
          <w:sz w:val="20"/>
          <w:szCs w:val="20"/>
          <w:lang w:val="en-GB"/>
        </w:rPr>
        <w:t xml:space="preserve"> conditions.</w:t>
      </w:r>
    </w:p>
    <w:p w14:paraId="201069DC" w14:textId="77777777" w:rsidR="00276F25" w:rsidRPr="0025667C" w:rsidRDefault="00276F25" w:rsidP="00276F25">
      <w:pPr>
        <w:pStyle w:val="Akapitzlist"/>
        <w:numPr>
          <w:ilvl w:val="0"/>
          <w:numId w:val="7"/>
        </w:numPr>
        <w:jc w:val="both"/>
        <w:rPr>
          <w:rFonts w:ascii="Open Sans" w:hAnsi="Open Sans" w:cs="Open Sans"/>
          <w:b/>
          <w:sz w:val="20"/>
          <w:szCs w:val="20"/>
          <w:lang w:val="en-GB"/>
        </w:rPr>
      </w:pPr>
      <w:r w:rsidRPr="0025667C">
        <w:rPr>
          <w:rFonts w:ascii="Open Sans" w:hAnsi="Open Sans" w:cs="Open Sans"/>
          <w:b/>
          <w:sz w:val="20"/>
          <w:szCs w:val="20"/>
          <w:lang w:val="en-GB"/>
        </w:rPr>
        <w:lastRenderedPageBreak/>
        <w:t xml:space="preserve">Enabling further decarbonisation through even more electrification supported by maximum possible compensation for indirect emission costs and funding for investments to </w:t>
      </w:r>
      <w:r>
        <w:rPr>
          <w:rFonts w:ascii="Open Sans" w:hAnsi="Open Sans" w:cs="Open Sans"/>
          <w:b/>
          <w:sz w:val="20"/>
          <w:szCs w:val="20"/>
          <w:lang w:val="en-GB"/>
        </w:rPr>
        <w:t>switch from</w:t>
      </w:r>
      <w:r w:rsidRPr="0025667C">
        <w:rPr>
          <w:rFonts w:ascii="Open Sans" w:hAnsi="Open Sans" w:cs="Open Sans"/>
          <w:b/>
          <w:sz w:val="20"/>
          <w:szCs w:val="20"/>
          <w:lang w:val="en-GB"/>
        </w:rPr>
        <w:t xml:space="preserve"> fossil fuels </w:t>
      </w:r>
      <w:r>
        <w:rPr>
          <w:rFonts w:ascii="Open Sans" w:hAnsi="Open Sans" w:cs="Open Sans"/>
          <w:b/>
          <w:sz w:val="20"/>
          <w:szCs w:val="20"/>
          <w:lang w:val="en-GB"/>
        </w:rPr>
        <w:t xml:space="preserve">to </w:t>
      </w:r>
      <w:r w:rsidRPr="0025667C">
        <w:rPr>
          <w:rFonts w:ascii="Open Sans" w:hAnsi="Open Sans" w:cs="Open Sans"/>
          <w:b/>
          <w:sz w:val="20"/>
          <w:szCs w:val="20"/>
          <w:lang w:val="en-GB"/>
        </w:rPr>
        <w:t>electri</w:t>
      </w:r>
      <w:r>
        <w:rPr>
          <w:rFonts w:ascii="Open Sans" w:hAnsi="Open Sans" w:cs="Open Sans"/>
          <w:b/>
          <w:sz w:val="20"/>
          <w:szCs w:val="20"/>
          <w:lang w:val="en-GB"/>
        </w:rPr>
        <w:t>city in technological processes</w:t>
      </w:r>
    </w:p>
    <w:p w14:paraId="30B9D160" w14:textId="7D3EF94D" w:rsidR="00276F25" w:rsidRPr="0025667C" w:rsidRDefault="00276F25" w:rsidP="00276F25">
      <w:pPr>
        <w:autoSpaceDE w:val="0"/>
        <w:autoSpaceDN w:val="0"/>
        <w:ind w:left="720"/>
        <w:jc w:val="both"/>
        <w:rPr>
          <w:rFonts w:ascii="Open Sans" w:hAnsi="Open Sans" w:cs="Open Sans"/>
          <w:sz w:val="20"/>
          <w:szCs w:val="20"/>
          <w:lang w:val="en-GB"/>
        </w:rPr>
      </w:pPr>
      <w:r w:rsidRPr="0025667C">
        <w:rPr>
          <w:rFonts w:ascii="Open Sans" w:hAnsi="Open Sans" w:cs="Open Sans"/>
          <w:sz w:val="20"/>
          <w:szCs w:val="20"/>
          <w:lang w:val="en-GB"/>
        </w:rPr>
        <w:t xml:space="preserve">Electrifying the mining sector – that is, replacing </w:t>
      </w:r>
      <w:r>
        <w:rPr>
          <w:rFonts w:ascii="Open Sans" w:hAnsi="Open Sans" w:cs="Open Sans"/>
          <w:sz w:val="20"/>
          <w:szCs w:val="20"/>
          <w:lang w:val="en-GB"/>
        </w:rPr>
        <w:t>machines</w:t>
      </w:r>
      <w:r w:rsidRPr="0025667C">
        <w:rPr>
          <w:rFonts w:ascii="Open Sans" w:hAnsi="Open Sans" w:cs="Open Sans"/>
          <w:sz w:val="20"/>
          <w:szCs w:val="20"/>
          <w:lang w:val="en-GB"/>
        </w:rPr>
        <w:t xml:space="preserve"> and </w:t>
      </w:r>
      <w:r>
        <w:rPr>
          <w:rFonts w:ascii="Open Sans" w:hAnsi="Open Sans" w:cs="Open Sans"/>
          <w:sz w:val="20"/>
          <w:szCs w:val="20"/>
          <w:lang w:val="en-GB"/>
        </w:rPr>
        <w:t xml:space="preserve">upgrading </w:t>
      </w:r>
      <w:r w:rsidRPr="0025667C">
        <w:rPr>
          <w:rFonts w:ascii="Open Sans" w:hAnsi="Open Sans" w:cs="Open Sans"/>
          <w:sz w:val="20"/>
          <w:szCs w:val="20"/>
          <w:lang w:val="en-GB"/>
        </w:rPr>
        <w:t>processes to use electricity as an energy source instead of fossil fuels – is essential to reducing carbon emissions. Most mines and quarries in the EU are dependent on the national grid for their electri</w:t>
      </w:r>
      <w:r>
        <w:rPr>
          <w:rFonts w:ascii="Open Sans" w:hAnsi="Open Sans" w:cs="Open Sans"/>
          <w:sz w:val="20"/>
          <w:szCs w:val="20"/>
          <w:lang w:val="en-GB"/>
        </w:rPr>
        <w:t xml:space="preserve">city supply, which </w:t>
      </w:r>
      <w:r w:rsidRPr="0025667C">
        <w:rPr>
          <w:rFonts w:ascii="Open Sans" w:hAnsi="Open Sans" w:cs="Open Sans"/>
          <w:sz w:val="20"/>
          <w:szCs w:val="20"/>
          <w:lang w:val="en-GB"/>
        </w:rPr>
        <w:t xml:space="preserve">means that </w:t>
      </w:r>
      <w:r>
        <w:rPr>
          <w:rFonts w:ascii="Open Sans" w:hAnsi="Open Sans" w:cs="Open Sans"/>
          <w:sz w:val="20"/>
          <w:szCs w:val="20"/>
          <w:lang w:val="en-GB"/>
        </w:rPr>
        <w:t>industry has to pay for indirect costs in the price of electricity. T</w:t>
      </w:r>
      <w:r w:rsidRPr="0025667C">
        <w:rPr>
          <w:rFonts w:ascii="Open Sans" w:hAnsi="Open Sans" w:cs="Open Sans"/>
          <w:sz w:val="20"/>
          <w:szCs w:val="20"/>
          <w:lang w:val="en-GB"/>
        </w:rPr>
        <w:t>his can have considerable</w:t>
      </w:r>
      <w:r>
        <w:rPr>
          <w:rFonts w:ascii="Open Sans" w:hAnsi="Open Sans" w:cs="Open Sans"/>
          <w:sz w:val="20"/>
          <w:szCs w:val="20"/>
          <w:lang w:val="en-GB"/>
        </w:rPr>
        <w:t xml:space="preserve"> impact on the mining industry</w:t>
      </w:r>
      <w:r w:rsidRPr="0025667C">
        <w:rPr>
          <w:rFonts w:ascii="Open Sans" w:hAnsi="Open Sans" w:cs="Open Sans"/>
          <w:sz w:val="20"/>
          <w:szCs w:val="20"/>
          <w:lang w:val="en-GB"/>
        </w:rPr>
        <w:t xml:space="preserve"> competitiveness. The cost versus benefits of phasing out diesel in a mine is heavily dependent</w:t>
      </w:r>
      <w:r>
        <w:rPr>
          <w:rFonts w:ascii="Open Sans" w:hAnsi="Open Sans" w:cs="Open Sans"/>
          <w:sz w:val="20"/>
          <w:szCs w:val="20"/>
          <w:lang w:val="en-GB"/>
        </w:rPr>
        <w:t xml:space="preserve"> on the </w:t>
      </w:r>
      <w:r w:rsidRPr="0025667C">
        <w:rPr>
          <w:rFonts w:ascii="Open Sans" w:hAnsi="Open Sans" w:cs="Open Sans"/>
          <w:sz w:val="20"/>
          <w:szCs w:val="20"/>
          <w:lang w:val="en-GB"/>
        </w:rPr>
        <w:t xml:space="preserve">characteristics of its operation. The electrification of mining equipment </w:t>
      </w:r>
      <w:r>
        <w:rPr>
          <w:rFonts w:ascii="Open Sans" w:hAnsi="Open Sans" w:cs="Open Sans"/>
          <w:sz w:val="20"/>
          <w:szCs w:val="20"/>
          <w:lang w:val="en-GB"/>
        </w:rPr>
        <w:t>will cost up to billions of euro for company as big as KGHM because it will require not only purchases of completely new, electric machines but also large investments in infrastructure (electric grid, recharging points).</w:t>
      </w:r>
    </w:p>
    <w:p w14:paraId="63A2148C" w14:textId="77777777" w:rsidR="00276F25" w:rsidRPr="0025667C" w:rsidRDefault="00276F25" w:rsidP="00276F25">
      <w:pPr>
        <w:autoSpaceDE w:val="0"/>
        <w:autoSpaceDN w:val="0"/>
        <w:ind w:left="720"/>
        <w:jc w:val="both"/>
        <w:rPr>
          <w:rFonts w:ascii="Open Sans" w:hAnsi="Open Sans" w:cs="Open Sans"/>
          <w:sz w:val="20"/>
          <w:szCs w:val="20"/>
          <w:lang w:val="en-GB"/>
        </w:rPr>
      </w:pPr>
      <w:r w:rsidRPr="006E103B">
        <w:rPr>
          <w:rFonts w:ascii="Open Sans" w:hAnsi="Open Sans" w:cs="Open Sans"/>
          <w:b/>
          <w:sz w:val="20"/>
          <w:szCs w:val="20"/>
          <w:lang w:val="en-GB"/>
        </w:rPr>
        <w:t xml:space="preserve">New investments in zero-carbon energy sources and industrial installations in KGHM </w:t>
      </w:r>
      <w:r>
        <w:rPr>
          <w:rFonts w:ascii="Open Sans" w:hAnsi="Open Sans" w:cs="Open Sans"/>
          <w:b/>
          <w:sz w:val="20"/>
          <w:szCs w:val="20"/>
          <w:lang w:val="en-GB"/>
        </w:rPr>
        <w:t>may</w:t>
      </w:r>
      <w:r w:rsidRPr="006E103B">
        <w:rPr>
          <w:rFonts w:ascii="Open Sans" w:hAnsi="Open Sans" w:cs="Open Sans"/>
          <w:b/>
          <w:sz w:val="20"/>
          <w:szCs w:val="20"/>
          <w:lang w:val="en-GB"/>
        </w:rPr>
        <w:t xml:space="preserve"> require </w:t>
      </w:r>
      <w:r>
        <w:rPr>
          <w:rFonts w:ascii="Open Sans" w:hAnsi="Open Sans" w:cs="Open Sans"/>
          <w:b/>
          <w:sz w:val="20"/>
          <w:szCs w:val="20"/>
          <w:lang w:val="en-GB"/>
        </w:rPr>
        <w:t>billions of euro</w:t>
      </w:r>
      <w:r w:rsidRPr="006E103B">
        <w:rPr>
          <w:rFonts w:ascii="Open Sans" w:hAnsi="Open Sans" w:cs="Open Sans"/>
          <w:b/>
          <w:sz w:val="20"/>
          <w:szCs w:val="20"/>
          <w:lang w:val="en-GB"/>
        </w:rPr>
        <w:t xml:space="preserve"> by 2050</w:t>
      </w:r>
      <w:r>
        <w:rPr>
          <w:rFonts w:ascii="Open Sans" w:hAnsi="Open Sans" w:cs="Open Sans"/>
          <w:sz w:val="20"/>
          <w:szCs w:val="20"/>
          <w:lang w:val="en-GB"/>
        </w:rPr>
        <w:t>. Large part of these investments will need to be funded by EU’s dedicated mechanisms as it exceeds company’s ability to generate free cash or debt money. Additionally,</w:t>
      </w:r>
      <w:r w:rsidRPr="0025667C">
        <w:rPr>
          <w:rFonts w:ascii="Open Sans" w:hAnsi="Open Sans" w:cs="Open Sans"/>
          <w:sz w:val="20"/>
          <w:szCs w:val="20"/>
          <w:lang w:val="en-GB"/>
        </w:rPr>
        <w:t xml:space="preserve"> </w:t>
      </w:r>
      <w:r>
        <w:rPr>
          <w:rFonts w:ascii="Open Sans" w:hAnsi="Open Sans" w:cs="Open Sans"/>
          <w:sz w:val="20"/>
          <w:szCs w:val="20"/>
          <w:lang w:val="en-GB"/>
        </w:rPr>
        <w:t>s</w:t>
      </w:r>
      <w:r w:rsidRPr="0025667C">
        <w:rPr>
          <w:rFonts w:ascii="Open Sans" w:hAnsi="Open Sans" w:cs="Open Sans"/>
          <w:sz w:val="20"/>
          <w:szCs w:val="20"/>
          <w:lang w:val="en-GB"/>
        </w:rPr>
        <w:t xml:space="preserve">upport </w:t>
      </w:r>
      <w:r>
        <w:rPr>
          <w:rFonts w:ascii="Open Sans" w:hAnsi="Open Sans" w:cs="Open Sans"/>
          <w:sz w:val="20"/>
          <w:szCs w:val="20"/>
          <w:lang w:val="en-GB"/>
        </w:rPr>
        <w:t>through</w:t>
      </w:r>
      <w:r w:rsidRPr="0025667C">
        <w:rPr>
          <w:rFonts w:ascii="Open Sans" w:hAnsi="Open Sans" w:cs="Open Sans"/>
          <w:sz w:val="20"/>
          <w:szCs w:val="20"/>
          <w:lang w:val="en-GB"/>
        </w:rPr>
        <w:t xml:space="preserve"> the maximum possible compensation of indirect emission </w:t>
      </w:r>
      <w:r>
        <w:rPr>
          <w:rFonts w:ascii="Open Sans" w:hAnsi="Open Sans" w:cs="Open Sans"/>
          <w:sz w:val="20"/>
          <w:szCs w:val="20"/>
          <w:lang w:val="en-GB"/>
        </w:rPr>
        <w:t>costs</w:t>
      </w:r>
      <w:r w:rsidRPr="0025667C">
        <w:rPr>
          <w:rFonts w:ascii="Open Sans" w:hAnsi="Open Sans" w:cs="Open Sans"/>
          <w:sz w:val="20"/>
          <w:szCs w:val="20"/>
          <w:lang w:val="en-GB"/>
        </w:rPr>
        <w:t xml:space="preserve"> will </w:t>
      </w:r>
      <w:r>
        <w:rPr>
          <w:rFonts w:ascii="Open Sans" w:hAnsi="Open Sans" w:cs="Open Sans"/>
          <w:sz w:val="20"/>
          <w:szCs w:val="20"/>
          <w:lang w:val="en-GB"/>
        </w:rPr>
        <w:t>keep the energy prices at acceptable level, reducing necessary OPEX.</w:t>
      </w:r>
    </w:p>
    <w:p w14:paraId="5BFB17AF" w14:textId="77777777" w:rsidR="00276F25" w:rsidRPr="0025667C" w:rsidRDefault="00276F25" w:rsidP="00276F25">
      <w:pPr>
        <w:pStyle w:val="Akapitzlist"/>
        <w:jc w:val="both"/>
        <w:rPr>
          <w:rFonts w:ascii="Open Sans" w:hAnsi="Open Sans" w:cs="Open Sans"/>
          <w:sz w:val="20"/>
          <w:szCs w:val="20"/>
          <w:lang w:val="en-GB"/>
        </w:rPr>
      </w:pPr>
    </w:p>
    <w:p w14:paraId="4AC88E68" w14:textId="77777777" w:rsidR="00276F25" w:rsidRPr="0025667C" w:rsidRDefault="00276F25" w:rsidP="00276F25">
      <w:pPr>
        <w:pStyle w:val="Akapitzlist"/>
        <w:numPr>
          <w:ilvl w:val="0"/>
          <w:numId w:val="7"/>
        </w:numPr>
        <w:jc w:val="both"/>
        <w:rPr>
          <w:rFonts w:ascii="Open Sans" w:hAnsi="Open Sans" w:cs="Open Sans"/>
          <w:b/>
          <w:sz w:val="20"/>
          <w:szCs w:val="20"/>
          <w:lang w:val="en-GB"/>
        </w:rPr>
      </w:pPr>
      <w:r w:rsidRPr="0025667C">
        <w:rPr>
          <w:rFonts w:ascii="Open Sans" w:hAnsi="Open Sans" w:cs="Open Sans"/>
          <w:b/>
          <w:sz w:val="20"/>
          <w:szCs w:val="20"/>
          <w:lang w:val="en-GB"/>
        </w:rPr>
        <w:t xml:space="preserve">Including the raw materials sector as an energy-intensive industry in the possibility of obtaining EU funding for investments in </w:t>
      </w:r>
      <w:r>
        <w:rPr>
          <w:rFonts w:ascii="Open Sans" w:hAnsi="Open Sans" w:cs="Open Sans"/>
          <w:b/>
          <w:sz w:val="20"/>
          <w:szCs w:val="20"/>
          <w:lang w:val="en-GB"/>
        </w:rPr>
        <w:t>self-owned</w:t>
      </w:r>
      <w:r w:rsidRPr="0025667C">
        <w:rPr>
          <w:rFonts w:ascii="Open Sans" w:hAnsi="Open Sans" w:cs="Open Sans"/>
          <w:b/>
          <w:sz w:val="20"/>
          <w:szCs w:val="20"/>
          <w:lang w:val="en-GB"/>
        </w:rPr>
        <w:t xml:space="preserve"> RES, smart grids, energy storage facilities, industrial applications in the area of energy efficiency and others (e.g. through the Modernisation Fund, Innovation Fund, </w:t>
      </w:r>
      <w:r>
        <w:rPr>
          <w:rFonts w:ascii="Open Sans" w:hAnsi="Open Sans" w:cs="Open Sans"/>
          <w:b/>
          <w:sz w:val="20"/>
          <w:szCs w:val="20"/>
          <w:lang w:val="en-GB"/>
        </w:rPr>
        <w:t>European Investment Bank)</w:t>
      </w:r>
    </w:p>
    <w:p w14:paraId="0B0C12F6" w14:textId="77777777" w:rsidR="00276F25" w:rsidRDefault="00276F25" w:rsidP="00276F25">
      <w:pPr>
        <w:autoSpaceDE w:val="0"/>
        <w:autoSpaceDN w:val="0"/>
        <w:ind w:left="720"/>
        <w:jc w:val="both"/>
        <w:rPr>
          <w:rFonts w:ascii="Open Sans" w:hAnsi="Open Sans" w:cs="Open Sans"/>
          <w:sz w:val="20"/>
          <w:szCs w:val="20"/>
          <w:lang w:val="en-GB"/>
        </w:rPr>
      </w:pPr>
      <w:r w:rsidRPr="0025667C">
        <w:rPr>
          <w:rFonts w:ascii="Open Sans" w:hAnsi="Open Sans" w:cs="Open Sans"/>
          <w:sz w:val="20"/>
          <w:szCs w:val="20"/>
          <w:lang w:val="en-GB"/>
        </w:rPr>
        <w:t xml:space="preserve">A considerable decrease in specific energy consumption will only be achieved through major retrofits, which often have high investment costs that can be financially unviable, particularly for smaller operators. This is why raw material sector need the access to </w:t>
      </w:r>
      <w:r>
        <w:rPr>
          <w:rFonts w:ascii="Open Sans" w:hAnsi="Open Sans" w:cs="Open Sans"/>
          <w:sz w:val="20"/>
          <w:szCs w:val="20"/>
          <w:lang w:val="en-GB"/>
        </w:rPr>
        <w:t>funding</w:t>
      </w:r>
      <w:r w:rsidRPr="0025667C">
        <w:rPr>
          <w:rFonts w:ascii="Open Sans" w:hAnsi="Open Sans" w:cs="Open Sans"/>
          <w:sz w:val="20"/>
          <w:szCs w:val="20"/>
          <w:lang w:val="en-GB"/>
        </w:rPr>
        <w:t xml:space="preserve">. </w:t>
      </w:r>
    </w:p>
    <w:p w14:paraId="69401F69" w14:textId="77777777" w:rsidR="00276F25" w:rsidRPr="0025667C" w:rsidRDefault="00276F25" w:rsidP="00276F25">
      <w:pPr>
        <w:autoSpaceDE w:val="0"/>
        <w:autoSpaceDN w:val="0"/>
        <w:ind w:left="720"/>
        <w:jc w:val="both"/>
        <w:rPr>
          <w:rFonts w:ascii="Open Sans" w:hAnsi="Open Sans" w:cs="Open Sans"/>
          <w:sz w:val="20"/>
          <w:szCs w:val="20"/>
          <w:lang w:val="en-GB"/>
        </w:rPr>
      </w:pPr>
      <w:r w:rsidRPr="0025667C">
        <w:rPr>
          <w:rFonts w:ascii="Open Sans" w:hAnsi="Open Sans" w:cs="Open Sans"/>
          <w:sz w:val="20"/>
          <w:szCs w:val="20"/>
          <w:lang w:val="en-GB"/>
        </w:rPr>
        <w:t>The financing instruments at EU and Member State</w:t>
      </w:r>
      <w:r>
        <w:rPr>
          <w:rFonts w:ascii="Open Sans" w:hAnsi="Open Sans" w:cs="Open Sans"/>
          <w:sz w:val="20"/>
          <w:szCs w:val="20"/>
          <w:lang w:val="en-GB"/>
        </w:rPr>
        <w:t>s</w:t>
      </w:r>
      <w:r w:rsidRPr="0025667C">
        <w:rPr>
          <w:rFonts w:ascii="Open Sans" w:hAnsi="Open Sans" w:cs="Open Sans"/>
          <w:sz w:val="20"/>
          <w:szCs w:val="20"/>
          <w:lang w:val="en-GB"/>
        </w:rPr>
        <w:t xml:space="preserve"> level should be present and accessible to facilitate investments. Investment costs can be significant and it would not be in the interest of the EU to have European companies relocating their headquarters and their stock exchange listing in order to access adequate finances and investments.</w:t>
      </w:r>
      <w:r>
        <w:rPr>
          <w:rFonts w:ascii="Open Sans" w:hAnsi="Open Sans" w:cs="Open Sans"/>
          <w:sz w:val="20"/>
          <w:szCs w:val="20"/>
          <w:lang w:val="en-GB"/>
        </w:rPr>
        <w:t xml:space="preserve"> Those cost can reach levels as high as tens billions of euro in CAPEX and OPEX combined. </w:t>
      </w:r>
    </w:p>
    <w:p w14:paraId="5C01FA40" w14:textId="77777777" w:rsidR="00276F25" w:rsidRPr="0025667C" w:rsidRDefault="00276F25" w:rsidP="00276F25">
      <w:pPr>
        <w:pStyle w:val="Akapitzlist"/>
        <w:jc w:val="both"/>
        <w:rPr>
          <w:rFonts w:ascii="Open Sans" w:hAnsi="Open Sans" w:cs="Open Sans"/>
          <w:sz w:val="20"/>
          <w:szCs w:val="20"/>
          <w:lang w:val="en-GB"/>
        </w:rPr>
      </w:pPr>
    </w:p>
    <w:p w14:paraId="52EA53CC" w14:textId="77777777" w:rsidR="00276F25" w:rsidRPr="0025667C" w:rsidRDefault="00276F25" w:rsidP="00276F25">
      <w:pPr>
        <w:pStyle w:val="Akapitzlist"/>
        <w:numPr>
          <w:ilvl w:val="0"/>
          <w:numId w:val="7"/>
        </w:numPr>
        <w:jc w:val="both"/>
        <w:rPr>
          <w:rFonts w:ascii="Open Sans" w:hAnsi="Open Sans" w:cs="Open Sans"/>
          <w:b/>
          <w:sz w:val="20"/>
          <w:szCs w:val="20"/>
          <w:lang w:val="en-GB"/>
        </w:rPr>
      </w:pPr>
      <w:r w:rsidRPr="0025667C">
        <w:rPr>
          <w:rFonts w:ascii="Open Sans" w:hAnsi="Open Sans" w:cs="Open Sans"/>
          <w:b/>
          <w:sz w:val="20"/>
          <w:szCs w:val="20"/>
          <w:lang w:val="en-GB"/>
        </w:rPr>
        <w:t>Support for innovation and high technology investments in the raw materials sector through programmes dedicated to mining and metallurgy under Horizo</w:t>
      </w:r>
      <w:r>
        <w:rPr>
          <w:rFonts w:ascii="Open Sans" w:hAnsi="Open Sans" w:cs="Open Sans"/>
          <w:b/>
          <w:sz w:val="20"/>
          <w:szCs w:val="20"/>
          <w:lang w:val="en-GB"/>
        </w:rPr>
        <w:t>n Europe and similar mechanisms</w:t>
      </w:r>
    </w:p>
    <w:p w14:paraId="029D9E31" w14:textId="321C5A8B" w:rsidR="00276F25" w:rsidRDefault="00276F25" w:rsidP="00276F25">
      <w:pPr>
        <w:autoSpaceDE w:val="0"/>
        <w:autoSpaceDN w:val="0"/>
        <w:ind w:left="720"/>
        <w:jc w:val="both"/>
        <w:rPr>
          <w:rFonts w:ascii="Open Sans" w:hAnsi="Open Sans" w:cs="Open Sans"/>
          <w:sz w:val="20"/>
          <w:szCs w:val="20"/>
          <w:lang w:val="en-GB"/>
        </w:rPr>
      </w:pPr>
      <w:r w:rsidRPr="0025667C">
        <w:rPr>
          <w:rFonts w:ascii="Open Sans" w:hAnsi="Open Sans" w:cs="Open Sans"/>
          <w:sz w:val="20"/>
          <w:szCs w:val="20"/>
          <w:lang w:val="en-GB"/>
        </w:rPr>
        <w:t xml:space="preserve">Industry is faced with uncertainty when considering the investments required for realising the lower carbon reduction targets. Public incentives can </w:t>
      </w:r>
      <w:r>
        <w:rPr>
          <w:rFonts w:ascii="Open Sans" w:hAnsi="Open Sans" w:cs="Open Sans"/>
          <w:sz w:val="20"/>
          <w:szCs w:val="20"/>
          <w:lang w:val="en-GB"/>
        </w:rPr>
        <w:t xml:space="preserve">give </w:t>
      </w:r>
      <w:r w:rsidRPr="0025667C">
        <w:rPr>
          <w:rFonts w:ascii="Open Sans" w:hAnsi="Open Sans" w:cs="Open Sans"/>
          <w:sz w:val="20"/>
          <w:szCs w:val="20"/>
          <w:lang w:val="en-GB"/>
        </w:rPr>
        <w:t xml:space="preserve">support </w:t>
      </w:r>
      <w:r>
        <w:rPr>
          <w:rFonts w:ascii="Open Sans" w:hAnsi="Open Sans" w:cs="Open Sans"/>
          <w:sz w:val="20"/>
          <w:szCs w:val="20"/>
          <w:lang w:val="en-GB"/>
        </w:rPr>
        <w:t>by</w:t>
      </w:r>
      <w:r w:rsidRPr="0025667C">
        <w:rPr>
          <w:rFonts w:ascii="Open Sans" w:hAnsi="Open Sans" w:cs="Open Sans"/>
          <w:sz w:val="20"/>
          <w:szCs w:val="20"/>
          <w:lang w:val="en-GB"/>
        </w:rPr>
        <w:t xml:space="preserve"> taking away some of this uncertainty. It is important to </w:t>
      </w:r>
      <w:r>
        <w:rPr>
          <w:rFonts w:ascii="Open Sans" w:hAnsi="Open Sans" w:cs="Open Sans"/>
          <w:sz w:val="20"/>
          <w:szCs w:val="20"/>
          <w:lang w:val="en-GB"/>
        </w:rPr>
        <w:t>introduce</w:t>
      </w:r>
      <w:r w:rsidRPr="0025667C">
        <w:rPr>
          <w:rFonts w:ascii="Open Sans" w:hAnsi="Open Sans" w:cs="Open Sans"/>
          <w:sz w:val="20"/>
          <w:szCs w:val="20"/>
          <w:lang w:val="en-GB"/>
        </w:rPr>
        <w:t xml:space="preserve"> R&amp;D programme</w:t>
      </w:r>
      <w:r>
        <w:rPr>
          <w:rFonts w:ascii="Open Sans" w:hAnsi="Open Sans" w:cs="Open Sans"/>
          <w:sz w:val="20"/>
          <w:szCs w:val="20"/>
          <w:lang w:val="en-GB"/>
        </w:rPr>
        <w:t>s</w:t>
      </w:r>
      <w:r w:rsidRPr="0025667C">
        <w:rPr>
          <w:rFonts w:ascii="Open Sans" w:hAnsi="Open Sans" w:cs="Open Sans"/>
          <w:sz w:val="20"/>
          <w:szCs w:val="20"/>
          <w:lang w:val="en-GB"/>
        </w:rPr>
        <w:t xml:space="preserve"> dedicated to the raw </w:t>
      </w:r>
      <w:r w:rsidRPr="0025667C">
        <w:rPr>
          <w:rFonts w:ascii="Open Sans" w:hAnsi="Open Sans" w:cs="Open Sans"/>
          <w:sz w:val="20"/>
          <w:szCs w:val="20"/>
          <w:lang w:val="en-GB"/>
        </w:rPr>
        <w:lastRenderedPageBreak/>
        <w:t>materials industry</w:t>
      </w:r>
      <w:r>
        <w:rPr>
          <w:rFonts w:ascii="Open Sans" w:hAnsi="Open Sans" w:cs="Open Sans"/>
          <w:sz w:val="20"/>
          <w:szCs w:val="20"/>
          <w:lang w:val="en-GB"/>
        </w:rPr>
        <w:t>’s low-</w:t>
      </w:r>
      <w:r w:rsidRPr="0025667C">
        <w:rPr>
          <w:rFonts w:ascii="Open Sans" w:hAnsi="Open Sans" w:cs="Open Sans"/>
          <w:sz w:val="20"/>
          <w:szCs w:val="20"/>
          <w:lang w:val="en-GB"/>
        </w:rPr>
        <w:t>CO2 technologies. Support for development, piloting and up-scaling of key innovative decarbonisation and en</w:t>
      </w:r>
      <w:r>
        <w:rPr>
          <w:rFonts w:ascii="Open Sans" w:hAnsi="Open Sans" w:cs="Open Sans"/>
          <w:sz w:val="20"/>
          <w:szCs w:val="20"/>
          <w:lang w:val="en-GB"/>
        </w:rPr>
        <w:t>ergy efficiency technologies is necessary</w:t>
      </w:r>
      <w:r w:rsidRPr="0025667C">
        <w:rPr>
          <w:rFonts w:ascii="Open Sans" w:hAnsi="Open Sans" w:cs="Open Sans"/>
          <w:sz w:val="20"/>
          <w:szCs w:val="20"/>
          <w:lang w:val="en-GB"/>
        </w:rPr>
        <w:t xml:space="preserve">. </w:t>
      </w:r>
    </w:p>
    <w:p w14:paraId="73CA728C" w14:textId="5FDC3792" w:rsidR="00276F25" w:rsidRPr="0025667C" w:rsidRDefault="00276F25" w:rsidP="00276F25">
      <w:pPr>
        <w:autoSpaceDE w:val="0"/>
        <w:autoSpaceDN w:val="0"/>
        <w:ind w:left="720"/>
        <w:jc w:val="both"/>
        <w:rPr>
          <w:rFonts w:ascii="Open Sans" w:hAnsi="Open Sans" w:cs="Open Sans"/>
          <w:sz w:val="20"/>
          <w:szCs w:val="20"/>
          <w:lang w:val="en-GB"/>
        </w:rPr>
      </w:pPr>
      <w:r w:rsidRPr="0025667C">
        <w:rPr>
          <w:rFonts w:ascii="Open Sans" w:hAnsi="Open Sans" w:cs="Open Sans"/>
          <w:sz w:val="20"/>
          <w:szCs w:val="20"/>
          <w:lang w:val="en-GB"/>
        </w:rPr>
        <w:t>In particular CCS and CCU will also be needed for a number of mineral processing since naturally occurring compounds will continue to emit CO2 which ideally needs to be used, rather than emitted. European mining equipment man</w:t>
      </w:r>
      <w:r>
        <w:rPr>
          <w:rFonts w:ascii="Open Sans" w:hAnsi="Open Sans" w:cs="Open Sans"/>
          <w:sz w:val="20"/>
          <w:szCs w:val="20"/>
          <w:lang w:val="en-GB"/>
        </w:rPr>
        <w:t>ufacturers are world leaders in </w:t>
      </w:r>
      <w:r w:rsidRPr="0025667C">
        <w:rPr>
          <w:rFonts w:ascii="Open Sans" w:hAnsi="Open Sans" w:cs="Open Sans"/>
          <w:sz w:val="20"/>
          <w:szCs w:val="20"/>
          <w:lang w:val="en-GB"/>
        </w:rPr>
        <w:t>quality equipment and new developments. Therefore, Europe will provide excellent opportunities for exporting such know-how and technologies, hence, contributing to addressing climate change contributions in other parts of the world.</w:t>
      </w:r>
    </w:p>
    <w:p w14:paraId="38996045" w14:textId="77777777" w:rsidR="00276F25" w:rsidRPr="0025667C" w:rsidRDefault="00276F25" w:rsidP="00276F25">
      <w:pPr>
        <w:pStyle w:val="Akapitzlist"/>
        <w:jc w:val="both"/>
        <w:rPr>
          <w:rFonts w:ascii="Open Sans" w:hAnsi="Open Sans" w:cs="Open Sans"/>
          <w:sz w:val="20"/>
          <w:szCs w:val="20"/>
          <w:lang w:val="en-GB"/>
        </w:rPr>
      </w:pPr>
    </w:p>
    <w:p w14:paraId="6F0F07C3" w14:textId="77777777" w:rsidR="00276F25" w:rsidRPr="0025667C" w:rsidRDefault="00276F25" w:rsidP="00276F25">
      <w:pPr>
        <w:pStyle w:val="Akapitzlist"/>
        <w:numPr>
          <w:ilvl w:val="0"/>
          <w:numId w:val="7"/>
        </w:numPr>
        <w:jc w:val="both"/>
        <w:rPr>
          <w:rFonts w:ascii="Open Sans" w:hAnsi="Open Sans" w:cs="Open Sans"/>
          <w:b/>
          <w:sz w:val="20"/>
          <w:szCs w:val="20"/>
          <w:lang w:val="en-GB"/>
        </w:rPr>
      </w:pPr>
      <w:r w:rsidRPr="0025667C">
        <w:rPr>
          <w:rFonts w:ascii="Open Sans" w:hAnsi="Open Sans" w:cs="Open Sans"/>
          <w:b/>
          <w:sz w:val="20"/>
          <w:szCs w:val="20"/>
          <w:lang w:val="en-GB"/>
        </w:rPr>
        <w:t>Significant increase in co-financing of investments in energy and raw material efficient recycling of non-ferrous metals and legislative support for the sector by securing the supply of metal scrap (preven</w:t>
      </w:r>
      <w:r>
        <w:rPr>
          <w:rFonts w:ascii="Open Sans" w:hAnsi="Open Sans" w:cs="Open Sans"/>
          <w:b/>
          <w:sz w:val="20"/>
          <w:szCs w:val="20"/>
          <w:lang w:val="en-GB"/>
        </w:rPr>
        <w:t>ting its export outside the EU)</w:t>
      </w:r>
    </w:p>
    <w:p w14:paraId="2EA9B5BB" w14:textId="4B1265C2" w:rsidR="00276F25" w:rsidRPr="00D54AEA" w:rsidRDefault="00276F25" w:rsidP="00276F25">
      <w:pPr>
        <w:autoSpaceDE w:val="0"/>
        <w:autoSpaceDN w:val="0"/>
        <w:ind w:left="708"/>
        <w:jc w:val="both"/>
        <w:rPr>
          <w:rFonts w:ascii="Open Sans" w:hAnsi="Open Sans" w:cs="Open Sans"/>
          <w:sz w:val="20"/>
          <w:szCs w:val="20"/>
          <w:lang w:val="en-GB"/>
        </w:rPr>
      </w:pPr>
      <w:r w:rsidRPr="0025667C">
        <w:rPr>
          <w:rFonts w:ascii="Open Sans" w:hAnsi="Open Sans" w:cs="Open Sans"/>
          <w:sz w:val="20"/>
          <w:szCs w:val="20"/>
          <w:lang w:val="en-GB"/>
        </w:rPr>
        <w:t>According to the Institute for European Studies (IES)</w:t>
      </w:r>
      <w:r w:rsidR="00001283">
        <w:rPr>
          <w:rStyle w:val="Odwoanieprzypisudolnego"/>
          <w:rFonts w:ascii="Open Sans" w:hAnsi="Open Sans" w:cs="Open Sans"/>
          <w:sz w:val="20"/>
          <w:szCs w:val="20"/>
          <w:lang w:val="en-GB"/>
        </w:rPr>
        <w:footnoteReference w:id="4"/>
      </w:r>
      <w:r w:rsidRPr="0025667C">
        <w:rPr>
          <w:rFonts w:ascii="Open Sans" w:hAnsi="Open Sans" w:cs="Open Sans"/>
          <w:sz w:val="20"/>
          <w:szCs w:val="20"/>
          <w:lang w:val="en-GB"/>
        </w:rPr>
        <w:t xml:space="preserve"> at the </w:t>
      </w:r>
      <w:proofErr w:type="spellStart"/>
      <w:r w:rsidRPr="0025667C">
        <w:rPr>
          <w:rFonts w:ascii="Open Sans" w:hAnsi="Open Sans" w:cs="Open Sans"/>
          <w:sz w:val="20"/>
          <w:szCs w:val="20"/>
          <w:lang w:val="en-GB"/>
        </w:rPr>
        <w:t>Vrije</w:t>
      </w:r>
      <w:proofErr w:type="spellEnd"/>
      <w:r w:rsidRPr="0025667C">
        <w:rPr>
          <w:rFonts w:ascii="Open Sans" w:hAnsi="Open Sans" w:cs="Open Sans"/>
          <w:sz w:val="20"/>
          <w:szCs w:val="20"/>
          <w:lang w:val="en-GB"/>
        </w:rPr>
        <w:t xml:space="preserve"> </w:t>
      </w:r>
      <w:proofErr w:type="spellStart"/>
      <w:r w:rsidRPr="0025667C">
        <w:rPr>
          <w:rFonts w:ascii="Open Sans" w:hAnsi="Open Sans" w:cs="Open Sans"/>
          <w:sz w:val="20"/>
          <w:szCs w:val="20"/>
          <w:lang w:val="en-GB"/>
        </w:rPr>
        <w:t>Universiteit</w:t>
      </w:r>
      <w:proofErr w:type="spellEnd"/>
      <w:r w:rsidRPr="0025667C">
        <w:rPr>
          <w:rFonts w:ascii="Open Sans" w:hAnsi="Open Sans" w:cs="Open Sans"/>
          <w:sz w:val="20"/>
          <w:szCs w:val="20"/>
          <w:lang w:val="en-GB"/>
        </w:rPr>
        <w:t xml:space="preserve"> Brussel (VUB), </w:t>
      </w:r>
      <w:r>
        <w:rPr>
          <w:rFonts w:ascii="Open Sans" w:hAnsi="Open Sans" w:cs="Open Sans"/>
          <w:sz w:val="20"/>
          <w:szCs w:val="20"/>
          <w:lang w:val="en-GB"/>
        </w:rPr>
        <w:t>European raw materials sector shows high level</w:t>
      </w:r>
      <w:r w:rsidRPr="0025667C">
        <w:rPr>
          <w:rFonts w:ascii="Open Sans" w:hAnsi="Open Sans" w:cs="Open Sans"/>
          <w:sz w:val="20"/>
          <w:szCs w:val="20"/>
          <w:lang w:val="en-GB"/>
        </w:rPr>
        <w:t xml:space="preserve"> of circularity, with around 50% of Europe’s production of base metals now coming from recycled sources. We need to secure the supply of metal scrap, excluding the possibility</w:t>
      </w:r>
      <w:r>
        <w:rPr>
          <w:rFonts w:ascii="Open Sans" w:hAnsi="Open Sans" w:cs="Open Sans"/>
          <w:sz w:val="20"/>
          <w:szCs w:val="20"/>
          <w:lang w:val="en-GB"/>
        </w:rPr>
        <w:t xml:space="preserve"> of exporting it outside the EU.</w:t>
      </w:r>
      <w:r w:rsidRPr="0025667C">
        <w:rPr>
          <w:rFonts w:ascii="Open Sans" w:hAnsi="Open Sans" w:cs="Open Sans"/>
          <w:sz w:val="20"/>
          <w:szCs w:val="20"/>
          <w:lang w:val="en-GB"/>
        </w:rPr>
        <w:t xml:space="preserve"> </w:t>
      </w:r>
      <w:r>
        <w:rPr>
          <w:rFonts w:ascii="Open Sans" w:hAnsi="Open Sans" w:cs="Open Sans"/>
          <w:sz w:val="20"/>
          <w:szCs w:val="20"/>
          <w:lang w:val="en-GB"/>
        </w:rPr>
        <w:t xml:space="preserve">Even though </w:t>
      </w:r>
      <w:r w:rsidRPr="00D54AEA">
        <w:rPr>
          <w:rFonts w:ascii="Open Sans" w:hAnsi="Open Sans" w:cs="Open Sans"/>
          <w:b/>
          <w:sz w:val="20"/>
          <w:szCs w:val="20"/>
          <w:lang w:val="en-GB"/>
        </w:rPr>
        <w:t>recycling of copper</w:t>
      </w:r>
      <w:r>
        <w:rPr>
          <w:rFonts w:ascii="Open Sans" w:hAnsi="Open Sans" w:cs="Open Sans"/>
          <w:sz w:val="20"/>
          <w:szCs w:val="20"/>
          <w:lang w:val="en-GB"/>
        </w:rPr>
        <w:t xml:space="preserve"> </w:t>
      </w:r>
      <w:r>
        <w:rPr>
          <w:rFonts w:ascii="Open Sans" w:hAnsi="Open Sans" w:cs="Open Sans"/>
          <w:b/>
          <w:sz w:val="20"/>
          <w:szCs w:val="20"/>
          <w:lang w:val="en-GB"/>
        </w:rPr>
        <w:t xml:space="preserve">will never be enough </w:t>
      </w:r>
      <w:r>
        <w:rPr>
          <w:rFonts w:ascii="Open Sans" w:hAnsi="Open Sans" w:cs="Open Sans"/>
          <w:sz w:val="20"/>
          <w:szCs w:val="20"/>
          <w:lang w:val="en-GB"/>
        </w:rPr>
        <w:t>to cover the demand and </w:t>
      </w:r>
      <w:r>
        <w:rPr>
          <w:rFonts w:ascii="Open Sans" w:hAnsi="Open Sans" w:cs="Open Sans"/>
          <w:b/>
          <w:sz w:val="20"/>
          <w:szCs w:val="20"/>
          <w:lang w:val="en-GB"/>
        </w:rPr>
        <w:t>primary production from European mines will still be required</w:t>
      </w:r>
      <w:r>
        <w:rPr>
          <w:rFonts w:ascii="Open Sans" w:hAnsi="Open Sans" w:cs="Open Sans"/>
          <w:sz w:val="20"/>
          <w:szCs w:val="20"/>
          <w:lang w:val="en-GB"/>
        </w:rPr>
        <w:t>, it is a very clear and helpful direction for industry’s race towards circular economy.</w:t>
      </w:r>
    </w:p>
    <w:p w14:paraId="3FADA45F" w14:textId="77777777" w:rsidR="00276F25" w:rsidRPr="0025667C" w:rsidRDefault="00276F25" w:rsidP="00276F25">
      <w:pPr>
        <w:autoSpaceDE w:val="0"/>
        <w:autoSpaceDN w:val="0"/>
        <w:ind w:left="708"/>
        <w:jc w:val="both"/>
        <w:rPr>
          <w:rFonts w:ascii="Open Sans" w:hAnsi="Open Sans" w:cs="Open Sans"/>
          <w:sz w:val="20"/>
          <w:szCs w:val="20"/>
          <w:lang w:val="en-GB"/>
        </w:rPr>
      </w:pPr>
      <w:r>
        <w:rPr>
          <w:rFonts w:ascii="Open Sans" w:hAnsi="Open Sans" w:cs="Open Sans"/>
          <w:sz w:val="20"/>
          <w:szCs w:val="20"/>
          <w:lang w:val="en-GB"/>
        </w:rPr>
        <w:t>A</w:t>
      </w:r>
      <w:r w:rsidRPr="0025667C">
        <w:rPr>
          <w:rFonts w:ascii="Open Sans" w:hAnsi="Open Sans" w:cs="Open Sans"/>
          <w:sz w:val="20"/>
          <w:szCs w:val="20"/>
          <w:lang w:val="en-GB"/>
        </w:rPr>
        <w:t xml:space="preserve"> key driver for this is that the increase in total demand for materials can only be easily met through </w:t>
      </w:r>
      <w:r w:rsidRPr="00D54AEA">
        <w:rPr>
          <w:rFonts w:ascii="Open Sans" w:hAnsi="Open Sans" w:cs="Open Sans"/>
          <w:b/>
          <w:sz w:val="20"/>
          <w:szCs w:val="20"/>
          <w:lang w:val="en-GB"/>
        </w:rPr>
        <w:t xml:space="preserve">increasing both primary and secondary materials </w:t>
      </w:r>
      <w:r>
        <w:rPr>
          <w:rFonts w:ascii="Open Sans" w:hAnsi="Open Sans" w:cs="Open Sans"/>
          <w:b/>
          <w:sz w:val="20"/>
          <w:szCs w:val="20"/>
          <w:lang w:val="en-GB"/>
        </w:rPr>
        <w:t xml:space="preserve">production and </w:t>
      </w:r>
      <w:r w:rsidRPr="00D54AEA">
        <w:rPr>
          <w:rFonts w:ascii="Open Sans" w:hAnsi="Open Sans" w:cs="Open Sans"/>
          <w:b/>
          <w:sz w:val="20"/>
          <w:szCs w:val="20"/>
          <w:lang w:val="en-GB"/>
        </w:rPr>
        <w:t>use</w:t>
      </w:r>
      <w:r w:rsidRPr="0025667C">
        <w:rPr>
          <w:rFonts w:ascii="Open Sans" w:hAnsi="Open Sans" w:cs="Open Sans"/>
          <w:sz w:val="20"/>
          <w:szCs w:val="20"/>
          <w:lang w:val="en-GB"/>
        </w:rPr>
        <w:t>. The relatively high labour costs for secondary production methods also hampers further penetration of secondary non-ferrous metals in the central baseline projection. This is why we need fund</w:t>
      </w:r>
      <w:r>
        <w:rPr>
          <w:rFonts w:ascii="Open Sans" w:hAnsi="Open Sans" w:cs="Open Sans"/>
          <w:sz w:val="20"/>
          <w:szCs w:val="20"/>
          <w:lang w:val="en-GB"/>
        </w:rPr>
        <w:t>ing</w:t>
      </w:r>
      <w:r w:rsidRPr="0025667C">
        <w:rPr>
          <w:rFonts w:ascii="Open Sans" w:hAnsi="Open Sans" w:cs="Open Sans"/>
          <w:sz w:val="20"/>
          <w:szCs w:val="20"/>
          <w:lang w:val="en-GB"/>
        </w:rPr>
        <w:t xml:space="preserve"> program</w:t>
      </w:r>
      <w:r>
        <w:rPr>
          <w:rFonts w:ascii="Open Sans" w:hAnsi="Open Sans" w:cs="Open Sans"/>
          <w:sz w:val="20"/>
          <w:szCs w:val="20"/>
          <w:lang w:val="en-GB"/>
        </w:rPr>
        <w:t>me</w:t>
      </w:r>
      <w:r w:rsidRPr="0025667C">
        <w:rPr>
          <w:rFonts w:ascii="Open Sans" w:hAnsi="Open Sans" w:cs="Open Sans"/>
          <w:sz w:val="20"/>
          <w:szCs w:val="20"/>
          <w:lang w:val="en-GB"/>
        </w:rPr>
        <w:t>, which will help us to increase our energy e</w:t>
      </w:r>
      <w:r>
        <w:rPr>
          <w:rFonts w:ascii="Open Sans" w:hAnsi="Open Sans" w:cs="Open Sans"/>
          <w:sz w:val="20"/>
          <w:szCs w:val="20"/>
          <w:lang w:val="en-GB"/>
        </w:rPr>
        <w:t>fficiency and recycling process and thus keep the costs low enough for this part of the business to constantly develop and progress.</w:t>
      </w:r>
    </w:p>
    <w:p w14:paraId="03879766" w14:textId="77777777" w:rsidR="00276F25" w:rsidRPr="0025667C" w:rsidRDefault="00276F25" w:rsidP="00276F25">
      <w:pPr>
        <w:pStyle w:val="Akapitzlist"/>
        <w:numPr>
          <w:ilvl w:val="0"/>
          <w:numId w:val="7"/>
        </w:numPr>
        <w:jc w:val="both"/>
        <w:rPr>
          <w:rFonts w:ascii="Open Sans" w:hAnsi="Open Sans" w:cs="Open Sans"/>
          <w:b/>
          <w:sz w:val="20"/>
          <w:szCs w:val="20"/>
          <w:lang w:val="en-GB"/>
        </w:rPr>
      </w:pPr>
      <w:r w:rsidRPr="0025667C">
        <w:rPr>
          <w:rFonts w:ascii="Open Sans" w:hAnsi="Open Sans" w:cs="Open Sans"/>
          <w:b/>
          <w:sz w:val="20"/>
          <w:szCs w:val="20"/>
          <w:lang w:val="en-GB"/>
        </w:rPr>
        <w:t xml:space="preserve">Preferences for raw materials extracted and produced </w:t>
      </w:r>
      <w:r>
        <w:rPr>
          <w:rFonts w:ascii="Open Sans" w:hAnsi="Open Sans" w:cs="Open Sans"/>
          <w:b/>
          <w:sz w:val="20"/>
          <w:szCs w:val="20"/>
          <w:lang w:val="en-GB"/>
        </w:rPr>
        <w:t xml:space="preserve">in Europe </w:t>
      </w:r>
      <w:r w:rsidRPr="0025667C">
        <w:rPr>
          <w:rFonts w:ascii="Open Sans" w:hAnsi="Open Sans" w:cs="Open Sans"/>
          <w:b/>
          <w:sz w:val="20"/>
          <w:szCs w:val="20"/>
          <w:lang w:val="en-GB"/>
        </w:rPr>
        <w:t>under public procurement contracts</w:t>
      </w:r>
    </w:p>
    <w:p w14:paraId="03C7D117" w14:textId="70DC41B1" w:rsidR="00276F25" w:rsidRPr="0025667C" w:rsidRDefault="00276F25" w:rsidP="00276F25">
      <w:pPr>
        <w:autoSpaceDE w:val="0"/>
        <w:autoSpaceDN w:val="0"/>
        <w:ind w:left="708"/>
        <w:jc w:val="both"/>
        <w:rPr>
          <w:rFonts w:ascii="Open Sans" w:hAnsi="Open Sans" w:cs="Open Sans"/>
          <w:sz w:val="20"/>
          <w:szCs w:val="20"/>
          <w:lang w:val="en-GB"/>
        </w:rPr>
      </w:pPr>
      <w:r w:rsidRPr="0025667C">
        <w:rPr>
          <w:rFonts w:ascii="Open Sans" w:hAnsi="Open Sans" w:cs="Open Sans"/>
          <w:sz w:val="20"/>
          <w:szCs w:val="20"/>
          <w:lang w:val="en-GB"/>
        </w:rPr>
        <w:t>In the directive on public procurement we propose to include preferential provisions for raw materials extracted in Europe and manufactured products. The preferential coverage of extracted raw materials and manufactured products will contribute to the fact that European companies would be used in the first place for investments related to public procurement. Such action will significantly contribute to securing the supply chain, stabilizing the development of European enterprises and strengthening the European mining and manufacturing sector. In addition, such activities will contribute to the use of raw materials in public procurement that have a low c</w:t>
      </w:r>
      <w:r>
        <w:rPr>
          <w:rFonts w:ascii="Open Sans" w:hAnsi="Open Sans" w:cs="Open Sans"/>
          <w:sz w:val="20"/>
          <w:szCs w:val="20"/>
          <w:lang w:val="en-GB"/>
        </w:rPr>
        <w:t>arbon footprint and come from a </w:t>
      </w:r>
      <w:r w:rsidRPr="0025667C">
        <w:rPr>
          <w:rFonts w:ascii="Open Sans" w:hAnsi="Open Sans" w:cs="Open Sans"/>
          <w:sz w:val="20"/>
          <w:szCs w:val="20"/>
          <w:lang w:val="en-GB"/>
        </w:rPr>
        <w:t>trusted and safe source.</w:t>
      </w:r>
    </w:p>
    <w:p w14:paraId="23AD1934" w14:textId="77777777" w:rsidR="00276F25" w:rsidRPr="0025667C" w:rsidRDefault="00276F25" w:rsidP="00276F25">
      <w:pPr>
        <w:jc w:val="both"/>
        <w:rPr>
          <w:rFonts w:ascii="Open Sans" w:hAnsi="Open Sans" w:cs="Open Sans"/>
          <w:sz w:val="20"/>
          <w:szCs w:val="20"/>
          <w:lang w:val="en-GB"/>
        </w:rPr>
      </w:pPr>
    </w:p>
    <w:p w14:paraId="068FC96D" w14:textId="77777777" w:rsidR="00DB346A" w:rsidRDefault="00DB346A" w:rsidP="00DB346A">
      <w:pPr>
        <w:pStyle w:val="Akapitzlist"/>
        <w:ind w:left="360"/>
        <w:jc w:val="both"/>
        <w:rPr>
          <w:rFonts w:ascii="Open Sans" w:hAnsi="Open Sans" w:cs="Open Sans"/>
          <w:b/>
          <w:sz w:val="20"/>
          <w:szCs w:val="20"/>
          <w:lang w:val="en-GB"/>
        </w:rPr>
      </w:pPr>
    </w:p>
    <w:p w14:paraId="42AC9C0F" w14:textId="77777777" w:rsidR="00276F25" w:rsidRPr="0025667C" w:rsidRDefault="00276F25" w:rsidP="00276F25">
      <w:pPr>
        <w:pStyle w:val="Akapitzlist"/>
        <w:numPr>
          <w:ilvl w:val="0"/>
          <w:numId w:val="5"/>
        </w:numPr>
        <w:jc w:val="both"/>
        <w:rPr>
          <w:rFonts w:ascii="Open Sans" w:hAnsi="Open Sans" w:cs="Open Sans"/>
          <w:b/>
          <w:sz w:val="20"/>
          <w:szCs w:val="20"/>
          <w:lang w:val="en-GB"/>
        </w:rPr>
      </w:pPr>
      <w:r w:rsidRPr="0025667C">
        <w:rPr>
          <w:rFonts w:ascii="Open Sans" w:hAnsi="Open Sans" w:cs="Open Sans"/>
          <w:b/>
          <w:sz w:val="20"/>
          <w:szCs w:val="20"/>
          <w:lang w:val="en-GB"/>
        </w:rPr>
        <w:t>ARGUMENTS IN FAVOUR OF ADOPTING THE PRESENTED POSITION:</w:t>
      </w:r>
    </w:p>
    <w:p w14:paraId="72EBBFD1" w14:textId="77777777" w:rsidR="00276F25" w:rsidRDefault="00276F25" w:rsidP="00276F25">
      <w:pPr>
        <w:numPr>
          <w:ilvl w:val="0"/>
          <w:numId w:val="4"/>
        </w:numPr>
        <w:jc w:val="both"/>
        <w:rPr>
          <w:rFonts w:ascii="Open Sans" w:hAnsi="Open Sans" w:cs="Open Sans"/>
          <w:b/>
          <w:sz w:val="20"/>
          <w:szCs w:val="20"/>
          <w:lang w:val="en-GB"/>
        </w:rPr>
      </w:pPr>
      <w:r>
        <w:rPr>
          <w:rFonts w:ascii="Open Sans" w:hAnsi="Open Sans" w:cs="Open Sans"/>
          <w:b/>
          <w:sz w:val="20"/>
          <w:szCs w:val="20"/>
          <w:lang w:val="en-GB"/>
        </w:rPr>
        <w:t>European Green Deal will require more base metals. European raw materials industry can contribute and has very low carbon footprint</w:t>
      </w:r>
    </w:p>
    <w:p w14:paraId="592AA2FF" w14:textId="77777777" w:rsidR="00276F25" w:rsidRPr="0025667C" w:rsidRDefault="00276F25" w:rsidP="00276F25">
      <w:pPr>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As vital as this sector is for the European economy because it provides the base load for many metals and minerals for the EU downstream industries, its overall contribution in CO2 on the scale of things is not enormous. On average 40% of metals are produced in the EU, in most industrial minerals and aggregates the EU is self-sufficient and in some cases even exports.</w:t>
      </w:r>
    </w:p>
    <w:p w14:paraId="53BBE408" w14:textId="77777777" w:rsidR="00276F25" w:rsidRPr="0025667C" w:rsidRDefault="00276F25" w:rsidP="00276F25">
      <w:pPr>
        <w:spacing w:after="0" w:line="240" w:lineRule="auto"/>
        <w:ind w:left="708"/>
        <w:jc w:val="both"/>
        <w:rPr>
          <w:rFonts w:ascii="Open Sans" w:eastAsia="Calibri" w:hAnsi="Open Sans" w:cs="Open Sans"/>
          <w:sz w:val="20"/>
          <w:szCs w:val="20"/>
          <w:lang w:val="en-GB"/>
        </w:rPr>
      </w:pPr>
    </w:p>
    <w:p w14:paraId="6A27E71D"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 xml:space="preserve">According to the </w:t>
      </w:r>
      <w:proofErr w:type="spellStart"/>
      <w:r w:rsidRPr="0025667C">
        <w:rPr>
          <w:rFonts w:ascii="Open Sans" w:eastAsia="Calibri" w:hAnsi="Open Sans" w:cs="Open Sans"/>
          <w:sz w:val="20"/>
          <w:szCs w:val="20"/>
          <w:lang w:val="en-GB"/>
        </w:rPr>
        <w:t>Eurometaux</w:t>
      </w:r>
      <w:proofErr w:type="spellEnd"/>
      <w:r>
        <w:rPr>
          <w:rFonts w:ascii="Open Sans" w:eastAsia="Calibri" w:hAnsi="Open Sans" w:cs="Open Sans"/>
          <w:sz w:val="20"/>
          <w:szCs w:val="20"/>
          <w:lang w:val="en-GB"/>
        </w:rPr>
        <w:t xml:space="preserve"> </w:t>
      </w:r>
      <w:r w:rsidRPr="0025667C">
        <w:rPr>
          <w:rFonts w:ascii="Open Sans" w:eastAsia="Calibri" w:hAnsi="Open Sans" w:cs="Open Sans"/>
          <w:sz w:val="20"/>
          <w:szCs w:val="20"/>
          <w:lang w:val="en-GB"/>
        </w:rPr>
        <w:t>data</w:t>
      </w:r>
      <w:r>
        <w:rPr>
          <w:rFonts w:ascii="Open Sans" w:eastAsia="Calibri" w:hAnsi="Open Sans" w:cs="Open Sans"/>
          <w:sz w:val="20"/>
          <w:szCs w:val="20"/>
          <w:lang w:val="en-GB"/>
        </w:rPr>
        <w:t>,</w:t>
      </w:r>
      <w:r w:rsidRPr="0025667C">
        <w:rPr>
          <w:rFonts w:ascii="Open Sans" w:eastAsia="Calibri" w:hAnsi="Open Sans" w:cs="Open Sans"/>
          <w:sz w:val="20"/>
          <w:szCs w:val="20"/>
          <w:lang w:val="en-GB"/>
        </w:rPr>
        <w:t xml:space="preserve"> Europe’s metals ecosystem </w:t>
      </w:r>
      <w:r>
        <w:rPr>
          <w:rFonts w:ascii="Open Sans" w:eastAsia="Calibri" w:hAnsi="Open Sans" w:cs="Open Sans"/>
          <w:sz w:val="20"/>
          <w:szCs w:val="20"/>
          <w:lang w:val="en-GB"/>
        </w:rPr>
        <w:t>is</w:t>
      </w:r>
      <w:r w:rsidRPr="0025667C">
        <w:rPr>
          <w:rFonts w:ascii="Open Sans" w:eastAsia="Calibri" w:hAnsi="Open Sans" w:cs="Open Sans"/>
          <w:sz w:val="20"/>
          <w:szCs w:val="20"/>
          <w:lang w:val="en-GB"/>
        </w:rPr>
        <w:t xml:space="preserve"> a frontrunner industry in the transition to climate-neutrality</w:t>
      </w:r>
      <w:r>
        <w:rPr>
          <w:rFonts w:ascii="Open Sans" w:eastAsia="Calibri" w:hAnsi="Open Sans" w:cs="Open Sans"/>
          <w:sz w:val="20"/>
          <w:szCs w:val="20"/>
          <w:lang w:val="en-GB"/>
        </w:rPr>
        <w:t>:</w:t>
      </w:r>
    </w:p>
    <w:p w14:paraId="17DA2612" w14:textId="77777777" w:rsidR="00276F25" w:rsidRPr="0025667C" w:rsidRDefault="00276F25" w:rsidP="00276F25">
      <w:pPr>
        <w:numPr>
          <w:ilvl w:val="0"/>
          <w:numId w:val="6"/>
        </w:numPr>
        <w:autoSpaceDE w:val="0"/>
        <w:autoSpaceDN w:val="0"/>
        <w:spacing w:after="0" w:line="240" w:lineRule="auto"/>
        <w:ind w:left="142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High levels of electrification (shifting away from carbon-intensive processes), with a 58% share of electricity in the sector’s overall energy use,</w:t>
      </w:r>
    </w:p>
    <w:p w14:paraId="26F32E8C" w14:textId="77777777" w:rsidR="00276F25" w:rsidRPr="0025667C" w:rsidRDefault="00276F25" w:rsidP="00276F25">
      <w:pPr>
        <w:numPr>
          <w:ilvl w:val="0"/>
          <w:numId w:val="6"/>
        </w:numPr>
        <w:autoSpaceDE w:val="0"/>
        <w:autoSpaceDN w:val="0"/>
        <w:spacing w:after="0" w:line="240" w:lineRule="auto"/>
        <w:ind w:left="142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 xml:space="preserve">High levels of </w:t>
      </w:r>
      <w:r w:rsidRPr="0025667C">
        <w:rPr>
          <w:rFonts w:ascii="Open Sans" w:eastAsia="Calibri" w:hAnsi="Open Sans" w:cs="Open Sans"/>
          <w:bCs/>
          <w:sz w:val="20"/>
          <w:szCs w:val="20"/>
          <w:lang w:val="en-GB"/>
        </w:rPr>
        <w:t>historical emissions reduction, with a 61% improvement on 1990 levels</w:t>
      </w:r>
      <w:r w:rsidRPr="0025667C">
        <w:rPr>
          <w:rFonts w:ascii="Open Sans" w:eastAsia="Calibri" w:hAnsi="Open Sans" w:cs="Open Sans"/>
          <w:sz w:val="20"/>
          <w:szCs w:val="20"/>
          <w:lang w:val="en-GB"/>
        </w:rPr>
        <w:t>,</w:t>
      </w:r>
    </w:p>
    <w:p w14:paraId="5A4D7891" w14:textId="77777777" w:rsidR="00276F25" w:rsidRPr="0025667C" w:rsidRDefault="00276F25" w:rsidP="00276F25">
      <w:pPr>
        <w:numPr>
          <w:ilvl w:val="0"/>
          <w:numId w:val="6"/>
        </w:numPr>
        <w:autoSpaceDE w:val="0"/>
        <w:autoSpaceDN w:val="0"/>
        <w:spacing w:after="0" w:line="240" w:lineRule="auto"/>
        <w:ind w:left="142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High levels of circularity, with around 50% of Europe’s production of base metals now coming from recycled sources.</w:t>
      </w:r>
    </w:p>
    <w:p w14:paraId="691725FE" w14:textId="77777777" w:rsidR="00276F25" w:rsidRPr="0025667C" w:rsidRDefault="00276F25" w:rsidP="00276F25">
      <w:pPr>
        <w:spacing w:after="0" w:line="240" w:lineRule="auto"/>
        <w:ind w:left="708"/>
        <w:jc w:val="both"/>
        <w:rPr>
          <w:rFonts w:ascii="Open Sans" w:eastAsia="Calibri" w:hAnsi="Open Sans" w:cs="Open Sans"/>
          <w:b/>
          <w:bCs/>
          <w:sz w:val="20"/>
          <w:szCs w:val="20"/>
          <w:lang w:val="en-GB" w:eastAsia="pl-PL"/>
        </w:rPr>
      </w:pPr>
    </w:p>
    <w:p w14:paraId="381980E1"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“The energy intensity and carbon dioxide emission of a unit production can be used to gauge the commitment to saving energies, and sourcing of minerals and metals that has less energy intensity is responsible business conduct.” – 6.8. Goal Seven – draft report on responsible sourcing</w:t>
      </w:r>
      <w:r>
        <w:rPr>
          <w:rFonts w:ascii="Open Sans" w:eastAsia="Calibri" w:hAnsi="Open Sans" w:cs="Open Sans"/>
          <w:sz w:val="20"/>
          <w:szCs w:val="20"/>
          <w:lang w:val="en-GB"/>
        </w:rPr>
        <w:t>.</w:t>
      </w:r>
      <w:r w:rsidRPr="0025667C">
        <w:rPr>
          <w:rFonts w:ascii="Open Sans" w:eastAsia="Calibri" w:hAnsi="Open Sans" w:cs="Open Sans"/>
          <w:sz w:val="20"/>
          <w:szCs w:val="20"/>
          <w:lang w:val="en-GB"/>
        </w:rPr>
        <w:t xml:space="preserve"> </w:t>
      </w:r>
    </w:p>
    <w:p w14:paraId="4571F807"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lang w:val="en-GB"/>
        </w:rPr>
      </w:pPr>
    </w:p>
    <w:p w14:paraId="4044F88A" w14:textId="77777777" w:rsidR="00276F25"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Copper should be particularly considered as a clean and safe raw material:</w:t>
      </w:r>
    </w:p>
    <w:p w14:paraId="30FF915D"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lang w:val="en-GB"/>
        </w:rPr>
      </w:pPr>
    </w:p>
    <w:p w14:paraId="57785E59" w14:textId="77777777" w:rsidR="00276F25"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„Copper mining is a backbone industry in some major producing countries, and copper products are cornerstone materials in power generation/distribution/transmission, appliances/electronics, transport and construction industries that use 45%, 12.5%, 12.5% and 20% of world total copper production respectively. With about 35% of annual copper usage sourced from recycling, the</w:t>
      </w:r>
      <w:r>
        <w:rPr>
          <w:rFonts w:ascii="Open Sans" w:eastAsia="Calibri" w:hAnsi="Open Sans" w:cs="Open Sans"/>
          <w:sz w:val="20"/>
          <w:szCs w:val="20"/>
          <w:lang w:val="en-GB"/>
        </w:rPr>
        <w:t xml:space="preserve"> lifespan of copper is infinite</w:t>
      </w:r>
      <w:r w:rsidRPr="0025667C">
        <w:rPr>
          <w:rFonts w:ascii="Open Sans" w:eastAsia="Calibri" w:hAnsi="Open Sans" w:cs="Open Sans"/>
          <w:sz w:val="20"/>
          <w:szCs w:val="20"/>
          <w:lang w:val="en-GB"/>
        </w:rPr>
        <w:t xml:space="preserve">” – draft report on responsible sourcing </w:t>
      </w:r>
      <w:r>
        <w:rPr>
          <w:rFonts w:ascii="Open Sans" w:eastAsia="Calibri" w:hAnsi="Open Sans" w:cs="Open Sans"/>
          <w:sz w:val="20"/>
          <w:szCs w:val="20"/>
          <w:lang w:val="en-GB"/>
        </w:rPr>
        <w:t xml:space="preserve">by </w:t>
      </w:r>
      <w:r w:rsidRPr="0025667C">
        <w:rPr>
          <w:rFonts w:ascii="Open Sans" w:eastAsia="Calibri" w:hAnsi="Open Sans" w:cs="Open Sans"/>
          <w:sz w:val="20"/>
          <w:szCs w:val="20"/>
          <w:lang w:val="en-GB"/>
        </w:rPr>
        <w:t>I</w:t>
      </w:r>
      <w:r>
        <w:rPr>
          <w:rFonts w:ascii="Open Sans" w:eastAsia="Calibri" w:hAnsi="Open Sans" w:cs="Open Sans"/>
          <w:sz w:val="20"/>
          <w:szCs w:val="20"/>
          <w:lang w:val="en-GB"/>
        </w:rPr>
        <w:t xml:space="preserve">nternational </w:t>
      </w:r>
      <w:r w:rsidRPr="0025667C">
        <w:rPr>
          <w:rFonts w:ascii="Open Sans" w:eastAsia="Calibri" w:hAnsi="Open Sans" w:cs="Open Sans"/>
          <w:sz w:val="20"/>
          <w:szCs w:val="20"/>
          <w:lang w:val="en-GB"/>
        </w:rPr>
        <w:t>C</w:t>
      </w:r>
      <w:r>
        <w:rPr>
          <w:rFonts w:ascii="Open Sans" w:eastAsia="Calibri" w:hAnsi="Open Sans" w:cs="Open Sans"/>
          <w:sz w:val="20"/>
          <w:szCs w:val="20"/>
          <w:lang w:val="en-GB"/>
        </w:rPr>
        <w:t xml:space="preserve">opper </w:t>
      </w:r>
      <w:r w:rsidRPr="0025667C">
        <w:rPr>
          <w:rFonts w:ascii="Open Sans" w:eastAsia="Calibri" w:hAnsi="Open Sans" w:cs="Open Sans"/>
          <w:sz w:val="20"/>
          <w:szCs w:val="20"/>
          <w:lang w:val="en-GB"/>
        </w:rPr>
        <w:t>S</w:t>
      </w:r>
      <w:r>
        <w:rPr>
          <w:rFonts w:ascii="Open Sans" w:eastAsia="Calibri" w:hAnsi="Open Sans" w:cs="Open Sans"/>
          <w:sz w:val="20"/>
          <w:szCs w:val="20"/>
          <w:lang w:val="en-GB"/>
        </w:rPr>
        <w:t xml:space="preserve">tudy </w:t>
      </w:r>
      <w:r w:rsidRPr="0025667C">
        <w:rPr>
          <w:rFonts w:ascii="Open Sans" w:eastAsia="Calibri" w:hAnsi="Open Sans" w:cs="Open Sans"/>
          <w:sz w:val="20"/>
          <w:szCs w:val="20"/>
          <w:lang w:val="en-GB"/>
        </w:rPr>
        <w:t>G</w:t>
      </w:r>
      <w:r>
        <w:rPr>
          <w:rFonts w:ascii="Open Sans" w:eastAsia="Calibri" w:hAnsi="Open Sans" w:cs="Open Sans"/>
          <w:sz w:val="20"/>
          <w:szCs w:val="20"/>
          <w:lang w:val="en-GB"/>
        </w:rPr>
        <w:t>roup.</w:t>
      </w:r>
    </w:p>
    <w:p w14:paraId="3FC853B3" w14:textId="77777777" w:rsidR="00276F25" w:rsidRDefault="00276F25" w:rsidP="00276F25">
      <w:pPr>
        <w:autoSpaceDE w:val="0"/>
        <w:autoSpaceDN w:val="0"/>
        <w:spacing w:after="0" w:line="240" w:lineRule="auto"/>
        <w:ind w:left="708"/>
        <w:jc w:val="both"/>
        <w:rPr>
          <w:rFonts w:ascii="Open Sans" w:eastAsia="Calibri" w:hAnsi="Open Sans" w:cs="Open Sans"/>
          <w:b/>
          <w:sz w:val="20"/>
          <w:szCs w:val="20"/>
          <w:lang w:val="en-GB"/>
        </w:rPr>
      </w:pPr>
    </w:p>
    <w:p w14:paraId="033FCBEE" w14:textId="77777777" w:rsidR="00276F25" w:rsidRPr="009B4FFD" w:rsidRDefault="00276F25" w:rsidP="00276F25">
      <w:pPr>
        <w:autoSpaceDE w:val="0"/>
        <w:autoSpaceDN w:val="0"/>
        <w:spacing w:after="0" w:line="240" w:lineRule="auto"/>
        <w:ind w:left="708"/>
        <w:jc w:val="both"/>
        <w:rPr>
          <w:rFonts w:ascii="Open Sans" w:eastAsia="Calibri" w:hAnsi="Open Sans" w:cs="Open Sans"/>
          <w:b/>
          <w:sz w:val="20"/>
          <w:szCs w:val="20"/>
          <w:lang w:val="en-GB"/>
        </w:rPr>
      </w:pPr>
      <w:r w:rsidRPr="009B4FFD">
        <w:rPr>
          <w:rFonts w:ascii="Open Sans" w:eastAsia="Calibri" w:hAnsi="Open Sans" w:cs="Open Sans"/>
          <w:b/>
          <w:sz w:val="20"/>
          <w:szCs w:val="20"/>
          <w:lang w:val="en-GB"/>
        </w:rPr>
        <w:t>European Green Deal will require more copper, here are the reasons:</w:t>
      </w:r>
    </w:p>
    <w:p w14:paraId="417F0B07"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u w:val="single"/>
          <w:lang w:val="en-GB"/>
        </w:rPr>
      </w:pPr>
      <w:r w:rsidRPr="0025667C">
        <w:rPr>
          <w:rFonts w:ascii="Open Sans" w:eastAsia="Calibri" w:hAnsi="Open Sans" w:cs="Open Sans"/>
          <w:sz w:val="20"/>
          <w:szCs w:val="20"/>
          <w:u w:val="single"/>
          <w:lang w:val="en-GB"/>
        </w:rPr>
        <w:t xml:space="preserve">Renewables </w:t>
      </w:r>
    </w:p>
    <w:p w14:paraId="41D6F3C5" w14:textId="0EDB9726"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 xml:space="preserve">Copper plays an important role in renewable energy solutions – such as solar, wind, </w:t>
      </w:r>
      <w:proofErr w:type="spellStart"/>
      <w:r w:rsidRPr="0025667C">
        <w:rPr>
          <w:rFonts w:ascii="Open Sans" w:eastAsia="Calibri" w:hAnsi="Open Sans" w:cs="Open Sans"/>
          <w:sz w:val="20"/>
          <w:szCs w:val="20"/>
          <w:lang w:val="en-GB"/>
        </w:rPr>
        <w:t>todal</w:t>
      </w:r>
      <w:proofErr w:type="spellEnd"/>
      <w:r w:rsidRPr="0025667C">
        <w:rPr>
          <w:rFonts w:ascii="Open Sans" w:eastAsia="Calibri" w:hAnsi="Open Sans" w:cs="Open Sans"/>
          <w:sz w:val="20"/>
          <w:szCs w:val="20"/>
          <w:lang w:val="en-GB"/>
        </w:rPr>
        <w:t>, hydro, biomass and geothermal – by improving their ove</w:t>
      </w:r>
      <w:r>
        <w:rPr>
          <w:rFonts w:ascii="Open Sans" w:eastAsia="Calibri" w:hAnsi="Open Sans" w:cs="Open Sans"/>
          <w:sz w:val="20"/>
          <w:szCs w:val="20"/>
          <w:lang w:val="en-GB"/>
        </w:rPr>
        <w:t>rall performance. For example a </w:t>
      </w:r>
      <w:r w:rsidRPr="0025667C">
        <w:rPr>
          <w:rFonts w:ascii="Open Sans" w:eastAsia="Calibri" w:hAnsi="Open Sans" w:cs="Open Sans"/>
          <w:sz w:val="20"/>
          <w:szCs w:val="20"/>
          <w:lang w:val="en-GB"/>
        </w:rPr>
        <w:t>3 MW wind turbine contains up to 4,7 tons of copper. In case of solar energy due to its intrinsic characteristics copper has always been the material of choice for the efficient extraction of electricity from solar cells. Relatively thick but soft copper is preferred for use in silicon cells to reduce fragility, and because soft copper offers faster throughput and better low yield strength.</w:t>
      </w:r>
    </w:p>
    <w:p w14:paraId="6E52B071"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u w:val="single"/>
          <w:lang w:val="en-GB"/>
        </w:rPr>
      </w:pPr>
      <w:r w:rsidRPr="0025667C">
        <w:rPr>
          <w:rFonts w:ascii="Open Sans" w:eastAsia="Calibri" w:hAnsi="Open Sans" w:cs="Open Sans"/>
          <w:sz w:val="20"/>
          <w:szCs w:val="20"/>
          <w:u w:val="single"/>
          <w:lang w:val="en-GB"/>
        </w:rPr>
        <w:t>Energy efficiency</w:t>
      </w:r>
    </w:p>
    <w:p w14:paraId="7547E41F" w14:textId="77777777" w:rsidR="00276F25"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Copper has the highest electrical conductivity of any metal, after silver.</w:t>
      </w:r>
      <w:r w:rsidRPr="0025667C">
        <w:rPr>
          <w:rFonts w:ascii="Open Sans" w:eastAsia="Calibri" w:hAnsi="Open Sans" w:cs="Open Sans"/>
          <w:b/>
          <w:bCs/>
          <w:sz w:val="20"/>
          <w:szCs w:val="20"/>
          <w:lang w:val="en-GB"/>
        </w:rPr>
        <w:t> </w:t>
      </w:r>
      <w:r w:rsidRPr="0025667C">
        <w:rPr>
          <w:rFonts w:ascii="Open Sans" w:eastAsia="Calibri" w:hAnsi="Open Sans" w:cs="Open Sans"/>
          <w:sz w:val="20"/>
          <w:szCs w:val="20"/>
          <w:lang w:val="en-GB"/>
        </w:rPr>
        <w:t>Products containing copper (e.g. engines) tend to operate more efficiently, with typical cost-effective reductions in energy use in the range 20-30%.</w:t>
      </w:r>
    </w:p>
    <w:p w14:paraId="0141E3A1" w14:textId="77777777" w:rsidR="00FD62AB" w:rsidRPr="0025667C" w:rsidRDefault="00FD62AB" w:rsidP="00276F25">
      <w:pPr>
        <w:autoSpaceDE w:val="0"/>
        <w:autoSpaceDN w:val="0"/>
        <w:spacing w:after="0" w:line="240" w:lineRule="auto"/>
        <w:ind w:left="708"/>
        <w:jc w:val="both"/>
        <w:rPr>
          <w:rFonts w:ascii="Open Sans" w:eastAsia="Calibri" w:hAnsi="Open Sans" w:cs="Open Sans"/>
          <w:sz w:val="20"/>
          <w:szCs w:val="20"/>
          <w:lang w:val="en-GB"/>
        </w:rPr>
      </w:pPr>
    </w:p>
    <w:p w14:paraId="620769E1"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u w:val="single"/>
          <w:lang w:val="en-GB"/>
        </w:rPr>
      </w:pPr>
      <w:r w:rsidRPr="0025667C">
        <w:rPr>
          <w:rFonts w:ascii="Open Sans" w:eastAsia="Calibri" w:hAnsi="Open Sans" w:cs="Open Sans"/>
          <w:sz w:val="20"/>
          <w:szCs w:val="20"/>
          <w:u w:val="single"/>
          <w:lang w:val="en-GB"/>
        </w:rPr>
        <w:lastRenderedPageBreak/>
        <w:t>Transportation</w:t>
      </w:r>
    </w:p>
    <w:p w14:paraId="5175B6E0"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Beyond the energy sector copper is also key component in new, low-carbon modes of transportation, such as electric vehicles, playing an important role in their batteries and control systems as well as charging infrastructure. An electric car contains on average almost four times more copper than its counterpart with a combustion engine (83 kg to 23 kg).</w:t>
      </w:r>
    </w:p>
    <w:p w14:paraId="2BF59CEC"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u w:val="single"/>
          <w:lang w:val="en-GB"/>
        </w:rPr>
      </w:pPr>
      <w:r w:rsidRPr="0025667C">
        <w:rPr>
          <w:rFonts w:ascii="Open Sans" w:eastAsia="Calibri" w:hAnsi="Open Sans" w:cs="Open Sans"/>
          <w:sz w:val="20"/>
          <w:szCs w:val="20"/>
          <w:u w:val="single"/>
          <w:lang w:val="en-GB"/>
        </w:rPr>
        <w:t xml:space="preserve">Energy footprint </w:t>
      </w:r>
    </w:p>
    <w:p w14:paraId="0891D2A5" w14:textId="77777777" w:rsidR="00276F25" w:rsidRPr="0025667C"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Compared to 1990 levels the European copper industry has managed to reduce its per-unit energy consumption by 60%. Emissions from copper production in Europe are now very modest at 0.4% of total EU greenhouse gases emissions.</w:t>
      </w:r>
    </w:p>
    <w:p w14:paraId="5D4AAD4D" w14:textId="77777777" w:rsidR="00276F25" w:rsidRPr="009B4FFD" w:rsidRDefault="00276F25" w:rsidP="00276F25">
      <w:pPr>
        <w:autoSpaceDE w:val="0"/>
        <w:autoSpaceDN w:val="0"/>
        <w:spacing w:after="0" w:line="240" w:lineRule="auto"/>
        <w:ind w:left="708"/>
        <w:jc w:val="both"/>
        <w:rPr>
          <w:rFonts w:ascii="Open Sans" w:eastAsia="Calibri" w:hAnsi="Open Sans" w:cs="Open Sans"/>
          <w:sz w:val="20"/>
          <w:szCs w:val="20"/>
          <w:u w:val="single"/>
          <w:lang w:val="en-GB"/>
        </w:rPr>
      </w:pPr>
      <w:r w:rsidRPr="009B4FFD">
        <w:rPr>
          <w:rFonts w:ascii="Open Sans" w:eastAsia="Calibri" w:hAnsi="Open Sans" w:cs="Open Sans"/>
          <w:sz w:val="20"/>
          <w:szCs w:val="20"/>
          <w:u w:val="single"/>
          <w:lang w:val="en-GB"/>
        </w:rPr>
        <w:t>Copper’s circularity</w:t>
      </w:r>
    </w:p>
    <w:p w14:paraId="14E74701" w14:textId="77777777" w:rsidR="00276F25" w:rsidRDefault="00276F25" w:rsidP="00276F25">
      <w:pPr>
        <w:autoSpaceDE w:val="0"/>
        <w:autoSpaceDN w:val="0"/>
        <w:spacing w:after="0" w:line="240" w:lineRule="auto"/>
        <w:ind w:left="708"/>
        <w:jc w:val="both"/>
        <w:rPr>
          <w:rFonts w:ascii="Open Sans" w:eastAsia="Calibri" w:hAnsi="Open Sans" w:cs="Open Sans"/>
          <w:sz w:val="20"/>
          <w:szCs w:val="20"/>
          <w:lang w:val="en-GB"/>
        </w:rPr>
      </w:pPr>
      <w:r w:rsidRPr="0025667C">
        <w:rPr>
          <w:rFonts w:ascii="Open Sans" w:eastAsia="Calibri" w:hAnsi="Open Sans" w:cs="Open Sans"/>
          <w:sz w:val="20"/>
          <w:szCs w:val="20"/>
          <w:lang w:val="en-GB"/>
        </w:rPr>
        <w:t>In addition copper is 100% recyclable and can be used over and over without losing its engineering properties. Copper is also a carrier of valuable metals present in electronics, batteries (cobalt for instance, is as a key by-product of copper metallurgy - 60% of cobalt production; other metals accompanying copper are, inter alia, nickel, silver and gold).</w:t>
      </w:r>
    </w:p>
    <w:p w14:paraId="079BB7A6" w14:textId="77777777" w:rsidR="00276F25" w:rsidRDefault="00276F25" w:rsidP="00276F25">
      <w:pPr>
        <w:autoSpaceDE w:val="0"/>
        <w:autoSpaceDN w:val="0"/>
        <w:spacing w:after="0" w:line="240" w:lineRule="auto"/>
        <w:ind w:left="708"/>
        <w:jc w:val="both"/>
        <w:rPr>
          <w:rFonts w:ascii="Open Sans" w:hAnsi="Open Sans" w:cs="Open Sans"/>
          <w:b/>
          <w:sz w:val="20"/>
          <w:szCs w:val="20"/>
          <w:lang w:val="en-GB"/>
        </w:rPr>
      </w:pPr>
    </w:p>
    <w:p w14:paraId="7BE11D50" w14:textId="77777777" w:rsidR="00276F25" w:rsidRPr="0025667C" w:rsidRDefault="00276F25" w:rsidP="00276F25">
      <w:pPr>
        <w:numPr>
          <w:ilvl w:val="0"/>
          <w:numId w:val="4"/>
        </w:numPr>
        <w:jc w:val="both"/>
        <w:rPr>
          <w:rFonts w:ascii="Open Sans" w:hAnsi="Open Sans" w:cs="Open Sans"/>
          <w:b/>
          <w:sz w:val="20"/>
          <w:szCs w:val="20"/>
          <w:lang w:val="en-GB"/>
        </w:rPr>
      </w:pPr>
      <w:r w:rsidRPr="0025667C">
        <w:rPr>
          <w:rFonts w:ascii="Open Sans" w:hAnsi="Open Sans" w:cs="Open Sans"/>
          <w:b/>
          <w:sz w:val="20"/>
          <w:szCs w:val="20"/>
          <w:lang w:val="en-GB"/>
        </w:rPr>
        <w:t>High energy costs</w:t>
      </w:r>
    </w:p>
    <w:p w14:paraId="062E873E"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Globally competitive electricity costs are key for our industry.</w:t>
      </w:r>
      <w:r>
        <w:rPr>
          <w:rFonts w:ascii="Open Sans" w:hAnsi="Open Sans" w:cs="Open Sans"/>
          <w:sz w:val="20"/>
          <w:szCs w:val="20"/>
          <w:lang w:val="en-GB"/>
        </w:rPr>
        <w:t xml:space="preserve"> </w:t>
      </w:r>
      <w:r w:rsidRPr="0025667C">
        <w:rPr>
          <w:rFonts w:ascii="Open Sans" w:hAnsi="Open Sans" w:cs="Open Sans"/>
          <w:sz w:val="20"/>
          <w:szCs w:val="20"/>
          <w:lang w:val="en-GB"/>
        </w:rPr>
        <w:t>Indeed, energy costs – mainly electricity</w:t>
      </w:r>
      <w:r>
        <w:rPr>
          <w:rFonts w:ascii="Open Sans" w:hAnsi="Open Sans" w:cs="Open Sans"/>
          <w:sz w:val="20"/>
          <w:szCs w:val="20"/>
          <w:lang w:val="en-GB"/>
        </w:rPr>
        <w:t xml:space="preserve"> –</w:t>
      </w:r>
      <w:r w:rsidRPr="0025667C">
        <w:rPr>
          <w:rFonts w:ascii="Open Sans" w:hAnsi="Open Sans" w:cs="Open Sans"/>
          <w:sz w:val="20"/>
          <w:szCs w:val="20"/>
          <w:lang w:val="en-GB"/>
        </w:rPr>
        <w:t xml:space="preserve"> represent 25 to 30% of the overall operational costs for many of smelting and refining installations. Hence this is one of the main decision factors for the continuation of investments at existing European locations. Higher electr</w:t>
      </w:r>
      <w:r>
        <w:rPr>
          <w:rFonts w:ascii="Open Sans" w:hAnsi="Open Sans" w:cs="Open Sans"/>
          <w:sz w:val="20"/>
          <w:szCs w:val="20"/>
          <w:lang w:val="en-GB"/>
        </w:rPr>
        <w:t>icity costs will act as a </w:t>
      </w:r>
      <w:r w:rsidRPr="0025667C">
        <w:rPr>
          <w:rFonts w:ascii="Open Sans" w:hAnsi="Open Sans" w:cs="Open Sans"/>
          <w:sz w:val="20"/>
          <w:szCs w:val="20"/>
          <w:lang w:val="en-GB"/>
        </w:rPr>
        <w:t>discouragement to invest in copper production in Europe, while significant additional quantities of copper will be needed to support the transition to a climate-neutral, sustainable economy in the EU.</w:t>
      </w:r>
    </w:p>
    <w:p w14:paraId="42070EB2" w14:textId="77777777" w:rsidR="00276F25" w:rsidRPr="0025667C" w:rsidRDefault="00276F25" w:rsidP="00276F25">
      <w:pPr>
        <w:numPr>
          <w:ilvl w:val="0"/>
          <w:numId w:val="4"/>
        </w:numPr>
        <w:jc w:val="both"/>
        <w:rPr>
          <w:rFonts w:ascii="Open Sans" w:hAnsi="Open Sans" w:cs="Open Sans"/>
          <w:b/>
          <w:sz w:val="20"/>
          <w:szCs w:val="20"/>
          <w:lang w:val="en-GB"/>
        </w:rPr>
      </w:pPr>
      <w:r>
        <w:rPr>
          <w:rFonts w:ascii="Open Sans" w:hAnsi="Open Sans" w:cs="Open Sans"/>
          <w:b/>
          <w:sz w:val="20"/>
          <w:szCs w:val="20"/>
          <w:lang w:val="en-GB"/>
        </w:rPr>
        <w:t>C</w:t>
      </w:r>
      <w:r w:rsidRPr="0025667C">
        <w:rPr>
          <w:rFonts w:ascii="Open Sans" w:hAnsi="Open Sans" w:cs="Open Sans"/>
          <w:b/>
          <w:sz w:val="20"/>
          <w:szCs w:val="20"/>
          <w:lang w:val="en-GB"/>
        </w:rPr>
        <w:t>o</w:t>
      </w:r>
      <w:r>
        <w:rPr>
          <w:rFonts w:ascii="Open Sans" w:hAnsi="Open Sans" w:cs="Open Sans"/>
          <w:b/>
          <w:sz w:val="20"/>
          <w:szCs w:val="20"/>
          <w:lang w:val="en-GB"/>
        </w:rPr>
        <w:t>p</w:t>
      </w:r>
      <w:r w:rsidRPr="0025667C">
        <w:rPr>
          <w:rFonts w:ascii="Open Sans" w:hAnsi="Open Sans" w:cs="Open Sans"/>
          <w:b/>
          <w:sz w:val="20"/>
          <w:szCs w:val="20"/>
          <w:lang w:val="en-GB"/>
        </w:rPr>
        <w:t>per industry is a “Price t</w:t>
      </w:r>
      <w:r>
        <w:rPr>
          <w:rFonts w:ascii="Open Sans" w:hAnsi="Open Sans" w:cs="Open Sans"/>
          <w:b/>
          <w:sz w:val="20"/>
          <w:szCs w:val="20"/>
          <w:lang w:val="en-GB"/>
        </w:rPr>
        <w:t>aker”</w:t>
      </w:r>
    </w:p>
    <w:p w14:paraId="3F4FB64F" w14:textId="77777777" w:rsidR="006006DA" w:rsidRDefault="00276F25" w:rsidP="006006DA">
      <w:pPr>
        <w:ind w:left="708"/>
        <w:jc w:val="both"/>
        <w:rPr>
          <w:rFonts w:ascii="Open Sans" w:hAnsi="Open Sans" w:cs="Open Sans"/>
          <w:b/>
          <w:sz w:val="20"/>
          <w:szCs w:val="20"/>
          <w:lang w:val="en-GB"/>
        </w:rPr>
      </w:pPr>
      <w:r w:rsidRPr="0025667C">
        <w:rPr>
          <w:rFonts w:ascii="Open Sans" w:hAnsi="Open Sans" w:cs="Open Sans"/>
          <w:sz w:val="20"/>
          <w:szCs w:val="20"/>
          <w:lang w:val="en-GB"/>
        </w:rPr>
        <w:t xml:space="preserve">Although electricity markets are national or regional, copper products are globally traded, with the highest degree of international competition. Moreover, our products are priced globally at exchanges such as the London Metal Exchange </w:t>
      </w:r>
      <w:r>
        <w:rPr>
          <w:rFonts w:ascii="Open Sans" w:hAnsi="Open Sans" w:cs="Open Sans"/>
          <w:sz w:val="20"/>
          <w:szCs w:val="20"/>
          <w:lang w:val="en-GB"/>
        </w:rPr>
        <w:t>(LME). The price discovery of a </w:t>
      </w:r>
      <w:r w:rsidRPr="0025667C">
        <w:rPr>
          <w:rFonts w:ascii="Open Sans" w:hAnsi="Open Sans" w:cs="Open Sans"/>
          <w:sz w:val="20"/>
          <w:szCs w:val="20"/>
          <w:lang w:val="en-GB"/>
        </w:rPr>
        <w:t xml:space="preserve">ton of copper on LME mainly derives from financial transactions like hedging, rather than from physical transactions triggered by supply and demand. In other words, European Copper producers are ‘price takers’ and are thus not in a position to pass regionally applicable regulatory costs, such as the indirect costs of the EU ETS, to their customers. </w:t>
      </w:r>
    </w:p>
    <w:p w14:paraId="52E70D90" w14:textId="3C86EBF0" w:rsidR="00276F25" w:rsidRPr="006006DA" w:rsidRDefault="00276F25" w:rsidP="006006DA">
      <w:pPr>
        <w:pStyle w:val="Akapitzlist"/>
        <w:numPr>
          <w:ilvl w:val="0"/>
          <w:numId w:val="4"/>
        </w:numPr>
        <w:jc w:val="both"/>
        <w:rPr>
          <w:rFonts w:ascii="Open Sans" w:hAnsi="Open Sans" w:cs="Open Sans"/>
          <w:b/>
          <w:sz w:val="20"/>
          <w:szCs w:val="20"/>
          <w:lang w:val="en-GB"/>
        </w:rPr>
      </w:pPr>
      <w:bookmarkStart w:id="0" w:name="_GoBack"/>
      <w:bookmarkEnd w:id="0"/>
      <w:r w:rsidRPr="006006DA">
        <w:rPr>
          <w:rFonts w:ascii="Open Sans" w:hAnsi="Open Sans" w:cs="Open Sans"/>
          <w:b/>
          <w:sz w:val="20"/>
          <w:szCs w:val="20"/>
          <w:lang w:val="en-GB"/>
        </w:rPr>
        <w:t>Carbon leakage</w:t>
      </w:r>
    </w:p>
    <w:p w14:paraId="05003804" w14:textId="77777777" w:rsidR="00276F25" w:rsidRPr="0025667C" w:rsidRDefault="00276F25" w:rsidP="00276F25">
      <w:pPr>
        <w:ind w:left="708"/>
        <w:jc w:val="both"/>
        <w:rPr>
          <w:rFonts w:ascii="Open Sans" w:hAnsi="Open Sans" w:cs="Open Sans"/>
          <w:sz w:val="20"/>
          <w:szCs w:val="20"/>
          <w:lang w:val="en"/>
        </w:rPr>
      </w:pPr>
      <w:r w:rsidRPr="0025667C">
        <w:rPr>
          <w:rFonts w:ascii="Open Sans" w:hAnsi="Open Sans" w:cs="Open Sans"/>
          <w:sz w:val="20"/>
          <w:szCs w:val="20"/>
          <w:lang w:val="en-GB"/>
        </w:rPr>
        <w:t>With price taker status and electro-intensive nature, the copper industry is particularly exposed to carbon leakage due to the indirect costs of the EU ETS.</w:t>
      </w:r>
      <w:r>
        <w:rPr>
          <w:rFonts w:ascii="Open Sans" w:hAnsi="Open Sans" w:cs="Open Sans"/>
          <w:sz w:val="20"/>
          <w:szCs w:val="20"/>
          <w:lang w:val="en-GB"/>
        </w:rPr>
        <w:t xml:space="preserve"> </w:t>
      </w:r>
      <w:r w:rsidRPr="0025667C">
        <w:rPr>
          <w:rFonts w:ascii="Open Sans" w:hAnsi="Open Sans" w:cs="Open Sans"/>
          <w:sz w:val="20"/>
          <w:szCs w:val="20"/>
          <w:lang w:val="en"/>
        </w:rPr>
        <w:t xml:space="preserve">Carbon leakage is already evident by rising production numbers in Asia and not in Europe. </w:t>
      </w:r>
      <w:r w:rsidRPr="0025667C">
        <w:rPr>
          <w:rFonts w:ascii="Open Sans" w:hAnsi="Open Sans" w:cs="Open Sans"/>
          <w:sz w:val="20"/>
          <w:szCs w:val="20"/>
          <w:lang w:val="en-GB"/>
        </w:rPr>
        <w:t xml:space="preserve">During last ten years, global copper output increased by 50% but European copper production did not show any significant growth. Asia's share of world copper smelter output jumped from 27% in 1990 to almost 61% in 2017 </w:t>
      </w:r>
      <w:r w:rsidRPr="0025667C">
        <w:rPr>
          <w:rFonts w:ascii="Open Sans" w:hAnsi="Open Sans" w:cs="Open Sans"/>
          <w:sz w:val="20"/>
          <w:szCs w:val="20"/>
          <w:lang w:val="en"/>
        </w:rPr>
        <w:t>(Source: International Copper Study Group, ICSG).</w:t>
      </w:r>
    </w:p>
    <w:p w14:paraId="747197BD"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This high exposure to carbon leakage is presented in the study commissioned by the European Copper Institute to the international consultancy Wood Mackenzie. This analysis for year 2017 shows that at a price of 30 €/t of CO</w:t>
      </w:r>
      <w:r w:rsidRPr="0025667C">
        <w:rPr>
          <w:rFonts w:ascii="Open Sans" w:hAnsi="Open Sans" w:cs="Open Sans"/>
          <w:sz w:val="20"/>
          <w:szCs w:val="20"/>
          <w:vertAlign w:val="subscript"/>
          <w:lang w:val="en-GB"/>
        </w:rPr>
        <w:t>2</w:t>
      </w:r>
      <w:r w:rsidRPr="0025667C">
        <w:rPr>
          <w:rFonts w:ascii="Open Sans" w:hAnsi="Open Sans" w:cs="Open Sans"/>
          <w:sz w:val="20"/>
          <w:szCs w:val="20"/>
          <w:lang w:val="en-GB"/>
        </w:rPr>
        <w:t xml:space="preserve">, copper sector’s upstream part -namely </w:t>
      </w:r>
      <w:r w:rsidRPr="0025667C">
        <w:rPr>
          <w:rFonts w:ascii="Open Sans" w:hAnsi="Open Sans" w:cs="Open Sans"/>
          <w:sz w:val="20"/>
          <w:szCs w:val="20"/>
          <w:lang w:val="en-GB"/>
        </w:rPr>
        <w:lastRenderedPageBreak/>
        <w:t>smelting and refining-, is highly exposed to indirect emissions costs.</w:t>
      </w:r>
      <w:r>
        <w:rPr>
          <w:rFonts w:ascii="Open Sans" w:hAnsi="Open Sans" w:cs="Open Sans"/>
          <w:sz w:val="20"/>
          <w:szCs w:val="20"/>
          <w:lang w:val="en-GB"/>
        </w:rPr>
        <w:t xml:space="preserve"> </w:t>
      </w:r>
      <w:r w:rsidRPr="0025667C">
        <w:rPr>
          <w:rFonts w:ascii="Open Sans" w:hAnsi="Open Sans" w:cs="Open Sans"/>
          <w:sz w:val="20"/>
          <w:szCs w:val="20"/>
          <w:lang w:val="en-GB"/>
        </w:rPr>
        <w:t>Smelting and Refining processors exposure to indirect emissions costs represents around 26% of GVA, 43% of operating costs, 43% of operating margin and finally, 57% of profit margin.</w:t>
      </w:r>
      <w:r>
        <w:rPr>
          <w:rFonts w:ascii="Open Sans" w:hAnsi="Open Sans" w:cs="Open Sans"/>
          <w:sz w:val="20"/>
          <w:szCs w:val="20"/>
          <w:lang w:val="en-GB"/>
        </w:rPr>
        <w:t xml:space="preserve"> </w:t>
      </w:r>
      <w:r w:rsidRPr="0025667C">
        <w:rPr>
          <w:rFonts w:ascii="Open Sans" w:hAnsi="Open Sans" w:cs="Open Sans"/>
          <w:sz w:val="20"/>
          <w:szCs w:val="20"/>
          <w:lang w:val="en-GB"/>
        </w:rPr>
        <w:t>These ratios may increase as a result of further electrification as well as of end of pipe filtration technologies to comply with increasingly stricter environmental regulations in Europe, while competitors in non-EU countries do not face such environmental restrictions.</w:t>
      </w:r>
    </w:p>
    <w:p w14:paraId="44D726E5"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An improved indirect compensation in Phase IV, implemented in all EU member states is essential for our industry to continue to contribute to the greening of the European economy as foreseen by the EU 2050 Roadmap and the upcoming European Green Deal.</w:t>
      </w:r>
    </w:p>
    <w:p w14:paraId="0CFBF523" w14:textId="77777777" w:rsidR="00276F25" w:rsidRPr="0025667C" w:rsidRDefault="00276F25" w:rsidP="00276F25">
      <w:pPr>
        <w:numPr>
          <w:ilvl w:val="0"/>
          <w:numId w:val="4"/>
        </w:numPr>
        <w:jc w:val="both"/>
        <w:rPr>
          <w:rFonts w:ascii="Open Sans" w:hAnsi="Open Sans" w:cs="Open Sans"/>
          <w:b/>
          <w:sz w:val="20"/>
          <w:szCs w:val="20"/>
          <w:lang w:val="en-GB"/>
        </w:rPr>
      </w:pPr>
      <w:r w:rsidRPr="0025667C">
        <w:rPr>
          <w:rFonts w:ascii="Open Sans" w:hAnsi="Open Sans" w:cs="Open Sans"/>
          <w:b/>
          <w:sz w:val="20"/>
          <w:szCs w:val="20"/>
          <w:lang w:val="en-GB"/>
        </w:rPr>
        <w:t>Develop</w:t>
      </w:r>
      <w:r>
        <w:rPr>
          <w:rFonts w:ascii="Open Sans" w:hAnsi="Open Sans" w:cs="Open Sans"/>
          <w:b/>
          <w:sz w:val="20"/>
          <w:szCs w:val="20"/>
          <w:lang w:val="en-GB"/>
        </w:rPr>
        <w:t>ment of</w:t>
      </w:r>
      <w:r w:rsidRPr="0025667C">
        <w:rPr>
          <w:rFonts w:ascii="Open Sans" w:hAnsi="Open Sans" w:cs="Open Sans"/>
          <w:b/>
          <w:sz w:val="20"/>
          <w:szCs w:val="20"/>
          <w:lang w:val="en-GB"/>
        </w:rPr>
        <w:t xml:space="preserve"> explora</w:t>
      </w:r>
      <w:r>
        <w:rPr>
          <w:rFonts w:ascii="Open Sans" w:hAnsi="Open Sans" w:cs="Open Sans"/>
          <w:b/>
          <w:sz w:val="20"/>
          <w:szCs w:val="20"/>
          <w:lang w:val="en-GB"/>
        </w:rPr>
        <w:t>tion and extraction in Europe will</w:t>
      </w:r>
      <w:r w:rsidRPr="0025667C">
        <w:rPr>
          <w:rFonts w:ascii="Open Sans" w:hAnsi="Open Sans" w:cs="Open Sans"/>
          <w:b/>
          <w:sz w:val="20"/>
          <w:szCs w:val="20"/>
          <w:lang w:val="en-GB"/>
        </w:rPr>
        <w:t xml:space="preserve"> secure a supply of raw materials for the EU economy</w:t>
      </w:r>
    </w:p>
    <w:p w14:paraId="38F8004E"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Being aware of a crucial role of raw materials in energy transformation (the infrastructure of the energy sector requires the massive use of metals and minerals), the EU should focus on securing the raw material base load supply from European resources, which will save CO2 in production and in transport and allows the EU economy to remain independent from foreign suppliers.</w:t>
      </w:r>
    </w:p>
    <w:p w14:paraId="1D3079D8" w14:textId="77777777" w:rsidR="00276F25" w:rsidRPr="0025667C" w:rsidRDefault="00276F25" w:rsidP="00276F25">
      <w:pPr>
        <w:numPr>
          <w:ilvl w:val="0"/>
          <w:numId w:val="4"/>
        </w:numPr>
        <w:jc w:val="both"/>
        <w:rPr>
          <w:rFonts w:ascii="Open Sans" w:hAnsi="Open Sans" w:cs="Open Sans"/>
          <w:b/>
          <w:sz w:val="20"/>
          <w:szCs w:val="20"/>
          <w:lang w:val="en-GB"/>
        </w:rPr>
      </w:pPr>
      <w:r w:rsidRPr="0025667C">
        <w:rPr>
          <w:rFonts w:ascii="Open Sans" w:hAnsi="Open Sans" w:cs="Open Sans"/>
          <w:b/>
          <w:sz w:val="20"/>
          <w:szCs w:val="20"/>
          <w:lang w:val="en-GB"/>
        </w:rPr>
        <w:t xml:space="preserve">European </w:t>
      </w:r>
      <w:r>
        <w:rPr>
          <w:rFonts w:ascii="Open Sans" w:hAnsi="Open Sans" w:cs="Open Sans"/>
          <w:b/>
          <w:sz w:val="20"/>
          <w:szCs w:val="20"/>
          <w:lang w:val="en-GB"/>
        </w:rPr>
        <w:t xml:space="preserve">industry excels in </w:t>
      </w:r>
      <w:r w:rsidRPr="0025667C">
        <w:rPr>
          <w:rFonts w:ascii="Open Sans" w:hAnsi="Open Sans" w:cs="Open Sans"/>
          <w:b/>
          <w:sz w:val="20"/>
          <w:szCs w:val="20"/>
          <w:lang w:val="en-GB"/>
        </w:rPr>
        <w:t xml:space="preserve">standards </w:t>
      </w:r>
      <w:r>
        <w:rPr>
          <w:rFonts w:ascii="Open Sans" w:hAnsi="Open Sans" w:cs="Open Sans"/>
          <w:b/>
          <w:sz w:val="20"/>
          <w:szCs w:val="20"/>
          <w:lang w:val="en-GB"/>
        </w:rPr>
        <w:t>of production</w:t>
      </w:r>
      <w:r w:rsidRPr="0025667C">
        <w:rPr>
          <w:rFonts w:ascii="Open Sans" w:hAnsi="Open Sans" w:cs="Open Sans"/>
          <w:b/>
          <w:sz w:val="20"/>
          <w:szCs w:val="20"/>
          <w:lang w:val="en-GB"/>
        </w:rPr>
        <w:t xml:space="preserve">. </w:t>
      </w:r>
      <w:r>
        <w:rPr>
          <w:rFonts w:ascii="Open Sans" w:hAnsi="Open Sans" w:cs="Open Sans"/>
          <w:b/>
          <w:sz w:val="20"/>
          <w:szCs w:val="20"/>
          <w:lang w:val="en-GB"/>
        </w:rPr>
        <w:t>To keep them the highest, we should i</w:t>
      </w:r>
      <w:r w:rsidRPr="0025667C">
        <w:rPr>
          <w:rFonts w:ascii="Open Sans" w:hAnsi="Open Sans" w:cs="Open Sans"/>
          <w:b/>
          <w:sz w:val="20"/>
          <w:szCs w:val="20"/>
          <w:lang w:val="en-GB"/>
        </w:rPr>
        <w:t>mport only for the amount exceedin</w:t>
      </w:r>
      <w:r>
        <w:rPr>
          <w:rFonts w:ascii="Open Sans" w:hAnsi="Open Sans" w:cs="Open Sans"/>
          <w:b/>
          <w:sz w:val="20"/>
          <w:szCs w:val="20"/>
          <w:lang w:val="en-GB"/>
        </w:rPr>
        <w:t>g those extracted domestically</w:t>
      </w:r>
    </w:p>
    <w:p w14:paraId="67BF0E36"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 xml:space="preserve">Europe mines have outstanding standards in terms of safety regulations, human rights, environment. Thus action should be considered to diminish the import of raw materials from countries with less stringent GHG emission reduction policies (carbon leakage), lower safety regulations or human rights. </w:t>
      </w:r>
    </w:p>
    <w:p w14:paraId="2791170B" w14:textId="77777777" w:rsidR="00276F25" w:rsidRPr="0025667C" w:rsidRDefault="00276F25" w:rsidP="00276F25">
      <w:pPr>
        <w:numPr>
          <w:ilvl w:val="0"/>
          <w:numId w:val="4"/>
        </w:numPr>
        <w:jc w:val="both"/>
        <w:rPr>
          <w:rFonts w:ascii="Open Sans" w:hAnsi="Open Sans" w:cs="Open Sans"/>
          <w:b/>
          <w:sz w:val="20"/>
          <w:szCs w:val="20"/>
          <w:lang w:val="en-GB"/>
        </w:rPr>
      </w:pPr>
      <w:r w:rsidRPr="0025667C">
        <w:rPr>
          <w:rFonts w:ascii="Open Sans" w:hAnsi="Open Sans" w:cs="Open Sans"/>
          <w:b/>
          <w:sz w:val="20"/>
          <w:szCs w:val="20"/>
          <w:lang w:val="en-GB"/>
        </w:rPr>
        <w:t>Recycle/reuse as a</w:t>
      </w:r>
      <w:r>
        <w:rPr>
          <w:rFonts w:ascii="Open Sans" w:hAnsi="Open Sans" w:cs="Open Sans"/>
          <w:b/>
          <w:sz w:val="20"/>
          <w:szCs w:val="20"/>
          <w:lang w:val="en-GB"/>
        </w:rPr>
        <w:t xml:space="preserve"> driver of the circular economy</w:t>
      </w:r>
    </w:p>
    <w:p w14:paraId="042DCA48" w14:textId="77777777" w:rsidR="00276F25" w:rsidRPr="0025667C" w:rsidRDefault="00276F25" w:rsidP="00276F25">
      <w:pPr>
        <w:ind w:left="708"/>
        <w:jc w:val="both"/>
        <w:rPr>
          <w:rFonts w:ascii="Open Sans" w:hAnsi="Open Sans" w:cs="Open Sans"/>
          <w:sz w:val="20"/>
          <w:szCs w:val="20"/>
          <w:lang w:val="en-GB"/>
        </w:rPr>
      </w:pPr>
      <w:r w:rsidRPr="0025667C">
        <w:rPr>
          <w:rFonts w:ascii="Open Sans" w:hAnsi="Open Sans" w:cs="Open Sans"/>
          <w:sz w:val="20"/>
          <w:szCs w:val="20"/>
          <w:lang w:val="en-GB"/>
        </w:rPr>
        <w:t>The EU is a world leader in copper recycling. In 2015, 61% of European end-of-life copper was recycled, while copper scrap made up 47% of the source material for the production of new copper. This would have the double advantage of reducing the energy consumption of copper production as well as Europe’s dependence on copper ore imports.</w:t>
      </w:r>
    </w:p>
    <w:p w14:paraId="55D5CDE7" w14:textId="77777777" w:rsidR="00DF199F" w:rsidRPr="00A23E2B" w:rsidRDefault="00DF199F" w:rsidP="00BF6812">
      <w:pPr>
        <w:tabs>
          <w:tab w:val="left" w:pos="1122"/>
        </w:tabs>
        <w:rPr>
          <w:sz w:val="28"/>
          <w:szCs w:val="28"/>
        </w:rPr>
      </w:pPr>
    </w:p>
    <w:sectPr w:rsidR="00DF199F" w:rsidRPr="00A23E2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43788" w14:textId="77777777" w:rsidR="001944B6" w:rsidRDefault="001944B6" w:rsidP="00DF199F">
      <w:pPr>
        <w:spacing w:after="0" w:line="240" w:lineRule="auto"/>
      </w:pPr>
      <w:r>
        <w:separator/>
      </w:r>
    </w:p>
  </w:endnote>
  <w:endnote w:type="continuationSeparator" w:id="0">
    <w:p w14:paraId="10D408E9" w14:textId="77777777" w:rsidR="001944B6" w:rsidRDefault="001944B6" w:rsidP="00DF1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 Sans">
    <w:panose1 w:val="020B0606030504020204"/>
    <w:charset w:val="EE"/>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10AF1" w14:textId="77777777" w:rsidR="00AC59A9" w:rsidRPr="00663C72" w:rsidRDefault="00AC59A9" w:rsidP="00AC59A9">
    <w:pPr>
      <w:pStyle w:val="Nagwek"/>
      <w:framePr w:w="3350" w:h="539" w:hSpace="141" w:wrap="around" w:vAnchor="page" w:hAnchor="page" w:x="769" w:y="15676"/>
      <w:ind w:firstLine="709"/>
      <w:rPr>
        <w:rFonts w:ascii="Open Sans" w:eastAsia="Times New Roman" w:hAnsi="Open Sans" w:cs="Times New Roman"/>
        <w:sz w:val="20"/>
        <w:szCs w:val="20"/>
        <w:lang w:eastAsia="pl-PL"/>
      </w:rPr>
    </w:pPr>
    <w:r w:rsidRPr="00663C72">
      <w:rPr>
        <w:rFonts w:ascii="Open Sans" w:eastAsia="Times New Roman" w:hAnsi="Open Sans" w:cs="Times New Roman"/>
        <w:sz w:val="20"/>
        <w:szCs w:val="20"/>
        <w:lang w:eastAsia="pl-PL"/>
      </w:rPr>
      <w:t>KGHM Polska Miedź S.A.</w:t>
    </w:r>
  </w:p>
  <w:p w14:paraId="241D8A68" w14:textId="77777777" w:rsidR="00AC59A9" w:rsidRPr="00663C72" w:rsidRDefault="00AC59A9" w:rsidP="00AC59A9">
    <w:pPr>
      <w:pStyle w:val="Nagwek"/>
      <w:framePr w:w="3350" w:h="539" w:hSpace="141" w:wrap="around" w:vAnchor="page" w:hAnchor="page" w:x="769" w:y="15676"/>
      <w:ind w:firstLine="709"/>
      <w:rPr>
        <w:rFonts w:ascii="Open Sans" w:eastAsia="Times New Roman" w:hAnsi="Open Sans" w:cs="Times New Roman"/>
        <w:sz w:val="20"/>
        <w:szCs w:val="20"/>
        <w:lang w:eastAsia="pl-PL"/>
      </w:rPr>
    </w:pPr>
    <w:r w:rsidRPr="00663C72">
      <w:rPr>
        <w:rFonts w:ascii="Open Sans" w:eastAsia="Times New Roman" w:hAnsi="Open Sans" w:cs="Times New Roman"/>
        <w:sz w:val="20"/>
        <w:szCs w:val="20"/>
        <w:lang w:eastAsia="pl-PL"/>
      </w:rPr>
      <w:t xml:space="preserve">ul. M. Skłodowskiej-Curie 48 </w:t>
    </w:r>
  </w:p>
  <w:p w14:paraId="1C537CDE" w14:textId="77777777" w:rsidR="00AC59A9" w:rsidRPr="00663C72" w:rsidRDefault="00AC59A9" w:rsidP="00AC59A9">
    <w:pPr>
      <w:pStyle w:val="Nagwek"/>
      <w:framePr w:w="3350" w:h="539" w:hSpace="141" w:wrap="around" w:vAnchor="page" w:hAnchor="page" w:x="769" w:y="15676"/>
      <w:ind w:firstLine="709"/>
      <w:rPr>
        <w:rFonts w:ascii="Open Sans" w:eastAsia="Times New Roman" w:hAnsi="Open Sans" w:cs="Times New Roman"/>
        <w:sz w:val="20"/>
        <w:szCs w:val="20"/>
        <w:lang w:eastAsia="pl-PL"/>
      </w:rPr>
    </w:pPr>
    <w:r w:rsidRPr="00663C72">
      <w:rPr>
        <w:rFonts w:ascii="Open Sans" w:eastAsia="Times New Roman" w:hAnsi="Open Sans" w:cs="Times New Roman"/>
        <w:sz w:val="20"/>
        <w:szCs w:val="20"/>
        <w:lang w:eastAsia="pl-PL"/>
      </w:rPr>
      <w:t>59-301 Lubin</w:t>
    </w:r>
  </w:p>
  <w:p w14:paraId="49EA1642" w14:textId="77777777" w:rsidR="00AC59A9" w:rsidRPr="00663C72" w:rsidRDefault="00AC59A9" w:rsidP="00AC59A9">
    <w:pPr>
      <w:pStyle w:val="Nagwek"/>
      <w:framePr w:w="3350" w:h="539" w:hSpace="141" w:wrap="around" w:vAnchor="page" w:hAnchor="page" w:x="769" w:y="15676"/>
      <w:rPr>
        <w:rFonts w:ascii="Open Sans" w:hAnsi="Open Sans"/>
        <w:b/>
        <w:sz w:val="20"/>
        <w:szCs w:val="20"/>
      </w:rPr>
    </w:pPr>
  </w:p>
  <w:p w14:paraId="7816241E" w14:textId="77777777" w:rsidR="00AC59A9" w:rsidRPr="00663C72" w:rsidRDefault="00AC59A9" w:rsidP="00AC59A9">
    <w:pPr>
      <w:pStyle w:val="Nagwek"/>
      <w:framePr w:w="3482" w:h="543" w:hSpace="141" w:wrap="around" w:vAnchor="page" w:hAnchor="page" w:x="4568" w:y="15690"/>
      <w:ind w:firstLine="709"/>
      <w:rPr>
        <w:rFonts w:ascii="Open Sans" w:eastAsia="Times New Roman" w:hAnsi="Open Sans" w:cs="Times New Roman"/>
        <w:sz w:val="20"/>
        <w:szCs w:val="20"/>
        <w:lang w:eastAsia="pl-PL"/>
      </w:rPr>
    </w:pPr>
    <w:r>
      <w:rPr>
        <w:rFonts w:ascii="Open Sans" w:eastAsia="Times New Roman" w:hAnsi="Open Sans" w:cs="Times New Roman"/>
        <w:sz w:val="20"/>
        <w:szCs w:val="20"/>
        <w:lang w:eastAsia="pl-PL"/>
      </w:rPr>
      <w:t xml:space="preserve">T +48 </w:t>
    </w:r>
    <w:r w:rsidRPr="00663C72">
      <w:rPr>
        <w:rFonts w:ascii="Open Sans" w:eastAsia="Times New Roman" w:hAnsi="Open Sans" w:cs="Times New Roman"/>
        <w:sz w:val="20"/>
        <w:szCs w:val="20"/>
        <w:lang w:eastAsia="pl-PL"/>
      </w:rPr>
      <w:t>76 74 78 200</w:t>
    </w:r>
  </w:p>
  <w:p w14:paraId="047485FE" w14:textId="77777777" w:rsidR="00AC59A9" w:rsidRPr="00663C72" w:rsidRDefault="00AC59A9" w:rsidP="00AC59A9">
    <w:pPr>
      <w:pStyle w:val="Nagwek"/>
      <w:framePr w:w="3482" w:h="543" w:hSpace="141" w:wrap="around" w:vAnchor="page" w:hAnchor="page" w:x="4568" w:y="15690"/>
      <w:ind w:firstLine="709"/>
      <w:rPr>
        <w:rFonts w:ascii="Open Sans" w:eastAsia="Times New Roman" w:hAnsi="Open Sans" w:cs="Times New Roman"/>
        <w:sz w:val="20"/>
        <w:szCs w:val="20"/>
        <w:lang w:eastAsia="pl-PL"/>
      </w:rPr>
    </w:pPr>
    <w:r>
      <w:rPr>
        <w:rFonts w:ascii="Open Sans" w:eastAsia="Times New Roman" w:hAnsi="Open Sans" w:cs="Times New Roman"/>
        <w:sz w:val="20"/>
        <w:szCs w:val="20"/>
        <w:lang w:eastAsia="pl-PL"/>
      </w:rPr>
      <w:t xml:space="preserve">F +48 </w:t>
    </w:r>
    <w:r w:rsidRPr="00663C72">
      <w:rPr>
        <w:rFonts w:ascii="Open Sans" w:eastAsia="Times New Roman" w:hAnsi="Open Sans" w:cs="Times New Roman"/>
        <w:sz w:val="20"/>
        <w:szCs w:val="20"/>
        <w:lang w:eastAsia="pl-PL"/>
      </w:rPr>
      <w:t>76 74 78 500</w:t>
    </w:r>
  </w:p>
  <w:p w14:paraId="054514C1" w14:textId="77777777" w:rsidR="00AC59A9" w:rsidRPr="00663C72" w:rsidRDefault="00AC59A9" w:rsidP="00AC59A9">
    <w:pPr>
      <w:pStyle w:val="Nagwek"/>
      <w:framePr w:w="3482" w:h="543" w:hSpace="141" w:wrap="around" w:vAnchor="page" w:hAnchor="page" w:x="4568" w:y="15690"/>
      <w:ind w:firstLine="709"/>
      <w:rPr>
        <w:rFonts w:ascii="Open Sans" w:eastAsia="Times New Roman" w:hAnsi="Open Sans" w:cs="Times New Roman"/>
        <w:sz w:val="20"/>
        <w:szCs w:val="20"/>
        <w:lang w:eastAsia="pl-PL"/>
      </w:rPr>
    </w:pPr>
    <w:r w:rsidRPr="00663C72">
      <w:rPr>
        <w:rFonts w:ascii="Open Sans" w:eastAsia="Times New Roman" w:hAnsi="Open Sans" w:cs="Times New Roman"/>
        <w:sz w:val="20"/>
        <w:szCs w:val="20"/>
        <w:lang w:eastAsia="pl-PL"/>
      </w:rPr>
      <w:t>www.kghm.com</w:t>
    </w:r>
  </w:p>
  <w:p w14:paraId="52E7B14A" w14:textId="77777777" w:rsidR="00663C72" w:rsidRDefault="00B232A3">
    <w:pPr>
      <w:pStyle w:val="Stopka"/>
    </w:pPr>
    <w:r w:rsidRPr="00A23E2B">
      <w:rPr>
        <w:noProof/>
        <w:sz w:val="28"/>
        <w:szCs w:val="28"/>
        <w:lang w:eastAsia="pl-PL"/>
      </w:rPr>
      <w:drawing>
        <wp:anchor distT="0" distB="0" distL="114300" distR="114300" simplePos="0" relativeHeight="251661312" behindDoc="1" locked="0" layoutInCell="1" allowOverlap="1" wp14:anchorId="5BF777F8" wp14:editId="3FC254AA">
          <wp:simplePos x="0" y="0"/>
          <wp:positionH relativeFrom="margin">
            <wp:posOffset>3563620</wp:posOffset>
          </wp:positionH>
          <wp:positionV relativeFrom="margin">
            <wp:posOffset>4377055</wp:posOffset>
          </wp:positionV>
          <wp:extent cx="3073284" cy="3753089"/>
          <wp:effectExtent l="0" t="0" r="0" b="0"/>
          <wp:wrapNone/>
          <wp:docPr id="18" name="Obraz 18" descr="pik"/>
          <wp:cNvGraphicFramePr/>
          <a:graphic xmlns:a="http://schemas.openxmlformats.org/drawingml/2006/main">
            <a:graphicData uri="http://schemas.openxmlformats.org/drawingml/2006/picture">
              <pic:pic xmlns:pic="http://schemas.openxmlformats.org/drawingml/2006/picture">
                <pic:nvPicPr>
                  <pic:cNvPr id="10" name="Obraz 10" descr="pik"/>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3284" cy="3753089"/>
                  </a:xfrm>
                  <a:prstGeom prst="rect">
                    <a:avLst/>
                  </a:prstGeom>
                  <a:noFill/>
                </pic:spPr>
              </pic:pic>
            </a:graphicData>
          </a:graphic>
          <wp14:sizeRelH relativeFrom="margin">
            <wp14:pctWidth>0</wp14:pctWidth>
          </wp14:sizeRelH>
          <wp14:sizeRelV relativeFrom="margin">
            <wp14:pctHeight>0</wp14:pctHeight>
          </wp14:sizeRelV>
        </wp:anchor>
      </w:drawing>
    </w:r>
    <w:r w:rsidR="00663C72">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5A321" w14:textId="77777777" w:rsidR="001944B6" w:rsidRDefault="001944B6" w:rsidP="00DF199F">
      <w:pPr>
        <w:spacing w:after="0" w:line="240" w:lineRule="auto"/>
      </w:pPr>
      <w:r>
        <w:separator/>
      </w:r>
    </w:p>
  </w:footnote>
  <w:footnote w:type="continuationSeparator" w:id="0">
    <w:p w14:paraId="185CC7E5" w14:textId="77777777" w:rsidR="001944B6" w:rsidRDefault="001944B6" w:rsidP="00DF199F">
      <w:pPr>
        <w:spacing w:after="0" w:line="240" w:lineRule="auto"/>
      </w:pPr>
      <w:r>
        <w:continuationSeparator/>
      </w:r>
    </w:p>
  </w:footnote>
  <w:footnote w:id="1">
    <w:p w14:paraId="0BAF8BDE" w14:textId="516EE858" w:rsidR="00781E70" w:rsidRDefault="00781E70">
      <w:pPr>
        <w:pStyle w:val="Tekstprzypisudolnego"/>
      </w:pPr>
      <w:r>
        <w:rPr>
          <w:rStyle w:val="Odwoanieprzypisudolnego"/>
        </w:rPr>
        <w:footnoteRef/>
      </w:r>
      <w:r>
        <w:t xml:space="preserve"> </w:t>
      </w:r>
      <w:hyperlink r:id="rId1" w:history="1">
        <w:r w:rsidRPr="008A142D">
          <w:rPr>
            <w:rStyle w:val="Hipercze"/>
          </w:rPr>
          <w:t>https://www.earto.eu/wp-content/uploads/Strategic-Forum_Strengthening-Strategic-Value-Chains-for-a-future-ready-EU-Industry.pdf</w:t>
        </w:r>
      </w:hyperlink>
      <w:r>
        <w:t xml:space="preserve"> </w:t>
      </w:r>
    </w:p>
  </w:footnote>
  <w:footnote w:id="2">
    <w:p w14:paraId="4AD71106" w14:textId="7C3B06F2" w:rsidR="00564FB3" w:rsidRDefault="00564FB3">
      <w:pPr>
        <w:pStyle w:val="Tekstprzypisudolnego"/>
      </w:pPr>
      <w:r>
        <w:rPr>
          <w:rStyle w:val="Odwoanieprzypisudolnego"/>
        </w:rPr>
        <w:footnoteRef/>
      </w:r>
      <w:r>
        <w:t xml:space="preserve"> </w:t>
      </w:r>
      <w:hyperlink r:id="rId2" w:history="1">
        <w:r w:rsidRPr="008A142D">
          <w:rPr>
            <w:rStyle w:val="Hipercze"/>
          </w:rPr>
          <w:t>http://www.euromines.org/files/euromines_decarbonisation_final.pdf</w:t>
        </w:r>
      </w:hyperlink>
    </w:p>
    <w:p w14:paraId="64328E0C" w14:textId="77777777" w:rsidR="00564FB3" w:rsidRDefault="00564FB3">
      <w:pPr>
        <w:pStyle w:val="Tekstprzypisudolnego"/>
      </w:pPr>
    </w:p>
  </w:footnote>
  <w:footnote w:id="3">
    <w:p w14:paraId="6053E2FE" w14:textId="6391D3EB" w:rsidR="00564FB3" w:rsidRDefault="00564FB3">
      <w:pPr>
        <w:pStyle w:val="Tekstprzypisudolnego"/>
      </w:pPr>
      <w:r>
        <w:rPr>
          <w:rStyle w:val="Odwoanieprzypisudolnego"/>
        </w:rPr>
        <w:footnoteRef/>
      </w:r>
      <w:r>
        <w:t xml:space="preserve"> </w:t>
      </w:r>
      <w:hyperlink r:id="rId3" w:history="1">
        <w:r w:rsidRPr="008A142D">
          <w:rPr>
            <w:rStyle w:val="Hipercze"/>
          </w:rPr>
          <w:t>https://eur-lex.europa.eu/legal-content/EN/TXT/?uri=CELEX:52018DC0773</w:t>
        </w:r>
      </w:hyperlink>
    </w:p>
    <w:p w14:paraId="728F0EEB" w14:textId="77777777" w:rsidR="00564FB3" w:rsidRDefault="00564FB3">
      <w:pPr>
        <w:pStyle w:val="Tekstprzypisudolnego"/>
      </w:pPr>
    </w:p>
  </w:footnote>
  <w:footnote w:id="4">
    <w:p w14:paraId="1BD6A0C4" w14:textId="3A51A65D" w:rsidR="00001283" w:rsidRDefault="00001283">
      <w:pPr>
        <w:pStyle w:val="Tekstprzypisudolnego"/>
      </w:pPr>
      <w:r>
        <w:rPr>
          <w:rStyle w:val="Odwoanieprzypisudolnego"/>
        </w:rPr>
        <w:footnoteRef/>
      </w:r>
      <w:r>
        <w:t xml:space="preserve"> </w:t>
      </w:r>
      <w:hyperlink r:id="rId4" w:history="1">
        <w:r w:rsidRPr="008A142D">
          <w:rPr>
            <w:rStyle w:val="Hipercze"/>
          </w:rPr>
          <w:t>https://www.eurometaux.eu/media/2005/full-report-8-56-17.pdf</w:t>
        </w:r>
      </w:hyperlink>
    </w:p>
    <w:p w14:paraId="2869BC43" w14:textId="77777777" w:rsidR="00001283" w:rsidRDefault="0000128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49BE0" w14:textId="77777777" w:rsidR="00FE5071" w:rsidRDefault="00FE5071" w:rsidP="00FE5071">
    <w:pPr>
      <w:pStyle w:val="Nagwek"/>
    </w:pPr>
  </w:p>
  <w:p w14:paraId="48EC7F52" w14:textId="6656DEB8" w:rsidR="00DF199F" w:rsidRDefault="00C35993" w:rsidP="00FE5071">
    <w:pPr>
      <w:pStyle w:val="Nagwek"/>
    </w:pPr>
    <w:r>
      <w:rPr>
        <w:rFonts w:ascii="Open Sans" w:hAnsi="Open Sans"/>
        <w:noProof/>
        <w:lang w:eastAsia="pl-PL"/>
      </w:rPr>
      <w:drawing>
        <wp:anchor distT="0" distB="0" distL="114300" distR="114300" simplePos="0" relativeHeight="251659262" behindDoc="0" locked="0" layoutInCell="1" allowOverlap="1" wp14:anchorId="0D98ED73" wp14:editId="36228BB8">
          <wp:simplePos x="0" y="0"/>
          <wp:positionH relativeFrom="column">
            <wp:posOffset>0</wp:posOffset>
          </wp:positionH>
          <wp:positionV relativeFrom="paragraph">
            <wp:posOffset>137795</wp:posOffset>
          </wp:positionV>
          <wp:extent cx="2036445" cy="598805"/>
          <wp:effectExtent l="0" t="0" r="0" b="10795"/>
          <wp:wrapNone/>
          <wp:docPr id="4" name="Picture 4" descr="Creatives:KGHM:KORPO:LOGO:POZIOME LOGO:LOGO PODPIS:kghm_polskamiedz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s:KGHM:KORPO:LOGO:POZIOME LOGO:LOGO PODPIS:kghm_polskamiedz_logo.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445" cy="598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DD474E" w14:textId="79115096" w:rsidR="00DF199F" w:rsidRPr="00FE5071" w:rsidRDefault="00DF199F" w:rsidP="00DF199F">
    <w:pPr>
      <w:pStyle w:val="Nagwek"/>
      <w:ind w:firstLine="709"/>
      <w:jc w:val="right"/>
      <w:rPr>
        <w:rFonts w:ascii="Open Sans" w:eastAsia="Times New Roman" w:hAnsi="Open Sans" w:cs="Times New Roman"/>
        <w:sz w:val="24"/>
        <w:szCs w:val="24"/>
        <w:lang w:eastAsia="pl-PL"/>
      </w:rPr>
    </w:pPr>
  </w:p>
  <w:p w14:paraId="4B054D62" w14:textId="63B6C4B4" w:rsidR="00FD3212" w:rsidRPr="00FE5071" w:rsidRDefault="00FD3212" w:rsidP="00FD3212">
    <w:pPr>
      <w:pStyle w:val="Nagwek"/>
      <w:ind w:firstLine="709"/>
      <w:jc w:val="right"/>
      <w:rPr>
        <w:rFonts w:ascii="Open Sans" w:eastAsia="Times New Roman" w:hAnsi="Open Sans" w:cs="Times New Roman"/>
        <w:sz w:val="24"/>
        <w:szCs w:val="24"/>
        <w:lang w:eastAsia="pl-PL"/>
      </w:rPr>
    </w:pPr>
  </w:p>
  <w:p w14:paraId="25767E79" w14:textId="4430E04D" w:rsidR="00DF199F" w:rsidRPr="00FE5071" w:rsidRDefault="00DF199F" w:rsidP="00D6681A">
    <w:pPr>
      <w:pStyle w:val="Nagwek"/>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D0104"/>
    <w:multiLevelType w:val="hybridMultilevel"/>
    <w:tmpl w:val="98A6C684"/>
    <w:lvl w:ilvl="0" w:tplc="7E842A56">
      <w:numFmt w:val="decimalZero"/>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17432309"/>
    <w:multiLevelType w:val="hybridMultilevel"/>
    <w:tmpl w:val="A08A753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DA5879"/>
    <w:multiLevelType w:val="hybridMultilevel"/>
    <w:tmpl w:val="E68AEC68"/>
    <w:lvl w:ilvl="0" w:tplc="04150001">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cs="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cs="Courier New" w:hint="default"/>
      </w:rPr>
    </w:lvl>
    <w:lvl w:ilvl="8" w:tplc="04150005">
      <w:start w:val="1"/>
      <w:numFmt w:val="bullet"/>
      <w:lvlText w:val=""/>
      <w:lvlJc w:val="left"/>
      <w:pPr>
        <w:ind w:left="7896" w:hanging="360"/>
      </w:pPr>
      <w:rPr>
        <w:rFonts w:ascii="Wingdings" w:hAnsi="Wingdings" w:hint="default"/>
      </w:rPr>
    </w:lvl>
  </w:abstractNum>
  <w:abstractNum w:abstractNumId="3" w15:restartNumberingAfterBreak="0">
    <w:nsid w:val="231B77BA"/>
    <w:multiLevelType w:val="hybridMultilevel"/>
    <w:tmpl w:val="DAA819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3424F77"/>
    <w:multiLevelType w:val="multilevel"/>
    <w:tmpl w:val="A3EABDE2"/>
    <w:lvl w:ilvl="0">
      <w:numFmt w:val="decimalZero"/>
      <w:lvlText w:val="%1-0"/>
      <w:lvlJc w:val="left"/>
      <w:pPr>
        <w:ind w:left="1519" w:hanging="810"/>
      </w:pPr>
      <w:rPr>
        <w:rFonts w:hint="default"/>
      </w:rPr>
    </w:lvl>
    <w:lvl w:ilvl="1">
      <w:start w:val="1"/>
      <w:numFmt w:val="decimalZero"/>
      <w:lvlText w:val="%1-%2"/>
      <w:lvlJc w:val="left"/>
      <w:pPr>
        <w:ind w:left="2227" w:hanging="810"/>
      </w:pPr>
      <w:rPr>
        <w:rFonts w:hint="default"/>
      </w:rPr>
    </w:lvl>
    <w:lvl w:ilvl="2">
      <w:start w:val="1"/>
      <w:numFmt w:val="decimal"/>
      <w:lvlText w:val="%1-%2.%3"/>
      <w:lvlJc w:val="left"/>
      <w:pPr>
        <w:ind w:left="2935" w:hanging="810"/>
      </w:pPr>
      <w:rPr>
        <w:rFonts w:hint="default"/>
      </w:rPr>
    </w:lvl>
    <w:lvl w:ilvl="3">
      <w:start w:val="1"/>
      <w:numFmt w:val="decimal"/>
      <w:lvlText w:val="%1-%2.%3.%4"/>
      <w:lvlJc w:val="left"/>
      <w:pPr>
        <w:ind w:left="3913" w:hanging="1080"/>
      </w:pPr>
      <w:rPr>
        <w:rFonts w:hint="default"/>
      </w:rPr>
    </w:lvl>
    <w:lvl w:ilvl="4">
      <w:start w:val="1"/>
      <w:numFmt w:val="decimal"/>
      <w:lvlText w:val="%1-%2.%3.%4.%5"/>
      <w:lvlJc w:val="left"/>
      <w:pPr>
        <w:ind w:left="4621" w:hanging="1080"/>
      </w:pPr>
      <w:rPr>
        <w:rFonts w:hint="default"/>
      </w:rPr>
    </w:lvl>
    <w:lvl w:ilvl="5">
      <w:start w:val="1"/>
      <w:numFmt w:val="decimal"/>
      <w:lvlText w:val="%1-%2.%3.%4.%5.%6"/>
      <w:lvlJc w:val="left"/>
      <w:pPr>
        <w:ind w:left="5689" w:hanging="1440"/>
      </w:pPr>
      <w:rPr>
        <w:rFonts w:hint="default"/>
      </w:rPr>
    </w:lvl>
    <w:lvl w:ilvl="6">
      <w:start w:val="1"/>
      <w:numFmt w:val="decimal"/>
      <w:lvlText w:val="%1-%2.%3.%4.%5.%6.%7"/>
      <w:lvlJc w:val="left"/>
      <w:pPr>
        <w:ind w:left="6397" w:hanging="1440"/>
      </w:pPr>
      <w:rPr>
        <w:rFonts w:hint="default"/>
      </w:rPr>
    </w:lvl>
    <w:lvl w:ilvl="7">
      <w:start w:val="1"/>
      <w:numFmt w:val="decimal"/>
      <w:lvlText w:val="%1-%2.%3.%4.%5.%6.%7.%8"/>
      <w:lvlJc w:val="left"/>
      <w:pPr>
        <w:ind w:left="7465" w:hanging="1800"/>
      </w:pPr>
      <w:rPr>
        <w:rFonts w:hint="default"/>
      </w:rPr>
    </w:lvl>
    <w:lvl w:ilvl="8">
      <w:start w:val="1"/>
      <w:numFmt w:val="decimal"/>
      <w:lvlText w:val="%1-%2.%3.%4.%5.%6.%7.%8.%9"/>
      <w:lvlJc w:val="left"/>
      <w:pPr>
        <w:ind w:left="8173" w:hanging="1800"/>
      </w:pPr>
      <w:rPr>
        <w:rFonts w:hint="default"/>
      </w:rPr>
    </w:lvl>
  </w:abstractNum>
  <w:abstractNum w:abstractNumId="5" w15:restartNumberingAfterBreak="0">
    <w:nsid w:val="359432CF"/>
    <w:multiLevelType w:val="hybridMultilevel"/>
    <w:tmpl w:val="83282E7C"/>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7376785"/>
    <w:multiLevelType w:val="hybridMultilevel"/>
    <w:tmpl w:val="A5320444"/>
    <w:lvl w:ilvl="0" w:tplc="3A08CD1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614AF3"/>
    <w:multiLevelType w:val="hybridMultilevel"/>
    <w:tmpl w:val="BA5A96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7D520D57"/>
    <w:multiLevelType w:val="multilevel"/>
    <w:tmpl w:val="01849E82"/>
    <w:lvl w:ilvl="0">
      <w:numFmt w:val="decimalZero"/>
      <w:lvlText w:val="%1-0"/>
      <w:lvlJc w:val="left"/>
      <w:pPr>
        <w:ind w:left="1714" w:hanging="1005"/>
      </w:pPr>
      <w:rPr>
        <w:rFonts w:hint="default"/>
      </w:rPr>
    </w:lvl>
    <w:lvl w:ilvl="1">
      <w:start w:val="1"/>
      <w:numFmt w:val="decimalZero"/>
      <w:lvlText w:val="%1-%2"/>
      <w:lvlJc w:val="left"/>
      <w:pPr>
        <w:ind w:left="2422" w:hanging="1005"/>
      </w:pPr>
      <w:rPr>
        <w:rFonts w:hint="default"/>
      </w:rPr>
    </w:lvl>
    <w:lvl w:ilvl="2">
      <w:start w:val="1"/>
      <w:numFmt w:val="decimal"/>
      <w:lvlText w:val="%1-%2.%3"/>
      <w:lvlJc w:val="left"/>
      <w:pPr>
        <w:ind w:left="3205" w:hanging="1080"/>
      </w:pPr>
      <w:rPr>
        <w:rFonts w:hint="default"/>
      </w:rPr>
    </w:lvl>
    <w:lvl w:ilvl="3">
      <w:start w:val="1"/>
      <w:numFmt w:val="decimal"/>
      <w:lvlText w:val="%1-%2.%3.%4"/>
      <w:lvlJc w:val="left"/>
      <w:pPr>
        <w:ind w:left="3913" w:hanging="1080"/>
      </w:pPr>
      <w:rPr>
        <w:rFonts w:hint="default"/>
      </w:rPr>
    </w:lvl>
    <w:lvl w:ilvl="4">
      <w:start w:val="1"/>
      <w:numFmt w:val="decimal"/>
      <w:lvlText w:val="%1-%2.%3.%4.%5"/>
      <w:lvlJc w:val="left"/>
      <w:pPr>
        <w:ind w:left="4981" w:hanging="1440"/>
      </w:pPr>
      <w:rPr>
        <w:rFonts w:hint="default"/>
      </w:rPr>
    </w:lvl>
    <w:lvl w:ilvl="5">
      <w:start w:val="1"/>
      <w:numFmt w:val="decimal"/>
      <w:lvlText w:val="%1-%2.%3.%4.%5.%6"/>
      <w:lvlJc w:val="left"/>
      <w:pPr>
        <w:ind w:left="6049" w:hanging="1800"/>
      </w:pPr>
      <w:rPr>
        <w:rFonts w:hint="default"/>
      </w:rPr>
    </w:lvl>
    <w:lvl w:ilvl="6">
      <w:start w:val="1"/>
      <w:numFmt w:val="decimal"/>
      <w:lvlText w:val="%1-%2.%3.%4.%5.%6.%7"/>
      <w:lvlJc w:val="left"/>
      <w:pPr>
        <w:ind w:left="6757" w:hanging="1800"/>
      </w:pPr>
      <w:rPr>
        <w:rFonts w:hint="default"/>
      </w:rPr>
    </w:lvl>
    <w:lvl w:ilvl="7">
      <w:start w:val="1"/>
      <w:numFmt w:val="decimal"/>
      <w:lvlText w:val="%1-%2.%3.%4.%5.%6.%7.%8"/>
      <w:lvlJc w:val="left"/>
      <w:pPr>
        <w:ind w:left="7825" w:hanging="2160"/>
      </w:pPr>
      <w:rPr>
        <w:rFonts w:hint="default"/>
      </w:rPr>
    </w:lvl>
    <w:lvl w:ilvl="8">
      <w:start w:val="1"/>
      <w:numFmt w:val="decimal"/>
      <w:lvlText w:val="%1-%2.%3.%4.%5.%6.%7.%8.%9"/>
      <w:lvlJc w:val="left"/>
      <w:pPr>
        <w:ind w:left="8893" w:hanging="2520"/>
      </w:pPr>
      <w:rPr>
        <w:rFonts w:hint="default"/>
      </w:rPr>
    </w:lvl>
  </w:abstractNum>
  <w:num w:numId="1">
    <w:abstractNumId w:val="4"/>
  </w:num>
  <w:num w:numId="2">
    <w:abstractNumId w:val="8"/>
  </w:num>
  <w:num w:numId="3">
    <w:abstractNumId w:val="0"/>
  </w:num>
  <w:num w:numId="4">
    <w:abstractNumId w:val="5"/>
  </w:num>
  <w:num w:numId="5">
    <w:abstractNumId w:val="3"/>
  </w:num>
  <w:num w:numId="6">
    <w:abstractNumId w:val="7"/>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99F"/>
    <w:rsid w:val="00001283"/>
    <w:rsid w:val="000016A9"/>
    <w:rsid w:val="00002BB2"/>
    <w:rsid w:val="00011C3B"/>
    <w:rsid w:val="000204EF"/>
    <w:rsid w:val="00020607"/>
    <w:rsid w:val="00027B22"/>
    <w:rsid w:val="0004423B"/>
    <w:rsid w:val="00051378"/>
    <w:rsid w:val="000515E3"/>
    <w:rsid w:val="00055052"/>
    <w:rsid w:val="0006183F"/>
    <w:rsid w:val="0006316C"/>
    <w:rsid w:val="00063876"/>
    <w:rsid w:val="00065714"/>
    <w:rsid w:val="000759C0"/>
    <w:rsid w:val="00076342"/>
    <w:rsid w:val="0008589B"/>
    <w:rsid w:val="00085C62"/>
    <w:rsid w:val="00085EDB"/>
    <w:rsid w:val="00087553"/>
    <w:rsid w:val="00090961"/>
    <w:rsid w:val="00092008"/>
    <w:rsid w:val="000954BB"/>
    <w:rsid w:val="000A180E"/>
    <w:rsid w:val="000A569C"/>
    <w:rsid w:val="000B06EB"/>
    <w:rsid w:val="000B591F"/>
    <w:rsid w:val="000B68AE"/>
    <w:rsid w:val="000C4478"/>
    <w:rsid w:val="000D0F0E"/>
    <w:rsid w:val="000D1968"/>
    <w:rsid w:val="000E3B9D"/>
    <w:rsid w:val="000F1A7A"/>
    <w:rsid w:val="000F1D72"/>
    <w:rsid w:val="000F5354"/>
    <w:rsid w:val="000F603F"/>
    <w:rsid w:val="00102CFE"/>
    <w:rsid w:val="00102F8F"/>
    <w:rsid w:val="00107739"/>
    <w:rsid w:val="001118C1"/>
    <w:rsid w:val="00115E08"/>
    <w:rsid w:val="001328D2"/>
    <w:rsid w:val="0014242A"/>
    <w:rsid w:val="0014302D"/>
    <w:rsid w:val="001436D0"/>
    <w:rsid w:val="0015714F"/>
    <w:rsid w:val="00161A63"/>
    <w:rsid w:val="001622B1"/>
    <w:rsid w:val="00162458"/>
    <w:rsid w:val="00162FFE"/>
    <w:rsid w:val="00171465"/>
    <w:rsid w:val="001773CA"/>
    <w:rsid w:val="00182A63"/>
    <w:rsid w:val="001832F4"/>
    <w:rsid w:val="00191A4D"/>
    <w:rsid w:val="001922DD"/>
    <w:rsid w:val="001944B6"/>
    <w:rsid w:val="00196E56"/>
    <w:rsid w:val="001B0A2F"/>
    <w:rsid w:val="001C2164"/>
    <w:rsid w:val="001D1E06"/>
    <w:rsid w:val="001D29E1"/>
    <w:rsid w:val="001D79CB"/>
    <w:rsid w:val="001E231E"/>
    <w:rsid w:val="001E47C7"/>
    <w:rsid w:val="001F2CAF"/>
    <w:rsid w:val="001F6220"/>
    <w:rsid w:val="001F738A"/>
    <w:rsid w:val="00202F99"/>
    <w:rsid w:val="002057C0"/>
    <w:rsid w:val="002118E2"/>
    <w:rsid w:val="002205E6"/>
    <w:rsid w:val="00222467"/>
    <w:rsid w:val="00224EFC"/>
    <w:rsid w:val="00231DF6"/>
    <w:rsid w:val="00232DE0"/>
    <w:rsid w:val="00236EA2"/>
    <w:rsid w:val="00237A86"/>
    <w:rsid w:val="00242FCF"/>
    <w:rsid w:val="00267E06"/>
    <w:rsid w:val="002705CB"/>
    <w:rsid w:val="002726CE"/>
    <w:rsid w:val="00274A37"/>
    <w:rsid w:val="00276F25"/>
    <w:rsid w:val="0028250B"/>
    <w:rsid w:val="00283E1C"/>
    <w:rsid w:val="00284FB3"/>
    <w:rsid w:val="002910B7"/>
    <w:rsid w:val="00292780"/>
    <w:rsid w:val="00296662"/>
    <w:rsid w:val="002A11EB"/>
    <w:rsid w:val="002A1557"/>
    <w:rsid w:val="002A2642"/>
    <w:rsid w:val="002A745D"/>
    <w:rsid w:val="002B0407"/>
    <w:rsid w:val="002D431C"/>
    <w:rsid w:val="002E1712"/>
    <w:rsid w:val="002E2692"/>
    <w:rsid w:val="002E4DFB"/>
    <w:rsid w:val="002E6ACB"/>
    <w:rsid w:val="002F5CCF"/>
    <w:rsid w:val="00303244"/>
    <w:rsid w:val="00307AE9"/>
    <w:rsid w:val="00316F63"/>
    <w:rsid w:val="003252E5"/>
    <w:rsid w:val="00326B90"/>
    <w:rsid w:val="00331EB3"/>
    <w:rsid w:val="00333B20"/>
    <w:rsid w:val="0033797F"/>
    <w:rsid w:val="003401BC"/>
    <w:rsid w:val="00352E8A"/>
    <w:rsid w:val="00353D7E"/>
    <w:rsid w:val="00357C46"/>
    <w:rsid w:val="00377E0E"/>
    <w:rsid w:val="003849BE"/>
    <w:rsid w:val="00385925"/>
    <w:rsid w:val="00395CDD"/>
    <w:rsid w:val="00397091"/>
    <w:rsid w:val="003A13F3"/>
    <w:rsid w:val="003A4CD8"/>
    <w:rsid w:val="003A61AF"/>
    <w:rsid w:val="003B53E5"/>
    <w:rsid w:val="003B5881"/>
    <w:rsid w:val="003B683F"/>
    <w:rsid w:val="003C2107"/>
    <w:rsid w:val="003C574E"/>
    <w:rsid w:val="003C6B30"/>
    <w:rsid w:val="003C6B44"/>
    <w:rsid w:val="003C6D35"/>
    <w:rsid w:val="003C7477"/>
    <w:rsid w:val="003D38A9"/>
    <w:rsid w:val="003D3B74"/>
    <w:rsid w:val="003D3D22"/>
    <w:rsid w:val="003D5DD4"/>
    <w:rsid w:val="003D6420"/>
    <w:rsid w:val="003E1129"/>
    <w:rsid w:val="003E1541"/>
    <w:rsid w:val="003E2EC1"/>
    <w:rsid w:val="003E4D48"/>
    <w:rsid w:val="003F0132"/>
    <w:rsid w:val="003F3144"/>
    <w:rsid w:val="003F4AFC"/>
    <w:rsid w:val="003F5021"/>
    <w:rsid w:val="004032D5"/>
    <w:rsid w:val="004042DD"/>
    <w:rsid w:val="004073D6"/>
    <w:rsid w:val="00407657"/>
    <w:rsid w:val="00407BEA"/>
    <w:rsid w:val="00413C65"/>
    <w:rsid w:val="00417868"/>
    <w:rsid w:val="00417FA3"/>
    <w:rsid w:val="0042077B"/>
    <w:rsid w:val="00425562"/>
    <w:rsid w:val="00427CE7"/>
    <w:rsid w:val="00440519"/>
    <w:rsid w:val="00441244"/>
    <w:rsid w:val="0044571B"/>
    <w:rsid w:val="004574AD"/>
    <w:rsid w:val="0046329D"/>
    <w:rsid w:val="00467F0F"/>
    <w:rsid w:val="004767D9"/>
    <w:rsid w:val="00483B0C"/>
    <w:rsid w:val="0048562D"/>
    <w:rsid w:val="00496815"/>
    <w:rsid w:val="004A0A6A"/>
    <w:rsid w:val="004A1213"/>
    <w:rsid w:val="004A3508"/>
    <w:rsid w:val="004A6115"/>
    <w:rsid w:val="004B078D"/>
    <w:rsid w:val="004B0A08"/>
    <w:rsid w:val="004B1EC6"/>
    <w:rsid w:val="004B3236"/>
    <w:rsid w:val="004B7081"/>
    <w:rsid w:val="004C26D3"/>
    <w:rsid w:val="004D18C5"/>
    <w:rsid w:val="004E3915"/>
    <w:rsid w:val="004E5D65"/>
    <w:rsid w:val="004E6BBE"/>
    <w:rsid w:val="004E710A"/>
    <w:rsid w:val="004F1DB3"/>
    <w:rsid w:val="004F7393"/>
    <w:rsid w:val="0050049A"/>
    <w:rsid w:val="00502219"/>
    <w:rsid w:val="00502FAB"/>
    <w:rsid w:val="00504361"/>
    <w:rsid w:val="005136F5"/>
    <w:rsid w:val="005162D1"/>
    <w:rsid w:val="005175D5"/>
    <w:rsid w:val="005203C2"/>
    <w:rsid w:val="00522757"/>
    <w:rsid w:val="005307D2"/>
    <w:rsid w:val="00532546"/>
    <w:rsid w:val="00533C67"/>
    <w:rsid w:val="005367D2"/>
    <w:rsid w:val="005407CB"/>
    <w:rsid w:val="00560E89"/>
    <w:rsid w:val="0056485F"/>
    <w:rsid w:val="00564FB3"/>
    <w:rsid w:val="00566469"/>
    <w:rsid w:val="00572B83"/>
    <w:rsid w:val="00581E33"/>
    <w:rsid w:val="00582ECC"/>
    <w:rsid w:val="0058542A"/>
    <w:rsid w:val="00592D0B"/>
    <w:rsid w:val="005950AF"/>
    <w:rsid w:val="005974CC"/>
    <w:rsid w:val="005A4D9E"/>
    <w:rsid w:val="005B234D"/>
    <w:rsid w:val="005C50F2"/>
    <w:rsid w:val="005D19B8"/>
    <w:rsid w:val="005D5437"/>
    <w:rsid w:val="005D54E6"/>
    <w:rsid w:val="005D5E25"/>
    <w:rsid w:val="005E1555"/>
    <w:rsid w:val="005E159A"/>
    <w:rsid w:val="005F236A"/>
    <w:rsid w:val="006006DA"/>
    <w:rsid w:val="00601B4E"/>
    <w:rsid w:val="006049D9"/>
    <w:rsid w:val="006052B5"/>
    <w:rsid w:val="0060590C"/>
    <w:rsid w:val="00623C98"/>
    <w:rsid w:val="00630F5D"/>
    <w:rsid w:val="006334FE"/>
    <w:rsid w:val="006341E7"/>
    <w:rsid w:val="00635D45"/>
    <w:rsid w:val="0063723C"/>
    <w:rsid w:val="006451BF"/>
    <w:rsid w:val="006457BC"/>
    <w:rsid w:val="0064613D"/>
    <w:rsid w:val="00646CC1"/>
    <w:rsid w:val="00647144"/>
    <w:rsid w:val="00651AB1"/>
    <w:rsid w:val="00653686"/>
    <w:rsid w:val="00663C72"/>
    <w:rsid w:val="00665C8D"/>
    <w:rsid w:val="006660DC"/>
    <w:rsid w:val="00671932"/>
    <w:rsid w:val="006736A8"/>
    <w:rsid w:val="006801C3"/>
    <w:rsid w:val="00682A32"/>
    <w:rsid w:val="0068407F"/>
    <w:rsid w:val="006957BD"/>
    <w:rsid w:val="00695899"/>
    <w:rsid w:val="006978EA"/>
    <w:rsid w:val="006A0E1D"/>
    <w:rsid w:val="006A4008"/>
    <w:rsid w:val="006A60F9"/>
    <w:rsid w:val="006A6DD9"/>
    <w:rsid w:val="006B57AE"/>
    <w:rsid w:val="006B7C77"/>
    <w:rsid w:val="006C1852"/>
    <w:rsid w:val="006C34B2"/>
    <w:rsid w:val="006D215B"/>
    <w:rsid w:val="006D28CC"/>
    <w:rsid w:val="006D5C94"/>
    <w:rsid w:val="006E33CB"/>
    <w:rsid w:val="006E4883"/>
    <w:rsid w:val="006F58BF"/>
    <w:rsid w:val="007017C2"/>
    <w:rsid w:val="00705B8F"/>
    <w:rsid w:val="00721E51"/>
    <w:rsid w:val="00722874"/>
    <w:rsid w:val="007269B8"/>
    <w:rsid w:val="0073140D"/>
    <w:rsid w:val="007337F9"/>
    <w:rsid w:val="007346CC"/>
    <w:rsid w:val="007415C6"/>
    <w:rsid w:val="0074530F"/>
    <w:rsid w:val="007454E2"/>
    <w:rsid w:val="00755E1B"/>
    <w:rsid w:val="007632F4"/>
    <w:rsid w:val="007651AB"/>
    <w:rsid w:val="00767923"/>
    <w:rsid w:val="007711A9"/>
    <w:rsid w:val="00772402"/>
    <w:rsid w:val="0077252D"/>
    <w:rsid w:val="0077604C"/>
    <w:rsid w:val="00777271"/>
    <w:rsid w:val="00781513"/>
    <w:rsid w:val="00781E70"/>
    <w:rsid w:val="0078391E"/>
    <w:rsid w:val="007844E2"/>
    <w:rsid w:val="00793151"/>
    <w:rsid w:val="007A4525"/>
    <w:rsid w:val="007A452A"/>
    <w:rsid w:val="007A730B"/>
    <w:rsid w:val="007A7C96"/>
    <w:rsid w:val="007B2268"/>
    <w:rsid w:val="007B32EB"/>
    <w:rsid w:val="007B545E"/>
    <w:rsid w:val="007B716E"/>
    <w:rsid w:val="007C2672"/>
    <w:rsid w:val="007C5100"/>
    <w:rsid w:val="007C5584"/>
    <w:rsid w:val="007C6360"/>
    <w:rsid w:val="007D7351"/>
    <w:rsid w:val="00804754"/>
    <w:rsid w:val="00805AC8"/>
    <w:rsid w:val="00812B1D"/>
    <w:rsid w:val="0081364D"/>
    <w:rsid w:val="00820C04"/>
    <w:rsid w:val="00821594"/>
    <w:rsid w:val="00821863"/>
    <w:rsid w:val="00823129"/>
    <w:rsid w:val="0082367F"/>
    <w:rsid w:val="008253F1"/>
    <w:rsid w:val="00831138"/>
    <w:rsid w:val="00836614"/>
    <w:rsid w:val="0084056B"/>
    <w:rsid w:val="00840AFF"/>
    <w:rsid w:val="00850260"/>
    <w:rsid w:val="00852389"/>
    <w:rsid w:val="008579F5"/>
    <w:rsid w:val="00861073"/>
    <w:rsid w:val="00862E18"/>
    <w:rsid w:val="00872C40"/>
    <w:rsid w:val="008820D1"/>
    <w:rsid w:val="0088240F"/>
    <w:rsid w:val="00890854"/>
    <w:rsid w:val="00895369"/>
    <w:rsid w:val="008A1B26"/>
    <w:rsid w:val="008A4C9B"/>
    <w:rsid w:val="008A6EA7"/>
    <w:rsid w:val="008B0368"/>
    <w:rsid w:val="008B1AFB"/>
    <w:rsid w:val="008B2FB9"/>
    <w:rsid w:val="008B616A"/>
    <w:rsid w:val="008C2B8E"/>
    <w:rsid w:val="008C3E74"/>
    <w:rsid w:val="008C5116"/>
    <w:rsid w:val="008C6D8D"/>
    <w:rsid w:val="008F0648"/>
    <w:rsid w:val="008F6020"/>
    <w:rsid w:val="00903DFD"/>
    <w:rsid w:val="009058C9"/>
    <w:rsid w:val="00905F9D"/>
    <w:rsid w:val="009143DC"/>
    <w:rsid w:val="0092440C"/>
    <w:rsid w:val="00932099"/>
    <w:rsid w:val="009507B1"/>
    <w:rsid w:val="0095666F"/>
    <w:rsid w:val="00957959"/>
    <w:rsid w:val="00957B8A"/>
    <w:rsid w:val="00960DFE"/>
    <w:rsid w:val="009673FA"/>
    <w:rsid w:val="00974657"/>
    <w:rsid w:val="00975801"/>
    <w:rsid w:val="00985329"/>
    <w:rsid w:val="00987B26"/>
    <w:rsid w:val="00987B36"/>
    <w:rsid w:val="00991D01"/>
    <w:rsid w:val="009932FD"/>
    <w:rsid w:val="009A72F5"/>
    <w:rsid w:val="009B1B90"/>
    <w:rsid w:val="009B5987"/>
    <w:rsid w:val="009C220A"/>
    <w:rsid w:val="009C25AE"/>
    <w:rsid w:val="009C3DF8"/>
    <w:rsid w:val="009C7587"/>
    <w:rsid w:val="009D0C6D"/>
    <w:rsid w:val="009D1330"/>
    <w:rsid w:val="009E2FEB"/>
    <w:rsid w:val="009F2882"/>
    <w:rsid w:val="009F3754"/>
    <w:rsid w:val="00A06EE1"/>
    <w:rsid w:val="00A131B8"/>
    <w:rsid w:val="00A14254"/>
    <w:rsid w:val="00A14450"/>
    <w:rsid w:val="00A15513"/>
    <w:rsid w:val="00A15BCA"/>
    <w:rsid w:val="00A22B06"/>
    <w:rsid w:val="00A23E2B"/>
    <w:rsid w:val="00A24659"/>
    <w:rsid w:val="00A2532E"/>
    <w:rsid w:val="00A32408"/>
    <w:rsid w:val="00A327F7"/>
    <w:rsid w:val="00A3372A"/>
    <w:rsid w:val="00A342FE"/>
    <w:rsid w:val="00A428CD"/>
    <w:rsid w:val="00A43142"/>
    <w:rsid w:val="00A45B0F"/>
    <w:rsid w:val="00A46CFF"/>
    <w:rsid w:val="00A57355"/>
    <w:rsid w:val="00A57F6B"/>
    <w:rsid w:val="00A6006C"/>
    <w:rsid w:val="00A61700"/>
    <w:rsid w:val="00A61C0A"/>
    <w:rsid w:val="00A6539F"/>
    <w:rsid w:val="00A67E5A"/>
    <w:rsid w:val="00A72435"/>
    <w:rsid w:val="00A74AF4"/>
    <w:rsid w:val="00A75D25"/>
    <w:rsid w:val="00A803F2"/>
    <w:rsid w:val="00A81F32"/>
    <w:rsid w:val="00A8219C"/>
    <w:rsid w:val="00A830B8"/>
    <w:rsid w:val="00A90C2B"/>
    <w:rsid w:val="00A91F49"/>
    <w:rsid w:val="00A95C77"/>
    <w:rsid w:val="00AA2ADD"/>
    <w:rsid w:val="00AA56B3"/>
    <w:rsid w:val="00AA7237"/>
    <w:rsid w:val="00AB2AE3"/>
    <w:rsid w:val="00AB4336"/>
    <w:rsid w:val="00AC59A9"/>
    <w:rsid w:val="00AC6AFA"/>
    <w:rsid w:val="00AD04F0"/>
    <w:rsid w:val="00AD31D4"/>
    <w:rsid w:val="00AD4B26"/>
    <w:rsid w:val="00AE0DDA"/>
    <w:rsid w:val="00AE4AC7"/>
    <w:rsid w:val="00AF1769"/>
    <w:rsid w:val="00AF3DC6"/>
    <w:rsid w:val="00AF5239"/>
    <w:rsid w:val="00B02DEC"/>
    <w:rsid w:val="00B06EC1"/>
    <w:rsid w:val="00B07E0D"/>
    <w:rsid w:val="00B21A59"/>
    <w:rsid w:val="00B232A3"/>
    <w:rsid w:val="00B429FD"/>
    <w:rsid w:val="00B51566"/>
    <w:rsid w:val="00B53A32"/>
    <w:rsid w:val="00B54222"/>
    <w:rsid w:val="00B54E4C"/>
    <w:rsid w:val="00B674EE"/>
    <w:rsid w:val="00B74AE0"/>
    <w:rsid w:val="00B75BEE"/>
    <w:rsid w:val="00B76649"/>
    <w:rsid w:val="00B85471"/>
    <w:rsid w:val="00B97364"/>
    <w:rsid w:val="00B97A27"/>
    <w:rsid w:val="00BA14DC"/>
    <w:rsid w:val="00BA162C"/>
    <w:rsid w:val="00BA168C"/>
    <w:rsid w:val="00BA2336"/>
    <w:rsid w:val="00BA32DC"/>
    <w:rsid w:val="00BB32AC"/>
    <w:rsid w:val="00BB6180"/>
    <w:rsid w:val="00BB71BE"/>
    <w:rsid w:val="00BB7C45"/>
    <w:rsid w:val="00BD14CF"/>
    <w:rsid w:val="00BD421C"/>
    <w:rsid w:val="00BE07D8"/>
    <w:rsid w:val="00BE2739"/>
    <w:rsid w:val="00BE5103"/>
    <w:rsid w:val="00BE52EC"/>
    <w:rsid w:val="00BE618F"/>
    <w:rsid w:val="00BF3CD2"/>
    <w:rsid w:val="00BF5CB2"/>
    <w:rsid w:val="00BF65DA"/>
    <w:rsid w:val="00BF6812"/>
    <w:rsid w:val="00C02F11"/>
    <w:rsid w:val="00C06D8B"/>
    <w:rsid w:val="00C0772F"/>
    <w:rsid w:val="00C10F84"/>
    <w:rsid w:val="00C12444"/>
    <w:rsid w:val="00C13C90"/>
    <w:rsid w:val="00C31295"/>
    <w:rsid w:val="00C3344C"/>
    <w:rsid w:val="00C342DC"/>
    <w:rsid w:val="00C35993"/>
    <w:rsid w:val="00C439DE"/>
    <w:rsid w:val="00C46606"/>
    <w:rsid w:val="00C53B55"/>
    <w:rsid w:val="00C5468F"/>
    <w:rsid w:val="00C54C2D"/>
    <w:rsid w:val="00C647B4"/>
    <w:rsid w:val="00C672D9"/>
    <w:rsid w:val="00C67DD4"/>
    <w:rsid w:val="00C71F32"/>
    <w:rsid w:val="00C72D63"/>
    <w:rsid w:val="00C74297"/>
    <w:rsid w:val="00C856C3"/>
    <w:rsid w:val="00C91D84"/>
    <w:rsid w:val="00C94FBF"/>
    <w:rsid w:val="00CC4241"/>
    <w:rsid w:val="00CC5744"/>
    <w:rsid w:val="00CC676B"/>
    <w:rsid w:val="00CD2EB6"/>
    <w:rsid w:val="00CF2CD7"/>
    <w:rsid w:val="00CF679A"/>
    <w:rsid w:val="00CF712D"/>
    <w:rsid w:val="00D03991"/>
    <w:rsid w:val="00D04630"/>
    <w:rsid w:val="00D10654"/>
    <w:rsid w:val="00D1211B"/>
    <w:rsid w:val="00D134F9"/>
    <w:rsid w:val="00D158B7"/>
    <w:rsid w:val="00D2168E"/>
    <w:rsid w:val="00D2682B"/>
    <w:rsid w:val="00D44237"/>
    <w:rsid w:val="00D451AF"/>
    <w:rsid w:val="00D46953"/>
    <w:rsid w:val="00D566B5"/>
    <w:rsid w:val="00D64008"/>
    <w:rsid w:val="00D6681A"/>
    <w:rsid w:val="00D752AA"/>
    <w:rsid w:val="00D75873"/>
    <w:rsid w:val="00D77C08"/>
    <w:rsid w:val="00D81811"/>
    <w:rsid w:val="00DB07A5"/>
    <w:rsid w:val="00DB346A"/>
    <w:rsid w:val="00DE215A"/>
    <w:rsid w:val="00DE47F4"/>
    <w:rsid w:val="00DF1880"/>
    <w:rsid w:val="00DF1887"/>
    <w:rsid w:val="00DF199F"/>
    <w:rsid w:val="00DF3FDB"/>
    <w:rsid w:val="00DF5FED"/>
    <w:rsid w:val="00E00D2D"/>
    <w:rsid w:val="00E01425"/>
    <w:rsid w:val="00E02BCC"/>
    <w:rsid w:val="00E04B26"/>
    <w:rsid w:val="00E07C76"/>
    <w:rsid w:val="00E14026"/>
    <w:rsid w:val="00E210E8"/>
    <w:rsid w:val="00E248A1"/>
    <w:rsid w:val="00E278F5"/>
    <w:rsid w:val="00E324AB"/>
    <w:rsid w:val="00E332DB"/>
    <w:rsid w:val="00E34869"/>
    <w:rsid w:val="00E4080C"/>
    <w:rsid w:val="00E55E16"/>
    <w:rsid w:val="00E57D3F"/>
    <w:rsid w:val="00E64936"/>
    <w:rsid w:val="00E662BC"/>
    <w:rsid w:val="00E668F9"/>
    <w:rsid w:val="00E71B8A"/>
    <w:rsid w:val="00E7467A"/>
    <w:rsid w:val="00E74A44"/>
    <w:rsid w:val="00E84BDD"/>
    <w:rsid w:val="00E8518E"/>
    <w:rsid w:val="00E8544C"/>
    <w:rsid w:val="00E87C3E"/>
    <w:rsid w:val="00E945B4"/>
    <w:rsid w:val="00EA05BD"/>
    <w:rsid w:val="00EA205E"/>
    <w:rsid w:val="00EA5150"/>
    <w:rsid w:val="00EB1E5C"/>
    <w:rsid w:val="00EC61A2"/>
    <w:rsid w:val="00ED01BD"/>
    <w:rsid w:val="00ED1474"/>
    <w:rsid w:val="00ED356C"/>
    <w:rsid w:val="00ED59B3"/>
    <w:rsid w:val="00ED5E09"/>
    <w:rsid w:val="00EE0FEC"/>
    <w:rsid w:val="00EF055D"/>
    <w:rsid w:val="00EF596E"/>
    <w:rsid w:val="00EF79E2"/>
    <w:rsid w:val="00F00ABF"/>
    <w:rsid w:val="00F014F8"/>
    <w:rsid w:val="00F05862"/>
    <w:rsid w:val="00F068A4"/>
    <w:rsid w:val="00F15A84"/>
    <w:rsid w:val="00F1641A"/>
    <w:rsid w:val="00F20FDD"/>
    <w:rsid w:val="00F222B1"/>
    <w:rsid w:val="00F26482"/>
    <w:rsid w:val="00F306B8"/>
    <w:rsid w:val="00F41ADF"/>
    <w:rsid w:val="00F43A11"/>
    <w:rsid w:val="00F51ED5"/>
    <w:rsid w:val="00F557D8"/>
    <w:rsid w:val="00F55B73"/>
    <w:rsid w:val="00F63D29"/>
    <w:rsid w:val="00F65FF0"/>
    <w:rsid w:val="00F74610"/>
    <w:rsid w:val="00F76673"/>
    <w:rsid w:val="00F817F1"/>
    <w:rsid w:val="00F8563C"/>
    <w:rsid w:val="00F866EE"/>
    <w:rsid w:val="00F86FF4"/>
    <w:rsid w:val="00F916C8"/>
    <w:rsid w:val="00F91847"/>
    <w:rsid w:val="00FA43C7"/>
    <w:rsid w:val="00FA5520"/>
    <w:rsid w:val="00FA5B8C"/>
    <w:rsid w:val="00FA6E7F"/>
    <w:rsid w:val="00FB103F"/>
    <w:rsid w:val="00FB503A"/>
    <w:rsid w:val="00FB76C3"/>
    <w:rsid w:val="00FC1C4A"/>
    <w:rsid w:val="00FC2C9B"/>
    <w:rsid w:val="00FC2D94"/>
    <w:rsid w:val="00FC412E"/>
    <w:rsid w:val="00FC564D"/>
    <w:rsid w:val="00FD1D8E"/>
    <w:rsid w:val="00FD2E12"/>
    <w:rsid w:val="00FD3212"/>
    <w:rsid w:val="00FD62AB"/>
    <w:rsid w:val="00FD6B9D"/>
    <w:rsid w:val="00FE1E19"/>
    <w:rsid w:val="00FE3757"/>
    <w:rsid w:val="00FE5071"/>
    <w:rsid w:val="00FE6134"/>
    <w:rsid w:val="00FF0E4F"/>
    <w:rsid w:val="00FF220B"/>
    <w:rsid w:val="00FF27AC"/>
    <w:rsid w:val="00FF4097"/>
    <w:rsid w:val="00FF50B3"/>
    <w:rsid w:val="00FF5BC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E35DD1"/>
  <w15:docId w15:val="{F95F1A2B-BED7-4B53-B4E8-D75B007A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F199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199F"/>
  </w:style>
  <w:style w:type="paragraph" w:styleId="Stopka">
    <w:name w:val="footer"/>
    <w:basedOn w:val="Normalny"/>
    <w:link w:val="StopkaZnak"/>
    <w:uiPriority w:val="99"/>
    <w:unhideWhenUsed/>
    <w:rsid w:val="00DF19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199F"/>
  </w:style>
  <w:style w:type="paragraph" w:styleId="Akapitzlist">
    <w:name w:val="List Paragraph"/>
    <w:basedOn w:val="Normalny"/>
    <w:uiPriority w:val="34"/>
    <w:qFormat/>
    <w:rsid w:val="00276F25"/>
    <w:pPr>
      <w:ind w:left="720"/>
      <w:contextualSpacing/>
    </w:pPr>
  </w:style>
  <w:style w:type="paragraph" w:customStyle="1" w:styleId="Default">
    <w:name w:val="Default"/>
    <w:basedOn w:val="Normalny"/>
    <w:rsid w:val="00276F25"/>
    <w:pPr>
      <w:autoSpaceDE w:val="0"/>
      <w:autoSpaceDN w:val="0"/>
      <w:spacing w:after="0" w:line="240" w:lineRule="auto"/>
    </w:pPr>
    <w:rPr>
      <w:rFonts w:ascii="Calibri" w:hAnsi="Calibri" w:cs="Times New Roman"/>
      <w:color w:val="000000"/>
      <w:sz w:val="24"/>
      <w:szCs w:val="24"/>
      <w:lang w:eastAsia="pl-PL"/>
    </w:rPr>
  </w:style>
  <w:style w:type="paragraph" w:styleId="Tekstprzypisudolnego">
    <w:name w:val="footnote text"/>
    <w:basedOn w:val="Normalny"/>
    <w:link w:val="TekstprzypisudolnegoZnak"/>
    <w:uiPriority w:val="99"/>
    <w:semiHidden/>
    <w:unhideWhenUsed/>
    <w:rsid w:val="00781E7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81E70"/>
    <w:rPr>
      <w:sz w:val="20"/>
      <w:szCs w:val="20"/>
    </w:rPr>
  </w:style>
  <w:style w:type="character" w:styleId="Odwoanieprzypisudolnego">
    <w:name w:val="footnote reference"/>
    <w:basedOn w:val="Domylnaczcionkaakapitu"/>
    <w:uiPriority w:val="99"/>
    <w:semiHidden/>
    <w:unhideWhenUsed/>
    <w:rsid w:val="00781E70"/>
    <w:rPr>
      <w:vertAlign w:val="superscript"/>
    </w:rPr>
  </w:style>
  <w:style w:type="character" w:styleId="Hipercze">
    <w:name w:val="Hyperlink"/>
    <w:basedOn w:val="Domylnaczcionkaakapitu"/>
    <w:uiPriority w:val="99"/>
    <w:unhideWhenUsed/>
    <w:rsid w:val="00781E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37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CELEX:52018DC0773" TargetMode="External"/><Relationship Id="rId2" Type="http://schemas.openxmlformats.org/officeDocument/2006/relationships/hyperlink" Target="http://www.euromines.org/files/euromines_decarbonisation_final.pdf" TargetMode="External"/><Relationship Id="rId1" Type="http://schemas.openxmlformats.org/officeDocument/2006/relationships/hyperlink" Target="https://www.earto.eu/wp-content/uploads/Strategic-Forum_Strengthening-Strategic-Value-Chains-for-a-future-ready-EU-Industry.pdf" TargetMode="External"/><Relationship Id="rId4" Type="http://schemas.openxmlformats.org/officeDocument/2006/relationships/hyperlink" Target="https://www.eurometaux.eu/media/2005/full-report-8-56-1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41F46-43A2-4F1B-8DFB-272442346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9</Pages>
  <Words>3559</Words>
  <Characters>21354</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Turski, Ireneusz</dc:creator>
  <cp:keywords/>
  <dc:description/>
  <cp:lastModifiedBy>Szkutnik-Wolszczak Aleksandra</cp:lastModifiedBy>
  <cp:revision>8</cp:revision>
  <dcterms:created xsi:type="dcterms:W3CDTF">2020-03-02T14:09:00Z</dcterms:created>
  <dcterms:modified xsi:type="dcterms:W3CDTF">2020-03-02T19:54:00Z</dcterms:modified>
</cp:coreProperties>
</file>