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4A4" w:rsidRPr="001A2339" w:rsidRDefault="006B74A4" w:rsidP="006B74A4">
      <w:pPr>
        <w:spacing w:before="120" w:after="120"/>
        <w:jc w:val="center"/>
        <w:rPr>
          <w:b/>
          <w:lang w:val="en-GB"/>
        </w:rPr>
      </w:pPr>
      <w:bookmarkStart w:id="0" w:name="_GoBack"/>
      <w:bookmarkEnd w:id="0"/>
      <w:r w:rsidRPr="001A2339">
        <w:rPr>
          <w:b/>
          <w:lang w:val="en-GB"/>
        </w:rPr>
        <w:t xml:space="preserve">Annex </w:t>
      </w:r>
      <w:proofErr w:type="gramStart"/>
      <w:r w:rsidRPr="001A2339">
        <w:rPr>
          <w:b/>
          <w:lang w:val="en-GB"/>
        </w:rPr>
        <w:t>I</w:t>
      </w:r>
      <w:proofErr w:type="gramEnd"/>
      <w:r w:rsidRPr="001A2339">
        <w:rPr>
          <w:b/>
          <w:lang w:val="en-GB"/>
        </w:rPr>
        <w:t xml:space="preserve"> - Classification form</w:t>
      </w:r>
      <w:r w:rsidRPr="001A2339">
        <w:rPr>
          <w:b/>
          <w:vertAlign w:val="superscript"/>
          <w:lang w:val="en-GB"/>
        </w:rPr>
        <w:footnoteReference w:id="1"/>
      </w:r>
    </w:p>
    <w:p w:rsidR="006B74A4" w:rsidRPr="001A2339" w:rsidRDefault="006B74A4" w:rsidP="006B74A4">
      <w:pPr>
        <w:spacing w:before="120" w:after="120"/>
        <w:jc w:val="center"/>
        <w:rPr>
          <w:u w:val="single"/>
          <w:lang w:val="en-GB"/>
        </w:rPr>
      </w:pPr>
      <w:r w:rsidRPr="001A2339">
        <w:rPr>
          <w:u w:val="single"/>
          <w:lang w:val="en-GB"/>
        </w:rPr>
        <w:t>To be filled in by all applicants</w:t>
      </w:r>
    </w:p>
    <w:p w:rsidR="006B74A4" w:rsidRPr="001A2339" w:rsidRDefault="006B74A4" w:rsidP="006B74A4">
      <w:pPr>
        <w:spacing w:before="120" w:after="120"/>
        <w:rPr>
          <w:lang w:val="en-GB"/>
        </w:rPr>
      </w:pPr>
      <w:r w:rsidRPr="001A2339">
        <w:rPr>
          <w:lang w:val="en-GB"/>
        </w:rPr>
        <w:t xml:space="preserve">This application </w:t>
      </w:r>
      <w:proofErr w:type="gramStart"/>
      <w:r w:rsidRPr="001A2339">
        <w:rPr>
          <w:lang w:val="en-GB"/>
        </w:rPr>
        <w:t>is made as</w:t>
      </w:r>
      <w:proofErr w:type="gramEnd"/>
      <w:r w:rsidRPr="001A2339">
        <w:rPr>
          <w:lang w:val="en-GB"/>
        </w:rPr>
        <w:t xml:space="preserve">: </w:t>
      </w:r>
    </w:p>
    <w:p w:rsidR="006B74A4" w:rsidRPr="001A2339" w:rsidRDefault="006B74A4" w:rsidP="006B74A4">
      <w:pPr>
        <w:numPr>
          <w:ilvl w:val="0"/>
          <w:numId w:val="3"/>
        </w:numPr>
        <w:spacing w:before="120" w:after="120"/>
        <w:ind w:left="0"/>
        <w:jc w:val="left"/>
        <w:rPr>
          <w:lang w:val="en-GB"/>
        </w:rPr>
      </w:pPr>
      <w:r w:rsidRPr="001A2339">
        <w:rPr>
          <w:b/>
          <w:lang w:val="en-GB"/>
        </w:rPr>
        <w:t>An organisation</w:t>
      </w:r>
      <w:r w:rsidRPr="001A2339">
        <w:rPr>
          <w:lang w:val="en-GB"/>
        </w:rPr>
        <w:t xml:space="preserve"> </w:t>
      </w:r>
      <w:r w:rsidRPr="001A2339">
        <w:rPr>
          <w:b/>
          <w:lang w:val="en-GB"/>
        </w:rPr>
        <w:t>(Type C member)</w:t>
      </w:r>
      <w:r w:rsidRPr="001A2339">
        <w:rPr>
          <w:lang w:val="en-GB"/>
        </w:rPr>
        <w:t xml:space="preserve">. </w:t>
      </w:r>
    </w:p>
    <w:p w:rsidR="006B74A4" w:rsidRPr="001A2339" w:rsidRDefault="006B74A4" w:rsidP="006B74A4">
      <w:pPr>
        <w:spacing w:before="120" w:after="120"/>
        <w:jc w:val="left"/>
        <w:rPr>
          <w:lang w:val="en-GB"/>
        </w:rPr>
      </w:pPr>
      <w:r w:rsidRPr="001A2339">
        <w:rPr>
          <w:lang w:val="en-GB"/>
        </w:rPr>
        <w:t>Transparency Register identification number: […]</w:t>
      </w:r>
    </w:p>
    <w:p w:rsidR="006B74A4" w:rsidRPr="001A2339" w:rsidRDefault="006B74A4" w:rsidP="006B74A4">
      <w:pPr>
        <w:spacing w:before="120" w:after="120"/>
        <w:rPr>
          <w:lang w:val="en-GB"/>
        </w:rPr>
      </w:pPr>
      <w:r w:rsidRPr="001A2339">
        <w:rPr>
          <w:b/>
          <w:i/>
          <w:lang w:val="en-GB"/>
        </w:rPr>
        <w:t>Nota Bene concerning Type B and C members</w:t>
      </w:r>
      <w:r w:rsidRPr="001A2339">
        <w:rPr>
          <w:lang w:val="en-GB"/>
        </w:rPr>
        <w:t xml:space="preserve">: although registration in the Transparency Register (TR) </w:t>
      </w:r>
      <w:proofErr w:type="gramStart"/>
      <w:r w:rsidRPr="001A2339">
        <w:rPr>
          <w:lang w:val="en-GB"/>
        </w:rPr>
        <w:t xml:space="preserve">is required in order to be </w:t>
      </w:r>
      <w:r w:rsidRPr="001A2339">
        <w:rPr>
          <w:u w:val="single"/>
          <w:lang w:val="en-GB"/>
        </w:rPr>
        <w:t>appointed</w:t>
      </w:r>
      <w:proofErr w:type="gramEnd"/>
      <w:r w:rsidRPr="001A2339">
        <w:rPr>
          <w:lang w:val="en-GB"/>
        </w:rPr>
        <w:t xml:space="preserve"> as a Type B or C member of an expert group, it is not mandatory for the </w:t>
      </w:r>
      <w:r w:rsidRPr="001A2339">
        <w:rPr>
          <w:u w:val="single"/>
          <w:lang w:val="en-GB"/>
        </w:rPr>
        <w:t>application</w:t>
      </w:r>
      <w:r w:rsidRPr="001A2339">
        <w:rPr>
          <w:lang w:val="en-GB"/>
        </w:rPr>
        <w:t xml:space="preserve"> procedure. Thus, interested individuals and organisations that at the time of the application are not featured yet on TR and, as a consequence, do not have a TR identification number, may still apply. However, should the applicant be selected </w:t>
      </w:r>
      <w:proofErr w:type="gramStart"/>
      <w:r w:rsidRPr="001A2339">
        <w:rPr>
          <w:lang w:val="en-GB"/>
        </w:rPr>
        <w:t>as a result</w:t>
      </w:r>
      <w:proofErr w:type="gramEnd"/>
      <w:r w:rsidRPr="001A2339">
        <w:rPr>
          <w:lang w:val="en-GB"/>
        </w:rPr>
        <w:t xml:space="preserve"> of the call for applications, it shall register in the Transparency Register as a condition to be appointed as a Type B or C member.</w:t>
      </w:r>
    </w:p>
    <w:p w:rsidR="006B74A4" w:rsidRPr="001A2339" w:rsidRDefault="006B74A4" w:rsidP="006B74A4">
      <w:pPr>
        <w:spacing w:before="120" w:after="120"/>
        <w:jc w:val="left"/>
        <w:rPr>
          <w:lang w:val="en-GB"/>
        </w:rPr>
      </w:pPr>
    </w:p>
    <w:p w:rsidR="006B74A4" w:rsidRPr="001A2339" w:rsidRDefault="006B74A4" w:rsidP="006B74A4">
      <w:pPr>
        <w:spacing w:before="120" w:after="120"/>
        <w:jc w:val="center"/>
        <w:rPr>
          <w:lang w:val="en-GB"/>
        </w:rPr>
      </w:pPr>
      <w:r w:rsidRPr="001A2339">
        <w:rPr>
          <w:lang w:val="en-GB"/>
        </w:rPr>
        <w:t>***</w:t>
      </w:r>
    </w:p>
    <w:p w:rsidR="006B74A4" w:rsidRPr="001A2339" w:rsidRDefault="006B74A4" w:rsidP="006B74A4">
      <w:pPr>
        <w:spacing w:before="120" w:after="120"/>
        <w:jc w:val="center"/>
        <w:rPr>
          <w:u w:val="single"/>
          <w:lang w:val="en-GB"/>
        </w:rPr>
      </w:pPr>
      <w:r w:rsidRPr="001A2339">
        <w:rPr>
          <w:u w:val="single"/>
          <w:lang w:val="en-GB"/>
        </w:rPr>
        <w:t>To be filled in by organisations applying to be appointed as members</w:t>
      </w:r>
    </w:p>
    <w:p w:rsidR="006B74A4" w:rsidRPr="001A2339" w:rsidRDefault="006B74A4" w:rsidP="006B74A4">
      <w:pPr>
        <w:spacing w:before="120" w:after="120"/>
        <w:rPr>
          <w:lang w:val="en-GB"/>
        </w:rPr>
      </w:pPr>
      <w:r w:rsidRPr="001A2339">
        <w:rPr>
          <w:lang w:val="en-GB"/>
        </w:rPr>
        <w:t xml:space="preserve">This application </w:t>
      </w:r>
      <w:proofErr w:type="gramStart"/>
      <w:r w:rsidRPr="001A2339">
        <w:rPr>
          <w:lang w:val="en-GB"/>
        </w:rPr>
        <w:t>is made</w:t>
      </w:r>
      <w:proofErr w:type="gramEnd"/>
      <w:r w:rsidRPr="001A2339">
        <w:rPr>
          <w:lang w:val="en-GB"/>
        </w:rPr>
        <w:t xml:space="preserve"> as the following </w:t>
      </w:r>
      <w:r w:rsidRPr="001A2339">
        <w:rPr>
          <w:b/>
          <w:lang w:val="en-GB"/>
        </w:rPr>
        <w:t>type of organisation</w:t>
      </w:r>
      <w:r w:rsidRPr="001A2339">
        <w:rPr>
          <w:lang w:val="en-GB"/>
        </w:rPr>
        <w:t>: (</w:t>
      </w:r>
      <w:r w:rsidRPr="001A2339">
        <w:rPr>
          <w:b/>
          <w:i/>
          <w:lang w:val="en-GB"/>
        </w:rPr>
        <w:t xml:space="preserve">please select </w:t>
      </w:r>
      <w:r w:rsidRPr="001A2339">
        <w:rPr>
          <w:b/>
          <w:i/>
          <w:u w:val="single"/>
          <w:lang w:val="en-GB"/>
        </w:rPr>
        <w:t>only one option</w:t>
      </w:r>
      <w:r w:rsidRPr="001A2339">
        <w:rPr>
          <w:b/>
          <w:i/>
          <w:lang w:val="en-GB"/>
        </w:rPr>
        <w:t>, taking into account the definitions indicated below</w:t>
      </w:r>
      <w:r w:rsidRPr="001A2339">
        <w:rPr>
          <w:lang w:val="en-GB"/>
        </w:rPr>
        <w:t>).</w:t>
      </w:r>
    </w:p>
    <w:p w:rsidR="006B74A4" w:rsidRPr="001A2339" w:rsidRDefault="006B74A4" w:rsidP="006B74A4">
      <w:pPr>
        <w:numPr>
          <w:ilvl w:val="0"/>
          <w:numId w:val="2"/>
        </w:numPr>
        <w:tabs>
          <w:tab w:val="left" w:pos="720"/>
          <w:tab w:val="left" w:pos="720"/>
        </w:tabs>
        <w:spacing w:before="120" w:after="120"/>
        <w:ind w:left="0"/>
        <w:rPr>
          <w:lang w:val="en-GB"/>
        </w:rPr>
      </w:pPr>
      <w:r w:rsidRPr="001A2339">
        <w:rPr>
          <w:lang w:val="en-GB"/>
        </w:rPr>
        <w:t>a) Academia, research Institutes and Think Tanks</w:t>
      </w:r>
    </w:p>
    <w:p w:rsidR="006B74A4" w:rsidRPr="001A2339" w:rsidRDefault="006B74A4" w:rsidP="006B74A4">
      <w:pPr>
        <w:numPr>
          <w:ilvl w:val="0"/>
          <w:numId w:val="2"/>
        </w:numPr>
        <w:tabs>
          <w:tab w:val="left" w:pos="720"/>
          <w:tab w:val="left" w:pos="720"/>
        </w:tabs>
        <w:spacing w:before="120" w:after="120"/>
        <w:ind w:left="0"/>
        <w:rPr>
          <w:lang w:val="en-GB"/>
        </w:rPr>
      </w:pPr>
      <w:r w:rsidRPr="001A2339">
        <w:rPr>
          <w:lang w:val="en-GB"/>
        </w:rPr>
        <w:t xml:space="preserve">b) Banks/Financial institutions </w:t>
      </w:r>
    </w:p>
    <w:p w:rsidR="006B74A4" w:rsidRPr="001A2339" w:rsidRDefault="006B74A4" w:rsidP="006B74A4">
      <w:pPr>
        <w:numPr>
          <w:ilvl w:val="0"/>
          <w:numId w:val="2"/>
        </w:numPr>
        <w:tabs>
          <w:tab w:val="left" w:pos="720"/>
          <w:tab w:val="left" w:pos="720"/>
        </w:tabs>
        <w:spacing w:before="120" w:after="120"/>
        <w:ind w:left="0"/>
        <w:rPr>
          <w:lang w:val="en-GB"/>
        </w:rPr>
      </w:pPr>
      <w:r w:rsidRPr="001A2339">
        <w:rPr>
          <w:lang w:val="en-GB"/>
        </w:rPr>
        <w:t>c) Companies/groups</w:t>
      </w:r>
    </w:p>
    <w:p w:rsidR="006B74A4" w:rsidRPr="001A2339" w:rsidRDefault="006B74A4" w:rsidP="006B74A4">
      <w:pPr>
        <w:numPr>
          <w:ilvl w:val="0"/>
          <w:numId w:val="2"/>
        </w:numPr>
        <w:tabs>
          <w:tab w:val="left" w:pos="720"/>
          <w:tab w:val="left" w:pos="720"/>
        </w:tabs>
        <w:spacing w:before="120" w:after="120"/>
        <w:ind w:left="0"/>
        <w:rPr>
          <w:lang w:val="en-GB"/>
        </w:rPr>
      </w:pPr>
      <w:r w:rsidRPr="001A2339">
        <w:rPr>
          <w:lang w:val="en-GB"/>
        </w:rPr>
        <w:t>d) Law firms</w:t>
      </w:r>
    </w:p>
    <w:p w:rsidR="006B74A4" w:rsidRPr="001A2339" w:rsidRDefault="006B74A4" w:rsidP="006B74A4">
      <w:pPr>
        <w:numPr>
          <w:ilvl w:val="0"/>
          <w:numId w:val="2"/>
        </w:numPr>
        <w:tabs>
          <w:tab w:val="left" w:pos="720"/>
          <w:tab w:val="left" w:pos="720"/>
        </w:tabs>
        <w:spacing w:before="120" w:after="120"/>
        <w:ind w:left="0"/>
        <w:rPr>
          <w:lang w:val="en-GB"/>
        </w:rPr>
      </w:pPr>
      <w:r w:rsidRPr="001A2339">
        <w:rPr>
          <w:lang w:val="en-GB"/>
        </w:rPr>
        <w:t>e) NGOs</w:t>
      </w:r>
    </w:p>
    <w:p w:rsidR="006B74A4" w:rsidRPr="001A2339" w:rsidRDefault="006B74A4" w:rsidP="006B74A4">
      <w:pPr>
        <w:numPr>
          <w:ilvl w:val="0"/>
          <w:numId w:val="2"/>
        </w:numPr>
        <w:tabs>
          <w:tab w:val="left" w:pos="720"/>
          <w:tab w:val="left" w:pos="720"/>
        </w:tabs>
        <w:spacing w:before="120" w:after="120"/>
        <w:ind w:left="0"/>
        <w:rPr>
          <w:lang w:val="en-GB"/>
        </w:rPr>
      </w:pPr>
      <w:r w:rsidRPr="001A2339">
        <w:rPr>
          <w:lang w:val="en-GB"/>
        </w:rPr>
        <w:t>f) Professionals’ associations</w:t>
      </w:r>
    </w:p>
    <w:p w:rsidR="006B74A4" w:rsidRPr="001A2339" w:rsidRDefault="006B74A4" w:rsidP="006B74A4">
      <w:pPr>
        <w:numPr>
          <w:ilvl w:val="0"/>
          <w:numId w:val="2"/>
        </w:numPr>
        <w:tabs>
          <w:tab w:val="left" w:pos="720"/>
          <w:tab w:val="left" w:pos="720"/>
        </w:tabs>
        <w:spacing w:before="120" w:after="120"/>
        <w:ind w:left="0"/>
        <w:rPr>
          <w:lang w:val="en-GB"/>
        </w:rPr>
      </w:pPr>
      <w:r w:rsidRPr="001A2339">
        <w:rPr>
          <w:lang w:val="en-GB"/>
        </w:rPr>
        <w:t>g) Professional consultancies</w:t>
      </w:r>
    </w:p>
    <w:p w:rsidR="006B74A4" w:rsidRPr="001A2339" w:rsidRDefault="006B74A4" w:rsidP="006B74A4">
      <w:pPr>
        <w:numPr>
          <w:ilvl w:val="0"/>
          <w:numId w:val="2"/>
        </w:numPr>
        <w:tabs>
          <w:tab w:val="left" w:pos="720"/>
          <w:tab w:val="left" w:pos="720"/>
        </w:tabs>
        <w:spacing w:before="120" w:after="120"/>
        <w:ind w:left="0"/>
        <w:rPr>
          <w:lang w:val="en-GB"/>
        </w:rPr>
      </w:pPr>
      <w:r w:rsidRPr="001A2339">
        <w:rPr>
          <w:lang w:val="en-GB"/>
        </w:rPr>
        <w:t>h) Trade and business associations</w:t>
      </w:r>
    </w:p>
    <w:p w:rsidR="006B74A4" w:rsidRPr="001A2339" w:rsidRDefault="006B74A4" w:rsidP="006B74A4">
      <w:pPr>
        <w:numPr>
          <w:ilvl w:val="0"/>
          <w:numId w:val="2"/>
        </w:numPr>
        <w:tabs>
          <w:tab w:val="left" w:pos="720"/>
          <w:tab w:val="left" w:pos="720"/>
        </w:tabs>
        <w:spacing w:before="120" w:after="120"/>
        <w:ind w:left="0"/>
        <w:rPr>
          <w:lang w:val="en-GB"/>
        </w:rPr>
      </w:pPr>
      <w:r w:rsidRPr="001A2339">
        <w:rPr>
          <w:lang w:val="en-GB"/>
        </w:rPr>
        <w:t>i) Trade unions</w:t>
      </w:r>
    </w:p>
    <w:p w:rsidR="006B74A4" w:rsidRPr="001A2339" w:rsidRDefault="006B74A4" w:rsidP="006B74A4">
      <w:pPr>
        <w:numPr>
          <w:ilvl w:val="0"/>
          <w:numId w:val="2"/>
        </w:numPr>
        <w:tabs>
          <w:tab w:val="left" w:pos="720"/>
          <w:tab w:val="left" w:pos="720"/>
        </w:tabs>
        <w:spacing w:before="120" w:after="120"/>
        <w:ind w:left="0"/>
        <w:rPr>
          <w:lang w:val="en-GB"/>
        </w:rPr>
      </w:pPr>
      <w:r w:rsidRPr="001A2339">
        <w:rPr>
          <w:lang w:val="en-GB"/>
        </w:rPr>
        <w:t>j) Other (please specify):</w:t>
      </w:r>
    </w:p>
    <w:p w:rsidR="006B74A4" w:rsidRPr="001A2339" w:rsidRDefault="006B74A4" w:rsidP="006B74A4">
      <w:pPr>
        <w:tabs>
          <w:tab w:val="left" w:pos="0"/>
        </w:tabs>
        <w:spacing w:before="120" w:after="120"/>
        <w:jc w:val="left"/>
        <w:rPr>
          <w:lang w:val="en-GB"/>
        </w:rPr>
      </w:pPr>
    </w:p>
    <w:p w:rsidR="006B74A4" w:rsidRPr="001A2339" w:rsidRDefault="006B74A4" w:rsidP="006B74A4">
      <w:pPr>
        <w:spacing w:before="120" w:after="120"/>
        <w:rPr>
          <w:u w:val="single"/>
          <w:lang w:val="en-GB"/>
        </w:rPr>
      </w:pPr>
      <w:r w:rsidRPr="001A2339">
        <w:rPr>
          <w:u w:val="single"/>
          <w:lang w:val="en-GB"/>
        </w:rPr>
        <w:t>Definitions for organisation types</w:t>
      </w:r>
    </w:p>
    <w:p w:rsidR="006B74A4" w:rsidRPr="001A2339" w:rsidRDefault="006B74A4" w:rsidP="006B74A4">
      <w:pPr>
        <w:spacing w:before="120" w:after="120"/>
        <w:rPr>
          <w:b/>
          <w:lang w:val="en-GB"/>
        </w:rPr>
      </w:pPr>
      <w:r w:rsidRPr="001A2339">
        <w:rPr>
          <w:b/>
          <w:lang w:val="en-GB"/>
        </w:rPr>
        <w:t>Academia, Research Institutes and Think Tanks</w:t>
      </w:r>
    </w:p>
    <w:p w:rsidR="006B74A4" w:rsidRPr="001A2339" w:rsidRDefault="006B74A4" w:rsidP="006B74A4">
      <w:pPr>
        <w:spacing w:before="120" w:after="120"/>
        <w:rPr>
          <w:lang w:val="en-GB"/>
        </w:rPr>
      </w:pPr>
      <w:r w:rsidRPr="001A2339">
        <w:rPr>
          <w:lang w:val="en-GB"/>
        </w:rPr>
        <w:t xml:space="preserve">Universities, schools, research </w:t>
      </w:r>
      <w:proofErr w:type="spellStart"/>
      <w:r w:rsidRPr="001A2339">
        <w:rPr>
          <w:lang w:val="en-GB"/>
        </w:rPr>
        <w:t>centers</w:t>
      </w:r>
      <w:proofErr w:type="spellEnd"/>
      <w:r w:rsidRPr="001A2339">
        <w:rPr>
          <w:lang w:val="en-GB"/>
        </w:rPr>
        <w:t>, think tanks and other similar bodies performing academic and/or educational activities.</w:t>
      </w:r>
    </w:p>
    <w:p w:rsidR="006B74A4" w:rsidRPr="001A2339" w:rsidRDefault="006B74A4" w:rsidP="006B74A4">
      <w:pPr>
        <w:spacing w:before="120" w:after="120"/>
        <w:rPr>
          <w:b/>
          <w:lang w:val="en-GB"/>
        </w:rPr>
      </w:pPr>
      <w:r w:rsidRPr="001A2339">
        <w:rPr>
          <w:b/>
          <w:lang w:val="en-GB"/>
        </w:rPr>
        <w:t>Banks/Financial institutions</w:t>
      </w:r>
    </w:p>
    <w:p w:rsidR="006B74A4" w:rsidRPr="001A2339" w:rsidRDefault="006B74A4" w:rsidP="006B74A4">
      <w:pPr>
        <w:spacing w:before="120" w:after="120"/>
        <w:rPr>
          <w:b/>
          <w:lang w:val="en-GB"/>
        </w:rPr>
      </w:pPr>
      <w:r w:rsidRPr="001A2339">
        <w:rPr>
          <w:lang w:val="en-GB"/>
        </w:rPr>
        <w:t xml:space="preserve">Banks and other similar bodies providing financial services, including financial intermediation. All sorts of banks </w:t>
      </w:r>
      <w:proofErr w:type="gramStart"/>
      <w:r w:rsidRPr="001A2339">
        <w:rPr>
          <w:lang w:val="en-GB"/>
        </w:rPr>
        <w:t>should be classified</w:t>
      </w:r>
      <w:proofErr w:type="gramEnd"/>
      <w:r w:rsidRPr="001A2339">
        <w:rPr>
          <w:lang w:val="en-GB"/>
        </w:rPr>
        <w:t xml:space="preserve"> within this category, including national central banks.</w:t>
      </w:r>
    </w:p>
    <w:p w:rsidR="006B74A4" w:rsidRPr="001A2339" w:rsidRDefault="006B74A4" w:rsidP="006B74A4">
      <w:pPr>
        <w:spacing w:before="120" w:after="120"/>
        <w:rPr>
          <w:b/>
          <w:lang w:val="en-GB"/>
        </w:rPr>
      </w:pPr>
      <w:r w:rsidRPr="001A2339">
        <w:rPr>
          <w:b/>
          <w:lang w:val="en-GB"/>
        </w:rPr>
        <w:t>Companies/groups</w:t>
      </w:r>
    </w:p>
    <w:p w:rsidR="006B74A4" w:rsidRPr="001A2339" w:rsidRDefault="006B74A4" w:rsidP="006B74A4">
      <w:pPr>
        <w:spacing w:before="120" w:after="120"/>
        <w:rPr>
          <w:lang w:val="en-GB"/>
        </w:rPr>
      </w:pPr>
      <w:r w:rsidRPr="001A2339">
        <w:rPr>
          <w:lang w:val="en-GB"/>
        </w:rPr>
        <w:lastRenderedPageBreak/>
        <w:t>Individual companies or groups of companies operating in the business sector, whether they are national companies or multinational ones.</w:t>
      </w:r>
    </w:p>
    <w:p w:rsidR="006B74A4" w:rsidRPr="001A2339" w:rsidRDefault="006B74A4" w:rsidP="006B74A4">
      <w:pPr>
        <w:spacing w:before="120" w:after="120"/>
        <w:rPr>
          <w:b/>
          <w:lang w:val="en-GB"/>
        </w:rPr>
      </w:pPr>
      <w:r w:rsidRPr="001A2339">
        <w:rPr>
          <w:b/>
          <w:lang w:val="en-GB"/>
        </w:rPr>
        <w:t>Law firms</w:t>
      </w:r>
    </w:p>
    <w:p w:rsidR="006B74A4" w:rsidRPr="001A2339" w:rsidRDefault="006B74A4" w:rsidP="006B74A4">
      <w:pPr>
        <w:spacing w:before="120" w:after="120"/>
        <w:rPr>
          <w:lang w:val="en-GB"/>
        </w:rPr>
      </w:pPr>
      <w:r w:rsidRPr="001A2339">
        <w:rPr>
          <w:lang w:val="en-GB"/>
        </w:rPr>
        <w:t xml:space="preserve">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w:t>
      </w:r>
      <w:proofErr w:type="gramStart"/>
      <w:r w:rsidRPr="001A2339">
        <w:rPr>
          <w:lang w:val="en-GB"/>
        </w:rPr>
        <w:t>are sought</w:t>
      </w:r>
      <w:proofErr w:type="gramEnd"/>
      <w:r w:rsidRPr="001A2339">
        <w:rPr>
          <w:lang w:val="en-GB"/>
        </w:rPr>
        <w:t>.</w:t>
      </w:r>
    </w:p>
    <w:p w:rsidR="006B74A4" w:rsidRPr="001A2339" w:rsidRDefault="006B74A4" w:rsidP="006B74A4">
      <w:pPr>
        <w:spacing w:before="120" w:after="120"/>
        <w:rPr>
          <w:b/>
          <w:lang w:val="en-GB"/>
        </w:rPr>
      </w:pPr>
      <w:r w:rsidRPr="001A2339">
        <w:rPr>
          <w:b/>
          <w:lang w:val="en-GB"/>
        </w:rPr>
        <w:t>NGOs</w:t>
      </w:r>
    </w:p>
    <w:p w:rsidR="006B74A4" w:rsidRPr="001A2339" w:rsidRDefault="006B74A4" w:rsidP="006B74A4">
      <w:pPr>
        <w:spacing w:before="120" w:after="120"/>
        <w:rPr>
          <w:lang w:val="en-GB"/>
        </w:rPr>
      </w:pPr>
      <w:r w:rsidRPr="001A2339">
        <w:rPr>
          <w:rFonts w:eastAsia="Calibri" w:hAnsi="Calibri"/>
          <w:lang w:val="en-GB"/>
        </w:rPr>
        <w:t xml:space="preserve">Non-profit </w:t>
      </w:r>
      <w:proofErr w:type="gramStart"/>
      <w:r w:rsidRPr="001A2339">
        <w:rPr>
          <w:rFonts w:eastAsia="Calibri" w:hAnsi="Calibri"/>
          <w:lang w:val="en-GB"/>
        </w:rPr>
        <w:t>organisations which are independent from public authorities</w:t>
      </w:r>
      <w:proofErr w:type="gramEnd"/>
      <w:r w:rsidRPr="001A2339">
        <w:rPr>
          <w:rFonts w:eastAsia="Calibri" w:hAnsi="Calibri"/>
          <w:lang w:val="en-GB"/>
        </w:rPr>
        <w:t xml:space="preserve"> </w:t>
      </w:r>
      <w:r w:rsidRPr="001A2339">
        <w:rPr>
          <w:rFonts w:eastAsia="Calibri" w:hAnsi="Calibri"/>
          <w:color w:val="333333"/>
          <w:lang w:val="en-GB"/>
        </w:rPr>
        <w:t>and</w:t>
      </w:r>
      <w:r w:rsidRPr="001A2339">
        <w:rPr>
          <w:rFonts w:eastAsia="Calibri" w:hAnsi="Calibri"/>
          <w:lang w:val="en-GB"/>
        </w:rPr>
        <w:t xml:space="preserve"> commercial organisations</w:t>
      </w:r>
      <w:r w:rsidRPr="001A2339">
        <w:rPr>
          <w:rFonts w:eastAsia="Calibri" w:hAnsi="Calibri"/>
          <w:color w:val="333333"/>
          <w:lang w:val="en-GB"/>
        </w:rPr>
        <w:t>.</w:t>
      </w:r>
      <w:r w:rsidRPr="001A2339">
        <w:rPr>
          <w:rFonts w:eastAsia="Calibri" w:hAnsi="Calibri"/>
          <w:lang w:val="en-GB"/>
        </w:rPr>
        <w:t xml:space="preserve"> </w:t>
      </w:r>
      <w:r w:rsidRPr="001A2339">
        <w:rPr>
          <w:lang w:val="en-GB"/>
        </w:rPr>
        <w:t>Some NGOs are organised around specific issues, such as environment, consumer affairs, health and human rights.</w:t>
      </w:r>
    </w:p>
    <w:p w:rsidR="006B74A4" w:rsidRPr="001A2339" w:rsidRDefault="006B74A4" w:rsidP="006B74A4">
      <w:pPr>
        <w:spacing w:before="120" w:after="120"/>
        <w:rPr>
          <w:b/>
          <w:lang w:val="en-GB"/>
        </w:rPr>
      </w:pPr>
      <w:r w:rsidRPr="001A2339">
        <w:rPr>
          <w:b/>
          <w:lang w:val="en-GB"/>
        </w:rPr>
        <w:t>Professionals’ associations</w:t>
      </w:r>
    </w:p>
    <w:p w:rsidR="006B74A4" w:rsidRPr="001A2339" w:rsidRDefault="006B74A4" w:rsidP="006B74A4">
      <w:pPr>
        <w:spacing w:before="120" w:after="120"/>
        <w:rPr>
          <w:lang w:val="en-GB"/>
        </w:rPr>
      </w:pPr>
      <w:r w:rsidRPr="001A2339">
        <w:rPr>
          <w:lang w:val="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rsidR="006B74A4" w:rsidRPr="001A2339" w:rsidRDefault="006B74A4" w:rsidP="006B74A4">
      <w:pPr>
        <w:spacing w:before="120" w:after="120"/>
        <w:rPr>
          <w:b/>
          <w:lang w:val="en-GB"/>
        </w:rPr>
      </w:pPr>
      <w:r w:rsidRPr="001A2339">
        <w:rPr>
          <w:b/>
          <w:lang w:val="en-GB"/>
        </w:rPr>
        <w:t>Professional consultancies</w:t>
      </w:r>
    </w:p>
    <w:p w:rsidR="006B74A4" w:rsidRPr="001A2339" w:rsidRDefault="006B74A4" w:rsidP="006B74A4">
      <w:pPr>
        <w:spacing w:before="120" w:after="120"/>
        <w:rPr>
          <w:lang w:val="en-GB"/>
        </w:rPr>
      </w:pPr>
      <w:r w:rsidRPr="001A2339">
        <w:rPr>
          <w:lang w:val="en-GB"/>
        </w:rPr>
        <w:t>Firms carrying on, on behalf of clients, activities involving advocacy, lobbying, promotion, public affairs and relations with public authorities.</w:t>
      </w:r>
    </w:p>
    <w:p w:rsidR="006B74A4" w:rsidRPr="001A2339" w:rsidRDefault="006B74A4" w:rsidP="006B74A4">
      <w:pPr>
        <w:spacing w:before="120" w:after="120"/>
        <w:rPr>
          <w:b/>
          <w:lang w:val="en-GB"/>
        </w:rPr>
      </w:pPr>
      <w:r w:rsidRPr="001A2339">
        <w:rPr>
          <w:b/>
          <w:lang w:val="en-GB"/>
        </w:rPr>
        <w:t>Trade and business associations</w:t>
      </w:r>
    </w:p>
    <w:p w:rsidR="006B74A4" w:rsidRPr="001A2339" w:rsidRDefault="006B74A4" w:rsidP="006B74A4">
      <w:pPr>
        <w:spacing w:before="120" w:after="120"/>
        <w:rPr>
          <w:lang w:val="en-GB"/>
        </w:rPr>
      </w:pPr>
      <w:r w:rsidRPr="001A2339">
        <w:rPr>
          <w:lang w:val="en-GB"/>
        </w:rPr>
        <w:t>Private bodies representing the interests of its members operating in the business sector.</w:t>
      </w:r>
    </w:p>
    <w:p w:rsidR="006B74A4" w:rsidRPr="001A2339" w:rsidRDefault="006B74A4" w:rsidP="006B74A4">
      <w:pPr>
        <w:spacing w:before="120" w:after="120"/>
        <w:rPr>
          <w:b/>
          <w:lang w:val="en-GB"/>
        </w:rPr>
      </w:pPr>
      <w:r w:rsidRPr="001A2339">
        <w:rPr>
          <w:b/>
          <w:lang w:val="en-GB"/>
        </w:rPr>
        <w:t>Trade unions</w:t>
      </w:r>
    </w:p>
    <w:p w:rsidR="006B74A4" w:rsidRPr="001A2339" w:rsidRDefault="006B74A4" w:rsidP="006B74A4">
      <w:pPr>
        <w:spacing w:before="120" w:after="120"/>
        <w:rPr>
          <w:lang w:val="en-GB"/>
        </w:rPr>
      </w:pPr>
      <w:r w:rsidRPr="001A2339">
        <w:rPr>
          <w:lang w:val="en-GB"/>
        </w:rPr>
        <w:t xml:space="preserve">Organisations of workers. The most common activities performed by trade unions include the negotiation of </w:t>
      </w:r>
      <w:hyperlink r:id="rId7" w:tooltip="Wage">
        <w:r w:rsidRPr="001A2339">
          <w:rPr>
            <w:lang w:val="en-GB"/>
          </w:rPr>
          <w:t>wages</w:t>
        </w:r>
      </w:hyperlink>
      <w:r w:rsidRPr="001A2339">
        <w:rPr>
          <w:lang w:val="en-GB"/>
        </w:rPr>
        <w:t>, work rules, rules governing hiring, firing and promotion of workers.</w:t>
      </w:r>
    </w:p>
    <w:p w:rsidR="006B74A4" w:rsidRPr="001A2339" w:rsidRDefault="006B74A4" w:rsidP="006B74A4">
      <w:pPr>
        <w:spacing w:before="120" w:after="120"/>
        <w:rPr>
          <w:b/>
          <w:lang w:val="en-GB"/>
        </w:rPr>
      </w:pPr>
      <w:r w:rsidRPr="001A2339">
        <w:rPr>
          <w:b/>
          <w:lang w:val="en-GB"/>
        </w:rPr>
        <w:t xml:space="preserve">Other organisations </w:t>
      </w:r>
    </w:p>
    <w:p w:rsidR="006B74A4" w:rsidRPr="001A2339" w:rsidRDefault="006B74A4" w:rsidP="006B74A4">
      <w:pPr>
        <w:spacing w:before="120" w:after="120"/>
        <w:rPr>
          <w:lang w:val="en-GB"/>
        </w:rPr>
      </w:pPr>
      <w:proofErr w:type="gramStart"/>
      <w:r w:rsidRPr="001A2339">
        <w:rPr>
          <w:lang w:val="en-GB"/>
        </w:rPr>
        <w:t>Organisations which</w:t>
      </w:r>
      <w:proofErr w:type="gramEnd"/>
      <w:r w:rsidRPr="001A2339">
        <w:rPr>
          <w:lang w:val="en-GB"/>
        </w:rPr>
        <w:t xml:space="preserve"> are not possible to classify in any other category.</w:t>
      </w:r>
    </w:p>
    <w:p w:rsidR="006B74A4" w:rsidRPr="001A2339" w:rsidRDefault="006B74A4" w:rsidP="006B74A4">
      <w:pPr>
        <w:spacing w:before="120" w:after="120"/>
        <w:jc w:val="center"/>
        <w:rPr>
          <w:lang w:val="en-GB"/>
        </w:rPr>
      </w:pPr>
      <w:r w:rsidRPr="001A2339">
        <w:rPr>
          <w:lang w:val="en-GB"/>
        </w:rPr>
        <w:t>***</w:t>
      </w:r>
    </w:p>
    <w:p w:rsidR="006B74A4" w:rsidRPr="001A2339" w:rsidRDefault="006B74A4" w:rsidP="006B74A4">
      <w:pPr>
        <w:spacing w:before="120" w:after="120"/>
        <w:contextualSpacing/>
        <w:jc w:val="center"/>
        <w:rPr>
          <w:u w:val="single"/>
          <w:lang w:val="en-GB"/>
        </w:rPr>
      </w:pPr>
      <w:r w:rsidRPr="001A2339">
        <w:rPr>
          <w:u w:val="single"/>
          <w:lang w:val="en-GB"/>
        </w:rPr>
        <w:t>To be filled in by organisations applying to be appointed as members</w:t>
      </w:r>
    </w:p>
    <w:p w:rsidR="006B74A4" w:rsidRPr="001A2339" w:rsidRDefault="006B74A4" w:rsidP="006B74A4">
      <w:pPr>
        <w:spacing w:before="120" w:after="120"/>
        <w:contextualSpacing/>
        <w:jc w:val="left"/>
        <w:rPr>
          <w:lang w:val="en-GB"/>
        </w:rPr>
      </w:pPr>
    </w:p>
    <w:p w:rsidR="006B74A4" w:rsidRPr="001A2339" w:rsidRDefault="006B74A4" w:rsidP="006B74A4">
      <w:pPr>
        <w:spacing w:before="120" w:after="120"/>
        <w:rPr>
          <w:lang w:val="en-GB"/>
        </w:rPr>
      </w:pPr>
      <w:r w:rsidRPr="001A2339">
        <w:rPr>
          <w:lang w:val="en-GB"/>
        </w:rPr>
        <w:t xml:space="preserve">The applicant shall represent the following </w:t>
      </w:r>
      <w:r w:rsidRPr="001A2339">
        <w:rPr>
          <w:b/>
          <w:lang w:val="en-GB"/>
        </w:rPr>
        <w:t>interest</w:t>
      </w:r>
      <w:r w:rsidRPr="001A2339">
        <w:rPr>
          <w:lang w:val="en-GB"/>
        </w:rPr>
        <w:t>: (</w:t>
      </w:r>
      <w:r w:rsidRPr="001A2339">
        <w:rPr>
          <w:b/>
          <w:i/>
          <w:lang w:val="en-GB"/>
        </w:rPr>
        <w:t xml:space="preserve">please select </w:t>
      </w:r>
      <w:r w:rsidRPr="001A2339">
        <w:rPr>
          <w:b/>
          <w:i/>
          <w:u w:val="single"/>
          <w:lang w:val="en-GB"/>
        </w:rPr>
        <w:t>one or more options</w:t>
      </w:r>
      <w:r w:rsidRPr="001A2339">
        <w:rPr>
          <w:b/>
          <w:i/>
          <w:lang w:val="en-GB"/>
        </w:rPr>
        <w:t>, taking into account the definitions indicated below</w:t>
      </w:r>
      <w:r w:rsidRPr="001A2339">
        <w:rPr>
          <w:lang w:val="en-GB"/>
        </w:rPr>
        <w:t>):</w:t>
      </w:r>
    </w:p>
    <w:p w:rsidR="006B74A4" w:rsidRPr="001A2339" w:rsidRDefault="006B74A4" w:rsidP="006B74A4">
      <w:pPr>
        <w:numPr>
          <w:ilvl w:val="0"/>
          <w:numId w:val="2"/>
        </w:numPr>
        <w:spacing w:before="120" w:after="120"/>
        <w:ind w:left="0"/>
        <w:rPr>
          <w:lang w:val="en-GB"/>
        </w:rPr>
      </w:pPr>
      <w:r w:rsidRPr="001A2339">
        <w:rPr>
          <w:lang w:val="en-GB"/>
        </w:rPr>
        <w:t>a) Academia/Research</w:t>
      </w:r>
    </w:p>
    <w:p w:rsidR="006B74A4" w:rsidRPr="001A2339" w:rsidRDefault="006B74A4" w:rsidP="006B74A4">
      <w:pPr>
        <w:numPr>
          <w:ilvl w:val="0"/>
          <w:numId w:val="2"/>
        </w:numPr>
        <w:spacing w:before="120" w:after="120"/>
        <w:ind w:left="0"/>
        <w:rPr>
          <w:lang w:val="en-GB"/>
        </w:rPr>
      </w:pPr>
      <w:r w:rsidRPr="001A2339">
        <w:rPr>
          <w:lang w:val="en-GB"/>
        </w:rPr>
        <w:t xml:space="preserve">b) Civil society </w:t>
      </w:r>
    </w:p>
    <w:p w:rsidR="006B74A4" w:rsidRPr="001A2339" w:rsidRDefault="006B74A4" w:rsidP="006B74A4">
      <w:pPr>
        <w:numPr>
          <w:ilvl w:val="0"/>
          <w:numId w:val="2"/>
        </w:numPr>
        <w:spacing w:before="120" w:after="120"/>
        <w:ind w:left="0"/>
        <w:rPr>
          <w:lang w:val="en-GB"/>
        </w:rPr>
      </w:pPr>
      <w:r w:rsidRPr="001A2339">
        <w:rPr>
          <w:lang w:val="en-GB"/>
        </w:rPr>
        <w:t>c) Employees/Workers</w:t>
      </w:r>
    </w:p>
    <w:p w:rsidR="006B74A4" w:rsidRPr="001A2339" w:rsidRDefault="006B74A4" w:rsidP="006B74A4">
      <w:pPr>
        <w:numPr>
          <w:ilvl w:val="0"/>
          <w:numId w:val="2"/>
        </w:numPr>
        <w:spacing w:before="120" w:after="120"/>
        <w:ind w:left="0"/>
        <w:rPr>
          <w:lang w:val="en-GB"/>
        </w:rPr>
      </w:pPr>
      <w:r w:rsidRPr="001A2339">
        <w:rPr>
          <w:lang w:val="en-GB"/>
        </w:rPr>
        <w:t>d) Finance</w:t>
      </w:r>
    </w:p>
    <w:p w:rsidR="006B74A4" w:rsidRPr="001A2339" w:rsidRDefault="006B74A4" w:rsidP="006B74A4">
      <w:pPr>
        <w:numPr>
          <w:ilvl w:val="0"/>
          <w:numId w:val="2"/>
        </w:numPr>
        <w:spacing w:before="120" w:after="120"/>
        <w:ind w:left="0"/>
        <w:rPr>
          <w:lang w:val="en-GB"/>
        </w:rPr>
      </w:pPr>
      <w:r w:rsidRPr="001A2339">
        <w:rPr>
          <w:lang w:val="en-GB"/>
        </w:rPr>
        <w:t>e) Industry</w:t>
      </w:r>
    </w:p>
    <w:p w:rsidR="006B74A4" w:rsidRPr="001A2339" w:rsidRDefault="006B74A4" w:rsidP="006B74A4">
      <w:pPr>
        <w:numPr>
          <w:ilvl w:val="0"/>
          <w:numId w:val="2"/>
        </w:numPr>
        <w:spacing w:before="120" w:after="120"/>
        <w:ind w:left="0"/>
        <w:rPr>
          <w:lang w:val="en-GB"/>
        </w:rPr>
      </w:pPr>
      <w:r w:rsidRPr="001A2339">
        <w:rPr>
          <w:lang w:val="en-GB"/>
        </w:rPr>
        <w:t>f) Professionals</w:t>
      </w:r>
    </w:p>
    <w:p w:rsidR="006B74A4" w:rsidRPr="001A2339" w:rsidRDefault="006B74A4" w:rsidP="006B74A4">
      <w:pPr>
        <w:numPr>
          <w:ilvl w:val="0"/>
          <w:numId w:val="2"/>
        </w:numPr>
        <w:spacing w:before="120" w:after="120"/>
        <w:ind w:left="0"/>
        <w:rPr>
          <w:lang w:val="en-GB"/>
        </w:rPr>
      </w:pPr>
      <w:r w:rsidRPr="001A2339">
        <w:rPr>
          <w:lang w:val="en-GB"/>
        </w:rPr>
        <w:t>g) SMEs</w:t>
      </w:r>
    </w:p>
    <w:p w:rsidR="006B74A4" w:rsidRPr="001A2339" w:rsidRDefault="006B74A4" w:rsidP="006B74A4">
      <w:pPr>
        <w:numPr>
          <w:ilvl w:val="0"/>
          <w:numId w:val="2"/>
        </w:numPr>
        <w:spacing w:before="120" w:after="120"/>
        <w:ind w:left="0"/>
        <w:jc w:val="left"/>
        <w:rPr>
          <w:lang w:val="en-GB"/>
        </w:rPr>
      </w:pPr>
      <w:r w:rsidRPr="001A2339">
        <w:rPr>
          <w:lang w:val="en-GB"/>
        </w:rPr>
        <w:t>h) Other (please specify):</w:t>
      </w:r>
    </w:p>
    <w:p w:rsidR="006B74A4" w:rsidRPr="001A2339" w:rsidRDefault="006B74A4" w:rsidP="006B74A4">
      <w:pPr>
        <w:spacing w:before="120" w:after="120"/>
        <w:jc w:val="left"/>
        <w:rPr>
          <w:u w:val="single"/>
          <w:lang w:val="en-GB"/>
        </w:rPr>
      </w:pPr>
      <w:r w:rsidRPr="001A2339">
        <w:rPr>
          <w:u w:val="single"/>
          <w:lang w:val="en-GB"/>
        </w:rPr>
        <w:lastRenderedPageBreak/>
        <w:t>Definitions for interests represented</w:t>
      </w:r>
    </w:p>
    <w:p w:rsidR="006B74A4" w:rsidRPr="001A2339" w:rsidRDefault="006B74A4" w:rsidP="006B74A4">
      <w:pPr>
        <w:spacing w:before="120" w:after="120"/>
        <w:jc w:val="left"/>
        <w:rPr>
          <w:b/>
          <w:lang w:val="en-GB"/>
        </w:rPr>
      </w:pPr>
      <w:r w:rsidRPr="001A2339">
        <w:rPr>
          <w:b/>
          <w:lang w:val="en-GB"/>
        </w:rPr>
        <w:t>Academia/Research</w:t>
      </w:r>
    </w:p>
    <w:p w:rsidR="006B74A4" w:rsidRPr="001A2339" w:rsidRDefault="006B74A4" w:rsidP="006B74A4">
      <w:pPr>
        <w:spacing w:before="120" w:after="120"/>
        <w:rPr>
          <w:lang w:val="en-GB"/>
        </w:rPr>
      </w:pPr>
      <w:r w:rsidRPr="001A2339">
        <w:rPr>
          <w:lang w:val="en-GB"/>
        </w:rPr>
        <w:t xml:space="preserve">Universities, schools, research </w:t>
      </w:r>
      <w:proofErr w:type="spellStart"/>
      <w:r w:rsidRPr="001A2339">
        <w:rPr>
          <w:lang w:val="en-GB"/>
        </w:rPr>
        <w:t>centers</w:t>
      </w:r>
      <w:proofErr w:type="spellEnd"/>
      <w:r w:rsidRPr="001A2339">
        <w:rPr>
          <w:lang w:val="en-GB"/>
        </w:rPr>
        <w:t>, think tanks and other similar bodies performing academic and/or educational activities.</w:t>
      </w:r>
    </w:p>
    <w:p w:rsidR="006B74A4" w:rsidRPr="001A2339" w:rsidRDefault="006B74A4" w:rsidP="006B74A4">
      <w:pPr>
        <w:spacing w:before="120" w:after="120"/>
        <w:jc w:val="left"/>
        <w:rPr>
          <w:b/>
          <w:lang w:val="en-GB"/>
        </w:rPr>
      </w:pPr>
      <w:r w:rsidRPr="001A2339">
        <w:rPr>
          <w:b/>
          <w:lang w:val="en-GB"/>
        </w:rPr>
        <w:t>Civil society</w:t>
      </w:r>
    </w:p>
    <w:p w:rsidR="006B74A4" w:rsidRPr="001A2339" w:rsidRDefault="006B74A4" w:rsidP="006B74A4">
      <w:pPr>
        <w:spacing w:before="120" w:after="120"/>
        <w:rPr>
          <w:rFonts w:eastAsia="Calibri" w:hAnsi="Calibri"/>
          <w:lang w:val="en-GB"/>
        </w:rPr>
      </w:pPr>
      <w:r w:rsidRPr="001A2339">
        <w:rPr>
          <w:rFonts w:eastAsia="Calibri" w:hAnsi="Calibri"/>
          <w:lang w:val="en-GB"/>
        </w:rPr>
        <w:t xml:space="preserve">Civil society </w:t>
      </w:r>
      <w:proofErr w:type="gramStart"/>
      <w:r w:rsidRPr="001A2339">
        <w:rPr>
          <w:rFonts w:eastAsia="Calibri" w:hAnsi="Calibri"/>
          <w:lang w:val="en-GB"/>
        </w:rPr>
        <w:t>can be defined</w:t>
      </w:r>
      <w:proofErr w:type="gramEnd"/>
      <w:r w:rsidRPr="001A2339">
        <w:rPr>
          <w:rFonts w:eastAsia="Calibri" w:hAnsi="Calibri"/>
          <w:lang w:val="en-GB"/>
        </w:rPr>
        <w:t xml:space="preserve"> as the aggregate of non-governmental organisations and institutions that manifest interests and will of citizens or as individuals and organisations in a society which are independent of the government.</w:t>
      </w:r>
    </w:p>
    <w:p w:rsidR="006B74A4" w:rsidRPr="001A2339" w:rsidRDefault="006B74A4" w:rsidP="006B74A4">
      <w:pPr>
        <w:spacing w:before="120" w:after="120"/>
        <w:rPr>
          <w:rFonts w:eastAsia="Calibri" w:hAnsi="Calibri"/>
          <w:b/>
          <w:lang w:val="en-GB"/>
        </w:rPr>
      </w:pPr>
      <w:r w:rsidRPr="001A2339">
        <w:rPr>
          <w:rFonts w:eastAsia="Calibri" w:hAnsi="Calibri"/>
          <w:b/>
          <w:lang w:val="en-GB"/>
        </w:rPr>
        <w:t>Employees/workers</w:t>
      </w:r>
    </w:p>
    <w:p w:rsidR="006B74A4" w:rsidRPr="001A2339" w:rsidRDefault="006B74A4" w:rsidP="006B74A4">
      <w:pPr>
        <w:spacing w:before="120" w:after="120"/>
        <w:rPr>
          <w:lang w:val="en-GB"/>
        </w:rPr>
      </w:pPr>
      <w:r w:rsidRPr="001A2339">
        <w:rPr>
          <w:lang w:val="en-GB"/>
        </w:rPr>
        <w:t>Individuals working part-time or full-time under a contract of employment whether oral or written, express or implied, and having recognized rights and duties.</w:t>
      </w:r>
    </w:p>
    <w:p w:rsidR="006B74A4" w:rsidRPr="001A2339" w:rsidRDefault="006B74A4" w:rsidP="006B74A4">
      <w:pPr>
        <w:shd w:val="clear" w:color="000000" w:fill="FFFFFF"/>
        <w:spacing w:before="120" w:after="120"/>
        <w:rPr>
          <w:b/>
          <w:color w:val="000000"/>
          <w:lang w:val="en-GB"/>
        </w:rPr>
      </w:pPr>
      <w:r w:rsidRPr="001A2339">
        <w:rPr>
          <w:b/>
          <w:color w:val="000000"/>
          <w:lang w:val="en-GB"/>
        </w:rPr>
        <w:t>Finance</w:t>
      </w:r>
    </w:p>
    <w:p w:rsidR="006B74A4" w:rsidRPr="001A2339" w:rsidRDefault="006B74A4" w:rsidP="006B74A4">
      <w:pPr>
        <w:spacing w:before="120" w:after="120"/>
        <w:rPr>
          <w:lang w:val="en-GB"/>
        </w:rPr>
      </w:pPr>
      <w:r w:rsidRPr="001A2339">
        <w:rPr>
          <w:lang w:val="en-GB"/>
        </w:rPr>
        <w:t>The management of revenues or the conduct or transaction of money matters, as in the fields of banking, insurance and investment.</w:t>
      </w:r>
    </w:p>
    <w:p w:rsidR="006B74A4" w:rsidRPr="001A2339" w:rsidRDefault="006B74A4" w:rsidP="006B74A4">
      <w:pPr>
        <w:shd w:val="clear" w:color="000000" w:fill="FFFFFF"/>
        <w:spacing w:before="120" w:after="120"/>
        <w:jc w:val="left"/>
        <w:rPr>
          <w:b/>
          <w:lang w:val="en-GB"/>
        </w:rPr>
      </w:pPr>
      <w:r w:rsidRPr="001A2339">
        <w:rPr>
          <w:b/>
          <w:lang w:val="en-GB"/>
        </w:rPr>
        <w:t>Industry</w:t>
      </w:r>
    </w:p>
    <w:p w:rsidR="006B74A4" w:rsidRPr="001A2339" w:rsidRDefault="006B74A4" w:rsidP="006B74A4">
      <w:pPr>
        <w:shd w:val="clear" w:color="000000" w:fill="FFFFFF"/>
        <w:spacing w:before="120" w:after="120"/>
        <w:jc w:val="left"/>
        <w:rPr>
          <w:lang w:val="en-GB"/>
        </w:rPr>
      </w:pPr>
      <w:r w:rsidRPr="001A2339">
        <w:rPr>
          <w:lang w:val="en-GB"/>
        </w:rPr>
        <w:t>Companies and groups of companies whose number of employees and turnover or balance sheet total are higher than the ones of SMEs (see below).</w:t>
      </w:r>
    </w:p>
    <w:p w:rsidR="006B74A4" w:rsidRPr="001A2339" w:rsidRDefault="006B74A4" w:rsidP="006B74A4">
      <w:pPr>
        <w:shd w:val="clear" w:color="000000" w:fill="FFFFFF"/>
        <w:spacing w:before="120" w:after="120"/>
        <w:jc w:val="left"/>
        <w:rPr>
          <w:b/>
          <w:lang w:val="en-GB"/>
        </w:rPr>
      </w:pPr>
      <w:r w:rsidRPr="001A2339">
        <w:rPr>
          <w:b/>
          <w:lang w:val="en-GB"/>
        </w:rPr>
        <w:t>Professionals</w:t>
      </w:r>
    </w:p>
    <w:p w:rsidR="006B74A4" w:rsidRPr="001A2339" w:rsidRDefault="006B74A4" w:rsidP="006B74A4">
      <w:pPr>
        <w:spacing w:before="120" w:after="120"/>
        <w:rPr>
          <w:lang w:val="en-GB"/>
        </w:rPr>
      </w:pPr>
      <w:r w:rsidRPr="001A2339">
        <w:rPr>
          <w:lang w:val="en-GB"/>
        </w:rPr>
        <w:t>Individuals operating in a particular profession, such as physicians, nurses, architects, engineers and lawyers.</w:t>
      </w:r>
    </w:p>
    <w:p w:rsidR="006B74A4" w:rsidRPr="001A2339" w:rsidRDefault="006B74A4" w:rsidP="006B74A4">
      <w:pPr>
        <w:spacing w:before="120" w:after="120"/>
        <w:rPr>
          <w:b/>
          <w:lang w:val="en-GB"/>
        </w:rPr>
      </w:pPr>
      <w:r w:rsidRPr="001A2339">
        <w:rPr>
          <w:b/>
          <w:lang w:val="en-GB"/>
        </w:rPr>
        <w:t>SMEs</w:t>
      </w:r>
    </w:p>
    <w:p w:rsidR="006B74A4" w:rsidRPr="001A2339" w:rsidRDefault="006B74A4" w:rsidP="006B74A4">
      <w:pPr>
        <w:spacing w:before="120" w:after="120"/>
        <w:rPr>
          <w:lang w:val="en-GB"/>
        </w:rPr>
      </w:pPr>
      <w:r w:rsidRPr="001A2339">
        <w:rPr>
          <w:lang w:val="en-GB"/>
        </w:rPr>
        <w:t xml:space="preserve">"SME" stands for small and medium-sized enterprises – as defined in EU law: </w:t>
      </w:r>
      <w:hyperlink r:id="rId8" w:tooltip="EU recommendation 2003/361">
        <w:proofErr w:type="spellStart"/>
        <w:r w:rsidRPr="001A2339">
          <w:rPr>
            <w:color w:val="0000FF"/>
            <w:u w:val="single"/>
            <w:lang w:val="en-GB"/>
          </w:rPr>
          <w:t>EUrecommendation</w:t>
        </w:r>
        <w:proofErr w:type="spellEnd"/>
        <w:r w:rsidRPr="001A2339">
          <w:rPr>
            <w:color w:val="0000FF"/>
            <w:u w:val="single"/>
            <w:lang w:val="en-GB"/>
          </w:rPr>
          <w:t xml:space="preserve"> 2003/361</w:t>
        </w:r>
      </w:hyperlink>
      <w:r w:rsidRPr="001A2339">
        <w:rPr>
          <w:lang w:val="en-GB"/>
        </w:rPr>
        <w:t xml:space="preserve"> </w:t>
      </w:r>
      <w:r w:rsidRPr="00CF1DD2">
        <w:rPr>
          <w:noProof/>
          <w:sz w:val="20"/>
          <w:lang w:val="fr-BE" w:eastAsia="fr-BE"/>
        </w:rPr>
        <w:drawing>
          <wp:inline distT="0" distB="0" distL="0" distR="0" wp14:anchorId="79347296" wp14:editId="6C1CD508">
            <wp:extent cx="152400" cy="152400"/>
            <wp:effectExtent l="0" t="0" r="0" b="0"/>
            <wp:docPr id="12"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605DB055-66B9-4E00-9F51-E3A2A9213075/tmp/Polaris/engin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3035" cy="153035"/>
                    </a:xfrm>
                    <a:prstGeom prst="rect">
                      <a:avLst/>
                    </a:prstGeom>
                    <a:noFill/>
                    <a:ln cap="flat">
                      <a:noFill/>
                    </a:ln>
                  </pic:spPr>
                </pic:pic>
              </a:graphicData>
            </a:graphic>
          </wp:inline>
        </w:drawing>
      </w:r>
      <w:r w:rsidRPr="001A2339">
        <w:rPr>
          <w:lang w:val="en-GB"/>
        </w:rPr>
        <w:t>.</w:t>
      </w:r>
    </w:p>
    <w:p w:rsidR="006B74A4" w:rsidRPr="001A2339" w:rsidRDefault="006B74A4" w:rsidP="006B74A4">
      <w:pPr>
        <w:spacing w:before="120" w:after="120"/>
        <w:jc w:val="left"/>
        <w:rPr>
          <w:lang w:val="en-GB"/>
        </w:rPr>
      </w:pPr>
      <w:r w:rsidRPr="001A2339">
        <w:rPr>
          <w:lang w:val="en-GB"/>
        </w:rPr>
        <w:t>The main factors determining whether a company is an SME are:</w:t>
      </w:r>
    </w:p>
    <w:p w:rsidR="006B74A4" w:rsidRPr="001A2339" w:rsidRDefault="006B74A4" w:rsidP="006B74A4">
      <w:pPr>
        <w:numPr>
          <w:ilvl w:val="0"/>
          <w:numId w:val="4"/>
        </w:numPr>
        <w:spacing w:before="120" w:after="120"/>
        <w:ind w:left="0"/>
        <w:jc w:val="left"/>
        <w:rPr>
          <w:lang w:val="en-GB"/>
        </w:rPr>
      </w:pPr>
      <w:r w:rsidRPr="001A2339">
        <w:rPr>
          <w:b/>
          <w:lang w:val="en-GB"/>
        </w:rPr>
        <w:t>number of employees</w:t>
      </w:r>
      <w:r w:rsidRPr="001A2339">
        <w:rPr>
          <w:lang w:val="en-GB"/>
        </w:rPr>
        <w:t xml:space="preserve"> and</w:t>
      </w:r>
    </w:p>
    <w:p w:rsidR="006B74A4" w:rsidRPr="001A2339" w:rsidRDefault="006B74A4" w:rsidP="006B74A4">
      <w:pPr>
        <w:numPr>
          <w:ilvl w:val="0"/>
          <w:numId w:val="4"/>
        </w:numPr>
        <w:spacing w:before="120" w:after="120"/>
        <w:ind w:left="0"/>
        <w:jc w:val="left"/>
        <w:rPr>
          <w:lang w:val="en-GB"/>
        </w:rPr>
      </w:pPr>
      <w:proofErr w:type="gramStart"/>
      <w:r w:rsidRPr="001A2339">
        <w:rPr>
          <w:lang w:val="en-GB"/>
        </w:rPr>
        <w:t>either</w:t>
      </w:r>
      <w:proofErr w:type="gramEnd"/>
      <w:r w:rsidRPr="001A2339">
        <w:rPr>
          <w:lang w:val="en-GB"/>
        </w:rPr>
        <w:t xml:space="preserve"> </w:t>
      </w:r>
      <w:r w:rsidRPr="001A2339">
        <w:rPr>
          <w:b/>
          <w:lang w:val="en-GB"/>
        </w:rPr>
        <w:t>turnover</w:t>
      </w:r>
      <w:r w:rsidRPr="001A2339">
        <w:rPr>
          <w:lang w:val="en-GB"/>
        </w:rPr>
        <w:t xml:space="preserve"> </w:t>
      </w:r>
      <w:r w:rsidRPr="001A2339">
        <w:rPr>
          <w:b/>
          <w:u w:val="single"/>
          <w:lang w:val="en-GB"/>
        </w:rPr>
        <w:t>or</w:t>
      </w:r>
      <w:r w:rsidRPr="001A2339">
        <w:rPr>
          <w:lang w:val="en-GB"/>
        </w:rPr>
        <w:t xml:space="preserve"> </w:t>
      </w:r>
      <w:r w:rsidRPr="001A2339">
        <w:rPr>
          <w:b/>
          <w:lang w:val="en-GB"/>
        </w:rPr>
        <w:t>balance sheet total</w:t>
      </w:r>
      <w:r w:rsidRPr="001A2339">
        <w:rPr>
          <w:lang w:val="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0"/>
        <w:gridCol w:w="1157"/>
        <w:gridCol w:w="983"/>
        <w:gridCol w:w="160"/>
        <w:gridCol w:w="160"/>
        <w:gridCol w:w="1933"/>
      </w:tblGrid>
      <w:tr w:rsidR="006B74A4" w:rsidRPr="001A2339" w:rsidTr="00216379">
        <w:trPr>
          <w:tblCellSpacing w:w="15" w:type="dxa"/>
        </w:trPr>
        <w:tc>
          <w:tcPr>
            <w:tcW w:w="1895" w:type="dxa"/>
            <w:vAlign w:val="center"/>
          </w:tcPr>
          <w:p w:rsidR="006B74A4" w:rsidRPr="001A2339" w:rsidRDefault="006B74A4" w:rsidP="00216379">
            <w:pPr>
              <w:spacing w:before="120" w:after="120"/>
              <w:jc w:val="left"/>
              <w:rPr>
                <w:u w:val="single"/>
                <w:lang w:val="en-GB"/>
              </w:rPr>
            </w:pPr>
            <w:r w:rsidRPr="001A2339">
              <w:rPr>
                <w:u w:val="single"/>
                <w:lang w:val="en-GB"/>
              </w:rPr>
              <w:t xml:space="preserve">Company category </w:t>
            </w:r>
          </w:p>
        </w:tc>
        <w:tc>
          <w:tcPr>
            <w:tcW w:w="1127" w:type="dxa"/>
            <w:vAlign w:val="center"/>
          </w:tcPr>
          <w:p w:rsidR="006B74A4" w:rsidRPr="001A2339" w:rsidRDefault="006B74A4" w:rsidP="00216379">
            <w:pPr>
              <w:spacing w:before="120" w:after="120"/>
              <w:jc w:val="left"/>
              <w:rPr>
                <w:u w:val="single"/>
                <w:lang w:val="en-GB"/>
              </w:rPr>
            </w:pPr>
            <w:r w:rsidRPr="001A2339">
              <w:rPr>
                <w:u w:val="single"/>
                <w:lang w:val="en-GB"/>
              </w:rPr>
              <w:t xml:space="preserve">Employees </w:t>
            </w:r>
          </w:p>
        </w:tc>
        <w:tc>
          <w:tcPr>
            <w:tcW w:w="953" w:type="dxa"/>
            <w:vAlign w:val="center"/>
          </w:tcPr>
          <w:p w:rsidR="006B74A4" w:rsidRPr="001A2339" w:rsidRDefault="006B74A4" w:rsidP="00216379">
            <w:pPr>
              <w:spacing w:before="120" w:after="120"/>
              <w:jc w:val="left"/>
              <w:rPr>
                <w:u w:val="single"/>
                <w:lang w:val="en-GB"/>
              </w:rPr>
            </w:pPr>
            <w:r w:rsidRPr="001A2339">
              <w:rPr>
                <w:u w:val="single"/>
                <w:lang w:val="en-GB"/>
              </w:rPr>
              <w:t xml:space="preserve">Turnover </w:t>
            </w:r>
          </w:p>
        </w:tc>
        <w:tc>
          <w:tcPr>
            <w:tcW w:w="290" w:type="dxa"/>
            <w:gridSpan w:val="2"/>
            <w:vAlign w:val="center"/>
          </w:tcPr>
          <w:p w:rsidR="006B74A4" w:rsidRPr="001A2339" w:rsidRDefault="006B74A4" w:rsidP="00216379">
            <w:pPr>
              <w:spacing w:before="120" w:after="120"/>
              <w:jc w:val="left"/>
              <w:rPr>
                <w:u w:val="single"/>
                <w:lang w:val="en-GB"/>
              </w:rPr>
            </w:pPr>
            <w:r w:rsidRPr="001A2339">
              <w:rPr>
                <w:u w:val="single"/>
                <w:lang w:val="en-GB"/>
              </w:rPr>
              <w:t>or</w:t>
            </w:r>
          </w:p>
        </w:tc>
        <w:tc>
          <w:tcPr>
            <w:tcW w:w="1888" w:type="dxa"/>
            <w:vAlign w:val="center"/>
          </w:tcPr>
          <w:p w:rsidR="006B74A4" w:rsidRPr="001A2339" w:rsidRDefault="006B74A4" w:rsidP="00216379">
            <w:pPr>
              <w:spacing w:before="120" w:after="120"/>
              <w:jc w:val="left"/>
              <w:rPr>
                <w:u w:val="single"/>
                <w:lang w:val="en-GB"/>
              </w:rPr>
            </w:pPr>
            <w:r w:rsidRPr="001A2339">
              <w:rPr>
                <w:u w:val="single"/>
                <w:lang w:val="en-GB"/>
              </w:rPr>
              <w:t xml:space="preserve">Balance sheet total </w:t>
            </w:r>
          </w:p>
        </w:tc>
      </w:tr>
      <w:tr w:rsidR="006B74A4" w:rsidRPr="001A2339" w:rsidTr="00216379">
        <w:trPr>
          <w:tblCellSpacing w:w="15" w:type="dxa"/>
        </w:trPr>
        <w:tc>
          <w:tcPr>
            <w:tcW w:w="1895" w:type="dxa"/>
            <w:vAlign w:val="center"/>
          </w:tcPr>
          <w:p w:rsidR="006B74A4" w:rsidRPr="001A2339" w:rsidRDefault="006B74A4" w:rsidP="00216379">
            <w:pPr>
              <w:spacing w:before="120" w:after="120"/>
              <w:jc w:val="left"/>
              <w:rPr>
                <w:lang w:val="en-GB"/>
              </w:rPr>
            </w:pPr>
            <w:r w:rsidRPr="001A2339">
              <w:rPr>
                <w:lang w:val="en-GB"/>
              </w:rPr>
              <w:t>Medium-sized</w:t>
            </w:r>
          </w:p>
        </w:tc>
        <w:tc>
          <w:tcPr>
            <w:tcW w:w="1127" w:type="dxa"/>
            <w:vAlign w:val="center"/>
          </w:tcPr>
          <w:p w:rsidR="006B74A4" w:rsidRPr="001A2339" w:rsidRDefault="006B74A4" w:rsidP="00216379">
            <w:pPr>
              <w:spacing w:before="120" w:after="120"/>
              <w:jc w:val="left"/>
              <w:rPr>
                <w:lang w:val="en-GB"/>
              </w:rPr>
            </w:pPr>
            <w:r w:rsidRPr="001A2339">
              <w:rPr>
                <w:lang w:val="en-GB"/>
              </w:rPr>
              <w:t>&lt; 250</w:t>
            </w:r>
          </w:p>
        </w:tc>
        <w:tc>
          <w:tcPr>
            <w:tcW w:w="1113" w:type="dxa"/>
            <w:gridSpan w:val="2"/>
            <w:vAlign w:val="center"/>
          </w:tcPr>
          <w:p w:rsidR="006B74A4" w:rsidRPr="001A2339" w:rsidRDefault="006B74A4" w:rsidP="00216379">
            <w:pPr>
              <w:spacing w:before="120" w:after="120"/>
              <w:jc w:val="left"/>
              <w:rPr>
                <w:lang w:val="en-GB"/>
              </w:rPr>
            </w:pPr>
            <w:r w:rsidRPr="001A2339">
              <w:rPr>
                <w:lang w:val="en-GB"/>
              </w:rPr>
              <w:t>≤ € 50 m</w:t>
            </w:r>
          </w:p>
        </w:tc>
        <w:tc>
          <w:tcPr>
            <w:tcW w:w="2048" w:type="dxa"/>
            <w:gridSpan w:val="2"/>
            <w:vAlign w:val="center"/>
          </w:tcPr>
          <w:p w:rsidR="006B74A4" w:rsidRPr="001A2339" w:rsidRDefault="006B74A4" w:rsidP="00216379">
            <w:pPr>
              <w:spacing w:before="120" w:after="120"/>
              <w:jc w:val="left"/>
              <w:rPr>
                <w:lang w:val="en-GB"/>
              </w:rPr>
            </w:pPr>
            <w:r w:rsidRPr="001A2339">
              <w:rPr>
                <w:lang w:val="en-GB"/>
              </w:rPr>
              <w:t>≤ € 43 m</w:t>
            </w:r>
          </w:p>
        </w:tc>
      </w:tr>
      <w:tr w:rsidR="006B74A4" w:rsidRPr="001A2339" w:rsidTr="00216379">
        <w:trPr>
          <w:tblCellSpacing w:w="15" w:type="dxa"/>
        </w:trPr>
        <w:tc>
          <w:tcPr>
            <w:tcW w:w="1895" w:type="dxa"/>
            <w:vAlign w:val="center"/>
          </w:tcPr>
          <w:p w:rsidR="006B74A4" w:rsidRPr="001A2339" w:rsidRDefault="006B74A4" w:rsidP="00216379">
            <w:pPr>
              <w:spacing w:before="120" w:after="120"/>
              <w:jc w:val="left"/>
              <w:rPr>
                <w:lang w:val="en-GB"/>
              </w:rPr>
            </w:pPr>
            <w:r w:rsidRPr="001A2339">
              <w:rPr>
                <w:lang w:val="en-GB"/>
              </w:rPr>
              <w:t>Small</w:t>
            </w:r>
          </w:p>
        </w:tc>
        <w:tc>
          <w:tcPr>
            <w:tcW w:w="1127" w:type="dxa"/>
            <w:vAlign w:val="center"/>
          </w:tcPr>
          <w:p w:rsidR="006B74A4" w:rsidRPr="001A2339" w:rsidRDefault="006B74A4" w:rsidP="00216379">
            <w:pPr>
              <w:spacing w:before="120" w:after="120"/>
              <w:jc w:val="left"/>
              <w:rPr>
                <w:lang w:val="en-GB"/>
              </w:rPr>
            </w:pPr>
            <w:r w:rsidRPr="001A2339">
              <w:rPr>
                <w:lang w:val="en-GB"/>
              </w:rPr>
              <w:t>&lt; 50</w:t>
            </w:r>
          </w:p>
        </w:tc>
        <w:tc>
          <w:tcPr>
            <w:tcW w:w="1113" w:type="dxa"/>
            <w:gridSpan w:val="2"/>
            <w:vAlign w:val="center"/>
          </w:tcPr>
          <w:p w:rsidR="006B74A4" w:rsidRPr="001A2339" w:rsidRDefault="006B74A4" w:rsidP="00216379">
            <w:pPr>
              <w:spacing w:before="120" w:after="120"/>
              <w:jc w:val="left"/>
              <w:rPr>
                <w:lang w:val="en-GB"/>
              </w:rPr>
            </w:pPr>
            <w:r w:rsidRPr="001A2339">
              <w:rPr>
                <w:lang w:val="en-GB"/>
              </w:rPr>
              <w:t>≤ € 10 m</w:t>
            </w:r>
          </w:p>
        </w:tc>
        <w:tc>
          <w:tcPr>
            <w:tcW w:w="2048" w:type="dxa"/>
            <w:gridSpan w:val="2"/>
            <w:vAlign w:val="center"/>
          </w:tcPr>
          <w:p w:rsidR="006B74A4" w:rsidRPr="001A2339" w:rsidRDefault="006B74A4" w:rsidP="00216379">
            <w:pPr>
              <w:spacing w:before="120" w:after="120"/>
              <w:jc w:val="left"/>
              <w:rPr>
                <w:lang w:val="en-GB"/>
              </w:rPr>
            </w:pPr>
            <w:r w:rsidRPr="001A2339">
              <w:rPr>
                <w:lang w:val="en-GB"/>
              </w:rPr>
              <w:t>≤ € 10 m</w:t>
            </w:r>
          </w:p>
        </w:tc>
      </w:tr>
      <w:tr w:rsidR="006B74A4" w:rsidRPr="001A2339" w:rsidTr="00216379">
        <w:trPr>
          <w:tblCellSpacing w:w="15" w:type="dxa"/>
        </w:trPr>
        <w:tc>
          <w:tcPr>
            <w:tcW w:w="1895" w:type="dxa"/>
            <w:vAlign w:val="center"/>
          </w:tcPr>
          <w:p w:rsidR="006B74A4" w:rsidRPr="001A2339" w:rsidRDefault="006B74A4" w:rsidP="00216379">
            <w:pPr>
              <w:spacing w:before="120" w:after="120"/>
              <w:jc w:val="left"/>
              <w:rPr>
                <w:lang w:val="en-GB"/>
              </w:rPr>
            </w:pPr>
            <w:r w:rsidRPr="001A2339">
              <w:rPr>
                <w:lang w:val="en-GB"/>
              </w:rPr>
              <w:t>Micro</w:t>
            </w:r>
          </w:p>
        </w:tc>
        <w:tc>
          <w:tcPr>
            <w:tcW w:w="1127" w:type="dxa"/>
            <w:vAlign w:val="center"/>
          </w:tcPr>
          <w:p w:rsidR="006B74A4" w:rsidRPr="001A2339" w:rsidRDefault="006B74A4" w:rsidP="00216379">
            <w:pPr>
              <w:spacing w:before="120" w:after="120"/>
              <w:jc w:val="left"/>
              <w:rPr>
                <w:lang w:val="en-GB"/>
              </w:rPr>
            </w:pPr>
            <w:r w:rsidRPr="001A2339">
              <w:rPr>
                <w:lang w:val="en-GB"/>
              </w:rPr>
              <w:t>&lt; 10</w:t>
            </w:r>
          </w:p>
        </w:tc>
        <w:tc>
          <w:tcPr>
            <w:tcW w:w="1113" w:type="dxa"/>
            <w:gridSpan w:val="2"/>
            <w:vAlign w:val="center"/>
          </w:tcPr>
          <w:p w:rsidR="006B74A4" w:rsidRPr="001A2339" w:rsidRDefault="006B74A4" w:rsidP="00216379">
            <w:pPr>
              <w:spacing w:before="120" w:after="120"/>
              <w:jc w:val="left"/>
              <w:rPr>
                <w:lang w:val="en-GB"/>
              </w:rPr>
            </w:pPr>
            <w:r w:rsidRPr="001A2339">
              <w:rPr>
                <w:lang w:val="en-GB"/>
              </w:rPr>
              <w:t>≤ € 2 m</w:t>
            </w:r>
          </w:p>
        </w:tc>
        <w:tc>
          <w:tcPr>
            <w:tcW w:w="2048" w:type="dxa"/>
            <w:gridSpan w:val="2"/>
            <w:vAlign w:val="center"/>
          </w:tcPr>
          <w:p w:rsidR="006B74A4" w:rsidRPr="001A2339" w:rsidRDefault="006B74A4" w:rsidP="00216379">
            <w:pPr>
              <w:spacing w:before="120" w:after="120"/>
              <w:jc w:val="left"/>
              <w:rPr>
                <w:lang w:val="en-GB"/>
              </w:rPr>
            </w:pPr>
            <w:r w:rsidRPr="001A2339">
              <w:rPr>
                <w:lang w:val="en-GB"/>
              </w:rPr>
              <w:t>≤ € 2 m</w:t>
            </w:r>
          </w:p>
        </w:tc>
      </w:tr>
    </w:tbl>
    <w:p w:rsidR="006B74A4" w:rsidRPr="001A2339" w:rsidRDefault="006B74A4" w:rsidP="006B74A4">
      <w:pPr>
        <w:spacing w:before="120" w:after="120"/>
        <w:rPr>
          <w:lang w:val="en-GB"/>
        </w:rPr>
      </w:pPr>
      <w:r w:rsidRPr="001A2339">
        <w:rPr>
          <w:lang w:val="en-GB"/>
        </w:rPr>
        <w:t xml:space="preserve">These ceilings apply to the figures for individual firms only. A </w:t>
      </w:r>
      <w:proofErr w:type="gramStart"/>
      <w:r w:rsidRPr="001A2339">
        <w:rPr>
          <w:lang w:val="en-GB"/>
        </w:rPr>
        <w:t>firm which is part of larger grouping</w:t>
      </w:r>
      <w:proofErr w:type="gramEnd"/>
      <w:r w:rsidRPr="001A2339">
        <w:rPr>
          <w:lang w:val="en-GB"/>
        </w:rPr>
        <w:t xml:space="preserve"> may need to include employee/turnover/balance sheet data from that grouping too.</w:t>
      </w:r>
    </w:p>
    <w:p w:rsidR="006B74A4" w:rsidRPr="001A2339" w:rsidRDefault="006B74A4" w:rsidP="006B74A4">
      <w:pPr>
        <w:spacing w:before="120" w:after="120"/>
        <w:rPr>
          <w:b/>
          <w:lang w:val="en-GB"/>
        </w:rPr>
      </w:pPr>
      <w:r w:rsidRPr="001A2339">
        <w:rPr>
          <w:b/>
          <w:lang w:val="en-GB"/>
        </w:rPr>
        <w:t>Other interest</w:t>
      </w:r>
    </w:p>
    <w:p w:rsidR="006B74A4" w:rsidRPr="001A2339" w:rsidRDefault="006B74A4" w:rsidP="006B74A4">
      <w:pPr>
        <w:spacing w:before="120" w:after="120"/>
        <w:rPr>
          <w:lang w:val="en-GB"/>
        </w:rPr>
      </w:pPr>
      <w:proofErr w:type="gramStart"/>
      <w:r w:rsidRPr="001A2339">
        <w:rPr>
          <w:lang w:val="en-GB"/>
        </w:rPr>
        <w:t>Interest which</w:t>
      </w:r>
      <w:proofErr w:type="gramEnd"/>
      <w:r w:rsidRPr="001A2339">
        <w:rPr>
          <w:lang w:val="en-GB"/>
        </w:rPr>
        <w:t xml:space="preserve"> is not possible to classify in any other category.</w:t>
      </w:r>
    </w:p>
    <w:p w:rsidR="006B74A4" w:rsidRPr="001A2339" w:rsidRDefault="006B74A4" w:rsidP="006B74A4">
      <w:pPr>
        <w:spacing w:before="120" w:after="120"/>
        <w:jc w:val="center"/>
        <w:rPr>
          <w:u w:val="single"/>
          <w:lang w:val="en-GB"/>
        </w:rPr>
      </w:pPr>
      <w:r w:rsidRPr="001A2339">
        <w:rPr>
          <w:lang w:val="en-GB"/>
        </w:rPr>
        <w:t>***</w:t>
      </w:r>
    </w:p>
    <w:p w:rsidR="006B74A4" w:rsidRPr="001A2339" w:rsidRDefault="006B74A4" w:rsidP="006B74A4">
      <w:pPr>
        <w:spacing w:before="120" w:after="120"/>
        <w:jc w:val="center"/>
        <w:rPr>
          <w:lang w:val="en-GB"/>
        </w:rPr>
      </w:pPr>
      <w:r w:rsidRPr="001A2339">
        <w:rPr>
          <w:lang w:val="en-GB"/>
        </w:rPr>
        <w:br w:type="page"/>
      </w:r>
      <w:r w:rsidRPr="001A2339">
        <w:rPr>
          <w:u w:val="single"/>
          <w:lang w:val="en-GB"/>
        </w:rPr>
        <w:lastRenderedPageBreak/>
        <w:t>To be filled in by organisations applying to be appointed as members</w:t>
      </w:r>
    </w:p>
    <w:p w:rsidR="006B74A4" w:rsidRPr="001A2339" w:rsidRDefault="006B74A4" w:rsidP="006B74A4">
      <w:pPr>
        <w:spacing w:before="120" w:after="120"/>
        <w:rPr>
          <w:lang w:val="en-GB"/>
        </w:rPr>
      </w:pPr>
      <w:r w:rsidRPr="001A2339">
        <w:rPr>
          <w:lang w:val="en-GB"/>
        </w:rPr>
        <w:t xml:space="preserve">Please select one </w:t>
      </w:r>
      <w:r w:rsidRPr="001A2339">
        <w:rPr>
          <w:b/>
          <w:u w:val="single"/>
          <w:lang w:val="en-GB"/>
        </w:rPr>
        <w:t>or more policy areas</w:t>
      </w:r>
      <w:r w:rsidRPr="001A2339">
        <w:rPr>
          <w:lang w:val="en-GB"/>
        </w:rPr>
        <w:t xml:space="preserve"> in which your organisation operate(s):</w:t>
      </w:r>
    </w:p>
    <w:p w:rsidR="006B74A4" w:rsidRPr="001A2339" w:rsidRDefault="006B74A4" w:rsidP="006B74A4">
      <w:pPr>
        <w:numPr>
          <w:ilvl w:val="0"/>
          <w:numId w:val="5"/>
        </w:numPr>
        <w:spacing w:before="120" w:after="120"/>
        <w:ind w:left="0"/>
        <w:contextualSpacing/>
        <w:jc w:val="left"/>
        <w:rPr>
          <w:lang w:val="en-GB"/>
        </w:rPr>
      </w:pPr>
      <w:r w:rsidRPr="001A2339">
        <w:rPr>
          <w:lang w:val="en-GB"/>
        </w:rPr>
        <w:t>Agriculture</w:t>
      </w:r>
    </w:p>
    <w:p w:rsidR="006B74A4" w:rsidRPr="001A2339" w:rsidRDefault="006B74A4" w:rsidP="006B74A4">
      <w:pPr>
        <w:numPr>
          <w:ilvl w:val="0"/>
          <w:numId w:val="5"/>
        </w:numPr>
        <w:spacing w:before="120" w:after="120"/>
        <w:ind w:left="0"/>
        <w:contextualSpacing/>
        <w:jc w:val="left"/>
        <w:rPr>
          <w:lang w:val="en-GB"/>
        </w:rPr>
      </w:pPr>
      <w:r w:rsidRPr="001A2339">
        <w:rPr>
          <w:lang w:val="en-GB"/>
        </w:rPr>
        <w:t>Archaeology</w:t>
      </w:r>
    </w:p>
    <w:p w:rsidR="006B74A4" w:rsidRPr="001A2339" w:rsidRDefault="006B74A4" w:rsidP="006B74A4">
      <w:pPr>
        <w:numPr>
          <w:ilvl w:val="0"/>
          <w:numId w:val="5"/>
        </w:numPr>
        <w:spacing w:before="120" w:after="120"/>
        <w:ind w:left="0"/>
        <w:contextualSpacing/>
        <w:jc w:val="left"/>
        <w:rPr>
          <w:lang w:val="en-GB"/>
        </w:rPr>
      </w:pPr>
      <w:r w:rsidRPr="001A2339">
        <w:rPr>
          <w:lang w:val="en-GB"/>
        </w:rPr>
        <w:t>Architecture</w:t>
      </w:r>
    </w:p>
    <w:p w:rsidR="006B74A4" w:rsidRPr="001A2339" w:rsidRDefault="006B74A4" w:rsidP="006B74A4">
      <w:pPr>
        <w:numPr>
          <w:ilvl w:val="0"/>
          <w:numId w:val="5"/>
        </w:numPr>
        <w:spacing w:before="120" w:after="120"/>
        <w:ind w:left="0"/>
        <w:contextualSpacing/>
        <w:jc w:val="left"/>
        <w:rPr>
          <w:lang w:val="en-GB"/>
        </w:rPr>
      </w:pPr>
      <w:proofErr w:type="spellStart"/>
      <w:r w:rsidRPr="001A2339">
        <w:rPr>
          <w:lang w:val="en-GB"/>
        </w:rPr>
        <w:t>Audiovisual</w:t>
      </w:r>
      <w:proofErr w:type="spellEnd"/>
      <w:r w:rsidRPr="001A2339">
        <w:rPr>
          <w:lang w:val="en-GB"/>
        </w:rPr>
        <w:t xml:space="preserve"> and media</w:t>
      </w:r>
    </w:p>
    <w:p w:rsidR="006B74A4" w:rsidRPr="001A2339" w:rsidRDefault="006B74A4" w:rsidP="006B74A4">
      <w:pPr>
        <w:numPr>
          <w:ilvl w:val="0"/>
          <w:numId w:val="5"/>
        </w:numPr>
        <w:spacing w:before="120" w:after="120"/>
        <w:ind w:left="0"/>
        <w:contextualSpacing/>
        <w:jc w:val="left"/>
        <w:rPr>
          <w:lang w:val="en-GB"/>
        </w:rPr>
      </w:pPr>
      <w:r w:rsidRPr="001A2339">
        <w:rPr>
          <w:lang w:val="en-GB"/>
        </w:rPr>
        <w:t>Audit</w:t>
      </w:r>
    </w:p>
    <w:p w:rsidR="006B74A4" w:rsidRPr="001A2339" w:rsidRDefault="006B74A4" w:rsidP="006B74A4">
      <w:pPr>
        <w:numPr>
          <w:ilvl w:val="0"/>
          <w:numId w:val="5"/>
        </w:numPr>
        <w:spacing w:before="120" w:after="120"/>
        <w:ind w:left="0"/>
        <w:contextualSpacing/>
        <w:jc w:val="left"/>
        <w:rPr>
          <w:lang w:val="en-GB"/>
        </w:rPr>
      </w:pPr>
      <w:r w:rsidRPr="001A2339">
        <w:rPr>
          <w:lang w:val="en-GB"/>
        </w:rPr>
        <w:t>Banking</w:t>
      </w:r>
    </w:p>
    <w:p w:rsidR="006B74A4" w:rsidRPr="001A2339" w:rsidRDefault="006B74A4" w:rsidP="006B74A4">
      <w:pPr>
        <w:numPr>
          <w:ilvl w:val="0"/>
          <w:numId w:val="5"/>
        </w:numPr>
        <w:spacing w:before="120" w:after="120"/>
        <w:ind w:left="0"/>
        <w:contextualSpacing/>
        <w:jc w:val="left"/>
        <w:rPr>
          <w:lang w:val="en-GB"/>
        </w:rPr>
      </w:pPr>
      <w:r w:rsidRPr="001A2339">
        <w:rPr>
          <w:lang w:val="en-GB"/>
        </w:rPr>
        <w:t>Biodiversity</w:t>
      </w:r>
    </w:p>
    <w:p w:rsidR="006B74A4" w:rsidRPr="001A2339" w:rsidRDefault="006B74A4" w:rsidP="006B74A4">
      <w:pPr>
        <w:numPr>
          <w:ilvl w:val="0"/>
          <w:numId w:val="5"/>
        </w:numPr>
        <w:spacing w:before="120" w:after="120"/>
        <w:ind w:left="0"/>
        <w:contextualSpacing/>
        <w:jc w:val="left"/>
        <w:rPr>
          <w:lang w:val="en-GB"/>
        </w:rPr>
      </w:pPr>
      <w:r w:rsidRPr="001A2339">
        <w:rPr>
          <w:lang w:val="en-GB"/>
        </w:rPr>
        <w:t>Civil protection</w:t>
      </w:r>
    </w:p>
    <w:p w:rsidR="006B74A4" w:rsidRPr="001A2339" w:rsidRDefault="006B74A4" w:rsidP="006B74A4">
      <w:pPr>
        <w:numPr>
          <w:ilvl w:val="0"/>
          <w:numId w:val="5"/>
        </w:numPr>
        <w:spacing w:before="120" w:after="120"/>
        <w:ind w:left="0"/>
        <w:contextualSpacing/>
        <w:jc w:val="left"/>
        <w:rPr>
          <w:lang w:val="en-GB"/>
        </w:rPr>
      </w:pPr>
      <w:r w:rsidRPr="001A2339">
        <w:rPr>
          <w:lang w:val="en-GB"/>
        </w:rPr>
        <w:t>Civil service</w:t>
      </w:r>
    </w:p>
    <w:p w:rsidR="006B74A4" w:rsidRPr="001A2339" w:rsidRDefault="006B74A4" w:rsidP="006B74A4">
      <w:pPr>
        <w:numPr>
          <w:ilvl w:val="0"/>
          <w:numId w:val="5"/>
        </w:numPr>
        <w:spacing w:before="120" w:after="120"/>
        <w:ind w:left="0"/>
        <w:contextualSpacing/>
        <w:jc w:val="left"/>
        <w:rPr>
          <w:lang w:val="en-GB"/>
        </w:rPr>
      </w:pPr>
      <w:r w:rsidRPr="001A2339">
        <w:rPr>
          <w:lang w:val="en-GB"/>
        </w:rPr>
        <w:t>Climate</w:t>
      </w:r>
    </w:p>
    <w:p w:rsidR="006B74A4" w:rsidRPr="001A2339" w:rsidRDefault="006B74A4" w:rsidP="006B74A4">
      <w:pPr>
        <w:numPr>
          <w:ilvl w:val="0"/>
          <w:numId w:val="5"/>
        </w:numPr>
        <w:spacing w:before="120" w:after="120"/>
        <w:ind w:left="0"/>
        <w:contextualSpacing/>
        <w:jc w:val="left"/>
        <w:rPr>
          <w:lang w:val="en-GB"/>
        </w:rPr>
      </w:pPr>
      <w:r w:rsidRPr="001A2339">
        <w:rPr>
          <w:lang w:val="en-GB"/>
        </w:rPr>
        <w:t>Competition</w:t>
      </w:r>
    </w:p>
    <w:p w:rsidR="006B74A4" w:rsidRPr="001A2339" w:rsidRDefault="006B74A4" w:rsidP="006B74A4">
      <w:pPr>
        <w:numPr>
          <w:ilvl w:val="0"/>
          <w:numId w:val="5"/>
        </w:numPr>
        <w:spacing w:before="120" w:after="120"/>
        <w:ind w:left="0"/>
        <w:contextualSpacing/>
        <w:jc w:val="left"/>
        <w:rPr>
          <w:lang w:val="en-GB"/>
        </w:rPr>
      </w:pPr>
      <w:r w:rsidRPr="001A2339">
        <w:rPr>
          <w:lang w:val="en-GB"/>
        </w:rPr>
        <w:t>Conservation</w:t>
      </w:r>
    </w:p>
    <w:p w:rsidR="006B74A4" w:rsidRPr="001A2339" w:rsidRDefault="006B74A4" w:rsidP="006B74A4">
      <w:pPr>
        <w:numPr>
          <w:ilvl w:val="0"/>
          <w:numId w:val="5"/>
        </w:numPr>
        <w:spacing w:before="120" w:after="120"/>
        <w:ind w:left="0"/>
        <w:contextualSpacing/>
        <w:jc w:val="left"/>
        <w:rPr>
          <w:lang w:val="en-GB"/>
        </w:rPr>
      </w:pPr>
      <w:r w:rsidRPr="001A2339">
        <w:rPr>
          <w:lang w:val="en-GB"/>
        </w:rPr>
        <w:t>Consumer affairs</w:t>
      </w:r>
    </w:p>
    <w:p w:rsidR="006B74A4" w:rsidRPr="001A2339" w:rsidRDefault="006B74A4" w:rsidP="006B74A4">
      <w:pPr>
        <w:numPr>
          <w:ilvl w:val="0"/>
          <w:numId w:val="5"/>
        </w:numPr>
        <w:spacing w:before="120" w:after="120"/>
        <w:ind w:left="0"/>
        <w:contextualSpacing/>
        <w:jc w:val="left"/>
        <w:rPr>
          <w:lang w:val="en-GB"/>
        </w:rPr>
      </w:pPr>
      <w:r w:rsidRPr="001A2339">
        <w:rPr>
          <w:lang w:val="en-GB"/>
        </w:rPr>
        <w:t>Culture</w:t>
      </w:r>
    </w:p>
    <w:p w:rsidR="006B74A4" w:rsidRPr="001A2339" w:rsidRDefault="006B74A4" w:rsidP="006B74A4">
      <w:pPr>
        <w:numPr>
          <w:ilvl w:val="0"/>
          <w:numId w:val="5"/>
        </w:numPr>
        <w:spacing w:before="120" w:after="120"/>
        <w:ind w:left="0"/>
        <w:contextualSpacing/>
        <w:jc w:val="left"/>
        <w:rPr>
          <w:lang w:val="en-GB"/>
        </w:rPr>
      </w:pPr>
      <w:r w:rsidRPr="001A2339">
        <w:rPr>
          <w:lang w:val="en-GB"/>
        </w:rPr>
        <w:t>Cultural Heritage</w:t>
      </w:r>
    </w:p>
    <w:p w:rsidR="006B74A4" w:rsidRPr="001A2339" w:rsidRDefault="006B74A4" w:rsidP="006B74A4">
      <w:pPr>
        <w:numPr>
          <w:ilvl w:val="0"/>
          <w:numId w:val="5"/>
        </w:numPr>
        <w:spacing w:before="120" w:after="120"/>
        <w:ind w:left="0"/>
        <w:contextualSpacing/>
        <w:jc w:val="left"/>
        <w:rPr>
          <w:lang w:val="en-GB"/>
        </w:rPr>
      </w:pPr>
      <w:r w:rsidRPr="001A2339">
        <w:rPr>
          <w:lang w:val="en-GB"/>
        </w:rPr>
        <w:t>Cultural Landscape</w:t>
      </w:r>
    </w:p>
    <w:p w:rsidR="006B74A4" w:rsidRPr="001A2339" w:rsidRDefault="006B74A4" w:rsidP="006B74A4">
      <w:pPr>
        <w:numPr>
          <w:ilvl w:val="0"/>
          <w:numId w:val="5"/>
        </w:numPr>
        <w:spacing w:before="120" w:after="120"/>
        <w:ind w:left="0"/>
        <w:contextualSpacing/>
        <w:jc w:val="left"/>
        <w:rPr>
          <w:lang w:val="en-GB"/>
        </w:rPr>
      </w:pPr>
      <w:r w:rsidRPr="001A2339">
        <w:rPr>
          <w:lang w:val="en-GB"/>
        </w:rPr>
        <w:t>Customs</w:t>
      </w:r>
    </w:p>
    <w:p w:rsidR="006B74A4" w:rsidRPr="001A2339" w:rsidRDefault="006B74A4" w:rsidP="006B74A4">
      <w:pPr>
        <w:numPr>
          <w:ilvl w:val="0"/>
          <w:numId w:val="5"/>
        </w:numPr>
        <w:spacing w:before="120" w:after="120"/>
        <w:ind w:left="0"/>
        <w:contextualSpacing/>
        <w:jc w:val="left"/>
        <w:rPr>
          <w:lang w:val="en-GB"/>
        </w:rPr>
      </w:pPr>
      <w:r w:rsidRPr="001A2339">
        <w:rPr>
          <w:lang w:val="en-GB"/>
        </w:rPr>
        <w:t>Development</w:t>
      </w:r>
    </w:p>
    <w:p w:rsidR="006B74A4" w:rsidRPr="001A2339" w:rsidRDefault="006B74A4" w:rsidP="006B74A4">
      <w:pPr>
        <w:numPr>
          <w:ilvl w:val="0"/>
          <w:numId w:val="5"/>
        </w:numPr>
        <w:spacing w:before="120" w:after="120"/>
        <w:ind w:left="0"/>
        <w:contextualSpacing/>
        <w:jc w:val="left"/>
        <w:rPr>
          <w:lang w:val="en-GB"/>
        </w:rPr>
      </w:pPr>
      <w:r w:rsidRPr="001A2339">
        <w:rPr>
          <w:lang w:val="en-GB"/>
        </w:rPr>
        <w:t>Disaster Risk Reduction</w:t>
      </w:r>
    </w:p>
    <w:p w:rsidR="006B74A4" w:rsidRPr="001A2339" w:rsidRDefault="006B74A4" w:rsidP="006B74A4">
      <w:pPr>
        <w:numPr>
          <w:ilvl w:val="0"/>
          <w:numId w:val="5"/>
        </w:numPr>
        <w:spacing w:before="120" w:after="120"/>
        <w:ind w:left="0"/>
        <w:contextualSpacing/>
        <w:jc w:val="left"/>
        <w:rPr>
          <w:lang w:val="en-GB"/>
        </w:rPr>
      </w:pPr>
      <w:r w:rsidRPr="001A2339">
        <w:rPr>
          <w:lang w:val="en-GB"/>
        </w:rPr>
        <w:t>Economy</w:t>
      </w:r>
    </w:p>
    <w:p w:rsidR="006B74A4" w:rsidRPr="001A2339" w:rsidRDefault="006B74A4" w:rsidP="006B74A4">
      <w:pPr>
        <w:numPr>
          <w:ilvl w:val="0"/>
          <w:numId w:val="5"/>
        </w:numPr>
        <w:spacing w:before="120" w:after="120"/>
        <w:ind w:left="0"/>
        <w:contextualSpacing/>
        <w:jc w:val="left"/>
        <w:rPr>
          <w:lang w:val="en-GB"/>
        </w:rPr>
      </w:pPr>
      <w:r w:rsidRPr="001A2339">
        <w:rPr>
          <w:lang w:val="en-GB"/>
        </w:rPr>
        <w:t>Education</w:t>
      </w:r>
    </w:p>
    <w:p w:rsidR="006B74A4" w:rsidRPr="001A2339" w:rsidRDefault="006B74A4" w:rsidP="006B74A4">
      <w:pPr>
        <w:numPr>
          <w:ilvl w:val="0"/>
          <w:numId w:val="5"/>
        </w:numPr>
        <w:spacing w:before="120" w:after="120"/>
        <w:ind w:left="0"/>
        <w:contextualSpacing/>
        <w:jc w:val="left"/>
        <w:rPr>
          <w:lang w:val="en-GB"/>
        </w:rPr>
      </w:pPr>
      <w:r w:rsidRPr="001A2339">
        <w:rPr>
          <w:lang w:val="en-GB"/>
        </w:rPr>
        <w:t>Employment and social affairs</w:t>
      </w:r>
    </w:p>
    <w:p w:rsidR="006B74A4" w:rsidRPr="001A2339" w:rsidRDefault="006B74A4" w:rsidP="006B74A4">
      <w:pPr>
        <w:numPr>
          <w:ilvl w:val="0"/>
          <w:numId w:val="5"/>
        </w:numPr>
        <w:spacing w:before="120" w:after="120"/>
        <w:ind w:left="0"/>
        <w:contextualSpacing/>
        <w:jc w:val="left"/>
        <w:rPr>
          <w:lang w:val="en-GB"/>
        </w:rPr>
      </w:pPr>
      <w:r w:rsidRPr="001A2339">
        <w:rPr>
          <w:lang w:val="en-GB"/>
        </w:rPr>
        <w:t>Energy</w:t>
      </w:r>
    </w:p>
    <w:p w:rsidR="006B74A4" w:rsidRPr="001A2339" w:rsidRDefault="006B74A4" w:rsidP="006B74A4">
      <w:pPr>
        <w:numPr>
          <w:ilvl w:val="0"/>
          <w:numId w:val="5"/>
        </w:numPr>
        <w:spacing w:before="120" w:after="120"/>
        <w:ind w:left="0"/>
        <w:contextualSpacing/>
        <w:jc w:val="left"/>
        <w:rPr>
          <w:lang w:val="en-GB"/>
        </w:rPr>
      </w:pPr>
      <w:r w:rsidRPr="001A2339">
        <w:rPr>
          <w:lang w:val="en-GB"/>
        </w:rPr>
        <w:t>Engineering (chemical)</w:t>
      </w:r>
    </w:p>
    <w:p w:rsidR="006B74A4" w:rsidRPr="001A2339" w:rsidRDefault="006B74A4" w:rsidP="006B74A4">
      <w:pPr>
        <w:numPr>
          <w:ilvl w:val="0"/>
          <w:numId w:val="5"/>
        </w:numPr>
        <w:spacing w:before="120" w:after="120"/>
        <w:ind w:left="0"/>
        <w:contextualSpacing/>
        <w:jc w:val="left"/>
        <w:rPr>
          <w:lang w:val="en-GB"/>
        </w:rPr>
      </w:pPr>
      <w:r w:rsidRPr="001A2339">
        <w:rPr>
          <w:lang w:val="en-GB"/>
        </w:rPr>
        <w:t>Engineering (civil)</w:t>
      </w:r>
    </w:p>
    <w:p w:rsidR="006B74A4" w:rsidRPr="001A2339" w:rsidRDefault="006B74A4" w:rsidP="006B74A4">
      <w:pPr>
        <w:numPr>
          <w:ilvl w:val="0"/>
          <w:numId w:val="5"/>
        </w:numPr>
        <w:spacing w:before="120" w:after="120"/>
        <w:ind w:left="0"/>
        <w:contextualSpacing/>
        <w:jc w:val="left"/>
        <w:rPr>
          <w:lang w:val="en-GB"/>
        </w:rPr>
      </w:pPr>
      <w:r w:rsidRPr="001A2339">
        <w:rPr>
          <w:lang w:val="en-GB"/>
        </w:rPr>
        <w:t>Engineering (infrastructure)</w:t>
      </w:r>
    </w:p>
    <w:p w:rsidR="006B74A4" w:rsidRPr="001A2339" w:rsidRDefault="006B74A4" w:rsidP="006B74A4">
      <w:pPr>
        <w:numPr>
          <w:ilvl w:val="0"/>
          <w:numId w:val="5"/>
        </w:numPr>
        <w:spacing w:before="120" w:after="120"/>
        <w:ind w:left="0"/>
        <w:contextualSpacing/>
        <w:jc w:val="left"/>
        <w:rPr>
          <w:lang w:val="en-GB"/>
        </w:rPr>
      </w:pPr>
      <w:r w:rsidRPr="001A2339">
        <w:rPr>
          <w:lang w:val="en-GB"/>
        </w:rPr>
        <w:t>Engineering (IT)</w:t>
      </w:r>
    </w:p>
    <w:p w:rsidR="006B74A4" w:rsidRPr="001A2339" w:rsidRDefault="006B74A4" w:rsidP="006B74A4">
      <w:pPr>
        <w:numPr>
          <w:ilvl w:val="0"/>
          <w:numId w:val="5"/>
        </w:numPr>
        <w:spacing w:before="120" w:after="120"/>
        <w:ind w:left="0"/>
        <w:contextualSpacing/>
        <w:jc w:val="left"/>
        <w:rPr>
          <w:lang w:val="en-GB"/>
        </w:rPr>
      </w:pPr>
      <w:r w:rsidRPr="001A2339">
        <w:rPr>
          <w:lang w:val="en-GB"/>
        </w:rPr>
        <w:t>Engineering (maritime)</w:t>
      </w:r>
    </w:p>
    <w:p w:rsidR="006B74A4" w:rsidRPr="001A2339" w:rsidRDefault="006B74A4" w:rsidP="006B74A4">
      <w:pPr>
        <w:numPr>
          <w:ilvl w:val="0"/>
          <w:numId w:val="5"/>
        </w:numPr>
        <w:spacing w:before="120" w:after="120"/>
        <w:ind w:left="0"/>
        <w:contextualSpacing/>
        <w:jc w:val="left"/>
        <w:rPr>
          <w:lang w:val="en-GB"/>
        </w:rPr>
      </w:pPr>
      <w:r w:rsidRPr="001A2339">
        <w:rPr>
          <w:lang w:val="en-GB"/>
        </w:rPr>
        <w:t>Engineering (space policy)</w:t>
      </w:r>
    </w:p>
    <w:p w:rsidR="006B74A4" w:rsidRPr="001A2339" w:rsidRDefault="006B74A4" w:rsidP="006B74A4">
      <w:pPr>
        <w:numPr>
          <w:ilvl w:val="0"/>
          <w:numId w:val="5"/>
        </w:numPr>
        <w:spacing w:before="120" w:after="120"/>
        <w:ind w:left="0"/>
        <w:contextualSpacing/>
        <w:jc w:val="left"/>
        <w:rPr>
          <w:lang w:val="en-GB"/>
        </w:rPr>
      </w:pPr>
      <w:r w:rsidRPr="001A2339">
        <w:rPr>
          <w:lang w:val="en-GB"/>
        </w:rPr>
        <w:t>Engineering (space research)</w:t>
      </w:r>
    </w:p>
    <w:p w:rsidR="006B74A4" w:rsidRPr="001A2339" w:rsidRDefault="006B74A4" w:rsidP="006B74A4">
      <w:pPr>
        <w:numPr>
          <w:ilvl w:val="0"/>
          <w:numId w:val="5"/>
        </w:numPr>
        <w:spacing w:before="120" w:after="120"/>
        <w:ind w:left="0"/>
        <w:contextualSpacing/>
        <w:jc w:val="left"/>
        <w:rPr>
          <w:lang w:val="en-GB"/>
        </w:rPr>
      </w:pPr>
      <w:r w:rsidRPr="001A2339">
        <w:rPr>
          <w:lang w:val="en-GB"/>
        </w:rPr>
        <w:t>Enlargement</w:t>
      </w:r>
    </w:p>
    <w:p w:rsidR="006B74A4" w:rsidRPr="001A2339" w:rsidRDefault="006B74A4" w:rsidP="006B74A4">
      <w:pPr>
        <w:numPr>
          <w:ilvl w:val="0"/>
          <w:numId w:val="5"/>
        </w:numPr>
        <w:spacing w:before="120" w:after="120"/>
        <w:ind w:left="0"/>
        <w:contextualSpacing/>
        <w:jc w:val="left"/>
        <w:rPr>
          <w:lang w:val="en-GB"/>
        </w:rPr>
      </w:pPr>
      <w:r w:rsidRPr="001A2339">
        <w:rPr>
          <w:lang w:val="en-GB"/>
        </w:rPr>
        <w:t>Environment</w:t>
      </w:r>
    </w:p>
    <w:p w:rsidR="006B74A4" w:rsidRPr="001A2339" w:rsidRDefault="006B74A4" w:rsidP="006B74A4">
      <w:pPr>
        <w:numPr>
          <w:ilvl w:val="0"/>
          <w:numId w:val="5"/>
        </w:numPr>
        <w:spacing w:before="120" w:after="120"/>
        <w:ind w:left="0"/>
        <w:contextualSpacing/>
        <w:jc w:val="left"/>
        <w:rPr>
          <w:lang w:val="en-GB"/>
        </w:rPr>
      </w:pPr>
      <w:r w:rsidRPr="001A2339">
        <w:rPr>
          <w:lang w:val="en-GB"/>
        </w:rPr>
        <w:t>Equal opportunities</w:t>
      </w:r>
    </w:p>
    <w:p w:rsidR="006B74A4" w:rsidRPr="001A2339" w:rsidRDefault="006B74A4" w:rsidP="006B74A4">
      <w:pPr>
        <w:numPr>
          <w:ilvl w:val="0"/>
          <w:numId w:val="5"/>
        </w:numPr>
        <w:spacing w:before="120" w:after="120"/>
        <w:ind w:left="0"/>
        <w:contextualSpacing/>
        <w:jc w:val="left"/>
        <w:rPr>
          <w:lang w:val="en-GB"/>
        </w:rPr>
      </w:pPr>
      <w:r w:rsidRPr="001A2339">
        <w:rPr>
          <w:lang w:val="en-GB"/>
        </w:rPr>
        <w:t>External relations</w:t>
      </w:r>
    </w:p>
    <w:p w:rsidR="006B74A4" w:rsidRPr="001A2339" w:rsidRDefault="006B74A4" w:rsidP="006B74A4">
      <w:pPr>
        <w:numPr>
          <w:ilvl w:val="0"/>
          <w:numId w:val="5"/>
        </w:numPr>
        <w:spacing w:before="120" w:after="120"/>
        <w:ind w:left="0"/>
        <w:contextualSpacing/>
        <w:jc w:val="left"/>
        <w:rPr>
          <w:lang w:val="en-GB"/>
        </w:rPr>
      </w:pPr>
      <w:r w:rsidRPr="001A2339">
        <w:rPr>
          <w:lang w:val="en-GB"/>
        </w:rPr>
        <w:t>External trade</w:t>
      </w:r>
    </w:p>
    <w:p w:rsidR="006B74A4" w:rsidRPr="001A2339" w:rsidRDefault="006B74A4" w:rsidP="006B74A4">
      <w:pPr>
        <w:numPr>
          <w:ilvl w:val="0"/>
          <w:numId w:val="5"/>
        </w:numPr>
        <w:spacing w:before="120" w:after="120"/>
        <w:ind w:left="0"/>
        <w:contextualSpacing/>
        <w:jc w:val="left"/>
        <w:rPr>
          <w:lang w:val="en-GB"/>
        </w:rPr>
      </w:pPr>
      <w:r w:rsidRPr="001A2339">
        <w:rPr>
          <w:lang w:val="en-GB"/>
        </w:rPr>
        <w:t>Finance</w:t>
      </w:r>
    </w:p>
    <w:p w:rsidR="006B74A4" w:rsidRPr="001A2339" w:rsidRDefault="006B74A4" w:rsidP="006B74A4">
      <w:pPr>
        <w:numPr>
          <w:ilvl w:val="0"/>
          <w:numId w:val="5"/>
        </w:numPr>
        <w:spacing w:before="120" w:after="120"/>
        <w:ind w:left="0"/>
        <w:contextualSpacing/>
        <w:jc w:val="left"/>
        <w:rPr>
          <w:lang w:val="en-GB"/>
        </w:rPr>
      </w:pPr>
      <w:r w:rsidRPr="001A2339">
        <w:rPr>
          <w:lang w:val="en-GB"/>
        </w:rPr>
        <w:t>Fisheries and aquaculture</w:t>
      </w:r>
    </w:p>
    <w:p w:rsidR="006B74A4" w:rsidRPr="001A2339" w:rsidRDefault="006B74A4" w:rsidP="006B74A4">
      <w:pPr>
        <w:numPr>
          <w:ilvl w:val="0"/>
          <w:numId w:val="5"/>
        </w:numPr>
        <w:spacing w:before="120" w:after="120"/>
        <w:ind w:left="0"/>
        <w:contextualSpacing/>
        <w:jc w:val="left"/>
        <w:rPr>
          <w:lang w:val="en-GB"/>
        </w:rPr>
      </w:pPr>
      <w:r w:rsidRPr="001A2339">
        <w:rPr>
          <w:lang w:val="en-GB"/>
        </w:rPr>
        <w:t>Food safety</w:t>
      </w:r>
    </w:p>
    <w:p w:rsidR="006B74A4" w:rsidRPr="001A2339" w:rsidRDefault="006B74A4" w:rsidP="006B74A4">
      <w:pPr>
        <w:numPr>
          <w:ilvl w:val="0"/>
          <w:numId w:val="5"/>
        </w:numPr>
        <w:spacing w:before="120" w:after="120"/>
        <w:ind w:left="0"/>
        <w:contextualSpacing/>
        <w:jc w:val="left"/>
        <w:rPr>
          <w:lang w:val="en-GB"/>
        </w:rPr>
      </w:pPr>
      <w:r w:rsidRPr="001A2339">
        <w:rPr>
          <w:lang w:val="en-GB"/>
        </w:rPr>
        <w:t>Forestry</w:t>
      </w:r>
    </w:p>
    <w:p w:rsidR="006B74A4" w:rsidRPr="001A2339" w:rsidRDefault="006B74A4" w:rsidP="006B74A4">
      <w:pPr>
        <w:numPr>
          <w:ilvl w:val="0"/>
          <w:numId w:val="5"/>
        </w:numPr>
        <w:spacing w:before="120" w:after="120"/>
        <w:ind w:left="0"/>
        <w:contextualSpacing/>
        <w:jc w:val="left"/>
        <w:rPr>
          <w:lang w:val="en-GB"/>
        </w:rPr>
      </w:pPr>
      <w:r w:rsidRPr="001A2339">
        <w:rPr>
          <w:lang w:val="en-GB"/>
        </w:rPr>
        <w:t>Fundamental rights</w:t>
      </w:r>
    </w:p>
    <w:p w:rsidR="006B74A4" w:rsidRPr="001A2339" w:rsidRDefault="006B74A4" w:rsidP="006B74A4">
      <w:pPr>
        <w:numPr>
          <w:ilvl w:val="0"/>
          <w:numId w:val="5"/>
        </w:numPr>
        <w:spacing w:before="120" w:after="120"/>
        <w:ind w:left="0"/>
        <w:contextualSpacing/>
        <w:jc w:val="left"/>
        <w:rPr>
          <w:lang w:val="en-GB"/>
        </w:rPr>
      </w:pPr>
      <w:r w:rsidRPr="001A2339">
        <w:rPr>
          <w:lang w:val="en-GB"/>
        </w:rPr>
        <w:t>Humanitarian aid</w:t>
      </w:r>
    </w:p>
    <w:p w:rsidR="006B74A4" w:rsidRPr="001A2339" w:rsidRDefault="006B74A4" w:rsidP="006B74A4">
      <w:pPr>
        <w:numPr>
          <w:ilvl w:val="0"/>
          <w:numId w:val="5"/>
        </w:numPr>
        <w:spacing w:before="120" w:after="120"/>
        <w:ind w:left="0"/>
        <w:contextualSpacing/>
        <w:jc w:val="left"/>
        <w:rPr>
          <w:lang w:val="en-GB"/>
        </w:rPr>
      </w:pPr>
      <w:r w:rsidRPr="001A2339">
        <w:rPr>
          <w:lang w:val="en-GB"/>
        </w:rPr>
        <w:t>Industry</w:t>
      </w:r>
    </w:p>
    <w:p w:rsidR="006B74A4" w:rsidRPr="001A2339" w:rsidRDefault="006B74A4" w:rsidP="006B74A4">
      <w:pPr>
        <w:numPr>
          <w:ilvl w:val="0"/>
          <w:numId w:val="5"/>
        </w:numPr>
        <w:spacing w:before="120" w:after="120"/>
        <w:ind w:left="0"/>
        <w:contextualSpacing/>
        <w:jc w:val="left"/>
        <w:rPr>
          <w:lang w:val="en-GB"/>
        </w:rPr>
      </w:pPr>
      <w:r w:rsidRPr="001A2339">
        <w:rPr>
          <w:lang w:val="en-GB"/>
        </w:rPr>
        <w:t>Information society</w:t>
      </w:r>
    </w:p>
    <w:p w:rsidR="006B74A4" w:rsidRPr="001A2339" w:rsidRDefault="006B74A4" w:rsidP="006B74A4">
      <w:pPr>
        <w:numPr>
          <w:ilvl w:val="0"/>
          <w:numId w:val="5"/>
        </w:numPr>
        <w:spacing w:before="120" w:after="120"/>
        <w:ind w:left="0"/>
        <w:contextualSpacing/>
        <w:jc w:val="left"/>
        <w:rPr>
          <w:lang w:val="en-GB"/>
        </w:rPr>
      </w:pPr>
      <w:r w:rsidRPr="001A2339">
        <w:rPr>
          <w:lang w:val="en-GB"/>
        </w:rPr>
        <w:t>Innovation</w:t>
      </w:r>
    </w:p>
    <w:p w:rsidR="006B74A4" w:rsidRPr="001A2339" w:rsidRDefault="006B74A4" w:rsidP="006B74A4">
      <w:pPr>
        <w:numPr>
          <w:ilvl w:val="0"/>
          <w:numId w:val="5"/>
        </w:numPr>
        <w:spacing w:before="120" w:after="120"/>
        <w:ind w:left="0"/>
        <w:contextualSpacing/>
        <w:jc w:val="left"/>
        <w:rPr>
          <w:lang w:val="en-GB"/>
        </w:rPr>
      </w:pPr>
      <w:r w:rsidRPr="001A2339">
        <w:rPr>
          <w:lang w:val="en-GB"/>
        </w:rPr>
        <w:t>Insurance</w:t>
      </w:r>
    </w:p>
    <w:p w:rsidR="006B74A4" w:rsidRPr="001A2339" w:rsidRDefault="006B74A4" w:rsidP="006B74A4">
      <w:pPr>
        <w:numPr>
          <w:ilvl w:val="0"/>
          <w:numId w:val="5"/>
        </w:numPr>
        <w:spacing w:before="120" w:after="120"/>
        <w:ind w:left="0"/>
        <w:contextualSpacing/>
        <w:jc w:val="left"/>
        <w:rPr>
          <w:lang w:val="en-GB"/>
        </w:rPr>
      </w:pPr>
      <w:r w:rsidRPr="001A2339">
        <w:rPr>
          <w:lang w:val="en-GB"/>
        </w:rPr>
        <w:t>Labour</w:t>
      </w:r>
    </w:p>
    <w:p w:rsidR="006B74A4" w:rsidRPr="001A2339" w:rsidRDefault="006B74A4" w:rsidP="006B74A4">
      <w:pPr>
        <w:numPr>
          <w:ilvl w:val="0"/>
          <w:numId w:val="5"/>
        </w:numPr>
        <w:spacing w:before="120" w:after="120"/>
        <w:ind w:left="0"/>
        <w:contextualSpacing/>
        <w:jc w:val="left"/>
        <w:rPr>
          <w:lang w:val="en-GB"/>
        </w:rPr>
      </w:pPr>
      <w:r w:rsidRPr="001A2339">
        <w:rPr>
          <w:lang w:val="en-GB"/>
        </w:rPr>
        <w:t>Land management</w:t>
      </w:r>
    </w:p>
    <w:p w:rsidR="006B74A4" w:rsidRPr="001A2339" w:rsidRDefault="006B74A4" w:rsidP="006B74A4">
      <w:pPr>
        <w:numPr>
          <w:ilvl w:val="0"/>
          <w:numId w:val="5"/>
        </w:numPr>
        <w:spacing w:before="120" w:after="120"/>
        <w:ind w:left="0"/>
        <w:contextualSpacing/>
        <w:jc w:val="left"/>
        <w:rPr>
          <w:lang w:val="en-GB"/>
        </w:rPr>
      </w:pPr>
      <w:r w:rsidRPr="001A2339">
        <w:rPr>
          <w:lang w:val="en-GB"/>
        </w:rPr>
        <w:lastRenderedPageBreak/>
        <w:t>Law (civil)</w:t>
      </w:r>
    </w:p>
    <w:p w:rsidR="006B74A4" w:rsidRPr="001A2339" w:rsidRDefault="006B74A4" w:rsidP="006B74A4">
      <w:pPr>
        <w:numPr>
          <w:ilvl w:val="0"/>
          <w:numId w:val="5"/>
        </w:numPr>
        <w:spacing w:before="120" w:after="120"/>
        <w:ind w:left="0"/>
        <w:contextualSpacing/>
        <w:jc w:val="left"/>
        <w:rPr>
          <w:lang w:val="en-GB"/>
        </w:rPr>
      </w:pPr>
      <w:r w:rsidRPr="001A2339">
        <w:rPr>
          <w:lang w:val="en-GB"/>
        </w:rPr>
        <w:t>Law (corporate)</w:t>
      </w:r>
    </w:p>
    <w:p w:rsidR="006B74A4" w:rsidRPr="001A2339" w:rsidRDefault="006B74A4" w:rsidP="006B74A4">
      <w:pPr>
        <w:numPr>
          <w:ilvl w:val="0"/>
          <w:numId w:val="5"/>
        </w:numPr>
        <w:spacing w:before="120" w:after="120"/>
        <w:ind w:left="0"/>
        <w:contextualSpacing/>
        <w:jc w:val="left"/>
        <w:rPr>
          <w:lang w:val="en-GB"/>
        </w:rPr>
      </w:pPr>
      <w:r w:rsidRPr="001A2339">
        <w:rPr>
          <w:lang w:val="en-GB"/>
        </w:rPr>
        <w:t>Law (criminal)</w:t>
      </w:r>
    </w:p>
    <w:p w:rsidR="006B74A4" w:rsidRPr="001A2339" w:rsidRDefault="006B74A4" w:rsidP="006B74A4">
      <w:pPr>
        <w:numPr>
          <w:ilvl w:val="0"/>
          <w:numId w:val="5"/>
        </w:numPr>
        <w:spacing w:before="120" w:after="120"/>
        <w:ind w:left="0"/>
        <w:contextualSpacing/>
        <w:jc w:val="left"/>
        <w:rPr>
          <w:lang w:val="en-GB"/>
        </w:rPr>
      </w:pPr>
      <w:r w:rsidRPr="001A2339">
        <w:rPr>
          <w:lang w:val="en-GB"/>
        </w:rPr>
        <w:t>Law (taxation)</w:t>
      </w:r>
    </w:p>
    <w:p w:rsidR="006B74A4" w:rsidRPr="001A2339" w:rsidRDefault="006B74A4" w:rsidP="006B74A4">
      <w:pPr>
        <w:numPr>
          <w:ilvl w:val="0"/>
          <w:numId w:val="5"/>
        </w:numPr>
        <w:spacing w:before="120" w:after="120"/>
        <w:ind w:left="0"/>
        <w:contextualSpacing/>
        <w:jc w:val="left"/>
        <w:rPr>
          <w:lang w:val="en-GB"/>
        </w:rPr>
      </w:pPr>
      <w:r w:rsidRPr="001A2339">
        <w:rPr>
          <w:lang w:val="en-GB"/>
        </w:rPr>
        <w:t>Linguistics and Terminology</w:t>
      </w:r>
    </w:p>
    <w:p w:rsidR="006B74A4" w:rsidRPr="001A2339" w:rsidRDefault="006B74A4" w:rsidP="006B74A4">
      <w:pPr>
        <w:numPr>
          <w:ilvl w:val="0"/>
          <w:numId w:val="5"/>
        </w:numPr>
        <w:spacing w:before="120" w:after="120"/>
        <w:ind w:left="0"/>
        <w:contextualSpacing/>
        <w:jc w:val="left"/>
        <w:rPr>
          <w:lang w:val="en-GB"/>
        </w:rPr>
      </w:pPr>
      <w:r w:rsidRPr="001A2339">
        <w:rPr>
          <w:lang w:val="en-GB"/>
        </w:rPr>
        <w:t>Livestock</w:t>
      </w:r>
    </w:p>
    <w:p w:rsidR="006B74A4" w:rsidRPr="001A2339" w:rsidRDefault="006B74A4" w:rsidP="006B74A4">
      <w:pPr>
        <w:numPr>
          <w:ilvl w:val="0"/>
          <w:numId w:val="5"/>
        </w:numPr>
        <w:spacing w:before="120" w:after="120"/>
        <w:ind w:left="0"/>
        <w:contextualSpacing/>
        <w:jc w:val="left"/>
        <w:rPr>
          <w:lang w:val="en-GB"/>
        </w:rPr>
      </w:pPr>
      <w:r w:rsidRPr="001A2339">
        <w:rPr>
          <w:lang w:val="en-GB"/>
        </w:rPr>
        <w:t>Medical profession</w:t>
      </w:r>
    </w:p>
    <w:p w:rsidR="006B74A4" w:rsidRPr="001A2339" w:rsidRDefault="006B74A4" w:rsidP="006B74A4">
      <w:pPr>
        <w:numPr>
          <w:ilvl w:val="0"/>
          <w:numId w:val="5"/>
        </w:numPr>
        <w:spacing w:before="120" w:after="120"/>
        <w:ind w:left="0"/>
        <w:contextualSpacing/>
        <w:jc w:val="left"/>
        <w:rPr>
          <w:lang w:val="en-GB"/>
        </w:rPr>
      </w:pPr>
      <w:r w:rsidRPr="001A2339">
        <w:rPr>
          <w:lang w:val="en-GB"/>
        </w:rPr>
        <w:t>Migration</w:t>
      </w:r>
    </w:p>
    <w:p w:rsidR="006B74A4" w:rsidRPr="001A2339" w:rsidRDefault="006B74A4" w:rsidP="006B74A4">
      <w:pPr>
        <w:numPr>
          <w:ilvl w:val="0"/>
          <w:numId w:val="5"/>
        </w:numPr>
        <w:spacing w:before="120" w:after="120"/>
        <w:ind w:left="0"/>
        <w:contextualSpacing/>
        <w:jc w:val="left"/>
        <w:rPr>
          <w:lang w:val="en-GB"/>
        </w:rPr>
      </w:pPr>
      <w:r w:rsidRPr="001A2339">
        <w:rPr>
          <w:lang w:val="en-GB"/>
        </w:rPr>
        <w:t>Natural resources</w:t>
      </w:r>
    </w:p>
    <w:p w:rsidR="006B74A4" w:rsidRPr="001A2339" w:rsidRDefault="006B74A4" w:rsidP="006B74A4">
      <w:pPr>
        <w:numPr>
          <w:ilvl w:val="0"/>
          <w:numId w:val="5"/>
        </w:numPr>
        <w:spacing w:before="120" w:after="120"/>
        <w:ind w:left="0"/>
        <w:contextualSpacing/>
        <w:jc w:val="left"/>
        <w:rPr>
          <w:lang w:val="en-GB"/>
        </w:rPr>
      </w:pPr>
      <w:r w:rsidRPr="001A2339">
        <w:rPr>
          <w:lang w:val="en-GB"/>
        </w:rPr>
        <w:t>Plant production</w:t>
      </w:r>
    </w:p>
    <w:p w:rsidR="006B74A4" w:rsidRPr="001A2339" w:rsidRDefault="006B74A4" w:rsidP="006B74A4">
      <w:pPr>
        <w:numPr>
          <w:ilvl w:val="0"/>
          <w:numId w:val="5"/>
        </w:numPr>
        <w:spacing w:before="120" w:after="120"/>
        <w:ind w:left="0"/>
        <w:contextualSpacing/>
        <w:jc w:val="left"/>
        <w:rPr>
          <w:lang w:val="en-GB"/>
        </w:rPr>
      </w:pPr>
      <w:r w:rsidRPr="001A2339">
        <w:rPr>
          <w:lang w:val="en-GB"/>
        </w:rPr>
        <w:t>Public affairs</w:t>
      </w:r>
    </w:p>
    <w:p w:rsidR="006B74A4" w:rsidRPr="001A2339" w:rsidRDefault="006B74A4" w:rsidP="006B74A4">
      <w:pPr>
        <w:numPr>
          <w:ilvl w:val="0"/>
          <w:numId w:val="5"/>
        </w:numPr>
        <w:spacing w:before="120" w:after="120"/>
        <w:ind w:left="0"/>
        <w:contextualSpacing/>
        <w:jc w:val="left"/>
        <w:rPr>
          <w:lang w:val="en-GB"/>
        </w:rPr>
      </w:pPr>
      <w:r w:rsidRPr="001A2339">
        <w:rPr>
          <w:lang w:val="en-GB"/>
        </w:rPr>
        <w:t>Public health</w:t>
      </w:r>
    </w:p>
    <w:p w:rsidR="006B74A4" w:rsidRPr="001A2339" w:rsidRDefault="006B74A4" w:rsidP="006B74A4">
      <w:pPr>
        <w:numPr>
          <w:ilvl w:val="0"/>
          <w:numId w:val="5"/>
        </w:numPr>
        <w:spacing w:before="120" w:after="120"/>
        <w:ind w:left="0"/>
        <w:contextualSpacing/>
        <w:jc w:val="left"/>
        <w:rPr>
          <w:lang w:val="en-GB"/>
        </w:rPr>
      </w:pPr>
      <w:r w:rsidRPr="001A2339">
        <w:rPr>
          <w:lang w:val="en-GB"/>
        </w:rPr>
        <w:t>Public relations</w:t>
      </w:r>
    </w:p>
    <w:p w:rsidR="006B74A4" w:rsidRPr="001A2339" w:rsidRDefault="006B74A4" w:rsidP="006B74A4">
      <w:pPr>
        <w:numPr>
          <w:ilvl w:val="0"/>
          <w:numId w:val="5"/>
        </w:numPr>
        <w:spacing w:before="120" w:after="120"/>
        <w:ind w:left="0"/>
        <w:contextualSpacing/>
        <w:jc w:val="left"/>
        <w:rPr>
          <w:lang w:val="en-GB"/>
        </w:rPr>
      </w:pPr>
      <w:r w:rsidRPr="001A2339">
        <w:rPr>
          <w:lang w:val="en-GB"/>
        </w:rPr>
        <w:t>Raw materials</w:t>
      </w:r>
    </w:p>
    <w:p w:rsidR="006B74A4" w:rsidRPr="001A2339" w:rsidRDefault="006B74A4" w:rsidP="006B74A4">
      <w:pPr>
        <w:numPr>
          <w:ilvl w:val="0"/>
          <w:numId w:val="5"/>
        </w:numPr>
        <w:spacing w:before="120" w:after="120"/>
        <w:ind w:left="0"/>
        <w:contextualSpacing/>
        <w:jc w:val="left"/>
        <w:rPr>
          <w:lang w:val="en-GB"/>
        </w:rPr>
      </w:pPr>
      <w:r w:rsidRPr="001A2339">
        <w:rPr>
          <w:lang w:val="en-GB"/>
        </w:rPr>
        <w:t>Research</w:t>
      </w:r>
    </w:p>
    <w:p w:rsidR="006B74A4" w:rsidRPr="001A2339" w:rsidRDefault="006B74A4" w:rsidP="006B74A4">
      <w:pPr>
        <w:numPr>
          <w:ilvl w:val="0"/>
          <w:numId w:val="5"/>
        </w:numPr>
        <w:spacing w:before="120" w:after="120"/>
        <w:ind w:left="0"/>
        <w:contextualSpacing/>
        <w:jc w:val="left"/>
        <w:rPr>
          <w:lang w:val="en-GB"/>
        </w:rPr>
      </w:pPr>
      <w:r w:rsidRPr="001A2339">
        <w:rPr>
          <w:lang w:val="en-GB"/>
        </w:rPr>
        <w:t>Science</w:t>
      </w:r>
    </w:p>
    <w:p w:rsidR="006B74A4" w:rsidRPr="001A2339" w:rsidRDefault="006B74A4" w:rsidP="006B74A4">
      <w:pPr>
        <w:numPr>
          <w:ilvl w:val="0"/>
          <w:numId w:val="5"/>
        </w:numPr>
        <w:spacing w:before="120" w:after="120"/>
        <w:ind w:left="0"/>
        <w:contextualSpacing/>
        <w:jc w:val="left"/>
        <w:rPr>
          <w:lang w:val="en-GB"/>
        </w:rPr>
      </w:pPr>
      <w:r w:rsidRPr="001A2339">
        <w:rPr>
          <w:lang w:val="en-GB"/>
        </w:rPr>
        <w:t xml:space="preserve">Science diplomacy </w:t>
      </w:r>
    </w:p>
    <w:p w:rsidR="006B74A4" w:rsidRPr="001A2339" w:rsidRDefault="006B74A4" w:rsidP="006B74A4">
      <w:pPr>
        <w:numPr>
          <w:ilvl w:val="0"/>
          <w:numId w:val="5"/>
        </w:numPr>
        <w:spacing w:before="120" w:after="120"/>
        <w:ind w:left="0"/>
        <w:contextualSpacing/>
        <w:jc w:val="left"/>
        <w:rPr>
          <w:lang w:val="en-GB"/>
        </w:rPr>
      </w:pPr>
      <w:r w:rsidRPr="001A2339">
        <w:rPr>
          <w:lang w:val="en-GB"/>
        </w:rPr>
        <w:t>Security</w:t>
      </w:r>
    </w:p>
    <w:p w:rsidR="006B74A4" w:rsidRPr="001A2339" w:rsidRDefault="006B74A4" w:rsidP="006B74A4">
      <w:pPr>
        <w:numPr>
          <w:ilvl w:val="0"/>
          <w:numId w:val="5"/>
        </w:numPr>
        <w:spacing w:before="120" w:after="120"/>
        <w:ind w:left="0"/>
        <w:contextualSpacing/>
        <w:jc w:val="left"/>
        <w:rPr>
          <w:lang w:val="en-GB"/>
        </w:rPr>
      </w:pPr>
      <w:r w:rsidRPr="001A2339">
        <w:rPr>
          <w:lang w:val="en-GB"/>
        </w:rPr>
        <w:t>Smart specialisation</w:t>
      </w:r>
    </w:p>
    <w:p w:rsidR="006B74A4" w:rsidRPr="001A2339" w:rsidRDefault="006B74A4" w:rsidP="006B74A4">
      <w:pPr>
        <w:numPr>
          <w:ilvl w:val="0"/>
          <w:numId w:val="5"/>
        </w:numPr>
        <w:spacing w:before="120" w:after="120"/>
        <w:ind w:left="0"/>
        <w:contextualSpacing/>
        <w:jc w:val="left"/>
        <w:rPr>
          <w:lang w:val="en-GB"/>
        </w:rPr>
      </w:pPr>
      <w:r w:rsidRPr="001A2339">
        <w:rPr>
          <w:lang w:val="en-GB"/>
        </w:rPr>
        <w:t>Social service</w:t>
      </w:r>
    </w:p>
    <w:p w:rsidR="006B74A4" w:rsidRPr="001A2339" w:rsidRDefault="006B74A4" w:rsidP="006B74A4">
      <w:pPr>
        <w:numPr>
          <w:ilvl w:val="0"/>
          <w:numId w:val="5"/>
        </w:numPr>
        <w:spacing w:before="120" w:after="120"/>
        <w:ind w:left="0"/>
        <w:contextualSpacing/>
        <w:jc w:val="left"/>
        <w:rPr>
          <w:lang w:val="en-GB"/>
        </w:rPr>
      </w:pPr>
      <w:r w:rsidRPr="001A2339">
        <w:rPr>
          <w:lang w:val="en-GB"/>
        </w:rPr>
        <w:t>Space and Satellites (policy)</w:t>
      </w:r>
    </w:p>
    <w:p w:rsidR="006B74A4" w:rsidRPr="001A2339" w:rsidRDefault="006B74A4" w:rsidP="006B74A4">
      <w:pPr>
        <w:numPr>
          <w:ilvl w:val="0"/>
          <w:numId w:val="5"/>
        </w:numPr>
        <w:spacing w:before="120" w:after="120"/>
        <w:ind w:left="0"/>
        <w:contextualSpacing/>
        <w:jc w:val="left"/>
        <w:rPr>
          <w:lang w:val="en-GB"/>
        </w:rPr>
      </w:pPr>
      <w:r w:rsidRPr="001A2339">
        <w:rPr>
          <w:lang w:val="en-GB"/>
        </w:rPr>
        <w:t>Space and Satellites (research)</w:t>
      </w:r>
    </w:p>
    <w:p w:rsidR="006B74A4" w:rsidRPr="001A2339" w:rsidRDefault="006B74A4" w:rsidP="006B74A4">
      <w:pPr>
        <w:numPr>
          <w:ilvl w:val="0"/>
          <w:numId w:val="5"/>
        </w:numPr>
        <w:spacing w:before="120" w:after="120"/>
        <w:ind w:left="0"/>
        <w:contextualSpacing/>
        <w:jc w:val="left"/>
        <w:rPr>
          <w:lang w:val="en-GB"/>
        </w:rPr>
      </w:pPr>
      <w:r w:rsidRPr="001A2339">
        <w:rPr>
          <w:lang w:val="en-GB"/>
        </w:rPr>
        <w:t>Sport</w:t>
      </w:r>
    </w:p>
    <w:p w:rsidR="006B74A4" w:rsidRPr="001A2339" w:rsidRDefault="006B74A4" w:rsidP="006B74A4">
      <w:pPr>
        <w:numPr>
          <w:ilvl w:val="0"/>
          <w:numId w:val="5"/>
        </w:numPr>
        <w:spacing w:before="120" w:after="120"/>
        <w:ind w:left="0"/>
        <w:contextualSpacing/>
        <w:jc w:val="left"/>
        <w:rPr>
          <w:lang w:val="en-GB"/>
        </w:rPr>
      </w:pPr>
      <w:r w:rsidRPr="001A2339">
        <w:rPr>
          <w:lang w:val="en-GB"/>
        </w:rPr>
        <w:t>Statistics</w:t>
      </w:r>
    </w:p>
    <w:p w:rsidR="006B74A4" w:rsidRPr="001A2339" w:rsidRDefault="006B74A4" w:rsidP="006B74A4">
      <w:pPr>
        <w:numPr>
          <w:ilvl w:val="0"/>
          <w:numId w:val="5"/>
        </w:numPr>
        <w:spacing w:before="120" w:after="120"/>
        <w:ind w:left="0"/>
        <w:contextualSpacing/>
        <w:jc w:val="left"/>
        <w:rPr>
          <w:lang w:val="en-GB"/>
        </w:rPr>
      </w:pPr>
      <w:r w:rsidRPr="001A2339">
        <w:rPr>
          <w:lang w:val="en-GB"/>
        </w:rPr>
        <w:t>Sustainable Development</w:t>
      </w:r>
    </w:p>
    <w:p w:rsidR="006B74A4" w:rsidRPr="001A2339" w:rsidRDefault="006B74A4" w:rsidP="006B74A4">
      <w:pPr>
        <w:numPr>
          <w:ilvl w:val="0"/>
          <w:numId w:val="5"/>
        </w:numPr>
        <w:spacing w:before="120" w:after="120"/>
        <w:ind w:left="0"/>
        <w:contextualSpacing/>
        <w:jc w:val="left"/>
        <w:rPr>
          <w:lang w:val="en-GB"/>
        </w:rPr>
      </w:pPr>
      <w:r w:rsidRPr="001A2339">
        <w:rPr>
          <w:lang w:val="en-GB"/>
        </w:rPr>
        <w:t>Systemic eco-innovation</w:t>
      </w:r>
    </w:p>
    <w:p w:rsidR="006B74A4" w:rsidRPr="001A2339" w:rsidRDefault="006B74A4" w:rsidP="006B74A4">
      <w:pPr>
        <w:numPr>
          <w:ilvl w:val="0"/>
          <w:numId w:val="5"/>
        </w:numPr>
        <w:spacing w:before="120" w:after="120"/>
        <w:ind w:left="0"/>
        <w:contextualSpacing/>
        <w:jc w:val="left"/>
        <w:rPr>
          <w:lang w:val="en-GB"/>
        </w:rPr>
      </w:pPr>
      <w:r w:rsidRPr="001A2339">
        <w:rPr>
          <w:lang w:val="en-GB"/>
        </w:rPr>
        <w:t>Tax</w:t>
      </w:r>
    </w:p>
    <w:p w:rsidR="006B74A4" w:rsidRPr="001A2339" w:rsidRDefault="006B74A4" w:rsidP="006B74A4">
      <w:pPr>
        <w:numPr>
          <w:ilvl w:val="0"/>
          <w:numId w:val="5"/>
        </w:numPr>
        <w:spacing w:before="120" w:after="120"/>
        <w:ind w:left="0"/>
        <w:contextualSpacing/>
        <w:jc w:val="left"/>
        <w:rPr>
          <w:lang w:val="en-GB"/>
        </w:rPr>
      </w:pPr>
      <w:r w:rsidRPr="001A2339">
        <w:rPr>
          <w:lang w:val="en-GB"/>
        </w:rPr>
        <w:t>Trade</w:t>
      </w:r>
    </w:p>
    <w:p w:rsidR="006B74A4" w:rsidRPr="001A2339" w:rsidRDefault="006B74A4" w:rsidP="006B74A4">
      <w:pPr>
        <w:numPr>
          <w:ilvl w:val="0"/>
          <w:numId w:val="5"/>
        </w:numPr>
        <w:spacing w:before="120" w:after="120"/>
        <w:ind w:left="0"/>
        <w:contextualSpacing/>
        <w:jc w:val="left"/>
        <w:rPr>
          <w:lang w:val="en-GB"/>
        </w:rPr>
      </w:pPr>
      <w:r w:rsidRPr="001A2339">
        <w:rPr>
          <w:lang w:val="en-GB"/>
        </w:rPr>
        <w:t>Training</w:t>
      </w:r>
    </w:p>
    <w:p w:rsidR="006B74A4" w:rsidRPr="001A2339" w:rsidRDefault="006B74A4" w:rsidP="006B74A4">
      <w:pPr>
        <w:numPr>
          <w:ilvl w:val="0"/>
          <w:numId w:val="5"/>
        </w:numPr>
        <w:spacing w:before="120" w:after="120"/>
        <w:ind w:left="0"/>
        <w:contextualSpacing/>
        <w:jc w:val="left"/>
        <w:rPr>
          <w:lang w:val="en-GB"/>
        </w:rPr>
      </w:pPr>
      <w:r w:rsidRPr="001A2339">
        <w:rPr>
          <w:lang w:val="en-GB"/>
        </w:rPr>
        <w:t>Transport</w:t>
      </w:r>
    </w:p>
    <w:p w:rsidR="006B74A4" w:rsidRPr="001A2339" w:rsidRDefault="006B74A4" w:rsidP="006B74A4">
      <w:pPr>
        <w:numPr>
          <w:ilvl w:val="0"/>
          <w:numId w:val="5"/>
        </w:numPr>
        <w:spacing w:before="120" w:after="120"/>
        <w:ind w:left="0"/>
        <w:contextualSpacing/>
        <w:jc w:val="left"/>
        <w:rPr>
          <w:lang w:val="en-GB"/>
        </w:rPr>
      </w:pPr>
      <w:r w:rsidRPr="001A2339">
        <w:rPr>
          <w:lang w:val="en-GB"/>
        </w:rPr>
        <w:t>Urban development</w:t>
      </w:r>
    </w:p>
    <w:p w:rsidR="006B74A4" w:rsidRPr="001A2339" w:rsidRDefault="006B74A4" w:rsidP="006B74A4">
      <w:pPr>
        <w:numPr>
          <w:ilvl w:val="0"/>
          <w:numId w:val="5"/>
        </w:numPr>
        <w:spacing w:before="120" w:after="120"/>
        <w:ind w:left="0"/>
        <w:contextualSpacing/>
        <w:jc w:val="left"/>
        <w:rPr>
          <w:lang w:val="en-GB"/>
        </w:rPr>
      </w:pPr>
      <w:r w:rsidRPr="001A2339">
        <w:rPr>
          <w:lang w:val="en-GB"/>
        </w:rPr>
        <w:t>Water</w:t>
      </w:r>
    </w:p>
    <w:p w:rsidR="006B74A4" w:rsidRPr="001A2339" w:rsidRDefault="006B74A4" w:rsidP="006B74A4">
      <w:pPr>
        <w:numPr>
          <w:ilvl w:val="0"/>
          <w:numId w:val="5"/>
        </w:numPr>
        <w:spacing w:before="120" w:after="120"/>
        <w:ind w:left="0"/>
        <w:contextualSpacing/>
        <w:jc w:val="left"/>
        <w:rPr>
          <w:lang w:val="en-GB"/>
        </w:rPr>
      </w:pPr>
      <w:r w:rsidRPr="001A2339">
        <w:rPr>
          <w:lang w:val="en-GB"/>
        </w:rPr>
        <w:t>Youth</w:t>
      </w:r>
    </w:p>
    <w:p w:rsidR="006B74A4" w:rsidRPr="001A2339" w:rsidRDefault="006B74A4" w:rsidP="006B74A4">
      <w:pPr>
        <w:numPr>
          <w:ilvl w:val="0"/>
          <w:numId w:val="5"/>
        </w:numPr>
        <w:spacing w:before="120" w:after="120"/>
        <w:ind w:left="0"/>
        <w:contextualSpacing/>
        <w:jc w:val="left"/>
        <w:rPr>
          <w:lang w:val="en-GB"/>
        </w:rPr>
      </w:pPr>
      <w:r w:rsidRPr="001A2339">
        <w:rPr>
          <w:lang w:val="en-GB"/>
        </w:rPr>
        <w:t>Other</w:t>
      </w:r>
    </w:p>
    <w:p w:rsidR="006B74A4" w:rsidRPr="001A2339" w:rsidRDefault="006B74A4" w:rsidP="006B74A4">
      <w:pPr>
        <w:spacing w:before="120" w:after="120"/>
        <w:rPr>
          <w:u w:val="single"/>
          <w:lang w:val="en-GB"/>
        </w:rPr>
      </w:pPr>
    </w:p>
    <w:p w:rsidR="006B74A4" w:rsidRPr="001A2339" w:rsidRDefault="006B74A4" w:rsidP="006B74A4">
      <w:pPr>
        <w:spacing w:before="120" w:after="120"/>
        <w:rPr>
          <w:u w:val="single"/>
          <w:lang w:val="en-GB"/>
        </w:rPr>
      </w:pPr>
      <w:r w:rsidRPr="001A2339">
        <w:rPr>
          <w:lang w:val="en-GB"/>
        </w:rPr>
        <w:br w:type="page"/>
      </w:r>
    </w:p>
    <w:p w:rsidR="006B74A4" w:rsidRPr="001A2339" w:rsidRDefault="006B74A4" w:rsidP="006B74A4">
      <w:pPr>
        <w:spacing w:before="120" w:after="120"/>
        <w:rPr>
          <w:u w:val="single"/>
          <w:lang w:val="en-GB"/>
        </w:rPr>
      </w:pPr>
      <w:r w:rsidRPr="001A2339">
        <w:rPr>
          <w:u w:val="single"/>
          <w:lang w:val="en-GB"/>
        </w:rPr>
        <w:lastRenderedPageBreak/>
        <w:t xml:space="preserve">For organisations applying to be appointed as members </w:t>
      </w:r>
    </w:p>
    <w:p w:rsidR="006B74A4" w:rsidRPr="001A2339" w:rsidRDefault="006B74A4" w:rsidP="006B74A4">
      <w:pPr>
        <w:spacing w:before="120" w:after="120"/>
        <w:rPr>
          <w:lang w:val="en-GB"/>
        </w:rPr>
      </w:pPr>
      <w:r w:rsidRPr="001A2339">
        <w:rPr>
          <w:lang w:val="en-GB"/>
        </w:rPr>
        <w:t>Name of the organisation: ………………….</w:t>
      </w:r>
    </w:p>
    <w:p w:rsidR="006B74A4" w:rsidRPr="001A2339" w:rsidRDefault="006B74A4" w:rsidP="006B74A4">
      <w:pPr>
        <w:spacing w:before="120" w:after="120"/>
        <w:rPr>
          <w:lang w:val="en-GB"/>
        </w:rPr>
      </w:pPr>
      <w:r w:rsidRPr="001A2339">
        <w:rPr>
          <w:lang w:val="en-GB"/>
        </w:rPr>
        <w:t>Surname of the representative proposed: ………………….</w:t>
      </w:r>
    </w:p>
    <w:p w:rsidR="006B74A4" w:rsidRPr="001A2339" w:rsidRDefault="006B74A4" w:rsidP="006B74A4">
      <w:pPr>
        <w:spacing w:before="120" w:after="120"/>
        <w:rPr>
          <w:lang w:val="en-GB"/>
        </w:rPr>
      </w:pPr>
      <w:r w:rsidRPr="001A2339">
        <w:rPr>
          <w:lang w:val="en-GB"/>
        </w:rPr>
        <w:t>First name of the representative proposed: ………………….</w:t>
      </w:r>
    </w:p>
    <w:p w:rsidR="006B74A4" w:rsidRPr="001A2339" w:rsidRDefault="006B74A4" w:rsidP="006B74A4">
      <w:pPr>
        <w:spacing w:before="120" w:after="120"/>
        <w:rPr>
          <w:lang w:val="en-GB"/>
        </w:rPr>
      </w:pPr>
      <w:r w:rsidRPr="001A2339">
        <w:rPr>
          <w:lang w:val="en-GB"/>
        </w:rPr>
        <w:t>Surname of the person applying on behalf of the organisation: ………………….</w:t>
      </w:r>
    </w:p>
    <w:p w:rsidR="006B74A4" w:rsidRPr="001A2339" w:rsidRDefault="006B74A4" w:rsidP="006B74A4">
      <w:pPr>
        <w:spacing w:before="120" w:after="120"/>
        <w:rPr>
          <w:lang w:val="en-GB"/>
        </w:rPr>
      </w:pPr>
      <w:r w:rsidRPr="001A2339">
        <w:rPr>
          <w:lang w:val="en-GB"/>
        </w:rPr>
        <w:t>First name of the person applying on behalf of the organisation: ………………….</w:t>
      </w:r>
    </w:p>
    <w:p w:rsidR="006B74A4" w:rsidRPr="001A2339" w:rsidRDefault="006B74A4" w:rsidP="006B74A4">
      <w:pPr>
        <w:spacing w:before="120" w:after="120"/>
        <w:rPr>
          <w:lang w:val="en-GB"/>
        </w:rPr>
      </w:pPr>
      <w:r w:rsidRPr="001A2339">
        <w:rPr>
          <w:lang w:val="en-GB"/>
        </w:rPr>
        <w:t>Date: ………………….</w:t>
      </w:r>
    </w:p>
    <w:p w:rsidR="006B74A4" w:rsidRPr="001A2339" w:rsidRDefault="006B74A4" w:rsidP="006B74A4">
      <w:pPr>
        <w:spacing w:before="120" w:after="120"/>
        <w:rPr>
          <w:lang w:val="en-GB"/>
        </w:rPr>
      </w:pPr>
      <w:r w:rsidRPr="001A2339">
        <w:rPr>
          <w:lang w:val="en-GB"/>
        </w:rPr>
        <w:t>Signature …………………..</w:t>
      </w:r>
    </w:p>
    <w:p w:rsidR="006B74A4" w:rsidRPr="001A2339" w:rsidRDefault="006B74A4" w:rsidP="006B74A4">
      <w:pPr>
        <w:spacing w:before="120" w:after="120"/>
        <w:jc w:val="center"/>
        <w:rPr>
          <w:sz w:val="28"/>
          <w:szCs w:val="28"/>
          <w:lang w:val="en-GB"/>
        </w:rPr>
      </w:pPr>
      <w:r w:rsidRPr="001A2339">
        <w:rPr>
          <w:lang w:val="en-GB"/>
        </w:rPr>
        <w:br w:type="page"/>
      </w:r>
      <w:r w:rsidRPr="001A2339">
        <w:rPr>
          <w:b/>
          <w:sz w:val="28"/>
          <w:szCs w:val="28"/>
          <w:lang w:val="en-GB"/>
        </w:rPr>
        <w:lastRenderedPageBreak/>
        <w:t>Annex II: Selection criteria form</w:t>
      </w:r>
      <w:r w:rsidRPr="001A2339">
        <w:rPr>
          <w:b/>
          <w:sz w:val="28"/>
          <w:szCs w:val="28"/>
          <w:vertAlign w:val="superscript"/>
          <w:lang w:val="en-GB"/>
        </w:rPr>
        <w:footnoteReference w:id="2"/>
      </w:r>
    </w:p>
    <w:p w:rsidR="006B74A4" w:rsidRPr="001A2339" w:rsidRDefault="006B74A4" w:rsidP="006B74A4">
      <w:pPr>
        <w:tabs>
          <w:tab w:val="right" w:leader="dot" w:pos="9071"/>
        </w:tabs>
        <w:spacing w:before="120" w:after="120"/>
        <w:ind w:hanging="850"/>
        <w:rPr>
          <w:lang w:val="en-GB"/>
        </w:rPr>
      </w:pPr>
      <w:r w:rsidRPr="001A2339">
        <w:rPr>
          <w:lang w:val="en-GB"/>
        </w:rPr>
        <w:t xml:space="preserve">Applicants </w:t>
      </w:r>
      <w:proofErr w:type="gramStart"/>
      <w:r w:rsidRPr="001A2339">
        <w:rPr>
          <w:lang w:val="en-GB"/>
        </w:rPr>
        <w:t>are requested</w:t>
      </w:r>
      <w:proofErr w:type="gramEnd"/>
      <w:r w:rsidRPr="001A2339">
        <w:rPr>
          <w:lang w:val="en-GB"/>
        </w:rPr>
        <w:t xml:space="preserve"> to describe how they fulfil </w:t>
      </w:r>
      <w:r w:rsidRPr="001A2339">
        <w:rPr>
          <w:color w:val="000000"/>
          <w:lang w:val="en-GB"/>
        </w:rPr>
        <w:t>the selection criteria listed in this call.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3"/>
        <w:gridCol w:w="4371"/>
      </w:tblGrid>
      <w:tr w:rsidR="006B74A4" w:rsidRPr="001A2339" w:rsidTr="00216379">
        <w:tc>
          <w:tcPr>
            <w:tcW w:w="4463" w:type="dxa"/>
            <w:shd w:val="clear" w:color="000000" w:fill="auto"/>
          </w:tcPr>
          <w:p w:rsidR="006B74A4" w:rsidRPr="001A2339" w:rsidRDefault="006B74A4" w:rsidP="00216379">
            <w:pPr>
              <w:pStyle w:val="ListDash"/>
              <w:numPr>
                <w:ilvl w:val="0"/>
                <w:numId w:val="0"/>
              </w:numPr>
              <w:spacing w:after="240"/>
              <w:rPr>
                <w:lang w:val="en-GB"/>
              </w:rPr>
            </w:pPr>
            <w:r w:rsidRPr="001A2339">
              <w:rPr>
                <w:lang w:val="en-GB"/>
              </w:rPr>
              <w:t xml:space="preserve">Proven direct experience in or knowledge of SME issuance, SME investment, or specialised intermediation services. Particular attention </w:t>
            </w:r>
            <w:proofErr w:type="gramStart"/>
            <w:r w:rsidRPr="001A2339">
              <w:rPr>
                <w:lang w:val="en-GB"/>
              </w:rPr>
              <w:t>would be given</w:t>
            </w:r>
            <w:proofErr w:type="gramEnd"/>
            <w:r w:rsidRPr="001A2339">
              <w:rPr>
                <w:lang w:val="en-GB"/>
              </w:rPr>
              <w:t xml:space="preserve"> to applications from SME issuers, SME investors and financial intermediaries specialised in SME services (e.g. specialised brokers, SME listing, SME market operators, SME research providers, etc.). </w:t>
            </w:r>
          </w:p>
        </w:tc>
        <w:tc>
          <w:tcPr>
            <w:tcW w:w="4371" w:type="dxa"/>
            <w:shd w:val="clear" w:color="000000" w:fill="auto"/>
          </w:tcPr>
          <w:p w:rsidR="006B74A4" w:rsidRPr="001A2339" w:rsidRDefault="006B74A4" w:rsidP="00216379">
            <w:pPr>
              <w:tabs>
                <w:tab w:val="left" w:pos="0"/>
              </w:tabs>
              <w:spacing w:before="120" w:after="120"/>
              <w:rPr>
                <w:lang w:val="en-GB"/>
              </w:rPr>
            </w:pPr>
          </w:p>
        </w:tc>
      </w:tr>
      <w:tr w:rsidR="006B74A4" w:rsidRPr="001A2339" w:rsidTr="00216379">
        <w:trPr>
          <w:trHeight w:val="911"/>
        </w:trPr>
        <w:tc>
          <w:tcPr>
            <w:tcW w:w="4463" w:type="dxa"/>
            <w:shd w:val="clear" w:color="000000" w:fill="auto"/>
          </w:tcPr>
          <w:p w:rsidR="006B74A4" w:rsidRPr="001A2339" w:rsidRDefault="006B74A4" w:rsidP="00216379">
            <w:pPr>
              <w:spacing w:after="240"/>
              <w:rPr>
                <w:lang w:val="en-GB"/>
              </w:rPr>
            </w:pPr>
            <w:r w:rsidRPr="001A2339">
              <w:rPr>
                <w:lang w:val="en-GB"/>
              </w:rPr>
              <w:t>Technical competence, experience and hierarchical level of the proposed representatives.</w:t>
            </w:r>
          </w:p>
        </w:tc>
        <w:tc>
          <w:tcPr>
            <w:tcW w:w="4371" w:type="dxa"/>
            <w:shd w:val="clear" w:color="000000" w:fill="auto"/>
          </w:tcPr>
          <w:p w:rsidR="006B74A4" w:rsidRPr="001A2339" w:rsidRDefault="006B74A4" w:rsidP="00216379">
            <w:pPr>
              <w:tabs>
                <w:tab w:val="left" w:pos="0"/>
              </w:tabs>
              <w:spacing w:before="120" w:after="120"/>
              <w:rPr>
                <w:lang w:val="en-GB"/>
              </w:rPr>
            </w:pPr>
          </w:p>
        </w:tc>
      </w:tr>
      <w:tr w:rsidR="006B74A4" w:rsidRPr="001A2339" w:rsidTr="00216379">
        <w:tc>
          <w:tcPr>
            <w:tcW w:w="4463" w:type="dxa"/>
            <w:shd w:val="clear" w:color="000000" w:fill="auto"/>
          </w:tcPr>
          <w:p w:rsidR="006B74A4" w:rsidRPr="001A2339" w:rsidRDefault="006B74A4" w:rsidP="00216379">
            <w:pPr>
              <w:tabs>
                <w:tab w:val="left" w:pos="0"/>
              </w:tabs>
              <w:spacing w:before="120" w:after="120"/>
              <w:rPr>
                <w:highlight w:val="yellow"/>
                <w:lang w:val="en-GB"/>
              </w:rPr>
            </w:pPr>
            <w:r w:rsidRPr="001A2339">
              <w:rPr>
                <w:lang w:val="en-GB"/>
              </w:rPr>
              <w:t>Good knowledge of the English language allowing active participation in the discussions and drafting contribution to the group’s deliverables</w:t>
            </w:r>
          </w:p>
        </w:tc>
        <w:tc>
          <w:tcPr>
            <w:tcW w:w="4371" w:type="dxa"/>
            <w:shd w:val="clear" w:color="000000" w:fill="auto"/>
          </w:tcPr>
          <w:p w:rsidR="006B74A4" w:rsidRPr="001A2339" w:rsidRDefault="006B74A4" w:rsidP="00216379">
            <w:pPr>
              <w:tabs>
                <w:tab w:val="left" w:pos="0"/>
              </w:tabs>
              <w:spacing w:before="120" w:after="120"/>
              <w:rPr>
                <w:lang w:val="en-GB"/>
              </w:rPr>
            </w:pPr>
          </w:p>
        </w:tc>
      </w:tr>
      <w:tr w:rsidR="006B74A4" w:rsidRPr="001A2339" w:rsidTr="00216379">
        <w:tc>
          <w:tcPr>
            <w:tcW w:w="4463" w:type="dxa"/>
            <w:shd w:val="clear" w:color="000000" w:fill="auto"/>
          </w:tcPr>
          <w:p w:rsidR="006B74A4" w:rsidRPr="001A2339" w:rsidRDefault="006B74A4" w:rsidP="00216379">
            <w:pPr>
              <w:spacing w:after="240"/>
              <w:rPr>
                <w:lang w:val="en-GB"/>
              </w:rPr>
            </w:pPr>
            <w:r w:rsidRPr="001A2339">
              <w:rPr>
                <w:lang w:val="en-GB"/>
              </w:rPr>
              <w:t>Ability to commit sufficient time to the group’s work over the foreseen period (up to a maximum of six months, extendable by a maximum of two months)</w:t>
            </w:r>
          </w:p>
        </w:tc>
        <w:tc>
          <w:tcPr>
            <w:tcW w:w="4371" w:type="dxa"/>
            <w:shd w:val="clear" w:color="000000" w:fill="auto"/>
          </w:tcPr>
          <w:p w:rsidR="006B74A4" w:rsidRPr="001A2339" w:rsidRDefault="006B74A4" w:rsidP="00216379">
            <w:pPr>
              <w:tabs>
                <w:tab w:val="left" w:pos="0"/>
              </w:tabs>
              <w:spacing w:before="120" w:after="120"/>
              <w:rPr>
                <w:lang w:val="en-GB"/>
              </w:rPr>
            </w:pPr>
          </w:p>
        </w:tc>
      </w:tr>
      <w:tr w:rsidR="006B74A4" w:rsidRPr="001A2339" w:rsidTr="00216379">
        <w:tc>
          <w:tcPr>
            <w:tcW w:w="4463" w:type="dxa"/>
            <w:shd w:val="clear" w:color="000000" w:fill="auto"/>
          </w:tcPr>
          <w:p w:rsidR="006B74A4" w:rsidRPr="001A2339" w:rsidRDefault="006B74A4" w:rsidP="00216379">
            <w:pPr>
              <w:pStyle w:val="ListDash"/>
              <w:numPr>
                <w:ilvl w:val="0"/>
                <w:numId w:val="0"/>
              </w:numPr>
              <w:spacing w:after="240"/>
              <w:rPr>
                <w:lang w:val="en-GB"/>
              </w:rPr>
            </w:pPr>
            <w:r w:rsidRPr="001A2339">
              <w:rPr>
                <w:lang w:val="en-GB"/>
              </w:rPr>
              <w:t xml:space="preserve">Knowledge of the European financial system and/or EU financial regulatory framework </w:t>
            </w:r>
            <w:proofErr w:type="gramStart"/>
            <w:r w:rsidRPr="001A2339">
              <w:rPr>
                <w:lang w:val="en-GB"/>
              </w:rPr>
              <w:t>will be considered</w:t>
            </w:r>
            <w:proofErr w:type="gramEnd"/>
            <w:r w:rsidRPr="001A2339">
              <w:rPr>
                <w:lang w:val="en-GB"/>
              </w:rPr>
              <w:t xml:space="preserve"> positively, including regarding the functioning of public markets, SME Growth Markets in particular.</w:t>
            </w:r>
          </w:p>
        </w:tc>
        <w:tc>
          <w:tcPr>
            <w:tcW w:w="4371" w:type="dxa"/>
            <w:shd w:val="clear" w:color="000000" w:fill="auto"/>
          </w:tcPr>
          <w:p w:rsidR="006B74A4" w:rsidRPr="001A2339" w:rsidRDefault="006B74A4" w:rsidP="00216379">
            <w:pPr>
              <w:tabs>
                <w:tab w:val="left" w:pos="0"/>
              </w:tabs>
              <w:spacing w:before="120" w:after="120"/>
              <w:rPr>
                <w:lang w:val="en-GB"/>
              </w:rPr>
            </w:pPr>
          </w:p>
        </w:tc>
      </w:tr>
    </w:tbl>
    <w:p w:rsidR="006B74A4" w:rsidRPr="001A2339" w:rsidRDefault="006B74A4" w:rsidP="006B74A4">
      <w:pPr>
        <w:spacing w:before="120" w:after="120"/>
        <w:rPr>
          <w:u w:val="single"/>
          <w:lang w:val="en-GB"/>
        </w:rPr>
      </w:pPr>
    </w:p>
    <w:p w:rsidR="006B74A4" w:rsidRPr="001A2339" w:rsidRDefault="006B74A4" w:rsidP="006B74A4">
      <w:pPr>
        <w:spacing w:before="120" w:after="120"/>
        <w:rPr>
          <w:u w:val="single"/>
          <w:lang w:val="en-GB"/>
        </w:rPr>
      </w:pPr>
      <w:r w:rsidRPr="001A2339">
        <w:rPr>
          <w:u w:val="single"/>
          <w:lang w:val="en-GB"/>
        </w:rPr>
        <w:t>For organisations applying to be appointed as members</w:t>
      </w:r>
    </w:p>
    <w:p w:rsidR="006B74A4" w:rsidRPr="001A2339" w:rsidRDefault="006B74A4" w:rsidP="006B74A4">
      <w:pPr>
        <w:spacing w:before="120" w:after="120"/>
        <w:rPr>
          <w:lang w:val="en-GB"/>
        </w:rPr>
      </w:pPr>
      <w:r w:rsidRPr="001A2339">
        <w:rPr>
          <w:lang w:val="en-GB"/>
        </w:rPr>
        <w:t>Name of the organisation: ………………….</w:t>
      </w:r>
    </w:p>
    <w:p w:rsidR="006B74A4" w:rsidRPr="001A2339" w:rsidRDefault="006B74A4" w:rsidP="006B74A4">
      <w:pPr>
        <w:spacing w:before="120" w:after="120"/>
        <w:rPr>
          <w:lang w:val="en-GB"/>
        </w:rPr>
      </w:pPr>
      <w:r w:rsidRPr="001A2339">
        <w:rPr>
          <w:lang w:val="en-GB"/>
        </w:rPr>
        <w:t>Surname of the representative proposed: ………………….</w:t>
      </w:r>
    </w:p>
    <w:p w:rsidR="006B74A4" w:rsidRPr="001A2339" w:rsidRDefault="006B74A4" w:rsidP="006B74A4">
      <w:pPr>
        <w:spacing w:before="120" w:after="120"/>
        <w:rPr>
          <w:lang w:val="en-GB"/>
        </w:rPr>
      </w:pPr>
      <w:r w:rsidRPr="001A2339">
        <w:rPr>
          <w:lang w:val="en-GB"/>
        </w:rPr>
        <w:t>First name of the representative proposed: ………………….</w:t>
      </w:r>
    </w:p>
    <w:p w:rsidR="006B74A4" w:rsidRPr="001A2339" w:rsidRDefault="006B74A4" w:rsidP="006B74A4">
      <w:pPr>
        <w:spacing w:before="120" w:after="120"/>
        <w:rPr>
          <w:lang w:val="en-GB"/>
        </w:rPr>
      </w:pPr>
      <w:r w:rsidRPr="001A2339">
        <w:rPr>
          <w:lang w:val="en-GB"/>
        </w:rPr>
        <w:t>Surname of the person applying on behalf of the organisation: ………………….</w:t>
      </w:r>
    </w:p>
    <w:p w:rsidR="006B74A4" w:rsidRPr="001A2339" w:rsidRDefault="006B74A4" w:rsidP="006B74A4">
      <w:pPr>
        <w:spacing w:before="120" w:after="120"/>
        <w:rPr>
          <w:lang w:val="en-GB"/>
        </w:rPr>
      </w:pPr>
      <w:r w:rsidRPr="001A2339">
        <w:rPr>
          <w:lang w:val="en-GB"/>
        </w:rPr>
        <w:t>First name of the person applying on behalf of the organisation: ………………….</w:t>
      </w:r>
    </w:p>
    <w:p w:rsidR="006B74A4" w:rsidRPr="001A2339" w:rsidRDefault="006B74A4" w:rsidP="006B74A4">
      <w:pPr>
        <w:spacing w:before="120" w:after="120"/>
        <w:rPr>
          <w:lang w:val="en-GB"/>
        </w:rPr>
      </w:pPr>
      <w:r w:rsidRPr="001A2339">
        <w:rPr>
          <w:lang w:val="en-GB"/>
        </w:rPr>
        <w:t>Date: ………………….</w:t>
      </w:r>
    </w:p>
    <w:p w:rsidR="006B74A4" w:rsidRPr="001A2339" w:rsidRDefault="006B74A4" w:rsidP="006B74A4">
      <w:pPr>
        <w:spacing w:before="120" w:after="120"/>
        <w:rPr>
          <w:lang w:val="en-GB"/>
        </w:rPr>
      </w:pPr>
      <w:r w:rsidRPr="001A2339">
        <w:rPr>
          <w:lang w:val="en-GB"/>
        </w:rPr>
        <w:t>Signature …………………..</w:t>
      </w:r>
    </w:p>
    <w:p w:rsidR="006B74A4" w:rsidRPr="001A2339" w:rsidRDefault="006B74A4" w:rsidP="006B74A4">
      <w:pPr>
        <w:jc w:val="left"/>
        <w:rPr>
          <w:lang w:val="en-GB"/>
        </w:rPr>
      </w:pPr>
      <w:r w:rsidRPr="001A2339">
        <w:rPr>
          <w:lang w:val="en-GB"/>
        </w:rPr>
        <w:lastRenderedPageBreak/>
        <w:br w:type="page"/>
      </w:r>
    </w:p>
    <w:p w:rsidR="006B74A4" w:rsidRPr="001A2339" w:rsidRDefault="006B74A4" w:rsidP="006B74A4">
      <w:pPr>
        <w:spacing w:before="120" w:after="120"/>
        <w:jc w:val="center"/>
        <w:rPr>
          <w:b/>
          <w:sz w:val="28"/>
          <w:szCs w:val="28"/>
          <w:lang w:val="en-GB"/>
        </w:rPr>
      </w:pPr>
      <w:r w:rsidRPr="001A2339">
        <w:rPr>
          <w:b/>
          <w:sz w:val="28"/>
          <w:szCs w:val="28"/>
          <w:lang w:val="en-GB"/>
        </w:rPr>
        <w:lastRenderedPageBreak/>
        <w:t>Annex III Privacy Statement</w:t>
      </w:r>
    </w:p>
    <w:p w:rsidR="006B74A4" w:rsidRPr="001A2339" w:rsidRDefault="006B74A4" w:rsidP="006B74A4">
      <w:pPr>
        <w:spacing w:before="120" w:after="120"/>
        <w:jc w:val="center"/>
        <w:rPr>
          <w:b/>
          <w:sz w:val="28"/>
          <w:szCs w:val="28"/>
          <w:lang w:val="en-GB"/>
        </w:rPr>
      </w:pPr>
    </w:p>
    <w:p w:rsidR="006B74A4" w:rsidRPr="001A2339" w:rsidRDefault="006B74A4" w:rsidP="006B74A4">
      <w:pPr>
        <w:spacing w:after="480"/>
        <w:jc w:val="center"/>
        <w:rPr>
          <w:rFonts w:ascii="Calibri" w:eastAsia="Calibri" w:hAnsi="Calibri"/>
          <w:b/>
          <w:sz w:val="22"/>
          <w:szCs w:val="22"/>
          <w:u w:val="single"/>
          <w:lang w:val="en-GB"/>
        </w:rPr>
      </w:pPr>
      <w:r w:rsidRPr="001A2339">
        <w:rPr>
          <w:rFonts w:ascii="Calibri" w:eastAsia="Calibri" w:hAnsi="Calibri"/>
          <w:b/>
          <w:sz w:val="22"/>
          <w:szCs w:val="22"/>
          <w:u w:val="single"/>
          <w:lang w:val="en-GB"/>
        </w:rPr>
        <w:t>PROTECTION OF YOUR PERSONAL DATA</w:t>
      </w:r>
    </w:p>
    <w:p w:rsidR="006B74A4" w:rsidRPr="001A2339" w:rsidRDefault="006B74A4" w:rsidP="006B74A4">
      <w:pPr>
        <w:spacing w:after="240"/>
        <w:jc w:val="center"/>
        <w:rPr>
          <w:rFonts w:ascii="Calibri" w:eastAsia="Calibri" w:hAnsi="Calibri"/>
          <w:b/>
          <w:sz w:val="22"/>
          <w:szCs w:val="22"/>
          <w:lang w:val="en-GB"/>
        </w:rPr>
      </w:pPr>
      <w:r w:rsidRPr="001A2339">
        <w:rPr>
          <w:rFonts w:ascii="Calibri" w:eastAsia="Calibri" w:hAnsi="Calibri"/>
          <w:b/>
          <w:sz w:val="22"/>
          <w:szCs w:val="22"/>
          <w:lang w:val="en-GB"/>
        </w:rPr>
        <w:t xml:space="preserve">This is a generic privacy statement, which </w:t>
      </w:r>
      <w:proofErr w:type="gramStart"/>
      <w:r w:rsidRPr="001A2339">
        <w:rPr>
          <w:rFonts w:ascii="Calibri" w:eastAsia="Calibri" w:hAnsi="Calibri"/>
          <w:b/>
          <w:sz w:val="22"/>
          <w:szCs w:val="22"/>
          <w:lang w:val="en-GB"/>
        </w:rPr>
        <w:t>can be used</w:t>
      </w:r>
      <w:proofErr w:type="gramEnd"/>
      <w:r w:rsidRPr="001A2339">
        <w:rPr>
          <w:rFonts w:ascii="Calibri" w:eastAsia="Calibri" w:hAnsi="Calibri"/>
          <w:b/>
          <w:sz w:val="22"/>
          <w:szCs w:val="22"/>
          <w:lang w:val="en-GB"/>
        </w:rPr>
        <w:t xml:space="preserve"> for any Commission expert group. For details on the personal data collected and further processed </w:t>
      </w:r>
      <w:proofErr w:type="gramStart"/>
      <w:r w:rsidRPr="001A2339">
        <w:rPr>
          <w:rFonts w:ascii="Calibri" w:eastAsia="Calibri" w:hAnsi="Calibri"/>
          <w:b/>
          <w:sz w:val="22"/>
          <w:szCs w:val="22"/>
          <w:lang w:val="en-GB"/>
        </w:rPr>
        <w:t>for the purpose of</w:t>
      </w:r>
      <w:proofErr w:type="gramEnd"/>
      <w:r w:rsidRPr="001A2339">
        <w:rPr>
          <w:rFonts w:ascii="Calibri" w:eastAsia="Calibri" w:hAnsi="Calibri"/>
          <w:b/>
          <w:sz w:val="22"/>
          <w:szCs w:val="22"/>
          <w:lang w:val="en-GB"/>
        </w:rPr>
        <w:t xml:space="preserve"> managing a specific expert group, the data subjects should consult the specific privacy statement for that expert group.</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b/>
          <w:sz w:val="22"/>
          <w:szCs w:val="22"/>
          <w:lang w:val="en-GB"/>
        </w:rPr>
        <w:t xml:space="preserve">Processing operation: </w:t>
      </w:r>
      <w:r w:rsidRPr="001A2339">
        <w:rPr>
          <w:rFonts w:ascii="Calibri" w:eastAsia="Calibri" w:hAnsi="Calibri"/>
          <w:i/>
          <w:sz w:val="22"/>
          <w:szCs w:val="22"/>
          <w:lang w:val="en-GB"/>
        </w:rPr>
        <w:t>Selection of members of Commission expert groups and other similar entities</w:t>
      </w:r>
      <w:r w:rsidRPr="001A2339">
        <w:rPr>
          <w:rStyle w:val="FootnoteReference"/>
          <w:rFonts w:ascii="Calibri" w:eastAsia="Calibri" w:hAnsi="Calibri"/>
          <w:i/>
          <w:sz w:val="22"/>
          <w:szCs w:val="22"/>
          <w:lang w:val="en-GB"/>
        </w:rPr>
        <w:footnoteReference w:id="3"/>
      </w:r>
      <w:r w:rsidRPr="001A2339">
        <w:rPr>
          <w:rFonts w:ascii="Calibri" w:eastAsia="Calibri" w:hAnsi="Calibri"/>
          <w:i/>
          <w:sz w:val="22"/>
          <w:szCs w:val="22"/>
          <w:lang w:val="en-GB"/>
        </w:rPr>
        <w:t xml:space="preserve"> and publication of personal data on the Register of Commission expert groups and other similar entities ("the Register of expert groups").</w:t>
      </w:r>
    </w:p>
    <w:p w:rsidR="006B74A4" w:rsidRPr="001A2339" w:rsidRDefault="006B74A4" w:rsidP="006B74A4">
      <w:pPr>
        <w:spacing w:after="240"/>
        <w:rPr>
          <w:rFonts w:ascii="Calibri" w:eastAsia="Calibri" w:hAnsi="Calibri"/>
          <w:b/>
          <w:i/>
          <w:sz w:val="22"/>
          <w:szCs w:val="22"/>
          <w:lang w:val="en-GB"/>
        </w:rPr>
      </w:pPr>
      <w:r w:rsidRPr="001A2339">
        <w:rPr>
          <w:rFonts w:ascii="Calibri" w:eastAsia="Calibri" w:hAnsi="Calibri"/>
          <w:b/>
          <w:sz w:val="22"/>
          <w:szCs w:val="22"/>
          <w:lang w:val="en-GB"/>
        </w:rPr>
        <w:t>Data Controller:</w:t>
      </w:r>
    </w:p>
    <w:p w:rsidR="006B74A4" w:rsidRPr="001A2339" w:rsidRDefault="006B74A4" w:rsidP="006B74A4">
      <w:pPr>
        <w:numPr>
          <w:ilvl w:val="0"/>
          <w:numId w:val="11"/>
        </w:numPr>
        <w:spacing w:after="240"/>
        <w:rPr>
          <w:rFonts w:ascii="Calibri" w:eastAsia="Calibri" w:hAnsi="Calibri"/>
          <w:i/>
          <w:sz w:val="22"/>
          <w:szCs w:val="22"/>
          <w:lang w:val="en-GB"/>
        </w:rPr>
      </w:pPr>
      <w:r w:rsidRPr="001A2339">
        <w:rPr>
          <w:rFonts w:ascii="Calibri" w:eastAsia="Calibri" w:hAnsi="Calibri"/>
          <w:i/>
          <w:sz w:val="22"/>
          <w:szCs w:val="22"/>
          <w:lang w:val="en-GB"/>
        </w:rPr>
        <w:t xml:space="preserve">Secretariat-General, Unit G4 (for the processing operation </w:t>
      </w:r>
      <w:r w:rsidRPr="001A2339">
        <w:rPr>
          <w:rFonts w:ascii="Calibri" w:eastAsia="Calibri" w:hAnsi="Calibri"/>
          <w:sz w:val="22"/>
          <w:szCs w:val="22"/>
          <w:lang w:val="en-GB"/>
        </w:rPr>
        <w:t>“Providing a public register of Commission expert groups and other similar entities”, DPR-EC-00656)</w:t>
      </w:r>
      <w:r w:rsidRPr="001A2339">
        <w:rPr>
          <w:rFonts w:ascii="Calibri" w:eastAsia="Calibri" w:hAnsi="Calibri"/>
          <w:i/>
          <w:sz w:val="22"/>
          <w:szCs w:val="22"/>
          <w:lang w:val="en-GB"/>
        </w:rPr>
        <w:t xml:space="preserve">, and </w:t>
      </w:r>
    </w:p>
    <w:p w:rsidR="006B74A4" w:rsidRPr="001A2339" w:rsidRDefault="006B74A4" w:rsidP="006B74A4">
      <w:pPr>
        <w:numPr>
          <w:ilvl w:val="0"/>
          <w:numId w:val="11"/>
        </w:numPr>
        <w:spacing w:after="240"/>
        <w:rPr>
          <w:rFonts w:ascii="Calibri" w:eastAsia="Calibri" w:hAnsi="Calibri"/>
          <w:i/>
          <w:sz w:val="22"/>
          <w:szCs w:val="22"/>
          <w:lang w:val="en-GB"/>
        </w:rPr>
      </w:pPr>
      <w:r w:rsidRPr="001A2339">
        <w:rPr>
          <w:rFonts w:ascii="Calibri" w:eastAsia="Calibri" w:hAnsi="Calibri"/>
          <w:i/>
          <w:sz w:val="22"/>
          <w:szCs w:val="22"/>
          <w:lang w:val="en-GB"/>
        </w:rPr>
        <w:t xml:space="preserve">DG FISMA (for the processing operation </w:t>
      </w:r>
      <w:r w:rsidRPr="001A2339">
        <w:rPr>
          <w:rFonts w:ascii="Calibri" w:eastAsia="Calibri" w:hAnsi="Calibri"/>
          <w:sz w:val="22"/>
          <w:szCs w:val="22"/>
          <w:lang w:val="en-GB"/>
        </w:rPr>
        <w:t xml:space="preserve">“Selection of members of Commission expert groups </w:t>
      </w:r>
      <w:r w:rsidRPr="001A2339">
        <w:rPr>
          <w:rFonts w:ascii="Calibri" w:eastAsia="Calibri" w:hAnsi="Calibri"/>
          <w:i/>
          <w:sz w:val="22"/>
          <w:szCs w:val="22"/>
          <w:lang w:val="en-GB"/>
        </w:rPr>
        <w:t>and other similar entities</w:t>
      </w:r>
      <w:r w:rsidRPr="001A2339">
        <w:rPr>
          <w:rFonts w:ascii="Calibri" w:eastAsia="Calibri" w:hAnsi="Calibri"/>
          <w:sz w:val="22"/>
          <w:szCs w:val="22"/>
          <w:lang w:val="en-GB"/>
        </w:rPr>
        <w:t>”</w:t>
      </w:r>
      <w:r w:rsidRPr="001A2339">
        <w:rPr>
          <w:rStyle w:val="FootnoteReference"/>
          <w:rFonts w:ascii="Calibri" w:eastAsia="Calibri" w:hAnsi="Calibri"/>
          <w:sz w:val="22"/>
          <w:szCs w:val="22"/>
          <w:lang w:val="en-GB"/>
        </w:rPr>
        <w:footnoteReference w:id="4"/>
      </w:r>
      <w:r w:rsidRPr="001A2339">
        <w:rPr>
          <w:rFonts w:ascii="Calibri" w:eastAsia="Calibri" w:hAnsi="Calibri"/>
          <w:sz w:val="22"/>
          <w:szCs w:val="22"/>
          <w:lang w:val="en-GB"/>
        </w:rPr>
        <w:t>, DPR-EC-01066</w:t>
      </w:r>
      <w:r w:rsidRPr="001A2339">
        <w:rPr>
          <w:rFonts w:ascii="Calibri" w:eastAsia="Calibri" w:hAnsi="Calibri"/>
          <w:i/>
          <w:sz w:val="22"/>
          <w:szCs w:val="22"/>
          <w:lang w:val="en-GB"/>
        </w:rPr>
        <w:t>).</w:t>
      </w:r>
    </w:p>
    <w:p w:rsidR="006B74A4" w:rsidRPr="001A2339" w:rsidRDefault="006B74A4" w:rsidP="006B74A4">
      <w:pPr>
        <w:spacing w:after="240"/>
        <w:rPr>
          <w:rFonts w:ascii="Calibri" w:eastAsia="Calibri" w:hAnsi="Calibri"/>
          <w:b/>
          <w:i/>
          <w:color w:val="FF0000"/>
          <w:sz w:val="22"/>
          <w:szCs w:val="22"/>
          <w:lang w:val="en-GB"/>
        </w:rPr>
      </w:pPr>
    </w:p>
    <w:p w:rsidR="006B74A4" w:rsidRPr="001A2339" w:rsidRDefault="006B74A4" w:rsidP="006B74A4">
      <w:pPr>
        <w:spacing w:after="240"/>
        <w:rPr>
          <w:rFonts w:ascii="Calibri" w:eastAsia="Calibri" w:hAnsi="Calibri"/>
          <w:b/>
          <w:sz w:val="22"/>
          <w:szCs w:val="22"/>
          <w:lang w:val="en-GB"/>
        </w:rPr>
      </w:pPr>
      <w:r w:rsidRPr="001A2339">
        <w:rPr>
          <w:rFonts w:ascii="Calibri" w:eastAsia="Calibri" w:hAnsi="Calibri"/>
          <w:b/>
          <w:sz w:val="22"/>
          <w:szCs w:val="22"/>
          <w:lang w:val="en-GB"/>
        </w:rPr>
        <w:t>Table of Contents</w:t>
      </w:r>
    </w:p>
    <w:p w:rsidR="006B74A4" w:rsidRPr="001A2339" w:rsidRDefault="006B74A4" w:rsidP="006B74A4">
      <w:pPr>
        <w:numPr>
          <w:ilvl w:val="0"/>
          <w:numId w:val="7"/>
        </w:numPr>
        <w:spacing w:after="240"/>
        <w:ind w:left="357" w:hanging="357"/>
        <w:rPr>
          <w:rFonts w:ascii="Calibri" w:eastAsia="Calibri" w:hAnsi="Calibri"/>
          <w:b/>
          <w:sz w:val="22"/>
          <w:szCs w:val="22"/>
          <w:lang w:val="en-GB"/>
        </w:rPr>
      </w:pPr>
      <w:r w:rsidRPr="001A2339">
        <w:rPr>
          <w:rFonts w:ascii="Calibri" w:eastAsia="Calibri" w:hAnsi="Calibri"/>
          <w:b/>
          <w:sz w:val="22"/>
          <w:szCs w:val="22"/>
          <w:lang w:val="en-GB"/>
        </w:rPr>
        <w:t>Introduction</w:t>
      </w:r>
    </w:p>
    <w:p w:rsidR="006B74A4" w:rsidRPr="001A2339" w:rsidRDefault="006B74A4" w:rsidP="006B74A4">
      <w:pPr>
        <w:numPr>
          <w:ilvl w:val="0"/>
          <w:numId w:val="7"/>
        </w:numPr>
        <w:spacing w:after="240"/>
        <w:ind w:left="357" w:hanging="357"/>
        <w:rPr>
          <w:rFonts w:ascii="Calibri" w:eastAsia="Calibri" w:hAnsi="Calibri"/>
          <w:b/>
          <w:sz w:val="22"/>
          <w:szCs w:val="22"/>
          <w:lang w:val="en-GB"/>
        </w:rPr>
      </w:pPr>
      <w:r w:rsidRPr="001A2339">
        <w:rPr>
          <w:rFonts w:ascii="Calibri" w:eastAsia="Calibri" w:hAnsi="Calibri"/>
          <w:b/>
          <w:sz w:val="22"/>
          <w:szCs w:val="22"/>
          <w:lang w:val="en-GB"/>
        </w:rPr>
        <w:t>Why and how do we process your personal data?</w:t>
      </w:r>
    </w:p>
    <w:p w:rsidR="006B74A4" w:rsidRPr="001A2339" w:rsidRDefault="006B74A4" w:rsidP="006B74A4">
      <w:pPr>
        <w:numPr>
          <w:ilvl w:val="0"/>
          <w:numId w:val="7"/>
        </w:numPr>
        <w:spacing w:after="240"/>
        <w:ind w:left="357" w:hanging="357"/>
        <w:rPr>
          <w:rFonts w:ascii="Calibri" w:eastAsia="Calibri" w:hAnsi="Calibri"/>
          <w:b/>
          <w:sz w:val="22"/>
          <w:szCs w:val="22"/>
          <w:lang w:val="en-GB"/>
        </w:rPr>
      </w:pPr>
      <w:r w:rsidRPr="001A2339">
        <w:rPr>
          <w:rFonts w:ascii="Calibri" w:eastAsia="Calibri" w:hAnsi="Calibri"/>
          <w:b/>
          <w:sz w:val="22"/>
          <w:szCs w:val="22"/>
          <w:lang w:val="en-GB"/>
        </w:rPr>
        <w:t>On what legal ground(s) do we process your personal data?</w:t>
      </w:r>
    </w:p>
    <w:p w:rsidR="006B74A4" w:rsidRPr="001A2339" w:rsidRDefault="006B74A4" w:rsidP="006B74A4">
      <w:pPr>
        <w:numPr>
          <w:ilvl w:val="0"/>
          <w:numId w:val="7"/>
        </w:numPr>
        <w:spacing w:after="240"/>
        <w:ind w:left="357" w:hanging="357"/>
        <w:rPr>
          <w:rFonts w:ascii="Calibri" w:eastAsia="Calibri" w:hAnsi="Calibri"/>
          <w:b/>
          <w:sz w:val="22"/>
          <w:szCs w:val="22"/>
          <w:lang w:val="en-GB"/>
        </w:rPr>
      </w:pPr>
      <w:r w:rsidRPr="001A2339">
        <w:rPr>
          <w:rFonts w:ascii="Calibri" w:eastAsia="Calibri" w:hAnsi="Calibri"/>
          <w:b/>
          <w:sz w:val="22"/>
          <w:szCs w:val="22"/>
          <w:lang w:val="en-GB"/>
        </w:rPr>
        <w:t>Which personal data do we collect and further process?</w:t>
      </w:r>
    </w:p>
    <w:p w:rsidR="006B74A4" w:rsidRPr="001A2339" w:rsidRDefault="006B74A4" w:rsidP="006B74A4">
      <w:pPr>
        <w:numPr>
          <w:ilvl w:val="0"/>
          <w:numId w:val="7"/>
        </w:numPr>
        <w:spacing w:after="240"/>
        <w:ind w:left="357" w:hanging="357"/>
        <w:rPr>
          <w:rFonts w:ascii="Calibri" w:eastAsia="Calibri" w:hAnsi="Calibri"/>
          <w:b/>
          <w:sz w:val="22"/>
          <w:szCs w:val="22"/>
          <w:lang w:val="en-GB"/>
        </w:rPr>
      </w:pPr>
      <w:r w:rsidRPr="001A2339">
        <w:rPr>
          <w:rFonts w:ascii="Calibri" w:eastAsia="Calibri" w:hAnsi="Calibri"/>
          <w:b/>
          <w:sz w:val="22"/>
          <w:szCs w:val="22"/>
          <w:lang w:val="en-GB"/>
        </w:rPr>
        <w:t>How long do we keep your personal data?</w:t>
      </w:r>
    </w:p>
    <w:p w:rsidR="006B74A4" w:rsidRPr="001A2339" w:rsidRDefault="006B74A4" w:rsidP="006B74A4">
      <w:pPr>
        <w:numPr>
          <w:ilvl w:val="0"/>
          <w:numId w:val="7"/>
        </w:numPr>
        <w:spacing w:after="240"/>
        <w:rPr>
          <w:rFonts w:ascii="Calibri" w:eastAsia="Calibri" w:hAnsi="Calibri"/>
          <w:b/>
          <w:sz w:val="22"/>
          <w:szCs w:val="22"/>
          <w:lang w:val="en-GB"/>
        </w:rPr>
      </w:pPr>
      <w:r w:rsidRPr="001A2339">
        <w:rPr>
          <w:rFonts w:ascii="Calibri" w:eastAsia="Calibri" w:hAnsi="Calibri"/>
          <w:b/>
          <w:sz w:val="22"/>
          <w:szCs w:val="22"/>
          <w:lang w:val="en-GB"/>
        </w:rPr>
        <w:t>How do we protect and safeguard your personal data?</w:t>
      </w:r>
    </w:p>
    <w:p w:rsidR="006B74A4" w:rsidRPr="001A2339" w:rsidRDefault="006B74A4" w:rsidP="006B74A4">
      <w:pPr>
        <w:numPr>
          <w:ilvl w:val="0"/>
          <w:numId w:val="7"/>
        </w:numPr>
        <w:spacing w:after="240"/>
        <w:rPr>
          <w:rFonts w:ascii="Calibri" w:eastAsia="Calibri" w:hAnsi="Calibri"/>
          <w:b/>
          <w:sz w:val="22"/>
          <w:szCs w:val="22"/>
          <w:lang w:val="en-GB"/>
        </w:rPr>
      </w:pPr>
      <w:r w:rsidRPr="001A2339">
        <w:rPr>
          <w:rFonts w:ascii="Calibri" w:eastAsia="Calibri" w:hAnsi="Calibri"/>
          <w:b/>
          <w:sz w:val="22"/>
          <w:szCs w:val="22"/>
          <w:lang w:val="en-GB"/>
        </w:rPr>
        <w:t>Who has access to your personal data</w:t>
      </w:r>
      <w:r w:rsidRPr="001A2339">
        <w:rPr>
          <w:rFonts w:ascii="Calibri" w:eastAsia="Calibri" w:hAnsi="Calibri"/>
          <w:sz w:val="22"/>
          <w:szCs w:val="22"/>
          <w:lang w:val="en-GB"/>
        </w:rPr>
        <w:t xml:space="preserve"> </w:t>
      </w:r>
      <w:r w:rsidRPr="001A2339">
        <w:rPr>
          <w:rFonts w:ascii="Calibri" w:eastAsia="Calibri" w:hAnsi="Calibri"/>
          <w:b/>
          <w:sz w:val="22"/>
          <w:szCs w:val="22"/>
          <w:lang w:val="en-GB"/>
        </w:rPr>
        <w:t>and to whom is it disclosed?</w:t>
      </w:r>
    </w:p>
    <w:p w:rsidR="006B74A4" w:rsidRPr="001A2339" w:rsidRDefault="006B74A4" w:rsidP="006B74A4">
      <w:pPr>
        <w:numPr>
          <w:ilvl w:val="0"/>
          <w:numId w:val="7"/>
        </w:numPr>
        <w:spacing w:after="240"/>
        <w:ind w:left="357" w:hanging="357"/>
        <w:rPr>
          <w:rFonts w:ascii="Calibri" w:eastAsia="Calibri" w:hAnsi="Calibri"/>
          <w:b/>
          <w:sz w:val="22"/>
          <w:szCs w:val="22"/>
          <w:lang w:val="en-GB"/>
        </w:rPr>
      </w:pPr>
      <w:r w:rsidRPr="001A2339">
        <w:rPr>
          <w:rFonts w:ascii="Calibri" w:eastAsia="Calibri" w:hAnsi="Calibri"/>
          <w:b/>
          <w:sz w:val="22"/>
          <w:szCs w:val="22"/>
          <w:lang w:val="en-GB"/>
        </w:rPr>
        <w:t xml:space="preserve">What are your rights and how can you exercise them? </w:t>
      </w:r>
    </w:p>
    <w:p w:rsidR="006B74A4" w:rsidRPr="001A2339" w:rsidRDefault="006B74A4" w:rsidP="006B74A4">
      <w:pPr>
        <w:numPr>
          <w:ilvl w:val="0"/>
          <w:numId w:val="7"/>
        </w:numPr>
        <w:spacing w:after="240"/>
        <w:ind w:left="357" w:hanging="357"/>
        <w:rPr>
          <w:rFonts w:ascii="Calibri" w:eastAsia="Calibri" w:hAnsi="Calibri"/>
          <w:b/>
          <w:sz w:val="22"/>
          <w:szCs w:val="22"/>
          <w:lang w:val="en-GB"/>
        </w:rPr>
      </w:pPr>
      <w:r w:rsidRPr="001A2339">
        <w:rPr>
          <w:rFonts w:ascii="Calibri" w:eastAsia="Calibri" w:hAnsi="Calibri"/>
          <w:b/>
          <w:sz w:val="22"/>
          <w:szCs w:val="22"/>
          <w:lang w:val="en-GB"/>
        </w:rPr>
        <w:t>Contact information</w:t>
      </w:r>
    </w:p>
    <w:p w:rsidR="006B74A4" w:rsidRPr="001A2339" w:rsidRDefault="006B74A4" w:rsidP="006B74A4">
      <w:pPr>
        <w:numPr>
          <w:ilvl w:val="0"/>
          <w:numId w:val="7"/>
        </w:numPr>
        <w:spacing w:after="240"/>
        <w:ind w:left="357" w:hanging="357"/>
        <w:rPr>
          <w:rFonts w:ascii="Calibri" w:eastAsia="Calibri" w:hAnsi="Calibri"/>
          <w:b/>
          <w:sz w:val="22"/>
          <w:szCs w:val="22"/>
          <w:lang w:val="en-GB"/>
        </w:rPr>
      </w:pPr>
      <w:r w:rsidRPr="001A2339">
        <w:rPr>
          <w:rFonts w:ascii="Calibri" w:eastAsia="Calibri" w:hAnsi="Calibri"/>
          <w:b/>
          <w:sz w:val="22"/>
          <w:szCs w:val="22"/>
          <w:lang w:val="en-GB"/>
        </w:rPr>
        <w:t xml:space="preserve">Where to find </w:t>
      </w:r>
      <w:proofErr w:type="gramStart"/>
      <w:r w:rsidRPr="001A2339">
        <w:rPr>
          <w:rFonts w:ascii="Calibri" w:eastAsia="Calibri" w:hAnsi="Calibri"/>
          <w:b/>
          <w:sz w:val="22"/>
          <w:szCs w:val="22"/>
          <w:lang w:val="en-GB"/>
        </w:rPr>
        <w:t>more detailed information</w:t>
      </w:r>
      <w:proofErr w:type="gramEnd"/>
      <w:r w:rsidRPr="001A2339">
        <w:rPr>
          <w:rFonts w:ascii="Calibri" w:eastAsia="Calibri" w:hAnsi="Calibri"/>
          <w:b/>
          <w:sz w:val="22"/>
          <w:szCs w:val="22"/>
          <w:lang w:val="en-GB"/>
        </w:rPr>
        <w:t>?</w:t>
      </w:r>
    </w:p>
    <w:p w:rsidR="006B74A4" w:rsidRPr="001A2339" w:rsidRDefault="006B74A4" w:rsidP="006B74A4">
      <w:pPr>
        <w:numPr>
          <w:ilvl w:val="0"/>
          <w:numId w:val="8"/>
        </w:numPr>
        <w:spacing w:after="200"/>
        <w:rPr>
          <w:rFonts w:ascii="Calibri" w:eastAsia="Calibri" w:hAnsi="Calibri"/>
          <w:b/>
          <w:sz w:val="22"/>
          <w:szCs w:val="22"/>
          <w:u w:val="single"/>
          <w:lang w:val="en-GB"/>
        </w:rPr>
      </w:pPr>
      <w:r w:rsidRPr="001A2339">
        <w:rPr>
          <w:rFonts w:ascii="Calibri" w:eastAsia="Calibri" w:hAnsi="Calibri"/>
          <w:b/>
          <w:sz w:val="22"/>
          <w:szCs w:val="22"/>
          <w:u w:val="single"/>
          <w:lang w:val="en-GB"/>
        </w:rPr>
        <w:t>Introduction</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lastRenderedPageBreak/>
        <w:t xml:space="preserve">The European Commission (hereafter ‘the Commission’) is committed to protect your personal data and to respect your privacy. The Commission collects and further processes personal data pursuant to </w:t>
      </w:r>
      <w:hyperlink r:id="rId10">
        <w:r w:rsidRPr="001A2339">
          <w:rPr>
            <w:rStyle w:val="Hyperlink"/>
            <w:rFonts w:ascii="Calibri" w:eastAsia="Calibri" w:hAnsi="Calibri"/>
            <w:sz w:val="22"/>
            <w:szCs w:val="22"/>
            <w:lang w:val="en-GB"/>
          </w:rPr>
          <w:t>Regulation (EU) 2018/1725</w:t>
        </w:r>
      </w:hyperlink>
      <w:r w:rsidRPr="001A2339">
        <w:rPr>
          <w:rFonts w:ascii="Calibri" w:eastAsia="Calibri" w:hAnsi="Calibri"/>
          <w:sz w:val="22"/>
          <w:szCs w:val="22"/>
          <w:lang w:val="en-GB"/>
        </w:rPr>
        <w:t xml:space="preserve"> of the European Parliament and of the Council of 23 October 2018 on the protection of natural persons with regard to the processing of personal data by the Union institutions, bodies, offices and agencies and on the free movement of such data.</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This privacy statement explains the reasons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rsidR="006B74A4" w:rsidRPr="001A2339" w:rsidRDefault="006B74A4" w:rsidP="006B74A4">
      <w:pPr>
        <w:spacing w:after="360"/>
        <w:rPr>
          <w:rFonts w:ascii="Calibri" w:eastAsia="Calibri" w:hAnsi="Calibri"/>
          <w:sz w:val="22"/>
          <w:szCs w:val="22"/>
          <w:lang w:val="en-GB"/>
        </w:rPr>
      </w:pPr>
      <w:r w:rsidRPr="001A2339">
        <w:rPr>
          <w:rFonts w:ascii="Calibri" w:eastAsia="Calibri" w:hAnsi="Calibri"/>
          <w:sz w:val="22"/>
          <w:szCs w:val="22"/>
          <w:lang w:val="en-GB"/>
        </w:rPr>
        <w:t xml:space="preserve">This privacy statement concerns the following processing operations: </w:t>
      </w:r>
    </w:p>
    <w:p w:rsidR="006B74A4" w:rsidRPr="001A2339" w:rsidRDefault="006B74A4" w:rsidP="006B74A4">
      <w:pPr>
        <w:spacing w:after="360"/>
        <w:rPr>
          <w:rFonts w:ascii="Calibri" w:eastAsia="Calibri" w:hAnsi="Calibri"/>
          <w:sz w:val="22"/>
          <w:szCs w:val="22"/>
          <w:lang w:val="en-GB"/>
        </w:rPr>
      </w:pPr>
      <w:r w:rsidRPr="001A2339">
        <w:rPr>
          <w:rFonts w:ascii="Calibri" w:eastAsia="Calibri" w:hAnsi="Calibri"/>
          <w:sz w:val="22"/>
          <w:szCs w:val="22"/>
          <w:lang w:val="en-GB"/>
        </w:rPr>
        <w:t xml:space="preserve">(1) “selection of members of Commission expert groups and other similar entities” undertaken by the Commission department which runs the selection process for your expert group and which is the Data Controller for the selection process DG FISMA, and </w:t>
      </w:r>
    </w:p>
    <w:p w:rsidR="006B74A4" w:rsidRPr="001A2339" w:rsidRDefault="006B74A4" w:rsidP="006B74A4">
      <w:pPr>
        <w:spacing w:after="360"/>
        <w:rPr>
          <w:rFonts w:ascii="Calibri" w:eastAsia="Calibri" w:hAnsi="Calibri"/>
          <w:i/>
          <w:sz w:val="22"/>
          <w:szCs w:val="22"/>
          <w:lang w:val="en-GB"/>
        </w:rPr>
      </w:pPr>
      <w:r w:rsidRPr="001A2339">
        <w:rPr>
          <w:rFonts w:ascii="Calibri" w:eastAsia="Calibri" w:hAnsi="Calibri"/>
          <w:sz w:val="22"/>
          <w:szCs w:val="22"/>
          <w:lang w:val="en-GB"/>
        </w:rPr>
        <w:t xml:space="preserve">(2) “publication of personal data on the Register of expert groups and other similar entities” undertaken by the Commission, Secretariat-General, Unit G.4 which is the Data Controller together with the Commission department managing your expert group. </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The Register of expert groups and other similar entities is a public database containing a list of Commission expert groups and other similar entities and their sub-groups. For each expert group, the Register provides valuable information including personal data on the members of the expert groups, and their alternate, if any, members’ representatives, as well as of the groups' observers and their representatives. The Register also includes documents that </w:t>
      </w:r>
      <w:proofErr w:type="gramStart"/>
      <w:r w:rsidRPr="001A2339">
        <w:rPr>
          <w:rFonts w:ascii="Calibri" w:eastAsia="Calibri" w:hAnsi="Calibri"/>
          <w:sz w:val="22"/>
          <w:szCs w:val="22"/>
          <w:lang w:val="en-GB"/>
        </w:rPr>
        <w:t>are produced and discussed by expert groups</w:t>
      </w:r>
      <w:proofErr w:type="gramEnd"/>
      <w:r w:rsidRPr="001A2339">
        <w:rPr>
          <w:rFonts w:ascii="Calibri" w:eastAsia="Calibri" w:hAnsi="Calibri"/>
          <w:sz w:val="22"/>
          <w:szCs w:val="22"/>
          <w:lang w:val="en-GB"/>
        </w:rPr>
        <w:t xml:space="preserve"> and which can contain personal data.</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For the purpose of this privacy statement and the corresponding records, the term “expert groups” describes Commission expert groups in the sense of Article 2(1) of Commission Decision C(2016)3301</w:t>
      </w:r>
      <w:r w:rsidRPr="001A2339">
        <w:rPr>
          <w:rStyle w:val="FootnoteReference"/>
          <w:rFonts w:ascii="Calibri" w:eastAsia="Calibri" w:hAnsi="Calibri"/>
          <w:sz w:val="22"/>
          <w:szCs w:val="22"/>
          <w:lang w:val="en-GB"/>
        </w:rPr>
        <w:footnoteReference w:id="5"/>
      </w:r>
      <w:r w:rsidRPr="001A2339">
        <w:rPr>
          <w:rFonts w:ascii="Calibri" w:eastAsia="Calibri" w:hAnsi="Calibri"/>
          <w:sz w:val="22"/>
          <w:szCs w:val="22"/>
          <w:lang w:val="en-GB"/>
        </w:rPr>
        <w:t xml:space="preserve"> and their sub-groups, as well as other similar entities in the sense of Article 2(2) of Commission Decision C(2016)3301 and their sub-groups.</w:t>
      </w:r>
    </w:p>
    <w:p w:rsidR="006B74A4" w:rsidRPr="001A2339" w:rsidRDefault="006B74A4" w:rsidP="006B74A4">
      <w:pPr>
        <w:numPr>
          <w:ilvl w:val="0"/>
          <w:numId w:val="8"/>
        </w:numPr>
        <w:spacing w:after="200"/>
        <w:ind w:left="714" w:hanging="357"/>
        <w:rPr>
          <w:rFonts w:ascii="Calibri" w:eastAsia="Calibri" w:hAnsi="Calibri"/>
          <w:b/>
          <w:sz w:val="22"/>
          <w:szCs w:val="22"/>
          <w:u w:val="single"/>
          <w:lang w:val="en-GB"/>
        </w:rPr>
      </w:pPr>
      <w:r w:rsidRPr="001A2339">
        <w:rPr>
          <w:rFonts w:ascii="Calibri" w:eastAsia="Calibri" w:hAnsi="Calibri"/>
          <w:i/>
          <w:color w:val="FF0000"/>
          <w:sz w:val="22"/>
          <w:szCs w:val="22"/>
          <w:lang w:val="en-GB"/>
        </w:rPr>
        <w:t xml:space="preserve"> </w:t>
      </w:r>
      <w:r w:rsidRPr="001A2339">
        <w:rPr>
          <w:rFonts w:ascii="Calibri" w:eastAsia="Calibri" w:hAnsi="Calibri"/>
          <w:b/>
          <w:sz w:val="22"/>
          <w:szCs w:val="22"/>
          <w:u w:val="single"/>
          <w:lang w:val="en-GB"/>
        </w:rPr>
        <w:t>Why and how do we process your personal data?</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u w:val="single"/>
          <w:lang w:val="en-GB"/>
        </w:rPr>
        <w:t>Purpose of the processing operations</w:t>
      </w:r>
      <w:r w:rsidRPr="001A2339">
        <w:rPr>
          <w:rFonts w:ascii="Calibri" w:eastAsia="Calibri" w:hAnsi="Calibri"/>
          <w:sz w:val="22"/>
          <w:szCs w:val="22"/>
          <w:lang w:val="en-GB"/>
        </w:rPr>
        <w:t xml:space="preserve">: </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The Data Controllers collect and use your personal data to manage Commission expert groups, in particular by selecting their members and observers, and to ensure transparency on expert groups’ membership and activities. In that context, in order to select among the applicants who best fulfil the selection criteria mentioned in the call for applications, Commission services collect and assess personal information of candidate members and observers of the expert groups, of representatives </w:t>
      </w:r>
      <w:r w:rsidRPr="001A2339">
        <w:rPr>
          <w:rFonts w:ascii="Calibri" w:eastAsia="Calibri" w:hAnsi="Calibri"/>
          <w:sz w:val="22"/>
          <w:szCs w:val="22"/>
          <w:lang w:val="en-GB"/>
        </w:rPr>
        <w:lastRenderedPageBreak/>
        <w:t xml:space="preserve">of candidate members and observers, and of immediate family members of candidate members and observers appointed in personal capacity. </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Furthermore, Commission services collect and assess personal information of </w:t>
      </w:r>
      <w:proofErr w:type="gramStart"/>
      <w:r w:rsidRPr="001A2339">
        <w:rPr>
          <w:rFonts w:ascii="Calibri" w:eastAsia="Calibri" w:hAnsi="Calibri"/>
          <w:sz w:val="22"/>
          <w:szCs w:val="22"/>
          <w:lang w:val="en-GB"/>
        </w:rPr>
        <w:t>observers and members’</w:t>
      </w:r>
      <w:proofErr w:type="gramEnd"/>
      <w:r w:rsidRPr="001A2339">
        <w:rPr>
          <w:rFonts w:ascii="Calibri" w:eastAsia="Calibri" w:hAnsi="Calibri"/>
          <w:sz w:val="22"/>
          <w:szCs w:val="22"/>
          <w:lang w:val="en-GB"/>
        </w:rPr>
        <w:t xml:space="preserve"> and observers’ representatives of the expert groups which are not selected through a public call for applications.</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For candidates, personal data </w:t>
      </w:r>
      <w:proofErr w:type="gramStart"/>
      <w:r w:rsidRPr="001A2339">
        <w:rPr>
          <w:rFonts w:ascii="Calibri" w:eastAsia="Calibri" w:hAnsi="Calibri"/>
          <w:sz w:val="22"/>
          <w:szCs w:val="22"/>
          <w:lang w:val="en-GB"/>
        </w:rPr>
        <w:t>is stored</w:t>
      </w:r>
      <w:proofErr w:type="gramEnd"/>
      <w:r w:rsidRPr="001A2339">
        <w:rPr>
          <w:rFonts w:ascii="Calibri" w:eastAsia="Calibri" w:hAnsi="Calibri"/>
          <w:sz w:val="22"/>
          <w:szCs w:val="22"/>
          <w:lang w:val="en-GB"/>
        </w:rPr>
        <w:t xml:space="preserve"> by the Commission service managing the expert group. Some types of personal data of individuals appointed as members (either appointed in personal capacity to act independently and </w:t>
      </w:r>
      <w:proofErr w:type="gramStart"/>
      <w:r w:rsidRPr="001A2339">
        <w:rPr>
          <w:rFonts w:ascii="Calibri" w:eastAsia="Calibri" w:hAnsi="Calibri"/>
          <w:sz w:val="22"/>
          <w:szCs w:val="22"/>
          <w:lang w:val="en-GB"/>
        </w:rPr>
        <w:t>in the public interest or to represent a common interest shared by stakeholders in a particular policy area</w:t>
      </w:r>
      <w:proofErr w:type="gramEnd"/>
      <w:r w:rsidRPr="001A2339">
        <w:rPr>
          <w:rFonts w:ascii="Calibri" w:eastAsia="Calibri" w:hAnsi="Calibri"/>
          <w:sz w:val="22"/>
          <w:szCs w:val="22"/>
          <w:lang w:val="en-GB"/>
        </w:rPr>
        <w:t xml:space="preserve">) are made publicly available on the Register of expert groups (as described under Headings 4 and 5 of this privacy statement). The names of the representatives of organisations, Member States and other public entities, as well as the name of specific national departments or other public </w:t>
      </w:r>
      <w:proofErr w:type="gramStart"/>
      <w:r w:rsidRPr="001A2339">
        <w:rPr>
          <w:rFonts w:ascii="Calibri" w:eastAsia="Calibri" w:hAnsi="Calibri"/>
          <w:sz w:val="22"/>
          <w:szCs w:val="22"/>
          <w:lang w:val="en-GB"/>
        </w:rPr>
        <w:t>authority which they represent</w:t>
      </w:r>
      <w:proofErr w:type="gramEnd"/>
      <w:r w:rsidRPr="001A2339">
        <w:rPr>
          <w:rFonts w:ascii="Calibri" w:eastAsia="Calibri" w:hAnsi="Calibri"/>
          <w:sz w:val="22"/>
          <w:szCs w:val="22"/>
          <w:lang w:val="en-GB"/>
        </w:rPr>
        <w:t xml:space="preserve"> may also be made publicly available on the Register of expert groups.</w:t>
      </w:r>
    </w:p>
    <w:p w:rsidR="006B74A4" w:rsidRPr="001A2339" w:rsidRDefault="006B74A4" w:rsidP="006B74A4">
      <w:pPr>
        <w:spacing w:after="240"/>
        <w:rPr>
          <w:rFonts w:ascii="Calibri" w:eastAsia="Calibri" w:hAnsi="Calibri"/>
          <w:b/>
          <w:sz w:val="22"/>
          <w:szCs w:val="22"/>
          <w:u w:val="single"/>
          <w:lang w:val="en-GB"/>
        </w:rPr>
      </w:pPr>
      <w:r w:rsidRPr="001A2339">
        <w:rPr>
          <w:rFonts w:ascii="Calibri" w:eastAsia="Calibri" w:hAnsi="Calibri"/>
          <w:sz w:val="22"/>
          <w:szCs w:val="22"/>
          <w:lang w:val="en-GB"/>
        </w:rPr>
        <w:t xml:space="preserve">Your personal data </w:t>
      </w:r>
      <w:proofErr w:type="gramStart"/>
      <w:r w:rsidRPr="001A2339">
        <w:rPr>
          <w:rFonts w:ascii="Calibri" w:eastAsia="Calibri" w:hAnsi="Calibri"/>
          <w:sz w:val="22"/>
          <w:szCs w:val="22"/>
          <w:lang w:val="en-GB"/>
        </w:rPr>
        <w:t xml:space="preserve">will </w:t>
      </w:r>
      <w:r w:rsidRPr="001A2339">
        <w:rPr>
          <w:rFonts w:ascii="Calibri" w:eastAsia="Calibri" w:hAnsi="Calibri"/>
          <w:sz w:val="22"/>
          <w:szCs w:val="22"/>
          <w:u w:val="single"/>
          <w:lang w:val="en-GB"/>
        </w:rPr>
        <w:t>not</w:t>
      </w:r>
      <w:r w:rsidRPr="001A2339">
        <w:rPr>
          <w:rFonts w:ascii="Calibri" w:eastAsia="Calibri" w:hAnsi="Calibri"/>
          <w:sz w:val="22"/>
          <w:szCs w:val="22"/>
          <w:lang w:val="en-GB"/>
        </w:rPr>
        <w:t xml:space="preserve"> be used</w:t>
      </w:r>
      <w:proofErr w:type="gramEnd"/>
      <w:r w:rsidRPr="001A2339">
        <w:rPr>
          <w:rFonts w:ascii="Calibri" w:eastAsia="Calibri" w:hAnsi="Calibri"/>
          <w:sz w:val="22"/>
          <w:szCs w:val="22"/>
          <w:lang w:val="en-GB"/>
        </w:rPr>
        <w:t xml:space="preserve"> for an automated decision-making including profiling. </w:t>
      </w:r>
    </w:p>
    <w:p w:rsidR="006B74A4" w:rsidRPr="001A2339" w:rsidRDefault="006B74A4" w:rsidP="006B74A4">
      <w:pPr>
        <w:numPr>
          <w:ilvl w:val="0"/>
          <w:numId w:val="8"/>
        </w:numPr>
        <w:spacing w:after="200"/>
        <w:rPr>
          <w:rFonts w:ascii="Calibri" w:eastAsia="Calibri" w:hAnsi="Calibri"/>
          <w:b/>
          <w:sz w:val="22"/>
          <w:szCs w:val="22"/>
          <w:u w:val="single"/>
          <w:lang w:val="en-GB"/>
        </w:rPr>
      </w:pPr>
      <w:r w:rsidRPr="001A2339">
        <w:rPr>
          <w:rFonts w:ascii="Calibri" w:eastAsia="Calibri" w:hAnsi="Calibri"/>
          <w:b/>
          <w:sz w:val="22"/>
          <w:szCs w:val="22"/>
          <w:u w:val="single"/>
          <w:lang w:val="en-GB"/>
        </w:rPr>
        <w:t>On what legal ground(s) do we process your personal data</w:t>
      </w:r>
    </w:p>
    <w:p w:rsidR="006B74A4" w:rsidRPr="001A2339" w:rsidRDefault="006B74A4" w:rsidP="006B74A4">
      <w:pPr>
        <w:spacing w:after="240"/>
        <w:rPr>
          <w:rFonts w:ascii="Calibri" w:eastAsia="Calibri" w:hAnsi="Calibri"/>
          <w:sz w:val="22"/>
          <w:szCs w:val="22"/>
          <w:lang w:val="en-GB"/>
        </w:rPr>
      </w:pPr>
      <w:proofErr w:type="gramStart"/>
      <w:r w:rsidRPr="001A2339">
        <w:rPr>
          <w:rFonts w:ascii="Calibri" w:eastAsia="Calibri" w:hAnsi="Calibri"/>
          <w:sz w:val="22"/>
          <w:szCs w:val="22"/>
          <w:lang w:val="en-GB"/>
        </w:rPr>
        <w:t>We process your personal data, because processing is necessary for the performance of a task carried out in the public interest (Article 5(1)(a) of Regulation (EU) 2018/1725), since it allows for the selection of members of expert groups (individuals appointed as members in a personal capacity, individuals appointed to represent a common interest and organisations) and also increases the transparency on expert groups.</w:t>
      </w:r>
      <w:proofErr w:type="gramEnd"/>
      <w:r w:rsidRPr="001A2339">
        <w:rPr>
          <w:rFonts w:ascii="Calibri" w:eastAsia="Calibri" w:hAnsi="Calibri"/>
          <w:sz w:val="22"/>
          <w:szCs w:val="22"/>
          <w:lang w:val="en-GB"/>
        </w:rPr>
        <w:t xml:space="preserve"> Processing is also necessary to comply with a legal obligation to which the controller is subject (Article 5(1</w:t>
      </w:r>
      <w:proofErr w:type="gramStart"/>
      <w:r w:rsidRPr="001A2339">
        <w:rPr>
          <w:rFonts w:ascii="Calibri" w:eastAsia="Calibri" w:hAnsi="Calibri"/>
          <w:sz w:val="22"/>
          <w:szCs w:val="22"/>
          <w:lang w:val="en-GB"/>
        </w:rPr>
        <w:t>)(</w:t>
      </w:r>
      <w:proofErr w:type="gramEnd"/>
      <w:r w:rsidRPr="001A2339">
        <w:rPr>
          <w:rFonts w:ascii="Calibri" w:eastAsia="Calibri" w:hAnsi="Calibri"/>
          <w:sz w:val="22"/>
          <w:szCs w:val="22"/>
          <w:lang w:val="en-GB"/>
        </w:rPr>
        <w:t xml:space="preserve">b) of Regulation (EU) 2018/1725). The Union act for such necessary processing under Article 5(1)(a) and (b) of Regulation (EU) 2018/1725 is Commission Decision C(2016)3301 of 30 May 2016 establishing horizontal rules on the creation and operation of Commission expert groups and in particular Articles 10 and 22 thereof. </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As regards, in particular, the declarations of interests filled in by candidate members to </w:t>
      </w:r>
      <w:proofErr w:type="gramStart"/>
      <w:r w:rsidRPr="001A2339">
        <w:rPr>
          <w:rFonts w:ascii="Calibri" w:eastAsia="Calibri" w:hAnsi="Calibri"/>
          <w:sz w:val="22"/>
          <w:szCs w:val="22"/>
          <w:lang w:val="en-GB"/>
        </w:rPr>
        <w:t>be appointed</w:t>
      </w:r>
      <w:proofErr w:type="gramEnd"/>
      <w:r w:rsidRPr="001A2339">
        <w:rPr>
          <w:rFonts w:ascii="Calibri" w:eastAsia="Calibri" w:hAnsi="Calibri"/>
          <w:sz w:val="22"/>
          <w:szCs w:val="22"/>
          <w:lang w:val="en-GB"/>
        </w:rPr>
        <w:t xml:space="preserve"> in a personal capacity in expert groups, the processing of personal data serves the public interest of enabling the Commission to verify in the process of selection the experts' independence in providing advice to the Commission. Furthermore, the public disclosure of declarations of interests of those experts once appointed 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Any publication of names of the representatives of organisations, Member States’ authorities and other public entities in the Register of expert groups is based on consent (Article 5(1</w:t>
      </w:r>
      <w:proofErr w:type="gramStart"/>
      <w:r w:rsidRPr="001A2339">
        <w:rPr>
          <w:rFonts w:ascii="Calibri" w:eastAsia="Calibri" w:hAnsi="Calibri"/>
          <w:sz w:val="22"/>
          <w:szCs w:val="22"/>
          <w:lang w:val="en-GB"/>
        </w:rPr>
        <w:t>)(</w:t>
      </w:r>
      <w:proofErr w:type="gramEnd"/>
      <w:r w:rsidRPr="001A2339">
        <w:rPr>
          <w:rFonts w:ascii="Calibri" w:eastAsia="Calibri" w:hAnsi="Calibri"/>
          <w:sz w:val="22"/>
          <w:szCs w:val="22"/>
          <w:lang w:val="en-GB"/>
        </w:rPr>
        <w:t>d) of Regulation (EU) 2018/1725).</w:t>
      </w:r>
    </w:p>
    <w:p w:rsidR="006B74A4" w:rsidRPr="001A2339" w:rsidRDefault="006B74A4" w:rsidP="006B74A4">
      <w:pPr>
        <w:numPr>
          <w:ilvl w:val="0"/>
          <w:numId w:val="8"/>
        </w:numPr>
        <w:spacing w:after="200"/>
        <w:ind w:left="714" w:hanging="357"/>
        <w:rPr>
          <w:rFonts w:ascii="Calibri" w:eastAsia="Calibri" w:hAnsi="Calibri"/>
          <w:b/>
          <w:sz w:val="22"/>
          <w:szCs w:val="22"/>
          <w:u w:val="single"/>
          <w:lang w:val="en-GB"/>
        </w:rPr>
      </w:pPr>
      <w:r w:rsidRPr="001A2339">
        <w:rPr>
          <w:rFonts w:ascii="Calibri" w:eastAsia="Calibri" w:hAnsi="Calibri"/>
          <w:b/>
          <w:sz w:val="22"/>
          <w:szCs w:val="22"/>
          <w:u w:val="single"/>
          <w:lang w:val="en-GB"/>
        </w:rPr>
        <w:t>Which personal data do we collect and further process</w:t>
      </w:r>
      <w:r w:rsidRPr="001A2339">
        <w:rPr>
          <w:rFonts w:ascii="Calibri" w:eastAsia="Calibri" w:hAnsi="Calibri"/>
          <w:i/>
          <w:sz w:val="22"/>
          <w:szCs w:val="22"/>
          <w:lang w:val="en-GB"/>
        </w:rPr>
        <w:t xml:space="preserve">? </w:t>
      </w:r>
    </w:p>
    <w:p w:rsidR="006B74A4" w:rsidRPr="001A2339" w:rsidRDefault="006B74A4" w:rsidP="006B74A4">
      <w:pPr>
        <w:rPr>
          <w:rFonts w:ascii="Calibri" w:eastAsia="Calibri" w:hAnsi="Calibri"/>
          <w:sz w:val="22"/>
          <w:szCs w:val="22"/>
          <w:lang w:val="en-GB"/>
        </w:rPr>
      </w:pPr>
      <w:r w:rsidRPr="001A2339">
        <w:rPr>
          <w:rFonts w:ascii="Calibri" w:eastAsia="Calibri" w:hAnsi="Calibri"/>
          <w:sz w:val="22"/>
          <w:szCs w:val="22"/>
          <w:lang w:val="en-GB"/>
        </w:rPr>
        <w:t>In order to carry out these processing operations, the Data Controller may collect the following categories of personal data:</w:t>
      </w:r>
    </w:p>
    <w:p w:rsidR="006B74A4" w:rsidRPr="001A2339" w:rsidRDefault="006B74A4" w:rsidP="006B74A4">
      <w:pPr>
        <w:numPr>
          <w:ilvl w:val="0"/>
          <w:numId w:val="6"/>
        </w:numPr>
        <w:tabs>
          <w:tab w:val="left" w:pos="567"/>
          <w:tab w:val="left" w:pos="567"/>
        </w:tabs>
        <w:spacing w:after="120"/>
        <w:rPr>
          <w:rFonts w:ascii="Calibri" w:eastAsia="Calibri" w:hAnsi="Calibri"/>
          <w:i/>
          <w:sz w:val="22"/>
          <w:szCs w:val="22"/>
          <w:lang w:val="en-GB"/>
        </w:rPr>
      </w:pPr>
      <w:r w:rsidRPr="001A2339">
        <w:rPr>
          <w:rFonts w:ascii="Calibri" w:eastAsia="Calibri" w:hAnsi="Calibri"/>
          <w:i/>
          <w:sz w:val="22"/>
          <w:szCs w:val="22"/>
          <w:lang w:val="en-GB"/>
        </w:rPr>
        <w:t xml:space="preserve">Name; </w:t>
      </w:r>
    </w:p>
    <w:p w:rsidR="006B74A4" w:rsidRPr="001A2339" w:rsidRDefault="006B74A4" w:rsidP="006B74A4">
      <w:pPr>
        <w:numPr>
          <w:ilvl w:val="0"/>
          <w:numId w:val="6"/>
        </w:numPr>
        <w:tabs>
          <w:tab w:val="left" w:pos="567"/>
          <w:tab w:val="left" w:pos="567"/>
        </w:tabs>
        <w:spacing w:after="120"/>
        <w:rPr>
          <w:rFonts w:ascii="Calibri" w:eastAsia="Calibri" w:hAnsi="Calibri"/>
          <w:i/>
          <w:sz w:val="22"/>
          <w:szCs w:val="22"/>
          <w:lang w:val="en-GB"/>
        </w:rPr>
      </w:pPr>
      <w:r w:rsidRPr="001A2339">
        <w:rPr>
          <w:rFonts w:ascii="Calibri" w:eastAsia="Calibri" w:hAnsi="Calibri"/>
          <w:i/>
          <w:sz w:val="22"/>
          <w:szCs w:val="22"/>
          <w:lang w:val="en-GB"/>
        </w:rPr>
        <w:t>Function;</w:t>
      </w:r>
    </w:p>
    <w:p w:rsidR="006B74A4" w:rsidRPr="001A2339" w:rsidRDefault="006B74A4" w:rsidP="006B74A4">
      <w:pPr>
        <w:numPr>
          <w:ilvl w:val="0"/>
          <w:numId w:val="6"/>
        </w:numPr>
        <w:tabs>
          <w:tab w:val="left" w:pos="567"/>
          <w:tab w:val="left" w:pos="567"/>
        </w:tabs>
        <w:spacing w:after="120"/>
        <w:ind w:left="567" w:hanging="207"/>
        <w:rPr>
          <w:rFonts w:ascii="Calibri" w:eastAsia="Calibri" w:hAnsi="Calibri"/>
          <w:i/>
          <w:sz w:val="22"/>
          <w:szCs w:val="22"/>
          <w:lang w:val="en-GB"/>
        </w:rPr>
      </w:pPr>
      <w:r w:rsidRPr="001A2339">
        <w:rPr>
          <w:rFonts w:ascii="Calibri" w:eastAsia="Calibri" w:hAnsi="Calibri"/>
          <w:i/>
          <w:sz w:val="22"/>
          <w:szCs w:val="22"/>
          <w:lang w:val="en-GB"/>
        </w:rPr>
        <w:t xml:space="preserve">Contact details (for example, e-mail address, telephone number, mobile telephone number, fax number, postal address, company and department, country of residence, IP address); </w:t>
      </w:r>
    </w:p>
    <w:p w:rsidR="006B74A4" w:rsidRPr="001A2339" w:rsidRDefault="006B74A4" w:rsidP="006B74A4">
      <w:pPr>
        <w:numPr>
          <w:ilvl w:val="0"/>
          <w:numId w:val="6"/>
        </w:numPr>
        <w:tabs>
          <w:tab w:val="left" w:pos="567"/>
          <w:tab w:val="left" w:pos="567"/>
        </w:tabs>
        <w:spacing w:after="120"/>
        <w:ind w:left="567" w:hanging="207"/>
        <w:rPr>
          <w:rFonts w:ascii="Calibri" w:eastAsia="Calibri" w:hAnsi="Calibri"/>
          <w:i/>
          <w:sz w:val="22"/>
          <w:szCs w:val="22"/>
          <w:lang w:val="en-GB"/>
        </w:rPr>
      </w:pPr>
      <w:r w:rsidRPr="001A2339">
        <w:rPr>
          <w:rFonts w:ascii="Calibri" w:eastAsia="Calibri" w:hAnsi="Calibri"/>
          <w:i/>
          <w:sz w:val="22"/>
          <w:szCs w:val="22"/>
          <w:lang w:val="en-GB"/>
        </w:rPr>
        <w:lastRenderedPageBreak/>
        <w:t>Information for the evaluation of selection criteria or eligibility criteria (for example, expertise, technical skills and languages, educational background, professional experience, including details on current and past employment);</w:t>
      </w:r>
    </w:p>
    <w:p w:rsidR="006B74A4" w:rsidRPr="001A2339" w:rsidRDefault="006B74A4" w:rsidP="006B74A4">
      <w:pPr>
        <w:numPr>
          <w:ilvl w:val="0"/>
          <w:numId w:val="6"/>
        </w:numPr>
        <w:tabs>
          <w:tab w:val="left" w:pos="567"/>
          <w:tab w:val="left" w:pos="567"/>
        </w:tabs>
        <w:spacing w:after="120"/>
        <w:ind w:left="567" w:hanging="207"/>
        <w:rPr>
          <w:rFonts w:ascii="Calibri" w:eastAsia="Calibri" w:hAnsi="Calibri"/>
          <w:i/>
          <w:sz w:val="22"/>
          <w:szCs w:val="22"/>
          <w:lang w:val="en-GB"/>
        </w:rPr>
      </w:pPr>
      <w:r w:rsidRPr="001A2339">
        <w:rPr>
          <w:rFonts w:ascii="Calibri" w:eastAsia="Calibri" w:hAnsi="Calibri"/>
          <w:i/>
          <w:sz w:val="22"/>
          <w:szCs w:val="22"/>
          <w:lang w:val="en-GB"/>
        </w:rPr>
        <w:t>Nationality;</w:t>
      </w:r>
    </w:p>
    <w:p w:rsidR="006B74A4" w:rsidRPr="001A2339" w:rsidRDefault="006B74A4" w:rsidP="006B74A4">
      <w:pPr>
        <w:numPr>
          <w:ilvl w:val="0"/>
          <w:numId w:val="6"/>
        </w:numPr>
        <w:tabs>
          <w:tab w:val="left" w:pos="567"/>
          <w:tab w:val="left" w:pos="567"/>
        </w:tabs>
        <w:spacing w:after="120"/>
        <w:ind w:left="567" w:hanging="207"/>
        <w:rPr>
          <w:rFonts w:ascii="Calibri" w:eastAsia="Calibri" w:hAnsi="Calibri"/>
          <w:i/>
          <w:sz w:val="22"/>
          <w:szCs w:val="22"/>
          <w:lang w:val="en-GB"/>
        </w:rPr>
      </w:pPr>
      <w:r w:rsidRPr="001A2339">
        <w:rPr>
          <w:rFonts w:ascii="Calibri" w:eastAsia="Calibri" w:hAnsi="Calibri"/>
          <w:i/>
          <w:sz w:val="22"/>
          <w:szCs w:val="22"/>
          <w:lang w:val="en-GB"/>
        </w:rPr>
        <w:t>Gender;</w:t>
      </w:r>
    </w:p>
    <w:p w:rsidR="006B74A4" w:rsidRPr="001A2339" w:rsidRDefault="006B74A4" w:rsidP="006B74A4">
      <w:pPr>
        <w:numPr>
          <w:ilvl w:val="0"/>
          <w:numId w:val="6"/>
        </w:numPr>
        <w:tabs>
          <w:tab w:val="left" w:pos="567"/>
          <w:tab w:val="left" w:pos="567"/>
        </w:tabs>
        <w:spacing w:after="120"/>
        <w:ind w:left="567" w:hanging="207"/>
        <w:rPr>
          <w:rFonts w:ascii="Calibri" w:eastAsia="Calibri" w:hAnsi="Calibri"/>
          <w:i/>
          <w:sz w:val="22"/>
          <w:szCs w:val="22"/>
          <w:lang w:val="en-GB"/>
        </w:rPr>
      </w:pPr>
      <w:r w:rsidRPr="001A2339">
        <w:rPr>
          <w:rFonts w:ascii="Calibri" w:eastAsia="Calibri" w:hAnsi="Calibri"/>
          <w:i/>
          <w:sz w:val="22"/>
          <w:szCs w:val="22"/>
          <w:lang w:val="en-GB"/>
        </w:rPr>
        <w:t>Interest represented (only for individuals applying to be appointed as members of expert groups or sub-groups representing a common interest shared by stakeholders in a particular policy area and for organisations applying to be appointed as members of expert groups or sub-groups, as well as for their designated representatives);</w:t>
      </w:r>
    </w:p>
    <w:p w:rsidR="006B74A4" w:rsidRPr="001A2339" w:rsidRDefault="006B74A4" w:rsidP="006B74A4">
      <w:pPr>
        <w:numPr>
          <w:ilvl w:val="0"/>
          <w:numId w:val="6"/>
        </w:numPr>
        <w:tabs>
          <w:tab w:val="left" w:pos="567"/>
          <w:tab w:val="left" w:pos="567"/>
        </w:tabs>
        <w:spacing w:after="120"/>
        <w:ind w:left="567" w:hanging="207"/>
        <w:rPr>
          <w:rFonts w:ascii="Calibri" w:eastAsia="Calibri" w:hAnsi="Calibri"/>
          <w:i/>
          <w:sz w:val="22"/>
          <w:szCs w:val="22"/>
          <w:lang w:val="en-GB"/>
        </w:rPr>
      </w:pPr>
      <w:r w:rsidRPr="001A2339">
        <w:rPr>
          <w:rFonts w:ascii="Calibri" w:eastAsia="Calibri" w:hAnsi="Calibri"/>
          <w:i/>
          <w:sz w:val="22"/>
          <w:szCs w:val="22"/>
          <w:lang w:val="en-GB"/>
        </w:rPr>
        <w:t xml:space="preserve">Information included in the declarations of interests, including personal data of immediate family members as required in the declaration of interests (only for individuals applying to </w:t>
      </w:r>
      <w:proofErr w:type="gramStart"/>
      <w:r w:rsidRPr="001A2339">
        <w:rPr>
          <w:rFonts w:ascii="Calibri" w:eastAsia="Calibri" w:hAnsi="Calibri"/>
          <w:i/>
          <w:sz w:val="22"/>
          <w:szCs w:val="22"/>
          <w:lang w:val="en-GB"/>
        </w:rPr>
        <w:t>be appointed</w:t>
      </w:r>
      <w:proofErr w:type="gramEnd"/>
      <w:r w:rsidRPr="001A2339">
        <w:rPr>
          <w:rFonts w:ascii="Calibri" w:eastAsia="Calibri" w:hAnsi="Calibri"/>
          <w:i/>
          <w:sz w:val="22"/>
          <w:szCs w:val="22"/>
          <w:lang w:val="en-GB"/>
        </w:rPr>
        <w:t xml:space="preserve"> as members of expert groups or sub-groups in a personal capacity).</w:t>
      </w:r>
    </w:p>
    <w:p w:rsidR="006B74A4" w:rsidRPr="001A2339" w:rsidRDefault="006B74A4" w:rsidP="006B74A4">
      <w:pPr>
        <w:rPr>
          <w:rFonts w:ascii="Calibri" w:eastAsia="Calibri" w:hAnsi="Calibri"/>
          <w:sz w:val="22"/>
          <w:szCs w:val="22"/>
          <w:lang w:val="en-GB"/>
        </w:rPr>
      </w:pPr>
      <w:r w:rsidRPr="001A2339">
        <w:rPr>
          <w:rFonts w:ascii="Calibri" w:eastAsia="Calibri" w:hAnsi="Calibri"/>
          <w:sz w:val="22"/>
          <w:szCs w:val="22"/>
          <w:lang w:val="en-GB"/>
        </w:rPr>
        <w:t>The provision to the Commission service of the personal data required is mandatory to meet a</w:t>
      </w:r>
      <w:r w:rsidRPr="001A2339">
        <w:rPr>
          <w:rFonts w:ascii="Calibri" w:eastAsia="Calibri" w:hAnsi="Calibri"/>
          <w:i/>
          <w:sz w:val="22"/>
          <w:szCs w:val="22"/>
          <w:lang w:val="en-GB"/>
        </w:rPr>
        <w:t xml:space="preserve"> </w:t>
      </w:r>
      <w:r w:rsidRPr="001A2339">
        <w:rPr>
          <w:rFonts w:ascii="Calibri" w:eastAsia="Calibri" w:hAnsi="Calibri"/>
          <w:sz w:val="22"/>
          <w:szCs w:val="22"/>
          <w:lang w:val="en-GB"/>
        </w:rPr>
        <w:t>legal</w:t>
      </w:r>
      <w:r w:rsidRPr="001A2339">
        <w:rPr>
          <w:rFonts w:ascii="Calibri" w:eastAsia="Calibri" w:hAnsi="Calibri"/>
          <w:i/>
          <w:sz w:val="22"/>
          <w:szCs w:val="22"/>
          <w:lang w:val="en-GB"/>
        </w:rPr>
        <w:t xml:space="preserve"> </w:t>
      </w:r>
      <w:r w:rsidRPr="001A2339">
        <w:rPr>
          <w:rFonts w:ascii="Calibri" w:eastAsia="Calibri" w:hAnsi="Calibri"/>
          <w:sz w:val="22"/>
          <w:szCs w:val="22"/>
          <w:lang w:val="en-GB"/>
        </w:rPr>
        <w:t xml:space="preserve">requirement of selecting members of expert groups as set in Commission Decision C(2016)3301. In principle, the types of personal data listed above (with the exception of contact details and information for the evaluation of selection criteria or eligibility criteria) </w:t>
      </w:r>
      <w:proofErr w:type="gramStart"/>
      <w:r w:rsidRPr="001A2339">
        <w:rPr>
          <w:rFonts w:ascii="Calibri" w:eastAsia="Calibri" w:hAnsi="Calibri"/>
          <w:sz w:val="22"/>
          <w:szCs w:val="22"/>
          <w:lang w:val="en-GB"/>
        </w:rPr>
        <w:t>are made</w:t>
      </w:r>
      <w:proofErr w:type="gramEnd"/>
      <w:r w:rsidRPr="001A2339">
        <w:rPr>
          <w:rFonts w:ascii="Calibri" w:eastAsia="Calibri" w:hAnsi="Calibri"/>
          <w:sz w:val="22"/>
          <w:szCs w:val="22"/>
          <w:lang w:val="en-GB"/>
        </w:rPr>
        <w:t xml:space="preserve"> publicly available on the Register of expert groups, in order to comply with the legal requirement to ensure transparency on the composition and functioning of Commission expert groups. If you do not provide the personal data required, possible consequences are that you </w:t>
      </w:r>
      <w:proofErr w:type="gramStart"/>
      <w:r w:rsidRPr="001A2339">
        <w:rPr>
          <w:rFonts w:ascii="Calibri" w:eastAsia="Calibri" w:hAnsi="Calibri"/>
          <w:sz w:val="22"/>
          <w:szCs w:val="22"/>
          <w:lang w:val="en-GB"/>
        </w:rPr>
        <w:t>will not be considered</w:t>
      </w:r>
      <w:proofErr w:type="gramEnd"/>
      <w:r w:rsidRPr="001A2339">
        <w:rPr>
          <w:rFonts w:ascii="Calibri" w:eastAsia="Calibri" w:hAnsi="Calibri"/>
          <w:sz w:val="22"/>
          <w:szCs w:val="22"/>
          <w:lang w:val="en-GB"/>
        </w:rPr>
        <w:t xml:space="preserve"> for selection as a member of an expert group or, if already selected, your membership will be suspended.</w:t>
      </w:r>
    </w:p>
    <w:p w:rsidR="006B74A4" w:rsidRPr="001A2339" w:rsidRDefault="006B74A4" w:rsidP="006B74A4">
      <w:pPr>
        <w:rPr>
          <w:rFonts w:ascii="Calibri" w:eastAsia="Calibri" w:hAnsi="Calibri"/>
          <w:sz w:val="22"/>
          <w:szCs w:val="22"/>
          <w:lang w:val="en-GB"/>
        </w:rPr>
      </w:pPr>
    </w:p>
    <w:p w:rsidR="006B74A4" w:rsidRPr="001A2339" w:rsidRDefault="006B74A4" w:rsidP="006B74A4">
      <w:pPr>
        <w:rPr>
          <w:rFonts w:ascii="Calibri" w:eastAsia="Calibri" w:hAnsi="Calibri"/>
          <w:i/>
          <w:sz w:val="22"/>
          <w:szCs w:val="22"/>
          <w:lang w:val="en-GB"/>
        </w:rPr>
      </w:pPr>
      <w:r w:rsidRPr="001A2339">
        <w:rPr>
          <w:rFonts w:ascii="Calibri" w:eastAsia="Calibri" w:hAnsi="Calibri"/>
          <w:sz w:val="22"/>
          <w:szCs w:val="22"/>
          <w:lang w:val="en-GB"/>
        </w:rPr>
        <w:t xml:space="preserve">With the prior freely given, specific, informed and unambiguous consent of the representatives of organisations, Member States’ authorities and other public entities, their names </w:t>
      </w:r>
      <w:proofErr w:type="gramStart"/>
      <w:r w:rsidRPr="001A2339">
        <w:rPr>
          <w:rFonts w:ascii="Calibri" w:eastAsia="Calibri" w:hAnsi="Calibri"/>
          <w:sz w:val="22"/>
          <w:szCs w:val="22"/>
          <w:lang w:val="en-GB"/>
        </w:rPr>
        <w:t>may also be published</w:t>
      </w:r>
      <w:proofErr w:type="gramEnd"/>
      <w:r w:rsidRPr="001A2339">
        <w:rPr>
          <w:rFonts w:ascii="Calibri" w:eastAsia="Calibri" w:hAnsi="Calibri"/>
          <w:sz w:val="22"/>
          <w:szCs w:val="22"/>
          <w:lang w:val="en-GB"/>
        </w:rPr>
        <w:t xml:space="preserve"> on the Register. </w:t>
      </w:r>
    </w:p>
    <w:p w:rsidR="006B74A4" w:rsidRPr="001A2339" w:rsidRDefault="006B74A4" w:rsidP="006B74A4">
      <w:pPr>
        <w:rPr>
          <w:rFonts w:ascii="Calibri" w:eastAsia="Calibri" w:hAnsi="Calibri"/>
          <w:i/>
          <w:sz w:val="22"/>
          <w:szCs w:val="22"/>
          <w:lang w:val="en-GB"/>
        </w:rPr>
      </w:pPr>
    </w:p>
    <w:p w:rsidR="006B74A4" w:rsidRPr="001A2339" w:rsidRDefault="006B74A4" w:rsidP="006B74A4">
      <w:pPr>
        <w:pStyle w:val="ListParagraph"/>
        <w:numPr>
          <w:ilvl w:val="0"/>
          <w:numId w:val="8"/>
        </w:numPr>
        <w:spacing w:after="240"/>
        <w:contextualSpacing/>
        <w:rPr>
          <w:rFonts w:ascii="Calibri" w:eastAsia="Calibri" w:hAnsi="Calibri"/>
          <w:b/>
          <w:sz w:val="22"/>
          <w:szCs w:val="22"/>
          <w:u w:val="single"/>
          <w:lang w:val="en-GB"/>
        </w:rPr>
      </w:pPr>
      <w:r w:rsidRPr="001A2339">
        <w:rPr>
          <w:rFonts w:ascii="Calibri" w:eastAsia="Calibri" w:hAnsi="Calibri"/>
          <w:b/>
          <w:sz w:val="22"/>
          <w:szCs w:val="22"/>
          <w:u w:val="single"/>
          <w:lang w:val="en-GB"/>
        </w:rPr>
        <w:t>How long do we keep your personal data?</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The Data Controller only keeps your personal data for the time necessary to fulfil the purpose of collection or further processing. The following modalities apply: </w:t>
      </w:r>
    </w:p>
    <w:p w:rsidR="006B74A4" w:rsidRPr="001A2339" w:rsidRDefault="006B74A4" w:rsidP="006B74A4">
      <w:pPr>
        <w:pStyle w:val="ListParagraph"/>
        <w:numPr>
          <w:ilvl w:val="0"/>
          <w:numId w:val="10"/>
        </w:numPr>
        <w:spacing w:after="240"/>
        <w:contextualSpacing/>
        <w:rPr>
          <w:rFonts w:ascii="Calibri" w:eastAsia="Calibri" w:hAnsi="Calibri"/>
          <w:sz w:val="22"/>
          <w:szCs w:val="22"/>
          <w:lang w:val="en-GB"/>
        </w:rPr>
      </w:pPr>
      <w:r w:rsidRPr="001A2339">
        <w:rPr>
          <w:rFonts w:ascii="Calibri" w:eastAsia="Calibri" w:hAnsi="Calibri"/>
          <w:sz w:val="22"/>
          <w:szCs w:val="22"/>
          <w:lang w:val="en-GB"/>
        </w:rPr>
        <w:t xml:space="preserve">The competent Commission services keep personal data submitted to them as part of rejected applications for three years after the end of the selection process and do not process them for other purposes; these personal data </w:t>
      </w:r>
      <w:proofErr w:type="gramStart"/>
      <w:r w:rsidRPr="001A2339">
        <w:rPr>
          <w:rFonts w:ascii="Calibri" w:eastAsia="Calibri" w:hAnsi="Calibri"/>
          <w:sz w:val="22"/>
          <w:szCs w:val="22"/>
          <w:lang w:val="en-GB"/>
        </w:rPr>
        <w:t>are not published</w:t>
      </w:r>
      <w:proofErr w:type="gramEnd"/>
      <w:r w:rsidRPr="001A2339">
        <w:rPr>
          <w:rFonts w:ascii="Calibri" w:eastAsia="Calibri" w:hAnsi="Calibri"/>
          <w:sz w:val="22"/>
          <w:szCs w:val="22"/>
          <w:lang w:val="en-GB"/>
        </w:rPr>
        <w:t xml:space="preserve"> on the Register of expert groups.</w:t>
      </w:r>
    </w:p>
    <w:p w:rsidR="006B74A4" w:rsidRPr="001A2339" w:rsidRDefault="006B74A4" w:rsidP="006B74A4">
      <w:pPr>
        <w:pStyle w:val="ListParagraph"/>
        <w:numPr>
          <w:ilvl w:val="0"/>
          <w:numId w:val="10"/>
        </w:numPr>
        <w:spacing w:after="240"/>
        <w:contextualSpacing/>
        <w:rPr>
          <w:rFonts w:ascii="Calibri" w:eastAsia="Calibri" w:hAnsi="Calibri"/>
          <w:sz w:val="22"/>
          <w:szCs w:val="22"/>
          <w:lang w:val="en-GB"/>
        </w:rPr>
      </w:pPr>
      <w:r w:rsidRPr="001A2339">
        <w:rPr>
          <w:rFonts w:ascii="Calibri" w:eastAsia="Calibri" w:hAnsi="Calibri"/>
          <w:sz w:val="22"/>
          <w:szCs w:val="22"/>
          <w:lang w:val="en-GB"/>
        </w:rPr>
        <w:t xml:space="preserve">The expert group and some types of personal data of its members and observers, as described in Heading 4, </w:t>
      </w:r>
      <w:proofErr w:type="gramStart"/>
      <w:r w:rsidRPr="001A2339">
        <w:rPr>
          <w:rFonts w:ascii="Calibri" w:eastAsia="Calibri" w:hAnsi="Calibri"/>
          <w:sz w:val="22"/>
          <w:szCs w:val="22"/>
          <w:lang w:val="en-GB"/>
        </w:rPr>
        <w:t>are published</w:t>
      </w:r>
      <w:proofErr w:type="gramEnd"/>
      <w:r w:rsidRPr="001A2339">
        <w:rPr>
          <w:rFonts w:ascii="Calibri" w:eastAsia="Calibri" w:hAnsi="Calibri"/>
          <w:sz w:val="22"/>
          <w:szCs w:val="22"/>
          <w:lang w:val="en-GB"/>
        </w:rPr>
        <w:t xml:space="preserve"> on the Register of expert groups during the duration of existence of the expert group. </w:t>
      </w:r>
    </w:p>
    <w:p w:rsidR="006B74A4" w:rsidRPr="001A2339" w:rsidRDefault="006B74A4" w:rsidP="006B74A4">
      <w:pPr>
        <w:pStyle w:val="ListParagraph"/>
        <w:numPr>
          <w:ilvl w:val="0"/>
          <w:numId w:val="10"/>
        </w:numPr>
        <w:spacing w:after="240"/>
        <w:contextualSpacing/>
        <w:rPr>
          <w:rFonts w:ascii="Calibri" w:eastAsia="Calibri" w:hAnsi="Calibri"/>
          <w:sz w:val="22"/>
          <w:szCs w:val="22"/>
          <w:lang w:val="en-GB"/>
        </w:rPr>
      </w:pPr>
      <w:r w:rsidRPr="001A2339">
        <w:rPr>
          <w:rFonts w:ascii="Calibri" w:eastAsia="Calibri" w:hAnsi="Calibri"/>
          <w:sz w:val="22"/>
          <w:szCs w:val="22"/>
          <w:lang w:val="en-GB"/>
        </w:rPr>
        <w:t xml:space="preserve">When an individual is no longer </w:t>
      </w:r>
      <w:proofErr w:type="gramStart"/>
      <w:r w:rsidRPr="001A2339">
        <w:rPr>
          <w:rFonts w:ascii="Calibri" w:eastAsia="Calibri" w:hAnsi="Calibri"/>
          <w:sz w:val="22"/>
          <w:szCs w:val="22"/>
          <w:lang w:val="en-GB"/>
        </w:rPr>
        <w:t>member or observer</w:t>
      </w:r>
      <w:proofErr w:type="gramEnd"/>
      <w:r w:rsidRPr="001A2339">
        <w:rPr>
          <w:rFonts w:ascii="Calibri" w:eastAsia="Calibri" w:hAnsi="Calibri"/>
          <w:sz w:val="22"/>
          <w:szCs w:val="22"/>
          <w:lang w:val="en-GB"/>
        </w:rPr>
        <w:t xml:space="preserve"> or representative of a member or observer of an expert group listed in the Register of expert groups, all personal data related to this individual, including a declaration of interests, is removed from the Register and is therefore not public anymore.</w:t>
      </w:r>
    </w:p>
    <w:p w:rsidR="006B74A4" w:rsidRPr="001A2339" w:rsidRDefault="006B74A4" w:rsidP="006B74A4">
      <w:pPr>
        <w:pStyle w:val="ListParagraph"/>
        <w:numPr>
          <w:ilvl w:val="0"/>
          <w:numId w:val="10"/>
        </w:numPr>
        <w:spacing w:after="240"/>
        <w:contextualSpacing/>
        <w:rPr>
          <w:rFonts w:ascii="Calibri" w:eastAsia="Calibri" w:hAnsi="Calibri"/>
          <w:sz w:val="22"/>
          <w:szCs w:val="22"/>
          <w:lang w:val="en-GB"/>
        </w:rPr>
      </w:pPr>
      <w:proofErr w:type="gramStart"/>
      <w:r w:rsidRPr="001A2339">
        <w:rPr>
          <w:rFonts w:ascii="Calibri" w:eastAsia="Calibri" w:hAnsi="Calibri"/>
          <w:sz w:val="22"/>
          <w:szCs w:val="22"/>
          <w:lang w:val="en-GB"/>
        </w:rPr>
        <w:t>The competent Commission services keep personal data for the period during which the relevant individual is a member or an observer or a representative of a member or of an observer of the group and for five years after the date on which the individual is no longer member or observer or representative of a member or observer of the group.</w:t>
      </w:r>
      <w:proofErr w:type="gramEnd"/>
    </w:p>
    <w:p w:rsidR="006B74A4" w:rsidRPr="001A2339" w:rsidRDefault="006B74A4" w:rsidP="006B74A4">
      <w:pPr>
        <w:pStyle w:val="ListParagraph"/>
        <w:numPr>
          <w:ilvl w:val="0"/>
          <w:numId w:val="10"/>
        </w:numPr>
        <w:spacing w:after="240"/>
        <w:contextualSpacing/>
        <w:rPr>
          <w:rFonts w:ascii="Calibri" w:eastAsia="Calibri" w:hAnsi="Calibri"/>
          <w:sz w:val="22"/>
          <w:szCs w:val="22"/>
          <w:lang w:val="en-GB"/>
        </w:rPr>
      </w:pPr>
      <w:r w:rsidRPr="001A2339">
        <w:rPr>
          <w:rFonts w:ascii="Calibri" w:eastAsia="Calibri" w:hAnsi="Calibri"/>
          <w:sz w:val="22"/>
          <w:szCs w:val="22"/>
          <w:lang w:val="en-GB"/>
        </w:rPr>
        <w:t xml:space="preserve">When a group </w:t>
      </w:r>
      <w:proofErr w:type="gramStart"/>
      <w:r w:rsidRPr="001A2339">
        <w:rPr>
          <w:rFonts w:ascii="Calibri" w:eastAsia="Calibri" w:hAnsi="Calibri"/>
          <w:sz w:val="22"/>
          <w:szCs w:val="22"/>
          <w:lang w:val="en-GB"/>
        </w:rPr>
        <w:t>is closed down,</w:t>
      </w:r>
      <w:proofErr w:type="gramEnd"/>
      <w:r w:rsidRPr="001A2339">
        <w:rPr>
          <w:rFonts w:ascii="Calibri" w:eastAsia="Calibri" w:hAnsi="Calibri"/>
          <w:sz w:val="22"/>
          <w:szCs w:val="22"/>
          <w:lang w:val="en-GB"/>
        </w:rPr>
        <w:t xml:space="preserve"> it remains published in the Register of expert groups for five years, with the indication 'Closed'. Those types of personal data other than the declarations of interests of members and observers appointed in personal capacity that were published </w:t>
      </w:r>
      <w:r w:rsidRPr="001A2339">
        <w:rPr>
          <w:rFonts w:ascii="Calibri" w:eastAsia="Calibri" w:hAnsi="Calibri"/>
          <w:sz w:val="22"/>
          <w:szCs w:val="22"/>
          <w:lang w:val="en-GB"/>
        </w:rPr>
        <w:lastRenderedPageBreak/>
        <w:t xml:space="preserve">while the group was active remain visible on the Register of expert groups during these five years. On the contrary, the said declarations of interests </w:t>
      </w:r>
      <w:proofErr w:type="gramStart"/>
      <w:r w:rsidRPr="001A2339">
        <w:rPr>
          <w:rFonts w:ascii="Calibri" w:eastAsia="Calibri" w:hAnsi="Calibri"/>
          <w:sz w:val="22"/>
          <w:szCs w:val="22"/>
          <w:lang w:val="en-GB"/>
        </w:rPr>
        <w:t>are removed</w:t>
      </w:r>
      <w:proofErr w:type="gramEnd"/>
      <w:r w:rsidRPr="001A2339">
        <w:rPr>
          <w:rFonts w:ascii="Calibri" w:eastAsia="Calibri" w:hAnsi="Calibri"/>
          <w:sz w:val="22"/>
          <w:szCs w:val="22"/>
          <w:lang w:val="en-GB"/>
        </w:rPr>
        <w:t xml:space="preserve"> from the Register after closure of a group and are therefore not public anymore; they are however kept by the competent Commission service for a period of five years after the closure of the group.</w:t>
      </w:r>
    </w:p>
    <w:p w:rsidR="006B74A4" w:rsidRPr="001A2339" w:rsidRDefault="006B74A4" w:rsidP="006B74A4">
      <w:pPr>
        <w:pStyle w:val="ListParagraph"/>
        <w:numPr>
          <w:ilvl w:val="0"/>
          <w:numId w:val="10"/>
        </w:numPr>
        <w:spacing w:after="240"/>
        <w:contextualSpacing/>
        <w:rPr>
          <w:rFonts w:ascii="Calibri" w:eastAsia="Calibri" w:hAnsi="Calibri"/>
          <w:sz w:val="22"/>
          <w:szCs w:val="22"/>
          <w:lang w:val="en-GB"/>
        </w:rPr>
      </w:pPr>
      <w:r w:rsidRPr="001A2339">
        <w:rPr>
          <w:rFonts w:ascii="Calibri" w:eastAsia="Calibri" w:hAnsi="Calibri"/>
          <w:sz w:val="22"/>
          <w:szCs w:val="22"/>
          <w:lang w:val="en-GB"/>
        </w:rPr>
        <w:t xml:space="preserve">An XML file </w:t>
      </w:r>
      <w:proofErr w:type="gramStart"/>
      <w:r w:rsidRPr="001A2339">
        <w:rPr>
          <w:rFonts w:ascii="Calibri" w:eastAsia="Calibri" w:hAnsi="Calibri"/>
          <w:sz w:val="22"/>
          <w:szCs w:val="22"/>
          <w:lang w:val="en-GB"/>
        </w:rPr>
        <w:t>is created</w:t>
      </w:r>
      <w:proofErr w:type="gramEnd"/>
      <w:r w:rsidRPr="001A2339">
        <w:rPr>
          <w:rFonts w:ascii="Calibri" w:eastAsia="Calibri" w:hAnsi="Calibri"/>
          <w:sz w:val="22"/>
          <w:szCs w:val="22"/>
          <w:lang w:val="en-GB"/>
        </w:rPr>
        <w:t xml:space="preserve"> daily with all the information regarding active groups. All versions of this file, showing the situation of the Register of expert groups as of the day it </w:t>
      </w:r>
      <w:proofErr w:type="gramStart"/>
      <w:r w:rsidRPr="001A2339">
        <w:rPr>
          <w:rFonts w:ascii="Calibri" w:eastAsia="Calibri" w:hAnsi="Calibri"/>
          <w:sz w:val="22"/>
          <w:szCs w:val="22"/>
          <w:lang w:val="en-GB"/>
        </w:rPr>
        <w:t>was created</w:t>
      </w:r>
      <w:proofErr w:type="gramEnd"/>
      <w:r w:rsidRPr="001A2339">
        <w:rPr>
          <w:rFonts w:ascii="Calibri" w:eastAsia="Calibri" w:hAnsi="Calibri"/>
          <w:sz w:val="22"/>
          <w:szCs w:val="22"/>
          <w:lang w:val="en-GB"/>
        </w:rPr>
        <w:t>, are stored in a file server for 5 years and are not public.</w:t>
      </w:r>
    </w:p>
    <w:p w:rsidR="006B74A4" w:rsidRPr="001A2339" w:rsidRDefault="006B74A4" w:rsidP="006B74A4">
      <w:pPr>
        <w:numPr>
          <w:ilvl w:val="0"/>
          <w:numId w:val="8"/>
        </w:numPr>
        <w:spacing w:after="200"/>
        <w:rPr>
          <w:rFonts w:ascii="Calibri" w:eastAsia="Calibri" w:hAnsi="Calibri"/>
          <w:b/>
          <w:sz w:val="22"/>
          <w:szCs w:val="22"/>
          <w:u w:val="single"/>
          <w:lang w:val="en-GB"/>
        </w:rPr>
      </w:pPr>
      <w:r w:rsidRPr="001A2339">
        <w:rPr>
          <w:rFonts w:ascii="Calibri" w:eastAsia="Calibri" w:hAnsi="Calibri"/>
          <w:b/>
          <w:sz w:val="22"/>
          <w:szCs w:val="22"/>
          <w:u w:val="single"/>
          <w:lang w:val="en-GB"/>
        </w:rPr>
        <w:t>How do we protect and safeguard your personal data?</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Personal data submitted in paper form is stored in the competent Commission service. All personal data in electronic format (e-mails, documents, databases, uploaded batches of data, etc.) are stored on the servers of the Commission </w:t>
      </w:r>
      <w:r w:rsidRPr="001A2339">
        <w:rPr>
          <w:rFonts w:ascii="Calibri" w:eastAsia="Calibri" w:hAnsi="Calibri"/>
          <w:i/>
          <w:sz w:val="22"/>
          <w:szCs w:val="22"/>
          <w:lang w:val="en-GB"/>
        </w:rPr>
        <w:t>(or of its contractors (processors), if contractors are engaged to assist the controller)</w:t>
      </w:r>
      <w:r w:rsidRPr="001A2339">
        <w:rPr>
          <w:rFonts w:ascii="Calibri" w:eastAsia="Calibri" w:hAnsi="Calibri"/>
          <w:i/>
          <w:color w:val="FF0000"/>
          <w:sz w:val="22"/>
          <w:szCs w:val="22"/>
          <w:lang w:val="en-GB"/>
        </w:rPr>
        <w:t>.</w:t>
      </w:r>
      <w:r w:rsidRPr="001A2339">
        <w:rPr>
          <w:rFonts w:ascii="Calibri" w:eastAsia="Calibri" w:hAnsi="Calibri"/>
          <w:color w:val="FF0000"/>
          <w:sz w:val="22"/>
          <w:szCs w:val="22"/>
          <w:lang w:val="en-GB"/>
        </w:rPr>
        <w:t xml:space="preserve"> </w:t>
      </w:r>
      <w:r w:rsidRPr="001A2339">
        <w:rPr>
          <w:rFonts w:ascii="Calibri" w:eastAsia="Calibri" w:hAnsi="Calibri"/>
          <w:sz w:val="22"/>
          <w:szCs w:val="22"/>
          <w:lang w:val="en-GB"/>
        </w:rPr>
        <w:t xml:space="preserve">All processing operations are carried out pursuant to the </w:t>
      </w:r>
      <w:hyperlink r:id="rId11">
        <w:r w:rsidRPr="001A2339">
          <w:rPr>
            <w:rStyle w:val="Hyperlink"/>
            <w:rFonts w:ascii="Calibri" w:eastAsia="Calibri" w:hAnsi="Calibri"/>
            <w:sz w:val="22"/>
            <w:szCs w:val="22"/>
            <w:lang w:val="en-GB"/>
          </w:rPr>
          <w:t xml:space="preserve">Commission Decision (EU, </w:t>
        </w:r>
        <w:proofErr w:type="spellStart"/>
        <w:proofErr w:type="gramStart"/>
        <w:r w:rsidRPr="001A2339">
          <w:rPr>
            <w:rStyle w:val="Hyperlink"/>
            <w:rFonts w:ascii="Calibri" w:eastAsia="Calibri" w:hAnsi="Calibri"/>
            <w:sz w:val="22"/>
            <w:szCs w:val="22"/>
            <w:lang w:val="en-GB"/>
          </w:rPr>
          <w:t>Euratom</w:t>
        </w:r>
        <w:proofErr w:type="spellEnd"/>
        <w:proofErr w:type="gramEnd"/>
        <w:r w:rsidRPr="001A2339">
          <w:rPr>
            <w:rStyle w:val="Hyperlink"/>
            <w:rFonts w:ascii="Calibri" w:eastAsia="Calibri" w:hAnsi="Calibri"/>
            <w:sz w:val="22"/>
            <w:szCs w:val="22"/>
            <w:lang w:val="en-GB"/>
          </w:rPr>
          <w:t>) 2017/46</w:t>
        </w:r>
      </w:hyperlink>
      <w:r w:rsidRPr="001A2339">
        <w:rPr>
          <w:rFonts w:ascii="Calibri" w:eastAsia="Calibri" w:hAnsi="Calibri"/>
          <w:sz w:val="22"/>
          <w:szCs w:val="22"/>
          <w:lang w:val="en-GB"/>
        </w:rPr>
        <w:t xml:space="preserve"> of 10 January 2017 on the security of communication and information systems in the European Commission.</w:t>
      </w:r>
    </w:p>
    <w:p w:rsidR="006B74A4" w:rsidRPr="001A2339" w:rsidRDefault="006B74A4" w:rsidP="006B74A4">
      <w:pPr>
        <w:spacing w:after="200"/>
        <w:rPr>
          <w:rFonts w:ascii="Calibri" w:eastAsia="Calibri" w:hAnsi="Calibri"/>
          <w:sz w:val="22"/>
          <w:szCs w:val="22"/>
          <w:lang w:val="en-GB"/>
        </w:rPr>
      </w:pPr>
      <w:r w:rsidRPr="001A2339">
        <w:rPr>
          <w:rFonts w:ascii="Calibri" w:eastAsia="Calibri" w:hAnsi="Calibri"/>
          <w:sz w:val="22"/>
          <w:szCs w:val="22"/>
          <w:lang w:val="en-GB"/>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rsidR="006B74A4" w:rsidRPr="001A2339" w:rsidRDefault="006B74A4" w:rsidP="006B74A4">
      <w:pPr>
        <w:spacing w:after="240"/>
        <w:rPr>
          <w:rFonts w:ascii="Calibri" w:eastAsia="Calibri" w:hAnsi="Calibri"/>
          <w:i/>
          <w:sz w:val="22"/>
          <w:szCs w:val="22"/>
          <w:lang w:val="en-GB"/>
        </w:rPr>
      </w:pPr>
      <w:r w:rsidRPr="001A2339">
        <w:rPr>
          <w:rFonts w:ascii="Calibri" w:eastAsia="Calibri" w:hAnsi="Calibri"/>
          <w:i/>
          <w:sz w:val="22"/>
          <w:szCs w:val="22"/>
          <w:lang w:val="en-GB"/>
        </w:rPr>
        <w:t xml:space="preserve">If the controller uses (a) contractor(s) (processor(s)) to assist the controller, this </w:t>
      </w:r>
      <w:proofErr w:type="gramStart"/>
      <w:r w:rsidRPr="001A2339">
        <w:rPr>
          <w:rFonts w:ascii="Calibri" w:eastAsia="Calibri" w:hAnsi="Calibri"/>
          <w:i/>
          <w:sz w:val="22"/>
          <w:szCs w:val="22"/>
          <w:lang w:val="en-GB"/>
        </w:rPr>
        <w:t>will be indicated</w:t>
      </w:r>
      <w:proofErr w:type="gramEnd"/>
      <w:r w:rsidRPr="001A2339">
        <w:rPr>
          <w:rFonts w:ascii="Calibri" w:eastAsia="Calibri" w:hAnsi="Calibri"/>
          <w:i/>
          <w:sz w:val="22"/>
          <w:szCs w:val="22"/>
          <w:lang w:val="en-GB"/>
        </w:rPr>
        <w:t xml:space="preserve"> in the specific privacy statement and the following paragraph will be provided:</w:t>
      </w:r>
    </w:p>
    <w:p w:rsidR="006B74A4" w:rsidRPr="001A2339" w:rsidRDefault="006B74A4" w:rsidP="006B74A4">
      <w:pPr>
        <w:spacing w:after="240"/>
        <w:rPr>
          <w:rFonts w:ascii="Calibri" w:eastAsia="Calibri" w:hAnsi="Calibri"/>
          <w:i/>
          <w:sz w:val="22"/>
          <w:szCs w:val="22"/>
          <w:lang w:val="en-GB"/>
        </w:rPr>
      </w:pPr>
      <w:r w:rsidRPr="001A2339">
        <w:rPr>
          <w:rFonts w:ascii="Calibri" w:eastAsia="Calibri" w:hAnsi="Calibri"/>
          <w:sz w:val="22"/>
          <w:szCs w:val="22"/>
          <w:lang w:val="en-GB"/>
        </w:rPr>
        <w:t xml:space="preserve">The Commission’s processors (contractors) </w:t>
      </w:r>
      <w:proofErr w:type="gramStart"/>
      <w:r w:rsidRPr="001A2339">
        <w:rPr>
          <w:rFonts w:ascii="Calibri" w:eastAsia="Calibri" w:hAnsi="Calibri"/>
          <w:sz w:val="22"/>
          <w:szCs w:val="22"/>
          <w:lang w:val="en-GB"/>
        </w:rPr>
        <w:t>are bound</w:t>
      </w:r>
      <w:proofErr w:type="gramEnd"/>
      <w:r w:rsidRPr="001A2339">
        <w:rPr>
          <w:rFonts w:ascii="Calibri" w:eastAsia="Calibri" w:hAnsi="Calibri"/>
          <w:sz w:val="22"/>
          <w:szCs w:val="22"/>
          <w:lang w:val="en-GB"/>
        </w:rPr>
        <w:t xml:space="preserve"> by a specific contractual clause for any processing operations of your personal data on behalf of the Commission. The processors have to put in place appropriate technical and organisational measures to ensure the level of security, required by the Commission.</w:t>
      </w:r>
    </w:p>
    <w:p w:rsidR="006B74A4" w:rsidRPr="001A2339" w:rsidRDefault="006B74A4" w:rsidP="006B74A4">
      <w:pPr>
        <w:spacing w:after="200"/>
        <w:rPr>
          <w:rFonts w:ascii="Calibri" w:eastAsia="Calibri" w:hAnsi="Calibri"/>
          <w:sz w:val="22"/>
          <w:szCs w:val="22"/>
          <w:lang w:val="en-GB"/>
        </w:rPr>
      </w:pPr>
    </w:p>
    <w:p w:rsidR="006B74A4" w:rsidRPr="001A2339" w:rsidRDefault="006B74A4" w:rsidP="006B74A4">
      <w:pPr>
        <w:numPr>
          <w:ilvl w:val="0"/>
          <w:numId w:val="8"/>
        </w:numPr>
        <w:spacing w:after="200"/>
        <w:rPr>
          <w:rFonts w:ascii="Calibri" w:eastAsia="Calibri" w:hAnsi="Calibri"/>
          <w:b/>
          <w:sz w:val="22"/>
          <w:szCs w:val="22"/>
          <w:u w:val="single"/>
          <w:lang w:val="en-GB"/>
        </w:rPr>
      </w:pPr>
      <w:r w:rsidRPr="001A2339">
        <w:rPr>
          <w:rFonts w:ascii="Calibri" w:eastAsia="Calibri" w:hAnsi="Calibri"/>
          <w:b/>
          <w:sz w:val="22"/>
          <w:szCs w:val="22"/>
          <w:u w:val="single"/>
          <w:lang w:val="en-GB"/>
        </w:rPr>
        <w:t>Who has access to your personal data and to whom is it disclosed?</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Access to your personal data collected in the course of the process of selection of members of expert groups is provided to the Commission staff authorised for carrying out this processing operation and to other authorised Commission staff according to the “need to know” principle. Such staff abide by statutory, and when required, additional confidentiality agreements.</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Certain personal data collected, as explained in Headings 4 and 5, is publicly available on the Register of expert groups. </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The XML files referred to in Heading 5 are only accessible to a reduced number of users in the Secretariat-General (System Owner) and IT development team within the Commission (System Supplier). </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Please note that pursuant to Article 3(13) of Regulation (EU) 2018/1725, public authorities (e.g. Court of Auditors, EU Court of Justice) which may receive personal data in the framework of a particular inquiry in accordance with Union or Member State law </w:t>
      </w:r>
      <w:proofErr w:type="gramStart"/>
      <w:r w:rsidRPr="001A2339">
        <w:rPr>
          <w:rFonts w:ascii="Calibri" w:eastAsia="Calibri" w:hAnsi="Calibri"/>
          <w:sz w:val="22"/>
          <w:szCs w:val="22"/>
          <w:lang w:val="en-GB"/>
        </w:rPr>
        <w:t>shall not be regarded</w:t>
      </w:r>
      <w:proofErr w:type="gramEnd"/>
      <w:r w:rsidRPr="001A2339">
        <w:rPr>
          <w:rFonts w:ascii="Calibri" w:eastAsia="Calibri" w:hAnsi="Calibri"/>
          <w:sz w:val="22"/>
          <w:szCs w:val="22"/>
          <w:lang w:val="en-GB"/>
        </w:rPr>
        <w:t xml:space="preserve"> as recipients. The further processing of those data by those public authorities shall </w:t>
      </w:r>
      <w:proofErr w:type="gramStart"/>
      <w:r w:rsidRPr="001A2339">
        <w:rPr>
          <w:rFonts w:ascii="Calibri" w:eastAsia="Calibri" w:hAnsi="Calibri"/>
          <w:sz w:val="22"/>
          <w:szCs w:val="22"/>
          <w:lang w:val="en-GB"/>
        </w:rPr>
        <w:t>be in compliance</w:t>
      </w:r>
      <w:proofErr w:type="gramEnd"/>
      <w:r w:rsidRPr="001A2339">
        <w:rPr>
          <w:rFonts w:ascii="Calibri" w:eastAsia="Calibri" w:hAnsi="Calibri"/>
          <w:sz w:val="22"/>
          <w:szCs w:val="22"/>
          <w:lang w:val="en-GB"/>
        </w:rPr>
        <w:t xml:space="preserve"> with the applicable data protection rules according to the purposes of the processing.</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lastRenderedPageBreak/>
        <w:t xml:space="preserve">The information we collect </w:t>
      </w:r>
      <w:proofErr w:type="gramStart"/>
      <w:r w:rsidRPr="001A2339">
        <w:rPr>
          <w:rFonts w:ascii="Calibri" w:eastAsia="Calibri" w:hAnsi="Calibri"/>
          <w:sz w:val="22"/>
          <w:szCs w:val="22"/>
          <w:lang w:val="en-GB"/>
        </w:rPr>
        <w:t>will not be given</w:t>
      </w:r>
      <w:proofErr w:type="gramEnd"/>
      <w:r w:rsidRPr="001A2339">
        <w:rPr>
          <w:rFonts w:ascii="Calibri" w:eastAsia="Calibri" w:hAnsi="Calibri"/>
          <w:sz w:val="22"/>
          <w:szCs w:val="22"/>
          <w:lang w:val="en-GB"/>
        </w:rPr>
        <w:t xml:space="preserve"> to any third party, except to the extent and for the purpose we may be required to do so by law.</w:t>
      </w:r>
    </w:p>
    <w:p w:rsidR="006B74A4" w:rsidRPr="001A2339" w:rsidRDefault="006B74A4" w:rsidP="006B74A4">
      <w:pPr>
        <w:numPr>
          <w:ilvl w:val="0"/>
          <w:numId w:val="8"/>
        </w:numPr>
        <w:spacing w:after="200"/>
        <w:ind w:left="714" w:hanging="357"/>
        <w:rPr>
          <w:rFonts w:ascii="Calibri" w:eastAsia="Calibri" w:hAnsi="Calibri"/>
          <w:b/>
          <w:sz w:val="22"/>
          <w:szCs w:val="22"/>
          <w:u w:val="single"/>
          <w:lang w:val="en-GB"/>
        </w:rPr>
      </w:pPr>
      <w:r w:rsidRPr="001A2339">
        <w:rPr>
          <w:rFonts w:ascii="Calibri" w:eastAsia="Calibri" w:hAnsi="Calibri"/>
          <w:b/>
          <w:sz w:val="22"/>
          <w:szCs w:val="22"/>
          <w:u w:val="single"/>
          <w:lang w:val="en-GB"/>
        </w:rPr>
        <w:t xml:space="preserve">What are your rights and how can you exercise them? </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You have specific rights as a ‘data subject’ under Chapter III (Articles 14-25) 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You have the right to object to the processing of your personal data on grounds relating to your particular situation in accordance with Article 23(1) of Regulation (EU) 2018/1725. </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As indicated in Heading 4, if you are a representative of an organisation, Member State or another public entity, you may consent to have your name published on the Register of expert groups. You can withdraw your consent at any time by notifying the Data Controller. The withdrawal will not affect the lawfulness of the processing carried out before you have withdrawn the consent.</w:t>
      </w:r>
    </w:p>
    <w:p w:rsidR="006B74A4" w:rsidRPr="001A2339" w:rsidRDefault="006B74A4" w:rsidP="006B74A4">
      <w:pPr>
        <w:spacing w:after="240"/>
        <w:rPr>
          <w:rFonts w:ascii="Calibri" w:eastAsia="Calibri" w:hAnsi="Calibri"/>
          <w:sz w:val="22"/>
          <w:szCs w:val="22"/>
          <w:lang w:val="en-GB"/>
        </w:rPr>
      </w:pPr>
      <w:proofErr w:type="gramStart"/>
      <w:r w:rsidRPr="001A2339">
        <w:rPr>
          <w:rFonts w:ascii="Calibri" w:eastAsia="Calibri" w:hAnsi="Calibri"/>
          <w:sz w:val="22"/>
          <w:szCs w:val="22"/>
          <w:lang w:val="en-GB"/>
        </w:rPr>
        <w:t>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w:t>
      </w:r>
      <w:proofErr w:type="gramEnd"/>
      <w:r w:rsidRPr="001A2339">
        <w:rPr>
          <w:rFonts w:ascii="Calibri" w:eastAsia="Calibri" w:hAnsi="Calibri"/>
          <w:sz w:val="22"/>
          <w:szCs w:val="22"/>
          <w:lang w:val="en-GB"/>
        </w:rPr>
        <w:t xml:space="preserve">   </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1A2339">
        <w:rPr>
          <w:rFonts w:ascii="Calibri" w:eastAsia="Calibri" w:hAnsi="Calibri"/>
          <w:sz w:val="22"/>
          <w:szCs w:val="22"/>
          <w:lang w:val="en-GB"/>
        </w:rPr>
        <w:t>is given</w:t>
      </w:r>
      <w:proofErr w:type="gramEnd"/>
      <w:r w:rsidRPr="001A2339">
        <w:rPr>
          <w:rFonts w:ascii="Calibri" w:eastAsia="Calibri" w:hAnsi="Calibri"/>
          <w:sz w:val="22"/>
          <w:szCs w:val="22"/>
          <w:lang w:val="en-GB"/>
        </w:rPr>
        <w:t xml:space="preserve"> under Heading 9 below. </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Where you wish to exercise your rights in the context of one or several specific processing operations, please provide their description (i.e. their Record reference(s) as specified under Heading 10 below) in your request.</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Any request for access to personal data </w:t>
      </w:r>
      <w:proofErr w:type="gramStart"/>
      <w:r w:rsidRPr="001A2339">
        <w:rPr>
          <w:rFonts w:ascii="Calibri" w:eastAsia="Calibri" w:hAnsi="Calibri"/>
          <w:sz w:val="22"/>
          <w:szCs w:val="22"/>
          <w:lang w:val="en-GB"/>
        </w:rPr>
        <w:t>will be handled</w:t>
      </w:r>
      <w:proofErr w:type="gramEnd"/>
      <w:r w:rsidRPr="001A2339">
        <w:rPr>
          <w:rFonts w:ascii="Calibri" w:eastAsia="Calibri" w:hAnsi="Calibri"/>
          <w:sz w:val="22"/>
          <w:szCs w:val="22"/>
          <w:lang w:val="en-GB"/>
        </w:rPr>
        <w:t xml:space="preserve"> within one month. Any other request mentioned above </w:t>
      </w:r>
      <w:proofErr w:type="gramStart"/>
      <w:r w:rsidRPr="001A2339">
        <w:rPr>
          <w:rFonts w:ascii="Calibri" w:eastAsia="Calibri" w:hAnsi="Calibri"/>
          <w:sz w:val="22"/>
          <w:szCs w:val="22"/>
          <w:lang w:val="en-GB"/>
        </w:rPr>
        <w:t>will be addressed</w:t>
      </w:r>
      <w:proofErr w:type="gramEnd"/>
      <w:r w:rsidRPr="001A2339">
        <w:rPr>
          <w:rFonts w:ascii="Calibri" w:eastAsia="Calibri" w:hAnsi="Calibri"/>
          <w:sz w:val="22"/>
          <w:szCs w:val="22"/>
          <w:lang w:val="en-GB"/>
        </w:rPr>
        <w:t xml:space="preserve"> within 15 working days.</w:t>
      </w:r>
    </w:p>
    <w:p w:rsidR="006B74A4" w:rsidRPr="001A2339" w:rsidRDefault="006B74A4" w:rsidP="006B74A4">
      <w:pPr>
        <w:numPr>
          <w:ilvl w:val="0"/>
          <w:numId w:val="8"/>
        </w:numPr>
        <w:spacing w:after="200"/>
        <w:rPr>
          <w:rFonts w:ascii="Calibri" w:eastAsia="Calibri" w:hAnsi="Calibri"/>
          <w:b/>
          <w:sz w:val="22"/>
          <w:szCs w:val="22"/>
          <w:u w:val="single"/>
          <w:lang w:val="en-GB"/>
        </w:rPr>
      </w:pPr>
      <w:r w:rsidRPr="001A2339">
        <w:rPr>
          <w:rFonts w:ascii="Calibri" w:eastAsia="Calibri" w:hAnsi="Calibri"/>
          <w:b/>
          <w:sz w:val="22"/>
          <w:szCs w:val="22"/>
          <w:u w:val="single"/>
          <w:lang w:val="en-GB"/>
        </w:rPr>
        <w:t>Contact information</w:t>
      </w:r>
    </w:p>
    <w:p w:rsidR="006B74A4" w:rsidRPr="001A2339" w:rsidRDefault="006B74A4" w:rsidP="006B74A4">
      <w:pPr>
        <w:pStyle w:val="ListParagraph"/>
        <w:numPr>
          <w:ilvl w:val="0"/>
          <w:numId w:val="9"/>
        </w:numPr>
        <w:spacing w:after="240"/>
        <w:contextualSpacing/>
        <w:rPr>
          <w:rFonts w:ascii="Calibri" w:eastAsia="Calibri" w:hAnsi="Calibri"/>
          <w:sz w:val="22"/>
          <w:szCs w:val="22"/>
          <w:lang w:val="en-GB"/>
        </w:rPr>
      </w:pPr>
      <w:r w:rsidRPr="001A2339">
        <w:rPr>
          <w:rFonts w:ascii="Calibri" w:eastAsia="Calibri" w:hAnsi="Calibri"/>
          <w:b/>
          <w:sz w:val="22"/>
          <w:szCs w:val="22"/>
          <w:lang w:val="en-GB"/>
        </w:rPr>
        <w:t>The Data Controller</w:t>
      </w:r>
    </w:p>
    <w:p w:rsidR="006B74A4" w:rsidRPr="001A2339" w:rsidRDefault="006B74A4" w:rsidP="006B74A4">
      <w:pPr>
        <w:spacing w:after="240"/>
        <w:rPr>
          <w:rFonts w:ascii="Calibri" w:eastAsia="Calibri" w:hAnsi="Calibri"/>
          <w:sz w:val="22"/>
          <w:szCs w:val="22"/>
          <w:lang w:val="en-GB"/>
        </w:rPr>
      </w:pPr>
      <w:proofErr w:type="gramStart"/>
      <w:r w:rsidRPr="001A2339">
        <w:rPr>
          <w:rFonts w:ascii="Calibri" w:eastAsia="Calibri" w:hAnsi="Calibri"/>
          <w:sz w:val="22"/>
          <w:szCs w:val="22"/>
          <w:lang w:val="en-GB"/>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 please contact the functional mailbox of the Commission service in charge of a specific expert group (i.e. service, indicated in the specific privacy statement for that expert group).</w:t>
      </w:r>
      <w:proofErr w:type="gramEnd"/>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Likewise, as regards the data published on the Register of expert groups, please contact the corresponding Data Controller Secretariat-General, Unit G4: </w:t>
      </w:r>
      <w:hyperlink r:id="rId12">
        <w:r w:rsidRPr="001A2339">
          <w:rPr>
            <w:rStyle w:val="Hyperlink"/>
            <w:rFonts w:ascii="Calibri" w:eastAsia="Calibri" w:hAnsi="Calibri"/>
            <w:sz w:val="22"/>
            <w:szCs w:val="22"/>
            <w:lang w:val="en-GB"/>
          </w:rPr>
          <w:t>SG-EXPERT-GROUPS@ec.europa.eu</w:t>
        </w:r>
      </w:hyperlink>
      <w:r w:rsidRPr="001A2339">
        <w:rPr>
          <w:rFonts w:ascii="Calibri" w:eastAsia="Calibri" w:hAnsi="Calibri"/>
          <w:sz w:val="22"/>
          <w:szCs w:val="22"/>
          <w:lang w:val="en-GB"/>
        </w:rPr>
        <w:t>.</w:t>
      </w:r>
    </w:p>
    <w:p w:rsidR="006B74A4" w:rsidRPr="001A2339" w:rsidRDefault="006B74A4" w:rsidP="006B74A4">
      <w:pPr>
        <w:pStyle w:val="ListParagraph"/>
        <w:numPr>
          <w:ilvl w:val="0"/>
          <w:numId w:val="9"/>
        </w:numPr>
        <w:spacing w:after="240"/>
        <w:contextualSpacing/>
        <w:rPr>
          <w:rFonts w:ascii="Calibri" w:eastAsia="Calibri" w:hAnsi="Calibri"/>
          <w:sz w:val="22"/>
          <w:szCs w:val="22"/>
          <w:lang w:val="en-GB"/>
        </w:rPr>
      </w:pPr>
      <w:r w:rsidRPr="001A2339">
        <w:rPr>
          <w:rFonts w:ascii="Calibri" w:eastAsia="Calibri" w:hAnsi="Calibri"/>
          <w:b/>
          <w:sz w:val="22"/>
          <w:szCs w:val="22"/>
          <w:lang w:val="en-GB"/>
        </w:rPr>
        <w:t>The Data Protection Officer (DPO) of the Commission</w:t>
      </w:r>
    </w:p>
    <w:p w:rsidR="006B74A4" w:rsidRPr="001A2339" w:rsidRDefault="006B74A4" w:rsidP="006B74A4">
      <w:pPr>
        <w:rPr>
          <w:rFonts w:ascii="Calibri" w:eastAsia="Calibri" w:hAnsi="Calibri"/>
          <w:sz w:val="22"/>
          <w:szCs w:val="22"/>
          <w:lang w:val="en-GB"/>
        </w:rPr>
      </w:pPr>
      <w:r w:rsidRPr="001A2339">
        <w:rPr>
          <w:rFonts w:ascii="Calibri" w:eastAsia="Calibri" w:hAnsi="Calibri"/>
          <w:sz w:val="22"/>
          <w:szCs w:val="22"/>
          <w:lang w:val="en-GB"/>
        </w:rPr>
        <w:t>You may contact the Data Protection Officer (</w:t>
      </w:r>
      <w:hyperlink r:id="rId13">
        <w:r w:rsidRPr="001A2339">
          <w:rPr>
            <w:rStyle w:val="Hyperlink"/>
            <w:rFonts w:ascii="Calibri" w:eastAsia="Calibri" w:hAnsi="Calibri"/>
            <w:sz w:val="22"/>
            <w:szCs w:val="22"/>
            <w:lang w:val="en-GB"/>
          </w:rPr>
          <w:t>DATA-PROTECTION-OFFICER@ec.europa.eu</w:t>
        </w:r>
      </w:hyperlink>
      <w:r w:rsidRPr="001A2339">
        <w:rPr>
          <w:rFonts w:ascii="Calibri" w:eastAsia="Calibri" w:hAnsi="Calibri"/>
          <w:color w:val="0000FF"/>
          <w:sz w:val="22"/>
          <w:szCs w:val="22"/>
          <w:u w:val="single"/>
          <w:lang w:val="en-GB"/>
        </w:rPr>
        <w:t xml:space="preserve">) </w:t>
      </w:r>
      <w:r w:rsidRPr="001A2339">
        <w:rPr>
          <w:rFonts w:ascii="Calibri" w:eastAsia="Calibri" w:hAnsi="Calibri"/>
          <w:sz w:val="22"/>
          <w:szCs w:val="22"/>
          <w:lang w:val="en-GB"/>
        </w:rPr>
        <w:t>with regard to issues related to the processing of your personal data under Regulation (EU) 2018/1725.</w:t>
      </w:r>
    </w:p>
    <w:p w:rsidR="006B74A4" w:rsidRPr="001A2339" w:rsidRDefault="006B74A4" w:rsidP="006B74A4">
      <w:pPr>
        <w:rPr>
          <w:rFonts w:ascii="Calibri" w:eastAsia="Calibri" w:hAnsi="Calibri"/>
          <w:sz w:val="22"/>
          <w:szCs w:val="22"/>
          <w:lang w:val="en-GB"/>
        </w:rPr>
      </w:pPr>
    </w:p>
    <w:p w:rsidR="006B74A4" w:rsidRPr="001A2339" w:rsidRDefault="006B74A4" w:rsidP="006B74A4">
      <w:pPr>
        <w:pStyle w:val="ListParagraph"/>
        <w:numPr>
          <w:ilvl w:val="0"/>
          <w:numId w:val="9"/>
        </w:numPr>
        <w:ind w:left="357" w:hanging="357"/>
        <w:contextualSpacing/>
        <w:rPr>
          <w:rFonts w:ascii="Calibri" w:eastAsia="Calibri" w:hAnsi="Calibri"/>
          <w:b/>
          <w:sz w:val="22"/>
          <w:szCs w:val="22"/>
          <w:lang w:val="en-GB"/>
        </w:rPr>
      </w:pPr>
      <w:r w:rsidRPr="001A2339">
        <w:rPr>
          <w:rFonts w:ascii="Calibri" w:eastAsia="Calibri" w:hAnsi="Calibri"/>
          <w:b/>
          <w:sz w:val="22"/>
          <w:szCs w:val="22"/>
          <w:lang w:val="en-GB"/>
        </w:rPr>
        <w:lastRenderedPageBreak/>
        <w:t>The European Data Protection Supervisor (EDPS)</w:t>
      </w:r>
    </w:p>
    <w:p w:rsidR="006B74A4" w:rsidRPr="001A2339" w:rsidRDefault="006B74A4" w:rsidP="006B74A4">
      <w:pPr>
        <w:rPr>
          <w:rFonts w:ascii="Calibri" w:eastAsia="Calibri" w:hAnsi="Calibri"/>
          <w:sz w:val="22"/>
          <w:szCs w:val="22"/>
          <w:lang w:val="en-GB"/>
        </w:rPr>
      </w:pP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You have the right to have recourse (i.e. you can lodge a complaint) to the European Data Protection Supervisor</w:t>
      </w:r>
      <w:r w:rsidRPr="001A2339">
        <w:rPr>
          <w:rFonts w:ascii="Calibri" w:eastAsia="Calibri" w:hAnsi="Calibri"/>
          <w:color w:val="0000FF"/>
          <w:sz w:val="22"/>
          <w:szCs w:val="22"/>
          <w:u w:val="single"/>
          <w:lang w:val="en-GB"/>
        </w:rPr>
        <w:t xml:space="preserve"> (</w:t>
      </w:r>
      <w:hyperlink r:id="rId14">
        <w:r w:rsidRPr="001A2339">
          <w:rPr>
            <w:rFonts w:ascii="Calibri" w:eastAsia="Calibri" w:hAnsi="Calibri"/>
            <w:color w:val="0000FF"/>
            <w:sz w:val="22"/>
            <w:szCs w:val="22"/>
            <w:u w:val="single"/>
            <w:lang w:val="en-GB"/>
          </w:rPr>
          <w:t>edps@edps.europa.eu</w:t>
        </w:r>
      </w:hyperlink>
      <w:r w:rsidRPr="001A2339">
        <w:rPr>
          <w:rFonts w:ascii="Calibri" w:eastAsia="Calibri" w:hAnsi="Calibri"/>
          <w:color w:val="0000FF"/>
          <w:sz w:val="22"/>
          <w:szCs w:val="22"/>
          <w:u w:val="single"/>
          <w:lang w:val="en-GB"/>
        </w:rPr>
        <w:t>)</w:t>
      </w:r>
      <w:r w:rsidRPr="001A2339">
        <w:rPr>
          <w:rFonts w:ascii="Calibri" w:eastAsia="Calibri" w:hAnsi="Calibri"/>
          <w:color w:val="0000FF"/>
          <w:sz w:val="22"/>
          <w:szCs w:val="22"/>
          <w:lang w:val="en-GB"/>
        </w:rPr>
        <w:t xml:space="preserve"> </w:t>
      </w:r>
      <w:r w:rsidRPr="001A2339">
        <w:rPr>
          <w:rFonts w:ascii="Calibri" w:eastAsia="Calibri" w:hAnsi="Calibri"/>
          <w:sz w:val="22"/>
          <w:szCs w:val="22"/>
          <w:lang w:val="en-GB"/>
        </w:rPr>
        <w:t xml:space="preserve">if you consider that your rights under Regulation (EU) 2018/1725 have been infringed </w:t>
      </w:r>
      <w:proofErr w:type="gramStart"/>
      <w:r w:rsidRPr="001A2339">
        <w:rPr>
          <w:rFonts w:ascii="Calibri" w:eastAsia="Calibri" w:hAnsi="Calibri"/>
          <w:sz w:val="22"/>
          <w:szCs w:val="22"/>
          <w:lang w:val="en-GB"/>
        </w:rPr>
        <w:t>as a result</w:t>
      </w:r>
      <w:proofErr w:type="gramEnd"/>
      <w:r w:rsidRPr="001A2339">
        <w:rPr>
          <w:rFonts w:ascii="Calibri" w:eastAsia="Calibri" w:hAnsi="Calibri"/>
          <w:sz w:val="22"/>
          <w:szCs w:val="22"/>
          <w:lang w:val="en-GB"/>
        </w:rPr>
        <w:t xml:space="preserve"> of the processing of your personal data by the Data Controller.</w:t>
      </w:r>
    </w:p>
    <w:p w:rsidR="006B74A4" w:rsidRPr="001A2339" w:rsidRDefault="006B74A4" w:rsidP="006B74A4">
      <w:pPr>
        <w:numPr>
          <w:ilvl w:val="0"/>
          <w:numId w:val="8"/>
        </w:numPr>
        <w:spacing w:after="200"/>
        <w:rPr>
          <w:rFonts w:ascii="Calibri" w:eastAsia="Calibri" w:hAnsi="Calibri"/>
          <w:b/>
          <w:sz w:val="22"/>
          <w:szCs w:val="22"/>
          <w:u w:val="single"/>
          <w:lang w:val="en-GB"/>
        </w:rPr>
      </w:pPr>
      <w:r w:rsidRPr="001A2339">
        <w:rPr>
          <w:rFonts w:ascii="Calibri" w:eastAsia="Calibri" w:hAnsi="Calibri"/>
          <w:b/>
          <w:sz w:val="22"/>
          <w:szCs w:val="22"/>
          <w:u w:val="single"/>
          <w:lang w:val="en-GB"/>
        </w:rPr>
        <w:t xml:space="preserve">Where to find </w:t>
      </w:r>
      <w:proofErr w:type="gramStart"/>
      <w:r w:rsidRPr="001A2339">
        <w:rPr>
          <w:rFonts w:ascii="Calibri" w:eastAsia="Calibri" w:hAnsi="Calibri"/>
          <w:b/>
          <w:sz w:val="22"/>
          <w:szCs w:val="22"/>
          <w:u w:val="single"/>
          <w:lang w:val="en-GB"/>
        </w:rPr>
        <w:t>more detailed information</w:t>
      </w:r>
      <w:proofErr w:type="gramEnd"/>
      <w:r w:rsidRPr="001A2339">
        <w:rPr>
          <w:rFonts w:ascii="Calibri" w:eastAsia="Calibri" w:hAnsi="Calibri"/>
          <w:b/>
          <w:sz w:val="22"/>
          <w:szCs w:val="22"/>
          <w:u w:val="single"/>
          <w:lang w:val="en-GB"/>
        </w:rPr>
        <w:t>?</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 xml:space="preserve">The Commission Data Protection Officer (DPO) publishes the register of all processing operations on personal data by the Commission, which </w:t>
      </w:r>
      <w:proofErr w:type="gramStart"/>
      <w:r w:rsidRPr="001A2339">
        <w:rPr>
          <w:rFonts w:ascii="Calibri" w:eastAsia="Calibri" w:hAnsi="Calibri"/>
          <w:sz w:val="22"/>
          <w:szCs w:val="22"/>
          <w:lang w:val="en-GB"/>
        </w:rPr>
        <w:t>have been documented and notified to him</w:t>
      </w:r>
      <w:proofErr w:type="gramEnd"/>
      <w:r w:rsidRPr="001A2339">
        <w:rPr>
          <w:rFonts w:ascii="Calibri" w:eastAsia="Calibri" w:hAnsi="Calibri"/>
          <w:sz w:val="22"/>
          <w:szCs w:val="22"/>
          <w:lang w:val="en-GB"/>
        </w:rPr>
        <w:t xml:space="preserve">. You may access the register via the following link: </w:t>
      </w:r>
      <w:hyperlink r:id="rId15">
        <w:r w:rsidRPr="001A2339">
          <w:rPr>
            <w:rFonts w:ascii="Calibri" w:eastAsia="Calibri" w:hAnsi="Calibri"/>
            <w:color w:val="0000FF"/>
            <w:sz w:val="22"/>
            <w:szCs w:val="22"/>
            <w:u w:val="single"/>
            <w:lang w:val="en-GB"/>
          </w:rPr>
          <w:t>http://ec.europa.eu/dpo-register</w:t>
        </w:r>
      </w:hyperlink>
      <w:r w:rsidRPr="001A2339">
        <w:rPr>
          <w:rFonts w:ascii="Calibri" w:eastAsia="Calibri" w:hAnsi="Calibri"/>
          <w:sz w:val="22"/>
          <w:szCs w:val="22"/>
          <w:lang w:val="en-GB"/>
        </w:rPr>
        <w:t>.</w:t>
      </w:r>
    </w:p>
    <w:p w:rsidR="006B74A4" w:rsidRPr="001A2339" w:rsidRDefault="006B74A4" w:rsidP="006B74A4">
      <w:pPr>
        <w:spacing w:after="240"/>
        <w:rPr>
          <w:rFonts w:ascii="Calibri" w:eastAsia="Calibri" w:hAnsi="Calibri"/>
          <w:sz w:val="22"/>
          <w:szCs w:val="22"/>
          <w:lang w:val="en-GB"/>
        </w:rPr>
      </w:pPr>
      <w:r w:rsidRPr="001A2339">
        <w:rPr>
          <w:rFonts w:ascii="Calibri" w:eastAsia="Calibri" w:hAnsi="Calibri"/>
          <w:sz w:val="22"/>
          <w:szCs w:val="22"/>
          <w:lang w:val="en-GB"/>
        </w:rPr>
        <w:t>These specific processing operations will be included in the DPO’s public register with the following Record references: DPR-EC-01066 and DPR-EC-00656.</w:t>
      </w:r>
    </w:p>
    <w:p w:rsidR="000061C0" w:rsidRDefault="000061C0"/>
    <w:sectPr w:rsidR="000061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A4" w:rsidRDefault="006B74A4" w:rsidP="006B74A4">
      <w:r>
        <w:separator/>
      </w:r>
    </w:p>
  </w:endnote>
  <w:endnote w:type="continuationSeparator" w:id="0">
    <w:p w:rsidR="006B74A4" w:rsidRDefault="006B74A4" w:rsidP="006B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A4" w:rsidRDefault="006B74A4" w:rsidP="006B74A4">
      <w:r>
        <w:separator/>
      </w:r>
    </w:p>
  </w:footnote>
  <w:footnote w:type="continuationSeparator" w:id="0">
    <w:p w:rsidR="006B74A4" w:rsidRDefault="006B74A4" w:rsidP="006B74A4">
      <w:r>
        <w:continuationSeparator/>
      </w:r>
    </w:p>
  </w:footnote>
  <w:footnote w:id="1">
    <w:p w:rsidR="006B74A4" w:rsidRDefault="006B74A4" w:rsidP="006B74A4">
      <w:pPr>
        <w:pStyle w:val="FootnoteText"/>
      </w:pPr>
      <w:r>
        <w:rPr>
          <w:rStyle w:val="FootnoteReference"/>
        </w:rPr>
        <w:footnoteRef/>
      </w:r>
      <w:r>
        <w:t xml:space="preserve">  </w:t>
      </w:r>
      <w:r>
        <w:tab/>
        <w:t xml:space="preserve">This form </w:t>
      </w:r>
      <w:proofErr w:type="gramStart"/>
      <w:r>
        <w:rPr>
          <w:u w:val="single"/>
        </w:rPr>
        <w:t>must</w:t>
      </w:r>
      <w:r>
        <w:t xml:space="preserve"> be filled in, signed and returned with the application</w:t>
      </w:r>
      <w:proofErr w:type="gramEnd"/>
      <w:r>
        <w:t>.</w:t>
      </w:r>
    </w:p>
  </w:footnote>
  <w:footnote w:id="2">
    <w:p w:rsidR="006B74A4" w:rsidRDefault="006B74A4" w:rsidP="006B74A4">
      <w:pPr>
        <w:pStyle w:val="FootnoteText"/>
      </w:pPr>
      <w:r>
        <w:rPr>
          <w:rStyle w:val="FootnoteReference"/>
        </w:rPr>
        <w:footnoteRef/>
      </w:r>
      <w:r>
        <w:t xml:space="preserve">  </w:t>
      </w:r>
      <w:r>
        <w:tab/>
        <w:t xml:space="preserve">This form </w:t>
      </w:r>
      <w:proofErr w:type="gramStart"/>
      <w:r>
        <w:rPr>
          <w:u w:val="single"/>
        </w:rPr>
        <w:t>must</w:t>
      </w:r>
      <w:r>
        <w:t xml:space="preserve"> be filled in, signed and returned with the application</w:t>
      </w:r>
      <w:proofErr w:type="gramEnd"/>
      <w:r>
        <w:t>.</w:t>
      </w:r>
    </w:p>
  </w:footnote>
  <w:footnote w:id="3">
    <w:p w:rsidR="006B74A4" w:rsidRDefault="006B74A4" w:rsidP="006B74A4">
      <w:pPr>
        <w:pStyle w:val="FootnoteText"/>
        <w:spacing w:after="240"/>
      </w:pPr>
      <w:r>
        <w:rPr>
          <w:rStyle w:val="FootnoteReference"/>
        </w:rPr>
        <w:footnoteRef/>
      </w:r>
      <w:r>
        <w:t xml:space="preserve"> </w:t>
      </w:r>
      <w:r>
        <w:tab/>
        <w:t>Provisions included in this privacy statement referring to expert groups equally apply to their sub-groups.</w:t>
      </w:r>
    </w:p>
  </w:footnote>
  <w:footnote w:id="4">
    <w:p w:rsidR="006B74A4" w:rsidRDefault="006B74A4" w:rsidP="006B74A4">
      <w:pPr>
        <w:pStyle w:val="FootnoteText"/>
        <w:spacing w:after="240"/>
      </w:pPr>
      <w:r>
        <w:rPr>
          <w:rStyle w:val="FootnoteReference"/>
        </w:rPr>
        <w:footnoteRef/>
      </w:r>
      <w:r>
        <w:t xml:space="preserve"> </w:t>
      </w:r>
      <w:r>
        <w:tab/>
        <w:t xml:space="preserve">The Commission department responsible for the management of the expert group and the DPMS record number need to </w:t>
      </w:r>
      <w:proofErr w:type="gramStart"/>
      <w:r>
        <w:t>be specified</w:t>
      </w:r>
      <w:proofErr w:type="gramEnd"/>
      <w:r>
        <w:t xml:space="preserve"> in the privacy statement attached to the call.</w:t>
      </w:r>
    </w:p>
  </w:footnote>
  <w:footnote w:id="5">
    <w:p w:rsidR="006B74A4" w:rsidRDefault="006B74A4" w:rsidP="006B74A4">
      <w:pPr>
        <w:pStyle w:val="FootnoteText"/>
        <w:spacing w:after="240"/>
      </w:pPr>
      <w:r>
        <w:rPr>
          <w:rStyle w:val="FootnoteReference"/>
        </w:rPr>
        <w:footnoteRef/>
      </w:r>
      <w:r>
        <w:t xml:space="preserve"> </w:t>
      </w:r>
      <w:r>
        <w:tab/>
        <w:t xml:space="preserve">Commission Decision </w:t>
      </w:r>
      <w:proofErr w:type="gramStart"/>
      <w:r>
        <w:t>C(</w:t>
      </w:r>
      <w:proofErr w:type="gramEnd"/>
      <w:r>
        <w:t>2016)3301 of 30 May 2016 establishing horizontal rules on the creation and operation of Commission expert groups.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4"/>
    <w:multiLevelType w:val="hybridMultilevel"/>
    <w:tmpl w:val="542E8946"/>
    <w:lvl w:ilvl="0" w:tplc="CD20F978">
      <w:numFmt w:val="bullet"/>
      <w:lvlText w:val="¨"/>
      <w:lvlJc w:val="left"/>
      <w:pPr>
        <w:tabs>
          <w:tab w:val="left" w:pos="5400"/>
        </w:tabs>
        <w:ind w:left="5400" w:hanging="360"/>
        <w:jc w:val="both"/>
      </w:pPr>
      <w:rPr>
        <w:rFonts w:ascii="Wingdings" w:eastAsia="Wingdings" w:hAnsi="Wingdings"/>
        <w:w w:val="100"/>
        <w:sz w:val="20"/>
        <w:szCs w:val="20"/>
        <w:shd w:val="clear" w:color="auto" w:fill="auto"/>
      </w:rPr>
    </w:lvl>
    <w:lvl w:ilvl="1" w:tplc="374CBDFA">
      <w:start w:val="1"/>
      <w:numFmt w:val="bullet"/>
      <w:lvlText w:val="o"/>
      <w:lvlJc w:val="left"/>
      <w:pPr>
        <w:tabs>
          <w:tab w:val="left" w:pos="6120"/>
        </w:tabs>
        <w:ind w:left="6120" w:hanging="360"/>
        <w:jc w:val="both"/>
      </w:pPr>
      <w:rPr>
        <w:rFonts w:ascii="Courier New" w:eastAsia="Courier New" w:hAnsi="Courier New"/>
        <w:w w:val="100"/>
        <w:sz w:val="20"/>
        <w:szCs w:val="20"/>
        <w:shd w:val="clear" w:color="auto" w:fill="auto"/>
      </w:rPr>
    </w:lvl>
    <w:lvl w:ilvl="2" w:tplc="981CE696">
      <w:start w:val="1"/>
      <w:numFmt w:val="bullet"/>
      <w:lvlText w:val="§"/>
      <w:lvlJc w:val="left"/>
      <w:pPr>
        <w:tabs>
          <w:tab w:val="left" w:pos="6840"/>
        </w:tabs>
        <w:ind w:left="6840" w:hanging="360"/>
        <w:jc w:val="both"/>
      </w:pPr>
      <w:rPr>
        <w:rFonts w:ascii="Wingdings" w:eastAsia="Wingdings" w:hAnsi="Wingdings"/>
        <w:w w:val="100"/>
        <w:sz w:val="20"/>
        <w:szCs w:val="20"/>
        <w:shd w:val="clear" w:color="auto" w:fill="auto"/>
      </w:rPr>
    </w:lvl>
    <w:lvl w:ilvl="3" w:tplc="B37C33FE">
      <w:start w:val="1"/>
      <w:numFmt w:val="bullet"/>
      <w:lvlText w:val="·"/>
      <w:lvlJc w:val="left"/>
      <w:pPr>
        <w:tabs>
          <w:tab w:val="left" w:pos="7560"/>
        </w:tabs>
        <w:ind w:left="7560" w:hanging="360"/>
        <w:jc w:val="both"/>
      </w:pPr>
      <w:rPr>
        <w:rFonts w:ascii="Symbol" w:eastAsia="Symbol" w:hAnsi="Symbol"/>
        <w:w w:val="100"/>
        <w:sz w:val="20"/>
        <w:szCs w:val="20"/>
        <w:shd w:val="clear" w:color="auto" w:fill="auto"/>
      </w:rPr>
    </w:lvl>
    <w:lvl w:ilvl="4" w:tplc="15DCFE58">
      <w:start w:val="1"/>
      <w:numFmt w:val="bullet"/>
      <w:lvlText w:val="o"/>
      <w:lvlJc w:val="left"/>
      <w:pPr>
        <w:tabs>
          <w:tab w:val="left" w:pos="8280"/>
        </w:tabs>
        <w:ind w:left="8280" w:hanging="360"/>
        <w:jc w:val="both"/>
      </w:pPr>
      <w:rPr>
        <w:rFonts w:ascii="Courier New" w:eastAsia="Courier New" w:hAnsi="Courier New"/>
        <w:w w:val="100"/>
        <w:sz w:val="20"/>
        <w:szCs w:val="20"/>
        <w:shd w:val="clear" w:color="auto" w:fill="auto"/>
      </w:rPr>
    </w:lvl>
    <w:lvl w:ilvl="5" w:tplc="169CC3C2">
      <w:start w:val="1"/>
      <w:numFmt w:val="bullet"/>
      <w:lvlText w:val="§"/>
      <w:lvlJc w:val="left"/>
      <w:pPr>
        <w:tabs>
          <w:tab w:val="left" w:pos="9000"/>
        </w:tabs>
        <w:ind w:left="9000" w:hanging="360"/>
        <w:jc w:val="both"/>
      </w:pPr>
      <w:rPr>
        <w:rFonts w:ascii="Wingdings" w:eastAsia="Wingdings" w:hAnsi="Wingdings"/>
        <w:w w:val="100"/>
        <w:sz w:val="20"/>
        <w:szCs w:val="20"/>
        <w:shd w:val="clear" w:color="auto" w:fill="auto"/>
      </w:rPr>
    </w:lvl>
    <w:lvl w:ilvl="6" w:tplc="9528BBD0">
      <w:start w:val="1"/>
      <w:numFmt w:val="bullet"/>
      <w:lvlText w:val="·"/>
      <w:lvlJc w:val="left"/>
      <w:pPr>
        <w:tabs>
          <w:tab w:val="left" w:pos="9720"/>
        </w:tabs>
        <w:ind w:left="9720" w:hanging="360"/>
        <w:jc w:val="both"/>
      </w:pPr>
      <w:rPr>
        <w:rFonts w:ascii="Symbol" w:eastAsia="Symbol" w:hAnsi="Symbol"/>
        <w:w w:val="100"/>
        <w:sz w:val="20"/>
        <w:szCs w:val="20"/>
        <w:shd w:val="clear" w:color="auto" w:fill="auto"/>
      </w:rPr>
    </w:lvl>
    <w:lvl w:ilvl="7" w:tplc="AD762FB4">
      <w:start w:val="1"/>
      <w:numFmt w:val="bullet"/>
      <w:lvlText w:val="o"/>
      <w:lvlJc w:val="left"/>
      <w:pPr>
        <w:tabs>
          <w:tab w:val="left" w:pos="10440"/>
        </w:tabs>
        <w:ind w:left="10440" w:hanging="360"/>
        <w:jc w:val="both"/>
      </w:pPr>
      <w:rPr>
        <w:rFonts w:ascii="Courier New" w:eastAsia="Courier New" w:hAnsi="Courier New"/>
        <w:w w:val="100"/>
        <w:sz w:val="20"/>
        <w:szCs w:val="20"/>
        <w:shd w:val="clear" w:color="auto" w:fill="auto"/>
      </w:rPr>
    </w:lvl>
    <w:lvl w:ilvl="8" w:tplc="6D386262">
      <w:start w:val="1"/>
      <w:numFmt w:val="bullet"/>
      <w:lvlText w:val="§"/>
      <w:lvlJc w:val="left"/>
      <w:pPr>
        <w:tabs>
          <w:tab w:val="left" w:pos="11160"/>
        </w:tabs>
        <w:ind w:left="11160" w:hanging="360"/>
        <w:jc w:val="both"/>
      </w:pPr>
      <w:rPr>
        <w:rFonts w:ascii="Wingdings" w:eastAsia="Wingdings" w:hAnsi="Wingdings"/>
        <w:w w:val="100"/>
        <w:sz w:val="20"/>
        <w:szCs w:val="20"/>
        <w:shd w:val="clear" w:color="auto" w:fill="auto"/>
      </w:rPr>
    </w:lvl>
  </w:abstractNum>
  <w:abstractNum w:abstractNumId="1" w15:restartNumberingAfterBreak="0">
    <w:nsid w:val="2F000005"/>
    <w:multiLevelType w:val="hybridMultilevel"/>
    <w:tmpl w:val="21366DF1"/>
    <w:lvl w:ilvl="0" w:tplc="D89C7A7E">
      <w:start w:val="1"/>
      <w:numFmt w:val="bullet"/>
      <w:lvlText w:val="·"/>
      <w:lvlJc w:val="left"/>
      <w:pPr>
        <w:ind w:left="720" w:hanging="360"/>
        <w:jc w:val="both"/>
      </w:pPr>
      <w:rPr>
        <w:rFonts w:ascii="Symbol" w:eastAsia="Symbol" w:hAnsi="Symbol"/>
        <w:w w:val="100"/>
        <w:sz w:val="20"/>
        <w:szCs w:val="20"/>
        <w:shd w:val="clear" w:color="auto" w:fill="auto"/>
      </w:rPr>
    </w:lvl>
    <w:lvl w:ilvl="1" w:tplc="CD48F444">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59EC086E">
      <w:start w:val="1"/>
      <w:numFmt w:val="bullet"/>
      <w:lvlText w:val="§"/>
      <w:lvlJc w:val="left"/>
      <w:pPr>
        <w:ind w:left="2160" w:hanging="360"/>
        <w:jc w:val="both"/>
      </w:pPr>
      <w:rPr>
        <w:rFonts w:ascii="Wingdings" w:eastAsia="Wingdings" w:hAnsi="Wingdings"/>
        <w:w w:val="100"/>
        <w:sz w:val="20"/>
        <w:szCs w:val="20"/>
        <w:shd w:val="clear" w:color="auto" w:fill="auto"/>
      </w:rPr>
    </w:lvl>
    <w:lvl w:ilvl="3" w:tplc="AD122250">
      <w:start w:val="1"/>
      <w:numFmt w:val="bullet"/>
      <w:lvlText w:val="·"/>
      <w:lvlJc w:val="left"/>
      <w:pPr>
        <w:ind w:left="2880" w:hanging="360"/>
        <w:jc w:val="both"/>
      </w:pPr>
      <w:rPr>
        <w:rFonts w:ascii="Symbol" w:eastAsia="Symbol" w:hAnsi="Symbol"/>
        <w:w w:val="100"/>
        <w:sz w:val="20"/>
        <w:szCs w:val="20"/>
        <w:shd w:val="clear" w:color="auto" w:fill="auto"/>
      </w:rPr>
    </w:lvl>
    <w:lvl w:ilvl="4" w:tplc="C420B51A">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15BC12A6">
      <w:start w:val="1"/>
      <w:numFmt w:val="bullet"/>
      <w:lvlText w:val="§"/>
      <w:lvlJc w:val="left"/>
      <w:pPr>
        <w:ind w:left="4320" w:hanging="360"/>
        <w:jc w:val="both"/>
      </w:pPr>
      <w:rPr>
        <w:rFonts w:ascii="Wingdings" w:eastAsia="Wingdings" w:hAnsi="Wingdings"/>
        <w:w w:val="100"/>
        <w:sz w:val="20"/>
        <w:szCs w:val="20"/>
        <w:shd w:val="clear" w:color="auto" w:fill="auto"/>
      </w:rPr>
    </w:lvl>
    <w:lvl w:ilvl="6" w:tplc="A8C412D2">
      <w:start w:val="1"/>
      <w:numFmt w:val="bullet"/>
      <w:lvlText w:val="·"/>
      <w:lvlJc w:val="left"/>
      <w:pPr>
        <w:ind w:left="5040" w:hanging="360"/>
        <w:jc w:val="both"/>
      </w:pPr>
      <w:rPr>
        <w:rFonts w:ascii="Symbol" w:eastAsia="Symbol" w:hAnsi="Symbol"/>
        <w:w w:val="100"/>
        <w:sz w:val="20"/>
        <w:szCs w:val="20"/>
        <w:shd w:val="clear" w:color="auto" w:fill="auto"/>
      </w:rPr>
    </w:lvl>
    <w:lvl w:ilvl="7" w:tplc="8758DDA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0A00F6DE">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2" w15:restartNumberingAfterBreak="0">
    <w:nsid w:val="2F000009"/>
    <w:multiLevelType w:val="hybridMultilevel"/>
    <w:tmpl w:val="1F7E2088"/>
    <w:lvl w:ilvl="0" w:tplc="858CB672">
      <w:start w:val="7"/>
      <w:numFmt w:val="bullet"/>
      <w:lvlText w:val="-"/>
      <w:lvlJc w:val="left"/>
      <w:pPr>
        <w:ind w:left="360" w:hanging="360"/>
        <w:jc w:val="both"/>
      </w:pPr>
      <w:rPr>
        <w:rFonts w:ascii="Verdana" w:eastAsia="Verdana" w:hAnsi="Verdana"/>
        <w:w w:val="100"/>
        <w:sz w:val="20"/>
        <w:szCs w:val="20"/>
        <w:shd w:val="clear" w:color="auto" w:fill="auto"/>
      </w:rPr>
    </w:lvl>
    <w:lvl w:ilvl="1" w:tplc="ABAEA2D6">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626EB3EE">
      <w:start w:val="1"/>
      <w:numFmt w:val="bullet"/>
      <w:lvlText w:val="§"/>
      <w:lvlJc w:val="left"/>
      <w:pPr>
        <w:ind w:left="1800" w:hanging="360"/>
        <w:jc w:val="both"/>
      </w:pPr>
      <w:rPr>
        <w:rFonts w:ascii="Wingdings" w:eastAsia="Wingdings" w:hAnsi="Wingdings"/>
        <w:w w:val="100"/>
        <w:sz w:val="20"/>
        <w:szCs w:val="20"/>
        <w:shd w:val="clear" w:color="auto" w:fill="auto"/>
      </w:rPr>
    </w:lvl>
    <w:lvl w:ilvl="3" w:tplc="456231BE">
      <w:start w:val="1"/>
      <w:numFmt w:val="bullet"/>
      <w:lvlText w:val="·"/>
      <w:lvlJc w:val="left"/>
      <w:pPr>
        <w:ind w:left="2520" w:hanging="360"/>
        <w:jc w:val="both"/>
      </w:pPr>
      <w:rPr>
        <w:rFonts w:ascii="Symbol" w:eastAsia="Symbol" w:hAnsi="Symbol"/>
        <w:w w:val="100"/>
        <w:sz w:val="20"/>
        <w:szCs w:val="20"/>
        <w:shd w:val="clear" w:color="auto" w:fill="auto"/>
      </w:rPr>
    </w:lvl>
    <w:lvl w:ilvl="4" w:tplc="93ACA5AC">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4BA8FC70">
      <w:start w:val="1"/>
      <w:numFmt w:val="bullet"/>
      <w:lvlText w:val="§"/>
      <w:lvlJc w:val="left"/>
      <w:pPr>
        <w:ind w:left="3960" w:hanging="360"/>
        <w:jc w:val="both"/>
      </w:pPr>
      <w:rPr>
        <w:rFonts w:ascii="Wingdings" w:eastAsia="Wingdings" w:hAnsi="Wingdings"/>
        <w:w w:val="100"/>
        <w:sz w:val="20"/>
        <w:szCs w:val="20"/>
        <w:shd w:val="clear" w:color="auto" w:fill="auto"/>
      </w:rPr>
    </w:lvl>
    <w:lvl w:ilvl="6" w:tplc="1A62692C">
      <w:start w:val="1"/>
      <w:numFmt w:val="bullet"/>
      <w:lvlText w:val="·"/>
      <w:lvlJc w:val="left"/>
      <w:pPr>
        <w:ind w:left="4680" w:hanging="360"/>
        <w:jc w:val="both"/>
      </w:pPr>
      <w:rPr>
        <w:rFonts w:ascii="Symbol" w:eastAsia="Symbol" w:hAnsi="Symbol"/>
        <w:w w:val="100"/>
        <w:sz w:val="20"/>
        <w:szCs w:val="20"/>
        <w:shd w:val="clear" w:color="auto" w:fill="auto"/>
      </w:rPr>
    </w:lvl>
    <w:lvl w:ilvl="7" w:tplc="4D529FD0">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8D7A1EB4">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3" w15:restartNumberingAfterBreak="0">
    <w:nsid w:val="2F00000D"/>
    <w:multiLevelType w:val="multilevel"/>
    <w:tmpl w:val="4AF41588"/>
    <w:lvl w:ilvl="0">
      <w:start w:val="1"/>
      <w:numFmt w:val="decimal"/>
      <w:lvlText w:val="%1."/>
      <w:lvlJc w:val="left"/>
      <w:pPr>
        <w:tabs>
          <w:tab w:val="left" w:pos="360"/>
        </w:tabs>
        <w:ind w:left="360" w:hanging="360"/>
        <w:jc w:val="both"/>
      </w:pPr>
    </w:lvl>
    <w:lvl w:ilvl="1">
      <w:start w:val="1"/>
      <w:numFmt w:val="decimal"/>
      <w:lvlText w:val="%2."/>
      <w:lvlJc w:val="left"/>
      <w:pPr>
        <w:tabs>
          <w:tab w:val="left" w:pos="1080"/>
        </w:tabs>
        <w:ind w:left="1080" w:hanging="360"/>
        <w:jc w:val="both"/>
      </w:pPr>
    </w:lvl>
    <w:lvl w:ilvl="2">
      <w:start w:val="1"/>
      <w:numFmt w:val="decimal"/>
      <w:lvlText w:val="%3."/>
      <w:lvlJc w:val="left"/>
      <w:pPr>
        <w:tabs>
          <w:tab w:val="left" w:pos="1800"/>
        </w:tabs>
        <w:ind w:left="1800" w:hanging="360"/>
        <w:jc w:val="both"/>
      </w:pPr>
    </w:lvl>
    <w:lvl w:ilvl="3">
      <w:start w:val="1"/>
      <w:numFmt w:val="decimal"/>
      <w:lvlText w:val="%4."/>
      <w:lvlJc w:val="left"/>
      <w:pPr>
        <w:tabs>
          <w:tab w:val="left" w:pos="2520"/>
        </w:tabs>
        <w:ind w:left="2520" w:hanging="360"/>
        <w:jc w:val="both"/>
      </w:pPr>
    </w:lvl>
    <w:lvl w:ilvl="4">
      <w:start w:val="1"/>
      <w:numFmt w:val="decimal"/>
      <w:lvlText w:val="%5."/>
      <w:lvlJc w:val="left"/>
      <w:pPr>
        <w:tabs>
          <w:tab w:val="left" w:pos="3240"/>
        </w:tabs>
        <w:ind w:left="3240" w:hanging="360"/>
        <w:jc w:val="both"/>
      </w:pPr>
    </w:lvl>
    <w:lvl w:ilvl="5">
      <w:start w:val="1"/>
      <w:numFmt w:val="decimal"/>
      <w:lvlText w:val="%6."/>
      <w:lvlJc w:val="left"/>
      <w:pPr>
        <w:tabs>
          <w:tab w:val="left" w:pos="3960"/>
        </w:tabs>
        <w:ind w:left="3960" w:hanging="360"/>
        <w:jc w:val="both"/>
      </w:pPr>
    </w:lvl>
    <w:lvl w:ilvl="6">
      <w:start w:val="1"/>
      <w:numFmt w:val="decimal"/>
      <w:lvlText w:val="%7."/>
      <w:lvlJc w:val="left"/>
      <w:pPr>
        <w:tabs>
          <w:tab w:val="left" w:pos="4680"/>
        </w:tabs>
        <w:ind w:left="4680" w:hanging="360"/>
        <w:jc w:val="both"/>
      </w:pPr>
    </w:lvl>
    <w:lvl w:ilvl="7">
      <w:start w:val="1"/>
      <w:numFmt w:val="decimal"/>
      <w:lvlText w:val="%8."/>
      <w:lvlJc w:val="left"/>
      <w:pPr>
        <w:tabs>
          <w:tab w:val="left" w:pos="5400"/>
        </w:tabs>
        <w:ind w:left="5400" w:hanging="360"/>
        <w:jc w:val="both"/>
      </w:pPr>
    </w:lvl>
    <w:lvl w:ilvl="8">
      <w:start w:val="1"/>
      <w:numFmt w:val="decimal"/>
      <w:lvlText w:val="%9."/>
      <w:lvlJc w:val="left"/>
      <w:pPr>
        <w:tabs>
          <w:tab w:val="left" w:pos="6120"/>
        </w:tabs>
        <w:ind w:left="6120" w:hanging="360"/>
        <w:jc w:val="both"/>
      </w:pPr>
    </w:lvl>
  </w:abstractNum>
  <w:abstractNum w:abstractNumId="4" w15:restartNumberingAfterBreak="0">
    <w:nsid w:val="2F000010"/>
    <w:multiLevelType w:val="hybridMultilevel"/>
    <w:tmpl w:val="5527992C"/>
    <w:lvl w:ilvl="0" w:tplc="69BCE370">
      <w:numFmt w:val="bullet"/>
      <w:lvlText w:val="-"/>
      <w:lvlJc w:val="left"/>
      <w:pPr>
        <w:ind w:left="360" w:hanging="360"/>
        <w:jc w:val="both"/>
      </w:pPr>
      <w:rPr>
        <w:rFonts w:ascii="Calibri" w:eastAsia="Calibri" w:hAnsi="Calibri"/>
        <w:w w:val="100"/>
        <w:sz w:val="20"/>
        <w:szCs w:val="20"/>
        <w:shd w:val="clear" w:color="auto" w:fill="auto"/>
      </w:rPr>
    </w:lvl>
    <w:lvl w:ilvl="1" w:tplc="E73A60DE">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C074CCE8">
      <w:start w:val="1"/>
      <w:numFmt w:val="bullet"/>
      <w:lvlText w:val="§"/>
      <w:lvlJc w:val="left"/>
      <w:pPr>
        <w:ind w:left="1800" w:hanging="360"/>
        <w:jc w:val="both"/>
      </w:pPr>
      <w:rPr>
        <w:rFonts w:ascii="Wingdings" w:eastAsia="Wingdings" w:hAnsi="Wingdings"/>
        <w:w w:val="100"/>
        <w:sz w:val="20"/>
        <w:szCs w:val="20"/>
        <w:shd w:val="clear" w:color="auto" w:fill="auto"/>
      </w:rPr>
    </w:lvl>
    <w:lvl w:ilvl="3" w:tplc="61AA4D3C">
      <w:start w:val="1"/>
      <w:numFmt w:val="bullet"/>
      <w:lvlText w:val="·"/>
      <w:lvlJc w:val="left"/>
      <w:pPr>
        <w:ind w:left="2520" w:hanging="360"/>
        <w:jc w:val="both"/>
      </w:pPr>
      <w:rPr>
        <w:rFonts w:ascii="Symbol" w:eastAsia="Symbol" w:hAnsi="Symbol"/>
        <w:w w:val="100"/>
        <w:sz w:val="20"/>
        <w:szCs w:val="20"/>
        <w:shd w:val="clear" w:color="auto" w:fill="auto"/>
      </w:rPr>
    </w:lvl>
    <w:lvl w:ilvl="4" w:tplc="538E03D0">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B20E3106">
      <w:start w:val="1"/>
      <w:numFmt w:val="bullet"/>
      <w:lvlText w:val="§"/>
      <w:lvlJc w:val="left"/>
      <w:pPr>
        <w:ind w:left="3960" w:hanging="360"/>
        <w:jc w:val="both"/>
      </w:pPr>
      <w:rPr>
        <w:rFonts w:ascii="Wingdings" w:eastAsia="Wingdings" w:hAnsi="Wingdings"/>
        <w:w w:val="100"/>
        <w:sz w:val="20"/>
        <w:szCs w:val="20"/>
        <w:shd w:val="clear" w:color="auto" w:fill="auto"/>
      </w:rPr>
    </w:lvl>
    <w:lvl w:ilvl="6" w:tplc="0B70070E">
      <w:start w:val="1"/>
      <w:numFmt w:val="bullet"/>
      <w:lvlText w:val="·"/>
      <w:lvlJc w:val="left"/>
      <w:pPr>
        <w:ind w:left="4680" w:hanging="360"/>
        <w:jc w:val="both"/>
      </w:pPr>
      <w:rPr>
        <w:rFonts w:ascii="Symbol" w:eastAsia="Symbol" w:hAnsi="Symbol"/>
        <w:w w:val="100"/>
        <w:sz w:val="20"/>
        <w:szCs w:val="20"/>
        <w:shd w:val="clear" w:color="auto" w:fill="auto"/>
      </w:rPr>
    </w:lvl>
    <w:lvl w:ilvl="7" w:tplc="2534A376">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5E8ED2AE">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5" w15:restartNumberingAfterBreak="0">
    <w:nsid w:val="2F00001D"/>
    <w:multiLevelType w:val="hybridMultilevel"/>
    <w:tmpl w:val="4F690786"/>
    <w:lvl w:ilvl="0" w:tplc="97C6EF7E">
      <w:numFmt w:val="bullet"/>
      <w:lvlText w:val="¨"/>
      <w:lvlJc w:val="left"/>
      <w:pPr>
        <w:ind w:left="720" w:hanging="360"/>
        <w:jc w:val="both"/>
      </w:pPr>
      <w:rPr>
        <w:rFonts w:ascii="Wingdings" w:eastAsia="Wingdings" w:hAnsi="Wingdings"/>
        <w:w w:val="100"/>
        <w:sz w:val="20"/>
        <w:szCs w:val="20"/>
        <w:shd w:val="clear" w:color="auto" w:fill="auto"/>
      </w:rPr>
    </w:lvl>
    <w:lvl w:ilvl="1" w:tplc="5D94760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9F88C7D8">
      <w:start w:val="1"/>
      <w:numFmt w:val="bullet"/>
      <w:lvlText w:val="§"/>
      <w:lvlJc w:val="left"/>
      <w:pPr>
        <w:ind w:left="2160" w:hanging="360"/>
        <w:jc w:val="both"/>
      </w:pPr>
      <w:rPr>
        <w:rFonts w:ascii="Wingdings" w:eastAsia="Wingdings" w:hAnsi="Wingdings"/>
        <w:w w:val="100"/>
        <w:sz w:val="20"/>
        <w:szCs w:val="20"/>
        <w:shd w:val="clear" w:color="auto" w:fill="auto"/>
      </w:rPr>
    </w:lvl>
    <w:lvl w:ilvl="3" w:tplc="4168977C">
      <w:start w:val="1"/>
      <w:numFmt w:val="bullet"/>
      <w:lvlText w:val="·"/>
      <w:lvlJc w:val="left"/>
      <w:pPr>
        <w:ind w:left="2880" w:hanging="360"/>
        <w:jc w:val="both"/>
      </w:pPr>
      <w:rPr>
        <w:rFonts w:ascii="Symbol" w:eastAsia="Symbol" w:hAnsi="Symbol"/>
        <w:w w:val="100"/>
        <w:sz w:val="20"/>
        <w:szCs w:val="20"/>
        <w:shd w:val="clear" w:color="auto" w:fill="auto"/>
      </w:rPr>
    </w:lvl>
    <w:lvl w:ilvl="4" w:tplc="F6B4FFB0">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93A8FFEA">
      <w:start w:val="1"/>
      <w:numFmt w:val="bullet"/>
      <w:lvlText w:val="§"/>
      <w:lvlJc w:val="left"/>
      <w:pPr>
        <w:ind w:left="4320" w:hanging="360"/>
        <w:jc w:val="both"/>
      </w:pPr>
      <w:rPr>
        <w:rFonts w:ascii="Wingdings" w:eastAsia="Wingdings" w:hAnsi="Wingdings"/>
        <w:w w:val="100"/>
        <w:sz w:val="20"/>
        <w:szCs w:val="20"/>
        <w:shd w:val="clear" w:color="auto" w:fill="auto"/>
      </w:rPr>
    </w:lvl>
    <w:lvl w:ilvl="6" w:tplc="3D3CA8EE">
      <w:start w:val="1"/>
      <w:numFmt w:val="bullet"/>
      <w:lvlText w:val="·"/>
      <w:lvlJc w:val="left"/>
      <w:pPr>
        <w:ind w:left="5040" w:hanging="360"/>
        <w:jc w:val="both"/>
      </w:pPr>
      <w:rPr>
        <w:rFonts w:ascii="Symbol" w:eastAsia="Symbol" w:hAnsi="Symbol"/>
        <w:w w:val="100"/>
        <w:sz w:val="20"/>
        <w:szCs w:val="20"/>
        <w:shd w:val="clear" w:color="auto" w:fill="auto"/>
      </w:rPr>
    </w:lvl>
    <w:lvl w:ilvl="7" w:tplc="30827652">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B4F6B4EC">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6" w15:restartNumberingAfterBreak="0">
    <w:nsid w:val="2F00001E"/>
    <w:multiLevelType w:val="hybridMultilevel"/>
    <w:tmpl w:val="5E6D2811"/>
    <w:lvl w:ilvl="0" w:tplc="636E0994">
      <w:start w:val="1"/>
      <w:numFmt w:val="decimal"/>
      <w:lvlText w:val="%1."/>
      <w:lvlJc w:val="left"/>
      <w:pPr>
        <w:ind w:left="360" w:hanging="360"/>
        <w:jc w:val="both"/>
      </w:pPr>
    </w:lvl>
    <w:lvl w:ilvl="1" w:tplc="B08A207E">
      <w:start w:val="1"/>
      <w:numFmt w:val="lowerLetter"/>
      <w:lvlText w:val="%2."/>
      <w:lvlJc w:val="left"/>
      <w:pPr>
        <w:ind w:left="1080" w:hanging="360"/>
        <w:jc w:val="both"/>
      </w:pPr>
    </w:lvl>
    <w:lvl w:ilvl="2" w:tplc="0BE0EF5A">
      <w:start w:val="1"/>
      <w:numFmt w:val="lowerRoman"/>
      <w:lvlText w:val="%3."/>
      <w:lvlJc w:val="right"/>
      <w:pPr>
        <w:ind w:left="1800" w:hanging="180"/>
        <w:jc w:val="both"/>
      </w:pPr>
    </w:lvl>
    <w:lvl w:ilvl="3" w:tplc="05A84D60">
      <w:start w:val="1"/>
      <w:numFmt w:val="decimal"/>
      <w:lvlText w:val="%4."/>
      <w:lvlJc w:val="left"/>
      <w:pPr>
        <w:ind w:left="2520" w:hanging="360"/>
        <w:jc w:val="both"/>
      </w:pPr>
    </w:lvl>
    <w:lvl w:ilvl="4" w:tplc="E114705E">
      <w:start w:val="1"/>
      <w:numFmt w:val="lowerLetter"/>
      <w:lvlText w:val="%5."/>
      <w:lvlJc w:val="left"/>
      <w:pPr>
        <w:ind w:left="3240" w:hanging="360"/>
        <w:jc w:val="both"/>
      </w:pPr>
    </w:lvl>
    <w:lvl w:ilvl="5" w:tplc="5F44091A">
      <w:start w:val="1"/>
      <w:numFmt w:val="lowerRoman"/>
      <w:lvlText w:val="%6."/>
      <w:lvlJc w:val="right"/>
      <w:pPr>
        <w:ind w:left="3960" w:hanging="180"/>
        <w:jc w:val="both"/>
      </w:pPr>
    </w:lvl>
    <w:lvl w:ilvl="6" w:tplc="91F6FCFE">
      <w:start w:val="1"/>
      <w:numFmt w:val="decimal"/>
      <w:lvlText w:val="%7."/>
      <w:lvlJc w:val="left"/>
      <w:pPr>
        <w:ind w:left="4680" w:hanging="360"/>
        <w:jc w:val="both"/>
      </w:pPr>
    </w:lvl>
    <w:lvl w:ilvl="7" w:tplc="254C4AE6">
      <w:start w:val="1"/>
      <w:numFmt w:val="lowerLetter"/>
      <w:lvlText w:val="%8."/>
      <w:lvlJc w:val="left"/>
      <w:pPr>
        <w:ind w:left="5400" w:hanging="360"/>
        <w:jc w:val="both"/>
      </w:pPr>
    </w:lvl>
    <w:lvl w:ilvl="8" w:tplc="D8E8CD7A">
      <w:start w:val="1"/>
      <w:numFmt w:val="lowerRoman"/>
      <w:lvlText w:val="%9."/>
      <w:lvlJc w:val="right"/>
      <w:pPr>
        <w:ind w:left="6120" w:hanging="180"/>
        <w:jc w:val="both"/>
      </w:pPr>
    </w:lvl>
  </w:abstractNum>
  <w:abstractNum w:abstractNumId="7" w15:restartNumberingAfterBreak="0">
    <w:nsid w:val="2F000020"/>
    <w:multiLevelType w:val="hybridMultilevel"/>
    <w:tmpl w:val="2ECF7C2F"/>
    <w:lvl w:ilvl="0" w:tplc="5D7CD6C8">
      <w:start w:val="1"/>
      <w:numFmt w:val="bullet"/>
      <w:lvlText w:val="-"/>
      <w:lvlJc w:val="left"/>
      <w:pPr>
        <w:ind w:left="720" w:hanging="360"/>
        <w:jc w:val="both"/>
      </w:pPr>
      <w:rPr>
        <w:rFonts w:ascii="Symbol" w:eastAsia="Symbol" w:hAnsi="Symbol"/>
        <w:w w:val="100"/>
        <w:sz w:val="20"/>
        <w:szCs w:val="20"/>
        <w:shd w:val="clear" w:color="auto" w:fill="auto"/>
      </w:rPr>
    </w:lvl>
    <w:lvl w:ilvl="1" w:tplc="40D6D14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6DB097F6">
      <w:start w:val="1"/>
      <w:numFmt w:val="bullet"/>
      <w:lvlText w:val="§"/>
      <w:lvlJc w:val="left"/>
      <w:pPr>
        <w:ind w:left="2160" w:hanging="360"/>
        <w:jc w:val="both"/>
      </w:pPr>
      <w:rPr>
        <w:rFonts w:ascii="Wingdings" w:eastAsia="Wingdings" w:hAnsi="Wingdings"/>
        <w:w w:val="100"/>
        <w:sz w:val="20"/>
        <w:szCs w:val="20"/>
        <w:shd w:val="clear" w:color="auto" w:fill="auto"/>
      </w:rPr>
    </w:lvl>
    <w:lvl w:ilvl="3" w:tplc="4DA2CAB6">
      <w:start w:val="1"/>
      <w:numFmt w:val="bullet"/>
      <w:lvlText w:val="·"/>
      <w:lvlJc w:val="left"/>
      <w:pPr>
        <w:ind w:left="2880" w:hanging="360"/>
        <w:jc w:val="both"/>
      </w:pPr>
      <w:rPr>
        <w:rFonts w:ascii="Symbol" w:eastAsia="Symbol" w:hAnsi="Symbol"/>
        <w:w w:val="100"/>
        <w:sz w:val="20"/>
        <w:szCs w:val="20"/>
        <w:shd w:val="clear" w:color="auto" w:fill="auto"/>
      </w:rPr>
    </w:lvl>
    <w:lvl w:ilvl="4" w:tplc="631A4FF2">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723CD440">
      <w:start w:val="1"/>
      <w:numFmt w:val="bullet"/>
      <w:lvlText w:val="§"/>
      <w:lvlJc w:val="left"/>
      <w:pPr>
        <w:ind w:left="4320" w:hanging="360"/>
        <w:jc w:val="both"/>
      </w:pPr>
      <w:rPr>
        <w:rFonts w:ascii="Wingdings" w:eastAsia="Wingdings" w:hAnsi="Wingdings"/>
        <w:w w:val="100"/>
        <w:sz w:val="20"/>
        <w:szCs w:val="20"/>
        <w:shd w:val="clear" w:color="auto" w:fill="auto"/>
      </w:rPr>
    </w:lvl>
    <w:lvl w:ilvl="6" w:tplc="19FAD38A">
      <w:start w:val="1"/>
      <w:numFmt w:val="bullet"/>
      <w:lvlText w:val="·"/>
      <w:lvlJc w:val="left"/>
      <w:pPr>
        <w:ind w:left="5040" w:hanging="360"/>
        <w:jc w:val="both"/>
      </w:pPr>
      <w:rPr>
        <w:rFonts w:ascii="Symbol" w:eastAsia="Symbol" w:hAnsi="Symbol"/>
        <w:w w:val="100"/>
        <w:sz w:val="20"/>
        <w:szCs w:val="20"/>
        <w:shd w:val="clear" w:color="auto" w:fill="auto"/>
      </w:rPr>
    </w:lvl>
    <w:lvl w:ilvl="7" w:tplc="D71AAC6E">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9C4CDE6">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8" w15:restartNumberingAfterBreak="0">
    <w:nsid w:val="2F000025"/>
    <w:multiLevelType w:val="hybridMultilevel"/>
    <w:tmpl w:val="23A6E2B0"/>
    <w:lvl w:ilvl="0" w:tplc="597A2F70">
      <w:start w:val="1"/>
      <w:numFmt w:val="bullet"/>
      <w:pStyle w:val="ListDash"/>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1" w:tplc="37DE9AD4">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2" w:tplc="58B6B6DA">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3" w:tplc="789C7180">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4" w:tplc="968AA00E">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5" w:tplc="C2E69542">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6" w:tplc="99A0FE94">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7" w:tplc="061A96BE">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lvl w:ilvl="8" w:tplc="989C25DC">
      <w:start w:val="1"/>
      <w:numFmt w:val="bullet"/>
      <w:lvlText w:val="–"/>
      <w:lvlJc w:val="left"/>
      <w:pPr>
        <w:tabs>
          <w:tab w:val="left" w:pos="283"/>
        </w:tabs>
        <w:ind w:left="283" w:hanging="283"/>
        <w:jc w:val="both"/>
      </w:pPr>
      <w:rPr>
        <w:rFonts w:ascii="Times New Roman" w:eastAsia="Times New Roman" w:hAnsi="Times New Roman"/>
        <w:w w:val="100"/>
        <w:sz w:val="20"/>
        <w:szCs w:val="20"/>
        <w:shd w:val="clear" w:color="auto" w:fill="auto"/>
      </w:rPr>
    </w:lvl>
  </w:abstractNum>
  <w:abstractNum w:abstractNumId="9" w15:restartNumberingAfterBreak="0">
    <w:nsid w:val="2F000029"/>
    <w:multiLevelType w:val="hybridMultilevel"/>
    <w:tmpl w:val="3AEE2A1A"/>
    <w:lvl w:ilvl="0" w:tplc="BFEE9D20">
      <w:start w:val="1"/>
      <w:numFmt w:val="decimal"/>
      <w:lvlText w:val="%1."/>
      <w:lvlJc w:val="left"/>
      <w:pPr>
        <w:ind w:left="720" w:hanging="360"/>
        <w:jc w:val="both"/>
      </w:pPr>
    </w:lvl>
    <w:lvl w:ilvl="1" w:tplc="6F847A1C">
      <w:start w:val="1"/>
      <w:numFmt w:val="lowerLetter"/>
      <w:lvlText w:val="%2."/>
      <w:lvlJc w:val="left"/>
      <w:pPr>
        <w:ind w:left="1440" w:hanging="360"/>
        <w:jc w:val="both"/>
      </w:pPr>
    </w:lvl>
    <w:lvl w:ilvl="2" w:tplc="1A126280">
      <w:start w:val="1"/>
      <w:numFmt w:val="lowerRoman"/>
      <w:lvlText w:val="%3."/>
      <w:lvlJc w:val="right"/>
      <w:pPr>
        <w:ind w:left="2160" w:hanging="180"/>
        <w:jc w:val="both"/>
      </w:pPr>
    </w:lvl>
    <w:lvl w:ilvl="3" w:tplc="30F6B3B2">
      <w:start w:val="1"/>
      <w:numFmt w:val="decimal"/>
      <w:lvlText w:val="%4."/>
      <w:lvlJc w:val="left"/>
      <w:pPr>
        <w:ind w:left="2880" w:hanging="360"/>
        <w:jc w:val="both"/>
      </w:pPr>
    </w:lvl>
    <w:lvl w:ilvl="4" w:tplc="2DD241E8">
      <w:start w:val="1"/>
      <w:numFmt w:val="lowerLetter"/>
      <w:lvlText w:val="%5."/>
      <w:lvlJc w:val="left"/>
      <w:pPr>
        <w:ind w:left="3600" w:hanging="360"/>
        <w:jc w:val="both"/>
      </w:pPr>
    </w:lvl>
    <w:lvl w:ilvl="5" w:tplc="E61C4D7E">
      <w:start w:val="1"/>
      <w:numFmt w:val="lowerRoman"/>
      <w:lvlText w:val="%6."/>
      <w:lvlJc w:val="right"/>
      <w:pPr>
        <w:ind w:left="4320" w:hanging="180"/>
        <w:jc w:val="both"/>
      </w:pPr>
    </w:lvl>
    <w:lvl w:ilvl="6" w:tplc="312CCB04">
      <w:start w:val="1"/>
      <w:numFmt w:val="decimal"/>
      <w:lvlText w:val="%7."/>
      <w:lvlJc w:val="left"/>
      <w:pPr>
        <w:ind w:left="5040" w:hanging="360"/>
        <w:jc w:val="both"/>
      </w:pPr>
    </w:lvl>
    <w:lvl w:ilvl="7" w:tplc="03288F6A">
      <w:start w:val="1"/>
      <w:numFmt w:val="lowerLetter"/>
      <w:lvlText w:val="%8."/>
      <w:lvlJc w:val="left"/>
      <w:pPr>
        <w:ind w:left="5760" w:hanging="360"/>
        <w:jc w:val="both"/>
      </w:pPr>
    </w:lvl>
    <w:lvl w:ilvl="8" w:tplc="3A400220">
      <w:start w:val="1"/>
      <w:numFmt w:val="lowerRoman"/>
      <w:lvlText w:val="%9."/>
      <w:lvlJc w:val="right"/>
      <w:pPr>
        <w:ind w:left="6480" w:hanging="180"/>
        <w:jc w:val="both"/>
      </w:pPr>
    </w:lvl>
  </w:abstractNum>
  <w:abstractNum w:abstractNumId="10" w15:restartNumberingAfterBreak="0">
    <w:nsid w:val="2F00002A"/>
    <w:multiLevelType w:val="hybridMultilevel"/>
    <w:tmpl w:val="500E401C"/>
    <w:lvl w:ilvl="0" w:tplc="A8D6C180">
      <w:numFmt w:val="bullet"/>
      <w:lvlText w:val="¨"/>
      <w:lvlJc w:val="left"/>
      <w:pPr>
        <w:tabs>
          <w:tab w:val="left" w:pos="360"/>
        </w:tabs>
        <w:ind w:left="360" w:hanging="360"/>
        <w:jc w:val="both"/>
      </w:pPr>
      <w:rPr>
        <w:rFonts w:ascii="Wingdings" w:eastAsia="Wingdings" w:hAnsi="Wingdings"/>
        <w:w w:val="100"/>
        <w:sz w:val="20"/>
        <w:szCs w:val="20"/>
        <w:shd w:val="clear" w:color="auto" w:fill="auto"/>
      </w:rPr>
    </w:lvl>
    <w:lvl w:ilvl="1" w:tplc="BC4A0372">
      <w:start w:val="1"/>
      <w:numFmt w:val="bullet"/>
      <w:lvlText w:val="o"/>
      <w:lvlJc w:val="left"/>
      <w:pPr>
        <w:tabs>
          <w:tab w:val="left" w:pos="1080"/>
        </w:tabs>
        <w:ind w:left="1080" w:hanging="360"/>
        <w:jc w:val="both"/>
      </w:pPr>
      <w:rPr>
        <w:rFonts w:ascii="Courier New" w:eastAsia="Courier New" w:hAnsi="Courier New"/>
        <w:w w:val="100"/>
        <w:sz w:val="20"/>
        <w:szCs w:val="20"/>
        <w:shd w:val="clear" w:color="auto" w:fill="auto"/>
      </w:rPr>
    </w:lvl>
    <w:lvl w:ilvl="2" w:tplc="8C0651B8">
      <w:start w:val="1"/>
      <w:numFmt w:val="bullet"/>
      <w:lvlText w:val="§"/>
      <w:lvlJc w:val="left"/>
      <w:pPr>
        <w:tabs>
          <w:tab w:val="left" w:pos="1800"/>
        </w:tabs>
        <w:ind w:left="1800" w:hanging="360"/>
        <w:jc w:val="both"/>
      </w:pPr>
      <w:rPr>
        <w:rFonts w:ascii="Wingdings" w:eastAsia="Wingdings" w:hAnsi="Wingdings"/>
        <w:w w:val="100"/>
        <w:sz w:val="20"/>
        <w:szCs w:val="20"/>
        <w:shd w:val="clear" w:color="auto" w:fill="auto"/>
      </w:rPr>
    </w:lvl>
    <w:lvl w:ilvl="3" w:tplc="8D3A66BC">
      <w:start w:val="1"/>
      <w:numFmt w:val="bullet"/>
      <w:lvlText w:val="·"/>
      <w:lvlJc w:val="left"/>
      <w:pPr>
        <w:tabs>
          <w:tab w:val="left" w:pos="2520"/>
        </w:tabs>
        <w:ind w:left="2520" w:hanging="360"/>
        <w:jc w:val="both"/>
      </w:pPr>
      <w:rPr>
        <w:rFonts w:ascii="Symbol" w:eastAsia="Symbol" w:hAnsi="Symbol"/>
        <w:w w:val="100"/>
        <w:sz w:val="20"/>
        <w:szCs w:val="20"/>
        <w:shd w:val="clear" w:color="auto" w:fill="auto"/>
      </w:rPr>
    </w:lvl>
    <w:lvl w:ilvl="4" w:tplc="D67CF2C0">
      <w:start w:val="1"/>
      <w:numFmt w:val="bullet"/>
      <w:lvlText w:val="o"/>
      <w:lvlJc w:val="left"/>
      <w:pPr>
        <w:tabs>
          <w:tab w:val="left" w:pos="3240"/>
        </w:tabs>
        <w:ind w:left="3240" w:hanging="360"/>
        <w:jc w:val="both"/>
      </w:pPr>
      <w:rPr>
        <w:rFonts w:ascii="Courier New" w:eastAsia="Courier New" w:hAnsi="Courier New"/>
        <w:w w:val="100"/>
        <w:sz w:val="20"/>
        <w:szCs w:val="20"/>
        <w:shd w:val="clear" w:color="auto" w:fill="auto"/>
      </w:rPr>
    </w:lvl>
    <w:lvl w:ilvl="5" w:tplc="5B565D66">
      <w:start w:val="1"/>
      <w:numFmt w:val="bullet"/>
      <w:lvlText w:val="§"/>
      <w:lvlJc w:val="left"/>
      <w:pPr>
        <w:tabs>
          <w:tab w:val="left" w:pos="3960"/>
        </w:tabs>
        <w:ind w:left="3960" w:hanging="360"/>
        <w:jc w:val="both"/>
      </w:pPr>
      <w:rPr>
        <w:rFonts w:ascii="Wingdings" w:eastAsia="Wingdings" w:hAnsi="Wingdings"/>
        <w:w w:val="100"/>
        <w:sz w:val="20"/>
        <w:szCs w:val="20"/>
        <w:shd w:val="clear" w:color="auto" w:fill="auto"/>
      </w:rPr>
    </w:lvl>
    <w:lvl w:ilvl="6" w:tplc="6700D5A0">
      <w:start w:val="1"/>
      <w:numFmt w:val="bullet"/>
      <w:lvlText w:val="·"/>
      <w:lvlJc w:val="left"/>
      <w:pPr>
        <w:tabs>
          <w:tab w:val="left" w:pos="4680"/>
        </w:tabs>
        <w:ind w:left="4680" w:hanging="360"/>
        <w:jc w:val="both"/>
      </w:pPr>
      <w:rPr>
        <w:rFonts w:ascii="Symbol" w:eastAsia="Symbol" w:hAnsi="Symbol"/>
        <w:w w:val="100"/>
        <w:sz w:val="20"/>
        <w:szCs w:val="20"/>
        <w:shd w:val="clear" w:color="auto" w:fill="auto"/>
      </w:rPr>
    </w:lvl>
    <w:lvl w:ilvl="7" w:tplc="1D5EEF9E">
      <w:start w:val="1"/>
      <w:numFmt w:val="bullet"/>
      <w:lvlText w:val="o"/>
      <w:lvlJc w:val="left"/>
      <w:pPr>
        <w:tabs>
          <w:tab w:val="left" w:pos="5400"/>
        </w:tabs>
        <w:ind w:left="5400" w:hanging="360"/>
        <w:jc w:val="both"/>
      </w:pPr>
      <w:rPr>
        <w:rFonts w:ascii="Courier New" w:eastAsia="Courier New" w:hAnsi="Courier New"/>
        <w:w w:val="100"/>
        <w:sz w:val="20"/>
        <w:szCs w:val="20"/>
        <w:shd w:val="clear" w:color="auto" w:fill="auto"/>
      </w:rPr>
    </w:lvl>
    <w:lvl w:ilvl="8" w:tplc="28DCCD80">
      <w:start w:val="1"/>
      <w:numFmt w:val="bullet"/>
      <w:lvlText w:val="§"/>
      <w:lvlJc w:val="left"/>
      <w:pPr>
        <w:tabs>
          <w:tab w:val="left" w:pos="6120"/>
        </w:tabs>
        <w:ind w:left="6120" w:hanging="360"/>
        <w:jc w:val="both"/>
      </w:pPr>
      <w:rPr>
        <w:rFonts w:ascii="Wingdings" w:eastAsia="Wingdings" w:hAnsi="Wingdings"/>
        <w:w w:val="100"/>
        <w:sz w:val="20"/>
        <w:szCs w:val="20"/>
        <w:shd w:val="clear" w:color="auto" w:fill="auto"/>
      </w:rPr>
    </w:lvl>
  </w:abstractNum>
  <w:num w:numId="1">
    <w:abstractNumId w:val="8"/>
  </w:num>
  <w:num w:numId="2">
    <w:abstractNumId w:val="10"/>
  </w:num>
  <w:num w:numId="3">
    <w:abstractNumId w:val="0"/>
  </w:num>
  <w:num w:numId="4">
    <w:abstractNumId w:val="3"/>
  </w:num>
  <w:num w:numId="5">
    <w:abstractNumId w:val="5"/>
  </w:num>
  <w:num w:numId="6">
    <w:abstractNumId w:val="1"/>
  </w:num>
  <w:num w:numId="7">
    <w:abstractNumId w:val="6"/>
  </w:num>
  <w:num w:numId="8">
    <w:abstractNumId w:val="9"/>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A4"/>
    <w:rsid w:val="000061C0"/>
    <w:rsid w:val="002B40FA"/>
    <w:rsid w:val="006B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48713-877D-4866-A37B-7B844930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74A4"/>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26"/>
    <w:qFormat/>
    <w:rsid w:val="006B74A4"/>
    <w:pPr>
      <w:ind w:left="720"/>
    </w:pPr>
    <w:rPr>
      <w:sz w:val="20"/>
      <w:szCs w:val="20"/>
    </w:rPr>
  </w:style>
  <w:style w:type="paragraph" w:styleId="FootnoteText">
    <w:name w:val="footnote text"/>
    <w:basedOn w:val="Normal"/>
    <w:link w:val="FootnoteTextChar"/>
    <w:semiHidden/>
    <w:rsid w:val="006B74A4"/>
    <w:pPr>
      <w:ind w:left="357" w:hanging="357"/>
    </w:pPr>
    <w:rPr>
      <w:sz w:val="20"/>
      <w:szCs w:val="20"/>
    </w:rPr>
  </w:style>
  <w:style w:type="character" w:customStyle="1" w:styleId="FootnoteTextChar">
    <w:name w:val="Footnote Text Char"/>
    <w:basedOn w:val="DefaultParagraphFont"/>
    <w:link w:val="FootnoteText"/>
    <w:semiHidden/>
    <w:rsid w:val="006B74A4"/>
    <w:rPr>
      <w:rFonts w:ascii="Times New Roman" w:eastAsia="Times New Roman" w:hAnsi="Times New Roman" w:cs="Times New Roman"/>
      <w:sz w:val="20"/>
      <w:szCs w:val="20"/>
      <w:lang w:val="en-US"/>
    </w:rPr>
  </w:style>
  <w:style w:type="paragraph" w:customStyle="1" w:styleId="ListDash">
    <w:name w:val="List Dash"/>
    <w:basedOn w:val="Normal"/>
    <w:rsid w:val="006B74A4"/>
    <w:pPr>
      <w:numPr>
        <w:numId w:val="1"/>
      </w:numPr>
    </w:pPr>
  </w:style>
  <w:style w:type="character" w:styleId="FootnoteReference">
    <w:name w:val="footnote reference"/>
    <w:rsid w:val="006B74A4"/>
    <w:rPr>
      <w:w w:val="100"/>
      <w:sz w:val="20"/>
      <w:szCs w:val="20"/>
      <w:shd w:val="clear" w:color="000000" w:fill="auto"/>
      <w:vertAlign w:val="superscript"/>
    </w:rPr>
  </w:style>
  <w:style w:type="character" w:styleId="Hyperlink">
    <w:name w:val="Hyperlink"/>
    <w:basedOn w:val="DefaultParagraphFont"/>
    <w:unhideWhenUsed/>
    <w:rsid w:val="006B74A4"/>
    <w:rPr>
      <w:color w:val="0563C1" w:themeColor="hyperlink"/>
      <w:w w:val="100"/>
      <w:sz w:val="20"/>
      <w:szCs w:val="20"/>
      <w:u w:val="single"/>
      <w:shd w:val="clear" w:color="auto" w:fill="auto"/>
    </w:rPr>
  </w:style>
  <w:style w:type="character" w:customStyle="1" w:styleId="ListParagraphChar">
    <w:name w:val="List Paragraph Char"/>
    <w:basedOn w:val="DefaultParagraphFont"/>
    <w:link w:val="ListParagraph"/>
    <w:uiPriority w:val="26"/>
    <w:qFormat/>
    <w:rsid w:val="006B74A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3:124:0036:0041:EN:PDF" TargetMode="External"/><Relationship Id="rId13" Type="http://schemas.openxmlformats.org/officeDocument/2006/relationships/hyperlink" Target="mailto:DATA-PROTECTION-OFFICER@ec.europa.eu" TargetMode="External"/><Relationship Id="rId3" Type="http://schemas.openxmlformats.org/officeDocument/2006/relationships/settings" Target="settings.xml"/><Relationship Id="rId7" Type="http://schemas.openxmlformats.org/officeDocument/2006/relationships/hyperlink" Target="https://en.wikipedia.org/wiki/Wage" TargetMode="External"/><Relationship Id="rId12" Type="http://schemas.openxmlformats.org/officeDocument/2006/relationships/hyperlink" Target="mailto:SG-EXPERT-GROUPS@ec.europa.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qid=1548093747090&amp;uri=CELEX:32017D0046" TargetMode="External"/><Relationship Id="rId5" Type="http://schemas.openxmlformats.org/officeDocument/2006/relationships/footnotes" Target="footnotes.xml"/><Relationship Id="rId15" Type="http://schemas.openxmlformats.org/officeDocument/2006/relationships/hyperlink" Target="http://ec.europa.eu/dpo-register" TargetMode="External"/><Relationship Id="rId10" Type="http://schemas.openxmlformats.org/officeDocument/2006/relationships/hyperlink" Target="https://eur-lex.europa.eu/legal-content/EN/TXT/?uri=uriserv:OJ.L_.2018.295.01.0039.01.ENG&amp;toc=OJ:L:2018:295:TO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4367</Words>
  <Characters>23932</Characters>
  <Application>Microsoft Office Word</Application>
  <DocSecurity>0</DocSecurity>
  <Lines>520</Lines>
  <Paragraphs>336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to the call for applications for the selection of members of the Technical Expert Stakeholder Group on SMEs</dc:title>
  <dc:subject>Annexes to the call for applications for the selection of members of the Technical Expert Stakeholder Group on SMEs</dc:subject>
  <dc:creator>European Commission</dc:creator>
  <cp:keywords/>
  <dc:description/>
  <cp:lastModifiedBy>CAPRASSE Michel (FISMA)</cp:lastModifiedBy>
  <cp:revision>2</cp:revision>
  <dcterms:created xsi:type="dcterms:W3CDTF">2020-07-29T07:49:00Z</dcterms:created>
  <dcterms:modified xsi:type="dcterms:W3CDTF">2020-07-31T09:44:00Z</dcterms:modified>
</cp:coreProperties>
</file>