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5102"/>
        <w:gridCol w:w="4649"/>
      </w:tblGrid>
      <w:tr w:rsidR="00642235" w:rsidRPr="00DA7779" w14:paraId="13D2CE9A" w14:textId="77777777" w:rsidTr="00787902">
        <w:trPr>
          <w:trHeight w:hRule="exact" w:val="2872"/>
        </w:trPr>
        <w:tc>
          <w:tcPr>
            <w:tcW w:w="5102" w:type="dxa"/>
          </w:tcPr>
          <w:p w14:paraId="31827F8A" w14:textId="77777777" w:rsidR="00B51CB0" w:rsidRPr="00805DBB" w:rsidRDefault="00650AE5" w:rsidP="00CE5D6F">
            <w:r>
              <w:rPr>
                <w:lang w:val="fi-FI"/>
              </w:rPr>
              <w:br/>
            </w:r>
          </w:p>
          <w:p w14:paraId="7663A01B" w14:textId="77777777" w:rsidR="00B51CB0" w:rsidRDefault="00B51CB0" w:rsidP="00CE5D6F">
            <w:pPr>
              <w:rPr>
                <w:lang w:val="fi-FI"/>
              </w:rPr>
            </w:pPr>
          </w:p>
          <w:p w14:paraId="670216E1" w14:textId="60D7B63A" w:rsidR="00CB2954" w:rsidRPr="00B22761" w:rsidRDefault="00CB2954" w:rsidP="00CE5D6F">
            <w:pPr>
              <w:rPr>
                <w:sz w:val="52"/>
                <w:szCs w:val="52"/>
                <w:lang w:val="fi-FI"/>
              </w:rPr>
            </w:pPr>
          </w:p>
        </w:tc>
        <w:tc>
          <w:tcPr>
            <w:tcW w:w="4649" w:type="dxa"/>
          </w:tcPr>
          <w:p w14:paraId="5634A54E" w14:textId="77777777" w:rsidR="00642235" w:rsidRPr="00D364F4" w:rsidRDefault="00642235" w:rsidP="00CE5D6F">
            <w:pPr>
              <w:spacing w:line="220" w:lineRule="atLeast"/>
              <w:jc w:val="right"/>
              <w:rPr>
                <w:b/>
                <w:bCs/>
                <w:color w:val="000000"/>
                <w:sz w:val="6"/>
                <w:szCs w:val="6"/>
                <w:lang w:val="fi-FI"/>
              </w:rPr>
            </w:pPr>
          </w:p>
          <w:p w14:paraId="3CB68CEF" w14:textId="77777777" w:rsidR="00642235" w:rsidRPr="00D364F4" w:rsidRDefault="00642235" w:rsidP="00CE5D6F">
            <w:pPr>
              <w:spacing w:line="220" w:lineRule="atLeast"/>
              <w:jc w:val="right"/>
              <w:rPr>
                <w:b/>
                <w:bCs/>
                <w:color w:val="000000"/>
                <w:sz w:val="6"/>
                <w:szCs w:val="6"/>
                <w:lang w:val="fi-FI"/>
              </w:rPr>
            </w:pPr>
          </w:p>
          <w:p w14:paraId="4249805F" w14:textId="77777777" w:rsidR="00642235" w:rsidRPr="00D364F4" w:rsidRDefault="00642235" w:rsidP="00CE5D6F">
            <w:pPr>
              <w:spacing w:line="220" w:lineRule="atLeast"/>
              <w:jc w:val="right"/>
              <w:rPr>
                <w:b/>
                <w:bCs/>
                <w:color w:val="000000"/>
                <w:sz w:val="6"/>
                <w:szCs w:val="6"/>
                <w:lang w:val="fi-FI"/>
              </w:rPr>
            </w:pPr>
          </w:p>
          <w:p w14:paraId="18CE844C" w14:textId="77777777" w:rsidR="00642235" w:rsidRPr="00D364F4" w:rsidRDefault="00642235" w:rsidP="00CE5D6F">
            <w:pPr>
              <w:spacing w:line="260" w:lineRule="atLeast"/>
              <w:jc w:val="right"/>
              <w:rPr>
                <w:b/>
                <w:bCs/>
                <w:noProof/>
                <w:color w:val="000000"/>
                <w:sz w:val="18"/>
                <w:szCs w:val="18"/>
                <w:lang w:val="en-GB"/>
              </w:rPr>
            </w:pPr>
            <w:r w:rsidRPr="00B55633">
              <w:rPr>
                <w:b/>
                <w:bCs/>
                <w:noProof/>
                <w:color w:val="000000"/>
                <w:sz w:val="18"/>
                <w:szCs w:val="18"/>
                <w:lang w:val="fi-FI"/>
              </w:rPr>
              <w:t xml:space="preserve"> </w:t>
            </w:r>
            <w:r w:rsidRPr="00D364F4">
              <w:rPr>
                <w:b/>
                <w:bCs/>
                <w:noProof/>
                <w:color w:val="000000"/>
                <w:sz w:val="18"/>
                <w:szCs w:val="18"/>
                <w:lang w:val="en-GB"/>
              </w:rPr>
              <w:t>Division Bank and Insurance</w:t>
            </w:r>
          </w:p>
          <w:p w14:paraId="45B60B89" w14:textId="77777777" w:rsidR="00C47B46" w:rsidRPr="00D364F4" w:rsidRDefault="00C47B46" w:rsidP="00CE5D6F">
            <w:pPr>
              <w:spacing w:line="260" w:lineRule="atLeast"/>
              <w:jc w:val="right"/>
              <w:rPr>
                <w:bCs/>
                <w:color w:val="000000"/>
                <w:sz w:val="18"/>
                <w:szCs w:val="18"/>
                <w:lang w:val="en-GB"/>
              </w:rPr>
            </w:pPr>
            <w:r w:rsidRPr="00D364F4">
              <w:rPr>
                <w:bCs/>
                <w:noProof/>
                <w:color w:val="000000"/>
                <w:sz w:val="18"/>
                <w:szCs w:val="18"/>
                <w:lang w:val="en-GB"/>
              </w:rPr>
              <w:t>Austrian Federal Economic Chamber</w:t>
            </w:r>
          </w:p>
          <w:p w14:paraId="73E55BE3" w14:textId="77777777" w:rsidR="00642235" w:rsidRPr="00CE5D6F" w:rsidRDefault="00642235" w:rsidP="00CE5D6F">
            <w:pPr>
              <w:spacing w:line="260" w:lineRule="atLeast"/>
              <w:jc w:val="right"/>
              <w:rPr>
                <w:color w:val="000000"/>
                <w:sz w:val="18"/>
                <w:szCs w:val="18"/>
                <w:lang w:val="de-AT"/>
              </w:rPr>
            </w:pPr>
            <w:r w:rsidRPr="00CE5D6F">
              <w:rPr>
                <w:noProof/>
                <w:color w:val="000000"/>
                <w:sz w:val="18"/>
                <w:szCs w:val="18"/>
                <w:lang w:val="de-AT"/>
              </w:rPr>
              <w:t>Wiedner Hauptstraße 63 | P.O. Box 320</w:t>
            </w:r>
          </w:p>
          <w:p w14:paraId="4102FA7E" w14:textId="77777777" w:rsidR="00642235" w:rsidRPr="00CE5D6F" w:rsidRDefault="00642235" w:rsidP="00CE5D6F">
            <w:pPr>
              <w:spacing w:line="260" w:lineRule="atLeast"/>
              <w:jc w:val="right"/>
              <w:rPr>
                <w:color w:val="000000"/>
                <w:sz w:val="18"/>
                <w:szCs w:val="18"/>
                <w:lang w:val="de-AT"/>
              </w:rPr>
            </w:pPr>
            <w:r w:rsidRPr="00CE5D6F">
              <w:rPr>
                <w:noProof/>
                <w:color w:val="000000"/>
                <w:sz w:val="18"/>
                <w:szCs w:val="18"/>
                <w:lang w:val="de-AT"/>
              </w:rPr>
              <w:t>1045 Vienna</w:t>
            </w:r>
          </w:p>
          <w:p w14:paraId="2A508453" w14:textId="77777777" w:rsidR="00642235" w:rsidRPr="00D364F4" w:rsidRDefault="00642235" w:rsidP="00CE5D6F">
            <w:pPr>
              <w:spacing w:line="260" w:lineRule="atLeast"/>
              <w:jc w:val="right"/>
              <w:rPr>
                <w:color w:val="000000"/>
                <w:sz w:val="18"/>
                <w:szCs w:val="18"/>
              </w:rPr>
            </w:pPr>
            <w:r w:rsidRPr="00B51CB0">
              <w:rPr>
                <w:noProof/>
                <w:color w:val="000000"/>
                <w:sz w:val="18"/>
                <w:szCs w:val="18"/>
                <w:lang w:val="de-AT"/>
              </w:rPr>
              <w:t>T +43 (0)5 90 900-DW | F +43 (0)5 90 900-27</w:t>
            </w:r>
            <w:r w:rsidRPr="00D364F4">
              <w:rPr>
                <w:noProof/>
                <w:color w:val="000000"/>
                <w:sz w:val="18"/>
                <w:szCs w:val="18"/>
              </w:rPr>
              <w:t>2</w:t>
            </w:r>
          </w:p>
          <w:p w14:paraId="6DF121BE" w14:textId="77777777" w:rsidR="00642235" w:rsidRPr="00D364F4" w:rsidRDefault="00642235" w:rsidP="00CE5D6F">
            <w:pPr>
              <w:spacing w:line="260" w:lineRule="atLeast"/>
              <w:jc w:val="right"/>
              <w:rPr>
                <w:color w:val="000000"/>
                <w:sz w:val="18"/>
                <w:szCs w:val="18"/>
              </w:rPr>
            </w:pPr>
            <w:r w:rsidRPr="00D364F4">
              <w:rPr>
                <w:noProof/>
                <w:color w:val="000000"/>
                <w:sz w:val="18"/>
                <w:szCs w:val="18"/>
              </w:rPr>
              <w:t>E  bsbv@wko.at</w:t>
            </w:r>
          </w:p>
          <w:p w14:paraId="56A85BB3" w14:textId="77777777" w:rsidR="00642235" w:rsidRPr="00D364F4" w:rsidRDefault="00642235" w:rsidP="00CE5D6F">
            <w:pPr>
              <w:spacing w:line="260" w:lineRule="atLeast"/>
              <w:jc w:val="right"/>
              <w:rPr>
                <w:lang w:val="en-GB"/>
              </w:rPr>
            </w:pPr>
            <w:r w:rsidRPr="00D364F4">
              <w:rPr>
                <w:noProof/>
                <w:color w:val="000000"/>
                <w:sz w:val="18"/>
                <w:szCs w:val="18"/>
                <w:lang w:val="en-GB"/>
              </w:rPr>
              <w:t>W  http://wko.at/bsbv</w:t>
            </w:r>
          </w:p>
        </w:tc>
      </w:tr>
    </w:tbl>
    <w:p w14:paraId="194CA4FE" w14:textId="77777777" w:rsidR="00642235" w:rsidRPr="00C21BF0" w:rsidRDefault="00642235" w:rsidP="00CE5D6F">
      <w:pPr>
        <w:tabs>
          <w:tab w:val="left" w:pos="2892"/>
          <w:tab w:val="left" w:pos="5783"/>
          <w:tab w:val="left" w:pos="7655"/>
        </w:tabs>
        <w:rPr>
          <w:color w:val="000000"/>
          <w:sz w:val="16"/>
          <w:szCs w:val="16"/>
          <w:lang w:val="en-GB"/>
        </w:rPr>
      </w:pPr>
      <w:r w:rsidRPr="00C21BF0">
        <w:rPr>
          <w:noProof/>
          <w:color w:val="000000"/>
          <w:sz w:val="16"/>
          <w:szCs w:val="16"/>
          <w:lang w:val="en-GB"/>
        </w:rPr>
        <w:t>Your ref., Your message of</w:t>
      </w:r>
      <w:r w:rsidRPr="00C21BF0">
        <w:rPr>
          <w:color w:val="000000"/>
          <w:sz w:val="16"/>
          <w:szCs w:val="16"/>
          <w:lang w:val="en-GB"/>
        </w:rPr>
        <w:tab/>
      </w:r>
      <w:r w:rsidRPr="00C21BF0">
        <w:rPr>
          <w:noProof/>
          <w:color w:val="000000"/>
          <w:sz w:val="16"/>
          <w:szCs w:val="16"/>
          <w:lang w:val="en-GB"/>
        </w:rPr>
        <w:t>Our ref., person in charge</w:t>
      </w:r>
      <w:r w:rsidRPr="00C21BF0">
        <w:rPr>
          <w:color w:val="000000"/>
          <w:sz w:val="16"/>
          <w:szCs w:val="16"/>
          <w:lang w:val="en-GB"/>
        </w:rPr>
        <w:tab/>
      </w:r>
      <w:r w:rsidRPr="00C21BF0">
        <w:rPr>
          <w:noProof/>
          <w:color w:val="000000"/>
          <w:sz w:val="16"/>
          <w:szCs w:val="16"/>
          <w:lang w:val="en-GB"/>
        </w:rPr>
        <w:t>Extension</w:t>
      </w:r>
      <w:r w:rsidRPr="00C21BF0">
        <w:rPr>
          <w:color w:val="000000"/>
          <w:sz w:val="16"/>
          <w:szCs w:val="16"/>
          <w:lang w:val="en-GB"/>
        </w:rPr>
        <w:tab/>
      </w:r>
      <w:r w:rsidRPr="00C21BF0">
        <w:rPr>
          <w:noProof/>
          <w:color w:val="000000"/>
          <w:sz w:val="16"/>
          <w:szCs w:val="16"/>
          <w:lang w:val="en-GB"/>
        </w:rPr>
        <w:t>Date</w:t>
      </w:r>
    </w:p>
    <w:p w14:paraId="2C625CD9" w14:textId="0A07838A" w:rsidR="00E754C8" w:rsidRDefault="00642235" w:rsidP="00AE5CCD">
      <w:pPr>
        <w:tabs>
          <w:tab w:val="left" w:pos="2892"/>
          <w:tab w:val="left" w:pos="5783"/>
          <w:tab w:val="left" w:pos="7655"/>
        </w:tabs>
        <w:rPr>
          <w:color w:val="000000"/>
          <w:sz w:val="24"/>
          <w:szCs w:val="24"/>
          <w:lang w:val="en-GB"/>
        </w:rPr>
      </w:pPr>
      <w:r w:rsidRPr="00C21BF0">
        <w:rPr>
          <w:color w:val="000000"/>
          <w:lang w:val="en-GB"/>
        </w:rPr>
        <w:tab/>
      </w:r>
      <w:r w:rsidRPr="00DC0A36">
        <w:rPr>
          <w:noProof/>
          <w:color w:val="000000"/>
          <w:lang w:val="en-GB"/>
        </w:rPr>
        <w:t>BSBV</w:t>
      </w:r>
      <w:r w:rsidR="00CE5D6F">
        <w:rPr>
          <w:noProof/>
          <w:color w:val="000000"/>
          <w:lang w:val="en-GB"/>
        </w:rPr>
        <w:t xml:space="preserve"> </w:t>
      </w:r>
      <w:r w:rsidR="00EB3E1B">
        <w:rPr>
          <w:noProof/>
          <w:color w:val="000000"/>
          <w:lang w:val="en-GB"/>
        </w:rPr>
        <w:t>64</w:t>
      </w:r>
      <w:r w:rsidR="00641DC4" w:rsidRPr="00DC0A36">
        <w:rPr>
          <w:noProof/>
          <w:color w:val="000000"/>
          <w:lang w:val="en-GB"/>
        </w:rPr>
        <w:t>/</w:t>
      </w:r>
      <w:r w:rsidR="0019020E">
        <w:rPr>
          <w:noProof/>
          <w:color w:val="000000"/>
          <w:lang w:val="en-GB"/>
        </w:rPr>
        <w:t>Ho</w:t>
      </w:r>
      <w:r w:rsidR="00AE5CCD">
        <w:rPr>
          <w:noProof/>
          <w:color w:val="000000"/>
          <w:lang w:val="en-GB"/>
        </w:rPr>
        <w:t>rvath</w:t>
      </w:r>
      <w:r w:rsidR="00641DC4" w:rsidRPr="00DC0A36">
        <w:rPr>
          <w:noProof/>
          <w:color w:val="000000"/>
          <w:lang w:val="en-GB"/>
        </w:rPr>
        <w:tab/>
        <w:t>31</w:t>
      </w:r>
      <w:r w:rsidR="00CE5D6F">
        <w:rPr>
          <w:noProof/>
          <w:color w:val="000000"/>
          <w:lang w:val="en-GB"/>
        </w:rPr>
        <w:t>41</w:t>
      </w:r>
      <w:r w:rsidRPr="00DC0A36">
        <w:rPr>
          <w:color w:val="000000"/>
          <w:lang w:val="en-GB"/>
        </w:rPr>
        <w:tab/>
      </w:r>
      <w:r w:rsidR="00FF4385">
        <w:rPr>
          <w:color w:val="000000"/>
          <w:lang w:val="en-GB"/>
        </w:rPr>
        <w:t>4</w:t>
      </w:r>
      <w:r w:rsidR="00FF4385" w:rsidRPr="00FF4385">
        <w:rPr>
          <w:color w:val="000000"/>
          <w:vertAlign w:val="superscript"/>
          <w:lang w:val="en-GB"/>
        </w:rPr>
        <w:t>th</w:t>
      </w:r>
      <w:r w:rsidR="00FF4385">
        <w:rPr>
          <w:color w:val="000000"/>
          <w:lang w:val="en-GB"/>
        </w:rPr>
        <w:t xml:space="preserve"> May</w:t>
      </w:r>
      <w:r w:rsidR="00AE5CCD">
        <w:rPr>
          <w:color w:val="000000"/>
          <w:lang w:val="en-GB"/>
        </w:rPr>
        <w:t xml:space="preserve"> </w:t>
      </w:r>
      <w:r w:rsidR="00D82226" w:rsidRPr="00DC0A36">
        <w:rPr>
          <w:color w:val="000000"/>
          <w:lang w:val="en-GB"/>
        </w:rPr>
        <w:t>20</w:t>
      </w:r>
      <w:r w:rsidR="00AE5CCD">
        <w:rPr>
          <w:color w:val="000000"/>
          <w:lang w:val="en-GB"/>
        </w:rPr>
        <w:t>2</w:t>
      </w:r>
      <w:r w:rsidR="00EB3E1B">
        <w:rPr>
          <w:color w:val="000000"/>
          <w:lang w:val="en-GB"/>
        </w:rPr>
        <w:t>1</w:t>
      </w:r>
    </w:p>
    <w:p w14:paraId="5490A9A0" w14:textId="77777777" w:rsidR="00A82C13" w:rsidRPr="00DC0A36" w:rsidRDefault="00A82C13" w:rsidP="00CE5D6F">
      <w:pPr>
        <w:rPr>
          <w:color w:val="000000"/>
          <w:sz w:val="24"/>
          <w:szCs w:val="24"/>
          <w:lang w:val="en-GB"/>
        </w:rPr>
      </w:pPr>
    </w:p>
    <w:p w14:paraId="4CC85330" w14:textId="4B2410EC" w:rsidR="00AE5CCD" w:rsidRPr="00AE5CCD" w:rsidRDefault="00EB3E1B" w:rsidP="00EB3E1B">
      <w:pPr>
        <w:pStyle w:val="Default"/>
        <w:rPr>
          <w:rFonts w:ascii="Calibri" w:hAnsi="Calibri" w:cs="Calibri"/>
          <w:sz w:val="32"/>
          <w:szCs w:val="32"/>
          <w:u w:val="single"/>
          <w:lang w:val="hr-HR"/>
        </w:rPr>
      </w:pPr>
      <w:r w:rsidRPr="00EB3E1B">
        <w:rPr>
          <w:rFonts w:ascii="Trebuchet MS" w:hAnsi="Trebuchet MS"/>
          <w:b/>
          <w:u w:val="single"/>
          <w:lang w:val="en-GB"/>
        </w:rPr>
        <w:t>Targeted consultation on the designation of a statutory replacement rate for CHF LIBOR</w:t>
      </w:r>
      <w:r w:rsidRPr="00EB3E1B">
        <w:rPr>
          <w:rFonts w:ascii="Times New Roman" w:eastAsia="Times New Roman" w:hAnsi="Times New Roman" w:cs="Times New Roman"/>
          <w:b/>
          <w:bCs/>
          <w:sz w:val="23"/>
          <w:szCs w:val="23"/>
          <w:lang w:val="en-US" w:eastAsia="de-AT"/>
        </w:rPr>
        <w:t xml:space="preserve"> </w:t>
      </w:r>
    </w:p>
    <w:p w14:paraId="08A5678B" w14:textId="77777777" w:rsidR="00AE5CCD" w:rsidRPr="00AE5CCD" w:rsidRDefault="00AE5CCD" w:rsidP="00AE5CCD">
      <w:pPr>
        <w:autoSpaceDE w:val="0"/>
        <w:autoSpaceDN w:val="0"/>
        <w:adjustRightInd w:val="0"/>
        <w:spacing w:line="240" w:lineRule="auto"/>
        <w:rPr>
          <w:rFonts w:ascii="Calibri" w:hAnsi="Calibri" w:cs="Calibri"/>
          <w:snapToGrid/>
          <w:color w:val="000000"/>
          <w:sz w:val="24"/>
          <w:szCs w:val="24"/>
          <w:lang w:val="hr-HR"/>
        </w:rPr>
      </w:pPr>
    </w:p>
    <w:p w14:paraId="4C81F764" w14:textId="17CF9E6C" w:rsidR="0019020E" w:rsidRPr="00EB3E1B" w:rsidRDefault="00E46914" w:rsidP="00EB3E1B">
      <w:pPr>
        <w:spacing w:line="264" w:lineRule="auto"/>
        <w:rPr>
          <w:rFonts w:cs="Arial"/>
          <w:lang w:val="en-GB"/>
        </w:rPr>
      </w:pPr>
      <w:r w:rsidRPr="00080C92">
        <w:rPr>
          <w:lang w:val="en-GB"/>
        </w:rPr>
        <w:t xml:space="preserve">The Division Bank and Insurance of the Austrian Federal Economic Chamber, as legal </w:t>
      </w:r>
      <w:r w:rsidRPr="00EB3E1B">
        <w:rPr>
          <w:lang w:val="en-GB"/>
        </w:rPr>
        <w:t>representative of the entire Austrian banking</w:t>
      </w:r>
      <w:r w:rsidR="00AE5CCD" w:rsidRPr="00EB3E1B">
        <w:rPr>
          <w:lang w:val="en-GB"/>
        </w:rPr>
        <w:t xml:space="preserve"> and insurance</w:t>
      </w:r>
      <w:r w:rsidRPr="00EB3E1B">
        <w:rPr>
          <w:lang w:val="en-GB"/>
        </w:rPr>
        <w:t xml:space="preserve"> industry, appreciates the possibility to</w:t>
      </w:r>
      <w:r w:rsidRPr="00EB3E1B">
        <w:rPr>
          <w:rFonts w:cs="Arial"/>
          <w:lang w:val="en-GB" w:eastAsia="en-US"/>
        </w:rPr>
        <w:t xml:space="preserve"> comment on </w:t>
      </w:r>
      <w:r w:rsidR="00B84738" w:rsidRPr="00EB3E1B">
        <w:rPr>
          <w:rFonts w:cs="Arial"/>
          <w:lang w:val="en-GB"/>
        </w:rPr>
        <w:t>the above cited</w:t>
      </w:r>
      <w:r w:rsidR="0019020E" w:rsidRPr="00EB3E1B">
        <w:rPr>
          <w:rFonts w:cs="Arial"/>
          <w:lang w:val="en-GB"/>
        </w:rPr>
        <w:t xml:space="preserve"> Consultative Document.</w:t>
      </w:r>
      <w:r w:rsidR="00B84738" w:rsidRPr="00EB3E1B">
        <w:rPr>
          <w:rFonts w:cs="Arial"/>
          <w:lang w:val="en-GB"/>
        </w:rPr>
        <w:t xml:space="preserve"> W</w:t>
      </w:r>
      <w:r w:rsidR="0019020E" w:rsidRPr="00EB3E1B">
        <w:rPr>
          <w:rFonts w:cs="Arial"/>
          <w:lang w:val="en-GB"/>
        </w:rPr>
        <w:t>e would like to note the following comments and remarks</w:t>
      </w:r>
      <w:r w:rsidR="00B84738" w:rsidRPr="00EB3E1B">
        <w:rPr>
          <w:rFonts w:cs="Arial"/>
          <w:lang w:val="en-GB"/>
        </w:rPr>
        <w:t>.</w:t>
      </w:r>
    </w:p>
    <w:p w14:paraId="12FD4BB6" w14:textId="1A4E3A9E" w:rsidR="00EB3E1B" w:rsidRPr="00EB3E1B" w:rsidRDefault="00EB3E1B" w:rsidP="00EB3E1B">
      <w:pPr>
        <w:spacing w:line="264" w:lineRule="auto"/>
        <w:rPr>
          <w:rFonts w:cs="Arial"/>
          <w:lang w:val="en-GB"/>
        </w:rPr>
      </w:pPr>
    </w:p>
    <w:p w14:paraId="5ADB95F6" w14:textId="77777777" w:rsidR="00787902" w:rsidRPr="00787902" w:rsidRDefault="00787902" w:rsidP="00787902">
      <w:pPr>
        <w:jc w:val="both"/>
        <w:rPr>
          <w:rFonts w:cs="Arial"/>
          <w:b/>
          <w:bCs/>
          <w:lang w:val="en-US"/>
        </w:rPr>
      </w:pPr>
      <w:r w:rsidRPr="00787902">
        <w:rPr>
          <w:rFonts w:cs="Arial"/>
          <w:b/>
          <w:bCs/>
          <w:lang w:val="en-US"/>
        </w:rPr>
        <w:t>1. ON THE EFFECTIVE NEED FOR A REPLACEMENT FOR CHF LIBOR</w:t>
      </w:r>
    </w:p>
    <w:p w14:paraId="74970246" w14:textId="4AA7A32F" w:rsidR="00EB3E1B" w:rsidRPr="00EB3E1B" w:rsidRDefault="00EB3E1B" w:rsidP="00EB3E1B">
      <w:pPr>
        <w:rPr>
          <w:rFonts w:cs="Arial"/>
          <w:lang w:val="en-US"/>
        </w:rPr>
      </w:pPr>
      <w:r w:rsidRPr="00EB3E1B">
        <w:rPr>
          <w:rFonts w:cs="Arial"/>
          <w:lang w:val="en-US"/>
        </w:rPr>
        <w:t xml:space="preserve">Pursuant to </w:t>
      </w:r>
      <w:r w:rsidR="00787902">
        <w:rPr>
          <w:rFonts w:cs="Arial"/>
          <w:lang w:val="en-US"/>
        </w:rPr>
        <w:t>A</w:t>
      </w:r>
      <w:r w:rsidRPr="00EB3E1B">
        <w:rPr>
          <w:rFonts w:cs="Arial"/>
          <w:lang w:val="en-US"/>
        </w:rPr>
        <w:t>rticle 23a of the EU BMR, the Commission may only designate replacement rates for third-country benchmarks “if their cessation or wind-down would significantly disrupt the functioning of financial markets in the Union or pose a systemic risk to the financial system in the Union.”.</w:t>
      </w:r>
    </w:p>
    <w:p w14:paraId="603F2AAB" w14:textId="77777777" w:rsidR="00EB3E1B" w:rsidRPr="00EB3E1B" w:rsidRDefault="00EB3E1B" w:rsidP="00EB3E1B">
      <w:pPr>
        <w:rPr>
          <w:rFonts w:cs="Arial"/>
          <w:lang w:val="en-US"/>
        </w:rPr>
      </w:pPr>
    </w:p>
    <w:p w14:paraId="7254CA0B" w14:textId="77777777" w:rsidR="00EB3E1B" w:rsidRPr="00787902" w:rsidRDefault="00EB3E1B" w:rsidP="00EB3E1B">
      <w:pPr>
        <w:rPr>
          <w:rFonts w:cs="Arial"/>
          <w:b/>
          <w:bCs/>
          <w:i/>
          <w:lang w:val="en-US"/>
        </w:rPr>
      </w:pPr>
      <w:r w:rsidRPr="00787902">
        <w:rPr>
          <w:rFonts w:cs="Arial"/>
          <w:b/>
          <w:bCs/>
          <w:i/>
          <w:lang w:val="en-US"/>
        </w:rPr>
        <w:t>Question 1. Do market participants agree that the situation as described above, requires that the Commission exercises the statutory replacement powers for the CHF LIBOR?</w:t>
      </w:r>
    </w:p>
    <w:p w14:paraId="39D805BA" w14:textId="77777777" w:rsidR="00EB3E1B" w:rsidRPr="00787902" w:rsidRDefault="00EB3E1B" w:rsidP="00EB3E1B">
      <w:pPr>
        <w:rPr>
          <w:rFonts w:cs="Arial"/>
          <w:b/>
          <w:i/>
          <w:lang w:val="en-US"/>
        </w:rPr>
      </w:pPr>
      <w:r w:rsidRPr="00787902">
        <w:rPr>
          <w:rFonts w:cs="Arial"/>
          <w:b/>
          <w:i/>
          <w:lang w:val="en-US"/>
        </w:rPr>
        <w:t>Please explain and provide data if available.</w:t>
      </w:r>
    </w:p>
    <w:p w14:paraId="2F60829E" w14:textId="77777777" w:rsidR="00EB3E1B" w:rsidRPr="00EB3E1B" w:rsidRDefault="00EB3E1B" w:rsidP="00EB3E1B">
      <w:pPr>
        <w:rPr>
          <w:rFonts w:cs="Arial"/>
          <w:lang w:val="en-US"/>
        </w:rPr>
      </w:pPr>
      <w:r w:rsidRPr="00EB3E1B">
        <w:rPr>
          <w:rFonts w:cs="Arial"/>
          <w:highlight w:val="yellow"/>
          <w:lang w:val="en-US"/>
        </w:rPr>
        <w:t>a) Yes</w:t>
      </w:r>
    </w:p>
    <w:p w14:paraId="247FBD45" w14:textId="77777777" w:rsidR="00EB3E1B" w:rsidRPr="00EB3E1B" w:rsidRDefault="00EB3E1B" w:rsidP="00EB3E1B">
      <w:pPr>
        <w:rPr>
          <w:rFonts w:cs="Arial"/>
          <w:lang w:val="en-US"/>
        </w:rPr>
      </w:pPr>
      <w:r w:rsidRPr="00EB3E1B">
        <w:rPr>
          <w:rFonts w:cs="Arial"/>
          <w:lang w:val="en-US"/>
        </w:rPr>
        <w:t>b) No</w:t>
      </w:r>
    </w:p>
    <w:p w14:paraId="538CB9AF" w14:textId="77777777" w:rsidR="00EB3E1B" w:rsidRPr="00EB3E1B" w:rsidRDefault="00EB3E1B" w:rsidP="00EB3E1B">
      <w:pPr>
        <w:rPr>
          <w:rFonts w:cs="Arial"/>
          <w:lang w:val="en-US"/>
        </w:rPr>
      </w:pPr>
      <w:r w:rsidRPr="00EB3E1B">
        <w:rPr>
          <w:rFonts w:cs="Arial"/>
          <w:lang w:val="en-US"/>
        </w:rPr>
        <w:t>c) No opinion.</w:t>
      </w:r>
    </w:p>
    <w:p w14:paraId="58BC6290" w14:textId="77777777" w:rsidR="00EB3E1B" w:rsidRPr="00EB3E1B" w:rsidRDefault="00EB3E1B" w:rsidP="00EB3E1B">
      <w:pPr>
        <w:rPr>
          <w:lang w:val="en-US"/>
        </w:rPr>
      </w:pPr>
    </w:p>
    <w:p w14:paraId="4E1E0F0B" w14:textId="370EB7A2" w:rsidR="00EB3E1B" w:rsidRPr="00EB3E1B" w:rsidRDefault="00EB3E1B" w:rsidP="00EB3E1B">
      <w:pPr>
        <w:rPr>
          <w:rFonts w:cs="Arial"/>
          <w:lang w:val="en-US"/>
        </w:rPr>
      </w:pPr>
      <w:r w:rsidRPr="00EB3E1B">
        <w:rPr>
          <w:rFonts w:cs="Arial"/>
          <w:lang w:val="en-US"/>
        </w:rPr>
        <w:t>In Austria, the CHF LIBOR used to play an important role in granting mortgages to private households. By the end of December 2020, an amount of EUR 10</w:t>
      </w:r>
      <w:r w:rsidR="00787902">
        <w:rPr>
          <w:rFonts w:cs="Arial"/>
          <w:lang w:val="en-US"/>
        </w:rPr>
        <w:t>.</w:t>
      </w:r>
      <w:r w:rsidRPr="00EB3E1B">
        <w:rPr>
          <w:rFonts w:cs="Arial"/>
          <w:lang w:val="en-US"/>
        </w:rPr>
        <w:t>8 bn of such CHF LIBOR linked loans to private households was still outstanding in the Austrian market (source: OeNB: (</w:t>
      </w:r>
      <w:hyperlink r:id="rId11" w:history="1">
        <w:r w:rsidRPr="00EB3E1B">
          <w:rPr>
            <w:rStyle w:val="Hyperlink"/>
            <w:rFonts w:cs="Arial"/>
            <w:lang w:val="en-US"/>
          </w:rPr>
          <w:t>https://www.oenb.at/isaweb/report.do?lang=EN&amp;report=3.78</w:t>
        </w:r>
      </w:hyperlink>
      <w:r w:rsidRPr="00EB3E1B">
        <w:rPr>
          <w:rFonts w:cs="Arial"/>
          <w:lang w:val="en-US"/>
        </w:rPr>
        <w:t xml:space="preserve">). </w:t>
      </w:r>
    </w:p>
    <w:p w14:paraId="723405F0" w14:textId="77777777" w:rsidR="00EB3E1B" w:rsidRPr="00EB3E1B" w:rsidRDefault="00EB3E1B" w:rsidP="00EB3E1B">
      <w:pPr>
        <w:rPr>
          <w:rFonts w:cs="Arial"/>
          <w:lang w:val="en-US"/>
        </w:rPr>
      </w:pPr>
    </w:p>
    <w:p w14:paraId="075C9172" w14:textId="1D660D88" w:rsidR="00C3401D" w:rsidRDefault="00C3401D" w:rsidP="00EB3E1B">
      <w:pPr>
        <w:rPr>
          <w:rFonts w:cs="Arial"/>
          <w:lang w:val="en-US"/>
        </w:rPr>
      </w:pPr>
      <w:proofErr w:type="gramStart"/>
      <w:r>
        <w:rPr>
          <w:rFonts w:cs="Arial"/>
          <w:lang w:val="en-US"/>
        </w:rPr>
        <w:t>The vast majority of</w:t>
      </w:r>
      <w:proofErr w:type="gramEnd"/>
      <w:r>
        <w:rPr>
          <w:rFonts w:cs="Arial"/>
          <w:lang w:val="en-US"/>
        </w:rPr>
        <w:t xml:space="preserve"> these </w:t>
      </w:r>
      <w:r w:rsidR="00EB3E1B" w:rsidRPr="00EB3E1B">
        <w:rPr>
          <w:rFonts w:cs="Arial"/>
          <w:lang w:val="en-US"/>
        </w:rPr>
        <w:t xml:space="preserve">contracts </w:t>
      </w:r>
      <w:r w:rsidR="00FF4385">
        <w:rPr>
          <w:rFonts w:cs="Arial"/>
          <w:lang w:val="en-US"/>
        </w:rPr>
        <w:t>was</w:t>
      </w:r>
      <w:r w:rsidR="00EB3E1B" w:rsidRPr="00EB3E1B">
        <w:rPr>
          <w:rFonts w:cs="Arial"/>
          <w:lang w:val="en-US"/>
        </w:rPr>
        <w:t xml:space="preserve"> concluded in the years up until 2010, when </w:t>
      </w:r>
      <w:r>
        <w:rPr>
          <w:rFonts w:cs="Arial"/>
          <w:lang w:val="en-US"/>
        </w:rPr>
        <w:t xml:space="preserve">neither the cessation of LIBOR was </w:t>
      </w:r>
      <w:r w:rsidR="00FF4385">
        <w:rPr>
          <w:rFonts w:cs="Arial"/>
          <w:lang w:val="en-US"/>
        </w:rPr>
        <w:t>predictable,</w:t>
      </w:r>
      <w:r>
        <w:rPr>
          <w:rFonts w:cs="Arial"/>
          <w:lang w:val="en-US"/>
        </w:rPr>
        <w:t xml:space="preserve"> nor </w:t>
      </w:r>
      <w:r w:rsidR="00EB3E1B" w:rsidRPr="00EB3E1B">
        <w:rPr>
          <w:rFonts w:cs="Arial"/>
          <w:lang w:val="en-US"/>
        </w:rPr>
        <w:t xml:space="preserve">a </w:t>
      </w:r>
      <w:r>
        <w:rPr>
          <w:rFonts w:cs="Arial"/>
          <w:lang w:val="en-US"/>
        </w:rPr>
        <w:t>specific</w:t>
      </w:r>
      <w:r w:rsidRPr="00EB3E1B">
        <w:rPr>
          <w:rFonts w:cs="Arial"/>
          <w:lang w:val="en-US"/>
        </w:rPr>
        <w:t xml:space="preserve"> </w:t>
      </w:r>
      <w:r w:rsidR="00EB3E1B" w:rsidRPr="00EB3E1B">
        <w:rPr>
          <w:rFonts w:cs="Arial"/>
          <w:lang w:val="en-US"/>
        </w:rPr>
        <w:t xml:space="preserve">replacement indicator was known. </w:t>
      </w:r>
    </w:p>
    <w:p w14:paraId="1E50ED5C" w14:textId="702046D9" w:rsidR="00EB3E1B" w:rsidRPr="00EB3E1B" w:rsidRDefault="00C3401D" w:rsidP="00EB3E1B">
      <w:pPr>
        <w:rPr>
          <w:rFonts w:cs="Arial"/>
          <w:lang w:val="en-US"/>
        </w:rPr>
      </w:pPr>
      <w:r>
        <w:rPr>
          <w:rFonts w:cs="Arial"/>
          <w:lang w:val="en-US"/>
        </w:rPr>
        <w:t>Consequently, v</w:t>
      </w:r>
      <w:r w:rsidRPr="00EB3E1B">
        <w:rPr>
          <w:rFonts w:cs="Arial"/>
          <w:lang w:val="en-US"/>
        </w:rPr>
        <w:t>irtually none of the existing contracts contains a fallback language covering the permanent cessation of CHF LIBOR</w:t>
      </w:r>
      <w:r>
        <w:rPr>
          <w:rFonts w:cs="Arial"/>
          <w:lang w:val="en-US"/>
        </w:rPr>
        <w:t xml:space="preserve"> as </w:t>
      </w:r>
      <w:r w:rsidR="00EB3E1B" w:rsidRPr="00EB3E1B">
        <w:rPr>
          <w:rFonts w:cs="Arial"/>
          <w:lang w:val="en-US"/>
        </w:rPr>
        <w:t>it would only have been possible to use vague contractual wording such as referring to the usage of the economically closest indicator which could not have been named. The Austrian Supreme Court for civil law cases (“</w:t>
      </w:r>
      <w:proofErr w:type="spellStart"/>
      <w:r w:rsidR="00EB3E1B" w:rsidRPr="00EB3E1B">
        <w:rPr>
          <w:rFonts w:cs="Arial"/>
          <w:lang w:val="en-US"/>
        </w:rPr>
        <w:t>Oberster</w:t>
      </w:r>
      <w:proofErr w:type="spellEnd"/>
      <w:r w:rsidR="00EB3E1B" w:rsidRPr="00EB3E1B">
        <w:rPr>
          <w:rFonts w:cs="Arial"/>
          <w:lang w:val="en-US"/>
        </w:rPr>
        <w:t xml:space="preserve"> </w:t>
      </w:r>
      <w:proofErr w:type="spellStart"/>
      <w:r w:rsidR="00EB3E1B" w:rsidRPr="00EB3E1B">
        <w:rPr>
          <w:rFonts w:cs="Arial"/>
          <w:lang w:val="en-US"/>
        </w:rPr>
        <w:t>Gerichtshof</w:t>
      </w:r>
      <w:proofErr w:type="spellEnd"/>
      <w:r w:rsidR="00EB3E1B" w:rsidRPr="00EB3E1B">
        <w:rPr>
          <w:rFonts w:cs="Arial"/>
          <w:lang w:val="en-US"/>
        </w:rPr>
        <w:t>, OGH”) qualifies such vague contractual agreements as a violation of the so called transparency requirement (“</w:t>
      </w:r>
      <w:proofErr w:type="spellStart"/>
      <w:r w:rsidR="00EB3E1B" w:rsidRPr="00EB3E1B">
        <w:rPr>
          <w:rFonts w:cs="Arial"/>
          <w:lang w:val="en-US"/>
        </w:rPr>
        <w:t>Transparenzgebot</w:t>
      </w:r>
      <w:proofErr w:type="spellEnd"/>
      <w:r w:rsidR="00EB3E1B" w:rsidRPr="00EB3E1B">
        <w:rPr>
          <w:rFonts w:cs="Arial"/>
          <w:lang w:val="en-US"/>
        </w:rPr>
        <w:t xml:space="preserve">”) according § 6 (3) Austrian Consumer Protection Act and Article 4 (3), Art 5 Directive 93/13/EEC ("…insofar as these clauses are drafted in a clear and </w:t>
      </w:r>
      <w:r w:rsidR="00EB3E1B" w:rsidRPr="00EB3E1B">
        <w:rPr>
          <w:rFonts w:cs="Arial"/>
          <w:lang w:val="en-US"/>
        </w:rPr>
        <w:lastRenderedPageBreak/>
        <w:t>comprehensible manner"), because the consumer does not sufficiently know which specific indicator the bank would use instead of the indicator that was agreed between the two parties.</w:t>
      </w:r>
    </w:p>
    <w:p w14:paraId="21AE9A65" w14:textId="77777777" w:rsidR="00EB3E1B" w:rsidRPr="00EB3E1B" w:rsidRDefault="00EB3E1B" w:rsidP="00EB3E1B">
      <w:pPr>
        <w:rPr>
          <w:rFonts w:cs="Arial"/>
          <w:lang w:val="en-US"/>
        </w:rPr>
      </w:pPr>
    </w:p>
    <w:p w14:paraId="1A878908" w14:textId="77777777" w:rsidR="00AE7BE8" w:rsidRDefault="00EB3E1B" w:rsidP="00EB3E1B">
      <w:pPr>
        <w:rPr>
          <w:rFonts w:cs="Arial"/>
          <w:lang w:val="en-US"/>
        </w:rPr>
      </w:pPr>
      <w:r w:rsidRPr="00EB3E1B">
        <w:rPr>
          <w:rFonts w:cs="Arial"/>
          <w:lang w:val="en-US"/>
        </w:rPr>
        <w:t>Also, the huge number of outstanding contracts would not allow the retrospective inclusion of a fallback clause covering the cessation of CHF LIBOR, as such a contract change would require the mutual consent of the client. As stated above, the strict transparency requirements towards consumers in Austria would not allow the insertion of a fallback clause that does not explicitly state and define which rate will be used as a successor rate and which was also not clear until recently</w:t>
      </w:r>
      <w:r w:rsidRPr="00EB3E1B">
        <w:rPr>
          <w:rStyle w:val="Funotenzeichen"/>
          <w:rFonts w:cs="Arial"/>
          <w:lang w:val="en-US"/>
        </w:rPr>
        <w:footnoteReference w:id="1"/>
      </w:r>
      <w:r w:rsidRPr="00EB3E1B">
        <w:rPr>
          <w:rFonts w:cs="Arial"/>
          <w:lang w:val="en-US"/>
        </w:rPr>
        <w:t xml:space="preserve">. Therefore, contracts that were concluded until </w:t>
      </w:r>
      <w:proofErr w:type="spellStart"/>
      <w:r w:rsidRPr="00EB3E1B">
        <w:rPr>
          <w:rFonts w:cs="Arial"/>
          <w:lang w:val="en-US"/>
        </w:rPr>
        <w:t>some time</w:t>
      </w:r>
      <w:proofErr w:type="spellEnd"/>
      <w:r w:rsidRPr="00EB3E1B">
        <w:rPr>
          <w:rFonts w:cs="Arial"/>
          <w:lang w:val="en-US"/>
        </w:rPr>
        <w:t xml:space="preserve"> after the coming into force of the EU BMR in 2018 do not contain a fallback clause either. Although the number of such contracts is very low, we would like to point out that we consider the restriction of the consultation to only include contracts that were concluded before 1 January 2018 as very critical. </w:t>
      </w:r>
      <w:r w:rsidRPr="00EB3E1B">
        <w:rPr>
          <w:rFonts w:cs="Arial"/>
          <w:b/>
          <w:bCs/>
          <w:lang w:val="en-US"/>
        </w:rPr>
        <w:t xml:space="preserve">In order to assure consistency and legal certainty, the designated replacement rate should apply to all contracts which do not contain fallback clause, </w:t>
      </w:r>
      <w:proofErr w:type="gramStart"/>
      <w:r w:rsidRPr="00EB3E1B">
        <w:rPr>
          <w:rFonts w:cs="Arial"/>
          <w:b/>
          <w:bCs/>
          <w:lang w:val="en-US"/>
        </w:rPr>
        <w:t>regardless</w:t>
      </w:r>
      <w:proofErr w:type="gramEnd"/>
      <w:r w:rsidRPr="00EB3E1B">
        <w:rPr>
          <w:rFonts w:cs="Arial"/>
          <w:b/>
          <w:bCs/>
          <w:lang w:val="en-US"/>
        </w:rPr>
        <w:t xml:space="preserve"> when they were concluded.</w:t>
      </w:r>
    </w:p>
    <w:p w14:paraId="1D7F21E2" w14:textId="77777777" w:rsidR="00AE7BE8" w:rsidRDefault="00AE7BE8" w:rsidP="00EB3E1B">
      <w:pPr>
        <w:rPr>
          <w:rFonts w:cs="Arial"/>
          <w:lang w:val="en-US"/>
        </w:rPr>
      </w:pPr>
    </w:p>
    <w:p w14:paraId="35AC2947" w14:textId="39E4102C" w:rsidR="00AE7BE8" w:rsidRDefault="00AE7BE8" w:rsidP="00EB3E1B">
      <w:pPr>
        <w:rPr>
          <w:rFonts w:cs="Arial"/>
          <w:lang w:val="en-US"/>
        </w:rPr>
      </w:pPr>
      <w:r>
        <w:rPr>
          <w:rFonts w:cs="Arial"/>
          <w:lang w:val="en-US"/>
        </w:rPr>
        <w:t xml:space="preserve">In case the </w:t>
      </w:r>
      <w:proofErr w:type="spellStart"/>
      <w:r>
        <w:rPr>
          <w:rFonts w:cs="Arial"/>
          <w:lang w:val="en-US"/>
        </w:rPr>
        <w:t>Comminssion</w:t>
      </w:r>
      <w:proofErr w:type="spellEnd"/>
      <w:r>
        <w:rPr>
          <w:rFonts w:cs="Arial"/>
          <w:lang w:val="en-US"/>
        </w:rPr>
        <w:t xml:space="preserve"> explicitly seeks to stipulate a specific reference date until </w:t>
      </w:r>
      <w:r w:rsidRPr="00AE7BE8">
        <w:rPr>
          <w:rFonts w:cs="Arial"/>
          <w:lang w:val="en-US"/>
        </w:rPr>
        <w:t>which the designated replacement rate shall be applied</w:t>
      </w:r>
      <w:r>
        <w:rPr>
          <w:rFonts w:cs="Arial"/>
          <w:lang w:val="en-US"/>
        </w:rPr>
        <w:t>, we would consider the 5</w:t>
      </w:r>
      <w:r w:rsidRPr="00DA7779">
        <w:rPr>
          <w:rFonts w:cs="Arial"/>
          <w:vertAlign w:val="superscript"/>
          <w:lang w:val="en-US"/>
        </w:rPr>
        <w:t>th</w:t>
      </w:r>
      <w:r>
        <w:rPr>
          <w:rFonts w:cs="Arial"/>
          <w:lang w:val="en-US"/>
        </w:rPr>
        <w:t xml:space="preserve"> of March 2021, the date of the FCA announcement on LIBOR cessation, as the most appropriate. Only after this date </w:t>
      </w:r>
      <w:r w:rsidRPr="00AE7BE8">
        <w:rPr>
          <w:rFonts w:cs="Arial"/>
          <w:lang w:val="en-US"/>
        </w:rPr>
        <w:t>all the information necessary for assuring full transparency of fallback clauses</w:t>
      </w:r>
      <w:r>
        <w:rPr>
          <w:rFonts w:cs="Arial"/>
          <w:lang w:val="en-US"/>
        </w:rPr>
        <w:t xml:space="preserve">, including the </w:t>
      </w:r>
      <w:r w:rsidRPr="00AE7BE8">
        <w:rPr>
          <w:rFonts w:cs="Arial"/>
          <w:lang w:val="en-US"/>
        </w:rPr>
        <w:t>levels of the credit adjustment spreads</w:t>
      </w:r>
      <w:r>
        <w:rPr>
          <w:rFonts w:cs="Arial"/>
          <w:lang w:val="en-US"/>
        </w:rPr>
        <w:t>,</w:t>
      </w:r>
      <w:r w:rsidRPr="00AE7BE8">
        <w:rPr>
          <w:rFonts w:cs="Arial"/>
          <w:lang w:val="en-US"/>
        </w:rPr>
        <w:t xml:space="preserve"> in consumer contracts been </w:t>
      </w:r>
      <w:r>
        <w:rPr>
          <w:rFonts w:cs="Arial"/>
          <w:lang w:val="en-US"/>
        </w:rPr>
        <w:t xml:space="preserve">available.   </w:t>
      </w:r>
    </w:p>
    <w:p w14:paraId="4478F4DA" w14:textId="77777777" w:rsidR="00AE7BE8" w:rsidRDefault="00AE7BE8" w:rsidP="00EB3E1B">
      <w:pPr>
        <w:rPr>
          <w:rFonts w:cs="Arial"/>
          <w:lang w:val="en-US"/>
        </w:rPr>
      </w:pPr>
    </w:p>
    <w:p w14:paraId="59ADDDE6" w14:textId="77777777" w:rsidR="00EB3E1B" w:rsidRPr="00EB3E1B" w:rsidRDefault="00EB3E1B" w:rsidP="00EB3E1B">
      <w:pPr>
        <w:rPr>
          <w:rFonts w:cs="Arial"/>
          <w:lang w:val="en-US"/>
        </w:rPr>
      </w:pPr>
    </w:p>
    <w:p w14:paraId="7E26A541" w14:textId="77777777" w:rsidR="00EB3E1B" w:rsidRPr="00EB3E1B" w:rsidRDefault="00EB3E1B" w:rsidP="00EB3E1B">
      <w:pPr>
        <w:rPr>
          <w:rFonts w:cs="Arial"/>
          <w:lang w:val="en-US"/>
        </w:rPr>
      </w:pPr>
      <w:r w:rsidRPr="00EB3E1B">
        <w:rPr>
          <w:rFonts w:cs="Arial"/>
          <w:lang w:val="en-US"/>
        </w:rPr>
        <w:t>The Swiss National Working Group has identified compounded SARON as the replacement rate for CHF LIBOR, which will be officially calculated and published by SIX, the SARON administrator.</w:t>
      </w:r>
    </w:p>
    <w:p w14:paraId="2B9EB39D" w14:textId="77777777" w:rsidR="00EB3E1B" w:rsidRPr="00EB3E1B" w:rsidRDefault="00EB3E1B" w:rsidP="00EB3E1B">
      <w:pPr>
        <w:rPr>
          <w:rFonts w:cs="Arial"/>
          <w:lang w:val="en-US"/>
        </w:rPr>
      </w:pPr>
    </w:p>
    <w:p w14:paraId="025D5166" w14:textId="41D0E9AB" w:rsidR="00EB3E1B" w:rsidRPr="00EB3E1B" w:rsidRDefault="00EB3E1B" w:rsidP="00EB3E1B">
      <w:pPr>
        <w:rPr>
          <w:rFonts w:cs="Arial"/>
          <w:lang w:val="en-US"/>
        </w:rPr>
      </w:pPr>
      <w:proofErr w:type="gramStart"/>
      <w:r w:rsidRPr="00EB3E1B">
        <w:rPr>
          <w:rFonts w:cs="Arial"/>
          <w:lang w:val="en-US"/>
        </w:rPr>
        <w:t>In order to</w:t>
      </w:r>
      <w:proofErr w:type="gramEnd"/>
      <w:r w:rsidRPr="00EB3E1B">
        <w:rPr>
          <w:rFonts w:cs="Arial"/>
          <w:lang w:val="en-US"/>
        </w:rPr>
        <w:t xml:space="preserve"> prevent contractual frustration, Austrian civil law provides that the resulting gap created by the loss of a value measure is to be filled by the closest comparative measure. Hence, if a contractually agreed value indicator, </w:t>
      </w:r>
      <w:proofErr w:type="gramStart"/>
      <w:r w:rsidRPr="00EB3E1B">
        <w:rPr>
          <w:rFonts w:cs="Arial"/>
          <w:lang w:val="en-US"/>
        </w:rPr>
        <w:t>e.g.</w:t>
      </w:r>
      <w:proofErr w:type="gramEnd"/>
      <w:r w:rsidRPr="00EB3E1B">
        <w:rPr>
          <w:rFonts w:cs="Arial"/>
          <w:lang w:val="en-US"/>
        </w:rPr>
        <w:t xml:space="preserve"> the reference interest rate for loans, ceases to be available, the economically closest reference value should be used instead. This ensures that the contract remains valid and a value transfer between contract parties is prevented. In case existing contracts referencing </w:t>
      </w:r>
      <w:proofErr w:type="gramStart"/>
      <w:r w:rsidRPr="00EB3E1B">
        <w:rPr>
          <w:rFonts w:cs="Arial"/>
          <w:lang w:val="en-US"/>
        </w:rPr>
        <w:t>e.g.</w:t>
      </w:r>
      <w:proofErr w:type="gramEnd"/>
      <w:r w:rsidRPr="00EB3E1B">
        <w:rPr>
          <w:rFonts w:cs="Arial"/>
          <w:lang w:val="en-US"/>
        </w:rPr>
        <w:t xml:space="preserve"> 3M CHF LIBOR, the economically closest rate would be the above-mentioned 3M SARON Compound, whereas an </w:t>
      </w:r>
      <w:r w:rsidR="00FF4385">
        <w:rPr>
          <w:rFonts w:cs="Arial"/>
          <w:b/>
          <w:bCs/>
          <w:lang w:val="en-US"/>
        </w:rPr>
        <w:t>A</w:t>
      </w:r>
      <w:r w:rsidRPr="00EB3E1B">
        <w:rPr>
          <w:rFonts w:cs="Arial"/>
          <w:b/>
          <w:bCs/>
          <w:lang w:val="en-US"/>
        </w:rPr>
        <w:t xml:space="preserve">djustment </w:t>
      </w:r>
      <w:r w:rsidR="00FF4385">
        <w:rPr>
          <w:rFonts w:cs="Arial"/>
          <w:b/>
          <w:bCs/>
          <w:lang w:val="en-US"/>
        </w:rPr>
        <w:t>S</w:t>
      </w:r>
      <w:r w:rsidRPr="00EB3E1B">
        <w:rPr>
          <w:rFonts w:cs="Arial"/>
          <w:b/>
          <w:bCs/>
          <w:lang w:val="en-US"/>
        </w:rPr>
        <w:t xml:space="preserve">pread </w:t>
      </w:r>
      <w:r w:rsidRPr="00EB3E1B">
        <w:rPr>
          <w:rFonts w:cs="Arial"/>
          <w:lang w:val="en-US"/>
        </w:rPr>
        <w:t>(calculated according to ISDA methodology)</w:t>
      </w:r>
      <w:r w:rsidRPr="00EB3E1B">
        <w:rPr>
          <w:rFonts w:cs="Arial"/>
          <w:b/>
          <w:bCs/>
          <w:lang w:val="en-US"/>
        </w:rPr>
        <w:t xml:space="preserve"> shall be applied on top</w:t>
      </w:r>
      <w:r w:rsidRPr="00EB3E1B">
        <w:rPr>
          <w:rFonts w:cs="Arial"/>
          <w:lang w:val="en-US"/>
        </w:rPr>
        <w:t xml:space="preserve">, which is also recommended by the Swiss National Working Group and was confirmed by expert opinions from </w:t>
      </w:r>
      <w:bookmarkStart w:id="0" w:name="_Hlk69462286"/>
      <w:r w:rsidRPr="00EB3E1B">
        <w:rPr>
          <w:rFonts w:cs="Arial"/>
          <w:lang w:val="en-US"/>
        </w:rPr>
        <w:t xml:space="preserve">Prof. Pichler and Prof. </w:t>
      </w:r>
      <w:proofErr w:type="spellStart"/>
      <w:r w:rsidRPr="00EB3E1B">
        <w:rPr>
          <w:rFonts w:cs="Arial"/>
          <w:lang w:val="en-US"/>
        </w:rPr>
        <w:t>Jankowitsch</w:t>
      </w:r>
      <w:proofErr w:type="spellEnd"/>
      <w:r w:rsidRPr="00EB3E1B">
        <w:rPr>
          <w:rFonts w:cs="Arial"/>
          <w:lang w:val="en-US"/>
        </w:rPr>
        <w:t xml:space="preserve"> from the Vienna Business University </w:t>
      </w:r>
      <w:bookmarkEnd w:id="0"/>
      <w:r w:rsidRPr="00EB3E1B">
        <w:rPr>
          <w:rFonts w:cs="Arial"/>
          <w:lang w:val="en-US"/>
        </w:rPr>
        <w:t>and Prof. Graf from the University of Salzburg.</w:t>
      </w:r>
    </w:p>
    <w:p w14:paraId="510874D8" w14:textId="77777777" w:rsidR="00EB3E1B" w:rsidRPr="00EB3E1B" w:rsidRDefault="00EB3E1B" w:rsidP="00EB3E1B">
      <w:pPr>
        <w:rPr>
          <w:rFonts w:cs="Arial"/>
          <w:lang w:val="en-US"/>
        </w:rPr>
      </w:pPr>
    </w:p>
    <w:p w14:paraId="4C77648D" w14:textId="03FFB8B2" w:rsidR="00EB3E1B" w:rsidRPr="00EB3E1B" w:rsidRDefault="00EB3E1B" w:rsidP="00EB3E1B">
      <w:pPr>
        <w:rPr>
          <w:rFonts w:cs="Arial"/>
          <w:lang w:val="en-US"/>
        </w:rPr>
      </w:pPr>
      <w:r w:rsidRPr="00EB3E1B">
        <w:rPr>
          <w:rFonts w:cs="Arial"/>
          <w:lang w:val="en-US"/>
        </w:rPr>
        <w:t xml:space="preserve">Since neither the working group recommendations nor the expert opinions have been officially endorsed by authorities and consumer protection groups in Austria, any contractual conversion according to the procedure described above does not offer the necessary legal certainty, as this would ultimately only be achieved by a court decision. </w:t>
      </w:r>
      <w:r w:rsidRPr="00FF4385">
        <w:rPr>
          <w:rFonts w:cs="Arial"/>
          <w:b/>
          <w:lang w:val="en-US"/>
        </w:rPr>
        <w:t>I</w:t>
      </w:r>
      <w:r w:rsidRPr="00EB3E1B">
        <w:rPr>
          <w:rFonts w:cs="Arial"/>
          <w:b/>
          <w:bCs/>
          <w:lang w:val="en-US"/>
        </w:rPr>
        <w:t xml:space="preserve">f there is no legal certainty when converting affected loans with consumers to SARON Compound + </w:t>
      </w:r>
      <w:r w:rsidR="00FF4385">
        <w:rPr>
          <w:rFonts w:cs="Arial"/>
          <w:b/>
          <w:bCs/>
          <w:lang w:val="en-US"/>
        </w:rPr>
        <w:t>A</w:t>
      </w:r>
      <w:r w:rsidRPr="00EB3E1B">
        <w:rPr>
          <w:rFonts w:cs="Arial"/>
          <w:b/>
          <w:bCs/>
          <w:lang w:val="en-US"/>
        </w:rPr>
        <w:t xml:space="preserve">djustment </w:t>
      </w:r>
      <w:r w:rsidR="00FF4385">
        <w:rPr>
          <w:rFonts w:cs="Arial"/>
          <w:b/>
          <w:bCs/>
          <w:lang w:val="en-US"/>
        </w:rPr>
        <w:t>S</w:t>
      </w:r>
      <w:r w:rsidRPr="00EB3E1B">
        <w:rPr>
          <w:rFonts w:cs="Arial"/>
          <w:b/>
          <w:bCs/>
          <w:lang w:val="en-US"/>
        </w:rPr>
        <w:t xml:space="preserve">pread upon the end of CHF LIBOR, </w:t>
      </w:r>
      <w:r w:rsidRPr="00EB3E1B">
        <w:rPr>
          <w:rFonts w:cs="Arial"/>
          <w:lang w:val="en-US"/>
        </w:rPr>
        <w:t>there is still an</w:t>
      </w:r>
      <w:r w:rsidRPr="00EB3E1B">
        <w:rPr>
          <w:rFonts w:cs="Arial"/>
          <w:b/>
          <w:bCs/>
          <w:lang w:val="en-US"/>
        </w:rPr>
        <w:t xml:space="preserve"> open risk that </w:t>
      </w:r>
      <w:r w:rsidRPr="00EB3E1B">
        <w:rPr>
          <w:rFonts w:cs="Arial"/>
          <w:lang w:val="en-US"/>
        </w:rPr>
        <w:t xml:space="preserve">such an approach would be </w:t>
      </w:r>
      <w:r w:rsidRPr="00EB3E1B">
        <w:rPr>
          <w:rFonts w:cs="Arial"/>
          <w:b/>
          <w:bCs/>
          <w:lang w:val="en-US"/>
        </w:rPr>
        <w:t>deemed inappropriate or illegal by a court decision</w:t>
      </w:r>
      <w:r w:rsidRPr="00EB3E1B">
        <w:rPr>
          <w:rFonts w:cs="Arial"/>
          <w:lang w:val="en-US"/>
        </w:rPr>
        <w:t xml:space="preserve">. Without any doubt, a situation like this would be </w:t>
      </w:r>
      <w:r w:rsidRPr="00EB3E1B">
        <w:rPr>
          <w:rFonts w:cs="Arial"/>
          <w:b/>
          <w:bCs/>
          <w:lang w:val="en-US"/>
        </w:rPr>
        <w:t>disruptive to financial stability and contractual continuity in Austria</w:t>
      </w:r>
      <w:r w:rsidRPr="00EB3E1B">
        <w:rPr>
          <w:rFonts w:cs="Arial"/>
          <w:lang w:val="en-US"/>
        </w:rPr>
        <w:t xml:space="preserve">. Therefore, it is </w:t>
      </w:r>
      <w:r w:rsidRPr="00EB3E1B">
        <w:rPr>
          <w:rFonts w:cs="Arial"/>
          <w:lang w:val="en-US"/>
        </w:rPr>
        <w:lastRenderedPageBreak/>
        <w:t>important for</w:t>
      </w:r>
      <w:r w:rsidR="00C3401D">
        <w:rPr>
          <w:rFonts w:cs="Arial"/>
          <w:lang w:val="en-US"/>
        </w:rPr>
        <w:t xml:space="preserve"> both</w:t>
      </w:r>
      <w:r w:rsidRPr="00EB3E1B">
        <w:rPr>
          <w:rFonts w:cs="Arial"/>
          <w:lang w:val="en-US"/>
        </w:rPr>
        <w:t xml:space="preserve"> borrowers and lenders to have clarity on the reference rate + </w:t>
      </w:r>
      <w:r w:rsidR="00FF4385">
        <w:rPr>
          <w:rFonts w:cs="Arial"/>
          <w:lang w:val="en-US"/>
        </w:rPr>
        <w:t>A</w:t>
      </w:r>
      <w:r w:rsidRPr="00EB3E1B">
        <w:rPr>
          <w:rFonts w:cs="Arial"/>
          <w:lang w:val="en-US"/>
        </w:rPr>
        <w:t xml:space="preserve">djustment </w:t>
      </w:r>
      <w:r w:rsidR="00FF4385">
        <w:rPr>
          <w:rFonts w:cs="Arial"/>
          <w:lang w:val="en-US"/>
        </w:rPr>
        <w:t>S</w:t>
      </w:r>
      <w:r w:rsidRPr="00EB3E1B">
        <w:rPr>
          <w:rFonts w:cs="Arial"/>
          <w:lang w:val="en-US"/>
        </w:rPr>
        <w:t>pread replacing CHF-LIBOR rates.</w:t>
      </w:r>
    </w:p>
    <w:p w14:paraId="1B595D27" w14:textId="77777777" w:rsidR="00EB3E1B" w:rsidRPr="00EB3E1B" w:rsidRDefault="00EB3E1B" w:rsidP="00EB3E1B">
      <w:pPr>
        <w:rPr>
          <w:rFonts w:cs="Arial"/>
          <w:lang w:val="en-US"/>
        </w:rPr>
      </w:pPr>
    </w:p>
    <w:p w14:paraId="4E57522C" w14:textId="152C8A30" w:rsidR="00EB3E1B" w:rsidRPr="00EB3E1B" w:rsidRDefault="00EB3E1B" w:rsidP="00EB3E1B">
      <w:pPr>
        <w:rPr>
          <w:rFonts w:cs="Arial"/>
          <w:lang w:val="en-US"/>
        </w:rPr>
      </w:pPr>
      <w:r w:rsidRPr="00EB3E1B">
        <w:rPr>
          <w:rFonts w:cs="Arial"/>
          <w:lang w:val="en-US"/>
        </w:rPr>
        <w:t xml:space="preserve">Compounded SARON plus </w:t>
      </w:r>
      <w:r w:rsidR="00FF4385">
        <w:rPr>
          <w:rFonts w:cs="Arial"/>
          <w:lang w:val="en-US"/>
        </w:rPr>
        <w:t>A</w:t>
      </w:r>
      <w:r w:rsidRPr="00EB3E1B">
        <w:rPr>
          <w:rFonts w:cs="Arial"/>
          <w:lang w:val="en-US"/>
        </w:rPr>
        <w:t xml:space="preserve">djustment </w:t>
      </w:r>
      <w:r w:rsidR="00FF4385">
        <w:rPr>
          <w:rFonts w:cs="Arial"/>
          <w:lang w:val="en-US"/>
        </w:rPr>
        <w:t>S</w:t>
      </w:r>
      <w:r w:rsidRPr="00EB3E1B">
        <w:rPr>
          <w:rFonts w:cs="Arial"/>
          <w:lang w:val="en-US"/>
        </w:rPr>
        <w:t xml:space="preserve">pread is </w:t>
      </w:r>
      <w:proofErr w:type="gramStart"/>
      <w:r w:rsidRPr="00EB3E1B">
        <w:rPr>
          <w:rFonts w:cs="Arial"/>
          <w:lang w:val="en-US"/>
        </w:rPr>
        <w:t>in itself compatible</w:t>
      </w:r>
      <w:proofErr w:type="gramEnd"/>
      <w:r w:rsidRPr="00EB3E1B">
        <w:rPr>
          <w:rFonts w:cs="Arial"/>
          <w:lang w:val="en-US"/>
        </w:rPr>
        <w:t xml:space="preserve"> with the relevant Austrian consumer credit laws nationally implementing the Consumer Credit Directive and the Mortgage Credit Directive (Austrian Consumer Credit Act, “</w:t>
      </w:r>
      <w:proofErr w:type="spellStart"/>
      <w:r w:rsidRPr="00EB3E1B">
        <w:rPr>
          <w:rFonts w:cs="Arial"/>
          <w:lang w:val="en-US"/>
        </w:rPr>
        <w:t>Verbraucherkreditgesetz</w:t>
      </w:r>
      <w:proofErr w:type="spellEnd"/>
      <w:r w:rsidRPr="00EB3E1B">
        <w:rPr>
          <w:rFonts w:cs="Arial"/>
          <w:lang w:val="en-US"/>
        </w:rPr>
        <w:t xml:space="preserve"> - </w:t>
      </w:r>
      <w:proofErr w:type="spellStart"/>
      <w:r w:rsidRPr="00EB3E1B">
        <w:rPr>
          <w:rFonts w:cs="Arial"/>
          <w:lang w:val="en-US"/>
        </w:rPr>
        <w:t>VKrG</w:t>
      </w:r>
      <w:proofErr w:type="spellEnd"/>
      <w:r w:rsidRPr="00EB3E1B">
        <w:rPr>
          <w:rFonts w:cs="Arial"/>
          <w:lang w:val="en-US"/>
        </w:rPr>
        <w:t>” and Mortgage and Real Estate Credit Act, “</w:t>
      </w:r>
      <w:proofErr w:type="spellStart"/>
      <w:r w:rsidRPr="00EB3E1B">
        <w:rPr>
          <w:rFonts w:cs="Arial"/>
          <w:lang w:val="en-US"/>
        </w:rPr>
        <w:t>Hypothekar</w:t>
      </w:r>
      <w:proofErr w:type="spellEnd"/>
      <w:r w:rsidRPr="00EB3E1B">
        <w:rPr>
          <w:rFonts w:cs="Arial"/>
          <w:lang w:val="en-US"/>
        </w:rPr>
        <w:t xml:space="preserve">- und </w:t>
      </w:r>
      <w:proofErr w:type="spellStart"/>
      <w:r w:rsidRPr="00EB3E1B">
        <w:rPr>
          <w:rFonts w:cs="Arial"/>
          <w:lang w:val="en-US"/>
        </w:rPr>
        <w:t>Immobilienkreditgesetz</w:t>
      </w:r>
      <w:proofErr w:type="spellEnd"/>
      <w:r w:rsidRPr="00EB3E1B">
        <w:rPr>
          <w:rFonts w:cs="Arial"/>
          <w:lang w:val="en-US"/>
        </w:rPr>
        <w:t xml:space="preserve"> – </w:t>
      </w:r>
      <w:proofErr w:type="spellStart"/>
      <w:r w:rsidRPr="00EB3E1B">
        <w:rPr>
          <w:rFonts w:cs="Arial"/>
          <w:lang w:val="en-US"/>
        </w:rPr>
        <w:t>HIKrG</w:t>
      </w:r>
      <w:proofErr w:type="spellEnd"/>
      <w:r w:rsidRPr="00EB3E1B">
        <w:rPr>
          <w:rFonts w:cs="Arial"/>
          <w:lang w:val="en-US"/>
        </w:rPr>
        <w:t xml:space="preserve">”) and the Consumer Protection Act.   </w:t>
      </w:r>
    </w:p>
    <w:p w14:paraId="06F833E3" w14:textId="77777777" w:rsidR="00EB3E1B" w:rsidRPr="00EB3E1B" w:rsidRDefault="00EB3E1B" w:rsidP="00EB3E1B">
      <w:pPr>
        <w:rPr>
          <w:rFonts w:cs="Arial"/>
          <w:lang w:val="en-US"/>
        </w:rPr>
      </w:pPr>
    </w:p>
    <w:p w14:paraId="7AEB2D08" w14:textId="07C0D996" w:rsidR="00EB3E1B" w:rsidRPr="00EB3E1B" w:rsidRDefault="00EB3E1B" w:rsidP="00EB3E1B">
      <w:pPr>
        <w:rPr>
          <w:rFonts w:cs="Arial"/>
          <w:lang w:val="en-US"/>
        </w:rPr>
      </w:pPr>
      <w:proofErr w:type="gramStart"/>
      <w:r w:rsidRPr="00EB3E1B">
        <w:rPr>
          <w:rFonts w:cs="Arial"/>
          <w:lang w:val="en-US"/>
        </w:rPr>
        <w:t>In order to</w:t>
      </w:r>
      <w:proofErr w:type="gramEnd"/>
      <w:r w:rsidRPr="00EB3E1B">
        <w:rPr>
          <w:rFonts w:cs="Arial"/>
          <w:lang w:val="en-US"/>
        </w:rPr>
        <w:t xml:space="preserve"> </w:t>
      </w:r>
      <w:r w:rsidR="00C3401D">
        <w:rPr>
          <w:rFonts w:cs="Arial"/>
          <w:lang w:val="en-US"/>
        </w:rPr>
        <w:t>comply with the</w:t>
      </w:r>
      <w:r w:rsidRPr="00EB3E1B">
        <w:rPr>
          <w:rFonts w:cs="Arial"/>
          <w:lang w:val="en-US"/>
        </w:rPr>
        <w:t xml:space="preserve"> Austrian Consumer Credit Act and Mortgage and Real Estate Credit Act, which require that any change in the borrowing rate (including those caused by changes in the reference rate) for an interest period is communicated to the retail client (consumer) before it comes into effect (in-advance), the SARON Compound rate needs to be known at the start of the interest period. To make the rate known in advance, it is proposed to apply the rate compounded from daily SARON overnight rates over, </w:t>
      </w:r>
      <w:proofErr w:type="gramStart"/>
      <w:r w:rsidRPr="00EB3E1B">
        <w:rPr>
          <w:rFonts w:cs="Arial"/>
          <w:lang w:val="en-US"/>
        </w:rPr>
        <w:t>e.g.</w:t>
      </w:r>
      <w:proofErr w:type="gramEnd"/>
      <w:r w:rsidRPr="00EB3E1B">
        <w:rPr>
          <w:rFonts w:cs="Arial"/>
          <w:lang w:val="en-US"/>
        </w:rPr>
        <w:t xml:space="preserve"> the last three months in case of 3M SARON Compound to the following three months. As described in the consultation, this mode of </w:t>
      </w:r>
      <w:r w:rsidR="00C3401D">
        <w:rPr>
          <w:rFonts w:cs="Arial"/>
          <w:lang w:val="en-US"/>
        </w:rPr>
        <w:t>applying</w:t>
      </w:r>
      <w:r w:rsidR="00C3401D" w:rsidRPr="00EB3E1B">
        <w:rPr>
          <w:rFonts w:cs="Arial"/>
          <w:lang w:val="en-US"/>
        </w:rPr>
        <w:t xml:space="preserve"> </w:t>
      </w:r>
      <w:proofErr w:type="gramStart"/>
      <w:r w:rsidRPr="00EB3E1B">
        <w:rPr>
          <w:rFonts w:cs="Arial"/>
          <w:lang w:val="en-US"/>
        </w:rPr>
        <w:t>an</w:t>
      </w:r>
      <w:proofErr w:type="gramEnd"/>
      <w:r w:rsidRPr="00EB3E1B">
        <w:rPr>
          <w:rFonts w:cs="Arial"/>
          <w:lang w:val="en-US"/>
        </w:rPr>
        <w:t xml:space="preserve"> </w:t>
      </w:r>
      <w:r w:rsidR="00C3401D">
        <w:rPr>
          <w:rFonts w:cs="Arial"/>
          <w:lang w:val="en-US"/>
        </w:rPr>
        <w:t xml:space="preserve">backward-looking </w:t>
      </w:r>
      <w:r w:rsidRPr="00EB3E1B">
        <w:rPr>
          <w:rFonts w:cs="Arial"/>
          <w:lang w:val="en-US"/>
        </w:rPr>
        <w:t xml:space="preserve">compounded rate in advance is the so called the </w:t>
      </w:r>
      <w:r w:rsidRPr="00EB3E1B">
        <w:rPr>
          <w:rFonts w:cs="Arial"/>
          <w:b/>
          <w:bCs/>
          <w:lang w:val="en-US"/>
        </w:rPr>
        <w:t>“last-reset” convention</w:t>
      </w:r>
      <w:r w:rsidRPr="00EB3E1B">
        <w:rPr>
          <w:rFonts w:cs="Arial"/>
          <w:lang w:val="en-US"/>
        </w:rPr>
        <w:t xml:space="preserve"> and would be the </w:t>
      </w:r>
      <w:r w:rsidRPr="00EB3E1B">
        <w:rPr>
          <w:rFonts w:cs="Arial"/>
          <w:b/>
          <w:bCs/>
          <w:lang w:val="en-US"/>
        </w:rPr>
        <w:t>only one compatible with legal provisions</w:t>
      </w:r>
      <w:r w:rsidRPr="00EB3E1B">
        <w:rPr>
          <w:rFonts w:cs="Arial"/>
          <w:lang w:val="en-US"/>
        </w:rPr>
        <w:t xml:space="preserve"> when transitioning CHF LIBOR linked legacy business to SARON Compound.</w:t>
      </w:r>
    </w:p>
    <w:p w14:paraId="2B2B7422" w14:textId="77777777" w:rsidR="00EB3E1B" w:rsidRPr="00EB3E1B" w:rsidRDefault="00EB3E1B" w:rsidP="00EB3E1B">
      <w:pPr>
        <w:rPr>
          <w:rFonts w:cs="Arial"/>
          <w:lang w:val="en-US"/>
        </w:rPr>
      </w:pPr>
    </w:p>
    <w:p w14:paraId="3D13094E" w14:textId="77777777" w:rsidR="00EB3E1B" w:rsidRPr="00EB3E1B" w:rsidRDefault="00EB3E1B" w:rsidP="00EB3E1B">
      <w:pPr>
        <w:rPr>
          <w:rFonts w:cs="Arial"/>
          <w:b/>
          <w:bCs/>
          <w:lang w:val="en-US"/>
        </w:rPr>
      </w:pPr>
      <w:r w:rsidRPr="00EB3E1B">
        <w:rPr>
          <w:rFonts w:cs="Arial"/>
          <w:b/>
          <w:bCs/>
          <w:lang w:val="en-US"/>
        </w:rPr>
        <w:t>Further note on the adjustment spread according to ISDA methodology</w:t>
      </w:r>
    </w:p>
    <w:p w14:paraId="1E58BDB8" w14:textId="0C680BAA" w:rsidR="00EB3E1B" w:rsidRPr="00EB3E1B" w:rsidRDefault="00EB3E1B" w:rsidP="00EB3E1B">
      <w:pPr>
        <w:rPr>
          <w:rFonts w:cs="Arial"/>
          <w:lang w:val="en-US"/>
        </w:rPr>
      </w:pPr>
      <w:r w:rsidRPr="00EB3E1B">
        <w:rPr>
          <w:rFonts w:cs="Arial"/>
          <w:lang w:val="en-US"/>
        </w:rPr>
        <w:t xml:space="preserve">The purpose of an adjustment spread is to assure the economical equivalence of an unsecured term rate (LIBOR) and a compounded ON (nearly) risk free rate. It shall not create an advantage or disadvantage to </w:t>
      </w:r>
      <w:r w:rsidR="00C3401D">
        <w:rPr>
          <w:rFonts w:cs="Arial"/>
          <w:lang w:val="en-US"/>
        </w:rPr>
        <w:t>neither</w:t>
      </w:r>
      <w:r w:rsidR="00C3401D" w:rsidRPr="00EB3E1B">
        <w:rPr>
          <w:rFonts w:cs="Arial"/>
          <w:lang w:val="en-US"/>
        </w:rPr>
        <w:t xml:space="preserve"> </w:t>
      </w:r>
      <w:r w:rsidRPr="00EB3E1B">
        <w:rPr>
          <w:rFonts w:cs="Arial"/>
          <w:lang w:val="en-US"/>
        </w:rPr>
        <w:t>of the contract parties. Its level can be positive as well as negative. Hence, the application of such a spread is per se not a compensation for the borrower.</w:t>
      </w:r>
    </w:p>
    <w:p w14:paraId="4D730127" w14:textId="77777777" w:rsidR="00EB3E1B" w:rsidRPr="00EB3E1B" w:rsidRDefault="00EB3E1B" w:rsidP="00EB3E1B">
      <w:pPr>
        <w:rPr>
          <w:rFonts w:cs="Arial"/>
          <w:lang w:val="en-US"/>
        </w:rPr>
      </w:pPr>
    </w:p>
    <w:p w14:paraId="50000FAE" w14:textId="77777777" w:rsidR="00EB3E1B" w:rsidRPr="00EB3E1B" w:rsidRDefault="00EB3E1B" w:rsidP="00EB3E1B">
      <w:pPr>
        <w:rPr>
          <w:rFonts w:cs="Arial"/>
          <w:lang w:val="en-US"/>
        </w:rPr>
      </w:pPr>
      <w:r w:rsidRPr="00EB3E1B">
        <w:rPr>
          <w:rFonts w:cs="Arial"/>
          <w:lang w:val="en-US"/>
        </w:rPr>
        <w:t>In case of CHF LIBOR and SARON Compound, the Adjustment Spread levels according to ISDA methodology are as follows:</w:t>
      </w:r>
    </w:p>
    <w:p w14:paraId="2D66703C" w14:textId="77777777" w:rsidR="00EB3E1B" w:rsidRPr="00EB3E1B" w:rsidRDefault="00EB3E1B" w:rsidP="00EB3E1B">
      <w:pPr>
        <w:rPr>
          <w:rFonts w:cs="Arial"/>
          <w:lang w:val="en-US"/>
        </w:rPr>
      </w:pPr>
    </w:p>
    <w:p w14:paraId="4DEC8876" w14:textId="25C7E256" w:rsidR="00EB3E1B" w:rsidRPr="00EB3E1B" w:rsidRDefault="00EB3E1B" w:rsidP="00EB3E1B">
      <w:pPr>
        <w:pStyle w:val="Listenabsatz"/>
        <w:numPr>
          <w:ilvl w:val="0"/>
          <w:numId w:val="35"/>
        </w:numPr>
        <w:spacing w:line="240" w:lineRule="auto"/>
        <w:contextualSpacing w:val="0"/>
        <w:rPr>
          <w:rFonts w:cs="Arial"/>
          <w:lang w:val="en-US"/>
        </w:rPr>
      </w:pPr>
      <w:r w:rsidRPr="00EB3E1B">
        <w:rPr>
          <w:rFonts w:cs="Arial"/>
          <w:lang w:val="en-US"/>
        </w:rPr>
        <w:t>1M: -5</w:t>
      </w:r>
      <w:r w:rsidR="00787902">
        <w:rPr>
          <w:rFonts w:cs="Arial"/>
          <w:lang w:val="en-US"/>
        </w:rPr>
        <w:t>.</w:t>
      </w:r>
      <w:r w:rsidRPr="00EB3E1B">
        <w:rPr>
          <w:rFonts w:cs="Arial"/>
          <w:lang w:val="en-US"/>
        </w:rPr>
        <w:t xml:space="preserve">71 bps </w:t>
      </w:r>
    </w:p>
    <w:p w14:paraId="063BE878" w14:textId="27C11BFB" w:rsidR="00EB3E1B" w:rsidRPr="00EB3E1B" w:rsidRDefault="00EB3E1B" w:rsidP="00EB3E1B">
      <w:pPr>
        <w:pStyle w:val="Listenabsatz"/>
        <w:numPr>
          <w:ilvl w:val="0"/>
          <w:numId w:val="35"/>
        </w:numPr>
        <w:spacing w:line="240" w:lineRule="auto"/>
        <w:contextualSpacing w:val="0"/>
        <w:rPr>
          <w:rFonts w:cs="Arial"/>
          <w:lang w:val="en-US"/>
        </w:rPr>
      </w:pPr>
      <w:r w:rsidRPr="00EB3E1B">
        <w:rPr>
          <w:rFonts w:cs="Arial"/>
          <w:lang w:val="en-US"/>
        </w:rPr>
        <w:t>3M:  0</w:t>
      </w:r>
      <w:r w:rsidR="00787902">
        <w:rPr>
          <w:rFonts w:cs="Arial"/>
          <w:lang w:val="en-US"/>
        </w:rPr>
        <w:t>.</w:t>
      </w:r>
      <w:r w:rsidRPr="00EB3E1B">
        <w:rPr>
          <w:rFonts w:cs="Arial"/>
          <w:lang w:val="en-US"/>
        </w:rPr>
        <w:t>31 bps</w:t>
      </w:r>
    </w:p>
    <w:p w14:paraId="4351EFA7" w14:textId="3B6CBCA7" w:rsidR="00EB3E1B" w:rsidRPr="00EB3E1B" w:rsidRDefault="00EB3E1B" w:rsidP="00EB3E1B">
      <w:pPr>
        <w:pStyle w:val="Listenabsatz"/>
        <w:numPr>
          <w:ilvl w:val="0"/>
          <w:numId w:val="35"/>
        </w:numPr>
        <w:spacing w:line="240" w:lineRule="auto"/>
        <w:contextualSpacing w:val="0"/>
        <w:rPr>
          <w:rFonts w:cs="Arial"/>
          <w:lang w:val="en-US"/>
        </w:rPr>
      </w:pPr>
      <w:r w:rsidRPr="00EB3E1B">
        <w:rPr>
          <w:rFonts w:cs="Arial"/>
          <w:lang w:val="en-US"/>
        </w:rPr>
        <w:t>6M:  7</w:t>
      </w:r>
      <w:r w:rsidR="00787902">
        <w:rPr>
          <w:rFonts w:cs="Arial"/>
          <w:lang w:val="en-US"/>
        </w:rPr>
        <w:t>.</w:t>
      </w:r>
      <w:r w:rsidRPr="00EB3E1B">
        <w:rPr>
          <w:rFonts w:cs="Arial"/>
          <w:lang w:val="en-US"/>
        </w:rPr>
        <w:t>41 bps</w:t>
      </w:r>
    </w:p>
    <w:p w14:paraId="3963AC04" w14:textId="77777777" w:rsidR="00EB3E1B" w:rsidRPr="00EB3E1B" w:rsidRDefault="00EB3E1B" w:rsidP="00EB3E1B">
      <w:pPr>
        <w:rPr>
          <w:rFonts w:cs="Arial"/>
          <w:lang w:val="en-US"/>
        </w:rPr>
      </w:pPr>
    </w:p>
    <w:p w14:paraId="3FCAE0D5" w14:textId="365219F9" w:rsidR="00EB3E1B" w:rsidRPr="00EB3E1B" w:rsidRDefault="00EB3E1B" w:rsidP="00EB3E1B">
      <w:pPr>
        <w:rPr>
          <w:rFonts w:cs="Arial"/>
          <w:lang w:val="en-US"/>
        </w:rPr>
      </w:pPr>
      <w:r w:rsidRPr="00EB3E1B">
        <w:rPr>
          <w:rFonts w:cs="Arial"/>
          <w:lang w:val="en-US"/>
        </w:rPr>
        <w:t xml:space="preserve">Looking at the level for the 3M tenor (which is the most important also in the Swiss market), the statement by the Swiss National Working Group, that </w:t>
      </w:r>
      <w:r w:rsidRPr="00EB3E1B">
        <w:rPr>
          <w:rFonts w:cs="Arial"/>
          <w:i/>
          <w:iCs/>
          <w:lang w:val="en-US"/>
        </w:rPr>
        <w:t>borrowers can neglect the adjustment spread for simplification if it is beneficial for the customer</w:t>
      </w:r>
      <w:r w:rsidRPr="00EB3E1B">
        <w:rPr>
          <w:rFonts w:cs="Arial"/>
          <w:lang w:val="en-US"/>
        </w:rPr>
        <w:t xml:space="preserve">, is </w:t>
      </w:r>
      <w:r w:rsidR="00A42F3A">
        <w:rPr>
          <w:rFonts w:cs="Arial"/>
          <w:lang w:val="en-US"/>
        </w:rPr>
        <w:t>understandable</w:t>
      </w:r>
      <w:r w:rsidRPr="00EB3E1B">
        <w:rPr>
          <w:rFonts w:cs="Arial"/>
          <w:lang w:val="en-US"/>
        </w:rPr>
        <w:t xml:space="preserve">, as </w:t>
      </w:r>
      <w:r w:rsidR="00A42F3A">
        <w:rPr>
          <w:rFonts w:cs="Arial"/>
          <w:lang w:val="en-US"/>
        </w:rPr>
        <w:t xml:space="preserve">the </w:t>
      </w:r>
      <w:r w:rsidR="00A42F3A" w:rsidRPr="00EB3E1B">
        <w:rPr>
          <w:rFonts w:cs="Arial"/>
          <w:lang w:val="en-US"/>
        </w:rPr>
        <w:t xml:space="preserve">Adjustment Spread </w:t>
      </w:r>
      <w:r w:rsidR="00A42F3A">
        <w:rPr>
          <w:rFonts w:cs="Arial"/>
          <w:lang w:val="en-US"/>
        </w:rPr>
        <w:t>only</w:t>
      </w:r>
      <w:r w:rsidR="00A42F3A" w:rsidRPr="00EB3E1B">
        <w:rPr>
          <w:rFonts w:cs="Arial"/>
          <w:lang w:val="en-US"/>
        </w:rPr>
        <w:t xml:space="preserve"> </w:t>
      </w:r>
      <w:r w:rsidRPr="00EB3E1B">
        <w:rPr>
          <w:rFonts w:cs="Arial"/>
          <w:lang w:val="en-US"/>
        </w:rPr>
        <w:t>amounts to 0</w:t>
      </w:r>
      <w:r w:rsidR="00787902">
        <w:rPr>
          <w:rFonts w:cs="Arial"/>
          <w:lang w:val="en-US"/>
        </w:rPr>
        <w:t>.</w:t>
      </w:r>
      <w:r w:rsidRPr="00EB3E1B">
        <w:rPr>
          <w:rFonts w:cs="Arial"/>
          <w:lang w:val="en-US"/>
        </w:rPr>
        <w:t>31 bps. Also, CHF LIBOR linked mortgages in Switzerland usually include a reference rate floor of zero. Hence, given the negative SARON and interest rate projections, the reference rate would anyway be zero for a longer period, with the adjustment spread included or not. On the other hand, flooring the reference rate at zero in contracts with consumers is legally not allowed in Austria, such a floor can only be applied to the total interest rate (reference rate + margin). Furthermore, we do not share the opinion that waiving the adjustment spread would assure simplification, neither from an operational nor from a legal perspective. The technical implementations for applying an adjustment spread anyway needs to be done, as with other products the adjustment spread will be applied and for consistency and clarity reason, a situation of “</w:t>
      </w:r>
      <w:proofErr w:type="spellStart"/>
      <w:r w:rsidR="0098475C">
        <w:rPr>
          <w:rFonts w:cs="Arial"/>
          <w:lang w:val="en-US"/>
        </w:rPr>
        <w:t>cherrypicking</w:t>
      </w:r>
      <w:proofErr w:type="spellEnd"/>
      <w:r w:rsidRPr="00EB3E1B">
        <w:rPr>
          <w:rFonts w:cs="Arial"/>
          <w:lang w:val="en-US"/>
        </w:rPr>
        <w:t xml:space="preserve">” should not evolve – this would be detrimental to legal certainty.   </w:t>
      </w:r>
    </w:p>
    <w:p w14:paraId="65201AE0" w14:textId="77777777" w:rsidR="00EB3E1B" w:rsidRPr="00EB3E1B" w:rsidRDefault="00EB3E1B" w:rsidP="00EB3E1B">
      <w:pPr>
        <w:rPr>
          <w:rFonts w:cs="Arial"/>
          <w:lang w:val="en-US"/>
        </w:rPr>
      </w:pPr>
    </w:p>
    <w:p w14:paraId="1BB3F8DD" w14:textId="1BE71A82" w:rsidR="00EB3E1B" w:rsidRDefault="00EB3E1B" w:rsidP="00EB3E1B">
      <w:pPr>
        <w:rPr>
          <w:rFonts w:cs="Arial"/>
          <w:lang w:val="en-US"/>
        </w:rPr>
      </w:pPr>
      <w:r w:rsidRPr="00EB3E1B">
        <w:rPr>
          <w:rFonts w:cs="Arial"/>
          <w:lang w:val="en-US"/>
        </w:rPr>
        <w:lastRenderedPageBreak/>
        <w:t>It is correct that, given the small adjustment spread for the 3M tenor, its waiver could be accepted by lenders and requested by consumer protection authorities. On the other hand, for the one-month tenor the level is negative, and no consumer protection agency would agree on waiving the adjustment spread. Given that all of the other major RFR Working Groups (ARRC, WG on Sterling Risk-Free Reference Rates, Cross-Industry Committees on Japanese Yen Interest Rate Benchmarks, WG on Euro Risk-Free Rates) were striving to achieve consistency across currencies and are recommending the application of a spread adjustment, not including it as part of a statutory fallback rate for CHF LIBOR would a.) undermine consistency efforts undertaken on global level and b.) not assure the transition to an economically equivalent reference rate. It is critically important to have a consistent approach, not only across currencies but also across products, where in many cases there are clearly defined fallbacks in place. Deviating from this standard for a specific product in a specific currency would create huge uncertainty, undermining the confidence in the overall process for future transitions in other currencies.</w:t>
      </w:r>
      <w:r w:rsidR="0050409F">
        <w:rPr>
          <w:rFonts w:cs="Arial"/>
          <w:lang w:val="en-US"/>
        </w:rPr>
        <w:t xml:space="preserve"> </w:t>
      </w:r>
    </w:p>
    <w:p w14:paraId="0BF0BB3B" w14:textId="2D4B7D48" w:rsidR="0050409F" w:rsidRDefault="0050409F" w:rsidP="00EB3E1B">
      <w:pPr>
        <w:rPr>
          <w:rFonts w:cs="Arial"/>
          <w:lang w:val="en-US"/>
        </w:rPr>
      </w:pPr>
    </w:p>
    <w:p w14:paraId="44120B7F" w14:textId="68BE05CA" w:rsidR="0050409F" w:rsidRPr="00EB3E1B" w:rsidRDefault="0050409F" w:rsidP="00EB3E1B">
      <w:pPr>
        <w:rPr>
          <w:rFonts w:cs="Arial"/>
          <w:lang w:val="en-US"/>
        </w:rPr>
      </w:pPr>
      <w:r w:rsidRPr="0050409F">
        <w:rPr>
          <w:rFonts w:cs="Arial"/>
          <w:lang w:val="en-US"/>
        </w:rPr>
        <w:t xml:space="preserve">In our opinion, it would be expedient and sensible to quantify the </w:t>
      </w:r>
      <w:r w:rsidR="00A42F3A" w:rsidRPr="00A42F3A">
        <w:rPr>
          <w:rFonts w:cs="Arial"/>
          <w:lang w:val="en-US"/>
        </w:rPr>
        <w:t xml:space="preserve">Adjustment Spread </w:t>
      </w:r>
      <w:r>
        <w:rPr>
          <w:rFonts w:cs="Arial"/>
          <w:lang w:val="en-US"/>
        </w:rPr>
        <w:t xml:space="preserve">(as an exact </w:t>
      </w:r>
      <w:r w:rsidR="009D69D3">
        <w:rPr>
          <w:rFonts w:cs="Arial"/>
          <w:lang w:val="en-US"/>
        </w:rPr>
        <w:t>percentage rate</w:t>
      </w:r>
      <w:r>
        <w:rPr>
          <w:rFonts w:cs="Arial"/>
          <w:lang w:val="en-US"/>
        </w:rPr>
        <w:t xml:space="preserve">, in nominal terms) </w:t>
      </w:r>
      <w:r w:rsidRPr="0050409F">
        <w:rPr>
          <w:rFonts w:cs="Arial"/>
          <w:lang w:val="en-US"/>
        </w:rPr>
        <w:t xml:space="preserve">in the </w:t>
      </w:r>
      <w:r>
        <w:rPr>
          <w:rFonts w:cs="Arial"/>
          <w:lang w:val="en-US"/>
        </w:rPr>
        <w:t>Delegated Regulation</w:t>
      </w:r>
      <w:r w:rsidRPr="0050409F">
        <w:rPr>
          <w:rFonts w:cs="Arial"/>
          <w:lang w:val="en-US"/>
        </w:rPr>
        <w:t xml:space="preserve">. Since the </w:t>
      </w:r>
      <w:r w:rsidR="00A42F3A" w:rsidRPr="00EB3E1B">
        <w:rPr>
          <w:rFonts w:cs="Arial"/>
          <w:lang w:val="en-US"/>
        </w:rPr>
        <w:t>Adjustment Spread</w:t>
      </w:r>
      <w:r w:rsidR="00A42F3A">
        <w:rPr>
          <w:rFonts w:cs="Arial"/>
          <w:lang w:val="en-US"/>
        </w:rPr>
        <w:t xml:space="preserve">s </w:t>
      </w:r>
      <w:r w:rsidRPr="0050409F">
        <w:rPr>
          <w:rFonts w:cs="Arial"/>
          <w:lang w:val="en-US"/>
        </w:rPr>
        <w:t>are known</w:t>
      </w:r>
      <w:r w:rsidR="00A42F3A">
        <w:rPr>
          <w:rFonts w:cs="Arial"/>
          <w:lang w:val="en-US"/>
        </w:rPr>
        <w:t xml:space="preserve"> and fixed since 5</w:t>
      </w:r>
      <w:r w:rsidR="00A42F3A" w:rsidRPr="00DA7779">
        <w:rPr>
          <w:rFonts w:cs="Arial"/>
          <w:vertAlign w:val="superscript"/>
          <w:lang w:val="en-US"/>
        </w:rPr>
        <w:t>th</w:t>
      </w:r>
      <w:r w:rsidR="00A42F3A">
        <w:rPr>
          <w:rFonts w:cs="Arial"/>
          <w:lang w:val="en-US"/>
        </w:rPr>
        <w:t xml:space="preserve"> March 2021</w:t>
      </w:r>
      <w:r w:rsidRPr="0050409F">
        <w:rPr>
          <w:rFonts w:cs="Arial"/>
          <w:lang w:val="en-US"/>
        </w:rPr>
        <w:t>, that would be</w:t>
      </w:r>
      <w:r w:rsidR="00A42F3A">
        <w:rPr>
          <w:rFonts w:cs="Arial"/>
          <w:lang w:val="en-US"/>
        </w:rPr>
        <w:t xml:space="preserve"> both</w:t>
      </w:r>
      <w:r w:rsidRPr="0050409F">
        <w:rPr>
          <w:rFonts w:cs="Arial"/>
          <w:lang w:val="en-US"/>
        </w:rPr>
        <w:t xml:space="preserve"> possible </w:t>
      </w:r>
      <w:r w:rsidR="00A42F3A">
        <w:rPr>
          <w:rFonts w:cs="Arial"/>
          <w:lang w:val="en-US"/>
        </w:rPr>
        <w:t>and even more</w:t>
      </w:r>
      <w:r w:rsidRPr="0050409F">
        <w:rPr>
          <w:rFonts w:cs="Arial"/>
          <w:lang w:val="en-US"/>
        </w:rPr>
        <w:t xml:space="preserve"> also useful </w:t>
      </w:r>
      <w:proofErr w:type="gramStart"/>
      <w:r w:rsidR="00742746">
        <w:rPr>
          <w:rFonts w:cs="Arial"/>
          <w:lang w:val="en-US"/>
        </w:rPr>
        <w:t xml:space="preserve">in order </w:t>
      </w:r>
      <w:r w:rsidRPr="0050409F">
        <w:rPr>
          <w:rFonts w:cs="Arial"/>
          <w:lang w:val="en-US"/>
        </w:rPr>
        <w:t>to</w:t>
      </w:r>
      <w:proofErr w:type="gramEnd"/>
      <w:r w:rsidRPr="0050409F">
        <w:rPr>
          <w:rFonts w:cs="Arial"/>
          <w:lang w:val="en-US"/>
        </w:rPr>
        <w:t xml:space="preserve"> avoid disputes.</w:t>
      </w:r>
    </w:p>
    <w:p w14:paraId="6698A2D7" w14:textId="77777777" w:rsidR="00A42F3A" w:rsidRPr="00EB3E1B" w:rsidRDefault="00A42F3A" w:rsidP="00EB3E1B">
      <w:pPr>
        <w:rPr>
          <w:rFonts w:cs="Arial"/>
          <w:lang w:val="en-US"/>
        </w:rPr>
      </w:pPr>
    </w:p>
    <w:p w14:paraId="72E679B6" w14:textId="77777777" w:rsidR="00EB3E1B" w:rsidRPr="00EB3E1B" w:rsidRDefault="00EB3E1B" w:rsidP="00EB3E1B">
      <w:pPr>
        <w:rPr>
          <w:rFonts w:cs="Arial"/>
          <w:b/>
          <w:bCs/>
          <w:lang w:val="en-US"/>
        </w:rPr>
      </w:pPr>
      <w:r w:rsidRPr="00EB3E1B">
        <w:rPr>
          <w:rFonts w:cs="Arial"/>
          <w:b/>
          <w:bCs/>
          <w:lang w:val="en-US"/>
        </w:rPr>
        <w:t>In summary it can be stated that it is necessary for the EU Commission to designate a statutory replacement rate for CHF LIBOR by making use of its new powers granted under the amended EU BMR. This replacement rate shall be the SARON Compound with the Adjustment Spread as proposed by the Swiss National Working group and applied according to the “last-reset” convention. This is the only way to assure legal certainty for both borrowers and lenders and to prevent any event being disruptive to financial stability and contractual continuity in the European financial market.</w:t>
      </w:r>
    </w:p>
    <w:p w14:paraId="0ED82080" w14:textId="77777777" w:rsidR="00EB3E1B" w:rsidRPr="00EB3E1B" w:rsidRDefault="00EB3E1B" w:rsidP="00EB3E1B">
      <w:pPr>
        <w:rPr>
          <w:rFonts w:cs="Arial"/>
          <w:b/>
          <w:bCs/>
          <w:lang w:val="en-US"/>
        </w:rPr>
      </w:pPr>
    </w:p>
    <w:p w14:paraId="129629CD" w14:textId="776201FF" w:rsidR="000F13DC" w:rsidRPr="000F13DC" w:rsidRDefault="00EB3E1B" w:rsidP="000F13DC">
      <w:pPr>
        <w:rPr>
          <w:rFonts w:cs="Arial"/>
          <w:b/>
          <w:bCs/>
          <w:lang w:val="en-US"/>
        </w:rPr>
      </w:pPr>
      <w:r w:rsidRPr="00EB3E1B">
        <w:rPr>
          <w:rFonts w:cs="Arial"/>
          <w:b/>
          <w:bCs/>
          <w:lang w:val="en-US"/>
        </w:rPr>
        <w:t>We also would like to emphasize that the designation of a statutory replacement rate for CHF LIBOR would be the first real touching point of consumers with the EU BMR. Therefore, any measure by the EU Commission should bring clarity and not leave any open questions. That is why such a decision should not be limited to the 3M CHF LIBOR only, but consistency requires the same decision to be made for other CHF LIBOR tenors as well, no matter if the volume linked to such other tenors is significant or not.</w:t>
      </w:r>
      <w:r w:rsidR="000F13DC">
        <w:rPr>
          <w:rFonts w:cs="Arial"/>
          <w:b/>
          <w:bCs/>
          <w:lang w:val="en-US"/>
        </w:rPr>
        <w:t xml:space="preserve"> W</w:t>
      </w:r>
      <w:r w:rsidR="000F13DC" w:rsidRPr="000F13DC">
        <w:rPr>
          <w:rFonts w:cs="Arial"/>
          <w:b/>
          <w:bCs/>
          <w:lang w:val="en-US"/>
        </w:rPr>
        <w:t xml:space="preserve">e would like to reiterate the importance of </w:t>
      </w:r>
      <w:proofErr w:type="gramStart"/>
      <w:r w:rsidR="000F13DC" w:rsidRPr="000F13DC">
        <w:rPr>
          <w:rFonts w:cs="Arial"/>
          <w:b/>
          <w:bCs/>
          <w:lang w:val="en-US"/>
        </w:rPr>
        <w:t>taking into account</w:t>
      </w:r>
      <w:proofErr w:type="gramEnd"/>
      <w:r w:rsidR="000F13DC" w:rsidRPr="000F13DC">
        <w:rPr>
          <w:rFonts w:cs="Arial"/>
          <w:b/>
          <w:bCs/>
          <w:lang w:val="en-US"/>
        </w:rPr>
        <w:t xml:space="preserve"> all ten</w:t>
      </w:r>
      <w:r w:rsidR="002D1E58">
        <w:rPr>
          <w:rFonts w:cs="Arial"/>
          <w:b/>
          <w:bCs/>
          <w:lang w:val="en-US"/>
        </w:rPr>
        <w:t>or</w:t>
      </w:r>
      <w:r w:rsidR="000F13DC" w:rsidRPr="000F13DC">
        <w:rPr>
          <w:rFonts w:cs="Arial"/>
          <w:b/>
          <w:bCs/>
          <w:lang w:val="en-US"/>
        </w:rPr>
        <w:t>s of CHF LIBOR (in particular 1M CHF LIBOR and 3M CHF LIBOR). Thus, the Commission shall designate the respective SARON (</w:t>
      </w:r>
      <w:proofErr w:type="gramStart"/>
      <w:r w:rsidR="000F13DC" w:rsidRPr="000F13DC">
        <w:rPr>
          <w:rFonts w:cs="Arial"/>
          <w:b/>
          <w:bCs/>
          <w:lang w:val="en-US"/>
        </w:rPr>
        <w:t>e.g.</w:t>
      </w:r>
      <w:proofErr w:type="gramEnd"/>
      <w:r w:rsidR="000F13DC" w:rsidRPr="000F13DC">
        <w:rPr>
          <w:rFonts w:cs="Arial"/>
          <w:b/>
          <w:bCs/>
          <w:lang w:val="en-US"/>
        </w:rPr>
        <w:t xml:space="preserve"> 1M SARON) compound with the adjustment spread as recommended by the Swiss NWG as a replacement rate for the respective CHF LIBOR (e.g. 1M CHF LIBOR).</w:t>
      </w:r>
    </w:p>
    <w:p w14:paraId="25CE6029" w14:textId="32C09A45" w:rsidR="000F13DC" w:rsidRPr="000F13DC" w:rsidRDefault="000F13DC" w:rsidP="000F13DC">
      <w:pPr>
        <w:rPr>
          <w:rFonts w:cs="Arial"/>
          <w:b/>
          <w:bCs/>
          <w:lang w:val="en-US"/>
        </w:rPr>
      </w:pPr>
    </w:p>
    <w:p w14:paraId="794BDD32" w14:textId="05F37BDE" w:rsidR="000F13DC" w:rsidRPr="000F13DC" w:rsidRDefault="000F13DC" w:rsidP="000F13DC">
      <w:pPr>
        <w:rPr>
          <w:rFonts w:cs="Arial"/>
          <w:b/>
          <w:bCs/>
          <w:lang w:val="en-US"/>
        </w:rPr>
      </w:pPr>
      <w:r w:rsidRPr="000F13DC">
        <w:rPr>
          <w:rFonts w:cs="Arial"/>
          <w:b/>
          <w:bCs/>
          <w:lang w:val="en-US"/>
        </w:rPr>
        <w:t>Furthermore</w:t>
      </w:r>
      <w:r>
        <w:rPr>
          <w:rFonts w:cs="Arial"/>
          <w:b/>
          <w:bCs/>
          <w:lang w:val="en-US"/>
        </w:rPr>
        <w:t>,</w:t>
      </w:r>
      <w:r w:rsidRPr="000F13DC">
        <w:rPr>
          <w:rFonts w:cs="Arial"/>
          <w:b/>
          <w:bCs/>
          <w:lang w:val="en-US"/>
        </w:rPr>
        <w:t> we would like to draw the attention of the Commission to the issue of L</w:t>
      </w:r>
      <w:r w:rsidR="00A42F3A">
        <w:rPr>
          <w:rFonts w:cs="Arial"/>
          <w:b/>
          <w:bCs/>
          <w:lang w:val="en-US"/>
        </w:rPr>
        <w:t>IBOR</w:t>
      </w:r>
      <w:r w:rsidRPr="000F13DC">
        <w:rPr>
          <w:rFonts w:cs="Arial"/>
          <w:b/>
          <w:bCs/>
          <w:lang w:val="en-US"/>
        </w:rPr>
        <w:t>-based products in other foreign currencies such as YEN, USD, GBP. Here a statutory successor regulation would also contribute to the legal certainty of existing consumer credit agreement.</w:t>
      </w:r>
    </w:p>
    <w:p w14:paraId="471F7545" w14:textId="77777777" w:rsidR="00EB3E1B" w:rsidRPr="00EB3E1B" w:rsidRDefault="00EB3E1B" w:rsidP="00EB3E1B">
      <w:pPr>
        <w:rPr>
          <w:rFonts w:cs="Arial"/>
          <w:lang w:val="en-US"/>
        </w:rPr>
      </w:pPr>
    </w:p>
    <w:p w14:paraId="1CE2B581" w14:textId="77777777" w:rsidR="00EB3E1B" w:rsidRPr="00EB3E1B" w:rsidRDefault="00EB3E1B" w:rsidP="00EB3E1B">
      <w:pPr>
        <w:rPr>
          <w:rFonts w:cs="Arial"/>
          <w:lang w:val="en-US"/>
        </w:rPr>
      </w:pPr>
    </w:p>
    <w:p w14:paraId="4059DCBF" w14:textId="77777777" w:rsidR="00EB3E1B" w:rsidRPr="00EB3E1B" w:rsidRDefault="00EB3E1B" w:rsidP="00EB3E1B">
      <w:pPr>
        <w:rPr>
          <w:rFonts w:cs="Arial"/>
          <w:b/>
          <w:bCs/>
          <w:lang w:val="en-US"/>
        </w:rPr>
      </w:pPr>
      <w:r w:rsidRPr="00EB3E1B">
        <w:rPr>
          <w:rFonts w:cs="Arial"/>
          <w:b/>
          <w:bCs/>
          <w:lang w:val="en-US"/>
        </w:rPr>
        <w:t>2. ON THE FAIRNESS AND ACCEPTABILITY OF THE SOLUTION RECOMMENDED BY THE SWISS NATIONAL WORKING GROUP</w:t>
      </w:r>
    </w:p>
    <w:p w14:paraId="52765EC8" w14:textId="77777777" w:rsidR="00EB3E1B" w:rsidRPr="00EB3E1B" w:rsidRDefault="00EB3E1B" w:rsidP="00EB3E1B">
      <w:pPr>
        <w:rPr>
          <w:rFonts w:cs="Arial"/>
          <w:lang w:val="en-US"/>
        </w:rPr>
      </w:pPr>
    </w:p>
    <w:p w14:paraId="221EFEDE" w14:textId="77777777" w:rsidR="00EB3E1B" w:rsidRPr="00787902" w:rsidRDefault="00EB3E1B" w:rsidP="00EB3E1B">
      <w:pPr>
        <w:rPr>
          <w:rFonts w:cs="Arial"/>
          <w:b/>
          <w:i/>
          <w:lang w:val="en-US"/>
        </w:rPr>
      </w:pPr>
      <w:r w:rsidRPr="00787902">
        <w:rPr>
          <w:rFonts w:cs="Arial"/>
          <w:b/>
          <w:i/>
          <w:lang w:val="en-US"/>
        </w:rPr>
        <w:lastRenderedPageBreak/>
        <w:t>Question 2. Do consumers, small and medium enterprises and relevant consumer bodies agree that the proposed replacement rate (3M SARON calculated as a compounded SARON under a last reset methodology) plus the ISDA adjustment spread (calculated as a historical median approach over a five-year lookback period) is a fair and equitable solution for a replacement of CHF LIBOR in mortgages and small business loans and consumer credit agreements? Please explain and, if necessary, provide alternative solutions.</w:t>
      </w:r>
    </w:p>
    <w:p w14:paraId="1A2446D2" w14:textId="77777777" w:rsidR="00EB3E1B" w:rsidRPr="00EB3E1B" w:rsidRDefault="00EB3E1B" w:rsidP="00EB3E1B">
      <w:pPr>
        <w:rPr>
          <w:rFonts w:cs="Arial"/>
          <w:lang w:val="en-US"/>
        </w:rPr>
      </w:pPr>
      <w:r w:rsidRPr="00EB3E1B">
        <w:rPr>
          <w:rFonts w:cs="Arial"/>
          <w:highlight w:val="yellow"/>
          <w:lang w:val="en-US"/>
        </w:rPr>
        <w:t>a) Yes</w:t>
      </w:r>
    </w:p>
    <w:p w14:paraId="7CBD944B" w14:textId="77777777" w:rsidR="00EB3E1B" w:rsidRPr="00EB3E1B" w:rsidRDefault="00EB3E1B" w:rsidP="00EB3E1B">
      <w:pPr>
        <w:rPr>
          <w:rFonts w:cs="Arial"/>
          <w:lang w:val="en-US"/>
        </w:rPr>
      </w:pPr>
      <w:r w:rsidRPr="00EB3E1B">
        <w:rPr>
          <w:rFonts w:cs="Arial"/>
          <w:lang w:val="en-US"/>
        </w:rPr>
        <w:t>b) No</w:t>
      </w:r>
    </w:p>
    <w:p w14:paraId="0FEEEF52" w14:textId="77777777" w:rsidR="00EB3E1B" w:rsidRPr="00EB3E1B" w:rsidRDefault="00EB3E1B" w:rsidP="00EB3E1B">
      <w:pPr>
        <w:rPr>
          <w:rFonts w:cs="Arial"/>
          <w:lang w:val="en-US"/>
        </w:rPr>
      </w:pPr>
      <w:r w:rsidRPr="00EB3E1B">
        <w:rPr>
          <w:rFonts w:cs="Arial"/>
          <w:lang w:val="en-US"/>
        </w:rPr>
        <w:t>c) No opinion</w:t>
      </w:r>
    </w:p>
    <w:p w14:paraId="2EB631DD" w14:textId="0D46C91F" w:rsidR="00EB3E1B" w:rsidRDefault="00EB3E1B" w:rsidP="00EB3E1B">
      <w:pPr>
        <w:rPr>
          <w:rFonts w:cs="Arial"/>
          <w:lang w:val="en-US"/>
        </w:rPr>
      </w:pPr>
    </w:p>
    <w:p w14:paraId="27822439" w14:textId="68E39A3C" w:rsidR="00787902" w:rsidRPr="00DA7779" w:rsidRDefault="00787902" w:rsidP="00787902">
      <w:pPr>
        <w:jc w:val="both"/>
        <w:rPr>
          <w:rFonts w:cs="Arial"/>
          <w:lang w:val="en-GB"/>
        </w:rPr>
      </w:pPr>
      <w:r w:rsidRPr="00DA7779">
        <w:rPr>
          <w:rFonts w:cs="Arial"/>
          <w:lang w:val="en-GB"/>
        </w:rPr>
        <w:t xml:space="preserve">As the question is obviously addressed to the consumer </w:t>
      </w:r>
      <w:r w:rsidR="00A14E42" w:rsidRPr="00A14E42">
        <w:rPr>
          <w:rFonts w:cs="Arial"/>
          <w:lang w:val="en-GB"/>
        </w:rPr>
        <w:t>bodies,</w:t>
      </w:r>
      <w:r w:rsidRPr="00DA7779">
        <w:rPr>
          <w:rFonts w:cs="Arial"/>
          <w:lang w:val="en-GB"/>
        </w:rPr>
        <w:t xml:space="preserve"> we do not deem it appropriate to provide an opinion and assume that consumer bodies will respond directly. However, pursuant to the following arguments we deem the proposed approach to be acceptable for consumers.</w:t>
      </w:r>
    </w:p>
    <w:p w14:paraId="6F9E5079" w14:textId="77777777" w:rsidR="00787902" w:rsidRPr="00DA7779" w:rsidRDefault="00787902" w:rsidP="00EB3E1B">
      <w:pPr>
        <w:rPr>
          <w:rFonts w:cs="Arial"/>
          <w:lang w:val="en-GB"/>
        </w:rPr>
      </w:pPr>
    </w:p>
    <w:p w14:paraId="5C5FC9D2" w14:textId="5CE74105" w:rsidR="00EB3E1B" w:rsidRPr="00EB3E1B" w:rsidRDefault="00EB3E1B" w:rsidP="00EB3E1B">
      <w:pPr>
        <w:rPr>
          <w:rFonts w:cs="Arial"/>
          <w:lang w:val="en-US"/>
        </w:rPr>
      </w:pPr>
      <w:r w:rsidRPr="00EB3E1B">
        <w:rPr>
          <w:rFonts w:cs="Arial"/>
          <w:lang w:val="en-US"/>
        </w:rPr>
        <w:t xml:space="preserve">Regarding SARON Compound: </w:t>
      </w:r>
    </w:p>
    <w:p w14:paraId="61CE5D7F" w14:textId="77777777" w:rsidR="00EB3E1B" w:rsidRPr="00EB3E1B" w:rsidRDefault="00EB3E1B" w:rsidP="00EB3E1B">
      <w:pPr>
        <w:rPr>
          <w:rFonts w:cs="Arial"/>
          <w:lang w:val="en-US"/>
        </w:rPr>
      </w:pPr>
      <w:r w:rsidRPr="00EB3E1B">
        <w:rPr>
          <w:rFonts w:cs="Arial"/>
          <w:lang w:val="en-US"/>
        </w:rPr>
        <w:t xml:space="preserve">SARON Compound is the economically closest alternative to CHF LIBOR. This was also confirmed by an expert opinion via statistical assessment from Prof. Pichler and Prof. </w:t>
      </w:r>
      <w:proofErr w:type="spellStart"/>
      <w:r w:rsidRPr="00EB3E1B">
        <w:rPr>
          <w:rFonts w:cs="Arial"/>
          <w:lang w:val="en-US"/>
        </w:rPr>
        <w:t>Jankowitsch</w:t>
      </w:r>
      <w:proofErr w:type="spellEnd"/>
      <w:r w:rsidRPr="00EB3E1B">
        <w:rPr>
          <w:rFonts w:cs="Arial"/>
          <w:lang w:val="en-US"/>
        </w:rPr>
        <w:t xml:space="preserve"> from the Vienna Business University, where alternative rates (</w:t>
      </w:r>
      <w:proofErr w:type="gramStart"/>
      <w:r w:rsidRPr="00EB3E1B">
        <w:rPr>
          <w:rFonts w:cs="Arial"/>
          <w:lang w:val="en-US"/>
        </w:rPr>
        <w:t>e.g.</w:t>
      </w:r>
      <w:proofErr w:type="gramEnd"/>
      <w:r w:rsidRPr="00EB3E1B">
        <w:rPr>
          <w:rFonts w:cs="Arial"/>
          <w:lang w:val="en-US"/>
        </w:rPr>
        <w:t xml:space="preserve"> central bank rate) where examined as well (the document was already delivered to the EU Commission). Hence, its application shall find acceptance and be regarded as fair.</w:t>
      </w:r>
    </w:p>
    <w:p w14:paraId="44E5B3AB" w14:textId="77777777" w:rsidR="00EB3E1B" w:rsidRPr="00EB3E1B" w:rsidRDefault="00EB3E1B" w:rsidP="00EB3E1B">
      <w:pPr>
        <w:rPr>
          <w:rFonts w:cs="Arial"/>
          <w:lang w:val="en-US"/>
        </w:rPr>
      </w:pPr>
    </w:p>
    <w:p w14:paraId="3B2A7B7E" w14:textId="77777777" w:rsidR="00EB3E1B" w:rsidRPr="00EB3E1B" w:rsidRDefault="00EB3E1B" w:rsidP="00EB3E1B">
      <w:pPr>
        <w:rPr>
          <w:rFonts w:cs="Arial"/>
          <w:lang w:val="en-US"/>
        </w:rPr>
      </w:pPr>
      <w:r w:rsidRPr="00EB3E1B">
        <w:rPr>
          <w:rFonts w:cs="Arial"/>
          <w:lang w:val="en-US"/>
        </w:rPr>
        <w:t>Regarding the application of the “last-reset” convention:</w:t>
      </w:r>
    </w:p>
    <w:p w14:paraId="67D0587A" w14:textId="77777777" w:rsidR="00EB3E1B" w:rsidRPr="00EB3E1B" w:rsidRDefault="00EB3E1B" w:rsidP="00EB3E1B">
      <w:pPr>
        <w:rPr>
          <w:rFonts w:cs="Arial"/>
          <w:lang w:val="en-US"/>
        </w:rPr>
      </w:pPr>
      <w:r w:rsidRPr="00EB3E1B">
        <w:rPr>
          <w:rFonts w:cs="Arial"/>
          <w:lang w:val="en-US"/>
        </w:rPr>
        <w:t>This convention is the only way to assure the compatibility with the requirements of the MCD and CCD (and their national implementation laws) to inform consumers on the change of the borrowing rate before the start of an interest period. Hence, there shall be no doubt that this will find acceptance and be regarded as fair.</w:t>
      </w:r>
    </w:p>
    <w:p w14:paraId="3EDF3A01" w14:textId="77777777" w:rsidR="00EB3E1B" w:rsidRPr="00EB3E1B" w:rsidRDefault="00EB3E1B" w:rsidP="00EB3E1B">
      <w:pPr>
        <w:rPr>
          <w:rFonts w:cs="Arial"/>
          <w:lang w:val="en-US"/>
        </w:rPr>
      </w:pPr>
    </w:p>
    <w:p w14:paraId="14C1119B" w14:textId="77777777" w:rsidR="00EB3E1B" w:rsidRPr="00EB3E1B" w:rsidRDefault="00EB3E1B" w:rsidP="00EB3E1B">
      <w:pPr>
        <w:rPr>
          <w:rFonts w:cs="Arial"/>
          <w:lang w:val="en-US"/>
        </w:rPr>
      </w:pPr>
      <w:r w:rsidRPr="00EB3E1B">
        <w:rPr>
          <w:rFonts w:cs="Arial"/>
          <w:lang w:val="en-US"/>
        </w:rPr>
        <w:t>Regarding the ISDA adjustment spread:</w:t>
      </w:r>
    </w:p>
    <w:p w14:paraId="4DCD2799" w14:textId="0094BBD5" w:rsidR="00EB3E1B" w:rsidRPr="00EB3E1B" w:rsidRDefault="00EB3E1B" w:rsidP="00EB3E1B">
      <w:pPr>
        <w:rPr>
          <w:rFonts w:cs="Arial"/>
          <w:lang w:val="en-US"/>
        </w:rPr>
      </w:pPr>
      <w:r w:rsidRPr="00EB3E1B">
        <w:rPr>
          <w:rFonts w:cs="Arial"/>
          <w:lang w:val="en-US"/>
        </w:rPr>
        <w:t xml:space="preserve">In the answer to question 1 we did provide arguments for the application of the adjustment spread. However, we are aware that the Austrian Ministry of Social Affairs (which has consumer protection on its agenda) sees its application critical, by arguing that the adjustment spread is not an existing market parameter, but a parameter that has been artificially created for the benefit of the </w:t>
      </w:r>
      <w:r w:rsidR="000E7B6F">
        <w:rPr>
          <w:rFonts w:cs="Arial"/>
          <w:lang w:val="en-US"/>
        </w:rPr>
        <w:t>lenders</w:t>
      </w:r>
      <w:r w:rsidRPr="00EB3E1B">
        <w:rPr>
          <w:rFonts w:cs="Arial"/>
          <w:lang w:val="en-US"/>
        </w:rPr>
        <w:t xml:space="preserve">. We do not share this opinion for obvious reasons and given that the level of the adjustment spread for the one-month tenor is negative, not applying </w:t>
      </w:r>
      <w:r w:rsidR="00A42F3A" w:rsidRPr="00EB3E1B">
        <w:rPr>
          <w:rFonts w:cs="Arial"/>
          <w:lang w:val="en-US"/>
        </w:rPr>
        <w:t xml:space="preserve">the adjustment spread for the one-month tenor </w:t>
      </w:r>
      <w:r w:rsidRPr="00EB3E1B">
        <w:rPr>
          <w:rFonts w:cs="Arial"/>
          <w:lang w:val="en-US"/>
        </w:rPr>
        <w:t xml:space="preserve">would </w:t>
      </w:r>
      <w:proofErr w:type="gramStart"/>
      <w:r w:rsidRPr="00EB3E1B">
        <w:rPr>
          <w:rFonts w:cs="Arial"/>
          <w:lang w:val="en-US"/>
        </w:rPr>
        <w:t>definitely be</w:t>
      </w:r>
      <w:proofErr w:type="gramEnd"/>
      <w:r w:rsidRPr="00EB3E1B">
        <w:rPr>
          <w:rFonts w:cs="Arial"/>
          <w:lang w:val="en-US"/>
        </w:rPr>
        <w:t xml:space="preserve"> seen critical by consumer protection bodies. The only purpose of the adjustment spread is to assure economical equivalence, as the quality of th</w:t>
      </w:r>
      <w:r w:rsidR="00A42F3A">
        <w:rPr>
          <w:rFonts w:cs="Arial"/>
          <w:lang w:val="en-US"/>
        </w:rPr>
        <w:t xml:space="preserve">e legacy and </w:t>
      </w:r>
      <w:proofErr w:type="gramStart"/>
      <w:r w:rsidR="00A42F3A">
        <w:rPr>
          <w:rFonts w:cs="Arial"/>
          <w:lang w:val="en-US"/>
        </w:rPr>
        <w:t xml:space="preserve">new </w:t>
      </w:r>
      <w:r w:rsidRPr="00EB3E1B">
        <w:rPr>
          <w:rFonts w:cs="Arial"/>
          <w:lang w:val="en-US"/>
        </w:rPr>
        <w:t xml:space="preserve"> reference</w:t>
      </w:r>
      <w:proofErr w:type="gramEnd"/>
      <w:r w:rsidRPr="00EB3E1B">
        <w:rPr>
          <w:rFonts w:cs="Arial"/>
          <w:lang w:val="en-US"/>
        </w:rPr>
        <w:t xml:space="preserve"> rates is different</w:t>
      </w:r>
      <w:r w:rsidR="002A251B">
        <w:rPr>
          <w:rFonts w:cs="Arial"/>
          <w:lang w:val="en-US"/>
        </w:rPr>
        <w:t>:</w:t>
      </w:r>
      <w:r w:rsidRPr="00EB3E1B">
        <w:rPr>
          <w:rFonts w:cs="Arial"/>
          <w:lang w:val="en-US"/>
        </w:rPr>
        <w:t xml:space="preserve"> LIBOR being an unsecured term rate vs. SARON Compound being a compounded average of a secured ON rate. The situation of being able to “</w:t>
      </w:r>
      <w:proofErr w:type="spellStart"/>
      <w:r w:rsidR="002A251B">
        <w:rPr>
          <w:rFonts w:cs="Arial"/>
          <w:lang w:val="en-US"/>
        </w:rPr>
        <w:t>cherrypick</w:t>
      </w:r>
      <w:proofErr w:type="spellEnd"/>
      <w:r w:rsidRPr="00EB3E1B">
        <w:rPr>
          <w:rFonts w:cs="Arial"/>
          <w:lang w:val="en-US"/>
        </w:rPr>
        <w:t>” should not evolve, as any solution not bringing clarity and consistency would be detrimental to legal certainty (pls. see also answer to question 1).</w:t>
      </w:r>
    </w:p>
    <w:p w14:paraId="5274EC93" w14:textId="77777777" w:rsidR="00EB3E1B" w:rsidRPr="00EB3E1B" w:rsidRDefault="00EB3E1B" w:rsidP="00EB3E1B">
      <w:pPr>
        <w:rPr>
          <w:rFonts w:cs="Arial"/>
          <w:lang w:val="en-US"/>
        </w:rPr>
      </w:pPr>
    </w:p>
    <w:p w14:paraId="6AA4B4FE" w14:textId="77777777" w:rsidR="00EB3E1B" w:rsidRPr="00EB3E1B" w:rsidRDefault="00EB3E1B" w:rsidP="00EB3E1B">
      <w:pPr>
        <w:rPr>
          <w:rFonts w:cs="Arial"/>
          <w:lang w:val="en-US"/>
        </w:rPr>
      </w:pPr>
    </w:p>
    <w:p w14:paraId="4BC05C33" w14:textId="77777777" w:rsidR="00EB3E1B" w:rsidRPr="00EB3E1B" w:rsidRDefault="00EB3E1B" w:rsidP="00EB3E1B">
      <w:pPr>
        <w:rPr>
          <w:rFonts w:cs="Arial"/>
          <w:b/>
          <w:bCs/>
          <w:lang w:val="en-US"/>
        </w:rPr>
      </w:pPr>
      <w:r w:rsidRPr="00EB3E1B">
        <w:rPr>
          <w:rFonts w:cs="Arial"/>
          <w:b/>
          <w:bCs/>
          <w:lang w:val="en-US"/>
        </w:rPr>
        <w:t>3. ON THE COMPATIBILITY OF THE CHOSEN METHODOLOGY WITH EU AND MEMBER STATES LAWS PROTECTING CONSUMERS</w:t>
      </w:r>
    </w:p>
    <w:p w14:paraId="2D9DE7E5" w14:textId="77777777" w:rsidR="00EB3E1B" w:rsidRPr="00EB3E1B" w:rsidRDefault="00EB3E1B" w:rsidP="00EB3E1B">
      <w:pPr>
        <w:rPr>
          <w:rFonts w:cs="Arial"/>
          <w:lang w:val="en-US"/>
        </w:rPr>
      </w:pPr>
    </w:p>
    <w:p w14:paraId="1DD60E17" w14:textId="77777777" w:rsidR="00EB3E1B" w:rsidRPr="00787902" w:rsidRDefault="00EB3E1B" w:rsidP="00EB3E1B">
      <w:pPr>
        <w:rPr>
          <w:rFonts w:cs="Arial"/>
          <w:b/>
          <w:i/>
          <w:lang w:val="en-US"/>
        </w:rPr>
      </w:pPr>
      <w:r w:rsidRPr="00787902">
        <w:rPr>
          <w:rFonts w:cs="Arial"/>
          <w:b/>
          <w:i/>
          <w:lang w:val="en-US"/>
        </w:rPr>
        <w:t>Question 3. Do market participants agree that the proposed calculation method (so called last reset) is compatible with the requirements of the MCD, the CCD, Directive 93/13/EEC and of other legislation protecting consumer credit and national implementation laws and with any other applicable legislation? Please explain.</w:t>
      </w:r>
    </w:p>
    <w:p w14:paraId="37E7504A" w14:textId="77777777" w:rsidR="00EB3E1B" w:rsidRPr="00EB3E1B" w:rsidRDefault="00EB3E1B" w:rsidP="00EB3E1B">
      <w:pPr>
        <w:rPr>
          <w:rFonts w:cs="Arial"/>
          <w:lang w:val="en-US"/>
        </w:rPr>
      </w:pPr>
      <w:r w:rsidRPr="00EB3E1B">
        <w:rPr>
          <w:rFonts w:cs="Arial"/>
          <w:highlight w:val="yellow"/>
          <w:lang w:val="en-US"/>
        </w:rPr>
        <w:lastRenderedPageBreak/>
        <w:t>a) Yes</w:t>
      </w:r>
    </w:p>
    <w:p w14:paraId="3FFFE8BF" w14:textId="77777777" w:rsidR="00EB3E1B" w:rsidRPr="00EB3E1B" w:rsidRDefault="00EB3E1B" w:rsidP="00EB3E1B">
      <w:pPr>
        <w:rPr>
          <w:rFonts w:cs="Arial"/>
          <w:lang w:val="en-US"/>
        </w:rPr>
      </w:pPr>
      <w:r w:rsidRPr="00EB3E1B">
        <w:rPr>
          <w:rFonts w:cs="Arial"/>
          <w:lang w:val="en-US"/>
        </w:rPr>
        <w:t>b) No</w:t>
      </w:r>
    </w:p>
    <w:p w14:paraId="5790B443" w14:textId="77777777" w:rsidR="00EB3E1B" w:rsidRPr="00EB3E1B" w:rsidRDefault="00EB3E1B" w:rsidP="00EB3E1B">
      <w:pPr>
        <w:rPr>
          <w:rFonts w:cs="Arial"/>
          <w:lang w:val="en-US"/>
        </w:rPr>
      </w:pPr>
      <w:r w:rsidRPr="00EB3E1B">
        <w:rPr>
          <w:rFonts w:cs="Arial"/>
          <w:lang w:val="en-US"/>
        </w:rPr>
        <w:t>c) No opinion</w:t>
      </w:r>
    </w:p>
    <w:p w14:paraId="6560561D" w14:textId="77777777" w:rsidR="00EB3E1B" w:rsidRPr="00EB3E1B" w:rsidRDefault="00EB3E1B" w:rsidP="00EB3E1B">
      <w:pPr>
        <w:rPr>
          <w:rFonts w:cs="Arial"/>
          <w:lang w:val="en-US"/>
        </w:rPr>
      </w:pPr>
    </w:p>
    <w:p w14:paraId="63321EA7" w14:textId="77777777" w:rsidR="00EB3E1B" w:rsidRPr="00EB3E1B" w:rsidRDefault="00EB3E1B" w:rsidP="00EB3E1B">
      <w:pPr>
        <w:rPr>
          <w:rFonts w:cs="Arial"/>
          <w:lang w:val="en-US"/>
        </w:rPr>
      </w:pPr>
      <w:r w:rsidRPr="00EB3E1B">
        <w:rPr>
          <w:rFonts w:cs="Arial"/>
          <w:lang w:val="en-US"/>
        </w:rPr>
        <w:t>The SARON Compound rate is only known at the end of the respective interest period for which it is calculated, which creates problems related to Austrian Consumer Credit Act (“</w:t>
      </w:r>
      <w:proofErr w:type="spellStart"/>
      <w:r w:rsidRPr="00EB3E1B">
        <w:rPr>
          <w:rFonts w:cs="Arial"/>
          <w:lang w:val="en-US"/>
        </w:rPr>
        <w:t>Verbraucherkreditgesetz</w:t>
      </w:r>
      <w:proofErr w:type="spellEnd"/>
      <w:r w:rsidRPr="00EB3E1B">
        <w:rPr>
          <w:rFonts w:cs="Arial"/>
          <w:lang w:val="en-US"/>
        </w:rPr>
        <w:t xml:space="preserve">” - </w:t>
      </w:r>
      <w:proofErr w:type="spellStart"/>
      <w:r w:rsidRPr="00EB3E1B">
        <w:rPr>
          <w:rFonts w:cs="Arial"/>
          <w:lang w:val="en-US"/>
        </w:rPr>
        <w:t>VKrG</w:t>
      </w:r>
      <w:proofErr w:type="spellEnd"/>
      <w:r w:rsidRPr="00EB3E1B">
        <w:rPr>
          <w:rFonts w:cs="Arial"/>
          <w:lang w:val="en-US"/>
        </w:rPr>
        <w:t>), and Mortgage and Real Estate Credit Act (“</w:t>
      </w:r>
      <w:proofErr w:type="spellStart"/>
      <w:r w:rsidRPr="00EB3E1B">
        <w:rPr>
          <w:rFonts w:cs="Arial"/>
          <w:lang w:val="en-US"/>
        </w:rPr>
        <w:t>Hypothekar</w:t>
      </w:r>
      <w:proofErr w:type="spellEnd"/>
      <w:r w:rsidRPr="00EB3E1B">
        <w:rPr>
          <w:rFonts w:cs="Arial"/>
          <w:lang w:val="en-US"/>
        </w:rPr>
        <w:t xml:space="preserve">- und </w:t>
      </w:r>
      <w:proofErr w:type="spellStart"/>
      <w:r w:rsidRPr="00EB3E1B">
        <w:rPr>
          <w:rFonts w:cs="Arial"/>
          <w:lang w:val="en-US"/>
        </w:rPr>
        <w:t>Immobilienkreditgesetz</w:t>
      </w:r>
      <w:proofErr w:type="spellEnd"/>
      <w:r w:rsidRPr="00EB3E1B">
        <w:rPr>
          <w:rFonts w:cs="Arial"/>
          <w:lang w:val="en-US"/>
        </w:rPr>
        <w:t xml:space="preserve">” - </w:t>
      </w:r>
      <w:proofErr w:type="spellStart"/>
      <w:r w:rsidRPr="00EB3E1B">
        <w:rPr>
          <w:rFonts w:cs="Arial"/>
          <w:lang w:val="en-US"/>
        </w:rPr>
        <w:t>HIKrG</w:t>
      </w:r>
      <w:proofErr w:type="spellEnd"/>
      <w:r w:rsidRPr="00EB3E1B">
        <w:rPr>
          <w:rFonts w:cs="Arial"/>
          <w:lang w:val="en-US"/>
        </w:rPr>
        <w:t xml:space="preserve">), as these laws require any change in the borrowing rate (including those caused by changes in the reference rate) of an interest period being communicated to the retail client (consumer) before it comes into effect (in-advance). Hence, the SARON Compound rate needs to be known at the start of the interest period. The </w:t>
      </w:r>
      <w:proofErr w:type="gramStart"/>
      <w:r w:rsidRPr="00EB3E1B">
        <w:rPr>
          <w:rFonts w:cs="Arial"/>
          <w:lang w:val="en-US"/>
        </w:rPr>
        <w:t>only  option</w:t>
      </w:r>
      <w:proofErr w:type="gramEnd"/>
      <w:r w:rsidRPr="00EB3E1B">
        <w:rPr>
          <w:rFonts w:cs="Arial"/>
          <w:lang w:val="en-US"/>
        </w:rPr>
        <w:t xml:space="preserve"> to assure this, is to apply the so called </w:t>
      </w:r>
      <w:r w:rsidRPr="00EB3E1B">
        <w:rPr>
          <w:rFonts w:cs="Arial"/>
          <w:b/>
          <w:bCs/>
          <w:lang w:val="en-US"/>
        </w:rPr>
        <w:t>“last-reset” convention</w:t>
      </w:r>
      <w:r w:rsidRPr="00EB3E1B">
        <w:rPr>
          <w:rFonts w:cs="Arial"/>
          <w:lang w:val="en-US"/>
        </w:rPr>
        <w:t xml:space="preserve">, which would be compatible with the relevant Austrian </w:t>
      </w:r>
      <w:proofErr w:type="spellStart"/>
      <w:r w:rsidRPr="00EB3E1B">
        <w:rPr>
          <w:rFonts w:cs="Arial"/>
          <w:lang w:val="en-US"/>
        </w:rPr>
        <w:t>VKrG</w:t>
      </w:r>
      <w:proofErr w:type="spellEnd"/>
      <w:r w:rsidRPr="00EB3E1B">
        <w:rPr>
          <w:rFonts w:cs="Arial"/>
          <w:lang w:val="en-US"/>
        </w:rPr>
        <w:t xml:space="preserve"> and </w:t>
      </w:r>
      <w:proofErr w:type="spellStart"/>
      <w:r w:rsidRPr="00EB3E1B">
        <w:rPr>
          <w:rFonts w:cs="Arial"/>
          <w:lang w:val="en-US"/>
        </w:rPr>
        <w:t>HIKrG</w:t>
      </w:r>
      <w:proofErr w:type="spellEnd"/>
      <w:r w:rsidRPr="00EB3E1B">
        <w:rPr>
          <w:rFonts w:cs="Arial"/>
          <w:lang w:val="en-US"/>
        </w:rPr>
        <w:t>, which was also confirmed in a legal expert opinion by Prof. Graf from the University of Salzburg.</w:t>
      </w:r>
    </w:p>
    <w:p w14:paraId="462B8D66" w14:textId="77777777" w:rsidR="00EB3E1B" w:rsidRPr="00EB3E1B" w:rsidRDefault="00EB3E1B" w:rsidP="00EB3E1B">
      <w:pPr>
        <w:spacing w:line="264" w:lineRule="auto"/>
        <w:rPr>
          <w:rFonts w:cs="Arial"/>
          <w:lang w:val="en-US"/>
        </w:rPr>
      </w:pPr>
    </w:p>
    <w:p w14:paraId="30FCA480" w14:textId="77777777" w:rsidR="00B84738" w:rsidRPr="00EB3E1B" w:rsidRDefault="00B84738" w:rsidP="00EB3E1B">
      <w:pPr>
        <w:rPr>
          <w:rFonts w:cs="Arial"/>
          <w:b/>
          <w:lang w:val="en-US"/>
        </w:rPr>
      </w:pPr>
    </w:p>
    <w:p w14:paraId="673F8EED" w14:textId="77777777" w:rsidR="00686189" w:rsidRPr="00B84738" w:rsidRDefault="00686189" w:rsidP="00ED0AED">
      <w:pPr>
        <w:spacing w:line="240" w:lineRule="auto"/>
        <w:rPr>
          <w:rFonts w:ascii="Calibri" w:hAnsi="Calibri" w:cs="Calibri"/>
          <w:color w:val="1F497D"/>
          <w:lang w:val="en-US"/>
        </w:rPr>
      </w:pPr>
    </w:p>
    <w:p w14:paraId="0C5AFE6E" w14:textId="77777777" w:rsidR="00C84D8A" w:rsidRPr="00ED0AED" w:rsidRDefault="00686189" w:rsidP="00ED0AED">
      <w:pPr>
        <w:spacing w:line="240" w:lineRule="auto"/>
        <w:rPr>
          <w:rFonts w:cs="Arial"/>
          <w:color w:val="000000"/>
          <w:lang w:val="en-GB" w:eastAsia="en-US"/>
        </w:rPr>
      </w:pPr>
      <w:r w:rsidRPr="00ED0AED">
        <w:rPr>
          <w:rFonts w:cs="Arial"/>
          <w:color w:val="000000"/>
          <w:lang w:val="en-GB" w:eastAsia="en-US"/>
        </w:rPr>
        <w:t>Y</w:t>
      </w:r>
      <w:r w:rsidR="00C84D8A" w:rsidRPr="00ED0AED">
        <w:rPr>
          <w:rFonts w:cs="Arial"/>
          <w:color w:val="000000"/>
          <w:lang w:val="en-GB" w:eastAsia="en-US"/>
        </w:rPr>
        <w:t xml:space="preserve">ours </w:t>
      </w:r>
      <w:r w:rsidR="004A01A9" w:rsidRPr="00ED0AED">
        <w:rPr>
          <w:rFonts w:cs="Arial"/>
          <w:color w:val="000000"/>
          <w:lang w:val="en-GB" w:eastAsia="en-US"/>
        </w:rPr>
        <w:t>sincerely</w:t>
      </w:r>
      <w:r w:rsidR="00C84D8A" w:rsidRPr="00ED0AED">
        <w:rPr>
          <w:rFonts w:cs="Arial"/>
          <w:color w:val="000000"/>
          <w:lang w:val="en-GB" w:eastAsia="en-US"/>
        </w:rPr>
        <w:t>,</w:t>
      </w:r>
    </w:p>
    <w:p w14:paraId="19DF7DC2" w14:textId="77777777" w:rsidR="00F31CB0" w:rsidRPr="00767DA3" w:rsidRDefault="00F31CB0" w:rsidP="00CE5D6F">
      <w:pPr>
        <w:spacing w:line="240" w:lineRule="auto"/>
        <w:rPr>
          <w:rFonts w:cs="Arial"/>
          <w:color w:val="000000"/>
          <w:lang w:val="en-GB" w:eastAsia="en-US"/>
        </w:rPr>
      </w:pPr>
    </w:p>
    <w:p w14:paraId="2DE82D01" w14:textId="77777777" w:rsidR="00C84D8A" w:rsidRPr="00767DA3" w:rsidRDefault="00C84D8A" w:rsidP="00CE5D6F">
      <w:pPr>
        <w:spacing w:line="240" w:lineRule="auto"/>
        <w:rPr>
          <w:rFonts w:cs="Arial"/>
          <w:color w:val="000000"/>
          <w:lang w:val="en-GB" w:eastAsia="en-US"/>
        </w:rPr>
      </w:pPr>
      <w:proofErr w:type="spellStart"/>
      <w:r w:rsidRPr="00767DA3">
        <w:rPr>
          <w:rFonts w:cs="Arial"/>
          <w:color w:val="000000"/>
          <w:lang w:val="en-GB" w:eastAsia="en-US"/>
        </w:rPr>
        <w:t>Dr.</w:t>
      </w:r>
      <w:proofErr w:type="spellEnd"/>
      <w:r w:rsidRPr="00767DA3">
        <w:rPr>
          <w:rFonts w:cs="Arial"/>
          <w:color w:val="000000"/>
          <w:lang w:val="en-GB" w:eastAsia="en-US"/>
        </w:rPr>
        <w:t xml:space="preserve"> Franz Rudorfer</w:t>
      </w:r>
    </w:p>
    <w:p w14:paraId="3F135BAD" w14:textId="77777777" w:rsidR="00C84D8A" w:rsidRPr="00767DA3" w:rsidRDefault="00C84D8A" w:rsidP="00CE5D6F">
      <w:pPr>
        <w:spacing w:line="240" w:lineRule="auto"/>
        <w:rPr>
          <w:rFonts w:cs="Arial"/>
          <w:color w:val="000000"/>
          <w:lang w:val="en-GB" w:eastAsia="en-US"/>
        </w:rPr>
      </w:pPr>
      <w:r w:rsidRPr="00767DA3">
        <w:rPr>
          <w:rFonts w:cs="Arial"/>
          <w:color w:val="000000"/>
          <w:lang w:val="en-GB" w:eastAsia="en-US"/>
        </w:rPr>
        <w:t>Managing Director</w:t>
      </w:r>
    </w:p>
    <w:p w14:paraId="64B0CD4B" w14:textId="77777777" w:rsidR="005E1BA5" w:rsidRPr="00767DA3" w:rsidRDefault="00C84D8A" w:rsidP="00CE5D6F">
      <w:pPr>
        <w:spacing w:line="240" w:lineRule="auto"/>
        <w:rPr>
          <w:noProof/>
          <w:lang w:val="en-GB"/>
        </w:rPr>
      </w:pPr>
      <w:r w:rsidRPr="00767DA3">
        <w:rPr>
          <w:rFonts w:cs="Arial"/>
          <w:color w:val="000000"/>
          <w:lang w:val="en-GB" w:eastAsia="en-US"/>
        </w:rPr>
        <w:t>Division Bank and Insurance</w:t>
      </w:r>
    </w:p>
    <w:p w14:paraId="6DC0A117" w14:textId="77777777" w:rsidR="00346DF4" w:rsidRPr="007C2846" w:rsidRDefault="00346DF4" w:rsidP="00CE5D6F">
      <w:pPr>
        <w:spacing w:line="240" w:lineRule="auto"/>
        <w:rPr>
          <w:noProof/>
          <w:lang w:val="en-GB"/>
        </w:rPr>
      </w:pPr>
    </w:p>
    <w:sectPr w:rsidR="00346DF4" w:rsidRPr="007C2846" w:rsidSect="00BA147F">
      <w:headerReference w:type="even" r:id="rId12"/>
      <w:headerReference w:type="default" r:id="rId13"/>
      <w:footerReference w:type="even" r:id="rId14"/>
      <w:footerReference w:type="default" r:id="rId15"/>
      <w:headerReference w:type="first" r:id="rId16"/>
      <w:footerReference w:type="first" r:id="rId17"/>
      <w:pgSz w:w="11906" w:h="16838"/>
      <w:pgMar w:top="1701" w:right="851" w:bottom="1276" w:left="1418"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F2557" w14:textId="77777777" w:rsidR="00335781" w:rsidRDefault="00335781">
      <w:r>
        <w:separator/>
      </w:r>
    </w:p>
  </w:endnote>
  <w:endnote w:type="continuationSeparator" w:id="0">
    <w:p w14:paraId="2F7F61AA" w14:textId="77777777" w:rsidR="00335781" w:rsidRDefault="00335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85ED6" w14:textId="77777777" w:rsidR="002D1E58" w:rsidRDefault="002D1E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6B219" w14:textId="77777777" w:rsidR="002D1E58" w:rsidRDefault="002D1E5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C2A72" w14:textId="77777777" w:rsidR="002D1E58" w:rsidRDefault="002D1E5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0F04F" w14:textId="77777777" w:rsidR="00335781" w:rsidRDefault="00335781">
      <w:r>
        <w:separator/>
      </w:r>
    </w:p>
  </w:footnote>
  <w:footnote w:type="continuationSeparator" w:id="0">
    <w:p w14:paraId="225139EE" w14:textId="77777777" w:rsidR="00335781" w:rsidRDefault="00335781">
      <w:r>
        <w:continuationSeparator/>
      </w:r>
    </w:p>
  </w:footnote>
  <w:footnote w:id="1">
    <w:p w14:paraId="14CEDA37" w14:textId="77777777" w:rsidR="00EB3E1B" w:rsidRPr="00D57FC7" w:rsidRDefault="00EB3E1B" w:rsidP="00EB3E1B">
      <w:pPr>
        <w:pStyle w:val="Funotentext"/>
        <w:rPr>
          <w:lang w:val="en-US"/>
        </w:rPr>
      </w:pPr>
      <w:r w:rsidRPr="006948EE">
        <w:rPr>
          <w:rStyle w:val="Funotenzeichen"/>
          <w:rFonts w:ascii="Arial" w:hAnsi="Arial" w:cs="Arial"/>
        </w:rPr>
        <w:footnoteRef/>
      </w:r>
      <w:r w:rsidRPr="006948EE">
        <w:rPr>
          <w:rFonts w:ascii="Arial" w:hAnsi="Arial" w:cs="Arial"/>
          <w:lang w:val="en-US"/>
        </w:rPr>
        <w:t xml:space="preserve"> Minutes of the 29 September 2020 meeting of the National Working Group on Swiss Franc Reference Rates </w:t>
      </w:r>
      <w:hyperlink r:id="rId1" w:history="1">
        <w:r w:rsidRPr="006948EE">
          <w:rPr>
            <w:rStyle w:val="Hyperlink"/>
            <w:rFonts w:ascii="Arial" w:hAnsi="Arial" w:cs="Arial"/>
            <w:lang w:val="en-US"/>
          </w:rPr>
          <w:t>https://www.snb.ch/n/mmr/reference/minutes_20200929/source/minutes_20200929.n.pdf</w:t>
        </w:r>
      </w:hyperlink>
      <w:r w:rsidRPr="006948EE">
        <w:rPr>
          <w:rFonts w:ascii="Arial" w:hAnsi="Arial" w:cs="Arial"/>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73B1" w14:textId="77777777" w:rsidR="002D1E58" w:rsidRDefault="002D1E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9BC42" w14:textId="77777777" w:rsidR="0014018E" w:rsidRDefault="0014018E">
    <w:pPr>
      <w:pStyle w:val="Kopfzeile"/>
      <w:jc w:val="center"/>
    </w:pPr>
    <w:r>
      <w:t xml:space="preserve">- </w:t>
    </w:r>
    <w:r w:rsidR="008D5D3B">
      <w:rPr>
        <w:rStyle w:val="Seitenzahl"/>
      </w:rPr>
      <w:fldChar w:fldCharType="begin"/>
    </w:r>
    <w:r>
      <w:rPr>
        <w:rStyle w:val="Seitenzahl"/>
      </w:rPr>
      <w:instrText xml:space="preserve"> PAGE </w:instrText>
    </w:r>
    <w:r w:rsidR="008D5D3B">
      <w:rPr>
        <w:rStyle w:val="Seitenzahl"/>
      </w:rPr>
      <w:fldChar w:fldCharType="separate"/>
    </w:r>
    <w:r w:rsidR="00AE5CCD">
      <w:rPr>
        <w:rStyle w:val="Seitenzahl"/>
        <w:noProof/>
      </w:rPr>
      <w:t>2</w:t>
    </w:r>
    <w:r w:rsidR="008D5D3B">
      <w:rPr>
        <w:rStyle w:val="Seitenzahl"/>
      </w:rPr>
      <w:fldChar w:fldCharType="end"/>
    </w:r>
    <w:r>
      <w:rPr>
        <w:rStyle w:val="Seitenzah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9007" w14:textId="77777777" w:rsidR="0014018E" w:rsidRDefault="0014018E">
    <w:pPr>
      <w:pStyle w:val="Kopfzeile"/>
      <w:jc w:val="right"/>
    </w:pPr>
    <w:r>
      <w:rPr>
        <w:noProof/>
        <w:snapToGrid/>
        <w:lang w:val="hr-HR" w:eastAsia="hr-HR"/>
      </w:rPr>
      <w:drawing>
        <wp:anchor distT="0" distB="0" distL="114300" distR="114300" simplePos="0" relativeHeight="251657728" behindDoc="0" locked="1" layoutInCell="0" allowOverlap="1" wp14:anchorId="35274170" wp14:editId="3E062FCB">
          <wp:simplePos x="0" y="0"/>
          <wp:positionH relativeFrom="page">
            <wp:posOffset>4859655</wp:posOffset>
          </wp:positionH>
          <wp:positionV relativeFrom="page">
            <wp:posOffset>197485</wp:posOffset>
          </wp:positionV>
          <wp:extent cx="2210435" cy="861695"/>
          <wp:effectExtent l="19050" t="0" r="0" b="0"/>
          <wp:wrapTopAndBottom/>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210435" cy="86169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379"/>
    <w:multiLevelType w:val="hybridMultilevel"/>
    <w:tmpl w:val="21AAB92E"/>
    <w:lvl w:ilvl="0" w:tplc="0C070001">
      <w:start w:val="1"/>
      <w:numFmt w:val="bullet"/>
      <w:lvlText w:val=""/>
      <w:lvlJc w:val="left"/>
      <w:pPr>
        <w:ind w:left="720" w:hanging="360"/>
      </w:pPr>
      <w:rPr>
        <w:rFonts w:ascii="Symbol" w:hAnsi="Symbol"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62F63C5"/>
    <w:multiLevelType w:val="hybridMultilevel"/>
    <w:tmpl w:val="758CF3B8"/>
    <w:lvl w:ilvl="0" w:tplc="42760B6C">
      <w:start w:val="1"/>
      <w:numFmt w:val="bullet"/>
      <w:lvlText w:val="-"/>
      <w:lvlJc w:val="left"/>
      <w:pPr>
        <w:ind w:left="1080" w:hanging="360"/>
      </w:pPr>
      <w:rPr>
        <w:rFonts w:ascii="Arial" w:eastAsia="Calibri"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 w15:restartNumberingAfterBreak="0">
    <w:nsid w:val="0899192B"/>
    <w:multiLevelType w:val="hybridMultilevel"/>
    <w:tmpl w:val="56AC62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AF578A7"/>
    <w:multiLevelType w:val="hybridMultilevel"/>
    <w:tmpl w:val="A74EFC70"/>
    <w:lvl w:ilvl="0" w:tplc="719E4B78">
      <w:start w:val="1"/>
      <w:numFmt w:val="bullet"/>
      <w:lvlText w:val="-"/>
      <w:lvlJc w:val="left"/>
      <w:pPr>
        <w:ind w:left="1080" w:hanging="360"/>
      </w:pPr>
      <w:rPr>
        <w:rFonts w:ascii="Arial" w:eastAsia="Calibri"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4" w15:restartNumberingAfterBreak="0">
    <w:nsid w:val="0E8D70F6"/>
    <w:multiLevelType w:val="hybridMultilevel"/>
    <w:tmpl w:val="94E20B0E"/>
    <w:lvl w:ilvl="0" w:tplc="0C070013">
      <w:start w:val="1"/>
      <w:numFmt w:val="upperRoman"/>
      <w:lvlText w:val="%1."/>
      <w:lvlJc w:val="righ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16880E9B"/>
    <w:multiLevelType w:val="hybridMultilevel"/>
    <w:tmpl w:val="19B0B4CA"/>
    <w:lvl w:ilvl="0" w:tplc="1CD2FC34">
      <w:start w:val="1"/>
      <w:numFmt w:val="upperLetter"/>
      <w:lvlText w:val="%1."/>
      <w:lvlJc w:val="left"/>
      <w:pPr>
        <w:ind w:left="720" w:hanging="360"/>
      </w:pPr>
      <w:rPr>
        <w:rFonts w:ascii="Trebuchet MS" w:eastAsiaTheme="minorHAnsi" w:hAnsi="Trebuchet MS" w:cs="Arial" w:hint="default"/>
        <w:u w:val="single"/>
        <w:lang w:val="en-G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1ABC437B"/>
    <w:multiLevelType w:val="hybridMultilevel"/>
    <w:tmpl w:val="034003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1D003BED"/>
    <w:multiLevelType w:val="hybridMultilevel"/>
    <w:tmpl w:val="6A6293A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1EA979A8"/>
    <w:multiLevelType w:val="hybridMultilevel"/>
    <w:tmpl w:val="07A235E8"/>
    <w:lvl w:ilvl="0" w:tplc="0C070013">
      <w:start w:val="1"/>
      <w:numFmt w:val="upperRoman"/>
      <w:lvlText w:val="%1."/>
      <w:lvlJc w:val="righ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20510C88"/>
    <w:multiLevelType w:val="hybridMultilevel"/>
    <w:tmpl w:val="BAFAAA72"/>
    <w:lvl w:ilvl="0" w:tplc="2A10F854">
      <w:numFmt w:val="bullet"/>
      <w:lvlText w:val="-"/>
      <w:lvlJc w:val="left"/>
      <w:pPr>
        <w:ind w:left="360" w:hanging="360"/>
      </w:pPr>
      <w:rPr>
        <w:rFonts w:ascii="Arial" w:eastAsia="Times New Roman" w:hAnsi="Arial" w:cs="Times New Roman" w:hint="default"/>
      </w:rPr>
    </w:lvl>
    <w:lvl w:ilvl="1" w:tplc="0C070003">
      <w:start w:val="1"/>
      <w:numFmt w:val="bullet"/>
      <w:lvlText w:val="o"/>
      <w:lvlJc w:val="left"/>
      <w:pPr>
        <w:ind w:left="1080" w:hanging="360"/>
      </w:pPr>
      <w:rPr>
        <w:rFonts w:ascii="Courier New" w:hAnsi="Courier New" w:cs="Times New Roman"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Times New Roman"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Times New Roman" w:hint="default"/>
      </w:rPr>
    </w:lvl>
    <w:lvl w:ilvl="8" w:tplc="0C070005">
      <w:start w:val="1"/>
      <w:numFmt w:val="bullet"/>
      <w:lvlText w:val=""/>
      <w:lvlJc w:val="left"/>
      <w:pPr>
        <w:ind w:left="6120" w:hanging="360"/>
      </w:pPr>
      <w:rPr>
        <w:rFonts w:ascii="Wingdings" w:hAnsi="Wingdings" w:hint="default"/>
      </w:rPr>
    </w:lvl>
  </w:abstractNum>
  <w:abstractNum w:abstractNumId="10" w15:restartNumberingAfterBreak="0">
    <w:nsid w:val="21FB435A"/>
    <w:multiLevelType w:val="hybridMultilevel"/>
    <w:tmpl w:val="430A2FC0"/>
    <w:lvl w:ilvl="0" w:tplc="C558677A">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15:restartNumberingAfterBreak="0">
    <w:nsid w:val="25920B5A"/>
    <w:multiLevelType w:val="hybridMultilevel"/>
    <w:tmpl w:val="458C926E"/>
    <w:lvl w:ilvl="0" w:tplc="15FEF840">
      <w:numFmt w:val="bullet"/>
      <w:lvlText w:val="-"/>
      <w:lvlJc w:val="left"/>
      <w:pPr>
        <w:ind w:left="1776" w:hanging="360"/>
      </w:pPr>
      <w:rPr>
        <w:rFonts w:ascii="Arial" w:eastAsia="Calibri" w:hAnsi="Arial" w:cs="Arial" w:hint="default"/>
      </w:rPr>
    </w:lvl>
    <w:lvl w:ilvl="1" w:tplc="0C070003" w:tentative="1">
      <w:start w:val="1"/>
      <w:numFmt w:val="bullet"/>
      <w:lvlText w:val="o"/>
      <w:lvlJc w:val="left"/>
      <w:pPr>
        <w:ind w:left="2496" w:hanging="360"/>
      </w:pPr>
      <w:rPr>
        <w:rFonts w:ascii="Courier New" w:hAnsi="Courier New" w:cs="Courier New" w:hint="default"/>
      </w:rPr>
    </w:lvl>
    <w:lvl w:ilvl="2" w:tplc="0C070005" w:tentative="1">
      <w:start w:val="1"/>
      <w:numFmt w:val="bullet"/>
      <w:lvlText w:val=""/>
      <w:lvlJc w:val="left"/>
      <w:pPr>
        <w:ind w:left="3216" w:hanging="360"/>
      </w:pPr>
      <w:rPr>
        <w:rFonts w:ascii="Wingdings" w:hAnsi="Wingdings" w:hint="default"/>
      </w:rPr>
    </w:lvl>
    <w:lvl w:ilvl="3" w:tplc="0C070001" w:tentative="1">
      <w:start w:val="1"/>
      <w:numFmt w:val="bullet"/>
      <w:lvlText w:val=""/>
      <w:lvlJc w:val="left"/>
      <w:pPr>
        <w:ind w:left="3936" w:hanging="360"/>
      </w:pPr>
      <w:rPr>
        <w:rFonts w:ascii="Symbol" w:hAnsi="Symbol" w:hint="default"/>
      </w:rPr>
    </w:lvl>
    <w:lvl w:ilvl="4" w:tplc="0C070003" w:tentative="1">
      <w:start w:val="1"/>
      <w:numFmt w:val="bullet"/>
      <w:lvlText w:val="o"/>
      <w:lvlJc w:val="left"/>
      <w:pPr>
        <w:ind w:left="4656" w:hanging="360"/>
      </w:pPr>
      <w:rPr>
        <w:rFonts w:ascii="Courier New" w:hAnsi="Courier New" w:cs="Courier New" w:hint="default"/>
      </w:rPr>
    </w:lvl>
    <w:lvl w:ilvl="5" w:tplc="0C070005" w:tentative="1">
      <w:start w:val="1"/>
      <w:numFmt w:val="bullet"/>
      <w:lvlText w:val=""/>
      <w:lvlJc w:val="left"/>
      <w:pPr>
        <w:ind w:left="5376" w:hanging="360"/>
      </w:pPr>
      <w:rPr>
        <w:rFonts w:ascii="Wingdings" w:hAnsi="Wingdings" w:hint="default"/>
      </w:rPr>
    </w:lvl>
    <w:lvl w:ilvl="6" w:tplc="0C070001" w:tentative="1">
      <w:start w:val="1"/>
      <w:numFmt w:val="bullet"/>
      <w:lvlText w:val=""/>
      <w:lvlJc w:val="left"/>
      <w:pPr>
        <w:ind w:left="6096" w:hanging="360"/>
      </w:pPr>
      <w:rPr>
        <w:rFonts w:ascii="Symbol" w:hAnsi="Symbol" w:hint="default"/>
      </w:rPr>
    </w:lvl>
    <w:lvl w:ilvl="7" w:tplc="0C070003" w:tentative="1">
      <w:start w:val="1"/>
      <w:numFmt w:val="bullet"/>
      <w:lvlText w:val="o"/>
      <w:lvlJc w:val="left"/>
      <w:pPr>
        <w:ind w:left="6816" w:hanging="360"/>
      </w:pPr>
      <w:rPr>
        <w:rFonts w:ascii="Courier New" w:hAnsi="Courier New" w:cs="Courier New" w:hint="default"/>
      </w:rPr>
    </w:lvl>
    <w:lvl w:ilvl="8" w:tplc="0C070005" w:tentative="1">
      <w:start w:val="1"/>
      <w:numFmt w:val="bullet"/>
      <w:lvlText w:val=""/>
      <w:lvlJc w:val="left"/>
      <w:pPr>
        <w:ind w:left="7536" w:hanging="360"/>
      </w:pPr>
      <w:rPr>
        <w:rFonts w:ascii="Wingdings" w:hAnsi="Wingdings" w:hint="default"/>
      </w:rPr>
    </w:lvl>
  </w:abstractNum>
  <w:abstractNum w:abstractNumId="12" w15:restartNumberingAfterBreak="0">
    <w:nsid w:val="2E7B5DE9"/>
    <w:multiLevelType w:val="hybridMultilevel"/>
    <w:tmpl w:val="12188C80"/>
    <w:lvl w:ilvl="0" w:tplc="2A10F854">
      <w:numFmt w:val="bullet"/>
      <w:lvlText w:val="-"/>
      <w:lvlJc w:val="left"/>
      <w:pPr>
        <w:ind w:left="360" w:hanging="360"/>
      </w:pPr>
      <w:rPr>
        <w:rFonts w:ascii="Arial" w:eastAsia="Times New Roman" w:hAnsi="Arial" w:cs="Times New Roman" w:hint="default"/>
      </w:rPr>
    </w:lvl>
    <w:lvl w:ilvl="1" w:tplc="0C070003">
      <w:start w:val="1"/>
      <w:numFmt w:val="bullet"/>
      <w:lvlText w:val="o"/>
      <w:lvlJc w:val="left"/>
      <w:pPr>
        <w:ind w:left="1080" w:hanging="360"/>
      </w:pPr>
      <w:rPr>
        <w:rFonts w:ascii="Courier New" w:hAnsi="Courier New" w:cs="Times New Roman"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Times New Roman"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Times New Roman" w:hint="default"/>
      </w:rPr>
    </w:lvl>
    <w:lvl w:ilvl="8" w:tplc="0C070005">
      <w:start w:val="1"/>
      <w:numFmt w:val="bullet"/>
      <w:lvlText w:val=""/>
      <w:lvlJc w:val="left"/>
      <w:pPr>
        <w:ind w:left="6120" w:hanging="360"/>
      </w:pPr>
      <w:rPr>
        <w:rFonts w:ascii="Wingdings" w:hAnsi="Wingdings" w:hint="default"/>
      </w:rPr>
    </w:lvl>
  </w:abstractNum>
  <w:abstractNum w:abstractNumId="13" w15:restartNumberingAfterBreak="0">
    <w:nsid w:val="2F7E33E9"/>
    <w:multiLevelType w:val="hybridMultilevel"/>
    <w:tmpl w:val="AE08DDC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38D75D37"/>
    <w:multiLevelType w:val="hybridMultilevel"/>
    <w:tmpl w:val="A6160BC2"/>
    <w:lvl w:ilvl="0" w:tplc="0C07000B">
      <w:start w:val="1"/>
      <w:numFmt w:val="bullet"/>
      <w:lvlText w:val=""/>
      <w:lvlJc w:val="left"/>
      <w:pPr>
        <w:ind w:left="360" w:hanging="360"/>
      </w:pPr>
      <w:rPr>
        <w:rFonts w:ascii="Wingdings" w:hAnsi="Wingdings" w:hint="default"/>
      </w:rPr>
    </w:lvl>
    <w:lvl w:ilvl="1" w:tplc="0C070003">
      <w:start w:val="1"/>
      <w:numFmt w:val="bullet"/>
      <w:lvlText w:val="o"/>
      <w:lvlJc w:val="left"/>
      <w:pPr>
        <w:ind w:left="1080" w:hanging="360"/>
      </w:pPr>
      <w:rPr>
        <w:rFonts w:ascii="Courier New" w:hAnsi="Courier New" w:cs="Times New Roman"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Times New Roman"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Times New Roman" w:hint="default"/>
      </w:rPr>
    </w:lvl>
    <w:lvl w:ilvl="8" w:tplc="0C070005">
      <w:start w:val="1"/>
      <w:numFmt w:val="bullet"/>
      <w:lvlText w:val=""/>
      <w:lvlJc w:val="left"/>
      <w:pPr>
        <w:ind w:left="6120" w:hanging="360"/>
      </w:pPr>
      <w:rPr>
        <w:rFonts w:ascii="Wingdings" w:hAnsi="Wingdings" w:hint="default"/>
      </w:rPr>
    </w:lvl>
  </w:abstractNum>
  <w:abstractNum w:abstractNumId="15" w15:restartNumberingAfterBreak="0">
    <w:nsid w:val="46A97C8C"/>
    <w:multiLevelType w:val="hybridMultilevel"/>
    <w:tmpl w:val="A09AD710"/>
    <w:lvl w:ilvl="0" w:tplc="04070001">
      <w:start w:val="1"/>
      <w:numFmt w:val="bullet"/>
      <w:lvlText w:val=""/>
      <w:lvlJc w:val="left"/>
      <w:pPr>
        <w:ind w:left="36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6" w15:restartNumberingAfterBreak="0">
    <w:nsid w:val="48D71814"/>
    <w:multiLevelType w:val="hybridMultilevel"/>
    <w:tmpl w:val="FD02C0A0"/>
    <w:lvl w:ilvl="0" w:tplc="2B72F944">
      <w:start w:val="2"/>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4B0135A3"/>
    <w:multiLevelType w:val="hybridMultilevel"/>
    <w:tmpl w:val="FACE7CFC"/>
    <w:lvl w:ilvl="0" w:tplc="E57EB9E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8F5177"/>
    <w:multiLevelType w:val="hybridMultilevel"/>
    <w:tmpl w:val="42B22172"/>
    <w:lvl w:ilvl="0" w:tplc="0C070019">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51BA0C21"/>
    <w:multiLevelType w:val="hybridMultilevel"/>
    <w:tmpl w:val="EA7EAC8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36F1603"/>
    <w:multiLevelType w:val="hybridMultilevel"/>
    <w:tmpl w:val="526A3F40"/>
    <w:lvl w:ilvl="0" w:tplc="0C070013">
      <w:start w:val="1"/>
      <w:numFmt w:val="upperRoman"/>
      <w:lvlText w:val="%1."/>
      <w:lvlJc w:val="righ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55725040"/>
    <w:multiLevelType w:val="multilevel"/>
    <w:tmpl w:val="AED8101E"/>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D21F1F"/>
    <w:multiLevelType w:val="hybridMultilevel"/>
    <w:tmpl w:val="52FC1D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587A10D2"/>
    <w:multiLevelType w:val="hybridMultilevel"/>
    <w:tmpl w:val="1D8E3446"/>
    <w:lvl w:ilvl="0" w:tplc="61902CC4">
      <w:numFmt w:val="bullet"/>
      <w:lvlText w:val="-"/>
      <w:lvlJc w:val="left"/>
      <w:pPr>
        <w:ind w:left="720" w:hanging="360"/>
      </w:pPr>
      <w:rPr>
        <w:rFonts w:ascii="Trebuchet MS" w:eastAsia="Times New Roman" w:hAnsi="Trebuchet MS" w:cs="Trebuchet M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58D53930"/>
    <w:multiLevelType w:val="hybridMultilevel"/>
    <w:tmpl w:val="4E128B8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60A61DB9"/>
    <w:multiLevelType w:val="hybridMultilevel"/>
    <w:tmpl w:val="3A06503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65C210E1"/>
    <w:multiLevelType w:val="hybridMultilevel"/>
    <w:tmpl w:val="D2EC6886"/>
    <w:lvl w:ilvl="0" w:tplc="516AC5AA">
      <w:start w:val="1"/>
      <w:numFmt w:val="lowerRoman"/>
      <w:lvlText w:val="(%1)"/>
      <w:lvlJc w:val="left"/>
      <w:pPr>
        <w:ind w:left="1440" w:hanging="720"/>
      </w:pPr>
      <w:rPr>
        <w:rFonts w:ascii="Trebuchet MS" w:eastAsia="Calibri" w:hAnsi="Trebuchet MS" w:cs="Times New Roman"/>
      </w:rPr>
    </w:lvl>
    <w:lvl w:ilvl="1" w:tplc="0C070019">
      <w:start w:val="1"/>
      <w:numFmt w:val="lowerLetter"/>
      <w:lvlText w:val="%2."/>
      <w:lvlJc w:val="left"/>
      <w:pPr>
        <w:ind w:left="1800" w:hanging="360"/>
      </w:pPr>
    </w:lvl>
    <w:lvl w:ilvl="2" w:tplc="0C07001B">
      <w:start w:val="1"/>
      <w:numFmt w:val="lowerRoman"/>
      <w:lvlText w:val="%3."/>
      <w:lvlJc w:val="right"/>
      <w:pPr>
        <w:ind w:left="2520" w:hanging="180"/>
      </w:pPr>
    </w:lvl>
    <w:lvl w:ilvl="3" w:tplc="0C07000F">
      <w:start w:val="1"/>
      <w:numFmt w:val="decimal"/>
      <w:lvlText w:val="%4."/>
      <w:lvlJc w:val="left"/>
      <w:pPr>
        <w:ind w:left="3240" w:hanging="360"/>
      </w:pPr>
    </w:lvl>
    <w:lvl w:ilvl="4" w:tplc="0C070019">
      <w:start w:val="1"/>
      <w:numFmt w:val="lowerLetter"/>
      <w:lvlText w:val="%5."/>
      <w:lvlJc w:val="left"/>
      <w:pPr>
        <w:ind w:left="3960" w:hanging="360"/>
      </w:pPr>
    </w:lvl>
    <w:lvl w:ilvl="5" w:tplc="0C07001B">
      <w:start w:val="1"/>
      <w:numFmt w:val="lowerRoman"/>
      <w:lvlText w:val="%6."/>
      <w:lvlJc w:val="right"/>
      <w:pPr>
        <w:ind w:left="4680" w:hanging="180"/>
      </w:pPr>
    </w:lvl>
    <w:lvl w:ilvl="6" w:tplc="0C07000F">
      <w:start w:val="1"/>
      <w:numFmt w:val="decimal"/>
      <w:lvlText w:val="%7."/>
      <w:lvlJc w:val="left"/>
      <w:pPr>
        <w:ind w:left="5400" w:hanging="360"/>
      </w:pPr>
    </w:lvl>
    <w:lvl w:ilvl="7" w:tplc="0C070019">
      <w:start w:val="1"/>
      <w:numFmt w:val="lowerLetter"/>
      <w:lvlText w:val="%8."/>
      <w:lvlJc w:val="left"/>
      <w:pPr>
        <w:ind w:left="6120" w:hanging="360"/>
      </w:pPr>
    </w:lvl>
    <w:lvl w:ilvl="8" w:tplc="0C07001B">
      <w:start w:val="1"/>
      <w:numFmt w:val="lowerRoman"/>
      <w:lvlText w:val="%9."/>
      <w:lvlJc w:val="right"/>
      <w:pPr>
        <w:ind w:left="6840" w:hanging="180"/>
      </w:pPr>
    </w:lvl>
  </w:abstractNum>
  <w:abstractNum w:abstractNumId="27" w15:restartNumberingAfterBreak="0">
    <w:nsid w:val="6DFA673E"/>
    <w:multiLevelType w:val="hybridMultilevel"/>
    <w:tmpl w:val="E04C4170"/>
    <w:lvl w:ilvl="0" w:tplc="C558677A">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28" w15:restartNumberingAfterBreak="0">
    <w:nsid w:val="6F7E1336"/>
    <w:multiLevelType w:val="hybridMultilevel"/>
    <w:tmpl w:val="CF7A09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20A428C"/>
    <w:multiLevelType w:val="hybridMultilevel"/>
    <w:tmpl w:val="9514CBB0"/>
    <w:lvl w:ilvl="0" w:tplc="567C697E">
      <w:numFmt w:val="bullet"/>
      <w:lvlText w:val="-"/>
      <w:lvlJc w:val="left"/>
      <w:pPr>
        <w:ind w:left="1080" w:hanging="360"/>
      </w:pPr>
      <w:rPr>
        <w:rFonts w:ascii="Arial" w:eastAsia="Calibri"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30" w15:restartNumberingAfterBreak="0">
    <w:nsid w:val="72462943"/>
    <w:multiLevelType w:val="hybridMultilevel"/>
    <w:tmpl w:val="384ADF18"/>
    <w:lvl w:ilvl="0" w:tplc="0C070013">
      <w:start w:val="1"/>
      <w:numFmt w:val="upperRoman"/>
      <w:lvlText w:val="%1."/>
      <w:lvlJc w:val="righ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1" w15:restartNumberingAfterBreak="0">
    <w:nsid w:val="7C004F2D"/>
    <w:multiLevelType w:val="hybridMultilevel"/>
    <w:tmpl w:val="6E82D81A"/>
    <w:lvl w:ilvl="0" w:tplc="C558677A">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32" w15:restartNumberingAfterBreak="0">
    <w:nsid w:val="7C5803E2"/>
    <w:multiLevelType w:val="multilevel"/>
    <w:tmpl w:val="01929808"/>
    <w:lvl w:ilvl="0">
      <w:start w:val="3"/>
      <w:numFmt w:val="decimal"/>
      <w:lvlText w:val="%1."/>
      <w:lvlJc w:val="left"/>
      <w:pPr>
        <w:ind w:left="720"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33" w15:restartNumberingAfterBreak="0">
    <w:nsid w:val="7C6E49FC"/>
    <w:multiLevelType w:val="hybridMultilevel"/>
    <w:tmpl w:val="09B6D35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15:restartNumberingAfterBreak="0">
    <w:nsid w:val="7DD07149"/>
    <w:multiLevelType w:val="hybridMultilevel"/>
    <w:tmpl w:val="A8DC8B8A"/>
    <w:lvl w:ilvl="0" w:tplc="1A023BCE">
      <w:numFmt w:val="bullet"/>
      <w:lvlText w:val="-"/>
      <w:lvlJc w:val="left"/>
      <w:pPr>
        <w:ind w:left="720" w:hanging="360"/>
      </w:pPr>
      <w:rPr>
        <w:rFonts w:ascii="Arial" w:eastAsiaTheme="minorEastAsia"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7"/>
  </w:num>
  <w:num w:numId="5">
    <w:abstractNumId w:val="31"/>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7"/>
  </w:num>
  <w:num w:numId="9">
    <w:abstractNumId w:val="6"/>
  </w:num>
  <w:num w:numId="10">
    <w:abstractNumId w:val="28"/>
  </w:num>
  <w:num w:numId="11">
    <w:abstractNumId w:val="24"/>
  </w:num>
  <w:num w:numId="12">
    <w:abstractNumId w:val="30"/>
  </w:num>
  <w:num w:numId="13">
    <w:abstractNumId w:val="5"/>
  </w:num>
  <w:num w:numId="14">
    <w:abstractNumId w:val="0"/>
  </w:num>
  <w:num w:numId="15">
    <w:abstractNumId w:val="25"/>
  </w:num>
  <w:num w:numId="16">
    <w:abstractNumId w:val="29"/>
  </w:num>
  <w:num w:numId="17">
    <w:abstractNumId w:val="3"/>
  </w:num>
  <w:num w:numId="18">
    <w:abstractNumId w:val="1"/>
  </w:num>
  <w:num w:numId="19">
    <w:abstractNumId w:val="11"/>
  </w:num>
  <w:num w:numId="20">
    <w:abstractNumId w:val="16"/>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2"/>
  </w:num>
  <w:num w:numId="24">
    <w:abstractNumId w:val="9"/>
  </w:num>
  <w:num w:numId="25">
    <w:abstractNumId w:val="17"/>
  </w:num>
  <w:num w:numId="26">
    <w:abstractNumId w:val="19"/>
  </w:num>
  <w:num w:numId="27">
    <w:abstractNumId w:val="4"/>
  </w:num>
  <w:num w:numId="28">
    <w:abstractNumId w:val="8"/>
  </w:num>
  <w:num w:numId="29">
    <w:abstractNumId w:val="34"/>
  </w:num>
  <w:num w:numId="30">
    <w:abstractNumId w:val="32"/>
  </w:num>
  <w:num w:numId="31">
    <w:abstractNumId w:val="33"/>
  </w:num>
  <w:num w:numId="32">
    <w:abstractNumId w:val="2"/>
  </w:num>
  <w:num w:numId="33">
    <w:abstractNumId w:val="21"/>
  </w:num>
  <w:num w:numId="34">
    <w:abstractNumId w:val="18"/>
  </w:num>
  <w:num w:numId="35">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de-AT" w:vendorID="64" w:dllVersion="6" w:nlCheck="1" w:checkStyle="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AT"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0CC"/>
    <w:rsid w:val="00001730"/>
    <w:rsid w:val="00013086"/>
    <w:rsid w:val="000135FB"/>
    <w:rsid w:val="000163E0"/>
    <w:rsid w:val="00021DBA"/>
    <w:rsid w:val="00024D8C"/>
    <w:rsid w:val="00026657"/>
    <w:rsid w:val="00035D58"/>
    <w:rsid w:val="00041C1E"/>
    <w:rsid w:val="00044A71"/>
    <w:rsid w:val="00053316"/>
    <w:rsid w:val="00057439"/>
    <w:rsid w:val="00061814"/>
    <w:rsid w:val="000619FB"/>
    <w:rsid w:val="0006215B"/>
    <w:rsid w:val="00071436"/>
    <w:rsid w:val="00071BF7"/>
    <w:rsid w:val="00076F33"/>
    <w:rsid w:val="00080C92"/>
    <w:rsid w:val="00080E83"/>
    <w:rsid w:val="0008171B"/>
    <w:rsid w:val="0008527D"/>
    <w:rsid w:val="0008698A"/>
    <w:rsid w:val="00086BFB"/>
    <w:rsid w:val="00090592"/>
    <w:rsid w:val="000919C4"/>
    <w:rsid w:val="00094EB8"/>
    <w:rsid w:val="0009753B"/>
    <w:rsid w:val="000A0183"/>
    <w:rsid w:val="000A205C"/>
    <w:rsid w:val="000A4FC6"/>
    <w:rsid w:val="000A55AE"/>
    <w:rsid w:val="000A771B"/>
    <w:rsid w:val="000A7D13"/>
    <w:rsid w:val="000B2CE7"/>
    <w:rsid w:val="000B449E"/>
    <w:rsid w:val="000B4D96"/>
    <w:rsid w:val="000B572C"/>
    <w:rsid w:val="000D7538"/>
    <w:rsid w:val="000E511B"/>
    <w:rsid w:val="000E7B6F"/>
    <w:rsid w:val="000F1070"/>
    <w:rsid w:val="000F13DC"/>
    <w:rsid w:val="000F2220"/>
    <w:rsid w:val="000F28BB"/>
    <w:rsid w:val="000F3572"/>
    <w:rsid w:val="000F74C7"/>
    <w:rsid w:val="00101144"/>
    <w:rsid w:val="00101383"/>
    <w:rsid w:val="001042B8"/>
    <w:rsid w:val="00105F0E"/>
    <w:rsid w:val="0011743A"/>
    <w:rsid w:val="00121770"/>
    <w:rsid w:val="00121CBD"/>
    <w:rsid w:val="001276A5"/>
    <w:rsid w:val="00127F3B"/>
    <w:rsid w:val="00131416"/>
    <w:rsid w:val="00131A98"/>
    <w:rsid w:val="00135A40"/>
    <w:rsid w:val="00137EF5"/>
    <w:rsid w:val="0014018E"/>
    <w:rsid w:val="0014746B"/>
    <w:rsid w:val="00151673"/>
    <w:rsid w:val="00151A78"/>
    <w:rsid w:val="00155AEE"/>
    <w:rsid w:val="00161914"/>
    <w:rsid w:val="00163CC0"/>
    <w:rsid w:val="00163DDA"/>
    <w:rsid w:val="00174D0C"/>
    <w:rsid w:val="00183969"/>
    <w:rsid w:val="0019020E"/>
    <w:rsid w:val="00196D5C"/>
    <w:rsid w:val="00196EB4"/>
    <w:rsid w:val="001974F7"/>
    <w:rsid w:val="001B0788"/>
    <w:rsid w:val="001B4AB0"/>
    <w:rsid w:val="001C4931"/>
    <w:rsid w:val="001C49F8"/>
    <w:rsid w:val="001D2667"/>
    <w:rsid w:val="001D40CC"/>
    <w:rsid w:val="001E0374"/>
    <w:rsid w:val="001F3545"/>
    <w:rsid w:val="002045CC"/>
    <w:rsid w:val="00205DE9"/>
    <w:rsid w:val="002061DD"/>
    <w:rsid w:val="00207AC9"/>
    <w:rsid w:val="00210FDF"/>
    <w:rsid w:val="00224981"/>
    <w:rsid w:val="00236C5A"/>
    <w:rsid w:val="00240D9B"/>
    <w:rsid w:val="00250CBA"/>
    <w:rsid w:val="0026358F"/>
    <w:rsid w:val="00264C67"/>
    <w:rsid w:val="00265C18"/>
    <w:rsid w:val="002711FC"/>
    <w:rsid w:val="00272C43"/>
    <w:rsid w:val="00280548"/>
    <w:rsid w:val="00282636"/>
    <w:rsid w:val="002830FB"/>
    <w:rsid w:val="0028446E"/>
    <w:rsid w:val="00287819"/>
    <w:rsid w:val="00293410"/>
    <w:rsid w:val="00296269"/>
    <w:rsid w:val="002A00E4"/>
    <w:rsid w:val="002A15C7"/>
    <w:rsid w:val="002A251B"/>
    <w:rsid w:val="002A3540"/>
    <w:rsid w:val="002B08BD"/>
    <w:rsid w:val="002B3BF4"/>
    <w:rsid w:val="002B4B41"/>
    <w:rsid w:val="002D14BF"/>
    <w:rsid w:val="002D1E58"/>
    <w:rsid w:val="002D4A90"/>
    <w:rsid w:val="002D69C4"/>
    <w:rsid w:val="002E4BD0"/>
    <w:rsid w:val="002F1DC4"/>
    <w:rsid w:val="003104AE"/>
    <w:rsid w:val="00312578"/>
    <w:rsid w:val="00316718"/>
    <w:rsid w:val="0031680D"/>
    <w:rsid w:val="00317CA7"/>
    <w:rsid w:val="00320A42"/>
    <w:rsid w:val="00325FCF"/>
    <w:rsid w:val="00327DD3"/>
    <w:rsid w:val="003303C4"/>
    <w:rsid w:val="00335781"/>
    <w:rsid w:val="00344DB8"/>
    <w:rsid w:val="00346DF4"/>
    <w:rsid w:val="00356254"/>
    <w:rsid w:val="003568E9"/>
    <w:rsid w:val="00361B24"/>
    <w:rsid w:val="003814C3"/>
    <w:rsid w:val="00384948"/>
    <w:rsid w:val="00390AC7"/>
    <w:rsid w:val="003933A5"/>
    <w:rsid w:val="0039371D"/>
    <w:rsid w:val="003A5633"/>
    <w:rsid w:val="003B3D28"/>
    <w:rsid w:val="003B6B36"/>
    <w:rsid w:val="003C35DC"/>
    <w:rsid w:val="003C5804"/>
    <w:rsid w:val="003C622F"/>
    <w:rsid w:val="003C7723"/>
    <w:rsid w:val="003C7778"/>
    <w:rsid w:val="003D07A4"/>
    <w:rsid w:val="003E09A5"/>
    <w:rsid w:val="003E6845"/>
    <w:rsid w:val="003F44A2"/>
    <w:rsid w:val="003F5EEF"/>
    <w:rsid w:val="003F6706"/>
    <w:rsid w:val="00404863"/>
    <w:rsid w:val="004235FB"/>
    <w:rsid w:val="00425684"/>
    <w:rsid w:val="00430245"/>
    <w:rsid w:val="004302FD"/>
    <w:rsid w:val="004339AE"/>
    <w:rsid w:val="004400CB"/>
    <w:rsid w:val="00445FAF"/>
    <w:rsid w:val="0044708F"/>
    <w:rsid w:val="00450B6F"/>
    <w:rsid w:val="00461F65"/>
    <w:rsid w:val="004632A4"/>
    <w:rsid w:val="00470480"/>
    <w:rsid w:val="004745CD"/>
    <w:rsid w:val="00480120"/>
    <w:rsid w:val="00482639"/>
    <w:rsid w:val="00485220"/>
    <w:rsid w:val="0048523B"/>
    <w:rsid w:val="00487A00"/>
    <w:rsid w:val="004926F1"/>
    <w:rsid w:val="004A01A9"/>
    <w:rsid w:val="004A115F"/>
    <w:rsid w:val="004B2194"/>
    <w:rsid w:val="004C0E9B"/>
    <w:rsid w:val="004C5E94"/>
    <w:rsid w:val="004C6FA4"/>
    <w:rsid w:val="004D1102"/>
    <w:rsid w:val="004D1A1E"/>
    <w:rsid w:val="004E2249"/>
    <w:rsid w:val="004E2A45"/>
    <w:rsid w:val="004E51E5"/>
    <w:rsid w:val="004F1B60"/>
    <w:rsid w:val="004F53C0"/>
    <w:rsid w:val="004F6198"/>
    <w:rsid w:val="0050409F"/>
    <w:rsid w:val="00505343"/>
    <w:rsid w:val="0051495A"/>
    <w:rsid w:val="00517690"/>
    <w:rsid w:val="00521B7F"/>
    <w:rsid w:val="00535CF4"/>
    <w:rsid w:val="00550380"/>
    <w:rsid w:val="00551A34"/>
    <w:rsid w:val="005548F9"/>
    <w:rsid w:val="00556359"/>
    <w:rsid w:val="00560A66"/>
    <w:rsid w:val="00562C44"/>
    <w:rsid w:val="00576F32"/>
    <w:rsid w:val="00580F9B"/>
    <w:rsid w:val="00590AAE"/>
    <w:rsid w:val="00596B5B"/>
    <w:rsid w:val="005A0755"/>
    <w:rsid w:val="005A2D33"/>
    <w:rsid w:val="005B1218"/>
    <w:rsid w:val="005B2525"/>
    <w:rsid w:val="005B2844"/>
    <w:rsid w:val="005B3FB7"/>
    <w:rsid w:val="005C04FF"/>
    <w:rsid w:val="005C218C"/>
    <w:rsid w:val="005C7948"/>
    <w:rsid w:val="005D0470"/>
    <w:rsid w:val="005D08DC"/>
    <w:rsid w:val="005D0B33"/>
    <w:rsid w:val="005D1620"/>
    <w:rsid w:val="005D442D"/>
    <w:rsid w:val="005D4F47"/>
    <w:rsid w:val="005E1BA5"/>
    <w:rsid w:val="005E7180"/>
    <w:rsid w:val="005F5B48"/>
    <w:rsid w:val="005F632A"/>
    <w:rsid w:val="006065F4"/>
    <w:rsid w:val="00606AFA"/>
    <w:rsid w:val="00622B51"/>
    <w:rsid w:val="00623752"/>
    <w:rsid w:val="00623872"/>
    <w:rsid w:val="006261AF"/>
    <w:rsid w:val="00641DC4"/>
    <w:rsid w:val="00642235"/>
    <w:rsid w:val="00642A57"/>
    <w:rsid w:val="006471E3"/>
    <w:rsid w:val="00650AE5"/>
    <w:rsid w:val="006518A3"/>
    <w:rsid w:val="0065464B"/>
    <w:rsid w:val="00677F47"/>
    <w:rsid w:val="00683614"/>
    <w:rsid w:val="0068403B"/>
    <w:rsid w:val="00686189"/>
    <w:rsid w:val="0069309F"/>
    <w:rsid w:val="00694B28"/>
    <w:rsid w:val="006A55B4"/>
    <w:rsid w:val="006B05A1"/>
    <w:rsid w:val="006C33D2"/>
    <w:rsid w:val="006D109C"/>
    <w:rsid w:val="006D6427"/>
    <w:rsid w:val="006E0163"/>
    <w:rsid w:val="006E5185"/>
    <w:rsid w:val="0070253E"/>
    <w:rsid w:val="007053E7"/>
    <w:rsid w:val="007114EC"/>
    <w:rsid w:val="00711C4D"/>
    <w:rsid w:val="007203E6"/>
    <w:rsid w:val="007230AC"/>
    <w:rsid w:val="00724C39"/>
    <w:rsid w:val="0072798F"/>
    <w:rsid w:val="00732AFB"/>
    <w:rsid w:val="0073402F"/>
    <w:rsid w:val="0073440E"/>
    <w:rsid w:val="00742746"/>
    <w:rsid w:val="00743A63"/>
    <w:rsid w:val="00754BAF"/>
    <w:rsid w:val="00766B69"/>
    <w:rsid w:val="00767DA3"/>
    <w:rsid w:val="007755BF"/>
    <w:rsid w:val="007757A9"/>
    <w:rsid w:val="007762A4"/>
    <w:rsid w:val="00776348"/>
    <w:rsid w:val="007816E4"/>
    <w:rsid w:val="00782541"/>
    <w:rsid w:val="00783F4D"/>
    <w:rsid w:val="007846C2"/>
    <w:rsid w:val="00787902"/>
    <w:rsid w:val="00795782"/>
    <w:rsid w:val="007A01B8"/>
    <w:rsid w:val="007A1751"/>
    <w:rsid w:val="007B32D2"/>
    <w:rsid w:val="007B3A82"/>
    <w:rsid w:val="007B3EA1"/>
    <w:rsid w:val="007B641D"/>
    <w:rsid w:val="007C2846"/>
    <w:rsid w:val="007C2F92"/>
    <w:rsid w:val="007D0A79"/>
    <w:rsid w:val="007D3573"/>
    <w:rsid w:val="007D4FE3"/>
    <w:rsid w:val="007E1AC2"/>
    <w:rsid w:val="007E6B3B"/>
    <w:rsid w:val="007F5F54"/>
    <w:rsid w:val="00801234"/>
    <w:rsid w:val="0080414A"/>
    <w:rsid w:val="0081169B"/>
    <w:rsid w:val="00811CE5"/>
    <w:rsid w:val="00812F74"/>
    <w:rsid w:val="00815C5E"/>
    <w:rsid w:val="00816598"/>
    <w:rsid w:val="008255E7"/>
    <w:rsid w:val="008351DF"/>
    <w:rsid w:val="008406BB"/>
    <w:rsid w:val="0084684D"/>
    <w:rsid w:val="0086077B"/>
    <w:rsid w:val="00864AF6"/>
    <w:rsid w:val="008720A6"/>
    <w:rsid w:val="008745CD"/>
    <w:rsid w:val="00881BC0"/>
    <w:rsid w:val="00884544"/>
    <w:rsid w:val="0088500E"/>
    <w:rsid w:val="0089476E"/>
    <w:rsid w:val="008953FC"/>
    <w:rsid w:val="008B1362"/>
    <w:rsid w:val="008B1709"/>
    <w:rsid w:val="008B1D1A"/>
    <w:rsid w:val="008C0AE8"/>
    <w:rsid w:val="008C0C66"/>
    <w:rsid w:val="008C679C"/>
    <w:rsid w:val="008D1E25"/>
    <w:rsid w:val="008D469D"/>
    <w:rsid w:val="008D5D3B"/>
    <w:rsid w:val="008D70E6"/>
    <w:rsid w:val="008D77D7"/>
    <w:rsid w:val="008E02AC"/>
    <w:rsid w:val="008F1DD3"/>
    <w:rsid w:val="008F3076"/>
    <w:rsid w:val="008F3EA3"/>
    <w:rsid w:val="0091585E"/>
    <w:rsid w:val="00917182"/>
    <w:rsid w:val="009303DC"/>
    <w:rsid w:val="00935B03"/>
    <w:rsid w:val="00935BB6"/>
    <w:rsid w:val="0093708A"/>
    <w:rsid w:val="00942F6C"/>
    <w:rsid w:val="0094333B"/>
    <w:rsid w:val="0094518B"/>
    <w:rsid w:val="009458C0"/>
    <w:rsid w:val="009572BB"/>
    <w:rsid w:val="009632CC"/>
    <w:rsid w:val="00965380"/>
    <w:rsid w:val="0098475C"/>
    <w:rsid w:val="009853E1"/>
    <w:rsid w:val="009922DC"/>
    <w:rsid w:val="009A6947"/>
    <w:rsid w:val="009B6C3A"/>
    <w:rsid w:val="009C1E08"/>
    <w:rsid w:val="009C6136"/>
    <w:rsid w:val="009D188F"/>
    <w:rsid w:val="009D58FA"/>
    <w:rsid w:val="009D69D3"/>
    <w:rsid w:val="009E1189"/>
    <w:rsid w:val="009E5929"/>
    <w:rsid w:val="009E5A12"/>
    <w:rsid w:val="009E66CA"/>
    <w:rsid w:val="009F4450"/>
    <w:rsid w:val="009F57DA"/>
    <w:rsid w:val="009F6A00"/>
    <w:rsid w:val="00A01B18"/>
    <w:rsid w:val="00A0265B"/>
    <w:rsid w:val="00A04A94"/>
    <w:rsid w:val="00A06DE5"/>
    <w:rsid w:val="00A07FE0"/>
    <w:rsid w:val="00A147F7"/>
    <w:rsid w:val="00A14E42"/>
    <w:rsid w:val="00A21AEC"/>
    <w:rsid w:val="00A23371"/>
    <w:rsid w:val="00A23661"/>
    <w:rsid w:val="00A23779"/>
    <w:rsid w:val="00A36834"/>
    <w:rsid w:val="00A42F3A"/>
    <w:rsid w:val="00A42F7B"/>
    <w:rsid w:val="00A437DE"/>
    <w:rsid w:val="00A44D5F"/>
    <w:rsid w:val="00A500F1"/>
    <w:rsid w:val="00A5381E"/>
    <w:rsid w:val="00A54C2F"/>
    <w:rsid w:val="00A55757"/>
    <w:rsid w:val="00A64C34"/>
    <w:rsid w:val="00A705F5"/>
    <w:rsid w:val="00A707A7"/>
    <w:rsid w:val="00A70C7D"/>
    <w:rsid w:val="00A81341"/>
    <w:rsid w:val="00A82C13"/>
    <w:rsid w:val="00A8532A"/>
    <w:rsid w:val="00A912E3"/>
    <w:rsid w:val="00A953E9"/>
    <w:rsid w:val="00A955F6"/>
    <w:rsid w:val="00A97AE7"/>
    <w:rsid w:val="00AA0432"/>
    <w:rsid w:val="00AB5857"/>
    <w:rsid w:val="00AB59B3"/>
    <w:rsid w:val="00AD053F"/>
    <w:rsid w:val="00AE02B3"/>
    <w:rsid w:val="00AE1B6A"/>
    <w:rsid w:val="00AE457B"/>
    <w:rsid w:val="00AE5CCD"/>
    <w:rsid w:val="00AE6511"/>
    <w:rsid w:val="00AE7BE8"/>
    <w:rsid w:val="00B020A3"/>
    <w:rsid w:val="00B10218"/>
    <w:rsid w:val="00B17B80"/>
    <w:rsid w:val="00B22761"/>
    <w:rsid w:val="00B32456"/>
    <w:rsid w:val="00B33A2C"/>
    <w:rsid w:val="00B36C46"/>
    <w:rsid w:val="00B447AA"/>
    <w:rsid w:val="00B467F0"/>
    <w:rsid w:val="00B46C57"/>
    <w:rsid w:val="00B51CB0"/>
    <w:rsid w:val="00B532F2"/>
    <w:rsid w:val="00B55633"/>
    <w:rsid w:val="00B57C55"/>
    <w:rsid w:val="00B6209E"/>
    <w:rsid w:val="00B6213F"/>
    <w:rsid w:val="00B6399F"/>
    <w:rsid w:val="00B63C71"/>
    <w:rsid w:val="00B64838"/>
    <w:rsid w:val="00B6488D"/>
    <w:rsid w:val="00B6710C"/>
    <w:rsid w:val="00B67CEF"/>
    <w:rsid w:val="00B84738"/>
    <w:rsid w:val="00B85379"/>
    <w:rsid w:val="00B8623F"/>
    <w:rsid w:val="00B93882"/>
    <w:rsid w:val="00B960F5"/>
    <w:rsid w:val="00BA147F"/>
    <w:rsid w:val="00BA5BEC"/>
    <w:rsid w:val="00BA5E95"/>
    <w:rsid w:val="00BA6878"/>
    <w:rsid w:val="00BA7A5E"/>
    <w:rsid w:val="00BB28F9"/>
    <w:rsid w:val="00BB344D"/>
    <w:rsid w:val="00BC6569"/>
    <w:rsid w:val="00BD2D5E"/>
    <w:rsid w:val="00BD3A1D"/>
    <w:rsid w:val="00BD7362"/>
    <w:rsid w:val="00BE0E6A"/>
    <w:rsid w:val="00BE7A33"/>
    <w:rsid w:val="00BF1820"/>
    <w:rsid w:val="00BF2A57"/>
    <w:rsid w:val="00BF3BB7"/>
    <w:rsid w:val="00C011CF"/>
    <w:rsid w:val="00C02F42"/>
    <w:rsid w:val="00C044AE"/>
    <w:rsid w:val="00C11030"/>
    <w:rsid w:val="00C21BF0"/>
    <w:rsid w:val="00C23AED"/>
    <w:rsid w:val="00C3401D"/>
    <w:rsid w:val="00C3459A"/>
    <w:rsid w:val="00C34E41"/>
    <w:rsid w:val="00C358D5"/>
    <w:rsid w:val="00C376E8"/>
    <w:rsid w:val="00C406D2"/>
    <w:rsid w:val="00C47B46"/>
    <w:rsid w:val="00C519C2"/>
    <w:rsid w:val="00C543F8"/>
    <w:rsid w:val="00C619D3"/>
    <w:rsid w:val="00C64B6E"/>
    <w:rsid w:val="00C66013"/>
    <w:rsid w:val="00C728A8"/>
    <w:rsid w:val="00C737BA"/>
    <w:rsid w:val="00C84D8A"/>
    <w:rsid w:val="00C97D15"/>
    <w:rsid w:val="00CA1356"/>
    <w:rsid w:val="00CA6A50"/>
    <w:rsid w:val="00CB2954"/>
    <w:rsid w:val="00CB797F"/>
    <w:rsid w:val="00CC1072"/>
    <w:rsid w:val="00CD2A67"/>
    <w:rsid w:val="00CD4E8C"/>
    <w:rsid w:val="00CD4ED3"/>
    <w:rsid w:val="00CE1526"/>
    <w:rsid w:val="00CE1A19"/>
    <w:rsid w:val="00CE3F94"/>
    <w:rsid w:val="00CE4DD7"/>
    <w:rsid w:val="00CE5D6F"/>
    <w:rsid w:val="00CF63BD"/>
    <w:rsid w:val="00D10757"/>
    <w:rsid w:val="00D1088D"/>
    <w:rsid w:val="00D164AD"/>
    <w:rsid w:val="00D333BA"/>
    <w:rsid w:val="00D35759"/>
    <w:rsid w:val="00D364F4"/>
    <w:rsid w:val="00D371BE"/>
    <w:rsid w:val="00D37B81"/>
    <w:rsid w:val="00D42F9C"/>
    <w:rsid w:val="00D44582"/>
    <w:rsid w:val="00D51EC2"/>
    <w:rsid w:val="00D55968"/>
    <w:rsid w:val="00D57833"/>
    <w:rsid w:val="00D614D3"/>
    <w:rsid w:val="00D61E2F"/>
    <w:rsid w:val="00D63F9C"/>
    <w:rsid w:val="00D6614C"/>
    <w:rsid w:val="00D679C5"/>
    <w:rsid w:val="00D708D7"/>
    <w:rsid w:val="00D76BDD"/>
    <w:rsid w:val="00D77C55"/>
    <w:rsid w:val="00D82226"/>
    <w:rsid w:val="00D84A26"/>
    <w:rsid w:val="00D90D34"/>
    <w:rsid w:val="00D90EF8"/>
    <w:rsid w:val="00D9226A"/>
    <w:rsid w:val="00DA13B9"/>
    <w:rsid w:val="00DA5251"/>
    <w:rsid w:val="00DA7779"/>
    <w:rsid w:val="00DB117B"/>
    <w:rsid w:val="00DB4FF8"/>
    <w:rsid w:val="00DC0A36"/>
    <w:rsid w:val="00DC2F9C"/>
    <w:rsid w:val="00DD4E27"/>
    <w:rsid w:val="00DE0704"/>
    <w:rsid w:val="00E0664D"/>
    <w:rsid w:val="00E2444D"/>
    <w:rsid w:val="00E25162"/>
    <w:rsid w:val="00E260A8"/>
    <w:rsid w:val="00E376EA"/>
    <w:rsid w:val="00E40277"/>
    <w:rsid w:val="00E41DFD"/>
    <w:rsid w:val="00E4233B"/>
    <w:rsid w:val="00E45332"/>
    <w:rsid w:val="00E46914"/>
    <w:rsid w:val="00E505CF"/>
    <w:rsid w:val="00E51B60"/>
    <w:rsid w:val="00E72490"/>
    <w:rsid w:val="00E754C8"/>
    <w:rsid w:val="00E8006A"/>
    <w:rsid w:val="00E81371"/>
    <w:rsid w:val="00E82191"/>
    <w:rsid w:val="00E87DCD"/>
    <w:rsid w:val="00E95C5D"/>
    <w:rsid w:val="00EA1FF4"/>
    <w:rsid w:val="00EA673F"/>
    <w:rsid w:val="00EB13E2"/>
    <w:rsid w:val="00EB2182"/>
    <w:rsid w:val="00EB3B01"/>
    <w:rsid w:val="00EB3E1B"/>
    <w:rsid w:val="00EC6597"/>
    <w:rsid w:val="00ED0561"/>
    <w:rsid w:val="00ED0AED"/>
    <w:rsid w:val="00ED171E"/>
    <w:rsid w:val="00ED2466"/>
    <w:rsid w:val="00EE33EF"/>
    <w:rsid w:val="00EF39D4"/>
    <w:rsid w:val="00F039F2"/>
    <w:rsid w:val="00F06018"/>
    <w:rsid w:val="00F17F3D"/>
    <w:rsid w:val="00F21921"/>
    <w:rsid w:val="00F253EA"/>
    <w:rsid w:val="00F26986"/>
    <w:rsid w:val="00F31CB0"/>
    <w:rsid w:val="00F37341"/>
    <w:rsid w:val="00F42876"/>
    <w:rsid w:val="00F472AC"/>
    <w:rsid w:val="00F57342"/>
    <w:rsid w:val="00F700E4"/>
    <w:rsid w:val="00F71922"/>
    <w:rsid w:val="00F744E0"/>
    <w:rsid w:val="00F77CC4"/>
    <w:rsid w:val="00F77E12"/>
    <w:rsid w:val="00F8025E"/>
    <w:rsid w:val="00F83CF8"/>
    <w:rsid w:val="00F878D2"/>
    <w:rsid w:val="00F90148"/>
    <w:rsid w:val="00F9470D"/>
    <w:rsid w:val="00F9528C"/>
    <w:rsid w:val="00F9684B"/>
    <w:rsid w:val="00FB464A"/>
    <w:rsid w:val="00FB6113"/>
    <w:rsid w:val="00FC5F01"/>
    <w:rsid w:val="00FD1999"/>
    <w:rsid w:val="00FD1D18"/>
    <w:rsid w:val="00FD48B2"/>
    <w:rsid w:val="00FD4B23"/>
    <w:rsid w:val="00FE48D6"/>
    <w:rsid w:val="00FF18C9"/>
    <w:rsid w:val="00FF4385"/>
    <w:rsid w:val="00FF7EB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38993BD5"/>
  <w15:docId w15:val="{0D2A17A6-5C88-4FA6-9DDD-948BB5E3F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700E4"/>
    <w:pPr>
      <w:spacing w:line="280" w:lineRule="atLeast"/>
    </w:pPr>
    <w:rPr>
      <w:rFonts w:ascii="Trebuchet MS" w:hAnsi="Trebuchet MS" w:cs="Trebuchet MS"/>
      <w:snapToGrid w:val="0"/>
      <w:sz w:val="22"/>
      <w:szCs w:val="22"/>
      <w:lang w:val="de-DE"/>
    </w:rPr>
  </w:style>
  <w:style w:type="paragraph" w:styleId="berschrift1">
    <w:name w:val="heading 1"/>
    <w:basedOn w:val="Standard"/>
    <w:next w:val="Standard"/>
    <w:qFormat/>
    <w:rsid w:val="00F700E4"/>
    <w:pPr>
      <w:keepNext/>
      <w:pageBreakBefore/>
      <w:spacing w:after="360"/>
      <w:outlineLvl w:val="0"/>
    </w:pPr>
    <w:rPr>
      <w:rFonts w:ascii="Times New Roman" w:hAnsi="Times New Roman" w:cs="Times New Roman"/>
      <w:b/>
      <w:bCs/>
      <w:caps/>
      <w:kern w:val="28"/>
      <w:sz w:val="48"/>
      <w:szCs w:val="48"/>
    </w:rPr>
  </w:style>
  <w:style w:type="paragraph" w:styleId="berschrift2">
    <w:name w:val="heading 2"/>
    <w:basedOn w:val="Standard"/>
    <w:next w:val="Standard"/>
    <w:qFormat/>
    <w:rsid w:val="00F700E4"/>
    <w:pPr>
      <w:keepNext/>
      <w:spacing w:before="240" w:after="240"/>
      <w:outlineLvl w:val="1"/>
    </w:pPr>
    <w:rPr>
      <w:rFonts w:ascii="Times New Roman" w:hAnsi="Times New Roman" w:cs="Times New Roman"/>
      <w:b/>
      <w:bCs/>
      <w:caps/>
      <w:sz w:val="32"/>
      <w:szCs w:val="32"/>
    </w:rPr>
  </w:style>
  <w:style w:type="paragraph" w:styleId="berschrift3">
    <w:name w:val="heading 3"/>
    <w:basedOn w:val="Standard"/>
    <w:next w:val="Standard"/>
    <w:qFormat/>
    <w:rsid w:val="00F700E4"/>
    <w:pPr>
      <w:keepNext/>
      <w:spacing w:before="240" w:after="240"/>
      <w:outlineLvl w:val="2"/>
    </w:pPr>
    <w:rPr>
      <w:rFonts w:ascii="Times New Roman" w:hAnsi="Times New Roman" w:cs="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rsid w:val="00F700E4"/>
    <w:rPr>
      <w:sz w:val="18"/>
      <w:szCs w:val="18"/>
    </w:rPr>
  </w:style>
  <w:style w:type="paragraph" w:styleId="Kopfzeile">
    <w:name w:val="header"/>
    <w:basedOn w:val="Standard"/>
    <w:rsid w:val="00F700E4"/>
    <w:pPr>
      <w:tabs>
        <w:tab w:val="center" w:pos="4536"/>
        <w:tab w:val="right" w:pos="9072"/>
      </w:tabs>
    </w:pPr>
  </w:style>
  <w:style w:type="paragraph" w:styleId="Fuzeile">
    <w:name w:val="footer"/>
    <w:basedOn w:val="Standard"/>
    <w:link w:val="FuzeileZchn"/>
    <w:uiPriority w:val="99"/>
    <w:rsid w:val="00F700E4"/>
    <w:pPr>
      <w:tabs>
        <w:tab w:val="center" w:pos="4536"/>
        <w:tab w:val="right" w:pos="9072"/>
      </w:tabs>
    </w:pPr>
  </w:style>
  <w:style w:type="character" w:styleId="Seitenzahl">
    <w:name w:val="page number"/>
    <w:basedOn w:val="Absatz-Standardschriftart"/>
    <w:rsid w:val="00F700E4"/>
  </w:style>
  <w:style w:type="paragraph" w:styleId="Sprechblasentext">
    <w:name w:val="Balloon Text"/>
    <w:basedOn w:val="Standard"/>
    <w:semiHidden/>
    <w:rsid w:val="00F700E4"/>
    <w:rPr>
      <w:rFonts w:ascii="Times New Roman" w:hAnsi="Times New Roman" w:cs="Times New Roman"/>
      <w:sz w:val="16"/>
      <w:szCs w:val="16"/>
    </w:rPr>
  </w:style>
  <w:style w:type="paragraph" w:styleId="Titel">
    <w:name w:val="Title"/>
    <w:basedOn w:val="Standard"/>
    <w:qFormat/>
    <w:rsid w:val="00F700E4"/>
    <w:pPr>
      <w:spacing w:line="240" w:lineRule="auto"/>
      <w:jc w:val="center"/>
    </w:pPr>
    <w:rPr>
      <w:rFonts w:ascii="Arial" w:hAnsi="Arial" w:cs="Arial"/>
      <w:b/>
      <w:bCs/>
      <w:sz w:val="24"/>
      <w:szCs w:val="24"/>
    </w:rPr>
  </w:style>
  <w:style w:type="character" w:customStyle="1" w:styleId="tw4winMark">
    <w:name w:val="tw4winMark"/>
    <w:rsid w:val="00F700E4"/>
    <w:rPr>
      <w:rFonts w:ascii="Courier New" w:hAnsi="Courier New" w:cs="Courier New"/>
      <w:vanish/>
      <w:color w:val="800080"/>
      <w:sz w:val="24"/>
      <w:szCs w:val="24"/>
      <w:vertAlign w:val="subscript"/>
    </w:rPr>
  </w:style>
  <w:style w:type="character" w:customStyle="1" w:styleId="tw4winError">
    <w:name w:val="tw4winError"/>
    <w:rsid w:val="00F700E4"/>
    <w:rPr>
      <w:rFonts w:ascii="Courier New" w:hAnsi="Courier New" w:cs="Courier New"/>
      <w:color w:val="00FF00"/>
      <w:sz w:val="40"/>
      <w:szCs w:val="40"/>
    </w:rPr>
  </w:style>
  <w:style w:type="character" w:customStyle="1" w:styleId="tw4winTerm">
    <w:name w:val="tw4winTerm"/>
    <w:rsid w:val="00F700E4"/>
    <w:rPr>
      <w:color w:val="0000FF"/>
    </w:rPr>
  </w:style>
  <w:style w:type="character" w:customStyle="1" w:styleId="tw4winPopup">
    <w:name w:val="tw4winPopup"/>
    <w:rsid w:val="00F700E4"/>
    <w:rPr>
      <w:rFonts w:ascii="Courier New" w:hAnsi="Courier New" w:cs="Courier New"/>
      <w:noProof/>
      <w:color w:val="008000"/>
    </w:rPr>
  </w:style>
  <w:style w:type="character" w:customStyle="1" w:styleId="tw4winJump">
    <w:name w:val="tw4winJump"/>
    <w:rsid w:val="00F700E4"/>
    <w:rPr>
      <w:rFonts w:ascii="Courier New" w:hAnsi="Courier New" w:cs="Courier New"/>
      <w:noProof/>
      <w:color w:val="008080"/>
    </w:rPr>
  </w:style>
  <w:style w:type="character" w:customStyle="1" w:styleId="tw4winExternal">
    <w:name w:val="tw4winExternal"/>
    <w:rsid w:val="00F700E4"/>
    <w:rPr>
      <w:rFonts w:ascii="Courier New" w:hAnsi="Courier New" w:cs="Courier New"/>
      <w:noProof/>
      <w:color w:val="808080"/>
    </w:rPr>
  </w:style>
  <w:style w:type="character" w:customStyle="1" w:styleId="tw4winInternal">
    <w:name w:val="tw4winInternal"/>
    <w:rsid w:val="00F700E4"/>
    <w:rPr>
      <w:rFonts w:ascii="Courier New" w:hAnsi="Courier New" w:cs="Courier New"/>
      <w:noProof/>
      <w:color w:val="FF0000"/>
    </w:rPr>
  </w:style>
  <w:style w:type="character" w:customStyle="1" w:styleId="DONOTTRANSLATE">
    <w:name w:val="DO_NOT_TRANSLATE"/>
    <w:rsid w:val="00F700E4"/>
    <w:rPr>
      <w:rFonts w:ascii="Courier New" w:hAnsi="Courier New" w:cs="Courier New"/>
      <w:noProof/>
      <w:color w:val="800000"/>
    </w:rPr>
  </w:style>
  <w:style w:type="paragraph" w:styleId="NurText">
    <w:name w:val="Plain Text"/>
    <w:basedOn w:val="Standard"/>
    <w:link w:val="NurTextZchn"/>
    <w:uiPriority w:val="99"/>
    <w:unhideWhenUsed/>
    <w:rsid w:val="00B55633"/>
    <w:pPr>
      <w:spacing w:line="240" w:lineRule="auto"/>
    </w:pPr>
    <w:rPr>
      <w:rFonts w:ascii="Consolas" w:eastAsia="Calibri" w:hAnsi="Consolas" w:cs="Times New Roman"/>
      <w:snapToGrid/>
      <w:sz w:val="21"/>
      <w:szCs w:val="21"/>
      <w:lang w:val="de-AT" w:eastAsia="en-US"/>
    </w:rPr>
  </w:style>
  <w:style w:type="character" w:customStyle="1" w:styleId="NurTextZchn">
    <w:name w:val="Nur Text Zchn"/>
    <w:basedOn w:val="Absatz-Standardschriftart"/>
    <w:link w:val="NurText"/>
    <w:uiPriority w:val="99"/>
    <w:rsid w:val="00B55633"/>
    <w:rPr>
      <w:rFonts w:ascii="Consolas" w:eastAsia="Calibri" w:hAnsi="Consolas" w:cs="Times New Roman"/>
      <w:sz w:val="21"/>
      <w:szCs w:val="21"/>
      <w:lang w:eastAsia="en-US"/>
    </w:rPr>
  </w:style>
  <w:style w:type="character" w:styleId="Hervorhebung">
    <w:name w:val="Emphasis"/>
    <w:basedOn w:val="Absatz-Standardschriftart"/>
    <w:uiPriority w:val="20"/>
    <w:qFormat/>
    <w:rsid w:val="008B1362"/>
    <w:rPr>
      <w:i/>
      <w:iCs/>
    </w:rPr>
  </w:style>
  <w:style w:type="paragraph" w:styleId="Listenabsatz">
    <w:name w:val="List Paragraph"/>
    <w:aliases w:val="Paragraphe EI,Paragraphe de liste1,EC,List Paragraph Main,List first level"/>
    <w:basedOn w:val="Standard"/>
    <w:link w:val="ListenabsatzZchn"/>
    <w:uiPriority w:val="34"/>
    <w:qFormat/>
    <w:rsid w:val="00CD2A67"/>
    <w:pPr>
      <w:ind w:left="720"/>
      <w:contextualSpacing/>
    </w:pPr>
  </w:style>
  <w:style w:type="paragraph" w:styleId="StandardWeb">
    <w:name w:val="Normal (Web)"/>
    <w:basedOn w:val="Standard"/>
    <w:uiPriority w:val="99"/>
    <w:unhideWhenUsed/>
    <w:rsid w:val="00B63C71"/>
    <w:pPr>
      <w:spacing w:before="100" w:beforeAutospacing="1" w:after="100" w:afterAutospacing="1" w:line="240" w:lineRule="auto"/>
    </w:pPr>
    <w:rPr>
      <w:rFonts w:ascii="Times New Roman" w:eastAsiaTheme="minorHAnsi" w:hAnsi="Times New Roman" w:cs="Times New Roman"/>
      <w:snapToGrid/>
      <w:sz w:val="24"/>
      <w:szCs w:val="24"/>
      <w:lang w:val="de-AT"/>
    </w:rPr>
  </w:style>
  <w:style w:type="character" w:styleId="Fett">
    <w:name w:val="Strong"/>
    <w:basedOn w:val="Absatz-Standardschriftart"/>
    <w:uiPriority w:val="22"/>
    <w:qFormat/>
    <w:rsid w:val="00B63C71"/>
    <w:rPr>
      <w:b/>
      <w:bCs/>
    </w:rPr>
  </w:style>
  <w:style w:type="character" w:customStyle="1" w:styleId="FuzeileZchn">
    <w:name w:val="Fußzeile Zchn"/>
    <w:basedOn w:val="Absatz-Standardschriftart"/>
    <w:link w:val="Fuzeile"/>
    <w:uiPriority w:val="99"/>
    <w:rsid w:val="00ED2466"/>
    <w:rPr>
      <w:rFonts w:ascii="Trebuchet MS" w:hAnsi="Trebuchet MS" w:cs="Trebuchet MS"/>
      <w:snapToGrid w:val="0"/>
      <w:sz w:val="22"/>
      <w:szCs w:val="22"/>
      <w:lang w:val="de-DE"/>
    </w:rPr>
  </w:style>
  <w:style w:type="character" w:styleId="Hyperlink">
    <w:name w:val="Hyperlink"/>
    <w:basedOn w:val="Absatz-Standardschriftart"/>
    <w:rsid w:val="005B3FB7"/>
    <w:rPr>
      <w:color w:val="0000FF" w:themeColor="hyperlink"/>
      <w:u w:val="single"/>
    </w:rPr>
  </w:style>
  <w:style w:type="paragraph" w:customStyle="1" w:styleId="Default">
    <w:name w:val="Default"/>
    <w:rsid w:val="007755BF"/>
    <w:pPr>
      <w:widowControl w:val="0"/>
      <w:autoSpaceDE w:val="0"/>
      <w:autoSpaceDN w:val="0"/>
      <w:adjustRightInd w:val="0"/>
    </w:pPr>
    <w:rPr>
      <w:rFonts w:ascii="Arial" w:eastAsiaTheme="minorHAnsi" w:hAnsi="Arial" w:cs="Arial"/>
      <w:color w:val="000000"/>
      <w:sz w:val="24"/>
      <w:szCs w:val="24"/>
      <w:lang w:val="de-DE" w:eastAsia="en-US"/>
    </w:rPr>
  </w:style>
  <w:style w:type="character" w:customStyle="1" w:styleId="ListenabsatzZchn">
    <w:name w:val="Listenabsatz Zchn"/>
    <w:aliases w:val="Paragraphe EI Zchn,Paragraphe de liste1 Zchn,EC Zchn,List Paragraph Main Zchn,List first level Zchn"/>
    <w:link w:val="Listenabsatz"/>
    <w:uiPriority w:val="34"/>
    <w:rsid w:val="005C7948"/>
    <w:rPr>
      <w:rFonts w:ascii="Trebuchet MS" w:hAnsi="Trebuchet MS" w:cs="Trebuchet MS"/>
      <w:snapToGrid w:val="0"/>
      <w:sz w:val="22"/>
      <w:szCs w:val="22"/>
      <w:lang w:val="de-DE"/>
    </w:rPr>
  </w:style>
  <w:style w:type="character" w:customStyle="1" w:styleId="paragraph2">
    <w:name w:val="paragraph2"/>
    <w:basedOn w:val="Absatz-Standardschriftart"/>
    <w:rsid w:val="00C737BA"/>
    <w:rPr>
      <w:b w:val="0"/>
      <w:bCs w:val="0"/>
      <w:vanish w:val="0"/>
      <w:webHidden w:val="0"/>
      <w:sz w:val="18"/>
      <w:szCs w:val="18"/>
      <w:specVanish w:val="0"/>
    </w:rPr>
  </w:style>
  <w:style w:type="table" w:styleId="Tabellenraster">
    <w:name w:val="Table Grid"/>
    <w:basedOn w:val="NormaleTabelle"/>
    <w:uiPriority w:val="39"/>
    <w:rsid w:val="00E46914"/>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notentextZchn">
    <w:name w:val="Fußnotentext Zchn"/>
    <w:basedOn w:val="Absatz-Standardschriftart"/>
    <w:link w:val="Funotentext"/>
    <w:uiPriority w:val="99"/>
    <w:semiHidden/>
    <w:rsid w:val="00EB3E1B"/>
    <w:rPr>
      <w:rFonts w:ascii="Trebuchet MS" w:hAnsi="Trebuchet MS" w:cs="Trebuchet MS"/>
      <w:snapToGrid w:val="0"/>
      <w:sz w:val="18"/>
      <w:szCs w:val="18"/>
      <w:lang w:val="de-DE"/>
    </w:rPr>
  </w:style>
  <w:style w:type="character" w:styleId="Funotenzeichen">
    <w:name w:val="footnote reference"/>
    <w:basedOn w:val="Absatz-Standardschriftart"/>
    <w:uiPriority w:val="99"/>
    <w:semiHidden/>
    <w:unhideWhenUsed/>
    <w:rsid w:val="00EB3E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54276874">
      <w:bodyDiv w:val="1"/>
      <w:marLeft w:val="0"/>
      <w:marRight w:val="0"/>
      <w:marTop w:val="0"/>
      <w:marBottom w:val="0"/>
      <w:divBdr>
        <w:top w:val="none" w:sz="0" w:space="0" w:color="auto"/>
        <w:left w:val="none" w:sz="0" w:space="0" w:color="auto"/>
        <w:bottom w:val="none" w:sz="0" w:space="0" w:color="auto"/>
        <w:right w:val="none" w:sz="0" w:space="0" w:color="auto"/>
      </w:divBdr>
    </w:div>
    <w:div w:id="78412682">
      <w:bodyDiv w:val="1"/>
      <w:marLeft w:val="0"/>
      <w:marRight w:val="0"/>
      <w:marTop w:val="0"/>
      <w:marBottom w:val="0"/>
      <w:divBdr>
        <w:top w:val="none" w:sz="0" w:space="0" w:color="auto"/>
        <w:left w:val="none" w:sz="0" w:space="0" w:color="auto"/>
        <w:bottom w:val="none" w:sz="0" w:space="0" w:color="auto"/>
        <w:right w:val="none" w:sz="0" w:space="0" w:color="auto"/>
      </w:divBdr>
    </w:div>
    <w:div w:id="117992046">
      <w:bodyDiv w:val="1"/>
      <w:marLeft w:val="0"/>
      <w:marRight w:val="0"/>
      <w:marTop w:val="0"/>
      <w:marBottom w:val="0"/>
      <w:divBdr>
        <w:top w:val="none" w:sz="0" w:space="0" w:color="auto"/>
        <w:left w:val="none" w:sz="0" w:space="0" w:color="auto"/>
        <w:bottom w:val="none" w:sz="0" w:space="0" w:color="auto"/>
        <w:right w:val="none" w:sz="0" w:space="0" w:color="auto"/>
      </w:divBdr>
    </w:div>
    <w:div w:id="161164005">
      <w:bodyDiv w:val="1"/>
      <w:marLeft w:val="0"/>
      <w:marRight w:val="0"/>
      <w:marTop w:val="0"/>
      <w:marBottom w:val="0"/>
      <w:divBdr>
        <w:top w:val="none" w:sz="0" w:space="0" w:color="auto"/>
        <w:left w:val="none" w:sz="0" w:space="0" w:color="auto"/>
        <w:bottom w:val="none" w:sz="0" w:space="0" w:color="auto"/>
        <w:right w:val="none" w:sz="0" w:space="0" w:color="auto"/>
      </w:divBdr>
    </w:div>
    <w:div w:id="198661731">
      <w:bodyDiv w:val="1"/>
      <w:marLeft w:val="0"/>
      <w:marRight w:val="0"/>
      <w:marTop w:val="0"/>
      <w:marBottom w:val="0"/>
      <w:divBdr>
        <w:top w:val="none" w:sz="0" w:space="0" w:color="auto"/>
        <w:left w:val="none" w:sz="0" w:space="0" w:color="auto"/>
        <w:bottom w:val="none" w:sz="0" w:space="0" w:color="auto"/>
        <w:right w:val="none" w:sz="0" w:space="0" w:color="auto"/>
      </w:divBdr>
    </w:div>
    <w:div w:id="224804073">
      <w:bodyDiv w:val="1"/>
      <w:marLeft w:val="0"/>
      <w:marRight w:val="0"/>
      <w:marTop w:val="0"/>
      <w:marBottom w:val="0"/>
      <w:divBdr>
        <w:top w:val="none" w:sz="0" w:space="0" w:color="auto"/>
        <w:left w:val="none" w:sz="0" w:space="0" w:color="auto"/>
        <w:bottom w:val="none" w:sz="0" w:space="0" w:color="auto"/>
        <w:right w:val="none" w:sz="0" w:space="0" w:color="auto"/>
      </w:divBdr>
    </w:div>
    <w:div w:id="234628101">
      <w:bodyDiv w:val="1"/>
      <w:marLeft w:val="0"/>
      <w:marRight w:val="0"/>
      <w:marTop w:val="0"/>
      <w:marBottom w:val="0"/>
      <w:divBdr>
        <w:top w:val="none" w:sz="0" w:space="0" w:color="auto"/>
        <w:left w:val="none" w:sz="0" w:space="0" w:color="auto"/>
        <w:bottom w:val="none" w:sz="0" w:space="0" w:color="auto"/>
        <w:right w:val="none" w:sz="0" w:space="0" w:color="auto"/>
      </w:divBdr>
    </w:div>
    <w:div w:id="302588301">
      <w:bodyDiv w:val="1"/>
      <w:marLeft w:val="0"/>
      <w:marRight w:val="0"/>
      <w:marTop w:val="0"/>
      <w:marBottom w:val="0"/>
      <w:divBdr>
        <w:top w:val="none" w:sz="0" w:space="0" w:color="auto"/>
        <w:left w:val="none" w:sz="0" w:space="0" w:color="auto"/>
        <w:bottom w:val="none" w:sz="0" w:space="0" w:color="auto"/>
        <w:right w:val="none" w:sz="0" w:space="0" w:color="auto"/>
      </w:divBdr>
    </w:div>
    <w:div w:id="337125047">
      <w:bodyDiv w:val="1"/>
      <w:marLeft w:val="0"/>
      <w:marRight w:val="0"/>
      <w:marTop w:val="0"/>
      <w:marBottom w:val="0"/>
      <w:divBdr>
        <w:top w:val="none" w:sz="0" w:space="0" w:color="auto"/>
        <w:left w:val="none" w:sz="0" w:space="0" w:color="auto"/>
        <w:bottom w:val="none" w:sz="0" w:space="0" w:color="auto"/>
        <w:right w:val="none" w:sz="0" w:space="0" w:color="auto"/>
      </w:divBdr>
    </w:div>
    <w:div w:id="351954080">
      <w:bodyDiv w:val="1"/>
      <w:marLeft w:val="0"/>
      <w:marRight w:val="0"/>
      <w:marTop w:val="0"/>
      <w:marBottom w:val="0"/>
      <w:divBdr>
        <w:top w:val="none" w:sz="0" w:space="0" w:color="auto"/>
        <w:left w:val="none" w:sz="0" w:space="0" w:color="auto"/>
        <w:bottom w:val="none" w:sz="0" w:space="0" w:color="auto"/>
        <w:right w:val="none" w:sz="0" w:space="0" w:color="auto"/>
      </w:divBdr>
    </w:div>
    <w:div w:id="427432364">
      <w:bodyDiv w:val="1"/>
      <w:marLeft w:val="0"/>
      <w:marRight w:val="0"/>
      <w:marTop w:val="0"/>
      <w:marBottom w:val="0"/>
      <w:divBdr>
        <w:top w:val="none" w:sz="0" w:space="0" w:color="auto"/>
        <w:left w:val="none" w:sz="0" w:space="0" w:color="auto"/>
        <w:bottom w:val="none" w:sz="0" w:space="0" w:color="auto"/>
        <w:right w:val="none" w:sz="0" w:space="0" w:color="auto"/>
      </w:divBdr>
    </w:div>
    <w:div w:id="450175200">
      <w:bodyDiv w:val="1"/>
      <w:marLeft w:val="0"/>
      <w:marRight w:val="0"/>
      <w:marTop w:val="0"/>
      <w:marBottom w:val="0"/>
      <w:divBdr>
        <w:top w:val="none" w:sz="0" w:space="0" w:color="auto"/>
        <w:left w:val="none" w:sz="0" w:space="0" w:color="auto"/>
        <w:bottom w:val="none" w:sz="0" w:space="0" w:color="auto"/>
        <w:right w:val="none" w:sz="0" w:space="0" w:color="auto"/>
      </w:divBdr>
    </w:div>
    <w:div w:id="455416396">
      <w:bodyDiv w:val="1"/>
      <w:marLeft w:val="0"/>
      <w:marRight w:val="0"/>
      <w:marTop w:val="0"/>
      <w:marBottom w:val="0"/>
      <w:divBdr>
        <w:top w:val="none" w:sz="0" w:space="0" w:color="auto"/>
        <w:left w:val="none" w:sz="0" w:space="0" w:color="auto"/>
        <w:bottom w:val="none" w:sz="0" w:space="0" w:color="auto"/>
        <w:right w:val="none" w:sz="0" w:space="0" w:color="auto"/>
      </w:divBdr>
    </w:div>
    <w:div w:id="464276662">
      <w:bodyDiv w:val="1"/>
      <w:marLeft w:val="0"/>
      <w:marRight w:val="0"/>
      <w:marTop w:val="0"/>
      <w:marBottom w:val="0"/>
      <w:divBdr>
        <w:top w:val="none" w:sz="0" w:space="0" w:color="auto"/>
        <w:left w:val="none" w:sz="0" w:space="0" w:color="auto"/>
        <w:bottom w:val="none" w:sz="0" w:space="0" w:color="auto"/>
        <w:right w:val="none" w:sz="0" w:space="0" w:color="auto"/>
      </w:divBdr>
    </w:div>
    <w:div w:id="537739201">
      <w:bodyDiv w:val="1"/>
      <w:marLeft w:val="0"/>
      <w:marRight w:val="0"/>
      <w:marTop w:val="0"/>
      <w:marBottom w:val="0"/>
      <w:divBdr>
        <w:top w:val="none" w:sz="0" w:space="0" w:color="auto"/>
        <w:left w:val="none" w:sz="0" w:space="0" w:color="auto"/>
        <w:bottom w:val="none" w:sz="0" w:space="0" w:color="auto"/>
        <w:right w:val="none" w:sz="0" w:space="0" w:color="auto"/>
      </w:divBdr>
    </w:div>
    <w:div w:id="546066532">
      <w:bodyDiv w:val="1"/>
      <w:marLeft w:val="0"/>
      <w:marRight w:val="0"/>
      <w:marTop w:val="0"/>
      <w:marBottom w:val="0"/>
      <w:divBdr>
        <w:top w:val="none" w:sz="0" w:space="0" w:color="auto"/>
        <w:left w:val="none" w:sz="0" w:space="0" w:color="auto"/>
        <w:bottom w:val="none" w:sz="0" w:space="0" w:color="auto"/>
        <w:right w:val="none" w:sz="0" w:space="0" w:color="auto"/>
      </w:divBdr>
    </w:div>
    <w:div w:id="601913484">
      <w:bodyDiv w:val="1"/>
      <w:marLeft w:val="0"/>
      <w:marRight w:val="0"/>
      <w:marTop w:val="0"/>
      <w:marBottom w:val="0"/>
      <w:divBdr>
        <w:top w:val="none" w:sz="0" w:space="0" w:color="auto"/>
        <w:left w:val="none" w:sz="0" w:space="0" w:color="auto"/>
        <w:bottom w:val="none" w:sz="0" w:space="0" w:color="auto"/>
        <w:right w:val="none" w:sz="0" w:space="0" w:color="auto"/>
      </w:divBdr>
    </w:div>
    <w:div w:id="674309752">
      <w:bodyDiv w:val="1"/>
      <w:marLeft w:val="0"/>
      <w:marRight w:val="0"/>
      <w:marTop w:val="0"/>
      <w:marBottom w:val="0"/>
      <w:divBdr>
        <w:top w:val="none" w:sz="0" w:space="0" w:color="auto"/>
        <w:left w:val="none" w:sz="0" w:space="0" w:color="auto"/>
        <w:bottom w:val="none" w:sz="0" w:space="0" w:color="auto"/>
        <w:right w:val="none" w:sz="0" w:space="0" w:color="auto"/>
      </w:divBdr>
    </w:div>
    <w:div w:id="678191585">
      <w:bodyDiv w:val="1"/>
      <w:marLeft w:val="0"/>
      <w:marRight w:val="0"/>
      <w:marTop w:val="0"/>
      <w:marBottom w:val="0"/>
      <w:divBdr>
        <w:top w:val="none" w:sz="0" w:space="0" w:color="auto"/>
        <w:left w:val="none" w:sz="0" w:space="0" w:color="auto"/>
        <w:bottom w:val="none" w:sz="0" w:space="0" w:color="auto"/>
        <w:right w:val="none" w:sz="0" w:space="0" w:color="auto"/>
      </w:divBdr>
    </w:div>
    <w:div w:id="769204917">
      <w:bodyDiv w:val="1"/>
      <w:marLeft w:val="0"/>
      <w:marRight w:val="0"/>
      <w:marTop w:val="0"/>
      <w:marBottom w:val="0"/>
      <w:divBdr>
        <w:top w:val="none" w:sz="0" w:space="0" w:color="auto"/>
        <w:left w:val="none" w:sz="0" w:space="0" w:color="auto"/>
        <w:bottom w:val="none" w:sz="0" w:space="0" w:color="auto"/>
        <w:right w:val="none" w:sz="0" w:space="0" w:color="auto"/>
      </w:divBdr>
    </w:div>
    <w:div w:id="771054331">
      <w:bodyDiv w:val="1"/>
      <w:marLeft w:val="0"/>
      <w:marRight w:val="0"/>
      <w:marTop w:val="0"/>
      <w:marBottom w:val="0"/>
      <w:divBdr>
        <w:top w:val="none" w:sz="0" w:space="0" w:color="auto"/>
        <w:left w:val="none" w:sz="0" w:space="0" w:color="auto"/>
        <w:bottom w:val="none" w:sz="0" w:space="0" w:color="auto"/>
        <w:right w:val="none" w:sz="0" w:space="0" w:color="auto"/>
      </w:divBdr>
    </w:div>
    <w:div w:id="815998986">
      <w:bodyDiv w:val="1"/>
      <w:marLeft w:val="0"/>
      <w:marRight w:val="0"/>
      <w:marTop w:val="0"/>
      <w:marBottom w:val="0"/>
      <w:divBdr>
        <w:top w:val="none" w:sz="0" w:space="0" w:color="auto"/>
        <w:left w:val="none" w:sz="0" w:space="0" w:color="auto"/>
        <w:bottom w:val="none" w:sz="0" w:space="0" w:color="auto"/>
        <w:right w:val="none" w:sz="0" w:space="0" w:color="auto"/>
      </w:divBdr>
    </w:div>
    <w:div w:id="855340421">
      <w:bodyDiv w:val="1"/>
      <w:marLeft w:val="0"/>
      <w:marRight w:val="0"/>
      <w:marTop w:val="0"/>
      <w:marBottom w:val="0"/>
      <w:divBdr>
        <w:top w:val="none" w:sz="0" w:space="0" w:color="auto"/>
        <w:left w:val="none" w:sz="0" w:space="0" w:color="auto"/>
        <w:bottom w:val="none" w:sz="0" w:space="0" w:color="auto"/>
        <w:right w:val="none" w:sz="0" w:space="0" w:color="auto"/>
      </w:divBdr>
    </w:div>
    <w:div w:id="862595549">
      <w:bodyDiv w:val="1"/>
      <w:marLeft w:val="0"/>
      <w:marRight w:val="0"/>
      <w:marTop w:val="0"/>
      <w:marBottom w:val="0"/>
      <w:divBdr>
        <w:top w:val="none" w:sz="0" w:space="0" w:color="auto"/>
        <w:left w:val="none" w:sz="0" w:space="0" w:color="auto"/>
        <w:bottom w:val="none" w:sz="0" w:space="0" w:color="auto"/>
        <w:right w:val="none" w:sz="0" w:space="0" w:color="auto"/>
      </w:divBdr>
    </w:div>
    <w:div w:id="883759583">
      <w:bodyDiv w:val="1"/>
      <w:marLeft w:val="0"/>
      <w:marRight w:val="0"/>
      <w:marTop w:val="0"/>
      <w:marBottom w:val="0"/>
      <w:divBdr>
        <w:top w:val="none" w:sz="0" w:space="0" w:color="auto"/>
        <w:left w:val="none" w:sz="0" w:space="0" w:color="auto"/>
        <w:bottom w:val="none" w:sz="0" w:space="0" w:color="auto"/>
        <w:right w:val="none" w:sz="0" w:space="0" w:color="auto"/>
      </w:divBdr>
    </w:div>
    <w:div w:id="903637825">
      <w:bodyDiv w:val="1"/>
      <w:marLeft w:val="0"/>
      <w:marRight w:val="0"/>
      <w:marTop w:val="0"/>
      <w:marBottom w:val="0"/>
      <w:divBdr>
        <w:top w:val="none" w:sz="0" w:space="0" w:color="auto"/>
        <w:left w:val="none" w:sz="0" w:space="0" w:color="auto"/>
        <w:bottom w:val="none" w:sz="0" w:space="0" w:color="auto"/>
        <w:right w:val="none" w:sz="0" w:space="0" w:color="auto"/>
      </w:divBdr>
    </w:div>
    <w:div w:id="914778966">
      <w:bodyDiv w:val="1"/>
      <w:marLeft w:val="0"/>
      <w:marRight w:val="0"/>
      <w:marTop w:val="0"/>
      <w:marBottom w:val="0"/>
      <w:divBdr>
        <w:top w:val="none" w:sz="0" w:space="0" w:color="auto"/>
        <w:left w:val="none" w:sz="0" w:space="0" w:color="auto"/>
        <w:bottom w:val="none" w:sz="0" w:space="0" w:color="auto"/>
        <w:right w:val="none" w:sz="0" w:space="0" w:color="auto"/>
      </w:divBdr>
    </w:div>
    <w:div w:id="958217177">
      <w:bodyDiv w:val="1"/>
      <w:marLeft w:val="0"/>
      <w:marRight w:val="0"/>
      <w:marTop w:val="0"/>
      <w:marBottom w:val="0"/>
      <w:divBdr>
        <w:top w:val="none" w:sz="0" w:space="0" w:color="auto"/>
        <w:left w:val="none" w:sz="0" w:space="0" w:color="auto"/>
        <w:bottom w:val="none" w:sz="0" w:space="0" w:color="auto"/>
        <w:right w:val="none" w:sz="0" w:space="0" w:color="auto"/>
      </w:divBdr>
    </w:div>
    <w:div w:id="971325675">
      <w:bodyDiv w:val="1"/>
      <w:marLeft w:val="0"/>
      <w:marRight w:val="0"/>
      <w:marTop w:val="0"/>
      <w:marBottom w:val="0"/>
      <w:divBdr>
        <w:top w:val="none" w:sz="0" w:space="0" w:color="auto"/>
        <w:left w:val="none" w:sz="0" w:space="0" w:color="auto"/>
        <w:bottom w:val="none" w:sz="0" w:space="0" w:color="auto"/>
        <w:right w:val="none" w:sz="0" w:space="0" w:color="auto"/>
      </w:divBdr>
    </w:div>
    <w:div w:id="978919423">
      <w:bodyDiv w:val="1"/>
      <w:marLeft w:val="0"/>
      <w:marRight w:val="0"/>
      <w:marTop w:val="0"/>
      <w:marBottom w:val="0"/>
      <w:divBdr>
        <w:top w:val="none" w:sz="0" w:space="0" w:color="auto"/>
        <w:left w:val="none" w:sz="0" w:space="0" w:color="auto"/>
        <w:bottom w:val="none" w:sz="0" w:space="0" w:color="auto"/>
        <w:right w:val="none" w:sz="0" w:space="0" w:color="auto"/>
      </w:divBdr>
    </w:div>
    <w:div w:id="1006325011">
      <w:bodyDiv w:val="1"/>
      <w:marLeft w:val="0"/>
      <w:marRight w:val="0"/>
      <w:marTop w:val="0"/>
      <w:marBottom w:val="0"/>
      <w:divBdr>
        <w:top w:val="none" w:sz="0" w:space="0" w:color="auto"/>
        <w:left w:val="none" w:sz="0" w:space="0" w:color="auto"/>
        <w:bottom w:val="none" w:sz="0" w:space="0" w:color="auto"/>
        <w:right w:val="none" w:sz="0" w:space="0" w:color="auto"/>
      </w:divBdr>
    </w:div>
    <w:div w:id="1087001069">
      <w:bodyDiv w:val="1"/>
      <w:marLeft w:val="0"/>
      <w:marRight w:val="0"/>
      <w:marTop w:val="0"/>
      <w:marBottom w:val="0"/>
      <w:divBdr>
        <w:top w:val="none" w:sz="0" w:space="0" w:color="auto"/>
        <w:left w:val="none" w:sz="0" w:space="0" w:color="auto"/>
        <w:bottom w:val="none" w:sz="0" w:space="0" w:color="auto"/>
        <w:right w:val="none" w:sz="0" w:space="0" w:color="auto"/>
      </w:divBdr>
    </w:div>
    <w:div w:id="1107235512">
      <w:bodyDiv w:val="1"/>
      <w:marLeft w:val="0"/>
      <w:marRight w:val="0"/>
      <w:marTop w:val="0"/>
      <w:marBottom w:val="0"/>
      <w:divBdr>
        <w:top w:val="none" w:sz="0" w:space="0" w:color="auto"/>
        <w:left w:val="none" w:sz="0" w:space="0" w:color="auto"/>
        <w:bottom w:val="none" w:sz="0" w:space="0" w:color="auto"/>
        <w:right w:val="none" w:sz="0" w:space="0" w:color="auto"/>
      </w:divBdr>
      <w:divsChild>
        <w:div w:id="653029179">
          <w:marLeft w:val="0"/>
          <w:marRight w:val="0"/>
          <w:marTop w:val="0"/>
          <w:marBottom w:val="0"/>
          <w:divBdr>
            <w:top w:val="none" w:sz="0" w:space="0" w:color="auto"/>
            <w:left w:val="none" w:sz="0" w:space="0" w:color="auto"/>
            <w:bottom w:val="none" w:sz="0" w:space="0" w:color="auto"/>
            <w:right w:val="none" w:sz="0" w:space="0" w:color="auto"/>
          </w:divBdr>
          <w:divsChild>
            <w:div w:id="768431358">
              <w:marLeft w:val="0"/>
              <w:marRight w:val="0"/>
              <w:marTop w:val="0"/>
              <w:marBottom w:val="0"/>
              <w:divBdr>
                <w:top w:val="none" w:sz="0" w:space="0" w:color="auto"/>
                <w:left w:val="none" w:sz="0" w:space="0" w:color="auto"/>
                <w:bottom w:val="none" w:sz="0" w:space="0" w:color="auto"/>
                <w:right w:val="none" w:sz="0" w:space="0" w:color="auto"/>
              </w:divBdr>
              <w:divsChild>
                <w:div w:id="600725538">
                  <w:marLeft w:val="0"/>
                  <w:marRight w:val="0"/>
                  <w:marTop w:val="0"/>
                  <w:marBottom w:val="0"/>
                  <w:divBdr>
                    <w:top w:val="none" w:sz="0" w:space="0" w:color="auto"/>
                    <w:left w:val="none" w:sz="0" w:space="0" w:color="auto"/>
                    <w:bottom w:val="none" w:sz="0" w:space="0" w:color="auto"/>
                    <w:right w:val="none" w:sz="0" w:space="0" w:color="auto"/>
                  </w:divBdr>
                  <w:divsChild>
                    <w:div w:id="2102749636">
                      <w:marLeft w:val="0"/>
                      <w:marRight w:val="0"/>
                      <w:marTop w:val="0"/>
                      <w:marBottom w:val="0"/>
                      <w:divBdr>
                        <w:top w:val="none" w:sz="0" w:space="0" w:color="auto"/>
                        <w:left w:val="none" w:sz="0" w:space="0" w:color="auto"/>
                        <w:bottom w:val="none" w:sz="0" w:space="0" w:color="auto"/>
                        <w:right w:val="none" w:sz="0" w:space="0" w:color="auto"/>
                      </w:divBdr>
                      <w:divsChild>
                        <w:div w:id="665714901">
                          <w:marLeft w:val="0"/>
                          <w:marRight w:val="0"/>
                          <w:marTop w:val="0"/>
                          <w:marBottom w:val="0"/>
                          <w:divBdr>
                            <w:top w:val="none" w:sz="0" w:space="0" w:color="auto"/>
                            <w:left w:val="none" w:sz="0" w:space="0" w:color="auto"/>
                            <w:bottom w:val="none" w:sz="0" w:space="0" w:color="auto"/>
                            <w:right w:val="none" w:sz="0" w:space="0" w:color="auto"/>
                          </w:divBdr>
                          <w:divsChild>
                            <w:div w:id="2098938035">
                              <w:marLeft w:val="0"/>
                              <w:marRight w:val="0"/>
                              <w:marTop w:val="0"/>
                              <w:marBottom w:val="0"/>
                              <w:divBdr>
                                <w:top w:val="none" w:sz="0" w:space="0" w:color="auto"/>
                                <w:left w:val="none" w:sz="0" w:space="0" w:color="auto"/>
                                <w:bottom w:val="none" w:sz="0" w:space="0" w:color="auto"/>
                                <w:right w:val="none" w:sz="0" w:space="0" w:color="auto"/>
                              </w:divBdr>
                              <w:divsChild>
                                <w:div w:id="216280424">
                                  <w:marLeft w:val="0"/>
                                  <w:marRight w:val="0"/>
                                  <w:marTop w:val="30"/>
                                  <w:marBottom w:val="2250"/>
                                  <w:divBdr>
                                    <w:top w:val="none" w:sz="0" w:space="0" w:color="auto"/>
                                    <w:left w:val="none" w:sz="0" w:space="0" w:color="auto"/>
                                    <w:bottom w:val="none" w:sz="0" w:space="0" w:color="auto"/>
                                    <w:right w:val="none" w:sz="0" w:space="0" w:color="auto"/>
                                  </w:divBdr>
                                  <w:divsChild>
                                    <w:div w:id="87777170">
                                      <w:marLeft w:val="0"/>
                                      <w:marRight w:val="0"/>
                                      <w:marTop w:val="0"/>
                                      <w:marBottom w:val="0"/>
                                      <w:divBdr>
                                        <w:top w:val="none" w:sz="0" w:space="0" w:color="auto"/>
                                        <w:left w:val="none" w:sz="0" w:space="0" w:color="auto"/>
                                        <w:bottom w:val="none" w:sz="0" w:space="0" w:color="auto"/>
                                        <w:right w:val="none" w:sz="0" w:space="0" w:color="auto"/>
                                      </w:divBdr>
                                      <w:divsChild>
                                        <w:div w:id="139658020">
                                          <w:marLeft w:val="0"/>
                                          <w:marRight w:val="0"/>
                                          <w:marTop w:val="0"/>
                                          <w:marBottom w:val="0"/>
                                          <w:divBdr>
                                            <w:top w:val="none" w:sz="0" w:space="0" w:color="auto"/>
                                            <w:left w:val="none" w:sz="0" w:space="0" w:color="auto"/>
                                            <w:bottom w:val="none" w:sz="0" w:space="0" w:color="auto"/>
                                            <w:right w:val="none" w:sz="0" w:space="0" w:color="auto"/>
                                          </w:divBdr>
                                          <w:divsChild>
                                            <w:div w:id="1138648184">
                                              <w:marLeft w:val="0"/>
                                              <w:marRight w:val="0"/>
                                              <w:marTop w:val="0"/>
                                              <w:marBottom w:val="0"/>
                                              <w:divBdr>
                                                <w:top w:val="none" w:sz="0" w:space="0" w:color="auto"/>
                                                <w:left w:val="none" w:sz="0" w:space="0" w:color="auto"/>
                                                <w:bottom w:val="none" w:sz="0" w:space="0" w:color="auto"/>
                                                <w:right w:val="none" w:sz="0" w:space="0" w:color="auto"/>
                                              </w:divBdr>
                                              <w:divsChild>
                                                <w:div w:id="1187602043">
                                                  <w:marLeft w:val="0"/>
                                                  <w:marRight w:val="0"/>
                                                  <w:marTop w:val="0"/>
                                                  <w:marBottom w:val="0"/>
                                                  <w:divBdr>
                                                    <w:top w:val="none" w:sz="0" w:space="0" w:color="auto"/>
                                                    <w:left w:val="none" w:sz="0" w:space="0" w:color="auto"/>
                                                    <w:bottom w:val="none" w:sz="0" w:space="0" w:color="auto"/>
                                                    <w:right w:val="none" w:sz="0" w:space="0" w:color="auto"/>
                                                  </w:divBdr>
                                                  <w:divsChild>
                                                    <w:div w:id="355471183">
                                                      <w:marLeft w:val="0"/>
                                                      <w:marRight w:val="0"/>
                                                      <w:marTop w:val="150"/>
                                                      <w:marBottom w:val="375"/>
                                                      <w:divBdr>
                                                        <w:top w:val="none" w:sz="0" w:space="0" w:color="auto"/>
                                                        <w:left w:val="none" w:sz="0" w:space="0" w:color="auto"/>
                                                        <w:bottom w:val="none" w:sz="0" w:space="0" w:color="auto"/>
                                                        <w:right w:val="none" w:sz="0" w:space="0" w:color="auto"/>
                                                      </w:divBdr>
                                                      <w:divsChild>
                                                        <w:div w:id="747119842">
                                                          <w:marLeft w:val="0"/>
                                                          <w:marRight w:val="0"/>
                                                          <w:marTop w:val="0"/>
                                                          <w:marBottom w:val="0"/>
                                                          <w:divBdr>
                                                            <w:top w:val="none" w:sz="0" w:space="0" w:color="auto"/>
                                                            <w:left w:val="none" w:sz="0" w:space="0" w:color="auto"/>
                                                            <w:bottom w:val="none" w:sz="0" w:space="0" w:color="auto"/>
                                                            <w:right w:val="none" w:sz="0" w:space="0" w:color="auto"/>
                                                          </w:divBdr>
                                                          <w:divsChild>
                                                            <w:div w:id="503669558">
                                                              <w:marLeft w:val="0"/>
                                                              <w:marRight w:val="0"/>
                                                              <w:marTop w:val="0"/>
                                                              <w:marBottom w:val="120"/>
                                                              <w:divBdr>
                                                                <w:top w:val="none" w:sz="0" w:space="0" w:color="auto"/>
                                                                <w:left w:val="none" w:sz="0" w:space="0" w:color="auto"/>
                                                                <w:bottom w:val="none" w:sz="0" w:space="0" w:color="auto"/>
                                                                <w:right w:val="none" w:sz="0" w:space="0" w:color="auto"/>
                                                              </w:divBdr>
                                                              <w:divsChild>
                                                                <w:div w:id="1968126791">
                                                                  <w:marLeft w:val="0"/>
                                                                  <w:marRight w:val="0"/>
                                                                  <w:marTop w:val="0"/>
                                                                  <w:marBottom w:val="0"/>
                                                                  <w:divBdr>
                                                                    <w:top w:val="none" w:sz="0" w:space="0" w:color="auto"/>
                                                                    <w:left w:val="none" w:sz="0" w:space="0" w:color="auto"/>
                                                                    <w:bottom w:val="none" w:sz="0" w:space="0" w:color="auto"/>
                                                                    <w:right w:val="none" w:sz="0" w:space="0" w:color="auto"/>
                                                                  </w:divBdr>
                                                                  <w:divsChild>
                                                                    <w:div w:id="1031609305">
                                                                      <w:marLeft w:val="0"/>
                                                                      <w:marRight w:val="0"/>
                                                                      <w:marTop w:val="0"/>
                                                                      <w:marBottom w:val="0"/>
                                                                      <w:divBdr>
                                                                        <w:top w:val="none" w:sz="0" w:space="0" w:color="auto"/>
                                                                        <w:left w:val="none" w:sz="0" w:space="0" w:color="auto"/>
                                                                        <w:bottom w:val="none" w:sz="0" w:space="0" w:color="auto"/>
                                                                        <w:right w:val="none" w:sz="0" w:space="0" w:color="auto"/>
                                                                      </w:divBdr>
                                                                      <w:divsChild>
                                                                        <w:div w:id="69581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5993054">
      <w:bodyDiv w:val="1"/>
      <w:marLeft w:val="0"/>
      <w:marRight w:val="0"/>
      <w:marTop w:val="0"/>
      <w:marBottom w:val="0"/>
      <w:divBdr>
        <w:top w:val="none" w:sz="0" w:space="0" w:color="auto"/>
        <w:left w:val="none" w:sz="0" w:space="0" w:color="auto"/>
        <w:bottom w:val="none" w:sz="0" w:space="0" w:color="auto"/>
        <w:right w:val="none" w:sz="0" w:space="0" w:color="auto"/>
      </w:divBdr>
    </w:div>
    <w:div w:id="1209225123">
      <w:bodyDiv w:val="1"/>
      <w:marLeft w:val="0"/>
      <w:marRight w:val="0"/>
      <w:marTop w:val="0"/>
      <w:marBottom w:val="0"/>
      <w:divBdr>
        <w:top w:val="none" w:sz="0" w:space="0" w:color="auto"/>
        <w:left w:val="none" w:sz="0" w:space="0" w:color="auto"/>
        <w:bottom w:val="none" w:sz="0" w:space="0" w:color="auto"/>
        <w:right w:val="none" w:sz="0" w:space="0" w:color="auto"/>
      </w:divBdr>
    </w:div>
    <w:div w:id="1210145135">
      <w:bodyDiv w:val="1"/>
      <w:marLeft w:val="0"/>
      <w:marRight w:val="0"/>
      <w:marTop w:val="0"/>
      <w:marBottom w:val="0"/>
      <w:divBdr>
        <w:top w:val="none" w:sz="0" w:space="0" w:color="auto"/>
        <w:left w:val="none" w:sz="0" w:space="0" w:color="auto"/>
        <w:bottom w:val="none" w:sz="0" w:space="0" w:color="auto"/>
        <w:right w:val="none" w:sz="0" w:space="0" w:color="auto"/>
      </w:divBdr>
    </w:div>
    <w:div w:id="1283347804">
      <w:bodyDiv w:val="1"/>
      <w:marLeft w:val="0"/>
      <w:marRight w:val="0"/>
      <w:marTop w:val="0"/>
      <w:marBottom w:val="0"/>
      <w:divBdr>
        <w:top w:val="none" w:sz="0" w:space="0" w:color="auto"/>
        <w:left w:val="none" w:sz="0" w:space="0" w:color="auto"/>
        <w:bottom w:val="none" w:sz="0" w:space="0" w:color="auto"/>
        <w:right w:val="none" w:sz="0" w:space="0" w:color="auto"/>
      </w:divBdr>
    </w:div>
    <w:div w:id="1375353865">
      <w:bodyDiv w:val="1"/>
      <w:marLeft w:val="0"/>
      <w:marRight w:val="0"/>
      <w:marTop w:val="0"/>
      <w:marBottom w:val="0"/>
      <w:divBdr>
        <w:top w:val="none" w:sz="0" w:space="0" w:color="auto"/>
        <w:left w:val="none" w:sz="0" w:space="0" w:color="auto"/>
        <w:bottom w:val="none" w:sz="0" w:space="0" w:color="auto"/>
        <w:right w:val="none" w:sz="0" w:space="0" w:color="auto"/>
      </w:divBdr>
    </w:div>
    <w:div w:id="1401950921">
      <w:bodyDiv w:val="1"/>
      <w:marLeft w:val="0"/>
      <w:marRight w:val="0"/>
      <w:marTop w:val="0"/>
      <w:marBottom w:val="0"/>
      <w:divBdr>
        <w:top w:val="none" w:sz="0" w:space="0" w:color="auto"/>
        <w:left w:val="none" w:sz="0" w:space="0" w:color="auto"/>
        <w:bottom w:val="none" w:sz="0" w:space="0" w:color="auto"/>
        <w:right w:val="none" w:sz="0" w:space="0" w:color="auto"/>
      </w:divBdr>
    </w:div>
    <w:div w:id="1436289696">
      <w:bodyDiv w:val="1"/>
      <w:marLeft w:val="0"/>
      <w:marRight w:val="0"/>
      <w:marTop w:val="0"/>
      <w:marBottom w:val="0"/>
      <w:divBdr>
        <w:top w:val="none" w:sz="0" w:space="0" w:color="auto"/>
        <w:left w:val="none" w:sz="0" w:space="0" w:color="auto"/>
        <w:bottom w:val="none" w:sz="0" w:space="0" w:color="auto"/>
        <w:right w:val="none" w:sz="0" w:space="0" w:color="auto"/>
      </w:divBdr>
    </w:div>
    <w:div w:id="1538153191">
      <w:bodyDiv w:val="1"/>
      <w:marLeft w:val="0"/>
      <w:marRight w:val="0"/>
      <w:marTop w:val="0"/>
      <w:marBottom w:val="0"/>
      <w:divBdr>
        <w:top w:val="none" w:sz="0" w:space="0" w:color="auto"/>
        <w:left w:val="none" w:sz="0" w:space="0" w:color="auto"/>
        <w:bottom w:val="none" w:sz="0" w:space="0" w:color="auto"/>
        <w:right w:val="none" w:sz="0" w:space="0" w:color="auto"/>
      </w:divBdr>
    </w:div>
    <w:div w:id="1572078641">
      <w:bodyDiv w:val="1"/>
      <w:marLeft w:val="0"/>
      <w:marRight w:val="0"/>
      <w:marTop w:val="0"/>
      <w:marBottom w:val="0"/>
      <w:divBdr>
        <w:top w:val="none" w:sz="0" w:space="0" w:color="auto"/>
        <w:left w:val="none" w:sz="0" w:space="0" w:color="auto"/>
        <w:bottom w:val="none" w:sz="0" w:space="0" w:color="auto"/>
        <w:right w:val="none" w:sz="0" w:space="0" w:color="auto"/>
      </w:divBdr>
    </w:div>
    <w:div w:id="1581714927">
      <w:bodyDiv w:val="1"/>
      <w:marLeft w:val="0"/>
      <w:marRight w:val="0"/>
      <w:marTop w:val="0"/>
      <w:marBottom w:val="0"/>
      <w:divBdr>
        <w:top w:val="none" w:sz="0" w:space="0" w:color="auto"/>
        <w:left w:val="none" w:sz="0" w:space="0" w:color="auto"/>
        <w:bottom w:val="none" w:sz="0" w:space="0" w:color="auto"/>
        <w:right w:val="none" w:sz="0" w:space="0" w:color="auto"/>
      </w:divBdr>
    </w:div>
    <w:div w:id="1606305908">
      <w:bodyDiv w:val="1"/>
      <w:marLeft w:val="0"/>
      <w:marRight w:val="0"/>
      <w:marTop w:val="0"/>
      <w:marBottom w:val="0"/>
      <w:divBdr>
        <w:top w:val="none" w:sz="0" w:space="0" w:color="auto"/>
        <w:left w:val="none" w:sz="0" w:space="0" w:color="auto"/>
        <w:bottom w:val="none" w:sz="0" w:space="0" w:color="auto"/>
        <w:right w:val="none" w:sz="0" w:space="0" w:color="auto"/>
      </w:divBdr>
    </w:div>
    <w:div w:id="1660037952">
      <w:bodyDiv w:val="1"/>
      <w:marLeft w:val="0"/>
      <w:marRight w:val="0"/>
      <w:marTop w:val="0"/>
      <w:marBottom w:val="0"/>
      <w:divBdr>
        <w:top w:val="none" w:sz="0" w:space="0" w:color="auto"/>
        <w:left w:val="none" w:sz="0" w:space="0" w:color="auto"/>
        <w:bottom w:val="none" w:sz="0" w:space="0" w:color="auto"/>
        <w:right w:val="none" w:sz="0" w:space="0" w:color="auto"/>
      </w:divBdr>
    </w:div>
    <w:div w:id="1832208781">
      <w:bodyDiv w:val="1"/>
      <w:marLeft w:val="0"/>
      <w:marRight w:val="0"/>
      <w:marTop w:val="0"/>
      <w:marBottom w:val="0"/>
      <w:divBdr>
        <w:top w:val="none" w:sz="0" w:space="0" w:color="auto"/>
        <w:left w:val="none" w:sz="0" w:space="0" w:color="auto"/>
        <w:bottom w:val="none" w:sz="0" w:space="0" w:color="auto"/>
        <w:right w:val="none" w:sz="0" w:space="0" w:color="auto"/>
      </w:divBdr>
    </w:div>
    <w:div w:id="1841189066">
      <w:bodyDiv w:val="1"/>
      <w:marLeft w:val="0"/>
      <w:marRight w:val="0"/>
      <w:marTop w:val="0"/>
      <w:marBottom w:val="0"/>
      <w:divBdr>
        <w:top w:val="none" w:sz="0" w:space="0" w:color="auto"/>
        <w:left w:val="none" w:sz="0" w:space="0" w:color="auto"/>
        <w:bottom w:val="none" w:sz="0" w:space="0" w:color="auto"/>
        <w:right w:val="none" w:sz="0" w:space="0" w:color="auto"/>
      </w:divBdr>
    </w:div>
    <w:div w:id="1955208613">
      <w:bodyDiv w:val="1"/>
      <w:marLeft w:val="0"/>
      <w:marRight w:val="0"/>
      <w:marTop w:val="0"/>
      <w:marBottom w:val="0"/>
      <w:divBdr>
        <w:top w:val="none" w:sz="0" w:space="0" w:color="auto"/>
        <w:left w:val="none" w:sz="0" w:space="0" w:color="auto"/>
        <w:bottom w:val="none" w:sz="0" w:space="0" w:color="auto"/>
        <w:right w:val="none" w:sz="0" w:space="0" w:color="auto"/>
      </w:divBdr>
    </w:div>
    <w:div w:id="1970088177">
      <w:bodyDiv w:val="1"/>
      <w:marLeft w:val="0"/>
      <w:marRight w:val="0"/>
      <w:marTop w:val="0"/>
      <w:marBottom w:val="0"/>
      <w:divBdr>
        <w:top w:val="none" w:sz="0" w:space="0" w:color="auto"/>
        <w:left w:val="none" w:sz="0" w:space="0" w:color="auto"/>
        <w:bottom w:val="none" w:sz="0" w:space="0" w:color="auto"/>
        <w:right w:val="none" w:sz="0" w:space="0" w:color="auto"/>
      </w:divBdr>
    </w:div>
    <w:div w:id="1998993635">
      <w:bodyDiv w:val="1"/>
      <w:marLeft w:val="0"/>
      <w:marRight w:val="0"/>
      <w:marTop w:val="0"/>
      <w:marBottom w:val="0"/>
      <w:divBdr>
        <w:top w:val="none" w:sz="0" w:space="0" w:color="auto"/>
        <w:left w:val="none" w:sz="0" w:space="0" w:color="auto"/>
        <w:bottom w:val="none" w:sz="0" w:space="0" w:color="auto"/>
        <w:right w:val="none" w:sz="0" w:space="0" w:color="auto"/>
      </w:divBdr>
    </w:div>
    <w:div w:id="2025087811">
      <w:bodyDiv w:val="1"/>
      <w:marLeft w:val="0"/>
      <w:marRight w:val="0"/>
      <w:marTop w:val="0"/>
      <w:marBottom w:val="0"/>
      <w:divBdr>
        <w:top w:val="none" w:sz="0" w:space="0" w:color="auto"/>
        <w:left w:val="none" w:sz="0" w:space="0" w:color="auto"/>
        <w:bottom w:val="none" w:sz="0" w:space="0" w:color="auto"/>
        <w:right w:val="none" w:sz="0" w:space="0" w:color="auto"/>
      </w:divBdr>
    </w:div>
    <w:div w:id="213498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ldefense.proofpoint.com/v2/url?u=https-3A__www.oenb.at_isaweb_report.do-3Flang-3DEN-26report-3D3.78&amp;d=DwMGaQ&amp;c=SgupRstEQHpxMBBZGflc53FptCkuYd-P8O27DFHVMzE&amp;r=u1_WR73x5qdJNTj_yJuuvA&amp;m=604cElMila7JlMXji_W38EWRuBvROMPkl9J7KyvCYxo&amp;s=VnjO7JxwzAwBBNfN-R5S4HuQ5SC_YgtLr9BopUqHu90&amp;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snb.ch/n/mmr/reference/minutes_20200929/source/minutes_20200929.n.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6f62f1a-a3dd-48c4-9ef0-a8a094946c18"/>
    <LikesCount xmlns="http://schemas.microsoft.com/sharepoint/v3" xsi:nil="true"/>
    <SitHitCounter xmlns="9b3a2ca8-bcf9-496e-bcb5-c9e9b06c4350" xsi:nil="true"/>
    <Ratings xmlns="http://schemas.microsoft.com/sharepoint/v3" xsi:nil="true"/>
    <pf503e957d274e52aa7c4d5491437d63 xmlns="9b3a2ca8-bcf9-496e-bcb5-c9e9b06c4350">
      <Terms xmlns="http://schemas.microsoft.com/office/infopath/2007/PartnerControls"/>
    </pf503e957d274e52aa7c4d5491437d63>
    <LikedBy xmlns="http://schemas.microsoft.com/sharepoint/v3">
      <UserInfo>
        <DisplayName/>
        <AccountId xsi:nil="true"/>
        <AccountType/>
      </UserInfo>
    </LikedBy>
    <SitActions xmlns="9b3a2ca8-bcf9-496e-bcb5-c9e9b06c4350" xsi:nil="true"/>
    <SitNewComment xmlns="9b3a2ca8-bcf9-496e-bcb5-c9e9b06c4350" xsi:nil="true"/>
    <RatedBy xmlns="http://schemas.microsoft.com/sharepoint/v3">
      <UserInfo>
        <DisplayName/>
        <AccountId xsi:nil="true"/>
        <AccountType/>
      </UserInfo>
    </RatedBy>
  </documentManagement>
</p:properties>
</file>

<file path=customXml/item4.xml><?xml version="1.0" encoding="utf-8"?>
<ct:contentTypeSchema xmlns:ct="http://schemas.microsoft.com/office/2006/metadata/contentType" xmlns:ma="http://schemas.microsoft.com/office/2006/metadata/properties/metaAttributes" ct:_="" ma:_="" ma:contentTypeName="sIT Document" ma:contentTypeID="0x010100AAF0F2E158F258408DD22213B1E67F5300F5880A8A557C7747A1F7E746E309BD43" ma:contentTypeVersion="9" ma:contentTypeDescription="Millennium Document" ma:contentTypeScope="" ma:versionID="4f4cf9b3a59addf8e868e590c127cb18">
  <xsd:schema xmlns:xsd="http://www.w3.org/2001/XMLSchema" xmlns:xs="http://www.w3.org/2001/XMLSchema" xmlns:p="http://schemas.microsoft.com/office/2006/metadata/properties" xmlns:ns1="http://schemas.microsoft.com/sharepoint/v3" xmlns:ns2="9b3a2ca8-bcf9-496e-bcb5-c9e9b06c4350" xmlns:ns3="c6f62f1a-a3dd-48c4-9ef0-a8a094946c18" targetNamespace="http://schemas.microsoft.com/office/2006/metadata/properties" ma:root="true" ma:fieldsID="4d2e585436e2869e1cd6c2f420f276f3" ns1:_="" ns2:_="" ns3:_="">
    <xsd:import namespace="http://schemas.microsoft.com/sharepoint/v3"/>
    <xsd:import namespace="9b3a2ca8-bcf9-496e-bcb5-c9e9b06c4350"/>
    <xsd:import namespace="c6f62f1a-a3dd-48c4-9ef0-a8a094946c18"/>
    <xsd:element name="properties">
      <xsd:complexType>
        <xsd:sequence>
          <xsd:element name="documentManagement">
            <xsd:complexType>
              <xsd:all>
                <xsd:element ref="ns2:SitNewComment" minOccurs="0"/>
                <xsd:element ref="ns2:SitActions" minOccurs="0"/>
                <xsd:element ref="ns2:pf503e957d274e52aa7c4d5491437d63" minOccurs="0"/>
                <xsd:element ref="ns3:TaxCatchAll" minOccurs="0"/>
                <xsd:element ref="ns3:TaxCatchAllLabel" minOccurs="0"/>
                <xsd:element ref="ns1:AverageRating" minOccurs="0"/>
                <xsd:element ref="ns1:RatingCount" minOccurs="0"/>
                <xsd:element ref="ns1:RatedBy" minOccurs="0"/>
                <xsd:element ref="ns1:Ratings" minOccurs="0"/>
                <xsd:element ref="ns1:LikesCount" minOccurs="0"/>
                <xsd:element ref="ns1:LikedBy" minOccurs="0"/>
                <xsd:element ref="ns2:SitHitCoun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4" nillable="true" ma:displayName="Rating (0-5)" ma:decimals="2" ma:description="Average value of all the ratings that have been submitted" ma:internalName="AverageRating" ma:readOnly="true">
      <xsd:simpleType>
        <xsd:restriction base="dms:Number"/>
      </xsd:simpleType>
    </xsd:element>
    <xsd:element name="RatingCount" ma:index="15" nillable="true" ma:displayName="Number of Ratings" ma:decimals="0" ma:description="Number of ratings submitted" ma:internalName="RatingCount" ma:readOnly="true">
      <xsd:simpleType>
        <xsd:restriction base="dms:Number"/>
      </xsd:simpleType>
    </xsd:element>
    <xsd:element name="RatedBy" ma:index="16"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7" nillable="true" ma:displayName="User ratings" ma:description="User ratings for the item" ma:hidden="true" ma:internalName="Ratings">
      <xsd:simpleType>
        <xsd:restriction base="dms:Note"/>
      </xsd:simpleType>
    </xsd:element>
    <xsd:element name="LikesCount" ma:index="18" nillable="true" ma:displayName="Likes" ma:internalName="LikesCount">
      <xsd:simpleType>
        <xsd:restriction base="dms:Unknown"/>
      </xsd:simpleType>
    </xsd:element>
    <xsd:element name="LikedBy" ma:index="19"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b3a2ca8-bcf9-496e-bcb5-c9e9b06c4350" elementFormDefault="qualified">
    <xsd:import namespace="http://schemas.microsoft.com/office/2006/documentManagement/types"/>
    <xsd:import namespace="http://schemas.microsoft.com/office/infopath/2007/PartnerControls"/>
    <xsd:element name="SitNewComment" ma:index="8" nillable="true" ma:displayName="New Comment" ma:internalName="SitNewComment">
      <xsd:simpleType>
        <xsd:restriction base="dms:Note">
          <xsd:maxLength value="255"/>
        </xsd:restriction>
      </xsd:simpleType>
    </xsd:element>
    <xsd:element name="SitActions" ma:index="9" nillable="true" ma:displayName="Actions" ma:internalName="SitActions">
      <xsd:simpleType>
        <xsd:restriction base="dms:Text">
          <xsd:maxLength value="200"/>
        </xsd:restriction>
      </xsd:simpleType>
    </xsd:element>
    <xsd:element name="pf503e957d274e52aa7c4d5491437d63" ma:index="10" nillable="true" ma:taxonomy="true" ma:internalName="pf503e957d274e52aa7c4d5491437d63" ma:taxonomyFieldName="TeamTags" ma:displayName="Tags" ma:fieldId="{9f503e95-7d27-4e52-aa7c-4d5491437d63}" ma:taxonomyMulti="true" ma:sspId="50bf9b5b-3c12-40f9-a8b7-e6cd0afe1eb4" ma:termSetId="4f3d57e1-21de-4753-bafe-4e3ca7d88c77" ma:anchorId="00000000-0000-0000-0000-000000000000" ma:open="true" ma:isKeyword="false">
      <xsd:complexType>
        <xsd:sequence>
          <xsd:element ref="pc:Terms" minOccurs="0" maxOccurs="1"/>
        </xsd:sequence>
      </xsd:complexType>
    </xsd:element>
    <xsd:element name="SitHitCounter" ma:index="20" nillable="true" ma:displayName="Views" ma:internalName="SitHitCounter">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c6f62f1a-a3dd-48c4-9ef0-a8a094946c18"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CACDCBFC-9C97-4BE5-A25C-8318B7825560}" ma:internalName="TaxCatchAll" ma:showField="CatchAllData" ma:web="{9b3a2ca8-bcf9-496e-bcb5-c9e9b06c435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CACDCBFC-9C97-4BE5-A25C-8318B7825560}" ma:internalName="TaxCatchAllLabel" ma:readOnly="true" ma:showField="CatchAllDataLabel" ma:web="{9b3a2ca8-bcf9-496e-bcb5-c9e9b06c43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3FAEC7-22E6-41E0-A767-1220BF04C522}">
  <ds:schemaRefs>
    <ds:schemaRef ds:uri="http://schemas.openxmlformats.org/officeDocument/2006/bibliography"/>
  </ds:schemaRefs>
</ds:datastoreItem>
</file>

<file path=customXml/itemProps2.xml><?xml version="1.0" encoding="utf-8"?>
<ds:datastoreItem xmlns:ds="http://schemas.openxmlformats.org/officeDocument/2006/customXml" ds:itemID="{E46937C4-3A16-4EEE-8D62-20505D42DF6E}">
  <ds:schemaRefs>
    <ds:schemaRef ds:uri="http://schemas.microsoft.com/sharepoint/v3/contenttype/forms"/>
  </ds:schemaRefs>
</ds:datastoreItem>
</file>

<file path=customXml/itemProps3.xml><?xml version="1.0" encoding="utf-8"?>
<ds:datastoreItem xmlns:ds="http://schemas.openxmlformats.org/officeDocument/2006/customXml" ds:itemID="{6928F8FE-EAFE-4610-B078-BA34EEFEE39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c6f62f1a-a3dd-48c4-9ef0-a8a094946c18"/>
    <ds:schemaRef ds:uri="9b3a2ca8-bcf9-496e-bcb5-c9e9b06c4350"/>
    <ds:schemaRef ds:uri="http://www.w3.org/XML/1998/namespace"/>
    <ds:schemaRef ds:uri="http://purl.org/dc/dcmitype/"/>
  </ds:schemaRefs>
</ds:datastoreItem>
</file>

<file path=customXml/itemProps4.xml><?xml version="1.0" encoding="utf-8"?>
<ds:datastoreItem xmlns:ds="http://schemas.openxmlformats.org/officeDocument/2006/customXml" ds:itemID="{E0DE0C05-DC72-4DBA-9819-2C206BF02D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b3a2ca8-bcf9-496e-bcb5-c9e9b06c4350"/>
    <ds:schemaRef ds:uri="c6f62f1a-a3dd-48c4-9ef0-a8a094946c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2653</Words>
  <Characters>14443</Characters>
  <Application>Microsoft Office Word</Application>
  <DocSecurity>0</DocSecurity>
  <Lines>120</Lines>
  <Paragraphs>34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Translation: www.brainstorm.at</vt:lpstr>
      <vt:lpstr>Translation: www.brainstorm.at</vt:lpstr>
    </vt:vector>
  </TitlesOfParts>
  <Company>Translation: www.brainstorm.at</Company>
  <LinksUpToDate>false</LinksUpToDate>
  <CharactersWithSpaces>17062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Translation: www.brainstorm.at</dc:title>
  <dc:creator>Manuela Bruck</dc:creator>
  <dc:description>Translation: www.brainstorm.at</dc:description>
  <cp:lastModifiedBy>Horvath Philipp, BSC, LL.M., LL.B., WKÖ BSBV</cp:lastModifiedBy>
  <cp:revision>3</cp:revision>
  <cp:lastPrinted>2015-09-30T08:11:00Z</cp:lastPrinted>
  <dcterms:created xsi:type="dcterms:W3CDTF">2021-05-04T07:29:00Z</dcterms:created>
  <dcterms:modified xsi:type="dcterms:W3CDTF">2021-05-04T07:34:00Z</dcterms:modified>
  <cp:category>Translation: www.brainstorm.at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ion">
    <vt:lpwstr>Translation: www.brainstorm.at</vt:lpwstr>
  </property>
  <property fmtid="{D5CDD505-2E9C-101B-9397-08002B2CF9AE}" pid="3" name="MSIP_Label_38939b85-7e40-4a1d-91e1-0e84c3b219d7_Enabled">
    <vt:lpwstr>True</vt:lpwstr>
  </property>
  <property fmtid="{D5CDD505-2E9C-101B-9397-08002B2CF9AE}" pid="4" name="MSIP_Label_38939b85-7e40-4a1d-91e1-0e84c3b219d7_SiteId">
    <vt:lpwstr>3ad0376a-54d3-49a6-9e20-52de0a92fc89</vt:lpwstr>
  </property>
  <property fmtid="{D5CDD505-2E9C-101B-9397-08002B2CF9AE}" pid="5" name="MSIP_Label_38939b85-7e40-4a1d-91e1-0e84c3b219d7_Owner">
    <vt:lpwstr>A969H6B@s-mxs.net</vt:lpwstr>
  </property>
  <property fmtid="{D5CDD505-2E9C-101B-9397-08002B2CF9AE}" pid="6" name="MSIP_Label_38939b85-7e40-4a1d-91e1-0e84c3b219d7_SetDate">
    <vt:lpwstr>2021-04-29T20:30:10.0760413Z</vt:lpwstr>
  </property>
  <property fmtid="{D5CDD505-2E9C-101B-9397-08002B2CF9AE}" pid="7" name="MSIP_Label_38939b85-7e40-4a1d-91e1-0e84c3b219d7_Name">
    <vt:lpwstr>Internal</vt:lpwstr>
  </property>
  <property fmtid="{D5CDD505-2E9C-101B-9397-08002B2CF9AE}" pid="8" name="MSIP_Label_38939b85-7e40-4a1d-91e1-0e84c3b219d7_Application">
    <vt:lpwstr>Microsoft Azure Information Protection</vt:lpwstr>
  </property>
  <property fmtid="{D5CDD505-2E9C-101B-9397-08002B2CF9AE}" pid="9" name="MSIP_Label_38939b85-7e40-4a1d-91e1-0e84c3b219d7_ActionId">
    <vt:lpwstr>b086f7e2-c16c-4c07-99f5-b62677c57d33</vt:lpwstr>
  </property>
  <property fmtid="{D5CDD505-2E9C-101B-9397-08002B2CF9AE}" pid="10" name="MSIP_Label_38939b85-7e40-4a1d-91e1-0e84c3b219d7_Extended_MSFT_Method">
    <vt:lpwstr>Automatic</vt:lpwstr>
  </property>
  <property fmtid="{D5CDD505-2E9C-101B-9397-08002B2CF9AE}" pid="11" name="Sensitivity">
    <vt:lpwstr>Internal</vt:lpwstr>
  </property>
  <property fmtid="{D5CDD505-2E9C-101B-9397-08002B2CF9AE}" pid="12" name="ContentTypeId">
    <vt:lpwstr>0x010100AAF0F2E158F258408DD22213B1E67F5300F5880A8A557C7747A1F7E746E309BD43</vt:lpwstr>
  </property>
  <property fmtid="{D5CDD505-2E9C-101B-9397-08002B2CF9AE}" pid="13" name="TeamTags">
    <vt:lpwstr/>
  </property>
</Properties>
</file>