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56A90" w14:textId="0EA1739B" w:rsidR="00257683" w:rsidRPr="00C51D52" w:rsidRDefault="00257683" w:rsidP="00257683">
      <w:pPr>
        <w:pStyle w:val="Heading2"/>
        <w:rPr>
          <w:lang w:val="en-GB"/>
        </w:rPr>
      </w:pPr>
      <w:bookmarkStart w:id="0" w:name="_Hlk117162658"/>
      <w:r w:rsidRPr="00C51D52">
        <w:t xml:space="preserve">SFC </w:t>
      </w:r>
      <w:bookmarkEnd w:id="0"/>
      <w:r w:rsidRPr="00C51D52">
        <w:t xml:space="preserve">Response to the </w:t>
      </w:r>
      <w:r w:rsidR="009A1FA8" w:rsidRPr="00C51D52">
        <w:t>European Commission’s NBFI consultation</w:t>
      </w:r>
    </w:p>
    <w:p w14:paraId="04B67368" w14:textId="667D2575" w:rsidR="00257683" w:rsidRPr="00C51D52" w:rsidRDefault="00D34B4B" w:rsidP="00257683">
      <w:pPr>
        <w:rPr>
          <w:b/>
          <w:bCs/>
          <w:color w:val="0F4761" w:themeColor="accent1" w:themeShade="BF"/>
        </w:rPr>
      </w:pPr>
      <w:r w:rsidRPr="00C51D52">
        <w:rPr>
          <w:b/>
          <w:bCs/>
          <w:color w:val="0F4761" w:themeColor="accent1" w:themeShade="BF"/>
        </w:rPr>
        <w:t>Key vulnerabilities and Systemic risk</w:t>
      </w:r>
    </w:p>
    <w:p w14:paraId="05CF2975" w14:textId="488133F3" w:rsidR="008C0E93" w:rsidRPr="00C51D52" w:rsidRDefault="00661996" w:rsidP="00BD3667">
      <w:pPr>
        <w:jc w:val="both"/>
      </w:pPr>
      <w:r w:rsidRPr="00C51D52">
        <w:rPr>
          <w:u w:val="single"/>
        </w:rPr>
        <w:t>Question 1</w:t>
      </w:r>
      <w:r w:rsidRPr="00C51D52">
        <w:t xml:space="preserve">. Are there other sources of systemic risks or vulnerabilities stemming from NBFIs’ activities and their interconnectedness, including activity through capital markets, that have not been identified in this paper? </w:t>
      </w:r>
    </w:p>
    <w:p w14:paraId="5C1B7C2B" w14:textId="626DED23" w:rsidR="00F74FAE" w:rsidRPr="00C51D52" w:rsidRDefault="00AA06E2" w:rsidP="00814A21">
      <w:pPr>
        <w:pBdr>
          <w:top w:val="single" w:sz="4" w:space="1" w:color="auto"/>
          <w:left w:val="single" w:sz="4" w:space="4" w:color="auto"/>
          <w:bottom w:val="single" w:sz="4" w:space="1" w:color="auto"/>
          <w:right w:val="single" w:sz="4" w:space="4" w:color="auto"/>
        </w:pBdr>
        <w:jc w:val="both"/>
        <w:rPr>
          <w:lang w:val="en-GB"/>
        </w:rPr>
      </w:pPr>
      <w:r w:rsidRPr="00C51D52">
        <w:rPr>
          <w:lang w:val="en-GB"/>
        </w:rPr>
        <w:t>We see</w:t>
      </w:r>
      <w:r w:rsidR="00B84FDE" w:rsidRPr="00C51D52">
        <w:rPr>
          <w:lang w:val="en-GB"/>
        </w:rPr>
        <w:t xml:space="preserve"> a </w:t>
      </w:r>
      <w:r w:rsidR="00AD2D81" w:rsidRPr="00C51D52">
        <w:rPr>
          <w:lang w:val="en-GB"/>
        </w:rPr>
        <w:t xml:space="preserve">benefit in </w:t>
      </w:r>
      <w:r w:rsidR="00B84FDE" w:rsidRPr="00C51D52">
        <w:rPr>
          <w:lang w:val="en-GB"/>
        </w:rPr>
        <w:t>identify</w:t>
      </w:r>
      <w:r w:rsidR="00AD2D81" w:rsidRPr="00C51D52">
        <w:rPr>
          <w:lang w:val="en-GB"/>
        </w:rPr>
        <w:t xml:space="preserve">ing </w:t>
      </w:r>
      <w:r w:rsidR="008C19AA" w:rsidRPr="00C51D52">
        <w:rPr>
          <w:lang w:val="en-GB"/>
        </w:rPr>
        <w:t>more clearly what NB</w:t>
      </w:r>
      <w:r w:rsidR="00216788" w:rsidRPr="00C51D52">
        <w:rPr>
          <w:lang w:val="en-GB"/>
        </w:rPr>
        <w:t>F</w:t>
      </w:r>
      <w:r w:rsidR="00D74445" w:rsidRPr="00C51D52">
        <w:rPr>
          <w:lang w:val="en-GB"/>
        </w:rPr>
        <w:t>I</w:t>
      </w:r>
      <w:r w:rsidR="00D9736B" w:rsidRPr="00C51D52">
        <w:rPr>
          <w:lang w:val="en-GB"/>
        </w:rPr>
        <w:t>s are</w:t>
      </w:r>
      <w:r w:rsidR="007D6ADD" w:rsidRPr="00C51D52">
        <w:rPr>
          <w:lang w:val="en-GB"/>
        </w:rPr>
        <w:t xml:space="preserve"> as definitions vary and tend to en</w:t>
      </w:r>
      <w:r w:rsidR="002054E0" w:rsidRPr="00C51D52">
        <w:rPr>
          <w:lang w:val="en-GB"/>
        </w:rPr>
        <w:t xml:space="preserve">compass </w:t>
      </w:r>
      <w:r w:rsidR="007D6ADD" w:rsidRPr="00C51D52">
        <w:rPr>
          <w:lang w:val="en-GB"/>
        </w:rPr>
        <w:t>a variety of heterogeneous actors</w:t>
      </w:r>
      <w:r w:rsidR="00002E8A" w:rsidRPr="00C51D52">
        <w:rPr>
          <w:lang w:val="en-GB"/>
        </w:rPr>
        <w:t xml:space="preserve"> with varying risk </w:t>
      </w:r>
      <w:r w:rsidR="00637905" w:rsidRPr="00C51D52">
        <w:rPr>
          <w:lang w:val="en-GB"/>
        </w:rPr>
        <w:t>profiles</w:t>
      </w:r>
      <w:r w:rsidR="00216788" w:rsidRPr="00C51D52">
        <w:rPr>
          <w:lang w:val="en-GB"/>
        </w:rPr>
        <w:t xml:space="preserve">. </w:t>
      </w:r>
      <w:r w:rsidR="00A472BE" w:rsidRPr="00C51D52">
        <w:rPr>
          <w:lang w:val="en-GB"/>
        </w:rPr>
        <w:t xml:space="preserve">In order to </w:t>
      </w:r>
      <w:r w:rsidR="0019568B" w:rsidRPr="00C51D52">
        <w:rPr>
          <w:lang w:val="en-GB"/>
        </w:rPr>
        <w:t xml:space="preserve">identify potential </w:t>
      </w:r>
      <w:r w:rsidR="00DC596A" w:rsidRPr="00C51D52">
        <w:rPr>
          <w:lang w:val="en-GB"/>
        </w:rPr>
        <w:t xml:space="preserve">and </w:t>
      </w:r>
      <w:r w:rsidR="00D178CE" w:rsidRPr="00C51D52">
        <w:rPr>
          <w:lang w:val="en-GB"/>
        </w:rPr>
        <w:t xml:space="preserve">relevant </w:t>
      </w:r>
      <w:r w:rsidR="0019568B" w:rsidRPr="00C51D52">
        <w:rPr>
          <w:lang w:val="en-GB"/>
        </w:rPr>
        <w:t>risk</w:t>
      </w:r>
      <w:r w:rsidR="002E54D1" w:rsidRPr="00C51D52">
        <w:rPr>
          <w:lang w:val="en-GB"/>
        </w:rPr>
        <w:t xml:space="preserve"> </w:t>
      </w:r>
      <w:r w:rsidR="007D6ADD" w:rsidRPr="00C51D52">
        <w:rPr>
          <w:lang w:val="en-GB"/>
        </w:rPr>
        <w:t>profiles</w:t>
      </w:r>
      <w:r w:rsidR="00637905" w:rsidRPr="00C51D52">
        <w:rPr>
          <w:lang w:val="en-GB"/>
        </w:rPr>
        <w:t xml:space="preserve"> </w:t>
      </w:r>
      <w:r w:rsidR="003873A9" w:rsidRPr="00C51D52">
        <w:rPr>
          <w:lang w:val="en-GB"/>
        </w:rPr>
        <w:t>we propose applying a two</w:t>
      </w:r>
      <w:r w:rsidR="000D1573" w:rsidRPr="00C51D52">
        <w:rPr>
          <w:lang w:val="en-GB"/>
        </w:rPr>
        <w:t xml:space="preserve">-step approach, which can </w:t>
      </w:r>
      <w:r w:rsidR="007D6ADD" w:rsidRPr="00C51D52">
        <w:rPr>
          <w:lang w:val="en-GB"/>
        </w:rPr>
        <w:t xml:space="preserve">then </w:t>
      </w:r>
      <w:r w:rsidR="000D1573" w:rsidRPr="00C51D52">
        <w:rPr>
          <w:lang w:val="en-GB"/>
        </w:rPr>
        <w:t xml:space="preserve">help identify </w:t>
      </w:r>
      <w:r w:rsidR="00903EA2" w:rsidRPr="00C51D52">
        <w:rPr>
          <w:lang w:val="en-GB"/>
        </w:rPr>
        <w:t>potential sector</w:t>
      </w:r>
      <w:r w:rsidR="00637905" w:rsidRPr="00C51D52">
        <w:rPr>
          <w:lang w:val="en-GB"/>
        </w:rPr>
        <w:t xml:space="preserve"> specific</w:t>
      </w:r>
      <w:r w:rsidR="000D1573" w:rsidRPr="00C51D52">
        <w:rPr>
          <w:lang w:val="en-GB"/>
        </w:rPr>
        <w:t xml:space="preserve"> issues</w:t>
      </w:r>
      <w:r w:rsidR="005E4938" w:rsidRPr="00C51D52">
        <w:rPr>
          <w:lang w:val="en-GB"/>
        </w:rPr>
        <w:t>.</w:t>
      </w:r>
    </w:p>
    <w:p w14:paraId="53747C98" w14:textId="10C6EB5D" w:rsidR="00AB6A73" w:rsidRPr="00C51D52" w:rsidRDefault="00AB6A73" w:rsidP="00814A21">
      <w:pPr>
        <w:pBdr>
          <w:top w:val="single" w:sz="4" w:space="1" w:color="auto"/>
          <w:left w:val="single" w:sz="4" w:space="4" w:color="auto"/>
          <w:bottom w:val="single" w:sz="4" w:space="1" w:color="auto"/>
          <w:right w:val="single" w:sz="4" w:space="4" w:color="auto"/>
        </w:pBdr>
        <w:jc w:val="both"/>
        <w:rPr>
          <w:b/>
          <w:bCs/>
          <w:lang w:val="en-GB"/>
        </w:rPr>
      </w:pPr>
      <w:r w:rsidRPr="00C51D52">
        <w:rPr>
          <w:b/>
          <w:bCs/>
          <w:lang w:val="en-GB"/>
        </w:rPr>
        <w:t>Proposed two-steps approach</w:t>
      </w:r>
    </w:p>
    <w:p w14:paraId="1B335DB5" w14:textId="478E55C5" w:rsidR="00E76544" w:rsidRPr="00C51D52" w:rsidRDefault="00CE7B29" w:rsidP="00DC7ADA">
      <w:pPr>
        <w:pBdr>
          <w:top w:val="single" w:sz="4" w:space="1" w:color="auto"/>
          <w:left w:val="single" w:sz="4" w:space="4" w:color="auto"/>
          <w:bottom w:val="single" w:sz="4" w:space="1" w:color="auto"/>
          <w:right w:val="single" w:sz="4" w:space="4" w:color="auto"/>
        </w:pBdr>
        <w:jc w:val="both"/>
        <w:rPr>
          <w:lang w:val="en-GB"/>
        </w:rPr>
      </w:pPr>
      <w:r w:rsidRPr="00C51D52">
        <w:rPr>
          <w:lang w:val="en-GB"/>
        </w:rPr>
        <w:t xml:space="preserve">The first step consists </w:t>
      </w:r>
      <w:r w:rsidR="00706535" w:rsidRPr="00C51D52">
        <w:rPr>
          <w:lang w:val="en-GB"/>
        </w:rPr>
        <w:t xml:space="preserve">of </w:t>
      </w:r>
      <w:r w:rsidRPr="00C51D52">
        <w:rPr>
          <w:lang w:val="en-GB"/>
        </w:rPr>
        <w:t xml:space="preserve">assessing </w:t>
      </w:r>
      <w:r w:rsidR="00BB7250" w:rsidRPr="00C51D52">
        <w:rPr>
          <w:lang w:val="en-GB"/>
        </w:rPr>
        <w:t>whether a</w:t>
      </w:r>
      <w:r w:rsidR="003A71EE" w:rsidRPr="00C51D52">
        <w:rPr>
          <w:lang w:val="en-GB"/>
        </w:rPr>
        <w:t xml:space="preserve"> specific </w:t>
      </w:r>
      <w:r w:rsidRPr="00C51D52">
        <w:rPr>
          <w:lang w:val="en-GB"/>
        </w:rPr>
        <w:t xml:space="preserve">NBFI </w:t>
      </w:r>
      <w:r w:rsidR="00BB7250" w:rsidRPr="00C51D52">
        <w:rPr>
          <w:lang w:val="en-GB"/>
        </w:rPr>
        <w:t xml:space="preserve">is competing </w:t>
      </w:r>
      <w:r w:rsidR="00567F49" w:rsidRPr="00C51D52">
        <w:rPr>
          <w:lang w:val="en-GB"/>
        </w:rPr>
        <w:t>wit</w:t>
      </w:r>
      <w:r w:rsidR="0091471E" w:rsidRPr="00C51D52">
        <w:rPr>
          <w:lang w:val="en-GB"/>
        </w:rPr>
        <w:t>h</w:t>
      </w:r>
      <w:r w:rsidRPr="00C51D52">
        <w:rPr>
          <w:lang w:val="en-GB"/>
        </w:rPr>
        <w:t xml:space="preserve"> </w:t>
      </w:r>
      <w:r w:rsidR="00BB7250" w:rsidRPr="00C51D52">
        <w:rPr>
          <w:lang w:val="en-GB"/>
        </w:rPr>
        <w:t>banks</w:t>
      </w:r>
      <w:r w:rsidR="00567F49" w:rsidRPr="00C51D52">
        <w:rPr>
          <w:lang w:val="en-GB"/>
        </w:rPr>
        <w:t xml:space="preserve"> in similar activiti</w:t>
      </w:r>
      <w:r w:rsidR="00F75E06" w:rsidRPr="00C51D52">
        <w:rPr>
          <w:lang w:val="en-GB"/>
        </w:rPr>
        <w:t>es</w:t>
      </w:r>
      <w:r w:rsidR="00963F77" w:rsidRPr="00C51D52">
        <w:rPr>
          <w:lang w:val="en-GB"/>
        </w:rPr>
        <w:t>. Indicators of this include where a NBFI</w:t>
      </w:r>
      <w:r w:rsidR="00F75E06" w:rsidRPr="00C51D52">
        <w:rPr>
          <w:lang w:val="en-GB"/>
        </w:rPr>
        <w:t xml:space="preserve"> engag</w:t>
      </w:r>
      <w:r w:rsidR="00963F77" w:rsidRPr="00C51D52">
        <w:rPr>
          <w:lang w:val="en-GB"/>
        </w:rPr>
        <w:t xml:space="preserve">es </w:t>
      </w:r>
      <w:r w:rsidR="00F75E06" w:rsidRPr="00C51D52">
        <w:rPr>
          <w:lang w:val="en-GB"/>
        </w:rPr>
        <w:t>in m</w:t>
      </w:r>
      <w:r w:rsidR="005D2B86" w:rsidRPr="00C51D52">
        <w:rPr>
          <w:lang w:val="en-GB"/>
        </w:rPr>
        <w:t xml:space="preserve">aturity/ </w:t>
      </w:r>
      <w:r w:rsidR="00F75E06" w:rsidRPr="00C51D52">
        <w:rPr>
          <w:lang w:val="en-GB"/>
        </w:rPr>
        <w:t>l</w:t>
      </w:r>
      <w:r w:rsidR="005D2B86" w:rsidRPr="00C51D52">
        <w:rPr>
          <w:lang w:val="en-GB"/>
        </w:rPr>
        <w:t>iquidity transformation</w:t>
      </w:r>
      <w:r w:rsidR="00F75E06" w:rsidRPr="00C51D52">
        <w:rPr>
          <w:lang w:val="en-GB"/>
        </w:rPr>
        <w:t xml:space="preserve">, </w:t>
      </w:r>
      <w:r w:rsidR="00BA19EE" w:rsidRPr="00C51D52">
        <w:rPr>
          <w:lang w:val="en-GB"/>
        </w:rPr>
        <w:t>leverage</w:t>
      </w:r>
      <w:r w:rsidR="00F75E06" w:rsidRPr="00C51D52">
        <w:rPr>
          <w:lang w:val="en-GB"/>
        </w:rPr>
        <w:t xml:space="preserve"> or c</w:t>
      </w:r>
      <w:r w:rsidR="005D2B86" w:rsidRPr="00C51D52">
        <w:rPr>
          <w:lang w:val="en-GB"/>
        </w:rPr>
        <w:t>redit risk transfer</w:t>
      </w:r>
      <w:r w:rsidR="00F75E06" w:rsidRPr="00C51D52">
        <w:rPr>
          <w:lang w:val="en-GB"/>
        </w:rPr>
        <w:t>.</w:t>
      </w:r>
      <w:r w:rsidR="004862A9" w:rsidRPr="00C51D52">
        <w:rPr>
          <w:lang w:val="en-GB"/>
        </w:rPr>
        <w:t xml:space="preserve"> </w:t>
      </w:r>
      <w:r w:rsidR="00E76544" w:rsidRPr="00C51D52">
        <w:rPr>
          <w:lang w:val="en-GB"/>
        </w:rPr>
        <w:t xml:space="preserve">The second step </w:t>
      </w:r>
      <w:r w:rsidR="00E84DFA" w:rsidRPr="00C51D52">
        <w:rPr>
          <w:lang w:val="en-GB"/>
        </w:rPr>
        <w:t xml:space="preserve">consists </w:t>
      </w:r>
      <w:r w:rsidR="004C17A0" w:rsidRPr="00C51D52">
        <w:rPr>
          <w:lang w:val="en-GB"/>
        </w:rPr>
        <w:t xml:space="preserve">of </w:t>
      </w:r>
      <w:r w:rsidR="00E84DFA" w:rsidRPr="00C51D52">
        <w:rPr>
          <w:lang w:val="en-GB"/>
        </w:rPr>
        <w:t xml:space="preserve">evaluating </w:t>
      </w:r>
      <w:r w:rsidR="004C17A0" w:rsidRPr="00C51D52">
        <w:rPr>
          <w:lang w:val="en-GB"/>
        </w:rPr>
        <w:t xml:space="preserve">if there is the potential of the NBFI contributing towards </w:t>
      </w:r>
      <w:r w:rsidR="00E84DFA" w:rsidRPr="00C51D52">
        <w:rPr>
          <w:lang w:val="en-GB"/>
        </w:rPr>
        <w:t>systemic risk</w:t>
      </w:r>
      <w:r w:rsidR="004C17A0" w:rsidRPr="00C51D52">
        <w:rPr>
          <w:lang w:val="en-GB"/>
        </w:rPr>
        <w:t>.</w:t>
      </w:r>
    </w:p>
    <w:p w14:paraId="367F30C9" w14:textId="20ACB714" w:rsidR="00776B28" w:rsidRPr="00C51D52" w:rsidRDefault="00303DA0" w:rsidP="00DC7ADA">
      <w:pPr>
        <w:pBdr>
          <w:top w:val="single" w:sz="4" w:space="1" w:color="auto"/>
          <w:left w:val="single" w:sz="4" w:space="4" w:color="auto"/>
          <w:bottom w:val="single" w:sz="4" w:space="1" w:color="auto"/>
          <w:right w:val="single" w:sz="4" w:space="4" w:color="auto"/>
        </w:pBdr>
        <w:jc w:val="both"/>
        <w:rPr>
          <w:lang w:val="en-GB"/>
        </w:rPr>
      </w:pPr>
      <w:r w:rsidRPr="00C51D52">
        <w:rPr>
          <w:lang w:val="en-GB"/>
        </w:rPr>
        <w:t>As an example</w:t>
      </w:r>
      <w:r w:rsidR="00A60D53" w:rsidRPr="00C51D52">
        <w:rPr>
          <w:lang w:val="en-GB"/>
        </w:rPr>
        <w:t xml:space="preserve">, </w:t>
      </w:r>
      <w:r w:rsidR="00565EAA" w:rsidRPr="00C51D52">
        <w:rPr>
          <w:lang w:val="en-GB"/>
        </w:rPr>
        <w:t xml:space="preserve">we </w:t>
      </w:r>
      <w:r w:rsidR="000F266F" w:rsidRPr="00C51D52">
        <w:rPr>
          <w:lang w:val="en-GB"/>
        </w:rPr>
        <w:t xml:space="preserve">illustrate </w:t>
      </w:r>
      <w:r w:rsidR="00A60D53" w:rsidRPr="00C51D52">
        <w:rPr>
          <w:lang w:val="en-GB"/>
        </w:rPr>
        <w:t>th</w:t>
      </w:r>
      <w:r w:rsidR="000F266F" w:rsidRPr="00C51D52">
        <w:rPr>
          <w:lang w:val="en-GB"/>
        </w:rPr>
        <w:t xml:space="preserve">is </w:t>
      </w:r>
      <w:r w:rsidR="00A60D53" w:rsidRPr="00C51D52">
        <w:rPr>
          <w:lang w:val="en-GB"/>
        </w:rPr>
        <w:t>two</w:t>
      </w:r>
      <w:r w:rsidR="001E528D" w:rsidRPr="00C51D52">
        <w:rPr>
          <w:lang w:val="en-GB"/>
        </w:rPr>
        <w:t>-</w:t>
      </w:r>
      <w:r w:rsidR="00A60D53" w:rsidRPr="00C51D52">
        <w:rPr>
          <w:lang w:val="en-GB"/>
        </w:rPr>
        <w:t xml:space="preserve">step approach </w:t>
      </w:r>
      <w:r w:rsidR="000F266F" w:rsidRPr="00C51D52">
        <w:rPr>
          <w:lang w:val="en-GB"/>
        </w:rPr>
        <w:t xml:space="preserve">by reference </w:t>
      </w:r>
      <w:r w:rsidR="00D64C2C" w:rsidRPr="00C51D52">
        <w:rPr>
          <w:lang w:val="en-GB"/>
        </w:rPr>
        <w:t xml:space="preserve">to </w:t>
      </w:r>
      <w:r w:rsidR="004F6E57" w:rsidRPr="00C51D52">
        <w:rPr>
          <w:lang w:val="en-GB"/>
        </w:rPr>
        <w:t xml:space="preserve">the </w:t>
      </w:r>
      <w:r w:rsidR="00776B28" w:rsidRPr="00C51D52">
        <w:rPr>
          <w:lang w:val="en-GB"/>
        </w:rPr>
        <w:t>fund:</w:t>
      </w:r>
    </w:p>
    <w:p w14:paraId="5257D202" w14:textId="078DC57D" w:rsidR="00065F41" w:rsidRPr="00C51D52" w:rsidRDefault="00065F41" w:rsidP="00147A53">
      <w:pPr>
        <w:pBdr>
          <w:top w:val="single" w:sz="4" w:space="1" w:color="auto"/>
          <w:left w:val="single" w:sz="4" w:space="4" w:color="auto"/>
          <w:bottom w:val="single" w:sz="4" w:space="1" w:color="auto"/>
          <w:right w:val="single" w:sz="4" w:space="4" w:color="auto"/>
        </w:pBdr>
        <w:ind w:left="720" w:hanging="720"/>
        <w:jc w:val="both"/>
        <w:rPr>
          <w:lang w:val="en-GB"/>
        </w:rPr>
      </w:pPr>
      <w:r w:rsidRPr="00C51D52">
        <w:rPr>
          <w:lang w:val="en-GB"/>
        </w:rPr>
        <w:t>1)</w:t>
      </w:r>
      <w:r w:rsidR="00DA5AE8">
        <w:rPr>
          <w:lang w:val="en-GB"/>
        </w:rPr>
        <w:t xml:space="preserve"> </w:t>
      </w:r>
      <w:r w:rsidRPr="00C51D52">
        <w:rPr>
          <w:b/>
          <w:bCs/>
          <w:lang w:val="en-GB"/>
        </w:rPr>
        <w:t xml:space="preserve">Assess </w:t>
      </w:r>
      <w:r w:rsidR="008E0700" w:rsidRPr="00C51D52">
        <w:rPr>
          <w:b/>
          <w:bCs/>
          <w:lang w:val="en-GB"/>
        </w:rPr>
        <w:t>similarities of activities</w:t>
      </w:r>
      <w:r w:rsidRPr="00C51D52">
        <w:rPr>
          <w:b/>
          <w:bCs/>
          <w:lang w:val="en-GB"/>
        </w:rPr>
        <w:t xml:space="preserve"> with bank</w:t>
      </w:r>
      <w:r w:rsidR="008E0700" w:rsidRPr="00C51D52">
        <w:rPr>
          <w:b/>
          <w:bCs/>
          <w:lang w:val="en-GB"/>
        </w:rPr>
        <w:t xml:space="preserve"> activities</w:t>
      </w:r>
    </w:p>
    <w:p w14:paraId="0E20761D" w14:textId="6051B862" w:rsidR="00065F41" w:rsidRPr="00C51D52" w:rsidRDefault="008E0700" w:rsidP="00065F41">
      <w:pPr>
        <w:pBdr>
          <w:top w:val="single" w:sz="4" w:space="1" w:color="auto"/>
          <w:left w:val="single" w:sz="4" w:space="4" w:color="auto"/>
          <w:bottom w:val="single" w:sz="4" w:space="1" w:color="auto"/>
          <w:right w:val="single" w:sz="4" w:space="4" w:color="auto"/>
        </w:pBdr>
        <w:jc w:val="both"/>
        <w:rPr>
          <w:lang w:val="en-GB"/>
        </w:rPr>
      </w:pPr>
      <w:r w:rsidRPr="00C51D52">
        <w:rPr>
          <w:lang w:val="en-GB"/>
        </w:rPr>
        <w:t>Activities to be assessed</w:t>
      </w:r>
      <w:r w:rsidR="00065F41" w:rsidRPr="00C51D52">
        <w:rPr>
          <w:lang w:val="en-GB"/>
        </w:rPr>
        <w:t>: Maturity/liquidity transformation, leverage, credit risk transfer.</w:t>
      </w:r>
    </w:p>
    <w:p w14:paraId="0E5FF2C8" w14:textId="77777777" w:rsidR="00065F41" w:rsidRPr="00C51D52" w:rsidRDefault="00065F41" w:rsidP="00065F41">
      <w:pPr>
        <w:pBdr>
          <w:top w:val="single" w:sz="4" w:space="1" w:color="auto"/>
          <w:left w:val="single" w:sz="4" w:space="4" w:color="auto"/>
          <w:bottom w:val="single" w:sz="4" w:space="1" w:color="auto"/>
          <w:right w:val="single" w:sz="4" w:space="4" w:color="auto"/>
        </w:pBdr>
        <w:jc w:val="both"/>
        <w:rPr>
          <w:lang w:val="en-GB"/>
        </w:rPr>
      </w:pPr>
      <w:r w:rsidRPr="00C51D52">
        <w:rPr>
          <w:lang w:val="en-GB"/>
        </w:rPr>
        <w:t>Categories:</w:t>
      </w:r>
    </w:p>
    <w:p w14:paraId="42B3A68C" w14:textId="7C30CE83" w:rsidR="001E528D" w:rsidRPr="00C51D52" w:rsidRDefault="001E528D"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Fixed Income Funds</w:t>
      </w:r>
      <w:r w:rsidR="00065F41" w:rsidRPr="00C51D52">
        <w:rPr>
          <w:lang w:val="en-GB"/>
        </w:rPr>
        <w:t xml:space="preserve">: </w:t>
      </w:r>
      <w:r w:rsidR="00964AA7" w:rsidRPr="00C51D52">
        <w:rPr>
          <w:lang w:val="en-GB"/>
        </w:rPr>
        <w:t>May e</w:t>
      </w:r>
      <w:r w:rsidR="00065F41" w:rsidRPr="00C51D52">
        <w:rPr>
          <w:lang w:val="en-GB"/>
        </w:rPr>
        <w:t>ngage in maturity</w:t>
      </w:r>
      <w:r w:rsidR="00964AA7" w:rsidRPr="00C51D52">
        <w:rPr>
          <w:lang w:val="en-GB"/>
        </w:rPr>
        <w:t xml:space="preserve">/liquidity </w:t>
      </w:r>
      <w:r w:rsidR="00065F41" w:rsidRPr="00C51D52">
        <w:rPr>
          <w:lang w:val="en-GB"/>
        </w:rPr>
        <w:t>transformation.</w:t>
      </w:r>
    </w:p>
    <w:p w14:paraId="7C52E56F" w14:textId="776F849A" w:rsidR="00065F41" w:rsidRPr="00C51D52" w:rsidRDefault="001E528D"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M</w:t>
      </w:r>
      <w:r w:rsidR="00B33989" w:rsidRPr="00C51D52">
        <w:rPr>
          <w:u w:val="single"/>
          <w:lang w:val="en-GB"/>
        </w:rPr>
        <w:t xml:space="preserve">oney </w:t>
      </w:r>
      <w:r w:rsidR="00065F41" w:rsidRPr="00C51D52">
        <w:rPr>
          <w:u w:val="single"/>
          <w:lang w:val="en-GB"/>
        </w:rPr>
        <w:t>M</w:t>
      </w:r>
      <w:r w:rsidR="00B33989" w:rsidRPr="00C51D52">
        <w:rPr>
          <w:u w:val="single"/>
          <w:lang w:val="en-GB"/>
        </w:rPr>
        <w:t xml:space="preserve">arket </w:t>
      </w:r>
      <w:r w:rsidR="00065F41" w:rsidRPr="00C51D52">
        <w:rPr>
          <w:u w:val="single"/>
          <w:lang w:val="en-GB"/>
        </w:rPr>
        <w:t>F</w:t>
      </w:r>
      <w:r w:rsidR="00B33989" w:rsidRPr="00C51D52">
        <w:rPr>
          <w:u w:val="single"/>
          <w:lang w:val="en-GB"/>
        </w:rPr>
        <w:t>und</w:t>
      </w:r>
      <w:r w:rsidR="00065F41" w:rsidRPr="00C51D52">
        <w:rPr>
          <w:u w:val="single"/>
          <w:lang w:val="en-GB"/>
        </w:rPr>
        <w:t>s</w:t>
      </w:r>
      <w:r w:rsidR="00B33989" w:rsidRPr="00C51D52">
        <w:rPr>
          <w:u w:val="single"/>
          <w:lang w:val="en-GB"/>
        </w:rPr>
        <w:t xml:space="preserve"> (MMFs)</w:t>
      </w:r>
      <w:r w:rsidR="00065F41" w:rsidRPr="00C51D52">
        <w:rPr>
          <w:lang w:val="en-GB"/>
        </w:rPr>
        <w:t>: Limited maturity</w:t>
      </w:r>
      <w:r w:rsidR="00964AA7" w:rsidRPr="00C51D52">
        <w:rPr>
          <w:lang w:val="en-GB"/>
        </w:rPr>
        <w:t>/</w:t>
      </w:r>
      <w:r w:rsidR="00065F41" w:rsidRPr="00C51D52">
        <w:rPr>
          <w:lang w:val="en-GB"/>
        </w:rPr>
        <w:t>liquidity transformation.</w:t>
      </w:r>
    </w:p>
    <w:p w14:paraId="1338CD63" w14:textId="0340F0CD" w:rsidR="00065F41" w:rsidRPr="00C51D52" w:rsidRDefault="00AB6A73"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Private Credit Funds</w:t>
      </w:r>
      <w:r w:rsidR="00065F41" w:rsidRPr="00C51D52">
        <w:rPr>
          <w:lang w:val="en-GB"/>
        </w:rPr>
        <w:t>: May involve maturity/liquidity transformation if open-ended, unlikely if closed-ended.</w:t>
      </w:r>
    </w:p>
    <w:p w14:paraId="052BFE66" w14:textId="1124CD8C" w:rsidR="00065F41" w:rsidRPr="00C51D52" w:rsidRDefault="00AB6A73"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Real Estate Funds</w:t>
      </w:r>
      <w:r w:rsidR="00065F41" w:rsidRPr="00C51D52">
        <w:rPr>
          <w:lang w:val="en-GB"/>
        </w:rPr>
        <w:t xml:space="preserve">: </w:t>
      </w:r>
      <w:r w:rsidR="00A7192B" w:rsidRPr="00C51D52">
        <w:rPr>
          <w:lang w:val="en-GB"/>
        </w:rPr>
        <w:t>May e</w:t>
      </w:r>
      <w:r w:rsidR="00065F41" w:rsidRPr="00C51D52">
        <w:rPr>
          <w:lang w:val="en-GB"/>
        </w:rPr>
        <w:t>ngage in maturity</w:t>
      </w:r>
      <w:r w:rsidR="00964AA7" w:rsidRPr="00C51D52">
        <w:rPr>
          <w:lang w:val="en-GB"/>
        </w:rPr>
        <w:t>/liquidity</w:t>
      </w:r>
      <w:r w:rsidR="00065F41" w:rsidRPr="00C51D52">
        <w:rPr>
          <w:lang w:val="en-GB"/>
        </w:rPr>
        <w:t xml:space="preserve"> transformation</w:t>
      </w:r>
      <w:r w:rsidR="00DA5AE8">
        <w:rPr>
          <w:lang w:val="en-GB"/>
        </w:rPr>
        <w:t>.</w:t>
      </w:r>
    </w:p>
    <w:p w14:paraId="03CB41B6" w14:textId="1C66DF97" w:rsidR="00065F41" w:rsidRPr="00C51D52" w:rsidRDefault="00065F41" w:rsidP="00065F41">
      <w:pPr>
        <w:pBdr>
          <w:top w:val="single" w:sz="4" w:space="1" w:color="auto"/>
          <w:left w:val="single" w:sz="4" w:space="4" w:color="auto"/>
          <w:bottom w:val="single" w:sz="4" w:space="1" w:color="auto"/>
          <w:right w:val="single" w:sz="4" w:space="4" w:color="auto"/>
        </w:pBdr>
        <w:jc w:val="both"/>
        <w:rPr>
          <w:lang w:val="en-GB"/>
        </w:rPr>
      </w:pPr>
      <w:r w:rsidRPr="00C51D52">
        <w:rPr>
          <w:lang w:val="en-GB"/>
        </w:rPr>
        <w:t>2)</w:t>
      </w:r>
      <w:r w:rsidR="00ED0BA9" w:rsidRPr="00C51D52">
        <w:rPr>
          <w:lang w:val="en-GB"/>
        </w:rPr>
        <w:t xml:space="preserve"> </w:t>
      </w:r>
      <w:r w:rsidR="00E61412" w:rsidRPr="00C51D52">
        <w:rPr>
          <w:b/>
          <w:bCs/>
          <w:lang w:val="en-GB"/>
        </w:rPr>
        <w:t>Assess and e</w:t>
      </w:r>
      <w:r w:rsidRPr="00C51D52">
        <w:rPr>
          <w:b/>
          <w:bCs/>
          <w:lang w:val="en-GB"/>
        </w:rPr>
        <w:t>valuate systemic risk contribution</w:t>
      </w:r>
    </w:p>
    <w:p w14:paraId="6EFBA4DB" w14:textId="5694EB20" w:rsidR="00065F41" w:rsidRPr="00C51D52" w:rsidRDefault="00065F41" w:rsidP="00065F41">
      <w:pPr>
        <w:pBdr>
          <w:top w:val="single" w:sz="4" w:space="1" w:color="auto"/>
          <w:left w:val="single" w:sz="4" w:space="4" w:color="auto"/>
          <w:bottom w:val="single" w:sz="4" w:space="1" w:color="auto"/>
          <w:right w:val="single" w:sz="4" w:space="4" w:color="auto"/>
        </w:pBdr>
        <w:jc w:val="both"/>
        <w:rPr>
          <w:lang w:val="en-GB"/>
        </w:rPr>
      </w:pPr>
      <w:r w:rsidRPr="00C51D52">
        <w:rPr>
          <w:lang w:val="en-GB"/>
        </w:rPr>
        <w:t xml:space="preserve"> </w:t>
      </w:r>
      <w:r w:rsidR="002D2074" w:rsidRPr="00C51D52">
        <w:rPr>
          <w:lang w:val="en-GB"/>
        </w:rPr>
        <w:t>However, b</w:t>
      </w:r>
      <w:r w:rsidRPr="00C51D52">
        <w:rPr>
          <w:lang w:val="en-GB"/>
        </w:rPr>
        <w:t>oth traditional and alternative funds are highly regulated, minimizing systemic risks.</w:t>
      </w:r>
    </w:p>
    <w:p w14:paraId="46F05607" w14:textId="47B0DCB8" w:rsidR="00065F41" w:rsidRPr="00C51D52" w:rsidRDefault="00AB6A73"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Fixed Income Funds</w:t>
      </w:r>
      <w:r w:rsidR="00065F41" w:rsidRPr="00C51D52">
        <w:rPr>
          <w:lang w:val="en-GB"/>
        </w:rPr>
        <w:t>: Use liquidity management tools</w:t>
      </w:r>
      <w:r w:rsidR="00731D33" w:rsidRPr="00C51D52">
        <w:rPr>
          <w:lang w:val="en-GB"/>
        </w:rPr>
        <w:t xml:space="preserve"> (LMTs)</w:t>
      </w:r>
      <w:r w:rsidR="00065F41" w:rsidRPr="00C51D52">
        <w:rPr>
          <w:lang w:val="en-GB"/>
        </w:rPr>
        <w:t xml:space="preserve"> effectively</w:t>
      </w:r>
      <w:r w:rsidR="002D2074" w:rsidRPr="00C51D52">
        <w:rPr>
          <w:lang w:val="en-GB"/>
        </w:rPr>
        <w:t>. T</w:t>
      </w:r>
      <w:r w:rsidR="00065F41" w:rsidRPr="00C51D52">
        <w:rPr>
          <w:lang w:val="en-GB"/>
        </w:rPr>
        <w:t>ypically no leverage</w:t>
      </w:r>
      <w:r w:rsidR="002D2074" w:rsidRPr="00C51D52">
        <w:rPr>
          <w:lang w:val="en-GB"/>
        </w:rPr>
        <w:t xml:space="preserve"> is employed</w:t>
      </w:r>
      <w:r w:rsidR="00065F41" w:rsidRPr="00C51D52">
        <w:rPr>
          <w:lang w:val="en-GB"/>
        </w:rPr>
        <w:t>.</w:t>
      </w:r>
    </w:p>
    <w:p w14:paraId="0D2116C0" w14:textId="32E819B7" w:rsidR="00065F41" w:rsidRPr="00C51D52" w:rsidRDefault="00AB6A73"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MMFs</w:t>
      </w:r>
      <w:r w:rsidR="00065F41" w:rsidRPr="00C51D52">
        <w:rPr>
          <w:lang w:val="en-GB"/>
        </w:rPr>
        <w:t>: Robust structures relying on maturing securities for redemptions</w:t>
      </w:r>
      <w:r w:rsidR="002D2074" w:rsidRPr="00C51D52">
        <w:rPr>
          <w:lang w:val="en-GB"/>
        </w:rPr>
        <w:t>.</w:t>
      </w:r>
      <w:r w:rsidR="00065F41" w:rsidRPr="00C51D52">
        <w:rPr>
          <w:lang w:val="en-GB"/>
        </w:rPr>
        <w:t xml:space="preserve"> </w:t>
      </w:r>
      <w:r w:rsidR="002D2074" w:rsidRPr="00C51D52">
        <w:rPr>
          <w:lang w:val="en-GB"/>
        </w:rPr>
        <w:t>N</w:t>
      </w:r>
      <w:r w:rsidR="00065F41" w:rsidRPr="00C51D52">
        <w:rPr>
          <w:lang w:val="en-GB"/>
        </w:rPr>
        <w:t>o leverage</w:t>
      </w:r>
      <w:r w:rsidR="002D2074" w:rsidRPr="00C51D52">
        <w:rPr>
          <w:lang w:val="en-GB"/>
        </w:rPr>
        <w:t xml:space="preserve"> is employed.</w:t>
      </w:r>
      <w:r w:rsidR="00065F41" w:rsidRPr="00C51D52">
        <w:rPr>
          <w:lang w:val="en-GB"/>
        </w:rPr>
        <w:t xml:space="preserve"> </w:t>
      </w:r>
      <w:r w:rsidR="002D2074" w:rsidRPr="00C51D52">
        <w:rPr>
          <w:lang w:val="en-GB"/>
        </w:rPr>
        <w:t xml:space="preserve">It should be noted that MMFs </w:t>
      </w:r>
      <w:r w:rsidR="00065F41" w:rsidRPr="00C51D52">
        <w:rPr>
          <w:lang w:val="en-GB"/>
        </w:rPr>
        <w:t>performed well during COVID-19.</w:t>
      </w:r>
    </w:p>
    <w:p w14:paraId="49726CCF" w14:textId="76BA1F2D" w:rsidR="00065F41" w:rsidRPr="00C51D52" w:rsidRDefault="00AB6A73" w:rsidP="00065F41">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Private Credit Funds</w:t>
      </w:r>
      <w:r w:rsidR="00065F41" w:rsidRPr="00C51D52">
        <w:rPr>
          <w:lang w:val="en-GB"/>
        </w:rPr>
        <w:t xml:space="preserve">: </w:t>
      </w:r>
      <w:r w:rsidR="001A239A" w:rsidRPr="00C51D52">
        <w:rPr>
          <w:lang w:val="en-GB"/>
        </w:rPr>
        <w:t xml:space="preserve">Again, if open-ended, private credit funds rely on </w:t>
      </w:r>
      <w:r w:rsidR="00983184" w:rsidRPr="00C51D52">
        <w:rPr>
          <w:lang w:val="en-GB"/>
        </w:rPr>
        <w:t xml:space="preserve">using </w:t>
      </w:r>
      <w:r w:rsidR="0070756E" w:rsidRPr="00C51D52">
        <w:rPr>
          <w:lang w:val="en-GB"/>
        </w:rPr>
        <w:t>LMTs</w:t>
      </w:r>
      <w:r w:rsidR="00983184" w:rsidRPr="00C51D52">
        <w:rPr>
          <w:lang w:val="en-GB"/>
        </w:rPr>
        <w:t xml:space="preserve"> to manage liquidity effectively. It should be noted that m</w:t>
      </w:r>
      <w:r w:rsidR="00065F41" w:rsidRPr="00C51D52">
        <w:rPr>
          <w:lang w:val="en-GB"/>
        </w:rPr>
        <w:t xml:space="preserve">inimal leverage </w:t>
      </w:r>
      <w:r w:rsidR="00983184" w:rsidRPr="00C51D52">
        <w:rPr>
          <w:lang w:val="en-GB"/>
        </w:rPr>
        <w:t xml:space="preserve">is typically </w:t>
      </w:r>
      <w:r w:rsidR="00983184" w:rsidRPr="00C51D52">
        <w:rPr>
          <w:lang w:val="en-GB"/>
        </w:rPr>
        <w:lastRenderedPageBreak/>
        <w:t xml:space="preserve">employed. In terms of </w:t>
      </w:r>
      <w:r w:rsidR="00065F41" w:rsidRPr="00C51D52">
        <w:rPr>
          <w:lang w:val="en-GB"/>
        </w:rPr>
        <w:t>credit risk transfer</w:t>
      </w:r>
      <w:r w:rsidR="00983184" w:rsidRPr="00C51D52">
        <w:rPr>
          <w:lang w:val="en-GB"/>
        </w:rPr>
        <w:t xml:space="preserve"> it is important to note that this is not a feature of this sector and that the </w:t>
      </w:r>
      <w:r w:rsidR="00065F41" w:rsidRPr="00C51D52">
        <w:rPr>
          <w:lang w:val="en-GB"/>
        </w:rPr>
        <w:t>fund managers</w:t>
      </w:r>
      <w:r w:rsidR="00983184" w:rsidRPr="00C51D52">
        <w:rPr>
          <w:lang w:val="en-GB"/>
        </w:rPr>
        <w:t xml:space="preserve"> own incentives remain</w:t>
      </w:r>
      <w:r w:rsidR="00DA5AE8">
        <w:rPr>
          <w:lang w:val="en-GB"/>
        </w:rPr>
        <w:t xml:space="preserve"> </w:t>
      </w:r>
      <w:r w:rsidR="00065F41" w:rsidRPr="00C51D52">
        <w:rPr>
          <w:lang w:val="en-GB"/>
        </w:rPr>
        <w:t xml:space="preserve">aligned with </w:t>
      </w:r>
      <w:r w:rsidR="00FD5CE9" w:rsidRPr="00C51D52">
        <w:rPr>
          <w:lang w:val="en-GB"/>
        </w:rPr>
        <w:t xml:space="preserve">the </w:t>
      </w:r>
      <w:r w:rsidR="00065F41" w:rsidRPr="00C51D52">
        <w:rPr>
          <w:lang w:val="en-GB"/>
        </w:rPr>
        <w:t>performance</w:t>
      </w:r>
      <w:r w:rsidR="00FD5CE9" w:rsidRPr="00C51D52">
        <w:rPr>
          <w:lang w:val="en-GB"/>
        </w:rPr>
        <w:t xml:space="preserve"> of the loans in which the private credit fund invests</w:t>
      </w:r>
      <w:r w:rsidR="00065F41" w:rsidRPr="00C51D52">
        <w:rPr>
          <w:lang w:val="en-GB"/>
        </w:rPr>
        <w:t>.</w:t>
      </w:r>
    </w:p>
    <w:p w14:paraId="71F65030" w14:textId="4FA8FD80" w:rsidR="00AB6A73" w:rsidRPr="00C51D52" w:rsidRDefault="00AB6A73" w:rsidP="004862A9">
      <w:pPr>
        <w:pBdr>
          <w:top w:val="single" w:sz="4" w:space="1" w:color="auto"/>
          <w:left w:val="single" w:sz="4" w:space="4" w:color="auto"/>
          <w:bottom w:val="single" w:sz="4" w:space="1" w:color="auto"/>
          <w:right w:val="single" w:sz="4" w:space="4" w:color="auto"/>
        </w:pBdr>
        <w:jc w:val="both"/>
        <w:rPr>
          <w:lang w:val="en-GB"/>
        </w:rPr>
      </w:pPr>
      <w:r w:rsidRPr="00C51D52">
        <w:t xml:space="preserve">• </w:t>
      </w:r>
      <w:r w:rsidR="00065F41" w:rsidRPr="00C51D52">
        <w:rPr>
          <w:u w:val="single"/>
          <w:lang w:val="en-GB"/>
        </w:rPr>
        <w:t>Real Estate Funds</w:t>
      </w:r>
      <w:r w:rsidR="00065F41" w:rsidRPr="00C51D52">
        <w:rPr>
          <w:lang w:val="en-GB"/>
        </w:rPr>
        <w:t xml:space="preserve">: Open-ended real estate funds </w:t>
      </w:r>
      <w:r w:rsidR="00A648A0" w:rsidRPr="00C51D52">
        <w:rPr>
          <w:lang w:val="en-GB"/>
        </w:rPr>
        <w:t xml:space="preserve">manage </w:t>
      </w:r>
      <w:r w:rsidR="00065F41" w:rsidRPr="00C51D52">
        <w:rPr>
          <w:lang w:val="en-GB"/>
        </w:rPr>
        <w:t xml:space="preserve">liquidity </w:t>
      </w:r>
      <w:r w:rsidR="00A648A0" w:rsidRPr="00C51D52">
        <w:rPr>
          <w:lang w:val="en-GB"/>
        </w:rPr>
        <w:t xml:space="preserve">by using </w:t>
      </w:r>
      <w:r w:rsidR="0070756E" w:rsidRPr="00C51D52">
        <w:rPr>
          <w:lang w:val="en-GB"/>
        </w:rPr>
        <w:t>LMTs</w:t>
      </w:r>
      <w:r w:rsidR="00DA5AE8">
        <w:rPr>
          <w:lang w:val="en-GB"/>
        </w:rPr>
        <w:t xml:space="preserve">. </w:t>
      </w:r>
      <w:r w:rsidR="00586F99" w:rsidRPr="00C51D52">
        <w:rPr>
          <w:lang w:val="en-GB"/>
        </w:rPr>
        <w:t>Closed-ended funds more closely align the pot</w:t>
      </w:r>
      <w:r w:rsidR="005446B4">
        <w:rPr>
          <w:lang w:val="en-GB"/>
        </w:rPr>
        <w:t>e</w:t>
      </w:r>
      <w:r w:rsidR="00586F99" w:rsidRPr="00C51D52">
        <w:rPr>
          <w:lang w:val="en-GB"/>
        </w:rPr>
        <w:t xml:space="preserve">ntial for redemptions with the liquidity, and intended sale timelines, of the of the real property asset in which the fund is invested. In each case, </w:t>
      </w:r>
      <w:r w:rsidR="00065F41" w:rsidRPr="00C51D52">
        <w:rPr>
          <w:lang w:val="en-GB"/>
        </w:rPr>
        <w:t xml:space="preserve">they generally operate with minimal leverage. </w:t>
      </w:r>
    </w:p>
    <w:p w14:paraId="56364891" w14:textId="4747D515" w:rsidR="004A5CC9" w:rsidRPr="00C51D52" w:rsidRDefault="00312310" w:rsidP="004862A9">
      <w:pPr>
        <w:pBdr>
          <w:top w:val="single" w:sz="4" w:space="1" w:color="auto"/>
          <w:left w:val="single" w:sz="4" w:space="4" w:color="auto"/>
          <w:bottom w:val="single" w:sz="4" w:space="1" w:color="auto"/>
          <w:right w:val="single" w:sz="4" w:space="4" w:color="auto"/>
        </w:pBdr>
        <w:jc w:val="both"/>
        <w:rPr>
          <w:lang w:val="en-GB"/>
        </w:rPr>
      </w:pPr>
      <w:r w:rsidRPr="00C51D52">
        <w:rPr>
          <w:b/>
          <w:bCs/>
        </w:rPr>
        <w:t>Conclusion</w:t>
      </w:r>
      <w:r w:rsidR="00FC3ACC" w:rsidRPr="00C51D52">
        <w:t>:</w:t>
      </w:r>
      <w:r w:rsidR="00DA5AE8">
        <w:t xml:space="preserve"> </w:t>
      </w:r>
      <w:r w:rsidR="00586F99" w:rsidRPr="00C51D52">
        <w:t>T</w:t>
      </w:r>
      <w:r w:rsidR="006C6FF5" w:rsidRPr="00C51D52">
        <w:t>he systemic risk contribution of the funds sector is minimal, as both traditional and alternative funds are already highly regulated</w:t>
      </w:r>
      <w:r w:rsidR="00FC3ACC" w:rsidRPr="00C51D52">
        <w:t xml:space="preserve"> </w:t>
      </w:r>
      <w:r w:rsidR="005870FD" w:rsidRPr="00C51D52">
        <w:t xml:space="preserve">and </w:t>
      </w:r>
      <w:r w:rsidR="00FB1730" w:rsidRPr="00C51D52">
        <w:t xml:space="preserve">subject to </w:t>
      </w:r>
      <w:r w:rsidR="00374775" w:rsidRPr="00C51D52">
        <w:t xml:space="preserve">bespoke </w:t>
      </w:r>
      <w:r w:rsidR="00F63026" w:rsidRPr="00C51D52">
        <w:t>sector-specific regulation</w:t>
      </w:r>
      <w:r w:rsidR="0096470D" w:rsidRPr="00C51D52">
        <w:t xml:space="preserve">. </w:t>
      </w:r>
      <w:r w:rsidR="000634EB" w:rsidRPr="00C51D52">
        <w:t>There are already a number of micro- and macro-prudential provisions in the investment fund sector that guard against investment funds contributing to the build-up of systemic risks. These include liquidity risk management rules, fund-level stress testing and leverage limits.</w:t>
      </w:r>
      <w:r w:rsidR="00B86829" w:rsidRPr="00C51D52">
        <w:rPr>
          <w:lang w:val="en-GB"/>
        </w:rPr>
        <w:t xml:space="preserve"> </w:t>
      </w:r>
    </w:p>
    <w:p w14:paraId="05D424B0" w14:textId="368ACC05" w:rsidR="00C51817" w:rsidRPr="00C51D52" w:rsidRDefault="00634FAA" w:rsidP="004862A9">
      <w:pPr>
        <w:pBdr>
          <w:top w:val="single" w:sz="4" w:space="1" w:color="auto"/>
          <w:left w:val="single" w:sz="4" w:space="4" w:color="auto"/>
          <w:bottom w:val="single" w:sz="4" w:space="1" w:color="auto"/>
          <w:right w:val="single" w:sz="4" w:space="4" w:color="auto"/>
        </w:pBdr>
        <w:jc w:val="both"/>
      </w:pPr>
      <w:r w:rsidRPr="00634FAA">
        <w:rPr>
          <w:lang w:val="en-GB"/>
        </w:rPr>
        <w:t>In addition, the investment fund sector is inherently diverse. Many funds have investment strategies where the redemption terms are, in general, aligned with liquidity of the underlying assets which mitigates the likelihood of them contributing to the build-up of systemic risks.</w:t>
      </w:r>
      <w:r>
        <w:rPr>
          <w:lang w:val="en-GB"/>
        </w:rPr>
        <w:t xml:space="preserve"> </w:t>
      </w:r>
      <w:r w:rsidR="00B86829" w:rsidRPr="00C51D52">
        <w:t xml:space="preserve">Though certain cohorts of open-ended funds invest in less liquid assets (e.g., real estate funds and </w:t>
      </w:r>
      <w:r w:rsidR="0070756E" w:rsidRPr="00C51D52">
        <w:t xml:space="preserve">some </w:t>
      </w:r>
      <w:r w:rsidR="00B86829" w:rsidRPr="00C51D52">
        <w:t>corporate debt funds), it does not necessarily mean that these funds exhibit a liquidity mismatch</w:t>
      </w:r>
      <w:r w:rsidR="00DC0977" w:rsidRPr="00C51D52">
        <w:t xml:space="preserve"> provided that appropriate use of </w:t>
      </w:r>
      <w:r w:rsidR="0070756E" w:rsidRPr="00C51D52">
        <w:t>LMTs</w:t>
      </w:r>
      <w:r w:rsidR="00DC0977" w:rsidRPr="00C51D52">
        <w:t xml:space="preserve"> is made</w:t>
      </w:r>
      <w:r w:rsidR="00B86829" w:rsidRPr="00C51D52">
        <w:t>.</w:t>
      </w:r>
      <w:r w:rsidR="006D623D" w:rsidRPr="00C51D52">
        <w:t xml:space="preserve"> </w:t>
      </w:r>
    </w:p>
    <w:p w14:paraId="2FE0DC0A" w14:textId="70C1BC0E" w:rsidR="00330CCC" w:rsidRPr="00C51D52" w:rsidRDefault="00330CCC" w:rsidP="004862A9">
      <w:pPr>
        <w:pBdr>
          <w:top w:val="single" w:sz="4" w:space="1" w:color="auto"/>
          <w:left w:val="single" w:sz="4" w:space="4" w:color="auto"/>
          <w:bottom w:val="single" w:sz="4" w:space="1" w:color="auto"/>
          <w:right w:val="single" w:sz="4" w:space="4" w:color="auto"/>
        </w:pBdr>
        <w:jc w:val="both"/>
      </w:pPr>
      <w:r w:rsidRPr="00C51D52">
        <w:t xml:space="preserve">For the regulated NBFI sector, </w:t>
      </w:r>
      <w:r w:rsidR="00112F51" w:rsidRPr="00C51D52">
        <w:t xml:space="preserve">such as the fund sector, </w:t>
      </w:r>
      <w:r w:rsidRPr="00C51D52">
        <w:t>the focus should not be on further regulati</w:t>
      </w:r>
      <w:r w:rsidR="002E167D" w:rsidRPr="00C51D52">
        <w:t xml:space="preserve">ng these </w:t>
      </w:r>
      <w:r w:rsidR="00616BB3" w:rsidRPr="00C51D52">
        <w:t>entities and activities</w:t>
      </w:r>
      <w:r w:rsidRPr="00C51D52">
        <w:t xml:space="preserve"> but rather on improving the </w:t>
      </w:r>
      <w:r w:rsidR="002E167D" w:rsidRPr="00C51D52">
        <w:t xml:space="preserve">resilience of the </w:t>
      </w:r>
      <w:r w:rsidRPr="00C51D52">
        <w:t>broader financial system.</w:t>
      </w:r>
      <w:r w:rsidR="000E24C1" w:rsidRPr="00C51D52">
        <w:t xml:space="preserve"> </w:t>
      </w:r>
      <w:r w:rsidRPr="00C51D52">
        <w:t>This can be achieved through targeted recommendations and proposals,</w:t>
      </w:r>
      <w:r w:rsidR="000E24C1" w:rsidRPr="00C51D52">
        <w:t xml:space="preserve"> which are detailed throughout our response to the consultation. However, some of our key recommendations are highlighted below for better understanding.</w:t>
      </w:r>
    </w:p>
    <w:p w14:paraId="5B14D674" w14:textId="3B862C0D" w:rsidR="00BD3667" w:rsidRPr="00C51D52" w:rsidRDefault="00BD3667" w:rsidP="004862A9">
      <w:pPr>
        <w:pBdr>
          <w:top w:val="single" w:sz="4" w:space="1" w:color="auto"/>
          <w:left w:val="single" w:sz="4" w:space="4" w:color="auto"/>
          <w:bottom w:val="single" w:sz="4" w:space="1" w:color="auto"/>
          <w:right w:val="single" w:sz="4" w:space="4" w:color="auto"/>
        </w:pBdr>
        <w:jc w:val="both"/>
        <w:rPr>
          <w:b/>
          <w:bCs/>
        </w:rPr>
      </w:pPr>
      <w:r w:rsidRPr="00C51D52">
        <w:rPr>
          <w:b/>
          <w:bCs/>
        </w:rPr>
        <w:t>Recommendations</w:t>
      </w:r>
    </w:p>
    <w:p w14:paraId="1349DB26" w14:textId="22A1034C" w:rsidR="00BD3667" w:rsidRPr="00C51D52" w:rsidRDefault="00BD3667" w:rsidP="000E24C1">
      <w:pPr>
        <w:pStyle w:val="ListParagraph"/>
        <w:numPr>
          <w:ilvl w:val="0"/>
          <w:numId w:val="20"/>
        </w:numPr>
        <w:pBdr>
          <w:top w:val="single" w:sz="4" w:space="1" w:color="auto"/>
          <w:left w:val="single" w:sz="4" w:space="4" w:color="auto"/>
          <w:bottom w:val="single" w:sz="4" w:space="1" w:color="auto"/>
          <w:right w:val="single" w:sz="4" w:space="4" w:color="auto"/>
        </w:pBdr>
        <w:jc w:val="both"/>
      </w:pPr>
      <w:r w:rsidRPr="00C51D52">
        <w:rPr>
          <w:u w:val="single"/>
        </w:rPr>
        <w:t>Liquidity Preparedness</w:t>
      </w:r>
      <w:r w:rsidR="00AB6A73" w:rsidRPr="00C51D52">
        <w:t>:</w:t>
      </w:r>
      <w:r w:rsidR="00DA5AE8">
        <w:t xml:space="preserve"> </w:t>
      </w:r>
      <w:r w:rsidRPr="00C51D52">
        <w:t xml:space="preserve">Increase the liquidity preparedness </w:t>
      </w:r>
      <w:r w:rsidR="004C3BDF" w:rsidRPr="00C51D52">
        <w:t xml:space="preserve">of </w:t>
      </w:r>
      <w:r w:rsidRPr="00C51D52">
        <w:t>market participants</w:t>
      </w:r>
      <w:r w:rsidR="00FC3EB9" w:rsidRPr="00C51D52">
        <w:t>, in part</w:t>
      </w:r>
      <w:r w:rsidR="0070756E" w:rsidRPr="00C51D52">
        <w:t>icular</w:t>
      </w:r>
      <w:r w:rsidR="00FC3EB9" w:rsidRPr="00C51D52">
        <w:t xml:space="preserve"> by increasing the </w:t>
      </w:r>
      <w:r w:rsidRPr="00C51D52">
        <w:t xml:space="preserve">transparency and predictability of margin calls. Being able to </w:t>
      </w:r>
      <w:r w:rsidR="00FC3EB9" w:rsidRPr="00C51D52">
        <w:t>use</w:t>
      </w:r>
      <w:r w:rsidRPr="00C51D52">
        <w:t xml:space="preserve"> highly liquid assets</w:t>
      </w:r>
      <w:r w:rsidR="00FC3EB9" w:rsidRPr="00C51D52">
        <w:t xml:space="preserve"> (such as MMFs)</w:t>
      </w:r>
      <w:r w:rsidRPr="00C51D52">
        <w:t>, alongside cash, as collateral for margin calls would limit the contagion during stress</w:t>
      </w:r>
      <w:r w:rsidR="00FC3EB9" w:rsidRPr="00C51D52">
        <w:t>ed</w:t>
      </w:r>
      <w:r w:rsidRPr="00C51D52">
        <w:t xml:space="preserve"> market conditions and contribute to financial stability.</w:t>
      </w:r>
    </w:p>
    <w:p w14:paraId="3276DF08" w14:textId="3A7D38D7" w:rsidR="00BD3667" w:rsidRPr="00C51D52" w:rsidRDefault="00BD3667" w:rsidP="000E24C1">
      <w:pPr>
        <w:pStyle w:val="ListParagraph"/>
        <w:numPr>
          <w:ilvl w:val="0"/>
          <w:numId w:val="20"/>
        </w:numPr>
        <w:pBdr>
          <w:top w:val="single" w:sz="4" w:space="1" w:color="auto"/>
          <w:left w:val="single" w:sz="4" w:space="4" w:color="auto"/>
          <w:bottom w:val="single" w:sz="4" w:space="1" w:color="auto"/>
          <w:right w:val="single" w:sz="4" w:space="4" w:color="auto"/>
        </w:pBdr>
        <w:jc w:val="both"/>
      </w:pPr>
      <w:r w:rsidRPr="00C51D52">
        <w:rPr>
          <w:u w:val="single"/>
        </w:rPr>
        <w:t xml:space="preserve">Use </w:t>
      </w:r>
      <w:r w:rsidR="00FC3EB9" w:rsidRPr="00C51D52">
        <w:rPr>
          <w:u w:val="single"/>
        </w:rPr>
        <w:t>E</w:t>
      </w:r>
      <w:r w:rsidRPr="00C51D52">
        <w:rPr>
          <w:u w:val="single"/>
        </w:rPr>
        <w:t xml:space="preserve">xisting </w:t>
      </w:r>
      <w:r w:rsidR="00FC3EB9" w:rsidRPr="00C51D52">
        <w:rPr>
          <w:u w:val="single"/>
        </w:rPr>
        <w:t>M</w:t>
      </w:r>
      <w:r w:rsidRPr="00C51D52">
        <w:rPr>
          <w:u w:val="single"/>
        </w:rPr>
        <w:t xml:space="preserve">icro-and </w:t>
      </w:r>
      <w:r w:rsidR="00FC3EB9" w:rsidRPr="00C51D52">
        <w:rPr>
          <w:u w:val="single"/>
        </w:rPr>
        <w:t>M</w:t>
      </w:r>
      <w:r w:rsidRPr="00C51D52">
        <w:rPr>
          <w:u w:val="single"/>
        </w:rPr>
        <w:t xml:space="preserve">acro-prudential </w:t>
      </w:r>
      <w:r w:rsidR="00FC3EB9" w:rsidRPr="00C51D52">
        <w:rPr>
          <w:u w:val="single"/>
        </w:rPr>
        <w:t>T</w:t>
      </w:r>
      <w:r w:rsidRPr="00C51D52">
        <w:rPr>
          <w:u w:val="single"/>
        </w:rPr>
        <w:t>ools</w:t>
      </w:r>
      <w:r w:rsidR="000E24C1" w:rsidRPr="00C51D52">
        <w:t xml:space="preserve">: </w:t>
      </w:r>
      <w:r w:rsidRPr="00C51D52">
        <w:t xml:space="preserve">Investment funds </w:t>
      </w:r>
      <w:r w:rsidR="00BB3442" w:rsidRPr="00C51D52">
        <w:t xml:space="preserve">can rely on LMTs to manage redemptions (especially unexpected ones) and </w:t>
      </w:r>
      <w:r w:rsidRPr="00C51D52">
        <w:t>do not need to ensure a perfect match between the liquidity of their assets and</w:t>
      </w:r>
      <w:r w:rsidR="00BB3442" w:rsidRPr="00C51D52">
        <w:t xml:space="preserve"> the potential for redemptions.</w:t>
      </w:r>
      <w:r w:rsidRPr="00C51D52">
        <w:t xml:space="preserve"> The uniform</w:t>
      </w:r>
      <w:r w:rsidR="00BB3442" w:rsidRPr="00C51D52">
        <w:t>, wide spread and rigorous</w:t>
      </w:r>
      <w:r w:rsidRPr="00C51D52">
        <w:t xml:space="preserve"> use of LMTs, as adopted under the AIFM/UCITS Directives’ review, will contribute to macroeconomic stability.</w:t>
      </w:r>
    </w:p>
    <w:p w14:paraId="1377DD9B" w14:textId="1D661246" w:rsidR="00BD3667" w:rsidRPr="00C51D52" w:rsidRDefault="00BD3667" w:rsidP="000E24C1">
      <w:pPr>
        <w:pStyle w:val="ListParagraph"/>
        <w:numPr>
          <w:ilvl w:val="0"/>
          <w:numId w:val="20"/>
        </w:numPr>
        <w:pBdr>
          <w:top w:val="single" w:sz="4" w:space="1" w:color="auto"/>
          <w:left w:val="single" w:sz="4" w:space="4" w:color="auto"/>
          <w:bottom w:val="single" w:sz="4" w:space="1" w:color="auto"/>
          <w:right w:val="single" w:sz="4" w:space="4" w:color="auto"/>
        </w:pBdr>
        <w:jc w:val="both"/>
      </w:pPr>
      <w:r w:rsidRPr="00C51D52">
        <w:rPr>
          <w:u w:val="single"/>
        </w:rPr>
        <w:t xml:space="preserve">Stress </w:t>
      </w:r>
      <w:r w:rsidR="00BB3442" w:rsidRPr="00C51D52">
        <w:rPr>
          <w:u w:val="single"/>
        </w:rPr>
        <w:t>T</w:t>
      </w:r>
      <w:r w:rsidRPr="00C51D52">
        <w:rPr>
          <w:u w:val="single"/>
        </w:rPr>
        <w:t>esting</w:t>
      </w:r>
      <w:r w:rsidR="000E24C1" w:rsidRPr="00C51D52">
        <w:t xml:space="preserve">: </w:t>
      </w:r>
      <w:r w:rsidRPr="00C51D52">
        <w:t>Enhanced supervisory stress testing frameworks may help inform the selection and use of specific LMTs by management companies.</w:t>
      </w:r>
    </w:p>
    <w:p w14:paraId="7C595DD0" w14:textId="6BF84FFC" w:rsidR="00BD3667" w:rsidRPr="00C51D52" w:rsidRDefault="00BD3667" w:rsidP="000E24C1">
      <w:pPr>
        <w:pStyle w:val="ListParagraph"/>
        <w:numPr>
          <w:ilvl w:val="0"/>
          <w:numId w:val="20"/>
        </w:numPr>
        <w:pBdr>
          <w:top w:val="single" w:sz="4" w:space="1" w:color="auto"/>
          <w:left w:val="single" w:sz="4" w:space="4" w:color="auto"/>
          <w:bottom w:val="single" w:sz="4" w:space="1" w:color="auto"/>
          <w:right w:val="single" w:sz="4" w:space="4" w:color="auto"/>
        </w:pBdr>
        <w:jc w:val="both"/>
      </w:pPr>
      <w:r w:rsidRPr="00C51D52">
        <w:rPr>
          <w:u w:val="single"/>
        </w:rPr>
        <w:lastRenderedPageBreak/>
        <w:t xml:space="preserve">Make </w:t>
      </w:r>
      <w:r w:rsidR="00E257C9" w:rsidRPr="00C51D52">
        <w:rPr>
          <w:u w:val="single"/>
        </w:rPr>
        <w:t>B</w:t>
      </w:r>
      <w:r w:rsidRPr="00C51D52">
        <w:rPr>
          <w:u w:val="single"/>
        </w:rPr>
        <w:t xml:space="preserve">etter </w:t>
      </w:r>
      <w:r w:rsidR="00E257C9" w:rsidRPr="00C51D52">
        <w:rPr>
          <w:u w:val="single"/>
        </w:rPr>
        <w:t>U</w:t>
      </w:r>
      <w:r w:rsidRPr="00C51D52">
        <w:rPr>
          <w:u w:val="single"/>
        </w:rPr>
        <w:t xml:space="preserve">se of </w:t>
      </w:r>
      <w:r w:rsidR="00E257C9" w:rsidRPr="00C51D52">
        <w:rPr>
          <w:u w:val="single"/>
        </w:rPr>
        <w:t>E</w:t>
      </w:r>
      <w:r w:rsidRPr="00C51D52">
        <w:rPr>
          <w:u w:val="single"/>
        </w:rPr>
        <w:t xml:space="preserve">xisting </w:t>
      </w:r>
      <w:r w:rsidR="00E257C9" w:rsidRPr="00C51D52">
        <w:rPr>
          <w:u w:val="single"/>
        </w:rPr>
        <w:t>S</w:t>
      </w:r>
      <w:r w:rsidRPr="00C51D52">
        <w:rPr>
          <w:u w:val="single"/>
        </w:rPr>
        <w:t xml:space="preserve">upervisory </w:t>
      </w:r>
      <w:r w:rsidR="00E257C9" w:rsidRPr="00C51D52">
        <w:rPr>
          <w:u w:val="single"/>
        </w:rPr>
        <w:t>D</w:t>
      </w:r>
      <w:r w:rsidRPr="00C51D52">
        <w:rPr>
          <w:u w:val="single"/>
        </w:rPr>
        <w:t>ata</w:t>
      </w:r>
      <w:r w:rsidR="000E24C1" w:rsidRPr="00C51D52">
        <w:t xml:space="preserve">: </w:t>
      </w:r>
      <w:r w:rsidRPr="00C51D52">
        <w:t xml:space="preserve">Much of the information that regulators need to </w:t>
      </w:r>
      <w:proofErr w:type="spellStart"/>
      <w:r w:rsidRPr="00C51D52">
        <w:t>analyse</w:t>
      </w:r>
      <w:proofErr w:type="spellEnd"/>
      <w:r w:rsidRPr="00C51D52">
        <w:t xml:space="preserve"> macroeconomic risk already exists. In the EU, even richer data will exist after the introduction of the enhanced reporting regime under the AIFMD review. However, ESMA could support greater sharing of supervisory data between national authorities.</w:t>
      </w:r>
    </w:p>
    <w:p w14:paraId="3F8B28A5" w14:textId="2D52F328" w:rsidR="000E24C1" w:rsidRPr="00C51D52" w:rsidRDefault="00BD3667" w:rsidP="000E24C1">
      <w:pPr>
        <w:pStyle w:val="ListParagraph"/>
        <w:numPr>
          <w:ilvl w:val="0"/>
          <w:numId w:val="20"/>
        </w:numPr>
        <w:pBdr>
          <w:top w:val="single" w:sz="4" w:space="1" w:color="auto"/>
          <w:left w:val="single" w:sz="4" w:space="4" w:color="auto"/>
          <w:bottom w:val="single" w:sz="4" w:space="1" w:color="auto"/>
          <w:right w:val="single" w:sz="4" w:space="4" w:color="auto"/>
        </w:pBdr>
        <w:jc w:val="both"/>
      </w:pPr>
      <w:r w:rsidRPr="00C51D52">
        <w:rPr>
          <w:u w:val="single"/>
        </w:rPr>
        <w:t xml:space="preserve">International </w:t>
      </w:r>
      <w:r w:rsidR="00E257C9" w:rsidRPr="00C51D52">
        <w:rPr>
          <w:u w:val="single"/>
        </w:rPr>
        <w:t>S</w:t>
      </w:r>
      <w:r w:rsidRPr="00C51D52">
        <w:rPr>
          <w:u w:val="single"/>
        </w:rPr>
        <w:t xml:space="preserve">upervisory </w:t>
      </w:r>
      <w:r w:rsidR="00E257C9" w:rsidRPr="00C51D52">
        <w:rPr>
          <w:u w:val="single"/>
        </w:rPr>
        <w:t>C</w:t>
      </w:r>
      <w:r w:rsidRPr="00C51D52">
        <w:rPr>
          <w:u w:val="single"/>
        </w:rPr>
        <w:t>ollaboration</w:t>
      </w:r>
      <w:r w:rsidR="000E24C1" w:rsidRPr="00C51D52">
        <w:t>:</w:t>
      </w:r>
      <w:r w:rsidR="00DA5AE8">
        <w:t xml:space="preserve"> </w:t>
      </w:r>
      <w:r w:rsidRPr="00C51D52">
        <w:t>Further harmonization for the purpose of macroeconomic systemic risk assessments would be helpful. At the same time, it should be considered how data can be shared with firms</w:t>
      </w:r>
      <w:r w:rsidR="002324E0" w:rsidRPr="00C51D52">
        <w:t>. F</w:t>
      </w:r>
      <w:r w:rsidRPr="00C51D52">
        <w:t>or example</w:t>
      </w:r>
      <w:r w:rsidR="002324E0" w:rsidRPr="00C51D52">
        <w:t>,</w:t>
      </w:r>
      <w:r w:rsidRPr="00C51D52">
        <w:t xml:space="preserve"> data that is relevant for banks’ counterparty risk assessments.</w:t>
      </w:r>
      <w:r w:rsidR="000E24C1" w:rsidRPr="00C51D52">
        <w:t xml:space="preserve"> </w:t>
      </w:r>
    </w:p>
    <w:p w14:paraId="7080EFE9" w14:textId="19195452" w:rsidR="00BD3667" w:rsidRPr="00C51D52" w:rsidRDefault="00BD3667" w:rsidP="004862A9">
      <w:pPr>
        <w:pBdr>
          <w:top w:val="single" w:sz="4" w:space="1" w:color="auto"/>
          <w:left w:val="single" w:sz="4" w:space="4" w:color="auto"/>
          <w:bottom w:val="single" w:sz="4" w:space="1" w:color="auto"/>
          <w:right w:val="single" w:sz="4" w:space="4" w:color="auto"/>
        </w:pBdr>
        <w:jc w:val="both"/>
        <w:rPr>
          <w:b/>
          <w:bCs/>
        </w:rPr>
      </w:pPr>
      <w:r w:rsidRPr="00C51D52">
        <w:rPr>
          <w:b/>
          <w:bCs/>
        </w:rPr>
        <w:t>Unregulated Sectors</w:t>
      </w:r>
    </w:p>
    <w:p w14:paraId="0E04C761" w14:textId="62471627" w:rsidR="009D18F2" w:rsidRPr="00C51D52" w:rsidRDefault="00231263" w:rsidP="00814A21">
      <w:pPr>
        <w:pBdr>
          <w:top w:val="single" w:sz="4" w:space="1" w:color="auto"/>
          <w:left w:val="single" w:sz="4" w:space="4" w:color="auto"/>
          <w:bottom w:val="single" w:sz="4" w:space="1" w:color="auto"/>
          <w:right w:val="single" w:sz="4" w:space="4" w:color="auto"/>
        </w:pBdr>
        <w:jc w:val="both"/>
      </w:pPr>
      <w:r w:rsidRPr="00C51D52">
        <w:t>It is also important to assess the systemic risks that may arise from other, less regulated or unregulated sectors within the</w:t>
      </w:r>
      <w:r w:rsidR="00547A3C" w:rsidRPr="00C51D52">
        <w:t xml:space="preserve"> </w:t>
      </w:r>
      <w:r w:rsidRPr="00C51D52">
        <w:t>NBFI landscape</w:t>
      </w:r>
      <w:r w:rsidR="007F0A74" w:rsidRPr="00C51D52">
        <w:t xml:space="preserve"> (e.g</w:t>
      </w:r>
      <w:r w:rsidR="00F4202B" w:rsidRPr="00C51D52">
        <w:t>.</w:t>
      </w:r>
      <w:r w:rsidR="007F0A74" w:rsidRPr="00C51D52">
        <w:t xml:space="preserve">, </w:t>
      </w:r>
      <w:r w:rsidR="00B33989" w:rsidRPr="00C51D52">
        <w:t>b</w:t>
      </w:r>
      <w:r w:rsidR="00F4202B" w:rsidRPr="00C51D52">
        <w:t xml:space="preserve">ig </w:t>
      </w:r>
      <w:r w:rsidR="00B33989" w:rsidRPr="00C51D52">
        <w:t>t</w:t>
      </w:r>
      <w:r w:rsidR="00F4202B" w:rsidRPr="00C51D52">
        <w:t>echs, crypto</w:t>
      </w:r>
      <w:r w:rsidR="000E24C1" w:rsidRPr="00C51D52">
        <w:t xml:space="preserve"> asset</w:t>
      </w:r>
      <w:r w:rsidR="00F4202B" w:rsidRPr="00C51D52">
        <w:t xml:space="preserve"> markets</w:t>
      </w:r>
      <w:r w:rsidR="009B1693" w:rsidRPr="00C51D52">
        <w:t>, sovereign wealth funds</w:t>
      </w:r>
      <w:r w:rsidR="00F4202B" w:rsidRPr="00C51D52">
        <w:t>)</w:t>
      </w:r>
      <w:r w:rsidRPr="00C51D52">
        <w:t>.</w:t>
      </w:r>
      <w:r w:rsidR="00751F56" w:rsidRPr="00C51D52">
        <w:t xml:space="preserve"> However, it is not necessarily the case that an entire sector can said to </w:t>
      </w:r>
      <w:r w:rsidR="00035B0B" w:rsidRPr="00C51D52">
        <w:t>be contributing to systemic risk. Instead, there may be certain activities being carried on within a sector, or across several sectors, that may potentially contribute to systemic risk. Accordingly, regulator</w:t>
      </w:r>
      <w:r w:rsidR="00F128CD" w:rsidRPr="00C51D52">
        <w:t>s</w:t>
      </w:r>
      <w:r w:rsidR="00035B0B" w:rsidRPr="00C51D52">
        <w:t xml:space="preserve"> need to approach the identification process from an activity-based perspective rather than a whole </w:t>
      </w:r>
      <w:r w:rsidR="002324E0" w:rsidRPr="00C51D52">
        <w:t>sector-based</w:t>
      </w:r>
      <w:r w:rsidR="00035B0B" w:rsidRPr="00C51D52">
        <w:t xml:space="preserve"> perspective. </w:t>
      </w:r>
      <w:r w:rsidR="00BE7333" w:rsidRPr="00C51D52">
        <w:rPr>
          <w:lang w:val="en-GB"/>
        </w:rPr>
        <w:t>Recognizing</w:t>
      </w:r>
      <w:r w:rsidR="005440F9" w:rsidRPr="00C51D52">
        <w:rPr>
          <w:lang w:val="en-GB"/>
        </w:rPr>
        <w:t xml:space="preserve"> that</w:t>
      </w:r>
      <w:r w:rsidR="00CF4DB8" w:rsidRPr="00C51D52">
        <w:rPr>
          <w:lang w:val="en-GB"/>
        </w:rPr>
        <w:t xml:space="preserve"> macroeconomic risk </w:t>
      </w:r>
      <w:r w:rsidR="00FE26BE" w:rsidRPr="00C51D52">
        <w:rPr>
          <w:lang w:val="en-GB"/>
        </w:rPr>
        <w:t>a</w:t>
      </w:r>
      <w:r w:rsidR="00CF4DB8" w:rsidRPr="00C51D52">
        <w:rPr>
          <w:lang w:val="en-GB"/>
        </w:rPr>
        <w:t xml:space="preserve">ssessments </w:t>
      </w:r>
      <w:r w:rsidR="00A6022F" w:rsidRPr="00C51D52">
        <w:rPr>
          <w:lang w:val="en-GB"/>
        </w:rPr>
        <w:t>should not be confined to</w:t>
      </w:r>
      <w:r w:rsidR="00CF4DB8" w:rsidRPr="00C51D52">
        <w:rPr>
          <w:lang w:val="en-GB"/>
        </w:rPr>
        <w:t xml:space="preserve"> </w:t>
      </w:r>
      <w:r w:rsidR="00064ABE" w:rsidRPr="00C51D52">
        <w:rPr>
          <w:lang w:val="en-GB"/>
        </w:rPr>
        <w:t>the</w:t>
      </w:r>
      <w:r w:rsidR="00CF4DB8" w:rsidRPr="00C51D52">
        <w:rPr>
          <w:lang w:val="en-GB"/>
        </w:rPr>
        <w:t xml:space="preserve"> EU alone, </w:t>
      </w:r>
      <w:r w:rsidR="00435597" w:rsidRPr="00C51D52">
        <w:t xml:space="preserve">we would also support </w:t>
      </w:r>
      <w:r w:rsidR="00075C92" w:rsidRPr="00C51D52">
        <w:t xml:space="preserve">broad international cooperation, specifically the </w:t>
      </w:r>
      <w:r w:rsidR="00435597" w:rsidRPr="00C51D52">
        <w:t>sharing of supervisory data and insights between EU and closely connected financial markets</w:t>
      </w:r>
      <w:r w:rsidR="00DA5AE8">
        <w:t>.</w:t>
      </w:r>
    </w:p>
    <w:p w14:paraId="214CAE65" w14:textId="53135850" w:rsidR="00C51817" w:rsidRPr="00C51D52" w:rsidRDefault="00C51817" w:rsidP="00F37C17">
      <w:pPr>
        <w:pBdr>
          <w:top w:val="single" w:sz="4" w:space="1" w:color="auto"/>
          <w:left w:val="single" w:sz="4" w:space="4" w:color="auto"/>
          <w:bottom w:val="single" w:sz="4" w:space="1" w:color="auto"/>
          <w:right w:val="single" w:sz="4" w:space="4" w:color="auto"/>
        </w:pBdr>
        <w:jc w:val="both"/>
        <w:rPr>
          <w:b/>
          <w:bCs/>
        </w:rPr>
      </w:pPr>
      <w:r w:rsidRPr="00C51D52">
        <w:rPr>
          <w:b/>
          <w:bCs/>
        </w:rPr>
        <w:t>Big tech</w:t>
      </w:r>
      <w:r w:rsidR="00B33989" w:rsidRPr="00C51D52">
        <w:rPr>
          <w:b/>
          <w:bCs/>
        </w:rPr>
        <w:t xml:space="preserve"> </w:t>
      </w:r>
    </w:p>
    <w:p w14:paraId="6ED877C1" w14:textId="568E891D" w:rsidR="001F15B1" w:rsidRPr="00C51D52" w:rsidRDefault="001F15B1" w:rsidP="00490C20">
      <w:pPr>
        <w:pBdr>
          <w:top w:val="single" w:sz="4" w:space="1" w:color="auto"/>
          <w:left w:val="single" w:sz="4" w:space="4" w:color="auto"/>
          <w:bottom w:val="single" w:sz="4" w:space="1" w:color="auto"/>
          <w:right w:val="single" w:sz="4" w:space="4" w:color="auto"/>
        </w:pBdr>
      </w:pPr>
      <w:r w:rsidRPr="00C51D52">
        <w:t>Big tech companies, though currently deriving modest revenue from financial services, have the potential to become “too big to fail” entities within the financial market. Their swift growth in areas such as payments and credit is outpacing traditional banks; for instance, in China during 2020-202</w:t>
      </w:r>
      <w:r w:rsidR="00DA5AE8">
        <w:t>,</w:t>
      </w:r>
      <w:r w:rsidRPr="00C51D52">
        <w:t xml:space="preserve"> big tech credit grew by 37% compared to 13% for bank credit. This accelerated expansion introduces several systemic risks to the financial sector.</w:t>
      </w:r>
    </w:p>
    <w:p w14:paraId="5EFBDAA9" w14:textId="05C19F38" w:rsidR="001F15B1" w:rsidRPr="00C51D52" w:rsidRDefault="001F15B1" w:rsidP="00DA5AE8">
      <w:pPr>
        <w:pBdr>
          <w:top w:val="single" w:sz="4" w:space="1" w:color="auto"/>
          <w:left w:val="single" w:sz="4" w:space="4" w:color="auto"/>
          <w:bottom w:val="single" w:sz="4" w:space="1" w:color="auto"/>
          <w:right w:val="single" w:sz="4" w:space="4" w:color="auto"/>
        </w:pBdr>
      </w:pPr>
      <w:r w:rsidRPr="00C51D52">
        <w:t>Unlike the EU’s well-established regulatory framework in the funds sector, current regulations for big tech remain underdeveloped.</w:t>
      </w:r>
      <w:r w:rsidR="00634FAA">
        <w:t xml:space="preserve"> </w:t>
      </w:r>
      <w:r w:rsidRPr="00C51D52">
        <w:t>They often target individual entities or specific activities rather than addressing the cumulative risks that arise from these companies' integrated operations</w:t>
      </w:r>
      <w:r w:rsidR="00634FAA" w:rsidRPr="00634FAA">
        <w:t>. In addition, regulatory inconsistencies across jurisdictions and between big tech and traditional financial institutions exacerbate these challenges and could threaten financial stability.</w:t>
      </w:r>
      <w:r w:rsidR="00634FAA">
        <w:t xml:space="preserve"> </w:t>
      </w:r>
      <w:r w:rsidRPr="00C51D52">
        <w:t>Existing frameworks do not adequately address the combined risks associated with big tech’s mixed financial and non-financial functions.</w:t>
      </w:r>
    </w:p>
    <w:p w14:paraId="7AA31CD7" w14:textId="7F0067C6" w:rsidR="001F15B1" w:rsidRPr="00C51D52" w:rsidRDefault="001F15B1" w:rsidP="001F15B1">
      <w:pPr>
        <w:pBdr>
          <w:top w:val="single" w:sz="4" w:space="1" w:color="auto"/>
          <w:left w:val="single" w:sz="4" w:space="4" w:color="auto"/>
          <w:bottom w:val="single" w:sz="4" w:space="1" w:color="auto"/>
          <w:right w:val="single" w:sz="4" w:space="4" w:color="auto"/>
        </w:pBdr>
        <w:jc w:val="both"/>
      </w:pPr>
      <w:r w:rsidRPr="00C51D52">
        <w:t>To manage these risks, a comprehensive public policy approach is needed. We advocate for adapting regulatory frameworks to better capture the unique challenges posed by big tech and for enhancing cross-border regulatory cooperation.</w:t>
      </w:r>
    </w:p>
    <w:p w14:paraId="61673839" w14:textId="769768A3" w:rsidR="00D56AAE" w:rsidRPr="00C51D52" w:rsidRDefault="00661996" w:rsidP="00ED0BA9">
      <w:pPr>
        <w:jc w:val="both"/>
      </w:pPr>
      <w:r w:rsidRPr="00C51D52">
        <w:rPr>
          <w:u w:val="single"/>
        </w:rPr>
        <w:lastRenderedPageBreak/>
        <w:t>Question 2</w:t>
      </w:r>
      <w:r w:rsidRPr="00C51D52">
        <w:t xml:space="preserve">. What are the most significant risks for credit institutions stemming from their exposures to NBFIs that you are currently observing? Please provide concrete examples. </w:t>
      </w:r>
    </w:p>
    <w:p w14:paraId="76AFB6A8" w14:textId="2A290C79" w:rsidR="00A17D79" w:rsidRPr="00C51D52" w:rsidRDefault="00A17D79" w:rsidP="00DA5AE8">
      <w:pPr>
        <w:pBdr>
          <w:top w:val="single" w:sz="4" w:space="1" w:color="auto"/>
          <w:left w:val="single" w:sz="4" w:space="4" w:color="auto"/>
          <w:bottom w:val="single" w:sz="4" w:space="1" w:color="auto"/>
          <w:right w:val="single" w:sz="4" w:space="4" w:color="auto"/>
        </w:pBdr>
        <w:jc w:val="both"/>
      </w:pPr>
      <w:r w:rsidRPr="00C51D52">
        <w:t>Additional measures to address these exposures are not necessary for banks. If regulators have concerns about the performance of NBFI exposures, they should focus on NBFI entities that remain outside of regulatory oversight.</w:t>
      </w:r>
      <w:r w:rsidR="00DA5AE8">
        <w:t xml:space="preserve"> </w:t>
      </w:r>
      <w:r w:rsidRPr="00C51D52">
        <w:t xml:space="preserve">Credit institutions effectively manage risks arising from their exposures to </w:t>
      </w:r>
      <w:r w:rsidR="00097683" w:rsidRPr="00C51D52">
        <w:t xml:space="preserve">NBFI </w:t>
      </w:r>
      <w:r w:rsidRPr="00C51D52">
        <w:t>through a variety of measures. In global markets, the primary risk for banks is credit</w:t>
      </w:r>
      <w:r w:rsidR="00DA5AE8">
        <w:t xml:space="preserve"> </w:t>
      </w:r>
      <w:r w:rsidRPr="00C51D52">
        <w:t>counterparty risk (CCR), with Credit Valuation Adjustment (CVA) relevant as well, albeit to a lesser extent. Credit risk is also a consideration for exposures within the banking book.</w:t>
      </w:r>
      <w:r w:rsidR="00DA5AE8">
        <w:t xml:space="preserve"> C</w:t>
      </w:r>
      <w:r w:rsidRPr="00C51D52">
        <w:t>urrent prudential measures account for potential losses from transaction closures and liquidations due to missed margin calls, as well as refinancing risks in risk-off scenarios. For example, the proposed BSBC Counterparty Credit Risk Guidelines emphasize concentration and illiquidity risks when assessing regulatory exposure at default (EAD).</w:t>
      </w:r>
    </w:p>
    <w:p w14:paraId="4FBDEDB1" w14:textId="4AEDCC60" w:rsidR="00B348C8" w:rsidRPr="00C51D52" w:rsidRDefault="00661996" w:rsidP="009B475D">
      <w:r w:rsidRPr="00C51D52">
        <w:rPr>
          <w:u w:val="single"/>
        </w:rPr>
        <w:t xml:space="preserve">Question </w:t>
      </w:r>
      <w:r w:rsidR="00147A53" w:rsidRPr="00C51D52">
        <w:rPr>
          <w:u w:val="single"/>
        </w:rPr>
        <w:t>3</w:t>
      </w:r>
      <w:r w:rsidRPr="00C51D52">
        <w:t xml:space="preserve"> To what extent could the failure of an NBFI affect the provision of critical functions to the real economy or the financial system that cannot easily be replaced? </w:t>
      </w:r>
    </w:p>
    <w:p w14:paraId="3389B698" w14:textId="77777777" w:rsidR="00B348C8" w:rsidRPr="00C51D52" w:rsidRDefault="00B348C8" w:rsidP="009B475D">
      <w:pPr>
        <w:rPr>
          <w:lang w:val="en-GB"/>
        </w:rPr>
      </w:pPr>
      <w:r w:rsidRPr="00C51D52">
        <w:rPr>
          <w:lang w:val="en-GB"/>
        </w:rPr>
        <w:t>1 - To a very low extent</w:t>
      </w:r>
    </w:p>
    <w:p w14:paraId="452EAEE0" w14:textId="77777777" w:rsidR="00B348C8" w:rsidRPr="00C51D52" w:rsidRDefault="00B348C8" w:rsidP="009B475D">
      <w:pPr>
        <w:rPr>
          <w:b/>
          <w:bCs/>
          <w:lang w:val="en-GB"/>
        </w:rPr>
      </w:pPr>
      <w:r w:rsidRPr="00C51D52">
        <w:rPr>
          <w:b/>
          <w:bCs/>
          <w:lang w:val="en-GB"/>
        </w:rPr>
        <w:t>2 - To a low extent</w:t>
      </w:r>
    </w:p>
    <w:p w14:paraId="2AF7900F" w14:textId="77777777" w:rsidR="00B348C8" w:rsidRPr="00C51D52" w:rsidRDefault="00B348C8" w:rsidP="009B475D">
      <w:pPr>
        <w:rPr>
          <w:lang w:val="en-GB"/>
        </w:rPr>
      </w:pPr>
      <w:r w:rsidRPr="00C51D52">
        <w:rPr>
          <w:lang w:val="en-GB"/>
        </w:rPr>
        <w:t>3 - To a significant extent</w:t>
      </w:r>
    </w:p>
    <w:p w14:paraId="765E4A44" w14:textId="77777777" w:rsidR="00B348C8" w:rsidRPr="00C51D52" w:rsidRDefault="00B348C8" w:rsidP="009B475D">
      <w:pPr>
        <w:rPr>
          <w:lang w:val="en-GB"/>
        </w:rPr>
      </w:pPr>
      <w:r w:rsidRPr="00C51D52">
        <w:rPr>
          <w:lang w:val="en-GB"/>
        </w:rPr>
        <w:t>4 - To a high extent</w:t>
      </w:r>
    </w:p>
    <w:p w14:paraId="1A540319" w14:textId="77777777" w:rsidR="00B348C8" w:rsidRPr="00C51D52" w:rsidRDefault="00B348C8" w:rsidP="009B475D">
      <w:pPr>
        <w:rPr>
          <w:lang w:val="en-GB"/>
        </w:rPr>
      </w:pPr>
      <w:r w:rsidRPr="00C51D52">
        <w:rPr>
          <w:lang w:val="en-GB"/>
        </w:rPr>
        <w:t>5 - To a very high extent</w:t>
      </w:r>
    </w:p>
    <w:p w14:paraId="24079B3E" w14:textId="77777777" w:rsidR="00B348C8" w:rsidRPr="00C51D52" w:rsidRDefault="00B348C8" w:rsidP="009B475D">
      <w:pPr>
        <w:rPr>
          <w:lang w:val="en-GB"/>
        </w:rPr>
      </w:pPr>
      <w:r w:rsidRPr="00C51D52">
        <w:rPr>
          <w:lang w:val="en-GB"/>
        </w:rPr>
        <w:t>Don’t know / no opinion / not applicable</w:t>
      </w:r>
    </w:p>
    <w:p w14:paraId="52DB6619" w14:textId="77777777" w:rsidR="00B348C8" w:rsidRPr="00C51D52" w:rsidRDefault="00B348C8" w:rsidP="009B475D">
      <w:pPr>
        <w:rPr>
          <w:lang w:val="en-GB"/>
        </w:rPr>
      </w:pPr>
      <w:r w:rsidRPr="00C51D52">
        <w:rPr>
          <w:lang w:val="en-GB"/>
        </w:rPr>
        <w:t>[Please select one option]</w:t>
      </w:r>
    </w:p>
    <w:p w14:paraId="06BBE530" w14:textId="62436D1D" w:rsidR="0091639E" w:rsidRPr="00C51D52" w:rsidRDefault="00661996" w:rsidP="00F56BC5">
      <w:pPr>
        <w:jc w:val="both"/>
      </w:pPr>
      <w:r w:rsidRPr="00C51D52">
        <w:t xml:space="preserve">Please explain in particular to which NBFI sector, part of the financial system and critical function you refer to, and if and how you believe such knock-on effect could be mitigated. </w:t>
      </w:r>
    </w:p>
    <w:p w14:paraId="2FFB9770" w14:textId="352F102D" w:rsidR="0091639E" w:rsidRPr="00C51D52" w:rsidRDefault="002E1297" w:rsidP="00F56BC5">
      <w:pPr>
        <w:pBdr>
          <w:top w:val="single" w:sz="4" w:space="1" w:color="auto"/>
          <w:left w:val="single" w:sz="4" w:space="4" w:color="auto"/>
          <w:bottom w:val="single" w:sz="4" w:space="1" w:color="auto"/>
          <w:right w:val="single" w:sz="4" w:space="4" w:color="auto"/>
        </w:pBdr>
        <w:jc w:val="both"/>
      </w:pPr>
      <w:r w:rsidRPr="00C51D52">
        <w:t>In regard to MMFs, we believe that the extent to which their failure could affect the provision of critical functions to the real economy or the financial system</w:t>
      </w:r>
      <w:r w:rsidR="00E472A7" w:rsidRPr="00C51D52">
        <w:t xml:space="preserve"> </w:t>
      </w:r>
      <w:r w:rsidRPr="00C51D52">
        <w:t>is low.</w:t>
      </w:r>
      <w:r w:rsidR="00E472A7" w:rsidRPr="00C51D52">
        <w:t xml:space="preserve"> </w:t>
      </w:r>
      <w:r w:rsidR="00DC539D" w:rsidRPr="00C51D52">
        <w:t>T</w:t>
      </w:r>
      <w:r w:rsidR="00B32732" w:rsidRPr="00C51D52">
        <w:t>he 2023 European Commission report showed that</w:t>
      </w:r>
      <w:r w:rsidR="007951F5" w:rsidRPr="00C51D52">
        <w:t xml:space="preserve"> due to the protections of</w:t>
      </w:r>
      <w:r w:rsidR="00B32732" w:rsidRPr="00C51D52">
        <w:t xml:space="preserve"> the MMF Regulation </w:t>
      </w:r>
      <w:r w:rsidR="007951F5" w:rsidRPr="00C51D52">
        <w:t xml:space="preserve">MMFs </w:t>
      </w:r>
      <w:r w:rsidR="00B32732" w:rsidRPr="00C51D52">
        <w:t xml:space="preserve">fared well during the liquidity stress experienced during the COVID-19 related market turmoil of March 2020, the interest rate increases, and related financial asset re-pricing. No EU-based MMF had to introduce redemption fees or gates or to suspend redemptions during these stress events. </w:t>
      </w:r>
    </w:p>
    <w:p w14:paraId="650A17C0" w14:textId="57C39EB6" w:rsidR="00DC539D" w:rsidRPr="00C51D52" w:rsidRDefault="00AD342A" w:rsidP="000C0A5B">
      <w:pPr>
        <w:pBdr>
          <w:top w:val="single" w:sz="4" w:space="1" w:color="auto"/>
          <w:left w:val="single" w:sz="4" w:space="4" w:color="auto"/>
          <w:bottom w:val="single" w:sz="4" w:space="1" w:color="auto"/>
          <w:right w:val="single" w:sz="4" w:space="4" w:color="auto"/>
        </w:pBdr>
        <w:jc w:val="both"/>
      </w:pPr>
      <w:r w:rsidRPr="00C51D52">
        <w:t xml:space="preserve">To </w:t>
      </w:r>
      <w:r w:rsidR="00D71142" w:rsidRPr="00C51D52">
        <w:t xml:space="preserve">further </w:t>
      </w:r>
      <w:r w:rsidRPr="00C51D52">
        <w:t>increase MMFs</w:t>
      </w:r>
      <w:r w:rsidR="00C95DD2" w:rsidRPr="00C51D52">
        <w:t>’</w:t>
      </w:r>
      <w:r w:rsidRPr="00C51D52">
        <w:t xml:space="preserve"> resilience, w</w:t>
      </w:r>
      <w:r w:rsidR="006F14A5" w:rsidRPr="00C51D52">
        <w:t xml:space="preserve">e </w:t>
      </w:r>
      <w:r w:rsidR="00AF1341" w:rsidRPr="00C51D52">
        <w:t xml:space="preserve">are in </w:t>
      </w:r>
      <w:r w:rsidR="00731D33" w:rsidRPr="00C51D52">
        <w:t>favor</w:t>
      </w:r>
      <w:r w:rsidR="006F14A5" w:rsidRPr="00C51D52">
        <w:t xml:space="preserve"> </w:t>
      </w:r>
      <w:r w:rsidR="00AF1341" w:rsidRPr="00C51D52">
        <w:t>of</w:t>
      </w:r>
      <w:r w:rsidR="006F14A5" w:rsidRPr="00C51D52">
        <w:t xml:space="preserve"> </w:t>
      </w:r>
      <w:r w:rsidR="002D2749" w:rsidRPr="00C51D52">
        <w:t>delink</w:t>
      </w:r>
      <w:r w:rsidR="007321E1" w:rsidRPr="00C51D52">
        <w:t>ing</w:t>
      </w:r>
      <w:r w:rsidR="002D2749" w:rsidRPr="00C51D52">
        <w:t xml:space="preserve"> the activation of LMTs from the liquidity buffer requirements for MMFs,</w:t>
      </w:r>
      <w:r w:rsidR="00DA5AE8">
        <w:t xml:space="preserve"> </w:t>
      </w:r>
      <w:r w:rsidR="002D2749" w:rsidRPr="00C51D52">
        <w:t>as</w:t>
      </w:r>
      <w:r w:rsidR="00DA5AE8">
        <w:t xml:space="preserve"> </w:t>
      </w:r>
      <w:r w:rsidR="002D2749" w:rsidRPr="00C51D52">
        <w:t xml:space="preserve">has been proposed in other jurisdictions, </w:t>
      </w:r>
      <w:r w:rsidR="009E51EA" w:rsidRPr="00C51D52">
        <w:t>so that the existing buffers can be used when appropriate.</w:t>
      </w:r>
    </w:p>
    <w:p w14:paraId="1161AEDA" w14:textId="1918BCA7" w:rsidR="00E4445C" w:rsidRPr="00C51D52" w:rsidRDefault="00661996" w:rsidP="00F56BC5">
      <w:pPr>
        <w:jc w:val="both"/>
      </w:pPr>
      <w:r w:rsidRPr="00C51D52">
        <w:rPr>
          <w:u w:val="single"/>
        </w:rPr>
        <w:lastRenderedPageBreak/>
        <w:t xml:space="preserve">Question 4. </w:t>
      </w:r>
      <w:r w:rsidRPr="00C51D52">
        <w:t xml:space="preserve">Where in the NBFI sectors could systemic liquidity risk most likely </w:t>
      </w:r>
      <w:proofErr w:type="spellStart"/>
      <w:r w:rsidRPr="00C51D52">
        <w:t>materialise</w:t>
      </w:r>
      <w:proofErr w:type="spellEnd"/>
      <w:r w:rsidRPr="00C51D52">
        <w:t xml:space="preserve"> and how? Which specific transmission channels of liquidity risk would be most relevant for NBFI? Please provide concrete examples. </w:t>
      </w:r>
    </w:p>
    <w:p w14:paraId="00D90A16" w14:textId="6962CA21" w:rsidR="0091639E" w:rsidRPr="00C51D52" w:rsidRDefault="00D9405C" w:rsidP="00D9405C">
      <w:pPr>
        <w:pBdr>
          <w:top w:val="single" w:sz="4" w:space="1" w:color="auto"/>
          <w:left w:val="single" w:sz="4" w:space="4" w:color="auto"/>
          <w:bottom w:val="single" w:sz="4" w:space="1" w:color="auto"/>
          <w:right w:val="single" w:sz="4" w:space="4" w:color="auto"/>
        </w:pBdr>
        <w:jc w:val="both"/>
      </w:pPr>
      <w:r w:rsidRPr="00C51D52">
        <w:t>The current EU UCITS and AIFM Directives already provide N</w:t>
      </w:r>
      <w:r w:rsidR="00FA665B" w:rsidRPr="00C51D52">
        <w:t>CAs</w:t>
      </w:r>
      <w:r w:rsidRPr="00C51D52">
        <w:t xml:space="preserve"> with tools to monitor and manage the liquidity </w:t>
      </w:r>
      <w:r w:rsidR="004448EE" w:rsidRPr="00C51D52">
        <w:t xml:space="preserve">and leverage </w:t>
      </w:r>
      <w:r w:rsidRPr="00C51D52">
        <w:t xml:space="preserve">profile of funds. By contrast, NCAs have no power to monitor the liquidity profile of non-regulated </w:t>
      </w:r>
      <w:r w:rsidR="002634C1" w:rsidRPr="00C51D52">
        <w:t>NBFIs</w:t>
      </w:r>
      <w:r w:rsidR="00EE490E" w:rsidRPr="00C51D52">
        <w:t>.</w:t>
      </w:r>
      <w:r w:rsidR="0014743A" w:rsidRPr="00C51D52">
        <w:t xml:space="preserve"> Given that the investment fund sector is already highly regulated, it is also appropriate to assess the systemic risks that may arise from other less and non-regulated NBFI sectors</w:t>
      </w:r>
      <w:r w:rsidR="00147A53" w:rsidRPr="00C51D52">
        <w:t xml:space="preserve"> such as crypto-asset service providers (CASPS) and big tech. </w:t>
      </w:r>
      <w:r w:rsidR="005322E9" w:rsidRPr="00C51D52">
        <w:t>We also support ongoing international work to increase the liquidity preparedness among market participants as well as transparency and predictability of margin calls. Being able to put highly liquid assets</w:t>
      </w:r>
      <w:r w:rsidR="002C2013" w:rsidRPr="00C51D52">
        <w:t xml:space="preserve"> (such as MM</w:t>
      </w:r>
      <w:r w:rsidR="00A548F2" w:rsidRPr="00C51D52">
        <w:t>F</w:t>
      </w:r>
      <w:r w:rsidR="002C2013" w:rsidRPr="00C51D52">
        <w:t>s)</w:t>
      </w:r>
      <w:r w:rsidR="005322E9" w:rsidRPr="00C51D52">
        <w:t>, alongside cash, as collateral for margin calls would limit the contagion during stress market conditions and contribute to financial stability.</w:t>
      </w:r>
    </w:p>
    <w:p w14:paraId="48591F89" w14:textId="4A888D8A" w:rsidR="00A57F5F" w:rsidRPr="00C51D52" w:rsidRDefault="00A57F5F" w:rsidP="00DA5AE8">
      <w:pPr>
        <w:pBdr>
          <w:top w:val="single" w:sz="4" w:space="1" w:color="auto"/>
          <w:left w:val="single" w:sz="4" w:space="4" w:color="auto"/>
          <w:bottom w:val="single" w:sz="4" w:space="1" w:color="auto"/>
          <w:right w:val="single" w:sz="4" w:space="4" w:color="auto"/>
        </w:pBdr>
        <w:jc w:val="both"/>
      </w:pPr>
      <w:r w:rsidRPr="00C51D52">
        <w:t xml:space="preserve">The CP contains several references to family offices (as unregulated entities or in relation to </w:t>
      </w:r>
      <w:proofErr w:type="spellStart"/>
      <w:r w:rsidRPr="00C51D52">
        <w:t>Archegos</w:t>
      </w:r>
      <w:proofErr w:type="spellEnd"/>
      <w:r w:rsidRPr="00C51D52">
        <w:t>), i</w:t>
      </w:r>
      <w:r w:rsidR="00A548F2" w:rsidRPr="00C51D52">
        <w:t>n our view, there is very little evidence that family offices</w:t>
      </w:r>
      <w:r w:rsidRPr="00C51D52">
        <w:t xml:space="preserve"> as a category</w:t>
      </w:r>
      <w:r w:rsidR="00A548F2" w:rsidRPr="00C51D52">
        <w:t xml:space="preserve"> </w:t>
      </w:r>
      <w:r w:rsidR="0026144E" w:rsidRPr="00C51D52">
        <w:t>present enhanced risk</w:t>
      </w:r>
      <w:r w:rsidRPr="00C51D52">
        <w:t xml:space="preserve"> and / or </w:t>
      </w:r>
      <w:r w:rsidR="00A548F2" w:rsidRPr="00C51D52">
        <w:t xml:space="preserve">contribute to systemic risk. </w:t>
      </w:r>
      <w:r w:rsidR="0026144E" w:rsidRPr="00C51D52">
        <w:t>in our experience, family offices tend to be conservatively run and, typically, use the services of regulated investment management firms.</w:t>
      </w:r>
      <w:r w:rsidR="00DA5AE8">
        <w:t xml:space="preserve"> </w:t>
      </w:r>
      <w:r w:rsidR="00A548F2" w:rsidRPr="00C51D52">
        <w:t xml:space="preserve">The </w:t>
      </w:r>
      <w:proofErr w:type="spellStart"/>
      <w:r w:rsidR="00A548F2" w:rsidRPr="00C51D52">
        <w:t>Archegos</w:t>
      </w:r>
      <w:proofErr w:type="spellEnd"/>
      <w:r w:rsidR="00A548F2" w:rsidRPr="00C51D52">
        <w:t xml:space="preserve"> incident appears to be a ‘one-off’ example of an improperly (indeed, fraudulently) run family office</w:t>
      </w:r>
      <w:r w:rsidRPr="00C51D52">
        <w:t xml:space="preserve"> that was conducting hedge</w:t>
      </w:r>
      <w:r w:rsidR="0026144E" w:rsidRPr="00C51D52">
        <w:t xml:space="preserve"> </w:t>
      </w:r>
      <w:r w:rsidRPr="00C51D52">
        <w:t xml:space="preserve">fund like </w:t>
      </w:r>
      <w:r w:rsidR="0026144E" w:rsidRPr="00C51D52">
        <w:t>trading strategies</w:t>
      </w:r>
      <w:r w:rsidRPr="00C51D52">
        <w:t xml:space="preserve"> while operat</w:t>
      </w:r>
      <w:r w:rsidR="0026144E" w:rsidRPr="00C51D52">
        <w:t>ing</w:t>
      </w:r>
      <w:r w:rsidRPr="00C51D52">
        <w:t xml:space="preserve"> under </w:t>
      </w:r>
      <w:r w:rsidR="0026144E" w:rsidRPr="00C51D52">
        <w:t>a very</w:t>
      </w:r>
      <w:r w:rsidRPr="00C51D52">
        <w:t xml:space="preserve"> limited regulatory framework.</w:t>
      </w:r>
      <w:r w:rsidR="00DA5AE8">
        <w:t xml:space="preserve"> </w:t>
      </w:r>
      <w:r w:rsidRPr="00C51D52">
        <w:t>This would not have been possible in the EU</w:t>
      </w:r>
      <w:r w:rsidR="0026144E" w:rsidRPr="00C51D52">
        <w:t xml:space="preserve"> nor would they have been able to amass significant positions without being reported</w:t>
      </w:r>
      <w:r w:rsidR="00A548F2" w:rsidRPr="00C51D52">
        <w:t xml:space="preserve">. </w:t>
      </w:r>
    </w:p>
    <w:p w14:paraId="7B7EA66F" w14:textId="698C64BD" w:rsidR="0026144E" w:rsidRPr="00C51D52" w:rsidRDefault="00A57F5F" w:rsidP="00DA5AE8">
      <w:pPr>
        <w:pBdr>
          <w:top w:val="single" w:sz="4" w:space="1" w:color="auto"/>
          <w:left w:val="single" w:sz="4" w:space="4" w:color="auto"/>
          <w:bottom w:val="single" w:sz="4" w:space="1" w:color="auto"/>
          <w:right w:val="single" w:sz="4" w:space="4" w:color="auto"/>
        </w:pBdr>
        <w:jc w:val="both"/>
      </w:pPr>
      <w:r w:rsidRPr="00C51D52">
        <w:t>The</w:t>
      </w:r>
      <w:r w:rsidR="00A548F2" w:rsidRPr="00C51D52">
        <w:t xml:space="preserve"> issue </w:t>
      </w:r>
      <w:r w:rsidR="00587F7F" w:rsidRPr="00C51D52">
        <w:t xml:space="preserve">that led to </w:t>
      </w:r>
      <w:r w:rsidRPr="00C51D52">
        <w:t xml:space="preserve">losses </w:t>
      </w:r>
      <w:r w:rsidR="00587F7F" w:rsidRPr="00C51D52">
        <w:t>in the banking sector was caused by a) a lack of transparency as to the derivatives positions being built up (but the SEC has now proposed rules on reporting large equity-based swap positions which will address this</w:t>
      </w:r>
      <w:r w:rsidR="00C95DD2" w:rsidRPr="00C51D52">
        <w:t>)</w:t>
      </w:r>
      <w:r w:rsidR="00587F7F" w:rsidRPr="00C51D52">
        <w:t xml:space="preserve">; and b) the pledging of the same type of collateral with multiple prime brokers resulting in </w:t>
      </w:r>
      <w:r w:rsidR="00E142EE" w:rsidRPr="00C51D52">
        <w:t>downwards market movement when such collateral needed to be sold (which could have been addressed by a wider range of collateral being pledged).</w:t>
      </w:r>
      <w:r w:rsidR="00DA5AE8">
        <w:t xml:space="preserve"> </w:t>
      </w:r>
      <w:r w:rsidR="0026144E" w:rsidRPr="00C51D52">
        <w:t xml:space="preserve">Regulatory interventions targeting family offices would need to clearly identify risk in the EU and any regulatory gaps, rather than be based on the behavior of a single firm operating outside of the EU under a different regulatory framework. </w:t>
      </w:r>
    </w:p>
    <w:p w14:paraId="3810CE30" w14:textId="084342B8" w:rsidR="008C0E93" w:rsidRPr="00C51D52" w:rsidRDefault="00661996" w:rsidP="00F56BC5">
      <w:pPr>
        <w:jc w:val="both"/>
      </w:pPr>
      <w:r w:rsidRPr="00C51D52">
        <w:rPr>
          <w:u w:val="single"/>
        </w:rPr>
        <w:t>Question 5</w:t>
      </w:r>
      <w:r w:rsidRPr="00C51D52">
        <w:t>. Where in the NBFI sectors do you see build-up of excessive leverage, and why? Which NBFIs could be most vulnerable? Please provide concrete examples.</w:t>
      </w:r>
    </w:p>
    <w:p w14:paraId="3BBAA35D" w14:textId="12CE20B1" w:rsidR="00FE08B0" w:rsidRPr="00C51D52" w:rsidRDefault="00B32732" w:rsidP="009432D9">
      <w:pPr>
        <w:pBdr>
          <w:top w:val="single" w:sz="4" w:space="1" w:color="auto"/>
          <w:left w:val="single" w:sz="4" w:space="4" w:color="auto"/>
          <w:bottom w:val="single" w:sz="4" w:space="1" w:color="auto"/>
          <w:right w:val="single" w:sz="4" w:space="4" w:color="auto"/>
        </w:pBdr>
        <w:jc w:val="both"/>
      </w:pPr>
      <w:r w:rsidRPr="00C51D52">
        <w:t xml:space="preserve">The vast majority of funds do not employ significant leverage. Moreover, leverage is often deployed for reasons other than gaining additional exposure to an underlying market, including for efficient portfolio and risk management purposes. It cannot, however, be excluded that some leveraged investment funds may face steep liquidity demands during periods of stress. For this reason, supervisors should focus on these funds that are at </w:t>
      </w:r>
      <w:r w:rsidRPr="00C51D52">
        <w:lastRenderedPageBreak/>
        <w:t xml:space="preserve">greater risks of a liquidity shortfall due to sudden margin calls. NCAs already have the possibility to introduce leverage limits under the UCITS and AIFM Directives or maintain yield buffers for individual or group of funds to ensure the stability of leveraged positions. The revised AIFMD Directive introduces an absolute </w:t>
      </w:r>
      <w:r w:rsidR="004F7583" w:rsidRPr="00C51D52">
        <w:t xml:space="preserve">leverage </w:t>
      </w:r>
      <w:r w:rsidRPr="00C51D52">
        <w:t>limit for loan originating funds. Therefore, EU regulated funds such as UCITS and AIFs cannot build up excessive leverage, contrary to non-regulated NBFIs</w:t>
      </w:r>
      <w:r w:rsidR="009432D9" w:rsidRPr="00C51D52">
        <w:t>.</w:t>
      </w:r>
      <w:r w:rsidRPr="00C51D52">
        <w:t xml:space="preserve"> </w:t>
      </w:r>
    </w:p>
    <w:p w14:paraId="44313C8F" w14:textId="556B02F1" w:rsidR="00661996" w:rsidRPr="00C51D52" w:rsidRDefault="00147A53" w:rsidP="00F56BC5">
      <w:pPr>
        <w:jc w:val="both"/>
      </w:pPr>
      <w:r w:rsidRPr="00C51D52">
        <w:rPr>
          <w:u w:val="single"/>
        </w:rPr>
        <w:t>Question 6</w:t>
      </w:r>
      <w:r w:rsidR="00661996" w:rsidRPr="00C51D52">
        <w:t xml:space="preserve"> Do you observe any systemic risks and vulnerabilities emerging from crypto assets trading and intermediaries in the EU? </w:t>
      </w:r>
    </w:p>
    <w:p w14:paraId="0AA689FA" w14:textId="4FE9A758" w:rsidR="000B5D08" w:rsidRDefault="000315E0" w:rsidP="00147A53">
      <w:pPr>
        <w:pBdr>
          <w:top w:val="single" w:sz="4" w:space="1" w:color="auto"/>
          <w:left w:val="single" w:sz="4" w:space="4" w:color="auto"/>
          <w:bottom w:val="single" w:sz="4" w:space="1" w:color="auto"/>
          <w:right w:val="single" w:sz="4" w:space="4" w:color="auto"/>
        </w:pBdr>
        <w:jc w:val="both"/>
      </w:pPr>
      <w:r w:rsidRPr="00C51D52">
        <w:t>The integration of crypto assets within the financial ecosystem has introduced new opportunities and risks</w:t>
      </w:r>
      <w:r w:rsidR="00C15686" w:rsidRPr="00C51D52">
        <w:t xml:space="preserve">. Whilst </w:t>
      </w:r>
      <w:r w:rsidR="00216250" w:rsidRPr="00C51D52">
        <w:t>the ESRB has not yet categorized crypto assets as a source of systemic ris</w:t>
      </w:r>
      <w:r w:rsidR="00763066" w:rsidRPr="00C51D52">
        <w:t>k, the</w:t>
      </w:r>
      <w:r w:rsidR="00EE690D" w:rsidRPr="00C51D52">
        <w:t xml:space="preserve">ir novelty, </w:t>
      </w:r>
      <w:r w:rsidR="005F2DC4" w:rsidRPr="00C51D52">
        <w:t>growing scale and</w:t>
      </w:r>
      <w:r w:rsidR="00C51D52" w:rsidRPr="00C51D52">
        <w:t xml:space="preserve"> </w:t>
      </w:r>
      <w:r w:rsidR="002C7DEB" w:rsidRPr="00C51D52">
        <w:t>uneven transparency give</w:t>
      </w:r>
      <w:r w:rsidR="00D75683" w:rsidRPr="00C51D52">
        <w:t>s</w:t>
      </w:r>
      <w:r w:rsidR="002C7DEB" w:rsidRPr="00C51D52">
        <w:t xml:space="preserve"> rise</w:t>
      </w:r>
      <w:r w:rsidR="00763066" w:rsidRPr="00C51D52">
        <w:t xml:space="preserve"> </w:t>
      </w:r>
      <w:r w:rsidR="00D8638E" w:rsidRPr="00C51D52">
        <w:t>to</w:t>
      </w:r>
      <w:r w:rsidR="005446B4">
        <w:t xml:space="preserve"> </w:t>
      </w:r>
      <w:r w:rsidR="00634FAA">
        <w:t>possible</w:t>
      </w:r>
      <w:r w:rsidR="0025508F" w:rsidRPr="00C51D52">
        <w:t xml:space="preserve"> </w:t>
      </w:r>
      <w:r w:rsidR="00763066" w:rsidRPr="00C51D52">
        <w:t>vulnerabilities</w:t>
      </w:r>
      <w:r w:rsidR="00F31356" w:rsidRPr="00C51D52">
        <w:t xml:space="preserve"> that have the potential to destabilize the wider financial system.</w:t>
      </w:r>
    </w:p>
    <w:p w14:paraId="51E56329" w14:textId="1ED57BA9" w:rsidR="00634FAA" w:rsidRPr="00C51D52" w:rsidRDefault="00634FAA" w:rsidP="00634FAA">
      <w:pPr>
        <w:pBdr>
          <w:top w:val="single" w:sz="4" w:space="1" w:color="auto"/>
          <w:left w:val="single" w:sz="4" w:space="4" w:color="auto"/>
          <w:bottom w:val="single" w:sz="4" w:space="1" w:color="auto"/>
          <w:right w:val="single" w:sz="4" w:space="4" w:color="auto"/>
        </w:pBdr>
        <w:jc w:val="both"/>
      </w:pPr>
      <w:r>
        <w:t>We also note the recently finalized Markets in Crypto Assets Regulation (</w:t>
      </w:r>
      <w:proofErr w:type="spellStart"/>
      <w:r>
        <w:t>MiCA</w:t>
      </w:r>
      <w:proofErr w:type="spellEnd"/>
      <w:r>
        <w:t xml:space="preserve">) </w:t>
      </w:r>
      <w:r w:rsidRPr="00B65620">
        <w:t xml:space="preserve">introduced by the </w:t>
      </w:r>
      <w:r>
        <w:t>EU</w:t>
      </w:r>
      <w:r w:rsidRPr="00B65620">
        <w:t xml:space="preserve"> to regulate the cryptocurrency and digital assets market</w:t>
      </w:r>
      <w:r>
        <w:t xml:space="preserve"> and address these risks. H</w:t>
      </w:r>
      <w:r w:rsidRPr="00B65620">
        <w:t xml:space="preserve">owever systemic implications could arise </w:t>
      </w:r>
      <w:r>
        <w:t>for</w:t>
      </w:r>
      <w:r w:rsidRPr="00B65620">
        <w:t xml:space="preserve"> </w:t>
      </w:r>
      <w:r>
        <w:t>NBFI’s</w:t>
      </w:r>
      <w:r w:rsidRPr="00B65620">
        <w:t xml:space="preserve"> in the EU from </w:t>
      </w:r>
      <w:r>
        <w:t xml:space="preserve">crypto asset service providers </w:t>
      </w:r>
      <w:r w:rsidRPr="00B65620">
        <w:t>based outside the EU</w:t>
      </w:r>
      <w:r>
        <w:t>.</w:t>
      </w:r>
    </w:p>
    <w:p w14:paraId="66885CB4" w14:textId="77777777" w:rsidR="00DA5AE8" w:rsidRDefault="000315E0" w:rsidP="00D57E13">
      <w:pPr>
        <w:pBdr>
          <w:top w:val="single" w:sz="4" w:space="1" w:color="auto"/>
          <w:left w:val="single" w:sz="4" w:space="4" w:color="auto"/>
          <w:bottom w:val="single" w:sz="4" w:space="1" w:color="auto"/>
          <w:right w:val="single" w:sz="4" w:space="4" w:color="auto"/>
        </w:pBdr>
        <w:jc w:val="both"/>
      </w:pPr>
      <w:r w:rsidRPr="00C51D52">
        <w:t>Crypto markets are characterized by extreme price volatility, and NBFIs engaging in crypto-related activities are exposed to rapid shifts in asset values.</w:t>
      </w:r>
      <w:r w:rsidR="004716A0" w:rsidRPr="00C51D52">
        <w:t xml:space="preserve"> </w:t>
      </w:r>
      <w:r w:rsidRPr="00C51D52">
        <w:t>In the event of a market downturn, forced liquidations could affect not only the NBFIs themselves but also their investors, creditors, and counterparties, creating a potential contagion effect within the broader financial system</w:t>
      </w:r>
      <w:r w:rsidR="00D57E13" w:rsidRPr="00C51D52">
        <w:t>. G</w:t>
      </w:r>
      <w:r w:rsidRPr="00C51D52">
        <w:t xml:space="preserve">iven the illiquid nature of many crypto assets, NBFIs may </w:t>
      </w:r>
      <w:r w:rsidR="00D57E13" w:rsidRPr="00C51D52">
        <w:t xml:space="preserve">also </w:t>
      </w:r>
      <w:r w:rsidRPr="00C51D52">
        <w:t>face challenges in quickly unwinding positions during times of market stress.</w:t>
      </w:r>
      <w:r w:rsidR="00DA5AE8">
        <w:t xml:space="preserve"> </w:t>
      </w:r>
      <w:r w:rsidRPr="00C51D52">
        <w:t>This could lead to liquidity shortages, especially</w:t>
      </w:r>
      <w:r w:rsidR="00147A53" w:rsidRPr="00C51D52">
        <w:t xml:space="preserve"> for the non-regulated NBFI sector.</w:t>
      </w:r>
    </w:p>
    <w:p w14:paraId="25EAC2C3" w14:textId="66264DED" w:rsidR="000315E0" w:rsidRPr="00C51D52" w:rsidRDefault="00813EE5" w:rsidP="00D57E13">
      <w:pPr>
        <w:pBdr>
          <w:top w:val="single" w:sz="4" w:space="1" w:color="auto"/>
          <w:left w:val="single" w:sz="4" w:space="4" w:color="auto"/>
          <w:bottom w:val="single" w:sz="4" w:space="1" w:color="auto"/>
          <w:right w:val="single" w:sz="4" w:space="4" w:color="auto"/>
        </w:pBdr>
        <w:jc w:val="both"/>
      </w:pPr>
      <w:r w:rsidRPr="00C51D52">
        <w:t>However, the challenges stemming from extreme price volatility and liquidity shortages are not concerning for the regulated EU fund sector</w:t>
      </w:r>
      <w:r w:rsidR="00D06B09" w:rsidRPr="00C51D52">
        <w:t xml:space="preserve">, </w:t>
      </w:r>
      <w:r w:rsidRPr="00C51D52">
        <w:t xml:space="preserve">as there are already frameworks with existing rules in place to mitigate these risks. Nonetheless, regulators </w:t>
      </w:r>
      <w:r w:rsidR="00B11478" w:rsidRPr="00C51D52">
        <w:t>should</w:t>
      </w:r>
      <w:r w:rsidRPr="00C51D52">
        <w:t xml:space="preserve"> address these vulnerabilities within the non-regulated NBFI</w:t>
      </w:r>
      <w:r w:rsidR="00363D79" w:rsidRPr="00C51D52">
        <w:t xml:space="preserve">s that have </w:t>
      </w:r>
      <w:r w:rsidR="006F5061" w:rsidRPr="00C51D52">
        <w:t xml:space="preserve">significant crypto </w:t>
      </w:r>
      <w:r w:rsidR="00092583" w:rsidRPr="00C51D52">
        <w:t>exposure</w:t>
      </w:r>
      <w:r w:rsidRPr="00C51D52">
        <w:t xml:space="preserve"> to ensure overall financial stability.</w:t>
      </w:r>
    </w:p>
    <w:p w14:paraId="318D1784" w14:textId="374DD8E5" w:rsidR="000315E0" w:rsidRPr="00C51D52" w:rsidRDefault="00EF1549" w:rsidP="007319ED">
      <w:pPr>
        <w:pBdr>
          <w:top w:val="single" w:sz="4" w:space="1" w:color="auto"/>
          <w:left w:val="single" w:sz="4" w:space="4" w:color="auto"/>
          <w:bottom w:val="single" w:sz="4" w:space="1" w:color="auto"/>
          <w:right w:val="single" w:sz="4" w:space="4" w:color="auto"/>
        </w:pBdr>
        <w:jc w:val="both"/>
      </w:pPr>
      <w:r w:rsidRPr="00C51D52">
        <w:t>Tr</w:t>
      </w:r>
      <w:r w:rsidR="007E1BFD" w:rsidRPr="00C51D52">
        <w:t>aditional banks</w:t>
      </w:r>
      <w:r w:rsidR="0022791D" w:rsidRPr="00C51D52">
        <w:t xml:space="preserve"> engaging in crypto-backed lending</w:t>
      </w:r>
      <w:r w:rsidR="007E1BFD" w:rsidRPr="00C51D52">
        <w:t xml:space="preserve"> </w:t>
      </w:r>
      <w:r w:rsidR="000B4DCD" w:rsidRPr="00C51D52">
        <w:t>benefit</w:t>
      </w:r>
      <w:r w:rsidR="00AF5A18" w:rsidRPr="00C51D52">
        <w:t xml:space="preserve"> </w:t>
      </w:r>
      <w:r w:rsidR="000B4DCD" w:rsidRPr="00C51D52">
        <w:t xml:space="preserve">from </w:t>
      </w:r>
      <w:r w:rsidR="00AF5A18" w:rsidRPr="00C51D52">
        <w:t>stric</w:t>
      </w:r>
      <w:r w:rsidR="00D0130B" w:rsidRPr="00C51D52">
        <w:t>ter regulatory oversight</w:t>
      </w:r>
      <w:r w:rsidR="008F3AFF" w:rsidRPr="00C51D52">
        <w:t>,</w:t>
      </w:r>
      <w:r w:rsidR="003240ED" w:rsidRPr="00C51D52">
        <w:t xml:space="preserve"> </w:t>
      </w:r>
      <w:r w:rsidR="00975B66" w:rsidRPr="00C51D52">
        <w:t>financial buffers</w:t>
      </w:r>
      <w:r w:rsidR="002D01E6" w:rsidRPr="00C51D52">
        <w:t>,</w:t>
      </w:r>
      <w:r w:rsidR="00975B66" w:rsidRPr="00C51D52">
        <w:t xml:space="preserve"> and risk mitigation strategies to address the high volatili</w:t>
      </w:r>
      <w:r w:rsidR="00132627" w:rsidRPr="00C51D52">
        <w:t xml:space="preserve">ty </w:t>
      </w:r>
      <w:r w:rsidR="00E504E5" w:rsidRPr="00C51D52">
        <w:t>associated</w:t>
      </w:r>
      <w:r w:rsidR="003663B0" w:rsidRPr="00C51D52">
        <w:t xml:space="preserve"> with cryptocurrencies</w:t>
      </w:r>
      <w:r w:rsidR="00806F3A" w:rsidRPr="00C51D52">
        <w:t>.</w:t>
      </w:r>
      <w:r w:rsidR="00DA5AE8">
        <w:t xml:space="preserve"> </w:t>
      </w:r>
      <w:r w:rsidR="00806F3A" w:rsidRPr="00C51D52">
        <w:t xml:space="preserve">They also possess </w:t>
      </w:r>
      <w:r w:rsidR="00A437C8" w:rsidRPr="00C51D52">
        <w:t>more robust processes for monitoring counterparties</w:t>
      </w:r>
      <w:r w:rsidR="00932D48" w:rsidRPr="00C51D52">
        <w:t xml:space="preserve">. In contrast, </w:t>
      </w:r>
      <w:r w:rsidR="007B2FFF" w:rsidRPr="00C51D52">
        <w:t xml:space="preserve">NBFIs engaging in </w:t>
      </w:r>
      <w:r w:rsidR="0022791D" w:rsidRPr="00C51D52">
        <w:t>those activities</w:t>
      </w:r>
      <w:r w:rsidR="00F40320" w:rsidRPr="00C51D52">
        <w:t xml:space="preserve"> generally lack comparable oversight</w:t>
      </w:r>
      <w:r w:rsidR="00412232" w:rsidRPr="00C51D52">
        <w:t xml:space="preserve"> and safeguards</w:t>
      </w:r>
      <w:r w:rsidR="007B2FFF" w:rsidRPr="00C51D52">
        <w:t xml:space="preserve">. </w:t>
      </w:r>
      <w:r w:rsidR="00412232" w:rsidRPr="00C51D52">
        <w:t>Consequently, i</w:t>
      </w:r>
      <w:r w:rsidR="000315E0" w:rsidRPr="00C51D52">
        <w:t>n the event of a major crypto market decline, leveraged NBFIs could be forced to meet margin calls or face substantial losses, which may have implications for their counterparties across both the NBFI and traditional financial sectors.</w:t>
      </w:r>
    </w:p>
    <w:p w14:paraId="779FAA07" w14:textId="65B45193" w:rsidR="000315E0" w:rsidRPr="00C51D52" w:rsidRDefault="000315E0" w:rsidP="00CF5417">
      <w:pPr>
        <w:pBdr>
          <w:top w:val="single" w:sz="4" w:space="1" w:color="auto"/>
          <w:left w:val="single" w:sz="4" w:space="4" w:color="auto"/>
          <w:bottom w:val="single" w:sz="4" w:space="1" w:color="auto"/>
          <w:right w:val="single" w:sz="4" w:space="4" w:color="auto"/>
        </w:pBdr>
        <w:jc w:val="both"/>
      </w:pPr>
      <w:r w:rsidRPr="00C51D52">
        <w:lastRenderedPageBreak/>
        <w:t xml:space="preserve">Further, lending activities secured by crypto collateral introduce counterparty risk, particularly if the underlying crypto assets experience significant devaluation. This can lead to a cycle of collateral liquidation that depresses prices further and heightens financial strain on </w:t>
      </w:r>
      <w:r w:rsidR="005F7317" w:rsidRPr="00C51D52">
        <w:t>non-regulated</w:t>
      </w:r>
      <w:r w:rsidRPr="00C51D52">
        <w:t xml:space="preserve"> NBFIs</w:t>
      </w:r>
      <w:r w:rsidR="007319ED" w:rsidRPr="00C51D52">
        <w:t>.</w:t>
      </w:r>
      <w:r w:rsidR="00C81EFA" w:rsidRPr="00C51D52">
        <w:t xml:space="preserve"> </w:t>
      </w:r>
      <w:r w:rsidR="00C23B6F" w:rsidRPr="00C51D52">
        <w:t>Some</w:t>
      </w:r>
      <w:r w:rsidRPr="00C51D52">
        <w:t xml:space="preserve"> NBFIs operate as intermediaries in crypto markets</w:t>
      </w:r>
      <w:r w:rsidR="00DA5AE8">
        <w:t xml:space="preserve"> - </w:t>
      </w:r>
      <w:r w:rsidRPr="00C51D52">
        <w:t>offering custody, trading, and lending services. However, these institutions often lack the same level of regulatory oversight as traditional banks, leaving them more vulnerable to operational risks, including cybersecurity breaches and system outages.</w:t>
      </w:r>
      <w:r w:rsidR="00C23B6F" w:rsidRPr="00C51D52">
        <w:t xml:space="preserve"> </w:t>
      </w:r>
      <w:r w:rsidRPr="00C51D52">
        <w:t>Cybersecurity risks are especially pronounced in crypto markets, as exchanges, wallets, and custodial platforms are frequent targets for cyber-</w:t>
      </w:r>
      <w:r w:rsidR="00147A53" w:rsidRPr="00C51D52">
        <w:t>attacks.</w:t>
      </w:r>
      <w:r w:rsidR="009F24F8" w:rsidRPr="00C51D52">
        <w:t xml:space="preserve"> </w:t>
      </w:r>
    </w:p>
    <w:p w14:paraId="4E600F7D" w14:textId="7849D9B0" w:rsidR="00661996" w:rsidRPr="00C51D52" w:rsidRDefault="00661996" w:rsidP="00F56BC5">
      <w:pPr>
        <w:jc w:val="both"/>
      </w:pPr>
      <w:r w:rsidRPr="00C51D52">
        <w:rPr>
          <w:u w:val="single"/>
        </w:rPr>
        <w:t>Question 7</w:t>
      </w:r>
      <w:r w:rsidRPr="00C51D52">
        <w:t>. Considering the role NBFIs have in providing greater access to finance for companies and in the context of the capital markets union project, how can macroprudential policies support NBFIs’ ability to provide such funding opportunities to companies, in particular through capital markets? Please provide concrete examples.</w:t>
      </w:r>
    </w:p>
    <w:p w14:paraId="2FD4343E" w14:textId="184F7A1F" w:rsidR="000D245A" w:rsidRPr="00C51D52" w:rsidRDefault="00702E39" w:rsidP="00F56BC5">
      <w:pPr>
        <w:pBdr>
          <w:top w:val="single" w:sz="4" w:space="1" w:color="auto"/>
          <w:left w:val="single" w:sz="4" w:space="4" w:color="auto"/>
          <w:bottom w:val="single" w:sz="4" w:space="1" w:color="auto"/>
          <w:right w:val="single" w:sz="4" w:space="4" w:color="auto"/>
        </w:pBdr>
        <w:jc w:val="both"/>
        <w:rPr>
          <w:lang w:val="en-GB"/>
        </w:rPr>
      </w:pPr>
      <w:r w:rsidRPr="00C51D52">
        <w:t>Measures could be taken to improve the function</w:t>
      </w:r>
      <w:r w:rsidR="004F7583" w:rsidRPr="00C51D52">
        <w:t>ing</w:t>
      </w:r>
      <w:r w:rsidRPr="00C51D52">
        <w:t xml:space="preserve"> of the short-term funding markets. This includes electronic trading platforms to enhance transparency and market depth; less fragmentation and more </w:t>
      </w:r>
      <w:r w:rsidR="00731D33" w:rsidRPr="00C51D52">
        <w:t>harmonization</w:t>
      </w:r>
      <w:r w:rsidRPr="00C51D52">
        <w:t xml:space="preserve"> of the EU commercial paper and certificates of deposit market; and considering recalibrating bank capital requirements to make it more efficient to make larger markets in commercial paper.</w:t>
      </w:r>
    </w:p>
    <w:p w14:paraId="512608D1" w14:textId="05BD806C" w:rsidR="00CB6E2D" w:rsidRPr="00C51D52" w:rsidRDefault="00CB6E2D" w:rsidP="00F56BC5">
      <w:pPr>
        <w:jc w:val="both"/>
        <w:rPr>
          <w:color w:val="0F4761" w:themeColor="accent1" w:themeShade="BF"/>
        </w:rPr>
      </w:pPr>
      <w:r w:rsidRPr="00C51D52">
        <w:rPr>
          <w:b/>
          <w:bCs/>
          <w:color w:val="0F4761" w:themeColor="accent1" w:themeShade="BF"/>
          <w:lang w:val="en-GB"/>
        </w:rPr>
        <w:t xml:space="preserve">Supervisory powers </w:t>
      </w:r>
    </w:p>
    <w:p w14:paraId="06B23BDE" w14:textId="20424A5F" w:rsidR="00005777" w:rsidRPr="00C51D52" w:rsidRDefault="00CB6E2D" w:rsidP="00C81EFA">
      <w:pPr>
        <w:jc w:val="both"/>
        <w:rPr>
          <w:lang w:val="en-GB"/>
        </w:rPr>
      </w:pPr>
      <w:r w:rsidRPr="00C51D52">
        <w:rPr>
          <w:u w:val="single"/>
          <w:lang w:val="en-GB"/>
        </w:rPr>
        <w:t xml:space="preserve">Question 8: </w:t>
      </w:r>
      <w:r w:rsidRPr="00C51D52">
        <w:rPr>
          <w:lang w:val="en-GB"/>
        </w:rPr>
        <w:t>What are pros and cons of giving the competent authority the power to increase liquidity buffer requirements on an individual or collective basis in the event of system-wide financial stability risks? Under which other situation do you believe MMF liquidity buffers should be increased on an individual or collective basis by the competent authority? Please explain.</w:t>
      </w:r>
    </w:p>
    <w:p w14:paraId="3E44885D" w14:textId="2C0799FF" w:rsidR="00C076C8" w:rsidRPr="00C51D52" w:rsidRDefault="00C076C8" w:rsidP="00C076C8">
      <w:pPr>
        <w:pBdr>
          <w:top w:val="single" w:sz="4" w:space="1" w:color="auto"/>
          <w:left w:val="single" w:sz="4" w:space="4" w:color="auto"/>
          <w:bottom w:val="single" w:sz="4" w:space="1" w:color="auto"/>
          <w:right w:val="single" w:sz="4" w:space="4" w:color="auto"/>
        </w:pBdr>
      </w:pPr>
      <w:r w:rsidRPr="00C51D52">
        <w:t>Increasing liquidity buffers in response to a system-wide crisis lacks justification and would undermine the stability and efficiency of the financial system</w:t>
      </w:r>
      <w:r w:rsidR="004F7583" w:rsidRPr="00C51D52">
        <w:t>.</w:t>
      </w:r>
    </w:p>
    <w:p w14:paraId="62C9EED6" w14:textId="3214979C" w:rsidR="00C076C8" w:rsidRPr="00C51D52" w:rsidRDefault="00C076C8" w:rsidP="00D85403">
      <w:pPr>
        <w:pBdr>
          <w:top w:val="single" w:sz="4" w:space="1" w:color="auto"/>
          <w:left w:val="single" w:sz="4" w:space="4" w:color="auto"/>
          <w:bottom w:val="single" w:sz="4" w:space="1" w:color="auto"/>
          <w:right w:val="single" w:sz="4" w:space="4" w:color="auto"/>
        </w:pBdr>
      </w:pPr>
      <w:r w:rsidRPr="00C51D52">
        <w:t>We oppose granting National Competent Authorities (NCAs) the power to dynamically adjust liquidity buffers for Money Market Funds (MMFs). This level of intervention is unwarranted, as demonstrated in the 2023 European Commission report, which found that the MMF Regulation performed effectively during liquidity stress events. These included the market disruptions of March 2020 due to COVID-19, subsequent interest rate hikes, and financial asset repricing. Importantly, no EU-based MMF had to implement redemption fees, gates, or suspend redemptions during these periods of stress.</w:t>
      </w:r>
    </w:p>
    <w:p w14:paraId="60B75356" w14:textId="5B194A1B" w:rsidR="00C076C8" w:rsidRPr="00C51D52" w:rsidRDefault="00C076C8" w:rsidP="00D85403">
      <w:pPr>
        <w:pBdr>
          <w:top w:val="single" w:sz="4" w:space="1" w:color="auto"/>
          <w:left w:val="single" w:sz="4" w:space="4" w:color="auto"/>
          <w:bottom w:val="single" w:sz="4" w:space="1" w:color="auto"/>
          <w:right w:val="single" w:sz="4" w:space="4" w:color="auto"/>
        </w:pBdr>
      </w:pPr>
      <w:r w:rsidRPr="00C51D52">
        <w:t xml:space="preserve">Beyond the lack of justification, implementing dynamic liquidity buffers could harm the financial system. Adjusting MMF liquidity thresholds in response to liquidity stress </w:t>
      </w:r>
      <w:r w:rsidRPr="00C51D52">
        <w:lastRenderedPageBreak/>
        <w:t>might worsen, rather than relieve, market instability by triggering procyclical effects that could intensify the downturn.</w:t>
      </w:r>
    </w:p>
    <w:p w14:paraId="7404F9CF" w14:textId="2AD21451" w:rsidR="00C076C8" w:rsidRPr="00C51D52" w:rsidRDefault="00C076C8" w:rsidP="00C076C8">
      <w:pPr>
        <w:pBdr>
          <w:top w:val="single" w:sz="4" w:space="1" w:color="auto"/>
          <w:left w:val="single" w:sz="4" w:space="4" w:color="auto"/>
          <w:bottom w:val="single" w:sz="4" w:space="1" w:color="auto"/>
          <w:right w:val="single" w:sz="4" w:space="4" w:color="auto"/>
        </w:pBdr>
      </w:pPr>
      <w:r w:rsidRPr="00C51D52">
        <w:t xml:space="preserve">Furthermore, we see no need to increase liquidity buffers, particularly for Variable Net Asset Value (VNAV) funds. Although the UK and US have recently increased such buffers, we believe that a 50% weekly liquid asset requirement, as a share of total assets under management, is excessive. A preferable approach would be to decouple the activation of Liquidity Management Tools (LMTs) from MMF liquidity buffer requirements, as in </w:t>
      </w:r>
      <w:r w:rsidR="00697CD1" w:rsidRPr="00C51D52">
        <w:t xml:space="preserve">certain </w:t>
      </w:r>
      <w:r w:rsidRPr="00C51D52">
        <w:t>other jurisdictions, allowing existing buffers to be utilized when needed.</w:t>
      </w:r>
    </w:p>
    <w:p w14:paraId="48190143" w14:textId="77777777" w:rsidR="00A77473" w:rsidRPr="00C51D52" w:rsidRDefault="00CB6E2D" w:rsidP="00F56BC5">
      <w:pPr>
        <w:jc w:val="both"/>
        <w:rPr>
          <w:lang w:val="en-GB"/>
        </w:rPr>
      </w:pPr>
      <w:r w:rsidRPr="00C51D52">
        <w:rPr>
          <w:u w:val="single"/>
          <w:lang w:val="en-GB"/>
        </w:rPr>
        <w:t xml:space="preserve">Question 9: </w:t>
      </w:r>
      <w:r w:rsidRPr="00C51D52">
        <w:rPr>
          <w:lang w:val="en-GB"/>
        </w:rPr>
        <w:t xml:space="preserve">How can ESMA and ESRB ensure coordination and the proper use of this power and what could be their individual roles? Please provide specific examples or scenarios to support your view. </w:t>
      </w:r>
    </w:p>
    <w:p w14:paraId="00B2D591" w14:textId="272FC66E" w:rsidR="00E3697B" w:rsidRPr="00C51D52" w:rsidRDefault="009C1AAF" w:rsidP="00F56BC5">
      <w:pPr>
        <w:pBdr>
          <w:top w:val="single" w:sz="4" w:space="1" w:color="auto"/>
          <w:left w:val="single" w:sz="4" w:space="4" w:color="auto"/>
          <w:bottom w:val="single" w:sz="4" w:space="1" w:color="auto"/>
          <w:right w:val="single" w:sz="4" w:space="4" w:color="auto"/>
        </w:pBdr>
        <w:jc w:val="both"/>
        <w:rPr>
          <w:lang w:val="en-GB"/>
        </w:rPr>
      </w:pPr>
      <w:r w:rsidRPr="00C51D52">
        <w:rPr>
          <w:lang w:val="en-GB"/>
        </w:rPr>
        <w:t>Based on our answer to the previous question, we do not see</w:t>
      </w:r>
      <w:r w:rsidR="002F0A7C" w:rsidRPr="00C51D52">
        <w:rPr>
          <w:lang w:val="en-GB"/>
        </w:rPr>
        <w:t xml:space="preserve"> the need</w:t>
      </w:r>
      <w:r w:rsidRPr="00C51D52">
        <w:rPr>
          <w:lang w:val="en-GB"/>
        </w:rPr>
        <w:t xml:space="preserve"> </w:t>
      </w:r>
      <w:r w:rsidR="000928BD" w:rsidRPr="00C51D52">
        <w:rPr>
          <w:lang w:val="en-GB"/>
        </w:rPr>
        <w:t xml:space="preserve">for </w:t>
      </w:r>
      <w:r w:rsidR="00074C59" w:rsidRPr="00C51D52">
        <w:rPr>
          <w:lang w:val="en-GB"/>
        </w:rPr>
        <w:t>ESMA</w:t>
      </w:r>
      <w:r w:rsidR="00A73455" w:rsidRPr="00C51D52">
        <w:rPr>
          <w:lang w:val="en-GB"/>
        </w:rPr>
        <w:t xml:space="preserve"> and/or</w:t>
      </w:r>
      <w:r w:rsidR="00F80FB0" w:rsidRPr="00C51D52">
        <w:rPr>
          <w:lang w:val="en-GB"/>
        </w:rPr>
        <w:t xml:space="preserve"> the ESRB </w:t>
      </w:r>
      <w:r w:rsidR="005D779B" w:rsidRPr="00C51D52">
        <w:rPr>
          <w:lang w:val="en-GB"/>
        </w:rPr>
        <w:t>to be</w:t>
      </w:r>
      <w:r w:rsidR="00E3697B" w:rsidRPr="00C51D52">
        <w:rPr>
          <w:lang w:val="en-GB"/>
        </w:rPr>
        <w:t xml:space="preserve"> </w:t>
      </w:r>
      <w:r w:rsidR="00E469DD" w:rsidRPr="00C51D52">
        <w:rPr>
          <w:lang w:val="en-GB"/>
        </w:rPr>
        <w:t>granted the proposed</w:t>
      </w:r>
      <w:r w:rsidR="00A13F34" w:rsidRPr="00C51D52">
        <w:rPr>
          <w:lang w:val="en-GB"/>
        </w:rPr>
        <w:t xml:space="preserve"> power.</w:t>
      </w:r>
      <w:r w:rsidR="00CA4EB1" w:rsidRPr="00C51D52">
        <w:rPr>
          <w:lang w:val="en-GB"/>
        </w:rPr>
        <w:t xml:space="preserve"> Indeed, we do not even consider it viable to be able to increase liquidity buffers during a </w:t>
      </w:r>
      <w:r w:rsidR="006700B5" w:rsidRPr="00C51D52">
        <w:rPr>
          <w:lang w:val="en-GB"/>
        </w:rPr>
        <w:t>market stress event.</w:t>
      </w:r>
    </w:p>
    <w:p w14:paraId="48A2F9C0" w14:textId="03CD9C2D" w:rsidR="00DB7A32" w:rsidRPr="00C51D52" w:rsidRDefault="001C5515" w:rsidP="00F56BC5">
      <w:pPr>
        <w:pBdr>
          <w:top w:val="single" w:sz="4" w:space="1" w:color="auto"/>
          <w:left w:val="single" w:sz="4" w:space="4" w:color="auto"/>
          <w:bottom w:val="single" w:sz="4" w:space="1" w:color="auto"/>
          <w:right w:val="single" w:sz="4" w:space="4" w:color="auto"/>
        </w:pBdr>
        <w:jc w:val="both"/>
      </w:pPr>
      <w:r w:rsidRPr="00C51D52">
        <w:rPr>
          <w:lang w:val="en-GB"/>
        </w:rPr>
        <w:t>While addressing the need for better</w:t>
      </w:r>
      <w:r w:rsidR="007D571F" w:rsidRPr="00C51D52">
        <w:rPr>
          <w:lang w:val="en-GB"/>
        </w:rPr>
        <w:t xml:space="preserve"> coordination</w:t>
      </w:r>
      <w:r w:rsidRPr="00C51D52">
        <w:rPr>
          <w:lang w:val="en-GB"/>
        </w:rPr>
        <w:t>, we see a</w:t>
      </w:r>
      <w:r w:rsidR="007C08D9" w:rsidRPr="00C51D52">
        <w:rPr>
          <w:lang w:val="en-GB"/>
        </w:rPr>
        <w:t xml:space="preserve"> key</w:t>
      </w:r>
      <w:r w:rsidR="00D74084" w:rsidRPr="00C51D52">
        <w:rPr>
          <w:lang w:val="en-GB"/>
        </w:rPr>
        <w:t xml:space="preserve"> area </w:t>
      </w:r>
      <w:r w:rsidR="007C08D9" w:rsidRPr="00C51D52">
        <w:rPr>
          <w:lang w:val="en-GB"/>
        </w:rPr>
        <w:t>for</w:t>
      </w:r>
      <w:r w:rsidR="00D74084" w:rsidRPr="00C51D52">
        <w:rPr>
          <w:lang w:val="en-GB"/>
        </w:rPr>
        <w:t xml:space="preserve"> improvemen</w:t>
      </w:r>
      <w:r w:rsidR="00802327" w:rsidRPr="00C51D52">
        <w:rPr>
          <w:lang w:val="en-GB"/>
        </w:rPr>
        <w:t>t i</w:t>
      </w:r>
      <w:r w:rsidR="007F1F15">
        <w:rPr>
          <w:lang w:val="en-GB"/>
        </w:rPr>
        <w:t>n</w:t>
      </w:r>
      <w:r w:rsidR="00802327" w:rsidRPr="00C51D52">
        <w:rPr>
          <w:lang w:val="en-GB"/>
        </w:rPr>
        <w:t xml:space="preserve"> </w:t>
      </w:r>
      <w:r w:rsidR="009B5A3D" w:rsidRPr="00C51D52">
        <w:rPr>
          <w:lang w:val="en-GB"/>
        </w:rPr>
        <w:t xml:space="preserve">data </w:t>
      </w:r>
      <w:r w:rsidR="003B2A71" w:rsidRPr="00C51D52">
        <w:rPr>
          <w:lang w:val="en-GB"/>
        </w:rPr>
        <w:t xml:space="preserve">sharing </w:t>
      </w:r>
      <w:r w:rsidR="00FE680C" w:rsidRPr="00C51D52">
        <w:rPr>
          <w:lang w:val="en-GB"/>
        </w:rPr>
        <w:t xml:space="preserve">between ESMA </w:t>
      </w:r>
      <w:r w:rsidR="008C0CDE" w:rsidRPr="00C51D52">
        <w:rPr>
          <w:lang w:val="en-GB"/>
        </w:rPr>
        <w:t>and</w:t>
      </w:r>
      <w:r w:rsidR="003B2A71" w:rsidRPr="00C51D52">
        <w:rPr>
          <w:lang w:val="en-GB"/>
        </w:rPr>
        <w:t xml:space="preserve"> </w:t>
      </w:r>
      <w:r w:rsidR="009B5A3D" w:rsidRPr="00C51D52">
        <w:rPr>
          <w:lang w:val="en-GB"/>
        </w:rPr>
        <w:t>the NCAs.</w:t>
      </w:r>
      <w:r w:rsidR="00FE680C" w:rsidRPr="00C51D52">
        <w:rPr>
          <w:lang w:val="en-GB"/>
        </w:rPr>
        <w:t xml:space="preserve"> </w:t>
      </w:r>
      <w:r w:rsidR="009B5A3D" w:rsidRPr="00C51D52">
        <w:rPr>
          <w:lang w:val="en-GB"/>
        </w:rPr>
        <w:t>As the</w:t>
      </w:r>
      <w:r w:rsidR="0088720E" w:rsidRPr="00C51D52">
        <w:rPr>
          <w:lang w:val="en-GB"/>
        </w:rPr>
        <w:t xml:space="preserve"> </w:t>
      </w:r>
      <w:r w:rsidR="0088720E" w:rsidRPr="00C51D52">
        <w:t>supervision of M</w:t>
      </w:r>
      <w:r w:rsidR="00B33989" w:rsidRPr="00C51D52">
        <w:t>MF</w:t>
      </w:r>
      <w:r w:rsidR="0088720E" w:rsidRPr="00C51D52">
        <w:t>s is</w:t>
      </w:r>
      <w:r w:rsidR="00DB7A32" w:rsidRPr="00C51D52">
        <w:t xml:space="preserve"> today</w:t>
      </w:r>
      <w:r w:rsidR="0088720E" w:rsidRPr="00C51D52">
        <w:t xml:space="preserve"> primarily conducted at the local level</w:t>
      </w:r>
      <w:r w:rsidR="00E87F53" w:rsidRPr="00C51D52">
        <w:t xml:space="preserve"> </w:t>
      </w:r>
      <w:r w:rsidR="009B5A3D" w:rsidRPr="00C51D52">
        <w:t xml:space="preserve">rather than at </w:t>
      </w:r>
      <w:r w:rsidR="001051FD" w:rsidRPr="00C51D52">
        <w:t>European level</w:t>
      </w:r>
      <w:r w:rsidR="006D3099" w:rsidRPr="00C51D52">
        <w:t xml:space="preserve"> (e.g</w:t>
      </w:r>
      <w:r w:rsidR="007F1F15">
        <w:t>.</w:t>
      </w:r>
      <w:r w:rsidR="006D3099" w:rsidRPr="00C51D52">
        <w:t xml:space="preserve"> reporting on stress testing)</w:t>
      </w:r>
      <w:r w:rsidR="001051FD" w:rsidRPr="00C51D52">
        <w:t>,</w:t>
      </w:r>
      <w:r w:rsidR="00BB09AC" w:rsidRPr="00C51D52">
        <w:t xml:space="preserve"> </w:t>
      </w:r>
      <w:r w:rsidR="00202234" w:rsidRPr="00C51D52">
        <w:t>prioritizing the improvement of data sharing between local regulators and ESMA</w:t>
      </w:r>
      <w:r w:rsidR="00697CD1" w:rsidRPr="00C51D52">
        <w:t xml:space="preserve"> is key</w:t>
      </w:r>
      <w:r w:rsidR="00202234" w:rsidRPr="00C51D52">
        <w:t xml:space="preserve"> </w:t>
      </w:r>
      <w:r w:rsidR="00697CD1" w:rsidRPr="00C51D52">
        <w:t xml:space="preserve">but also </w:t>
      </w:r>
      <w:r w:rsidR="00202234" w:rsidRPr="00C51D52">
        <w:t>between ESMA and the ESRB</w:t>
      </w:r>
      <w:r w:rsidR="00EB3A14" w:rsidRPr="00C51D52">
        <w:t>.</w:t>
      </w:r>
      <w:r w:rsidR="00EB3A14" w:rsidRPr="00C51D52">
        <w:rPr>
          <w:i/>
          <w:iCs/>
        </w:rPr>
        <w:t xml:space="preserve"> </w:t>
      </w:r>
    </w:p>
    <w:p w14:paraId="73AAF439" w14:textId="665FA2B6" w:rsidR="00DB7A32" w:rsidRPr="00C51D52" w:rsidRDefault="00DB7A32" w:rsidP="00F56BC5">
      <w:pPr>
        <w:pBdr>
          <w:top w:val="single" w:sz="4" w:space="1" w:color="auto"/>
          <w:left w:val="single" w:sz="4" w:space="4" w:color="auto"/>
          <w:bottom w:val="single" w:sz="4" w:space="1" w:color="auto"/>
          <w:right w:val="single" w:sz="4" w:space="4" w:color="auto"/>
        </w:pBdr>
        <w:jc w:val="both"/>
      </w:pPr>
      <w:r w:rsidRPr="00C51D52">
        <w:t>NCAs should remain responsible for the adoption</w:t>
      </w:r>
      <w:r w:rsidR="0006220E" w:rsidRPr="00C51D52">
        <w:t xml:space="preserve"> of macroprudential measures</w:t>
      </w:r>
      <w:r w:rsidRPr="00C51D52">
        <w:t xml:space="preserve"> given the specificities of each EU Member State’s fund market</w:t>
      </w:r>
      <w:r w:rsidR="00A202B0" w:rsidRPr="00C51D52">
        <w:t>s</w:t>
      </w:r>
      <w:r w:rsidR="009F320D" w:rsidRPr="00C51D52">
        <w:t>.</w:t>
      </w:r>
      <w:r w:rsidR="00DF2714" w:rsidRPr="00C51D52">
        <w:t xml:space="preserve"> </w:t>
      </w:r>
      <w:r w:rsidRPr="00C51D52">
        <w:t>ESMA should liaise with NCAs and help coordinate their actions. For example, ESMA sh</w:t>
      </w:r>
      <w:r w:rsidR="00DF2714" w:rsidRPr="00C51D52">
        <w:t>o</w:t>
      </w:r>
      <w:r w:rsidRPr="00C51D52">
        <w:t>uld make NCAs aware of macroprudential measures being taken by other NCAs and help them decide if they should adopt similar measures.</w:t>
      </w:r>
    </w:p>
    <w:p w14:paraId="57873180" w14:textId="0BDE66A3" w:rsidR="001A6E8F" w:rsidRPr="00C51D52" w:rsidRDefault="004B7E3C" w:rsidP="00F56BC5">
      <w:pPr>
        <w:pBdr>
          <w:top w:val="single" w:sz="4" w:space="1" w:color="auto"/>
          <w:left w:val="single" w:sz="4" w:space="4" w:color="auto"/>
          <w:bottom w:val="single" w:sz="4" w:space="1" w:color="auto"/>
          <w:right w:val="single" w:sz="4" w:space="4" w:color="auto"/>
        </w:pBdr>
        <w:jc w:val="both"/>
      </w:pPr>
      <w:r w:rsidRPr="00C51D52">
        <w:t>More broadly, macro-prudential supervisors should also work with their micro-prudential counterparts, who have more intimate knowledge of</w:t>
      </w:r>
      <w:r w:rsidR="004F6149" w:rsidRPr="00C51D52">
        <w:t xml:space="preserve"> </w:t>
      </w:r>
      <w:r w:rsidRPr="00C51D52">
        <w:t>investment funds identified as potentially contributing to the build-up of systemic risks.</w:t>
      </w:r>
    </w:p>
    <w:p w14:paraId="39118D79" w14:textId="5C7E9AFE" w:rsidR="00E76813" w:rsidRPr="00C51D52" w:rsidRDefault="00480CF2" w:rsidP="00F055AB">
      <w:pPr>
        <w:pBdr>
          <w:top w:val="single" w:sz="4" w:space="1" w:color="auto"/>
          <w:left w:val="single" w:sz="4" w:space="4" w:color="auto"/>
          <w:bottom w:val="single" w:sz="4" w:space="1" w:color="auto"/>
          <w:right w:val="single" w:sz="4" w:space="4" w:color="auto"/>
        </w:pBdr>
        <w:jc w:val="both"/>
      </w:pPr>
      <w:r w:rsidRPr="00C51D52">
        <w:t>As macroeconomic risk assessments cannot be considered on an EU basis alone, we would also support sharing of supervisory data and insights between EU and closely connected financial markets.</w:t>
      </w:r>
    </w:p>
    <w:p w14:paraId="138B68B4" w14:textId="000CF8BD" w:rsidR="00CB6E2D" w:rsidRPr="00C51D52" w:rsidRDefault="00CB6E2D" w:rsidP="00F56BC5">
      <w:pPr>
        <w:jc w:val="both"/>
        <w:rPr>
          <w:color w:val="0F4761" w:themeColor="accent1" w:themeShade="BF"/>
        </w:rPr>
      </w:pPr>
      <w:r w:rsidRPr="00C51D52">
        <w:rPr>
          <w:b/>
          <w:color w:val="0F4761" w:themeColor="accent1" w:themeShade="BF"/>
          <w:lang w:val="en-GB"/>
        </w:rPr>
        <w:t>Reporting requirements</w:t>
      </w:r>
      <w:r w:rsidRPr="00C51D52">
        <w:rPr>
          <w:b/>
          <w:bCs/>
          <w:color w:val="0F4761" w:themeColor="accent1" w:themeShade="BF"/>
          <w:lang w:val="en-GB"/>
        </w:rPr>
        <w:t xml:space="preserve"> </w:t>
      </w:r>
    </w:p>
    <w:p w14:paraId="4004727D" w14:textId="4ACC4110" w:rsidR="00896AD8" w:rsidRPr="00C51D52" w:rsidRDefault="00CB6E2D" w:rsidP="00C81EFA">
      <w:pPr>
        <w:jc w:val="both"/>
        <w:rPr>
          <w:lang w:val="en-GB"/>
        </w:rPr>
      </w:pPr>
      <w:r w:rsidRPr="00C51D52">
        <w:rPr>
          <w:u w:val="single"/>
          <w:lang w:val="en-GB"/>
        </w:rPr>
        <w:t xml:space="preserve">Question 10: </w:t>
      </w:r>
      <w:r w:rsidRPr="00C51D52">
        <w:rPr>
          <w:lang w:val="en-GB"/>
        </w:rPr>
        <w:t xml:space="preserve">In view of the new UCITS supervisory reporting obligations and improvements to AIFMD reporting, how could reporting requirements under the MMFR be aligned, simplified and improved to identify stability risks (such as liquidity risks) and to ensure more efficient data sharing? </w:t>
      </w:r>
    </w:p>
    <w:p w14:paraId="66399807" w14:textId="474BBFA8" w:rsidR="00487949" w:rsidRPr="00C51D52" w:rsidRDefault="003A235D" w:rsidP="003A235D">
      <w:pPr>
        <w:pBdr>
          <w:top w:val="single" w:sz="4" w:space="1" w:color="auto"/>
          <w:left w:val="single" w:sz="4" w:space="4" w:color="auto"/>
          <w:bottom w:val="single" w:sz="4" w:space="1" w:color="auto"/>
          <w:right w:val="single" w:sz="4" w:space="4" w:color="auto"/>
        </w:pBdr>
        <w:jc w:val="both"/>
      </w:pPr>
      <w:r w:rsidRPr="00C51D52">
        <w:lastRenderedPageBreak/>
        <w:t>Achieving alignment is difficult due to the level of detail and specificity in the MMFR reporting requirements.</w:t>
      </w:r>
      <w:r w:rsidR="00487949" w:rsidRPr="00C51D52">
        <w:t xml:space="preserve"> If</w:t>
      </w:r>
      <w:r w:rsidR="007503A8" w:rsidRPr="00C51D52">
        <w:t xml:space="preserve"> further alignment is </w:t>
      </w:r>
      <w:r w:rsidR="000D64FC" w:rsidRPr="00C51D52">
        <w:t>sought, efforts should focus on minimizing redundancies and streamlining the reporting process.</w:t>
      </w:r>
    </w:p>
    <w:p w14:paraId="7F2BA57F" w14:textId="0073234F" w:rsidR="003A235D" w:rsidRPr="00C51D52" w:rsidRDefault="003A235D" w:rsidP="00C81EFA">
      <w:pPr>
        <w:pBdr>
          <w:top w:val="single" w:sz="4" w:space="1" w:color="auto"/>
          <w:left w:val="single" w:sz="4" w:space="4" w:color="auto"/>
          <w:bottom w:val="single" w:sz="4" w:space="1" w:color="auto"/>
          <w:right w:val="single" w:sz="4" w:space="4" w:color="auto"/>
        </w:pBdr>
        <w:jc w:val="both"/>
      </w:pPr>
      <w:r w:rsidRPr="00C51D52">
        <w:t>For example, when comparing the MMFR requirements (Article 37) with those of the amended UCITS Directive (Article 20a), it is clear that the MMFR requirements are far more detailed and tailored to Money Market Funds (MMFs). This is also the case with the Article 37(4) reporting template, which includes additional data such as stress test results.</w:t>
      </w:r>
    </w:p>
    <w:p w14:paraId="36C12CD1" w14:textId="5E087AC1" w:rsidR="00CB6E2D" w:rsidRPr="00C51D52" w:rsidRDefault="00CB6E2D" w:rsidP="00F56BC5">
      <w:pPr>
        <w:jc w:val="both"/>
        <w:rPr>
          <w:color w:val="0F4761" w:themeColor="accent1" w:themeShade="BF"/>
          <w:lang w:val="en-GB"/>
        </w:rPr>
      </w:pPr>
      <w:r w:rsidRPr="00C51D52">
        <w:rPr>
          <w:b/>
          <w:bCs/>
          <w:color w:val="0F4761" w:themeColor="accent1" w:themeShade="BF"/>
          <w:lang w:val="en-GB"/>
        </w:rPr>
        <w:t xml:space="preserve">Stress testing framework </w:t>
      </w:r>
    </w:p>
    <w:p w14:paraId="2BE10ED1" w14:textId="77777777" w:rsidR="00CB6E2D" w:rsidRPr="00C51D52" w:rsidRDefault="00CB6E2D" w:rsidP="00F56BC5">
      <w:pPr>
        <w:jc w:val="both"/>
        <w:rPr>
          <w:lang w:val="en-GB"/>
        </w:rPr>
      </w:pPr>
      <w:r w:rsidRPr="00C51D52">
        <w:rPr>
          <w:u w:val="single"/>
          <w:lang w:val="en-GB"/>
        </w:rPr>
        <w:t xml:space="preserve">Question 11: </w:t>
      </w:r>
      <w:r w:rsidRPr="00C51D52">
        <w:rPr>
          <w:lang w:val="en-GB"/>
        </w:rPr>
        <w:t xml:space="preserve">Do you believe that the proposed enhancements to the stress testing framework listed above are sufficient to identify and mitigate liquidity risks effectively? If not, what specific elements would you suggest including in the strengthened supervision and remediation actions for detecting liquidity risks? </w:t>
      </w:r>
    </w:p>
    <w:p w14:paraId="21727784" w14:textId="766CFC71" w:rsidR="00705E4A" w:rsidRPr="00C51D52" w:rsidRDefault="00C47997" w:rsidP="003F40B9">
      <w:pPr>
        <w:pBdr>
          <w:top w:val="single" w:sz="4" w:space="1" w:color="auto"/>
          <w:left w:val="single" w:sz="4" w:space="4" w:color="auto"/>
          <w:bottom w:val="single" w:sz="4" w:space="1" w:color="auto"/>
          <w:right w:val="single" w:sz="4" w:space="4" w:color="auto"/>
        </w:pBdr>
        <w:jc w:val="both"/>
      </w:pPr>
      <w:r w:rsidRPr="00C51D52">
        <w:t xml:space="preserve">We see merit in exploring system-wide stress testing to identify and understand vulnerabilities stemming from links between different NBFIs, and between banks and NBFIs, including in relation to the risk of amplification and herding </w:t>
      </w:r>
      <w:proofErr w:type="spellStart"/>
      <w:r w:rsidRPr="00C51D52">
        <w:t>behaviours</w:t>
      </w:r>
      <w:proofErr w:type="spellEnd"/>
      <w:r w:rsidRPr="00C51D52">
        <w:t xml:space="preserve"> embedded in large portfolio overlaps. </w:t>
      </w:r>
      <w:r w:rsidR="00B81F49" w:rsidRPr="00C51D52">
        <w:t>However, it is important to take into account the limits of being able to model the whole financial system.</w:t>
      </w:r>
      <w:r w:rsidR="00B81F49" w:rsidRPr="00C51D52" w:rsidDel="00730296">
        <w:t xml:space="preserve"> </w:t>
      </w:r>
      <w:r w:rsidR="00705E4A" w:rsidRPr="00C51D52">
        <w:t>The FSB and IOSCO’s planned work on system-wide stress testing may also facilitate cross border cooperation between authorities and understanding interconnectedness between players across borders. Therefore, the EU may want to defer its decision to establish a system wide stress testing before this exercise is complete.</w:t>
      </w:r>
    </w:p>
    <w:p w14:paraId="740226F0" w14:textId="670AB945" w:rsidR="00CB6E2D" w:rsidRPr="00C51D52" w:rsidRDefault="00CB6E2D" w:rsidP="00F56BC5">
      <w:pPr>
        <w:jc w:val="both"/>
      </w:pPr>
      <w:r w:rsidRPr="00C51D52">
        <w:rPr>
          <w:u w:val="single"/>
          <w:lang w:val="en-GB"/>
        </w:rPr>
        <w:t xml:space="preserve">Question 12: </w:t>
      </w:r>
      <w:r w:rsidRPr="00C51D52">
        <w:rPr>
          <w:lang w:val="en-GB"/>
        </w:rPr>
        <w:t xml:space="preserve">What are the costs and benefits of introducing an EU-wide stress test on MMFs? Should this stress test focus mainly on liquidity risks? </w:t>
      </w:r>
    </w:p>
    <w:p w14:paraId="38F9822D" w14:textId="7DF20FC2" w:rsidR="00CB6E2D" w:rsidRPr="00C51D52" w:rsidRDefault="00705E4A" w:rsidP="00F56BC5">
      <w:pPr>
        <w:pBdr>
          <w:top w:val="single" w:sz="4" w:space="1" w:color="auto"/>
          <w:left w:val="single" w:sz="4" w:space="4" w:color="auto"/>
          <w:bottom w:val="single" w:sz="4" w:space="1" w:color="auto"/>
          <w:right w:val="single" w:sz="4" w:space="4" w:color="auto"/>
        </w:pBdr>
        <w:jc w:val="both"/>
      </w:pPr>
      <w:r w:rsidRPr="00C51D52">
        <w:t>The common stress testing framework for MMFs is already extensive. MMFs undertake annual stress tests with parameters set by ESMA and MMF managers, including the profile of their fund investors and whether they are margin sensitive. Therefore, potential enhancements to the common stress testing framework would be limited in impact.</w:t>
      </w:r>
    </w:p>
    <w:p w14:paraId="7D07ACE2" w14:textId="3618C8FC" w:rsidR="00D51EB0" w:rsidRPr="00C51D52" w:rsidRDefault="00D51EB0" w:rsidP="00F56BC5">
      <w:pPr>
        <w:pBdr>
          <w:top w:val="single" w:sz="4" w:space="1" w:color="auto"/>
          <w:left w:val="single" w:sz="4" w:space="4" w:color="auto"/>
          <w:bottom w:val="single" w:sz="4" w:space="1" w:color="auto"/>
          <w:right w:val="single" w:sz="4" w:space="4" w:color="auto"/>
        </w:pBdr>
        <w:jc w:val="both"/>
      </w:pPr>
      <w:r w:rsidRPr="00C51D52">
        <w:t xml:space="preserve">Instead, </w:t>
      </w:r>
      <w:r w:rsidR="00B06AD4" w:rsidRPr="00C51D52">
        <w:t>the EU should also explore the extent to which there are data gaps from non- or less-regulated NBFI sectors that can be a source of systemic risk, such as sovereign wealth funds,</w:t>
      </w:r>
      <w:r w:rsidR="000037DD" w:rsidRPr="00C51D52">
        <w:t xml:space="preserve"> big techs and </w:t>
      </w:r>
      <w:r w:rsidR="006C2743" w:rsidRPr="00C51D52">
        <w:t>CASPS</w:t>
      </w:r>
      <w:r w:rsidR="000037DD" w:rsidRPr="00C51D52">
        <w:t>,</w:t>
      </w:r>
      <w:r w:rsidR="00B06AD4" w:rsidRPr="00C51D52">
        <w:t xml:space="preserve"> and consider policy intervention if this is determined to be a relevant gap. Such data gaps could be informed and identified by system-wide stress testing.</w:t>
      </w:r>
    </w:p>
    <w:p w14:paraId="119CBC2D" w14:textId="77777777" w:rsidR="00CB6E2D" w:rsidRPr="00C51D52" w:rsidRDefault="00CB6E2D" w:rsidP="00F56BC5">
      <w:pPr>
        <w:jc w:val="both"/>
        <w:rPr>
          <w:color w:val="0F4761" w:themeColor="accent1" w:themeShade="BF"/>
        </w:rPr>
      </w:pPr>
      <w:r w:rsidRPr="00C51D52">
        <w:rPr>
          <w:b/>
          <w:bCs/>
          <w:color w:val="0F4761" w:themeColor="accent1" w:themeShade="BF"/>
          <w:lang w:val="en-GB"/>
        </w:rPr>
        <w:t xml:space="preserve">Reverse distribution mechanism </w:t>
      </w:r>
    </w:p>
    <w:p w14:paraId="44EBCEE8" w14:textId="6D8F8031" w:rsidR="00CB6E2D" w:rsidRPr="00C51D52" w:rsidRDefault="00CB6E2D" w:rsidP="00F56BC5">
      <w:pPr>
        <w:jc w:val="both"/>
        <w:rPr>
          <w:color w:val="000000" w:themeColor="text1"/>
          <w:lang w:val="en-GB"/>
        </w:rPr>
      </w:pPr>
      <w:r w:rsidRPr="00C51D52">
        <w:rPr>
          <w:color w:val="000000" w:themeColor="text1"/>
          <w:u w:val="single"/>
          <w:lang w:val="en-GB"/>
        </w:rPr>
        <w:t xml:space="preserve">Question 13: </w:t>
      </w:r>
      <w:r w:rsidRPr="00C51D52">
        <w:rPr>
          <w:color w:val="000000" w:themeColor="text1"/>
          <w:lang w:val="en-GB"/>
        </w:rPr>
        <w:t xml:space="preserve">What are your views on the EU ban on a reverse distribution mechanism by MMFs? </w:t>
      </w:r>
    </w:p>
    <w:p w14:paraId="6ACD01FE" w14:textId="77777777" w:rsidR="0076264F" w:rsidRPr="00C51D52" w:rsidRDefault="0076264F" w:rsidP="0076264F">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lastRenderedPageBreak/>
        <w:t>The RDM offers MMFs a more effective way to manage the impact of negative interest rates while preserving stable net asset values (NAVs), thereby enhancing transparency for investors and strengthening the financial system's resilience.</w:t>
      </w:r>
    </w:p>
    <w:p w14:paraId="56EABE0B" w14:textId="2208B7B0" w:rsidR="0076264F" w:rsidRPr="00C51D52" w:rsidRDefault="0076264F" w:rsidP="0076264F">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t xml:space="preserve">In low or negative interest rate environments, RDM helps MMFs maintain a stable NAV by gradually reducing the number of shares outstanding, rather than lowering the NAV itself. </w:t>
      </w:r>
      <w:r w:rsidR="00AE3000" w:rsidRPr="00C51D52">
        <w:rPr>
          <w:color w:val="000000" w:themeColor="text1"/>
          <w:lang w:val="en-GB"/>
        </w:rPr>
        <w:t xml:space="preserve">This is more attractive </w:t>
      </w:r>
      <w:r w:rsidR="008C3121" w:rsidRPr="00C51D52">
        <w:rPr>
          <w:color w:val="000000" w:themeColor="text1"/>
          <w:lang w:val="en-GB"/>
        </w:rPr>
        <w:t>to investors, such as corporate treasurers, and is more compatible with existing accounting systems.</w:t>
      </w:r>
      <w:r w:rsidR="007F1F15">
        <w:rPr>
          <w:color w:val="000000" w:themeColor="text1"/>
          <w:lang w:val="en-GB"/>
        </w:rPr>
        <w:t xml:space="preserve"> </w:t>
      </w:r>
      <w:r w:rsidRPr="00C51D52">
        <w:rPr>
          <w:color w:val="000000" w:themeColor="text1"/>
        </w:rPr>
        <w:t>By allowing RDM, fund pricing volatility would be reduced, and it would align more closely with investor expectations for stability and low-risk investments.</w:t>
      </w:r>
    </w:p>
    <w:p w14:paraId="43D27CFC" w14:textId="7F310D7E" w:rsidR="00CB0C8D" w:rsidRPr="00C51D52" w:rsidRDefault="00CB0C8D" w:rsidP="0076264F">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t>The EU's ban on RDM creates a disparity between two of the world’s largest financial markets as t</w:t>
      </w:r>
      <w:r w:rsidR="0076264F" w:rsidRPr="00C51D52">
        <w:rPr>
          <w:color w:val="000000" w:themeColor="text1"/>
        </w:rPr>
        <w:t xml:space="preserve">he U.S. has recently reintroduced </w:t>
      </w:r>
      <w:r w:rsidRPr="00C51D52">
        <w:rPr>
          <w:color w:val="000000" w:themeColor="text1"/>
        </w:rPr>
        <w:t>it</w:t>
      </w:r>
      <w:r w:rsidR="008C3121" w:rsidRPr="00C51D52">
        <w:rPr>
          <w:color w:val="000000" w:themeColor="text1"/>
          <w:lang w:val="en-GB"/>
        </w:rPr>
        <w:t xml:space="preserve">. </w:t>
      </w:r>
    </w:p>
    <w:p w14:paraId="15AA9761" w14:textId="47D69C45" w:rsidR="0076264F" w:rsidRPr="005446B4" w:rsidRDefault="0076264F" w:rsidP="005446B4">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t>Allowing this mechanism in the EU could help prevent regulatory arbitrage, where investors move their funds to regions with more flexible MMF structures. It would also align the EU with international practices, contributing to a more cohesive and predictable financial environment. European MMFs, widely used for corporate cash management and short-term investing due to their stability, could further safeguard investor confidence by providing a mechanism to maintain stable NAVs, even in challenging economic conditions.</w:t>
      </w:r>
    </w:p>
    <w:p w14:paraId="256D7BD7" w14:textId="074C859F" w:rsidR="00CB6E2D" w:rsidRPr="00C51D52" w:rsidRDefault="00CB6E2D" w:rsidP="00F56BC5">
      <w:pPr>
        <w:jc w:val="both"/>
        <w:rPr>
          <w:color w:val="000000" w:themeColor="text1"/>
          <w:lang w:val="en-GB"/>
        </w:rPr>
      </w:pPr>
      <w:r w:rsidRPr="00C51D52">
        <w:rPr>
          <w:color w:val="000000" w:themeColor="text1"/>
          <w:u w:val="single"/>
          <w:lang w:val="en-GB"/>
        </w:rPr>
        <w:t xml:space="preserve">Question 14: </w:t>
      </w:r>
      <w:r w:rsidRPr="00C51D52">
        <w:rPr>
          <w:color w:val="000000" w:themeColor="text1"/>
          <w:lang w:val="en-GB"/>
        </w:rPr>
        <w:t xml:space="preserve">Can you provide insights and data on how the reverse distribution mechanism has impacted in practice the stability and integrity of MMFs? </w:t>
      </w:r>
    </w:p>
    <w:p w14:paraId="35C9B2D8" w14:textId="4A01910F" w:rsidR="00DC539D" w:rsidRPr="00C51D52" w:rsidRDefault="00010169" w:rsidP="00F56BC5">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t xml:space="preserve">The use of RDM </w:t>
      </w:r>
      <w:r w:rsidR="008C3121" w:rsidRPr="00C51D52">
        <w:rPr>
          <w:color w:val="000000" w:themeColor="text1"/>
        </w:rPr>
        <w:t xml:space="preserve">has no </w:t>
      </w:r>
      <w:r w:rsidR="00C51D52" w:rsidRPr="00C51D52">
        <w:rPr>
          <w:color w:val="000000" w:themeColor="text1"/>
        </w:rPr>
        <w:t>e</w:t>
      </w:r>
      <w:r w:rsidR="008C3121" w:rsidRPr="00C51D52">
        <w:rPr>
          <w:color w:val="000000" w:themeColor="text1"/>
        </w:rPr>
        <w:t xml:space="preserve">ffect on </w:t>
      </w:r>
      <w:r w:rsidRPr="00C51D52">
        <w:rPr>
          <w:color w:val="000000" w:themeColor="text1"/>
        </w:rPr>
        <w:t>the stability of MMFs</w:t>
      </w:r>
      <w:r w:rsidR="008C3121" w:rsidRPr="00C51D52">
        <w:rPr>
          <w:color w:val="000000" w:themeColor="text1"/>
        </w:rPr>
        <w:t>.</w:t>
      </w:r>
      <w:r w:rsidR="00F4057A" w:rsidRPr="00C51D52">
        <w:rPr>
          <w:color w:val="000000" w:themeColor="text1"/>
        </w:rPr>
        <w:t xml:space="preserve"> Instead it a</w:t>
      </w:r>
      <w:r w:rsidRPr="00C51D52">
        <w:rPr>
          <w:color w:val="000000" w:themeColor="text1"/>
        </w:rPr>
        <w:t xml:space="preserve">llowed </w:t>
      </w:r>
      <w:r w:rsidR="00FA3FEB" w:rsidRPr="00C51D52">
        <w:rPr>
          <w:color w:val="000000" w:themeColor="text1"/>
        </w:rPr>
        <w:t xml:space="preserve">MMFs to maintain </w:t>
      </w:r>
      <w:r w:rsidRPr="00C51D52">
        <w:rPr>
          <w:color w:val="000000" w:themeColor="text1"/>
        </w:rPr>
        <w:t xml:space="preserve">a stable price of 1 </w:t>
      </w:r>
      <w:r w:rsidR="008C3121" w:rsidRPr="00C51D52">
        <w:rPr>
          <w:color w:val="000000" w:themeColor="text1"/>
        </w:rPr>
        <w:t xml:space="preserve">unit of currency </w:t>
      </w:r>
      <w:r w:rsidRPr="00C51D52">
        <w:rPr>
          <w:color w:val="000000" w:themeColor="text1"/>
        </w:rPr>
        <w:t>per share,</w:t>
      </w:r>
      <w:r w:rsidR="00FA3FEB" w:rsidRPr="00C51D52">
        <w:rPr>
          <w:color w:val="000000" w:themeColor="text1"/>
        </w:rPr>
        <w:t xml:space="preserve"> which is </w:t>
      </w:r>
      <w:r w:rsidR="008C3121" w:rsidRPr="00C51D52">
        <w:rPr>
          <w:color w:val="000000" w:themeColor="text1"/>
        </w:rPr>
        <w:t xml:space="preserve">helpful operationally. </w:t>
      </w:r>
      <w:r w:rsidR="004813C0" w:rsidRPr="00C51D52">
        <w:rPr>
          <w:color w:val="000000" w:themeColor="text1"/>
        </w:rPr>
        <w:t xml:space="preserve">This practice has provided </w:t>
      </w:r>
      <w:r w:rsidR="00131F06" w:rsidRPr="00C51D52">
        <w:rPr>
          <w:color w:val="000000" w:themeColor="text1"/>
        </w:rPr>
        <w:t xml:space="preserve">utility </w:t>
      </w:r>
      <w:r w:rsidR="004813C0" w:rsidRPr="00C51D52">
        <w:rPr>
          <w:color w:val="000000" w:themeColor="text1"/>
        </w:rPr>
        <w:t>for investors</w:t>
      </w:r>
      <w:r w:rsidR="00131F06" w:rsidRPr="00C51D52">
        <w:rPr>
          <w:color w:val="000000" w:themeColor="text1"/>
        </w:rPr>
        <w:t xml:space="preserve">. </w:t>
      </w:r>
    </w:p>
    <w:p w14:paraId="7434AD9C" w14:textId="77777777" w:rsidR="00CB6E2D" w:rsidRPr="00C51D52" w:rsidRDefault="00CB6E2D" w:rsidP="00F56BC5">
      <w:pPr>
        <w:jc w:val="both"/>
        <w:rPr>
          <w:color w:val="0F4761" w:themeColor="accent1" w:themeShade="BF"/>
        </w:rPr>
      </w:pPr>
      <w:r w:rsidRPr="00C51D52">
        <w:rPr>
          <w:b/>
          <w:bCs/>
          <w:color w:val="0F4761" w:themeColor="accent1" w:themeShade="BF"/>
          <w:lang w:val="en-GB"/>
        </w:rPr>
        <w:t xml:space="preserve">Liquidity and short-term instruments </w:t>
      </w:r>
    </w:p>
    <w:p w14:paraId="23F536F4" w14:textId="77777777" w:rsidR="00CB6E2D" w:rsidRPr="00C51D52" w:rsidRDefault="00CB6E2D" w:rsidP="00F56BC5">
      <w:pPr>
        <w:jc w:val="both"/>
        <w:rPr>
          <w:lang w:val="en-GB"/>
        </w:rPr>
      </w:pPr>
      <w:r w:rsidRPr="00C51D52">
        <w:rPr>
          <w:u w:val="single"/>
          <w:lang w:val="en-GB"/>
        </w:rPr>
        <w:t xml:space="preserve">Question 15: </w:t>
      </w:r>
      <w:r w:rsidRPr="00C51D52">
        <w:rPr>
          <w:lang w:val="en-GB"/>
        </w:rPr>
        <w:t>Should regulatory requirements for MMFs take into account whether the instrument they are investing in is admitted to trading on a trading venue (regulated markets, multilateral trading facilities or organised trading facilities) with some critical level of trading activity? Please explain your answer.</w:t>
      </w:r>
    </w:p>
    <w:p w14:paraId="023FD2D4" w14:textId="0527F6BD" w:rsidR="00CB6E2D" w:rsidRPr="00C51D52" w:rsidRDefault="0034336E" w:rsidP="00C42515">
      <w:pPr>
        <w:pBdr>
          <w:top w:val="single" w:sz="4" w:space="1" w:color="auto"/>
          <w:left w:val="single" w:sz="4" w:space="4" w:color="auto"/>
          <w:bottom w:val="single" w:sz="4" w:space="1" w:color="auto"/>
          <w:right w:val="single" w:sz="4" w:space="4" w:color="auto"/>
        </w:pBdr>
        <w:jc w:val="both"/>
        <w:rPr>
          <w:lang w:val="en-GB"/>
        </w:rPr>
      </w:pPr>
      <w:r w:rsidRPr="00C51D52">
        <w:t>MMFs invest in short-term funding</w:t>
      </w:r>
      <w:r w:rsidR="00497064" w:rsidRPr="00C51D52">
        <w:t xml:space="preserve"> instruments.</w:t>
      </w:r>
      <w:r w:rsidR="007F1F15">
        <w:t xml:space="preserve"> </w:t>
      </w:r>
      <w:r w:rsidR="00131F06" w:rsidRPr="00C51D52">
        <w:t>S</w:t>
      </w:r>
      <w:r w:rsidR="008F6CED" w:rsidRPr="00C51D52">
        <w:t>hort-term funding instruments are typically traded over-the-counter (OTC)</w:t>
      </w:r>
      <w:r w:rsidR="00131F06" w:rsidRPr="00C51D52">
        <w:t>.</w:t>
      </w:r>
      <w:r w:rsidR="007F1F15">
        <w:t xml:space="preserve"> </w:t>
      </w:r>
      <w:r w:rsidR="00131F06" w:rsidRPr="00C51D52">
        <w:t>I</w:t>
      </w:r>
      <w:r w:rsidR="008F6CED" w:rsidRPr="00C51D52">
        <w:t xml:space="preserve">t would be disproportionally expensive to require such </w:t>
      </w:r>
      <w:r w:rsidR="00131F06" w:rsidRPr="00C51D52">
        <w:t xml:space="preserve">short-lived </w:t>
      </w:r>
      <w:r w:rsidR="008F6CED" w:rsidRPr="00C51D52">
        <w:t>instruments to be listed.</w:t>
      </w:r>
    </w:p>
    <w:p w14:paraId="6ACBA854" w14:textId="77777777" w:rsidR="00CB6E2D" w:rsidRPr="00C51D52" w:rsidRDefault="00CB6E2D" w:rsidP="00F56BC5">
      <w:pPr>
        <w:jc w:val="both"/>
        <w:rPr>
          <w:color w:val="0F4761" w:themeColor="accent1" w:themeShade="BF"/>
        </w:rPr>
      </w:pPr>
      <w:r w:rsidRPr="00C51D52">
        <w:rPr>
          <w:b/>
          <w:bCs/>
          <w:color w:val="0F4761" w:themeColor="accent1" w:themeShade="BF"/>
          <w:lang w:val="en-GB"/>
        </w:rPr>
        <w:t xml:space="preserve">Link between liquidity mismatch and liquidity risks </w:t>
      </w:r>
    </w:p>
    <w:p w14:paraId="220581B9" w14:textId="77777777" w:rsidR="00CB6E2D" w:rsidRPr="00C51D52" w:rsidRDefault="00CB6E2D" w:rsidP="00F56BC5">
      <w:pPr>
        <w:jc w:val="both"/>
        <w:rPr>
          <w:lang w:val="en-GB"/>
        </w:rPr>
      </w:pPr>
      <w:r w:rsidRPr="00C51D52">
        <w:rPr>
          <w:u w:val="single"/>
          <w:lang w:val="en-GB"/>
        </w:rPr>
        <w:t xml:space="preserve">Question 16: </w:t>
      </w:r>
      <w:r w:rsidRPr="00C51D52">
        <w:rPr>
          <w:lang w:val="en-GB"/>
        </w:rPr>
        <w:t xml:space="preserve">How can NCAs better monitor the liquidity profile of OEFs, including redemption frequency and LMTs, in order to detect unmitigated liquidity mismatches during the lifetime of OEFs? [To NCAs/EU bodies] What is the supervisory practice and </w:t>
      </w:r>
      <w:r w:rsidRPr="00C51D52">
        <w:rPr>
          <w:lang w:val="en-GB"/>
        </w:rPr>
        <w:lastRenderedPageBreak/>
        <w:t xml:space="preserve">your experience with monitoring and detecting unmitigated liquidity mismatches during the lifetime of OEFs? </w:t>
      </w:r>
    </w:p>
    <w:p w14:paraId="6AF2A078" w14:textId="2B0203FB" w:rsidR="005E35D8" w:rsidRPr="00C51D52" w:rsidRDefault="005E35D8" w:rsidP="00F56BC5">
      <w:pPr>
        <w:pBdr>
          <w:top w:val="single" w:sz="4" w:space="1" w:color="auto"/>
          <w:left w:val="single" w:sz="4" w:space="4" w:color="auto"/>
          <w:bottom w:val="single" w:sz="4" w:space="1" w:color="auto"/>
          <w:right w:val="single" w:sz="4" w:space="4" w:color="auto"/>
        </w:pBdr>
        <w:jc w:val="both"/>
      </w:pPr>
      <w:r w:rsidRPr="00C51D52">
        <w:t xml:space="preserve">Though certain cohorts of open-ended funds invest in less liquid assets (e.g., real estate funds and </w:t>
      </w:r>
      <w:r w:rsidR="00A604A0" w:rsidRPr="00C51D52">
        <w:t xml:space="preserve">some </w:t>
      </w:r>
      <w:r w:rsidRPr="00C51D52">
        <w:t>corporate debt funds), it does not necessarily mean that these funds exhibit a liquidity mismatch.</w:t>
      </w:r>
    </w:p>
    <w:p w14:paraId="025C83FC" w14:textId="3CB6F4F9" w:rsidR="004825CC" w:rsidRPr="00C51D52" w:rsidRDefault="004825CC" w:rsidP="00F56BC5">
      <w:pPr>
        <w:pBdr>
          <w:top w:val="single" w:sz="4" w:space="1" w:color="auto"/>
          <w:left w:val="single" w:sz="4" w:space="4" w:color="auto"/>
          <w:bottom w:val="single" w:sz="4" w:space="1" w:color="auto"/>
          <w:right w:val="single" w:sz="4" w:space="4" w:color="auto"/>
        </w:pBdr>
        <w:jc w:val="both"/>
      </w:pPr>
      <w:r w:rsidRPr="00C51D52">
        <w:t xml:space="preserve">The current EU UCITS and AIFM Directives already provide NCA with tools to monitor and manage the liquidity profile of funds. By contrast, NCAs have no power to monitor the liquidity profile of non-regulated </w:t>
      </w:r>
      <w:r w:rsidR="00AE602C" w:rsidRPr="00C51D52">
        <w:t>NB</w:t>
      </w:r>
      <w:r w:rsidR="00147A53" w:rsidRPr="00C51D52">
        <w:t>FIs</w:t>
      </w:r>
      <w:r w:rsidR="00E72C93" w:rsidRPr="00C51D52">
        <w:t>.</w:t>
      </w:r>
      <w:r w:rsidRPr="00C51D52">
        <w:t xml:space="preserve"> The liquidity profile of OEFs varies significantly and depends on an individual fund’s portfolio, investor base, the use of leverage, underlying assets, frequency of subscriptions and redemptions and market conditions. </w:t>
      </w:r>
    </w:p>
    <w:p w14:paraId="4B2BCE6C" w14:textId="2758E9EC" w:rsidR="004825CC" w:rsidRPr="00C51D52" w:rsidRDefault="004825CC" w:rsidP="00F56BC5">
      <w:pPr>
        <w:pBdr>
          <w:top w:val="single" w:sz="4" w:space="1" w:color="auto"/>
          <w:left w:val="single" w:sz="4" w:space="4" w:color="auto"/>
          <w:bottom w:val="single" w:sz="4" w:space="1" w:color="auto"/>
          <w:right w:val="single" w:sz="4" w:space="4" w:color="auto"/>
        </w:pBdr>
        <w:jc w:val="both"/>
      </w:pPr>
      <w:r w:rsidRPr="00C51D52">
        <w:t>Management companies should have the possibility of choosing between several LMTs currently available, depending on the specificities of the funds under their management. Existing LMTs, alongside the refinements of AIFMD II, are sufficient to manage fund liquidity appropriately. If universally adopted by funds, these LMTs contribute to macroeconomic stability. It is important to leave management companies sufficient flexibility on deciding when to activate such LMTs, as envisaged in the AIFMD Review, as this will avoid a mechanistic application of these tools and resulting ‘cliff effects’. However, enhanced supervisory stress testing frameworks may help inform the selection and use of specific LMTs by management companies.</w:t>
      </w:r>
    </w:p>
    <w:p w14:paraId="484E5C91" w14:textId="77777777" w:rsidR="00CB6E2D" w:rsidRPr="00C51D52" w:rsidRDefault="00CB6E2D" w:rsidP="00F56BC5">
      <w:pPr>
        <w:jc w:val="both"/>
        <w:rPr>
          <w:color w:val="000000" w:themeColor="text1"/>
          <w:lang w:val="en-GB"/>
        </w:rPr>
      </w:pPr>
      <w:r w:rsidRPr="00C51D52">
        <w:rPr>
          <w:color w:val="000000" w:themeColor="text1"/>
          <w:u w:val="single"/>
          <w:lang w:val="en-GB"/>
        </w:rPr>
        <w:t xml:space="preserve">Question 17: </w:t>
      </w:r>
      <w:r w:rsidRPr="00C51D52">
        <w:rPr>
          <w:color w:val="000000" w:themeColor="text1"/>
          <w:lang w:val="en-GB"/>
        </w:rPr>
        <w:t xml:space="preserve">What is the data that you find most relevant when monitoring liquidity risks of OEFs? </w:t>
      </w:r>
    </w:p>
    <w:p w14:paraId="6549F08F" w14:textId="77777777" w:rsidR="00B30544" w:rsidRPr="00C51D52" w:rsidRDefault="00861309" w:rsidP="005765CC">
      <w:pPr>
        <w:pBdr>
          <w:top w:val="single" w:sz="4" w:space="1" w:color="auto"/>
          <w:left w:val="single" w:sz="4" w:space="4" w:color="auto"/>
          <w:bottom w:val="single" w:sz="4" w:space="1" w:color="auto"/>
          <w:right w:val="single" w:sz="4" w:space="4" w:color="auto"/>
        </w:pBdr>
        <w:jc w:val="both"/>
        <w:rPr>
          <w:color w:val="000000" w:themeColor="text1"/>
        </w:rPr>
      </w:pPr>
      <w:r w:rsidRPr="00C51D52">
        <w:rPr>
          <w:color w:val="000000" w:themeColor="text1"/>
        </w:rPr>
        <w:t>Monitoring liquidity risks of OEFs requires a</w:t>
      </w:r>
      <w:r w:rsidR="005765CC" w:rsidRPr="00C51D52">
        <w:rPr>
          <w:color w:val="000000" w:themeColor="text1"/>
        </w:rPr>
        <w:t xml:space="preserve"> comprehensive approach</w:t>
      </w:r>
      <w:r w:rsidR="00B30419" w:rsidRPr="00C51D52">
        <w:rPr>
          <w:color w:val="000000" w:themeColor="text1"/>
        </w:rPr>
        <w:t xml:space="preserve"> guided by various data points</w:t>
      </w:r>
      <w:r w:rsidR="00B30544" w:rsidRPr="00C51D52">
        <w:rPr>
          <w:color w:val="000000" w:themeColor="text1"/>
        </w:rPr>
        <w:t>:</w:t>
      </w:r>
    </w:p>
    <w:p w14:paraId="2C37186F" w14:textId="4F17F020" w:rsidR="00F073FD" w:rsidRPr="00C51D52" w:rsidRDefault="00B30544"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302737" w:rsidRPr="00C51D52">
        <w:t xml:space="preserve"> </w:t>
      </w:r>
      <w:r w:rsidR="005765CC" w:rsidRPr="00C51D52">
        <w:rPr>
          <w:color w:val="000000" w:themeColor="text1"/>
        </w:rPr>
        <w:t>Redemption Coverage Ratio</w:t>
      </w:r>
      <w:r w:rsidRPr="00C51D52">
        <w:rPr>
          <w:color w:val="000000" w:themeColor="text1"/>
        </w:rPr>
        <w:t xml:space="preserve">: </w:t>
      </w:r>
      <w:r w:rsidR="00F521B6" w:rsidRPr="00C51D52">
        <w:rPr>
          <w:color w:val="000000" w:themeColor="text1"/>
        </w:rPr>
        <w:t>M</w:t>
      </w:r>
      <w:r w:rsidR="005765CC" w:rsidRPr="00C51D52">
        <w:rPr>
          <w:color w:val="000000" w:themeColor="text1"/>
        </w:rPr>
        <w:t>easures how quickly assets can be converted to cash to meet redemptions, though it must be viewed in the context of each fund's stress scenarios.</w:t>
      </w:r>
    </w:p>
    <w:p w14:paraId="0BDF06A2" w14:textId="6A56C6DA" w:rsidR="00F073FD" w:rsidRPr="00C51D52" w:rsidRDefault="00F073FD"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302737" w:rsidRPr="00C51D52">
        <w:t xml:space="preserve"> </w:t>
      </w:r>
      <w:r w:rsidR="005765CC" w:rsidRPr="00C51D52">
        <w:rPr>
          <w:color w:val="000000" w:themeColor="text1"/>
        </w:rPr>
        <w:t>Knowing the investor</w:t>
      </w:r>
      <w:r w:rsidRPr="00C51D52">
        <w:rPr>
          <w:color w:val="000000" w:themeColor="text1"/>
        </w:rPr>
        <w:t xml:space="preserve"> base</w:t>
      </w:r>
      <w:r w:rsidR="005765CC" w:rsidRPr="00C51D52">
        <w:rPr>
          <w:color w:val="000000" w:themeColor="text1"/>
        </w:rPr>
        <w:t xml:space="preserve">, especially large or volatile investors who can create significant redemption challenges. </w:t>
      </w:r>
    </w:p>
    <w:p w14:paraId="6FA71703" w14:textId="6464693D" w:rsidR="005765CC" w:rsidRPr="00C51D52" w:rsidRDefault="006F0315"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E7693E" w:rsidRPr="00C51D52">
        <w:t xml:space="preserve"> </w:t>
      </w:r>
      <w:r w:rsidR="005765CC" w:rsidRPr="00C51D52">
        <w:rPr>
          <w:color w:val="000000" w:themeColor="text1"/>
        </w:rPr>
        <w:t xml:space="preserve">Macro data such </w:t>
      </w:r>
      <w:r w:rsidR="00D21E82" w:rsidRPr="00C51D52">
        <w:rPr>
          <w:color w:val="000000" w:themeColor="text1"/>
        </w:rPr>
        <w:t xml:space="preserve">as </w:t>
      </w:r>
      <w:r w:rsidR="005765CC" w:rsidRPr="00C51D52">
        <w:rPr>
          <w:color w:val="000000" w:themeColor="text1"/>
        </w:rPr>
        <w:t>interest rates and financial indices provide broader market context</w:t>
      </w:r>
      <w:r w:rsidR="00D21E82" w:rsidRPr="00C51D52">
        <w:rPr>
          <w:color w:val="000000" w:themeColor="text1"/>
        </w:rPr>
        <w:t xml:space="preserve"> and</w:t>
      </w:r>
      <w:r w:rsidR="005765CC" w:rsidRPr="00C51D52">
        <w:rPr>
          <w:color w:val="000000" w:themeColor="text1"/>
        </w:rPr>
        <w:t xml:space="preserve"> micro data on inflows, outflows, and asset values </w:t>
      </w:r>
    </w:p>
    <w:p w14:paraId="4A8844DB" w14:textId="0629EE5A" w:rsidR="002409AF" w:rsidRPr="00C51D52" w:rsidRDefault="006439BA"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E7693E" w:rsidRPr="00C51D52">
        <w:t xml:space="preserve"> </w:t>
      </w:r>
      <w:r w:rsidRPr="00C51D52">
        <w:rPr>
          <w:color w:val="000000" w:themeColor="text1"/>
        </w:rPr>
        <w:t>R</w:t>
      </w:r>
      <w:r w:rsidR="00032484" w:rsidRPr="00C51D52">
        <w:rPr>
          <w:color w:val="000000" w:themeColor="text1"/>
        </w:rPr>
        <w:t xml:space="preserve">esults </w:t>
      </w:r>
      <w:r w:rsidR="004716BD" w:rsidRPr="00C51D52">
        <w:rPr>
          <w:color w:val="000000" w:themeColor="text1"/>
        </w:rPr>
        <w:t>from r</w:t>
      </w:r>
      <w:r w:rsidR="005765CC" w:rsidRPr="00C51D52">
        <w:rPr>
          <w:color w:val="000000" w:themeColor="text1"/>
        </w:rPr>
        <w:t xml:space="preserve">egular stress tests </w:t>
      </w:r>
    </w:p>
    <w:p w14:paraId="782AD09D" w14:textId="31B815EB" w:rsidR="005765CC" w:rsidRPr="00C51D52" w:rsidRDefault="002409AF"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E7693E" w:rsidRPr="00C51D52">
        <w:t xml:space="preserve"> </w:t>
      </w:r>
      <w:r w:rsidR="00C2755F" w:rsidRPr="00C51D52">
        <w:t>I</w:t>
      </w:r>
      <w:r w:rsidR="00362D17" w:rsidRPr="00C51D52">
        <w:t xml:space="preserve">nternal reviews by </w:t>
      </w:r>
      <w:r w:rsidR="00362D17" w:rsidRPr="00C51D52">
        <w:rPr>
          <w:color w:val="000000" w:themeColor="text1"/>
        </w:rPr>
        <w:t>l</w:t>
      </w:r>
      <w:r w:rsidR="005765CC" w:rsidRPr="00C51D52">
        <w:rPr>
          <w:color w:val="000000" w:themeColor="text1"/>
        </w:rPr>
        <w:t>iquidity risk committees</w:t>
      </w:r>
      <w:r w:rsidR="00362D17" w:rsidRPr="00C51D52">
        <w:rPr>
          <w:color w:val="000000" w:themeColor="text1"/>
        </w:rPr>
        <w:t>, which can be increased in times of market stress</w:t>
      </w:r>
    </w:p>
    <w:p w14:paraId="1D920110" w14:textId="3AD28B03" w:rsidR="005765CC" w:rsidRPr="00C51D52" w:rsidRDefault="00362D17" w:rsidP="00302737">
      <w:pPr>
        <w:pBdr>
          <w:top w:val="single" w:sz="4" w:space="1" w:color="auto"/>
          <w:left w:val="single" w:sz="4" w:space="4" w:color="auto"/>
          <w:bottom w:val="single" w:sz="4" w:space="1" w:color="auto"/>
          <w:right w:val="single" w:sz="4" w:space="4" w:color="auto"/>
        </w:pBdr>
        <w:rPr>
          <w:color w:val="000000" w:themeColor="text1"/>
        </w:rPr>
      </w:pPr>
      <w:r w:rsidRPr="00C51D52">
        <w:t>•</w:t>
      </w:r>
      <w:r w:rsidR="00E7693E" w:rsidRPr="00C51D52">
        <w:t xml:space="preserve"> </w:t>
      </w:r>
      <w:r w:rsidR="005765CC" w:rsidRPr="00C51D52">
        <w:rPr>
          <w:color w:val="000000" w:themeColor="text1"/>
        </w:rPr>
        <w:t>Clear risk management procedures communicated to regulators</w:t>
      </w:r>
    </w:p>
    <w:p w14:paraId="0141EFA9" w14:textId="77777777" w:rsidR="00CB6E2D" w:rsidRPr="00C51D52" w:rsidRDefault="00CB6E2D" w:rsidP="00F56BC5">
      <w:pPr>
        <w:jc w:val="both"/>
        <w:rPr>
          <w:color w:val="A6A6A6" w:themeColor="background1" w:themeShade="A6"/>
          <w:lang w:val="en-GB"/>
        </w:rPr>
      </w:pPr>
      <w:r w:rsidRPr="00C51D52">
        <w:rPr>
          <w:color w:val="A6A6A6" w:themeColor="background1" w:themeShade="A6"/>
          <w:u w:val="single"/>
          <w:lang w:val="en-GB"/>
        </w:rPr>
        <w:lastRenderedPageBreak/>
        <w:t xml:space="preserve">Question 18: </w:t>
      </w:r>
      <w:r w:rsidRPr="00C51D52">
        <w:rPr>
          <w:color w:val="A6A6A6" w:themeColor="background1" w:themeShade="A6"/>
          <w:lang w:val="en-GB"/>
        </w:rPr>
        <w:t xml:space="preserve">[To NCAs/EU bodies] What supervisory actions do you take when unmitigated liquidity mismatches are detected during the lifetime of an OEF? </w:t>
      </w:r>
    </w:p>
    <w:p w14:paraId="5993D6B9" w14:textId="77777777" w:rsidR="00CB6E2D" w:rsidRPr="00C51D52" w:rsidRDefault="00CB6E2D" w:rsidP="00F56BC5">
      <w:pPr>
        <w:jc w:val="both"/>
        <w:rPr>
          <w:lang w:val="en-GB"/>
        </w:rPr>
      </w:pPr>
      <w:r w:rsidRPr="00C51D52">
        <w:rPr>
          <w:u w:val="single"/>
          <w:lang w:val="en-GB"/>
        </w:rPr>
        <w:t xml:space="preserve">Question 19: </w:t>
      </w:r>
      <w:r w:rsidRPr="00C51D52">
        <w:rPr>
          <w:lang w:val="en-GB"/>
        </w:rPr>
        <w:t xml:space="preserve">On the basis of the reporting and stress testing information being collected by competent authorities throughout the life of a fund, how can supervisory powers of competent authorities be enhanced to deal with potential inconsistencies or insufficient calibration between the LMTs selected by the manager for a fund or a cohort of funds and their assets and liabilities liquidity profile? How can NCAs ensure that fund managers make adjustments to LMTs if they are unwilling to act? How could coordination be enhanced at the EU level? </w:t>
      </w:r>
    </w:p>
    <w:p w14:paraId="5FA72750" w14:textId="40DFFFE4" w:rsidR="0046397F" w:rsidRPr="00C51D52" w:rsidRDefault="002876B5" w:rsidP="00F56BC5">
      <w:pPr>
        <w:pBdr>
          <w:top w:val="single" w:sz="4" w:space="1" w:color="auto"/>
          <w:left w:val="single" w:sz="4" w:space="4" w:color="auto"/>
          <w:bottom w:val="single" w:sz="4" w:space="1" w:color="auto"/>
          <w:right w:val="single" w:sz="4" w:space="4" w:color="auto"/>
        </w:pBdr>
        <w:jc w:val="both"/>
        <w:rPr>
          <w:color w:val="000000" w:themeColor="text1"/>
          <w:lang w:val="en-GB"/>
        </w:rPr>
      </w:pPr>
      <w:r w:rsidRPr="00C51D52">
        <w:rPr>
          <w:color w:val="000000" w:themeColor="text1"/>
        </w:rPr>
        <w:t xml:space="preserve">Management companies should </w:t>
      </w:r>
      <w:r w:rsidR="00D016C7" w:rsidRPr="00C51D52">
        <w:rPr>
          <w:color w:val="000000" w:themeColor="text1"/>
        </w:rPr>
        <w:t>have</w:t>
      </w:r>
      <w:r w:rsidRPr="00C51D52">
        <w:rPr>
          <w:color w:val="000000" w:themeColor="text1"/>
        </w:rPr>
        <w:t xml:space="preserve"> </w:t>
      </w:r>
      <w:r w:rsidR="00A0270A" w:rsidRPr="00C51D52">
        <w:rPr>
          <w:color w:val="000000" w:themeColor="text1"/>
        </w:rPr>
        <w:t>the possibility of choosing between several LMTs currently available, depending on the specificities of the funds under their management. Existing LMTs, alongside the refinements of AIFMD II, are sufficient to manage fund liquidity appropriately. If universally adopted by funds, these LMTs contribute to macroeconomic stability. It is important to leave management companies sufficient flexibility on deciding when to activate such LMTs, as envisaged in the AIFMD Review, as this will avoid a mechanistic application of these tools and resulting ‘cliff effects’. However, enhanced supervisory stress testing frameworks may help inform the selection and use of specific LMTs by management companies.</w:t>
      </w:r>
    </w:p>
    <w:p w14:paraId="17A1571F" w14:textId="77777777" w:rsidR="00CB6E2D" w:rsidRPr="00C51D52" w:rsidRDefault="00CB6E2D" w:rsidP="00F56BC5">
      <w:pPr>
        <w:jc w:val="both"/>
        <w:rPr>
          <w:lang w:val="en-GB"/>
        </w:rPr>
      </w:pPr>
      <w:r w:rsidRPr="00C51D52">
        <w:rPr>
          <w:u w:val="single"/>
          <w:lang w:val="en-GB"/>
        </w:rPr>
        <w:t xml:space="preserve">Question 20: </w:t>
      </w:r>
      <w:r w:rsidRPr="00C51D52">
        <w:rPr>
          <w:lang w:val="en-GB"/>
        </w:rPr>
        <w:t xml:space="preserve">[To asset managers] What measures do you find particularly effective to measure and monitor liquidity risk in stressed market conditions? </w:t>
      </w:r>
    </w:p>
    <w:p w14:paraId="43ACF5F5" w14:textId="49D5985D" w:rsidR="00C054BD" w:rsidRPr="00C51D52" w:rsidRDefault="00C054BD" w:rsidP="00C054BD">
      <w:pPr>
        <w:pBdr>
          <w:top w:val="single" w:sz="4" w:space="1" w:color="auto"/>
          <w:left w:val="single" w:sz="4" w:space="4" w:color="auto"/>
          <w:bottom w:val="single" w:sz="4" w:space="1" w:color="auto"/>
          <w:right w:val="single" w:sz="4" w:space="4" w:color="auto"/>
        </w:pBdr>
        <w:jc w:val="both"/>
      </w:pPr>
      <w:r w:rsidRPr="00C51D52">
        <w:t>The UCITS Directive and the AIFMD impose strict liquidity management and reporting requirements. Specifically, asset managers must develop and implement liquidity risk management plans (LRMPs) that detail how liquidity risk is monitored, managed, and addressed during periods of stress.</w:t>
      </w:r>
    </w:p>
    <w:p w14:paraId="5D649703" w14:textId="595F7E49" w:rsidR="00C054BD" w:rsidRPr="00C51D52" w:rsidRDefault="00C054BD" w:rsidP="00C054BD">
      <w:pPr>
        <w:pBdr>
          <w:top w:val="single" w:sz="4" w:space="1" w:color="auto"/>
          <w:left w:val="single" w:sz="4" w:space="4" w:color="auto"/>
          <w:bottom w:val="single" w:sz="4" w:space="1" w:color="auto"/>
          <w:right w:val="single" w:sz="4" w:space="4" w:color="auto"/>
        </w:pBdr>
        <w:jc w:val="both"/>
      </w:pPr>
      <w:r w:rsidRPr="00C51D52">
        <w:t>Stress testing plays a critical role in EU liquidity risk management. Under both AIFMD and ESMA guidance, asset managers are required to conduct regular stress tests to simulate extreme market events.</w:t>
      </w:r>
      <w:r w:rsidR="00660060" w:rsidRPr="00C51D52">
        <w:t xml:space="preserve"> </w:t>
      </w:r>
      <w:r w:rsidRPr="00C51D52">
        <w:t>These tests focus on assessing the ability of a portfolio to meet redemption requests and liquidity needs during extreme market dislocation, with scenarios that reflect potential liquidity crises.</w:t>
      </w:r>
    </w:p>
    <w:p w14:paraId="77023437" w14:textId="2C86685F" w:rsidR="00C054BD" w:rsidRPr="00C51D52" w:rsidRDefault="00C054BD" w:rsidP="00C054BD">
      <w:pPr>
        <w:pBdr>
          <w:top w:val="single" w:sz="4" w:space="1" w:color="auto"/>
          <w:left w:val="single" w:sz="4" w:space="4" w:color="auto"/>
          <w:bottom w:val="single" w:sz="4" w:space="1" w:color="auto"/>
          <w:right w:val="single" w:sz="4" w:space="4" w:color="auto"/>
        </w:pBdr>
        <w:jc w:val="both"/>
      </w:pPr>
      <w:r w:rsidRPr="00C51D52">
        <w:t xml:space="preserve">Another key measure is the Liquidity Coverage Ratio (LCR), which was introduced under the Basel III framework and is applied to EU-regulated financial institutions. While traditionally used by banks, </w:t>
      </w:r>
      <w:r w:rsidR="00412566" w:rsidRPr="00C51D52">
        <w:t>asset managers</w:t>
      </w:r>
      <w:r w:rsidRPr="00C51D52">
        <w:t xml:space="preserve"> apply this ratio to their portfolios to ensure they hold sufficient high-quality liquid assets (HQLA) to cover potential outflows during stressed conditions. The LCR is especially important for monitoring the capacity to meet short-term obligations within a 30-day period.</w:t>
      </w:r>
    </w:p>
    <w:p w14:paraId="2A9A11ED" w14:textId="6928D9A6" w:rsidR="00C054BD" w:rsidRPr="00C51D52" w:rsidRDefault="00C054BD" w:rsidP="00C054BD">
      <w:pPr>
        <w:pBdr>
          <w:top w:val="single" w:sz="4" w:space="1" w:color="auto"/>
          <w:left w:val="single" w:sz="4" w:space="4" w:color="auto"/>
          <w:bottom w:val="single" w:sz="4" w:space="1" w:color="auto"/>
          <w:right w:val="single" w:sz="4" w:space="4" w:color="auto"/>
        </w:pBdr>
        <w:jc w:val="both"/>
      </w:pPr>
      <w:r w:rsidRPr="00C51D52">
        <w:t xml:space="preserve">In addition, asset managers monitor various liquidity risk indicators, such as the Asset Liquidity Indicator (ALI) or Turnover Ratios, to assess how easily assets can be sold or </w:t>
      </w:r>
      <w:r w:rsidRPr="00C51D52">
        <w:lastRenderedPageBreak/>
        <w:t xml:space="preserve">traded without significantly impacting prices, especially under stressed market conditions. They also </w:t>
      </w:r>
      <w:r w:rsidR="00F87CD0" w:rsidRPr="00C51D52">
        <w:rPr>
          <w:lang w:val="en-GB"/>
        </w:rPr>
        <w:t>monitor</w:t>
      </w:r>
      <w:r w:rsidRPr="00C51D52">
        <w:t xml:space="preserve"> real-time data regarding bid-ask spreads, trading volumes, and market depth to track liquidity levels in underlying assets.</w:t>
      </w:r>
    </w:p>
    <w:p w14:paraId="73AE72F5" w14:textId="1978471B" w:rsidR="00C054BD" w:rsidRPr="00C51D52" w:rsidRDefault="00C054BD" w:rsidP="00C054BD">
      <w:pPr>
        <w:pBdr>
          <w:top w:val="single" w:sz="4" w:space="1" w:color="auto"/>
          <w:left w:val="single" w:sz="4" w:space="4" w:color="auto"/>
          <w:bottom w:val="single" w:sz="4" w:space="1" w:color="auto"/>
          <w:right w:val="single" w:sz="4" w:space="4" w:color="auto"/>
        </w:pBdr>
        <w:jc w:val="both"/>
      </w:pPr>
      <w:r w:rsidRPr="00C51D52">
        <w:t>Asset managers are required to establish contingency plans that outline strategies for addressing liquidity shortfalls in stressful scenarios. These plans must cover a range of stress events and provide clear frameworks for accessing liquidity, whether through cash reserves, liquid assets, or external sources.</w:t>
      </w:r>
    </w:p>
    <w:p w14:paraId="03B36D17" w14:textId="6D408A2C" w:rsidR="00C054BD" w:rsidRPr="005446B4" w:rsidRDefault="00C054BD" w:rsidP="005446B4">
      <w:pPr>
        <w:pBdr>
          <w:top w:val="single" w:sz="4" w:space="1" w:color="auto"/>
          <w:left w:val="single" w:sz="4" w:space="4" w:color="auto"/>
          <w:bottom w:val="single" w:sz="4" w:space="1" w:color="auto"/>
          <w:right w:val="single" w:sz="4" w:space="4" w:color="auto"/>
        </w:pBdr>
        <w:jc w:val="both"/>
      </w:pPr>
      <w:r w:rsidRPr="00C51D52">
        <w:t>Redemption and liquidity management policies are also crucial. In line with the AIFMD and UCITS, asset managers ensure that their funds have robust redemption policies in place, such as redemption gates and swing pricing mechanisms. These tools help manage large-scale redemptions during market stress and prevent the dilution of the remaining investors' holdings.</w:t>
      </w:r>
    </w:p>
    <w:p w14:paraId="2397EC06" w14:textId="77777777" w:rsidR="00CB6E2D" w:rsidRPr="00C51D52" w:rsidRDefault="00CB6E2D" w:rsidP="00F56BC5">
      <w:pPr>
        <w:jc w:val="both"/>
        <w:rPr>
          <w:lang w:val="en-GB"/>
        </w:rPr>
      </w:pPr>
      <w:r w:rsidRPr="00C51D52">
        <w:rPr>
          <w:u w:val="single"/>
          <w:lang w:val="en-GB"/>
        </w:rPr>
        <w:t xml:space="preserve">Question 21: </w:t>
      </w:r>
      <w:r w:rsidRPr="00C51D52">
        <w:rPr>
          <w:lang w:val="en-GB"/>
        </w:rPr>
        <w:t xml:space="preserve">[To asset managers] What difficulties have you encountered in measuring and monitoring liquidity risks and their evolution? Are there enough tools available under the EU regulations to address liquidity mismatches? </w:t>
      </w:r>
    </w:p>
    <w:p w14:paraId="7F112A85" w14:textId="1435313E" w:rsidR="00C078EE" w:rsidRPr="00C51D52" w:rsidRDefault="00482711" w:rsidP="00F56BC5">
      <w:pPr>
        <w:pBdr>
          <w:top w:val="single" w:sz="4" w:space="1" w:color="auto"/>
          <w:left w:val="single" w:sz="4" w:space="4" w:color="auto"/>
          <w:bottom w:val="single" w:sz="4" w:space="1" w:color="auto"/>
          <w:right w:val="single" w:sz="4" w:space="4" w:color="auto"/>
        </w:pBdr>
        <w:jc w:val="both"/>
        <w:rPr>
          <w:color w:val="000000" w:themeColor="text1"/>
        </w:rPr>
      </w:pPr>
      <w:r w:rsidRPr="00C51D52">
        <w:t>The current regulations already</w:t>
      </w:r>
      <w:r w:rsidR="006F0370" w:rsidRPr="00C51D52">
        <w:t xml:space="preserve"> provide</w:t>
      </w:r>
      <w:r w:rsidRPr="00C51D52">
        <w:t xml:space="preserve"> NCAs </w:t>
      </w:r>
      <w:r w:rsidR="00E435CA" w:rsidRPr="00C51D52">
        <w:t>and asset ma</w:t>
      </w:r>
      <w:r w:rsidR="008C3B53" w:rsidRPr="00C51D52">
        <w:t>n</w:t>
      </w:r>
      <w:r w:rsidR="00E435CA" w:rsidRPr="00C51D52">
        <w:t xml:space="preserve">agers </w:t>
      </w:r>
      <w:r w:rsidRPr="00C51D52">
        <w:t>with tools to monitor and manage the liquidity profile of funds</w:t>
      </w:r>
      <w:r w:rsidR="00AC6BAE" w:rsidRPr="00C51D52">
        <w:t xml:space="preserve"> (see answer to question 16)</w:t>
      </w:r>
      <w:r w:rsidRPr="00C51D52">
        <w:t>.</w:t>
      </w:r>
    </w:p>
    <w:p w14:paraId="164658A8" w14:textId="77777777" w:rsidR="00CB6E2D" w:rsidRPr="00C51D52" w:rsidRDefault="00CB6E2D" w:rsidP="00F56BC5">
      <w:pPr>
        <w:jc w:val="both"/>
        <w:rPr>
          <w:lang w:val="en-GB"/>
        </w:rPr>
      </w:pPr>
      <w:r w:rsidRPr="00C51D52">
        <w:rPr>
          <w:u w:val="single"/>
          <w:lang w:val="en-GB"/>
        </w:rPr>
        <w:t xml:space="preserve">Question 22: </w:t>
      </w:r>
      <w:r w:rsidRPr="00C51D52">
        <w:rPr>
          <w:lang w:val="en-GB"/>
        </w:rPr>
        <w:t xml:space="preserve">[To asset managers] What are the challenges in calibrating worst-case and stress-case scenarios related to redemptions and margin calls? </w:t>
      </w:r>
    </w:p>
    <w:p w14:paraId="5FE79A2F" w14:textId="0D3D9E38" w:rsidR="00660060" w:rsidRPr="00C51D52" w:rsidRDefault="00660060" w:rsidP="00660060">
      <w:pPr>
        <w:pBdr>
          <w:top w:val="single" w:sz="4" w:space="1" w:color="auto"/>
          <w:left w:val="single" w:sz="4" w:space="4" w:color="auto"/>
          <w:bottom w:val="single" w:sz="4" w:space="1" w:color="auto"/>
          <w:right w:val="single" w:sz="4" w:space="4" w:color="auto"/>
        </w:pBdr>
        <w:jc w:val="both"/>
      </w:pPr>
      <w:r w:rsidRPr="00C51D52">
        <w:t xml:space="preserve">Calibrating worst-case and stress-case scenarios for redemptions and margin calls is complex due to the overarching uncertainty surrounding extreme market events, investor </w:t>
      </w:r>
      <w:proofErr w:type="spellStart"/>
      <w:r w:rsidRPr="00C51D52">
        <w:t>behaviour</w:t>
      </w:r>
      <w:proofErr w:type="spellEnd"/>
      <w:r w:rsidRPr="00C51D52">
        <w:t xml:space="preserve">, and asset liquidity. The lack of historical data, unpredictable correlations, and dynamic market responses further complicate the process. </w:t>
      </w:r>
    </w:p>
    <w:p w14:paraId="2C65C8DE" w14:textId="7F34DE22" w:rsidR="00660060" w:rsidRPr="00C51D52" w:rsidRDefault="00660060" w:rsidP="00D67C58">
      <w:pPr>
        <w:pBdr>
          <w:top w:val="single" w:sz="4" w:space="1" w:color="auto"/>
          <w:left w:val="single" w:sz="4" w:space="4" w:color="auto"/>
          <w:bottom w:val="single" w:sz="4" w:space="1" w:color="auto"/>
          <w:right w:val="single" w:sz="4" w:space="4" w:color="auto"/>
        </w:pBdr>
        <w:jc w:val="both"/>
      </w:pPr>
      <w:r w:rsidRPr="00C51D52">
        <w:t>One of the primary difficulties lies in the inherent uncertainty of extreme market events</w:t>
      </w:r>
      <w:r w:rsidR="00D67C58" w:rsidRPr="00C51D52">
        <w:t xml:space="preserve">, </w:t>
      </w:r>
      <w:r w:rsidR="008952C9" w:rsidRPr="00C51D52">
        <w:t>extreme tail risks</w:t>
      </w:r>
      <w:r w:rsidR="00D67C58" w:rsidRPr="00C51D52">
        <w:t xml:space="preserve"> and asset correlation</w:t>
      </w:r>
      <w:r w:rsidRPr="00C51D52">
        <w:t xml:space="preserve">. </w:t>
      </w:r>
      <w:r w:rsidR="00995B54" w:rsidRPr="00C51D52">
        <w:t>W</w:t>
      </w:r>
      <w:r w:rsidRPr="00C51D52">
        <w:t>hile historical data can offer insights</w:t>
      </w:r>
      <w:r w:rsidR="008952C9" w:rsidRPr="00C51D52">
        <w:t>,</w:t>
      </w:r>
      <w:r w:rsidR="009D4B5C" w:rsidRPr="00C51D52">
        <w:rPr>
          <w:lang w:val="en-GB"/>
        </w:rPr>
        <w:t xml:space="preserve"> it will never provide a wholly accurate basis on which to model the future. </w:t>
      </w:r>
    </w:p>
    <w:p w14:paraId="57D7C404" w14:textId="7B5A4D65" w:rsidR="00660060" w:rsidRPr="00C51D52" w:rsidRDefault="00660060" w:rsidP="00660060">
      <w:pPr>
        <w:pBdr>
          <w:top w:val="single" w:sz="4" w:space="1" w:color="auto"/>
          <w:left w:val="single" w:sz="4" w:space="4" w:color="auto"/>
          <w:bottom w:val="single" w:sz="4" w:space="1" w:color="auto"/>
          <w:right w:val="single" w:sz="4" w:space="4" w:color="auto"/>
        </w:pBdr>
        <w:jc w:val="both"/>
      </w:pPr>
      <w:r w:rsidRPr="00C51D52">
        <w:t>Predicting how investors, both retail and institutional, will react under extreme conditions is highly uncertain.</w:t>
      </w:r>
      <w:r w:rsidR="007F1F15">
        <w:t xml:space="preserve"> </w:t>
      </w:r>
      <w:r w:rsidRPr="00C51D52">
        <w:t xml:space="preserve">For instance, panic-driven redemptions can be much larger than expected, and investors may behave in unpredictable ways. </w:t>
      </w:r>
    </w:p>
    <w:p w14:paraId="0B879F5A" w14:textId="1653130C" w:rsidR="00660060" w:rsidRPr="00C51D52" w:rsidRDefault="00660060" w:rsidP="00660060">
      <w:pPr>
        <w:pBdr>
          <w:top w:val="single" w:sz="4" w:space="1" w:color="auto"/>
          <w:left w:val="single" w:sz="4" w:space="4" w:color="auto"/>
          <w:bottom w:val="single" w:sz="4" w:space="1" w:color="auto"/>
          <w:right w:val="single" w:sz="4" w:space="4" w:color="auto"/>
        </w:pBdr>
        <w:jc w:val="both"/>
      </w:pPr>
      <w:r w:rsidRPr="00C51D52">
        <w:t>In volatile markets, collateral values can fall sharply, triggering margin calls on leveraged positions. The timing, size, and frequency of these margin calls depend on both the market conditions and the specific terms of financing agreements.</w:t>
      </w:r>
      <w:r w:rsidR="007F1F15">
        <w:t xml:space="preserve"> </w:t>
      </w:r>
      <w:r w:rsidR="00E1361D" w:rsidRPr="00C51D52">
        <w:t>Due to these considerations, e</w:t>
      </w:r>
      <w:r w:rsidRPr="00C51D52">
        <w:t xml:space="preserve">stimating the liquidity needed to meet margin calls during extreme scenarios is particularly </w:t>
      </w:r>
      <w:r w:rsidR="00E1361D" w:rsidRPr="00C51D52">
        <w:t>challenging.</w:t>
      </w:r>
    </w:p>
    <w:p w14:paraId="307D036C" w14:textId="719368BB" w:rsidR="00660060" w:rsidRPr="00C51D52" w:rsidRDefault="00660060" w:rsidP="00C81EFA">
      <w:pPr>
        <w:pBdr>
          <w:top w:val="single" w:sz="4" w:space="1" w:color="auto"/>
          <w:left w:val="single" w:sz="4" w:space="4" w:color="auto"/>
          <w:bottom w:val="single" w:sz="4" w:space="1" w:color="auto"/>
          <w:right w:val="single" w:sz="4" w:space="4" w:color="auto"/>
        </w:pBdr>
        <w:jc w:val="both"/>
      </w:pPr>
      <w:r w:rsidRPr="00C51D52">
        <w:t xml:space="preserve">Regulatory constraints further complicate the calibration process. </w:t>
      </w:r>
      <w:r w:rsidR="00392D28" w:rsidRPr="00C51D52">
        <w:t>L</w:t>
      </w:r>
      <w:r w:rsidRPr="00C51D52">
        <w:t xml:space="preserve">imits on how quickly and in what amounts redemptions can occur, </w:t>
      </w:r>
      <w:r w:rsidR="002770F7" w:rsidRPr="00C51D52">
        <w:t>need to be accounted for when</w:t>
      </w:r>
      <w:r w:rsidRPr="00C51D52">
        <w:t xml:space="preserve"> modeling </w:t>
      </w:r>
      <w:r w:rsidRPr="00C51D52">
        <w:lastRenderedPageBreak/>
        <w:t>stress events. In addition, liquidity buffers or redemption gates may limit the speed of redemption flows, requiring adjustments to the models to reflect these realities.</w:t>
      </w:r>
    </w:p>
    <w:p w14:paraId="23C3DA88" w14:textId="77777777" w:rsidR="00CB6E2D" w:rsidRPr="00C51D52" w:rsidRDefault="00CB6E2D" w:rsidP="00F56BC5">
      <w:pPr>
        <w:jc w:val="both"/>
        <w:rPr>
          <w:color w:val="0F4761" w:themeColor="accent1" w:themeShade="BF"/>
        </w:rPr>
      </w:pPr>
      <w:r w:rsidRPr="00C51D52">
        <w:rPr>
          <w:b/>
          <w:bCs/>
          <w:color w:val="0F4761" w:themeColor="accent1" w:themeShade="BF"/>
          <w:lang w:val="en-GB"/>
        </w:rPr>
        <w:t xml:space="preserve">Stress testing </w:t>
      </w:r>
    </w:p>
    <w:p w14:paraId="2BA36168" w14:textId="77777777" w:rsidR="00CB6E2D" w:rsidRPr="00C51D52" w:rsidRDefault="00CB6E2D" w:rsidP="00F56BC5">
      <w:pPr>
        <w:jc w:val="both"/>
        <w:rPr>
          <w:color w:val="A6A6A6" w:themeColor="background1" w:themeShade="A6"/>
        </w:rPr>
      </w:pPr>
      <w:r w:rsidRPr="00C51D52">
        <w:rPr>
          <w:color w:val="A6A6A6" w:themeColor="background1" w:themeShade="A6"/>
          <w:u w:val="single"/>
          <w:lang w:val="en-GB"/>
        </w:rPr>
        <w:t xml:space="preserve">Question 23: </w:t>
      </w:r>
      <w:r w:rsidRPr="00C51D52">
        <w:rPr>
          <w:color w:val="A6A6A6" w:themeColor="background1" w:themeShade="A6"/>
          <w:lang w:val="en-GB"/>
        </w:rPr>
        <w:t xml:space="preserve">[To NCAs and EU bodies] When monitoring or using results of liquidity stress tests, are you able to timely collect underlying fund data used by managers and the methodology used for the simulation? Are there other aspects that you find very relevant when monitoring the stress tests run by managers? </w:t>
      </w:r>
    </w:p>
    <w:p w14:paraId="21511496" w14:textId="77777777" w:rsidR="00CB6E2D" w:rsidRPr="00C51D52" w:rsidRDefault="00CB6E2D" w:rsidP="00F56BC5">
      <w:pPr>
        <w:jc w:val="both"/>
        <w:rPr>
          <w:color w:val="A6A6A6" w:themeColor="background1" w:themeShade="A6"/>
        </w:rPr>
      </w:pPr>
      <w:r w:rsidRPr="00C51D52">
        <w:rPr>
          <w:color w:val="A6A6A6" w:themeColor="background1" w:themeShade="A6"/>
          <w:u w:val="single"/>
          <w:lang w:val="en-GB"/>
        </w:rPr>
        <w:t xml:space="preserve">Question 24: </w:t>
      </w:r>
      <w:r w:rsidRPr="00C51D52">
        <w:rPr>
          <w:color w:val="A6A6A6" w:themeColor="background1" w:themeShade="A6"/>
          <w:lang w:val="en-GB"/>
        </w:rPr>
        <w:t>[To NCAs and EU bodies] How do you use information collected from stress tests at fund level for other supervisory purposes and for monitoring systemic risks?</w:t>
      </w:r>
    </w:p>
    <w:p w14:paraId="35DCAFFE" w14:textId="795086D2" w:rsidR="00CB6E2D" w:rsidRPr="00C51D52" w:rsidRDefault="00CB6E2D" w:rsidP="00F56BC5">
      <w:pPr>
        <w:jc w:val="both"/>
        <w:rPr>
          <w:color w:val="A6A6A6" w:themeColor="background1" w:themeShade="A6"/>
          <w:lang w:val="en-GB"/>
        </w:rPr>
      </w:pPr>
      <w:r w:rsidRPr="00C51D52">
        <w:rPr>
          <w:color w:val="A6A6A6" w:themeColor="background1" w:themeShade="A6"/>
          <w:u w:val="single"/>
          <w:lang w:val="en-GB"/>
        </w:rPr>
        <w:t xml:space="preserve"> Question 25.</w:t>
      </w:r>
      <w:r w:rsidRPr="00C51D52">
        <w:rPr>
          <w:color w:val="A6A6A6" w:themeColor="background1" w:themeShade="A6"/>
          <w:lang w:val="en-GB"/>
        </w:rPr>
        <w:t xml:space="preserve"> [To NCAs and EU bodies] What are the main benefits and costs of introducing a stress test requirement at the asset management company level and how could this be organised? </w:t>
      </w:r>
    </w:p>
    <w:p w14:paraId="4F932FAD" w14:textId="77777777" w:rsidR="008F6CED" w:rsidRPr="00C51D52" w:rsidRDefault="008F6CED" w:rsidP="00F56BC5">
      <w:pPr>
        <w:autoSpaceDE w:val="0"/>
        <w:autoSpaceDN w:val="0"/>
        <w:adjustRightInd w:val="0"/>
        <w:jc w:val="both"/>
        <w:rPr>
          <w:rFonts w:cstheme="minorHAnsi"/>
          <w:color w:val="0F4761" w:themeColor="accent1" w:themeShade="BF"/>
          <w:kern w:val="0"/>
          <w14:ligatures w14:val="none"/>
        </w:rPr>
      </w:pPr>
      <w:r w:rsidRPr="00C51D52">
        <w:rPr>
          <w:rFonts w:cstheme="minorHAnsi"/>
          <w:b/>
          <w:bCs/>
          <w:color w:val="0F4761" w:themeColor="accent1" w:themeShade="BF"/>
          <w:kern w:val="0"/>
          <w14:ligatures w14:val="none"/>
        </w:rPr>
        <w:t xml:space="preserve">Other NBFIs </w:t>
      </w:r>
    </w:p>
    <w:p w14:paraId="5C98D005" w14:textId="77777777" w:rsidR="008F6CED" w:rsidRPr="00C51D52" w:rsidRDefault="008F6CED" w:rsidP="00F56BC5">
      <w:pPr>
        <w:autoSpaceDE w:val="0"/>
        <w:autoSpaceDN w:val="0"/>
        <w:adjustRightInd w:val="0"/>
        <w:jc w:val="both"/>
        <w:rPr>
          <w:rFonts w:cstheme="minorHAnsi"/>
          <w:color w:val="156082" w:themeColor="accent1"/>
          <w:kern w:val="0"/>
          <w14:ligatures w14:val="none"/>
        </w:rPr>
      </w:pPr>
      <w:r w:rsidRPr="00C51D52">
        <w:rPr>
          <w:rFonts w:cstheme="minorHAnsi"/>
          <w:color w:val="000000"/>
          <w:kern w:val="0"/>
          <w:u w:val="single"/>
          <w14:ligatures w14:val="none"/>
        </w:rPr>
        <w:t>Question 26.</w:t>
      </w:r>
      <w:r w:rsidRPr="00C51D52">
        <w:rPr>
          <w:rFonts w:cstheme="minorHAnsi"/>
          <w:b/>
          <w:bCs/>
          <w:color w:val="000000"/>
          <w:kern w:val="0"/>
          <w14:ligatures w14:val="none"/>
        </w:rPr>
        <w:t xml:space="preserve"> </w:t>
      </w:r>
      <w:r w:rsidRPr="00C51D52">
        <w:rPr>
          <w:rFonts w:cstheme="minorHAnsi"/>
          <w:kern w:val="0"/>
          <w14:ligatures w14:val="none"/>
        </w:rPr>
        <w:t>What are your views on the preparedness of NBFIs operating in the EU in meeting margin calls, and on the ways to improve preparedness, taking into account existing or recently agreed EU measures aimed at addressing this issue? Please specify the NBFI sector(s) you refer to in your answer?</w:t>
      </w:r>
    </w:p>
    <w:p w14:paraId="6D71374A" w14:textId="2A3ABCE8" w:rsidR="008F6CED" w:rsidRPr="00C51D52" w:rsidRDefault="000D245A" w:rsidP="00F56BC5">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 xml:space="preserve">MMF </w:t>
      </w:r>
      <w:r w:rsidR="007E0151" w:rsidRPr="00C51D52">
        <w:rPr>
          <w:rFonts w:cstheme="minorHAnsi"/>
          <w:kern w:val="0"/>
          <w14:ligatures w14:val="none"/>
        </w:rPr>
        <w:t>units</w:t>
      </w:r>
      <w:r w:rsidRPr="00C51D52">
        <w:rPr>
          <w:rFonts w:cstheme="minorHAnsi"/>
          <w:kern w:val="0"/>
          <w14:ligatures w14:val="none"/>
        </w:rPr>
        <w:t xml:space="preserve"> should be allowed to be pledged directly as collateral. This would allow financial institutions to use the MMF </w:t>
      </w:r>
      <w:r w:rsidR="007E0151" w:rsidRPr="00C51D52">
        <w:rPr>
          <w:rFonts w:cstheme="minorHAnsi"/>
          <w:kern w:val="0"/>
          <w14:ligatures w14:val="none"/>
        </w:rPr>
        <w:t xml:space="preserve">units directly </w:t>
      </w:r>
      <w:r w:rsidRPr="00C51D52">
        <w:rPr>
          <w:rFonts w:cstheme="minorHAnsi"/>
          <w:kern w:val="0"/>
          <w14:ligatures w14:val="none"/>
        </w:rPr>
        <w:t xml:space="preserve">as collateral without having to sell them for cash first. This avoids the need for mass redemption of MMF </w:t>
      </w:r>
      <w:r w:rsidR="00110E43" w:rsidRPr="00C51D52">
        <w:rPr>
          <w:rFonts w:cstheme="minorHAnsi"/>
          <w:kern w:val="0"/>
          <w14:ligatures w14:val="none"/>
        </w:rPr>
        <w:t>units</w:t>
      </w:r>
      <w:r w:rsidRPr="00C51D52">
        <w:rPr>
          <w:rFonts w:cstheme="minorHAnsi"/>
          <w:kern w:val="0"/>
          <w14:ligatures w14:val="none"/>
        </w:rPr>
        <w:t>, which can create significant liquidity pressures and force the sale of assets at depressed prices. It would therefore provide a more stable and efficient use of assets, thereby reducing systemic risks associated with leverage. This is particularly relevant in times of market turmoil, when access to liquidity is crucial.</w:t>
      </w:r>
    </w:p>
    <w:p w14:paraId="2365E50F" w14:textId="77777777" w:rsidR="007F1F15" w:rsidRDefault="007F1F15" w:rsidP="00F56BC5">
      <w:pPr>
        <w:autoSpaceDE w:val="0"/>
        <w:autoSpaceDN w:val="0"/>
        <w:adjustRightInd w:val="0"/>
        <w:jc w:val="both"/>
        <w:rPr>
          <w:rFonts w:cstheme="minorHAnsi"/>
          <w:b/>
          <w:bCs/>
          <w:color w:val="0F4761" w:themeColor="accent1" w:themeShade="BF"/>
          <w:kern w:val="0"/>
          <w14:ligatures w14:val="none"/>
        </w:rPr>
      </w:pPr>
    </w:p>
    <w:p w14:paraId="303A0054" w14:textId="0C0E808A" w:rsidR="008F6CED" w:rsidRPr="00C51D52" w:rsidRDefault="008F6CED" w:rsidP="00F56BC5">
      <w:pPr>
        <w:autoSpaceDE w:val="0"/>
        <w:autoSpaceDN w:val="0"/>
        <w:adjustRightInd w:val="0"/>
        <w:jc w:val="both"/>
        <w:rPr>
          <w:rFonts w:cstheme="minorHAnsi"/>
          <w:color w:val="0F4761" w:themeColor="accent1" w:themeShade="BF"/>
          <w:kern w:val="0"/>
          <w14:ligatures w14:val="none"/>
        </w:rPr>
      </w:pPr>
      <w:r w:rsidRPr="00C51D52">
        <w:rPr>
          <w:rFonts w:cstheme="minorHAnsi"/>
          <w:b/>
          <w:bCs/>
          <w:color w:val="0F4761" w:themeColor="accent1" w:themeShade="BF"/>
          <w:kern w:val="0"/>
          <w14:ligatures w14:val="none"/>
        </w:rPr>
        <w:t xml:space="preserve">Pension Funds </w:t>
      </w:r>
    </w:p>
    <w:p w14:paraId="67D8B7DE" w14:textId="5EE31906" w:rsidR="008F6CED" w:rsidRPr="00C51D52" w:rsidRDefault="008F6CED" w:rsidP="00F56BC5">
      <w:pPr>
        <w:autoSpaceDE w:val="0"/>
        <w:autoSpaceDN w:val="0"/>
        <w:adjustRightInd w:val="0"/>
        <w:jc w:val="both"/>
        <w:rPr>
          <w:rFonts w:cstheme="minorHAnsi"/>
          <w:color w:val="A6A6A6" w:themeColor="background1" w:themeShade="A6"/>
          <w:kern w:val="0"/>
          <w14:ligatures w14:val="none"/>
        </w:rPr>
      </w:pPr>
      <w:r w:rsidRPr="00C51D52">
        <w:rPr>
          <w:rFonts w:cstheme="minorHAnsi"/>
          <w:color w:val="A6A6A6" w:themeColor="background1" w:themeShade="A6"/>
          <w:kern w:val="0"/>
          <w:u w:val="single"/>
          <w14:ligatures w14:val="none"/>
        </w:rPr>
        <w:t>Question 28.</w:t>
      </w:r>
      <w:r w:rsidRPr="00C51D52">
        <w:rPr>
          <w:rFonts w:cstheme="minorHAnsi"/>
          <w:b/>
          <w:bCs/>
          <w:color w:val="A6A6A6" w:themeColor="background1" w:themeShade="A6"/>
          <w:kern w:val="0"/>
          <w14:ligatures w14:val="none"/>
        </w:rPr>
        <w:t xml:space="preserve"> </w:t>
      </w:r>
      <w:r w:rsidRPr="00C51D52">
        <w:rPr>
          <w:rFonts w:cstheme="minorHAnsi"/>
          <w:color w:val="A6A6A6" w:themeColor="background1" w:themeShade="A6"/>
          <w:kern w:val="0"/>
          <w14:ligatures w14:val="none"/>
        </w:rPr>
        <w:t xml:space="preserve">How can current reporting by pension funds be improved to improve the supervision of liquidity risks (e.g. stemming from exposure to LDI funds, other funds or derivatives), while </w:t>
      </w:r>
      <w:proofErr w:type="spellStart"/>
      <w:r w:rsidRPr="00C51D52">
        <w:rPr>
          <w:rFonts w:cstheme="minorHAnsi"/>
          <w:color w:val="A6A6A6" w:themeColor="background1" w:themeShade="A6"/>
          <w:kern w:val="0"/>
          <w14:ligatures w14:val="none"/>
        </w:rPr>
        <w:t>minimising</w:t>
      </w:r>
      <w:proofErr w:type="spellEnd"/>
      <w:r w:rsidRPr="00C51D52">
        <w:rPr>
          <w:rFonts w:cstheme="minorHAnsi"/>
          <w:color w:val="A6A6A6" w:themeColor="background1" w:themeShade="A6"/>
          <w:kern w:val="0"/>
          <w14:ligatures w14:val="none"/>
        </w:rPr>
        <w:t xml:space="preserve"> the reporting burden? What can be done to ensure effective look-through capability and the ability to measure the impact of unexpected margin calls? Please provide examples also for other NBFI sectors. </w:t>
      </w:r>
    </w:p>
    <w:p w14:paraId="1C3A03E4" w14:textId="4A3F3E66" w:rsidR="008F6CED" w:rsidRPr="00C51D52" w:rsidRDefault="008F6CED" w:rsidP="00F56BC5">
      <w:pPr>
        <w:autoSpaceDE w:val="0"/>
        <w:autoSpaceDN w:val="0"/>
        <w:adjustRightInd w:val="0"/>
        <w:jc w:val="both"/>
        <w:rPr>
          <w:rFonts w:cstheme="minorHAnsi"/>
          <w:color w:val="A6A6A6" w:themeColor="background1" w:themeShade="A6"/>
          <w:kern w:val="0"/>
          <w14:ligatures w14:val="none"/>
        </w:rPr>
      </w:pPr>
      <w:r w:rsidRPr="00C51D52">
        <w:rPr>
          <w:rFonts w:cstheme="minorHAnsi"/>
          <w:color w:val="A6A6A6" w:themeColor="background1" w:themeShade="A6"/>
          <w:kern w:val="0"/>
          <w:u w:val="single"/>
          <w14:ligatures w14:val="none"/>
        </w:rPr>
        <w:t>Question 29</w:t>
      </w:r>
      <w:r w:rsidRPr="00C51D52">
        <w:rPr>
          <w:rFonts w:cstheme="minorHAnsi"/>
          <w:b/>
          <w:bCs/>
          <w:color w:val="A6A6A6" w:themeColor="background1" w:themeShade="A6"/>
          <w:kern w:val="0"/>
          <w14:ligatures w14:val="none"/>
        </w:rPr>
        <w:t xml:space="preserve">. </w:t>
      </w:r>
      <w:r w:rsidRPr="00C51D52">
        <w:rPr>
          <w:rFonts w:cstheme="minorHAnsi"/>
          <w:color w:val="A6A6A6" w:themeColor="background1" w:themeShade="A6"/>
          <w:kern w:val="0"/>
          <w14:ligatures w14:val="none"/>
        </w:rPr>
        <w:t xml:space="preserve">What would be the benefits and costs of a regular EU-wide liquidity stress test for pension funds and with what frequency? What should be the role of EU authorities in the preparation and execution of such liquidity stress tests? </w:t>
      </w:r>
    </w:p>
    <w:p w14:paraId="54FAA826" w14:textId="2F9F729B" w:rsidR="008F6CED" w:rsidRPr="00C51D52" w:rsidRDefault="008F6CED" w:rsidP="00F56BC5">
      <w:pPr>
        <w:autoSpaceDE w:val="0"/>
        <w:autoSpaceDN w:val="0"/>
        <w:adjustRightInd w:val="0"/>
        <w:jc w:val="both"/>
        <w:rPr>
          <w:rFonts w:cstheme="minorHAnsi"/>
          <w:b/>
          <w:bCs/>
          <w:color w:val="0F4761" w:themeColor="accent1" w:themeShade="BF"/>
          <w:kern w:val="0"/>
          <w14:ligatures w14:val="none"/>
        </w:rPr>
      </w:pPr>
      <w:r w:rsidRPr="00C51D52">
        <w:rPr>
          <w:rFonts w:cstheme="minorHAnsi"/>
          <w:b/>
          <w:bCs/>
          <w:color w:val="0F4761" w:themeColor="accent1" w:themeShade="BF"/>
          <w:kern w:val="0"/>
          <w14:ligatures w14:val="none"/>
        </w:rPr>
        <w:t>Short-term funding markets</w:t>
      </w:r>
    </w:p>
    <w:p w14:paraId="2F11A6C0" w14:textId="77777777" w:rsidR="008F6CED" w:rsidRPr="00C51D52" w:rsidRDefault="008F6CED" w:rsidP="00F56BC5">
      <w:pPr>
        <w:jc w:val="both"/>
        <w:rPr>
          <w:rFonts w:cstheme="minorHAnsi"/>
          <w:kern w:val="0"/>
          <w14:ligatures w14:val="none"/>
        </w:rPr>
      </w:pPr>
      <w:r w:rsidRPr="00C51D52">
        <w:rPr>
          <w:rFonts w:cstheme="minorHAnsi"/>
          <w:kern w:val="0"/>
          <w:u w:val="single"/>
          <w14:ligatures w14:val="none"/>
        </w:rPr>
        <w:lastRenderedPageBreak/>
        <w:t>Question 30</w:t>
      </w:r>
      <w:r w:rsidRPr="00C51D52">
        <w:rPr>
          <w:rFonts w:cstheme="minorHAnsi"/>
          <w:b/>
          <w:bCs/>
          <w:kern w:val="0"/>
          <w14:ligatures w14:val="none"/>
        </w:rPr>
        <w:t xml:space="preserve">. </w:t>
      </w:r>
      <w:r w:rsidRPr="00C51D52">
        <w:rPr>
          <w:rFonts w:cstheme="minorHAnsi"/>
          <w:kern w:val="0"/>
          <w14:ligatures w14:val="none"/>
        </w:rPr>
        <w:t xml:space="preserve">What would be the benefits and costs of creating a framework or a label in EU legislation for certain money market instruments (such as commercial papers) to increase transparency and </w:t>
      </w:r>
      <w:proofErr w:type="spellStart"/>
      <w:r w:rsidRPr="00C51D52">
        <w:rPr>
          <w:rFonts w:cstheme="minorHAnsi"/>
          <w:kern w:val="0"/>
          <w14:ligatures w14:val="none"/>
        </w:rPr>
        <w:t>standardisation</w:t>
      </w:r>
      <w:proofErr w:type="spellEnd"/>
      <w:r w:rsidRPr="00C51D52">
        <w:rPr>
          <w:rFonts w:cstheme="minorHAnsi"/>
          <w:kern w:val="0"/>
          <w14:ligatures w14:val="none"/>
        </w:rPr>
        <w:t xml:space="preserve">? </w:t>
      </w:r>
      <w:bookmarkStart w:id="1" w:name="_Hlk170395527"/>
      <w:r w:rsidRPr="00C51D52">
        <w:rPr>
          <w:rFonts w:cstheme="minorHAnsi"/>
          <w:kern w:val="0"/>
          <w14:ligatures w14:val="none"/>
        </w:rPr>
        <w:t xml:space="preserve">Should the scope of eligible instruments to such framework/label be aligned with Article 3 of Directive 2007/16/EC60? If not, please suggest what criteria would you consider for identification of eligible instruments. </w:t>
      </w:r>
    </w:p>
    <w:p w14:paraId="50017098" w14:textId="6AC46832" w:rsidR="0047477A" w:rsidRPr="00C51D52" w:rsidRDefault="004E51AF" w:rsidP="0047477A">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Currently, there are a wide range of different types of money market instrument (MMI) across the EU in various different markets</w:t>
      </w:r>
      <w:r w:rsidR="002375AF" w:rsidRPr="00C51D52">
        <w:rPr>
          <w:rFonts w:cstheme="minorHAnsi"/>
          <w:kern w:val="0"/>
          <w14:ligatures w14:val="none"/>
        </w:rPr>
        <w:t xml:space="preserve"> such as ECP, STEP and NEU CO, each of which is successful in the market for which it was intended.</w:t>
      </w:r>
      <w:r w:rsidR="007F1F15">
        <w:rPr>
          <w:rFonts w:cstheme="minorHAnsi"/>
          <w:kern w:val="0"/>
          <w14:ligatures w14:val="none"/>
        </w:rPr>
        <w:t xml:space="preserve"> </w:t>
      </w:r>
      <w:r w:rsidR="0047477A" w:rsidRPr="00C51D52">
        <w:rPr>
          <w:rFonts w:cstheme="minorHAnsi"/>
          <w:kern w:val="0"/>
          <w14:ligatures w14:val="none"/>
        </w:rPr>
        <w:t>W</w:t>
      </w:r>
      <w:r w:rsidR="00AF44FB" w:rsidRPr="00C51D52">
        <w:rPr>
          <w:rFonts w:cstheme="minorHAnsi"/>
          <w:kern w:val="0"/>
          <w14:ligatures w14:val="none"/>
        </w:rPr>
        <w:t>e</w:t>
      </w:r>
      <w:r w:rsidR="0047477A" w:rsidRPr="00C51D52">
        <w:rPr>
          <w:rFonts w:cstheme="minorHAnsi"/>
          <w:kern w:val="0"/>
          <w14:ligatures w14:val="none"/>
        </w:rPr>
        <w:t xml:space="preserve"> </w:t>
      </w:r>
      <w:r w:rsidR="00270284" w:rsidRPr="00C51D52">
        <w:rPr>
          <w:rFonts w:cstheme="minorHAnsi"/>
          <w:kern w:val="0"/>
          <w14:ligatures w14:val="none"/>
        </w:rPr>
        <w:t>do not think it is practical – given the costs involved – to create wholly uniform EU MMIs</w:t>
      </w:r>
      <w:r w:rsidR="00803151" w:rsidRPr="00C51D52">
        <w:rPr>
          <w:rFonts w:cstheme="minorHAnsi"/>
          <w:kern w:val="0"/>
          <w14:ligatures w14:val="none"/>
        </w:rPr>
        <w:t xml:space="preserve"> and that the different types will continue to exist</w:t>
      </w:r>
      <w:r w:rsidR="00270284" w:rsidRPr="00C51D52">
        <w:rPr>
          <w:rFonts w:cstheme="minorHAnsi"/>
          <w:kern w:val="0"/>
          <w14:ligatures w14:val="none"/>
        </w:rPr>
        <w:t>.</w:t>
      </w:r>
      <w:r w:rsidR="007F1F15">
        <w:rPr>
          <w:rFonts w:cstheme="minorHAnsi"/>
          <w:kern w:val="0"/>
          <w14:ligatures w14:val="none"/>
        </w:rPr>
        <w:t xml:space="preserve"> </w:t>
      </w:r>
      <w:r w:rsidR="00270284" w:rsidRPr="00C51D52">
        <w:rPr>
          <w:rFonts w:cstheme="minorHAnsi"/>
          <w:kern w:val="0"/>
          <w14:ligatures w14:val="none"/>
        </w:rPr>
        <w:t xml:space="preserve">However, there may be some merit in adopting </w:t>
      </w:r>
      <w:r w:rsidR="002112F0" w:rsidRPr="00C51D52">
        <w:rPr>
          <w:rFonts w:cstheme="minorHAnsi"/>
          <w:kern w:val="0"/>
          <w14:ligatures w14:val="none"/>
        </w:rPr>
        <w:t xml:space="preserve">a label to demonstrate that a MMI has certain attributes and, in particular, is eligible </w:t>
      </w:r>
      <w:r w:rsidR="00C02565" w:rsidRPr="00C51D52">
        <w:rPr>
          <w:rFonts w:cstheme="minorHAnsi"/>
          <w:kern w:val="0"/>
          <w14:ligatures w14:val="none"/>
        </w:rPr>
        <w:t xml:space="preserve">for asset purchase programs (to allow dealers to finance positions at times of stress). </w:t>
      </w:r>
      <w:r w:rsidR="0047477A" w:rsidRPr="00C51D52">
        <w:rPr>
          <w:rFonts w:cstheme="minorHAnsi"/>
          <w:kern w:val="0"/>
          <w14:ligatures w14:val="none"/>
        </w:rPr>
        <w:t>Current initiatives, such as the STEP initiative, already promote transparency and standardization effectively in the long-term. </w:t>
      </w:r>
      <w:r w:rsidR="00D32FB9" w:rsidRPr="00C51D52">
        <w:rPr>
          <w:rFonts w:cstheme="minorHAnsi"/>
          <w:kern w:val="0"/>
          <w14:ligatures w14:val="none"/>
        </w:rPr>
        <w:t xml:space="preserve">Since 2007, STEP-labelled instruments have qualified as collateral for </w:t>
      </w:r>
      <w:proofErr w:type="spellStart"/>
      <w:r w:rsidR="00D32FB9" w:rsidRPr="00C51D52">
        <w:rPr>
          <w:rFonts w:cstheme="minorHAnsi"/>
          <w:kern w:val="0"/>
          <w14:ligatures w14:val="none"/>
        </w:rPr>
        <w:t>Eurosystem</w:t>
      </w:r>
      <w:proofErr w:type="spellEnd"/>
      <w:r w:rsidR="00D32FB9" w:rsidRPr="00C51D52">
        <w:rPr>
          <w:rFonts w:cstheme="minorHAnsi"/>
          <w:kern w:val="0"/>
          <w14:ligatures w14:val="none"/>
        </w:rPr>
        <w:t xml:space="preserve"> financing operations, which has improved liquidity during periods of market stress</w:t>
      </w:r>
      <w:r w:rsidR="00E01499" w:rsidRPr="00C51D52">
        <w:rPr>
          <w:rFonts w:cstheme="minorHAnsi"/>
          <w:kern w:val="0"/>
          <w14:ligatures w14:val="none"/>
        </w:rPr>
        <w:t xml:space="preserve"> and </w:t>
      </w:r>
      <w:r w:rsidR="00803151" w:rsidRPr="00C51D52">
        <w:rPr>
          <w:rFonts w:cstheme="minorHAnsi"/>
          <w:kern w:val="0"/>
          <w14:ligatures w14:val="none"/>
        </w:rPr>
        <w:t>a more widely applicable</w:t>
      </w:r>
      <w:r w:rsidR="00E01499" w:rsidRPr="00C51D52">
        <w:rPr>
          <w:rFonts w:cstheme="minorHAnsi"/>
          <w:kern w:val="0"/>
          <w14:ligatures w14:val="none"/>
        </w:rPr>
        <w:t xml:space="preserve"> label </w:t>
      </w:r>
      <w:r w:rsidR="00803151" w:rsidRPr="00C51D52">
        <w:rPr>
          <w:rFonts w:cstheme="minorHAnsi"/>
          <w:kern w:val="0"/>
          <w14:ligatures w14:val="none"/>
        </w:rPr>
        <w:t xml:space="preserve">that </w:t>
      </w:r>
      <w:r w:rsidR="00E01499" w:rsidRPr="00C51D52">
        <w:rPr>
          <w:rFonts w:cstheme="minorHAnsi"/>
          <w:kern w:val="0"/>
          <w14:ligatures w14:val="none"/>
        </w:rPr>
        <w:t xml:space="preserve">other types of </w:t>
      </w:r>
      <w:r w:rsidR="00803151" w:rsidRPr="00C51D52">
        <w:rPr>
          <w:rFonts w:cstheme="minorHAnsi"/>
          <w:kern w:val="0"/>
          <w14:ligatures w14:val="none"/>
        </w:rPr>
        <w:t>MMI could also adopt to</w:t>
      </w:r>
      <w:r w:rsidR="00E01499" w:rsidRPr="00C51D52">
        <w:rPr>
          <w:rFonts w:cstheme="minorHAnsi"/>
          <w:kern w:val="0"/>
          <w14:ligatures w14:val="none"/>
        </w:rPr>
        <w:t xml:space="preserve"> guarantee that </w:t>
      </w:r>
      <w:r w:rsidR="00803151" w:rsidRPr="00C51D52">
        <w:rPr>
          <w:rFonts w:cstheme="minorHAnsi"/>
          <w:kern w:val="0"/>
          <w14:ligatures w14:val="none"/>
        </w:rPr>
        <w:t>such MMI</w:t>
      </w:r>
      <w:r w:rsidR="00E01499" w:rsidRPr="00C51D52">
        <w:rPr>
          <w:rFonts w:cstheme="minorHAnsi"/>
          <w:kern w:val="0"/>
          <w14:ligatures w14:val="none"/>
        </w:rPr>
        <w:t xml:space="preserve"> would also qualify </w:t>
      </w:r>
      <w:r w:rsidR="00803151" w:rsidRPr="00C51D52">
        <w:rPr>
          <w:rFonts w:cstheme="minorHAnsi"/>
          <w:kern w:val="0"/>
          <w14:ligatures w14:val="none"/>
        </w:rPr>
        <w:t xml:space="preserve">for </w:t>
      </w:r>
      <w:proofErr w:type="spellStart"/>
      <w:r w:rsidR="00803151" w:rsidRPr="00C51D52">
        <w:rPr>
          <w:rFonts w:cstheme="minorHAnsi"/>
          <w:kern w:val="0"/>
          <w14:ligatures w14:val="none"/>
        </w:rPr>
        <w:t>Eurosystem</w:t>
      </w:r>
      <w:proofErr w:type="spellEnd"/>
      <w:r w:rsidR="00803151" w:rsidRPr="00C51D52">
        <w:rPr>
          <w:rFonts w:cstheme="minorHAnsi"/>
          <w:kern w:val="0"/>
          <w14:ligatures w14:val="none"/>
        </w:rPr>
        <w:t xml:space="preserve"> financing operations</w:t>
      </w:r>
      <w:r w:rsidR="00E01499" w:rsidRPr="00C51D52">
        <w:rPr>
          <w:rFonts w:cstheme="minorHAnsi"/>
          <w:kern w:val="0"/>
          <w14:ligatures w14:val="none"/>
        </w:rPr>
        <w:t xml:space="preserve"> </w:t>
      </w:r>
      <w:r w:rsidR="00803151" w:rsidRPr="00C51D52">
        <w:rPr>
          <w:rFonts w:cstheme="minorHAnsi"/>
          <w:kern w:val="0"/>
          <w14:ligatures w14:val="none"/>
        </w:rPr>
        <w:t xml:space="preserve">may </w:t>
      </w:r>
      <w:r w:rsidR="00E01499" w:rsidRPr="00C51D52">
        <w:rPr>
          <w:rFonts w:cstheme="minorHAnsi"/>
          <w:kern w:val="0"/>
          <w14:ligatures w14:val="none"/>
        </w:rPr>
        <w:t>be beneficial</w:t>
      </w:r>
      <w:r w:rsidR="00D32FB9" w:rsidRPr="00C51D52">
        <w:rPr>
          <w:rFonts w:cstheme="minorHAnsi"/>
          <w:kern w:val="0"/>
          <w14:ligatures w14:val="none"/>
        </w:rPr>
        <w:t>.</w:t>
      </w:r>
    </w:p>
    <w:bookmarkEnd w:id="1"/>
    <w:p w14:paraId="58CEE289" w14:textId="2440D52E" w:rsidR="00940833" w:rsidRPr="00C51D52" w:rsidRDefault="006455D4" w:rsidP="00C81EFA">
      <w:pPr>
        <w:autoSpaceDE w:val="0"/>
        <w:autoSpaceDN w:val="0"/>
        <w:adjustRightInd w:val="0"/>
        <w:jc w:val="both"/>
        <w:rPr>
          <w:rFonts w:cstheme="minorHAnsi"/>
          <w:kern w:val="0"/>
          <w14:ligatures w14:val="none"/>
        </w:rPr>
      </w:pPr>
      <w:r w:rsidRPr="00C51D52">
        <w:rPr>
          <w:rFonts w:cstheme="minorHAnsi"/>
          <w:kern w:val="0"/>
          <w:u w:val="single"/>
          <w14:ligatures w14:val="none"/>
        </w:rPr>
        <w:t>Question 31</w:t>
      </w:r>
      <w:r w:rsidRPr="00C51D52">
        <w:rPr>
          <w:rFonts w:cstheme="minorHAnsi"/>
          <w:b/>
          <w:bCs/>
          <w:kern w:val="0"/>
          <w14:ligatures w14:val="none"/>
        </w:rPr>
        <w:t xml:space="preserve">. </w:t>
      </w:r>
      <w:r w:rsidRPr="00C51D52">
        <w:rPr>
          <w:rFonts w:cstheme="minorHAnsi"/>
          <w:kern w:val="0"/>
          <w14:ligatures w14:val="none"/>
        </w:rPr>
        <w:t xml:space="preserve">Would the presence of a wider range of issuers (notably smaller issuers) to fund themselves on this market, and therefore diversify their funding sources, be beneficial or detrimental to financial stability? </w:t>
      </w:r>
    </w:p>
    <w:p w14:paraId="5D3C2705" w14:textId="08B9BE86" w:rsidR="007E1BF7" w:rsidRPr="00C51D52" w:rsidRDefault="007E1BF7" w:rsidP="007E1BF7">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Diversifying funding sources may benefit issuers, but from an investor's perspective, particularly for MMFs, it may not enhance financial stability due to a preference for high-credit-quality, frequently issued debt from larger issuers.</w:t>
      </w:r>
    </w:p>
    <w:p w14:paraId="7B786768" w14:textId="7FEF9298" w:rsidR="004A156E" w:rsidRPr="00C51D52" w:rsidRDefault="009633A9" w:rsidP="00C81EFA">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MMFs tend to favor issuers with strong credit ratings and frequent issuance, in line with regulatory requirements such as UCITS and MMFR. Smaller issuers, which are typically more opportunistic and issue debt less often, are less appealing to MMFs. Furthermore, MMFs are inclined to prioritize bank-issued commercial papers and certificates of deposit, as these are more abundant and regularly issued compared to those from smaller or non-financial issuers. As a result, while diversification benefits issuers, the inclusion of a larger number of s</w:t>
      </w:r>
      <w:r w:rsidR="00C81EFA" w:rsidRPr="00C51D52">
        <w:rPr>
          <w:rFonts w:cstheme="minorHAnsi"/>
          <w:kern w:val="0"/>
          <w14:ligatures w14:val="none"/>
        </w:rPr>
        <w:t>m</w:t>
      </w:r>
      <w:r w:rsidRPr="00C51D52">
        <w:rPr>
          <w:rFonts w:cstheme="minorHAnsi"/>
          <w:kern w:val="0"/>
          <w14:ligatures w14:val="none"/>
        </w:rPr>
        <w:t>aller issuers may not have a significant impact on over</w:t>
      </w:r>
      <w:r w:rsidR="00C81EFA" w:rsidRPr="00C51D52">
        <w:rPr>
          <w:rFonts w:cstheme="minorHAnsi"/>
          <w:kern w:val="0"/>
          <w14:ligatures w14:val="none"/>
        </w:rPr>
        <w:t>a</w:t>
      </w:r>
      <w:r w:rsidRPr="00C51D52">
        <w:rPr>
          <w:rFonts w:cstheme="minorHAnsi"/>
          <w:kern w:val="0"/>
          <w14:ligatures w14:val="none"/>
        </w:rPr>
        <w:t>ll financial stability.</w:t>
      </w:r>
    </w:p>
    <w:p w14:paraId="085C34D2" w14:textId="77777777" w:rsidR="006455D4" w:rsidRPr="00C51D52" w:rsidRDefault="006455D4" w:rsidP="00F56BC5">
      <w:pPr>
        <w:autoSpaceDE w:val="0"/>
        <w:autoSpaceDN w:val="0"/>
        <w:adjustRightInd w:val="0"/>
        <w:jc w:val="both"/>
        <w:rPr>
          <w:rFonts w:cstheme="minorHAnsi"/>
          <w:kern w:val="0"/>
          <w14:ligatures w14:val="none"/>
        </w:rPr>
      </w:pPr>
      <w:r w:rsidRPr="00C51D52">
        <w:rPr>
          <w:rFonts w:cstheme="minorHAnsi"/>
          <w:kern w:val="0"/>
          <w:u w:val="single"/>
          <w14:ligatures w14:val="none"/>
        </w:rPr>
        <w:t>Question 32.</w:t>
      </w:r>
      <w:r w:rsidRPr="00C51D52">
        <w:rPr>
          <w:rFonts w:cstheme="minorHAnsi"/>
          <w:b/>
          <w:bCs/>
          <w:kern w:val="0"/>
          <w14:ligatures w14:val="none"/>
        </w:rPr>
        <w:t xml:space="preserve"> </w:t>
      </w:r>
      <w:r w:rsidRPr="00C51D52">
        <w:rPr>
          <w:rFonts w:cstheme="minorHAnsi"/>
          <w:kern w:val="0"/>
          <w14:ligatures w14:val="none"/>
        </w:rPr>
        <w:t xml:space="preserve">What are your views on why euro-denominated commercial papers are in large part issued in the ‘EUR-CP’ commercial paper market outside the EU? What risks do you identify? Please provide quantitative and qualitative evidence, if possible. </w:t>
      </w:r>
    </w:p>
    <w:p w14:paraId="3F2EBAE2" w14:textId="67024F8E" w:rsidR="005E5204" w:rsidRPr="00C51D52" w:rsidRDefault="00060C07" w:rsidP="00F56BC5">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 xml:space="preserve">The issuance of euro-denominated commercial papers in the EUR-CP market outside the EU is not considered a risk but rather a reflection of the global nature of </w:t>
      </w:r>
      <w:r w:rsidR="00CB00C3" w:rsidRPr="00C51D52">
        <w:rPr>
          <w:rFonts w:cstheme="minorHAnsi"/>
          <w:kern w:val="0"/>
          <w14:ligatures w14:val="none"/>
        </w:rPr>
        <w:t xml:space="preserve">this segment </w:t>
      </w:r>
      <w:r w:rsidR="00CB00C3" w:rsidRPr="00C51D52">
        <w:rPr>
          <w:rFonts w:cstheme="minorHAnsi"/>
          <w:kern w:val="0"/>
          <w14:ligatures w14:val="none"/>
        </w:rPr>
        <w:lastRenderedPageBreak/>
        <w:t xml:space="preserve">of the </w:t>
      </w:r>
      <w:r w:rsidRPr="00C51D52">
        <w:rPr>
          <w:rFonts w:cstheme="minorHAnsi"/>
          <w:kern w:val="0"/>
          <w14:ligatures w14:val="none"/>
        </w:rPr>
        <w:t>short-term money markets.</w:t>
      </w:r>
      <w:r w:rsidR="007F1F15">
        <w:rPr>
          <w:rFonts w:cstheme="minorHAnsi"/>
          <w:kern w:val="0"/>
          <w14:ligatures w14:val="none"/>
        </w:rPr>
        <w:t xml:space="preserve"> </w:t>
      </w:r>
      <w:r w:rsidRPr="00C51D52">
        <w:rPr>
          <w:rFonts w:cstheme="minorHAnsi"/>
          <w:kern w:val="0"/>
          <w14:ligatures w14:val="none"/>
        </w:rPr>
        <w:t xml:space="preserve">This </w:t>
      </w:r>
      <w:r w:rsidR="00A26270" w:rsidRPr="00C51D52">
        <w:rPr>
          <w:rFonts w:cstheme="minorHAnsi"/>
          <w:kern w:val="0"/>
          <w14:ligatures w14:val="none"/>
        </w:rPr>
        <w:t xml:space="preserve">global </w:t>
      </w:r>
      <w:r w:rsidRPr="00C51D52">
        <w:rPr>
          <w:rFonts w:cstheme="minorHAnsi"/>
          <w:kern w:val="0"/>
          <w14:ligatures w14:val="none"/>
        </w:rPr>
        <w:t>market provides significant benefits</w:t>
      </w:r>
      <w:r w:rsidR="00CB00C3" w:rsidRPr="00C51D52">
        <w:rPr>
          <w:rFonts w:cstheme="minorHAnsi"/>
          <w:kern w:val="0"/>
          <w14:ligatures w14:val="none"/>
        </w:rPr>
        <w:t xml:space="preserve"> to issuers who can access a global investor base. It also </w:t>
      </w:r>
      <w:r w:rsidR="008A6FD4" w:rsidRPr="00C51D52">
        <w:rPr>
          <w:rFonts w:cstheme="minorHAnsi"/>
          <w:kern w:val="0"/>
          <w14:ligatures w14:val="none"/>
        </w:rPr>
        <w:t xml:space="preserve">has benefits for </w:t>
      </w:r>
      <w:r w:rsidR="00A26270" w:rsidRPr="00C51D52">
        <w:rPr>
          <w:rFonts w:cstheme="minorHAnsi"/>
          <w:kern w:val="0"/>
          <w14:ligatures w14:val="none"/>
        </w:rPr>
        <w:t xml:space="preserve">issuers </w:t>
      </w:r>
      <w:r w:rsidR="00E01BEA" w:rsidRPr="00C51D52">
        <w:rPr>
          <w:rFonts w:cstheme="minorHAnsi"/>
          <w:kern w:val="0"/>
          <w14:ligatures w14:val="none"/>
        </w:rPr>
        <w:t xml:space="preserve">domiciled outside of the EU but need </w:t>
      </w:r>
      <w:r w:rsidR="008A6FD4" w:rsidRPr="00C51D52">
        <w:rPr>
          <w:rFonts w:cstheme="minorHAnsi"/>
          <w:kern w:val="0"/>
          <w14:ligatures w14:val="none"/>
        </w:rPr>
        <w:t xml:space="preserve">access to </w:t>
      </w:r>
      <w:r w:rsidR="00E01BEA" w:rsidRPr="00C51D52">
        <w:rPr>
          <w:rFonts w:cstheme="minorHAnsi"/>
          <w:kern w:val="0"/>
          <w14:ligatures w14:val="none"/>
        </w:rPr>
        <w:t>Euro liquidity</w:t>
      </w:r>
      <w:r w:rsidR="00314856" w:rsidRPr="00C51D52">
        <w:rPr>
          <w:rFonts w:cstheme="minorHAnsi"/>
          <w:kern w:val="0"/>
          <w14:ligatures w14:val="none"/>
        </w:rPr>
        <w:t xml:space="preserve"> (</w:t>
      </w:r>
      <w:r w:rsidR="00B11208" w:rsidRPr="00C51D52">
        <w:rPr>
          <w:rFonts w:cstheme="minorHAnsi"/>
          <w:kern w:val="0"/>
          <w14:ligatures w14:val="none"/>
        </w:rPr>
        <w:t xml:space="preserve">such as </w:t>
      </w:r>
      <w:r w:rsidRPr="00C51D52">
        <w:rPr>
          <w:rFonts w:cstheme="minorHAnsi"/>
          <w:kern w:val="0"/>
          <w14:ligatures w14:val="none"/>
        </w:rPr>
        <w:t xml:space="preserve">access </w:t>
      </w:r>
      <w:r w:rsidR="008A6FD4" w:rsidRPr="00C51D52">
        <w:rPr>
          <w:rFonts w:cstheme="minorHAnsi"/>
          <w:kern w:val="0"/>
          <w14:ligatures w14:val="none"/>
        </w:rPr>
        <w:t xml:space="preserve">to </w:t>
      </w:r>
      <w:r w:rsidRPr="00C51D52">
        <w:rPr>
          <w:rFonts w:cstheme="minorHAnsi"/>
          <w:kern w:val="0"/>
          <w14:ligatures w14:val="none"/>
        </w:rPr>
        <w:t>capital even when European markets may be closed</w:t>
      </w:r>
      <w:r w:rsidR="00314856" w:rsidRPr="00C51D52">
        <w:rPr>
          <w:rFonts w:cstheme="minorHAnsi"/>
          <w:kern w:val="0"/>
          <w14:ligatures w14:val="none"/>
        </w:rPr>
        <w:t>). From an investor perspective</w:t>
      </w:r>
      <w:r w:rsidRPr="00C51D52">
        <w:rPr>
          <w:rFonts w:cstheme="minorHAnsi"/>
          <w:kern w:val="0"/>
          <w14:ligatures w14:val="none"/>
        </w:rPr>
        <w:t>,</w:t>
      </w:r>
      <w:r w:rsidR="00314856" w:rsidRPr="00C51D52">
        <w:rPr>
          <w:rFonts w:cstheme="minorHAnsi"/>
          <w:kern w:val="0"/>
          <w14:ligatures w14:val="none"/>
        </w:rPr>
        <w:t xml:space="preserve"> the EUR-CP market is</w:t>
      </w:r>
      <w:r w:rsidR="00426409" w:rsidRPr="00C51D52">
        <w:rPr>
          <w:rFonts w:cstheme="minorHAnsi"/>
          <w:kern w:val="0"/>
          <w14:ligatures w14:val="none"/>
        </w:rPr>
        <w:t xml:space="preserve"> a large and deep market which offers attractive investment opportunities</w:t>
      </w:r>
      <w:r w:rsidRPr="00C51D52">
        <w:rPr>
          <w:rFonts w:cstheme="minorHAnsi"/>
          <w:kern w:val="0"/>
          <w14:ligatures w14:val="none"/>
        </w:rPr>
        <w:t xml:space="preserve"> thereby enhancing liquidity for European money market investors, including MMFs</w:t>
      </w:r>
      <w:r w:rsidR="000E0174" w:rsidRPr="00C51D52">
        <w:rPr>
          <w:rFonts w:cstheme="minorHAnsi"/>
          <w:kern w:val="0"/>
          <w14:ligatures w14:val="none"/>
        </w:rPr>
        <w:t xml:space="preserve">, Central Banks, </w:t>
      </w:r>
      <w:r w:rsidR="00E81460" w:rsidRPr="00C51D52">
        <w:rPr>
          <w:rFonts w:cstheme="minorHAnsi"/>
          <w:kern w:val="0"/>
          <w14:ligatures w14:val="none"/>
        </w:rPr>
        <w:t xml:space="preserve">pension funds and global corporations. </w:t>
      </w:r>
    </w:p>
    <w:p w14:paraId="1AC37E02" w14:textId="5CAFFCEB" w:rsidR="001503B9" w:rsidRPr="00C51D52" w:rsidRDefault="006455D4" w:rsidP="00C81EFA">
      <w:pPr>
        <w:autoSpaceDE w:val="0"/>
        <w:autoSpaceDN w:val="0"/>
        <w:adjustRightInd w:val="0"/>
        <w:jc w:val="both"/>
        <w:rPr>
          <w:rFonts w:cstheme="minorHAnsi"/>
          <w:kern w:val="0"/>
          <w14:ligatures w14:val="none"/>
        </w:rPr>
      </w:pPr>
      <w:r w:rsidRPr="00C51D52">
        <w:rPr>
          <w:rFonts w:cstheme="minorHAnsi"/>
          <w:kern w:val="0"/>
          <w:u w:val="single"/>
          <w14:ligatures w14:val="none"/>
        </w:rPr>
        <w:t>Question 33</w:t>
      </w:r>
      <w:r w:rsidRPr="00C51D52">
        <w:rPr>
          <w:rFonts w:cstheme="minorHAnsi"/>
          <w:b/>
          <w:bCs/>
          <w:kern w:val="0"/>
          <w14:ligatures w14:val="none"/>
        </w:rPr>
        <w:t xml:space="preserve">. </w:t>
      </w:r>
      <w:r w:rsidRPr="00C51D52">
        <w:rPr>
          <w:rFonts w:cstheme="minorHAnsi"/>
          <w:kern w:val="0"/>
          <w14:ligatures w14:val="none"/>
        </w:rPr>
        <w:t xml:space="preserve">What could be done to improve the liquidity of secondary markets in commercial papers and certificates of deposits? </w:t>
      </w:r>
    </w:p>
    <w:p w14:paraId="4602903F" w14:textId="4988A8E0" w:rsidR="001503B9" w:rsidRPr="00C51D52" w:rsidRDefault="001503B9" w:rsidP="001503B9">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Commercial papers and certificates of deposit have short-term maturities that hinder the development of a deep secondary market, and while transparency can improve, measures like relaxing dealer balance sheet constraints during market stress can help enhance secondary market trading of money market instruments.</w:t>
      </w:r>
    </w:p>
    <w:p w14:paraId="387F38A7" w14:textId="77777777" w:rsidR="006455D4" w:rsidRPr="00C51D52" w:rsidRDefault="006455D4" w:rsidP="00F56BC5">
      <w:pPr>
        <w:autoSpaceDE w:val="0"/>
        <w:autoSpaceDN w:val="0"/>
        <w:adjustRightInd w:val="0"/>
        <w:jc w:val="both"/>
        <w:rPr>
          <w:rFonts w:cstheme="minorHAnsi"/>
          <w:kern w:val="0"/>
          <w14:ligatures w14:val="none"/>
        </w:rPr>
      </w:pPr>
      <w:r w:rsidRPr="00C51D52">
        <w:rPr>
          <w:rFonts w:cstheme="minorHAnsi"/>
          <w:kern w:val="0"/>
          <w:u w:val="single"/>
          <w14:ligatures w14:val="none"/>
        </w:rPr>
        <w:t>Question 34.</w:t>
      </w:r>
      <w:r w:rsidRPr="00C51D52">
        <w:rPr>
          <w:rFonts w:cstheme="minorHAnsi"/>
          <w:b/>
          <w:bCs/>
          <w:kern w:val="0"/>
          <w14:ligatures w14:val="none"/>
        </w:rPr>
        <w:t xml:space="preserve"> </w:t>
      </w:r>
      <w:r w:rsidRPr="00C51D52">
        <w:rPr>
          <w:rFonts w:cstheme="minorHAnsi"/>
          <w:kern w:val="0"/>
          <w14:ligatures w14:val="none"/>
        </w:rPr>
        <w:t xml:space="preserve">Considering market practice today, is the maturity threshold for ‘money market instruments’ (up to 397 days) in the Eligible Asset Directive 2007/16 sufficiently calibrated for these short-term funding markets? </w:t>
      </w:r>
    </w:p>
    <w:p w14:paraId="71F63AB1" w14:textId="207A02B3" w:rsidR="005E5204" w:rsidRPr="00C51D52" w:rsidRDefault="00E6122D" w:rsidP="00F56BC5">
      <w:pPr>
        <w:pBdr>
          <w:top w:val="single" w:sz="4" w:space="1" w:color="auto"/>
          <w:left w:val="single" w:sz="4" w:space="4" w:color="auto"/>
          <w:bottom w:val="single" w:sz="4" w:space="1" w:color="auto"/>
          <w:right w:val="single" w:sz="4" w:space="4" w:color="auto"/>
        </w:pBdr>
        <w:autoSpaceDE w:val="0"/>
        <w:autoSpaceDN w:val="0"/>
        <w:adjustRightInd w:val="0"/>
        <w:jc w:val="both"/>
        <w:rPr>
          <w:rFonts w:cstheme="minorHAnsi"/>
          <w:kern w:val="0"/>
          <w14:ligatures w14:val="none"/>
        </w:rPr>
      </w:pPr>
      <w:r w:rsidRPr="00C51D52">
        <w:rPr>
          <w:rFonts w:cstheme="minorHAnsi"/>
          <w:kern w:val="0"/>
          <w14:ligatures w14:val="none"/>
        </w:rPr>
        <w:t>We see</w:t>
      </w:r>
      <w:r w:rsidR="00C53D21" w:rsidRPr="00C51D52">
        <w:rPr>
          <w:rFonts w:cstheme="minorHAnsi"/>
          <w:kern w:val="0"/>
          <w14:ligatures w14:val="none"/>
        </w:rPr>
        <w:t xml:space="preserve"> no reason for </w:t>
      </w:r>
      <w:r w:rsidRPr="00C51D52">
        <w:rPr>
          <w:rFonts w:cstheme="minorHAnsi"/>
          <w:kern w:val="0"/>
          <w14:ligatures w14:val="none"/>
        </w:rPr>
        <w:t>modifying the</w:t>
      </w:r>
      <w:r w:rsidR="00C53D21" w:rsidRPr="00C51D52">
        <w:rPr>
          <w:rFonts w:cstheme="minorHAnsi"/>
          <w:kern w:val="0"/>
          <w14:ligatures w14:val="none"/>
        </w:rPr>
        <w:t xml:space="preserve"> </w:t>
      </w:r>
      <w:r w:rsidR="001659C9" w:rsidRPr="00C51D52">
        <w:rPr>
          <w:rFonts w:cstheme="minorHAnsi"/>
          <w:kern w:val="0"/>
          <w14:ligatures w14:val="none"/>
        </w:rPr>
        <w:t>threshold</w:t>
      </w:r>
      <w:r w:rsidR="003901EC" w:rsidRPr="00C51D52">
        <w:rPr>
          <w:rFonts w:cstheme="minorHAnsi"/>
          <w:kern w:val="0"/>
          <w14:ligatures w14:val="none"/>
        </w:rPr>
        <w:t xml:space="preserve">. </w:t>
      </w:r>
    </w:p>
    <w:p w14:paraId="61479364" w14:textId="77777777" w:rsidR="00C50F3E" w:rsidRPr="00C51D52" w:rsidRDefault="00C50F3E" w:rsidP="00F56BC5">
      <w:pPr>
        <w:autoSpaceDE w:val="0"/>
        <w:autoSpaceDN w:val="0"/>
        <w:adjustRightInd w:val="0"/>
        <w:jc w:val="both"/>
        <w:rPr>
          <w:rFonts w:cstheme="minorHAnsi"/>
          <w:kern w:val="0"/>
          <w14:ligatures w14:val="none"/>
        </w:rPr>
      </w:pPr>
      <w:r w:rsidRPr="00C51D52">
        <w:rPr>
          <w:rFonts w:cstheme="minorHAnsi"/>
          <w:kern w:val="0"/>
          <w:u w:val="single"/>
          <w14:ligatures w14:val="none"/>
        </w:rPr>
        <w:t>Question 35</w:t>
      </w:r>
      <w:r w:rsidRPr="00C51D52">
        <w:rPr>
          <w:rFonts w:cstheme="minorHAnsi"/>
          <w:b/>
          <w:bCs/>
          <w:kern w:val="0"/>
          <w14:ligatures w14:val="none"/>
        </w:rPr>
        <w:t xml:space="preserve">. </w:t>
      </w:r>
      <w:r w:rsidRPr="00C51D52">
        <w:rPr>
          <w:rFonts w:cstheme="minorHAnsi"/>
          <w:kern w:val="0"/>
          <w14:ligatures w14:val="none"/>
        </w:rPr>
        <w:t xml:space="preserve">Do you think there is a risk with the high concentration of this market in a few investors (MMF and banks)? Please elaborate. </w:t>
      </w:r>
    </w:p>
    <w:p w14:paraId="3C698F30" w14:textId="3926C397" w:rsidR="00EB385C" w:rsidRPr="00C51D52" w:rsidRDefault="00DB6ADC" w:rsidP="00392266">
      <w:pPr>
        <w:pBdr>
          <w:top w:val="single" w:sz="4" w:space="1" w:color="auto"/>
          <w:left w:val="single" w:sz="4" w:space="4" w:color="auto"/>
          <w:bottom w:val="single" w:sz="4" w:space="1" w:color="auto"/>
          <w:right w:val="single" w:sz="4" w:space="4" w:color="auto"/>
        </w:pBdr>
        <w:jc w:val="both"/>
      </w:pPr>
      <w:r w:rsidRPr="00C51D52">
        <w:t xml:space="preserve">Other investors </w:t>
      </w:r>
      <w:r w:rsidR="004E03A4" w:rsidRPr="00C51D52">
        <w:t xml:space="preserve">in CP </w:t>
      </w:r>
      <w:r w:rsidRPr="00C51D52">
        <w:t>include central banks, pension funds, insurance companies</w:t>
      </w:r>
      <w:r w:rsidR="00BE5551" w:rsidRPr="00C51D52">
        <w:t xml:space="preserve"> and corporate treasuries.</w:t>
      </w:r>
      <w:r w:rsidR="004E03A4" w:rsidRPr="00C51D52">
        <w:t xml:space="preserve"> As such, the </w:t>
      </w:r>
      <w:r w:rsidR="001E3E2D" w:rsidRPr="00C51D52">
        <w:t xml:space="preserve">investor base is more wide-spread than the question suggests. </w:t>
      </w:r>
      <w:r w:rsidR="00FC7B11" w:rsidRPr="00C51D52">
        <w:t xml:space="preserve">MMFs being significant buyers of CP is </w:t>
      </w:r>
      <w:r w:rsidR="004A374F" w:rsidRPr="00C51D52">
        <w:t xml:space="preserve">a positive factor as </w:t>
      </w:r>
      <w:r w:rsidR="00C546C9" w:rsidRPr="00C51D52">
        <w:t xml:space="preserve">it </w:t>
      </w:r>
      <w:r w:rsidR="004A374F" w:rsidRPr="00C51D52">
        <w:t xml:space="preserve">provides valuable funding for issuers. </w:t>
      </w:r>
    </w:p>
    <w:p w14:paraId="04D9573D" w14:textId="77777777" w:rsidR="00C50F3E" w:rsidRPr="00C51D52" w:rsidRDefault="00C50F3E" w:rsidP="00F56BC5">
      <w:pPr>
        <w:autoSpaceDE w:val="0"/>
        <w:autoSpaceDN w:val="0"/>
        <w:adjustRightInd w:val="0"/>
        <w:jc w:val="both"/>
        <w:rPr>
          <w:rFonts w:cstheme="minorHAnsi"/>
          <w:kern w:val="0"/>
          <w14:ligatures w14:val="none"/>
        </w:rPr>
      </w:pPr>
      <w:r w:rsidRPr="00C51D52">
        <w:rPr>
          <w:rFonts w:cstheme="minorHAnsi"/>
          <w:kern w:val="0"/>
          <w:u w:val="single"/>
          <w14:ligatures w14:val="none"/>
        </w:rPr>
        <w:t>Question 36</w:t>
      </w:r>
      <w:r w:rsidRPr="00C51D52">
        <w:rPr>
          <w:rFonts w:cstheme="minorHAnsi"/>
          <w:b/>
          <w:kern w:val="0"/>
          <w14:ligatures w14:val="none"/>
        </w:rPr>
        <w:t>.</w:t>
      </w:r>
      <w:r w:rsidRPr="00C51D52">
        <w:rPr>
          <w:rFonts w:cstheme="minorHAnsi"/>
          <w:b/>
          <w:bCs/>
          <w:kern w:val="0"/>
          <w14:ligatures w14:val="none"/>
        </w:rPr>
        <w:t xml:space="preserve"> </w:t>
      </w:r>
      <w:r w:rsidRPr="00C51D52">
        <w:rPr>
          <w:rFonts w:cstheme="minorHAnsi"/>
          <w:kern w:val="0"/>
          <w14:ligatures w14:val="none"/>
        </w:rPr>
        <w:t xml:space="preserve">How could secondary markets in these money market instruments attract liquidity and a more diverse investor base, while relying less on banks buying back papers they have helped to place? </w:t>
      </w:r>
    </w:p>
    <w:p w14:paraId="18379365" w14:textId="1A1349AE" w:rsidR="008F6CED" w:rsidRPr="00C51D52" w:rsidRDefault="00FC03AE" w:rsidP="00F56BC5">
      <w:pPr>
        <w:pBdr>
          <w:top w:val="single" w:sz="4" w:space="1" w:color="auto"/>
          <w:left w:val="single" w:sz="4" w:space="4" w:color="auto"/>
          <w:bottom w:val="single" w:sz="4" w:space="1" w:color="auto"/>
          <w:right w:val="single" w:sz="4" w:space="4" w:color="auto"/>
        </w:pBdr>
        <w:jc w:val="both"/>
      </w:pPr>
      <w:r w:rsidRPr="00C51D52">
        <w:t>Greater transparency and standardization across markets could attract new investors, thereby enhancing liquidity through a more diverse investor base</w:t>
      </w:r>
      <w:r w:rsidR="00C95165" w:rsidRPr="00C51D52">
        <w:t>.</w:t>
      </w:r>
    </w:p>
    <w:p w14:paraId="5CC49E3D" w14:textId="77777777" w:rsidR="00C50F3E" w:rsidRPr="00C51D52" w:rsidRDefault="00C50F3E" w:rsidP="00F56BC5">
      <w:pPr>
        <w:autoSpaceDE w:val="0"/>
        <w:autoSpaceDN w:val="0"/>
        <w:adjustRightInd w:val="0"/>
        <w:jc w:val="both"/>
        <w:rPr>
          <w:rFonts w:cstheme="minorHAnsi"/>
          <w:kern w:val="0"/>
          <w14:ligatures w14:val="none"/>
        </w:rPr>
      </w:pPr>
      <w:r w:rsidRPr="00C51D52">
        <w:rPr>
          <w:rFonts w:cstheme="minorHAnsi"/>
          <w:kern w:val="0"/>
          <w:u w:val="single"/>
          <w:lang w:val="en-GB"/>
          <w14:ligatures w14:val="none"/>
        </w:rPr>
        <w:t>Question 37</w:t>
      </w:r>
      <w:r w:rsidRPr="00C51D52">
        <w:rPr>
          <w:rFonts w:cstheme="minorHAnsi"/>
          <w:b/>
          <w:kern w:val="0"/>
          <w:lang w:val="en-GB"/>
          <w14:ligatures w14:val="none"/>
        </w:rPr>
        <w:t xml:space="preserve">. </w:t>
      </w:r>
      <w:r w:rsidRPr="00C51D52">
        <w:rPr>
          <w:rFonts w:cstheme="minorHAnsi"/>
          <w:kern w:val="0"/>
          <w14:ligatures w14:val="none"/>
        </w:rPr>
        <w:t xml:space="preserve">What are the benefits and costs of introducing an obligation to trade on trading venues (regulated markets, multilateral trading facilities and </w:t>
      </w:r>
      <w:proofErr w:type="spellStart"/>
      <w:r w:rsidRPr="00C51D52">
        <w:rPr>
          <w:rFonts w:cstheme="minorHAnsi"/>
          <w:kern w:val="0"/>
          <w14:ligatures w14:val="none"/>
        </w:rPr>
        <w:t>organised</w:t>
      </w:r>
      <w:proofErr w:type="spellEnd"/>
      <w:r w:rsidRPr="00C51D52">
        <w:rPr>
          <w:rFonts w:cstheme="minorHAnsi"/>
          <w:kern w:val="0"/>
          <w14:ligatures w14:val="none"/>
        </w:rPr>
        <w:t xml:space="preserve"> trading facilities) for such instruments? </w:t>
      </w:r>
    </w:p>
    <w:p w14:paraId="303340C8" w14:textId="70FA5483" w:rsidR="00530DB1" w:rsidRPr="00C51D52" w:rsidRDefault="00530DB1" w:rsidP="00530DB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rPr>
          <w:rFonts w:cstheme="minorHAnsi"/>
          <w:kern w:val="0"/>
          <w14:ligatures w14:val="none"/>
        </w:rPr>
      </w:pPr>
      <w:r w:rsidRPr="00C51D52">
        <w:rPr>
          <w:rFonts w:cstheme="minorHAnsi"/>
          <w:kern w:val="0"/>
          <w14:ligatures w14:val="none"/>
        </w:rPr>
        <w:t>We are cautious about mandating the trading of money market instruments on trading venues</w:t>
      </w:r>
      <w:r w:rsidR="002F44AF" w:rsidRPr="00C51D52">
        <w:rPr>
          <w:rFonts w:cstheme="minorHAnsi"/>
          <w:kern w:val="0"/>
          <w14:ligatures w14:val="none"/>
        </w:rPr>
        <w:t xml:space="preserve"> due to cost implications and </w:t>
      </w:r>
      <w:r w:rsidR="00425745" w:rsidRPr="00C51D52">
        <w:rPr>
          <w:rFonts w:cstheme="minorHAnsi"/>
          <w:kern w:val="0"/>
          <w14:ligatures w14:val="none"/>
        </w:rPr>
        <w:t xml:space="preserve">because, </w:t>
      </w:r>
      <w:r w:rsidRPr="00C51D52">
        <w:rPr>
          <w:rFonts w:cstheme="minorHAnsi"/>
          <w:kern w:val="0"/>
          <w14:ligatures w14:val="none"/>
        </w:rPr>
        <w:t>especially in the primary market</w:t>
      </w:r>
      <w:r w:rsidR="00425745" w:rsidRPr="00C51D52">
        <w:rPr>
          <w:rFonts w:cstheme="minorHAnsi"/>
          <w:kern w:val="0"/>
          <w14:ligatures w14:val="none"/>
        </w:rPr>
        <w:t>,</w:t>
      </w:r>
      <w:r w:rsidR="00D7485C" w:rsidRPr="00C51D52">
        <w:rPr>
          <w:rFonts w:cstheme="minorHAnsi"/>
          <w:kern w:val="0"/>
          <w14:ligatures w14:val="none"/>
        </w:rPr>
        <w:t xml:space="preserve"> confidentiality is</w:t>
      </w:r>
      <w:r w:rsidR="00425745" w:rsidRPr="00C51D52">
        <w:rPr>
          <w:rFonts w:cstheme="minorHAnsi"/>
          <w:kern w:val="0"/>
          <w14:ligatures w14:val="none"/>
        </w:rPr>
        <w:t xml:space="preserve"> </w:t>
      </w:r>
      <w:r w:rsidR="00AD7249" w:rsidRPr="00C51D52">
        <w:rPr>
          <w:rFonts w:cstheme="minorHAnsi"/>
          <w:kern w:val="0"/>
          <w14:ligatures w14:val="none"/>
        </w:rPr>
        <w:t xml:space="preserve">desirable for certain large transactions. </w:t>
      </w:r>
      <w:r w:rsidR="00D7485C" w:rsidRPr="00C51D52">
        <w:rPr>
          <w:rFonts w:cstheme="minorHAnsi"/>
          <w:kern w:val="0"/>
          <w14:ligatures w14:val="none"/>
        </w:rPr>
        <w:t xml:space="preserve">However, </w:t>
      </w:r>
      <w:r w:rsidRPr="00C51D52">
        <w:rPr>
          <w:rFonts w:cstheme="minorHAnsi"/>
          <w:kern w:val="0"/>
          <w14:ligatures w14:val="none"/>
        </w:rPr>
        <w:t xml:space="preserve">market efficiency can </w:t>
      </w:r>
      <w:r w:rsidRPr="00C51D52">
        <w:rPr>
          <w:rFonts w:cstheme="minorHAnsi"/>
          <w:kern w:val="0"/>
          <w14:ligatures w14:val="none"/>
        </w:rPr>
        <w:lastRenderedPageBreak/>
        <w:t>be improved through reforms like digitizing documentation and adopting shorter settlement conventions.</w:t>
      </w:r>
    </w:p>
    <w:p w14:paraId="7B9CCD9D" w14:textId="5ACE616A" w:rsidR="00C50F3E" w:rsidRPr="00C51D52" w:rsidRDefault="00C50F3E" w:rsidP="00F56BC5">
      <w:pPr>
        <w:autoSpaceDE w:val="0"/>
        <w:autoSpaceDN w:val="0"/>
        <w:adjustRightInd w:val="0"/>
        <w:jc w:val="both"/>
        <w:rPr>
          <w:rFonts w:cstheme="minorHAnsi"/>
          <w:kern w:val="0"/>
          <w14:ligatures w14:val="none"/>
        </w:rPr>
      </w:pPr>
      <w:r w:rsidRPr="00C51D52">
        <w:rPr>
          <w:rFonts w:cstheme="minorHAnsi"/>
          <w:kern w:val="0"/>
          <w:u w:val="single"/>
          <w14:ligatures w14:val="none"/>
        </w:rPr>
        <w:t>Question 38</w:t>
      </w:r>
      <w:r w:rsidRPr="00C51D52">
        <w:rPr>
          <w:rFonts w:cstheme="minorHAnsi"/>
          <w:kern w:val="0"/>
          <w14:ligatures w14:val="none"/>
        </w:rPr>
        <w:t xml:space="preserve">. Can the possibility to trade on a regulated venue increase the chances of secondary market activities in a systemic event, for instance by acting as a safety valve for funds that need to trade these assets before maturity (especially when facing strong redemption pressures, like for MMFs)? </w:t>
      </w:r>
    </w:p>
    <w:p w14:paraId="15264D86" w14:textId="2F1BA3BF" w:rsidR="00CD5502" w:rsidRPr="00C51D52" w:rsidRDefault="00B80B2A" w:rsidP="00CD550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rPr>
          <w:rFonts w:cstheme="minorHAnsi"/>
          <w:kern w:val="0"/>
          <w14:ligatures w14:val="none"/>
        </w:rPr>
      </w:pPr>
      <w:r w:rsidRPr="00C51D52">
        <w:rPr>
          <w:rFonts w:cstheme="minorHAnsi"/>
          <w:kern w:val="0"/>
          <w14:ligatures w14:val="none"/>
        </w:rPr>
        <w:t>We believe</w:t>
      </w:r>
      <w:r w:rsidR="00CD5502" w:rsidRPr="00C51D52">
        <w:rPr>
          <w:rFonts w:cstheme="minorHAnsi"/>
          <w:kern w:val="0"/>
          <w14:ligatures w14:val="none"/>
        </w:rPr>
        <w:t xml:space="preserve"> that regulated venue trading will not </w:t>
      </w:r>
      <w:r w:rsidR="0034379E" w:rsidRPr="00C51D52">
        <w:rPr>
          <w:rFonts w:cstheme="minorHAnsi"/>
          <w:kern w:val="0"/>
          <w14:ligatures w14:val="none"/>
        </w:rPr>
        <w:t xml:space="preserve">replace </w:t>
      </w:r>
      <w:r w:rsidR="00CD5502" w:rsidRPr="00C51D52">
        <w:rPr>
          <w:rFonts w:cstheme="minorHAnsi"/>
          <w:kern w:val="0"/>
          <w14:ligatures w14:val="none"/>
        </w:rPr>
        <w:t xml:space="preserve">existing market practices, which rely heavily on </w:t>
      </w:r>
      <w:r w:rsidR="002F244F" w:rsidRPr="00C51D52">
        <w:rPr>
          <w:rFonts w:cstheme="minorHAnsi"/>
          <w:kern w:val="0"/>
          <w14:ligatures w14:val="none"/>
        </w:rPr>
        <w:t xml:space="preserve">bi-lateral trading with </w:t>
      </w:r>
      <w:r w:rsidR="00CD5502" w:rsidRPr="00C51D52">
        <w:rPr>
          <w:rFonts w:cstheme="minorHAnsi"/>
          <w:kern w:val="0"/>
          <w14:ligatures w14:val="none"/>
        </w:rPr>
        <w:t>dealers</w:t>
      </w:r>
      <w:r w:rsidR="002F244F" w:rsidRPr="00C51D52">
        <w:rPr>
          <w:rFonts w:cstheme="minorHAnsi"/>
          <w:kern w:val="0"/>
          <w14:ligatures w14:val="none"/>
        </w:rPr>
        <w:t xml:space="preserve"> and issuers buying back their own CP</w:t>
      </w:r>
      <w:r w:rsidR="00CD5502" w:rsidRPr="00C51D52">
        <w:rPr>
          <w:rFonts w:cstheme="minorHAnsi"/>
          <w:kern w:val="0"/>
          <w14:ligatures w14:val="none"/>
        </w:rPr>
        <w:t>.</w:t>
      </w:r>
      <w:r w:rsidR="004B4E5A" w:rsidRPr="00C51D52">
        <w:rPr>
          <w:rFonts w:cstheme="minorHAnsi"/>
          <w:kern w:val="0"/>
          <w14:ligatures w14:val="none"/>
        </w:rPr>
        <w:t xml:space="preserve"> </w:t>
      </w:r>
      <w:r w:rsidR="00BF4A87" w:rsidRPr="00C51D52">
        <w:rPr>
          <w:rFonts w:cstheme="minorHAnsi"/>
          <w:kern w:val="0"/>
          <w14:ligatures w14:val="none"/>
        </w:rPr>
        <w:t xml:space="preserve">While regulated venues can provide additional transparency and potentially improve liquidity, they may not significantly increase secondary market activities during a systemic event. </w:t>
      </w:r>
      <w:r w:rsidR="004B4E5A" w:rsidRPr="00C51D52">
        <w:rPr>
          <w:rFonts w:cstheme="minorHAnsi"/>
          <w:kern w:val="0"/>
          <w14:ligatures w14:val="none"/>
        </w:rPr>
        <w:t xml:space="preserve">To </w:t>
      </w:r>
      <w:r w:rsidR="002D0850" w:rsidRPr="00C51D52">
        <w:rPr>
          <w:rFonts w:cstheme="minorHAnsi"/>
          <w:kern w:val="0"/>
          <w14:ligatures w14:val="none"/>
        </w:rPr>
        <w:t>enhance</w:t>
      </w:r>
      <w:r w:rsidR="004B4E5A" w:rsidRPr="00C51D52">
        <w:rPr>
          <w:rFonts w:cstheme="minorHAnsi"/>
          <w:kern w:val="0"/>
          <w14:ligatures w14:val="none"/>
        </w:rPr>
        <w:t xml:space="preserve"> short-term </w:t>
      </w:r>
      <w:r w:rsidR="00293534" w:rsidRPr="00C51D52">
        <w:rPr>
          <w:rFonts w:cstheme="minorHAnsi"/>
          <w:kern w:val="0"/>
          <w14:ligatures w14:val="none"/>
        </w:rPr>
        <w:t xml:space="preserve">funding markets, </w:t>
      </w:r>
      <w:r w:rsidR="002D0850" w:rsidRPr="00C51D52">
        <w:rPr>
          <w:rFonts w:cstheme="minorHAnsi"/>
          <w:kern w:val="0"/>
          <w14:ligatures w14:val="none"/>
        </w:rPr>
        <w:t>one</w:t>
      </w:r>
      <w:r w:rsidR="00D01385" w:rsidRPr="00C51D52">
        <w:rPr>
          <w:rFonts w:cstheme="minorHAnsi"/>
          <w:kern w:val="0"/>
          <w14:ligatures w14:val="none"/>
        </w:rPr>
        <w:t xml:space="preserve"> potential area of research is</w:t>
      </w:r>
      <w:r w:rsidR="002D0850" w:rsidRPr="00C51D52">
        <w:rPr>
          <w:rFonts w:cstheme="minorHAnsi"/>
          <w:kern w:val="0"/>
          <w14:ligatures w14:val="none"/>
        </w:rPr>
        <w:t xml:space="preserve"> the implementation of</w:t>
      </w:r>
      <w:r w:rsidR="00D01385" w:rsidRPr="00C51D52">
        <w:rPr>
          <w:rFonts w:cstheme="minorHAnsi"/>
          <w:kern w:val="0"/>
          <w14:ligatures w14:val="none"/>
        </w:rPr>
        <w:t xml:space="preserve"> </w:t>
      </w:r>
      <w:r w:rsidR="003D2F19" w:rsidRPr="00C51D52">
        <w:rPr>
          <w:rFonts w:cstheme="minorHAnsi"/>
          <w:kern w:val="0"/>
          <w14:ligatures w14:val="none"/>
        </w:rPr>
        <w:t xml:space="preserve">a standing repo facility for commercial paper and certificates of deposit withing the </w:t>
      </w:r>
      <w:proofErr w:type="spellStart"/>
      <w:r w:rsidR="003D2F19" w:rsidRPr="00C51D52">
        <w:rPr>
          <w:rFonts w:cstheme="minorHAnsi"/>
          <w:kern w:val="0"/>
          <w14:ligatures w14:val="none"/>
        </w:rPr>
        <w:t>Eurosystem</w:t>
      </w:r>
      <w:proofErr w:type="spellEnd"/>
      <w:r w:rsidR="003D2F19" w:rsidRPr="00C51D52">
        <w:rPr>
          <w:rFonts w:cstheme="minorHAnsi"/>
          <w:kern w:val="0"/>
          <w14:ligatures w14:val="none"/>
        </w:rPr>
        <w:t xml:space="preserve">. </w:t>
      </w:r>
    </w:p>
    <w:p w14:paraId="76A9A4C1" w14:textId="6219DC53" w:rsidR="00C50F3E" w:rsidRPr="00C51D52" w:rsidRDefault="00C50F3E" w:rsidP="00F56BC5">
      <w:pPr>
        <w:autoSpaceDE w:val="0"/>
        <w:autoSpaceDN w:val="0"/>
        <w:adjustRightInd w:val="0"/>
        <w:jc w:val="both"/>
        <w:rPr>
          <w:rFonts w:cstheme="minorHAnsi"/>
          <w:b/>
          <w:bCs/>
          <w:color w:val="A6A6A6" w:themeColor="background1" w:themeShade="A6"/>
          <w:kern w:val="0"/>
          <w14:ligatures w14:val="none"/>
        </w:rPr>
      </w:pPr>
      <w:r w:rsidRPr="00C51D52">
        <w:rPr>
          <w:rFonts w:cstheme="minorHAnsi"/>
          <w:b/>
          <w:bCs/>
          <w:color w:val="A6A6A6" w:themeColor="background1" w:themeShade="A6"/>
          <w:kern w:val="0"/>
          <w14:ligatures w14:val="none"/>
        </w:rPr>
        <w:t xml:space="preserve">Commodities markets </w:t>
      </w:r>
    </w:p>
    <w:p w14:paraId="65226FC1" w14:textId="7BEDBD5D" w:rsidR="00C50F3E" w:rsidRPr="00C51D52" w:rsidRDefault="00C50F3E" w:rsidP="00F56BC5">
      <w:pPr>
        <w:autoSpaceDE w:val="0"/>
        <w:autoSpaceDN w:val="0"/>
        <w:adjustRightInd w:val="0"/>
        <w:jc w:val="both"/>
        <w:rPr>
          <w:rFonts w:cstheme="minorHAnsi"/>
          <w:color w:val="A6A6A6" w:themeColor="background1" w:themeShade="A6"/>
          <w:kern w:val="0"/>
          <w14:ligatures w14:val="none"/>
        </w:rPr>
      </w:pPr>
      <w:r w:rsidRPr="00C51D52">
        <w:rPr>
          <w:rFonts w:cstheme="minorHAnsi"/>
          <w:color w:val="A6A6A6" w:themeColor="background1" w:themeShade="A6"/>
          <w:kern w:val="0"/>
          <w:u w:val="single"/>
          <w14:ligatures w14:val="none"/>
        </w:rPr>
        <w:t>Question 39.</w:t>
      </w:r>
      <w:r w:rsidRPr="00C51D52">
        <w:rPr>
          <w:rFonts w:cstheme="minorHAnsi"/>
          <w:color w:val="A6A6A6" w:themeColor="background1" w:themeShade="A6"/>
          <w:kern w:val="0"/>
          <w14:ligatures w14:val="none"/>
        </w:rPr>
        <w:t xml:space="preserve"> How would you assess the level of preparedness of commodity derivatives market participants in terms of meeting short-term liquidity needs or requests for collateral to meet margins? Please rank from 1 to 5 (lowest to highest) the level of preparedness for the following participants by sector: insurance companies, UCITS funds, AIFs, commercial undertakings, investment firms, pension funds. </w:t>
      </w:r>
    </w:p>
    <w:p w14:paraId="56879C4D" w14:textId="70F9ABA1" w:rsidR="00C50F3E" w:rsidRPr="00C51D52" w:rsidRDefault="00C50F3E" w:rsidP="00F56BC5">
      <w:pPr>
        <w:autoSpaceDE w:val="0"/>
        <w:autoSpaceDN w:val="0"/>
        <w:adjustRightInd w:val="0"/>
        <w:jc w:val="both"/>
        <w:rPr>
          <w:rFonts w:cstheme="minorHAnsi"/>
          <w:color w:val="A6A6A6" w:themeColor="background1" w:themeShade="A6"/>
          <w:kern w:val="0"/>
          <w14:ligatures w14:val="none"/>
        </w:rPr>
      </w:pPr>
      <w:r w:rsidRPr="00C51D52">
        <w:rPr>
          <w:rFonts w:cstheme="minorHAnsi"/>
          <w:color w:val="A6A6A6" w:themeColor="background1" w:themeShade="A6"/>
          <w:kern w:val="0"/>
          <w:u w:val="single"/>
          <w14:ligatures w14:val="none"/>
        </w:rPr>
        <w:t>Question 40</w:t>
      </w:r>
      <w:r w:rsidRPr="00C51D52">
        <w:rPr>
          <w:rFonts w:cstheme="minorHAnsi"/>
          <w:color w:val="A6A6A6" w:themeColor="background1" w:themeShade="A6"/>
          <w:kern w:val="0"/>
          <w14:ligatures w14:val="none"/>
        </w:rPr>
        <w:t xml:space="preserve">. In light of the potential risk of contagion from spot markets or off-exchange energy trading to futures markets, do you think that spot market participants should also meet a more comprehensive set of trading rules for market participation and risk management? Please elaborate on your response. </w:t>
      </w:r>
    </w:p>
    <w:p w14:paraId="2B841B6D" w14:textId="77777777" w:rsidR="00C50F3E" w:rsidRPr="00C51D52" w:rsidRDefault="00C50F3E" w:rsidP="00F56BC5">
      <w:pPr>
        <w:pStyle w:val="Default"/>
        <w:jc w:val="both"/>
        <w:rPr>
          <w:rFonts w:asciiTheme="minorHAnsi" w:hAnsiTheme="minorHAnsi" w:cstheme="minorHAnsi"/>
          <w:color w:val="A6A6A6" w:themeColor="background1" w:themeShade="A6"/>
        </w:rPr>
      </w:pPr>
      <w:r w:rsidRPr="00C51D52">
        <w:rPr>
          <w:rFonts w:asciiTheme="minorHAnsi" w:hAnsiTheme="minorHAnsi" w:cstheme="minorHAnsi"/>
          <w:color w:val="A6A6A6" w:themeColor="background1" w:themeShade="A6"/>
          <w:u w:val="single"/>
        </w:rPr>
        <w:t>Question 41.</w:t>
      </w:r>
      <w:r w:rsidRPr="00C51D52">
        <w:rPr>
          <w:rFonts w:asciiTheme="minorHAnsi" w:hAnsiTheme="minorHAnsi" w:cstheme="minorHAnsi"/>
          <w:color w:val="A6A6A6" w:themeColor="background1" w:themeShade="A6"/>
        </w:rPr>
        <w:t xml:space="preserve"> How can it be ensured that the functioning of underlying spot energy markets and off-exchange energy trading activity does not lead to the transmission of risks to financial markets? </w:t>
      </w:r>
    </w:p>
    <w:p w14:paraId="061CFC31" w14:textId="77777777" w:rsidR="00C50F3E" w:rsidRPr="00C51D52" w:rsidRDefault="00C50F3E" w:rsidP="00F56BC5">
      <w:pPr>
        <w:pStyle w:val="Default"/>
        <w:jc w:val="both"/>
        <w:rPr>
          <w:rFonts w:asciiTheme="minorHAnsi" w:hAnsiTheme="minorHAnsi" w:cstheme="minorHAnsi"/>
          <w:color w:val="auto"/>
        </w:rPr>
      </w:pPr>
    </w:p>
    <w:p w14:paraId="2103A43E" w14:textId="77777777" w:rsidR="00C50F3E" w:rsidRPr="00C51D52" w:rsidRDefault="00C50F3E" w:rsidP="00F56BC5">
      <w:pPr>
        <w:autoSpaceDE w:val="0"/>
        <w:autoSpaceDN w:val="0"/>
        <w:adjustRightInd w:val="0"/>
        <w:jc w:val="both"/>
        <w:rPr>
          <w:rFonts w:cstheme="minorHAnsi"/>
          <w:b/>
          <w:bCs/>
          <w:color w:val="0F4761" w:themeColor="accent1" w:themeShade="BF"/>
          <w:kern w:val="0"/>
          <w14:ligatures w14:val="none"/>
        </w:rPr>
      </w:pPr>
      <w:r w:rsidRPr="00C51D52">
        <w:rPr>
          <w:rFonts w:cstheme="minorHAnsi"/>
          <w:b/>
          <w:bCs/>
          <w:color w:val="0F4761" w:themeColor="accent1" w:themeShade="BF"/>
          <w:kern w:val="0"/>
          <w14:ligatures w14:val="none"/>
        </w:rPr>
        <w:t xml:space="preserve">Other markets </w:t>
      </w:r>
    </w:p>
    <w:p w14:paraId="7361EF6A" w14:textId="1F6BC39E" w:rsidR="00787EF3" w:rsidRPr="00C51D52" w:rsidRDefault="00C50F3E" w:rsidP="009071C4">
      <w:pPr>
        <w:jc w:val="both"/>
        <w:rPr>
          <w:rFonts w:cstheme="minorHAnsi"/>
          <w:kern w:val="0"/>
          <w14:ligatures w14:val="none"/>
        </w:rPr>
      </w:pPr>
      <w:r w:rsidRPr="00C51D52">
        <w:rPr>
          <w:rFonts w:cstheme="minorHAnsi"/>
          <w:kern w:val="0"/>
          <w:u w:val="single"/>
          <w14:ligatures w14:val="none"/>
        </w:rPr>
        <w:t>Question 42.</w:t>
      </w:r>
      <w:r w:rsidRPr="00C51D52">
        <w:rPr>
          <w:rFonts w:cstheme="minorHAnsi"/>
          <w:kern w:val="0"/>
          <w14:ligatures w14:val="none"/>
        </w:rPr>
        <w:t xml:space="preserve"> To what extent do you see emerging liquidity risks or market functioning issues that can affect liquidity in other markets? Can you provide concrete examples?</w:t>
      </w:r>
    </w:p>
    <w:p w14:paraId="3514B630" w14:textId="7D8D1926" w:rsidR="00B607CD" w:rsidRPr="00C51D52" w:rsidRDefault="00B607CD" w:rsidP="00147A53">
      <w:pPr>
        <w:pBdr>
          <w:top w:val="single" w:sz="4" w:space="1" w:color="auto"/>
          <w:left w:val="single" w:sz="4" w:space="4" w:color="auto"/>
          <w:bottom w:val="single" w:sz="4" w:space="1" w:color="auto"/>
          <w:right w:val="single" w:sz="4" w:space="4" w:color="auto"/>
          <w:bar w:val="single" w:sz="4" w:color="auto"/>
        </w:pBdr>
        <w:jc w:val="both"/>
        <w:rPr>
          <w:color w:val="156082" w:themeColor="accent1"/>
        </w:rPr>
      </w:pPr>
      <w:r w:rsidRPr="00C51D52">
        <w:t>Emerging liquidity risks can affect other markets</w:t>
      </w:r>
      <w:r w:rsidR="005F136E" w:rsidRPr="00C51D52">
        <w:t xml:space="preserve"> due to the </w:t>
      </w:r>
      <w:r w:rsidRPr="00C51D52">
        <w:t>interconnectedness of financial markets.</w:t>
      </w:r>
      <w:r w:rsidR="00392266">
        <w:t xml:space="preserve"> </w:t>
      </w:r>
      <w:r w:rsidRPr="00C51D52">
        <w:t>A liquidity crisis in the corporate bond market can impact MMFs holding these bonds, causing redemption pressures. Similarly, disruptions in the repo market can affect short-term funding availability.</w:t>
      </w:r>
      <w:r w:rsidR="006A7D43" w:rsidRPr="00C51D52">
        <w:t xml:space="preserve"> </w:t>
      </w:r>
      <w:r w:rsidRPr="00C51D52">
        <w:t>The March 2020 market turmoil highlighted how liquidity issues in one market can spread to others, affecting overall market stability.</w:t>
      </w:r>
      <w:r w:rsidR="005F136E" w:rsidRPr="00C51D52">
        <w:t xml:space="preserve"> In our view, non-regulated NBFIs pose a risk since NCAs cannot monitor their liquidity profiles, potentially leading to spillover effects during market stress.</w:t>
      </w:r>
    </w:p>
    <w:p w14:paraId="604DDEB4" w14:textId="77777777" w:rsidR="00CB6E2D" w:rsidRPr="00C51D52" w:rsidRDefault="00CB6E2D" w:rsidP="00F56BC5">
      <w:pPr>
        <w:jc w:val="both"/>
        <w:rPr>
          <w:lang w:val="en-GB"/>
        </w:rPr>
      </w:pPr>
      <w:r w:rsidRPr="00C51D52">
        <w:rPr>
          <w:u w:val="single"/>
          <w:lang w:val="en-GB"/>
        </w:rPr>
        <w:lastRenderedPageBreak/>
        <w:t xml:space="preserve">Question 43: </w:t>
      </w:r>
      <w:r w:rsidRPr="00C51D52">
        <w:rPr>
          <w:lang w:val="en-GB"/>
        </w:rPr>
        <w:t xml:space="preserve">What are other tools than those currently available under EU legislation which could be used to contain systemic risks generated by potential pockets of excessive leverage in OEFs? </w:t>
      </w:r>
    </w:p>
    <w:p w14:paraId="56944ADA" w14:textId="7379EEBC" w:rsidR="00621817" w:rsidRPr="00C51D52" w:rsidRDefault="000C46C9" w:rsidP="00E7693E">
      <w:pPr>
        <w:pBdr>
          <w:top w:val="single" w:sz="4" w:space="1" w:color="auto"/>
          <w:left w:val="single" w:sz="4" w:space="4" w:color="auto"/>
          <w:bottom w:val="single" w:sz="4" w:space="1" w:color="auto"/>
          <w:right w:val="single" w:sz="4" w:space="4" w:color="auto"/>
        </w:pBdr>
        <w:jc w:val="both"/>
      </w:pPr>
      <w:r w:rsidRPr="00C51D52">
        <w:t xml:space="preserve"> Leverage limits are sufficient</w:t>
      </w:r>
      <w:r w:rsidR="007A63E0" w:rsidRPr="00C51D52">
        <w:t>.</w:t>
      </w:r>
    </w:p>
    <w:p w14:paraId="0752781D" w14:textId="5265ADD4" w:rsidR="00E7693E" w:rsidRPr="00C51D52" w:rsidRDefault="00CB6E2D" w:rsidP="009071C4">
      <w:pPr>
        <w:jc w:val="both"/>
        <w:rPr>
          <w:lang w:val="en-GB"/>
        </w:rPr>
      </w:pPr>
      <w:r w:rsidRPr="00C51D52">
        <w:rPr>
          <w:u w:val="single"/>
          <w:lang w:val="en-GB"/>
        </w:rPr>
        <w:t>Question 44:</w:t>
      </w:r>
      <w:r w:rsidRPr="00C51D52">
        <w:rPr>
          <w:lang w:val="en-GB"/>
        </w:rPr>
        <w:t xml:space="preserve"> What are, in your view, the benefits and costs of using yield buffers for Liability-Driven funds, such as it was done in Ireland and Luxembourg, to address leverage? </w:t>
      </w:r>
    </w:p>
    <w:p w14:paraId="349EB41F" w14:textId="07AC3B7A" w:rsidR="00AF5143" w:rsidRPr="00C51D52" w:rsidRDefault="00AF5143" w:rsidP="00E7693E">
      <w:pPr>
        <w:pBdr>
          <w:top w:val="single" w:sz="4" w:space="1" w:color="auto"/>
          <w:left w:val="single" w:sz="4" w:space="4" w:color="auto"/>
          <w:bottom w:val="single" w:sz="4" w:space="1" w:color="auto"/>
          <w:right w:val="single" w:sz="4" w:space="4" w:color="auto"/>
        </w:pBdr>
        <w:jc w:val="both"/>
      </w:pPr>
      <w:r w:rsidRPr="00C51D52">
        <w:t>Yield buffers for LDI funds can provide a safety net to meet margin calls, enhancing stability during market stress. However, they may reduce fund returns and increase operational complexity</w:t>
      </w:r>
      <w:r w:rsidR="00D52F00" w:rsidRPr="00C51D52">
        <w:t>.</w:t>
      </w:r>
    </w:p>
    <w:p w14:paraId="215276CB" w14:textId="77777777" w:rsidR="00CB6E2D" w:rsidRPr="00C51D52" w:rsidRDefault="00CB6E2D" w:rsidP="00F56BC5">
      <w:pPr>
        <w:jc w:val="both"/>
        <w:rPr>
          <w:lang w:val="en-GB"/>
        </w:rPr>
      </w:pPr>
      <w:r w:rsidRPr="00C51D52">
        <w:rPr>
          <w:u w:val="single"/>
          <w:lang w:val="en-GB"/>
        </w:rPr>
        <w:t xml:space="preserve">Question 45: </w:t>
      </w:r>
      <w:r w:rsidRPr="00C51D52">
        <w:rPr>
          <w:lang w:val="en-GB"/>
        </w:rPr>
        <w:t xml:space="preserve">While on average EU OEFs are not highly leveraged, are there, to your knowledge, pockets of excessive leverage in the OEF sector that are not sufficiently addressed? Please elaborate with concrete examples. </w:t>
      </w:r>
    </w:p>
    <w:p w14:paraId="6CD7DE2B" w14:textId="47C2EFD8" w:rsidR="00FA77DB" w:rsidRPr="00C51D52" w:rsidRDefault="00FA77DB" w:rsidP="00F56BC5">
      <w:pPr>
        <w:pBdr>
          <w:top w:val="single" w:sz="4" w:space="1" w:color="auto"/>
          <w:left w:val="single" w:sz="4" w:space="4" w:color="auto"/>
          <w:bottom w:val="single" w:sz="4" w:space="1" w:color="auto"/>
          <w:right w:val="single" w:sz="4" w:space="4" w:color="auto"/>
          <w:between w:val="single" w:sz="4" w:space="1" w:color="auto"/>
          <w:bar w:val="single" w:sz="4" w:color="auto"/>
        </w:pBdr>
        <w:jc w:val="both"/>
        <w:rPr>
          <w:lang w:val="en-GB"/>
        </w:rPr>
      </w:pPr>
      <w:r w:rsidRPr="00C51D52">
        <w:t>The vast majority of</w:t>
      </w:r>
      <w:r w:rsidR="00EB031A" w:rsidRPr="00C51D52">
        <w:t xml:space="preserve"> OEFs</w:t>
      </w:r>
      <w:r w:rsidRPr="00C51D52">
        <w:t xml:space="preserve"> do not employ significant leverage. Moreover, leverage is often deployed for reasons other than gaining additional exposure to an underlying market, including for efficient portfolio and risk management purposes. It cannot, however, be excluded that some leveraged investment funds may face steep liquidity demands during periods of stress. For this reason, supervisors should focus on these funds that are at greater risks of a liquidity shortfall due to sudden margin calls. NCAs already have the possibility to introduce leverage limits under the UCITS and AIFM Directives or maintain yield buffers for individual or group of funds to ensure the stability of leveraged positions. The revised AIFMD Directive introduces an absolute limit for loan originating funds. Therefore, EU regulated funds such as UCITS and AIFs cannot build up excessive leverage, contrary to non-regulated NBFIs</w:t>
      </w:r>
      <w:r w:rsidR="00670845" w:rsidRPr="00C51D52">
        <w:rPr>
          <w:lang w:val="en-GB"/>
        </w:rPr>
        <w:t>.</w:t>
      </w:r>
    </w:p>
    <w:p w14:paraId="73A409F5" w14:textId="77777777" w:rsidR="00CB6E2D" w:rsidRPr="00C51D52" w:rsidRDefault="00CB6E2D" w:rsidP="00F56BC5">
      <w:pPr>
        <w:jc w:val="both"/>
        <w:rPr>
          <w:lang w:val="en-GB"/>
        </w:rPr>
      </w:pPr>
      <w:r w:rsidRPr="00C51D52">
        <w:rPr>
          <w:u w:val="single"/>
          <w:lang w:val="en-GB"/>
        </w:rPr>
        <w:t xml:space="preserve">Question 46: </w:t>
      </w:r>
      <w:r w:rsidRPr="00C51D52">
        <w:rPr>
          <w:lang w:val="en-GB"/>
        </w:rPr>
        <w:t xml:space="preserve">How can leverage through certain investment strategies (e.g. when funds invest in other funds based in third countries) be better detected? </w:t>
      </w:r>
    </w:p>
    <w:p w14:paraId="23361A4D" w14:textId="5D26108A" w:rsidR="00D04B54" w:rsidRPr="00C51D52" w:rsidRDefault="005E6F0B" w:rsidP="00F85E1C">
      <w:pPr>
        <w:pBdr>
          <w:top w:val="single" w:sz="4" w:space="1" w:color="auto"/>
          <w:left w:val="single" w:sz="4" w:space="4" w:color="auto"/>
          <w:bottom w:val="single" w:sz="4" w:space="1" w:color="auto"/>
          <w:right w:val="single" w:sz="4" w:space="4" w:color="auto"/>
        </w:pBdr>
        <w:jc w:val="both"/>
        <w:rPr>
          <w:lang w:val="en-GB"/>
        </w:rPr>
      </w:pPr>
      <w:r w:rsidRPr="00C51D52">
        <w:rPr>
          <w:lang w:val="en-GB"/>
        </w:rPr>
        <w:t>Much of the information that EU regulators need to analyse macroeconomic risk already exists. In the EU, even richer data will exist after the introduction of the enhanced reporting regime under the AIFMD review. Therefore, the emphasis should be placed on better data sharing between supervisors rather than new reporting obligations for the regulated fund sector. Better data sharing can be achieved through ESMA becoming the EU data hub for capital markets. This would allow NCAs and the ECB to continue collecting supervisory data while allowing that this data is accessible by the other authorities that need this information.</w:t>
      </w:r>
      <w:r w:rsidR="00A37F69" w:rsidRPr="00C51D52">
        <w:rPr>
          <w:lang w:val="en-GB"/>
        </w:rPr>
        <w:t xml:space="preserve"> </w:t>
      </w:r>
      <w:r w:rsidRPr="00C51D52">
        <w:rPr>
          <w:lang w:val="en-GB"/>
        </w:rPr>
        <w:t>This would ensure that management companies would no longer have to report the same information to several authorities, especially during period of stress. It should also be considered</w:t>
      </w:r>
      <w:r w:rsidR="00A37F69" w:rsidRPr="00C51D52">
        <w:rPr>
          <w:lang w:val="en-GB"/>
        </w:rPr>
        <w:t xml:space="preserve"> </w:t>
      </w:r>
      <w:r w:rsidRPr="00C51D52">
        <w:rPr>
          <w:lang w:val="en-GB"/>
        </w:rPr>
        <w:t>how this data can be shared with firms as well, as for example useful for bank’s counterparty risk</w:t>
      </w:r>
      <w:r w:rsidR="00A37F69" w:rsidRPr="00C51D52">
        <w:rPr>
          <w:lang w:val="en-GB"/>
        </w:rPr>
        <w:t xml:space="preserve"> </w:t>
      </w:r>
      <w:r w:rsidRPr="00C51D52">
        <w:rPr>
          <w:lang w:val="en-GB"/>
        </w:rPr>
        <w:t xml:space="preserve">assessment. The EU </w:t>
      </w:r>
      <w:r w:rsidRPr="00C51D52">
        <w:rPr>
          <w:lang w:val="en-GB"/>
        </w:rPr>
        <w:lastRenderedPageBreak/>
        <w:t xml:space="preserve">should also explore the extent to which there are data gaps from non- or less-regulated NBFI sectors that can be a source of systemic risk, such as </w:t>
      </w:r>
      <w:r w:rsidR="00BD3667" w:rsidRPr="00C51D52">
        <w:rPr>
          <w:lang w:val="en-GB"/>
        </w:rPr>
        <w:t xml:space="preserve">big tech and crypto asset </w:t>
      </w:r>
      <w:proofErr w:type="spellStart"/>
      <w:r w:rsidR="00BD3667" w:rsidRPr="00C51D52">
        <w:rPr>
          <w:lang w:val="en-GB"/>
        </w:rPr>
        <w:t>intermediairies</w:t>
      </w:r>
      <w:proofErr w:type="spellEnd"/>
      <w:r w:rsidRPr="00C51D52">
        <w:rPr>
          <w:lang w:val="en-GB"/>
        </w:rPr>
        <w:t xml:space="preserve">, and consider policy intervention if this is determined to be a relevant gap. Such data gaps could be informed and identified by system-wide stress testing. </w:t>
      </w:r>
      <w:r w:rsidR="00D04B54" w:rsidRPr="00C51D52">
        <w:t>As macroeconomic risk assessments cannot be considered on an EU basis alone, we would also support sharing of supervisory data and insights between EU and closely connected financial markets.</w:t>
      </w:r>
    </w:p>
    <w:p w14:paraId="6A71172D" w14:textId="6D9BD3C9" w:rsidR="00FA77DB" w:rsidRPr="00C51D52" w:rsidRDefault="00CB6E2D" w:rsidP="005E6F0B">
      <w:pPr>
        <w:jc w:val="both"/>
      </w:pPr>
      <w:r w:rsidRPr="00C51D52">
        <w:rPr>
          <w:u w:val="single"/>
          <w:lang w:val="en-GB"/>
        </w:rPr>
        <w:t xml:space="preserve">Question 47: </w:t>
      </w:r>
      <w:r w:rsidRPr="00C51D52">
        <w:rPr>
          <w:lang w:val="en-GB"/>
        </w:rPr>
        <w:t xml:space="preserve">Are you aware of any NBFI sector entities with particularly high leverage in the EU that could raise systemic risk concerns? </w:t>
      </w:r>
    </w:p>
    <w:p w14:paraId="6A6613D1" w14:textId="72DC7F21" w:rsidR="00C42224" w:rsidRPr="00C51D52" w:rsidRDefault="00076EB5" w:rsidP="00F56BC5">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51D52">
        <w:t xml:space="preserve">The EU should explore the extent to which there are data gaps from non- or less-regulated NBFI sectors that can be a source of systemic risk, such as </w:t>
      </w:r>
      <w:r w:rsidR="00FE35DC" w:rsidRPr="00C51D52">
        <w:t>big</w:t>
      </w:r>
      <w:r w:rsidR="00B33989" w:rsidRPr="00C51D52">
        <w:t xml:space="preserve"> </w:t>
      </w:r>
      <w:r w:rsidR="00FE35DC" w:rsidRPr="00C51D52">
        <w:t>tech companies</w:t>
      </w:r>
      <w:r w:rsidR="00187EFA" w:rsidRPr="00C51D52">
        <w:t xml:space="preserve"> and</w:t>
      </w:r>
      <w:r w:rsidR="00DF2F3E" w:rsidRPr="00C51D52">
        <w:t xml:space="preserve"> </w:t>
      </w:r>
      <w:r w:rsidR="006C2743" w:rsidRPr="00C51D52">
        <w:t>CASPS</w:t>
      </w:r>
      <w:r w:rsidR="00FC6AFB" w:rsidRPr="00C51D52">
        <w:t xml:space="preserve">, </w:t>
      </w:r>
      <w:r w:rsidRPr="00C51D52">
        <w:t>and consider policy intervention if this is determined to be a relevant gap. Such data gaps could be informed and identified by system-wide stress testing.</w:t>
      </w:r>
    </w:p>
    <w:p w14:paraId="78D2C50A" w14:textId="77777777" w:rsidR="00CB6E2D" w:rsidRPr="00C51D52" w:rsidRDefault="00CB6E2D" w:rsidP="00F56BC5">
      <w:pPr>
        <w:jc w:val="both"/>
        <w:rPr>
          <w:lang w:val="en-GB"/>
        </w:rPr>
      </w:pPr>
      <w:r w:rsidRPr="00C51D52">
        <w:rPr>
          <w:u w:val="single"/>
          <w:lang w:val="en-GB"/>
        </w:rPr>
        <w:t xml:space="preserve">Question 48: </w:t>
      </w:r>
      <w:r w:rsidRPr="00C51D52">
        <w:rPr>
          <w:lang w:val="en-GB"/>
        </w:rPr>
        <w:t xml:space="preserve">Do stakeholders have views on macroprudential tools to deal with leverage of NBFIs that are not currently included in EU legislation? </w:t>
      </w:r>
    </w:p>
    <w:p w14:paraId="67479911" w14:textId="6F3F7FE9" w:rsidR="00010785" w:rsidRPr="00C51D52" w:rsidRDefault="004501B4" w:rsidP="00567E7A">
      <w:pPr>
        <w:pBdr>
          <w:top w:val="single" w:sz="4" w:space="1" w:color="auto"/>
          <w:left w:val="single" w:sz="4" w:space="4" w:color="auto"/>
          <w:bottom w:val="single" w:sz="4" w:space="1" w:color="auto"/>
          <w:right w:val="single" w:sz="4" w:space="4" w:color="auto"/>
        </w:pBdr>
        <w:jc w:val="both"/>
        <w:rPr>
          <w:lang w:val="en-GB"/>
        </w:rPr>
      </w:pPr>
      <w:r w:rsidRPr="00C51D52">
        <w:rPr>
          <w:lang w:val="en-GB"/>
        </w:rPr>
        <w:t>Much of the information that EU regulators need to analyse macroeconomic risk already exists.</w:t>
      </w:r>
      <w:r w:rsidR="00F85E1C" w:rsidRPr="00C51D52">
        <w:rPr>
          <w:lang w:val="en-GB"/>
        </w:rPr>
        <w:t xml:space="preserve"> </w:t>
      </w:r>
      <w:r w:rsidRPr="00C51D52">
        <w:rPr>
          <w:lang w:val="en-GB"/>
        </w:rPr>
        <w:t>In the EU, even richer data will exist after the introduction of the enhanced reporting regime under</w:t>
      </w:r>
      <w:r w:rsidR="00F85E1C" w:rsidRPr="00C51D52">
        <w:rPr>
          <w:lang w:val="en-GB"/>
        </w:rPr>
        <w:t xml:space="preserve"> </w:t>
      </w:r>
      <w:r w:rsidRPr="00C51D52">
        <w:rPr>
          <w:lang w:val="en-GB"/>
        </w:rPr>
        <w:t>the AIFMD review.</w:t>
      </w:r>
      <w:r w:rsidR="00F85E1C" w:rsidRPr="00C51D52">
        <w:rPr>
          <w:lang w:val="en-GB"/>
        </w:rPr>
        <w:t xml:space="preserve"> </w:t>
      </w:r>
      <w:r w:rsidRPr="00C51D52">
        <w:rPr>
          <w:lang w:val="en-GB"/>
        </w:rPr>
        <w:t>Therefore, the emphasis should be placed on better data sharing between supervisors rather</w:t>
      </w:r>
      <w:r w:rsidR="00F85E1C" w:rsidRPr="00C51D52">
        <w:rPr>
          <w:lang w:val="en-GB"/>
        </w:rPr>
        <w:t xml:space="preserve"> </w:t>
      </w:r>
      <w:r w:rsidRPr="00C51D52">
        <w:rPr>
          <w:lang w:val="en-GB"/>
        </w:rPr>
        <w:t>than new reporting obligations for the regulated fund sector. Better data sharing can be achieved through ESMA becoming the EU data hub for capital markets. This would allow NCAs and the ECB to continue collecting supervisory data while allowing that this data is accessible by the other authorities that need this information.</w:t>
      </w:r>
      <w:r w:rsidR="00567E7A" w:rsidRPr="00C51D52">
        <w:rPr>
          <w:lang w:val="en-GB"/>
        </w:rPr>
        <w:t xml:space="preserve"> </w:t>
      </w:r>
      <w:r w:rsidRPr="00C51D52">
        <w:rPr>
          <w:lang w:val="en-GB"/>
        </w:rPr>
        <w:t>This would ensure that management companies would no longer have to report the same</w:t>
      </w:r>
      <w:r w:rsidR="00567E7A" w:rsidRPr="00C51D52">
        <w:rPr>
          <w:lang w:val="en-GB"/>
        </w:rPr>
        <w:t xml:space="preserve"> </w:t>
      </w:r>
      <w:r w:rsidRPr="00C51D52">
        <w:rPr>
          <w:lang w:val="en-GB"/>
        </w:rPr>
        <w:t>information to several authorities, especially during period of stress.</w:t>
      </w:r>
      <w:r w:rsidR="00392266">
        <w:rPr>
          <w:lang w:val="en-GB"/>
        </w:rPr>
        <w:t xml:space="preserve"> </w:t>
      </w:r>
      <w:r w:rsidRPr="00C51D52">
        <w:rPr>
          <w:lang w:val="en-GB"/>
        </w:rPr>
        <w:t>It should also be considered how this data can be shared with firms as well, as for example useful for bank’s counterparty risk</w:t>
      </w:r>
      <w:r w:rsidR="00567E7A" w:rsidRPr="00C51D52">
        <w:rPr>
          <w:lang w:val="en-GB"/>
        </w:rPr>
        <w:t xml:space="preserve"> </w:t>
      </w:r>
      <w:r w:rsidRPr="00C51D52">
        <w:rPr>
          <w:lang w:val="en-GB"/>
        </w:rPr>
        <w:t>assessment.</w:t>
      </w:r>
    </w:p>
    <w:p w14:paraId="471DAFC5" w14:textId="13240103" w:rsidR="00FA77DB" w:rsidRPr="00C51D52" w:rsidRDefault="00CB6E2D" w:rsidP="004501B4">
      <w:pPr>
        <w:jc w:val="both"/>
        <w:rPr>
          <w:color w:val="A6A6A6" w:themeColor="background1" w:themeShade="A6"/>
          <w:lang w:val="en-GB"/>
        </w:rPr>
      </w:pPr>
      <w:r w:rsidRPr="00C51D52">
        <w:rPr>
          <w:color w:val="A6A6A6" w:themeColor="background1" w:themeShade="A6"/>
          <w:u w:val="single"/>
          <w:lang w:val="en-GB"/>
        </w:rPr>
        <w:t xml:space="preserve">Question 49: </w:t>
      </w:r>
      <w:r w:rsidRPr="00C51D52">
        <w:rPr>
          <w:color w:val="A6A6A6" w:themeColor="background1" w:themeShade="A6"/>
          <w:lang w:val="en-GB"/>
        </w:rPr>
        <w:t>[To NCAs and EU bodies:] Are you able to timely identify (financial and synthetic) leverage pockets of other NBFIs (such as pension funds, insurance companies and so on), especially when they are taken via third parties or complex derivative transactions? Please elaborate on how this timely detection of leverage cou</w:t>
      </w:r>
      <w:r w:rsidR="00010785" w:rsidRPr="00C51D52">
        <w:rPr>
          <w:color w:val="A6A6A6" w:themeColor="background1" w:themeShade="A6"/>
          <w:lang w:val="en-GB"/>
        </w:rPr>
        <w:t>l</w:t>
      </w:r>
      <w:r w:rsidRPr="00C51D52">
        <w:rPr>
          <w:color w:val="A6A6A6" w:themeColor="background1" w:themeShade="A6"/>
          <w:lang w:val="en-GB"/>
        </w:rPr>
        <w:t>d be obtained?</w:t>
      </w:r>
    </w:p>
    <w:p w14:paraId="0689DDE9" w14:textId="0C62D8A3" w:rsidR="00CB6E2D" w:rsidRPr="00C51D52" w:rsidRDefault="00CB6E2D" w:rsidP="00F56BC5">
      <w:pPr>
        <w:jc w:val="both"/>
        <w:rPr>
          <w:lang w:val="en-GB"/>
        </w:rPr>
      </w:pPr>
      <w:r w:rsidRPr="00C51D52">
        <w:rPr>
          <w:u w:val="single"/>
          <w:lang w:val="en-GB"/>
        </w:rPr>
        <w:t xml:space="preserve">Question 50: </w:t>
      </w:r>
      <w:r w:rsidRPr="00C51D52">
        <w:rPr>
          <w:lang w:val="en-GB"/>
        </w:rPr>
        <w:t xml:space="preserve">How can it be ensured that competent authorities can effectively reconcile positions in leveraged products (such as derivatives) taken via various legal entities (e.g. other funds or funds of funds) to the ultimate beneficiary? </w:t>
      </w:r>
    </w:p>
    <w:p w14:paraId="36CA6E4C" w14:textId="5000FD3E" w:rsidR="00621817" w:rsidRPr="00C51D52" w:rsidRDefault="00AA01C8" w:rsidP="00AA01C8">
      <w:pPr>
        <w:pBdr>
          <w:top w:val="single" w:sz="4" w:space="1" w:color="auto"/>
          <w:left w:val="single" w:sz="4" w:space="4" w:color="auto"/>
          <w:bottom w:val="single" w:sz="4" w:space="1" w:color="auto"/>
          <w:right w:val="single" w:sz="4" w:space="4" w:color="auto"/>
          <w:between w:val="single" w:sz="4" w:space="1" w:color="auto"/>
          <w:bar w:val="single" w:sz="4" w:color="auto"/>
        </w:pBdr>
        <w:jc w:val="both"/>
        <w:rPr>
          <w:lang w:val="en-GB"/>
        </w:rPr>
      </w:pPr>
      <w:r w:rsidRPr="00C51D52">
        <w:rPr>
          <w:lang w:val="en-GB"/>
        </w:rPr>
        <w:t xml:space="preserve">Rather than imposing new reporting requirements, we recommend that regulators enhance their use of existing data. </w:t>
      </w:r>
      <w:r w:rsidR="00A30FC0" w:rsidRPr="00C51D52">
        <w:rPr>
          <w:lang w:val="en-GB"/>
        </w:rPr>
        <w:t xml:space="preserve">Regulators have tools to monitor leveraged positions </w:t>
      </w:r>
      <w:r w:rsidR="00A30FC0" w:rsidRPr="00C51D52">
        <w:rPr>
          <w:lang w:val="en-GB"/>
        </w:rPr>
        <w:lastRenderedPageBreak/>
        <w:t xml:space="preserve">via derivatives, particularly through the EMIR reporting framework in the EU, which tracks exposures, leverage, and concentration risks. </w:t>
      </w:r>
    </w:p>
    <w:p w14:paraId="2DE94B7A" w14:textId="77777777" w:rsidR="00621817" w:rsidRPr="00C51D52" w:rsidRDefault="00621817" w:rsidP="00F56BC5">
      <w:pPr>
        <w:jc w:val="both"/>
        <w:rPr>
          <w:b/>
          <w:bCs/>
          <w:color w:val="0F4761" w:themeColor="accent1" w:themeShade="BF"/>
        </w:rPr>
      </w:pPr>
      <w:r w:rsidRPr="00C51D52">
        <w:rPr>
          <w:b/>
          <w:bCs/>
          <w:color w:val="0F4761" w:themeColor="accent1" w:themeShade="BF"/>
        </w:rPr>
        <w:t xml:space="preserve">Commodities markets </w:t>
      </w:r>
    </w:p>
    <w:p w14:paraId="2D587D44" w14:textId="4E1C600E" w:rsidR="00621817" w:rsidRPr="00C51D52" w:rsidRDefault="00621817" w:rsidP="00F56BC5">
      <w:pPr>
        <w:jc w:val="both"/>
        <w:rPr>
          <w:color w:val="A6A6A6" w:themeColor="background1" w:themeShade="A6"/>
        </w:rPr>
      </w:pPr>
      <w:r w:rsidRPr="00C51D52">
        <w:rPr>
          <w:color w:val="A6A6A6" w:themeColor="background1" w:themeShade="A6"/>
          <w:u w:val="single"/>
        </w:rPr>
        <w:t>Question 51</w:t>
      </w:r>
      <w:r w:rsidRPr="00C51D52">
        <w:rPr>
          <w:color w:val="A6A6A6" w:themeColor="background1" w:themeShade="A6"/>
        </w:rPr>
        <w:t xml:space="preserve">. What role do concentrated intraday positions have in triggering high volatility and heightening risks of liquidity dry-ups? Please justify your response and suggest how the regulatory framework and the functioning of these markets could be further improved? </w:t>
      </w:r>
    </w:p>
    <w:p w14:paraId="560326EF" w14:textId="1CE944CF" w:rsidR="00621817" w:rsidRPr="00C51D52" w:rsidRDefault="00621817" w:rsidP="00F56BC5">
      <w:pPr>
        <w:jc w:val="both"/>
        <w:rPr>
          <w:b/>
          <w:bCs/>
          <w:color w:val="0F4761" w:themeColor="accent1" w:themeShade="BF"/>
        </w:rPr>
      </w:pPr>
      <w:r w:rsidRPr="00C51D52">
        <w:rPr>
          <w:b/>
          <w:bCs/>
          <w:color w:val="0F4761" w:themeColor="accent1" w:themeShade="BF"/>
        </w:rPr>
        <w:t>Monitoring interconnectedness</w:t>
      </w:r>
    </w:p>
    <w:p w14:paraId="53920A2B" w14:textId="77777777" w:rsidR="00D86819" w:rsidRPr="00C51D52" w:rsidRDefault="00D86819" w:rsidP="00F56BC5">
      <w:pPr>
        <w:jc w:val="both"/>
        <w:rPr>
          <w:color w:val="A6A6A6" w:themeColor="background1" w:themeShade="A6"/>
          <w:lang w:val="en-GB"/>
        </w:rPr>
      </w:pPr>
      <w:r w:rsidRPr="00C51D52">
        <w:rPr>
          <w:color w:val="A6A6A6" w:themeColor="background1" w:themeShade="A6"/>
          <w:u w:val="single"/>
          <w:lang w:val="en-GB"/>
        </w:rPr>
        <w:t xml:space="preserve">Question 52: </w:t>
      </w:r>
      <w:r w:rsidRPr="00C51D52">
        <w:rPr>
          <w:color w:val="A6A6A6" w:themeColor="background1" w:themeShade="A6"/>
          <w:lang w:val="en-GB"/>
        </w:rPr>
        <w:t xml:space="preserve">Do you have concrete examples of links between banks and NBFIs, or between different NBFI sectors that could pose a risk to the financial system? </w:t>
      </w:r>
    </w:p>
    <w:p w14:paraId="249CF900" w14:textId="77777777" w:rsidR="00D86819" w:rsidRPr="00C51D52" w:rsidRDefault="00D86819" w:rsidP="00F56BC5">
      <w:pPr>
        <w:jc w:val="both"/>
        <w:rPr>
          <w:lang w:val="en-GB"/>
        </w:rPr>
      </w:pPr>
      <w:r w:rsidRPr="00C51D52">
        <w:rPr>
          <w:u w:val="single"/>
          <w:lang w:val="en-GB"/>
        </w:rPr>
        <w:t xml:space="preserve">Question 53: </w:t>
      </w:r>
      <w:r w:rsidRPr="00C51D52">
        <w:rPr>
          <w:lang w:val="en-GB"/>
        </w:rPr>
        <w:t xml:space="preserve">What are the benefits and costs of a regular EU system-wide stress test across NBFI and banking sectors? Are current reporting and data sharing arrangements sufficient to perform this task? Would it be possible to combine available NBFI data with banking data? If so, how? </w:t>
      </w:r>
    </w:p>
    <w:p w14:paraId="7FDDD8C9" w14:textId="078DFFBA" w:rsidR="00567E7A" w:rsidRPr="00C51D52" w:rsidRDefault="001B402C" w:rsidP="00567E7A">
      <w:pPr>
        <w:pBdr>
          <w:top w:val="single" w:sz="4" w:space="1" w:color="auto"/>
          <w:left w:val="single" w:sz="4" w:space="4" w:color="auto"/>
          <w:bottom w:val="single" w:sz="4" w:space="1" w:color="auto"/>
          <w:right w:val="single" w:sz="4" w:space="4" w:color="auto"/>
          <w:bar w:val="single" w:sz="4" w:color="auto"/>
        </w:pBdr>
        <w:jc w:val="both"/>
      </w:pPr>
      <w:r w:rsidRPr="00C51D52">
        <w:t xml:space="preserve">We see merit in exploring system-wide stress testing to identify and understand vulnerabilities stemming from links between different NBFIs, and between banks and NBFIs, including in relation to the risk of amplification and herding </w:t>
      </w:r>
      <w:r w:rsidR="00405AEF" w:rsidRPr="00C51D52">
        <w:t>behaviors</w:t>
      </w:r>
      <w:r w:rsidRPr="00C51D52">
        <w:t xml:space="preserve"> embedded in large portfolio overlaps. However, it is important to take into account the limits of being able to model the whole financial system. System-wide stress testing should be focused on specific issues such as preparedness for margin calls. The FSB and IOSCO’s planned work on system-wide stress testing may also facilitate cross border cooperation between authorities and understanding interconnectedness between players across borders. Therefore, the EU may want to defer its decision to establish a system wide stress testing before this exercise is complete.</w:t>
      </w:r>
    </w:p>
    <w:p w14:paraId="6C751171" w14:textId="6D2D59E0" w:rsidR="00245CCC" w:rsidRPr="00C51D52" w:rsidRDefault="002C4624" w:rsidP="00567E7A">
      <w:pPr>
        <w:pBdr>
          <w:top w:val="single" w:sz="4" w:space="1" w:color="auto"/>
          <w:left w:val="single" w:sz="4" w:space="4" w:color="auto"/>
          <w:bottom w:val="single" w:sz="4" w:space="1" w:color="auto"/>
          <w:right w:val="single" w:sz="4" w:space="4" w:color="auto"/>
          <w:bar w:val="single" w:sz="4" w:color="auto"/>
        </w:pBdr>
        <w:jc w:val="both"/>
      </w:pPr>
      <w:r w:rsidRPr="00C51D52">
        <w:t>As macroeconomic risk assessments cannot be considered on an EU basis alone, we would also support sharing of supervisory data and insights between EU and closely connected financial markets.</w:t>
      </w:r>
    </w:p>
    <w:p w14:paraId="350945A0" w14:textId="77777777" w:rsidR="00D86819" w:rsidRPr="00C51D52" w:rsidRDefault="00D86819" w:rsidP="00F56BC5">
      <w:pPr>
        <w:jc w:val="both"/>
        <w:rPr>
          <w:lang w:val="en-GB"/>
        </w:rPr>
      </w:pPr>
      <w:r w:rsidRPr="00C51D52">
        <w:rPr>
          <w:u w:val="single"/>
          <w:lang w:val="en-GB"/>
        </w:rPr>
        <w:t xml:space="preserve">Question 54: </w:t>
      </w:r>
      <w:r w:rsidRPr="00C51D52">
        <w:rPr>
          <w:lang w:val="en-GB"/>
        </w:rPr>
        <w:t xml:space="preserve">Is there a need for arrangements between NBFI supervisors and bank supervisors to ensure timely and comprehensive sharing of data for the conduct of an EU-wide financial system stress tests? Please elaborate. </w:t>
      </w:r>
    </w:p>
    <w:p w14:paraId="49174839" w14:textId="3D80BFAD" w:rsidR="00EB7DB9" w:rsidRPr="00C51D52" w:rsidRDefault="008C42CA" w:rsidP="005F517C">
      <w:pPr>
        <w:pBdr>
          <w:top w:val="single" w:sz="4" w:space="1" w:color="auto"/>
          <w:left w:val="single" w:sz="4" w:space="4" w:color="auto"/>
          <w:bottom w:val="single" w:sz="4" w:space="1" w:color="auto"/>
          <w:right w:val="single" w:sz="4" w:space="4" w:color="auto"/>
          <w:bar w:val="single" w:sz="4" w:color="auto"/>
        </w:pBdr>
        <w:rPr>
          <w:lang w:val="en-GB"/>
        </w:rPr>
      </w:pPr>
      <w:r w:rsidRPr="00C51D52">
        <w:rPr>
          <w:lang w:val="en-GB"/>
        </w:rPr>
        <w:t>Yes. If EU-wide financial system stress tests are to be pursued</w:t>
      </w:r>
      <w:r w:rsidR="00F62DA4" w:rsidRPr="00C51D52">
        <w:rPr>
          <w:lang w:val="en-GB"/>
        </w:rPr>
        <w:t>,</w:t>
      </w:r>
      <w:r w:rsidRPr="00C51D52">
        <w:rPr>
          <w:lang w:val="en-GB"/>
        </w:rPr>
        <w:t xml:space="preserve"> </w:t>
      </w:r>
      <w:r w:rsidR="00E73C71" w:rsidRPr="00C51D52">
        <w:rPr>
          <w:lang w:val="en-GB"/>
        </w:rPr>
        <w:t>NBFI supervisors and bank supervisors will need to put in place arrangement between themselves for sharing</w:t>
      </w:r>
      <w:r w:rsidR="004D2D86" w:rsidRPr="00C51D52">
        <w:rPr>
          <w:lang w:val="en-GB"/>
        </w:rPr>
        <w:t xml:space="preserve"> data.</w:t>
      </w:r>
      <w:r w:rsidR="00E73C71" w:rsidRPr="00C51D52">
        <w:rPr>
          <w:lang w:val="en-GB"/>
        </w:rPr>
        <w:t xml:space="preserve"> </w:t>
      </w:r>
      <w:r w:rsidR="000D74D0" w:rsidRPr="00C51D52">
        <w:rPr>
          <w:lang w:val="en-GB"/>
        </w:rPr>
        <w:t xml:space="preserve">It is crucial to </w:t>
      </w:r>
      <w:r w:rsidR="004E6871" w:rsidRPr="00C51D52">
        <w:rPr>
          <w:lang w:val="en-GB"/>
        </w:rPr>
        <w:t>prevent</w:t>
      </w:r>
      <w:r w:rsidR="000D74D0" w:rsidRPr="00C51D52">
        <w:rPr>
          <w:lang w:val="en-GB"/>
        </w:rPr>
        <w:t xml:space="preserve"> banks and the regulated fund sector</w:t>
      </w:r>
      <w:r w:rsidR="004E6871" w:rsidRPr="00C51D52">
        <w:rPr>
          <w:lang w:val="en-GB"/>
        </w:rPr>
        <w:t xml:space="preserve"> from</w:t>
      </w:r>
      <w:r w:rsidR="00F94992" w:rsidRPr="00C51D52">
        <w:rPr>
          <w:lang w:val="en-GB"/>
        </w:rPr>
        <w:t xml:space="preserve"> hav</w:t>
      </w:r>
      <w:r w:rsidR="004E6871" w:rsidRPr="00C51D52">
        <w:rPr>
          <w:lang w:val="en-GB"/>
        </w:rPr>
        <w:t>ing</w:t>
      </w:r>
      <w:r w:rsidR="00F94992" w:rsidRPr="00C51D52">
        <w:rPr>
          <w:lang w:val="en-GB"/>
        </w:rPr>
        <w:t xml:space="preserve"> to report the same information </w:t>
      </w:r>
      <w:r w:rsidR="00591B91" w:rsidRPr="00C51D52">
        <w:rPr>
          <w:lang w:val="en-GB"/>
        </w:rPr>
        <w:t>multiple times to different</w:t>
      </w:r>
      <w:r w:rsidR="00F94992" w:rsidRPr="00C51D52">
        <w:rPr>
          <w:lang w:val="en-GB"/>
        </w:rPr>
        <w:t xml:space="preserve"> supervisors, </w:t>
      </w:r>
      <w:r w:rsidR="00591B91" w:rsidRPr="00C51D52">
        <w:rPr>
          <w:lang w:val="en-GB"/>
        </w:rPr>
        <w:t xml:space="preserve">as this could lead to unnecessary burdens. </w:t>
      </w:r>
    </w:p>
    <w:p w14:paraId="3DE476F3" w14:textId="2F87E0FB" w:rsidR="00EB7DB9" w:rsidRPr="00C51D52" w:rsidRDefault="003C6CF7" w:rsidP="005F517C">
      <w:pPr>
        <w:pBdr>
          <w:top w:val="single" w:sz="4" w:space="1" w:color="auto"/>
          <w:left w:val="single" w:sz="4" w:space="4" w:color="auto"/>
          <w:bottom w:val="single" w:sz="4" w:space="1" w:color="auto"/>
          <w:right w:val="single" w:sz="4" w:space="4" w:color="auto"/>
          <w:bar w:val="single" w:sz="4" w:color="auto"/>
        </w:pBdr>
      </w:pPr>
      <w:r w:rsidRPr="00C51D52">
        <w:lastRenderedPageBreak/>
        <w:t>Furthermore, given that</w:t>
      </w:r>
      <w:r w:rsidR="00EB7DB9" w:rsidRPr="00C51D52">
        <w:t xml:space="preserve"> macroeconomic risk assessmen</w:t>
      </w:r>
      <w:r w:rsidRPr="00C51D52">
        <w:t>ts extend beyond the EU</w:t>
      </w:r>
      <w:r w:rsidR="00EB7DB9" w:rsidRPr="00C51D52">
        <w:t xml:space="preserve">, we would also support sharing of supervisory data and insights between EU and closely connected financial markets. </w:t>
      </w:r>
    </w:p>
    <w:p w14:paraId="3FC0CFAF" w14:textId="744F7D22" w:rsidR="00D86819" w:rsidRPr="00C51D52" w:rsidRDefault="00D86819" w:rsidP="00F56BC5">
      <w:pPr>
        <w:jc w:val="both"/>
        <w:rPr>
          <w:lang w:val="en-GB"/>
        </w:rPr>
      </w:pPr>
      <w:r w:rsidRPr="00C51D52">
        <w:rPr>
          <w:u w:val="single"/>
          <w:lang w:val="en-GB"/>
        </w:rPr>
        <w:t xml:space="preserve">Question 55: </w:t>
      </w:r>
      <w:r w:rsidRPr="00C51D52">
        <w:rPr>
          <w:lang w:val="en-GB"/>
        </w:rPr>
        <w:t xml:space="preserve">What governance principles already laid out in existing system-wide exercises in the EU, such as the one-off Fit-for-55 climate risk scenario analysis or the CCP stress tests conducted by ESMA, could be adopted in such system-wide stress test scenario? </w:t>
      </w:r>
    </w:p>
    <w:p w14:paraId="2FA2BA9A" w14:textId="3DA9C745" w:rsidR="00A346E1" w:rsidRPr="00C51D52" w:rsidRDefault="000547C1" w:rsidP="00BF50AD">
      <w:pPr>
        <w:pBdr>
          <w:top w:val="single" w:sz="4" w:space="1" w:color="auto"/>
          <w:left w:val="single" w:sz="4" w:space="4" w:color="auto"/>
          <w:bottom w:val="single" w:sz="4" w:space="1" w:color="auto"/>
          <w:right w:val="single" w:sz="4" w:space="4" w:color="auto"/>
        </w:pBdr>
        <w:jc w:val="both"/>
      </w:pPr>
      <w:r w:rsidRPr="00C51D52">
        <w:rPr>
          <w:szCs w:val="20"/>
        </w:rPr>
        <w:t>We believe that the governance chosen for Fit-for-55 is interesting as it involves all relevant supervisors, covering banking, insurance and asset management. However, it is probably too early to opine on the merits of the approach as the exercise is not closed</w:t>
      </w:r>
    </w:p>
    <w:p w14:paraId="15D92A27" w14:textId="6D40C28A" w:rsidR="00D86819" w:rsidRPr="00392266" w:rsidRDefault="00D86819" w:rsidP="00392266">
      <w:pPr>
        <w:jc w:val="both"/>
        <w:rPr>
          <w:lang w:val="en-GB"/>
        </w:rPr>
      </w:pPr>
      <w:r w:rsidRPr="00C51D52">
        <w:rPr>
          <w:u w:val="single"/>
          <w:lang w:val="en-GB"/>
        </w:rPr>
        <w:t xml:space="preserve">Question 57: </w:t>
      </w:r>
      <w:r w:rsidRPr="00C51D52">
        <w:rPr>
          <w:lang w:val="en-GB"/>
        </w:rPr>
        <w:t xml:space="preserve">How can we ensure a more coordinated and effective macroprudential supervision of NBFIs and markets? How could the role of EU bodies (including ESAs, ESRB, ESAs Joint Committee) be enhanced, if at all? Please explain. </w:t>
      </w:r>
    </w:p>
    <w:p w14:paraId="62807E83" w14:textId="6A92FB32" w:rsidR="00076EB5" w:rsidRPr="00C51D52" w:rsidRDefault="00076EB5" w:rsidP="00F56BC5">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51D52">
        <w:t>We support the creation of an enhanced supervisory coordination mechanism for the adoption of macroprudential measures for open-ended funds, such as leverage restrictions or powers to suspend redemption on financial stability grounds. While NCAs would remain responsible for their adoption given the specificities of each EU Member State’s fund market, ESMA should liaise with NCAs and help coordinate their actions. For example, ESMA should make NCAs aware of macroprudential measures being taken by other NCAs and help them decide if they should adopt similar measures. More broadly, macro-prudential supervisors should also work with their micro-prudential counterparts, who have more intimate knowledge of those investment funds identified as potentially contributing to the build-up of systemic risks.</w:t>
      </w:r>
    </w:p>
    <w:p w14:paraId="4732E698" w14:textId="314C986E" w:rsidR="00D86819" w:rsidRPr="00C51D52" w:rsidRDefault="00076EB5" w:rsidP="00F56BC5">
      <w:pPr>
        <w:jc w:val="both"/>
        <w:rPr>
          <w:color w:val="0F4761" w:themeColor="accent1" w:themeShade="BF"/>
        </w:rPr>
      </w:pPr>
      <w:r w:rsidRPr="00C51D52">
        <w:rPr>
          <w:color w:val="0F4761" w:themeColor="accent1" w:themeShade="BF"/>
        </w:rPr>
        <w:t xml:space="preserve"> </w:t>
      </w:r>
      <w:r w:rsidR="00D86819" w:rsidRPr="00C51D52">
        <w:rPr>
          <w:b/>
          <w:bCs/>
          <w:color w:val="0F4761" w:themeColor="accent1" w:themeShade="BF"/>
          <w:lang w:val="en-GB"/>
        </w:rPr>
        <w:t>Enhanced coordination mechanism (implementation and adoption of NMMs)</w:t>
      </w:r>
    </w:p>
    <w:p w14:paraId="4DCE43D8" w14:textId="7D0D9E71" w:rsidR="00A9154B" w:rsidRPr="00C51D52" w:rsidRDefault="00D86819" w:rsidP="00F56BC5">
      <w:pPr>
        <w:jc w:val="both"/>
        <w:rPr>
          <w:lang w:val="en-GB"/>
        </w:rPr>
      </w:pPr>
      <w:r w:rsidRPr="00C51D52">
        <w:rPr>
          <w:u w:val="single"/>
          <w:lang w:val="en-GB"/>
        </w:rPr>
        <w:t xml:space="preserve">Question 58: </w:t>
      </w:r>
      <w:r w:rsidRPr="00C51D52">
        <w:rPr>
          <w:lang w:val="en-GB"/>
        </w:rPr>
        <w:t xml:space="preserve">How could the currently available coordination mechanisms for the implementation of macroprudential measures for OEFs by NCAs or ESAs (such as leverage restrictions or powers to suspend redemption on financial stability grounds) be improved? </w:t>
      </w:r>
    </w:p>
    <w:p w14:paraId="56B126FF" w14:textId="77777777" w:rsidR="00524C38" w:rsidRPr="00C51D52" w:rsidRDefault="001A65C9" w:rsidP="00524C38">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51D52">
        <w:t xml:space="preserve">Much of the information that EU regulators need to </w:t>
      </w:r>
      <w:proofErr w:type="spellStart"/>
      <w:r w:rsidRPr="00C51D52">
        <w:t>analyse</w:t>
      </w:r>
      <w:proofErr w:type="spellEnd"/>
      <w:r w:rsidRPr="00C51D52">
        <w:t xml:space="preserve"> macroeconomic risk already exists. In the EU, even richer data will exist after the introduction of the enhanced reporting regime under the AIFMD review. Therefore, the emphasis should be placed on better data sharing between supervisors rather than new reporting obligations for the regulated fund sector. Better data sharing can be achieved through ESMA becoming the EU data hub for capital markets. This would allow NCAs and the ECB to continue collecting supervisory data while allowing that this data is accessible by the other authorities that need this information. This would ensure that management companies would no longer have to report the same information to several authorities, especially </w:t>
      </w:r>
      <w:r w:rsidRPr="00C51D52">
        <w:lastRenderedPageBreak/>
        <w:t xml:space="preserve">during period of stress. It should also be considered how this data can be shared with firms as well, as for example useful for bank’s counterparty risk assessment. </w:t>
      </w:r>
    </w:p>
    <w:p w14:paraId="573D9204" w14:textId="58B29955" w:rsidR="00D86819" w:rsidRPr="00C51D52" w:rsidRDefault="00D86819" w:rsidP="00F56BC5">
      <w:pPr>
        <w:jc w:val="both"/>
        <w:rPr>
          <w:lang w:val="en-GB"/>
        </w:rPr>
      </w:pPr>
      <w:r w:rsidRPr="00C51D52">
        <w:rPr>
          <w:u w:val="single"/>
          <w:lang w:val="en-GB"/>
        </w:rPr>
        <w:t xml:space="preserve">Question 59: </w:t>
      </w:r>
      <w:r w:rsidRPr="00C51D52">
        <w:rPr>
          <w:lang w:val="en-GB"/>
        </w:rPr>
        <w:t xml:space="preserve">What are the benefits and costs of introducing an Enhanced Coordination Mechanism, as described above, for macroprudential measures adopted by NCAs? </w:t>
      </w:r>
    </w:p>
    <w:p w14:paraId="79E62233" w14:textId="23BB9C82" w:rsidR="00C45B3B" w:rsidRPr="00C51D52" w:rsidRDefault="00C45B3B" w:rsidP="00C45B3B">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C51D52">
        <w:t>We support the creation of an enhanced supervisory coordination mechanism for the adoption of macroprudential measures for open-ended funds, such as leverage restrictions or powers to suspend redemption on financial stability grounds. While NCAs would remain responsible for their adoption given the specificities of each EU Member State’s fund market, ESMA should liaise with NCAs and help coordinate their actions. For example, ESMA should make NCAs aware of macroprudential measures being taken by other NCAs and help them decide if they should adopt similar measures. More broadly, macro-prudential supervisors should also work with their micro-prudential counterparts, who have more intimate knowledge of those investment funds identified as potentially contributing to the build-up of systemic risks.</w:t>
      </w:r>
    </w:p>
    <w:p w14:paraId="70177B57" w14:textId="77777777" w:rsidR="00D86819" w:rsidRPr="00C51D52" w:rsidRDefault="00D86819" w:rsidP="00F56BC5">
      <w:pPr>
        <w:jc w:val="both"/>
        <w:rPr>
          <w:color w:val="A6A6A6" w:themeColor="background1" w:themeShade="A6"/>
        </w:rPr>
      </w:pPr>
      <w:r w:rsidRPr="00C51D52">
        <w:rPr>
          <w:color w:val="A6A6A6" w:themeColor="background1" w:themeShade="A6"/>
          <w:u w:val="single"/>
          <w:lang w:val="en-GB"/>
        </w:rPr>
        <w:t xml:space="preserve">Question 60: </w:t>
      </w:r>
      <w:r w:rsidRPr="00C51D52">
        <w:rPr>
          <w:color w:val="A6A6A6" w:themeColor="background1" w:themeShade="A6"/>
          <w:lang w:val="en-GB"/>
        </w:rPr>
        <w:t xml:space="preserve">How can ESMA and the ESRB ensure that appropriate National Macroprudential Measures (NMMs) are also adopted in other relevant EU countries for the same (or similar) fund, if needed? </w:t>
      </w:r>
    </w:p>
    <w:p w14:paraId="4FE3BB48" w14:textId="77777777" w:rsidR="00D86819" w:rsidRPr="00C51D52" w:rsidRDefault="00D86819" w:rsidP="00F56BC5">
      <w:pPr>
        <w:jc w:val="both"/>
        <w:rPr>
          <w:color w:val="A6A6A6" w:themeColor="background1" w:themeShade="A6"/>
        </w:rPr>
      </w:pPr>
      <w:r w:rsidRPr="00C51D52">
        <w:rPr>
          <w:color w:val="A6A6A6" w:themeColor="background1" w:themeShade="A6"/>
          <w:u w:val="single"/>
          <w:lang w:val="en-GB"/>
        </w:rPr>
        <w:t>Question 61</w:t>
      </w:r>
      <w:r w:rsidRPr="00C51D52">
        <w:rPr>
          <w:color w:val="A6A6A6" w:themeColor="background1" w:themeShade="A6"/>
          <w:lang w:val="en-GB"/>
        </w:rPr>
        <w:t xml:space="preserve">: Are there other ways of seeking coordination on macroprudential measures and possibly of reciprocation? What could this system look like? Please provide concrete examples/scenarios and explain if it could apply to all NBFI sectors or only for a specific one. </w:t>
      </w:r>
    </w:p>
    <w:p w14:paraId="6E948A9A" w14:textId="77777777" w:rsidR="00D86819" w:rsidRPr="00C51D52" w:rsidRDefault="00D86819" w:rsidP="00F56BC5">
      <w:pPr>
        <w:jc w:val="both"/>
        <w:rPr>
          <w:color w:val="0F4761" w:themeColor="accent1" w:themeShade="BF"/>
        </w:rPr>
      </w:pPr>
      <w:r w:rsidRPr="00C51D52">
        <w:rPr>
          <w:b/>
          <w:bCs/>
          <w:color w:val="0F4761" w:themeColor="accent1" w:themeShade="BF"/>
          <w:lang w:val="en-GB"/>
        </w:rPr>
        <w:t xml:space="preserve">Supervisory powers of EU bodies </w:t>
      </w:r>
    </w:p>
    <w:p w14:paraId="539620CB" w14:textId="3F9F2086" w:rsidR="00D86819" w:rsidRPr="00C51D52" w:rsidRDefault="00D86819" w:rsidP="00F56BC5">
      <w:pPr>
        <w:jc w:val="both"/>
        <w:rPr>
          <w:lang w:val="en-GB"/>
        </w:rPr>
      </w:pPr>
      <w:r w:rsidRPr="00C51D52">
        <w:rPr>
          <w:u w:val="single"/>
          <w:lang w:val="en-GB"/>
        </w:rPr>
        <w:t>Question 62</w:t>
      </w:r>
      <w:r w:rsidR="009347EC" w:rsidRPr="00C51D52">
        <w:rPr>
          <w:u w:val="single"/>
          <w:lang w:val="en-GB"/>
        </w:rPr>
        <w:t>.1</w:t>
      </w:r>
      <w:r w:rsidRPr="00C51D52">
        <w:rPr>
          <w:u w:val="single"/>
          <w:lang w:val="en-GB"/>
        </w:rPr>
        <w:t xml:space="preserve">: </w:t>
      </w:r>
      <w:r w:rsidRPr="00C51D52">
        <w:rPr>
          <w:lang w:val="en-GB"/>
        </w:rPr>
        <w:t xml:space="preserve">What are the benefits and costs of improving supervisory coordination over large (to be defined) asset management companies to address systemic risk and coordination issues among national supervisors? </w:t>
      </w:r>
    </w:p>
    <w:p w14:paraId="70F688AC" w14:textId="77777777" w:rsidR="00EE6FD8" w:rsidRPr="00C51D52" w:rsidRDefault="00D94776" w:rsidP="00EE6FD8">
      <w:pPr>
        <w:pBdr>
          <w:top w:val="single" w:sz="4" w:space="1" w:color="auto"/>
          <w:left w:val="single" w:sz="4" w:space="4" w:color="auto"/>
          <w:bottom w:val="single" w:sz="4" w:space="1" w:color="auto"/>
          <w:right w:val="single" w:sz="4" w:space="4" w:color="auto"/>
          <w:bar w:val="single" w:sz="4" w:color="auto"/>
        </w:pBdr>
        <w:jc w:val="both"/>
      </w:pPr>
      <w:r w:rsidRPr="00C51D52">
        <w:t>Based on the explanations provided in the consultation response, we find no justification for increasing supervision of large asset managers.</w:t>
      </w:r>
    </w:p>
    <w:p w14:paraId="495C6AFE" w14:textId="055F8B20" w:rsidR="00EE6FD8" w:rsidRPr="00C51D52" w:rsidRDefault="00E856E2" w:rsidP="00EE6FD8">
      <w:pPr>
        <w:pBdr>
          <w:top w:val="single" w:sz="4" w:space="1" w:color="auto"/>
          <w:left w:val="single" w:sz="4" w:space="4" w:color="auto"/>
          <w:bottom w:val="single" w:sz="4" w:space="1" w:color="auto"/>
          <w:right w:val="single" w:sz="4" w:space="4" w:color="auto"/>
          <w:bar w:val="single" w:sz="4" w:color="auto"/>
        </w:pBdr>
        <w:jc w:val="both"/>
      </w:pPr>
      <w:r w:rsidRPr="00C51D52">
        <w:t xml:space="preserve">Much of the information that EU regulators need to </w:t>
      </w:r>
      <w:proofErr w:type="spellStart"/>
      <w:r w:rsidRPr="00C51D52">
        <w:t>analyse</w:t>
      </w:r>
      <w:proofErr w:type="spellEnd"/>
      <w:r w:rsidRPr="00C51D52">
        <w:t xml:space="preserve"> macroeconomic risk already exists. In the EU, even richer data will exist after the introduction of the enhanced reporting regime under the AIFMD review. Therefore, the emphasis should be placed on better data sharing between supervisors rather than new reporting obligations for the regulated fund sector. Better data sharing can be achieved through ESMA becoming the EU data hub for capital markets. This would allow NCAs and the ECB to continue collecting supervisory data while allowing that this data is accessible by the other authorities that need this information. This would ensure that management companies would no longer have to report the same information to several authorities, especially </w:t>
      </w:r>
      <w:r w:rsidRPr="00C51D52">
        <w:lastRenderedPageBreak/>
        <w:t>during period of stress. It should also be considered how this data can be shared with firms as well, as for example useful for bank’s counterparty risk assessment.</w:t>
      </w:r>
    </w:p>
    <w:p w14:paraId="0A7E9D0B" w14:textId="1F4004F1" w:rsidR="009347EC" w:rsidRPr="00C51D52" w:rsidRDefault="009347EC" w:rsidP="00AC55B2">
      <w:pPr>
        <w:jc w:val="both"/>
        <w:rPr>
          <w:lang w:val="en-GB"/>
        </w:rPr>
      </w:pPr>
      <w:r w:rsidRPr="00C51D52">
        <w:rPr>
          <w:u w:val="single"/>
          <w:lang w:val="en-GB"/>
        </w:rPr>
        <w:t xml:space="preserve">Question </w:t>
      </w:r>
      <w:r w:rsidR="006740AC" w:rsidRPr="00C51D52">
        <w:rPr>
          <w:u w:val="single"/>
          <w:lang w:val="en-GB"/>
        </w:rPr>
        <w:t>62.2:</w:t>
      </w:r>
      <w:r w:rsidR="00524617" w:rsidRPr="00C51D52">
        <w:rPr>
          <w:lang w:val="en-GB"/>
        </w:rPr>
        <w:t xml:space="preserve"> </w:t>
      </w:r>
      <w:r w:rsidR="00C2102F" w:rsidRPr="00C51D52">
        <w:rPr>
          <w:lang w:val="en-GB"/>
        </w:rPr>
        <w:t>What could be ESMA’s role in ensuring coordination and guidance, including with daily supervision at fund level?</w:t>
      </w:r>
    </w:p>
    <w:p w14:paraId="24F2F34F" w14:textId="6F6FFDEB" w:rsidR="00D31E73" w:rsidRPr="00C51D52" w:rsidRDefault="00861F5C" w:rsidP="0045434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lang w:val="en-GB"/>
        </w:rPr>
      </w:pPr>
      <w:r w:rsidRPr="00C51D52">
        <w:t>We support the creation of an enhanced supervisory coordination mechanism for the adoption of macroprudential measures for open-ended funds, such as leverage restrictions or powers to suspend redemption on financial stability grounds. While NCAs would remain responsible for their adoption given the specificities of each EU Member State’s fund market, ESMA should liaise with NCAs and help coordinate their actions. For example, ESMA should make NCAs aware of macroprudential measures being taken by other NCAs and help them decide if they should adopt similar measures. More broadly, macro-prudential supervisors should also work with their micro-prudential counterparts, who have more intimate knowledge of those investment funds identified as potentially contributing to the build-up of systemic risks.</w:t>
      </w:r>
    </w:p>
    <w:p w14:paraId="1E0F0081" w14:textId="2FE1F4F1" w:rsidR="00411C43" w:rsidRPr="00C51D52" w:rsidRDefault="00D86819" w:rsidP="00AC55B2">
      <w:pPr>
        <w:jc w:val="both"/>
        <w:rPr>
          <w:lang w:val="en-GB"/>
        </w:rPr>
      </w:pPr>
      <w:r w:rsidRPr="00C51D52">
        <w:rPr>
          <w:u w:val="single"/>
          <w:lang w:val="en-GB"/>
        </w:rPr>
        <w:t xml:space="preserve">Question 63: </w:t>
      </w:r>
      <w:r w:rsidRPr="00C51D52">
        <w:rPr>
          <w:lang w:val="en-GB"/>
        </w:rPr>
        <w:t>What powers would be necessary for EU bodies to properly supervise large asset management companies in terms of flexibility and ability to react fast? Please provide concrete examples and justifications.</w:t>
      </w:r>
    </w:p>
    <w:p w14:paraId="2A619E71" w14:textId="3FE8DEDC" w:rsidR="00AC55B2" w:rsidRPr="00C51D52" w:rsidRDefault="00AC55B2" w:rsidP="00AC55B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lang w:val="en-GB"/>
        </w:rPr>
      </w:pPr>
      <w:r w:rsidRPr="00C51D52">
        <w:rPr>
          <w:lang w:val="en-GB"/>
        </w:rPr>
        <w:t>Refer to question 62</w:t>
      </w:r>
    </w:p>
    <w:p w14:paraId="3CBAFB9D" w14:textId="77777777" w:rsidR="00D86819" w:rsidRPr="00C51D52" w:rsidRDefault="00D86819" w:rsidP="00F56BC5">
      <w:pPr>
        <w:jc w:val="both"/>
        <w:rPr>
          <w:color w:val="D1D1D1" w:themeColor="background2" w:themeShade="E6"/>
        </w:rPr>
      </w:pPr>
      <w:r w:rsidRPr="00C51D52">
        <w:rPr>
          <w:color w:val="D1D1D1" w:themeColor="background2" w:themeShade="E6"/>
          <w:u w:val="single"/>
          <w:lang w:val="en-GB"/>
        </w:rPr>
        <w:t xml:space="preserve">Question 64: </w:t>
      </w:r>
      <w:r w:rsidRPr="00C51D52">
        <w:rPr>
          <w:color w:val="D1D1D1" w:themeColor="background2" w:themeShade="E6"/>
          <w:lang w:val="en-GB"/>
        </w:rPr>
        <w:t xml:space="preserve">What are the benefits and costs of having targeted coordinated direct intervention powers to manage a crisis of large asset management companies? What could such intervention powers look like (e.g. similar to those in Article 24 of EMIR)? </w:t>
      </w:r>
    </w:p>
    <w:p w14:paraId="6C163F3A" w14:textId="79BF037A" w:rsidR="008C0E93" w:rsidRPr="00C51D52" w:rsidRDefault="008C0E93" w:rsidP="00F56BC5">
      <w:pPr>
        <w:jc w:val="both"/>
        <w:rPr>
          <w:color w:val="D1D1D1" w:themeColor="background2" w:themeShade="E6"/>
        </w:rPr>
      </w:pPr>
      <w:r w:rsidRPr="00C51D52">
        <w:rPr>
          <w:color w:val="D1D1D1" w:themeColor="background2" w:themeShade="E6"/>
          <w:u w:val="single"/>
        </w:rPr>
        <w:t>Question 65</w:t>
      </w:r>
      <w:r w:rsidRPr="00C51D52">
        <w:rPr>
          <w:color w:val="D1D1D1" w:themeColor="background2" w:themeShade="E6"/>
        </w:rPr>
        <w:t>. What are the pros and cons of extending the use of the Enhanced Coordination Mechanism (ECM) described under section 6.1 to other NBFI sectors?</w:t>
      </w:r>
    </w:p>
    <w:p w14:paraId="0E279A90" w14:textId="77777777" w:rsidR="008C0E93" w:rsidRPr="00C51D52" w:rsidRDefault="008C0E93" w:rsidP="00F56BC5">
      <w:pPr>
        <w:jc w:val="both"/>
        <w:rPr>
          <w:b/>
          <w:bCs/>
          <w:color w:val="D1D1D1" w:themeColor="background2" w:themeShade="E6"/>
        </w:rPr>
      </w:pPr>
      <w:r w:rsidRPr="00C51D52">
        <w:rPr>
          <w:b/>
          <w:bCs/>
          <w:color w:val="D1D1D1" w:themeColor="background2" w:themeShade="E6"/>
        </w:rPr>
        <w:t xml:space="preserve">ESAs and ESRB’s powers during emergency situations </w:t>
      </w:r>
    </w:p>
    <w:p w14:paraId="5F59CACC" w14:textId="77777777" w:rsidR="00DC01DC" w:rsidRPr="00C51D52" w:rsidRDefault="008C0E93" w:rsidP="00F56BC5">
      <w:pPr>
        <w:jc w:val="both"/>
        <w:rPr>
          <w:color w:val="D1D1D1" w:themeColor="background2" w:themeShade="E6"/>
        </w:rPr>
      </w:pPr>
      <w:r w:rsidRPr="00C51D52">
        <w:rPr>
          <w:color w:val="D1D1D1" w:themeColor="background2" w:themeShade="E6"/>
          <w:u w:val="single"/>
        </w:rPr>
        <w:t>Question 66</w:t>
      </w:r>
      <w:r w:rsidRPr="00C51D52">
        <w:rPr>
          <w:color w:val="D1D1D1" w:themeColor="background2" w:themeShade="E6"/>
        </w:rPr>
        <w:t>. What are the benefits and costs of gradually giving ESAs greater intervention powers to be triggered by systemic events, such as the possibility to introduce EU-wide trade halts or direct power to collect data from regulated entities? Please justify your answer and provide examples of powers that could be given to the ESAs during a systemic crisis.</w:t>
      </w:r>
    </w:p>
    <w:p w14:paraId="3B22DFF1" w14:textId="12C5E3E5" w:rsidR="00B116F0" w:rsidRPr="00C51D52" w:rsidRDefault="008C0E93" w:rsidP="00F56BC5">
      <w:pPr>
        <w:jc w:val="both"/>
        <w:rPr>
          <w:b/>
          <w:bCs/>
          <w:color w:val="D1D1D1" w:themeColor="background2" w:themeShade="E6"/>
        </w:rPr>
      </w:pPr>
      <w:r w:rsidRPr="00C51D52">
        <w:rPr>
          <w:b/>
          <w:bCs/>
          <w:color w:val="D1D1D1" w:themeColor="background2" w:themeShade="E6"/>
        </w:rPr>
        <w:t xml:space="preserve">Integrated supervision for commodities markets </w:t>
      </w:r>
    </w:p>
    <w:p w14:paraId="52E66CEB" w14:textId="77777777" w:rsidR="00DC01DC" w:rsidRPr="00C51D52" w:rsidRDefault="008C0E93" w:rsidP="00F56BC5">
      <w:pPr>
        <w:jc w:val="both"/>
        <w:rPr>
          <w:color w:val="D1D1D1" w:themeColor="background2" w:themeShade="E6"/>
        </w:rPr>
      </w:pPr>
      <w:r w:rsidRPr="00C51D52">
        <w:rPr>
          <w:color w:val="D1D1D1" w:themeColor="background2" w:themeShade="E6"/>
          <w:u w:val="single"/>
        </w:rPr>
        <w:t>Question 67</w:t>
      </w:r>
      <w:r w:rsidRPr="00C51D52">
        <w:rPr>
          <w:color w:val="D1D1D1" w:themeColor="background2" w:themeShade="E6"/>
        </w:rPr>
        <w:t xml:space="preserve">. What are the benefits and costs of a more integrated system of supervision for commodities markets where the financial markets supervisor bears responsibility for both the financial and physical infrastructure of the commodity futures exchange, including the system of rules and contractual terms of the exchange that regulate both futures and (cash/physical) forward contracts? </w:t>
      </w:r>
    </w:p>
    <w:p w14:paraId="4F291294" w14:textId="5EEA059E" w:rsidR="008C0E93" w:rsidRPr="00C51D52" w:rsidRDefault="008C0E93" w:rsidP="00F56BC5">
      <w:pPr>
        <w:jc w:val="both"/>
        <w:rPr>
          <w:b/>
          <w:bCs/>
          <w:color w:val="0F4761" w:themeColor="accent1" w:themeShade="BF"/>
        </w:rPr>
      </w:pPr>
      <w:r w:rsidRPr="00C51D52">
        <w:rPr>
          <w:b/>
          <w:bCs/>
          <w:color w:val="0F4761" w:themeColor="accent1" w:themeShade="BF"/>
        </w:rPr>
        <w:lastRenderedPageBreak/>
        <w:t xml:space="preserve">International coordination </w:t>
      </w:r>
    </w:p>
    <w:p w14:paraId="4CDEB3A8" w14:textId="02E41641" w:rsidR="00B116F0" w:rsidRPr="00C51D52" w:rsidRDefault="008C0E93" w:rsidP="00F56BC5">
      <w:pPr>
        <w:jc w:val="both"/>
      </w:pPr>
      <w:r w:rsidRPr="00C51D52">
        <w:rPr>
          <w:u w:val="single"/>
        </w:rPr>
        <w:t>Question 68</w:t>
      </w:r>
      <w:r w:rsidRPr="00C51D52">
        <w:t xml:space="preserve">. Are there elements of the FSB </w:t>
      </w:r>
      <w:proofErr w:type="spellStart"/>
      <w:r w:rsidRPr="00C51D52">
        <w:t>programme</w:t>
      </w:r>
      <w:proofErr w:type="spellEnd"/>
      <w:r w:rsidRPr="00C51D52">
        <w:t xml:space="preserve"> on NBFI that should be </w:t>
      </w:r>
      <w:proofErr w:type="spellStart"/>
      <w:r w:rsidRPr="00C51D52">
        <w:t>prioritised</w:t>
      </w:r>
      <w:proofErr w:type="spellEnd"/>
      <w:r w:rsidRPr="00C51D52">
        <w:t xml:space="preserve"> in the EU? Please provide examples.</w:t>
      </w:r>
    </w:p>
    <w:p w14:paraId="77D3B6A9" w14:textId="366D0048" w:rsidR="006066E7" w:rsidRPr="00C51D52" w:rsidRDefault="00191D9E" w:rsidP="00DD4034">
      <w:pPr>
        <w:pBdr>
          <w:top w:val="single" w:sz="4" w:space="1" w:color="auto"/>
          <w:left w:val="single" w:sz="4" w:space="4" w:color="auto"/>
          <w:bottom w:val="single" w:sz="4" w:space="1" w:color="auto"/>
          <w:right w:val="single" w:sz="4" w:space="4" w:color="auto"/>
          <w:bar w:val="single" w:sz="4" w:color="auto"/>
        </w:pBdr>
        <w:jc w:val="both"/>
      </w:pPr>
      <w:r w:rsidRPr="00C51D52">
        <w:t xml:space="preserve">Generally, we note that </w:t>
      </w:r>
      <w:r w:rsidR="00C3434D" w:rsidRPr="00C51D52">
        <w:t>t</w:t>
      </w:r>
      <w:r w:rsidR="00421505" w:rsidRPr="00C51D52">
        <w:t>he FSB and IOSCO’s planned work on system-wide stress testing may</w:t>
      </w:r>
      <w:r w:rsidRPr="00C51D52">
        <w:t xml:space="preserve"> </w:t>
      </w:r>
      <w:r w:rsidR="00421505" w:rsidRPr="00C51D52">
        <w:t xml:space="preserve">facilitate cross border cooperation between authorities and understanding interconnectedness between players across borders. </w:t>
      </w:r>
      <w:r w:rsidRPr="00C51D52">
        <w:t>In light of this, the</w:t>
      </w:r>
      <w:r w:rsidR="00421505" w:rsidRPr="00C51D52">
        <w:t xml:space="preserve"> EU may want to defer its decision to establish a system wide stress testing before this exercise is complete</w:t>
      </w:r>
      <w:r w:rsidR="002416F7" w:rsidRPr="00C51D52">
        <w:t>.</w:t>
      </w:r>
    </w:p>
    <w:p w14:paraId="795965B7" w14:textId="3A668252" w:rsidR="006066E7" w:rsidRPr="00C51D52" w:rsidRDefault="00B76F60" w:rsidP="00F56BC5">
      <w:pPr>
        <w:pBdr>
          <w:top w:val="single" w:sz="4" w:space="1" w:color="auto"/>
          <w:left w:val="single" w:sz="4" w:space="4" w:color="auto"/>
          <w:bottom w:val="single" w:sz="4" w:space="1" w:color="auto"/>
          <w:right w:val="single" w:sz="4" w:space="4" w:color="auto"/>
          <w:bar w:val="single" w:sz="4" w:color="auto"/>
        </w:pBdr>
        <w:jc w:val="both"/>
      </w:pPr>
      <w:r w:rsidRPr="00C51D52">
        <w:t>Furthermore</w:t>
      </w:r>
      <w:r w:rsidR="00F409D5" w:rsidRPr="00C51D52">
        <w:t xml:space="preserve">, the </w:t>
      </w:r>
      <w:r w:rsidR="0052649E" w:rsidRPr="00C51D52">
        <w:t>C</w:t>
      </w:r>
      <w:r w:rsidR="00F409D5" w:rsidRPr="00C51D52">
        <w:t>ommission sh</w:t>
      </w:r>
      <w:r w:rsidR="006F64A6" w:rsidRPr="00C51D52">
        <w:t xml:space="preserve">ould closely </w:t>
      </w:r>
      <w:r w:rsidR="0052649E" w:rsidRPr="00C51D52">
        <w:t>monitor</w:t>
      </w:r>
      <w:r w:rsidR="005E3651" w:rsidRPr="00C51D52">
        <w:t xml:space="preserve"> </w:t>
      </w:r>
      <w:r w:rsidRPr="00C51D52">
        <w:t>the FSB work</w:t>
      </w:r>
      <w:r w:rsidR="007D3C73" w:rsidRPr="00C51D52">
        <w:t xml:space="preserve"> </w:t>
      </w:r>
      <w:r w:rsidRPr="00C51D52">
        <w:t xml:space="preserve">program on </w:t>
      </w:r>
      <w:r w:rsidR="002655CB" w:rsidRPr="00C51D52">
        <w:t>non-bank leverage</w:t>
      </w:r>
      <w:r w:rsidR="00F409D5" w:rsidRPr="00C51D52">
        <w:t xml:space="preserve">, with </w:t>
      </w:r>
      <w:r w:rsidR="00680B11" w:rsidRPr="00C51D52">
        <w:t xml:space="preserve">policy recommendations to be published in </w:t>
      </w:r>
      <w:r w:rsidR="0092212B" w:rsidRPr="00C51D52">
        <w:t xml:space="preserve">a consultation report by </w:t>
      </w:r>
      <w:r w:rsidR="00680B11" w:rsidRPr="00C51D52">
        <w:t>December 2024</w:t>
      </w:r>
      <w:r w:rsidR="001743B6" w:rsidRPr="00C51D52">
        <w:t xml:space="preserve">. These recommendations </w:t>
      </w:r>
      <w:r w:rsidR="00230670" w:rsidRPr="00C51D52">
        <w:t>must be aligned with the EU regulatory framework to ensure effectiveness within the European context.</w:t>
      </w:r>
    </w:p>
    <w:p w14:paraId="76E1BE9A" w14:textId="24D16790" w:rsidR="00F352B5" w:rsidRPr="00C51D52" w:rsidRDefault="008468F3" w:rsidP="00191D9E">
      <w:pPr>
        <w:pBdr>
          <w:top w:val="single" w:sz="4" w:space="1" w:color="auto"/>
          <w:left w:val="single" w:sz="4" w:space="4" w:color="auto"/>
          <w:bottom w:val="single" w:sz="4" w:space="1" w:color="auto"/>
          <w:right w:val="single" w:sz="4" w:space="4" w:color="auto"/>
          <w:bar w:val="single" w:sz="4" w:color="auto"/>
        </w:pBdr>
        <w:jc w:val="both"/>
      </w:pPr>
      <w:r w:rsidRPr="00C51D52">
        <w:t>Finally</w:t>
      </w:r>
      <w:r w:rsidR="00F8278A" w:rsidRPr="00C51D52">
        <w:t>, there is a need for a harmonized defin</w:t>
      </w:r>
      <w:r w:rsidR="000E7EE4" w:rsidRPr="00C51D52">
        <w:t>ition of NBFI.</w:t>
      </w:r>
      <w:r w:rsidR="00085956" w:rsidRPr="00C51D52">
        <w:t xml:space="preserve"> We believe the FSB’s </w:t>
      </w:r>
      <w:r w:rsidR="003275EB" w:rsidRPr="00C51D52">
        <w:t xml:space="preserve">activity based </w:t>
      </w:r>
      <w:r w:rsidR="00085956" w:rsidRPr="00C51D52">
        <w:t>categorization of NBFI that create systemic risk</w:t>
      </w:r>
      <w:r w:rsidR="002B4200" w:rsidRPr="00C51D52">
        <w:t xml:space="preserve">, the </w:t>
      </w:r>
      <w:r w:rsidR="00085956" w:rsidRPr="00C51D52">
        <w:t>"Narrow Measure",</w:t>
      </w:r>
      <w:r w:rsidR="002B4200" w:rsidRPr="00C51D52">
        <w:t xml:space="preserve"> is a good </w:t>
      </w:r>
      <w:r w:rsidR="003275EB" w:rsidRPr="00C51D52">
        <w:t>starting point.</w:t>
      </w:r>
    </w:p>
    <w:p w14:paraId="3006477F" w14:textId="5B38990F" w:rsidR="00F352B5" w:rsidRPr="00C51D52" w:rsidRDefault="00F352B5" w:rsidP="00191D9E">
      <w:pPr>
        <w:pBdr>
          <w:top w:val="single" w:sz="4" w:space="1" w:color="auto"/>
          <w:left w:val="single" w:sz="4" w:space="4" w:color="auto"/>
          <w:bottom w:val="single" w:sz="4" w:space="1" w:color="auto"/>
          <w:right w:val="single" w:sz="4" w:space="4" w:color="auto"/>
          <w:bar w:val="single" w:sz="4" w:color="auto"/>
        </w:pBdr>
        <w:jc w:val="both"/>
      </w:pPr>
      <w:r w:rsidRPr="00C51D52">
        <w:t>By adopting this focused definition globally, regulators can consistently identify and monitor NBFI</w:t>
      </w:r>
      <w:r w:rsidR="006B2817" w:rsidRPr="00C51D52">
        <w:t>’</w:t>
      </w:r>
      <w:r w:rsidRPr="00C51D52">
        <w:t>s most likely to contribute to systemic risk</w:t>
      </w:r>
      <w:r w:rsidR="0034182D" w:rsidRPr="00C51D52">
        <w:t>.</w:t>
      </w:r>
      <w:r w:rsidRPr="00C51D52">
        <w:t xml:space="preserve"> A standardized definition </w:t>
      </w:r>
      <w:r w:rsidR="0034182D" w:rsidRPr="00C51D52">
        <w:t xml:space="preserve">further </w:t>
      </w:r>
      <w:r w:rsidRPr="00C51D52">
        <w:t>allows supervisors to better trace these linkages</w:t>
      </w:r>
      <w:r w:rsidR="0034182D" w:rsidRPr="00C51D52">
        <w:t xml:space="preserve">. </w:t>
      </w:r>
      <w:r w:rsidRPr="00C51D52">
        <w:t>Without a harmonized definition</w:t>
      </w:r>
      <w:r w:rsidR="003C613C" w:rsidRPr="00C51D52">
        <w:t xml:space="preserve"> providing a uniform standard leading to more balanced regulatory pressures</w:t>
      </w:r>
      <w:r w:rsidRPr="00C51D52">
        <w:t xml:space="preserve">, </w:t>
      </w:r>
      <w:r w:rsidR="00934C65" w:rsidRPr="00C51D52">
        <w:t>activities</w:t>
      </w:r>
      <w:r w:rsidR="00127E66" w:rsidRPr="00C51D52">
        <w:t xml:space="preserve"> from less regulated </w:t>
      </w:r>
      <w:r w:rsidR="00934C65" w:rsidRPr="00C51D52">
        <w:t>entities</w:t>
      </w:r>
      <w:r w:rsidRPr="00C51D52">
        <w:t xml:space="preserve"> may exploit</w:t>
      </w:r>
      <w:r w:rsidR="009F7C0F" w:rsidRPr="00C51D52">
        <w:t xml:space="preserve"> </w:t>
      </w:r>
      <w:r w:rsidRPr="00C51D52">
        <w:t xml:space="preserve">gaps </w:t>
      </w:r>
      <w:r w:rsidR="00CC1FA7" w:rsidRPr="00C51D52">
        <w:t>through regulatory arb</w:t>
      </w:r>
      <w:r w:rsidR="00E457D5" w:rsidRPr="00C51D52">
        <w:t>itrage</w:t>
      </w:r>
      <w:r w:rsidR="003C613C" w:rsidRPr="00C51D52">
        <w:t>.</w:t>
      </w:r>
      <w:r w:rsidR="009F7C0F" w:rsidRPr="00C51D52">
        <w:t xml:space="preserve"> Further </w:t>
      </w:r>
      <w:r w:rsidRPr="00C51D52">
        <w:t xml:space="preserve">alignment </w:t>
      </w:r>
      <w:r w:rsidR="009F7C0F" w:rsidRPr="00C51D52">
        <w:t xml:space="preserve">also </w:t>
      </w:r>
      <w:r w:rsidRPr="00C51D52">
        <w:t>facilitates smoother coordination and more cohesive regulatory policies globally</w:t>
      </w:r>
      <w:r w:rsidR="009F7C0F" w:rsidRPr="00C51D52">
        <w:t>.</w:t>
      </w:r>
    </w:p>
    <w:p w14:paraId="6BBD051C" w14:textId="721AF63E" w:rsidR="00C51D52" w:rsidRDefault="001B262A" w:rsidP="00C51D52">
      <w:pPr>
        <w:pBdr>
          <w:top w:val="single" w:sz="4" w:space="1" w:color="auto"/>
          <w:left w:val="single" w:sz="4" w:space="4" w:color="auto"/>
          <w:bottom w:val="single" w:sz="4" w:space="1" w:color="auto"/>
          <w:right w:val="single" w:sz="4" w:space="4" w:color="auto"/>
          <w:bar w:val="single" w:sz="4" w:color="auto"/>
        </w:pBdr>
        <w:jc w:val="both"/>
      </w:pPr>
      <w:r w:rsidRPr="00C51D52">
        <w:t xml:space="preserve">From </w:t>
      </w:r>
      <w:r w:rsidR="00F3484C" w:rsidRPr="00C51D52">
        <w:t>a data</w:t>
      </w:r>
      <w:r w:rsidRPr="00C51D52">
        <w:t xml:space="preserve"> standpoint, the FSB’s definition </w:t>
      </w:r>
      <w:r w:rsidR="00F352B5" w:rsidRPr="00C51D52">
        <w:t>includes specific criteria for risk exposure, enabling regulators to collect consistent, comparable data on NBFI</w:t>
      </w:r>
      <w:r w:rsidR="006B2817" w:rsidRPr="00C51D52">
        <w:t>’</w:t>
      </w:r>
      <w:r w:rsidR="00F352B5" w:rsidRPr="00C51D52">
        <w:t>s worldwide to perform</w:t>
      </w:r>
      <w:r w:rsidR="006B2817" w:rsidRPr="00C51D52">
        <w:t xml:space="preserve"> </w:t>
      </w:r>
      <w:r w:rsidR="00F352B5" w:rsidRPr="00C51D52">
        <w:t xml:space="preserve">accurate risk assessments and stress tests that </w:t>
      </w:r>
      <w:r w:rsidR="006B2817" w:rsidRPr="00C51D52">
        <w:t>taking into</w:t>
      </w:r>
      <w:r w:rsidR="00F352B5" w:rsidRPr="00C51D52">
        <w:t xml:space="preserve"> account global exposure to similar types of non-bank risks.</w:t>
      </w:r>
      <w:r w:rsidR="00F3484C" w:rsidRPr="00C51D52">
        <w:t xml:space="preserve"> </w:t>
      </w:r>
      <w:r w:rsidR="00F352B5" w:rsidRPr="00C51D52">
        <w:t xml:space="preserve">A </w:t>
      </w:r>
      <w:proofErr w:type="spellStart"/>
      <w:r w:rsidR="00F3484C" w:rsidRPr="00C51D52">
        <w:t>harmonised</w:t>
      </w:r>
      <w:proofErr w:type="spellEnd"/>
      <w:r w:rsidR="00F352B5" w:rsidRPr="00C51D52">
        <w:t xml:space="preserve"> definition</w:t>
      </w:r>
      <w:r w:rsidR="00F3484C" w:rsidRPr="00C51D52">
        <w:t xml:space="preserve"> would significantly improve</w:t>
      </w:r>
      <w:r w:rsidR="00F352B5" w:rsidRPr="00C51D52">
        <w:t xml:space="preserve"> transparency for investors, creditors, and counterparties,</w:t>
      </w:r>
      <w:r w:rsidR="00F3484C" w:rsidRPr="00C51D52">
        <w:t xml:space="preserve"> </w:t>
      </w:r>
      <w:r w:rsidR="00F352B5" w:rsidRPr="00C51D52">
        <w:t>contribut</w:t>
      </w:r>
      <w:r w:rsidR="00F3484C" w:rsidRPr="00C51D52">
        <w:t>ing</w:t>
      </w:r>
      <w:r w:rsidR="00F352B5" w:rsidRPr="00C51D52">
        <w:t xml:space="preserve"> to more informed investment decisions</w:t>
      </w:r>
      <w:r w:rsidR="00F3484C" w:rsidRPr="00C51D52">
        <w:t>.</w:t>
      </w:r>
      <w:r w:rsidR="00C51D52" w:rsidRPr="00C51D52">
        <w:t xml:space="preserve"> The European Commission should also monitor approaches adopted in other jurisdictions that could provide learnings or models for the EU. A notable example is the Bank of England’s Contingent NBFI Repo Facility that would allow eligible NBFIs to borrow cash against gilts during severe market stress. While there would be challenges in replicating such a model at EU level or in the </w:t>
      </w:r>
      <w:proofErr w:type="spellStart"/>
      <w:r w:rsidR="00C51D52" w:rsidRPr="00C51D52">
        <w:t>Eurosystem</w:t>
      </w:r>
      <w:proofErr w:type="spellEnd"/>
      <w:r w:rsidR="00C51D52" w:rsidRPr="00C51D52">
        <w:t xml:space="preserve">, establishing a dedicated facility for managing NBFI liquidity during a market stress could be an effective means of preserving financial stability. </w:t>
      </w:r>
    </w:p>
    <w:sectPr w:rsidR="00C51D52">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259F9" w14:textId="77777777" w:rsidR="009F5574" w:rsidRDefault="009F5574" w:rsidP="00EE1480">
      <w:pPr>
        <w:spacing w:after="0" w:line="240" w:lineRule="auto"/>
      </w:pPr>
      <w:r>
        <w:separator/>
      </w:r>
    </w:p>
  </w:endnote>
  <w:endnote w:type="continuationSeparator" w:id="0">
    <w:p w14:paraId="38F8D6EB" w14:textId="77777777" w:rsidR="009F5574" w:rsidRDefault="009F5574" w:rsidP="00EE1480">
      <w:pPr>
        <w:spacing w:after="0" w:line="240" w:lineRule="auto"/>
      </w:pPr>
      <w:r>
        <w:continuationSeparator/>
      </w:r>
    </w:p>
  </w:endnote>
  <w:endnote w:type="continuationNotice" w:id="1">
    <w:p w14:paraId="385E0893" w14:textId="77777777" w:rsidR="009F5574" w:rsidRDefault="009F5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0031496"/>
      <w:docPartObj>
        <w:docPartGallery w:val="Page Numbers (Bottom of Page)"/>
        <w:docPartUnique/>
      </w:docPartObj>
    </w:sdtPr>
    <w:sdtEndPr>
      <w:rPr>
        <w:color w:val="0F4761" w:themeColor="accent1" w:themeShade="BF"/>
      </w:rPr>
    </w:sdtEndPr>
    <w:sdtContent>
      <w:p w14:paraId="63095DFB" w14:textId="4EC2E7C9" w:rsidR="00BD68F9" w:rsidRPr="00BD68F9" w:rsidRDefault="00BD68F9">
        <w:pPr>
          <w:pStyle w:val="Footer"/>
          <w:jc w:val="center"/>
          <w:rPr>
            <w:color w:val="0F4761" w:themeColor="accent1" w:themeShade="BF"/>
          </w:rPr>
        </w:pPr>
        <w:r w:rsidRPr="00BD68F9">
          <w:rPr>
            <w:color w:val="0F4761" w:themeColor="accent1" w:themeShade="BF"/>
          </w:rPr>
          <w:fldChar w:fldCharType="begin"/>
        </w:r>
        <w:r w:rsidRPr="00BD68F9">
          <w:rPr>
            <w:color w:val="0F4761" w:themeColor="accent1" w:themeShade="BF"/>
          </w:rPr>
          <w:instrText>PAGE   \* MERGEFORMAT</w:instrText>
        </w:r>
        <w:r w:rsidRPr="00BD68F9">
          <w:rPr>
            <w:color w:val="0F4761" w:themeColor="accent1" w:themeShade="BF"/>
          </w:rPr>
          <w:fldChar w:fldCharType="separate"/>
        </w:r>
        <w:r w:rsidRPr="00BD68F9">
          <w:rPr>
            <w:color w:val="0F4761" w:themeColor="accent1" w:themeShade="BF"/>
            <w:lang w:val="en-GB"/>
          </w:rPr>
          <w:t>2</w:t>
        </w:r>
        <w:r w:rsidRPr="00BD68F9">
          <w:rPr>
            <w:color w:val="0F4761" w:themeColor="accent1" w:themeShade="BF"/>
          </w:rPr>
          <w:fldChar w:fldCharType="end"/>
        </w:r>
      </w:p>
    </w:sdtContent>
  </w:sdt>
  <w:p w14:paraId="336974FE" w14:textId="77777777" w:rsidR="00BD68F9" w:rsidRDefault="00BD6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A0DF7" w14:textId="77777777" w:rsidR="009F5574" w:rsidRDefault="009F5574" w:rsidP="00EE1480">
      <w:pPr>
        <w:spacing w:after="0" w:line="240" w:lineRule="auto"/>
      </w:pPr>
      <w:r>
        <w:separator/>
      </w:r>
    </w:p>
  </w:footnote>
  <w:footnote w:type="continuationSeparator" w:id="0">
    <w:p w14:paraId="5F7A2D8D" w14:textId="77777777" w:rsidR="009F5574" w:rsidRDefault="009F5574" w:rsidP="00EE1480">
      <w:pPr>
        <w:spacing w:after="0" w:line="240" w:lineRule="auto"/>
      </w:pPr>
      <w:r>
        <w:continuationSeparator/>
      </w:r>
    </w:p>
  </w:footnote>
  <w:footnote w:type="continuationNotice" w:id="1">
    <w:p w14:paraId="3E7F3F1B" w14:textId="77777777" w:rsidR="009F5574" w:rsidRDefault="009F55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2D6F3" w14:textId="0411215C" w:rsidR="00257683" w:rsidRDefault="00257683">
    <w:pPr>
      <w:pStyle w:val="Header"/>
    </w:pPr>
    <w:r>
      <w:rPr>
        <w:noProof/>
        <w:lang w:eastAsia="en-GB"/>
      </w:rPr>
      <w:drawing>
        <wp:anchor distT="0" distB="0" distL="114300" distR="114300" simplePos="0" relativeHeight="251658240" behindDoc="1" locked="0" layoutInCell="1" allowOverlap="1" wp14:anchorId="20398AD5" wp14:editId="3FB7C872">
          <wp:simplePos x="0" y="0"/>
          <wp:positionH relativeFrom="margin">
            <wp:posOffset>4299132</wp:posOffset>
          </wp:positionH>
          <wp:positionV relativeFrom="paragraph">
            <wp:posOffset>-118836</wp:posOffset>
          </wp:positionV>
          <wp:extent cx="1699895" cy="414655"/>
          <wp:effectExtent l="0" t="0" r="0" b="4445"/>
          <wp:wrapTight wrapText="bothSides">
            <wp:wrapPolygon edited="0">
              <wp:start x="1936" y="0"/>
              <wp:lineTo x="242" y="3969"/>
              <wp:lineTo x="0" y="11908"/>
              <wp:lineTo x="1210" y="20839"/>
              <wp:lineTo x="3873" y="20839"/>
              <wp:lineTo x="21301" y="18855"/>
              <wp:lineTo x="21301" y="6946"/>
              <wp:lineTo x="19849" y="5954"/>
              <wp:lineTo x="3147" y="0"/>
              <wp:lineTo x="1936" y="0"/>
            </wp:wrapPolygon>
          </wp:wrapTight>
          <wp:docPr id="860291060" name="Picture 86029106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895" cy="414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42794"/>
    <w:multiLevelType w:val="hybridMultilevel"/>
    <w:tmpl w:val="43DC9AD0"/>
    <w:lvl w:ilvl="0" w:tplc="96A02590">
      <w:start w:val="1"/>
      <w:numFmt w:val="bullet"/>
      <w:lvlText w:val="•"/>
      <w:lvlJc w:val="left"/>
      <w:pPr>
        <w:tabs>
          <w:tab w:val="num" w:pos="720"/>
        </w:tabs>
        <w:ind w:left="720" w:hanging="360"/>
      </w:pPr>
      <w:rPr>
        <w:rFonts w:ascii="Arial" w:hAnsi="Arial" w:hint="default"/>
      </w:rPr>
    </w:lvl>
    <w:lvl w:ilvl="1" w:tplc="523C25DE" w:tentative="1">
      <w:start w:val="1"/>
      <w:numFmt w:val="bullet"/>
      <w:lvlText w:val="•"/>
      <w:lvlJc w:val="left"/>
      <w:pPr>
        <w:tabs>
          <w:tab w:val="num" w:pos="1440"/>
        </w:tabs>
        <w:ind w:left="1440" w:hanging="360"/>
      </w:pPr>
      <w:rPr>
        <w:rFonts w:ascii="Arial" w:hAnsi="Arial" w:hint="default"/>
      </w:rPr>
    </w:lvl>
    <w:lvl w:ilvl="2" w:tplc="21F0734E" w:tentative="1">
      <w:start w:val="1"/>
      <w:numFmt w:val="bullet"/>
      <w:lvlText w:val="•"/>
      <w:lvlJc w:val="left"/>
      <w:pPr>
        <w:tabs>
          <w:tab w:val="num" w:pos="2160"/>
        </w:tabs>
        <w:ind w:left="2160" w:hanging="360"/>
      </w:pPr>
      <w:rPr>
        <w:rFonts w:ascii="Arial" w:hAnsi="Arial" w:hint="default"/>
      </w:rPr>
    </w:lvl>
    <w:lvl w:ilvl="3" w:tplc="EE026C84" w:tentative="1">
      <w:start w:val="1"/>
      <w:numFmt w:val="bullet"/>
      <w:lvlText w:val="•"/>
      <w:lvlJc w:val="left"/>
      <w:pPr>
        <w:tabs>
          <w:tab w:val="num" w:pos="2880"/>
        </w:tabs>
        <w:ind w:left="2880" w:hanging="360"/>
      </w:pPr>
      <w:rPr>
        <w:rFonts w:ascii="Arial" w:hAnsi="Arial" w:hint="default"/>
      </w:rPr>
    </w:lvl>
    <w:lvl w:ilvl="4" w:tplc="76342984" w:tentative="1">
      <w:start w:val="1"/>
      <w:numFmt w:val="bullet"/>
      <w:lvlText w:val="•"/>
      <w:lvlJc w:val="left"/>
      <w:pPr>
        <w:tabs>
          <w:tab w:val="num" w:pos="3600"/>
        </w:tabs>
        <w:ind w:left="3600" w:hanging="360"/>
      </w:pPr>
      <w:rPr>
        <w:rFonts w:ascii="Arial" w:hAnsi="Arial" w:hint="default"/>
      </w:rPr>
    </w:lvl>
    <w:lvl w:ilvl="5" w:tplc="F61C293A" w:tentative="1">
      <w:start w:val="1"/>
      <w:numFmt w:val="bullet"/>
      <w:lvlText w:val="•"/>
      <w:lvlJc w:val="left"/>
      <w:pPr>
        <w:tabs>
          <w:tab w:val="num" w:pos="4320"/>
        </w:tabs>
        <w:ind w:left="4320" w:hanging="360"/>
      </w:pPr>
      <w:rPr>
        <w:rFonts w:ascii="Arial" w:hAnsi="Arial" w:hint="default"/>
      </w:rPr>
    </w:lvl>
    <w:lvl w:ilvl="6" w:tplc="DA4E6260" w:tentative="1">
      <w:start w:val="1"/>
      <w:numFmt w:val="bullet"/>
      <w:lvlText w:val="•"/>
      <w:lvlJc w:val="left"/>
      <w:pPr>
        <w:tabs>
          <w:tab w:val="num" w:pos="5040"/>
        </w:tabs>
        <w:ind w:left="5040" w:hanging="360"/>
      </w:pPr>
      <w:rPr>
        <w:rFonts w:ascii="Arial" w:hAnsi="Arial" w:hint="default"/>
      </w:rPr>
    </w:lvl>
    <w:lvl w:ilvl="7" w:tplc="62D89584" w:tentative="1">
      <w:start w:val="1"/>
      <w:numFmt w:val="bullet"/>
      <w:lvlText w:val="•"/>
      <w:lvlJc w:val="left"/>
      <w:pPr>
        <w:tabs>
          <w:tab w:val="num" w:pos="5760"/>
        </w:tabs>
        <w:ind w:left="5760" w:hanging="360"/>
      </w:pPr>
      <w:rPr>
        <w:rFonts w:ascii="Arial" w:hAnsi="Arial" w:hint="default"/>
      </w:rPr>
    </w:lvl>
    <w:lvl w:ilvl="8" w:tplc="4EE6615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7B2870"/>
    <w:multiLevelType w:val="hybridMultilevel"/>
    <w:tmpl w:val="10E216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9385132"/>
    <w:multiLevelType w:val="hybridMultilevel"/>
    <w:tmpl w:val="44643E10"/>
    <w:lvl w:ilvl="0" w:tplc="3BC45DD0">
      <w:start w:val="1"/>
      <w:numFmt w:val="bullet"/>
      <w:lvlText w:val="•"/>
      <w:lvlJc w:val="left"/>
      <w:pPr>
        <w:tabs>
          <w:tab w:val="num" w:pos="720"/>
        </w:tabs>
        <w:ind w:left="720" w:hanging="360"/>
      </w:pPr>
      <w:rPr>
        <w:rFonts w:ascii="Arial" w:hAnsi="Arial" w:hint="default"/>
      </w:rPr>
    </w:lvl>
    <w:lvl w:ilvl="1" w:tplc="79BEC8FC" w:tentative="1">
      <w:start w:val="1"/>
      <w:numFmt w:val="bullet"/>
      <w:lvlText w:val="•"/>
      <w:lvlJc w:val="left"/>
      <w:pPr>
        <w:tabs>
          <w:tab w:val="num" w:pos="1440"/>
        </w:tabs>
        <w:ind w:left="1440" w:hanging="360"/>
      </w:pPr>
      <w:rPr>
        <w:rFonts w:ascii="Arial" w:hAnsi="Arial" w:hint="default"/>
      </w:rPr>
    </w:lvl>
    <w:lvl w:ilvl="2" w:tplc="2898A852" w:tentative="1">
      <w:start w:val="1"/>
      <w:numFmt w:val="bullet"/>
      <w:lvlText w:val="•"/>
      <w:lvlJc w:val="left"/>
      <w:pPr>
        <w:tabs>
          <w:tab w:val="num" w:pos="2160"/>
        </w:tabs>
        <w:ind w:left="2160" w:hanging="360"/>
      </w:pPr>
      <w:rPr>
        <w:rFonts w:ascii="Arial" w:hAnsi="Arial" w:hint="default"/>
      </w:rPr>
    </w:lvl>
    <w:lvl w:ilvl="3" w:tplc="D168225E" w:tentative="1">
      <w:start w:val="1"/>
      <w:numFmt w:val="bullet"/>
      <w:lvlText w:val="•"/>
      <w:lvlJc w:val="left"/>
      <w:pPr>
        <w:tabs>
          <w:tab w:val="num" w:pos="2880"/>
        </w:tabs>
        <w:ind w:left="2880" w:hanging="360"/>
      </w:pPr>
      <w:rPr>
        <w:rFonts w:ascii="Arial" w:hAnsi="Arial" w:hint="default"/>
      </w:rPr>
    </w:lvl>
    <w:lvl w:ilvl="4" w:tplc="D61CAE3E" w:tentative="1">
      <w:start w:val="1"/>
      <w:numFmt w:val="bullet"/>
      <w:lvlText w:val="•"/>
      <w:lvlJc w:val="left"/>
      <w:pPr>
        <w:tabs>
          <w:tab w:val="num" w:pos="3600"/>
        </w:tabs>
        <w:ind w:left="3600" w:hanging="360"/>
      </w:pPr>
      <w:rPr>
        <w:rFonts w:ascii="Arial" w:hAnsi="Arial" w:hint="default"/>
      </w:rPr>
    </w:lvl>
    <w:lvl w:ilvl="5" w:tplc="F85A2D82" w:tentative="1">
      <w:start w:val="1"/>
      <w:numFmt w:val="bullet"/>
      <w:lvlText w:val="•"/>
      <w:lvlJc w:val="left"/>
      <w:pPr>
        <w:tabs>
          <w:tab w:val="num" w:pos="4320"/>
        </w:tabs>
        <w:ind w:left="4320" w:hanging="360"/>
      </w:pPr>
      <w:rPr>
        <w:rFonts w:ascii="Arial" w:hAnsi="Arial" w:hint="default"/>
      </w:rPr>
    </w:lvl>
    <w:lvl w:ilvl="6" w:tplc="5E3A523C" w:tentative="1">
      <w:start w:val="1"/>
      <w:numFmt w:val="bullet"/>
      <w:lvlText w:val="•"/>
      <w:lvlJc w:val="left"/>
      <w:pPr>
        <w:tabs>
          <w:tab w:val="num" w:pos="5040"/>
        </w:tabs>
        <w:ind w:left="5040" w:hanging="360"/>
      </w:pPr>
      <w:rPr>
        <w:rFonts w:ascii="Arial" w:hAnsi="Arial" w:hint="default"/>
      </w:rPr>
    </w:lvl>
    <w:lvl w:ilvl="7" w:tplc="2B966F28" w:tentative="1">
      <w:start w:val="1"/>
      <w:numFmt w:val="bullet"/>
      <w:lvlText w:val="•"/>
      <w:lvlJc w:val="left"/>
      <w:pPr>
        <w:tabs>
          <w:tab w:val="num" w:pos="5760"/>
        </w:tabs>
        <w:ind w:left="5760" w:hanging="360"/>
      </w:pPr>
      <w:rPr>
        <w:rFonts w:ascii="Arial" w:hAnsi="Arial" w:hint="default"/>
      </w:rPr>
    </w:lvl>
    <w:lvl w:ilvl="8" w:tplc="D6D07A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5B57034"/>
    <w:multiLevelType w:val="hybridMultilevel"/>
    <w:tmpl w:val="72E4F588"/>
    <w:lvl w:ilvl="0" w:tplc="F8F8E988">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95C2720"/>
    <w:multiLevelType w:val="hybridMultilevel"/>
    <w:tmpl w:val="6328594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9E5166D"/>
    <w:multiLevelType w:val="hybridMultilevel"/>
    <w:tmpl w:val="273EDBB4"/>
    <w:lvl w:ilvl="0" w:tplc="26DE94AC">
      <w:start w:val="1"/>
      <w:numFmt w:val="decimal"/>
      <w:lvlText w:val="%1)"/>
      <w:lvlJc w:val="left"/>
      <w:pPr>
        <w:ind w:left="1320" w:hanging="360"/>
      </w:pPr>
    </w:lvl>
    <w:lvl w:ilvl="1" w:tplc="F8D21CB8">
      <w:start w:val="1"/>
      <w:numFmt w:val="decimal"/>
      <w:lvlText w:val="%2)"/>
      <w:lvlJc w:val="left"/>
      <w:pPr>
        <w:ind w:left="1320" w:hanging="360"/>
      </w:pPr>
    </w:lvl>
    <w:lvl w:ilvl="2" w:tplc="218ECFF0">
      <w:start w:val="1"/>
      <w:numFmt w:val="decimal"/>
      <w:lvlText w:val="%3)"/>
      <w:lvlJc w:val="left"/>
      <w:pPr>
        <w:ind w:left="1320" w:hanging="360"/>
      </w:pPr>
    </w:lvl>
    <w:lvl w:ilvl="3" w:tplc="D442A98E">
      <w:start w:val="1"/>
      <w:numFmt w:val="decimal"/>
      <w:lvlText w:val="%4)"/>
      <w:lvlJc w:val="left"/>
      <w:pPr>
        <w:ind w:left="1320" w:hanging="360"/>
      </w:pPr>
    </w:lvl>
    <w:lvl w:ilvl="4" w:tplc="201E87C0">
      <w:start w:val="1"/>
      <w:numFmt w:val="decimal"/>
      <w:lvlText w:val="%5)"/>
      <w:lvlJc w:val="left"/>
      <w:pPr>
        <w:ind w:left="1320" w:hanging="360"/>
      </w:pPr>
    </w:lvl>
    <w:lvl w:ilvl="5" w:tplc="3E163C3C">
      <w:start w:val="1"/>
      <w:numFmt w:val="decimal"/>
      <w:lvlText w:val="%6)"/>
      <w:lvlJc w:val="left"/>
      <w:pPr>
        <w:ind w:left="1320" w:hanging="360"/>
      </w:pPr>
    </w:lvl>
    <w:lvl w:ilvl="6" w:tplc="585ACDB8">
      <w:start w:val="1"/>
      <w:numFmt w:val="decimal"/>
      <w:lvlText w:val="%7)"/>
      <w:lvlJc w:val="left"/>
      <w:pPr>
        <w:ind w:left="1320" w:hanging="360"/>
      </w:pPr>
    </w:lvl>
    <w:lvl w:ilvl="7" w:tplc="AA24A5A8">
      <w:start w:val="1"/>
      <w:numFmt w:val="decimal"/>
      <w:lvlText w:val="%8)"/>
      <w:lvlJc w:val="left"/>
      <w:pPr>
        <w:ind w:left="1320" w:hanging="360"/>
      </w:pPr>
    </w:lvl>
    <w:lvl w:ilvl="8" w:tplc="BE38DD42">
      <w:start w:val="1"/>
      <w:numFmt w:val="decimal"/>
      <w:lvlText w:val="%9)"/>
      <w:lvlJc w:val="left"/>
      <w:pPr>
        <w:ind w:left="1320" w:hanging="360"/>
      </w:pPr>
    </w:lvl>
  </w:abstractNum>
  <w:abstractNum w:abstractNumId="6" w15:restartNumberingAfterBreak="0">
    <w:nsid w:val="1A98719D"/>
    <w:multiLevelType w:val="hybridMultilevel"/>
    <w:tmpl w:val="CD12E362"/>
    <w:lvl w:ilvl="0" w:tplc="AE7427F8">
      <w:start w:val="1"/>
      <w:numFmt w:val="bullet"/>
      <w:lvlText w:val=""/>
      <w:lvlJc w:val="left"/>
      <w:pPr>
        <w:ind w:left="720" w:hanging="360"/>
      </w:pPr>
      <w:rPr>
        <w:rFonts w:ascii="Symbol" w:hAnsi="Symbol"/>
      </w:rPr>
    </w:lvl>
    <w:lvl w:ilvl="1" w:tplc="AA42443E">
      <w:start w:val="1"/>
      <w:numFmt w:val="bullet"/>
      <w:lvlText w:val=""/>
      <w:lvlJc w:val="left"/>
      <w:pPr>
        <w:ind w:left="720" w:hanging="360"/>
      </w:pPr>
      <w:rPr>
        <w:rFonts w:ascii="Symbol" w:hAnsi="Symbol"/>
      </w:rPr>
    </w:lvl>
    <w:lvl w:ilvl="2" w:tplc="74DA3CB8">
      <w:start w:val="1"/>
      <w:numFmt w:val="bullet"/>
      <w:lvlText w:val=""/>
      <w:lvlJc w:val="left"/>
      <w:pPr>
        <w:ind w:left="720" w:hanging="360"/>
      </w:pPr>
      <w:rPr>
        <w:rFonts w:ascii="Symbol" w:hAnsi="Symbol"/>
      </w:rPr>
    </w:lvl>
    <w:lvl w:ilvl="3" w:tplc="D4E4AED8">
      <w:start w:val="1"/>
      <w:numFmt w:val="bullet"/>
      <w:lvlText w:val=""/>
      <w:lvlJc w:val="left"/>
      <w:pPr>
        <w:ind w:left="720" w:hanging="360"/>
      </w:pPr>
      <w:rPr>
        <w:rFonts w:ascii="Symbol" w:hAnsi="Symbol"/>
      </w:rPr>
    </w:lvl>
    <w:lvl w:ilvl="4" w:tplc="2E90A49A">
      <w:start w:val="1"/>
      <w:numFmt w:val="bullet"/>
      <w:lvlText w:val=""/>
      <w:lvlJc w:val="left"/>
      <w:pPr>
        <w:ind w:left="720" w:hanging="360"/>
      </w:pPr>
      <w:rPr>
        <w:rFonts w:ascii="Symbol" w:hAnsi="Symbol"/>
      </w:rPr>
    </w:lvl>
    <w:lvl w:ilvl="5" w:tplc="3704E1A6">
      <w:start w:val="1"/>
      <w:numFmt w:val="bullet"/>
      <w:lvlText w:val=""/>
      <w:lvlJc w:val="left"/>
      <w:pPr>
        <w:ind w:left="720" w:hanging="360"/>
      </w:pPr>
      <w:rPr>
        <w:rFonts w:ascii="Symbol" w:hAnsi="Symbol"/>
      </w:rPr>
    </w:lvl>
    <w:lvl w:ilvl="6" w:tplc="4CE45062">
      <w:start w:val="1"/>
      <w:numFmt w:val="bullet"/>
      <w:lvlText w:val=""/>
      <w:lvlJc w:val="left"/>
      <w:pPr>
        <w:ind w:left="720" w:hanging="360"/>
      </w:pPr>
      <w:rPr>
        <w:rFonts w:ascii="Symbol" w:hAnsi="Symbol"/>
      </w:rPr>
    </w:lvl>
    <w:lvl w:ilvl="7" w:tplc="131C91F6">
      <w:start w:val="1"/>
      <w:numFmt w:val="bullet"/>
      <w:lvlText w:val=""/>
      <w:lvlJc w:val="left"/>
      <w:pPr>
        <w:ind w:left="720" w:hanging="360"/>
      </w:pPr>
      <w:rPr>
        <w:rFonts w:ascii="Symbol" w:hAnsi="Symbol"/>
      </w:rPr>
    </w:lvl>
    <w:lvl w:ilvl="8" w:tplc="1430C8F4">
      <w:start w:val="1"/>
      <w:numFmt w:val="bullet"/>
      <w:lvlText w:val=""/>
      <w:lvlJc w:val="left"/>
      <w:pPr>
        <w:ind w:left="720" w:hanging="360"/>
      </w:pPr>
      <w:rPr>
        <w:rFonts w:ascii="Symbol" w:hAnsi="Symbol"/>
      </w:rPr>
    </w:lvl>
  </w:abstractNum>
  <w:abstractNum w:abstractNumId="7" w15:restartNumberingAfterBreak="0">
    <w:nsid w:val="224B56D8"/>
    <w:multiLevelType w:val="hybridMultilevel"/>
    <w:tmpl w:val="A8509DE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232907BA"/>
    <w:multiLevelType w:val="hybridMultilevel"/>
    <w:tmpl w:val="4E4E7DE6"/>
    <w:lvl w:ilvl="0" w:tplc="5F42FC30">
      <w:start w:val="1"/>
      <w:numFmt w:val="decimal"/>
      <w:lvlText w:val="%1)"/>
      <w:lvlJc w:val="left"/>
      <w:pPr>
        <w:ind w:left="1020" w:hanging="360"/>
      </w:pPr>
    </w:lvl>
    <w:lvl w:ilvl="1" w:tplc="572CC768">
      <w:start w:val="1"/>
      <w:numFmt w:val="decimal"/>
      <w:lvlText w:val="%2)"/>
      <w:lvlJc w:val="left"/>
      <w:pPr>
        <w:ind w:left="1020" w:hanging="360"/>
      </w:pPr>
    </w:lvl>
    <w:lvl w:ilvl="2" w:tplc="6D0A73CE">
      <w:start w:val="1"/>
      <w:numFmt w:val="decimal"/>
      <w:lvlText w:val="%3)"/>
      <w:lvlJc w:val="left"/>
      <w:pPr>
        <w:ind w:left="1020" w:hanging="360"/>
      </w:pPr>
    </w:lvl>
    <w:lvl w:ilvl="3" w:tplc="1F4296A8">
      <w:start w:val="1"/>
      <w:numFmt w:val="decimal"/>
      <w:lvlText w:val="%4)"/>
      <w:lvlJc w:val="left"/>
      <w:pPr>
        <w:ind w:left="1020" w:hanging="360"/>
      </w:pPr>
    </w:lvl>
    <w:lvl w:ilvl="4" w:tplc="5758307E">
      <w:start w:val="1"/>
      <w:numFmt w:val="decimal"/>
      <w:lvlText w:val="%5)"/>
      <w:lvlJc w:val="left"/>
      <w:pPr>
        <w:ind w:left="1020" w:hanging="360"/>
      </w:pPr>
    </w:lvl>
    <w:lvl w:ilvl="5" w:tplc="A57AC80C">
      <w:start w:val="1"/>
      <w:numFmt w:val="decimal"/>
      <w:lvlText w:val="%6)"/>
      <w:lvlJc w:val="left"/>
      <w:pPr>
        <w:ind w:left="1020" w:hanging="360"/>
      </w:pPr>
    </w:lvl>
    <w:lvl w:ilvl="6" w:tplc="198A0686">
      <w:start w:val="1"/>
      <w:numFmt w:val="decimal"/>
      <w:lvlText w:val="%7)"/>
      <w:lvlJc w:val="left"/>
      <w:pPr>
        <w:ind w:left="1020" w:hanging="360"/>
      </w:pPr>
    </w:lvl>
    <w:lvl w:ilvl="7" w:tplc="9E2C9BEE">
      <w:start w:val="1"/>
      <w:numFmt w:val="decimal"/>
      <w:lvlText w:val="%8)"/>
      <w:lvlJc w:val="left"/>
      <w:pPr>
        <w:ind w:left="1020" w:hanging="360"/>
      </w:pPr>
    </w:lvl>
    <w:lvl w:ilvl="8" w:tplc="6C08D7D6">
      <w:start w:val="1"/>
      <w:numFmt w:val="decimal"/>
      <w:lvlText w:val="%9)"/>
      <w:lvlJc w:val="left"/>
      <w:pPr>
        <w:ind w:left="1020" w:hanging="360"/>
      </w:pPr>
    </w:lvl>
  </w:abstractNum>
  <w:abstractNum w:abstractNumId="9" w15:restartNumberingAfterBreak="0">
    <w:nsid w:val="2759312D"/>
    <w:multiLevelType w:val="hybridMultilevel"/>
    <w:tmpl w:val="A232C564"/>
    <w:lvl w:ilvl="0" w:tplc="4178EDBA">
      <w:start w:val="1"/>
      <w:numFmt w:val="bullet"/>
      <w:lvlText w:val="•"/>
      <w:lvlJc w:val="left"/>
      <w:pPr>
        <w:tabs>
          <w:tab w:val="num" w:pos="720"/>
        </w:tabs>
        <w:ind w:left="720" w:hanging="360"/>
      </w:pPr>
      <w:rPr>
        <w:rFonts w:ascii="Arial" w:hAnsi="Arial" w:hint="default"/>
      </w:rPr>
    </w:lvl>
    <w:lvl w:ilvl="1" w:tplc="92F6536E" w:tentative="1">
      <w:start w:val="1"/>
      <w:numFmt w:val="bullet"/>
      <w:lvlText w:val="•"/>
      <w:lvlJc w:val="left"/>
      <w:pPr>
        <w:tabs>
          <w:tab w:val="num" w:pos="1440"/>
        </w:tabs>
        <w:ind w:left="1440" w:hanging="360"/>
      </w:pPr>
      <w:rPr>
        <w:rFonts w:ascii="Arial" w:hAnsi="Arial" w:hint="default"/>
      </w:rPr>
    </w:lvl>
    <w:lvl w:ilvl="2" w:tplc="F97A87C8" w:tentative="1">
      <w:start w:val="1"/>
      <w:numFmt w:val="bullet"/>
      <w:lvlText w:val="•"/>
      <w:lvlJc w:val="left"/>
      <w:pPr>
        <w:tabs>
          <w:tab w:val="num" w:pos="2160"/>
        </w:tabs>
        <w:ind w:left="2160" w:hanging="360"/>
      </w:pPr>
      <w:rPr>
        <w:rFonts w:ascii="Arial" w:hAnsi="Arial" w:hint="default"/>
      </w:rPr>
    </w:lvl>
    <w:lvl w:ilvl="3" w:tplc="9954B318" w:tentative="1">
      <w:start w:val="1"/>
      <w:numFmt w:val="bullet"/>
      <w:lvlText w:val="•"/>
      <w:lvlJc w:val="left"/>
      <w:pPr>
        <w:tabs>
          <w:tab w:val="num" w:pos="2880"/>
        </w:tabs>
        <w:ind w:left="2880" w:hanging="360"/>
      </w:pPr>
      <w:rPr>
        <w:rFonts w:ascii="Arial" w:hAnsi="Arial" w:hint="default"/>
      </w:rPr>
    </w:lvl>
    <w:lvl w:ilvl="4" w:tplc="43769198" w:tentative="1">
      <w:start w:val="1"/>
      <w:numFmt w:val="bullet"/>
      <w:lvlText w:val="•"/>
      <w:lvlJc w:val="left"/>
      <w:pPr>
        <w:tabs>
          <w:tab w:val="num" w:pos="3600"/>
        </w:tabs>
        <w:ind w:left="3600" w:hanging="360"/>
      </w:pPr>
      <w:rPr>
        <w:rFonts w:ascii="Arial" w:hAnsi="Arial" w:hint="default"/>
      </w:rPr>
    </w:lvl>
    <w:lvl w:ilvl="5" w:tplc="22A22D14" w:tentative="1">
      <w:start w:val="1"/>
      <w:numFmt w:val="bullet"/>
      <w:lvlText w:val="•"/>
      <w:lvlJc w:val="left"/>
      <w:pPr>
        <w:tabs>
          <w:tab w:val="num" w:pos="4320"/>
        </w:tabs>
        <w:ind w:left="4320" w:hanging="360"/>
      </w:pPr>
      <w:rPr>
        <w:rFonts w:ascii="Arial" w:hAnsi="Arial" w:hint="default"/>
      </w:rPr>
    </w:lvl>
    <w:lvl w:ilvl="6" w:tplc="BC34A02C" w:tentative="1">
      <w:start w:val="1"/>
      <w:numFmt w:val="bullet"/>
      <w:lvlText w:val="•"/>
      <w:lvlJc w:val="left"/>
      <w:pPr>
        <w:tabs>
          <w:tab w:val="num" w:pos="5040"/>
        </w:tabs>
        <w:ind w:left="5040" w:hanging="360"/>
      </w:pPr>
      <w:rPr>
        <w:rFonts w:ascii="Arial" w:hAnsi="Arial" w:hint="default"/>
      </w:rPr>
    </w:lvl>
    <w:lvl w:ilvl="7" w:tplc="53E4E9C6" w:tentative="1">
      <w:start w:val="1"/>
      <w:numFmt w:val="bullet"/>
      <w:lvlText w:val="•"/>
      <w:lvlJc w:val="left"/>
      <w:pPr>
        <w:tabs>
          <w:tab w:val="num" w:pos="5760"/>
        </w:tabs>
        <w:ind w:left="5760" w:hanging="360"/>
      </w:pPr>
      <w:rPr>
        <w:rFonts w:ascii="Arial" w:hAnsi="Arial" w:hint="default"/>
      </w:rPr>
    </w:lvl>
    <w:lvl w:ilvl="8" w:tplc="0ABC370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20A68CA"/>
    <w:multiLevelType w:val="hybridMultilevel"/>
    <w:tmpl w:val="BC3E0BBC"/>
    <w:lvl w:ilvl="0" w:tplc="F8F8E988">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71B3A0F"/>
    <w:multiLevelType w:val="hybridMultilevel"/>
    <w:tmpl w:val="13F4FA1E"/>
    <w:lvl w:ilvl="0" w:tplc="F316571A">
      <w:start w:val="1"/>
      <w:numFmt w:val="bullet"/>
      <w:lvlText w:val="•"/>
      <w:lvlJc w:val="left"/>
      <w:pPr>
        <w:tabs>
          <w:tab w:val="num" w:pos="720"/>
        </w:tabs>
        <w:ind w:left="720" w:hanging="360"/>
      </w:pPr>
      <w:rPr>
        <w:rFonts w:ascii="Arial" w:hAnsi="Arial" w:hint="default"/>
      </w:rPr>
    </w:lvl>
    <w:lvl w:ilvl="1" w:tplc="FB7C5206" w:tentative="1">
      <w:start w:val="1"/>
      <w:numFmt w:val="bullet"/>
      <w:lvlText w:val="•"/>
      <w:lvlJc w:val="left"/>
      <w:pPr>
        <w:tabs>
          <w:tab w:val="num" w:pos="1440"/>
        </w:tabs>
        <w:ind w:left="1440" w:hanging="360"/>
      </w:pPr>
      <w:rPr>
        <w:rFonts w:ascii="Arial" w:hAnsi="Arial" w:hint="default"/>
      </w:rPr>
    </w:lvl>
    <w:lvl w:ilvl="2" w:tplc="09100442" w:tentative="1">
      <w:start w:val="1"/>
      <w:numFmt w:val="bullet"/>
      <w:lvlText w:val="•"/>
      <w:lvlJc w:val="left"/>
      <w:pPr>
        <w:tabs>
          <w:tab w:val="num" w:pos="2160"/>
        </w:tabs>
        <w:ind w:left="2160" w:hanging="360"/>
      </w:pPr>
      <w:rPr>
        <w:rFonts w:ascii="Arial" w:hAnsi="Arial" w:hint="default"/>
      </w:rPr>
    </w:lvl>
    <w:lvl w:ilvl="3" w:tplc="9C642C24" w:tentative="1">
      <w:start w:val="1"/>
      <w:numFmt w:val="bullet"/>
      <w:lvlText w:val="•"/>
      <w:lvlJc w:val="left"/>
      <w:pPr>
        <w:tabs>
          <w:tab w:val="num" w:pos="2880"/>
        </w:tabs>
        <w:ind w:left="2880" w:hanging="360"/>
      </w:pPr>
      <w:rPr>
        <w:rFonts w:ascii="Arial" w:hAnsi="Arial" w:hint="default"/>
      </w:rPr>
    </w:lvl>
    <w:lvl w:ilvl="4" w:tplc="EAE4C074" w:tentative="1">
      <w:start w:val="1"/>
      <w:numFmt w:val="bullet"/>
      <w:lvlText w:val="•"/>
      <w:lvlJc w:val="left"/>
      <w:pPr>
        <w:tabs>
          <w:tab w:val="num" w:pos="3600"/>
        </w:tabs>
        <w:ind w:left="3600" w:hanging="360"/>
      </w:pPr>
      <w:rPr>
        <w:rFonts w:ascii="Arial" w:hAnsi="Arial" w:hint="default"/>
      </w:rPr>
    </w:lvl>
    <w:lvl w:ilvl="5" w:tplc="AC2CC3AE" w:tentative="1">
      <w:start w:val="1"/>
      <w:numFmt w:val="bullet"/>
      <w:lvlText w:val="•"/>
      <w:lvlJc w:val="left"/>
      <w:pPr>
        <w:tabs>
          <w:tab w:val="num" w:pos="4320"/>
        </w:tabs>
        <w:ind w:left="4320" w:hanging="360"/>
      </w:pPr>
      <w:rPr>
        <w:rFonts w:ascii="Arial" w:hAnsi="Arial" w:hint="default"/>
      </w:rPr>
    </w:lvl>
    <w:lvl w:ilvl="6" w:tplc="A7502F78" w:tentative="1">
      <w:start w:val="1"/>
      <w:numFmt w:val="bullet"/>
      <w:lvlText w:val="•"/>
      <w:lvlJc w:val="left"/>
      <w:pPr>
        <w:tabs>
          <w:tab w:val="num" w:pos="5040"/>
        </w:tabs>
        <w:ind w:left="5040" w:hanging="360"/>
      </w:pPr>
      <w:rPr>
        <w:rFonts w:ascii="Arial" w:hAnsi="Arial" w:hint="default"/>
      </w:rPr>
    </w:lvl>
    <w:lvl w:ilvl="7" w:tplc="718EC7B4" w:tentative="1">
      <w:start w:val="1"/>
      <w:numFmt w:val="bullet"/>
      <w:lvlText w:val="•"/>
      <w:lvlJc w:val="left"/>
      <w:pPr>
        <w:tabs>
          <w:tab w:val="num" w:pos="5760"/>
        </w:tabs>
        <w:ind w:left="5760" w:hanging="360"/>
      </w:pPr>
      <w:rPr>
        <w:rFonts w:ascii="Arial" w:hAnsi="Arial" w:hint="default"/>
      </w:rPr>
    </w:lvl>
    <w:lvl w:ilvl="8" w:tplc="E0247BE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F251039"/>
    <w:multiLevelType w:val="hybridMultilevel"/>
    <w:tmpl w:val="22C2E1D8"/>
    <w:lvl w:ilvl="0" w:tplc="ABD6E15E">
      <w:start w:val="1"/>
      <w:numFmt w:val="bullet"/>
      <w:lvlText w:val="•"/>
      <w:lvlJc w:val="left"/>
      <w:pPr>
        <w:tabs>
          <w:tab w:val="num" w:pos="720"/>
        </w:tabs>
        <w:ind w:left="720" w:hanging="360"/>
      </w:pPr>
      <w:rPr>
        <w:rFonts w:ascii="Arial" w:hAnsi="Arial" w:hint="default"/>
      </w:rPr>
    </w:lvl>
    <w:lvl w:ilvl="1" w:tplc="52AAC0F4" w:tentative="1">
      <w:start w:val="1"/>
      <w:numFmt w:val="bullet"/>
      <w:lvlText w:val="•"/>
      <w:lvlJc w:val="left"/>
      <w:pPr>
        <w:tabs>
          <w:tab w:val="num" w:pos="1440"/>
        </w:tabs>
        <w:ind w:left="1440" w:hanging="360"/>
      </w:pPr>
      <w:rPr>
        <w:rFonts w:ascii="Arial" w:hAnsi="Arial" w:hint="default"/>
      </w:rPr>
    </w:lvl>
    <w:lvl w:ilvl="2" w:tplc="E39A318C" w:tentative="1">
      <w:start w:val="1"/>
      <w:numFmt w:val="bullet"/>
      <w:lvlText w:val="•"/>
      <w:lvlJc w:val="left"/>
      <w:pPr>
        <w:tabs>
          <w:tab w:val="num" w:pos="2160"/>
        </w:tabs>
        <w:ind w:left="2160" w:hanging="360"/>
      </w:pPr>
      <w:rPr>
        <w:rFonts w:ascii="Arial" w:hAnsi="Arial" w:hint="default"/>
      </w:rPr>
    </w:lvl>
    <w:lvl w:ilvl="3" w:tplc="4CBAEBDE" w:tentative="1">
      <w:start w:val="1"/>
      <w:numFmt w:val="bullet"/>
      <w:lvlText w:val="•"/>
      <w:lvlJc w:val="left"/>
      <w:pPr>
        <w:tabs>
          <w:tab w:val="num" w:pos="2880"/>
        </w:tabs>
        <w:ind w:left="2880" w:hanging="360"/>
      </w:pPr>
      <w:rPr>
        <w:rFonts w:ascii="Arial" w:hAnsi="Arial" w:hint="default"/>
      </w:rPr>
    </w:lvl>
    <w:lvl w:ilvl="4" w:tplc="521C4C72" w:tentative="1">
      <w:start w:val="1"/>
      <w:numFmt w:val="bullet"/>
      <w:lvlText w:val="•"/>
      <w:lvlJc w:val="left"/>
      <w:pPr>
        <w:tabs>
          <w:tab w:val="num" w:pos="3600"/>
        </w:tabs>
        <w:ind w:left="3600" w:hanging="360"/>
      </w:pPr>
      <w:rPr>
        <w:rFonts w:ascii="Arial" w:hAnsi="Arial" w:hint="default"/>
      </w:rPr>
    </w:lvl>
    <w:lvl w:ilvl="5" w:tplc="27FEC412" w:tentative="1">
      <w:start w:val="1"/>
      <w:numFmt w:val="bullet"/>
      <w:lvlText w:val="•"/>
      <w:lvlJc w:val="left"/>
      <w:pPr>
        <w:tabs>
          <w:tab w:val="num" w:pos="4320"/>
        </w:tabs>
        <w:ind w:left="4320" w:hanging="360"/>
      </w:pPr>
      <w:rPr>
        <w:rFonts w:ascii="Arial" w:hAnsi="Arial" w:hint="default"/>
      </w:rPr>
    </w:lvl>
    <w:lvl w:ilvl="6" w:tplc="A1FCAC8E" w:tentative="1">
      <w:start w:val="1"/>
      <w:numFmt w:val="bullet"/>
      <w:lvlText w:val="•"/>
      <w:lvlJc w:val="left"/>
      <w:pPr>
        <w:tabs>
          <w:tab w:val="num" w:pos="5040"/>
        </w:tabs>
        <w:ind w:left="5040" w:hanging="360"/>
      </w:pPr>
      <w:rPr>
        <w:rFonts w:ascii="Arial" w:hAnsi="Arial" w:hint="default"/>
      </w:rPr>
    </w:lvl>
    <w:lvl w:ilvl="7" w:tplc="6BC4CEBC" w:tentative="1">
      <w:start w:val="1"/>
      <w:numFmt w:val="bullet"/>
      <w:lvlText w:val="•"/>
      <w:lvlJc w:val="left"/>
      <w:pPr>
        <w:tabs>
          <w:tab w:val="num" w:pos="5760"/>
        </w:tabs>
        <w:ind w:left="5760" w:hanging="360"/>
      </w:pPr>
      <w:rPr>
        <w:rFonts w:ascii="Arial" w:hAnsi="Arial" w:hint="default"/>
      </w:rPr>
    </w:lvl>
    <w:lvl w:ilvl="8" w:tplc="BC56D85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7522033"/>
    <w:multiLevelType w:val="hybridMultilevel"/>
    <w:tmpl w:val="19AADC6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F6F5E61"/>
    <w:multiLevelType w:val="hybridMultilevel"/>
    <w:tmpl w:val="0922CCAA"/>
    <w:lvl w:ilvl="0" w:tplc="3B3A7DFA">
      <w:start w:val="1"/>
      <w:numFmt w:val="bullet"/>
      <w:lvlText w:val="•"/>
      <w:lvlJc w:val="left"/>
      <w:pPr>
        <w:tabs>
          <w:tab w:val="num" w:pos="720"/>
        </w:tabs>
        <w:ind w:left="720" w:hanging="360"/>
      </w:pPr>
      <w:rPr>
        <w:rFonts w:ascii="Arial" w:hAnsi="Arial" w:hint="default"/>
      </w:rPr>
    </w:lvl>
    <w:lvl w:ilvl="1" w:tplc="481A9CC0" w:tentative="1">
      <w:start w:val="1"/>
      <w:numFmt w:val="bullet"/>
      <w:lvlText w:val="•"/>
      <w:lvlJc w:val="left"/>
      <w:pPr>
        <w:tabs>
          <w:tab w:val="num" w:pos="1440"/>
        </w:tabs>
        <w:ind w:left="1440" w:hanging="360"/>
      </w:pPr>
      <w:rPr>
        <w:rFonts w:ascii="Arial" w:hAnsi="Arial" w:hint="default"/>
      </w:rPr>
    </w:lvl>
    <w:lvl w:ilvl="2" w:tplc="0AAE062C" w:tentative="1">
      <w:start w:val="1"/>
      <w:numFmt w:val="bullet"/>
      <w:lvlText w:val="•"/>
      <w:lvlJc w:val="left"/>
      <w:pPr>
        <w:tabs>
          <w:tab w:val="num" w:pos="2160"/>
        </w:tabs>
        <w:ind w:left="2160" w:hanging="360"/>
      </w:pPr>
      <w:rPr>
        <w:rFonts w:ascii="Arial" w:hAnsi="Arial" w:hint="default"/>
      </w:rPr>
    </w:lvl>
    <w:lvl w:ilvl="3" w:tplc="2F52C1F0" w:tentative="1">
      <w:start w:val="1"/>
      <w:numFmt w:val="bullet"/>
      <w:lvlText w:val="•"/>
      <w:lvlJc w:val="left"/>
      <w:pPr>
        <w:tabs>
          <w:tab w:val="num" w:pos="2880"/>
        </w:tabs>
        <w:ind w:left="2880" w:hanging="360"/>
      </w:pPr>
      <w:rPr>
        <w:rFonts w:ascii="Arial" w:hAnsi="Arial" w:hint="default"/>
      </w:rPr>
    </w:lvl>
    <w:lvl w:ilvl="4" w:tplc="CEC88398" w:tentative="1">
      <w:start w:val="1"/>
      <w:numFmt w:val="bullet"/>
      <w:lvlText w:val="•"/>
      <w:lvlJc w:val="left"/>
      <w:pPr>
        <w:tabs>
          <w:tab w:val="num" w:pos="3600"/>
        </w:tabs>
        <w:ind w:left="3600" w:hanging="360"/>
      </w:pPr>
      <w:rPr>
        <w:rFonts w:ascii="Arial" w:hAnsi="Arial" w:hint="default"/>
      </w:rPr>
    </w:lvl>
    <w:lvl w:ilvl="5" w:tplc="F2AC697C" w:tentative="1">
      <w:start w:val="1"/>
      <w:numFmt w:val="bullet"/>
      <w:lvlText w:val="•"/>
      <w:lvlJc w:val="left"/>
      <w:pPr>
        <w:tabs>
          <w:tab w:val="num" w:pos="4320"/>
        </w:tabs>
        <w:ind w:left="4320" w:hanging="360"/>
      </w:pPr>
      <w:rPr>
        <w:rFonts w:ascii="Arial" w:hAnsi="Arial" w:hint="default"/>
      </w:rPr>
    </w:lvl>
    <w:lvl w:ilvl="6" w:tplc="4C085150" w:tentative="1">
      <w:start w:val="1"/>
      <w:numFmt w:val="bullet"/>
      <w:lvlText w:val="•"/>
      <w:lvlJc w:val="left"/>
      <w:pPr>
        <w:tabs>
          <w:tab w:val="num" w:pos="5040"/>
        </w:tabs>
        <w:ind w:left="5040" w:hanging="360"/>
      </w:pPr>
      <w:rPr>
        <w:rFonts w:ascii="Arial" w:hAnsi="Arial" w:hint="default"/>
      </w:rPr>
    </w:lvl>
    <w:lvl w:ilvl="7" w:tplc="C3DC82B8" w:tentative="1">
      <w:start w:val="1"/>
      <w:numFmt w:val="bullet"/>
      <w:lvlText w:val="•"/>
      <w:lvlJc w:val="left"/>
      <w:pPr>
        <w:tabs>
          <w:tab w:val="num" w:pos="5760"/>
        </w:tabs>
        <w:ind w:left="5760" w:hanging="360"/>
      </w:pPr>
      <w:rPr>
        <w:rFonts w:ascii="Arial" w:hAnsi="Arial" w:hint="default"/>
      </w:rPr>
    </w:lvl>
    <w:lvl w:ilvl="8" w:tplc="7326F5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EB44184"/>
    <w:multiLevelType w:val="hybridMultilevel"/>
    <w:tmpl w:val="B55AB75A"/>
    <w:lvl w:ilvl="0" w:tplc="F8F8E988">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04D7DB7"/>
    <w:multiLevelType w:val="hybridMultilevel"/>
    <w:tmpl w:val="755CB6EC"/>
    <w:lvl w:ilvl="0" w:tplc="287686F8">
      <w:start w:val="1"/>
      <w:numFmt w:val="bullet"/>
      <w:lvlText w:val="•"/>
      <w:lvlJc w:val="left"/>
      <w:pPr>
        <w:tabs>
          <w:tab w:val="num" w:pos="720"/>
        </w:tabs>
        <w:ind w:left="720" w:hanging="360"/>
      </w:pPr>
      <w:rPr>
        <w:rFonts w:ascii="Arial" w:hAnsi="Arial" w:hint="default"/>
      </w:rPr>
    </w:lvl>
    <w:lvl w:ilvl="1" w:tplc="3F4CAE40" w:tentative="1">
      <w:start w:val="1"/>
      <w:numFmt w:val="bullet"/>
      <w:lvlText w:val="•"/>
      <w:lvlJc w:val="left"/>
      <w:pPr>
        <w:tabs>
          <w:tab w:val="num" w:pos="1440"/>
        </w:tabs>
        <w:ind w:left="1440" w:hanging="360"/>
      </w:pPr>
      <w:rPr>
        <w:rFonts w:ascii="Arial" w:hAnsi="Arial" w:hint="default"/>
      </w:rPr>
    </w:lvl>
    <w:lvl w:ilvl="2" w:tplc="75E06EDA" w:tentative="1">
      <w:start w:val="1"/>
      <w:numFmt w:val="bullet"/>
      <w:lvlText w:val="•"/>
      <w:lvlJc w:val="left"/>
      <w:pPr>
        <w:tabs>
          <w:tab w:val="num" w:pos="2160"/>
        </w:tabs>
        <w:ind w:left="2160" w:hanging="360"/>
      </w:pPr>
      <w:rPr>
        <w:rFonts w:ascii="Arial" w:hAnsi="Arial" w:hint="default"/>
      </w:rPr>
    </w:lvl>
    <w:lvl w:ilvl="3" w:tplc="24B805C6" w:tentative="1">
      <w:start w:val="1"/>
      <w:numFmt w:val="bullet"/>
      <w:lvlText w:val="•"/>
      <w:lvlJc w:val="left"/>
      <w:pPr>
        <w:tabs>
          <w:tab w:val="num" w:pos="2880"/>
        </w:tabs>
        <w:ind w:left="2880" w:hanging="360"/>
      </w:pPr>
      <w:rPr>
        <w:rFonts w:ascii="Arial" w:hAnsi="Arial" w:hint="default"/>
      </w:rPr>
    </w:lvl>
    <w:lvl w:ilvl="4" w:tplc="D5FE092C" w:tentative="1">
      <w:start w:val="1"/>
      <w:numFmt w:val="bullet"/>
      <w:lvlText w:val="•"/>
      <w:lvlJc w:val="left"/>
      <w:pPr>
        <w:tabs>
          <w:tab w:val="num" w:pos="3600"/>
        </w:tabs>
        <w:ind w:left="3600" w:hanging="360"/>
      </w:pPr>
      <w:rPr>
        <w:rFonts w:ascii="Arial" w:hAnsi="Arial" w:hint="default"/>
      </w:rPr>
    </w:lvl>
    <w:lvl w:ilvl="5" w:tplc="4976A136" w:tentative="1">
      <w:start w:val="1"/>
      <w:numFmt w:val="bullet"/>
      <w:lvlText w:val="•"/>
      <w:lvlJc w:val="left"/>
      <w:pPr>
        <w:tabs>
          <w:tab w:val="num" w:pos="4320"/>
        </w:tabs>
        <w:ind w:left="4320" w:hanging="360"/>
      </w:pPr>
      <w:rPr>
        <w:rFonts w:ascii="Arial" w:hAnsi="Arial" w:hint="default"/>
      </w:rPr>
    </w:lvl>
    <w:lvl w:ilvl="6" w:tplc="130ACA9C" w:tentative="1">
      <w:start w:val="1"/>
      <w:numFmt w:val="bullet"/>
      <w:lvlText w:val="•"/>
      <w:lvlJc w:val="left"/>
      <w:pPr>
        <w:tabs>
          <w:tab w:val="num" w:pos="5040"/>
        </w:tabs>
        <w:ind w:left="5040" w:hanging="360"/>
      </w:pPr>
      <w:rPr>
        <w:rFonts w:ascii="Arial" w:hAnsi="Arial" w:hint="default"/>
      </w:rPr>
    </w:lvl>
    <w:lvl w:ilvl="7" w:tplc="5BE619BE" w:tentative="1">
      <w:start w:val="1"/>
      <w:numFmt w:val="bullet"/>
      <w:lvlText w:val="•"/>
      <w:lvlJc w:val="left"/>
      <w:pPr>
        <w:tabs>
          <w:tab w:val="num" w:pos="5760"/>
        </w:tabs>
        <w:ind w:left="5760" w:hanging="360"/>
      </w:pPr>
      <w:rPr>
        <w:rFonts w:ascii="Arial" w:hAnsi="Arial" w:hint="default"/>
      </w:rPr>
    </w:lvl>
    <w:lvl w:ilvl="8" w:tplc="17C4F9A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26B470B"/>
    <w:multiLevelType w:val="hybridMultilevel"/>
    <w:tmpl w:val="6E0C41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46F075E"/>
    <w:multiLevelType w:val="hybridMultilevel"/>
    <w:tmpl w:val="3B24624E"/>
    <w:lvl w:ilvl="0" w:tplc="97448F5C">
      <w:start w:val="2"/>
      <w:numFmt w:val="bullet"/>
      <w:lvlText w:val="-"/>
      <w:lvlJc w:val="left"/>
      <w:pPr>
        <w:ind w:left="720" w:hanging="360"/>
      </w:pPr>
      <w:rPr>
        <w:rFonts w:ascii="Aptos" w:eastAsiaTheme="minorHAnsi" w:hAnsi="Aptos"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90755FB"/>
    <w:multiLevelType w:val="hybridMultilevel"/>
    <w:tmpl w:val="7AD60452"/>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20" w15:restartNumberingAfterBreak="0">
    <w:nsid w:val="7A0904E2"/>
    <w:multiLevelType w:val="hybridMultilevel"/>
    <w:tmpl w:val="2676F4D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D527ED5"/>
    <w:multiLevelType w:val="hybridMultilevel"/>
    <w:tmpl w:val="1B2CE85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16cid:durableId="2050718825">
    <w:abstractNumId w:val="12"/>
  </w:num>
  <w:num w:numId="2" w16cid:durableId="1792673559">
    <w:abstractNumId w:val="9"/>
  </w:num>
  <w:num w:numId="3" w16cid:durableId="30808990">
    <w:abstractNumId w:val="14"/>
  </w:num>
  <w:num w:numId="4" w16cid:durableId="1856991881">
    <w:abstractNumId w:val="0"/>
  </w:num>
  <w:num w:numId="5" w16cid:durableId="1368681390">
    <w:abstractNumId w:val="16"/>
  </w:num>
  <w:num w:numId="6" w16cid:durableId="321812593">
    <w:abstractNumId w:val="11"/>
  </w:num>
  <w:num w:numId="7" w16cid:durableId="515922632">
    <w:abstractNumId w:val="2"/>
  </w:num>
  <w:num w:numId="8" w16cid:durableId="295330911">
    <w:abstractNumId w:val="18"/>
  </w:num>
  <w:num w:numId="9" w16cid:durableId="1770202170">
    <w:abstractNumId w:val="21"/>
  </w:num>
  <w:num w:numId="10" w16cid:durableId="1207445946">
    <w:abstractNumId w:val="20"/>
  </w:num>
  <w:num w:numId="11" w16cid:durableId="1362242045">
    <w:abstractNumId w:val="4"/>
  </w:num>
  <w:num w:numId="12" w16cid:durableId="654451520">
    <w:abstractNumId w:val="15"/>
  </w:num>
  <w:num w:numId="13" w16cid:durableId="194780068">
    <w:abstractNumId w:val="3"/>
  </w:num>
  <w:num w:numId="14" w16cid:durableId="1443113240">
    <w:abstractNumId w:val="10"/>
  </w:num>
  <w:num w:numId="15" w16cid:durableId="1422605864">
    <w:abstractNumId w:val="13"/>
  </w:num>
  <w:num w:numId="16" w16cid:durableId="184827958">
    <w:abstractNumId w:val="1"/>
  </w:num>
  <w:num w:numId="17" w16cid:durableId="370109997">
    <w:abstractNumId w:val="17"/>
  </w:num>
  <w:num w:numId="18" w16cid:durableId="1927952522">
    <w:abstractNumId w:val="5"/>
  </w:num>
  <w:num w:numId="19" w16cid:durableId="1965382621">
    <w:abstractNumId w:val="8"/>
  </w:num>
  <w:num w:numId="20" w16cid:durableId="333724469">
    <w:abstractNumId w:val="7"/>
  </w:num>
  <w:num w:numId="21" w16cid:durableId="1455752128">
    <w:abstractNumId w:val="19"/>
  </w:num>
  <w:num w:numId="22" w16cid:durableId="1933078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E2D"/>
    <w:rsid w:val="00001416"/>
    <w:rsid w:val="00002E8A"/>
    <w:rsid w:val="00002F16"/>
    <w:rsid w:val="000037DD"/>
    <w:rsid w:val="00005777"/>
    <w:rsid w:val="00006BFF"/>
    <w:rsid w:val="00007173"/>
    <w:rsid w:val="00010169"/>
    <w:rsid w:val="00010785"/>
    <w:rsid w:val="00011AC5"/>
    <w:rsid w:val="00012FA2"/>
    <w:rsid w:val="00016708"/>
    <w:rsid w:val="00020D7B"/>
    <w:rsid w:val="0002260A"/>
    <w:rsid w:val="0002433E"/>
    <w:rsid w:val="00025B76"/>
    <w:rsid w:val="00025C3B"/>
    <w:rsid w:val="0002631C"/>
    <w:rsid w:val="00026B2D"/>
    <w:rsid w:val="000278A4"/>
    <w:rsid w:val="000303B4"/>
    <w:rsid w:val="000307AA"/>
    <w:rsid w:val="000310FD"/>
    <w:rsid w:val="000315E0"/>
    <w:rsid w:val="00032484"/>
    <w:rsid w:val="00034AE0"/>
    <w:rsid w:val="0003578F"/>
    <w:rsid w:val="00035B0B"/>
    <w:rsid w:val="00036B2F"/>
    <w:rsid w:val="00037E00"/>
    <w:rsid w:val="00042072"/>
    <w:rsid w:val="00046C29"/>
    <w:rsid w:val="00047333"/>
    <w:rsid w:val="00047CF6"/>
    <w:rsid w:val="00050474"/>
    <w:rsid w:val="000510DD"/>
    <w:rsid w:val="00052A60"/>
    <w:rsid w:val="000547C1"/>
    <w:rsid w:val="0005501C"/>
    <w:rsid w:val="00060C07"/>
    <w:rsid w:val="0006220E"/>
    <w:rsid w:val="000634EB"/>
    <w:rsid w:val="00064ABE"/>
    <w:rsid w:val="00065F41"/>
    <w:rsid w:val="00067EAC"/>
    <w:rsid w:val="00074C59"/>
    <w:rsid w:val="00075C92"/>
    <w:rsid w:val="00076EB5"/>
    <w:rsid w:val="000829E9"/>
    <w:rsid w:val="00083C87"/>
    <w:rsid w:val="00085956"/>
    <w:rsid w:val="00086D01"/>
    <w:rsid w:val="0008742A"/>
    <w:rsid w:val="0009051A"/>
    <w:rsid w:val="00092583"/>
    <w:rsid w:val="000928BD"/>
    <w:rsid w:val="000937B4"/>
    <w:rsid w:val="0009434B"/>
    <w:rsid w:val="00097683"/>
    <w:rsid w:val="000A0FF4"/>
    <w:rsid w:val="000A29E7"/>
    <w:rsid w:val="000A6BBF"/>
    <w:rsid w:val="000A7BA3"/>
    <w:rsid w:val="000B2775"/>
    <w:rsid w:val="000B35D3"/>
    <w:rsid w:val="000B40D0"/>
    <w:rsid w:val="000B4DCD"/>
    <w:rsid w:val="000B5D08"/>
    <w:rsid w:val="000B5D57"/>
    <w:rsid w:val="000B6ECB"/>
    <w:rsid w:val="000B76CE"/>
    <w:rsid w:val="000B7E2D"/>
    <w:rsid w:val="000C0A5B"/>
    <w:rsid w:val="000C0D64"/>
    <w:rsid w:val="000C3063"/>
    <w:rsid w:val="000C440D"/>
    <w:rsid w:val="000C46C9"/>
    <w:rsid w:val="000C5BF6"/>
    <w:rsid w:val="000C6B0B"/>
    <w:rsid w:val="000C6B27"/>
    <w:rsid w:val="000D03A1"/>
    <w:rsid w:val="000D1573"/>
    <w:rsid w:val="000D1DC2"/>
    <w:rsid w:val="000D2135"/>
    <w:rsid w:val="000D2144"/>
    <w:rsid w:val="000D245A"/>
    <w:rsid w:val="000D4806"/>
    <w:rsid w:val="000D4EE3"/>
    <w:rsid w:val="000D5458"/>
    <w:rsid w:val="000D64FC"/>
    <w:rsid w:val="000D74D0"/>
    <w:rsid w:val="000D7F7B"/>
    <w:rsid w:val="000E0174"/>
    <w:rsid w:val="000E0334"/>
    <w:rsid w:val="000E24C1"/>
    <w:rsid w:val="000E32CD"/>
    <w:rsid w:val="000E4BF9"/>
    <w:rsid w:val="000E7EE4"/>
    <w:rsid w:val="000F21F1"/>
    <w:rsid w:val="000F266F"/>
    <w:rsid w:val="000F59A1"/>
    <w:rsid w:val="000F737C"/>
    <w:rsid w:val="001007F0"/>
    <w:rsid w:val="001011C3"/>
    <w:rsid w:val="001028DD"/>
    <w:rsid w:val="001037EE"/>
    <w:rsid w:val="00104A99"/>
    <w:rsid w:val="00104B8F"/>
    <w:rsid w:val="001051FD"/>
    <w:rsid w:val="00105EB6"/>
    <w:rsid w:val="00107202"/>
    <w:rsid w:val="00110BD6"/>
    <w:rsid w:val="00110E43"/>
    <w:rsid w:val="0011106C"/>
    <w:rsid w:val="00112F51"/>
    <w:rsid w:val="00114EC7"/>
    <w:rsid w:val="00114ED8"/>
    <w:rsid w:val="00120251"/>
    <w:rsid w:val="00122736"/>
    <w:rsid w:val="00123C72"/>
    <w:rsid w:val="00123D3F"/>
    <w:rsid w:val="00126FF5"/>
    <w:rsid w:val="00127A9B"/>
    <w:rsid w:val="00127E66"/>
    <w:rsid w:val="001304CF"/>
    <w:rsid w:val="0013084C"/>
    <w:rsid w:val="00131F06"/>
    <w:rsid w:val="00132627"/>
    <w:rsid w:val="001327B0"/>
    <w:rsid w:val="00136008"/>
    <w:rsid w:val="0014209A"/>
    <w:rsid w:val="001421CE"/>
    <w:rsid w:val="00143908"/>
    <w:rsid w:val="00144C9F"/>
    <w:rsid w:val="00144FD5"/>
    <w:rsid w:val="00145C37"/>
    <w:rsid w:val="00146C37"/>
    <w:rsid w:val="00147362"/>
    <w:rsid w:val="0014743A"/>
    <w:rsid w:val="00147A53"/>
    <w:rsid w:val="001503B9"/>
    <w:rsid w:val="001512BA"/>
    <w:rsid w:val="00151C11"/>
    <w:rsid w:val="00152232"/>
    <w:rsid w:val="0015310A"/>
    <w:rsid w:val="0015366E"/>
    <w:rsid w:val="001546EB"/>
    <w:rsid w:val="00155299"/>
    <w:rsid w:val="00157ECA"/>
    <w:rsid w:val="0016305A"/>
    <w:rsid w:val="00165434"/>
    <w:rsid w:val="001659C9"/>
    <w:rsid w:val="00165F99"/>
    <w:rsid w:val="00166EA1"/>
    <w:rsid w:val="00173516"/>
    <w:rsid w:val="00173DAF"/>
    <w:rsid w:val="001743B6"/>
    <w:rsid w:val="0017706F"/>
    <w:rsid w:val="00177BBB"/>
    <w:rsid w:val="00181F10"/>
    <w:rsid w:val="001829FF"/>
    <w:rsid w:val="00185EC7"/>
    <w:rsid w:val="00187EFA"/>
    <w:rsid w:val="0019188D"/>
    <w:rsid w:val="00191D9E"/>
    <w:rsid w:val="001927C9"/>
    <w:rsid w:val="00193162"/>
    <w:rsid w:val="0019330A"/>
    <w:rsid w:val="00193712"/>
    <w:rsid w:val="00194025"/>
    <w:rsid w:val="0019476D"/>
    <w:rsid w:val="0019568B"/>
    <w:rsid w:val="001957A0"/>
    <w:rsid w:val="00197B93"/>
    <w:rsid w:val="001A0370"/>
    <w:rsid w:val="001A17BA"/>
    <w:rsid w:val="001A239A"/>
    <w:rsid w:val="001A277A"/>
    <w:rsid w:val="001A2B8C"/>
    <w:rsid w:val="001A322C"/>
    <w:rsid w:val="001A3CB9"/>
    <w:rsid w:val="001A59A2"/>
    <w:rsid w:val="001A5FE0"/>
    <w:rsid w:val="001A65B7"/>
    <w:rsid w:val="001A65C9"/>
    <w:rsid w:val="001A6E8F"/>
    <w:rsid w:val="001B262A"/>
    <w:rsid w:val="001B2878"/>
    <w:rsid w:val="001B402C"/>
    <w:rsid w:val="001B4B48"/>
    <w:rsid w:val="001C028F"/>
    <w:rsid w:val="001C24D1"/>
    <w:rsid w:val="001C5515"/>
    <w:rsid w:val="001C6D6F"/>
    <w:rsid w:val="001D02B8"/>
    <w:rsid w:val="001D057E"/>
    <w:rsid w:val="001D18D9"/>
    <w:rsid w:val="001D3B27"/>
    <w:rsid w:val="001D5822"/>
    <w:rsid w:val="001D66E4"/>
    <w:rsid w:val="001D6964"/>
    <w:rsid w:val="001E165F"/>
    <w:rsid w:val="001E2EE1"/>
    <w:rsid w:val="001E3E2D"/>
    <w:rsid w:val="001E50F7"/>
    <w:rsid w:val="001E528D"/>
    <w:rsid w:val="001E62D7"/>
    <w:rsid w:val="001E75A4"/>
    <w:rsid w:val="001F01C8"/>
    <w:rsid w:val="001F05D7"/>
    <w:rsid w:val="001F15B1"/>
    <w:rsid w:val="001F1FF7"/>
    <w:rsid w:val="001F390A"/>
    <w:rsid w:val="001F6355"/>
    <w:rsid w:val="00200F84"/>
    <w:rsid w:val="00202234"/>
    <w:rsid w:val="0020408F"/>
    <w:rsid w:val="002054E0"/>
    <w:rsid w:val="00210B31"/>
    <w:rsid w:val="002112F0"/>
    <w:rsid w:val="002125A1"/>
    <w:rsid w:val="0021262C"/>
    <w:rsid w:val="00214BC0"/>
    <w:rsid w:val="002152D1"/>
    <w:rsid w:val="002157B5"/>
    <w:rsid w:val="00215F72"/>
    <w:rsid w:val="00216250"/>
    <w:rsid w:val="00216788"/>
    <w:rsid w:val="0021748E"/>
    <w:rsid w:val="002238AB"/>
    <w:rsid w:val="00224AE1"/>
    <w:rsid w:val="00226727"/>
    <w:rsid w:val="0022791D"/>
    <w:rsid w:val="00230670"/>
    <w:rsid w:val="00231263"/>
    <w:rsid w:val="002324E0"/>
    <w:rsid w:val="00232ED0"/>
    <w:rsid w:val="00233106"/>
    <w:rsid w:val="002333D9"/>
    <w:rsid w:val="002347AB"/>
    <w:rsid w:val="00234842"/>
    <w:rsid w:val="002375AF"/>
    <w:rsid w:val="002404F7"/>
    <w:rsid w:val="002409AF"/>
    <w:rsid w:val="002416F7"/>
    <w:rsid w:val="00244582"/>
    <w:rsid w:val="00245CCC"/>
    <w:rsid w:val="002470C0"/>
    <w:rsid w:val="00247FF6"/>
    <w:rsid w:val="00251AC7"/>
    <w:rsid w:val="00252A75"/>
    <w:rsid w:val="002549A5"/>
    <w:rsid w:val="00254FB1"/>
    <w:rsid w:val="0025508F"/>
    <w:rsid w:val="002563ED"/>
    <w:rsid w:val="00257683"/>
    <w:rsid w:val="0026144E"/>
    <w:rsid w:val="002616AB"/>
    <w:rsid w:val="00261FEA"/>
    <w:rsid w:val="0026311A"/>
    <w:rsid w:val="0026327C"/>
    <w:rsid w:val="002634C1"/>
    <w:rsid w:val="00264934"/>
    <w:rsid w:val="0026508C"/>
    <w:rsid w:val="002655CB"/>
    <w:rsid w:val="00266799"/>
    <w:rsid w:val="00270227"/>
    <w:rsid w:val="00270284"/>
    <w:rsid w:val="00273698"/>
    <w:rsid w:val="002770F7"/>
    <w:rsid w:val="00277522"/>
    <w:rsid w:val="0027789E"/>
    <w:rsid w:val="00277F4D"/>
    <w:rsid w:val="00280915"/>
    <w:rsid w:val="00280E57"/>
    <w:rsid w:val="00281E1A"/>
    <w:rsid w:val="002837D3"/>
    <w:rsid w:val="0028397B"/>
    <w:rsid w:val="00286444"/>
    <w:rsid w:val="002876B5"/>
    <w:rsid w:val="0028797E"/>
    <w:rsid w:val="0029002F"/>
    <w:rsid w:val="00290525"/>
    <w:rsid w:val="00290E35"/>
    <w:rsid w:val="00293534"/>
    <w:rsid w:val="00293954"/>
    <w:rsid w:val="00294A00"/>
    <w:rsid w:val="002965DC"/>
    <w:rsid w:val="002A06D0"/>
    <w:rsid w:val="002A08F0"/>
    <w:rsid w:val="002A104A"/>
    <w:rsid w:val="002A14C0"/>
    <w:rsid w:val="002A641B"/>
    <w:rsid w:val="002A6870"/>
    <w:rsid w:val="002A71B5"/>
    <w:rsid w:val="002B0049"/>
    <w:rsid w:val="002B1D1B"/>
    <w:rsid w:val="002B4200"/>
    <w:rsid w:val="002B5B9D"/>
    <w:rsid w:val="002C2013"/>
    <w:rsid w:val="002C2833"/>
    <w:rsid w:val="002C4624"/>
    <w:rsid w:val="002C7DEB"/>
    <w:rsid w:val="002C7EC8"/>
    <w:rsid w:val="002D01E6"/>
    <w:rsid w:val="002D0850"/>
    <w:rsid w:val="002D2035"/>
    <w:rsid w:val="002D2074"/>
    <w:rsid w:val="002D2749"/>
    <w:rsid w:val="002D30F6"/>
    <w:rsid w:val="002D426C"/>
    <w:rsid w:val="002D4669"/>
    <w:rsid w:val="002D54AF"/>
    <w:rsid w:val="002E09F1"/>
    <w:rsid w:val="002E1297"/>
    <w:rsid w:val="002E167D"/>
    <w:rsid w:val="002E197B"/>
    <w:rsid w:val="002E347C"/>
    <w:rsid w:val="002E54D1"/>
    <w:rsid w:val="002E7B19"/>
    <w:rsid w:val="002E7FFC"/>
    <w:rsid w:val="002F0171"/>
    <w:rsid w:val="002F0A7C"/>
    <w:rsid w:val="002F0C0F"/>
    <w:rsid w:val="002F244F"/>
    <w:rsid w:val="002F2AF7"/>
    <w:rsid w:val="002F3BE1"/>
    <w:rsid w:val="002F44AF"/>
    <w:rsid w:val="002F6139"/>
    <w:rsid w:val="002F71DB"/>
    <w:rsid w:val="002F7D30"/>
    <w:rsid w:val="00300AB4"/>
    <w:rsid w:val="00302737"/>
    <w:rsid w:val="00303795"/>
    <w:rsid w:val="00303DA0"/>
    <w:rsid w:val="00304622"/>
    <w:rsid w:val="00304CD3"/>
    <w:rsid w:val="00304DEF"/>
    <w:rsid w:val="00312310"/>
    <w:rsid w:val="003132B4"/>
    <w:rsid w:val="00314856"/>
    <w:rsid w:val="00314DDE"/>
    <w:rsid w:val="00315194"/>
    <w:rsid w:val="00321CC2"/>
    <w:rsid w:val="00322899"/>
    <w:rsid w:val="00322D9B"/>
    <w:rsid w:val="00323CE1"/>
    <w:rsid w:val="003240ED"/>
    <w:rsid w:val="003268E6"/>
    <w:rsid w:val="00327596"/>
    <w:rsid w:val="003275EB"/>
    <w:rsid w:val="00330C42"/>
    <w:rsid w:val="00330CCC"/>
    <w:rsid w:val="00332230"/>
    <w:rsid w:val="00332D69"/>
    <w:rsid w:val="00333C2B"/>
    <w:rsid w:val="00334EEC"/>
    <w:rsid w:val="0034182D"/>
    <w:rsid w:val="0034209A"/>
    <w:rsid w:val="00342F44"/>
    <w:rsid w:val="0034336E"/>
    <w:rsid w:val="0034379E"/>
    <w:rsid w:val="00351145"/>
    <w:rsid w:val="003518D5"/>
    <w:rsid w:val="00356256"/>
    <w:rsid w:val="00357997"/>
    <w:rsid w:val="003604C5"/>
    <w:rsid w:val="00360902"/>
    <w:rsid w:val="00361821"/>
    <w:rsid w:val="00362BC7"/>
    <w:rsid w:val="00362D17"/>
    <w:rsid w:val="00363D76"/>
    <w:rsid w:val="00363D79"/>
    <w:rsid w:val="0036417E"/>
    <w:rsid w:val="00364368"/>
    <w:rsid w:val="00365737"/>
    <w:rsid w:val="00365E62"/>
    <w:rsid w:val="003663B0"/>
    <w:rsid w:val="003678CF"/>
    <w:rsid w:val="00370CC1"/>
    <w:rsid w:val="003711C2"/>
    <w:rsid w:val="00371F55"/>
    <w:rsid w:val="00372242"/>
    <w:rsid w:val="00374775"/>
    <w:rsid w:val="00374B6F"/>
    <w:rsid w:val="00375773"/>
    <w:rsid w:val="00375FB7"/>
    <w:rsid w:val="00376CA3"/>
    <w:rsid w:val="00381757"/>
    <w:rsid w:val="0038353E"/>
    <w:rsid w:val="003838A6"/>
    <w:rsid w:val="00383EA9"/>
    <w:rsid w:val="003873A9"/>
    <w:rsid w:val="00387D3E"/>
    <w:rsid w:val="003901EC"/>
    <w:rsid w:val="003909EA"/>
    <w:rsid w:val="00390DAC"/>
    <w:rsid w:val="00391F48"/>
    <w:rsid w:val="00392266"/>
    <w:rsid w:val="00392D28"/>
    <w:rsid w:val="0039366A"/>
    <w:rsid w:val="00396ED0"/>
    <w:rsid w:val="003977CF"/>
    <w:rsid w:val="00397DC6"/>
    <w:rsid w:val="003A0550"/>
    <w:rsid w:val="003A0D00"/>
    <w:rsid w:val="003A1749"/>
    <w:rsid w:val="003A235D"/>
    <w:rsid w:val="003A2C58"/>
    <w:rsid w:val="003A2E6C"/>
    <w:rsid w:val="003A4BBD"/>
    <w:rsid w:val="003A71EE"/>
    <w:rsid w:val="003B15A0"/>
    <w:rsid w:val="003B2A71"/>
    <w:rsid w:val="003B2FC8"/>
    <w:rsid w:val="003B39AE"/>
    <w:rsid w:val="003B4FDC"/>
    <w:rsid w:val="003B5FFC"/>
    <w:rsid w:val="003B649C"/>
    <w:rsid w:val="003B6F76"/>
    <w:rsid w:val="003C1344"/>
    <w:rsid w:val="003C613C"/>
    <w:rsid w:val="003C6CF7"/>
    <w:rsid w:val="003D099A"/>
    <w:rsid w:val="003D2F19"/>
    <w:rsid w:val="003D4F80"/>
    <w:rsid w:val="003D58A0"/>
    <w:rsid w:val="003D5B5C"/>
    <w:rsid w:val="003D7097"/>
    <w:rsid w:val="003D7F5C"/>
    <w:rsid w:val="003E6AC3"/>
    <w:rsid w:val="003E6C8B"/>
    <w:rsid w:val="003F0439"/>
    <w:rsid w:val="003F1E35"/>
    <w:rsid w:val="003F40B9"/>
    <w:rsid w:val="003F4282"/>
    <w:rsid w:val="003F4798"/>
    <w:rsid w:val="003F55A2"/>
    <w:rsid w:val="003F7309"/>
    <w:rsid w:val="003F78A3"/>
    <w:rsid w:val="0040073C"/>
    <w:rsid w:val="00400B3A"/>
    <w:rsid w:val="00403FDF"/>
    <w:rsid w:val="00404E05"/>
    <w:rsid w:val="00405AEF"/>
    <w:rsid w:val="00406622"/>
    <w:rsid w:val="00407E7F"/>
    <w:rsid w:val="00411C43"/>
    <w:rsid w:val="00412232"/>
    <w:rsid w:val="00412566"/>
    <w:rsid w:val="0041691A"/>
    <w:rsid w:val="0042100A"/>
    <w:rsid w:val="00421505"/>
    <w:rsid w:val="004221AA"/>
    <w:rsid w:val="004222D0"/>
    <w:rsid w:val="00422BB4"/>
    <w:rsid w:val="0042308C"/>
    <w:rsid w:val="00425745"/>
    <w:rsid w:val="00426409"/>
    <w:rsid w:val="0042773E"/>
    <w:rsid w:val="00430037"/>
    <w:rsid w:val="00430EF1"/>
    <w:rsid w:val="00431348"/>
    <w:rsid w:val="00431653"/>
    <w:rsid w:val="0043508A"/>
    <w:rsid w:val="00435597"/>
    <w:rsid w:val="004356C7"/>
    <w:rsid w:val="00437579"/>
    <w:rsid w:val="004430A1"/>
    <w:rsid w:val="004443E5"/>
    <w:rsid w:val="004448EE"/>
    <w:rsid w:val="00444CA0"/>
    <w:rsid w:val="0044518E"/>
    <w:rsid w:val="004457DA"/>
    <w:rsid w:val="004501B4"/>
    <w:rsid w:val="00450306"/>
    <w:rsid w:val="00451EFF"/>
    <w:rsid w:val="0045434A"/>
    <w:rsid w:val="004544D4"/>
    <w:rsid w:val="00457C26"/>
    <w:rsid w:val="00457CCF"/>
    <w:rsid w:val="00461B78"/>
    <w:rsid w:val="00462CC3"/>
    <w:rsid w:val="0046349A"/>
    <w:rsid w:val="0046397F"/>
    <w:rsid w:val="004677C9"/>
    <w:rsid w:val="00467E05"/>
    <w:rsid w:val="004716A0"/>
    <w:rsid w:val="004716BD"/>
    <w:rsid w:val="00472906"/>
    <w:rsid w:val="0047477A"/>
    <w:rsid w:val="004752F2"/>
    <w:rsid w:val="00475814"/>
    <w:rsid w:val="00477988"/>
    <w:rsid w:val="00477A6E"/>
    <w:rsid w:val="00480CF2"/>
    <w:rsid w:val="004813C0"/>
    <w:rsid w:val="0048146A"/>
    <w:rsid w:val="00481A09"/>
    <w:rsid w:val="004825CC"/>
    <w:rsid w:val="00482711"/>
    <w:rsid w:val="004836B7"/>
    <w:rsid w:val="00483E6C"/>
    <w:rsid w:val="00484986"/>
    <w:rsid w:val="00485E3A"/>
    <w:rsid w:val="004862A9"/>
    <w:rsid w:val="00487949"/>
    <w:rsid w:val="0049009F"/>
    <w:rsid w:val="004904B6"/>
    <w:rsid w:val="00490C20"/>
    <w:rsid w:val="00490DCC"/>
    <w:rsid w:val="0049335D"/>
    <w:rsid w:val="004959FF"/>
    <w:rsid w:val="00495CB2"/>
    <w:rsid w:val="00497064"/>
    <w:rsid w:val="004A156E"/>
    <w:rsid w:val="004A1FFD"/>
    <w:rsid w:val="004A29B9"/>
    <w:rsid w:val="004A374F"/>
    <w:rsid w:val="004A56E8"/>
    <w:rsid w:val="004A5CC9"/>
    <w:rsid w:val="004B1151"/>
    <w:rsid w:val="004B227F"/>
    <w:rsid w:val="004B2B8E"/>
    <w:rsid w:val="004B2C70"/>
    <w:rsid w:val="004B407D"/>
    <w:rsid w:val="004B4E5A"/>
    <w:rsid w:val="004B6EDF"/>
    <w:rsid w:val="004B796D"/>
    <w:rsid w:val="004B7E3C"/>
    <w:rsid w:val="004C17A0"/>
    <w:rsid w:val="004C3305"/>
    <w:rsid w:val="004C3BDF"/>
    <w:rsid w:val="004C436F"/>
    <w:rsid w:val="004C4EA7"/>
    <w:rsid w:val="004C5FBA"/>
    <w:rsid w:val="004D011E"/>
    <w:rsid w:val="004D0AB4"/>
    <w:rsid w:val="004D2D86"/>
    <w:rsid w:val="004D2F35"/>
    <w:rsid w:val="004D6EDB"/>
    <w:rsid w:val="004E03A4"/>
    <w:rsid w:val="004E1F5E"/>
    <w:rsid w:val="004E2FC9"/>
    <w:rsid w:val="004E30CB"/>
    <w:rsid w:val="004E49B4"/>
    <w:rsid w:val="004E51AF"/>
    <w:rsid w:val="004E67BB"/>
    <w:rsid w:val="004E6871"/>
    <w:rsid w:val="004F000C"/>
    <w:rsid w:val="004F003B"/>
    <w:rsid w:val="004F00FC"/>
    <w:rsid w:val="004F1D57"/>
    <w:rsid w:val="004F2AD3"/>
    <w:rsid w:val="004F3403"/>
    <w:rsid w:val="004F6149"/>
    <w:rsid w:val="004F62D1"/>
    <w:rsid w:val="004F6D46"/>
    <w:rsid w:val="004F6E57"/>
    <w:rsid w:val="004F6F7B"/>
    <w:rsid w:val="004F7583"/>
    <w:rsid w:val="00502136"/>
    <w:rsid w:val="00502CFB"/>
    <w:rsid w:val="00504190"/>
    <w:rsid w:val="00504DB0"/>
    <w:rsid w:val="0050650C"/>
    <w:rsid w:val="00506B94"/>
    <w:rsid w:val="0051109A"/>
    <w:rsid w:val="005121A8"/>
    <w:rsid w:val="005137E1"/>
    <w:rsid w:val="00513AE0"/>
    <w:rsid w:val="0051447A"/>
    <w:rsid w:val="00514C1C"/>
    <w:rsid w:val="00521EC4"/>
    <w:rsid w:val="00522934"/>
    <w:rsid w:val="00522E71"/>
    <w:rsid w:val="005232F1"/>
    <w:rsid w:val="00524617"/>
    <w:rsid w:val="00524C38"/>
    <w:rsid w:val="005255C0"/>
    <w:rsid w:val="00525D6F"/>
    <w:rsid w:val="0052649E"/>
    <w:rsid w:val="005278D2"/>
    <w:rsid w:val="00527F46"/>
    <w:rsid w:val="00530DB1"/>
    <w:rsid w:val="00530FA4"/>
    <w:rsid w:val="005322E9"/>
    <w:rsid w:val="005331D0"/>
    <w:rsid w:val="005352CB"/>
    <w:rsid w:val="00535E12"/>
    <w:rsid w:val="00536054"/>
    <w:rsid w:val="0053684B"/>
    <w:rsid w:val="005370F3"/>
    <w:rsid w:val="005406D7"/>
    <w:rsid w:val="005440F9"/>
    <w:rsid w:val="005446B4"/>
    <w:rsid w:val="00544F8A"/>
    <w:rsid w:val="00544FE8"/>
    <w:rsid w:val="005455A8"/>
    <w:rsid w:val="00545B1D"/>
    <w:rsid w:val="00546609"/>
    <w:rsid w:val="00547A3C"/>
    <w:rsid w:val="00547D3F"/>
    <w:rsid w:val="005510C5"/>
    <w:rsid w:val="00556F86"/>
    <w:rsid w:val="00560A47"/>
    <w:rsid w:val="0056181E"/>
    <w:rsid w:val="00563979"/>
    <w:rsid w:val="00565EAA"/>
    <w:rsid w:val="0056791B"/>
    <w:rsid w:val="00567E7A"/>
    <w:rsid w:val="00567F49"/>
    <w:rsid w:val="005703AE"/>
    <w:rsid w:val="005765CC"/>
    <w:rsid w:val="00581F40"/>
    <w:rsid w:val="00583CBB"/>
    <w:rsid w:val="00584593"/>
    <w:rsid w:val="00584C84"/>
    <w:rsid w:val="005852BB"/>
    <w:rsid w:val="005852F0"/>
    <w:rsid w:val="0058648B"/>
    <w:rsid w:val="005867AB"/>
    <w:rsid w:val="00586F96"/>
    <w:rsid w:val="00586F99"/>
    <w:rsid w:val="005870FD"/>
    <w:rsid w:val="00587428"/>
    <w:rsid w:val="00587F7F"/>
    <w:rsid w:val="00591B91"/>
    <w:rsid w:val="00592279"/>
    <w:rsid w:val="005931ED"/>
    <w:rsid w:val="00594C27"/>
    <w:rsid w:val="00596A1A"/>
    <w:rsid w:val="005973D3"/>
    <w:rsid w:val="005A2F3D"/>
    <w:rsid w:val="005A33E7"/>
    <w:rsid w:val="005A3822"/>
    <w:rsid w:val="005A495C"/>
    <w:rsid w:val="005A5B6B"/>
    <w:rsid w:val="005A66F9"/>
    <w:rsid w:val="005B1658"/>
    <w:rsid w:val="005B1B09"/>
    <w:rsid w:val="005B261D"/>
    <w:rsid w:val="005B6453"/>
    <w:rsid w:val="005C010B"/>
    <w:rsid w:val="005C1743"/>
    <w:rsid w:val="005C2695"/>
    <w:rsid w:val="005C30DB"/>
    <w:rsid w:val="005C3823"/>
    <w:rsid w:val="005C4F20"/>
    <w:rsid w:val="005C5423"/>
    <w:rsid w:val="005D03BB"/>
    <w:rsid w:val="005D22C1"/>
    <w:rsid w:val="005D2B86"/>
    <w:rsid w:val="005D3EF8"/>
    <w:rsid w:val="005D66A5"/>
    <w:rsid w:val="005D779B"/>
    <w:rsid w:val="005D7E66"/>
    <w:rsid w:val="005D7F87"/>
    <w:rsid w:val="005E35D8"/>
    <w:rsid w:val="005E3651"/>
    <w:rsid w:val="005E492F"/>
    <w:rsid w:val="005E4938"/>
    <w:rsid w:val="005E4B21"/>
    <w:rsid w:val="005E4C1B"/>
    <w:rsid w:val="005E5204"/>
    <w:rsid w:val="005E61EC"/>
    <w:rsid w:val="005E6F0B"/>
    <w:rsid w:val="005E7801"/>
    <w:rsid w:val="005F136E"/>
    <w:rsid w:val="005F1AD5"/>
    <w:rsid w:val="005F1E07"/>
    <w:rsid w:val="005F2388"/>
    <w:rsid w:val="005F2CE6"/>
    <w:rsid w:val="005F2DC4"/>
    <w:rsid w:val="005F4622"/>
    <w:rsid w:val="005F517C"/>
    <w:rsid w:val="005F7317"/>
    <w:rsid w:val="006030E0"/>
    <w:rsid w:val="006053E5"/>
    <w:rsid w:val="006062B7"/>
    <w:rsid w:val="00606305"/>
    <w:rsid w:val="006066E7"/>
    <w:rsid w:val="00610A0B"/>
    <w:rsid w:val="00610DB9"/>
    <w:rsid w:val="00612674"/>
    <w:rsid w:val="0061410E"/>
    <w:rsid w:val="006157EE"/>
    <w:rsid w:val="00616BB3"/>
    <w:rsid w:val="00620450"/>
    <w:rsid w:val="00621817"/>
    <w:rsid w:val="00621B7B"/>
    <w:rsid w:val="00622E31"/>
    <w:rsid w:val="006238AE"/>
    <w:rsid w:val="00623B05"/>
    <w:rsid w:val="00624D9F"/>
    <w:rsid w:val="00626B1C"/>
    <w:rsid w:val="00626F3B"/>
    <w:rsid w:val="00630C9A"/>
    <w:rsid w:val="00631BFF"/>
    <w:rsid w:val="00633E82"/>
    <w:rsid w:val="006348E1"/>
    <w:rsid w:val="00634FAA"/>
    <w:rsid w:val="00637905"/>
    <w:rsid w:val="006400C7"/>
    <w:rsid w:val="0064108B"/>
    <w:rsid w:val="00642A17"/>
    <w:rsid w:val="006439BA"/>
    <w:rsid w:val="00645199"/>
    <w:rsid w:val="006455D4"/>
    <w:rsid w:val="00645875"/>
    <w:rsid w:val="00646A5C"/>
    <w:rsid w:val="0065114D"/>
    <w:rsid w:val="0065169E"/>
    <w:rsid w:val="00652C9B"/>
    <w:rsid w:val="00654527"/>
    <w:rsid w:val="0065598B"/>
    <w:rsid w:val="00660060"/>
    <w:rsid w:val="00660436"/>
    <w:rsid w:val="006605E8"/>
    <w:rsid w:val="0066156F"/>
    <w:rsid w:val="00661996"/>
    <w:rsid w:val="00661E21"/>
    <w:rsid w:val="00662969"/>
    <w:rsid w:val="00662CB7"/>
    <w:rsid w:val="0066362D"/>
    <w:rsid w:val="00663D59"/>
    <w:rsid w:val="00664794"/>
    <w:rsid w:val="00666A7B"/>
    <w:rsid w:val="00667540"/>
    <w:rsid w:val="006700B5"/>
    <w:rsid w:val="00670845"/>
    <w:rsid w:val="00672DE5"/>
    <w:rsid w:val="006740AC"/>
    <w:rsid w:val="006750AE"/>
    <w:rsid w:val="006779E1"/>
    <w:rsid w:val="00680B11"/>
    <w:rsid w:val="00682841"/>
    <w:rsid w:val="00683190"/>
    <w:rsid w:val="00684FF8"/>
    <w:rsid w:val="00694CD3"/>
    <w:rsid w:val="006950C5"/>
    <w:rsid w:val="00695C23"/>
    <w:rsid w:val="00697CD1"/>
    <w:rsid w:val="006A1B15"/>
    <w:rsid w:val="006A489B"/>
    <w:rsid w:val="006A5E10"/>
    <w:rsid w:val="006A6975"/>
    <w:rsid w:val="006A7D43"/>
    <w:rsid w:val="006B0274"/>
    <w:rsid w:val="006B2817"/>
    <w:rsid w:val="006B2D32"/>
    <w:rsid w:val="006B3F99"/>
    <w:rsid w:val="006B4005"/>
    <w:rsid w:val="006B49D5"/>
    <w:rsid w:val="006B4BD9"/>
    <w:rsid w:val="006B4DB6"/>
    <w:rsid w:val="006B50DF"/>
    <w:rsid w:val="006B7638"/>
    <w:rsid w:val="006C0098"/>
    <w:rsid w:val="006C082B"/>
    <w:rsid w:val="006C21B9"/>
    <w:rsid w:val="006C2743"/>
    <w:rsid w:val="006C4A4B"/>
    <w:rsid w:val="006C6FF5"/>
    <w:rsid w:val="006D00CE"/>
    <w:rsid w:val="006D11FD"/>
    <w:rsid w:val="006D1B07"/>
    <w:rsid w:val="006D1D4E"/>
    <w:rsid w:val="006D3099"/>
    <w:rsid w:val="006D37F7"/>
    <w:rsid w:val="006D4FE8"/>
    <w:rsid w:val="006D5A6C"/>
    <w:rsid w:val="006D623D"/>
    <w:rsid w:val="006E03C9"/>
    <w:rsid w:val="006E1590"/>
    <w:rsid w:val="006E286E"/>
    <w:rsid w:val="006E4579"/>
    <w:rsid w:val="006E5EA8"/>
    <w:rsid w:val="006E6836"/>
    <w:rsid w:val="006F0315"/>
    <w:rsid w:val="006F0370"/>
    <w:rsid w:val="006F116C"/>
    <w:rsid w:val="006F14A5"/>
    <w:rsid w:val="006F1E71"/>
    <w:rsid w:val="006F27B5"/>
    <w:rsid w:val="006F2EEA"/>
    <w:rsid w:val="006F311E"/>
    <w:rsid w:val="006F5061"/>
    <w:rsid w:val="006F64A6"/>
    <w:rsid w:val="006F7CC2"/>
    <w:rsid w:val="00701BAF"/>
    <w:rsid w:val="007020BB"/>
    <w:rsid w:val="007024AC"/>
    <w:rsid w:val="00702E39"/>
    <w:rsid w:val="00705E4A"/>
    <w:rsid w:val="00706535"/>
    <w:rsid w:val="0070756E"/>
    <w:rsid w:val="00710931"/>
    <w:rsid w:val="00710AB3"/>
    <w:rsid w:val="007129E7"/>
    <w:rsid w:val="007144D7"/>
    <w:rsid w:val="00717586"/>
    <w:rsid w:val="007207C1"/>
    <w:rsid w:val="00724AA4"/>
    <w:rsid w:val="00725DA8"/>
    <w:rsid w:val="00730296"/>
    <w:rsid w:val="00730D54"/>
    <w:rsid w:val="007319ED"/>
    <w:rsid w:val="00731D33"/>
    <w:rsid w:val="007321E1"/>
    <w:rsid w:val="007329B0"/>
    <w:rsid w:val="007345FF"/>
    <w:rsid w:val="0073485C"/>
    <w:rsid w:val="00737FD4"/>
    <w:rsid w:val="007416F6"/>
    <w:rsid w:val="007417B0"/>
    <w:rsid w:val="007445F7"/>
    <w:rsid w:val="007503A8"/>
    <w:rsid w:val="00750B31"/>
    <w:rsid w:val="00751F56"/>
    <w:rsid w:val="00752B4D"/>
    <w:rsid w:val="007533DF"/>
    <w:rsid w:val="00757A76"/>
    <w:rsid w:val="00760C77"/>
    <w:rsid w:val="00761241"/>
    <w:rsid w:val="0076264F"/>
    <w:rsid w:val="00763066"/>
    <w:rsid w:val="00763710"/>
    <w:rsid w:val="00763DDD"/>
    <w:rsid w:val="00764000"/>
    <w:rsid w:val="00766817"/>
    <w:rsid w:val="007739A7"/>
    <w:rsid w:val="0077469E"/>
    <w:rsid w:val="00775AB6"/>
    <w:rsid w:val="00776B28"/>
    <w:rsid w:val="00777288"/>
    <w:rsid w:val="00777E84"/>
    <w:rsid w:val="00781144"/>
    <w:rsid w:val="007847A4"/>
    <w:rsid w:val="00785FD9"/>
    <w:rsid w:val="00786469"/>
    <w:rsid w:val="00786DEF"/>
    <w:rsid w:val="00787EF3"/>
    <w:rsid w:val="00793CBD"/>
    <w:rsid w:val="007951F5"/>
    <w:rsid w:val="00795241"/>
    <w:rsid w:val="00797412"/>
    <w:rsid w:val="007A0103"/>
    <w:rsid w:val="007A0649"/>
    <w:rsid w:val="007A0B44"/>
    <w:rsid w:val="007A132C"/>
    <w:rsid w:val="007A24BB"/>
    <w:rsid w:val="007A3A5C"/>
    <w:rsid w:val="007A5191"/>
    <w:rsid w:val="007A541E"/>
    <w:rsid w:val="007A63E0"/>
    <w:rsid w:val="007B039B"/>
    <w:rsid w:val="007B2FFF"/>
    <w:rsid w:val="007B39B7"/>
    <w:rsid w:val="007B4E73"/>
    <w:rsid w:val="007B5FB7"/>
    <w:rsid w:val="007B61F1"/>
    <w:rsid w:val="007C08D9"/>
    <w:rsid w:val="007C282D"/>
    <w:rsid w:val="007C39B9"/>
    <w:rsid w:val="007C4D27"/>
    <w:rsid w:val="007D32CC"/>
    <w:rsid w:val="007D3652"/>
    <w:rsid w:val="007D3BB3"/>
    <w:rsid w:val="007D3C73"/>
    <w:rsid w:val="007D571F"/>
    <w:rsid w:val="007D6ADD"/>
    <w:rsid w:val="007D765F"/>
    <w:rsid w:val="007E0151"/>
    <w:rsid w:val="007E0996"/>
    <w:rsid w:val="007E1BF7"/>
    <w:rsid w:val="007E1BFD"/>
    <w:rsid w:val="007E2D80"/>
    <w:rsid w:val="007E37DB"/>
    <w:rsid w:val="007E7A01"/>
    <w:rsid w:val="007E7BF7"/>
    <w:rsid w:val="007F00FB"/>
    <w:rsid w:val="007F0337"/>
    <w:rsid w:val="007F0A74"/>
    <w:rsid w:val="007F0ECE"/>
    <w:rsid w:val="007F113B"/>
    <w:rsid w:val="007F1F15"/>
    <w:rsid w:val="007F2670"/>
    <w:rsid w:val="007F27DD"/>
    <w:rsid w:val="007F334D"/>
    <w:rsid w:val="007F631E"/>
    <w:rsid w:val="007F7946"/>
    <w:rsid w:val="00802327"/>
    <w:rsid w:val="008023BE"/>
    <w:rsid w:val="00803151"/>
    <w:rsid w:val="008060B7"/>
    <w:rsid w:val="00806F3A"/>
    <w:rsid w:val="00813EE5"/>
    <w:rsid w:val="00814A21"/>
    <w:rsid w:val="008155E6"/>
    <w:rsid w:val="00816115"/>
    <w:rsid w:val="0081761E"/>
    <w:rsid w:val="00820AD2"/>
    <w:rsid w:val="0082252C"/>
    <w:rsid w:val="00824B8F"/>
    <w:rsid w:val="00826337"/>
    <w:rsid w:val="00827177"/>
    <w:rsid w:val="0082752D"/>
    <w:rsid w:val="008276D8"/>
    <w:rsid w:val="00831B6A"/>
    <w:rsid w:val="00832FFE"/>
    <w:rsid w:val="0083532F"/>
    <w:rsid w:val="00836B83"/>
    <w:rsid w:val="00836C48"/>
    <w:rsid w:val="008370D9"/>
    <w:rsid w:val="00840EEB"/>
    <w:rsid w:val="00845BD7"/>
    <w:rsid w:val="008461C8"/>
    <w:rsid w:val="008468F3"/>
    <w:rsid w:val="00850054"/>
    <w:rsid w:val="008513A5"/>
    <w:rsid w:val="0085271D"/>
    <w:rsid w:val="008605CC"/>
    <w:rsid w:val="00860681"/>
    <w:rsid w:val="00861309"/>
    <w:rsid w:val="00861AA3"/>
    <w:rsid w:val="00861F5C"/>
    <w:rsid w:val="008623A7"/>
    <w:rsid w:val="0086574D"/>
    <w:rsid w:val="00871B4A"/>
    <w:rsid w:val="00872B23"/>
    <w:rsid w:val="0087311A"/>
    <w:rsid w:val="008732E8"/>
    <w:rsid w:val="008737D2"/>
    <w:rsid w:val="00874376"/>
    <w:rsid w:val="00882773"/>
    <w:rsid w:val="008827CC"/>
    <w:rsid w:val="008857EA"/>
    <w:rsid w:val="0088720E"/>
    <w:rsid w:val="008952C9"/>
    <w:rsid w:val="00895D04"/>
    <w:rsid w:val="00896AD8"/>
    <w:rsid w:val="00896D1B"/>
    <w:rsid w:val="008A1B14"/>
    <w:rsid w:val="008A4BAC"/>
    <w:rsid w:val="008A5142"/>
    <w:rsid w:val="008A6FD4"/>
    <w:rsid w:val="008A7167"/>
    <w:rsid w:val="008B11DB"/>
    <w:rsid w:val="008B1A0D"/>
    <w:rsid w:val="008B3ABF"/>
    <w:rsid w:val="008B5D14"/>
    <w:rsid w:val="008B67A0"/>
    <w:rsid w:val="008B68D9"/>
    <w:rsid w:val="008C0CDE"/>
    <w:rsid w:val="008C0E93"/>
    <w:rsid w:val="008C19AA"/>
    <w:rsid w:val="008C3121"/>
    <w:rsid w:val="008C3B53"/>
    <w:rsid w:val="008C42CA"/>
    <w:rsid w:val="008C5696"/>
    <w:rsid w:val="008C733D"/>
    <w:rsid w:val="008D08CB"/>
    <w:rsid w:val="008D2A80"/>
    <w:rsid w:val="008D4B91"/>
    <w:rsid w:val="008D7A71"/>
    <w:rsid w:val="008E0700"/>
    <w:rsid w:val="008E0D8A"/>
    <w:rsid w:val="008E11FC"/>
    <w:rsid w:val="008E20BF"/>
    <w:rsid w:val="008E2DB8"/>
    <w:rsid w:val="008E3C1D"/>
    <w:rsid w:val="008E4E41"/>
    <w:rsid w:val="008E50A5"/>
    <w:rsid w:val="008E5AFE"/>
    <w:rsid w:val="008E6B0E"/>
    <w:rsid w:val="008F06C8"/>
    <w:rsid w:val="008F15BB"/>
    <w:rsid w:val="008F1D5C"/>
    <w:rsid w:val="008F3096"/>
    <w:rsid w:val="008F3ADD"/>
    <w:rsid w:val="008F3AFF"/>
    <w:rsid w:val="008F4346"/>
    <w:rsid w:val="008F5E0D"/>
    <w:rsid w:val="008F6CED"/>
    <w:rsid w:val="008F7153"/>
    <w:rsid w:val="00900D5C"/>
    <w:rsid w:val="00903EA2"/>
    <w:rsid w:val="009059B6"/>
    <w:rsid w:val="009063BC"/>
    <w:rsid w:val="00906810"/>
    <w:rsid w:val="009071C4"/>
    <w:rsid w:val="00907724"/>
    <w:rsid w:val="00911301"/>
    <w:rsid w:val="0091257C"/>
    <w:rsid w:val="0091456C"/>
    <w:rsid w:val="0091471E"/>
    <w:rsid w:val="00914EF2"/>
    <w:rsid w:val="0091639E"/>
    <w:rsid w:val="00917776"/>
    <w:rsid w:val="00920440"/>
    <w:rsid w:val="0092212B"/>
    <w:rsid w:val="009226FA"/>
    <w:rsid w:val="00922E35"/>
    <w:rsid w:val="009306A3"/>
    <w:rsid w:val="00931218"/>
    <w:rsid w:val="00932D48"/>
    <w:rsid w:val="00932EAF"/>
    <w:rsid w:val="009336BA"/>
    <w:rsid w:val="00933770"/>
    <w:rsid w:val="00934001"/>
    <w:rsid w:val="009341E8"/>
    <w:rsid w:val="009347EC"/>
    <w:rsid w:val="00934C65"/>
    <w:rsid w:val="00935A77"/>
    <w:rsid w:val="00937A10"/>
    <w:rsid w:val="00940833"/>
    <w:rsid w:val="009432D9"/>
    <w:rsid w:val="00945023"/>
    <w:rsid w:val="009457F2"/>
    <w:rsid w:val="00947AB4"/>
    <w:rsid w:val="00950A50"/>
    <w:rsid w:val="00950D2D"/>
    <w:rsid w:val="009544C4"/>
    <w:rsid w:val="0095501D"/>
    <w:rsid w:val="009551D4"/>
    <w:rsid w:val="00955B20"/>
    <w:rsid w:val="00960366"/>
    <w:rsid w:val="00960932"/>
    <w:rsid w:val="00960CD4"/>
    <w:rsid w:val="009633A9"/>
    <w:rsid w:val="00963F77"/>
    <w:rsid w:val="0096470D"/>
    <w:rsid w:val="00964AA7"/>
    <w:rsid w:val="00965B53"/>
    <w:rsid w:val="00966A88"/>
    <w:rsid w:val="00966CB7"/>
    <w:rsid w:val="00966D56"/>
    <w:rsid w:val="00970BC8"/>
    <w:rsid w:val="00971525"/>
    <w:rsid w:val="00972F5C"/>
    <w:rsid w:val="00973AA3"/>
    <w:rsid w:val="0097429F"/>
    <w:rsid w:val="00975B66"/>
    <w:rsid w:val="00976FE8"/>
    <w:rsid w:val="00981E0C"/>
    <w:rsid w:val="00982C86"/>
    <w:rsid w:val="00983184"/>
    <w:rsid w:val="00983C81"/>
    <w:rsid w:val="009848D7"/>
    <w:rsid w:val="009861EA"/>
    <w:rsid w:val="00987F72"/>
    <w:rsid w:val="0099019E"/>
    <w:rsid w:val="00994744"/>
    <w:rsid w:val="00995B54"/>
    <w:rsid w:val="00996DDB"/>
    <w:rsid w:val="009A010A"/>
    <w:rsid w:val="009A1FA8"/>
    <w:rsid w:val="009A3132"/>
    <w:rsid w:val="009A651F"/>
    <w:rsid w:val="009A764D"/>
    <w:rsid w:val="009A772C"/>
    <w:rsid w:val="009B1693"/>
    <w:rsid w:val="009B33E3"/>
    <w:rsid w:val="009B475D"/>
    <w:rsid w:val="009B5A3D"/>
    <w:rsid w:val="009B5BF9"/>
    <w:rsid w:val="009B6E69"/>
    <w:rsid w:val="009C06F9"/>
    <w:rsid w:val="009C1AAF"/>
    <w:rsid w:val="009C28BC"/>
    <w:rsid w:val="009C2EA2"/>
    <w:rsid w:val="009C4162"/>
    <w:rsid w:val="009C416A"/>
    <w:rsid w:val="009C6DD0"/>
    <w:rsid w:val="009C70C5"/>
    <w:rsid w:val="009D1110"/>
    <w:rsid w:val="009D18F2"/>
    <w:rsid w:val="009D1BD9"/>
    <w:rsid w:val="009D24D1"/>
    <w:rsid w:val="009D2659"/>
    <w:rsid w:val="009D4B5C"/>
    <w:rsid w:val="009D5E2D"/>
    <w:rsid w:val="009D6FFF"/>
    <w:rsid w:val="009E0E64"/>
    <w:rsid w:val="009E2EB0"/>
    <w:rsid w:val="009E4BB7"/>
    <w:rsid w:val="009E4CDF"/>
    <w:rsid w:val="009E51EA"/>
    <w:rsid w:val="009F0D24"/>
    <w:rsid w:val="009F2028"/>
    <w:rsid w:val="009F24F8"/>
    <w:rsid w:val="009F320D"/>
    <w:rsid w:val="009F5574"/>
    <w:rsid w:val="009F7709"/>
    <w:rsid w:val="009F778F"/>
    <w:rsid w:val="009F7C0F"/>
    <w:rsid w:val="00A01CF0"/>
    <w:rsid w:val="00A022D4"/>
    <w:rsid w:val="00A0270A"/>
    <w:rsid w:val="00A035FF"/>
    <w:rsid w:val="00A0495D"/>
    <w:rsid w:val="00A056DC"/>
    <w:rsid w:val="00A065BC"/>
    <w:rsid w:val="00A10BCE"/>
    <w:rsid w:val="00A13F34"/>
    <w:rsid w:val="00A15538"/>
    <w:rsid w:val="00A158D5"/>
    <w:rsid w:val="00A17D79"/>
    <w:rsid w:val="00A202B0"/>
    <w:rsid w:val="00A22C22"/>
    <w:rsid w:val="00A23840"/>
    <w:rsid w:val="00A2423E"/>
    <w:rsid w:val="00A26063"/>
    <w:rsid w:val="00A26270"/>
    <w:rsid w:val="00A27512"/>
    <w:rsid w:val="00A30FC0"/>
    <w:rsid w:val="00A3156C"/>
    <w:rsid w:val="00A3261F"/>
    <w:rsid w:val="00A346E1"/>
    <w:rsid w:val="00A34A87"/>
    <w:rsid w:val="00A35EDE"/>
    <w:rsid w:val="00A373EC"/>
    <w:rsid w:val="00A37F69"/>
    <w:rsid w:val="00A437C8"/>
    <w:rsid w:val="00A45BDA"/>
    <w:rsid w:val="00A472BE"/>
    <w:rsid w:val="00A5239E"/>
    <w:rsid w:val="00A52DED"/>
    <w:rsid w:val="00A548F2"/>
    <w:rsid w:val="00A54AA8"/>
    <w:rsid w:val="00A57F5F"/>
    <w:rsid w:val="00A6022F"/>
    <w:rsid w:val="00A604A0"/>
    <w:rsid w:val="00A60D53"/>
    <w:rsid w:val="00A60DB9"/>
    <w:rsid w:val="00A6238C"/>
    <w:rsid w:val="00A6272A"/>
    <w:rsid w:val="00A633A6"/>
    <w:rsid w:val="00A63A79"/>
    <w:rsid w:val="00A64025"/>
    <w:rsid w:val="00A648A0"/>
    <w:rsid w:val="00A66906"/>
    <w:rsid w:val="00A71231"/>
    <w:rsid w:val="00A7192B"/>
    <w:rsid w:val="00A71E53"/>
    <w:rsid w:val="00A722F7"/>
    <w:rsid w:val="00A731EB"/>
    <w:rsid w:val="00A73455"/>
    <w:rsid w:val="00A73919"/>
    <w:rsid w:val="00A752B3"/>
    <w:rsid w:val="00A761B0"/>
    <w:rsid w:val="00A76C48"/>
    <w:rsid w:val="00A77473"/>
    <w:rsid w:val="00A7797A"/>
    <w:rsid w:val="00A80520"/>
    <w:rsid w:val="00A80A58"/>
    <w:rsid w:val="00A80CC6"/>
    <w:rsid w:val="00A84F13"/>
    <w:rsid w:val="00A85377"/>
    <w:rsid w:val="00A85420"/>
    <w:rsid w:val="00A8590B"/>
    <w:rsid w:val="00A9154B"/>
    <w:rsid w:val="00A92EBA"/>
    <w:rsid w:val="00A957AD"/>
    <w:rsid w:val="00A96A1F"/>
    <w:rsid w:val="00A97BB5"/>
    <w:rsid w:val="00A97D62"/>
    <w:rsid w:val="00A97F9D"/>
    <w:rsid w:val="00AA01C8"/>
    <w:rsid w:val="00AA06E2"/>
    <w:rsid w:val="00AA0C34"/>
    <w:rsid w:val="00AA160D"/>
    <w:rsid w:val="00AA413F"/>
    <w:rsid w:val="00AA6B1C"/>
    <w:rsid w:val="00AA6E8A"/>
    <w:rsid w:val="00AA702C"/>
    <w:rsid w:val="00AB335E"/>
    <w:rsid w:val="00AB35E9"/>
    <w:rsid w:val="00AB5010"/>
    <w:rsid w:val="00AB53C6"/>
    <w:rsid w:val="00AB6821"/>
    <w:rsid w:val="00AB6A73"/>
    <w:rsid w:val="00AB6E94"/>
    <w:rsid w:val="00AB7D2E"/>
    <w:rsid w:val="00AC39D2"/>
    <w:rsid w:val="00AC3FD9"/>
    <w:rsid w:val="00AC55B2"/>
    <w:rsid w:val="00AC6BAE"/>
    <w:rsid w:val="00AC7699"/>
    <w:rsid w:val="00AD118D"/>
    <w:rsid w:val="00AD2D81"/>
    <w:rsid w:val="00AD342A"/>
    <w:rsid w:val="00AD34BE"/>
    <w:rsid w:val="00AD7249"/>
    <w:rsid w:val="00AD7D61"/>
    <w:rsid w:val="00AE06CF"/>
    <w:rsid w:val="00AE109E"/>
    <w:rsid w:val="00AE1DCC"/>
    <w:rsid w:val="00AE3000"/>
    <w:rsid w:val="00AE3A3B"/>
    <w:rsid w:val="00AE602C"/>
    <w:rsid w:val="00AE60B4"/>
    <w:rsid w:val="00AE7C5C"/>
    <w:rsid w:val="00AF03A1"/>
    <w:rsid w:val="00AF070C"/>
    <w:rsid w:val="00AF071F"/>
    <w:rsid w:val="00AF1341"/>
    <w:rsid w:val="00AF37D6"/>
    <w:rsid w:val="00AF44FB"/>
    <w:rsid w:val="00AF5143"/>
    <w:rsid w:val="00AF52B8"/>
    <w:rsid w:val="00AF5A18"/>
    <w:rsid w:val="00AF5E46"/>
    <w:rsid w:val="00AF6190"/>
    <w:rsid w:val="00B005CE"/>
    <w:rsid w:val="00B05B4F"/>
    <w:rsid w:val="00B06AD4"/>
    <w:rsid w:val="00B11208"/>
    <w:rsid w:val="00B11478"/>
    <w:rsid w:val="00B116F0"/>
    <w:rsid w:val="00B1268A"/>
    <w:rsid w:val="00B12E3B"/>
    <w:rsid w:val="00B15679"/>
    <w:rsid w:val="00B160BF"/>
    <w:rsid w:val="00B22508"/>
    <w:rsid w:val="00B239E2"/>
    <w:rsid w:val="00B261BB"/>
    <w:rsid w:val="00B279F2"/>
    <w:rsid w:val="00B30419"/>
    <w:rsid w:val="00B30544"/>
    <w:rsid w:val="00B31735"/>
    <w:rsid w:val="00B32732"/>
    <w:rsid w:val="00B33989"/>
    <w:rsid w:val="00B348C8"/>
    <w:rsid w:val="00B37141"/>
    <w:rsid w:val="00B409D8"/>
    <w:rsid w:val="00B41FF9"/>
    <w:rsid w:val="00B42030"/>
    <w:rsid w:val="00B44C4B"/>
    <w:rsid w:val="00B5254A"/>
    <w:rsid w:val="00B52F06"/>
    <w:rsid w:val="00B54FDF"/>
    <w:rsid w:val="00B567E2"/>
    <w:rsid w:val="00B57FA6"/>
    <w:rsid w:val="00B607CD"/>
    <w:rsid w:val="00B609C5"/>
    <w:rsid w:val="00B611CB"/>
    <w:rsid w:val="00B618F3"/>
    <w:rsid w:val="00B62C57"/>
    <w:rsid w:val="00B64463"/>
    <w:rsid w:val="00B66C9B"/>
    <w:rsid w:val="00B701E3"/>
    <w:rsid w:val="00B70E84"/>
    <w:rsid w:val="00B71A6D"/>
    <w:rsid w:val="00B71E9A"/>
    <w:rsid w:val="00B747EA"/>
    <w:rsid w:val="00B75A3B"/>
    <w:rsid w:val="00B75ABD"/>
    <w:rsid w:val="00B75C97"/>
    <w:rsid w:val="00B764BF"/>
    <w:rsid w:val="00B76F60"/>
    <w:rsid w:val="00B80B2A"/>
    <w:rsid w:val="00B81F49"/>
    <w:rsid w:val="00B82623"/>
    <w:rsid w:val="00B84FDE"/>
    <w:rsid w:val="00B86829"/>
    <w:rsid w:val="00B8708E"/>
    <w:rsid w:val="00B9101A"/>
    <w:rsid w:val="00B933A9"/>
    <w:rsid w:val="00BA0F8A"/>
    <w:rsid w:val="00BA19EE"/>
    <w:rsid w:val="00BA25C6"/>
    <w:rsid w:val="00BA48FE"/>
    <w:rsid w:val="00BA4AC3"/>
    <w:rsid w:val="00BA66A6"/>
    <w:rsid w:val="00BB09AC"/>
    <w:rsid w:val="00BB3442"/>
    <w:rsid w:val="00BB4741"/>
    <w:rsid w:val="00BB4781"/>
    <w:rsid w:val="00BB48D0"/>
    <w:rsid w:val="00BB4C24"/>
    <w:rsid w:val="00BB57C7"/>
    <w:rsid w:val="00BB7250"/>
    <w:rsid w:val="00BC0078"/>
    <w:rsid w:val="00BC0909"/>
    <w:rsid w:val="00BC12C5"/>
    <w:rsid w:val="00BC29A0"/>
    <w:rsid w:val="00BC2FE2"/>
    <w:rsid w:val="00BC50C2"/>
    <w:rsid w:val="00BC50D1"/>
    <w:rsid w:val="00BC5E40"/>
    <w:rsid w:val="00BC7BCF"/>
    <w:rsid w:val="00BD07EB"/>
    <w:rsid w:val="00BD123E"/>
    <w:rsid w:val="00BD20FE"/>
    <w:rsid w:val="00BD239A"/>
    <w:rsid w:val="00BD3667"/>
    <w:rsid w:val="00BD40B8"/>
    <w:rsid w:val="00BD471A"/>
    <w:rsid w:val="00BD68F9"/>
    <w:rsid w:val="00BD6934"/>
    <w:rsid w:val="00BE07D4"/>
    <w:rsid w:val="00BE0808"/>
    <w:rsid w:val="00BE1118"/>
    <w:rsid w:val="00BE1ECC"/>
    <w:rsid w:val="00BE32F4"/>
    <w:rsid w:val="00BE3563"/>
    <w:rsid w:val="00BE5551"/>
    <w:rsid w:val="00BE59A9"/>
    <w:rsid w:val="00BE7333"/>
    <w:rsid w:val="00BE744F"/>
    <w:rsid w:val="00BE7964"/>
    <w:rsid w:val="00BF07E7"/>
    <w:rsid w:val="00BF1DCC"/>
    <w:rsid w:val="00BF4A87"/>
    <w:rsid w:val="00BF50AD"/>
    <w:rsid w:val="00BF70D9"/>
    <w:rsid w:val="00C01CCB"/>
    <w:rsid w:val="00C02268"/>
    <w:rsid w:val="00C02565"/>
    <w:rsid w:val="00C026F7"/>
    <w:rsid w:val="00C04EA4"/>
    <w:rsid w:val="00C054BD"/>
    <w:rsid w:val="00C076C8"/>
    <w:rsid w:val="00C078EE"/>
    <w:rsid w:val="00C107E5"/>
    <w:rsid w:val="00C109A1"/>
    <w:rsid w:val="00C10D9A"/>
    <w:rsid w:val="00C132EA"/>
    <w:rsid w:val="00C15686"/>
    <w:rsid w:val="00C1640D"/>
    <w:rsid w:val="00C206AC"/>
    <w:rsid w:val="00C2102F"/>
    <w:rsid w:val="00C2113B"/>
    <w:rsid w:val="00C22EC5"/>
    <w:rsid w:val="00C23656"/>
    <w:rsid w:val="00C23B6F"/>
    <w:rsid w:val="00C23CBB"/>
    <w:rsid w:val="00C2755F"/>
    <w:rsid w:val="00C33D38"/>
    <w:rsid w:val="00C3434D"/>
    <w:rsid w:val="00C35E3C"/>
    <w:rsid w:val="00C362AB"/>
    <w:rsid w:val="00C37171"/>
    <w:rsid w:val="00C416FF"/>
    <w:rsid w:val="00C42167"/>
    <w:rsid w:val="00C42224"/>
    <w:rsid w:val="00C42515"/>
    <w:rsid w:val="00C429DA"/>
    <w:rsid w:val="00C42A47"/>
    <w:rsid w:val="00C455C9"/>
    <w:rsid w:val="00C45B3B"/>
    <w:rsid w:val="00C45D4C"/>
    <w:rsid w:val="00C468A5"/>
    <w:rsid w:val="00C46DF7"/>
    <w:rsid w:val="00C47379"/>
    <w:rsid w:val="00C4749F"/>
    <w:rsid w:val="00C47997"/>
    <w:rsid w:val="00C5099C"/>
    <w:rsid w:val="00C50F3E"/>
    <w:rsid w:val="00C51817"/>
    <w:rsid w:val="00C51D52"/>
    <w:rsid w:val="00C52C59"/>
    <w:rsid w:val="00C53D21"/>
    <w:rsid w:val="00C546C9"/>
    <w:rsid w:val="00C557D4"/>
    <w:rsid w:val="00C57857"/>
    <w:rsid w:val="00C57924"/>
    <w:rsid w:val="00C6043D"/>
    <w:rsid w:val="00C60D60"/>
    <w:rsid w:val="00C64D91"/>
    <w:rsid w:val="00C736A1"/>
    <w:rsid w:val="00C7427B"/>
    <w:rsid w:val="00C74C7B"/>
    <w:rsid w:val="00C76155"/>
    <w:rsid w:val="00C76714"/>
    <w:rsid w:val="00C806C4"/>
    <w:rsid w:val="00C80CBF"/>
    <w:rsid w:val="00C81671"/>
    <w:rsid w:val="00C81EFA"/>
    <w:rsid w:val="00C85B36"/>
    <w:rsid w:val="00C85D03"/>
    <w:rsid w:val="00C86742"/>
    <w:rsid w:val="00C8792E"/>
    <w:rsid w:val="00C87E11"/>
    <w:rsid w:val="00C90FC9"/>
    <w:rsid w:val="00C91728"/>
    <w:rsid w:val="00C95165"/>
    <w:rsid w:val="00C95DD2"/>
    <w:rsid w:val="00C96414"/>
    <w:rsid w:val="00C967DC"/>
    <w:rsid w:val="00CA290E"/>
    <w:rsid w:val="00CA4EB1"/>
    <w:rsid w:val="00CA77CF"/>
    <w:rsid w:val="00CB00C3"/>
    <w:rsid w:val="00CB0C8D"/>
    <w:rsid w:val="00CB2AE7"/>
    <w:rsid w:val="00CB42ED"/>
    <w:rsid w:val="00CB6E2D"/>
    <w:rsid w:val="00CB6E4C"/>
    <w:rsid w:val="00CC027E"/>
    <w:rsid w:val="00CC0EBD"/>
    <w:rsid w:val="00CC1114"/>
    <w:rsid w:val="00CC1FA7"/>
    <w:rsid w:val="00CC219B"/>
    <w:rsid w:val="00CC235E"/>
    <w:rsid w:val="00CC2849"/>
    <w:rsid w:val="00CC6782"/>
    <w:rsid w:val="00CC6791"/>
    <w:rsid w:val="00CC796C"/>
    <w:rsid w:val="00CD1567"/>
    <w:rsid w:val="00CD3328"/>
    <w:rsid w:val="00CD3D1A"/>
    <w:rsid w:val="00CD4C04"/>
    <w:rsid w:val="00CD50D4"/>
    <w:rsid w:val="00CD5502"/>
    <w:rsid w:val="00CD7D87"/>
    <w:rsid w:val="00CE10D9"/>
    <w:rsid w:val="00CE2171"/>
    <w:rsid w:val="00CE2A79"/>
    <w:rsid w:val="00CE2C5B"/>
    <w:rsid w:val="00CE6035"/>
    <w:rsid w:val="00CE7B29"/>
    <w:rsid w:val="00CF177A"/>
    <w:rsid w:val="00CF1E22"/>
    <w:rsid w:val="00CF4DB8"/>
    <w:rsid w:val="00CF5417"/>
    <w:rsid w:val="00CF68A8"/>
    <w:rsid w:val="00D0130B"/>
    <w:rsid w:val="00D01385"/>
    <w:rsid w:val="00D016C7"/>
    <w:rsid w:val="00D02E44"/>
    <w:rsid w:val="00D04B54"/>
    <w:rsid w:val="00D0559E"/>
    <w:rsid w:val="00D05E92"/>
    <w:rsid w:val="00D0627B"/>
    <w:rsid w:val="00D06B09"/>
    <w:rsid w:val="00D1029E"/>
    <w:rsid w:val="00D10B10"/>
    <w:rsid w:val="00D11E00"/>
    <w:rsid w:val="00D178CE"/>
    <w:rsid w:val="00D21E82"/>
    <w:rsid w:val="00D221F4"/>
    <w:rsid w:val="00D25884"/>
    <w:rsid w:val="00D26993"/>
    <w:rsid w:val="00D2799C"/>
    <w:rsid w:val="00D30AA5"/>
    <w:rsid w:val="00D31E73"/>
    <w:rsid w:val="00D32FB9"/>
    <w:rsid w:val="00D330AA"/>
    <w:rsid w:val="00D340A0"/>
    <w:rsid w:val="00D34B4B"/>
    <w:rsid w:val="00D34F18"/>
    <w:rsid w:val="00D36054"/>
    <w:rsid w:val="00D3617D"/>
    <w:rsid w:val="00D41BB2"/>
    <w:rsid w:val="00D450C1"/>
    <w:rsid w:val="00D45A42"/>
    <w:rsid w:val="00D507D4"/>
    <w:rsid w:val="00D51EB0"/>
    <w:rsid w:val="00D5235A"/>
    <w:rsid w:val="00D52F00"/>
    <w:rsid w:val="00D53870"/>
    <w:rsid w:val="00D56AAE"/>
    <w:rsid w:val="00D57E13"/>
    <w:rsid w:val="00D6069C"/>
    <w:rsid w:val="00D62293"/>
    <w:rsid w:val="00D625B5"/>
    <w:rsid w:val="00D649C5"/>
    <w:rsid w:val="00D64C2C"/>
    <w:rsid w:val="00D6503D"/>
    <w:rsid w:val="00D679F5"/>
    <w:rsid w:val="00D67B9C"/>
    <w:rsid w:val="00D67C58"/>
    <w:rsid w:val="00D71142"/>
    <w:rsid w:val="00D715AB"/>
    <w:rsid w:val="00D72890"/>
    <w:rsid w:val="00D72C9C"/>
    <w:rsid w:val="00D74084"/>
    <w:rsid w:val="00D74445"/>
    <w:rsid w:val="00D7485C"/>
    <w:rsid w:val="00D75683"/>
    <w:rsid w:val="00D76AE8"/>
    <w:rsid w:val="00D80884"/>
    <w:rsid w:val="00D82041"/>
    <w:rsid w:val="00D845D4"/>
    <w:rsid w:val="00D85403"/>
    <w:rsid w:val="00D8638E"/>
    <w:rsid w:val="00D86819"/>
    <w:rsid w:val="00D86BD4"/>
    <w:rsid w:val="00D86E09"/>
    <w:rsid w:val="00D9204F"/>
    <w:rsid w:val="00D92C49"/>
    <w:rsid w:val="00D935DA"/>
    <w:rsid w:val="00D9405C"/>
    <w:rsid w:val="00D94776"/>
    <w:rsid w:val="00D962E3"/>
    <w:rsid w:val="00D96CE9"/>
    <w:rsid w:val="00D9736B"/>
    <w:rsid w:val="00D97C51"/>
    <w:rsid w:val="00DA19B0"/>
    <w:rsid w:val="00DA22B7"/>
    <w:rsid w:val="00DA3508"/>
    <w:rsid w:val="00DA3DD6"/>
    <w:rsid w:val="00DA4CE0"/>
    <w:rsid w:val="00DA5AE8"/>
    <w:rsid w:val="00DA6133"/>
    <w:rsid w:val="00DB055B"/>
    <w:rsid w:val="00DB4A43"/>
    <w:rsid w:val="00DB57CB"/>
    <w:rsid w:val="00DB5F80"/>
    <w:rsid w:val="00DB6ADC"/>
    <w:rsid w:val="00DB7A32"/>
    <w:rsid w:val="00DB7CE8"/>
    <w:rsid w:val="00DC01DC"/>
    <w:rsid w:val="00DC0977"/>
    <w:rsid w:val="00DC10C9"/>
    <w:rsid w:val="00DC406B"/>
    <w:rsid w:val="00DC496C"/>
    <w:rsid w:val="00DC4FE0"/>
    <w:rsid w:val="00DC539D"/>
    <w:rsid w:val="00DC596A"/>
    <w:rsid w:val="00DC6AD9"/>
    <w:rsid w:val="00DC790C"/>
    <w:rsid w:val="00DC7ADA"/>
    <w:rsid w:val="00DD33AD"/>
    <w:rsid w:val="00DD37E9"/>
    <w:rsid w:val="00DD4034"/>
    <w:rsid w:val="00DD6CF5"/>
    <w:rsid w:val="00DD74C7"/>
    <w:rsid w:val="00DE275D"/>
    <w:rsid w:val="00DE2C78"/>
    <w:rsid w:val="00DE7F9C"/>
    <w:rsid w:val="00DF081B"/>
    <w:rsid w:val="00DF1461"/>
    <w:rsid w:val="00DF17B6"/>
    <w:rsid w:val="00DF2714"/>
    <w:rsid w:val="00DF2F3E"/>
    <w:rsid w:val="00DF7327"/>
    <w:rsid w:val="00E007F2"/>
    <w:rsid w:val="00E009A2"/>
    <w:rsid w:val="00E013BB"/>
    <w:rsid w:val="00E01499"/>
    <w:rsid w:val="00E01BEA"/>
    <w:rsid w:val="00E028BA"/>
    <w:rsid w:val="00E02EED"/>
    <w:rsid w:val="00E03D96"/>
    <w:rsid w:val="00E04F68"/>
    <w:rsid w:val="00E05231"/>
    <w:rsid w:val="00E06C4A"/>
    <w:rsid w:val="00E06ECD"/>
    <w:rsid w:val="00E121B5"/>
    <w:rsid w:val="00E132E2"/>
    <w:rsid w:val="00E1361D"/>
    <w:rsid w:val="00E138AF"/>
    <w:rsid w:val="00E142EE"/>
    <w:rsid w:val="00E148AA"/>
    <w:rsid w:val="00E170F4"/>
    <w:rsid w:val="00E17629"/>
    <w:rsid w:val="00E17C6B"/>
    <w:rsid w:val="00E20AAC"/>
    <w:rsid w:val="00E22259"/>
    <w:rsid w:val="00E22DC7"/>
    <w:rsid w:val="00E25224"/>
    <w:rsid w:val="00E257C9"/>
    <w:rsid w:val="00E264FA"/>
    <w:rsid w:val="00E316E2"/>
    <w:rsid w:val="00E31927"/>
    <w:rsid w:val="00E3198E"/>
    <w:rsid w:val="00E3216D"/>
    <w:rsid w:val="00E32995"/>
    <w:rsid w:val="00E33028"/>
    <w:rsid w:val="00E34123"/>
    <w:rsid w:val="00E3479B"/>
    <w:rsid w:val="00E34EB3"/>
    <w:rsid w:val="00E365D4"/>
    <w:rsid w:val="00E3697B"/>
    <w:rsid w:val="00E4204B"/>
    <w:rsid w:val="00E42D18"/>
    <w:rsid w:val="00E435CA"/>
    <w:rsid w:val="00E4445C"/>
    <w:rsid w:val="00E457D5"/>
    <w:rsid w:val="00E469DD"/>
    <w:rsid w:val="00E47029"/>
    <w:rsid w:val="00E472A7"/>
    <w:rsid w:val="00E47434"/>
    <w:rsid w:val="00E47CCA"/>
    <w:rsid w:val="00E47CF0"/>
    <w:rsid w:val="00E47D45"/>
    <w:rsid w:val="00E504E5"/>
    <w:rsid w:val="00E50C2A"/>
    <w:rsid w:val="00E5347E"/>
    <w:rsid w:val="00E54798"/>
    <w:rsid w:val="00E5767E"/>
    <w:rsid w:val="00E60718"/>
    <w:rsid w:val="00E6122D"/>
    <w:rsid w:val="00E61412"/>
    <w:rsid w:val="00E62BE8"/>
    <w:rsid w:val="00E6553F"/>
    <w:rsid w:val="00E677B0"/>
    <w:rsid w:val="00E719BC"/>
    <w:rsid w:val="00E72C93"/>
    <w:rsid w:val="00E73C71"/>
    <w:rsid w:val="00E73FF8"/>
    <w:rsid w:val="00E75AC7"/>
    <w:rsid w:val="00E76544"/>
    <w:rsid w:val="00E76813"/>
    <w:rsid w:val="00E76838"/>
    <w:rsid w:val="00E7693E"/>
    <w:rsid w:val="00E81460"/>
    <w:rsid w:val="00E824CE"/>
    <w:rsid w:val="00E84DFA"/>
    <w:rsid w:val="00E856E2"/>
    <w:rsid w:val="00E85FB2"/>
    <w:rsid w:val="00E860EF"/>
    <w:rsid w:val="00E87221"/>
    <w:rsid w:val="00E87F53"/>
    <w:rsid w:val="00E92946"/>
    <w:rsid w:val="00E92D3F"/>
    <w:rsid w:val="00E93F08"/>
    <w:rsid w:val="00E94DCA"/>
    <w:rsid w:val="00E960D5"/>
    <w:rsid w:val="00E96759"/>
    <w:rsid w:val="00EA1E6B"/>
    <w:rsid w:val="00EA2C10"/>
    <w:rsid w:val="00EA33CF"/>
    <w:rsid w:val="00EA44BD"/>
    <w:rsid w:val="00EA5DF7"/>
    <w:rsid w:val="00EB0093"/>
    <w:rsid w:val="00EB031A"/>
    <w:rsid w:val="00EB0345"/>
    <w:rsid w:val="00EB385C"/>
    <w:rsid w:val="00EB3A14"/>
    <w:rsid w:val="00EB7514"/>
    <w:rsid w:val="00EB78D0"/>
    <w:rsid w:val="00EB7DB9"/>
    <w:rsid w:val="00EC018D"/>
    <w:rsid w:val="00EC161D"/>
    <w:rsid w:val="00EC3543"/>
    <w:rsid w:val="00EC3651"/>
    <w:rsid w:val="00EC3776"/>
    <w:rsid w:val="00EC58C1"/>
    <w:rsid w:val="00EC6013"/>
    <w:rsid w:val="00EC6A31"/>
    <w:rsid w:val="00EC76E8"/>
    <w:rsid w:val="00ED0BA9"/>
    <w:rsid w:val="00ED0DDF"/>
    <w:rsid w:val="00ED328F"/>
    <w:rsid w:val="00ED623B"/>
    <w:rsid w:val="00ED6315"/>
    <w:rsid w:val="00EE041A"/>
    <w:rsid w:val="00EE0860"/>
    <w:rsid w:val="00EE1480"/>
    <w:rsid w:val="00EE3D68"/>
    <w:rsid w:val="00EE490E"/>
    <w:rsid w:val="00EE4A85"/>
    <w:rsid w:val="00EE5710"/>
    <w:rsid w:val="00EE690D"/>
    <w:rsid w:val="00EE6FD8"/>
    <w:rsid w:val="00EF1549"/>
    <w:rsid w:val="00EF1DF0"/>
    <w:rsid w:val="00EF36EF"/>
    <w:rsid w:val="00EF60E6"/>
    <w:rsid w:val="00EF72F0"/>
    <w:rsid w:val="00F01BD6"/>
    <w:rsid w:val="00F02AB7"/>
    <w:rsid w:val="00F04977"/>
    <w:rsid w:val="00F04AE0"/>
    <w:rsid w:val="00F04D03"/>
    <w:rsid w:val="00F04F90"/>
    <w:rsid w:val="00F05045"/>
    <w:rsid w:val="00F055AB"/>
    <w:rsid w:val="00F0639D"/>
    <w:rsid w:val="00F073FD"/>
    <w:rsid w:val="00F128CD"/>
    <w:rsid w:val="00F12C5C"/>
    <w:rsid w:val="00F13A57"/>
    <w:rsid w:val="00F14418"/>
    <w:rsid w:val="00F16DFD"/>
    <w:rsid w:val="00F17575"/>
    <w:rsid w:val="00F17778"/>
    <w:rsid w:val="00F20E53"/>
    <w:rsid w:val="00F22CEB"/>
    <w:rsid w:val="00F231EA"/>
    <w:rsid w:val="00F23633"/>
    <w:rsid w:val="00F254C8"/>
    <w:rsid w:val="00F31356"/>
    <w:rsid w:val="00F31F00"/>
    <w:rsid w:val="00F326DD"/>
    <w:rsid w:val="00F334C3"/>
    <w:rsid w:val="00F337F0"/>
    <w:rsid w:val="00F3394A"/>
    <w:rsid w:val="00F3484C"/>
    <w:rsid w:val="00F34E6C"/>
    <w:rsid w:val="00F352B5"/>
    <w:rsid w:val="00F36173"/>
    <w:rsid w:val="00F37C17"/>
    <w:rsid w:val="00F40320"/>
    <w:rsid w:val="00F4057A"/>
    <w:rsid w:val="00F409D5"/>
    <w:rsid w:val="00F4202B"/>
    <w:rsid w:val="00F42D92"/>
    <w:rsid w:val="00F45416"/>
    <w:rsid w:val="00F4542D"/>
    <w:rsid w:val="00F4650C"/>
    <w:rsid w:val="00F508BA"/>
    <w:rsid w:val="00F521B6"/>
    <w:rsid w:val="00F5257B"/>
    <w:rsid w:val="00F53C1B"/>
    <w:rsid w:val="00F54D47"/>
    <w:rsid w:val="00F562DD"/>
    <w:rsid w:val="00F56BC5"/>
    <w:rsid w:val="00F57173"/>
    <w:rsid w:val="00F57F0E"/>
    <w:rsid w:val="00F608C8"/>
    <w:rsid w:val="00F62DA4"/>
    <w:rsid w:val="00F63026"/>
    <w:rsid w:val="00F64CD2"/>
    <w:rsid w:val="00F660FB"/>
    <w:rsid w:val="00F664C7"/>
    <w:rsid w:val="00F66987"/>
    <w:rsid w:val="00F701A8"/>
    <w:rsid w:val="00F72F09"/>
    <w:rsid w:val="00F73599"/>
    <w:rsid w:val="00F74E7C"/>
    <w:rsid w:val="00F74FAE"/>
    <w:rsid w:val="00F75516"/>
    <w:rsid w:val="00F75914"/>
    <w:rsid w:val="00F75E06"/>
    <w:rsid w:val="00F776E0"/>
    <w:rsid w:val="00F80536"/>
    <w:rsid w:val="00F80FB0"/>
    <w:rsid w:val="00F8278A"/>
    <w:rsid w:val="00F83AEA"/>
    <w:rsid w:val="00F85E1C"/>
    <w:rsid w:val="00F86845"/>
    <w:rsid w:val="00F86D1F"/>
    <w:rsid w:val="00F87CD0"/>
    <w:rsid w:val="00F93887"/>
    <w:rsid w:val="00F94992"/>
    <w:rsid w:val="00F95E8D"/>
    <w:rsid w:val="00F97761"/>
    <w:rsid w:val="00FA07A9"/>
    <w:rsid w:val="00FA11DE"/>
    <w:rsid w:val="00FA3769"/>
    <w:rsid w:val="00FA3860"/>
    <w:rsid w:val="00FA3FEB"/>
    <w:rsid w:val="00FA457F"/>
    <w:rsid w:val="00FA665B"/>
    <w:rsid w:val="00FA77DB"/>
    <w:rsid w:val="00FB060E"/>
    <w:rsid w:val="00FB1730"/>
    <w:rsid w:val="00FB26A3"/>
    <w:rsid w:val="00FB48E1"/>
    <w:rsid w:val="00FB5027"/>
    <w:rsid w:val="00FB51F7"/>
    <w:rsid w:val="00FB7354"/>
    <w:rsid w:val="00FB7A66"/>
    <w:rsid w:val="00FC03AE"/>
    <w:rsid w:val="00FC14BB"/>
    <w:rsid w:val="00FC3ACC"/>
    <w:rsid w:val="00FC3C91"/>
    <w:rsid w:val="00FC3EB9"/>
    <w:rsid w:val="00FC61E8"/>
    <w:rsid w:val="00FC65BC"/>
    <w:rsid w:val="00FC6AFB"/>
    <w:rsid w:val="00FC7339"/>
    <w:rsid w:val="00FC74DA"/>
    <w:rsid w:val="00FC779F"/>
    <w:rsid w:val="00FC7B11"/>
    <w:rsid w:val="00FD0747"/>
    <w:rsid w:val="00FD0D78"/>
    <w:rsid w:val="00FD1026"/>
    <w:rsid w:val="00FD28D6"/>
    <w:rsid w:val="00FD3E71"/>
    <w:rsid w:val="00FD4600"/>
    <w:rsid w:val="00FD4EE8"/>
    <w:rsid w:val="00FD5CE9"/>
    <w:rsid w:val="00FD7CF5"/>
    <w:rsid w:val="00FE08B0"/>
    <w:rsid w:val="00FE08D3"/>
    <w:rsid w:val="00FE26BE"/>
    <w:rsid w:val="00FE35DC"/>
    <w:rsid w:val="00FE43D2"/>
    <w:rsid w:val="00FE5D38"/>
    <w:rsid w:val="00FE680C"/>
    <w:rsid w:val="00FE7CA0"/>
    <w:rsid w:val="00FF2F6F"/>
    <w:rsid w:val="00FF2FBB"/>
    <w:rsid w:val="00FF35E6"/>
    <w:rsid w:val="00FF40E5"/>
    <w:rsid w:val="00FF69C7"/>
    <w:rsid w:val="00FF7D6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7F1F2"/>
  <w15:chartTrackingRefBased/>
  <w15:docId w15:val="{98E9945E-C749-4C42-AE03-780E090E4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E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6E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6E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6E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6E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6E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6E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6E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6E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E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6E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6E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6E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6E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6E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6E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6E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6E2D"/>
    <w:rPr>
      <w:rFonts w:eastAsiaTheme="majorEastAsia" w:cstheme="majorBidi"/>
      <w:color w:val="272727" w:themeColor="text1" w:themeTint="D8"/>
    </w:rPr>
  </w:style>
  <w:style w:type="paragraph" w:styleId="Title">
    <w:name w:val="Title"/>
    <w:basedOn w:val="Normal"/>
    <w:next w:val="Normal"/>
    <w:link w:val="TitleChar"/>
    <w:uiPriority w:val="10"/>
    <w:qFormat/>
    <w:rsid w:val="00CB6E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6E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6E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6E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6E2D"/>
    <w:pPr>
      <w:spacing w:before="160"/>
      <w:jc w:val="center"/>
    </w:pPr>
    <w:rPr>
      <w:i/>
      <w:iCs/>
      <w:color w:val="404040" w:themeColor="text1" w:themeTint="BF"/>
    </w:rPr>
  </w:style>
  <w:style w:type="character" w:customStyle="1" w:styleId="QuoteChar">
    <w:name w:val="Quote Char"/>
    <w:basedOn w:val="DefaultParagraphFont"/>
    <w:link w:val="Quote"/>
    <w:uiPriority w:val="29"/>
    <w:rsid w:val="00CB6E2D"/>
    <w:rPr>
      <w:i/>
      <w:iCs/>
      <w:color w:val="404040" w:themeColor="text1" w:themeTint="BF"/>
    </w:rPr>
  </w:style>
  <w:style w:type="paragraph" w:styleId="ListParagraph">
    <w:name w:val="List Paragraph"/>
    <w:basedOn w:val="Normal"/>
    <w:uiPriority w:val="34"/>
    <w:qFormat/>
    <w:rsid w:val="00CB6E2D"/>
    <w:pPr>
      <w:ind w:left="720"/>
      <w:contextualSpacing/>
    </w:pPr>
  </w:style>
  <w:style w:type="character" w:styleId="IntenseEmphasis">
    <w:name w:val="Intense Emphasis"/>
    <w:basedOn w:val="DefaultParagraphFont"/>
    <w:uiPriority w:val="21"/>
    <w:qFormat/>
    <w:rsid w:val="00CB6E2D"/>
    <w:rPr>
      <w:i/>
      <w:iCs/>
      <w:color w:val="0F4761" w:themeColor="accent1" w:themeShade="BF"/>
    </w:rPr>
  </w:style>
  <w:style w:type="paragraph" w:styleId="IntenseQuote">
    <w:name w:val="Intense Quote"/>
    <w:basedOn w:val="Normal"/>
    <w:next w:val="Normal"/>
    <w:link w:val="IntenseQuoteChar"/>
    <w:uiPriority w:val="30"/>
    <w:qFormat/>
    <w:rsid w:val="00CB6E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6E2D"/>
    <w:rPr>
      <w:i/>
      <w:iCs/>
      <w:color w:val="0F4761" w:themeColor="accent1" w:themeShade="BF"/>
    </w:rPr>
  </w:style>
  <w:style w:type="character" w:styleId="IntenseReference">
    <w:name w:val="Intense Reference"/>
    <w:basedOn w:val="DefaultParagraphFont"/>
    <w:uiPriority w:val="32"/>
    <w:qFormat/>
    <w:rsid w:val="00CB6E2D"/>
    <w:rPr>
      <w:b/>
      <w:bCs/>
      <w:smallCaps/>
      <w:color w:val="0F4761" w:themeColor="accent1" w:themeShade="BF"/>
      <w:spacing w:val="5"/>
    </w:rPr>
  </w:style>
  <w:style w:type="paragraph" w:styleId="FootnoteText">
    <w:name w:val="footnote text"/>
    <w:aliases w:val="Char3, Char3,Fußnotentextf,Fußnotentextr,stile 1,Footnote1,Footnote2,Footnote3,Footnote4,Footnote5,Footnote6,Footnote7,Footnote8,Footnote9,Footnote10,Footnote11,Footnote21,Footnote31,Footnote41,Footnote51,Footnote61,Footnote71, Cha"/>
    <w:basedOn w:val="Normal"/>
    <w:link w:val="FootnoteTextChar"/>
    <w:uiPriority w:val="99"/>
    <w:unhideWhenUsed/>
    <w:qFormat/>
    <w:rsid w:val="00EE1480"/>
    <w:pPr>
      <w:spacing w:after="0" w:line="240" w:lineRule="auto"/>
    </w:pPr>
    <w:rPr>
      <w:sz w:val="20"/>
      <w:szCs w:val="20"/>
      <w:lang w:val="en-GB"/>
    </w:rPr>
  </w:style>
  <w:style w:type="character" w:customStyle="1" w:styleId="FootnoteTextChar">
    <w:name w:val="Footnote Text Char"/>
    <w:aliases w:val="Char3 Char, Char3 Char,Fußnotentextf Char,Fußnotentextr Char,stile 1 Char,Footnote1 Char,Footnote2 Char,Footnote3 Char,Footnote4 Char,Footnote5 Char,Footnote6 Char,Footnote7 Char,Footnote8 Char,Footnote9 Char,Footnote10 Char, Cha Char"/>
    <w:basedOn w:val="DefaultParagraphFont"/>
    <w:link w:val="FootnoteText"/>
    <w:uiPriority w:val="99"/>
    <w:rsid w:val="00EE1480"/>
    <w:rPr>
      <w:sz w:val="20"/>
      <w:szCs w:val="20"/>
      <w:lang w:val="en-GB"/>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
    <w:basedOn w:val="DefaultParagraphFont"/>
    <w:uiPriority w:val="99"/>
    <w:unhideWhenUsed/>
    <w:qFormat/>
    <w:rsid w:val="00EE1480"/>
    <w:rPr>
      <w:vertAlign w:val="superscript"/>
    </w:rPr>
  </w:style>
  <w:style w:type="character" w:styleId="CommentReference">
    <w:name w:val="annotation reference"/>
    <w:basedOn w:val="DefaultParagraphFont"/>
    <w:uiPriority w:val="99"/>
    <w:semiHidden/>
    <w:unhideWhenUsed/>
    <w:rsid w:val="006F2EEA"/>
    <w:rPr>
      <w:sz w:val="16"/>
      <w:szCs w:val="16"/>
    </w:rPr>
  </w:style>
  <w:style w:type="paragraph" w:styleId="CommentText">
    <w:name w:val="annotation text"/>
    <w:basedOn w:val="Normal"/>
    <w:link w:val="CommentTextChar"/>
    <w:uiPriority w:val="99"/>
    <w:unhideWhenUsed/>
    <w:rsid w:val="006F2EEA"/>
    <w:pPr>
      <w:spacing w:line="240" w:lineRule="auto"/>
    </w:pPr>
    <w:rPr>
      <w:sz w:val="20"/>
      <w:szCs w:val="20"/>
    </w:rPr>
  </w:style>
  <w:style w:type="character" w:customStyle="1" w:styleId="CommentTextChar">
    <w:name w:val="Comment Text Char"/>
    <w:basedOn w:val="DefaultParagraphFont"/>
    <w:link w:val="CommentText"/>
    <w:uiPriority w:val="99"/>
    <w:rsid w:val="006F2EEA"/>
    <w:rPr>
      <w:sz w:val="20"/>
      <w:szCs w:val="20"/>
    </w:rPr>
  </w:style>
  <w:style w:type="paragraph" w:styleId="CommentSubject">
    <w:name w:val="annotation subject"/>
    <w:basedOn w:val="CommentText"/>
    <w:next w:val="CommentText"/>
    <w:link w:val="CommentSubjectChar"/>
    <w:uiPriority w:val="99"/>
    <w:semiHidden/>
    <w:unhideWhenUsed/>
    <w:rsid w:val="006F2EEA"/>
    <w:rPr>
      <w:b/>
      <w:bCs/>
    </w:rPr>
  </w:style>
  <w:style w:type="character" w:customStyle="1" w:styleId="CommentSubjectChar">
    <w:name w:val="Comment Subject Char"/>
    <w:basedOn w:val="CommentTextChar"/>
    <w:link w:val="CommentSubject"/>
    <w:uiPriority w:val="99"/>
    <w:semiHidden/>
    <w:rsid w:val="006F2EEA"/>
    <w:rPr>
      <w:b/>
      <w:bCs/>
      <w:sz w:val="20"/>
      <w:szCs w:val="20"/>
    </w:rPr>
  </w:style>
  <w:style w:type="paragraph" w:customStyle="1" w:styleId="Default">
    <w:name w:val="Default"/>
    <w:rsid w:val="00C50F3E"/>
    <w:pPr>
      <w:autoSpaceDE w:val="0"/>
      <w:autoSpaceDN w:val="0"/>
      <w:adjustRightInd w:val="0"/>
      <w:spacing w:after="0" w:line="240" w:lineRule="auto"/>
    </w:pPr>
    <w:rPr>
      <w:rFonts w:ascii="Arial" w:hAnsi="Arial" w:cs="Arial"/>
      <w:color w:val="000000"/>
      <w:kern w:val="0"/>
      <w:lang w:val="en-GB"/>
      <w14:ligatures w14:val="none"/>
    </w:rPr>
  </w:style>
  <w:style w:type="paragraph" w:styleId="Header">
    <w:name w:val="header"/>
    <w:basedOn w:val="Normal"/>
    <w:link w:val="HeaderChar"/>
    <w:uiPriority w:val="99"/>
    <w:unhideWhenUsed/>
    <w:rsid w:val="002576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7683"/>
  </w:style>
  <w:style w:type="paragraph" w:styleId="Footer">
    <w:name w:val="footer"/>
    <w:basedOn w:val="Normal"/>
    <w:link w:val="FooterChar"/>
    <w:uiPriority w:val="99"/>
    <w:unhideWhenUsed/>
    <w:rsid w:val="002576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7683"/>
  </w:style>
  <w:style w:type="character" w:styleId="Hyperlink">
    <w:name w:val="Hyperlink"/>
    <w:basedOn w:val="DefaultParagraphFont"/>
    <w:uiPriority w:val="99"/>
    <w:unhideWhenUsed/>
    <w:rsid w:val="00F3484C"/>
    <w:rPr>
      <w:color w:val="467886" w:themeColor="hyperlink"/>
      <w:u w:val="single"/>
    </w:rPr>
  </w:style>
  <w:style w:type="character" w:styleId="UnresolvedMention">
    <w:name w:val="Unresolved Mention"/>
    <w:basedOn w:val="DefaultParagraphFont"/>
    <w:uiPriority w:val="99"/>
    <w:semiHidden/>
    <w:unhideWhenUsed/>
    <w:rsid w:val="00F3484C"/>
    <w:rPr>
      <w:color w:val="605E5C"/>
      <w:shd w:val="clear" w:color="auto" w:fill="E1DFDD"/>
    </w:rPr>
  </w:style>
  <w:style w:type="paragraph" w:styleId="Revision">
    <w:name w:val="Revision"/>
    <w:hidden/>
    <w:uiPriority w:val="99"/>
    <w:semiHidden/>
    <w:rsid w:val="004933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22499">
      <w:bodyDiv w:val="1"/>
      <w:marLeft w:val="0"/>
      <w:marRight w:val="0"/>
      <w:marTop w:val="0"/>
      <w:marBottom w:val="0"/>
      <w:divBdr>
        <w:top w:val="none" w:sz="0" w:space="0" w:color="auto"/>
        <w:left w:val="none" w:sz="0" w:space="0" w:color="auto"/>
        <w:bottom w:val="none" w:sz="0" w:space="0" w:color="auto"/>
        <w:right w:val="none" w:sz="0" w:space="0" w:color="auto"/>
      </w:divBdr>
    </w:div>
    <w:div w:id="38475408">
      <w:bodyDiv w:val="1"/>
      <w:marLeft w:val="0"/>
      <w:marRight w:val="0"/>
      <w:marTop w:val="0"/>
      <w:marBottom w:val="0"/>
      <w:divBdr>
        <w:top w:val="none" w:sz="0" w:space="0" w:color="auto"/>
        <w:left w:val="none" w:sz="0" w:space="0" w:color="auto"/>
        <w:bottom w:val="none" w:sz="0" w:space="0" w:color="auto"/>
        <w:right w:val="none" w:sz="0" w:space="0" w:color="auto"/>
      </w:divBdr>
    </w:div>
    <w:div w:id="119421376">
      <w:bodyDiv w:val="1"/>
      <w:marLeft w:val="0"/>
      <w:marRight w:val="0"/>
      <w:marTop w:val="0"/>
      <w:marBottom w:val="0"/>
      <w:divBdr>
        <w:top w:val="none" w:sz="0" w:space="0" w:color="auto"/>
        <w:left w:val="none" w:sz="0" w:space="0" w:color="auto"/>
        <w:bottom w:val="none" w:sz="0" w:space="0" w:color="auto"/>
        <w:right w:val="none" w:sz="0" w:space="0" w:color="auto"/>
      </w:divBdr>
    </w:div>
    <w:div w:id="129128792">
      <w:bodyDiv w:val="1"/>
      <w:marLeft w:val="0"/>
      <w:marRight w:val="0"/>
      <w:marTop w:val="0"/>
      <w:marBottom w:val="0"/>
      <w:divBdr>
        <w:top w:val="none" w:sz="0" w:space="0" w:color="auto"/>
        <w:left w:val="none" w:sz="0" w:space="0" w:color="auto"/>
        <w:bottom w:val="none" w:sz="0" w:space="0" w:color="auto"/>
        <w:right w:val="none" w:sz="0" w:space="0" w:color="auto"/>
      </w:divBdr>
    </w:div>
    <w:div w:id="160900234">
      <w:bodyDiv w:val="1"/>
      <w:marLeft w:val="0"/>
      <w:marRight w:val="0"/>
      <w:marTop w:val="0"/>
      <w:marBottom w:val="0"/>
      <w:divBdr>
        <w:top w:val="none" w:sz="0" w:space="0" w:color="auto"/>
        <w:left w:val="none" w:sz="0" w:space="0" w:color="auto"/>
        <w:bottom w:val="none" w:sz="0" w:space="0" w:color="auto"/>
        <w:right w:val="none" w:sz="0" w:space="0" w:color="auto"/>
      </w:divBdr>
    </w:div>
    <w:div w:id="255599077">
      <w:bodyDiv w:val="1"/>
      <w:marLeft w:val="0"/>
      <w:marRight w:val="0"/>
      <w:marTop w:val="0"/>
      <w:marBottom w:val="0"/>
      <w:divBdr>
        <w:top w:val="none" w:sz="0" w:space="0" w:color="auto"/>
        <w:left w:val="none" w:sz="0" w:space="0" w:color="auto"/>
        <w:bottom w:val="none" w:sz="0" w:space="0" w:color="auto"/>
        <w:right w:val="none" w:sz="0" w:space="0" w:color="auto"/>
      </w:divBdr>
    </w:div>
    <w:div w:id="303967937">
      <w:bodyDiv w:val="1"/>
      <w:marLeft w:val="0"/>
      <w:marRight w:val="0"/>
      <w:marTop w:val="0"/>
      <w:marBottom w:val="0"/>
      <w:divBdr>
        <w:top w:val="none" w:sz="0" w:space="0" w:color="auto"/>
        <w:left w:val="none" w:sz="0" w:space="0" w:color="auto"/>
        <w:bottom w:val="none" w:sz="0" w:space="0" w:color="auto"/>
        <w:right w:val="none" w:sz="0" w:space="0" w:color="auto"/>
      </w:divBdr>
      <w:divsChild>
        <w:div w:id="474224017">
          <w:marLeft w:val="274"/>
          <w:marRight w:val="0"/>
          <w:marTop w:val="0"/>
          <w:marBottom w:val="0"/>
          <w:divBdr>
            <w:top w:val="none" w:sz="0" w:space="0" w:color="auto"/>
            <w:left w:val="none" w:sz="0" w:space="0" w:color="auto"/>
            <w:bottom w:val="none" w:sz="0" w:space="0" w:color="auto"/>
            <w:right w:val="none" w:sz="0" w:space="0" w:color="auto"/>
          </w:divBdr>
        </w:div>
        <w:div w:id="507600618">
          <w:marLeft w:val="274"/>
          <w:marRight w:val="0"/>
          <w:marTop w:val="0"/>
          <w:marBottom w:val="0"/>
          <w:divBdr>
            <w:top w:val="none" w:sz="0" w:space="0" w:color="auto"/>
            <w:left w:val="none" w:sz="0" w:space="0" w:color="auto"/>
            <w:bottom w:val="none" w:sz="0" w:space="0" w:color="auto"/>
            <w:right w:val="none" w:sz="0" w:space="0" w:color="auto"/>
          </w:divBdr>
        </w:div>
        <w:div w:id="562569730">
          <w:marLeft w:val="274"/>
          <w:marRight w:val="0"/>
          <w:marTop w:val="0"/>
          <w:marBottom w:val="0"/>
          <w:divBdr>
            <w:top w:val="none" w:sz="0" w:space="0" w:color="auto"/>
            <w:left w:val="none" w:sz="0" w:space="0" w:color="auto"/>
            <w:bottom w:val="none" w:sz="0" w:space="0" w:color="auto"/>
            <w:right w:val="none" w:sz="0" w:space="0" w:color="auto"/>
          </w:divBdr>
        </w:div>
        <w:div w:id="822700828">
          <w:marLeft w:val="274"/>
          <w:marRight w:val="0"/>
          <w:marTop w:val="0"/>
          <w:marBottom w:val="0"/>
          <w:divBdr>
            <w:top w:val="none" w:sz="0" w:space="0" w:color="auto"/>
            <w:left w:val="none" w:sz="0" w:space="0" w:color="auto"/>
            <w:bottom w:val="none" w:sz="0" w:space="0" w:color="auto"/>
            <w:right w:val="none" w:sz="0" w:space="0" w:color="auto"/>
          </w:divBdr>
        </w:div>
        <w:div w:id="885871439">
          <w:marLeft w:val="274"/>
          <w:marRight w:val="0"/>
          <w:marTop w:val="0"/>
          <w:marBottom w:val="0"/>
          <w:divBdr>
            <w:top w:val="none" w:sz="0" w:space="0" w:color="auto"/>
            <w:left w:val="none" w:sz="0" w:space="0" w:color="auto"/>
            <w:bottom w:val="none" w:sz="0" w:space="0" w:color="auto"/>
            <w:right w:val="none" w:sz="0" w:space="0" w:color="auto"/>
          </w:divBdr>
        </w:div>
        <w:div w:id="923805163">
          <w:marLeft w:val="274"/>
          <w:marRight w:val="0"/>
          <w:marTop w:val="0"/>
          <w:marBottom w:val="0"/>
          <w:divBdr>
            <w:top w:val="none" w:sz="0" w:space="0" w:color="auto"/>
            <w:left w:val="none" w:sz="0" w:space="0" w:color="auto"/>
            <w:bottom w:val="none" w:sz="0" w:space="0" w:color="auto"/>
            <w:right w:val="none" w:sz="0" w:space="0" w:color="auto"/>
          </w:divBdr>
        </w:div>
        <w:div w:id="1611282967">
          <w:marLeft w:val="274"/>
          <w:marRight w:val="0"/>
          <w:marTop w:val="0"/>
          <w:marBottom w:val="0"/>
          <w:divBdr>
            <w:top w:val="none" w:sz="0" w:space="0" w:color="auto"/>
            <w:left w:val="none" w:sz="0" w:space="0" w:color="auto"/>
            <w:bottom w:val="none" w:sz="0" w:space="0" w:color="auto"/>
            <w:right w:val="none" w:sz="0" w:space="0" w:color="auto"/>
          </w:divBdr>
        </w:div>
        <w:div w:id="1835297379">
          <w:marLeft w:val="274"/>
          <w:marRight w:val="0"/>
          <w:marTop w:val="0"/>
          <w:marBottom w:val="0"/>
          <w:divBdr>
            <w:top w:val="none" w:sz="0" w:space="0" w:color="auto"/>
            <w:left w:val="none" w:sz="0" w:space="0" w:color="auto"/>
            <w:bottom w:val="none" w:sz="0" w:space="0" w:color="auto"/>
            <w:right w:val="none" w:sz="0" w:space="0" w:color="auto"/>
          </w:divBdr>
        </w:div>
        <w:div w:id="1843545014">
          <w:marLeft w:val="274"/>
          <w:marRight w:val="0"/>
          <w:marTop w:val="0"/>
          <w:marBottom w:val="0"/>
          <w:divBdr>
            <w:top w:val="none" w:sz="0" w:space="0" w:color="auto"/>
            <w:left w:val="none" w:sz="0" w:space="0" w:color="auto"/>
            <w:bottom w:val="none" w:sz="0" w:space="0" w:color="auto"/>
            <w:right w:val="none" w:sz="0" w:space="0" w:color="auto"/>
          </w:divBdr>
        </w:div>
      </w:divsChild>
    </w:div>
    <w:div w:id="304625656">
      <w:bodyDiv w:val="1"/>
      <w:marLeft w:val="0"/>
      <w:marRight w:val="0"/>
      <w:marTop w:val="0"/>
      <w:marBottom w:val="0"/>
      <w:divBdr>
        <w:top w:val="none" w:sz="0" w:space="0" w:color="auto"/>
        <w:left w:val="none" w:sz="0" w:space="0" w:color="auto"/>
        <w:bottom w:val="none" w:sz="0" w:space="0" w:color="auto"/>
        <w:right w:val="none" w:sz="0" w:space="0" w:color="auto"/>
      </w:divBdr>
    </w:div>
    <w:div w:id="333999905">
      <w:bodyDiv w:val="1"/>
      <w:marLeft w:val="0"/>
      <w:marRight w:val="0"/>
      <w:marTop w:val="0"/>
      <w:marBottom w:val="0"/>
      <w:divBdr>
        <w:top w:val="none" w:sz="0" w:space="0" w:color="auto"/>
        <w:left w:val="none" w:sz="0" w:space="0" w:color="auto"/>
        <w:bottom w:val="none" w:sz="0" w:space="0" w:color="auto"/>
        <w:right w:val="none" w:sz="0" w:space="0" w:color="auto"/>
      </w:divBdr>
    </w:div>
    <w:div w:id="343943466">
      <w:bodyDiv w:val="1"/>
      <w:marLeft w:val="0"/>
      <w:marRight w:val="0"/>
      <w:marTop w:val="0"/>
      <w:marBottom w:val="0"/>
      <w:divBdr>
        <w:top w:val="none" w:sz="0" w:space="0" w:color="auto"/>
        <w:left w:val="none" w:sz="0" w:space="0" w:color="auto"/>
        <w:bottom w:val="none" w:sz="0" w:space="0" w:color="auto"/>
        <w:right w:val="none" w:sz="0" w:space="0" w:color="auto"/>
      </w:divBdr>
    </w:div>
    <w:div w:id="365369085">
      <w:bodyDiv w:val="1"/>
      <w:marLeft w:val="0"/>
      <w:marRight w:val="0"/>
      <w:marTop w:val="0"/>
      <w:marBottom w:val="0"/>
      <w:divBdr>
        <w:top w:val="none" w:sz="0" w:space="0" w:color="auto"/>
        <w:left w:val="none" w:sz="0" w:space="0" w:color="auto"/>
        <w:bottom w:val="none" w:sz="0" w:space="0" w:color="auto"/>
        <w:right w:val="none" w:sz="0" w:space="0" w:color="auto"/>
      </w:divBdr>
    </w:div>
    <w:div w:id="395128496">
      <w:bodyDiv w:val="1"/>
      <w:marLeft w:val="0"/>
      <w:marRight w:val="0"/>
      <w:marTop w:val="0"/>
      <w:marBottom w:val="0"/>
      <w:divBdr>
        <w:top w:val="none" w:sz="0" w:space="0" w:color="auto"/>
        <w:left w:val="none" w:sz="0" w:space="0" w:color="auto"/>
        <w:bottom w:val="none" w:sz="0" w:space="0" w:color="auto"/>
        <w:right w:val="none" w:sz="0" w:space="0" w:color="auto"/>
      </w:divBdr>
    </w:div>
    <w:div w:id="418138334">
      <w:bodyDiv w:val="1"/>
      <w:marLeft w:val="0"/>
      <w:marRight w:val="0"/>
      <w:marTop w:val="0"/>
      <w:marBottom w:val="0"/>
      <w:divBdr>
        <w:top w:val="none" w:sz="0" w:space="0" w:color="auto"/>
        <w:left w:val="none" w:sz="0" w:space="0" w:color="auto"/>
        <w:bottom w:val="none" w:sz="0" w:space="0" w:color="auto"/>
        <w:right w:val="none" w:sz="0" w:space="0" w:color="auto"/>
      </w:divBdr>
    </w:div>
    <w:div w:id="451097588">
      <w:bodyDiv w:val="1"/>
      <w:marLeft w:val="0"/>
      <w:marRight w:val="0"/>
      <w:marTop w:val="0"/>
      <w:marBottom w:val="0"/>
      <w:divBdr>
        <w:top w:val="none" w:sz="0" w:space="0" w:color="auto"/>
        <w:left w:val="none" w:sz="0" w:space="0" w:color="auto"/>
        <w:bottom w:val="none" w:sz="0" w:space="0" w:color="auto"/>
        <w:right w:val="none" w:sz="0" w:space="0" w:color="auto"/>
      </w:divBdr>
    </w:div>
    <w:div w:id="703604272">
      <w:bodyDiv w:val="1"/>
      <w:marLeft w:val="0"/>
      <w:marRight w:val="0"/>
      <w:marTop w:val="0"/>
      <w:marBottom w:val="0"/>
      <w:divBdr>
        <w:top w:val="none" w:sz="0" w:space="0" w:color="auto"/>
        <w:left w:val="none" w:sz="0" w:space="0" w:color="auto"/>
        <w:bottom w:val="none" w:sz="0" w:space="0" w:color="auto"/>
        <w:right w:val="none" w:sz="0" w:space="0" w:color="auto"/>
      </w:divBdr>
    </w:div>
    <w:div w:id="732846719">
      <w:bodyDiv w:val="1"/>
      <w:marLeft w:val="0"/>
      <w:marRight w:val="0"/>
      <w:marTop w:val="0"/>
      <w:marBottom w:val="0"/>
      <w:divBdr>
        <w:top w:val="none" w:sz="0" w:space="0" w:color="auto"/>
        <w:left w:val="none" w:sz="0" w:space="0" w:color="auto"/>
        <w:bottom w:val="none" w:sz="0" w:space="0" w:color="auto"/>
        <w:right w:val="none" w:sz="0" w:space="0" w:color="auto"/>
      </w:divBdr>
    </w:div>
    <w:div w:id="789980929">
      <w:bodyDiv w:val="1"/>
      <w:marLeft w:val="0"/>
      <w:marRight w:val="0"/>
      <w:marTop w:val="0"/>
      <w:marBottom w:val="0"/>
      <w:divBdr>
        <w:top w:val="none" w:sz="0" w:space="0" w:color="auto"/>
        <w:left w:val="none" w:sz="0" w:space="0" w:color="auto"/>
        <w:bottom w:val="none" w:sz="0" w:space="0" w:color="auto"/>
        <w:right w:val="none" w:sz="0" w:space="0" w:color="auto"/>
      </w:divBdr>
    </w:div>
    <w:div w:id="805196463">
      <w:bodyDiv w:val="1"/>
      <w:marLeft w:val="0"/>
      <w:marRight w:val="0"/>
      <w:marTop w:val="0"/>
      <w:marBottom w:val="0"/>
      <w:divBdr>
        <w:top w:val="none" w:sz="0" w:space="0" w:color="auto"/>
        <w:left w:val="none" w:sz="0" w:space="0" w:color="auto"/>
        <w:bottom w:val="none" w:sz="0" w:space="0" w:color="auto"/>
        <w:right w:val="none" w:sz="0" w:space="0" w:color="auto"/>
      </w:divBdr>
    </w:div>
    <w:div w:id="819689012">
      <w:bodyDiv w:val="1"/>
      <w:marLeft w:val="0"/>
      <w:marRight w:val="0"/>
      <w:marTop w:val="0"/>
      <w:marBottom w:val="0"/>
      <w:divBdr>
        <w:top w:val="none" w:sz="0" w:space="0" w:color="auto"/>
        <w:left w:val="none" w:sz="0" w:space="0" w:color="auto"/>
        <w:bottom w:val="none" w:sz="0" w:space="0" w:color="auto"/>
        <w:right w:val="none" w:sz="0" w:space="0" w:color="auto"/>
      </w:divBdr>
    </w:div>
    <w:div w:id="845942493">
      <w:bodyDiv w:val="1"/>
      <w:marLeft w:val="0"/>
      <w:marRight w:val="0"/>
      <w:marTop w:val="0"/>
      <w:marBottom w:val="0"/>
      <w:divBdr>
        <w:top w:val="none" w:sz="0" w:space="0" w:color="auto"/>
        <w:left w:val="none" w:sz="0" w:space="0" w:color="auto"/>
        <w:bottom w:val="none" w:sz="0" w:space="0" w:color="auto"/>
        <w:right w:val="none" w:sz="0" w:space="0" w:color="auto"/>
      </w:divBdr>
    </w:div>
    <w:div w:id="870264350">
      <w:bodyDiv w:val="1"/>
      <w:marLeft w:val="0"/>
      <w:marRight w:val="0"/>
      <w:marTop w:val="0"/>
      <w:marBottom w:val="0"/>
      <w:divBdr>
        <w:top w:val="none" w:sz="0" w:space="0" w:color="auto"/>
        <w:left w:val="none" w:sz="0" w:space="0" w:color="auto"/>
        <w:bottom w:val="none" w:sz="0" w:space="0" w:color="auto"/>
        <w:right w:val="none" w:sz="0" w:space="0" w:color="auto"/>
      </w:divBdr>
      <w:divsChild>
        <w:div w:id="1918249097">
          <w:marLeft w:val="0"/>
          <w:marRight w:val="0"/>
          <w:marTop w:val="0"/>
          <w:marBottom w:val="0"/>
          <w:divBdr>
            <w:top w:val="none" w:sz="0" w:space="0" w:color="auto"/>
            <w:left w:val="none" w:sz="0" w:space="0" w:color="auto"/>
            <w:bottom w:val="none" w:sz="0" w:space="0" w:color="auto"/>
            <w:right w:val="none" w:sz="0" w:space="0" w:color="auto"/>
          </w:divBdr>
          <w:divsChild>
            <w:div w:id="1032002718">
              <w:marLeft w:val="0"/>
              <w:marRight w:val="0"/>
              <w:marTop w:val="0"/>
              <w:marBottom w:val="0"/>
              <w:divBdr>
                <w:top w:val="none" w:sz="0" w:space="0" w:color="auto"/>
                <w:left w:val="none" w:sz="0" w:space="0" w:color="auto"/>
                <w:bottom w:val="none" w:sz="0" w:space="0" w:color="auto"/>
                <w:right w:val="none" w:sz="0" w:space="0" w:color="auto"/>
              </w:divBdr>
              <w:divsChild>
                <w:div w:id="1698963093">
                  <w:marLeft w:val="0"/>
                  <w:marRight w:val="0"/>
                  <w:marTop w:val="0"/>
                  <w:marBottom w:val="0"/>
                  <w:divBdr>
                    <w:top w:val="none" w:sz="0" w:space="0" w:color="auto"/>
                    <w:left w:val="none" w:sz="0" w:space="0" w:color="auto"/>
                    <w:bottom w:val="none" w:sz="0" w:space="0" w:color="auto"/>
                    <w:right w:val="none" w:sz="0" w:space="0" w:color="auto"/>
                  </w:divBdr>
                  <w:divsChild>
                    <w:div w:id="1633168743">
                      <w:marLeft w:val="0"/>
                      <w:marRight w:val="0"/>
                      <w:marTop w:val="0"/>
                      <w:marBottom w:val="0"/>
                      <w:divBdr>
                        <w:top w:val="none" w:sz="0" w:space="0" w:color="auto"/>
                        <w:left w:val="none" w:sz="0" w:space="0" w:color="auto"/>
                        <w:bottom w:val="none" w:sz="0" w:space="0" w:color="auto"/>
                        <w:right w:val="none" w:sz="0" w:space="0" w:color="auto"/>
                      </w:divBdr>
                      <w:divsChild>
                        <w:div w:id="2052000524">
                          <w:marLeft w:val="0"/>
                          <w:marRight w:val="0"/>
                          <w:marTop w:val="0"/>
                          <w:marBottom w:val="0"/>
                          <w:divBdr>
                            <w:top w:val="none" w:sz="0" w:space="0" w:color="auto"/>
                            <w:left w:val="none" w:sz="0" w:space="0" w:color="auto"/>
                            <w:bottom w:val="none" w:sz="0" w:space="0" w:color="auto"/>
                            <w:right w:val="none" w:sz="0" w:space="0" w:color="auto"/>
                          </w:divBdr>
                          <w:divsChild>
                            <w:div w:id="235211623">
                              <w:marLeft w:val="0"/>
                              <w:marRight w:val="0"/>
                              <w:marTop w:val="0"/>
                              <w:marBottom w:val="0"/>
                              <w:divBdr>
                                <w:top w:val="none" w:sz="0" w:space="0" w:color="auto"/>
                                <w:left w:val="none" w:sz="0" w:space="0" w:color="auto"/>
                                <w:bottom w:val="none" w:sz="0" w:space="0" w:color="auto"/>
                                <w:right w:val="none" w:sz="0" w:space="0" w:color="auto"/>
                              </w:divBdr>
                              <w:divsChild>
                                <w:div w:id="479805738">
                                  <w:marLeft w:val="0"/>
                                  <w:marRight w:val="0"/>
                                  <w:marTop w:val="0"/>
                                  <w:marBottom w:val="0"/>
                                  <w:divBdr>
                                    <w:top w:val="none" w:sz="0" w:space="0" w:color="auto"/>
                                    <w:left w:val="none" w:sz="0" w:space="0" w:color="auto"/>
                                    <w:bottom w:val="none" w:sz="0" w:space="0" w:color="auto"/>
                                    <w:right w:val="none" w:sz="0" w:space="0" w:color="auto"/>
                                  </w:divBdr>
                                </w:div>
                                <w:div w:id="12849569">
                                  <w:marLeft w:val="0"/>
                                  <w:marRight w:val="0"/>
                                  <w:marTop w:val="0"/>
                                  <w:marBottom w:val="0"/>
                                  <w:divBdr>
                                    <w:top w:val="none" w:sz="0" w:space="0" w:color="auto"/>
                                    <w:left w:val="none" w:sz="0" w:space="0" w:color="auto"/>
                                    <w:bottom w:val="none" w:sz="0" w:space="0" w:color="auto"/>
                                    <w:right w:val="none" w:sz="0" w:space="0" w:color="auto"/>
                                  </w:divBdr>
                                </w:div>
                                <w:div w:id="1228807182">
                                  <w:marLeft w:val="0"/>
                                  <w:marRight w:val="0"/>
                                  <w:marTop w:val="0"/>
                                  <w:marBottom w:val="0"/>
                                  <w:divBdr>
                                    <w:top w:val="none" w:sz="0" w:space="0" w:color="auto"/>
                                    <w:left w:val="none" w:sz="0" w:space="0" w:color="auto"/>
                                    <w:bottom w:val="none" w:sz="0" w:space="0" w:color="auto"/>
                                    <w:right w:val="none" w:sz="0" w:space="0" w:color="auto"/>
                                  </w:divBdr>
                                </w:div>
                                <w:div w:id="1520240764">
                                  <w:marLeft w:val="0"/>
                                  <w:marRight w:val="0"/>
                                  <w:marTop w:val="0"/>
                                  <w:marBottom w:val="0"/>
                                  <w:divBdr>
                                    <w:top w:val="none" w:sz="0" w:space="0" w:color="auto"/>
                                    <w:left w:val="none" w:sz="0" w:space="0" w:color="auto"/>
                                    <w:bottom w:val="none" w:sz="0" w:space="0" w:color="auto"/>
                                    <w:right w:val="none" w:sz="0" w:space="0" w:color="auto"/>
                                  </w:divBdr>
                                </w:div>
                                <w:div w:id="20815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146604">
      <w:bodyDiv w:val="1"/>
      <w:marLeft w:val="0"/>
      <w:marRight w:val="0"/>
      <w:marTop w:val="0"/>
      <w:marBottom w:val="0"/>
      <w:divBdr>
        <w:top w:val="none" w:sz="0" w:space="0" w:color="auto"/>
        <w:left w:val="none" w:sz="0" w:space="0" w:color="auto"/>
        <w:bottom w:val="none" w:sz="0" w:space="0" w:color="auto"/>
        <w:right w:val="none" w:sz="0" w:space="0" w:color="auto"/>
      </w:divBdr>
      <w:divsChild>
        <w:div w:id="1974409211">
          <w:marLeft w:val="1800"/>
          <w:marRight w:val="0"/>
          <w:marTop w:val="100"/>
          <w:marBottom w:val="0"/>
          <w:divBdr>
            <w:top w:val="none" w:sz="0" w:space="0" w:color="auto"/>
            <w:left w:val="none" w:sz="0" w:space="0" w:color="auto"/>
            <w:bottom w:val="none" w:sz="0" w:space="0" w:color="auto"/>
            <w:right w:val="none" w:sz="0" w:space="0" w:color="auto"/>
          </w:divBdr>
        </w:div>
        <w:div w:id="2000889039">
          <w:marLeft w:val="1800"/>
          <w:marRight w:val="0"/>
          <w:marTop w:val="100"/>
          <w:marBottom w:val="0"/>
          <w:divBdr>
            <w:top w:val="none" w:sz="0" w:space="0" w:color="auto"/>
            <w:left w:val="none" w:sz="0" w:space="0" w:color="auto"/>
            <w:bottom w:val="none" w:sz="0" w:space="0" w:color="auto"/>
            <w:right w:val="none" w:sz="0" w:space="0" w:color="auto"/>
          </w:divBdr>
        </w:div>
        <w:div w:id="1336149005">
          <w:marLeft w:val="2520"/>
          <w:marRight w:val="0"/>
          <w:marTop w:val="100"/>
          <w:marBottom w:val="0"/>
          <w:divBdr>
            <w:top w:val="none" w:sz="0" w:space="0" w:color="auto"/>
            <w:left w:val="none" w:sz="0" w:space="0" w:color="auto"/>
            <w:bottom w:val="none" w:sz="0" w:space="0" w:color="auto"/>
            <w:right w:val="none" w:sz="0" w:space="0" w:color="auto"/>
          </w:divBdr>
        </w:div>
        <w:div w:id="5789569">
          <w:marLeft w:val="2520"/>
          <w:marRight w:val="0"/>
          <w:marTop w:val="100"/>
          <w:marBottom w:val="0"/>
          <w:divBdr>
            <w:top w:val="none" w:sz="0" w:space="0" w:color="auto"/>
            <w:left w:val="none" w:sz="0" w:space="0" w:color="auto"/>
            <w:bottom w:val="none" w:sz="0" w:space="0" w:color="auto"/>
            <w:right w:val="none" w:sz="0" w:space="0" w:color="auto"/>
          </w:divBdr>
        </w:div>
        <w:div w:id="201065663">
          <w:marLeft w:val="2520"/>
          <w:marRight w:val="0"/>
          <w:marTop w:val="100"/>
          <w:marBottom w:val="0"/>
          <w:divBdr>
            <w:top w:val="none" w:sz="0" w:space="0" w:color="auto"/>
            <w:left w:val="none" w:sz="0" w:space="0" w:color="auto"/>
            <w:bottom w:val="none" w:sz="0" w:space="0" w:color="auto"/>
            <w:right w:val="none" w:sz="0" w:space="0" w:color="auto"/>
          </w:divBdr>
        </w:div>
        <w:div w:id="1416168745">
          <w:marLeft w:val="2520"/>
          <w:marRight w:val="0"/>
          <w:marTop w:val="100"/>
          <w:marBottom w:val="0"/>
          <w:divBdr>
            <w:top w:val="none" w:sz="0" w:space="0" w:color="auto"/>
            <w:left w:val="none" w:sz="0" w:space="0" w:color="auto"/>
            <w:bottom w:val="none" w:sz="0" w:space="0" w:color="auto"/>
            <w:right w:val="none" w:sz="0" w:space="0" w:color="auto"/>
          </w:divBdr>
        </w:div>
        <w:div w:id="1389263386">
          <w:marLeft w:val="1800"/>
          <w:marRight w:val="0"/>
          <w:marTop w:val="100"/>
          <w:marBottom w:val="0"/>
          <w:divBdr>
            <w:top w:val="none" w:sz="0" w:space="0" w:color="auto"/>
            <w:left w:val="none" w:sz="0" w:space="0" w:color="auto"/>
            <w:bottom w:val="none" w:sz="0" w:space="0" w:color="auto"/>
            <w:right w:val="none" w:sz="0" w:space="0" w:color="auto"/>
          </w:divBdr>
        </w:div>
        <w:div w:id="780808779">
          <w:marLeft w:val="1800"/>
          <w:marRight w:val="0"/>
          <w:marTop w:val="100"/>
          <w:marBottom w:val="0"/>
          <w:divBdr>
            <w:top w:val="none" w:sz="0" w:space="0" w:color="auto"/>
            <w:left w:val="none" w:sz="0" w:space="0" w:color="auto"/>
            <w:bottom w:val="none" w:sz="0" w:space="0" w:color="auto"/>
            <w:right w:val="none" w:sz="0" w:space="0" w:color="auto"/>
          </w:divBdr>
        </w:div>
        <w:div w:id="90862804">
          <w:marLeft w:val="2520"/>
          <w:marRight w:val="0"/>
          <w:marTop w:val="100"/>
          <w:marBottom w:val="0"/>
          <w:divBdr>
            <w:top w:val="none" w:sz="0" w:space="0" w:color="auto"/>
            <w:left w:val="none" w:sz="0" w:space="0" w:color="auto"/>
            <w:bottom w:val="none" w:sz="0" w:space="0" w:color="auto"/>
            <w:right w:val="none" w:sz="0" w:space="0" w:color="auto"/>
          </w:divBdr>
        </w:div>
        <w:div w:id="489296437">
          <w:marLeft w:val="2520"/>
          <w:marRight w:val="0"/>
          <w:marTop w:val="100"/>
          <w:marBottom w:val="0"/>
          <w:divBdr>
            <w:top w:val="none" w:sz="0" w:space="0" w:color="auto"/>
            <w:left w:val="none" w:sz="0" w:space="0" w:color="auto"/>
            <w:bottom w:val="none" w:sz="0" w:space="0" w:color="auto"/>
            <w:right w:val="none" w:sz="0" w:space="0" w:color="auto"/>
          </w:divBdr>
        </w:div>
        <w:div w:id="505174469">
          <w:marLeft w:val="2520"/>
          <w:marRight w:val="0"/>
          <w:marTop w:val="100"/>
          <w:marBottom w:val="0"/>
          <w:divBdr>
            <w:top w:val="none" w:sz="0" w:space="0" w:color="auto"/>
            <w:left w:val="none" w:sz="0" w:space="0" w:color="auto"/>
            <w:bottom w:val="none" w:sz="0" w:space="0" w:color="auto"/>
            <w:right w:val="none" w:sz="0" w:space="0" w:color="auto"/>
          </w:divBdr>
        </w:div>
        <w:div w:id="1713189733">
          <w:marLeft w:val="2520"/>
          <w:marRight w:val="0"/>
          <w:marTop w:val="100"/>
          <w:marBottom w:val="0"/>
          <w:divBdr>
            <w:top w:val="none" w:sz="0" w:space="0" w:color="auto"/>
            <w:left w:val="none" w:sz="0" w:space="0" w:color="auto"/>
            <w:bottom w:val="none" w:sz="0" w:space="0" w:color="auto"/>
            <w:right w:val="none" w:sz="0" w:space="0" w:color="auto"/>
          </w:divBdr>
        </w:div>
      </w:divsChild>
    </w:div>
    <w:div w:id="903492854">
      <w:bodyDiv w:val="1"/>
      <w:marLeft w:val="0"/>
      <w:marRight w:val="0"/>
      <w:marTop w:val="0"/>
      <w:marBottom w:val="0"/>
      <w:divBdr>
        <w:top w:val="none" w:sz="0" w:space="0" w:color="auto"/>
        <w:left w:val="none" w:sz="0" w:space="0" w:color="auto"/>
        <w:bottom w:val="none" w:sz="0" w:space="0" w:color="auto"/>
        <w:right w:val="none" w:sz="0" w:space="0" w:color="auto"/>
      </w:divBdr>
    </w:div>
    <w:div w:id="976492850">
      <w:bodyDiv w:val="1"/>
      <w:marLeft w:val="0"/>
      <w:marRight w:val="0"/>
      <w:marTop w:val="0"/>
      <w:marBottom w:val="0"/>
      <w:divBdr>
        <w:top w:val="none" w:sz="0" w:space="0" w:color="auto"/>
        <w:left w:val="none" w:sz="0" w:space="0" w:color="auto"/>
        <w:bottom w:val="none" w:sz="0" w:space="0" w:color="auto"/>
        <w:right w:val="none" w:sz="0" w:space="0" w:color="auto"/>
      </w:divBdr>
    </w:div>
    <w:div w:id="1026515406">
      <w:bodyDiv w:val="1"/>
      <w:marLeft w:val="0"/>
      <w:marRight w:val="0"/>
      <w:marTop w:val="0"/>
      <w:marBottom w:val="0"/>
      <w:divBdr>
        <w:top w:val="none" w:sz="0" w:space="0" w:color="auto"/>
        <w:left w:val="none" w:sz="0" w:space="0" w:color="auto"/>
        <w:bottom w:val="none" w:sz="0" w:space="0" w:color="auto"/>
        <w:right w:val="none" w:sz="0" w:space="0" w:color="auto"/>
      </w:divBdr>
      <w:divsChild>
        <w:div w:id="1986354581">
          <w:marLeft w:val="0"/>
          <w:marRight w:val="0"/>
          <w:marTop w:val="0"/>
          <w:marBottom w:val="0"/>
          <w:divBdr>
            <w:top w:val="none" w:sz="0" w:space="0" w:color="auto"/>
            <w:left w:val="none" w:sz="0" w:space="0" w:color="auto"/>
            <w:bottom w:val="none" w:sz="0" w:space="0" w:color="auto"/>
            <w:right w:val="none" w:sz="0" w:space="0" w:color="auto"/>
          </w:divBdr>
          <w:divsChild>
            <w:div w:id="494145503">
              <w:marLeft w:val="0"/>
              <w:marRight w:val="0"/>
              <w:marTop w:val="0"/>
              <w:marBottom w:val="0"/>
              <w:divBdr>
                <w:top w:val="none" w:sz="0" w:space="0" w:color="auto"/>
                <w:left w:val="none" w:sz="0" w:space="0" w:color="auto"/>
                <w:bottom w:val="none" w:sz="0" w:space="0" w:color="auto"/>
                <w:right w:val="none" w:sz="0" w:space="0" w:color="auto"/>
              </w:divBdr>
              <w:divsChild>
                <w:div w:id="1703942396">
                  <w:marLeft w:val="0"/>
                  <w:marRight w:val="0"/>
                  <w:marTop w:val="0"/>
                  <w:marBottom w:val="0"/>
                  <w:divBdr>
                    <w:top w:val="none" w:sz="0" w:space="0" w:color="auto"/>
                    <w:left w:val="none" w:sz="0" w:space="0" w:color="auto"/>
                    <w:bottom w:val="none" w:sz="0" w:space="0" w:color="auto"/>
                    <w:right w:val="none" w:sz="0" w:space="0" w:color="auto"/>
                  </w:divBdr>
                  <w:divsChild>
                    <w:div w:id="1250692807">
                      <w:marLeft w:val="0"/>
                      <w:marRight w:val="0"/>
                      <w:marTop w:val="0"/>
                      <w:marBottom w:val="0"/>
                      <w:divBdr>
                        <w:top w:val="none" w:sz="0" w:space="0" w:color="auto"/>
                        <w:left w:val="none" w:sz="0" w:space="0" w:color="auto"/>
                        <w:bottom w:val="none" w:sz="0" w:space="0" w:color="auto"/>
                        <w:right w:val="none" w:sz="0" w:space="0" w:color="auto"/>
                      </w:divBdr>
                      <w:divsChild>
                        <w:div w:id="2048750582">
                          <w:marLeft w:val="0"/>
                          <w:marRight w:val="0"/>
                          <w:marTop w:val="0"/>
                          <w:marBottom w:val="0"/>
                          <w:divBdr>
                            <w:top w:val="none" w:sz="0" w:space="0" w:color="auto"/>
                            <w:left w:val="none" w:sz="0" w:space="0" w:color="auto"/>
                            <w:bottom w:val="none" w:sz="0" w:space="0" w:color="auto"/>
                            <w:right w:val="none" w:sz="0" w:space="0" w:color="auto"/>
                          </w:divBdr>
                          <w:divsChild>
                            <w:div w:id="1183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778808">
      <w:bodyDiv w:val="1"/>
      <w:marLeft w:val="0"/>
      <w:marRight w:val="0"/>
      <w:marTop w:val="0"/>
      <w:marBottom w:val="0"/>
      <w:divBdr>
        <w:top w:val="none" w:sz="0" w:space="0" w:color="auto"/>
        <w:left w:val="none" w:sz="0" w:space="0" w:color="auto"/>
        <w:bottom w:val="none" w:sz="0" w:space="0" w:color="auto"/>
        <w:right w:val="none" w:sz="0" w:space="0" w:color="auto"/>
      </w:divBdr>
    </w:div>
    <w:div w:id="1079403718">
      <w:bodyDiv w:val="1"/>
      <w:marLeft w:val="0"/>
      <w:marRight w:val="0"/>
      <w:marTop w:val="0"/>
      <w:marBottom w:val="0"/>
      <w:divBdr>
        <w:top w:val="none" w:sz="0" w:space="0" w:color="auto"/>
        <w:left w:val="none" w:sz="0" w:space="0" w:color="auto"/>
        <w:bottom w:val="none" w:sz="0" w:space="0" w:color="auto"/>
        <w:right w:val="none" w:sz="0" w:space="0" w:color="auto"/>
      </w:divBdr>
    </w:div>
    <w:div w:id="1087119144">
      <w:bodyDiv w:val="1"/>
      <w:marLeft w:val="0"/>
      <w:marRight w:val="0"/>
      <w:marTop w:val="0"/>
      <w:marBottom w:val="0"/>
      <w:divBdr>
        <w:top w:val="none" w:sz="0" w:space="0" w:color="auto"/>
        <w:left w:val="none" w:sz="0" w:space="0" w:color="auto"/>
        <w:bottom w:val="none" w:sz="0" w:space="0" w:color="auto"/>
        <w:right w:val="none" w:sz="0" w:space="0" w:color="auto"/>
      </w:divBdr>
      <w:divsChild>
        <w:div w:id="1959872338">
          <w:marLeft w:val="0"/>
          <w:marRight w:val="0"/>
          <w:marTop w:val="0"/>
          <w:marBottom w:val="0"/>
          <w:divBdr>
            <w:top w:val="none" w:sz="0" w:space="0" w:color="auto"/>
            <w:left w:val="none" w:sz="0" w:space="0" w:color="auto"/>
            <w:bottom w:val="none" w:sz="0" w:space="0" w:color="auto"/>
            <w:right w:val="none" w:sz="0" w:space="0" w:color="auto"/>
          </w:divBdr>
          <w:divsChild>
            <w:div w:id="1445270496">
              <w:marLeft w:val="0"/>
              <w:marRight w:val="0"/>
              <w:marTop w:val="0"/>
              <w:marBottom w:val="0"/>
              <w:divBdr>
                <w:top w:val="none" w:sz="0" w:space="0" w:color="auto"/>
                <w:left w:val="none" w:sz="0" w:space="0" w:color="auto"/>
                <w:bottom w:val="none" w:sz="0" w:space="0" w:color="auto"/>
                <w:right w:val="none" w:sz="0" w:space="0" w:color="auto"/>
              </w:divBdr>
              <w:divsChild>
                <w:div w:id="1444349387">
                  <w:marLeft w:val="0"/>
                  <w:marRight w:val="0"/>
                  <w:marTop w:val="0"/>
                  <w:marBottom w:val="0"/>
                  <w:divBdr>
                    <w:top w:val="none" w:sz="0" w:space="0" w:color="auto"/>
                    <w:left w:val="none" w:sz="0" w:space="0" w:color="auto"/>
                    <w:bottom w:val="none" w:sz="0" w:space="0" w:color="auto"/>
                    <w:right w:val="none" w:sz="0" w:space="0" w:color="auto"/>
                  </w:divBdr>
                  <w:divsChild>
                    <w:div w:id="408308770">
                      <w:marLeft w:val="0"/>
                      <w:marRight w:val="0"/>
                      <w:marTop w:val="0"/>
                      <w:marBottom w:val="0"/>
                      <w:divBdr>
                        <w:top w:val="none" w:sz="0" w:space="0" w:color="auto"/>
                        <w:left w:val="none" w:sz="0" w:space="0" w:color="auto"/>
                        <w:bottom w:val="none" w:sz="0" w:space="0" w:color="auto"/>
                        <w:right w:val="none" w:sz="0" w:space="0" w:color="auto"/>
                      </w:divBdr>
                      <w:divsChild>
                        <w:div w:id="424619819">
                          <w:marLeft w:val="0"/>
                          <w:marRight w:val="0"/>
                          <w:marTop w:val="0"/>
                          <w:marBottom w:val="0"/>
                          <w:divBdr>
                            <w:top w:val="none" w:sz="0" w:space="0" w:color="auto"/>
                            <w:left w:val="none" w:sz="0" w:space="0" w:color="auto"/>
                            <w:bottom w:val="none" w:sz="0" w:space="0" w:color="auto"/>
                            <w:right w:val="none" w:sz="0" w:space="0" w:color="auto"/>
                          </w:divBdr>
                          <w:divsChild>
                            <w:div w:id="12151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199978">
      <w:bodyDiv w:val="1"/>
      <w:marLeft w:val="0"/>
      <w:marRight w:val="0"/>
      <w:marTop w:val="0"/>
      <w:marBottom w:val="0"/>
      <w:divBdr>
        <w:top w:val="none" w:sz="0" w:space="0" w:color="auto"/>
        <w:left w:val="none" w:sz="0" w:space="0" w:color="auto"/>
        <w:bottom w:val="none" w:sz="0" w:space="0" w:color="auto"/>
        <w:right w:val="none" w:sz="0" w:space="0" w:color="auto"/>
      </w:divBdr>
    </w:div>
    <w:div w:id="1202472298">
      <w:bodyDiv w:val="1"/>
      <w:marLeft w:val="0"/>
      <w:marRight w:val="0"/>
      <w:marTop w:val="0"/>
      <w:marBottom w:val="0"/>
      <w:divBdr>
        <w:top w:val="none" w:sz="0" w:space="0" w:color="auto"/>
        <w:left w:val="none" w:sz="0" w:space="0" w:color="auto"/>
        <w:bottom w:val="none" w:sz="0" w:space="0" w:color="auto"/>
        <w:right w:val="none" w:sz="0" w:space="0" w:color="auto"/>
      </w:divBdr>
    </w:div>
    <w:div w:id="1296178890">
      <w:bodyDiv w:val="1"/>
      <w:marLeft w:val="0"/>
      <w:marRight w:val="0"/>
      <w:marTop w:val="0"/>
      <w:marBottom w:val="0"/>
      <w:divBdr>
        <w:top w:val="none" w:sz="0" w:space="0" w:color="auto"/>
        <w:left w:val="none" w:sz="0" w:space="0" w:color="auto"/>
        <w:bottom w:val="none" w:sz="0" w:space="0" w:color="auto"/>
        <w:right w:val="none" w:sz="0" w:space="0" w:color="auto"/>
      </w:divBdr>
    </w:div>
    <w:div w:id="1351292878">
      <w:bodyDiv w:val="1"/>
      <w:marLeft w:val="0"/>
      <w:marRight w:val="0"/>
      <w:marTop w:val="0"/>
      <w:marBottom w:val="0"/>
      <w:divBdr>
        <w:top w:val="none" w:sz="0" w:space="0" w:color="auto"/>
        <w:left w:val="none" w:sz="0" w:space="0" w:color="auto"/>
        <w:bottom w:val="none" w:sz="0" w:space="0" w:color="auto"/>
        <w:right w:val="none" w:sz="0" w:space="0" w:color="auto"/>
      </w:divBdr>
    </w:div>
    <w:div w:id="1370375176">
      <w:bodyDiv w:val="1"/>
      <w:marLeft w:val="0"/>
      <w:marRight w:val="0"/>
      <w:marTop w:val="0"/>
      <w:marBottom w:val="0"/>
      <w:divBdr>
        <w:top w:val="none" w:sz="0" w:space="0" w:color="auto"/>
        <w:left w:val="none" w:sz="0" w:space="0" w:color="auto"/>
        <w:bottom w:val="none" w:sz="0" w:space="0" w:color="auto"/>
        <w:right w:val="none" w:sz="0" w:space="0" w:color="auto"/>
      </w:divBdr>
    </w:div>
    <w:div w:id="1403217640">
      <w:bodyDiv w:val="1"/>
      <w:marLeft w:val="0"/>
      <w:marRight w:val="0"/>
      <w:marTop w:val="0"/>
      <w:marBottom w:val="0"/>
      <w:divBdr>
        <w:top w:val="none" w:sz="0" w:space="0" w:color="auto"/>
        <w:left w:val="none" w:sz="0" w:space="0" w:color="auto"/>
        <w:bottom w:val="none" w:sz="0" w:space="0" w:color="auto"/>
        <w:right w:val="none" w:sz="0" w:space="0" w:color="auto"/>
      </w:divBdr>
    </w:div>
    <w:div w:id="1419250156">
      <w:bodyDiv w:val="1"/>
      <w:marLeft w:val="0"/>
      <w:marRight w:val="0"/>
      <w:marTop w:val="0"/>
      <w:marBottom w:val="0"/>
      <w:divBdr>
        <w:top w:val="none" w:sz="0" w:space="0" w:color="auto"/>
        <w:left w:val="none" w:sz="0" w:space="0" w:color="auto"/>
        <w:bottom w:val="none" w:sz="0" w:space="0" w:color="auto"/>
        <w:right w:val="none" w:sz="0" w:space="0" w:color="auto"/>
      </w:divBdr>
    </w:div>
    <w:div w:id="1546288813">
      <w:bodyDiv w:val="1"/>
      <w:marLeft w:val="0"/>
      <w:marRight w:val="0"/>
      <w:marTop w:val="0"/>
      <w:marBottom w:val="0"/>
      <w:divBdr>
        <w:top w:val="none" w:sz="0" w:space="0" w:color="auto"/>
        <w:left w:val="none" w:sz="0" w:space="0" w:color="auto"/>
        <w:bottom w:val="none" w:sz="0" w:space="0" w:color="auto"/>
        <w:right w:val="none" w:sz="0" w:space="0" w:color="auto"/>
      </w:divBdr>
    </w:div>
    <w:div w:id="1595673456">
      <w:bodyDiv w:val="1"/>
      <w:marLeft w:val="0"/>
      <w:marRight w:val="0"/>
      <w:marTop w:val="0"/>
      <w:marBottom w:val="0"/>
      <w:divBdr>
        <w:top w:val="none" w:sz="0" w:space="0" w:color="auto"/>
        <w:left w:val="none" w:sz="0" w:space="0" w:color="auto"/>
        <w:bottom w:val="none" w:sz="0" w:space="0" w:color="auto"/>
        <w:right w:val="none" w:sz="0" w:space="0" w:color="auto"/>
      </w:divBdr>
    </w:div>
    <w:div w:id="1668287939">
      <w:bodyDiv w:val="1"/>
      <w:marLeft w:val="0"/>
      <w:marRight w:val="0"/>
      <w:marTop w:val="0"/>
      <w:marBottom w:val="0"/>
      <w:divBdr>
        <w:top w:val="none" w:sz="0" w:space="0" w:color="auto"/>
        <w:left w:val="none" w:sz="0" w:space="0" w:color="auto"/>
        <w:bottom w:val="none" w:sz="0" w:space="0" w:color="auto"/>
        <w:right w:val="none" w:sz="0" w:space="0" w:color="auto"/>
      </w:divBdr>
    </w:div>
    <w:div w:id="1741094985">
      <w:bodyDiv w:val="1"/>
      <w:marLeft w:val="0"/>
      <w:marRight w:val="0"/>
      <w:marTop w:val="0"/>
      <w:marBottom w:val="0"/>
      <w:divBdr>
        <w:top w:val="none" w:sz="0" w:space="0" w:color="auto"/>
        <w:left w:val="none" w:sz="0" w:space="0" w:color="auto"/>
        <w:bottom w:val="none" w:sz="0" w:space="0" w:color="auto"/>
        <w:right w:val="none" w:sz="0" w:space="0" w:color="auto"/>
      </w:divBdr>
    </w:div>
    <w:div w:id="1822578460">
      <w:bodyDiv w:val="1"/>
      <w:marLeft w:val="0"/>
      <w:marRight w:val="0"/>
      <w:marTop w:val="0"/>
      <w:marBottom w:val="0"/>
      <w:divBdr>
        <w:top w:val="none" w:sz="0" w:space="0" w:color="auto"/>
        <w:left w:val="none" w:sz="0" w:space="0" w:color="auto"/>
        <w:bottom w:val="none" w:sz="0" w:space="0" w:color="auto"/>
        <w:right w:val="none" w:sz="0" w:space="0" w:color="auto"/>
      </w:divBdr>
    </w:div>
    <w:div w:id="1874924352">
      <w:bodyDiv w:val="1"/>
      <w:marLeft w:val="0"/>
      <w:marRight w:val="0"/>
      <w:marTop w:val="0"/>
      <w:marBottom w:val="0"/>
      <w:divBdr>
        <w:top w:val="none" w:sz="0" w:space="0" w:color="auto"/>
        <w:left w:val="none" w:sz="0" w:space="0" w:color="auto"/>
        <w:bottom w:val="none" w:sz="0" w:space="0" w:color="auto"/>
        <w:right w:val="none" w:sz="0" w:space="0" w:color="auto"/>
      </w:divBdr>
    </w:div>
    <w:div w:id="1886333097">
      <w:bodyDiv w:val="1"/>
      <w:marLeft w:val="0"/>
      <w:marRight w:val="0"/>
      <w:marTop w:val="0"/>
      <w:marBottom w:val="0"/>
      <w:divBdr>
        <w:top w:val="none" w:sz="0" w:space="0" w:color="auto"/>
        <w:left w:val="none" w:sz="0" w:space="0" w:color="auto"/>
        <w:bottom w:val="none" w:sz="0" w:space="0" w:color="auto"/>
        <w:right w:val="none" w:sz="0" w:space="0" w:color="auto"/>
      </w:divBdr>
    </w:div>
    <w:div w:id="1959988997">
      <w:bodyDiv w:val="1"/>
      <w:marLeft w:val="0"/>
      <w:marRight w:val="0"/>
      <w:marTop w:val="0"/>
      <w:marBottom w:val="0"/>
      <w:divBdr>
        <w:top w:val="none" w:sz="0" w:space="0" w:color="auto"/>
        <w:left w:val="none" w:sz="0" w:space="0" w:color="auto"/>
        <w:bottom w:val="none" w:sz="0" w:space="0" w:color="auto"/>
        <w:right w:val="none" w:sz="0" w:space="0" w:color="auto"/>
      </w:divBdr>
    </w:div>
    <w:div w:id="1960069632">
      <w:bodyDiv w:val="1"/>
      <w:marLeft w:val="0"/>
      <w:marRight w:val="0"/>
      <w:marTop w:val="0"/>
      <w:marBottom w:val="0"/>
      <w:divBdr>
        <w:top w:val="none" w:sz="0" w:space="0" w:color="auto"/>
        <w:left w:val="none" w:sz="0" w:space="0" w:color="auto"/>
        <w:bottom w:val="none" w:sz="0" w:space="0" w:color="auto"/>
        <w:right w:val="none" w:sz="0" w:space="0" w:color="auto"/>
      </w:divBdr>
    </w:div>
    <w:div w:id="2063601789">
      <w:bodyDiv w:val="1"/>
      <w:marLeft w:val="0"/>
      <w:marRight w:val="0"/>
      <w:marTop w:val="0"/>
      <w:marBottom w:val="0"/>
      <w:divBdr>
        <w:top w:val="none" w:sz="0" w:space="0" w:color="auto"/>
        <w:left w:val="none" w:sz="0" w:space="0" w:color="auto"/>
        <w:bottom w:val="none" w:sz="0" w:space="0" w:color="auto"/>
        <w:right w:val="none" w:sz="0" w:space="0" w:color="auto"/>
      </w:divBdr>
      <w:divsChild>
        <w:div w:id="37633428">
          <w:marLeft w:val="274"/>
          <w:marRight w:val="0"/>
          <w:marTop w:val="0"/>
          <w:marBottom w:val="0"/>
          <w:divBdr>
            <w:top w:val="none" w:sz="0" w:space="0" w:color="auto"/>
            <w:left w:val="none" w:sz="0" w:space="0" w:color="auto"/>
            <w:bottom w:val="none" w:sz="0" w:space="0" w:color="auto"/>
            <w:right w:val="none" w:sz="0" w:space="0" w:color="auto"/>
          </w:divBdr>
        </w:div>
        <w:div w:id="683282789">
          <w:marLeft w:val="274"/>
          <w:marRight w:val="0"/>
          <w:marTop w:val="0"/>
          <w:marBottom w:val="0"/>
          <w:divBdr>
            <w:top w:val="none" w:sz="0" w:space="0" w:color="auto"/>
            <w:left w:val="none" w:sz="0" w:space="0" w:color="auto"/>
            <w:bottom w:val="none" w:sz="0" w:space="0" w:color="auto"/>
            <w:right w:val="none" w:sz="0" w:space="0" w:color="auto"/>
          </w:divBdr>
        </w:div>
        <w:div w:id="852650874">
          <w:marLeft w:val="274"/>
          <w:marRight w:val="0"/>
          <w:marTop w:val="0"/>
          <w:marBottom w:val="0"/>
          <w:divBdr>
            <w:top w:val="none" w:sz="0" w:space="0" w:color="auto"/>
            <w:left w:val="none" w:sz="0" w:space="0" w:color="auto"/>
            <w:bottom w:val="none" w:sz="0" w:space="0" w:color="auto"/>
            <w:right w:val="none" w:sz="0" w:space="0" w:color="auto"/>
          </w:divBdr>
        </w:div>
        <w:div w:id="1224441846">
          <w:marLeft w:val="274"/>
          <w:marRight w:val="0"/>
          <w:marTop w:val="0"/>
          <w:marBottom w:val="0"/>
          <w:divBdr>
            <w:top w:val="none" w:sz="0" w:space="0" w:color="auto"/>
            <w:left w:val="none" w:sz="0" w:space="0" w:color="auto"/>
            <w:bottom w:val="none" w:sz="0" w:space="0" w:color="auto"/>
            <w:right w:val="none" w:sz="0" w:space="0" w:color="auto"/>
          </w:divBdr>
        </w:div>
        <w:div w:id="1260798559">
          <w:marLeft w:val="274"/>
          <w:marRight w:val="0"/>
          <w:marTop w:val="0"/>
          <w:marBottom w:val="0"/>
          <w:divBdr>
            <w:top w:val="none" w:sz="0" w:space="0" w:color="auto"/>
            <w:left w:val="none" w:sz="0" w:space="0" w:color="auto"/>
            <w:bottom w:val="none" w:sz="0" w:space="0" w:color="auto"/>
            <w:right w:val="none" w:sz="0" w:space="0" w:color="auto"/>
          </w:divBdr>
        </w:div>
        <w:div w:id="1486555846">
          <w:marLeft w:val="274"/>
          <w:marRight w:val="0"/>
          <w:marTop w:val="0"/>
          <w:marBottom w:val="0"/>
          <w:divBdr>
            <w:top w:val="none" w:sz="0" w:space="0" w:color="auto"/>
            <w:left w:val="none" w:sz="0" w:space="0" w:color="auto"/>
            <w:bottom w:val="none" w:sz="0" w:space="0" w:color="auto"/>
            <w:right w:val="none" w:sz="0" w:space="0" w:color="auto"/>
          </w:divBdr>
        </w:div>
        <w:div w:id="1601797492">
          <w:marLeft w:val="274"/>
          <w:marRight w:val="0"/>
          <w:marTop w:val="0"/>
          <w:marBottom w:val="0"/>
          <w:divBdr>
            <w:top w:val="none" w:sz="0" w:space="0" w:color="auto"/>
            <w:left w:val="none" w:sz="0" w:space="0" w:color="auto"/>
            <w:bottom w:val="none" w:sz="0" w:space="0" w:color="auto"/>
            <w:right w:val="none" w:sz="0" w:space="0" w:color="auto"/>
          </w:divBdr>
        </w:div>
        <w:div w:id="214349992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681e09-43a4-495d-9986-1aac5bf3f424">
      <Terms xmlns="http://schemas.microsoft.com/office/infopath/2007/PartnerControls"/>
    </lcf76f155ced4ddcb4097134ff3c332f>
    <TaxCatchAll xmlns="292d3eda-c7f8-4e71-bad9-999592a536d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AC8E0180CA9564F848FD8F5BF52CC53" ma:contentTypeVersion="20" ma:contentTypeDescription="Een nieuw document maken." ma:contentTypeScope="" ma:versionID="45676cba109ea6cf985fe1db67b92acb">
  <xsd:schema xmlns:xsd="http://www.w3.org/2001/XMLSchema" xmlns:xs="http://www.w3.org/2001/XMLSchema" xmlns:p="http://schemas.microsoft.com/office/2006/metadata/properties" xmlns:ns2="292d3eda-c7f8-4e71-bad9-999592a536d9" xmlns:ns3="7e681e09-43a4-495d-9986-1aac5bf3f424" targetNamespace="http://schemas.microsoft.com/office/2006/metadata/properties" ma:root="true" ma:fieldsID="36bd89ba15f376da8c710f028ed01de6" ns2:_="" ns3:_="">
    <xsd:import namespace="292d3eda-c7f8-4e71-bad9-999592a536d9"/>
    <xsd:import namespace="7e681e09-43a4-495d-9986-1aac5bf3f42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2d3eda-c7f8-4e71-bad9-999592a536d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element name="TaxCatchAll" ma:index="25" nillable="true" ma:displayName="Taxonomy Catch All Column" ma:hidden="true" ma:list="{da0d757d-6653-48c4-b5eb-1f1c97877437}" ma:internalName="TaxCatchAll" ma:showField="CatchAllData" ma:web="292d3eda-c7f8-4e71-bad9-999592a536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e681e09-43a4-495d-9986-1aac5bf3f42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18f3a078-7f6c-47a3-85c9-39d61d0508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E8B33-4CE7-4329-A725-AED067C90D82}">
  <ds:schemaRefs>
    <ds:schemaRef ds:uri="http://schemas.microsoft.com/sharepoint/v3/contenttype/forms"/>
  </ds:schemaRefs>
</ds:datastoreItem>
</file>

<file path=customXml/itemProps2.xml><?xml version="1.0" encoding="utf-8"?>
<ds:datastoreItem xmlns:ds="http://schemas.openxmlformats.org/officeDocument/2006/customXml" ds:itemID="{A99DD936-4F86-45A7-995E-E10EA7FD445E}">
  <ds:schemaRefs>
    <ds:schemaRef ds:uri="http://schemas.microsoft.com/office/2006/metadata/properties"/>
    <ds:schemaRef ds:uri="http://schemas.microsoft.com/office/infopath/2007/PartnerControls"/>
    <ds:schemaRef ds:uri="7e681e09-43a4-495d-9986-1aac5bf3f424"/>
    <ds:schemaRef ds:uri="292d3eda-c7f8-4e71-bad9-999592a536d9"/>
  </ds:schemaRefs>
</ds:datastoreItem>
</file>

<file path=customXml/itemProps3.xml><?xml version="1.0" encoding="utf-8"?>
<ds:datastoreItem xmlns:ds="http://schemas.openxmlformats.org/officeDocument/2006/customXml" ds:itemID="{CB3778BA-3784-40EE-B42E-E72132D3D30E}">
  <ds:schemaRefs>
    <ds:schemaRef ds:uri="http://schemas.openxmlformats.org/officeDocument/2006/bibliography"/>
  </ds:schemaRefs>
</ds:datastoreItem>
</file>

<file path=customXml/itemProps4.xml><?xml version="1.0" encoding="utf-8"?>
<ds:datastoreItem xmlns:ds="http://schemas.openxmlformats.org/officeDocument/2006/customXml" ds:itemID="{5EB45761-8773-417C-98F7-DF11D2B89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2d3eda-c7f8-4e71-bad9-999592a536d9"/>
    <ds:schemaRef ds:uri="7e681e09-43a4-495d-9986-1aac5bf3f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9653</Words>
  <Characters>55026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64550</CharactersWithSpaces>
  <SharedDoc>false</SharedDoc>
  <HLinks>
    <vt:vector size="6" baseType="variant">
      <vt:variant>
        <vt:i4>4980827</vt:i4>
      </vt:variant>
      <vt:variant>
        <vt:i4>0</vt:i4>
      </vt:variant>
      <vt:variant>
        <vt:i4>0</vt:i4>
      </vt:variant>
      <vt:variant>
        <vt:i4>5</vt:i4>
      </vt:variant>
      <vt:variant>
        <vt:lpwstr>https://www.finews.com/news/english-news/58082-julius-baer-crypto-custody-services-dubai-license-uae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Wallart</dc:creator>
  <cp:keywords/>
  <dc:description/>
  <cp:lastModifiedBy>Maxime Malherbe</cp:lastModifiedBy>
  <cp:revision>3</cp:revision>
  <cp:lastPrinted>2024-11-11T08:32:00Z</cp:lastPrinted>
  <dcterms:created xsi:type="dcterms:W3CDTF">2024-11-22T15:18:00Z</dcterms:created>
  <dcterms:modified xsi:type="dcterms:W3CDTF">2024-11-22T15:18:00Z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0x0101000AC8E0180CA9564F848FD8F5BF52CC53</vt:lpwstr>
  </property>
  <property fmtid="{D5CDD505-2E9C-101B-9397-08002B2CF9AE}" pid="3" name="MediaServiceImageTags">
    <vt:lpwstr/>
  </property>
  <property fmtid="{D5CDD505-2E9C-101B-9397-08002B2CF9AE}" pid="4" name="MSIP_Label_79c8d7f2-ca33-4e66-89fa-dd8f3c1a21f6_Enabled">
    <vt:lpwstr>true</vt:lpwstr>
  </property>
  <property fmtid="{D5CDD505-2E9C-101B-9397-08002B2CF9AE}" pid="5" name="MSIP_Label_79c8d7f2-ca33-4e66-89fa-dd8f3c1a21f6_SetDate">
    <vt:lpwstr>2024-11-11T11:14:00Z</vt:lpwstr>
  </property>
  <property fmtid="{D5CDD505-2E9C-101B-9397-08002B2CF9AE}" pid="6" name="MSIP_Label_79c8d7f2-ca33-4e66-89fa-dd8f3c1a21f6_Method">
    <vt:lpwstr>Privileged</vt:lpwstr>
  </property>
  <property fmtid="{D5CDD505-2E9C-101B-9397-08002B2CF9AE}" pid="7" name="MSIP_Label_79c8d7f2-ca33-4e66-89fa-dd8f3c1a21f6_Name">
    <vt:lpwstr>Internal-MayLeave</vt:lpwstr>
  </property>
  <property fmtid="{D5CDD505-2E9C-101B-9397-08002B2CF9AE}" pid="8" name="MSIP_Label_79c8d7f2-ca33-4e66-89fa-dd8f3c1a21f6_SiteId">
    <vt:lpwstr>fb6ea403-7cf1-4905-810a-fe5547e98204</vt:lpwstr>
  </property>
  <property fmtid="{D5CDD505-2E9C-101B-9397-08002B2CF9AE}" pid="9" name="MSIP_Label_79c8d7f2-ca33-4e66-89fa-dd8f3c1a21f6_ActionId">
    <vt:lpwstr>7fc4f964-c897-4697-8398-a9f52088bd6e</vt:lpwstr>
  </property>
  <property fmtid="{D5CDD505-2E9C-101B-9397-08002B2CF9AE}" pid="10" name="MSIP_Label_79c8d7f2-ca33-4e66-89fa-dd8f3c1a21f6_ContentBits">
    <vt:lpwstr>0</vt:lpwstr>
  </property>
</Properties>
</file>