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D8962" w14:textId="7544250D" w:rsidR="002D63E5" w:rsidRPr="007E0703" w:rsidRDefault="002D63E5" w:rsidP="00D86124">
      <w:pPr>
        <w:pStyle w:val="paragraph"/>
        <w:spacing w:before="0" w:beforeAutospacing="0" w:after="0" w:afterAutospacing="0"/>
        <w:jc w:val="center"/>
        <w:textAlignment w:val="baseline"/>
        <w:rPr>
          <w:rStyle w:val="eop"/>
          <w:rFonts w:ascii="Calibri" w:eastAsiaTheme="majorEastAsia" w:hAnsi="Calibri" w:cs="Calibri"/>
          <w:sz w:val="22"/>
          <w:szCs w:val="22"/>
          <w:lang w:val="en-GB"/>
        </w:rPr>
      </w:pPr>
      <w:r w:rsidRPr="007E0703">
        <w:rPr>
          <w:rStyle w:val="normaltextrun"/>
          <w:rFonts w:ascii="Calibri" w:eastAsiaTheme="majorEastAsia" w:hAnsi="Calibri" w:cs="Calibri"/>
          <w:b/>
          <w:bCs/>
          <w:sz w:val="22"/>
          <w:szCs w:val="22"/>
          <w:lang w:val="en-GB"/>
        </w:rPr>
        <w:t>TARGETED CONSULTATION DOCUMENT</w:t>
      </w:r>
    </w:p>
    <w:p w14:paraId="256C4D8B" w14:textId="46EDE38D" w:rsidR="002D63E5" w:rsidRPr="007E0703" w:rsidRDefault="002D63E5" w:rsidP="00D86124">
      <w:pPr>
        <w:pStyle w:val="paragraph"/>
        <w:spacing w:before="0" w:beforeAutospacing="0" w:after="0" w:afterAutospacing="0"/>
        <w:jc w:val="center"/>
        <w:textAlignment w:val="baseline"/>
        <w:rPr>
          <w:rStyle w:val="eop"/>
          <w:rFonts w:ascii="Calibri" w:eastAsiaTheme="majorEastAsia" w:hAnsi="Calibri" w:cs="Calibri"/>
          <w:sz w:val="22"/>
          <w:szCs w:val="22"/>
          <w:lang w:val="en-GB"/>
        </w:rPr>
      </w:pPr>
      <w:r w:rsidRPr="007E0703">
        <w:rPr>
          <w:rStyle w:val="normaltextrun"/>
          <w:rFonts w:ascii="Calibri" w:eastAsiaTheme="majorEastAsia" w:hAnsi="Calibri" w:cs="Calibri"/>
          <w:b/>
          <w:bCs/>
          <w:sz w:val="22"/>
          <w:szCs w:val="22"/>
          <w:lang w:val="en-GB"/>
        </w:rPr>
        <w:t>ASSESSING THE ADEQUACY OF MACROPRUDENTIAL POLICIES FOR NON-BANK FINANCIAL INTERMEDIATION (NBFI)</w:t>
      </w:r>
    </w:p>
    <w:p w14:paraId="07EF27D2" w14:textId="77777777" w:rsidR="000A56D0" w:rsidRPr="007E0703" w:rsidRDefault="000A56D0" w:rsidP="002D63E5">
      <w:pPr>
        <w:pStyle w:val="paragraph"/>
        <w:spacing w:before="0" w:beforeAutospacing="0" w:after="0" w:afterAutospacing="0"/>
        <w:textAlignment w:val="baseline"/>
        <w:rPr>
          <w:rStyle w:val="eop"/>
          <w:rFonts w:ascii="Calibri" w:eastAsiaTheme="majorEastAsia" w:hAnsi="Calibri" w:cs="Calibri"/>
          <w:sz w:val="22"/>
          <w:szCs w:val="22"/>
          <w:lang w:val="en-GB"/>
        </w:rPr>
      </w:pPr>
    </w:p>
    <w:p w14:paraId="3DC999E9" w14:textId="77777777"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normaltextrun"/>
          <w:rFonts w:ascii="Calibri" w:eastAsiaTheme="majorEastAsia" w:hAnsi="Calibri" w:cs="Calibri"/>
          <w:b/>
          <w:bCs/>
          <w:sz w:val="22"/>
          <w:szCs w:val="22"/>
          <w:lang w:val="en-GB"/>
        </w:rPr>
        <w:t>3. OVERVIEW OF EXISTING MACROPRUDENTIAL TOOLS AND SUPERVISORY ARCHITECTURE IN EU LEGISLATION</w:t>
      </w:r>
      <w:r w:rsidRPr="007E0703">
        <w:rPr>
          <w:rStyle w:val="eop"/>
          <w:rFonts w:ascii="Calibri" w:eastAsiaTheme="majorEastAsia" w:hAnsi="Calibri" w:cs="Calibri"/>
          <w:sz w:val="22"/>
          <w:szCs w:val="22"/>
          <w:lang w:val="en-GB"/>
        </w:rPr>
        <w:t> </w:t>
      </w:r>
    </w:p>
    <w:p w14:paraId="7A22495F" w14:textId="7E0D087D" w:rsidR="002D63E5" w:rsidRDefault="002D63E5" w:rsidP="002D63E5">
      <w:pPr>
        <w:pStyle w:val="paragraph"/>
        <w:spacing w:before="0" w:beforeAutospacing="0" w:after="0" w:afterAutospacing="0"/>
        <w:textAlignment w:val="baseline"/>
        <w:rPr>
          <w:rStyle w:val="normaltextrun"/>
          <w:rFonts w:ascii="Calibri" w:eastAsiaTheme="majorEastAsia" w:hAnsi="Calibri" w:cs="Calibri"/>
          <w:b/>
          <w:bCs/>
          <w:sz w:val="22"/>
          <w:szCs w:val="22"/>
          <w:lang w:val="en-GB"/>
        </w:rPr>
      </w:pPr>
      <w:r w:rsidRPr="007E0703">
        <w:rPr>
          <w:rStyle w:val="normaltextrun"/>
          <w:rFonts w:ascii="Calibri" w:eastAsiaTheme="majorEastAsia" w:hAnsi="Calibri" w:cs="Calibri"/>
          <w:b/>
          <w:bCs/>
          <w:sz w:val="22"/>
          <w:szCs w:val="22"/>
          <w:lang w:val="en-GB"/>
        </w:rPr>
        <w:t xml:space="preserve">Commodities markets </w:t>
      </w:r>
    </w:p>
    <w:p w14:paraId="571D910F" w14:textId="77777777" w:rsidR="00373287" w:rsidRPr="007E0703" w:rsidRDefault="00373287" w:rsidP="002D63E5">
      <w:pPr>
        <w:pStyle w:val="paragraph"/>
        <w:spacing w:before="0" w:beforeAutospacing="0" w:after="0" w:afterAutospacing="0"/>
        <w:textAlignment w:val="baseline"/>
        <w:rPr>
          <w:rFonts w:ascii="Segoe UI" w:hAnsi="Segoe UI" w:cs="Segoe UI"/>
          <w:sz w:val="22"/>
          <w:szCs w:val="22"/>
          <w:lang w:val="en-GB"/>
        </w:rPr>
      </w:pPr>
    </w:p>
    <w:p w14:paraId="3042EE8D" w14:textId="2F3F8385" w:rsidR="002D63E5" w:rsidRPr="001B1305" w:rsidRDefault="002D63E5" w:rsidP="002D63E5">
      <w:pPr>
        <w:pStyle w:val="paragraph"/>
        <w:spacing w:before="0" w:beforeAutospacing="0" w:after="0" w:afterAutospacing="0"/>
        <w:jc w:val="both"/>
        <w:textAlignment w:val="baseline"/>
        <w:rPr>
          <w:rStyle w:val="normaltextrun"/>
          <w:rFonts w:ascii="Calibri" w:eastAsiaTheme="majorEastAsia" w:hAnsi="Calibri" w:cs="Calibri"/>
          <w:i/>
          <w:iCs/>
          <w:lang w:val="en-GB"/>
        </w:rPr>
      </w:pPr>
      <w:r w:rsidRPr="001B1305">
        <w:rPr>
          <w:rStyle w:val="normaltextrun"/>
          <w:rFonts w:ascii="Calibri" w:eastAsiaTheme="majorEastAsia" w:hAnsi="Calibri" w:cs="Calibri"/>
          <w:b/>
          <w:bCs/>
          <w:i/>
          <w:iCs/>
          <w:lang w:val="en-GB"/>
        </w:rPr>
        <w:t xml:space="preserve">Question 39. </w:t>
      </w:r>
      <w:r w:rsidRPr="001B1305">
        <w:rPr>
          <w:rStyle w:val="normaltextrun"/>
          <w:rFonts w:ascii="Calibri" w:eastAsiaTheme="majorEastAsia" w:hAnsi="Calibri" w:cs="Calibri"/>
          <w:i/>
          <w:iCs/>
          <w:lang w:val="en-GB"/>
        </w:rPr>
        <w:t>How would you assess the level of preparedness of commodity derivatives market participants in terms of meeting short-term liquidity needs or requests for collateral to meet margins? Please rank from 1 to 5 (lowest to highest) the level of preparedness for the following participants by sector: insurance companies, UCITS funds, AIFs, commercial undertakings, investment firms, pension funds.</w:t>
      </w:r>
    </w:p>
    <w:p w14:paraId="7E8479B9" w14:textId="77777777" w:rsidR="00D86124" w:rsidRPr="007E0703" w:rsidRDefault="00D86124" w:rsidP="002D63E5">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02C26480" w14:textId="389588C0" w:rsidR="001B1305" w:rsidRDefault="00353EDF"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The</w:t>
      </w:r>
      <w:r w:rsidR="001B1305">
        <w:rPr>
          <w:rStyle w:val="normaltextrun"/>
          <w:rFonts w:ascii="Calibri" w:eastAsiaTheme="majorEastAsia" w:hAnsi="Calibri" w:cs="Calibri"/>
          <w:color w:val="215E99" w:themeColor="text2" w:themeTint="BF"/>
          <w:sz w:val="22"/>
          <w:szCs w:val="22"/>
          <w:lang w:val="en-GB"/>
        </w:rPr>
        <w:t xml:space="preserve"> high</w:t>
      </w:r>
      <w:r w:rsidR="001C3395">
        <w:rPr>
          <w:rStyle w:val="normaltextrun"/>
          <w:rFonts w:ascii="Calibri" w:eastAsiaTheme="majorEastAsia" w:hAnsi="Calibri" w:cs="Calibri"/>
          <w:color w:val="215E99" w:themeColor="text2" w:themeTint="BF"/>
          <w:sz w:val="22"/>
          <w:szCs w:val="22"/>
          <w:lang w:val="en-GB"/>
        </w:rPr>
        <w:t xml:space="preserve"> </w:t>
      </w:r>
      <w:r w:rsidR="00DA36AB" w:rsidRPr="00D86124">
        <w:rPr>
          <w:rStyle w:val="normaltextrun"/>
          <w:rFonts w:ascii="Calibri" w:eastAsiaTheme="majorEastAsia" w:hAnsi="Calibri" w:cs="Calibri"/>
          <w:color w:val="215E99" w:themeColor="text2" w:themeTint="BF"/>
          <w:sz w:val="22"/>
          <w:szCs w:val="22"/>
          <w:lang w:val="en-GB"/>
        </w:rPr>
        <w:t>level of preparedness</w:t>
      </w:r>
      <w:r w:rsidR="00FD4D0C">
        <w:rPr>
          <w:rStyle w:val="normaltextrun"/>
          <w:rFonts w:ascii="Calibri" w:eastAsiaTheme="majorEastAsia" w:hAnsi="Calibri" w:cs="Calibri"/>
          <w:color w:val="215E99" w:themeColor="text2" w:themeTint="BF"/>
          <w:sz w:val="22"/>
          <w:szCs w:val="22"/>
          <w:lang w:val="en-GB"/>
        </w:rPr>
        <w:t xml:space="preserve"> of </w:t>
      </w:r>
      <w:r w:rsidR="005C42BE">
        <w:rPr>
          <w:rStyle w:val="normaltextrun"/>
          <w:rFonts w:ascii="Calibri" w:eastAsiaTheme="majorEastAsia" w:hAnsi="Calibri" w:cs="Calibri"/>
          <w:color w:val="215E99" w:themeColor="text2" w:themeTint="BF"/>
          <w:sz w:val="22"/>
          <w:szCs w:val="22"/>
          <w:lang w:val="en-GB"/>
        </w:rPr>
        <w:t>commodity markets participants</w:t>
      </w:r>
      <w:r w:rsidR="001B1305">
        <w:rPr>
          <w:rStyle w:val="normaltextrun"/>
          <w:rFonts w:ascii="Calibri" w:eastAsiaTheme="majorEastAsia" w:hAnsi="Calibri" w:cs="Calibri"/>
          <w:color w:val="215E99" w:themeColor="text2" w:themeTint="BF"/>
          <w:sz w:val="22"/>
          <w:szCs w:val="22"/>
          <w:lang w:val="en-GB"/>
        </w:rPr>
        <w:t xml:space="preserve"> to meet </w:t>
      </w:r>
      <w:r w:rsidR="001B1305" w:rsidRPr="001B1305">
        <w:rPr>
          <w:rStyle w:val="normaltextrun"/>
          <w:rFonts w:ascii="Calibri" w:eastAsiaTheme="majorEastAsia" w:hAnsi="Calibri" w:cs="Calibri"/>
          <w:color w:val="215E99" w:themeColor="text2" w:themeTint="BF"/>
          <w:sz w:val="22"/>
          <w:szCs w:val="22"/>
          <w:lang w:val="en-GB"/>
        </w:rPr>
        <w:t xml:space="preserve">short-term liquidity needs or requests for collateral </w:t>
      </w:r>
      <w:r w:rsidR="00DA36AB" w:rsidRPr="00D86124">
        <w:rPr>
          <w:rStyle w:val="normaltextrun"/>
          <w:rFonts w:ascii="Calibri" w:eastAsiaTheme="majorEastAsia" w:hAnsi="Calibri" w:cs="Calibri"/>
          <w:color w:val="215E99" w:themeColor="text2" w:themeTint="BF"/>
          <w:sz w:val="22"/>
          <w:szCs w:val="22"/>
          <w:lang w:val="en-GB"/>
        </w:rPr>
        <w:t xml:space="preserve">has been </w:t>
      </w:r>
      <w:r w:rsidR="00917531">
        <w:rPr>
          <w:rStyle w:val="normaltextrun"/>
          <w:rFonts w:ascii="Calibri" w:eastAsiaTheme="majorEastAsia" w:hAnsi="Calibri" w:cs="Calibri"/>
          <w:color w:val="215E99" w:themeColor="text2" w:themeTint="BF"/>
          <w:sz w:val="22"/>
          <w:szCs w:val="22"/>
          <w:lang w:val="en-GB"/>
        </w:rPr>
        <w:t>confirmed</w:t>
      </w:r>
      <w:r w:rsidR="00917531" w:rsidRPr="00D86124">
        <w:rPr>
          <w:rStyle w:val="normaltextrun"/>
          <w:rFonts w:ascii="Calibri" w:eastAsiaTheme="majorEastAsia" w:hAnsi="Calibri" w:cs="Calibri"/>
          <w:color w:val="215E99" w:themeColor="text2" w:themeTint="BF"/>
          <w:sz w:val="22"/>
          <w:szCs w:val="22"/>
          <w:lang w:val="en-GB"/>
        </w:rPr>
        <w:t xml:space="preserve"> </w:t>
      </w:r>
      <w:r w:rsidR="00917531">
        <w:rPr>
          <w:rStyle w:val="normaltextrun"/>
          <w:rFonts w:ascii="Calibri" w:eastAsiaTheme="majorEastAsia" w:hAnsi="Calibri" w:cs="Calibri"/>
          <w:color w:val="215E99" w:themeColor="text2" w:themeTint="BF"/>
          <w:sz w:val="22"/>
          <w:szCs w:val="22"/>
          <w:lang w:val="en-GB"/>
        </w:rPr>
        <w:t xml:space="preserve">in </w:t>
      </w:r>
      <w:r w:rsidR="001B1305">
        <w:rPr>
          <w:rStyle w:val="normaltextrun"/>
          <w:rFonts w:ascii="Calibri" w:eastAsiaTheme="majorEastAsia" w:hAnsi="Calibri" w:cs="Calibri"/>
          <w:color w:val="215E99" w:themeColor="text2" w:themeTint="BF"/>
          <w:sz w:val="22"/>
          <w:szCs w:val="22"/>
          <w:lang w:val="en-GB"/>
        </w:rPr>
        <w:t xml:space="preserve">various reports issued by different EU </w:t>
      </w:r>
      <w:r w:rsidR="00CF0BAB">
        <w:rPr>
          <w:rStyle w:val="normaltextrun"/>
          <w:rFonts w:ascii="Calibri" w:eastAsiaTheme="majorEastAsia" w:hAnsi="Calibri" w:cs="Calibri"/>
          <w:color w:val="215E99" w:themeColor="text2" w:themeTint="BF"/>
          <w:sz w:val="22"/>
          <w:szCs w:val="22"/>
          <w:lang w:val="en-GB"/>
        </w:rPr>
        <w:t>and</w:t>
      </w:r>
      <w:r w:rsidR="001B1305">
        <w:rPr>
          <w:rStyle w:val="normaltextrun"/>
          <w:rFonts w:ascii="Calibri" w:eastAsiaTheme="majorEastAsia" w:hAnsi="Calibri" w:cs="Calibri"/>
          <w:color w:val="215E99" w:themeColor="text2" w:themeTint="BF"/>
          <w:sz w:val="22"/>
          <w:szCs w:val="22"/>
          <w:lang w:val="en-GB"/>
        </w:rPr>
        <w:t xml:space="preserve"> international authorities</w:t>
      </w:r>
      <w:r>
        <w:rPr>
          <w:rStyle w:val="normaltextrun"/>
          <w:rFonts w:ascii="Calibri" w:eastAsiaTheme="majorEastAsia" w:hAnsi="Calibri" w:cs="Calibri"/>
          <w:color w:val="215E99" w:themeColor="text2" w:themeTint="BF"/>
          <w:sz w:val="22"/>
          <w:szCs w:val="22"/>
          <w:lang w:val="en-GB"/>
        </w:rPr>
        <w:t xml:space="preserve">: </w:t>
      </w:r>
    </w:p>
    <w:p w14:paraId="3AEE3957" w14:textId="77777777" w:rsidR="001B1305" w:rsidRDefault="001B1305"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73B1258C" w14:textId="71393033" w:rsidR="00F2557A" w:rsidRDefault="001B1305" w:rsidP="004B7C91">
      <w:pPr>
        <w:pStyle w:val="paragraph"/>
        <w:numPr>
          <w:ilvl w:val="0"/>
          <w:numId w:val="13"/>
        </w:numPr>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sidRPr="001B1305">
        <w:rPr>
          <w:rStyle w:val="normaltextrun"/>
          <w:rFonts w:ascii="Calibri" w:eastAsiaTheme="majorEastAsia" w:hAnsi="Calibri" w:cs="Calibri"/>
          <w:color w:val="215E99" w:themeColor="text2" w:themeTint="BF"/>
          <w:sz w:val="22"/>
          <w:szCs w:val="22"/>
          <w:lang w:val="en-GB"/>
        </w:rPr>
        <w:t>First,</w:t>
      </w:r>
      <w:r>
        <w:rPr>
          <w:rStyle w:val="normaltextrun"/>
          <w:rFonts w:ascii="Calibri" w:eastAsiaTheme="majorEastAsia" w:hAnsi="Calibri" w:cs="Calibri"/>
          <w:color w:val="215E99" w:themeColor="text2" w:themeTint="BF"/>
          <w:sz w:val="22"/>
          <w:szCs w:val="22"/>
          <w:lang w:val="en-GB"/>
        </w:rPr>
        <w:t xml:space="preserve"> </w:t>
      </w:r>
      <w:r w:rsidR="00DA36AB" w:rsidRPr="001B1305">
        <w:rPr>
          <w:rStyle w:val="normaltextrun"/>
          <w:rFonts w:ascii="Calibri" w:eastAsiaTheme="majorEastAsia" w:hAnsi="Calibri" w:cs="Calibri"/>
          <w:color w:val="215E99" w:themeColor="text2" w:themeTint="BF"/>
          <w:sz w:val="22"/>
          <w:szCs w:val="22"/>
          <w:lang w:val="en-GB"/>
        </w:rPr>
        <w:t>ESM</w:t>
      </w:r>
      <w:r>
        <w:rPr>
          <w:rStyle w:val="normaltextrun"/>
          <w:rFonts w:ascii="Calibri" w:eastAsiaTheme="majorEastAsia" w:hAnsi="Calibri" w:cs="Calibri"/>
          <w:color w:val="215E99" w:themeColor="text2" w:themeTint="BF"/>
          <w:sz w:val="22"/>
          <w:szCs w:val="22"/>
          <w:lang w:val="en-GB"/>
        </w:rPr>
        <w:t xml:space="preserve">A, </w:t>
      </w:r>
      <w:r w:rsidR="00DA36AB" w:rsidRPr="001B1305">
        <w:rPr>
          <w:rStyle w:val="normaltextrun"/>
          <w:rFonts w:ascii="Calibri" w:eastAsiaTheme="majorEastAsia" w:hAnsi="Calibri" w:cs="Calibri"/>
          <w:color w:val="215E99" w:themeColor="text2" w:themeTint="BF"/>
          <w:sz w:val="22"/>
          <w:szCs w:val="22"/>
          <w:lang w:val="en-GB"/>
        </w:rPr>
        <w:t xml:space="preserve">in its </w:t>
      </w:r>
      <w:hyperlink r:id="rId8" w:history="1">
        <w:r w:rsidR="00DA36AB" w:rsidRPr="001B1305">
          <w:rPr>
            <w:rStyle w:val="Hyperlink"/>
            <w:rFonts w:ascii="Calibri" w:eastAsiaTheme="majorEastAsia" w:hAnsi="Calibri" w:cs="Calibri"/>
            <w:sz w:val="22"/>
            <w:szCs w:val="22"/>
            <w:lang w:val="en-GB"/>
          </w:rPr>
          <w:t>report</w:t>
        </w:r>
      </w:hyperlink>
      <w:r w:rsidR="00DA36AB" w:rsidRPr="001B1305">
        <w:rPr>
          <w:rStyle w:val="normaltextrun"/>
          <w:rFonts w:ascii="Calibri" w:eastAsiaTheme="majorEastAsia" w:hAnsi="Calibri" w:cs="Calibri"/>
          <w:color w:val="215E99" w:themeColor="text2" w:themeTint="BF"/>
          <w:sz w:val="22"/>
          <w:szCs w:val="22"/>
          <w:lang w:val="en-GB"/>
        </w:rPr>
        <w:t xml:space="preserve"> on the gas price surge in summer 2022</w:t>
      </w:r>
      <w:r>
        <w:rPr>
          <w:rStyle w:val="normaltextrun"/>
          <w:rFonts w:ascii="Calibri" w:eastAsiaTheme="majorEastAsia" w:hAnsi="Calibri" w:cs="Calibri"/>
          <w:color w:val="215E99" w:themeColor="text2" w:themeTint="BF"/>
          <w:sz w:val="22"/>
          <w:szCs w:val="22"/>
          <w:lang w:val="en-GB"/>
        </w:rPr>
        <w:t xml:space="preserve">, </w:t>
      </w:r>
      <w:r w:rsidR="00DA36AB" w:rsidRPr="001B1305">
        <w:rPr>
          <w:rStyle w:val="normaltextrun"/>
          <w:rFonts w:ascii="Calibri" w:eastAsiaTheme="majorEastAsia" w:hAnsi="Calibri" w:cs="Calibri"/>
          <w:color w:val="215E99" w:themeColor="text2" w:themeTint="BF"/>
          <w:sz w:val="22"/>
          <w:szCs w:val="22"/>
          <w:lang w:val="en-GB"/>
        </w:rPr>
        <w:t xml:space="preserve">primarily </w:t>
      </w:r>
      <w:r w:rsidR="000163A9" w:rsidRPr="001B1305">
        <w:rPr>
          <w:rStyle w:val="normaltextrun"/>
          <w:rFonts w:ascii="Calibri" w:eastAsiaTheme="majorEastAsia" w:hAnsi="Calibri" w:cs="Calibri"/>
          <w:color w:val="215E99" w:themeColor="text2" w:themeTint="BF"/>
          <w:sz w:val="22"/>
          <w:szCs w:val="22"/>
          <w:lang w:val="en-GB"/>
        </w:rPr>
        <w:t>concludes that</w:t>
      </w:r>
      <w:r w:rsidR="00DA36AB" w:rsidRPr="001B1305">
        <w:rPr>
          <w:rStyle w:val="normaltextrun"/>
          <w:rFonts w:ascii="Calibri" w:eastAsiaTheme="majorEastAsia" w:hAnsi="Calibri" w:cs="Calibri"/>
          <w:color w:val="215E99" w:themeColor="text2" w:themeTint="BF"/>
          <w:sz w:val="22"/>
          <w:szCs w:val="22"/>
          <w:lang w:val="en-GB"/>
        </w:rPr>
        <w:t xml:space="preserve"> </w:t>
      </w:r>
      <w:r w:rsidR="000163A9" w:rsidRPr="001B1305">
        <w:rPr>
          <w:rStyle w:val="normaltextrun"/>
          <w:rFonts w:ascii="Calibri" w:eastAsiaTheme="majorEastAsia" w:hAnsi="Calibri" w:cs="Calibri"/>
          <w:color w:val="215E99" w:themeColor="text2" w:themeTint="BF"/>
          <w:sz w:val="22"/>
          <w:szCs w:val="22"/>
          <w:lang w:val="en-GB"/>
        </w:rPr>
        <w:t xml:space="preserve">despite the record prices caused by supply and demand fundamentals, </w:t>
      </w:r>
      <w:r w:rsidR="00DA36AB" w:rsidRPr="001B1305">
        <w:rPr>
          <w:rStyle w:val="normaltextrun"/>
          <w:rFonts w:ascii="Calibri" w:eastAsiaTheme="majorEastAsia" w:hAnsi="Calibri" w:cs="Calibri"/>
          <w:color w:val="215E99" w:themeColor="text2" w:themeTint="BF"/>
          <w:sz w:val="22"/>
          <w:szCs w:val="22"/>
          <w:lang w:val="en-GB"/>
        </w:rPr>
        <w:t>markets function</w:t>
      </w:r>
      <w:r w:rsidRPr="001B1305">
        <w:rPr>
          <w:rStyle w:val="normaltextrun"/>
          <w:rFonts w:ascii="Calibri" w:eastAsiaTheme="majorEastAsia" w:hAnsi="Calibri" w:cs="Calibri"/>
          <w:color w:val="215E99" w:themeColor="text2" w:themeTint="BF"/>
          <w:sz w:val="22"/>
          <w:szCs w:val="22"/>
          <w:lang w:val="en-GB"/>
        </w:rPr>
        <w:t>ed</w:t>
      </w:r>
      <w:r w:rsidR="00DA36AB" w:rsidRPr="001B1305">
        <w:rPr>
          <w:rStyle w:val="normaltextrun"/>
          <w:rFonts w:ascii="Calibri" w:eastAsiaTheme="majorEastAsia" w:hAnsi="Calibri" w:cs="Calibri"/>
          <w:color w:val="215E99" w:themeColor="text2" w:themeTint="BF"/>
          <w:sz w:val="22"/>
          <w:szCs w:val="22"/>
          <w:lang w:val="en-GB"/>
        </w:rPr>
        <w:t xml:space="preserve"> appropriately during August 2022. Likewise, the report shows that CCP margins rose and fell with prices and volatility in line with expectations, with the respective margin calls having been met on time.</w:t>
      </w:r>
    </w:p>
    <w:p w14:paraId="6FD5C16C" w14:textId="77777777" w:rsidR="00353EDF" w:rsidRPr="00353EDF" w:rsidRDefault="00353EDF" w:rsidP="004B7C91">
      <w:pPr>
        <w:pStyle w:val="paragraph"/>
        <w:spacing w:before="0" w:beforeAutospacing="0" w:after="0" w:afterAutospacing="0"/>
        <w:ind w:left="720"/>
        <w:jc w:val="both"/>
        <w:textAlignment w:val="baseline"/>
        <w:rPr>
          <w:rStyle w:val="normaltextrun"/>
          <w:rFonts w:ascii="Calibri" w:eastAsiaTheme="majorEastAsia" w:hAnsi="Calibri" w:cs="Calibri"/>
          <w:color w:val="215E99" w:themeColor="text2" w:themeTint="BF"/>
          <w:sz w:val="22"/>
          <w:szCs w:val="22"/>
          <w:lang w:val="en-GB"/>
        </w:rPr>
      </w:pPr>
    </w:p>
    <w:p w14:paraId="6224CA42" w14:textId="40E77C8F" w:rsidR="004B7C91" w:rsidRDefault="00E67390" w:rsidP="00D57E0E">
      <w:pPr>
        <w:pStyle w:val="paragraph"/>
        <w:numPr>
          <w:ilvl w:val="0"/>
          <w:numId w:val="13"/>
        </w:numPr>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 xml:space="preserve">The </w:t>
      </w:r>
      <w:r w:rsidR="00B8719C" w:rsidRPr="00B8719C">
        <w:rPr>
          <w:rStyle w:val="normaltextrun"/>
          <w:rFonts w:ascii="Calibri" w:eastAsiaTheme="majorEastAsia" w:hAnsi="Calibri" w:cs="Calibri"/>
          <w:color w:val="215E99" w:themeColor="text2" w:themeTint="BF"/>
          <w:sz w:val="22"/>
          <w:szCs w:val="22"/>
          <w:lang w:val="en-GB"/>
        </w:rPr>
        <w:t xml:space="preserve">2023 </w:t>
      </w:r>
      <w:hyperlink r:id="rId9" w:history="1">
        <w:r w:rsidR="00B8719C" w:rsidRPr="00B8719C">
          <w:rPr>
            <w:rStyle w:val="Hyperlink"/>
            <w:rFonts w:ascii="Calibri" w:eastAsiaTheme="majorEastAsia" w:hAnsi="Calibri" w:cs="Calibri"/>
            <w:color w:val="68A0B0" w:themeColor="hyperlink" w:themeTint="BF"/>
            <w:sz w:val="22"/>
            <w:szCs w:val="22"/>
            <w:lang w:val="en-GB"/>
          </w:rPr>
          <w:t>analysis</w:t>
        </w:r>
      </w:hyperlink>
      <w:r w:rsidR="00B8719C" w:rsidRPr="00B8719C">
        <w:rPr>
          <w:rStyle w:val="normaltextrun"/>
          <w:rFonts w:ascii="Calibri" w:eastAsiaTheme="majorEastAsia" w:hAnsi="Calibri" w:cs="Calibri"/>
          <w:color w:val="215E99" w:themeColor="text2" w:themeTint="BF"/>
          <w:sz w:val="22"/>
          <w:szCs w:val="22"/>
          <w:lang w:val="en-GB"/>
        </w:rPr>
        <w:t xml:space="preserve"> of the financial stability dimensions of commodity markets</w:t>
      </w:r>
      <w:r>
        <w:rPr>
          <w:rStyle w:val="normaltextrun"/>
          <w:rFonts w:ascii="Calibri" w:eastAsiaTheme="majorEastAsia" w:hAnsi="Calibri" w:cs="Calibri"/>
          <w:color w:val="215E99" w:themeColor="text2" w:themeTint="BF"/>
          <w:sz w:val="22"/>
          <w:szCs w:val="22"/>
          <w:lang w:val="en-GB"/>
        </w:rPr>
        <w:t xml:space="preserve"> of </w:t>
      </w:r>
      <w:r w:rsidR="00B8719C" w:rsidRPr="00B8719C">
        <w:rPr>
          <w:rStyle w:val="normaltextrun"/>
          <w:rFonts w:ascii="Calibri" w:eastAsiaTheme="majorEastAsia" w:hAnsi="Calibri" w:cs="Calibri"/>
          <w:color w:val="215E99" w:themeColor="text2" w:themeTint="BF"/>
          <w:sz w:val="22"/>
          <w:szCs w:val="22"/>
          <w:lang w:val="en-GB"/>
        </w:rPr>
        <w:t>the F</w:t>
      </w:r>
      <w:r w:rsidR="00CF0BAB">
        <w:rPr>
          <w:rStyle w:val="normaltextrun"/>
          <w:rFonts w:ascii="Calibri" w:eastAsiaTheme="majorEastAsia" w:hAnsi="Calibri" w:cs="Calibri"/>
          <w:color w:val="215E99" w:themeColor="text2" w:themeTint="BF"/>
          <w:sz w:val="22"/>
          <w:szCs w:val="22"/>
          <w:lang w:val="en-GB"/>
        </w:rPr>
        <w:t xml:space="preserve">inancial </w:t>
      </w:r>
      <w:r w:rsidR="00B8719C" w:rsidRPr="00B8719C">
        <w:rPr>
          <w:rStyle w:val="normaltextrun"/>
          <w:rFonts w:ascii="Calibri" w:eastAsiaTheme="majorEastAsia" w:hAnsi="Calibri" w:cs="Calibri"/>
          <w:color w:val="215E99" w:themeColor="text2" w:themeTint="BF"/>
          <w:sz w:val="22"/>
          <w:szCs w:val="22"/>
          <w:lang w:val="en-GB"/>
        </w:rPr>
        <w:t>S</w:t>
      </w:r>
      <w:r w:rsidR="00CF0BAB">
        <w:rPr>
          <w:rStyle w:val="normaltextrun"/>
          <w:rFonts w:ascii="Calibri" w:eastAsiaTheme="majorEastAsia" w:hAnsi="Calibri" w:cs="Calibri"/>
          <w:color w:val="215E99" w:themeColor="text2" w:themeTint="BF"/>
          <w:sz w:val="22"/>
          <w:szCs w:val="22"/>
          <w:lang w:val="en-GB"/>
        </w:rPr>
        <w:t xml:space="preserve">tability </w:t>
      </w:r>
      <w:r w:rsidR="00B8719C" w:rsidRPr="00B8719C">
        <w:rPr>
          <w:rStyle w:val="normaltextrun"/>
          <w:rFonts w:ascii="Calibri" w:eastAsiaTheme="majorEastAsia" w:hAnsi="Calibri" w:cs="Calibri"/>
          <w:color w:val="215E99" w:themeColor="text2" w:themeTint="BF"/>
          <w:sz w:val="22"/>
          <w:szCs w:val="22"/>
          <w:lang w:val="en-GB"/>
        </w:rPr>
        <w:t>B</w:t>
      </w:r>
      <w:r w:rsidR="00CF0BAB">
        <w:rPr>
          <w:rStyle w:val="normaltextrun"/>
          <w:rFonts w:ascii="Calibri" w:eastAsiaTheme="majorEastAsia" w:hAnsi="Calibri" w:cs="Calibri"/>
          <w:color w:val="215E99" w:themeColor="text2" w:themeTint="BF"/>
          <w:sz w:val="22"/>
          <w:szCs w:val="22"/>
          <w:lang w:val="en-GB"/>
        </w:rPr>
        <w:t>oard</w:t>
      </w:r>
      <w:r w:rsidR="00B8719C" w:rsidRPr="00B8719C">
        <w:rPr>
          <w:rStyle w:val="normaltextrun"/>
          <w:rFonts w:ascii="Calibri" w:eastAsiaTheme="majorEastAsia" w:hAnsi="Calibri" w:cs="Calibri"/>
          <w:color w:val="215E99" w:themeColor="text2" w:themeTint="BF"/>
          <w:sz w:val="22"/>
          <w:szCs w:val="22"/>
          <w:lang w:val="en-GB"/>
        </w:rPr>
        <w:t xml:space="preserve"> determined that these markets demonstrated resilience during the disruptions caused by the COVID-19 pandemic and the turbulence in February/March 2022, which followed Russia's invasion of Ukraine.</w:t>
      </w:r>
    </w:p>
    <w:p w14:paraId="1DB191DF" w14:textId="77777777" w:rsidR="0078644D" w:rsidRDefault="0078644D" w:rsidP="0078644D">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65FDA220" w14:textId="6D646F64" w:rsidR="00353EDF" w:rsidRDefault="00353EDF" w:rsidP="004B7C91">
      <w:pPr>
        <w:pStyle w:val="paragraph"/>
        <w:numPr>
          <w:ilvl w:val="0"/>
          <w:numId w:val="13"/>
        </w:numPr>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sidRPr="001B1305">
        <w:rPr>
          <w:rStyle w:val="normaltextrun"/>
          <w:rFonts w:ascii="Calibri" w:eastAsiaTheme="majorEastAsia" w:hAnsi="Calibri" w:cs="Calibri"/>
          <w:color w:val="215E99" w:themeColor="text2" w:themeTint="BF"/>
          <w:sz w:val="22"/>
          <w:szCs w:val="22"/>
        </w:rPr>
        <w:t>In</w:t>
      </w:r>
      <w:r w:rsidRPr="00353EDF">
        <w:rPr>
          <w:rStyle w:val="normaltextrun"/>
          <w:rFonts w:ascii="Calibri" w:eastAsiaTheme="majorEastAsia" w:hAnsi="Calibri" w:cs="Calibri"/>
          <w:color w:val="215E99" w:themeColor="text2" w:themeTint="BF"/>
          <w:sz w:val="22"/>
          <w:szCs w:val="22"/>
          <w:lang w:val="en-GB"/>
        </w:rPr>
        <w:t xml:space="preserve"> </w:t>
      </w:r>
      <w:r w:rsidRPr="001B1305">
        <w:rPr>
          <w:rStyle w:val="normaltextrun"/>
          <w:rFonts w:ascii="Calibri" w:eastAsiaTheme="majorEastAsia" w:hAnsi="Calibri" w:cs="Calibri"/>
          <w:color w:val="215E99" w:themeColor="text2" w:themeTint="BF"/>
          <w:sz w:val="22"/>
          <w:szCs w:val="22"/>
          <w:lang w:val="en-GB"/>
        </w:rPr>
        <w:t>its</w:t>
      </w:r>
      <w:r>
        <w:rPr>
          <w:rStyle w:val="normaltextrun"/>
          <w:rFonts w:ascii="Calibri" w:eastAsiaTheme="majorEastAsia" w:hAnsi="Calibri" w:cs="Calibri"/>
          <w:color w:val="215E99" w:themeColor="text2" w:themeTint="BF"/>
          <w:sz w:val="22"/>
          <w:szCs w:val="22"/>
          <w:lang w:val="en-GB"/>
        </w:rPr>
        <w:t xml:space="preserve"> 2022</w:t>
      </w:r>
      <w:r w:rsidRPr="001B1305">
        <w:rPr>
          <w:rStyle w:val="normaltextrun"/>
          <w:rFonts w:ascii="Calibri" w:eastAsiaTheme="majorEastAsia" w:hAnsi="Calibri" w:cs="Calibri"/>
          <w:color w:val="215E99" w:themeColor="text2" w:themeTint="BF"/>
          <w:sz w:val="22"/>
          <w:szCs w:val="22"/>
          <w:lang w:val="en-GB"/>
        </w:rPr>
        <w:t xml:space="preserve"> </w:t>
      </w:r>
      <w:hyperlink r:id="rId10" w:history="1">
        <w:r w:rsidRPr="001B1305">
          <w:rPr>
            <w:rStyle w:val="Hyperlink"/>
            <w:rFonts w:ascii="Calibri" w:eastAsiaTheme="majorEastAsia" w:hAnsi="Calibri" w:cs="Calibri"/>
            <w:color w:val="215E99" w:themeColor="text2" w:themeTint="BF"/>
            <w:sz w:val="22"/>
            <w:szCs w:val="22"/>
            <w:lang w:val="en-GB"/>
          </w:rPr>
          <w:t>report</w:t>
        </w:r>
      </w:hyperlink>
      <w:r w:rsidRPr="001B1305">
        <w:rPr>
          <w:rStyle w:val="normaltextrun"/>
          <w:rFonts w:ascii="Calibri" w:eastAsiaTheme="majorEastAsia" w:hAnsi="Calibri" w:cs="Calibri"/>
          <w:color w:val="215E99" w:themeColor="text2" w:themeTint="BF"/>
          <w:sz w:val="22"/>
          <w:szCs w:val="22"/>
          <w:lang w:val="en-GB"/>
        </w:rPr>
        <w:t xml:space="preserve"> to the European Commission,</w:t>
      </w:r>
      <w:r>
        <w:rPr>
          <w:rStyle w:val="normaltextrun"/>
          <w:rFonts w:ascii="Calibri" w:eastAsiaTheme="majorEastAsia" w:hAnsi="Calibri" w:cs="Calibri"/>
          <w:color w:val="215E99" w:themeColor="text2" w:themeTint="BF"/>
          <w:sz w:val="22"/>
          <w:szCs w:val="22"/>
          <w:lang w:val="en-GB"/>
        </w:rPr>
        <w:t xml:space="preserve"> </w:t>
      </w:r>
      <w:r w:rsidR="00CF0BAB">
        <w:rPr>
          <w:rStyle w:val="normaltextrun"/>
          <w:rFonts w:ascii="Calibri" w:eastAsiaTheme="majorEastAsia" w:hAnsi="Calibri" w:cs="Calibri"/>
          <w:color w:val="215E99" w:themeColor="text2" w:themeTint="BF"/>
          <w:sz w:val="22"/>
          <w:szCs w:val="22"/>
          <w:lang w:val="en-GB"/>
        </w:rPr>
        <w:t xml:space="preserve">the </w:t>
      </w:r>
      <w:r w:rsidRPr="001B1305">
        <w:rPr>
          <w:rStyle w:val="normaltextrun"/>
          <w:rFonts w:ascii="Calibri" w:eastAsiaTheme="majorEastAsia" w:hAnsi="Calibri" w:cs="Calibri"/>
          <w:color w:val="215E99" w:themeColor="text2" w:themeTint="BF"/>
          <w:sz w:val="22"/>
          <w:szCs w:val="22"/>
          <w:lang w:val="en-GB"/>
        </w:rPr>
        <w:t>E</w:t>
      </w:r>
      <w:r w:rsidR="00CF0BAB">
        <w:rPr>
          <w:rStyle w:val="normaltextrun"/>
          <w:rFonts w:ascii="Calibri" w:eastAsiaTheme="majorEastAsia" w:hAnsi="Calibri" w:cs="Calibri"/>
          <w:color w:val="215E99" w:themeColor="text2" w:themeTint="BF"/>
          <w:sz w:val="22"/>
          <w:szCs w:val="22"/>
          <w:lang w:val="en-GB"/>
        </w:rPr>
        <w:t xml:space="preserve">uropean </w:t>
      </w:r>
      <w:r w:rsidRPr="001B1305">
        <w:rPr>
          <w:rStyle w:val="normaltextrun"/>
          <w:rFonts w:ascii="Calibri" w:eastAsiaTheme="majorEastAsia" w:hAnsi="Calibri" w:cs="Calibri"/>
          <w:color w:val="215E99" w:themeColor="text2" w:themeTint="BF"/>
          <w:sz w:val="22"/>
          <w:szCs w:val="22"/>
          <w:lang w:val="en-GB"/>
        </w:rPr>
        <w:t>B</w:t>
      </w:r>
      <w:r w:rsidR="00CF0BAB">
        <w:rPr>
          <w:rStyle w:val="normaltextrun"/>
          <w:rFonts w:ascii="Calibri" w:eastAsiaTheme="majorEastAsia" w:hAnsi="Calibri" w:cs="Calibri"/>
          <w:color w:val="215E99" w:themeColor="text2" w:themeTint="BF"/>
          <w:sz w:val="22"/>
          <w:szCs w:val="22"/>
          <w:lang w:val="en-GB"/>
        </w:rPr>
        <w:t xml:space="preserve">anking </w:t>
      </w:r>
      <w:r w:rsidRPr="001B1305">
        <w:rPr>
          <w:rStyle w:val="normaltextrun"/>
          <w:rFonts w:ascii="Calibri" w:eastAsiaTheme="majorEastAsia" w:hAnsi="Calibri" w:cs="Calibri"/>
          <w:color w:val="215E99" w:themeColor="text2" w:themeTint="BF"/>
          <w:sz w:val="22"/>
          <w:szCs w:val="22"/>
          <w:lang w:val="en-GB"/>
        </w:rPr>
        <w:t>A</w:t>
      </w:r>
      <w:r w:rsidR="00CF0BAB">
        <w:rPr>
          <w:rStyle w:val="normaltextrun"/>
          <w:rFonts w:ascii="Calibri" w:eastAsiaTheme="majorEastAsia" w:hAnsi="Calibri" w:cs="Calibri"/>
          <w:color w:val="215E99" w:themeColor="text2" w:themeTint="BF"/>
          <w:sz w:val="22"/>
          <w:szCs w:val="22"/>
          <w:lang w:val="en-GB"/>
        </w:rPr>
        <w:t>uthority</w:t>
      </w:r>
      <w:r w:rsidRPr="001B1305">
        <w:rPr>
          <w:rStyle w:val="normaltextrun"/>
          <w:rFonts w:ascii="Calibri" w:eastAsiaTheme="majorEastAsia" w:hAnsi="Calibri" w:cs="Calibri"/>
          <w:color w:val="215E99" w:themeColor="text2" w:themeTint="BF"/>
          <w:sz w:val="22"/>
          <w:szCs w:val="22"/>
          <w:lang w:val="en-GB"/>
        </w:rPr>
        <w:t xml:space="preserve"> also observed that even at the peak of the energy crisis, there was no missed margin or collateral call by market participants. </w:t>
      </w:r>
    </w:p>
    <w:p w14:paraId="78B27D0D" w14:textId="77777777" w:rsidR="00353EDF" w:rsidRPr="001B1305" w:rsidRDefault="00353EDF" w:rsidP="00486620">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1AB5A183" w14:textId="13EBFDE9" w:rsidR="00F2557A" w:rsidRDefault="00353EDF"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 xml:space="preserve">Building on the ESMA report, </w:t>
      </w:r>
      <w:r w:rsidR="004B7C91">
        <w:rPr>
          <w:rStyle w:val="normaltextrun"/>
          <w:rFonts w:ascii="Calibri" w:eastAsiaTheme="majorEastAsia" w:hAnsi="Calibri" w:cs="Calibri"/>
          <w:color w:val="215E99" w:themeColor="text2" w:themeTint="BF"/>
          <w:sz w:val="22"/>
          <w:szCs w:val="22"/>
          <w:lang w:val="en-GB"/>
        </w:rPr>
        <w:t>it was also demonstrated that d</w:t>
      </w:r>
      <w:r w:rsidR="00CB2296" w:rsidRPr="001B1305">
        <w:rPr>
          <w:rStyle w:val="normaltextrun"/>
          <w:rFonts w:ascii="Calibri" w:eastAsiaTheme="majorEastAsia" w:hAnsi="Calibri" w:cs="Calibri"/>
          <w:color w:val="215E99" w:themeColor="text2" w:themeTint="BF"/>
          <w:sz w:val="22"/>
          <w:szCs w:val="22"/>
          <w:lang w:val="en-GB"/>
        </w:rPr>
        <w:t>uring the energy crisis, market participants leveraged their existing comprehensive risk management</w:t>
      </w:r>
      <w:r>
        <w:rPr>
          <w:rStyle w:val="normaltextrun"/>
          <w:rFonts w:ascii="Calibri" w:eastAsiaTheme="majorEastAsia" w:hAnsi="Calibri" w:cs="Calibri"/>
          <w:color w:val="215E99" w:themeColor="text2" w:themeTint="BF"/>
          <w:sz w:val="22"/>
          <w:szCs w:val="22"/>
          <w:lang w:val="en-GB"/>
        </w:rPr>
        <w:t xml:space="preserve"> </w:t>
      </w:r>
      <w:r w:rsidR="00CB2296" w:rsidRPr="001B1305">
        <w:rPr>
          <w:rStyle w:val="normaltextrun"/>
          <w:rFonts w:ascii="Calibri" w:eastAsiaTheme="majorEastAsia" w:hAnsi="Calibri" w:cs="Calibri"/>
          <w:color w:val="215E99" w:themeColor="text2" w:themeTint="BF"/>
          <w:sz w:val="22"/>
          <w:szCs w:val="22"/>
          <w:lang w:val="en-GB"/>
        </w:rPr>
        <w:t xml:space="preserve">capabilities which, as mentioned above, allowed them to meet the materially increased margin and collateral requirements. These capabilities include, among others, liquidity forecasting and pricing, real-time reporting, stress-test scenarios or increased lead-times for medium-term cash liquidity. </w:t>
      </w:r>
    </w:p>
    <w:p w14:paraId="18BF6F8C" w14:textId="77777777" w:rsidR="00F2557A" w:rsidRDefault="00F2557A"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5EFE5232" w14:textId="09D2818C" w:rsidR="00B8719C" w:rsidRDefault="00CF0BAB"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 xml:space="preserve">The above conclusions prove that </w:t>
      </w:r>
      <w:r w:rsidR="00F2557A" w:rsidRPr="001B1305">
        <w:rPr>
          <w:rStyle w:val="normaltextrun"/>
          <w:rFonts w:ascii="Calibri" w:eastAsiaTheme="majorEastAsia" w:hAnsi="Calibri" w:cs="Calibri"/>
          <w:color w:val="215E99" w:themeColor="text2" w:themeTint="BF"/>
          <w:sz w:val="22"/>
          <w:szCs w:val="22"/>
          <w:lang w:val="en-GB"/>
        </w:rPr>
        <w:t xml:space="preserve">there is a well-functioning system in place whereby CCPs call for collateral arising from changes in prices and volatility, making </w:t>
      </w:r>
      <w:r w:rsidR="00F2557A" w:rsidRPr="00D86124">
        <w:rPr>
          <w:rStyle w:val="normaltextrun"/>
          <w:rFonts w:ascii="Calibri" w:eastAsiaTheme="majorEastAsia" w:hAnsi="Calibri" w:cs="Calibri"/>
          <w:color w:val="215E99" w:themeColor="text2" w:themeTint="BF"/>
          <w:sz w:val="22"/>
          <w:szCs w:val="22"/>
          <w:lang w:val="en-GB"/>
        </w:rPr>
        <w:t xml:space="preserve">sure they can handle extreme cases of stress. Under the EMIR framework, CCPs have in place have accessible and transparent rules to ensure sound risk management. Moreover, </w:t>
      </w:r>
      <w:proofErr w:type="gramStart"/>
      <w:r w:rsidR="00F2557A" w:rsidRPr="00D86124">
        <w:rPr>
          <w:rStyle w:val="normaltextrun"/>
          <w:rFonts w:ascii="Calibri" w:eastAsiaTheme="majorEastAsia" w:hAnsi="Calibri" w:cs="Calibri"/>
          <w:color w:val="215E99" w:themeColor="text2" w:themeTint="BF"/>
          <w:sz w:val="22"/>
          <w:szCs w:val="22"/>
          <w:lang w:val="en-GB"/>
        </w:rPr>
        <w:t>as a result of</w:t>
      </w:r>
      <w:proofErr w:type="gramEnd"/>
      <w:r w:rsidR="00F2557A" w:rsidRPr="00D86124">
        <w:rPr>
          <w:rStyle w:val="normaltextrun"/>
          <w:rFonts w:ascii="Calibri" w:eastAsiaTheme="majorEastAsia" w:hAnsi="Calibri" w:cs="Calibri"/>
          <w:color w:val="215E99" w:themeColor="text2" w:themeTint="BF"/>
          <w:sz w:val="22"/>
          <w:szCs w:val="22"/>
          <w:lang w:val="en-GB"/>
        </w:rPr>
        <w:t xml:space="preserve"> the 2022 energy crisis</w:t>
      </w:r>
      <w:r w:rsidR="00F2557A">
        <w:rPr>
          <w:rStyle w:val="normaltextrun"/>
          <w:rFonts w:ascii="Calibri" w:eastAsiaTheme="majorEastAsia" w:hAnsi="Calibri" w:cs="Calibri"/>
          <w:color w:val="215E99" w:themeColor="text2" w:themeTint="BF"/>
          <w:sz w:val="22"/>
          <w:szCs w:val="22"/>
          <w:lang w:val="en-GB"/>
        </w:rPr>
        <w:t xml:space="preserve"> and </w:t>
      </w:r>
      <w:r w:rsidR="00F2557A" w:rsidRPr="00D86124">
        <w:rPr>
          <w:rStyle w:val="normaltextrun"/>
          <w:rFonts w:ascii="Calibri" w:eastAsiaTheme="majorEastAsia" w:hAnsi="Calibri" w:cs="Calibri"/>
          <w:color w:val="215E99" w:themeColor="text2" w:themeTint="BF"/>
          <w:sz w:val="22"/>
          <w:szCs w:val="22"/>
          <w:lang w:val="en-GB"/>
        </w:rPr>
        <w:t>to ensure a higher level of preparedness</w:t>
      </w:r>
      <w:r w:rsidR="00F2557A">
        <w:rPr>
          <w:rStyle w:val="normaltextrun"/>
          <w:rFonts w:ascii="Calibri" w:eastAsiaTheme="majorEastAsia" w:hAnsi="Calibri" w:cs="Calibri"/>
          <w:color w:val="215E99" w:themeColor="text2" w:themeTint="BF"/>
          <w:sz w:val="22"/>
          <w:szCs w:val="22"/>
          <w:lang w:val="en-GB"/>
        </w:rPr>
        <w:t xml:space="preserve">, </w:t>
      </w:r>
      <w:r w:rsidR="00F2557A" w:rsidRPr="00D86124">
        <w:rPr>
          <w:rStyle w:val="normaltextrun"/>
          <w:rFonts w:ascii="Calibri" w:eastAsiaTheme="majorEastAsia" w:hAnsi="Calibri" w:cs="Calibri"/>
          <w:color w:val="215E99" w:themeColor="text2" w:themeTint="BF"/>
          <w:sz w:val="22"/>
          <w:szCs w:val="22"/>
          <w:lang w:val="en-GB"/>
        </w:rPr>
        <w:t>further measures have been</w:t>
      </w:r>
      <w:r w:rsidR="00F2557A">
        <w:rPr>
          <w:rStyle w:val="normaltextrun"/>
          <w:rFonts w:ascii="Calibri" w:eastAsiaTheme="majorEastAsia" w:hAnsi="Calibri" w:cs="Calibri"/>
          <w:color w:val="215E99" w:themeColor="text2" w:themeTint="BF"/>
          <w:sz w:val="22"/>
          <w:szCs w:val="22"/>
          <w:lang w:val="en-GB"/>
        </w:rPr>
        <w:t xml:space="preserve"> agreed at the EU level and will be soon enter into application </w:t>
      </w:r>
      <w:r w:rsidR="00F2557A" w:rsidRPr="00D86124">
        <w:rPr>
          <w:rStyle w:val="normaltextrun"/>
          <w:rFonts w:ascii="Calibri" w:eastAsiaTheme="majorEastAsia" w:hAnsi="Calibri" w:cs="Calibri"/>
          <w:color w:val="215E99" w:themeColor="text2" w:themeTint="BF"/>
          <w:sz w:val="22"/>
          <w:szCs w:val="22"/>
          <w:lang w:val="en-GB"/>
        </w:rPr>
        <w:t>through the revision of the EMIR framework.</w:t>
      </w:r>
      <w:r w:rsidR="00F2557A">
        <w:rPr>
          <w:rStyle w:val="normaltextrun"/>
          <w:rFonts w:ascii="Calibri" w:eastAsiaTheme="majorEastAsia" w:hAnsi="Calibri" w:cs="Calibri"/>
          <w:color w:val="215E99" w:themeColor="text2" w:themeTint="BF"/>
          <w:sz w:val="22"/>
          <w:szCs w:val="22"/>
          <w:lang w:val="en-GB"/>
        </w:rPr>
        <w:t xml:space="preserve"> </w:t>
      </w:r>
      <w:r w:rsidR="00F2557A" w:rsidRPr="00D86124">
        <w:rPr>
          <w:rStyle w:val="normaltextrun"/>
          <w:rFonts w:ascii="Calibri" w:eastAsiaTheme="majorEastAsia" w:hAnsi="Calibri" w:cs="Calibri"/>
          <w:color w:val="215E99" w:themeColor="text2" w:themeTint="BF"/>
          <w:sz w:val="22"/>
          <w:szCs w:val="22"/>
          <w:lang w:val="en-GB"/>
        </w:rPr>
        <w:t xml:space="preserve">Article 38, for instance, requires CCPs to provide its clearing members with comprehensive information on the initial margin models it uses, along with a simulation tool to determine the amount of additional initial margin it may potentially require. In terms of liquidity, </w:t>
      </w:r>
    </w:p>
    <w:p w14:paraId="46D3D3B0" w14:textId="77777777" w:rsidR="004B7C91" w:rsidRPr="004B7C91" w:rsidRDefault="004B7C91"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4A0E4A06" w14:textId="0E41066F" w:rsidR="00B8719C" w:rsidRDefault="004B7C91" w:rsidP="005C42BE">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lastRenderedPageBreak/>
        <w:t>All in all</w:t>
      </w:r>
      <w:r w:rsidR="00B8719C">
        <w:rPr>
          <w:rStyle w:val="normaltextrun"/>
          <w:rFonts w:ascii="Calibri" w:eastAsiaTheme="majorEastAsia" w:hAnsi="Calibri" w:cs="Calibri"/>
          <w:color w:val="215E99" w:themeColor="text2" w:themeTint="BF"/>
          <w:sz w:val="22"/>
          <w:szCs w:val="22"/>
          <w:lang w:val="en-GB"/>
        </w:rPr>
        <w:t xml:space="preserve">, we </w:t>
      </w:r>
      <w:r w:rsidR="00B8719C" w:rsidRPr="00B8719C">
        <w:rPr>
          <w:rStyle w:val="normaltextrun"/>
          <w:rFonts w:ascii="Calibri" w:eastAsiaTheme="majorEastAsia" w:hAnsi="Calibri" w:cs="Calibri"/>
          <w:color w:val="215E99" w:themeColor="text2" w:themeTint="BF"/>
          <w:sz w:val="22"/>
          <w:szCs w:val="22"/>
          <w:lang w:val="en-GB"/>
        </w:rPr>
        <w:t xml:space="preserve">agree </w:t>
      </w:r>
      <w:r w:rsidR="00B8719C">
        <w:rPr>
          <w:rStyle w:val="normaltextrun"/>
          <w:rFonts w:ascii="Calibri" w:eastAsiaTheme="majorEastAsia" w:hAnsi="Calibri" w:cs="Calibri"/>
          <w:color w:val="215E99" w:themeColor="text2" w:themeTint="BF"/>
          <w:sz w:val="22"/>
          <w:szCs w:val="22"/>
          <w:lang w:val="en-GB"/>
        </w:rPr>
        <w:t xml:space="preserve">with the </w:t>
      </w:r>
      <w:r w:rsidR="00464736">
        <w:rPr>
          <w:rStyle w:val="normaltextrun"/>
          <w:rFonts w:ascii="Calibri" w:eastAsiaTheme="majorEastAsia" w:hAnsi="Calibri" w:cs="Calibri"/>
          <w:color w:val="215E99" w:themeColor="text2" w:themeTint="BF"/>
          <w:sz w:val="22"/>
          <w:szCs w:val="22"/>
          <w:lang w:val="en-GB"/>
        </w:rPr>
        <w:t xml:space="preserve">above-mentioned </w:t>
      </w:r>
      <w:r w:rsidR="00B8719C">
        <w:rPr>
          <w:rStyle w:val="normaltextrun"/>
          <w:rFonts w:ascii="Calibri" w:eastAsiaTheme="majorEastAsia" w:hAnsi="Calibri" w:cs="Calibri"/>
          <w:color w:val="215E99" w:themeColor="text2" w:themeTint="BF"/>
          <w:sz w:val="22"/>
          <w:szCs w:val="22"/>
          <w:lang w:val="en-GB"/>
        </w:rPr>
        <w:t xml:space="preserve">reports </w:t>
      </w:r>
      <w:r w:rsidR="00B8719C" w:rsidRPr="00B8719C">
        <w:rPr>
          <w:rStyle w:val="normaltextrun"/>
          <w:rFonts w:ascii="Calibri" w:eastAsiaTheme="majorEastAsia" w:hAnsi="Calibri" w:cs="Calibri"/>
          <w:color w:val="215E99" w:themeColor="text2" w:themeTint="BF"/>
          <w:sz w:val="22"/>
          <w:szCs w:val="22"/>
          <w:lang w:val="en-GB"/>
        </w:rPr>
        <w:t>that</w:t>
      </w:r>
      <w:r w:rsidR="00B8719C">
        <w:rPr>
          <w:rStyle w:val="normaltextrun"/>
          <w:rFonts w:ascii="Calibri" w:eastAsiaTheme="majorEastAsia" w:hAnsi="Calibri" w:cs="Calibri"/>
          <w:color w:val="215E99" w:themeColor="text2" w:themeTint="BF"/>
          <w:sz w:val="22"/>
          <w:szCs w:val="22"/>
          <w:lang w:val="en-GB"/>
        </w:rPr>
        <w:t xml:space="preserve"> </w:t>
      </w:r>
      <w:r w:rsidR="00B8719C" w:rsidRPr="00B8719C">
        <w:rPr>
          <w:rStyle w:val="normaltextrun"/>
          <w:rFonts w:ascii="Calibri" w:eastAsiaTheme="majorEastAsia" w:hAnsi="Calibri" w:cs="Calibri"/>
          <w:color w:val="215E99" w:themeColor="text2" w:themeTint="BF"/>
          <w:sz w:val="22"/>
          <w:szCs w:val="22"/>
          <w:lang w:val="en-GB"/>
        </w:rPr>
        <w:t>commodity derivatives markets and their participants have shown robustness in the face of such events, ensuring that the broader financial system remained unaffected.</w:t>
      </w:r>
      <w:r w:rsidR="00B9703C">
        <w:rPr>
          <w:rStyle w:val="normaltextrun"/>
          <w:rFonts w:ascii="Calibri" w:eastAsiaTheme="majorEastAsia" w:hAnsi="Calibri" w:cs="Calibri"/>
          <w:color w:val="215E99" w:themeColor="text2" w:themeTint="BF"/>
          <w:sz w:val="22"/>
          <w:szCs w:val="22"/>
          <w:lang w:val="en-GB"/>
        </w:rPr>
        <w:t xml:space="preserve"> </w:t>
      </w:r>
      <w:r w:rsidR="007A682E">
        <w:rPr>
          <w:rStyle w:val="normaltextrun"/>
          <w:rFonts w:ascii="Calibri" w:eastAsiaTheme="majorEastAsia" w:hAnsi="Calibri" w:cs="Calibri"/>
          <w:color w:val="215E99" w:themeColor="text2" w:themeTint="BF"/>
          <w:sz w:val="22"/>
          <w:szCs w:val="22"/>
          <w:lang w:val="en-GB"/>
        </w:rPr>
        <w:t>From this perspective we</w:t>
      </w:r>
      <w:r w:rsidR="00B9703C">
        <w:rPr>
          <w:rStyle w:val="normaltextrun"/>
          <w:rFonts w:ascii="Calibri" w:eastAsiaTheme="majorEastAsia" w:hAnsi="Calibri" w:cs="Calibri"/>
          <w:color w:val="215E99" w:themeColor="text2" w:themeTint="BF"/>
          <w:sz w:val="22"/>
          <w:szCs w:val="22"/>
          <w:lang w:val="en-GB"/>
        </w:rPr>
        <w:t xml:space="preserve"> see no need to extend financial markets liquidity and prudential requirements to commodity market participants. </w:t>
      </w:r>
    </w:p>
    <w:p w14:paraId="28F4A9AA" w14:textId="77777777" w:rsidR="004B7C91" w:rsidRDefault="004B7C91" w:rsidP="00214F02">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55831AF0" w14:textId="018E1ACF" w:rsidR="00D86124" w:rsidRPr="00D86124" w:rsidRDefault="004B7C91" w:rsidP="00214F02">
      <w:pPr>
        <w:pStyle w:val="paragraph"/>
        <w:spacing w:before="0" w:beforeAutospacing="0" w:after="0" w:afterAutospacing="0"/>
        <w:jc w:val="both"/>
        <w:textAlignment w:val="baseline"/>
        <w:rPr>
          <w:rStyle w:val="normaltextrun"/>
          <w:rFonts w:eastAsiaTheme="majorEastAsia"/>
          <w:color w:val="000000" w:themeColor="text1"/>
          <w:sz w:val="22"/>
          <w:szCs w:val="22"/>
          <w:lang w:val="en-GB"/>
        </w:rPr>
      </w:pPr>
      <w:r>
        <w:rPr>
          <w:rStyle w:val="normaltextrun"/>
          <w:rFonts w:ascii="Calibri" w:eastAsiaTheme="majorEastAsia" w:hAnsi="Calibri" w:cs="Calibri"/>
          <w:color w:val="215E99" w:themeColor="text2" w:themeTint="BF"/>
          <w:sz w:val="22"/>
          <w:szCs w:val="22"/>
          <w:lang w:val="en-GB"/>
        </w:rPr>
        <w:t>W</w:t>
      </w:r>
      <w:r w:rsidR="00353EDF">
        <w:rPr>
          <w:rStyle w:val="normaltextrun"/>
          <w:rFonts w:ascii="Calibri" w:eastAsiaTheme="majorEastAsia" w:hAnsi="Calibri" w:cs="Calibri"/>
          <w:color w:val="215E99" w:themeColor="text2" w:themeTint="BF"/>
          <w:sz w:val="22"/>
          <w:szCs w:val="22"/>
          <w:lang w:val="en-GB"/>
        </w:rPr>
        <w:t xml:space="preserve">e </w:t>
      </w:r>
      <w:r w:rsidR="00353EDF" w:rsidRPr="00917531">
        <w:rPr>
          <w:rStyle w:val="normaltextrun"/>
          <w:rFonts w:ascii="Calibri" w:eastAsiaTheme="majorEastAsia" w:hAnsi="Calibri" w:cs="Calibri"/>
          <w:color w:val="215E99" w:themeColor="text2" w:themeTint="BF"/>
          <w:sz w:val="22"/>
          <w:szCs w:val="22"/>
          <w:lang w:val="en-GB"/>
        </w:rPr>
        <w:t xml:space="preserve">rank this level of preparedness as </w:t>
      </w:r>
      <w:r w:rsidR="00464736" w:rsidRPr="00917531">
        <w:rPr>
          <w:rStyle w:val="normaltextrun"/>
          <w:rFonts w:ascii="Calibri" w:eastAsiaTheme="majorEastAsia" w:hAnsi="Calibri" w:cs="Calibri"/>
          <w:color w:val="215E99" w:themeColor="text2" w:themeTint="BF"/>
          <w:sz w:val="22"/>
          <w:szCs w:val="22"/>
          <w:lang w:val="en-GB"/>
        </w:rPr>
        <w:t>5</w:t>
      </w:r>
      <w:r w:rsidR="00353EDF" w:rsidRPr="00917531">
        <w:rPr>
          <w:rStyle w:val="normaltextrun"/>
          <w:rFonts w:ascii="Calibri" w:eastAsiaTheme="majorEastAsia" w:hAnsi="Calibri" w:cs="Calibri"/>
          <w:color w:val="215E99" w:themeColor="text2" w:themeTint="BF"/>
          <w:sz w:val="22"/>
          <w:szCs w:val="22"/>
          <w:lang w:val="en-GB"/>
        </w:rPr>
        <w:t xml:space="preserve">/5. </w:t>
      </w:r>
      <w:r w:rsidR="00D86124" w:rsidRPr="00917531">
        <w:rPr>
          <w:rStyle w:val="normaltextrun"/>
          <w:rFonts w:ascii="Calibri" w:eastAsiaTheme="majorEastAsia" w:hAnsi="Calibri" w:cs="Calibri"/>
          <w:i/>
          <w:iCs/>
          <w:sz w:val="22"/>
          <w:szCs w:val="22"/>
          <w:lang w:val="en-GB"/>
        </w:rPr>
        <w:t>Rank from 1 to 5 (lowest to highest) the level of preparedness</w:t>
      </w:r>
    </w:p>
    <w:p w14:paraId="71B0B744" w14:textId="7B952F14" w:rsidR="00214F02" w:rsidRDefault="00214F02" w:rsidP="000A56D0">
      <w:pPr>
        <w:pStyle w:val="paragraph"/>
        <w:spacing w:before="0" w:beforeAutospacing="0" w:after="0" w:afterAutospacing="0"/>
        <w:jc w:val="both"/>
        <w:textAlignment w:val="baseline"/>
        <w:rPr>
          <w:rStyle w:val="normaltextrun"/>
          <w:rFonts w:eastAsiaTheme="majorEastAsia"/>
          <w:color w:val="BF4E14" w:themeColor="accent2" w:themeShade="BF"/>
          <w:sz w:val="22"/>
          <w:szCs w:val="22"/>
          <w:lang w:val="en-GB"/>
        </w:rPr>
      </w:pPr>
    </w:p>
    <w:p w14:paraId="5E516D2E" w14:textId="77777777" w:rsidR="002D63E5" w:rsidRDefault="002D63E5" w:rsidP="002D63E5">
      <w:pPr>
        <w:pStyle w:val="paragraph"/>
        <w:spacing w:before="0" w:beforeAutospacing="0" w:after="0" w:afterAutospacing="0"/>
        <w:jc w:val="both"/>
        <w:textAlignment w:val="baseline"/>
        <w:rPr>
          <w:rStyle w:val="eop"/>
          <w:rFonts w:ascii="Calibri" w:eastAsiaTheme="majorEastAsia" w:hAnsi="Calibri" w:cs="Calibri"/>
          <w:lang w:val="en-GB"/>
        </w:rPr>
      </w:pPr>
      <w:r w:rsidRPr="00190CDA">
        <w:rPr>
          <w:rStyle w:val="normaltextrun"/>
          <w:rFonts w:ascii="Calibri" w:eastAsiaTheme="majorEastAsia" w:hAnsi="Calibri" w:cs="Calibri"/>
          <w:b/>
          <w:bCs/>
          <w:i/>
          <w:iCs/>
          <w:lang w:val="en-GB"/>
        </w:rPr>
        <w:t xml:space="preserve">Question 40. </w:t>
      </w:r>
      <w:proofErr w:type="gramStart"/>
      <w:r w:rsidRPr="00190CDA">
        <w:rPr>
          <w:rStyle w:val="normaltextrun"/>
          <w:rFonts w:ascii="Calibri" w:eastAsiaTheme="majorEastAsia" w:hAnsi="Calibri" w:cs="Calibri"/>
          <w:i/>
          <w:iCs/>
          <w:lang w:val="en-GB"/>
        </w:rPr>
        <w:t>In light of</w:t>
      </w:r>
      <w:proofErr w:type="gramEnd"/>
      <w:r w:rsidRPr="00190CDA">
        <w:rPr>
          <w:rStyle w:val="normaltextrun"/>
          <w:rFonts w:ascii="Calibri" w:eastAsiaTheme="majorEastAsia" w:hAnsi="Calibri" w:cs="Calibri"/>
          <w:i/>
          <w:iCs/>
          <w:lang w:val="en-GB"/>
        </w:rPr>
        <w:t xml:space="preserve"> the potential risk of contagion from spot markets or off-exchange energy trading to futures markets, do you think that spot market participants should also meet a more comprehensive set of trading rules for market participation and risk management? Please elaborate on your response. </w:t>
      </w:r>
      <w:r w:rsidRPr="00190CDA">
        <w:rPr>
          <w:rStyle w:val="eop"/>
          <w:rFonts w:ascii="Calibri" w:eastAsiaTheme="majorEastAsia" w:hAnsi="Calibri" w:cs="Calibri"/>
          <w:lang w:val="en-GB"/>
        </w:rPr>
        <w:t> </w:t>
      </w:r>
    </w:p>
    <w:p w14:paraId="370CB86E" w14:textId="77777777" w:rsidR="00592306" w:rsidRDefault="00592306" w:rsidP="00DD4999">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22EE9FFE" w14:textId="4AF96DCF" w:rsidR="00DD4999" w:rsidRDefault="00FD79C3" w:rsidP="00DD4999">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S</w:t>
      </w:r>
      <w:r w:rsidR="00E56427">
        <w:rPr>
          <w:rStyle w:val="normaltextrun"/>
          <w:rFonts w:ascii="Calibri" w:eastAsiaTheme="majorEastAsia" w:hAnsi="Calibri" w:cs="Calibri"/>
          <w:color w:val="215E99" w:themeColor="text2" w:themeTint="BF"/>
          <w:sz w:val="22"/>
          <w:szCs w:val="22"/>
          <w:lang w:val="en-GB"/>
        </w:rPr>
        <w:t>pot markets and derivative markets are fundamentally different markets</w:t>
      </w:r>
      <w:r w:rsidR="00876635">
        <w:rPr>
          <w:rStyle w:val="normaltextrun"/>
          <w:rFonts w:ascii="Calibri" w:eastAsiaTheme="majorEastAsia" w:hAnsi="Calibri" w:cs="Calibri"/>
          <w:color w:val="215E99" w:themeColor="text2" w:themeTint="BF"/>
          <w:sz w:val="22"/>
          <w:szCs w:val="22"/>
          <w:lang w:val="en-GB"/>
        </w:rPr>
        <w:t xml:space="preserve">. </w:t>
      </w:r>
      <w:r w:rsidR="00DD4999" w:rsidRPr="00FD3658">
        <w:rPr>
          <w:rStyle w:val="normaltextrun"/>
          <w:rFonts w:ascii="Calibri" w:eastAsiaTheme="majorEastAsia" w:hAnsi="Calibri" w:cs="Calibri"/>
          <w:color w:val="215E99" w:themeColor="text2" w:themeTint="BF"/>
          <w:sz w:val="22"/>
          <w:szCs w:val="22"/>
          <w:lang w:val="en-GB"/>
        </w:rPr>
        <w:t xml:space="preserve">While spot markets serve primarily immediate asset transactions, derivative markets provide tools for managing price risk and hedge against </w:t>
      </w:r>
      <w:r w:rsidR="00AF2649">
        <w:rPr>
          <w:rStyle w:val="normaltextrun"/>
          <w:rFonts w:ascii="Calibri" w:eastAsiaTheme="majorEastAsia" w:hAnsi="Calibri" w:cs="Calibri"/>
          <w:color w:val="215E99" w:themeColor="text2" w:themeTint="BF"/>
          <w:sz w:val="22"/>
          <w:szCs w:val="22"/>
          <w:lang w:val="en-GB"/>
        </w:rPr>
        <w:t>spot price fluctuations</w:t>
      </w:r>
      <w:r w:rsidR="00DD4999" w:rsidRPr="00FD3658">
        <w:rPr>
          <w:rStyle w:val="normaltextrun"/>
          <w:rFonts w:ascii="Calibri" w:eastAsiaTheme="majorEastAsia" w:hAnsi="Calibri" w:cs="Calibri"/>
          <w:color w:val="215E99" w:themeColor="text2" w:themeTint="BF"/>
          <w:sz w:val="22"/>
          <w:szCs w:val="22"/>
          <w:lang w:val="en-GB"/>
        </w:rPr>
        <w:t xml:space="preserve">.  </w:t>
      </w:r>
      <w:r w:rsidR="00484788" w:rsidRPr="00FD3658">
        <w:rPr>
          <w:rStyle w:val="normaltextrun"/>
          <w:rFonts w:ascii="Calibri" w:eastAsiaTheme="majorEastAsia" w:hAnsi="Calibri" w:cs="Calibri"/>
          <w:color w:val="215E99" w:themeColor="text2" w:themeTint="BF"/>
          <w:sz w:val="22"/>
          <w:szCs w:val="22"/>
          <w:lang w:val="en-GB"/>
        </w:rPr>
        <w:t>It is therefore only logical that s</w:t>
      </w:r>
      <w:r w:rsidR="00484788" w:rsidRPr="00FD3658">
        <w:rPr>
          <w:rStyle w:val="normaltextrun"/>
          <w:rFonts w:ascii="Calibri" w:eastAsia="Yu Gothic Light" w:hAnsi="Calibri" w:cs="Calibri"/>
          <w:color w:val="215E99" w:themeColor="text2" w:themeTint="BF"/>
          <w:sz w:val="22"/>
          <w:szCs w:val="22"/>
          <w:lang w:val="en-GB"/>
        </w:rPr>
        <w:t xml:space="preserve">pot markets </w:t>
      </w:r>
      <w:r w:rsidR="00AF2649">
        <w:rPr>
          <w:rStyle w:val="normaltextrun"/>
          <w:rFonts w:ascii="Calibri" w:eastAsia="Yu Gothic Light" w:hAnsi="Calibri" w:cs="Calibri"/>
          <w:color w:val="215E99" w:themeColor="text2" w:themeTint="BF"/>
          <w:sz w:val="22"/>
          <w:szCs w:val="22"/>
          <w:lang w:val="en-GB"/>
        </w:rPr>
        <w:t xml:space="preserve">and derivatives markets </w:t>
      </w:r>
      <w:r w:rsidR="00484788" w:rsidRPr="00FD3658">
        <w:rPr>
          <w:rStyle w:val="normaltextrun"/>
          <w:rFonts w:ascii="Calibri" w:eastAsia="Yu Gothic Light" w:hAnsi="Calibri" w:cs="Calibri"/>
          <w:color w:val="215E99" w:themeColor="text2" w:themeTint="BF"/>
          <w:sz w:val="22"/>
          <w:szCs w:val="22"/>
          <w:lang w:val="en-GB"/>
        </w:rPr>
        <w:t xml:space="preserve">have their own specific regulatory framework. In the case </w:t>
      </w:r>
      <w:r w:rsidR="008100CD" w:rsidRPr="00FD3658">
        <w:rPr>
          <w:rStyle w:val="normaltextrun"/>
          <w:rFonts w:ascii="Calibri" w:eastAsia="Yu Gothic Light" w:hAnsi="Calibri" w:cs="Calibri"/>
          <w:color w:val="215E99" w:themeColor="text2" w:themeTint="BF"/>
          <w:sz w:val="22"/>
          <w:szCs w:val="22"/>
          <w:lang w:val="en-GB"/>
        </w:rPr>
        <w:t xml:space="preserve">for power, for example, </w:t>
      </w:r>
      <w:r w:rsidR="00E42335">
        <w:rPr>
          <w:rStyle w:val="normaltextrun"/>
          <w:rFonts w:ascii="Calibri" w:eastAsia="Yu Gothic Light" w:hAnsi="Calibri" w:cs="Calibri"/>
          <w:color w:val="215E99" w:themeColor="text2" w:themeTint="BF"/>
          <w:sz w:val="22"/>
          <w:szCs w:val="22"/>
          <w:lang w:val="en-GB"/>
        </w:rPr>
        <w:t>the spot market legislative framework</w:t>
      </w:r>
      <w:r w:rsidR="00E42335" w:rsidRPr="00FD3658">
        <w:rPr>
          <w:rStyle w:val="normaltextrun"/>
          <w:rFonts w:ascii="Calibri" w:eastAsia="Yu Gothic Light" w:hAnsi="Calibri" w:cs="Calibri"/>
          <w:color w:val="215E99" w:themeColor="text2" w:themeTint="BF"/>
          <w:sz w:val="22"/>
          <w:szCs w:val="22"/>
          <w:lang w:val="en-GB"/>
        </w:rPr>
        <w:t xml:space="preserve"> </w:t>
      </w:r>
      <w:r w:rsidR="00484788" w:rsidRPr="00FD3658">
        <w:rPr>
          <w:rStyle w:val="normaltextrun"/>
          <w:rFonts w:ascii="Calibri" w:eastAsia="Yu Gothic Light" w:hAnsi="Calibri" w:cs="Calibri"/>
          <w:color w:val="215E99" w:themeColor="text2" w:themeTint="BF"/>
          <w:sz w:val="22"/>
          <w:szCs w:val="22"/>
          <w:lang w:val="en-GB"/>
        </w:rPr>
        <w:t>includes the Regulation on Energy Market Integrity and Transparency (REMIT), the Electricity Directive &amp; Regulation, the Capacity</w:t>
      </w:r>
      <w:r w:rsidR="00484788">
        <w:rPr>
          <w:rStyle w:val="normaltextrun"/>
          <w:rFonts w:ascii="Calibri" w:eastAsia="Yu Gothic Light" w:hAnsi="Calibri" w:cs="Calibri"/>
          <w:color w:val="215E99" w:themeColor="text2" w:themeTint="BF"/>
          <w:sz w:val="22"/>
          <w:szCs w:val="22"/>
          <w:lang w:val="en-GB"/>
        </w:rPr>
        <w:t xml:space="preserve"> Allocation and Congestion Management Network Code and many other legislative acts. Furthermore, the energy sector has their own responsible authorities for the oversight of the sector. At EU level, the ACER Regulation outlines the mandate of ACER. At national level, there are national regulators that operate under the national regulatory fram</w:t>
      </w:r>
      <w:r w:rsidR="0087164F">
        <w:rPr>
          <w:rStyle w:val="normaltextrun"/>
          <w:rFonts w:ascii="Calibri" w:eastAsia="Yu Gothic Light" w:hAnsi="Calibri" w:cs="Calibri"/>
          <w:color w:val="215E99" w:themeColor="text2" w:themeTint="BF"/>
          <w:sz w:val="22"/>
          <w:szCs w:val="22"/>
          <w:lang w:val="en-GB"/>
        </w:rPr>
        <w:t xml:space="preserve">eworks. </w:t>
      </w:r>
    </w:p>
    <w:p w14:paraId="419A6AC8" w14:textId="77777777" w:rsidR="00DD4999" w:rsidRDefault="00DD4999" w:rsidP="002D63E5">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479787FC" w14:textId="156734F2" w:rsidR="00A20EDA" w:rsidRDefault="008100CD" w:rsidP="008100CD">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sidRPr="00DD4999">
        <w:rPr>
          <w:rStyle w:val="normaltextrun"/>
          <w:rFonts w:ascii="Calibri" w:eastAsiaTheme="majorEastAsia" w:hAnsi="Calibri" w:cs="Calibri"/>
          <w:color w:val="215E99" w:themeColor="text2" w:themeTint="BF"/>
          <w:sz w:val="22"/>
          <w:szCs w:val="22"/>
          <w:lang w:val="en-GB"/>
        </w:rPr>
        <w:t xml:space="preserve">Considering </w:t>
      </w:r>
      <w:proofErr w:type="gramStart"/>
      <w:r w:rsidRPr="00DD4999">
        <w:rPr>
          <w:rStyle w:val="normaltextrun"/>
          <w:rFonts w:ascii="Calibri" w:eastAsiaTheme="majorEastAsia" w:hAnsi="Calibri" w:cs="Calibri"/>
          <w:color w:val="215E99" w:themeColor="text2" w:themeTint="BF"/>
          <w:sz w:val="22"/>
          <w:szCs w:val="22"/>
          <w:lang w:val="en-GB"/>
        </w:rPr>
        <w:t>all</w:t>
      </w:r>
      <w:r>
        <w:rPr>
          <w:rStyle w:val="normaltextrun"/>
          <w:rFonts w:ascii="Calibri" w:eastAsiaTheme="majorEastAsia" w:hAnsi="Calibri" w:cs="Calibri"/>
          <w:color w:val="215E99" w:themeColor="text2" w:themeTint="BF"/>
          <w:sz w:val="22"/>
          <w:szCs w:val="22"/>
          <w:lang w:val="en-GB"/>
        </w:rPr>
        <w:t xml:space="preserve"> </w:t>
      </w:r>
      <w:r w:rsidR="00AD5D83">
        <w:rPr>
          <w:rStyle w:val="normaltextrun"/>
          <w:rFonts w:ascii="Calibri" w:eastAsiaTheme="majorEastAsia" w:hAnsi="Calibri" w:cs="Calibri"/>
          <w:color w:val="215E99" w:themeColor="text2" w:themeTint="BF"/>
          <w:sz w:val="22"/>
          <w:szCs w:val="22"/>
          <w:lang w:val="en-GB"/>
        </w:rPr>
        <w:t>of</w:t>
      </w:r>
      <w:proofErr w:type="gramEnd"/>
      <w:r w:rsidR="00AD5D83">
        <w:rPr>
          <w:rStyle w:val="normaltextrun"/>
          <w:rFonts w:ascii="Calibri" w:eastAsiaTheme="majorEastAsia" w:hAnsi="Calibri" w:cs="Calibri"/>
          <w:color w:val="215E99" w:themeColor="text2" w:themeTint="BF"/>
          <w:sz w:val="22"/>
          <w:szCs w:val="22"/>
          <w:lang w:val="en-GB"/>
        </w:rPr>
        <w:t xml:space="preserve"> </w:t>
      </w:r>
      <w:r w:rsidRPr="00DD4999">
        <w:rPr>
          <w:rStyle w:val="normaltextrun"/>
          <w:rFonts w:ascii="Calibri" w:eastAsiaTheme="majorEastAsia" w:hAnsi="Calibri" w:cs="Calibri"/>
          <w:color w:val="215E99" w:themeColor="text2" w:themeTint="BF"/>
          <w:sz w:val="22"/>
          <w:szCs w:val="22"/>
          <w:lang w:val="en-GB"/>
        </w:rPr>
        <w:t xml:space="preserve">the above, it can be anticipated that a </w:t>
      </w:r>
      <w:r>
        <w:rPr>
          <w:rStyle w:val="normaltextrun"/>
          <w:rFonts w:ascii="Calibri" w:eastAsiaTheme="majorEastAsia" w:hAnsi="Calibri" w:cs="Calibri"/>
          <w:color w:val="215E99" w:themeColor="text2" w:themeTint="BF"/>
          <w:sz w:val="22"/>
          <w:szCs w:val="22"/>
          <w:lang w:val="en-GB"/>
        </w:rPr>
        <w:t>b</w:t>
      </w:r>
      <w:r w:rsidRPr="00541BC7">
        <w:rPr>
          <w:rStyle w:val="normaltextrun"/>
          <w:rFonts w:ascii="Calibri" w:eastAsiaTheme="majorEastAsia" w:hAnsi="Calibri" w:cs="Calibri"/>
          <w:color w:val="215E99" w:themeColor="text2" w:themeTint="BF"/>
          <w:sz w:val="22"/>
          <w:szCs w:val="22"/>
          <w:lang w:val="en-GB"/>
        </w:rPr>
        <w:t>road-brush application of financial services legislation to energy spot markets</w:t>
      </w:r>
      <w:r>
        <w:rPr>
          <w:rStyle w:val="normaltextrun"/>
          <w:rFonts w:ascii="Calibri" w:eastAsiaTheme="majorEastAsia" w:hAnsi="Calibri" w:cs="Calibri"/>
          <w:color w:val="215E99" w:themeColor="text2" w:themeTint="BF"/>
          <w:sz w:val="22"/>
          <w:szCs w:val="22"/>
          <w:lang w:val="en-GB"/>
        </w:rPr>
        <w:t xml:space="preserve"> </w:t>
      </w:r>
      <w:r w:rsidRPr="00541BC7">
        <w:rPr>
          <w:rStyle w:val="normaltextrun"/>
          <w:rFonts w:ascii="Calibri" w:eastAsiaTheme="majorEastAsia" w:hAnsi="Calibri" w:cs="Calibri"/>
          <w:color w:val="215E99" w:themeColor="text2" w:themeTint="BF"/>
          <w:sz w:val="22"/>
          <w:szCs w:val="22"/>
          <w:lang w:val="en-GB"/>
        </w:rPr>
        <w:t>participants</w:t>
      </w:r>
      <w:r>
        <w:rPr>
          <w:rStyle w:val="normaltextrun"/>
          <w:rFonts w:ascii="Calibri" w:eastAsiaTheme="majorEastAsia" w:hAnsi="Calibri" w:cs="Calibri"/>
          <w:color w:val="215E99" w:themeColor="text2" w:themeTint="BF"/>
          <w:sz w:val="22"/>
          <w:szCs w:val="22"/>
          <w:lang w:val="en-GB"/>
        </w:rPr>
        <w:t xml:space="preserve"> would lead to unnecessary, duplicative and potentially harmful requirements. </w:t>
      </w:r>
      <w:r w:rsidRPr="00D57E0E">
        <w:rPr>
          <w:rStyle w:val="normaltextrun"/>
          <w:rFonts w:ascii="Calibri" w:eastAsiaTheme="majorEastAsia" w:hAnsi="Calibri" w:cs="Calibri"/>
          <w:color w:val="215E99" w:themeColor="text2" w:themeTint="BF"/>
          <w:sz w:val="22"/>
          <w:szCs w:val="22"/>
          <w:lang w:val="en-GB"/>
        </w:rPr>
        <w:t>Such measures could overlap with existing regulations, creating operational inefficiencies and increased compliance costs without delivering additional benefits</w:t>
      </w:r>
      <w:r w:rsidR="00052BD0">
        <w:rPr>
          <w:rStyle w:val="normaltextrun"/>
          <w:rFonts w:ascii="Calibri" w:eastAsiaTheme="majorEastAsia" w:hAnsi="Calibri" w:cs="Calibri"/>
          <w:color w:val="215E99" w:themeColor="text2" w:themeTint="BF"/>
          <w:sz w:val="22"/>
          <w:szCs w:val="22"/>
          <w:lang w:val="en-GB"/>
        </w:rPr>
        <w:t>.</w:t>
      </w:r>
      <w:r w:rsidR="00507B49">
        <w:rPr>
          <w:rStyle w:val="normaltextrun"/>
          <w:rFonts w:ascii="Calibri" w:eastAsiaTheme="majorEastAsia" w:hAnsi="Calibri" w:cs="Calibri"/>
          <w:color w:val="215E99" w:themeColor="text2" w:themeTint="BF"/>
          <w:sz w:val="22"/>
          <w:szCs w:val="22"/>
          <w:lang w:val="en-GB"/>
        </w:rPr>
        <w:t xml:space="preserve"> </w:t>
      </w:r>
      <w:r w:rsidR="001B6FC5">
        <w:rPr>
          <w:rStyle w:val="normaltextrun"/>
          <w:rFonts w:ascii="Calibri" w:eastAsiaTheme="majorEastAsia" w:hAnsi="Calibri" w:cs="Calibri"/>
          <w:color w:val="215E99" w:themeColor="text2" w:themeTint="BF"/>
          <w:sz w:val="22"/>
          <w:szCs w:val="22"/>
          <w:lang w:val="en-GB"/>
        </w:rPr>
        <w:t>A recent example of such duplication is the</w:t>
      </w:r>
      <w:r w:rsidR="001724D2">
        <w:rPr>
          <w:rStyle w:val="normaltextrun"/>
          <w:rFonts w:ascii="Calibri" w:eastAsiaTheme="majorEastAsia" w:hAnsi="Calibri" w:cs="Calibri"/>
          <w:color w:val="215E99" w:themeColor="text2" w:themeTint="BF"/>
          <w:sz w:val="22"/>
          <w:szCs w:val="22"/>
          <w:lang w:val="en-GB"/>
        </w:rPr>
        <w:t xml:space="preserve"> </w:t>
      </w:r>
      <w:r w:rsidR="00FD3658">
        <w:rPr>
          <w:rStyle w:val="normaltextrun"/>
          <w:rFonts w:ascii="Calibri" w:eastAsiaTheme="majorEastAsia" w:hAnsi="Calibri" w:cs="Calibri"/>
          <w:color w:val="215E99" w:themeColor="text2" w:themeTint="BF"/>
          <w:sz w:val="22"/>
          <w:szCs w:val="22"/>
          <w:lang w:val="en-GB"/>
        </w:rPr>
        <w:t xml:space="preserve">REMIT </w:t>
      </w:r>
      <w:r w:rsidR="00AD5D83">
        <w:rPr>
          <w:rStyle w:val="normaltextrun"/>
          <w:rFonts w:ascii="Calibri" w:eastAsiaTheme="majorEastAsia" w:hAnsi="Calibri" w:cs="Calibri"/>
          <w:color w:val="215E99" w:themeColor="text2" w:themeTint="BF"/>
          <w:sz w:val="22"/>
          <w:szCs w:val="22"/>
          <w:lang w:val="en-GB"/>
        </w:rPr>
        <w:t>mark</w:t>
      </w:r>
      <w:r>
        <w:rPr>
          <w:rStyle w:val="normaltextrun"/>
          <w:rFonts w:ascii="Calibri" w:eastAsiaTheme="majorEastAsia" w:hAnsi="Calibri" w:cs="Calibri"/>
          <w:color w:val="215E99" w:themeColor="text2" w:themeTint="BF"/>
          <w:sz w:val="22"/>
          <w:szCs w:val="22"/>
          <w:lang w:val="en-GB"/>
        </w:rPr>
        <w:t xml:space="preserve">et manipulation and insider trading </w:t>
      </w:r>
      <w:r w:rsidRPr="00541BC7">
        <w:rPr>
          <w:rStyle w:val="normaltextrun"/>
          <w:rFonts w:ascii="Calibri" w:eastAsiaTheme="majorEastAsia" w:hAnsi="Calibri" w:cs="Calibri"/>
          <w:color w:val="215E99" w:themeColor="text2" w:themeTint="BF"/>
          <w:sz w:val="22"/>
          <w:szCs w:val="22"/>
          <w:lang w:val="en-GB"/>
        </w:rPr>
        <w:t>prohibitions</w:t>
      </w:r>
      <w:r>
        <w:rPr>
          <w:rStyle w:val="normaltextrun"/>
          <w:rFonts w:ascii="Calibri" w:eastAsiaTheme="majorEastAsia" w:hAnsi="Calibri" w:cs="Calibri"/>
          <w:color w:val="215E99" w:themeColor="text2" w:themeTint="BF"/>
          <w:sz w:val="22"/>
          <w:szCs w:val="22"/>
          <w:lang w:val="en-GB"/>
        </w:rPr>
        <w:t xml:space="preserve"> </w:t>
      </w:r>
      <w:r w:rsidR="008E418C">
        <w:rPr>
          <w:rStyle w:val="normaltextrun"/>
          <w:rFonts w:ascii="Calibri" w:eastAsiaTheme="majorEastAsia" w:hAnsi="Calibri" w:cs="Calibri"/>
          <w:color w:val="215E99" w:themeColor="text2" w:themeTint="BF"/>
          <w:sz w:val="22"/>
          <w:szCs w:val="22"/>
          <w:lang w:val="en-GB"/>
        </w:rPr>
        <w:t>being</w:t>
      </w:r>
      <w:r w:rsidR="00AD5D83">
        <w:rPr>
          <w:rStyle w:val="normaltextrun"/>
          <w:rFonts w:ascii="Calibri" w:eastAsiaTheme="majorEastAsia" w:hAnsi="Calibri" w:cs="Calibri"/>
          <w:color w:val="215E99" w:themeColor="text2" w:themeTint="BF"/>
          <w:sz w:val="22"/>
          <w:szCs w:val="22"/>
          <w:lang w:val="en-GB"/>
        </w:rPr>
        <w:t xml:space="preserve"> extended </w:t>
      </w:r>
      <w:r w:rsidRPr="00541BC7">
        <w:rPr>
          <w:rStyle w:val="normaltextrun"/>
          <w:rFonts w:ascii="Calibri" w:eastAsiaTheme="majorEastAsia" w:hAnsi="Calibri" w:cs="Calibri"/>
          <w:color w:val="215E99" w:themeColor="text2" w:themeTint="BF"/>
          <w:sz w:val="22"/>
          <w:szCs w:val="22"/>
          <w:lang w:val="en-GB"/>
        </w:rPr>
        <w:t>to financial instruments</w:t>
      </w:r>
      <w:r w:rsidR="00FD3658">
        <w:rPr>
          <w:rStyle w:val="normaltextrun"/>
          <w:rFonts w:ascii="Calibri" w:eastAsiaTheme="majorEastAsia" w:hAnsi="Calibri" w:cs="Calibri"/>
          <w:color w:val="215E99" w:themeColor="text2" w:themeTint="BF"/>
          <w:sz w:val="22"/>
          <w:szCs w:val="22"/>
          <w:lang w:val="en-GB"/>
        </w:rPr>
        <w:t>, which already fall under the Market Abuse Regulation</w:t>
      </w:r>
      <w:r w:rsidR="00AD5D83">
        <w:rPr>
          <w:rStyle w:val="normaltextrun"/>
          <w:rFonts w:ascii="Calibri" w:eastAsiaTheme="majorEastAsia" w:hAnsi="Calibri" w:cs="Calibri"/>
          <w:color w:val="215E99" w:themeColor="text2" w:themeTint="BF"/>
          <w:sz w:val="22"/>
          <w:szCs w:val="22"/>
          <w:lang w:val="en-GB"/>
        </w:rPr>
        <w:t xml:space="preserve">. </w:t>
      </w:r>
      <w:r w:rsidR="001724D2">
        <w:rPr>
          <w:rStyle w:val="normaltextrun"/>
          <w:rFonts w:ascii="Calibri" w:eastAsiaTheme="majorEastAsia" w:hAnsi="Calibri" w:cs="Calibri"/>
          <w:color w:val="215E99" w:themeColor="text2" w:themeTint="BF"/>
          <w:sz w:val="22"/>
          <w:szCs w:val="22"/>
          <w:lang w:val="en-GB"/>
        </w:rPr>
        <w:t>The overlap leads to considerable unc</w:t>
      </w:r>
      <w:r>
        <w:rPr>
          <w:rStyle w:val="normaltextrun"/>
          <w:rFonts w:ascii="Calibri" w:eastAsiaTheme="majorEastAsia" w:hAnsi="Calibri" w:cs="Calibri"/>
          <w:color w:val="215E99" w:themeColor="text2" w:themeTint="BF"/>
          <w:sz w:val="22"/>
          <w:szCs w:val="22"/>
          <w:lang w:val="en-GB"/>
        </w:rPr>
        <w:t>ertainty about the provisions</w:t>
      </w:r>
      <w:r w:rsidR="00A60C60">
        <w:rPr>
          <w:rStyle w:val="normaltextrun"/>
          <w:rFonts w:ascii="Calibri" w:eastAsiaTheme="majorEastAsia" w:hAnsi="Calibri" w:cs="Calibri"/>
          <w:color w:val="215E99" w:themeColor="text2" w:themeTint="BF"/>
          <w:sz w:val="22"/>
          <w:szCs w:val="22"/>
          <w:lang w:val="en-GB"/>
        </w:rPr>
        <w:t xml:space="preserve"> being applicable</w:t>
      </w:r>
      <w:r w:rsidR="001724D2">
        <w:rPr>
          <w:rStyle w:val="normaltextrun"/>
          <w:rFonts w:ascii="Calibri" w:eastAsiaTheme="majorEastAsia" w:hAnsi="Calibri" w:cs="Calibri"/>
          <w:color w:val="215E99" w:themeColor="text2" w:themeTint="BF"/>
          <w:sz w:val="22"/>
          <w:szCs w:val="22"/>
          <w:lang w:val="en-GB"/>
        </w:rPr>
        <w:t xml:space="preserve">, as well as about the authorities responsible for </w:t>
      </w:r>
      <w:r w:rsidR="00D20B19">
        <w:rPr>
          <w:rStyle w:val="normaltextrun"/>
          <w:rFonts w:ascii="Calibri" w:eastAsiaTheme="majorEastAsia" w:hAnsi="Calibri" w:cs="Calibri"/>
          <w:color w:val="215E99" w:themeColor="text2" w:themeTint="BF"/>
          <w:sz w:val="22"/>
          <w:szCs w:val="22"/>
          <w:lang w:val="en-GB"/>
        </w:rPr>
        <w:t>the respective oversight</w:t>
      </w:r>
      <w:r w:rsidR="001724D2">
        <w:rPr>
          <w:rStyle w:val="normaltextrun"/>
          <w:rFonts w:ascii="Calibri" w:eastAsiaTheme="majorEastAsia" w:hAnsi="Calibri" w:cs="Calibri"/>
          <w:color w:val="215E99" w:themeColor="text2" w:themeTint="BF"/>
          <w:sz w:val="22"/>
          <w:szCs w:val="22"/>
          <w:lang w:val="en-GB"/>
        </w:rPr>
        <w:t xml:space="preserve">. Similarly, both </w:t>
      </w:r>
      <w:proofErr w:type="spellStart"/>
      <w:r w:rsidR="001724D2">
        <w:rPr>
          <w:rStyle w:val="normaltextrun"/>
          <w:rFonts w:ascii="Calibri" w:eastAsiaTheme="majorEastAsia" w:hAnsi="Calibri" w:cs="Calibri"/>
          <w:color w:val="215E99" w:themeColor="text2" w:themeTint="BF"/>
          <w:sz w:val="22"/>
          <w:szCs w:val="22"/>
          <w:lang w:val="en-GB"/>
        </w:rPr>
        <w:t>MiFIDII</w:t>
      </w:r>
      <w:proofErr w:type="spellEnd"/>
      <w:r w:rsidR="001724D2">
        <w:rPr>
          <w:rStyle w:val="normaltextrun"/>
          <w:rFonts w:ascii="Calibri" w:eastAsiaTheme="majorEastAsia" w:hAnsi="Calibri" w:cs="Calibri"/>
          <w:color w:val="215E99" w:themeColor="text2" w:themeTint="BF"/>
          <w:sz w:val="22"/>
          <w:szCs w:val="22"/>
          <w:lang w:val="en-GB"/>
        </w:rPr>
        <w:t xml:space="preserve"> and REMIT include rules on algo trading </w:t>
      </w:r>
      <w:r w:rsidR="00FD7FED">
        <w:rPr>
          <w:rStyle w:val="normaltextrun"/>
          <w:rFonts w:ascii="Calibri" w:eastAsiaTheme="majorEastAsia" w:hAnsi="Calibri" w:cs="Calibri"/>
          <w:color w:val="215E99" w:themeColor="text2" w:themeTint="BF"/>
          <w:sz w:val="22"/>
          <w:szCs w:val="22"/>
          <w:lang w:val="en-GB"/>
        </w:rPr>
        <w:t>that are largely overlapping</w:t>
      </w:r>
      <w:r w:rsidR="00997208">
        <w:rPr>
          <w:rStyle w:val="normaltextrun"/>
          <w:rFonts w:ascii="Calibri" w:eastAsiaTheme="majorEastAsia" w:hAnsi="Calibri" w:cs="Calibri"/>
          <w:color w:val="215E99" w:themeColor="text2" w:themeTint="BF"/>
          <w:sz w:val="22"/>
          <w:szCs w:val="22"/>
          <w:lang w:val="en-GB"/>
        </w:rPr>
        <w:t xml:space="preserve"> and create </w:t>
      </w:r>
      <w:r w:rsidR="004D6D0F">
        <w:rPr>
          <w:rStyle w:val="normaltextrun"/>
          <w:rFonts w:ascii="Calibri" w:eastAsiaTheme="majorEastAsia" w:hAnsi="Calibri" w:cs="Calibri"/>
          <w:color w:val="215E99" w:themeColor="text2" w:themeTint="BF"/>
          <w:sz w:val="22"/>
          <w:szCs w:val="22"/>
          <w:lang w:val="en-GB"/>
        </w:rPr>
        <w:t>duplicative notification requirements</w:t>
      </w:r>
      <w:r w:rsidR="001724D2">
        <w:rPr>
          <w:rStyle w:val="normaltextrun"/>
          <w:rFonts w:ascii="Calibri" w:eastAsiaTheme="majorEastAsia" w:hAnsi="Calibri" w:cs="Calibri"/>
          <w:color w:val="215E99" w:themeColor="text2" w:themeTint="BF"/>
          <w:sz w:val="22"/>
          <w:szCs w:val="22"/>
          <w:lang w:val="en-GB"/>
        </w:rPr>
        <w:t>.</w:t>
      </w:r>
      <w:r w:rsidR="00C200E5">
        <w:rPr>
          <w:rStyle w:val="normaltextrun"/>
          <w:rFonts w:ascii="Calibri" w:eastAsiaTheme="majorEastAsia" w:hAnsi="Calibri" w:cs="Calibri"/>
          <w:color w:val="215E99" w:themeColor="text2" w:themeTint="BF"/>
          <w:sz w:val="22"/>
          <w:szCs w:val="22"/>
          <w:lang w:val="en-GB"/>
        </w:rPr>
        <w:t xml:space="preserve"> </w:t>
      </w:r>
    </w:p>
    <w:p w14:paraId="69360BA9" w14:textId="77777777" w:rsidR="00A20EDA" w:rsidRDefault="00A20EDA" w:rsidP="008100CD">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p>
    <w:p w14:paraId="634767CE" w14:textId="1A4BB818" w:rsidR="000F7B2A" w:rsidRDefault="00C200E5" w:rsidP="005873C3">
      <w:pPr>
        <w:pStyle w:val="paragraph"/>
        <w:spacing w:before="0" w:beforeAutospacing="0" w:after="0" w:afterAutospacing="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 xml:space="preserve">Of course, this does not mean that </w:t>
      </w:r>
      <w:r w:rsidR="00550D9B">
        <w:rPr>
          <w:rStyle w:val="normaltextrun"/>
          <w:rFonts w:ascii="Calibri" w:eastAsiaTheme="majorEastAsia" w:hAnsi="Calibri" w:cs="Calibri"/>
          <w:color w:val="215E99" w:themeColor="text2" w:themeTint="BF"/>
          <w:sz w:val="22"/>
          <w:szCs w:val="22"/>
          <w:lang w:val="en-GB"/>
        </w:rPr>
        <w:t xml:space="preserve">spot market regulation </w:t>
      </w:r>
      <w:r w:rsidR="00ED2048">
        <w:rPr>
          <w:rStyle w:val="normaltextrun"/>
          <w:rFonts w:ascii="Calibri" w:eastAsiaTheme="majorEastAsia" w:hAnsi="Calibri" w:cs="Calibri"/>
          <w:color w:val="215E99" w:themeColor="text2" w:themeTint="BF"/>
          <w:sz w:val="22"/>
          <w:szCs w:val="22"/>
          <w:lang w:val="en-GB"/>
        </w:rPr>
        <w:t xml:space="preserve">could not learn and include best practices from the </w:t>
      </w:r>
      <w:r w:rsidR="00550D9B">
        <w:rPr>
          <w:rStyle w:val="normaltextrun"/>
          <w:rFonts w:ascii="Calibri" w:eastAsiaTheme="majorEastAsia" w:hAnsi="Calibri" w:cs="Calibri"/>
          <w:color w:val="215E99" w:themeColor="text2" w:themeTint="BF"/>
          <w:sz w:val="22"/>
          <w:szCs w:val="22"/>
          <w:lang w:val="en-GB"/>
        </w:rPr>
        <w:t xml:space="preserve">financial services </w:t>
      </w:r>
      <w:r w:rsidR="00ED2048">
        <w:rPr>
          <w:rStyle w:val="normaltextrun"/>
          <w:rFonts w:ascii="Calibri" w:eastAsiaTheme="majorEastAsia" w:hAnsi="Calibri" w:cs="Calibri"/>
          <w:color w:val="215E99" w:themeColor="text2" w:themeTint="BF"/>
          <w:sz w:val="22"/>
          <w:szCs w:val="22"/>
          <w:lang w:val="en-GB"/>
        </w:rPr>
        <w:t>framework. One area is for example the definition of an organised marketplace</w:t>
      </w:r>
      <w:r w:rsidR="00A20EDA">
        <w:rPr>
          <w:rStyle w:val="normaltextrun"/>
          <w:rFonts w:ascii="Calibri" w:eastAsiaTheme="majorEastAsia" w:hAnsi="Calibri" w:cs="Calibri"/>
          <w:color w:val="215E99" w:themeColor="text2" w:themeTint="BF"/>
          <w:sz w:val="22"/>
          <w:szCs w:val="22"/>
          <w:lang w:val="en-GB"/>
        </w:rPr>
        <w:t xml:space="preserve"> in REMIT</w:t>
      </w:r>
      <w:r w:rsidR="00ED2048">
        <w:rPr>
          <w:rStyle w:val="normaltextrun"/>
          <w:rFonts w:ascii="Calibri" w:eastAsiaTheme="majorEastAsia" w:hAnsi="Calibri" w:cs="Calibri"/>
          <w:color w:val="215E99" w:themeColor="text2" w:themeTint="BF"/>
          <w:sz w:val="22"/>
          <w:szCs w:val="22"/>
          <w:lang w:val="en-GB"/>
        </w:rPr>
        <w:t xml:space="preserve">, which could </w:t>
      </w:r>
      <w:r w:rsidR="00A20EDA">
        <w:rPr>
          <w:rStyle w:val="normaltextrun"/>
          <w:rFonts w:ascii="Calibri" w:eastAsiaTheme="majorEastAsia" w:hAnsi="Calibri" w:cs="Calibri"/>
          <w:color w:val="215E99" w:themeColor="text2" w:themeTint="BF"/>
          <w:sz w:val="22"/>
          <w:szCs w:val="22"/>
          <w:lang w:val="en-GB"/>
        </w:rPr>
        <w:t>take inspiration from ESMA’s opinion on the trading venu</w:t>
      </w:r>
      <w:r w:rsidR="00A20EDA" w:rsidRPr="00917531">
        <w:rPr>
          <w:rStyle w:val="normaltextrun"/>
          <w:rFonts w:ascii="Calibri" w:eastAsiaTheme="majorEastAsia" w:hAnsi="Calibri" w:cs="Calibri"/>
          <w:color w:val="215E99" w:themeColor="text2" w:themeTint="BF"/>
          <w:sz w:val="22"/>
          <w:szCs w:val="22"/>
          <w:lang w:val="en-GB"/>
        </w:rPr>
        <w:t>e perimeter</w:t>
      </w:r>
      <w:r w:rsidR="00321AF4" w:rsidRPr="00917531">
        <w:rPr>
          <w:rStyle w:val="normaltextrun"/>
          <w:rFonts w:ascii="Calibri" w:eastAsiaTheme="majorEastAsia" w:hAnsi="Calibri" w:cs="Calibri"/>
          <w:color w:val="215E99" w:themeColor="text2" w:themeTint="BF"/>
          <w:sz w:val="22"/>
          <w:szCs w:val="22"/>
          <w:lang w:val="en-GB"/>
        </w:rPr>
        <w:t>. Also</w:t>
      </w:r>
      <w:r w:rsidR="00917531">
        <w:rPr>
          <w:rStyle w:val="normaltextrun"/>
          <w:rFonts w:ascii="Calibri" w:eastAsiaTheme="majorEastAsia" w:hAnsi="Calibri" w:cs="Calibri"/>
          <w:color w:val="215E99" w:themeColor="text2" w:themeTint="BF"/>
          <w:sz w:val="22"/>
          <w:szCs w:val="22"/>
          <w:lang w:val="en-GB"/>
        </w:rPr>
        <w:t>,</w:t>
      </w:r>
      <w:r w:rsidR="00321AF4" w:rsidRPr="00917531">
        <w:rPr>
          <w:rStyle w:val="normaltextrun"/>
          <w:rFonts w:ascii="Calibri" w:eastAsiaTheme="majorEastAsia" w:hAnsi="Calibri" w:cs="Calibri"/>
          <w:color w:val="215E99" w:themeColor="text2" w:themeTint="BF"/>
          <w:sz w:val="22"/>
          <w:szCs w:val="22"/>
          <w:lang w:val="en-GB"/>
        </w:rPr>
        <w:t xml:space="preserve"> the </w:t>
      </w:r>
      <w:proofErr w:type="spellStart"/>
      <w:r w:rsidR="00321AF4" w:rsidRPr="00917531">
        <w:rPr>
          <w:rStyle w:val="normaltextrun"/>
          <w:rFonts w:ascii="Calibri" w:eastAsiaTheme="majorEastAsia" w:hAnsi="Calibri" w:cs="Calibri"/>
          <w:color w:val="215E99" w:themeColor="text2" w:themeTint="BF"/>
          <w:sz w:val="22"/>
          <w:szCs w:val="22"/>
          <w:lang w:val="en-GB"/>
        </w:rPr>
        <w:t>MiFIDII</w:t>
      </w:r>
      <w:proofErr w:type="spellEnd"/>
      <w:r w:rsidR="00321AF4" w:rsidRPr="00917531">
        <w:rPr>
          <w:rStyle w:val="normaltextrun"/>
          <w:rFonts w:ascii="Calibri" w:eastAsiaTheme="majorEastAsia" w:hAnsi="Calibri" w:cs="Calibri"/>
          <w:color w:val="215E99" w:themeColor="text2" w:themeTint="BF"/>
          <w:sz w:val="22"/>
          <w:szCs w:val="22"/>
          <w:lang w:val="en-GB"/>
        </w:rPr>
        <w:t xml:space="preserve"> definition of algo trading should be equally used for algo requirements in REMIT.</w:t>
      </w:r>
      <w:r w:rsidR="002B2808" w:rsidRPr="00917531">
        <w:rPr>
          <w:rStyle w:val="normaltextrun"/>
          <w:rFonts w:ascii="Calibri" w:eastAsiaTheme="majorEastAsia" w:hAnsi="Calibri" w:cs="Calibri"/>
          <w:color w:val="215E99" w:themeColor="text2" w:themeTint="BF"/>
          <w:sz w:val="22"/>
          <w:szCs w:val="22"/>
          <w:lang w:val="en-GB"/>
        </w:rPr>
        <w:t xml:space="preserve"> </w:t>
      </w:r>
      <w:r w:rsidR="00321AF4" w:rsidRPr="00917531">
        <w:rPr>
          <w:rStyle w:val="normaltextrun"/>
          <w:rFonts w:ascii="Calibri" w:eastAsiaTheme="majorEastAsia" w:hAnsi="Calibri" w:cs="Calibri"/>
          <w:color w:val="215E99" w:themeColor="text2" w:themeTint="BF"/>
          <w:sz w:val="22"/>
          <w:szCs w:val="22"/>
          <w:lang w:val="en-GB"/>
        </w:rPr>
        <w:t>Furthermore</w:t>
      </w:r>
      <w:r w:rsidR="00917531">
        <w:rPr>
          <w:rStyle w:val="normaltextrun"/>
          <w:rFonts w:ascii="Calibri" w:eastAsiaTheme="majorEastAsia" w:hAnsi="Calibri" w:cs="Calibri"/>
          <w:color w:val="215E99" w:themeColor="text2" w:themeTint="BF"/>
          <w:sz w:val="22"/>
          <w:szCs w:val="22"/>
          <w:lang w:val="en-GB"/>
        </w:rPr>
        <w:t>,</w:t>
      </w:r>
      <w:r w:rsidR="00321AF4" w:rsidRPr="00917531">
        <w:rPr>
          <w:rStyle w:val="normaltextrun"/>
          <w:rFonts w:ascii="Calibri" w:eastAsiaTheme="majorEastAsia" w:hAnsi="Calibri" w:cs="Calibri"/>
          <w:color w:val="215E99" w:themeColor="text2" w:themeTint="BF"/>
          <w:sz w:val="22"/>
          <w:szCs w:val="22"/>
          <w:lang w:val="en-GB"/>
        </w:rPr>
        <w:t xml:space="preserve"> spot markets may take inspiration from </w:t>
      </w:r>
      <w:r w:rsidR="002B2808" w:rsidRPr="00917531">
        <w:rPr>
          <w:rStyle w:val="normaltextrun"/>
          <w:rFonts w:ascii="Calibri" w:eastAsiaTheme="majorEastAsia" w:hAnsi="Calibri" w:cs="Calibri"/>
          <w:color w:val="215E99" w:themeColor="text2" w:themeTint="BF"/>
          <w:sz w:val="22"/>
          <w:szCs w:val="22"/>
          <w:lang w:val="en-GB"/>
        </w:rPr>
        <w:t xml:space="preserve">the robust arrangements of MiFID </w:t>
      </w:r>
      <w:r w:rsidR="00AA288D" w:rsidRPr="00917531">
        <w:rPr>
          <w:rStyle w:val="normaltextrun"/>
          <w:rFonts w:ascii="Calibri" w:eastAsiaTheme="majorEastAsia" w:hAnsi="Calibri" w:cs="Calibri"/>
          <w:color w:val="215E99" w:themeColor="text2" w:themeTint="BF"/>
          <w:sz w:val="22"/>
          <w:szCs w:val="22"/>
          <w:lang w:val="en-GB"/>
        </w:rPr>
        <w:t>trading venues</w:t>
      </w:r>
      <w:r w:rsidR="00A20EDA" w:rsidRPr="00917531">
        <w:rPr>
          <w:rStyle w:val="normaltextrun"/>
          <w:rFonts w:ascii="Calibri" w:eastAsiaTheme="majorEastAsia" w:hAnsi="Calibri" w:cs="Calibri"/>
          <w:color w:val="215E99" w:themeColor="text2" w:themeTint="BF"/>
          <w:sz w:val="22"/>
          <w:szCs w:val="22"/>
          <w:lang w:val="en-GB"/>
        </w:rPr>
        <w:t>.</w:t>
      </w:r>
      <w:r w:rsidR="00417CC6" w:rsidRPr="00917531">
        <w:rPr>
          <w:rStyle w:val="normaltextrun"/>
          <w:rFonts w:ascii="Calibri" w:eastAsiaTheme="majorEastAsia" w:hAnsi="Calibri" w:cs="Calibri"/>
          <w:color w:val="215E99" w:themeColor="text2" w:themeTint="BF"/>
          <w:sz w:val="22"/>
          <w:szCs w:val="22"/>
          <w:lang w:val="en-GB"/>
        </w:rPr>
        <w:t xml:space="preserve"> </w:t>
      </w:r>
      <w:r w:rsidR="00321AF4" w:rsidRPr="00917531">
        <w:rPr>
          <w:rStyle w:val="normaltextrun"/>
          <w:rFonts w:ascii="Calibri" w:eastAsiaTheme="majorEastAsia" w:hAnsi="Calibri" w:cs="Calibri"/>
          <w:color w:val="215E99" w:themeColor="text2" w:themeTint="BF"/>
          <w:sz w:val="22"/>
          <w:szCs w:val="22"/>
          <w:lang w:val="en-GB"/>
        </w:rPr>
        <w:t>Finally</w:t>
      </w:r>
      <w:r w:rsidR="00A20EDA" w:rsidRPr="00917531">
        <w:rPr>
          <w:rStyle w:val="normaltextrun"/>
          <w:rFonts w:ascii="Calibri" w:eastAsiaTheme="majorEastAsia" w:hAnsi="Calibri" w:cs="Calibri"/>
          <w:color w:val="215E99" w:themeColor="text2" w:themeTint="BF"/>
          <w:sz w:val="22"/>
          <w:szCs w:val="22"/>
          <w:lang w:val="en-GB"/>
        </w:rPr>
        <w:t xml:space="preserve">, </w:t>
      </w:r>
      <w:r w:rsidR="004A3084" w:rsidRPr="00917531">
        <w:rPr>
          <w:rStyle w:val="normaltextrun"/>
          <w:rFonts w:ascii="Calibri" w:eastAsiaTheme="majorEastAsia" w:hAnsi="Calibri" w:cs="Calibri"/>
          <w:color w:val="215E99" w:themeColor="text2" w:themeTint="BF"/>
          <w:sz w:val="22"/>
          <w:szCs w:val="22"/>
          <w:lang w:val="en-GB"/>
        </w:rPr>
        <w:t>given the</w:t>
      </w:r>
      <w:r w:rsidR="00FD0E3B" w:rsidRPr="00917531">
        <w:rPr>
          <w:rStyle w:val="normaltextrun"/>
          <w:rFonts w:ascii="Calibri" w:eastAsiaTheme="majorEastAsia" w:hAnsi="Calibri" w:cs="Calibri"/>
          <w:color w:val="215E99" w:themeColor="text2" w:themeTint="BF"/>
          <w:sz w:val="22"/>
          <w:szCs w:val="22"/>
          <w:lang w:val="en-GB"/>
        </w:rPr>
        <w:t xml:space="preserve"> natural</w:t>
      </w:r>
      <w:r w:rsidR="004A3084" w:rsidRPr="00917531">
        <w:rPr>
          <w:rStyle w:val="normaltextrun"/>
          <w:rFonts w:ascii="Calibri" w:eastAsiaTheme="majorEastAsia" w:hAnsi="Calibri" w:cs="Calibri"/>
          <w:color w:val="215E99" w:themeColor="text2" w:themeTint="BF"/>
          <w:sz w:val="22"/>
          <w:szCs w:val="22"/>
          <w:lang w:val="en-GB"/>
        </w:rPr>
        <w:t xml:space="preserve"> interconnections between energy spot and financial markets, we believe </w:t>
      </w:r>
      <w:r w:rsidR="001F1783" w:rsidRPr="00917531">
        <w:rPr>
          <w:rStyle w:val="normaltextrun"/>
          <w:rFonts w:ascii="Calibri" w:eastAsiaTheme="majorEastAsia" w:hAnsi="Calibri" w:cs="Calibri"/>
          <w:color w:val="215E99" w:themeColor="text2" w:themeTint="BF"/>
          <w:sz w:val="22"/>
          <w:szCs w:val="22"/>
          <w:lang w:val="en-GB"/>
        </w:rPr>
        <w:t>enhanced</w:t>
      </w:r>
      <w:r w:rsidR="004A3084" w:rsidRPr="000F7B2A">
        <w:rPr>
          <w:rStyle w:val="normaltextrun"/>
          <w:rFonts w:ascii="Calibri" w:eastAsiaTheme="majorEastAsia" w:hAnsi="Calibri" w:cs="Calibri"/>
          <w:color w:val="215E99" w:themeColor="text2" w:themeTint="BF"/>
          <w:sz w:val="22"/>
          <w:szCs w:val="22"/>
          <w:lang w:val="en-GB"/>
        </w:rPr>
        <w:t xml:space="preserve"> </w:t>
      </w:r>
      <w:r w:rsidR="00A4104A">
        <w:rPr>
          <w:rStyle w:val="normaltextrun"/>
          <w:rFonts w:ascii="Calibri" w:eastAsiaTheme="majorEastAsia" w:hAnsi="Calibri" w:cs="Calibri"/>
          <w:color w:val="215E99" w:themeColor="text2" w:themeTint="BF"/>
          <w:sz w:val="22"/>
          <w:szCs w:val="22"/>
          <w:lang w:val="en-GB"/>
        </w:rPr>
        <w:t xml:space="preserve">cooperation and </w:t>
      </w:r>
      <w:r w:rsidR="004A3084" w:rsidRPr="000F7B2A">
        <w:rPr>
          <w:rStyle w:val="normaltextrun"/>
          <w:rFonts w:ascii="Calibri" w:eastAsiaTheme="majorEastAsia" w:hAnsi="Calibri" w:cs="Calibri"/>
          <w:color w:val="215E99" w:themeColor="text2" w:themeTint="BF"/>
          <w:sz w:val="22"/>
          <w:szCs w:val="22"/>
          <w:lang w:val="en-GB"/>
        </w:rPr>
        <w:t xml:space="preserve">coordination between regulators </w:t>
      </w:r>
      <w:r w:rsidR="003E3B4A">
        <w:rPr>
          <w:rStyle w:val="normaltextrun"/>
          <w:rFonts w:ascii="Calibri" w:eastAsiaTheme="majorEastAsia" w:hAnsi="Calibri" w:cs="Calibri"/>
          <w:color w:val="215E99" w:themeColor="text2" w:themeTint="BF"/>
          <w:sz w:val="22"/>
          <w:szCs w:val="22"/>
          <w:lang w:val="en-GB"/>
        </w:rPr>
        <w:t xml:space="preserve">will </w:t>
      </w:r>
      <w:r w:rsidR="004A3084" w:rsidRPr="000F7B2A">
        <w:rPr>
          <w:rStyle w:val="normaltextrun"/>
          <w:rFonts w:ascii="Calibri" w:eastAsiaTheme="majorEastAsia" w:hAnsi="Calibri" w:cs="Calibri"/>
          <w:color w:val="215E99" w:themeColor="text2" w:themeTint="BF"/>
          <w:sz w:val="22"/>
          <w:szCs w:val="22"/>
          <w:lang w:val="en-GB"/>
        </w:rPr>
        <w:t>improve market transparency and supervision.</w:t>
      </w:r>
      <w:r w:rsidR="000F7B2A">
        <w:rPr>
          <w:rStyle w:val="normaltextrun"/>
          <w:rFonts w:ascii="Calibri" w:eastAsiaTheme="majorEastAsia" w:hAnsi="Calibri" w:cs="Calibri"/>
          <w:color w:val="215E99" w:themeColor="text2" w:themeTint="BF"/>
          <w:sz w:val="22"/>
          <w:szCs w:val="22"/>
          <w:lang w:val="en-GB"/>
        </w:rPr>
        <w:t xml:space="preserve"> W</w:t>
      </w:r>
      <w:r w:rsidR="0023127D" w:rsidRPr="00D86124">
        <w:rPr>
          <w:rStyle w:val="normaltextrun"/>
          <w:rFonts w:ascii="Calibri" w:eastAsiaTheme="majorEastAsia" w:hAnsi="Calibri" w:cs="Calibri"/>
          <w:color w:val="215E99" w:themeColor="text2" w:themeTint="BF"/>
          <w:sz w:val="22"/>
          <w:szCs w:val="22"/>
          <w:lang w:val="en-GB"/>
        </w:rPr>
        <w:t xml:space="preserve">e would encourage policymakers to have in place more efficient systems </w:t>
      </w:r>
      <w:r w:rsidR="007C7958">
        <w:rPr>
          <w:rStyle w:val="normaltextrun"/>
          <w:rFonts w:ascii="Calibri" w:eastAsiaTheme="majorEastAsia" w:hAnsi="Calibri" w:cs="Calibri"/>
          <w:color w:val="215E99" w:themeColor="text2" w:themeTint="BF"/>
          <w:sz w:val="22"/>
          <w:szCs w:val="22"/>
          <w:lang w:val="en-GB"/>
        </w:rPr>
        <w:t>for</w:t>
      </w:r>
      <w:r w:rsidR="003C75BD">
        <w:rPr>
          <w:rStyle w:val="normaltextrun"/>
          <w:rFonts w:ascii="Calibri" w:eastAsiaTheme="majorEastAsia" w:hAnsi="Calibri" w:cs="Calibri"/>
          <w:color w:val="215E99" w:themeColor="text2" w:themeTint="BF"/>
          <w:sz w:val="22"/>
          <w:szCs w:val="22"/>
          <w:lang w:val="en-GB"/>
        </w:rPr>
        <w:t xml:space="preserve"> </w:t>
      </w:r>
      <w:r w:rsidR="0023127D" w:rsidRPr="00D86124">
        <w:rPr>
          <w:rStyle w:val="normaltextrun"/>
          <w:rFonts w:ascii="Calibri" w:eastAsiaTheme="majorEastAsia" w:hAnsi="Calibri" w:cs="Calibri"/>
          <w:color w:val="215E99" w:themeColor="text2" w:themeTint="BF"/>
          <w:sz w:val="22"/>
          <w:szCs w:val="22"/>
          <w:lang w:val="en-GB"/>
        </w:rPr>
        <w:t xml:space="preserve">data exchange </w:t>
      </w:r>
      <w:r w:rsidR="00D2091E">
        <w:rPr>
          <w:rStyle w:val="normaltextrun"/>
          <w:rFonts w:ascii="Calibri" w:eastAsiaTheme="majorEastAsia" w:hAnsi="Calibri" w:cs="Calibri"/>
          <w:color w:val="215E99" w:themeColor="text2" w:themeTint="BF"/>
          <w:sz w:val="22"/>
          <w:szCs w:val="22"/>
          <w:lang w:val="en-GB"/>
        </w:rPr>
        <w:t xml:space="preserve">between European and national authorities that receive </w:t>
      </w:r>
      <w:r w:rsidR="0023127D" w:rsidRPr="00D86124">
        <w:rPr>
          <w:rStyle w:val="normaltextrun"/>
          <w:rFonts w:ascii="Calibri" w:eastAsiaTheme="majorEastAsia" w:hAnsi="Calibri" w:cs="Calibri"/>
          <w:color w:val="215E99" w:themeColor="text2" w:themeTint="BF"/>
          <w:sz w:val="22"/>
          <w:szCs w:val="22"/>
          <w:lang w:val="en-GB"/>
        </w:rPr>
        <w:t>so there is greater visibility o</w:t>
      </w:r>
      <w:r w:rsidR="003C75BD">
        <w:rPr>
          <w:rStyle w:val="normaltextrun"/>
          <w:rFonts w:ascii="Calibri" w:eastAsiaTheme="majorEastAsia" w:hAnsi="Calibri" w:cs="Calibri"/>
          <w:color w:val="215E99" w:themeColor="text2" w:themeTint="BF"/>
          <w:sz w:val="22"/>
          <w:szCs w:val="22"/>
          <w:lang w:val="en-GB"/>
        </w:rPr>
        <w:t>n</w:t>
      </w:r>
      <w:r w:rsidR="0023127D" w:rsidRPr="00D86124">
        <w:rPr>
          <w:rStyle w:val="normaltextrun"/>
          <w:rFonts w:ascii="Calibri" w:eastAsiaTheme="majorEastAsia" w:hAnsi="Calibri" w:cs="Calibri"/>
          <w:color w:val="215E99" w:themeColor="text2" w:themeTint="BF"/>
          <w:sz w:val="22"/>
          <w:szCs w:val="22"/>
          <w:lang w:val="en-GB"/>
        </w:rPr>
        <w:t xml:space="preserve"> the markets’ dynamics</w:t>
      </w:r>
      <w:r w:rsidR="00CE517E">
        <w:rPr>
          <w:rStyle w:val="normaltextrun"/>
          <w:rFonts w:ascii="Calibri" w:eastAsiaTheme="majorEastAsia" w:hAnsi="Calibri" w:cs="Calibri"/>
          <w:color w:val="215E99" w:themeColor="text2" w:themeTint="BF"/>
          <w:sz w:val="22"/>
          <w:szCs w:val="22"/>
          <w:lang w:val="en-GB"/>
        </w:rPr>
        <w:t xml:space="preserve"> needed for supervision as well as further </w:t>
      </w:r>
      <w:r w:rsidR="00917531">
        <w:rPr>
          <w:rStyle w:val="normaltextrun"/>
          <w:rFonts w:ascii="Calibri" w:eastAsiaTheme="majorEastAsia" w:hAnsi="Calibri" w:cs="Calibri"/>
          <w:color w:val="215E99" w:themeColor="text2" w:themeTint="BF"/>
          <w:sz w:val="22"/>
          <w:szCs w:val="22"/>
          <w:lang w:val="en-GB"/>
        </w:rPr>
        <w:t>policymaking</w:t>
      </w:r>
      <w:r w:rsidR="0023127D" w:rsidRPr="00D86124">
        <w:rPr>
          <w:rStyle w:val="normaltextrun"/>
          <w:rFonts w:ascii="Calibri" w:eastAsiaTheme="majorEastAsia" w:hAnsi="Calibri" w:cs="Calibri"/>
          <w:color w:val="215E99" w:themeColor="text2" w:themeTint="BF"/>
          <w:sz w:val="22"/>
          <w:szCs w:val="22"/>
          <w:lang w:val="en-GB"/>
        </w:rPr>
        <w:t xml:space="preserve">. </w:t>
      </w:r>
    </w:p>
    <w:p w14:paraId="5F934F69" w14:textId="6732ED4B" w:rsidR="000F7B2A" w:rsidRPr="000F7B2A" w:rsidRDefault="00D40837" w:rsidP="00C10813">
      <w:pPr>
        <w:pStyle w:val="paragraph"/>
        <w:spacing w:after="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One actual event of “</w:t>
      </w:r>
      <w:r w:rsidR="004A3084" w:rsidRPr="000F7B2A">
        <w:rPr>
          <w:rStyle w:val="normaltextrun"/>
          <w:rFonts w:ascii="Calibri" w:eastAsiaTheme="majorEastAsia" w:hAnsi="Calibri" w:cs="Calibri"/>
          <w:color w:val="215E99" w:themeColor="text2" w:themeTint="BF"/>
          <w:sz w:val="22"/>
          <w:szCs w:val="22"/>
          <w:lang w:val="en-GB"/>
        </w:rPr>
        <w:t>contagion</w:t>
      </w:r>
      <w:r>
        <w:rPr>
          <w:rStyle w:val="normaltextrun"/>
          <w:rFonts w:ascii="Calibri" w:eastAsiaTheme="majorEastAsia" w:hAnsi="Calibri" w:cs="Calibri"/>
          <w:color w:val="215E99" w:themeColor="text2" w:themeTint="BF"/>
          <w:sz w:val="22"/>
          <w:szCs w:val="22"/>
          <w:lang w:val="en-GB"/>
        </w:rPr>
        <w:t>”</w:t>
      </w:r>
      <w:r w:rsidR="004A3084" w:rsidRPr="000F7B2A">
        <w:rPr>
          <w:rStyle w:val="normaltextrun"/>
          <w:rFonts w:ascii="Calibri" w:eastAsiaTheme="majorEastAsia" w:hAnsi="Calibri" w:cs="Calibri"/>
          <w:color w:val="215E99" w:themeColor="text2" w:themeTint="BF"/>
          <w:sz w:val="22"/>
          <w:szCs w:val="22"/>
          <w:lang w:val="en-GB"/>
        </w:rPr>
        <w:t xml:space="preserve"> we have identified is the implementation of certain legislative measures adopted</w:t>
      </w:r>
      <w:r w:rsidR="00E45B66" w:rsidRPr="000F7B2A">
        <w:rPr>
          <w:rStyle w:val="normaltextrun"/>
          <w:rFonts w:ascii="Calibri" w:eastAsiaTheme="majorEastAsia" w:hAnsi="Calibri" w:cs="Calibri"/>
          <w:color w:val="215E99" w:themeColor="text2" w:themeTint="BF"/>
          <w:sz w:val="22"/>
          <w:szCs w:val="22"/>
          <w:lang w:val="en-GB"/>
        </w:rPr>
        <w:t xml:space="preserve"> during </w:t>
      </w:r>
      <w:r w:rsidR="004A3084" w:rsidRPr="000F7B2A">
        <w:rPr>
          <w:rStyle w:val="normaltextrun"/>
          <w:rFonts w:ascii="Calibri" w:eastAsiaTheme="majorEastAsia" w:hAnsi="Calibri" w:cs="Calibri"/>
          <w:color w:val="215E99" w:themeColor="text2" w:themeTint="BF"/>
          <w:sz w:val="22"/>
          <w:szCs w:val="22"/>
          <w:lang w:val="en-GB"/>
        </w:rPr>
        <w:t>market stress situation</w:t>
      </w:r>
      <w:r w:rsidR="00AC5175" w:rsidRPr="000F7B2A">
        <w:rPr>
          <w:rStyle w:val="normaltextrun"/>
          <w:rFonts w:ascii="Calibri" w:eastAsiaTheme="majorEastAsia" w:hAnsi="Calibri" w:cs="Calibri"/>
          <w:color w:val="215E99" w:themeColor="text2" w:themeTint="BF"/>
          <w:sz w:val="22"/>
          <w:szCs w:val="22"/>
          <w:lang w:val="en-GB"/>
        </w:rPr>
        <w:t>s</w:t>
      </w:r>
      <w:r w:rsidR="004A3084" w:rsidRPr="000F7B2A">
        <w:rPr>
          <w:rStyle w:val="normaltextrun"/>
          <w:rFonts w:ascii="Calibri" w:eastAsiaTheme="majorEastAsia" w:hAnsi="Calibri" w:cs="Calibri"/>
          <w:color w:val="215E99" w:themeColor="text2" w:themeTint="BF"/>
          <w:sz w:val="22"/>
          <w:szCs w:val="22"/>
          <w:lang w:val="en-GB"/>
        </w:rPr>
        <w:t xml:space="preserve"> </w:t>
      </w:r>
      <w:r w:rsidR="00E45B66" w:rsidRPr="000F7B2A">
        <w:rPr>
          <w:rStyle w:val="normaltextrun"/>
          <w:rFonts w:ascii="Calibri" w:eastAsiaTheme="majorEastAsia" w:hAnsi="Calibri" w:cs="Calibri"/>
          <w:color w:val="215E99" w:themeColor="text2" w:themeTint="BF"/>
          <w:sz w:val="22"/>
          <w:szCs w:val="22"/>
          <w:lang w:val="en-GB"/>
        </w:rPr>
        <w:t xml:space="preserve">that </w:t>
      </w:r>
      <w:r w:rsidR="004A3084" w:rsidRPr="000F7B2A">
        <w:rPr>
          <w:rStyle w:val="normaltextrun"/>
          <w:rFonts w:ascii="Calibri" w:eastAsiaTheme="majorEastAsia" w:hAnsi="Calibri" w:cs="Calibri"/>
          <w:color w:val="215E99" w:themeColor="text2" w:themeTint="BF"/>
          <w:sz w:val="22"/>
          <w:szCs w:val="22"/>
          <w:lang w:val="en-GB"/>
        </w:rPr>
        <w:t>have</w:t>
      </w:r>
      <w:r w:rsidR="00E45B66" w:rsidRPr="000F7B2A">
        <w:rPr>
          <w:rStyle w:val="normaltextrun"/>
          <w:rFonts w:ascii="Calibri" w:eastAsiaTheme="majorEastAsia" w:hAnsi="Calibri" w:cs="Calibri"/>
          <w:color w:val="215E99" w:themeColor="text2" w:themeTint="BF"/>
          <w:sz w:val="22"/>
          <w:szCs w:val="22"/>
          <w:lang w:val="en-GB"/>
        </w:rPr>
        <w:t xml:space="preserve"> </w:t>
      </w:r>
      <w:r w:rsidR="004A3084" w:rsidRPr="000F7B2A">
        <w:rPr>
          <w:rStyle w:val="normaltextrun"/>
          <w:rFonts w:ascii="Calibri" w:eastAsiaTheme="majorEastAsia" w:hAnsi="Calibri" w:cs="Calibri"/>
          <w:color w:val="215E99" w:themeColor="text2" w:themeTint="BF"/>
          <w:sz w:val="22"/>
          <w:szCs w:val="22"/>
          <w:lang w:val="en-GB"/>
        </w:rPr>
        <w:t>negatively impacted the functioning of financial markets. The gas storage filling targets adopted in 2022 under the Gas Storage Regulation Gas Storage Regulation is a clear example of th</w:t>
      </w:r>
      <w:r w:rsidR="00E45B66" w:rsidRPr="000F7B2A">
        <w:rPr>
          <w:rStyle w:val="normaltextrun"/>
          <w:rFonts w:ascii="Calibri" w:eastAsiaTheme="majorEastAsia" w:hAnsi="Calibri" w:cs="Calibri"/>
          <w:color w:val="215E99" w:themeColor="text2" w:themeTint="BF"/>
          <w:sz w:val="22"/>
          <w:szCs w:val="22"/>
          <w:lang w:val="en-GB"/>
        </w:rPr>
        <w:t>is type of risks</w:t>
      </w:r>
      <w:r w:rsidR="004A3084" w:rsidRPr="000F7B2A">
        <w:rPr>
          <w:rStyle w:val="normaltextrun"/>
          <w:rFonts w:ascii="Calibri" w:eastAsiaTheme="majorEastAsia" w:hAnsi="Calibri" w:cs="Calibri"/>
          <w:color w:val="215E99" w:themeColor="text2" w:themeTint="BF"/>
          <w:sz w:val="22"/>
          <w:szCs w:val="22"/>
          <w:lang w:val="en-GB"/>
        </w:rPr>
        <w:t xml:space="preserve">. In question 41 we </w:t>
      </w:r>
      <w:r w:rsidR="00E45B66" w:rsidRPr="000F7B2A">
        <w:rPr>
          <w:rStyle w:val="normaltextrun"/>
          <w:rFonts w:ascii="Calibri" w:eastAsiaTheme="majorEastAsia" w:hAnsi="Calibri" w:cs="Calibri"/>
          <w:color w:val="215E99" w:themeColor="text2" w:themeTint="BF"/>
          <w:sz w:val="22"/>
          <w:szCs w:val="22"/>
          <w:lang w:val="en-GB"/>
        </w:rPr>
        <w:t xml:space="preserve">address this issue in more detail. </w:t>
      </w:r>
      <w:r w:rsidR="004A3084">
        <w:rPr>
          <w:rStyle w:val="normaltextrun"/>
          <w:rFonts w:ascii="Calibri" w:eastAsiaTheme="majorEastAsia" w:hAnsi="Calibri" w:cs="Calibri"/>
          <w:color w:val="92D050"/>
          <w:sz w:val="22"/>
          <w:szCs w:val="22"/>
          <w:lang w:val="en-GB"/>
        </w:rPr>
        <w:t xml:space="preserve"> </w:t>
      </w:r>
    </w:p>
    <w:p w14:paraId="374FD882" w14:textId="0D31D577" w:rsidR="008924F5" w:rsidRPr="001B1305" w:rsidRDefault="002D63E5" w:rsidP="008924F5">
      <w:pPr>
        <w:pStyle w:val="paragraph"/>
        <w:spacing w:before="0" w:beforeAutospacing="0" w:after="0" w:afterAutospacing="0"/>
        <w:jc w:val="both"/>
        <w:textAlignment w:val="baseline"/>
        <w:rPr>
          <w:rStyle w:val="normaltextrun"/>
          <w:rFonts w:ascii="Calibri" w:eastAsiaTheme="majorEastAsia" w:hAnsi="Calibri" w:cs="Calibri"/>
          <w:lang w:val="en-GB"/>
        </w:rPr>
      </w:pPr>
      <w:r w:rsidRPr="001B1305">
        <w:rPr>
          <w:rStyle w:val="normaltextrun"/>
          <w:rFonts w:ascii="Calibri" w:eastAsiaTheme="majorEastAsia" w:hAnsi="Calibri" w:cs="Calibri"/>
          <w:b/>
          <w:bCs/>
          <w:i/>
          <w:iCs/>
          <w:lang w:val="en-GB"/>
        </w:rPr>
        <w:lastRenderedPageBreak/>
        <w:t xml:space="preserve">Question 41. </w:t>
      </w:r>
      <w:r w:rsidRPr="001B1305">
        <w:rPr>
          <w:rStyle w:val="normaltextrun"/>
          <w:rFonts w:ascii="Calibri" w:eastAsiaTheme="majorEastAsia" w:hAnsi="Calibri" w:cs="Calibri"/>
          <w:i/>
          <w:iCs/>
          <w:lang w:val="en-GB"/>
        </w:rPr>
        <w:t>How can it be ensured that the functioning of underlying spot energy markets and off-exchange energy trading activity does not lead to the transmission of risks to financial markets?</w:t>
      </w:r>
    </w:p>
    <w:p w14:paraId="0CAB60C9" w14:textId="67A56EDA" w:rsidR="00A23A6E" w:rsidRDefault="008924F5" w:rsidP="00AC5175">
      <w:pPr>
        <w:pStyle w:val="paragraph"/>
        <w:spacing w:after="0"/>
        <w:jc w:val="both"/>
        <w:textAlignment w:val="baseline"/>
        <w:rPr>
          <w:rStyle w:val="normaltextrun"/>
          <w:rFonts w:ascii="Calibri" w:eastAsiaTheme="majorEastAsia" w:hAnsi="Calibri" w:cs="Calibri"/>
          <w:color w:val="215E99" w:themeColor="text2" w:themeTint="BF"/>
          <w:sz w:val="22"/>
          <w:szCs w:val="22"/>
          <w:lang w:val="en-GB"/>
        </w:rPr>
      </w:pPr>
      <w:r w:rsidRPr="000F7B2A">
        <w:rPr>
          <w:rStyle w:val="normaltextrun"/>
          <w:rFonts w:ascii="Calibri" w:eastAsiaTheme="majorEastAsia" w:hAnsi="Calibri" w:cs="Calibri"/>
          <w:color w:val="215E99" w:themeColor="text2" w:themeTint="BF"/>
          <w:sz w:val="22"/>
          <w:szCs w:val="22"/>
          <w:lang w:val="en-GB"/>
        </w:rPr>
        <w:t xml:space="preserve">As mentioned in </w:t>
      </w:r>
      <w:r w:rsidR="00A23A6E">
        <w:rPr>
          <w:rStyle w:val="normaltextrun"/>
          <w:rFonts w:ascii="Calibri" w:eastAsiaTheme="majorEastAsia" w:hAnsi="Calibri" w:cs="Calibri"/>
          <w:color w:val="215E99" w:themeColor="text2" w:themeTint="BF"/>
          <w:sz w:val="22"/>
          <w:szCs w:val="22"/>
          <w:lang w:val="en-GB"/>
        </w:rPr>
        <w:t xml:space="preserve">our responses above, </w:t>
      </w:r>
      <w:r w:rsidR="00A23A6E" w:rsidRPr="00A23A6E">
        <w:rPr>
          <w:rStyle w:val="normaltextrun"/>
          <w:rFonts w:ascii="Calibri" w:eastAsiaTheme="majorEastAsia" w:hAnsi="Calibri" w:cs="Calibri"/>
          <w:color w:val="215E99" w:themeColor="text2" w:themeTint="BF"/>
          <w:sz w:val="22"/>
          <w:szCs w:val="22"/>
          <w:lang w:val="en-GB"/>
        </w:rPr>
        <w:t>spot markets are fundamentally distinct from financial markets</w:t>
      </w:r>
      <w:r w:rsidR="00321AF4">
        <w:rPr>
          <w:rStyle w:val="normaltextrun"/>
          <w:rFonts w:ascii="Calibri" w:eastAsiaTheme="majorEastAsia" w:hAnsi="Calibri" w:cs="Calibri"/>
          <w:color w:val="215E99" w:themeColor="text2" w:themeTint="BF"/>
          <w:sz w:val="22"/>
          <w:szCs w:val="22"/>
          <w:lang w:val="en-GB"/>
        </w:rPr>
        <w:t>.</w:t>
      </w:r>
      <w:r w:rsidR="00A23A6E" w:rsidRPr="00A23A6E">
        <w:rPr>
          <w:rStyle w:val="normaltextrun"/>
          <w:rFonts w:ascii="Calibri" w:eastAsiaTheme="majorEastAsia" w:hAnsi="Calibri" w:cs="Calibri"/>
          <w:color w:val="215E99" w:themeColor="text2" w:themeTint="BF"/>
          <w:sz w:val="22"/>
          <w:szCs w:val="22"/>
          <w:lang w:val="en-GB"/>
        </w:rPr>
        <w:t xml:space="preserve"> </w:t>
      </w:r>
      <w:r w:rsidR="007E763C">
        <w:rPr>
          <w:rStyle w:val="normaltextrun"/>
          <w:rFonts w:ascii="Calibri" w:eastAsiaTheme="majorEastAsia" w:hAnsi="Calibri" w:cs="Calibri"/>
          <w:color w:val="215E99" w:themeColor="text2" w:themeTint="BF"/>
          <w:sz w:val="22"/>
          <w:szCs w:val="22"/>
          <w:lang w:val="en-GB"/>
        </w:rPr>
        <w:t>R</w:t>
      </w:r>
      <w:r w:rsidR="00A23A6E" w:rsidRPr="00A23A6E">
        <w:rPr>
          <w:rStyle w:val="normaltextrun"/>
          <w:rFonts w:ascii="Calibri" w:eastAsiaTheme="majorEastAsia" w:hAnsi="Calibri" w:cs="Calibri"/>
          <w:color w:val="215E99" w:themeColor="text2" w:themeTint="BF"/>
          <w:sz w:val="22"/>
          <w:szCs w:val="22"/>
          <w:lang w:val="en-GB"/>
        </w:rPr>
        <w:t xml:space="preserve">egulatory </w:t>
      </w:r>
      <w:r w:rsidR="00A23A6E">
        <w:rPr>
          <w:rStyle w:val="normaltextrun"/>
          <w:rFonts w:ascii="Calibri" w:eastAsiaTheme="majorEastAsia" w:hAnsi="Calibri" w:cs="Calibri"/>
          <w:color w:val="215E99" w:themeColor="text2" w:themeTint="BF"/>
          <w:sz w:val="22"/>
          <w:szCs w:val="22"/>
          <w:lang w:val="en-GB"/>
        </w:rPr>
        <w:t xml:space="preserve">actions </w:t>
      </w:r>
      <w:r w:rsidR="00A23A6E" w:rsidRPr="00A23A6E">
        <w:rPr>
          <w:rStyle w:val="normaltextrun"/>
          <w:rFonts w:ascii="Calibri" w:eastAsiaTheme="majorEastAsia" w:hAnsi="Calibri" w:cs="Calibri"/>
          <w:color w:val="215E99" w:themeColor="text2" w:themeTint="BF"/>
          <w:sz w:val="22"/>
          <w:szCs w:val="22"/>
          <w:lang w:val="en-GB"/>
        </w:rPr>
        <w:t>should focus on supporting commodity market participants in the spot markets to effectively use financial markets for risk management, hedging, and investment in the energy transition</w:t>
      </w:r>
      <w:r w:rsidR="007E763C">
        <w:rPr>
          <w:rStyle w:val="normaltextrun"/>
          <w:rFonts w:ascii="Calibri" w:eastAsiaTheme="majorEastAsia" w:hAnsi="Calibri" w:cs="Calibri"/>
          <w:color w:val="215E99" w:themeColor="text2" w:themeTint="BF"/>
          <w:sz w:val="22"/>
          <w:szCs w:val="22"/>
          <w:lang w:val="en-GB"/>
        </w:rPr>
        <w:t>.</w:t>
      </w:r>
    </w:p>
    <w:p w14:paraId="369E3E2F" w14:textId="142E8C88" w:rsidR="00626004" w:rsidRDefault="00917531" w:rsidP="00626004">
      <w:pPr>
        <w:pStyle w:val="paragraph"/>
        <w:spacing w:after="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t>T</w:t>
      </w:r>
      <w:r w:rsidR="00373287" w:rsidRPr="00D86124">
        <w:rPr>
          <w:rStyle w:val="normaltextrun"/>
          <w:rFonts w:ascii="Calibri" w:eastAsiaTheme="majorEastAsia" w:hAnsi="Calibri" w:cs="Calibri"/>
          <w:color w:val="215E99" w:themeColor="text2" w:themeTint="BF"/>
          <w:sz w:val="22"/>
          <w:szCs w:val="22"/>
          <w:lang w:val="en-GB"/>
        </w:rPr>
        <w:t>he implementation of certain legislative measures adopted in the context of the 2022 energy crisis have negatively impacted the functioning of spot markets and have transmitted risks to</w:t>
      </w:r>
      <w:r w:rsidR="00BD4A38">
        <w:rPr>
          <w:rStyle w:val="normaltextrun"/>
          <w:rFonts w:ascii="Calibri" w:eastAsiaTheme="majorEastAsia" w:hAnsi="Calibri" w:cs="Calibri"/>
          <w:color w:val="215E99" w:themeColor="text2" w:themeTint="BF"/>
          <w:sz w:val="22"/>
          <w:szCs w:val="22"/>
          <w:lang w:val="en-GB"/>
        </w:rPr>
        <w:t xml:space="preserve"> </w:t>
      </w:r>
      <w:r w:rsidR="00373287" w:rsidRPr="00D86124">
        <w:rPr>
          <w:rStyle w:val="normaltextrun"/>
          <w:rFonts w:ascii="Calibri" w:eastAsiaTheme="majorEastAsia" w:hAnsi="Calibri" w:cs="Calibri"/>
          <w:color w:val="215E99" w:themeColor="text2" w:themeTint="BF"/>
          <w:sz w:val="22"/>
          <w:szCs w:val="22"/>
          <w:lang w:val="en-GB"/>
        </w:rPr>
        <w:t xml:space="preserve">financial </w:t>
      </w:r>
      <w:r w:rsidR="00765418">
        <w:rPr>
          <w:rStyle w:val="normaltextrun"/>
          <w:rFonts w:ascii="Calibri" w:eastAsiaTheme="majorEastAsia" w:hAnsi="Calibri" w:cs="Calibri"/>
          <w:color w:val="215E99" w:themeColor="text2" w:themeTint="BF"/>
          <w:sz w:val="22"/>
          <w:szCs w:val="22"/>
          <w:lang w:val="en-GB"/>
        </w:rPr>
        <w:t>markets</w:t>
      </w:r>
      <w:r w:rsidR="00373287" w:rsidRPr="00D86124">
        <w:rPr>
          <w:rStyle w:val="normaltextrun"/>
          <w:rFonts w:ascii="Calibri" w:eastAsiaTheme="majorEastAsia" w:hAnsi="Calibri" w:cs="Calibri"/>
          <w:color w:val="215E99" w:themeColor="text2" w:themeTint="BF"/>
          <w:sz w:val="22"/>
          <w:szCs w:val="22"/>
          <w:lang w:val="en-GB"/>
        </w:rPr>
        <w:t xml:space="preserve">. An example of this is the agreed gas storage filling targets under the Gas Storage Regulation in summer of 2022, which caused great uncertainty in </w:t>
      </w:r>
      <w:r w:rsidR="006F49BD">
        <w:rPr>
          <w:rStyle w:val="normaltextrun"/>
          <w:rFonts w:ascii="Calibri" w:eastAsiaTheme="majorEastAsia" w:hAnsi="Calibri" w:cs="Calibri"/>
          <w:color w:val="215E99" w:themeColor="text2" w:themeTint="BF"/>
          <w:sz w:val="22"/>
          <w:szCs w:val="22"/>
          <w:lang w:val="en-GB"/>
        </w:rPr>
        <w:t>European energy</w:t>
      </w:r>
      <w:r w:rsidR="00373287" w:rsidRPr="00D86124">
        <w:rPr>
          <w:rStyle w:val="normaltextrun"/>
          <w:rFonts w:ascii="Calibri" w:eastAsiaTheme="majorEastAsia" w:hAnsi="Calibri" w:cs="Calibri"/>
          <w:color w:val="215E99" w:themeColor="text2" w:themeTint="BF"/>
          <w:sz w:val="22"/>
          <w:szCs w:val="22"/>
          <w:lang w:val="en-GB"/>
        </w:rPr>
        <w:t xml:space="preserve"> markets </w:t>
      </w:r>
      <w:r w:rsidR="00005080">
        <w:rPr>
          <w:rStyle w:val="normaltextrun"/>
          <w:rFonts w:ascii="Calibri" w:eastAsiaTheme="majorEastAsia" w:hAnsi="Calibri" w:cs="Calibri"/>
          <w:color w:val="215E99" w:themeColor="text2" w:themeTint="BF"/>
          <w:sz w:val="22"/>
          <w:szCs w:val="22"/>
          <w:lang w:val="en-GB"/>
        </w:rPr>
        <w:t xml:space="preserve">due to </w:t>
      </w:r>
      <w:r w:rsidR="00321AF4">
        <w:rPr>
          <w:rStyle w:val="normaltextrun"/>
          <w:rFonts w:ascii="Calibri" w:eastAsiaTheme="majorEastAsia" w:hAnsi="Calibri" w:cs="Calibri"/>
          <w:color w:val="215E99" w:themeColor="text2" w:themeTint="BF"/>
          <w:sz w:val="22"/>
          <w:szCs w:val="22"/>
          <w:lang w:val="en-GB"/>
        </w:rPr>
        <w:t>unconventional</w:t>
      </w:r>
      <w:r w:rsidR="00005080">
        <w:rPr>
          <w:rStyle w:val="normaltextrun"/>
          <w:rFonts w:ascii="Calibri" w:eastAsiaTheme="majorEastAsia" w:hAnsi="Calibri" w:cs="Calibri"/>
          <w:color w:val="215E99" w:themeColor="text2" w:themeTint="BF"/>
          <w:sz w:val="22"/>
          <w:szCs w:val="22"/>
          <w:lang w:val="en-GB"/>
        </w:rPr>
        <w:t xml:space="preserve"> </w:t>
      </w:r>
      <w:r w:rsidR="00321AF4">
        <w:rPr>
          <w:rStyle w:val="normaltextrun"/>
          <w:rFonts w:ascii="Calibri" w:eastAsiaTheme="majorEastAsia" w:hAnsi="Calibri" w:cs="Calibri"/>
          <w:color w:val="215E99" w:themeColor="text2" w:themeTint="BF"/>
          <w:sz w:val="22"/>
          <w:szCs w:val="22"/>
          <w:lang w:val="en-GB"/>
        </w:rPr>
        <w:t>trading</w:t>
      </w:r>
      <w:r w:rsidR="00005080">
        <w:rPr>
          <w:rStyle w:val="normaltextrun"/>
          <w:rFonts w:ascii="Calibri" w:eastAsiaTheme="majorEastAsia" w:hAnsi="Calibri" w:cs="Calibri"/>
          <w:color w:val="215E99" w:themeColor="text2" w:themeTint="BF"/>
          <w:sz w:val="22"/>
          <w:szCs w:val="22"/>
          <w:lang w:val="en-GB"/>
        </w:rPr>
        <w:t xml:space="preserve"> </w:t>
      </w:r>
      <w:r w:rsidR="00321AF4" w:rsidRPr="00917531">
        <w:rPr>
          <w:rStyle w:val="normaltextrun"/>
          <w:rFonts w:ascii="Calibri" w:eastAsiaTheme="majorEastAsia" w:hAnsi="Calibri" w:cs="Calibri"/>
          <w:color w:val="215E99" w:themeColor="text2" w:themeTint="BF"/>
          <w:sz w:val="22"/>
          <w:szCs w:val="22"/>
          <w:lang w:val="en-GB"/>
        </w:rPr>
        <w:t>strategies</w:t>
      </w:r>
      <w:r w:rsidR="00005080" w:rsidRPr="00917531">
        <w:rPr>
          <w:rStyle w:val="normaltextrun"/>
          <w:rFonts w:ascii="Calibri" w:eastAsiaTheme="majorEastAsia" w:hAnsi="Calibri" w:cs="Calibri"/>
          <w:color w:val="215E99" w:themeColor="text2" w:themeTint="BF"/>
          <w:sz w:val="22"/>
          <w:szCs w:val="22"/>
          <w:lang w:val="en-GB"/>
        </w:rPr>
        <w:t xml:space="preserve"> </w:t>
      </w:r>
      <w:r w:rsidR="00AA31C4" w:rsidRPr="00917531">
        <w:rPr>
          <w:rStyle w:val="normaltextrun"/>
          <w:rFonts w:ascii="Calibri" w:eastAsiaTheme="majorEastAsia" w:hAnsi="Calibri" w:cs="Calibri"/>
          <w:color w:val="215E99" w:themeColor="text2" w:themeTint="BF"/>
          <w:sz w:val="22"/>
          <w:szCs w:val="22"/>
          <w:lang w:val="en-GB"/>
        </w:rPr>
        <w:t>applied in spot markets</w:t>
      </w:r>
      <w:r w:rsidR="00AA31C4">
        <w:rPr>
          <w:rStyle w:val="normaltextrun"/>
          <w:rFonts w:ascii="Calibri" w:eastAsiaTheme="majorEastAsia" w:hAnsi="Calibri" w:cs="Calibri"/>
          <w:color w:val="215E99" w:themeColor="text2" w:themeTint="BF"/>
          <w:sz w:val="22"/>
          <w:szCs w:val="22"/>
          <w:lang w:val="en-GB"/>
        </w:rPr>
        <w:t xml:space="preserve"> </w:t>
      </w:r>
      <w:r w:rsidR="00005080">
        <w:rPr>
          <w:rStyle w:val="normaltextrun"/>
          <w:rFonts w:ascii="Calibri" w:eastAsiaTheme="majorEastAsia" w:hAnsi="Calibri" w:cs="Calibri"/>
          <w:color w:val="215E99" w:themeColor="text2" w:themeTint="BF"/>
          <w:sz w:val="22"/>
          <w:szCs w:val="22"/>
          <w:lang w:val="en-GB"/>
        </w:rPr>
        <w:t xml:space="preserve">and a lack of transparency </w:t>
      </w:r>
      <w:r w:rsidR="00373287" w:rsidRPr="00D86124">
        <w:rPr>
          <w:rStyle w:val="normaltextrun"/>
          <w:rFonts w:ascii="Calibri" w:eastAsiaTheme="majorEastAsia" w:hAnsi="Calibri" w:cs="Calibri"/>
          <w:color w:val="215E99" w:themeColor="text2" w:themeTint="BF"/>
          <w:sz w:val="22"/>
          <w:szCs w:val="22"/>
          <w:lang w:val="en-GB"/>
        </w:rPr>
        <w:t xml:space="preserve">on when and how the stored gas would be released. Market participants in the financial markets, who were expecting downward pressure on the forward price curve, had to experience serious episodes of stress and change their trading behaviour.  </w:t>
      </w:r>
      <w:r w:rsidR="00646E3D">
        <w:rPr>
          <w:rStyle w:val="normaltextrun"/>
          <w:rFonts w:ascii="Calibri" w:eastAsiaTheme="majorEastAsia" w:hAnsi="Calibri" w:cs="Calibri"/>
          <w:color w:val="215E99" w:themeColor="text2" w:themeTint="BF"/>
          <w:sz w:val="22"/>
          <w:szCs w:val="22"/>
          <w:lang w:val="en-GB"/>
        </w:rPr>
        <w:t xml:space="preserve">Europex </w:t>
      </w:r>
      <w:r w:rsidR="002C4001">
        <w:rPr>
          <w:rStyle w:val="normaltextrun"/>
          <w:rFonts w:ascii="Calibri" w:eastAsiaTheme="majorEastAsia" w:hAnsi="Calibri" w:cs="Calibri"/>
          <w:color w:val="215E99" w:themeColor="text2" w:themeTint="BF"/>
          <w:sz w:val="22"/>
          <w:szCs w:val="22"/>
          <w:lang w:val="en-GB"/>
        </w:rPr>
        <w:t xml:space="preserve">therefore strongly </w:t>
      </w:r>
      <w:r w:rsidR="00373287" w:rsidRPr="00D86124">
        <w:rPr>
          <w:rStyle w:val="normaltextrun"/>
          <w:rFonts w:ascii="Calibri" w:eastAsiaTheme="majorEastAsia" w:hAnsi="Calibri" w:cs="Calibri"/>
          <w:color w:val="215E99" w:themeColor="text2" w:themeTint="BF"/>
          <w:sz w:val="22"/>
          <w:szCs w:val="22"/>
          <w:lang w:val="en-GB"/>
        </w:rPr>
        <w:t>recommend</w:t>
      </w:r>
      <w:r w:rsidR="002C4001">
        <w:rPr>
          <w:rStyle w:val="normaltextrun"/>
          <w:rFonts w:ascii="Calibri" w:eastAsiaTheme="majorEastAsia" w:hAnsi="Calibri" w:cs="Calibri"/>
          <w:color w:val="215E99" w:themeColor="text2" w:themeTint="BF"/>
          <w:sz w:val="22"/>
          <w:szCs w:val="22"/>
          <w:lang w:val="en-GB"/>
        </w:rPr>
        <w:t>s</w:t>
      </w:r>
      <w:r w:rsidR="00373287" w:rsidRPr="00D86124">
        <w:rPr>
          <w:rStyle w:val="normaltextrun"/>
          <w:rFonts w:ascii="Calibri" w:eastAsiaTheme="majorEastAsia" w:hAnsi="Calibri" w:cs="Calibri"/>
          <w:color w:val="215E99" w:themeColor="text2" w:themeTint="BF"/>
          <w:sz w:val="22"/>
          <w:szCs w:val="22"/>
          <w:lang w:val="en-GB"/>
        </w:rPr>
        <w:t xml:space="preserve"> authorities to develop principles for market participants pursuing storage filling obligations</w:t>
      </w:r>
      <w:r w:rsidR="00D86124">
        <w:rPr>
          <w:rStyle w:val="normaltextrun"/>
          <w:rFonts w:ascii="Calibri" w:eastAsiaTheme="majorEastAsia" w:hAnsi="Calibri" w:cs="Calibri"/>
          <w:color w:val="215E99" w:themeColor="text2" w:themeTint="BF"/>
          <w:sz w:val="22"/>
          <w:szCs w:val="22"/>
          <w:lang w:val="en-GB"/>
        </w:rPr>
        <w:t xml:space="preserve"> </w:t>
      </w:r>
      <w:proofErr w:type="gramStart"/>
      <w:r w:rsidR="00373287" w:rsidRPr="00D86124">
        <w:rPr>
          <w:rStyle w:val="normaltextrun"/>
          <w:rFonts w:ascii="Calibri" w:eastAsiaTheme="majorEastAsia" w:hAnsi="Calibri" w:cs="Calibri"/>
          <w:color w:val="215E99" w:themeColor="text2" w:themeTint="BF"/>
          <w:sz w:val="22"/>
          <w:szCs w:val="22"/>
          <w:lang w:val="en-GB"/>
        </w:rPr>
        <w:t>in order to</w:t>
      </w:r>
      <w:proofErr w:type="gramEnd"/>
      <w:r w:rsidR="00373287" w:rsidRPr="00D86124">
        <w:rPr>
          <w:rStyle w:val="normaltextrun"/>
          <w:rFonts w:ascii="Calibri" w:eastAsiaTheme="majorEastAsia" w:hAnsi="Calibri" w:cs="Calibri"/>
          <w:color w:val="215E99" w:themeColor="text2" w:themeTint="BF"/>
          <w:sz w:val="22"/>
          <w:szCs w:val="22"/>
          <w:lang w:val="en-GB"/>
        </w:rPr>
        <w:t xml:space="preserve"> prevent distortions</w:t>
      </w:r>
      <w:r w:rsidR="00321AF4" w:rsidRPr="00321AF4">
        <w:rPr>
          <w:rStyle w:val="normaltextrun"/>
          <w:rFonts w:ascii="Calibri" w:eastAsiaTheme="majorEastAsia" w:hAnsi="Calibri" w:cs="Calibri"/>
          <w:color w:val="215E99" w:themeColor="text2" w:themeTint="BF"/>
          <w:sz w:val="22"/>
          <w:szCs w:val="22"/>
          <w:lang w:val="en-GB"/>
        </w:rPr>
        <w:t xml:space="preserve"> </w:t>
      </w:r>
      <w:r w:rsidR="00321AF4">
        <w:rPr>
          <w:rStyle w:val="normaltextrun"/>
          <w:rFonts w:ascii="Calibri" w:eastAsiaTheme="majorEastAsia" w:hAnsi="Calibri" w:cs="Calibri"/>
          <w:color w:val="215E99" w:themeColor="text2" w:themeTint="BF"/>
          <w:sz w:val="22"/>
          <w:szCs w:val="22"/>
          <w:lang w:val="en-GB"/>
        </w:rPr>
        <w:t xml:space="preserve">stemming from regulatory intervention in the </w:t>
      </w:r>
      <w:r w:rsidR="00321AF4" w:rsidRPr="00D86124">
        <w:rPr>
          <w:rStyle w:val="normaltextrun"/>
          <w:rFonts w:ascii="Calibri" w:eastAsiaTheme="majorEastAsia" w:hAnsi="Calibri" w:cs="Calibri"/>
          <w:color w:val="215E99" w:themeColor="text2" w:themeTint="BF"/>
          <w:sz w:val="22"/>
          <w:szCs w:val="22"/>
          <w:lang w:val="en-GB"/>
        </w:rPr>
        <w:t>spot market</w:t>
      </w:r>
      <w:r w:rsidR="00373287" w:rsidRPr="00D86124">
        <w:rPr>
          <w:rStyle w:val="normaltextrun"/>
          <w:rFonts w:ascii="Calibri" w:eastAsiaTheme="majorEastAsia" w:hAnsi="Calibri" w:cs="Calibri"/>
          <w:color w:val="215E99" w:themeColor="text2" w:themeTint="BF"/>
          <w:sz w:val="22"/>
          <w:szCs w:val="22"/>
          <w:lang w:val="en-GB"/>
        </w:rPr>
        <w:t xml:space="preserve">. </w:t>
      </w:r>
    </w:p>
    <w:p w14:paraId="1E74AC41" w14:textId="180B3B4C"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normaltextrun"/>
          <w:rFonts w:ascii="Calibri" w:eastAsiaTheme="majorEastAsia" w:hAnsi="Calibri" w:cs="Calibri"/>
          <w:b/>
          <w:bCs/>
          <w:sz w:val="22"/>
          <w:szCs w:val="22"/>
          <w:lang w:val="en-GB"/>
        </w:rPr>
        <w:t xml:space="preserve">4.2 Other NBFIs and markets </w:t>
      </w:r>
    </w:p>
    <w:p w14:paraId="7D010EE1" w14:textId="77777777"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eop"/>
          <w:rFonts w:ascii="Calibri" w:eastAsiaTheme="majorEastAsia" w:hAnsi="Calibri" w:cs="Calibri"/>
          <w:sz w:val="22"/>
          <w:szCs w:val="22"/>
          <w:lang w:val="en-GB"/>
        </w:rPr>
        <w:t> </w:t>
      </w:r>
    </w:p>
    <w:p w14:paraId="75F78976" w14:textId="21E44DDA" w:rsidR="00847355" w:rsidRPr="009F5EC6" w:rsidRDefault="002D63E5" w:rsidP="002D63E5">
      <w:pPr>
        <w:pStyle w:val="paragraph"/>
        <w:spacing w:before="0" w:beforeAutospacing="0" w:after="0" w:afterAutospacing="0"/>
        <w:jc w:val="both"/>
        <w:textAlignment w:val="baseline"/>
        <w:rPr>
          <w:rStyle w:val="eop"/>
          <w:rFonts w:ascii="Calibri" w:eastAsiaTheme="majorEastAsia" w:hAnsi="Calibri" w:cs="Calibri"/>
          <w:lang w:val="en-GB"/>
        </w:rPr>
      </w:pPr>
      <w:r w:rsidRPr="001B1305">
        <w:rPr>
          <w:rStyle w:val="normaltextrun"/>
          <w:rFonts w:ascii="Calibri" w:eastAsiaTheme="majorEastAsia" w:hAnsi="Calibri" w:cs="Calibri"/>
          <w:b/>
          <w:bCs/>
          <w:i/>
          <w:iCs/>
          <w:lang w:val="en-GB"/>
        </w:rPr>
        <w:t>Question 51.</w:t>
      </w:r>
      <w:r w:rsidRPr="001B1305">
        <w:rPr>
          <w:rStyle w:val="normaltextrun"/>
          <w:rFonts w:ascii="Calibri" w:eastAsiaTheme="majorEastAsia" w:hAnsi="Calibri" w:cs="Calibri"/>
          <w:i/>
          <w:iCs/>
          <w:lang w:val="en-GB"/>
        </w:rPr>
        <w:t xml:space="preserve"> What role do </w:t>
      </w:r>
      <w:proofErr w:type="gramStart"/>
      <w:r w:rsidRPr="001B1305">
        <w:rPr>
          <w:rStyle w:val="normaltextrun"/>
          <w:rFonts w:ascii="Calibri" w:eastAsiaTheme="majorEastAsia" w:hAnsi="Calibri" w:cs="Calibri"/>
          <w:i/>
          <w:iCs/>
          <w:lang w:val="en-GB"/>
        </w:rPr>
        <w:t>concentrated</w:t>
      </w:r>
      <w:proofErr w:type="gramEnd"/>
      <w:r w:rsidRPr="001B1305">
        <w:rPr>
          <w:rStyle w:val="normaltextrun"/>
          <w:rFonts w:ascii="Calibri" w:eastAsiaTheme="majorEastAsia" w:hAnsi="Calibri" w:cs="Calibri"/>
          <w:i/>
          <w:iCs/>
          <w:lang w:val="en-GB"/>
        </w:rPr>
        <w:t xml:space="preserve"> intraday positions have in triggering high volatility and heightening risks of liquidity dry-ups? Please justify your response and suggest how the regulatory framework and the functioning of these markets could be further improved?</w:t>
      </w:r>
      <w:r w:rsidRPr="001B1305">
        <w:rPr>
          <w:rStyle w:val="eop"/>
          <w:rFonts w:ascii="Calibri" w:eastAsiaTheme="majorEastAsia" w:hAnsi="Calibri" w:cs="Calibri"/>
          <w:lang w:val="en-GB"/>
        </w:rPr>
        <w:t> </w:t>
      </w:r>
    </w:p>
    <w:p w14:paraId="584E4EE3" w14:textId="47615024" w:rsidR="00D04E19" w:rsidRDefault="00736E9D" w:rsidP="00DF7C82">
      <w:pPr>
        <w:pStyle w:val="paragraph"/>
        <w:spacing w:after="0"/>
        <w:jc w:val="both"/>
        <w:textAlignment w:val="baseline"/>
        <w:rPr>
          <w:rStyle w:val="eop"/>
          <w:rFonts w:ascii="Calibri" w:eastAsiaTheme="majorEastAsia" w:hAnsi="Calibri" w:cs="Calibri"/>
          <w:color w:val="215E99" w:themeColor="text2" w:themeTint="BF"/>
          <w:sz w:val="22"/>
          <w:szCs w:val="22"/>
          <w:lang w:val="en-GB"/>
        </w:rPr>
      </w:pPr>
      <w:r w:rsidRPr="00BD4A38">
        <w:rPr>
          <w:rStyle w:val="eop"/>
          <w:rFonts w:ascii="Calibri" w:eastAsiaTheme="majorEastAsia" w:hAnsi="Calibri" w:cs="Calibri"/>
          <w:color w:val="215E99" w:themeColor="text2" w:themeTint="BF"/>
          <w:sz w:val="22"/>
          <w:szCs w:val="22"/>
          <w:lang w:val="en-GB"/>
        </w:rPr>
        <w:t xml:space="preserve">Fundamental gaps exist in the completeness of the data used by European supervisors for analysis of globally traded financial markets in Europe, resulting in important aspects of such analysis to be incorrect. Specifically, data on market concentration in EU gas derivatives markets taken from an </w:t>
      </w:r>
      <w:hyperlink r:id="rId11" w:history="1">
        <w:r w:rsidRPr="00D04E19">
          <w:rPr>
            <w:rStyle w:val="Hyperlink"/>
            <w:rFonts w:ascii="Calibri" w:eastAsiaTheme="majorEastAsia" w:hAnsi="Calibri" w:cs="Calibri"/>
            <w:sz w:val="22"/>
            <w:szCs w:val="22"/>
            <w:lang w:val="en-GB"/>
          </w:rPr>
          <w:t>ESMA report</w:t>
        </w:r>
      </w:hyperlink>
      <w:r w:rsidRPr="00BD4A38">
        <w:rPr>
          <w:rStyle w:val="eop"/>
          <w:rFonts w:ascii="Calibri" w:eastAsiaTheme="majorEastAsia" w:hAnsi="Calibri" w:cs="Calibri"/>
          <w:color w:val="215E99" w:themeColor="text2" w:themeTint="BF"/>
          <w:sz w:val="22"/>
          <w:szCs w:val="22"/>
          <w:lang w:val="en-GB"/>
        </w:rPr>
        <w:t xml:space="preserve"> is referenced in the Draghi report on ‘the future of European competitiveness’.</w:t>
      </w:r>
      <w:r w:rsidR="00D04E19">
        <w:rPr>
          <w:rStyle w:val="eop"/>
          <w:rFonts w:ascii="Calibri" w:eastAsiaTheme="majorEastAsia" w:hAnsi="Calibri" w:cs="Calibri"/>
          <w:color w:val="215E99" w:themeColor="text2" w:themeTint="BF"/>
          <w:sz w:val="22"/>
          <w:szCs w:val="22"/>
          <w:lang w:val="en-GB"/>
        </w:rPr>
        <w:t xml:space="preserve"> </w:t>
      </w:r>
    </w:p>
    <w:p w14:paraId="52A917D5" w14:textId="2D4665FD" w:rsidR="00736E9D" w:rsidRPr="00BD4A38" w:rsidRDefault="00736E9D" w:rsidP="002D63E5">
      <w:pPr>
        <w:pStyle w:val="paragraph"/>
        <w:spacing w:before="0" w:beforeAutospacing="0" w:after="0" w:afterAutospacing="0"/>
        <w:jc w:val="both"/>
        <w:textAlignment w:val="baseline"/>
        <w:rPr>
          <w:rStyle w:val="eop"/>
          <w:rFonts w:ascii="Calibri" w:eastAsiaTheme="majorEastAsia" w:hAnsi="Calibri" w:cs="Calibri"/>
          <w:color w:val="215E99" w:themeColor="text2" w:themeTint="BF"/>
          <w:sz w:val="22"/>
          <w:szCs w:val="22"/>
          <w:lang w:val="en-GB"/>
        </w:rPr>
      </w:pPr>
      <w:r w:rsidRPr="00BD4A38">
        <w:rPr>
          <w:rStyle w:val="eop"/>
          <w:rFonts w:ascii="Calibri" w:eastAsiaTheme="majorEastAsia" w:hAnsi="Calibri" w:cs="Calibri"/>
          <w:color w:val="215E99" w:themeColor="text2" w:themeTint="BF"/>
          <w:sz w:val="22"/>
          <w:szCs w:val="22"/>
          <w:lang w:val="en-GB"/>
        </w:rPr>
        <w:t>Europex members have assessed the data used for the ESMA analysis and conclude that it is incomplete. Because the analysis is based on incomplete data</w:t>
      </w:r>
      <w:r w:rsidR="006734E7">
        <w:rPr>
          <w:rStyle w:val="FootnoteReference"/>
          <w:rFonts w:ascii="Calibri" w:eastAsiaTheme="majorEastAsia" w:hAnsi="Calibri" w:cs="Calibri"/>
          <w:color w:val="215E99" w:themeColor="text2" w:themeTint="BF"/>
          <w:sz w:val="22"/>
          <w:szCs w:val="22"/>
          <w:lang w:val="en-GB"/>
        </w:rPr>
        <w:footnoteReference w:id="2"/>
      </w:r>
      <w:r w:rsidRPr="00BD4A38">
        <w:rPr>
          <w:rStyle w:val="eop"/>
          <w:rFonts w:ascii="Calibri" w:eastAsiaTheme="majorEastAsia" w:hAnsi="Calibri" w:cs="Calibri"/>
          <w:color w:val="215E99" w:themeColor="text2" w:themeTint="BF"/>
          <w:sz w:val="22"/>
          <w:szCs w:val="22"/>
          <w:lang w:val="en-GB"/>
        </w:rPr>
        <w:t xml:space="preserve">, important aspects of the analysis and related policy recommendations are unfounded. Analysis by exchanges shows that the ESMA data does not include a significant proportion of non-EU liquidity. When that non-EU liquidity is added, </w:t>
      </w:r>
      <w:proofErr w:type="gramStart"/>
      <w:r w:rsidRPr="00BD4A38">
        <w:rPr>
          <w:rStyle w:val="eop"/>
          <w:rFonts w:ascii="Calibri" w:eastAsiaTheme="majorEastAsia" w:hAnsi="Calibri" w:cs="Calibri"/>
          <w:color w:val="215E99" w:themeColor="text2" w:themeTint="BF"/>
          <w:sz w:val="22"/>
          <w:szCs w:val="22"/>
          <w:lang w:val="en-GB"/>
        </w:rPr>
        <w:t>it is clear that the</w:t>
      </w:r>
      <w:proofErr w:type="gramEnd"/>
      <w:r w:rsidRPr="00BD4A38">
        <w:rPr>
          <w:rStyle w:val="eop"/>
          <w:rFonts w:ascii="Calibri" w:eastAsiaTheme="majorEastAsia" w:hAnsi="Calibri" w:cs="Calibri"/>
          <w:color w:val="215E99" w:themeColor="text2" w:themeTint="BF"/>
          <w:sz w:val="22"/>
          <w:szCs w:val="22"/>
          <w:lang w:val="en-GB"/>
        </w:rPr>
        <w:t xml:space="preserve"> markets concerned are competitive, diverse and not at all concentrated.</w:t>
      </w:r>
    </w:p>
    <w:p w14:paraId="24DFA29F" w14:textId="77777777" w:rsidR="00736E9D" w:rsidRPr="00BD4A38" w:rsidRDefault="00736E9D" w:rsidP="002D63E5">
      <w:pPr>
        <w:pStyle w:val="paragraph"/>
        <w:spacing w:before="0" w:beforeAutospacing="0" w:after="0" w:afterAutospacing="0"/>
        <w:jc w:val="both"/>
        <w:textAlignment w:val="baseline"/>
        <w:rPr>
          <w:rStyle w:val="eop"/>
          <w:rFonts w:ascii="Calibri" w:eastAsiaTheme="majorEastAsia" w:hAnsi="Calibri" w:cs="Calibri"/>
          <w:color w:val="215E99" w:themeColor="text2" w:themeTint="BF"/>
          <w:sz w:val="22"/>
          <w:szCs w:val="22"/>
          <w:lang w:val="en-GB"/>
        </w:rPr>
      </w:pPr>
    </w:p>
    <w:p w14:paraId="670F86B5" w14:textId="77777777" w:rsidR="002D63E5" w:rsidRPr="001B1305" w:rsidRDefault="002D63E5" w:rsidP="002D63E5">
      <w:pPr>
        <w:pStyle w:val="paragraph"/>
        <w:spacing w:before="0" w:beforeAutospacing="0" w:after="0" w:afterAutospacing="0"/>
        <w:jc w:val="both"/>
        <w:textAlignment w:val="baseline"/>
        <w:rPr>
          <w:rStyle w:val="normaltextrun"/>
          <w:rFonts w:ascii="Calibri" w:eastAsiaTheme="majorEastAsia" w:hAnsi="Calibri" w:cs="Calibri"/>
          <w:i/>
          <w:iCs/>
          <w:lang w:val="en-GB"/>
        </w:rPr>
      </w:pPr>
      <w:r w:rsidRPr="001B1305">
        <w:rPr>
          <w:rStyle w:val="normaltextrun"/>
          <w:rFonts w:ascii="Calibri" w:eastAsiaTheme="majorEastAsia" w:hAnsi="Calibri" w:cs="Calibri"/>
          <w:b/>
          <w:bCs/>
          <w:i/>
          <w:iCs/>
          <w:lang w:val="en-GB"/>
        </w:rPr>
        <w:t xml:space="preserve">Question 66. </w:t>
      </w:r>
      <w:r w:rsidRPr="001B1305">
        <w:rPr>
          <w:rStyle w:val="normaltextrun"/>
          <w:rFonts w:ascii="Calibri" w:eastAsiaTheme="majorEastAsia" w:hAnsi="Calibri" w:cs="Calibri"/>
          <w:i/>
          <w:iCs/>
          <w:lang w:val="en-GB"/>
        </w:rPr>
        <w:t>What are the benefits and costs of gradually giving ESAs greater intervention powers to be triggered by systemic events, such as the possibility to introduce EU-wide trade halts or direct power to collect data from regulated entities? </w:t>
      </w:r>
    </w:p>
    <w:p w14:paraId="11431453" w14:textId="243EC63F" w:rsidR="00F839B3" w:rsidRDefault="00F839B3" w:rsidP="00685D52">
      <w:pPr>
        <w:pStyle w:val="paragraph"/>
        <w:spacing w:after="0"/>
        <w:jc w:val="both"/>
        <w:textAlignment w:val="baseline"/>
        <w:rPr>
          <w:rStyle w:val="normaltextrun"/>
          <w:rFonts w:ascii="Calibri" w:eastAsiaTheme="majorEastAsia" w:hAnsi="Calibri" w:cs="Calibri"/>
          <w:color w:val="215E99" w:themeColor="text2" w:themeTint="BF"/>
          <w:sz w:val="22"/>
          <w:szCs w:val="22"/>
          <w:lang w:val="en-GB"/>
        </w:rPr>
      </w:pPr>
      <w:r>
        <w:rPr>
          <w:rStyle w:val="normaltextrun"/>
          <w:rFonts w:ascii="Calibri" w:eastAsiaTheme="majorEastAsia" w:hAnsi="Calibri" w:cs="Calibri"/>
          <w:color w:val="215E99" w:themeColor="text2" w:themeTint="BF"/>
          <w:sz w:val="22"/>
          <w:szCs w:val="22"/>
          <w:lang w:val="en-GB"/>
        </w:rPr>
        <w:lastRenderedPageBreak/>
        <w:t xml:space="preserve">Europex </w:t>
      </w:r>
      <w:r w:rsidR="00A20662">
        <w:rPr>
          <w:rStyle w:val="normaltextrun"/>
          <w:rFonts w:ascii="Calibri" w:eastAsiaTheme="majorEastAsia" w:hAnsi="Calibri" w:cs="Calibri"/>
          <w:color w:val="215E99" w:themeColor="text2" w:themeTint="BF"/>
          <w:sz w:val="22"/>
          <w:szCs w:val="22"/>
          <w:lang w:val="en-GB"/>
        </w:rPr>
        <w:t>warns against</w:t>
      </w:r>
      <w:r w:rsidRPr="00F839B3">
        <w:rPr>
          <w:rStyle w:val="normaltextrun"/>
          <w:rFonts w:ascii="Calibri" w:eastAsiaTheme="majorEastAsia" w:hAnsi="Calibri" w:cs="Calibri"/>
          <w:color w:val="215E99" w:themeColor="text2" w:themeTint="BF"/>
          <w:sz w:val="22"/>
          <w:szCs w:val="22"/>
          <w:lang w:val="en-GB"/>
        </w:rPr>
        <w:t xml:space="preserve"> providing ESAs greater intervention powers</w:t>
      </w:r>
      <w:r w:rsidR="00A20662">
        <w:rPr>
          <w:rStyle w:val="normaltextrun"/>
          <w:rFonts w:ascii="Calibri" w:eastAsiaTheme="majorEastAsia" w:hAnsi="Calibri" w:cs="Calibri"/>
          <w:color w:val="215E99" w:themeColor="text2" w:themeTint="BF"/>
          <w:sz w:val="22"/>
          <w:szCs w:val="22"/>
          <w:lang w:val="en-GB"/>
        </w:rPr>
        <w:t xml:space="preserve"> that risk distorting the price formation process</w:t>
      </w:r>
      <w:r w:rsidRPr="00F839B3">
        <w:rPr>
          <w:rStyle w:val="normaltextrun"/>
          <w:rFonts w:ascii="Calibri" w:eastAsiaTheme="majorEastAsia" w:hAnsi="Calibri" w:cs="Calibri"/>
          <w:color w:val="215E99" w:themeColor="text2" w:themeTint="BF"/>
          <w:sz w:val="22"/>
          <w:szCs w:val="22"/>
          <w:lang w:val="en-GB"/>
        </w:rPr>
        <w:t xml:space="preserve">. Given the dynamic nature of the commodity markets, broad or premature interventions can disrupt market functioning. For example, </w:t>
      </w:r>
      <w:r w:rsidR="00FE2B1C">
        <w:rPr>
          <w:rStyle w:val="normaltextrun"/>
          <w:rFonts w:ascii="Calibri" w:eastAsiaTheme="majorEastAsia" w:hAnsi="Calibri" w:cs="Calibri"/>
          <w:color w:val="215E99" w:themeColor="text2" w:themeTint="BF"/>
          <w:sz w:val="22"/>
          <w:szCs w:val="22"/>
          <w:lang w:val="en-GB"/>
        </w:rPr>
        <w:t xml:space="preserve">if </w:t>
      </w:r>
      <w:r w:rsidRPr="00F839B3">
        <w:rPr>
          <w:rStyle w:val="normaltextrun"/>
          <w:rFonts w:ascii="Calibri" w:eastAsiaTheme="majorEastAsia" w:hAnsi="Calibri" w:cs="Calibri"/>
          <w:color w:val="215E99" w:themeColor="text2" w:themeTint="BF"/>
          <w:sz w:val="22"/>
          <w:szCs w:val="22"/>
          <w:lang w:val="en-GB"/>
        </w:rPr>
        <w:t xml:space="preserve">trade halts delay </w:t>
      </w:r>
      <w:r w:rsidR="00DD0E4C">
        <w:rPr>
          <w:rStyle w:val="normaltextrun"/>
          <w:rFonts w:ascii="Calibri" w:eastAsiaTheme="majorEastAsia" w:hAnsi="Calibri" w:cs="Calibri"/>
          <w:color w:val="215E99" w:themeColor="text2" w:themeTint="BF"/>
          <w:sz w:val="22"/>
          <w:szCs w:val="22"/>
          <w:lang w:val="en-GB"/>
        </w:rPr>
        <w:t xml:space="preserve">the </w:t>
      </w:r>
      <w:r w:rsidRPr="00F839B3">
        <w:rPr>
          <w:rStyle w:val="normaltextrun"/>
          <w:rFonts w:ascii="Calibri" w:eastAsiaTheme="majorEastAsia" w:hAnsi="Calibri" w:cs="Calibri"/>
          <w:color w:val="215E99" w:themeColor="text2" w:themeTint="BF"/>
          <w:sz w:val="22"/>
          <w:szCs w:val="22"/>
          <w:lang w:val="en-GB"/>
        </w:rPr>
        <w:t>price discovery</w:t>
      </w:r>
      <w:r w:rsidR="00DD0E4C">
        <w:rPr>
          <w:rStyle w:val="normaltextrun"/>
          <w:rFonts w:ascii="Calibri" w:eastAsiaTheme="majorEastAsia" w:hAnsi="Calibri" w:cs="Calibri"/>
          <w:color w:val="215E99" w:themeColor="text2" w:themeTint="BF"/>
          <w:sz w:val="22"/>
          <w:szCs w:val="22"/>
          <w:lang w:val="en-GB"/>
        </w:rPr>
        <w:t xml:space="preserve"> process</w:t>
      </w:r>
      <w:r w:rsidR="00FE2B1C">
        <w:rPr>
          <w:rStyle w:val="normaltextrun"/>
          <w:rFonts w:ascii="Calibri" w:eastAsiaTheme="majorEastAsia" w:hAnsi="Calibri" w:cs="Calibri"/>
          <w:color w:val="215E99" w:themeColor="text2" w:themeTint="BF"/>
          <w:sz w:val="22"/>
          <w:szCs w:val="22"/>
          <w:lang w:val="en-GB"/>
        </w:rPr>
        <w:t xml:space="preserve"> for too long, market participants withdraw their orders </w:t>
      </w:r>
      <w:r w:rsidRPr="00F839B3">
        <w:rPr>
          <w:rStyle w:val="normaltextrun"/>
          <w:rFonts w:ascii="Calibri" w:eastAsiaTheme="majorEastAsia" w:hAnsi="Calibri" w:cs="Calibri"/>
          <w:color w:val="215E99" w:themeColor="text2" w:themeTint="BF"/>
          <w:sz w:val="22"/>
          <w:szCs w:val="22"/>
          <w:lang w:val="en-GB"/>
        </w:rPr>
        <w:t xml:space="preserve">leading to greater volatility when trading resumes. </w:t>
      </w:r>
      <w:r w:rsidR="002871C1">
        <w:rPr>
          <w:rStyle w:val="normaltextrun"/>
          <w:rFonts w:ascii="Calibri" w:eastAsiaTheme="majorEastAsia" w:hAnsi="Calibri" w:cs="Calibri"/>
          <w:color w:val="215E99" w:themeColor="text2" w:themeTint="BF"/>
          <w:sz w:val="22"/>
          <w:szCs w:val="22"/>
          <w:lang w:val="en-GB"/>
        </w:rPr>
        <w:t xml:space="preserve">The suggested </w:t>
      </w:r>
      <w:r w:rsidRPr="00F839B3">
        <w:rPr>
          <w:rStyle w:val="normaltextrun"/>
          <w:rFonts w:ascii="Calibri" w:eastAsiaTheme="majorEastAsia" w:hAnsi="Calibri" w:cs="Calibri"/>
          <w:color w:val="215E99" w:themeColor="text2" w:themeTint="BF"/>
          <w:sz w:val="22"/>
          <w:szCs w:val="22"/>
          <w:lang w:val="en-GB"/>
        </w:rPr>
        <w:t xml:space="preserve">interventions may erode trust in </w:t>
      </w:r>
      <w:r w:rsidR="002871C1">
        <w:rPr>
          <w:rStyle w:val="normaltextrun"/>
          <w:rFonts w:ascii="Calibri" w:eastAsiaTheme="majorEastAsia" w:hAnsi="Calibri" w:cs="Calibri"/>
          <w:color w:val="215E99" w:themeColor="text2" w:themeTint="BF"/>
          <w:sz w:val="22"/>
          <w:szCs w:val="22"/>
          <w:lang w:val="en-GB"/>
        </w:rPr>
        <w:t xml:space="preserve">European </w:t>
      </w:r>
      <w:r w:rsidRPr="00F839B3">
        <w:rPr>
          <w:rStyle w:val="normaltextrun"/>
          <w:rFonts w:ascii="Calibri" w:eastAsiaTheme="majorEastAsia" w:hAnsi="Calibri" w:cs="Calibri"/>
          <w:color w:val="215E99" w:themeColor="text2" w:themeTint="BF"/>
          <w:sz w:val="22"/>
          <w:szCs w:val="22"/>
          <w:lang w:val="en-GB"/>
        </w:rPr>
        <w:t>market mechanisms</w:t>
      </w:r>
      <w:r w:rsidR="002871C1">
        <w:rPr>
          <w:rStyle w:val="normaltextrun"/>
          <w:rFonts w:ascii="Calibri" w:eastAsiaTheme="majorEastAsia" w:hAnsi="Calibri" w:cs="Calibri"/>
          <w:color w:val="215E99" w:themeColor="text2" w:themeTint="BF"/>
          <w:sz w:val="22"/>
          <w:szCs w:val="22"/>
          <w:lang w:val="en-GB"/>
        </w:rPr>
        <w:t xml:space="preserve"> to the point that market participants </w:t>
      </w:r>
      <w:r w:rsidR="00A04E5A">
        <w:rPr>
          <w:rStyle w:val="normaltextrun"/>
          <w:rFonts w:ascii="Calibri" w:eastAsiaTheme="majorEastAsia" w:hAnsi="Calibri" w:cs="Calibri"/>
          <w:color w:val="215E99" w:themeColor="text2" w:themeTint="BF"/>
          <w:sz w:val="22"/>
          <w:szCs w:val="22"/>
          <w:lang w:val="en-GB"/>
        </w:rPr>
        <w:t>may</w:t>
      </w:r>
      <w:r w:rsidR="002871C1">
        <w:rPr>
          <w:rStyle w:val="normaltextrun"/>
          <w:rFonts w:ascii="Calibri" w:eastAsiaTheme="majorEastAsia" w:hAnsi="Calibri" w:cs="Calibri"/>
          <w:color w:val="215E99" w:themeColor="text2" w:themeTint="BF"/>
          <w:sz w:val="22"/>
          <w:szCs w:val="22"/>
          <w:lang w:val="en-GB"/>
        </w:rPr>
        <w:t xml:space="preserve"> consider </w:t>
      </w:r>
      <w:r w:rsidR="00A04E5A">
        <w:rPr>
          <w:rStyle w:val="normaltextrun"/>
          <w:rFonts w:ascii="Calibri" w:eastAsiaTheme="majorEastAsia" w:hAnsi="Calibri" w:cs="Calibri"/>
          <w:color w:val="215E99" w:themeColor="text2" w:themeTint="BF"/>
          <w:sz w:val="22"/>
          <w:szCs w:val="22"/>
          <w:lang w:val="en-GB"/>
        </w:rPr>
        <w:t xml:space="preserve">non-EU </w:t>
      </w:r>
      <w:r w:rsidR="0053148E">
        <w:rPr>
          <w:rStyle w:val="normaltextrun"/>
          <w:rFonts w:ascii="Calibri" w:eastAsiaTheme="majorEastAsia" w:hAnsi="Calibri" w:cs="Calibri"/>
          <w:color w:val="215E99" w:themeColor="text2" w:themeTint="BF"/>
          <w:sz w:val="22"/>
          <w:szCs w:val="22"/>
          <w:lang w:val="en-GB"/>
        </w:rPr>
        <w:t xml:space="preserve">commodity markets as a more reliable proxy. </w:t>
      </w:r>
    </w:p>
    <w:p w14:paraId="58F66A67" w14:textId="5BDCEA9D" w:rsidR="00685D52" w:rsidRDefault="004C24B5" w:rsidP="00685D52">
      <w:pPr>
        <w:pStyle w:val="paragraph"/>
        <w:spacing w:after="0"/>
        <w:jc w:val="both"/>
        <w:textAlignment w:val="baseline"/>
        <w:rPr>
          <w:rStyle w:val="normaltextrun"/>
          <w:rFonts w:ascii="Calibri" w:eastAsiaTheme="majorEastAsia" w:hAnsi="Calibri" w:cs="Calibri"/>
          <w:color w:val="215E99" w:themeColor="text2" w:themeTint="BF"/>
          <w:sz w:val="22"/>
          <w:szCs w:val="22"/>
          <w:lang w:val="en-GB"/>
        </w:rPr>
      </w:pPr>
      <w:r w:rsidRPr="007E0703">
        <w:rPr>
          <w:rStyle w:val="normaltextrun"/>
          <w:rFonts w:ascii="Calibri" w:eastAsiaTheme="majorEastAsia" w:hAnsi="Calibri" w:cs="Calibri"/>
          <w:color w:val="215E99" w:themeColor="text2" w:themeTint="BF"/>
          <w:sz w:val="22"/>
          <w:szCs w:val="22"/>
          <w:lang w:val="en-GB"/>
        </w:rPr>
        <w:t xml:space="preserve"> </w:t>
      </w:r>
      <w:r w:rsidR="008E26DA">
        <w:rPr>
          <w:rStyle w:val="normaltextrun"/>
          <w:rFonts w:ascii="Calibri" w:eastAsiaTheme="majorEastAsia" w:hAnsi="Calibri" w:cs="Calibri"/>
          <w:color w:val="215E99" w:themeColor="text2" w:themeTint="BF"/>
          <w:sz w:val="22"/>
          <w:szCs w:val="22"/>
          <w:lang w:val="en-GB"/>
        </w:rPr>
        <w:t>V</w:t>
      </w:r>
      <w:r w:rsidRPr="007E0703">
        <w:rPr>
          <w:rStyle w:val="normaltextrun"/>
          <w:rFonts w:ascii="Calibri" w:eastAsiaTheme="majorEastAsia" w:hAnsi="Calibri" w:cs="Calibri"/>
          <w:color w:val="215E99" w:themeColor="text2" w:themeTint="BF"/>
          <w:sz w:val="22"/>
          <w:szCs w:val="22"/>
          <w:lang w:val="en-GB"/>
        </w:rPr>
        <w:t>olatility safeguards that exchanges have in place have been working as intended</w:t>
      </w:r>
      <w:r>
        <w:rPr>
          <w:rStyle w:val="normaltextrun"/>
          <w:rFonts w:ascii="Calibri" w:eastAsiaTheme="majorEastAsia" w:hAnsi="Calibri" w:cs="Calibri"/>
          <w:color w:val="215E99" w:themeColor="text2" w:themeTint="BF"/>
          <w:sz w:val="22"/>
          <w:szCs w:val="22"/>
          <w:lang w:val="en-GB"/>
        </w:rPr>
        <w:t>. An example of this is the c</w:t>
      </w:r>
      <w:r w:rsidRPr="007E0703">
        <w:rPr>
          <w:rStyle w:val="normaltextrun"/>
          <w:rFonts w:ascii="Calibri" w:eastAsiaTheme="majorEastAsia" w:hAnsi="Calibri" w:cs="Calibri"/>
          <w:color w:val="215E99" w:themeColor="text2" w:themeTint="BF"/>
          <w:sz w:val="22"/>
          <w:szCs w:val="22"/>
          <w:lang w:val="en-GB"/>
        </w:rPr>
        <w:t xml:space="preserve">ircuit breaker </w:t>
      </w:r>
      <w:r>
        <w:rPr>
          <w:rStyle w:val="normaltextrun"/>
          <w:rFonts w:ascii="Calibri" w:eastAsiaTheme="majorEastAsia" w:hAnsi="Calibri" w:cs="Calibri"/>
          <w:color w:val="215E99" w:themeColor="text2" w:themeTint="BF"/>
          <w:sz w:val="22"/>
          <w:szCs w:val="22"/>
          <w:lang w:val="en-GB"/>
        </w:rPr>
        <w:t xml:space="preserve">mechanism, which </w:t>
      </w:r>
      <w:r w:rsidRPr="007E0703">
        <w:rPr>
          <w:rStyle w:val="normaltextrun"/>
          <w:rFonts w:ascii="Calibri" w:eastAsiaTheme="majorEastAsia" w:hAnsi="Calibri" w:cs="Calibri"/>
          <w:color w:val="215E99" w:themeColor="text2" w:themeTint="BF"/>
          <w:sz w:val="22"/>
          <w:szCs w:val="22"/>
          <w:lang w:val="en-GB"/>
        </w:rPr>
        <w:t>take the liquidity, the nature of the market model and the type of users into account for the market it applies to. This is in line with ESMA report which notes that the trading halt is calibrated “in light of the specificities and liquidity profiles of different types of energy markets”. Parameters should therefore be calibrated to take the specificities of the market structure at the trading venue into account.</w:t>
      </w:r>
      <w:r w:rsidRPr="00EA6F5D">
        <w:rPr>
          <w:rStyle w:val="normaltextrun"/>
          <w:rFonts w:ascii="Calibri" w:eastAsiaTheme="majorEastAsia" w:hAnsi="Calibri" w:cs="Calibri"/>
          <w:color w:val="215E99" w:themeColor="text2" w:themeTint="BF"/>
          <w:sz w:val="22"/>
          <w:szCs w:val="22"/>
          <w:lang w:val="en-GB"/>
        </w:rPr>
        <w:t> </w:t>
      </w:r>
    </w:p>
    <w:p w14:paraId="23EB286D" w14:textId="45218019" w:rsidR="00935D1C" w:rsidRPr="00685D52" w:rsidRDefault="00685D52" w:rsidP="00935D1C">
      <w:pPr>
        <w:pStyle w:val="paragraph"/>
        <w:spacing w:after="0"/>
        <w:jc w:val="both"/>
        <w:textAlignment w:val="baseline"/>
        <w:rPr>
          <w:rStyle w:val="normaltextrun"/>
          <w:rFonts w:ascii="Calibri" w:eastAsiaTheme="majorEastAsia" w:hAnsi="Calibri" w:cs="Calibri"/>
          <w:color w:val="215E99" w:themeColor="text2" w:themeTint="BF"/>
          <w:sz w:val="22"/>
          <w:szCs w:val="22"/>
          <w:lang w:val="en-GB"/>
        </w:rPr>
      </w:pPr>
      <w:r w:rsidRPr="00685D52">
        <w:rPr>
          <w:rStyle w:val="normaltextrun"/>
          <w:rFonts w:ascii="Calibri" w:eastAsiaTheme="majorEastAsia" w:hAnsi="Calibri" w:cs="Calibri"/>
          <w:color w:val="215E99" w:themeColor="text2" w:themeTint="BF"/>
          <w:sz w:val="22"/>
          <w:szCs w:val="22"/>
          <w:lang w:val="en-GB"/>
        </w:rPr>
        <w:t>Besides, during the energy crisis energy exchanges made several adjustments to the calibration of existing circuit breakers including for example to make them of longer duration to allow market participants additional time to pause and process in case of major price movements.</w:t>
      </w:r>
      <w:r w:rsidR="008B644F">
        <w:rPr>
          <w:rStyle w:val="normaltextrun"/>
          <w:rFonts w:ascii="Calibri" w:eastAsiaTheme="majorEastAsia" w:hAnsi="Calibri" w:cs="Calibri"/>
          <w:color w:val="215E99" w:themeColor="text2" w:themeTint="BF"/>
          <w:sz w:val="22"/>
          <w:szCs w:val="22"/>
          <w:lang w:val="en-GB"/>
        </w:rPr>
        <w:t xml:space="preserve"> </w:t>
      </w:r>
      <w:r w:rsidRPr="00685D52">
        <w:rPr>
          <w:rStyle w:val="normaltextrun"/>
          <w:rFonts w:ascii="Calibri" w:eastAsiaTheme="majorEastAsia" w:hAnsi="Calibri" w:cs="Calibri"/>
          <w:color w:val="215E99" w:themeColor="text2" w:themeTint="BF"/>
          <w:sz w:val="22"/>
          <w:szCs w:val="22"/>
          <w:lang w:val="en-GB"/>
        </w:rPr>
        <w:t>ESMA confirmed in its report on the implementation of the intraday volatility management mechanism that it considers current volatility management mechanisms sufficient to deal with excessive volatility</w:t>
      </w:r>
      <w:r w:rsidR="00935D1C" w:rsidRPr="00935D1C">
        <w:rPr>
          <w:rStyle w:val="normaltextrun"/>
          <w:rFonts w:ascii="Calibri" w:eastAsiaTheme="majorEastAsia" w:hAnsi="Calibri" w:cs="Calibri"/>
          <w:color w:val="215E99" w:themeColor="text2" w:themeTint="BF"/>
          <w:sz w:val="22"/>
          <w:szCs w:val="22"/>
          <w:lang w:val="en-GB"/>
        </w:rPr>
        <w:t xml:space="preserve"> </w:t>
      </w:r>
      <w:r w:rsidR="00935D1C" w:rsidRPr="000302EE">
        <w:rPr>
          <w:rStyle w:val="normaltextrun"/>
          <w:rFonts w:ascii="Calibri" w:eastAsiaTheme="majorEastAsia" w:hAnsi="Calibri" w:cs="Calibri"/>
          <w:color w:val="215E99" w:themeColor="text2" w:themeTint="BF"/>
          <w:sz w:val="22"/>
          <w:szCs w:val="22"/>
          <w:lang w:val="en-GB"/>
        </w:rPr>
        <w:t>ESMA also stated in the report that ensuring the appropriate implementation of circuit breakers under MiFID II would be preferable to having parallel requirements on circuit breakers and intraday volatility management mechanisms.</w:t>
      </w:r>
    </w:p>
    <w:p w14:paraId="652FA6BD" w14:textId="77777777" w:rsidR="00CA56B0" w:rsidRPr="007E0703" w:rsidRDefault="00CA56B0" w:rsidP="002D63E5">
      <w:pPr>
        <w:pStyle w:val="paragraph"/>
        <w:spacing w:before="0" w:beforeAutospacing="0" w:after="0" w:afterAutospacing="0"/>
        <w:textAlignment w:val="baseline"/>
        <w:rPr>
          <w:rFonts w:ascii="Segoe UI" w:hAnsi="Segoe UI" w:cs="Segoe UI"/>
          <w:sz w:val="22"/>
          <w:szCs w:val="22"/>
          <w:lang w:val="en-GB"/>
        </w:rPr>
      </w:pPr>
    </w:p>
    <w:p w14:paraId="24636D4C" w14:textId="77777777"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normaltextrun"/>
          <w:rFonts w:ascii="Calibri" w:eastAsiaTheme="majorEastAsia" w:hAnsi="Calibri" w:cs="Calibri"/>
          <w:b/>
          <w:bCs/>
          <w:sz w:val="22"/>
          <w:szCs w:val="22"/>
          <w:lang w:val="en-GB"/>
        </w:rPr>
        <w:t>6. SUPERVISORY COORDINATION AND CONSISTENCY AT EU LEVEL</w:t>
      </w:r>
      <w:r w:rsidRPr="007E0703">
        <w:rPr>
          <w:rStyle w:val="eop"/>
          <w:rFonts w:ascii="Calibri" w:eastAsiaTheme="majorEastAsia" w:hAnsi="Calibri" w:cs="Calibri"/>
          <w:sz w:val="22"/>
          <w:szCs w:val="22"/>
          <w:lang w:val="en-GB"/>
        </w:rPr>
        <w:t> </w:t>
      </w:r>
    </w:p>
    <w:p w14:paraId="1564BC14" w14:textId="77777777"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eop"/>
          <w:rFonts w:ascii="Calibri" w:eastAsiaTheme="majorEastAsia" w:hAnsi="Calibri" w:cs="Calibri"/>
          <w:sz w:val="22"/>
          <w:szCs w:val="22"/>
          <w:lang w:val="en-GB"/>
        </w:rPr>
        <w:t> </w:t>
      </w:r>
    </w:p>
    <w:p w14:paraId="548FF8F9" w14:textId="2BE15562"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normaltextrun"/>
          <w:rFonts w:ascii="Calibri" w:eastAsiaTheme="majorEastAsia" w:hAnsi="Calibri" w:cs="Calibri"/>
          <w:b/>
          <w:bCs/>
          <w:sz w:val="22"/>
          <w:szCs w:val="22"/>
          <w:lang w:val="en-GB"/>
        </w:rPr>
        <w:t>Integrated supervision for commodities markets</w:t>
      </w:r>
    </w:p>
    <w:p w14:paraId="324F3AA8" w14:textId="77777777" w:rsidR="002D63E5" w:rsidRPr="007E0703" w:rsidRDefault="002D63E5" w:rsidP="002D63E5">
      <w:pPr>
        <w:pStyle w:val="paragraph"/>
        <w:spacing w:before="0" w:beforeAutospacing="0" w:after="0" w:afterAutospacing="0"/>
        <w:textAlignment w:val="baseline"/>
        <w:rPr>
          <w:rFonts w:ascii="Segoe UI" w:hAnsi="Segoe UI" w:cs="Segoe UI"/>
          <w:sz w:val="22"/>
          <w:szCs w:val="22"/>
          <w:lang w:val="en-GB"/>
        </w:rPr>
      </w:pPr>
      <w:r w:rsidRPr="007E0703">
        <w:rPr>
          <w:rStyle w:val="eop"/>
          <w:rFonts w:ascii="Calibri" w:eastAsiaTheme="majorEastAsia" w:hAnsi="Calibri" w:cs="Calibri"/>
          <w:sz w:val="22"/>
          <w:szCs w:val="22"/>
          <w:lang w:val="en-GB"/>
        </w:rPr>
        <w:t> </w:t>
      </w:r>
    </w:p>
    <w:p w14:paraId="7ADB6F09" w14:textId="1D0D17F2" w:rsidR="00D86124" w:rsidRPr="001B1305" w:rsidRDefault="002D63E5" w:rsidP="00BD4A38">
      <w:pPr>
        <w:pStyle w:val="paragraph"/>
        <w:spacing w:before="0" w:beforeAutospacing="0" w:after="0" w:afterAutospacing="0"/>
        <w:jc w:val="both"/>
        <w:textAlignment w:val="baseline"/>
        <w:rPr>
          <w:rStyle w:val="eop"/>
          <w:rFonts w:ascii="Calibri" w:eastAsiaTheme="majorEastAsia" w:hAnsi="Calibri" w:cs="Calibri"/>
          <w:lang w:val="en-GB"/>
        </w:rPr>
      </w:pPr>
      <w:r w:rsidRPr="001B1305">
        <w:rPr>
          <w:rStyle w:val="normaltextrun"/>
          <w:rFonts w:ascii="Calibri" w:eastAsiaTheme="majorEastAsia" w:hAnsi="Calibri" w:cs="Calibri"/>
          <w:b/>
          <w:bCs/>
          <w:i/>
          <w:iCs/>
          <w:lang w:val="en-GB"/>
        </w:rPr>
        <w:t>Question 67.</w:t>
      </w:r>
      <w:r w:rsidRPr="001B1305">
        <w:rPr>
          <w:rStyle w:val="normaltextrun"/>
          <w:rFonts w:ascii="Calibri" w:eastAsiaTheme="majorEastAsia" w:hAnsi="Calibri" w:cs="Calibri"/>
          <w:i/>
          <w:iCs/>
          <w:lang w:val="en-GB"/>
        </w:rPr>
        <w:t xml:space="preserve"> What are the benefits and costs of a more integrated system of supervision for commodities markets where the financial markets supervisor bears responsibility for both the financial and physical infrastructure of the commodity futures exchange, including the system of rules and contractual terms of the exchange that regulate both futures and (cash/physical) forward contracts?</w:t>
      </w:r>
      <w:r w:rsidRPr="001B1305">
        <w:rPr>
          <w:rStyle w:val="eop"/>
          <w:rFonts w:ascii="Calibri" w:eastAsiaTheme="majorEastAsia" w:hAnsi="Calibri" w:cs="Calibri"/>
          <w:lang w:val="en-GB"/>
        </w:rPr>
        <w:t> </w:t>
      </w:r>
    </w:p>
    <w:p w14:paraId="018EDD9D" w14:textId="5D626282" w:rsidR="00D110EA" w:rsidRDefault="000A13E1" w:rsidP="00D110EA">
      <w:pPr>
        <w:pStyle w:val="paragraph"/>
        <w:jc w:val="both"/>
        <w:textAlignment w:val="baseline"/>
        <w:rPr>
          <w:rStyle w:val="normaltextrun"/>
          <w:rFonts w:ascii="Calibri" w:eastAsia="Yu Gothic Light" w:hAnsi="Calibri" w:cs="Calibri"/>
          <w:color w:val="215E99" w:themeColor="text2" w:themeTint="BF"/>
          <w:sz w:val="22"/>
          <w:szCs w:val="22"/>
          <w:lang w:val="en-GB"/>
        </w:rPr>
      </w:pPr>
      <w:r>
        <w:rPr>
          <w:rStyle w:val="normaltextrun"/>
          <w:rFonts w:ascii="Calibri" w:eastAsia="Yu Gothic Light" w:hAnsi="Calibri" w:cs="Calibri"/>
          <w:color w:val="215E99" w:themeColor="text2" w:themeTint="BF"/>
          <w:sz w:val="22"/>
          <w:szCs w:val="22"/>
          <w:lang w:val="en-GB"/>
        </w:rPr>
        <w:t xml:space="preserve">Europex members are not aware of problems in the existing supervisory structure that would be resolved by an integrated supervisory system for commodities markets. </w:t>
      </w:r>
      <w:r w:rsidR="00D110EA">
        <w:rPr>
          <w:rStyle w:val="normaltextrun"/>
          <w:rFonts w:ascii="Calibri" w:eastAsia="Yu Gothic Light" w:hAnsi="Calibri" w:cs="Calibri"/>
          <w:color w:val="215E99" w:themeColor="text2" w:themeTint="BF"/>
          <w:sz w:val="22"/>
          <w:szCs w:val="22"/>
          <w:lang w:val="en-GB"/>
        </w:rPr>
        <w:t xml:space="preserve">As highlighted in our </w:t>
      </w:r>
      <w:r w:rsidR="00185E99">
        <w:rPr>
          <w:rStyle w:val="normaltextrun"/>
          <w:rFonts w:ascii="Calibri" w:eastAsia="Yu Gothic Light" w:hAnsi="Calibri" w:cs="Calibri"/>
          <w:color w:val="215E99" w:themeColor="text2" w:themeTint="BF"/>
          <w:sz w:val="22"/>
          <w:szCs w:val="22"/>
          <w:lang w:val="en-GB"/>
        </w:rPr>
        <w:t xml:space="preserve">response to Q39, </w:t>
      </w:r>
      <w:r w:rsidR="00D110EA">
        <w:rPr>
          <w:rStyle w:val="normaltextrun"/>
          <w:rFonts w:ascii="Calibri" w:eastAsia="Yu Gothic Light" w:hAnsi="Calibri" w:cs="Calibri"/>
          <w:color w:val="215E99" w:themeColor="text2" w:themeTint="BF"/>
          <w:sz w:val="22"/>
          <w:szCs w:val="22"/>
          <w:lang w:val="en-GB"/>
        </w:rPr>
        <w:t xml:space="preserve">commodity market participants are subject to </w:t>
      </w:r>
      <w:r w:rsidR="00206A2F">
        <w:rPr>
          <w:rStyle w:val="normaltextrun"/>
          <w:rFonts w:ascii="Calibri" w:eastAsia="Yu Gothic Light" w:hAnsi="Calibri" w:cs="Calibri"/>
          <w:color w:val="215E99" w:themeColor="text2" w:themeTint="BF"/>
          <w:sz w:val="22"/>
          <w:szCs w:val="22"/>
          <w:lang w:val="en-GB"/>
        </w:rPr>
        <w:t>different legislative framework</w:t>
      </w:r>
      <w:r w:rsidR="00F31B0E">
        <w:rPr>
          <w:rStyle w:val="normaltextrun"/>
          <w:rFonts w:ascii="Calibri" w:eastAsia="Yu Gothic Light" w:hAnsi="Calibri" w:cs="Calibri"/>
          <w:color w:val="215E99" w:themeColor="text2" w:themeTint="BF"/>
          <w:sz w:val="22"/>
          <w:szCs w:val="22"/>
          <w:lang w:val="en-GB"/>
        </w:rPr>
        <w:t>s</w:t>
      </w:r>
      <w:r w:rsidR="006E5A99">
        <w:rPr>
          <w:rStyle w:val="normaltextrun"/>
          <w:rFonts w:ascii="Calibri" w:eastAsia="Yu Gothic Light" w:hAnsi="Calibri" w:cs="Calibri"/>
          <w:color w:val="215E99" w:themeColor="text2" w:themeTint="BF"/>
          <w:sz w:val="22"/>
          <w:szCs w:val="22"/>
          <w:lang w:val="en-GB"/>
        </w:rPr>
        <w:t>, w</w:t>
      </w:r>
      <w:r w:rsidR="00D110EA">
        <w:rPr>
          <w:rStyle w:val="normaltextrun"/>
          <w:rFonts w:ascii="Calibri" w:eastAsia="Yu Gothic Light" w:hAnsi="Calibri" w:cs="Calibri"/>
          <w:color w:val="215E99" w:themeColor="text2" w:themeTint="BF"/>
          <w:sz w:val="22"/>
          <w:szCs w:val="22"/>
          <w:lang w:val="en-GB"/>
        </w:rPr>
        <w:t xml:space="preserve">hich provide robust oversight without necessitating additional consolidation. </w:t>
      </w:r>
      <w:r w:rsidR="006E5A99">
        <w:rPr>
          <w:rStyle w:val="normaltextrun"/>
          <w:rFonts w:ascii="Calibri" w:eastAsia="Yu Gothic Light" w:hAnsi="Calibri" w:cs="Calibri"/>
          <w:color w:val="215E99" w:themeColor="text2" w:themeTint="BF"/>
          <w:sz w:val="22"/>
          <w:szCs w:val="22"/>
          <w:lang w:val="en-GB"/>
        </w:rPr>
        <w:t xml:space="preserve">The same is true for the supervisory structure. </w:t>
      </w:r>
      <w:r w:rsidR="00D110EA">
        <w:rPr>
          <w:rStyle w:val="normaltextrun"/>
          <w:rFonts w:ascii="Calibri" w:eastAsia="Yu Gothic Light" w:hAnsi="Calibri" w:cs="Calibri"/>
          <w:color w:val="215E99" w:themeColor="text2" w:themeTint="BF"/>
          <w:sz w:val="22"/>
          <w:szCs w:val="22"/>
          <w:lang w:val="en-GB"/>
        </w:rPr>
        <w:t>Introducing further layers of supervision risks duplicating existing measures and creating unnecessary burdens for market participants, potentially destabilizing the delicate balance required for efficient commodity market operations.</w:t>
      </w:r>
    </w:p>
    <w:p w14:paraId="60D86E61" w14:textId="1010A18B" w:rsidR="00D110EA" w:rsidRDefault="00D110EA" w:rsidP="00D110EA">
      <w:pPr>
        <w:pStyle w:val="paragraph"/>
        <w:jc w:val="both"/>
        <w:textAlignment w:val="baseline"/>
        <w:rPr>
          <w:rStyle w:val="normaltextrun"/>
          <w:rFonts w:ascii="Calibri" w:eastAsia="Yu Gothic Light" w:hAnsi="Calibri" w:cs="Calibri"/>
          <w:color w:val="215E99" w:themeColor="text2" w:themeTint="BF"/>
          <w:sz w:val="22"/>
          <w:szCs w:val="22"/>
          <w:lang w:val="en-GB"/>
        </w:rPr>
      </w:pPr>
      <w:r>
        <w:rPr>
          <w:rStyle w:val="normaltextrun"/>
          <w:rFonts w:ascii="Calibri" w:eastAsia="Yu Gothic Light" w:hAnsi="Calibri" w:cs="Calibri"/>
          <w:color w:val="215E99" w:themeColor="text2" w:themeTint="BF"/>
          <w:sz w:val="22"/>
          <w:szCs w:val="22"/>
          <w:lang w:val="en-GB"/>
        </w:rPr>
        <w:t xml:space="preserve">Instead of integrating the supervisory system, we consider a more beneficial approach would be to improve the coordination between existing agencies to strengthen their cooperation and utilize the extensive data already reported under EMIR, MiFID II and REMIT. This data provides valuable insights that can be leveraged to enhance regulatory oversight. Additionally, the LNG reporting requirements introduced during the energy crisis, along with the expanded powers granted to ACER under REMIT II, </w:t>
      </w:r>
      <w:r>
        <w:rPr>
          <w:rStyle w:val="normaltextrun"/>
          <w:rFonts w:ascii="Calibri" w:eastAsia="Yu Gothic Light" w:hAnsi="Calibri" w:cs="Calibri"/>
          <w:color w:val="215E99" w:themeColor="text2" w:themeTint="BF"/>
          <w:sz w:val="22"/>
          <w:szCs w:val="22"/>
          <w:lang w:val="en-GB"/>
        </w:rPr>
        <w:lastRenderedPageBreak/>
        <w:t>offer further tools to monitor and regulate the energy market effectively. Combining these efforts would ensure a more data-driven, efficient, and responsive regulatory framework for energy markets.</w:t>
      </w:r>
    </w:p>
    <w:p w14:paraId="7C87218B" w14:textId="2F14BD1D" w:rsidR="005D787A" w:rsidRDefault="005D787A" w:rsidP="00D110EA">
      <w:pPr>
        <w:pStyle w:val="paragraph"/>
        <w:jc w:val="both"/>
        <w:textAlignment w:val="baseline"/>
        <w:rPr>
          <w:rStyle w:val="normaltextrun"/>
          <w:rFonts w:ascii="Calibri" w:eastAsia="Yu Gothic Light" w:hAnsi="Calibri" w:cs="Calibri"/>
          <w:color w:val="215E99" w:themeColor="text2" w:themeTint="BF"/>
          <w:sz w:val="22"/>
          <w:szCs w:val="22"/>
          <w:lang w:val="en-GB"/>
        </w:rPr>
      </w:pPr>
      <w:r w:rsidRPr="005D787A">
        <w:rPr>
          <w:rFonts w:ascii="Calibri" w:eastAsia="Yu Gothic Light" w:hAnsi="Calibri" w:cs="Calibri"/>
          <w:color w:val="215E99" w:themeColor="text2" w:themeTint="BF"/>
          <w:sz w:val="22"/>
          <w:szCs w:val="22"/>
        </w:rPr>
        <w:t xml:space="preserve">To </w:t>
      </w:r>
      <w:r w:rsidR="00321AF4">
        <w:rPr>
          <w:rFonts w:ascii="Calibri" w:eastAsia="Yu Gothic Light" w:hAnsi="Calibri" w:cs="Calibri"/>
          <w:color w:val="215E99" w:themeColor="text2" w:themeTint="BF"/>
          <w:sz w:val="22"/>
          <w:szCs w:val="22"/>
        </w:rPr>
        <w:t xml:space="preserve">inform the policy debate </w:t>
      </w:r>
      <w:r w:rsidR="00321AF4" w:rsidRPr="00917531">
        <w:rPr>
          <w:rFonts w:ascii="Calibri" w:eastAsia="Yu Gothic Light" w:hAnsi="Calibri" w:cs="Calibri"/>
          <w:color w:val="215E99" w:themeColor="text2" w:themeTint="BF"/>
          <w:sz w:val="22"/>
          <w:szCs w:val="22"/>
        </w:rPr>
        <w:t>on</w:t>
      </w:r>
      <w:r w:rsidR="00917531" w:rsidRPr="00917531">
        <w:rPr>
          <w:rFonts w:ascii="Calibri" w:eastAsia="Yu Gothic Light" w:hAnsi="Calibri" w:cs="Calibri"/>
          <w:color w:val="215E99" w:themeColor="text2" w:themeTint="BF"/>
          <w:sz w:val="22"/>
          <w:szCs w:val="22"/>
        </w:rPr>
        <w:t xml:space="preserve"> the</w:t>
      </w:r>
      <w:r w:rsidR="00321AF4" w:rsidRPr="00917531">
        <w:rPr>
          <w:rFonts w:ascii="Calibri" w:eastAsia="Yu Gothic Light" w:hAnsi="Calibri" w:cs="Calibri"/>
          <w:color w:val="215E99" w:themeColor="text2" w:themeTint="BF"/>
          <w:sz w:val="22"/>
          <w:szCs w:val="22"/>
        </w:rPr>
        <w:t xml:space="preserve"> state of </w:t>
      </w:r>
      <w:r w:rsidR="00F35206" w:rsidRPr="00917531">
        <w:rPr>
          <w:rFonts w:ascii="Calibri" w:eastAsia="Yu Gothic Light" w:hAnsi="Calibri" w:cs="Calibri"/>
          <w:color w:val="215E99" w:themeColor="text2" w:themeTint="BF"/>
          <w:sz w:val="22"/>
          <w:szCs w:val="22"/>
        </w:rPr>
        <w:t xml:space="preserve">European </w:t>
      </w:r>
      <w:r w:rsidR="00321AF4" w:rsidRPr="00917531">
        <w:rPr>
          <w:rFonts w:ascii="Calibri" w:eastAsia="Yu Gothic Light" w:hAnsi="Calibri" w:cs="Calibri"/>
          <w:color w:val="215E99" w:themeColor="text2" w:themeTint="BF"/>
          <w:sz w:val="22"/>
          <w:szCs w:val="22"/>
        </w:rPr>
        <w:t>energy markets</w:t>
      </w:r>
      <w:r w:rsidR="00020945" w:rsidRPr="00917531">
        <w:rPr>
          <w:rFonts w:ascii="Calibri" w:eastAsia="Yu Gothic Light" w:hAnsi="Calibri" w:cs="Calibri"/>
          <w:color w:val="215E99" w:themeColor="text2" w:themeTint="BF"/>
          <w:sz w:val="22"/>
          <w:szCs w:val="22"/>
        </w:rPr>
        <w:t>,</w:t>
      </w:r>
      <w:r w:rsidR="00D41094">
        <w:rPr>
          <w:rFonts w:ascii="Calibri" w:eastAsia="Yu Gothic Light" w:hAnsi="Calibri" w:cs="Calibri"/>
          <w:color w:val="215E99" w:themeColor="text2" w:themeTint="BF"/>
          <w:sz w:val="22"/>
          <w:szCs w:val="22"/>
        </w:rPr>
        <w:t xml:space="preserve"> </w:t>
      </w:r>
      <w:r>
        <w:rPr>
          <w:rFonts w:ascii="Calibri" w:eastAsia="Yu Gothic Light" w:hAnsi="Calibri" w:cs="Calibri"/>
          <w:color w:val="215E99" w:themeColor="text2" w:themeTint="BF"/>
          <w:sz w:val="22"/>
          <w:szCs w:val="22"/>
        </w:rPr>
        <w:t xml:space="preserve">further </w:t>
      </w:r>
      <w:r w:rsidRPr="005D787A">
        <w:rPr>
          <w:rFonts w:ascii="Calibri" w:eastAsia="Yu Gothic Light" w:hAnsi="Calibri" w:cs="Calibri"/>
          <w:color w:val="215E99" w:themeColor="text2" w:themeTint="BF"/>
          <w:sz w:val="22"/>
          <w:szCs w:val="22"/>
        </w:rPr>
        <w:t>improve the collaboration between European financial and energy supervisors and</w:t>
      </w:r>
      <w:r w:rsidR="00321AF4">
        <w:rPr>
          <w:rFonts w:ascii="Calibri" w:eastAsia="Yu Gothic Light" w:hAnsi="Calibri" w:cs="Calibri"/>
          <w:color w:val="215E99" w:themeColor="text2" w:themeTint="BF"/>
          <w:sz w:val="22"/>
          <w:szCs w:val="22"/>
        </w:rPr>
        <w:t xml:space="preserve"> </w:t>
      </w:r>
      <w:r w:rsidRPr="005D787A">
        <w:rPr>
          <w:rFonts w:ascii="Calibri" w:eastAsia="Yu Gothic Light" w:hAnsi="Calibri" w:cs="Calibri"/>
          <w:color w:val="215E99" w:themeColor="text2" w:themeTint="BF"/>
          <w:sz w:val="22"/>
          <w:szCs w:val="22"/>
        </w:rPr>
        <w:t xml:space="preserve">contribute to closing existing gaps in data available to them, </w:t>
      </w:r>
      <w:r>
        <w:rPr>
          <w:rFonts w:ascii="Calibri" w:eastAsia="Yu Gothic Light" w:hAnsi="Calibri" w:cs="Calibri"/>
          <w:color w:val="215E99" w:themeColor="text2" w:themeTint="BF"/>
          <w:sz w:val="22"/>
          <w:szCs w:val="22"/>
        </w:rPr>
        <w:t xml:space="preserve">Europex </w:t>
      </w:r>
      <w:r w:rsidRPr="005D787A">
        <w:rPr>
          <w:rFonts w:ascii="Calibri" w:eastAsia="Yu Gothic Light" w:hAnsi="Calibri" w:cs="Calibri"/>
          <w:color w:val="215E99" w:themeColor="text2" w:themeTint="BF"/>
          <w:sz w:val="22"/>
          <w:szCs w:val="22"/>
        </w:rPr>
        <w:t>recommends mandating ESMA and ACER publish an annual report monitoring the state of European energy markets. The joint report should be data driven and based on the shared use of data available to European supervisors under MiFID, EMIR and REMIT reporting frameworks. Individual publications and analyses by ESMA and ACER on European energy markets could be replaced by the joint report where appropriate, and if not, should be consistent with the approach and methodology used in the joint report.</w:t>
      </w:r>
    </w:p>
    <w:p w14:paraId="31CDC0E1" w14:textId="77777777" w:rsidR="007F7A52" w:rsidRDefault="007F7A52" w:rsidP="002D63E5">
      <w:pPr>
        <w:pStyle w:val="paragraph"/>
        <w:spacing w:before="0" w:beforeAutospacing="0" w:after="0" w:afterAutospacing="0"/>
        <w:textAlignment w:val="baseline"/>
        <w:rPr>
          <w:rStyle w:val="normaltextrun"/>
          <w:rFonts w:ascii="Calibri" w:eastAsiaTheme="majorEastAsia" w:hAnsi="Calibri" w:cs="Calibri"/>
          <w:color w:val="215E99" w:themeColor="text2" w:themeTint="BF"/>
          <w:sz w:val="22"/>
          <w:szCs w:val="22"/>
          <w:lang w:val="en-GB"/>
        </w:rPr>
      </w:pPr>
    </w:p>
    <w:sectPr w:rsidR="007F7A52">
      <w:footerReference w:type="even" r:id="rId12"/>
      <w:footerReference w:type="defaul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B7A6C" w14:textId="77777777" w:rsidR="00215279" w:rsidRDefault="00215279" w:rsidP="00CA56B0">
      <w:pPr>
        <w:spacing w:after="0" w:line="240" w:lineRule="auto"/>
      </w:pPr>
      <w:r>
        <w:separator/>
      </w:r>
    </w:p>
  </w:endnote>
  <w:endnote w:type="continuationSeparator" w:id="0">
    <w:p w14:paraId="2B8967C9" w14:textId="77777777" w:rsidR="00215279" w:rsidRDefault="00215279" w:rsidP="00CA56B0">
      <w:pPr>
        <w:spacing w:after="0" w:line="240" w:lineRule="auto"/>
      </w:pPr>
      <w:r>
        <w:continuationSeparator/>
      </w:r>
    </w:p>
  </w:endnote>
  <w:endnote w:type="continuationNotice" w:id="1">
    <w:p w14:paraId="51677909" w14:textId="77777777" w:rsidR="00215279" w:rsidRDefault="002152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D7BDF" w14:textId="289FCDA8" w:rsidR="00CA56B0" w:rsidRDefault="00CA56B0">
    <w:pPr>
      <w:pStyle w:val="Footer"/>
    </w:pPr>
    <w:r>
      <w:rPr>
        <w:noProof/>
      </w:rPr>
      <mc:AlternateContent>
        <mc:Choice Requires="wps">
          <w:drawing>
            <wp:anchor distT="0" distB="0" distL="0" distR="0" simplePos="0" relativeHeight="251658241" behindDoc="0" locked="0" layoutInCell="1" allowOverlap="1" wp14:anchorId="15A17D7A" wp14:editId="424DF71A">
              <wp:simplePos x="635" y="635"/>
              <wp:positionH relativeFrom="page">
                <wp:align>center</wp:align>
              </wp:positionH>
              <wp:positionV relativeFrom="page">
                <wp:align>bottom</wp:align>
              </wp:positionV>
              <wp:extent cx="403225" cy="370205"/>
              <wp:effectExtent l="0" t="0" r="15875" b="0"/>
              <wp:wrapNone/>
              <wp:docPr id="2044954256"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03225" cy="370205"/>
                      </a:xfrm>
                      <a:prstGeom prst="rect">
                        <a:avLst/>
                      </a:prstGeom>
                      <a:noFill/>
                      <a:ln>
                        <a:noFill/>
                      </a:ln>
                    </wps:spPr>
                    <wps:txbx>
                      <w:txbxContent>
                        <w:p w14:paraId="5D7DEC8A" w14:textId="42E860D2" w:rsidR="00CA56B0" w:rsidRPr="00CA56B0" w:rsidRDefault="00CA56B0" w:rsidP="00CA56B0">
                          <w:pPr>
                            <w:spacing w:after="0"/>
                            <w:rPr>
                              <w:rFonts w:ascii="Calibri" w:eastAsia="Calibri" w:hAnsi="Calibri" w:cs="Calibri"/>
                              <w:noProof/>
                              <w:color w:val="000000"/>
                              <w:sz w:val="20"/>
                              <w:szCs w:val="20"/>
                            </w:rPr>
                          </w:pPr>
                          <w:r w:rsidRPr="00CA56B0">
                            <w:rPr>
                              <w:rFonts w:ascii="Calibri" w:eastAsia="Calibri" w:hAnsi="Calibri" w:cs="Calibri"/>
                              <w:noProof/>
                              <w:color w:val="000000"/>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A17D7A" id="_x0000_t202" coordsize="21600,21600" o:spt="202" path="m,l,21600r21600,l21600,xe">
              <v:stroke joinstyle="miter"/>
              <v:path gradientshapeok="t" o:connecttype="rect"/>
            </v:shapetype>
            <v:shape id="Text Box 2" o:spid="_x0000_s1026" type="#_x0000_t202" alt="Internal" style="position:absolute;margin-left:0;margin-top:0;width:31.75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" filled="f" stroked="f">
              <v:textbox style="mso-fit-shape-to-text:t" inset="0,0,0,15pt">
                <w:txbxContent>
                  <w:p w14:paraId="5D7DEC8A" w14:textId="42E860D2" w:rsidR="00CA56B0" w:rsidRPr="00CA56B0" w:rsidRDefault="00CA56B0" w:rsidP="00CA56B0">
                    <w:pPr>
                      <w:spacing w:after="0"/>
                      <w:rPr>
                        <w:rFonts w:ascii="Calibri" w:eastAsia="Calibri" w:hAnsi="Calibri" w:cs="Calibri"/>
                        <w:noProof/>
                        <w:color w:val="000000"/>
                        <w:sz w:val="20"/>
                        <w:szCs w:val="20"/>
                      </w:rPr>
                    </w:pPr>
                    <w:r w:rsidRPr="00CA56B0">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FD362" w14:textId="56049E13" w:rsidR="00CA56B0" w:rsidRDefault="00CA56B0">
    <w:pPr>
      <w:pStyle w:val="Footer"/>
    </w:pPr>
    <w:r>
      <w:rPr>
        <w:noProof/>
      </w:rPr>
      <mc:AlternateContent>
        <mc:Choice Requires="wps">
          <w:drawing>
            <wp:anchor distT="0" distB="0" distL="0" distR="0" simplePos="0" relativeHeight="251658242" behindDoc="0" locked="0" layoutInCell="1" allowOverlap="1" wp14:anchorId="0A31307F" wp14:editId="32A801B7">
              <wp:simplePos x="914400" y="9417050"/>
              <wp:positionH relativeFrom="page">
                <wp:align>center</wp:align>
              </wp:positionH>
              <wp:positionV relativeFrom="page">
                <wp:align>bottom</wp:align>
              </wp:positionV>
              <wp:extent cx="403225" cy="370205"/>
              <wp:effectExtent l="0" t="0" r="15875" b="0"/>
              <wp:wrapNone/>
              <wp:docPr id="1051931972"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03225" cy="370205"/>
                      </a:xfrm>
                      <a:prstGeom prst="rect">
                        <a:avLst/>
                      </a:prstGeom>
                      <a:noFill/>
                      <a:ln>
                        <a:noFill/>
                      </a:ln>
                    </wps:spPr>
                    <wps:txbx>
                      <w:txbxContent>
                        <w:p w14:paraId="46907797" w14:textId="2F48A3CA" w:rsidR="00CA56B0" w:rsidRPr="00CA56B0" w:rsidRDefault="00CA56B0" w:rsidP="00CA56B0">
                          <w:pPr>
                            <w:spacing w:after="0"/>
                            <w:rPr>
                              <w:rFonts w:ascii="Calibri" w:eastAsia="Calibri" w:hAnsi="Calibri" w:cs="Calibri"/>
                              <w:noProof/>
                              <w:color w:val="000000"/>
                              <w:sz w:val="20"/>
                              <w:szCs w:val="20"/>
                            </w:rPr>
                          </w:pPr>
                          <w:r w:rsidRPr="00CA56B0">
                            <w:rPr>
                              <w:rFonts w:ascii="Calibri" w:eastAsia="Calibri" w:hAnsi="Calibri" w:cs="Calibri"/>
                              <w:noProof/>
                              <w:color w:val="000000"/>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31307F" id="_x0000_t202" coordsize="21600,21600" o:spt="202" path="m,l,21600r21600,l21600,xe">
              <v:stroke joinstyle="miter"/>
              <v:path gradientshapeok="t" o:connecttype="rect"/>
            </v:shapetype>
            <v:shape id="Text Box 3" o:spid="_x0000_s1027" type="#_x0000_t202" alt="Internal" style="position:absolute;margin-left:0;margin-top:0;width:31.75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" filled="f" stroked="f">
              <v:textbox style="mso-fit-shape-to-text:t" inset="0,0,0,15pt">
                <w:txbxContent>
                  <w:p w14:paraId="46907797" w14:textId="2F48A3CA" w:rsidR="00CA56B0" w:rsidRPr="00CA56B0" w:rsidRDefault="00CA56B0" w:rsidP="00CA56B0">
                    <w:pPr>
                      <w:spacing w:after="0"/>
                      <w:rPr>
                        <w:rFonts w:ascii="Calibri" w:eastAsia="Calibri" w:hAnsi="Calibri" w:cs="Calibri"/>
                        <w:noProof/>
                        <w:color w:val="000000"/>
                        <w:sz w:val="20"/>
                        <w:szCs w:val="20"/>
                      </w:rPr>
                    </w:pPr>
                    <w:r w:rsidRPr="00CA56B0">
                      <w:rPr>
                        <w:rFonts w:ascii="Calibri" w:eastAsia="Calibri" w:hAnsi="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AD43A" w14:textId="7D1B0556" w:rsidR="00CA56B0" w:rsidRDefault="00CA56B0">
    <w:pPr>
      <w:pStyle w:val="Footer"/>
    </w:pPr>
    <w:r>
      <w:rPr>
        <w:noProof/>
      </w:rPr>
      <mc:AlternateContent>
        <mc:Choice Requires="wps">
          <w:drawing>
            <wp:anchor distT="0" distB="0" distL="0" distR="0" simplePos="0" relativeHeight="251658240" behindDoc="0" locked="0" layoutInCell="1" allowOverlap="1" wp14:anchorId="10A8BAE4" wp14:editId="45EEF657">
              <wp:simplePos x="635" y="635"/>
              <wp:positionH relativeFrom="page">
                <wp:align>center</wp:align>
              </wp:positionH>
              <wp:positionV relativeFrom="page">
                <wp:align>bottom</wp:align>
              </wp:positionV>
              <wp:extent cx="403225" cy="370205"/>
              <wp:effectExtent l="0" t="0" r="15875" b="0"/>
              <wp:wrapNone/>
              <wp:docPr id="807174553"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03225" cy="370205"/>
                      </a:xfrm>
                      <a:prstGeom prst="rect">
                        <a:avLst/>
                      </a:prstGeom>
                      <a:noFill/>
                      <a:ln>
                        <a:noFill/>
                      </a:ln>
                    </wps:spPr>
                    <wps:txbx>
                      <w:txbxContent>
                        <w:p w14:paraId="12512D29" w14:textId="4F3E27B4" w:rsidR="00CA56B0" w:rsidRPr="00CA56B0" w:rsidRDefault="00CA56B0" w:rsidP="00CA56B0">
                          <w:pPr>
                            <w:spacing w:after="0"/>
                            <w:rPr>
                              <w:rFonts w:ascii="Calibri" w:eastAsia="Calibri" w:hAnsi="Calibri" w:cs="Calibri"/>
                              <w:noProof/>
                              <w:color w:val="000000"/>
                              <w:sz w:val="20"/>
                              <w:szCs w:val="20"/>
                            </w:rPr>
                          </w:pPr>
                          <w:r w:rsidRPr="00CA56B0">
                            <w:rPr>
                              <w:rFonts w:ascii="Calibri" w:eastAsia="Calibri" w:hAnsi="Calibri" w:cs="Calibri"/>
                              <w:noProof/>
                              <w:color w:val="000000"/>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A8BAE4" id="_x0000_t202" coordsize="21600,21600" o:spt="202" path="m,l,21600r21600,l21600,xe">
              <v:stroke joinstyle="miter"/>
              <v:path gradientshapeok="t" o:connecttype="rect"/>
            </v:shapetype>
            <v:shape id="Text Box 1" o:spid="_x0000_s1028" type="#_x0000_t202" alt="Internal" style="position:absolute;margin-left:0;margin-top:0;width:31.75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" filled="f" stroked="f">
              <v:textbox style="mso-fit-shape-to-text:t" inset="0,0,0,15pt">
                <w:txbxContent>
                  <w:p w14:paraId="12512D29" w14:textId="4F3E27B4" w:rsidR="00CA56B0" w:rsidRPr="00CA56B0" w:rsidRDefault="00CA56B0" w:rsidP="00CA56B0">
                    <w:pPr>
                      <w:spacing w:after="0"/>
                      <w:rPr>
                        <w:rFonts w:ascii="Calibri" w:eastAsia="Calibri" w:hAnsi="Calibri" w:cs="Calibri"/>
                        <w:noProof/>
                        <w:color w:val="000000"/>
                        <w:sz w:val="20"/>
                        <w:szCs w:val="20"/>
                      </w:rPr>
                    </w:pPr>
                    <w:r w:rsidRPr="00CA56B0">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4720A" w14:textId="77777777" w:rsidR="00215279" w:rsidRDefault="00215279" w:rsidP="00CA56B0">
      <w:pPr>
        <w:spacing w:after="0" w:line="240" w:lineRule="auto"/>
      </w:pPr>
      <w:r>
        <w:separator/>
      </w:r>
    </w:p>
  </w:footnote>
  <w:footnote w:type="continuationSeparator" w:id="0">
    <w:p w14:paraId="73E098CC" w14:textId="77777777" w:rsidR="00215279" w:rsidRDefault="00215279" w:rsidP="00CA56B0">
      <w:pPr>
        <w:spacing w:after="0" w:line="240" w:lineRule="auto"/>
      </w:pPr>
      <w:r>
        <w:continuationSeparator/>
      </w:r>
    </w:p>
  </w:footnote>
  <w:footnote w:type="continuationNotice" w:id="1">
    <w:p w14:paraId="2159BC94" w14:textId="77777777" w:rsidR="00215279" w:rsidRDefault="00215279">
      <w:pPr>
        <w:spacing w:after="0" w:line="240" w:lineRule="auto"/>
      </w:pPr>
    </w:p>
  </w:footnote>
  <w:footnote w:id="2">
    <w:p w14:paraId="00C358E1" w14:textId="63FCEF98" w:rsidR="006734E7" w:rsidRPr="006734E7" w:rsidRDefault="006734E7">
      <w:pPr>
        <w:pStyle w:val="FootnoteText"/>
      </w:pPr>
      <w:r>
        <w:rPr>
          <w:rStyle w:val="FootnoteReference"/>
        </w:rPr>
        <w:footnoteRef/>
      </w:r>
      <w:r>
        <w:t xml:space="preserve"> </w:t>
      </w:r>
      <w:r w:rsidRPr="006734E7">
        <w:t>More specifically, ESMA indicates in the report that non-EEA entities trading on EU regulated markets, whose clearing is done in a third country CCP are not covered, unless these entities clear their trades with an EU clearing member. ESMA also points out that its analysis does not include those energy derivatives traded on organised trading facilities with physical settlement are not considered financial instruments and are not subject to EMIR requirements.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00940"/>
    <w:multiLevelType w:val="hybridMultilevel"/>
    <w:tmpl w:val="3760D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0E76"/>
    <w:multiLevelType w:val="hybridMultilevel"/>
    <w:tmpl w:val="354ACD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DF69BF"/>
    <w:multiLevelType w:val="hybridMultilevel"/>
    <w:tmpl w:val="0BBE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00781"/>
    <w:multiLevelType w:val="multilevel"/>
    <w:tmpl w:val="36B42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6836B1"/>
    <w:multiLevelType w:val="hybridMultilevel"/>
    <w:tmpl w:val="9734332E"/>
    <w:lvl w:ilvl="0" w:tplc="225EB538">
      <w:start w:val="1"/>
      <w:numFmt w:val="bullet"/>
      <w:lvlText w:val="-"/>
      <w:lvlJc w:val="left"/>
      <w:pPr>
        <w:ind w:left="400" w:hanging="360"/>
      </w:pPr>
      <w:rPr>
        <w:rFonts w:ascii="Calibri" w:eastAsiaTheme="majorEastAsia" w:hAnsi="Calibri" w:cs="Calibr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5" w15:restartNumberingAfterBreak="0">
    <w:nsid w:val="2EAC3ABD"/>
    <w:multiLevelType w:val="hybridMultilevel"/>
    <w:tmpl w:val="267A81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7B511E"/>
    <w:multiLevelType w:val="hybridMultilevel"/>
    <w:tmpl w:val="F09A0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B95986"/>
    <w:multiLevelType w:val="hybridMultilevel"/>
    <w:tmpl w:val="44B437D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D2265B"/>
    <w:multiLevelType w:val="hybridMultilevel"/>
    <w:tmpl w:val="E1285606"/>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2DF7499"/>
    <w:multiLevelType w:val="hybridMultilevel"/>
    <w:tmpl w:val="790E70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492E76"/>
    <w:multiLevelType w:val="hybridMultilevel"/>
    <w:tmpl w:val="1CF42E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A65935"/>
    <w:multiLevelType w:val="multilevel"/>
    <w:tmpl w:val="0B30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6237A77"/>
    <w:multiLevelType w:val="hybridMultilevel"/>
    <w:tmpl w:val="1682F3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8835453">
    <w:abstractNumId w:val="0"/>
  </w:num>
  <w:num w:numId="2" w16cid:durableId="674500966">
    <w:abstractNumId w:val="6"/>
  </w:num>
  <w:num w:numId="3" w16cid:durableId="580258656">
    <w:abstractNumId w:val="2"/>
  </w:num>
  <w:num w:numId="4" w16cid:durableId="1182427979">
    <w:abstractNumId w:val="3"/>
  </w:num>
  <w:num w:numId="5" w16cid:durableId="959610328">
    <w:abstractNumId w:val="11"/>
  </w:num>
  <w:num w:numId="6" w16cid:durableId="785006396">
    <w:abstractNumId w:val="1"/>
  </w:num>
  <w:num w:numId="7" w16cid:durableId="122770466">
    <w:abstractNumId w:val="10"/>
  </w:num>
  <w:num w:numId="8" w16cid:durableId="866530545">
    <w:abstractNumId w:val="7"/>
  </w:num>
  <w:num w:numId="9" w16cid:durableId="242376720">
    <w:abstractNumId w:val="12"/>
  </w:num>
  <w:num w:numId="10" w16cid:durableId="1744256682">
    <w:abstractNumId w:val="9"/>
  </w:num>
  <w:num w:numId="11" w16cid:durableId="895312896">
    <w:abstractNumId w:val="4"/>
  </w:num>
  <w:num w:numId="12" w16cid:durableId="495921961">
    <w:abstractNumId w:val="8"/>
  </w:num>
  <w:num w:numId="13" w16cid:durableId="470753876">
    <w:abstractNumId w:val="5"/>
  </w:num>
  <w:num w:numId="14" w16cid:durableId="58362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3E5"/>
    <w:rsid w:val="00005080"/>
    <w:rsid w:val="000163A9"/>
    <w:rsid w:val="00020945"/>
    <w:rsid w:val="00025A7C"/>
    <w:rsid w:val="000302EE"/>
    <w:rsid w:val="00040043"/>
    <w:rsid w:val="00045186"/>
    <w:rsid w:val="00052BD0"/>
    <w:rsid w:val="00053FE3"/>
    <w:rsid w:val="000675E6"/>
    <w:rsid w:val="00091EC0"/>
    <w:rsid w:val="00093230"/>
    <w:rsid w:val="000A13E1"/>
    <w:rsid w:val="000A4B09"/>
    <w:rsid w:val="000A56D0"/>
    <w:rsid w:val="000A6D7C"/>
    <w:rsid w:val="000B412F"/>
    <w:rsid w:val="000D20E4"/>
    <w:rsid w:val="000E61AE"/>
    <w:rsid w:val="000F5404"/>
    <w:rsid w:val="000F7B2A"/>
    <w:rsid w:val="00105D40"/>
    <w:rsid w:val="0015567D"/>
    <w:rsid w:val="001673E1"/>
    <w:rsid w:val="001724D2"/>
    <w:rsid w:val="00174854"/>
    <w:rsid w:val="00185E99"/>
    <w:rsid w:val="00190CDA"/>
    <w:rsid w:val="001B1305"/>
    <w:rsid w:val="001B5799"/>
    <w:rsid w:val="001B6FC5"/>
    <w:rsid w:val="001C2981"/>
    <w:rsid w:val="001C3395"/>
    <w:rsid w:val="001F1783"/>
    <w:rsid w:val="001F77F3"/>
    <w:rsid w:val="00206A2F"/>
    <w:rsid w:val="00210B8B"/>
    <w:rsid w:val="00214F02"/>
    <w:rsid w:val="00215279"/>
    <w:rsid w:val="0023127D"/>
    <w:rsid w:val="00234986"/>
    <w:rsid w:val="00243567"/>
    <w:rsid w:val="00253FF4"/>
    <w:rsid w:val="0027598A"/>
    <w:rsid w:val="00280A51"/>
    <w:rsid w:val="002871C1"/>
    <w:rsid w:val="00296E3D"/>
    <w:rsid w:val="002B2808"/>
    <w:rsid w:val="002B40DD"/>
    <w:rsid w:val="002B602D"/>
    <w:rsid w:val="002C1F19"/>
    <w:rsid w:val="002C4001"/>
    <w:rsid w:val="002D1035"/>
    <w:rsid w:val="002D63E5"/>
    <w:rsid w:val="00321AF4"/>
    <w:rsid w:val="00323FBE"/>
    <w:rsid w:val="00353EDF"/>
    <w:rsid w:val="00367FFC"/>
    <w:rsid w:val="00373287"/>
    <w:rsid w:val="003B55BD"/>
    <w:rsid w:val="003C62A3"/>
    <w:rsid w:val="003C75BD"/>
    <w:rsid w:val="003D13B0"/>
    <w:rsid w:val="003D4504"/>
    <w:rsid w:val="003E3B4A"/>
    <w:rsid w:val="003F434F"/>
    <w:rsid w:val="00402BB5"/>
    <w:rsid w:val="00417CC6"/>
    <w:rsid w:val="00424186"/>
    <w:rsid w:val="00424809"/>
    <w:rsid w:val="00452C0A"/>
    <w:rsid w:val="00454700"/>
    <w:rsid w:val="00464736"/>
    <w:rsid w:val="00484788"/>
    <w:rsid w:val="00486620"/>
    <w:rsid w:val="004A3084"/>
    <w:rsid w:val="004A3E47"/>
    <w:rsid w:val="004B7C91"/>
    <w:rsid w:val="004C24B5"/>
    <w:rsid w:val="004D474E"/>
    <w:rsid w:val="004D6D0F"/>
    <w:rsid w:val="004F0F52"/>
    <w:rsid w:val="00501C96"/>
    <w:rsid w:val="00507B49"/>
    <w:rsid w:val="0053148E"/>
    <w:rsid w:val="005378D5"/>
    <w:rsid w:val="0054003B"/>
    <w:rsid w:val="00541BC7"/>
    <w:rsid w:val="00550D9B"/>
    <w:rsid w:val="00571C21"/>
    <w:rsid w:val="00580E70"/>
    <w:rsid w:val="005873C3"/>
    <w:rsid w:val="00592306"/>
    <w:rsid w:val="005C42BE"/>
    <w:rsid w:val="005C6141"/>
    <w:rsid w:val="005D06B6"/>
    <w:rsid w:val="005D0986"/>
    <w:rsid w:val="005D787A"/>
    <w:rsid w:val="005E70ED"/>
    <w:rsid w:val="005F08F0"/>
    <w:rsid w:val="00620FAD"/>
    <w:rsid w:val="00626004"/>
    <w:rsid w:val="006328D3"/>
    <w:rsid w:val="006416B5"/>
    <w:rsid w:val="00646E3D"/>
    <w:rsid w:val="006512CD"/>
    <w:rsid w:val="00655B54"/>
    <w:rsid w:val="006734E7"/>
    <w:rsid w:val="00682071"/>
    <w:rsid w:val="00684A0E"/>
    <w:rsid w:val="00685D52"/>
    <w:rsid w:val="006A7213"/>
    <w:rsid w:val="006D15A6"/>
    <w:rsid w:val="006E5A99"/>
    <w:rsid w:val="006E6494"/>
    <w:rsid w:val="006F49BD"/>
    <w:rsid w:val="007112AE"/>
    <w:rsid w:val="00731B6B"/>
    <w:rsid w:val="00736E9D"/>
    <w:rsid w:val="00765418"/>
    <w:rsid w:val="00781C30"/>
    <w:rsid w:val="00785513"/>
    <w:rsid w:val="0078644D"/>
    <w:rsid w:val="00793BCE"/>
    <w:rsid w:val="0079500E"/>
    <w:rsid w:val="00797DA5"/>
    <w:rsid w:val="007A5B06"/>
    <w:rsid w:val="007A682E"/>
    <w:rsid w:val="007B6BFC"/>
    <w:rsid w:val="007C2701"/>
    <w:rsid w:val="007C7958"/>
    <w:rsid w:val="007E0703"/>
    <w:rsid w:val="007E763C"/>
    <w:rsid w:val="007F721E"/>
    <w:rsid w:val="007F7A52"/>
    <w:rsid w:val="008100CD"/>
    <w:rsid w:val="00815C74"/>
    <w:rsid w:val="00847355"/>
    <w:rsid w:val="008567DC"/>
    <w:rsid w:val="0086207A"/>
    <w:rsid w:val="0087164F"/>
    <w:rsid w:val="00876635"/>
    <w:rsid w:val="00886CA8"/>
    <w:rsid w:val="008924F5"/>
    <w:rsid w:val="008B644F"/>
    <w:rsid w:val="008D731F"/>
    <w:rsid w:val="008D7E2D"/>
    <w:rsid w:val="008E26DA"/>
    <w:rsid w:val="008E418C"/>
    <w:rsid w:val="008E5E6D"/>
    <w:rsid w:val="008F2128"/>
    <w:rsid w:val="00901843"/>
    <w:rsid w:val="00917531"/>
    <w:rsid w:val="0092775E"/>
    <w:rsid w:val="00935D1C"/>
    <w:rsid w:val="0099639B"/>
    <w:rsid w:val="00997208"/>
    <w:rsid w:val="009A256B"/>
    <w:rsid w:val="009B438A"/>
    <w:rsid w:val="009E7AB6"/>
    <w:rsid w:val="009F5353"/>
    <w:rsid w:val="009F5EC6"/>
    <w:rsid w:val="00A04E5A"/>
    <w:rsid w:val="00A14D9E"/>
    <w:rsid w:val="00A20662"/>
    <w:rsid w:val="00A20EDA"/>
    <w:rsid w:val="00A23A6E"/>
    <w:rsid w:val="00A4104A"/>
    <w:rsid w:val="00A60C60"/>
    <w:rsid w:val="00A8081C"/>
    <w:rsid w:val="00A86DFB"/>
    <w:rsid w:val="00A96326"/>
    <w:rsid w:val="00AA288D"/>
    <w:rsid w:val="00AA2FC1"/>
    <w:rsid w:val="00AA31C4"/>
    <w:rsid w:val="00AC5175"/>
    <w:rsid w:val="00AD5D83"/>
    <w:rsid w:val="00AF2649"/>
    <w:rsid w:val="00AF3F9D"/>
    <w:rsid w:val="00B22CEE"/>
    <w:rsid w:val="00B43EDE"/>
    <w:rsid w:val="00B54523"/>
    <w:rsid w:val="00B6039A"/>
    <w:rsid w:val="00B749DC"/>
    <w:rsid w:val="00B8719C"/>
    <w:rsid w:val="00B9703C"/>
    <w:rsid w:val="00BA38DD"/>
    <w:rsid w:val="00BC682E"/>
    <w:rsid w:val="00BD4A38"/>
    <w:rsid w:val="00BE7A9E"/>
    <w:rsid w:val="00C10813"/>
    <w:rsid w:val="00C200E5"/>
    <w:rsid w:val="00C621FD"/>
    <w:rsid w:val="00C93CE7"/>
    <w:rsid w:val="00CA56B0"/>
    <w:rsid w:val="00CB2296"/>
    <w:rsid w:val="00CC023D"/>
    <w:rsid w:val="00CC50F7"/>
    <w:rsid w:val="00CE517E"/>
    <w:rsid w:val="00CF0BAB"/>
    <w:rsid w:val="00D04E19"/>
    <w:rsid w:val="00D110EA"/>
    <w:rsid w:val="00D13090"/>
    <w:rsid w:val="00D2091E"/>
    <w:rsid w:val="00D20B19"/>
    <w:rsid w:val="00D40837"/>
    <w:rsid w:val="00D41094"/>
    <w:rsid w:val="00D57E0E"/>
    <w:rsid w:val="00D800A6"/>
    <w:rsid w:val="00D86124"/>
    <w:rsid w:val="00D958B1"/>
    <w:rsid w:val="00DA36AB"/>
    <w:rsid w:val="00DA480D"/>
    <w:rsid w:val="00DC4A78"/>
    <w:rsid w:val="00DD0E4C"/>
    <w:rsid w:val="00DD127E"/>
    <w:rsid w:val="00DD4999"/>
    <w:rsid w:val="00DE22F5"/>
    <w:rsid w:val="00DF7C82"/>
    <w:rsid w:val="00E067C0"/>
    <w:rsid w:val="00E42335"/>
    <w:rsid w:val="00E45B66"/>
    <w:rsid w:val="00E538C1"/>
    <w:rsid w:val="00E56427"/>
    <w:rsid w:val="00E67390"/>
    <w:rsid w:val="00E70232"/>
    <w:rsid w:val="00E729BC"/>
    <w:rsid w:val="00EA6F5D"/>
    <w:rsid w:val="00EB09AB"/>
    <w:rsid w:val="00EB1336"/>
    <w:rsid w:val="00EC76AA"/>
    <w:rsid w:val="00ED2048"/>
    <w:rsid w:val="00F05A23"/>
    <w:rsid w:val="00F1333C"/>
    <w:rsid w:val="00F2557A"/>
    <w:rsid w:val="00F31B0E"/>
    <w:rsid w:val="00F34091"/>
    <w:rsid w:val="00F35206"/>
    <w:rsid w:val="00F760E3"/>
    <w:rsid w:val="00F83899"/>
    <w:rsid w:val="00F839B3"/>
    <w:rsid w:val="00F955F1"/>
    <w:rsid w:val="00FA5386"/>
    <w:rsid w:val="00FB7157"/>
    <w:rsid w:val="00FD0E3B"/>
    <w:rsid w:val="00FD3658"/>
    <w:rsid w:val="00FD4D0C"/>
    <w:rsid w:val="00FD79C3"/>
    <w:rsid w:val="00FD7FED"/>
    <w:rsid w:val="00FE2B1C"/>
    <w:rsid w:val="00FE4B64"/>
    <w:rsid w:val="00FF6C80"/>
    <w:rsid w:val="00FF7C21"/>
    <w:rsid w:val="7BF68E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FC81"/>
  <w15:chartTrackingRefBased/>
  <w15:docId w15:val="{2D810E13-C1B4-4936-B205-30632BE4E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63E5"/>
    <w:rPr>
      <w:rFonts w:eastAsiaTheme="majorEastAsia" w:cstheme="majorBidi"/>
      <w:color w:val="272727" w:themeColor="text1" w:themeTint="D8"/>
    </w:rPr>
  </w:style>
  <w:style w:type="paragraph" w:styleId="Title">
    <w:name w:val="Title"/>
    <w:basedOn w:val="Normal"/>
    <w:next w:val="Normal"/>
    <w:link w:val="TitleChar"/>
    <w:uiPriority w:val="10"/>
    <w:qFormat/>
    <w:rsid w:val="002D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63E5"/>
    <w:pPr>
      <w:spacing w:before="160"/>
      <w:jc w:val="center"/>
    </w:pPr>
    <w:rPr>
      <w:i/>
      <w:iCs/>
      <w:color w:val="404040" w:themeColor="text1" w:themeTint="BF"/>
    </w:rPr>
  </w:style>
  <w:style w:type="character" w:customStyle="1" w:styleId="QuoteChar">
    <w:name w:val="Quote Char"/>
    <w:basedOn w:val="DefaultParagraphFont"/>
    <w:link w:val="Quote"/>
    <w:uiPriority w:val="29"/>
    <w:rsid w:val="002D63E5"/>
    <w:rPr>
      <w:i/>
      <w:iCs/>
      <w:color w:val="404040" w:themeColor="text1" w:themeTint="BF"/>
    </w:rPr>
  </w:style>
  <w:style w:type="paragraph" w:styleId="ListParagraph">
    <w:name w:val="List Paragraph"/>
    <w:basedOn w:val="Normal"/>
    <w:uiPriority w:val="34"/>
    <w:qFormat/>
    <w:rsid w:val="002D63E5"/>
    <w:pPr>
      <w:ind w:left="720"/>
      <w:contextualSpacing/>
    </w:pPr>
  </w:style>
  <w:style w:type="character" w:styleId="IntenseEmphasis">
    <w:name w:val="Intense Emphasis"/>
    <w:basedOn w:val="DefaultParagraphFont"/>
    <w:uiPriority w:val="21"/>
    <w:qFormat/>
    <w:rsid w:val="002D63E5"/>
    <w:rPr>
      <w:i/>
      <w:iCs/>
      <w:color w:val="0F4761" w:themeColor="accent1" w:themeShade="BF"/>
    </w:rPr>
  </w:style>
  <w:style w:type="paragraph" w:styleId="IntenseQuote">
    <w:name w:val="Intense Quote"/>
    <w:basedOn w:val="Normal"/>
    <w:next w:val="Normal"/>
    <w:link w:val="IntenseQuoteChar"/>
    <w:uiPriority w:val="30"/>
    <w:qFormat/>
    <w:rsid w:val="002D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63E5"/>
    <w:rPr>
      <w:i/>
      <w:iCs/>
      <w:color w:val="0F4761" w:themeColor="accent1" w:themeShade="BF"/>
    </w:rPr>
  </w:style>
  <w:style w:type="character" w:styleId="IntenseReference">
    <w:name w:val="Intense Reference"/>
    <w:basedOn w:val="DefaultParagraphFont"/>
    <w:uiPriority w:val="32"/>
    <w:qFormat/>
    <w:rsid w:val="002D63E5"/>
    <w:rPr>
      <w:b/>
      <w:bCs/>
      <w:smallCaps/>
      <w:color w:val="0F4761" w:themeColor="accent1" w:themeShade="BF"/>
      <w:spacing w:val="5"/>
    </w:rPr>
  </w:style>
  <w:style w:type="paragraph" w:customStyle="1" w:styleId="paragraph">
    <w:name w:val="paragraph"/>
    <w:basedOn w:val="Normal"/>
    <w:rsid w:val="002D63E5"/>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D63E5"/>
  </w:style>
  <w:style w:type="character" w:customStyle="1" w:styleId="eop">
    <w:name w:val="eop"/>
    <w:basedOn w:val="DefaultParagraphFont"/>
    <w:rsid w:val="002D63E5"/>
  </w:style>
  <w:style w:type="paragraph" w:styleId="Footer">
    <w:name w:val="footer"/>
    <w:basedOn w:val="Normal"/>
    <w:link w:val="FooterChar"/>
    <w:uiPriority w:val="99"/>
    <w:unhideWhenUsed/>
    <w:rsid w:val="00CA5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6B0"/>
  </w:style>
  <w:style w:type="character" w:customStyle="1" w:styleId="apple-converted-space">
    <w:name w:val="apple-converted-space"/>
    <w:basedOn w:val="DefaultParagraphFont"/>
    <w:rsid w:val="000A56D0"/>
  </w:style>
  <w:style w:type="character" w:styleId="CommentReference">
    <w:name w:val="annotation reference"/>
    <w:basedOn w:val="DefaultParagraphFont"/>
    <w:uiPriority w:val="99"/>
    <w:semiHidden/>
    <w:unhideWhenUsed/>
    <w:rsid w:val="0015567D"/>
    <w:rPr>
      <w:sz w:val="16"/>
      <w:szCs w:val="16"/>
    </w:rPr>
  </w:style>
  <w:style w:type="paragraph" w:styleId="CommentText">
    <w:name w:val="annotation text"/>
    <w:basedOn w:val="Normal"/>
    <w:link w:val="CommentTextChar"/>
    <w:uiPriority w:val="99"/>
    <w:unhideWhenUsed/>
    <w:rsid w:val="0015567D"/>
    <w:pPr>
      <w:spacing w:line="240" w:lineRule="auto"/>
    </w:pPr>
    <w:rPr>
      <w:sz w:val="20"/>
      <w:szCs w:val="20"/>
    </w:rPr>
  </w:style>
  <w:style w:type="character" w:customStyle="1" w:styleId="CommentTextChar">
    <w:name w:val="Comment Text Char"/>
    <w:basedOn w:val="DefaultParagraphFont"/>
    <w:link w:val="CommentText"/>
    <w:uiPriority w:val="99"/>
    <w:rsid w:val="0015567D"/>
    <w:rPr>
      <w:sz w:val="20"/>
      <w:szCs w:val="20"/>
    </w:rPr>
  </w:style>
  <w:style w:type="paragraph" w:styleId="CommentSubject">
    <w:name w:val="annotation subject"/>
    <w:basedOn w:val="CommentText"/>
    <w:next w:val="CommentText"/>
    <w:link w:val="CommentSubjectChar"/>
    <w:uiPriority w:val="99"/>
    <w:semiHidden/>
    <w:unhideWhenUsed/>
    <w:rsid w:val="0015567D"/>
    <w:rPr>
      <w:b/>
      <w:bCs/>
    </w:rPr>
  </w:style>
  <w:style w:type="character" w:customStyle="1" w:styleId="CommentSubjectChar">
    <w:name w:val="Comment Subject Char"/>
    <w:basedOn w:val="CommentTextChar"/>
    <w:link w:val="CommentSubject"/>
    <w:uiPriority w:val="99"/>
    <w:semiHidden/>
    <w:rsid w:val="0015567D"/>
    <w:rPr>
      <w:b/>
      <w:bCs/>
      <w:sz w:val="20"/>
      <w:szCs w:val="20"/>
    </w:rPr>
  </w:style>
  <w:style w:type="paragraph" w:styleId="Revision">
    <w:name w:val="Revision"/>
    <w:hidden/>
    <w:uiPriority w:val="99"/>
    <w:semiHidden/>
    <w:rsid w:val="00F34091"/>
    <w:pPr>
      <w:spacing w:after="0" w:line="240" w:lineRule="auto"/>
    </w:pPr>
  </w:style>
  <w:style w:type="paragraph" w:styleId="Header">
    <w:name w:val="header"/>
    <w:basedOn w:val="Normal"/>
    <w:link w:val="HeaderChar"/>
    <w:uiPriority w:val="99"/>
    <w:semiHidden/>
    <w:unhideWhenUsed/>
    <w:rsid w:val="00CC02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023D"/>
  </w:style>
  <w:style w:type="character" w:styleId="Hyperlink">
    <w:name w:val="Hyperlink"/>
    <w:basedOn w:val="DefaultParagraphFont"/>
    <w:uiPriority w:val="99"/>
    <w:unhideWhenUsed/>
    <w:rsid w:val="005C42BE"/>
    <w:rPr>
      <w:color w:val="467886" w:themeColor="hyperlink"/>
      <w:u w:val="single"/>
    </w:rPr>
  </w:style>
  <w:style w:type="character" w:styleId="UnresolvedMention">
    <w:name w:val="Unresolved Mention"/>
    <w:basedOn w:val="DefaultParagraphFont"/>
    <w:uiPriority w:val="99"/>
    <w:semiHidden/>
    <w:unhideWhenUsed/>
    <w:rsid w:val="005C42BE"/>
    <w:rPr>
      <w:color w:val="605E5C"/>
      <w:shd w:val="clear" w:color="auto" w:fill="E1DFDD"/>
    </w:rPr>
  </w:style>
  <w:style w:type="character" w:styleId="FollowedHyperlink">
    <w:name w:val="FollowedHyperlink"/>
    <w:basedOn w:val="DefaultParagraphFont"/>
    <w:uiPriority w:val="99"/>
    <w:semiHidden/>
    <w:unhideWhenUsed/>
    <w:rsid w:val="001B1305"/>
    <w:rPr>
      <w:color w:val="96607D" w:themeColor="followedHyperlink"/>
      <w:u w:val="single"/>
    </w:rPr>
  </w:style>
  <w:style w:type="paragraph" w:styleId="EndnoteText">
    <w:name w:val="endnote text"/>
    <w:basedOn w:val="Normal"/>
    <w:link w:val="EndnoteTextChar"/>
    <w:uiPriority w:val="99"/>
    <w:semiHidden/>
    <w:unhideWhenUsed/>
    <w:rsid w:val="003F43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434F"/>
    <w:rPr>
      <w:sz w:val="20"/>
      <w:szCs w:val="20"/>
    </w:rPr>
  </w:style>
  <w:style w:type="character" w:styleId="EndnoteReference">
    <w:name w:val="endnote reference"/>
    <w:basedOn w:val="DefaultParagraphFont"/>
    <w:uiPriority w:val="99"/>
    <w:semiHidden/>
    <w:unhideWhenUsed/>
    <w:rsid w:val="003F434F"/>
    <w:rPr>
      <w:vertAlign w:val="superscript"/>
    </w:rPr>
  </w:style>
  <w:style w:type="paragraph" w:styleId="FootnoteText">
    <w:name w:val="footnote text"/>
    <w:basedOn w:val="Normal"/>
    <w:link w:val="FootnoteTextChar"/>
    <w:uiPriority w:val="99"/>
    <w:semiHidden/>
    <w:unhideWhenUsed/>
    <w:rsid w:val="003F43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34F"/>
    <w:rPr>
      <w:sz w:val="20"/>
      <w:szCs w:val="20"/>
    </w:rPr>
  </w:style>
  <w:style w:type="character" w:styleId="FootnoteReference">
    <w:name w:val="footnote reference"/>
    <w:basedOn w:val="DefaultParagraphFont"/>
    <w:uiPriority w:val="99"/>
    <w:semiHidden/>
    <w:unhideWhenUsed/>
    <w:rsid w:val="003F43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0777">
      <w:bodyDiv w:val="1"/>
      <w:marLeft w:val="0"/>
      <w:marRight w:val="0"/>
      <w:marTop w:val="0"/>
      <w:marBottom w:val="0"/>
      <w:divBdr>
        <w:top w:val="none" w:sz="0" w:space="0" w:color="auto"/>
        <w:left w:val="none" w:sz="0" w:space="0" w:color="auto"/>
        <w:bottom w:val="none" w:sz="0" w:space="0" w:color="auto"/>
        <w:right w:val="none" w:sz="0" w:space="0" w:color="auto"/>
      </w:divBdr>
      <w:divsChild>
        <w:div w:id="446970834">
          <w:marLeft w:val="0"/>
          <w:marRight w:val="0"/>
          <w:marTop w:val="0"/>
          <w:marBottom w:val="0"/>
          <w:divBdr>
            <w:top w:val="none" w:sz="0" w:space="0" w:color="auto"/>
            <w:left w:val="none" w:sz="0" w:space="0" w:color="auto"/>
            <w:bottom w:val="none" w:sz="0" w:space="0" w:color="auto"/>
            <w:right w:val="none" w:sz="0" w:space="0" w:color="auto"/>
          </w:divBdr>
          <w:divsChild>
            <w:div w:id="726802965">
              <w:marLeft w:val="0"/>
              <w:marRight w:val="0"/>
              <w:marTop w:val="0"/>
              <w:marBottom w:val="0"/>
              <w:divBdr>
                <w:top w:val="none" w:sz="0" w:space="0" w:color="auto"/>
                <w:left w:val="none" w:sz="0" w:space="0" w:color="auto"/>
                <w:bottom w:val="none" w:sz="0" w:space="0" w:color="auto"/>
                <w:right w:val="none" w:sz="0" w:space="0" w:color="auto"/>
              </w:divBdr>
              <w:divsChild>
                <w:div w:id="11107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35280">
      <w:bodyDiv w:val="1"/>
      <w:marLeft w:val="0"/>
      <w:marRight w:val="0"/>
      <w:marTop w:val="0"/>
      <w:marBottom w:val="0"/>
      <w:divBdr>
        <w:top w:val="none" w:sz="0" w:space="0" w:color="auto"/>
        <w:left w:val="none" w:sz="0" w:space="0" w:color="auto"/>
        <w:bottom w:val="none" w:sz="0" w:space="0" w:color="auto"/>
        <w:right w:val="none" w:sz="0" w:space="0" w:color="auto"/>
      </w:divBdr>
    </w:div>
    <w:div w:id="255873052">
      <w:bodyDiv w:val="1"/>
      <w:marLeft w:val="0"/>
      <w:marRight w:val="0"/>
      <w:marTop w:val="0"/>
      <w:marBottom w:val="0"/>
      <w:divBdr>
        <w:top w:val="none" w:sz="0" w:space="0" w:color="auto"/>
        <w:left w:val="none" w:sz="0" w:space="0" w:color="auto"/>
        <w:bottom w:val="none" w:sz="0" w:space="0" w:color="auto"/>
        <w:right w:val="none" w:sz="0" w:space="0" w:color="auto"/>
      </w:divBdr>
      <w:divsChild>
        <w:div w:id="264001416">
          <w:marLeft w:val="0"/>
          <w:marRight w:val="0"/>
          <w:marTop w:val="0"/>
          <w:marBottom w:val="0"/>
          <w:divBdr>
            <w:top w:val="none" w:sz="0" w:space="0" w:color="auto"/>
            <w:left w:val="none" w:sz="0" w:space="0" w:color="auto"/>
            <w:bottom w:val="none" w:sz="0" w:space="0" w:color="auto"/>
            <w:right w:val="none" w:sz="0" w:space="0" w:color="auto"/>
          </w:divBdr>
          <w:divsChild>
            <w:div w:id="747700591">
              <w:marLeft w:val="0"/>
              <w:marRight w:val="0"/>
              <w:marTop w:val="0"/>
              <w:marBottom w:val="0"/>
              <w:divBdr>
                <w:top w:val="none" w:sz="0" w:space="0" w:color="auto"/>
                <w:left w:val="none" w:sz="0" w:space="0" w:color="auto"/>
                <w:bottom w:val="none" w:sz="0" w:space="0" w:color="auto"/>
                <w:right w:val="none" w:sz="0" w:space="0" w:color="auto"/>
              </w:divBdr>
              <w:divsChild>
                <w:div w:id="106066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526961">
      <w:bodyDiv w:val="1"/>
      <w:marLeft w:val="0"/>
      <w:marRight w:val="0"/>
      <w:marTop w:val="0"/>
      <w:marBottom w:val="0"/>
      <w:divBdr>
        <w:top w:val="none" w:sz="0" w:space="0" w:color="auto"/>
        <w:left w:val="none" w:sz="0" w:space="0" w:color="auto"/>
        <w:bottom w:val="none" w:sz="0" w:space="0" w:color="auto"/>
        <w:right w:val="none" w:sz="0" w:space="0" w:color="auto"/>
      </w:divBdr>
    </w:div>
    <w:div w:id="481121020">
      <w:bodyDiv w:val="1"/>
      <w:marLeft w:val="0"/>
      <w:marRight w:val="0"/>
      <w:marTop w:val="0"/>
      <w:marBottom w:val="0"/>
      <w:divBdr>
        <w:top w:val="none" w:sz="0" w:space="0" w:color="auto"/>
        <w:left w:val="none" w:sz="0" w:space="0" w:color="auto"/>
        <w:bottom w:val="none" w:sz="0" w:space="0" w:color="auto"/>
        <w:right w:val="none" w:sz="0" w:space="0" w:color="auto"/>
      </w:divBdr>
    </w:div>
    <w:div w:id="620112436">
      <w:bodyDiv w:val="1"/>
      <w:marLeft w:val="0"/>
      <w:marRight w:val="0"/>
      <w:marTop w:val="0"/>
      <w:marBottom w:val="0"/>
      <w:divBdr>
        <w:top w:val="none" w:sz="0" w:space="0" w:color="auto"/>
        <w:left w:val="none" w:sz="0" w:space="0" w:color="auto"/>
        <w:bottom w:val="none" w:sz="0" w:space="0" w:color="auto"/>
        <w:right w:val="none" w:sz="0" w:space="0" w:color="auto"/>
      </w:divBdr>
      <w:divsChild>
        <w:div w:id="264506166">
          <w:marLeft w:val="0"/>
          <w:marRight w:val="0"/>
          <w:marTop w:val="0"/>
          <w:marBottom w:val="0"/>
          <w:divBdr>
            <w:top w:val="none" w:sz="0" w:space="0" w:color="auto"/>
            <w:left w:val="none" w:sz="0" w:space="0" w:color="auto"/>
            <w:bottom w:val="none" w:sz="0" w:space="0" w:color="auto"/>
            <w:right w:val="none" w:sz="0" w:space="0" w:color="auto"/>
          </w:divBdr>
          <w:divsChild>
            <w:div w:id="584531973">
              <w:marLeft w:val="0"/>
              <w:marRight w:val="0"/>
              <w:marTop w:val="0"/>
              <w:marBottom w:val="0"/>
              <w:divBdr>
                <w:top w:val="none" w:sz="0" w:space="0" w:color="auto"/>
                <w:left w:val="none" w:sz="0" w:space="0" w:color="auto"/>
                <w:bottom w:val="none" w:sz="0" w:space="0" w:color="auto"/>
                <w:right w:val="none" w:sz="0" w:space="0" w:color="auto"/>
              </w:divBdr>
              <w:divsChild>
                <w:div w:id="157250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111867">
      <w:bodyDiv w:val="1"/>
      <w:marLeft w:val="0"/>
      <w:marRight w:val="0"/>
      <w:marTop w:val="0"/>
      <w:marBottom w:val="0"/>
      <w:divBdr>
        <w:top w:val="none" w:sz="0" w:space="0" w:color="auto"/>
        <w:left w:val="none" w:sz="0" w:space="0" w:color="auto"/>
        <w:bottom w:val="none" w:sz="0" w:space="0" w:color="auto"/>
        <w:right w:val="none" w:sz="0" w:space="0" w:color="auto"/>
      </w:divBdr>
    </w:div>
    <w:div w:id="1161309838">
      <w:bodyDiv w:val="1"/>
      <w:marLeft w:val="0"/>
      <w:marRight w:val="0"/>
      <w:marTop w:val="0"/>
      <w:marBottom w:val="0"/>
      <w:divBdr>
        <w:top w:val="none" w:sz="0" w:space="0" w:color="auto"/>
        <w:left w:val="none" w:sz="0" w:space="0" w:color="auto"/>
        <w:bottom w:val="none" w:sz="0" w:space="0" w:color="auto"/>
        <w:right w:val="none" w:sz="0" w:space="0" w:color="auto"/>
      </w:divBdr>
      <w:divsChild>
        <w:div w:id="222257170">
          <w:marLeft w:val="0"/>
          <w:marRight w:val="0"/>
          <w:marTop w:val="0"/>
          <w:marBottom w:val="0"/>
          <w:divBdr>
            <w:top w:val="none" w:sz="0" w:space="0" w:color="auto"/>
            <w:left w:val="none" w:sz="0" w:space="0" w:color="auto"/>
            <w:bottom w:val="none" w:sz="0" w:space="0" w:color="auto"/>
            <w:right w:val="none" w:sz="0" w:space="0" w:color="auto"/>
          </w:divBdr>
          <w:divsChild>
            <w:div w:id="1391344197">
              <w:marLeft w:val="0"/>
              <w:marRight w:val="0"/>
              <w:marTop w:val="0"/>
              <w:marBottom w:val="0"/>
              <w:divBdr>
                <w:top w:val="none" w:sz="0" w:space="0" w:color="auto"/>
                <w:left w:val="none" w:sz="0" w:space="0" w:color="auto"/>
                <w:bottom w:val="none" w:sz="0" w:space="0" w:color="auto"/>
                <w:right w:val="none" w:sz="0" w:space="0" w:color="auto"/>
              </w:divBdr>
              <w:divsChild>
                <w:div w:id="4282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686811">
      <w:bodyDiv w:val="1"/>
      <w:marLeft w:val="0"/>
      <w:marRight w:val="0"/>
      <w:marTop w:val="0"/>
      <w:marBottom w:val="0"/>
      <w:divBdr>
        <w:top w:val="none" w:sz="0" w:space="0" w:color="auto"/>
        <w:left w:val="none" w:sz="0" w:space="0" w:color="auto"/>
        <w:bottom w:val="none" w:sz="0" w:space="0" w:color="auto"/>
        <w:right w:val="none" w:sz="0" w:space="0" w:color="auto"/>
      </w:divBdr>
      <w:divsChild>
        <w:div w:id="1852336838">
          <w:marLeft w:val="0"/>
          <w:marRight w:val="0"/>
          <w:marTop w:val="0"/>
          <w:marBottom w:val="0"/>
          <w:divBdr>
            <w:top w:val="none" w:sz="0" w:space="0" w:color="auto"/>
            <w:left w:val="none" w:sz="0" w:space="0" w:color="auto"/>
            <w:bottom w:val="none" w:sz="0" w:space="0" w:color="auto"/>
            <w:right w:val="none" w:sz="0" w:space="0" w:color="auto"/>
          </w:divBdr>
          <w:divsChild>
            <w:div w:id="102385331">
              <w:marLeft w:val="0"/>
              <w:marRight w:val="0"/>
              <w:marTop w:val="0"/>
              <w:marBottom w:val="0"/>
              <w:divBdr>
                <w:top w:val="none" w:sz="0" w:space="0" w:color="auto"/>
                <w:left w:val="none" w:sz="0" w:space="0" w:color="auto"/>
                <w:bottom w:val="none" w:sz="0" w:space="0" w:color="auto"/>
                <w:right w:val="none" w:sz="0" w:space="0" w:color="auto"/>
              </w:divBdr>
              <w:divsChild>
                <w:div w:id="81017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024176">
      <w:bodyDiv w:val="1"/>
      <w:marLeft w:val="0"/>
      <w:marRight w:val="0"/>
      <w:marTop w:val="0"/>
      <w:marBottom w:val="0"/>
      <w:divBdr>
        <w:top w:val="none" w:sz="0" w:space="0" w:color="auto"/>
        <w:left w:val="none" w:sz="0" w:space="0" w:color="auto"/>
        <w:bottom w:val="none" w:sz="0" w:space="0" w:color="auto"/>
        <w:right w:val="none" w:sz="0" w:space="0" w:color="auto"/>
      </w:divBdr>
      <w:divsChild>
        <w:div w:id="1419134713">
          <w:marLeft w:val="0"/>
          <w:marRight w:val="0"/>
          <w:marTop w:val="0"/>
          <w:marBottom w:val="0"/>
          <w:divBdr>
            <w:top w:val="none" w:sz="0" w:space="0" w:color="auto"/>
            <w:left w:val="none" w:sz="0" w:space="0" w:color="auto"/>
            <w:bottom w:val="none" w:sz="0" w:space="0" w:color="auto"/>
            <w:right w:val="none" w:sz="0" w:space="0" w:color="auto"/>
          </w:divBdr>
          <w:divsChild>
            <w:div w:id="195045765">
              <w:marLeft w:val="0"/>
              <w:marRight w:val="0"/>
              <w:marTop w:val="0"/>
              <w:marBottom w:val="0"/>
              <w:divBdr>
                <w:top w:val="none" w:sz="0" w:space="0" w:color="auto"/>
                <w:left w:val="none" w:sz="0" w:space="0" w:color="auto"/>
                <w:bottom w:val="none" w:sz="0" w:space="0" w:color="auto"/>
                <w:right w:val="none" w:sz="0" w:space="0" w:color="auto"/>
              </w:divBdr>
              <w:divsChild>
                <w:div w:id="12362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00667">
      <w:bodyDiv w:val="1"/>
      <w:marLeft w:val="0"/>
      <w:marRight w:val="0"/>
      <w:marTop w:val="0"/>
      <w:marBottom w:val="0"/>
      <w:divBdr>
        <w:top w:val="none" w:sz="0" w:space="0" w:color="auto"/>
        <w:left w:val="none" w:sz="0" w:space="0" w:color="auto"/>
        <w:bottom w:val="none" w:sz="0" w:space="0" w:color="auto"/>
        <w:right w:val="none" w:sz="0" w:space="0" w:color="auto"/>
      </w:divBdr>
      <w:divsChild>
        <w:div w:id="594624">
          <w:marLeft w:val="0"/>
          <w:marRight w:val="0"/>
          <w:marTop w:val="0"/>
          <w:marBottom w:val="0"/>
          <w:divBdr>
            <w:top w:val="none" w:sz="0" w:space="0" w:color="auto"/>
            <w:left w:val="none" w:sz="0" w:space="0" w:color="auto"/>
            <w:bottom w:val="none" w:sz="0" w:space="0" w:color="auto"/>
            <w:right w:val="none" w:sz="0" w:space="0" w:color="auto"/>
          </w:divBdr>
        </w:div>
        <w:div w:id="27998592">
          <w:marLeft w:val="0"/>
          <w:marRight w:val="0"/>
          <w:marTop w:val="0"/>
          <w:marBottom w:val="0"/>
          <w:divBdr>
            <w:top w:val="none" w:sz="0" w:space="0" w:color="auto"/>
            <w:left w:val="none" w:sz="0" w:space="0" w:color="auto"/>
            <w:bottom w:val="none" w:sz="0" w:space="0" w:color="auto"/>
            <w:right w:val="none" w:sz="0" w:space="0" w:color="auto"/>
          </w:divBdr>
        </w:div>
        <w:div w:id="72363595">
          <w:marLeft w:val="0"/>
          <w:marRight w:val="0"/>
          <w:marTop w:val="0"/>
          <w:marBottom w:val="0"/>
          <w:divBdr>
            <w:top w:val="none" w:sz="0" w:space="0" w:color="auto"/>
            <w:left w:val="none" w:sz="0" w:space="0" w:color="auto"/>
            <w:bottom w:val="none" w:sz="0" w:space="0" w:color="auto"/>
            <w:right w:val="none" w:sz="0" w:space="0" w:color="auto"/>
          </w:divBdr>
        </w:div>
        <w:div w:id="78602067">
          <w:marLeft w:val="0"/>
          <w:marRight w:val="0"/>
          <w:marTop w:val="0"/>
          <w:marBottom w:val="0"/>
          <w:divBdr>
            <w:top w:val="none" w:sz="0" w:space="0" w:color="auto"/>
            <w:left w:val="none" w:sz="0" w:space="0" w:color="auto"/>
            <w:bottom w:val="none" w:sz="0" w:space="0" w:color="auto"/>
            <w:right w:val="none" w:sz="0" w:space="0" w:color="auto"/>
          </w:divBdr>
        </w:div>
        <w:div w:id="94329773">
          <w:marLeft w:val="0"/>
          <w:marRight w:val="0"/>
          <w:marTop w:val="0"/>
          <w:marBottom w:val="0"/>
          <w:divBdr>
            <w:top w:val="none" w:sz="0" w:space="0" w:color="auto"/>
            <w:left w:val="none" w:sz="0" w:space="0" w:color="auto"/>
            <w:bottom w:val="none" w:sz="0" w:space="0" w:color="auto"/>
            <w:right w:val="none" w:sz="0" w:space="0" w:color="auto"/>
          </w:divBdr>
        </w:div>
        <w:div w:id="110637509">
          <w:marLeft w:val="0"/>
          <w:marRight w:val="0"/>
          <w:marTop w:val="0"/>
          <w:marBottom w:val="0"/>
          <w:divBdr>
            <w:top w:val="none" w:sz="0" w:space="0" w:color="auto"/>
            <w:left w:val="none" w:sz="0" w:space="0" w:color="auto"/>
            <w:bottom w:val="none" w:sz="0" w:space="0" w:color="auto"/>
            <w:right w:val="none" w:sz="0" w:space="0" w:color="auto"/>
          </w:divBdr>
        </w:div>
        <w:div w:id="124810055">
          <w:marLeft w:val="0"/>
          <w:marRight w:val="0"/>
          <w:marTop w:val="0"/>
          <w:marBottom w:val="0"/>
          <w:divBdr>
            <w:top w:val="none" w:sz="0" w:space="0" w:color="auto"/>
            <w:left w:val="none" w:sz="0" w:space="0" w:color="auto"/>
            <w:bottom w:val="none" w:sz="0" w:space="0" w:color="auto"/>
            <w:right w:val="none" w:sz="0" w:space="0" w:color="auto"/>
          </w:divBdr>
        </w:div>
        <w:div w:id="125781723">
          <w:marLeft w:val="0"/>
          <w:marRight w:val="0"/>
          <w:marTop w:val="0"/>
          <w:marBottom w:val="0"/>
          <w:divBdr>
            <w:top w:val="none" w:sz="0" w:space="0" w:color="auto"/>
            <w:left w:val="none" w:sz="0" w:space="0" w:color="auto"/>
            <w:bottom w:val="none" w:sz="0" w:space="0" w:color="auto"/>
            <w:right w:val="none" w:sz="0" w:space="0" w:color="auto"/>
          </w:divBdr>
        </w:div>
        <w:div w:id="199637252">
          <w:marLeft w:val="0"/>
          <w:marRight w:val="0"/>
          <w:marTop w:val="0"/>
          <w:marBottom w:val="0"/>
          <w:divBdr>
            <w:top w:val="none" w:sz="0" w:space="0" w:color="auto"/>
            <w:left w:val="none" w:sz="0" w:space="0" w:color="auto"/>
            <w:bottom w:val="none" w:sz="0" w:space="0" w:color="auto"/>
            <w:right w:val="none" w:sz="0" w:space="0" w:color="auto"/>
          </w:divBdr>
        </w:div>
        <w:div w:id="222906773">
          <w:marLeft w:val="0"/>
          <w:marRight w:val="0"/>
          <w:marTop w:val="0"/>
          <w:marBottom w:val="0"/>
          <w:divBdr>
            <w:top w:val="none" w:sz="0" w:space="0" w:color="auto"/>
            <w:left w:val="none" w:sz="0" w:space="0" w:color="auto"/>
            <w:bottom w:val="none" w:sz="0" w:space="0" w:color="auto"/>
            <w:right w:val="none" w:sz="0" w:space="0" w:color="auto"/>
          </w:divBdr>
        </w:div>
        <w:div w:id="224143818">
          <w:marLeft w:val="0"/>
          <w:marRight w:val="0"/>
          <w:marTop w:val="0"/>
          <w:marBottom w:val="0"/>
          <w:divBdr>
            <w:top w:val="none" w:sz="0" w:space="0" w:color="auto"/>
            <w:left w:val="none" w:sz="0" w:space="0" w:color="auto"/>
            <w:bottom w:val="none" w:sz="0" w:space="0" w:color="auto"/>
            <w:right w:val="none" w:sz="0" w:space="0" w:color="auto"/>
          </w:divBdr>
        </w:div>
        <w:div w:id="231165910">
          <w:marLeft w:val="0"/>
          <w:marRight w:val="0"/>
          <w:marTop w:val="0"/>
          <w:marBottom w:val="0"/>
          <w:divBdr>
            <w:top w:val="none" w:sz="0" w:space="0" w:color="auto"/>
            <w:left w:val="none" w:sz="0" w:space="0" w:color="auto"/>
            <w:bottom w:val="none" w:sz="0" w:space="0" w:color="auto"/>
            <w:right w:val="none" w:sz="0" w:space="0" w:color="auto"/>
          </w:divBdr>
        </w:div>
        <w:div w:id="277420467">
          <w:marLeft w:val="0"/>
          <w:marRight w:val="0"/>
          <w:marTop w:val="0"/>
          <w:marBottom w:val="0"/>
          <w:divBdr>
            <w:top w:val="none" w:sz="0" w:space="0" w:color="auto"/>
            <w:left w:val="none" w:sz="0" w:space="0" w:color="auto"/>
            <w:bottom w:val="none" w:sz="0" w:space="0" w:color="auto"/>
            <w:right w:val="none" w:sz="0" w:space="0" w:color="auto"/>
          </w:divBdr>
        </w:div>
        <w:div w:id="328145596">
          <w:marLeft w:val="0"/>
          <w:marRight w:val="0"/>
          <w:marTop w:val="0"/>
          <w:marBottom w:val="0"/>
          <w:divBdr>
            <w:top w:val="none" w:sz="0" w:space="0" w:color="auto"/>
            <w:left w:val="none" w:sz="0" w:space="0" w:color="auto"/>
            <w:bottom w:val="none" w:sz="0" w:space="0" w:color="auto"/>
            <w:right w:val="none" w:sz="0" w:space="0" w:color="auto"/>
          </w:divBdr>
        </w:div>
        <w:div w:id="401566110">
          <w:marLeft w:val="0"/>
          <w:marRight w:val="0"/>
          <w:marTop w:val="0"/>
          <w:marBottom w:val="0"/>
          <w:divBdr>
            <w:top w:val="none" w:sz="0" w:space="0" w:color="auto"/>
            <w:left w:val="none" w:sz="0" w:space="0" w:color="auto"/>
            <w:bottom w:val="none" w:sz="0" w:space="0" w:color="auto"/>
            <w:right w:val="none" w:sz="0" w:space="0" w:color="auto"/>
          </w:divBdr>
        </w:div>
        <w:div w:id="426929101">
          <w:marLeft w:val="0"/>
          <w:marRight w:val="0"/>
          <w:marTop w:val="0"/>
          <w:marBottom w:val="0"/>
          <w:divBdr>
            <w:top w:val="none" w:sz="0" w:space="0" w:color="auto"/>
            <w:left w:val="none" w:sz="0" w:space="0" w:color="auto"/>
            <w:bottom w:val="none" w:sz="0" w:space="0" w:color="auto"/>
            <w:right w:val="none" w:sz="0" w:space="0" w:color="auto"/>
          </w:divBdr>
        </w:div>
        <w:div w:id="445202183">
          <w:marLeft w:val="0"/>
          <w:marRight w:val="0"/>
          <w:marTop w:val="0"/>
          <w:marBottom w:val="0"/>
          <w:divBdr>
            <w:top w:val="none" w:sz="0" w:space="0" w:color="auto"/>
            <w:left w:val="none" w:sz="0" w:space="0" w:color="auto"/>
            <w:bottom w:val="none" w:sz="0" w:space="0" w:color="auto"/>
            <w:right w:val="none" w:sz="0" w:space="0" w:color="auto"/>
          </w:divBdr>
        </w:div>
        <w:div w:id="495926289">
          <w:marLeft w:val="0"/>
          <w:marRight w:val="0"/>
          <w:marTop w:val="0"/>
          <w:marBottom w:val="0"/>
          <w:divBdr>
            <w:top w:val="none" w:sz="0" w:space="0" w:color="auto"/>
            <w:left w:val="none" w:sz="0" w:space="0" w:color="auto"/>
            <w:bottom w:val="none" w:sz="0" w:space="0" w:color="auto"/>
            <w:right w:val="none" w:sz="0" w:space="0" w:color="auto"/>
          </w:divBdr>
        </w:div>
        <w:div w:id="531187423">
          <w:marLeft w:val="0"/>
          <w:marRight w:val="0"/>
          <w:marTop w:val="0"/>
          <w:marBottom w:val="0"/>
          <w:divBdr>
            <w:top w:val="none" w:sz="0" w:space="0" w:color="auto"/>
            <w:left w:val="none" w:sz="0" w:space="0" w:color="auto"/>
            <w:bottom w:val="none" w:sz="0" w:space="0" w:color="auto"/>
            <w:right w:val="none" w:sz="0" w:space="0" w:color="auto"/>
          </w:divBdr>
        </w:div>
        <w:div w:id="536817192">
          <w:marLeft w:val="0"/>
          <w:marRight w:val="0"/>
          <w:marTop w:val="0"/>
          <w:marBottom w:val="0"/>
          <w:divBdr>
            <w:top w:val="none" w:sz="0" w:space="0" w:color="auto"/>
            <w:left w:val="none" w:sz="0" w:space="0" w:color="auto"/>
            <w:bottom w:val="none" w:sz="0" w:space="0" w:color="auto"/>
            <w:right w:val="none" w:sz="0" w:space="0" w:color="auto"/>
          </w:divBdr>
        </w:div>
        <w:div w:id="544413389">
          <w:marLeft w:val="0"/>
          <w:marRight w:val="0"/>
          <w:marTop w:val="0"/>
          <w:marBottom w:val="0"/>
          <w:divBdr>
            <w:top w:val="none" w:sz="0" w:space="0" w:color="auto"/>
            <w:left w:val="none" w:sz="0" w:space="0" w:color="auto"/>
            <w:bottom w:val="none" w:sz="0" w:space="0" w:color="auto"/>
            <w:right w:val="none" w:sz="0" w:space="0" w:color="auto"/>
          </w:divBdr>
        </w:div>
        <w:div w:id="551574361">
          <w:marLeft w:val="0"/>
          <w:marRight w:val="0"/>
          <w:marTop w:val="0"/>
          <w:marBottom w:val="0"/>
          <w:divBdr>
            <w:top w:val="none" w:sz="0" w:space="0" w:color="auto"/>
            <w:left w:val="none" w:sz="0" w:space="0" w:color="auto"/>
            <w:bottom w:val="none" w:sz="0" w:space="0" w:color="auto"/>
            <w:right w:val="none" w:sz="0" w:space="0" w:color="auto"/>
          </w:divBdr>
        </w:div>
        <w:div w:id="554121703">
          <w:marLeft w:val="0"/>
          <w:marRight w:val="0"/>
          <w:marTop w:val="0"/>
          <w:marBottom w:val="0"/>
          <w:divBdr>
            <w:top w:val="none" w:sz="0" w:space="0" w:color="auto"/>
            <w:left w:val="none" w:sz="0" w:space="0" w:color="auto"/>
            <w:bottom w:val="none" w:sz="0" w:space="0" w:color="auto"/>
            <w:right w:val="none" w:sz="0" w:space="0" w:color="auto"/>
          </w:divBdr>
        </w:div>
        <w:div w:id="614557208">
          <w:marLeft w:val="0"/>
          <w:marRight w:val="0"/>
          <w:marTop w:val="0"/>
          <w:marBottom w:val="0"/>
          <w:divBdr>
            <w:top w:val="none" w:sz="0" w:space="0" w:color="auto"/>
            <w:left w:val="none" w:sz="0" w:space="0" w:color="auto"/>
            <w:bottom w:val="none" w:sz="0" w:space="0" w:color="auto"/>
            <w:right w:val="none" w:sz="0" w:space="0" w:color="auto"/>
          </w:divBdr>
        </w:div>
        <w:div w:id="629673277">
          <w:marLeft w:val="0"/>
          <w:marRight w:val="0"/>
          <w:marTop w:val="0"/>
          <w:marBottom w:val="0"/>
          <w:divBdr>
            <w:top w:val="none" w:sz="0" w:space="0" w:color="auto"/>
            <w:left w:val="none" w:sz="0" w:space="0" w:color="auto"/>
            <w:bottom w:val="none" w:sz="0" w:space="0" w:color="auto"/>
            <w:right w:val="none" w:sz="0" w:space="0" w:color="auto"/>
          </w:divBdr>
        </w:div>
        <w:div w:id="658388655">
          <w:marLeft w:val="0"/>
          <w:marRight w:val="0"/>
          <w:marTop w:val="0"/>
          <w:marBottom w:val="0"/>
          <w:divBdr>
            <w:top w:val="none" w:sz="0" w:space="0" w:color="auto"/>
            <w:left w:val="none" w:sz="0" w:space="0" w:color="auto"/>
            <w:bottom w:val="none" w:sz="0" w:space="0" w:color="auto"/>
            <w:right w:val="none" w:sz="0" w:space="0" w:color="auto"/>
          </w:divBdr>
        </w:div>
        <w:div w:id="728650643">
          <w:marLeft w:val="0"/>
          <w:marRight w:val="0"/>
          <w:marTop w:val="0"/>
          <w:marBottom w:val="0"/>
          <w:divBdr>
            <w:top w:val="none" w:sz="0" w:space="0" w:color="auto"/>
            <w:left w:val="none" w:sz="0" w:space="0" w:color="auto"/>
            <w:bottom w:val="none" w:sz="0" w:space="0" w:color="auto"/>
            <w:right w:val="none" w:sz="0" w:space="0" w:color="auto"/>
          </w:divBdr>
        </w:div>
        <w:div w:id="740255118">
          <w:marLeft w:val="0"/>
          <w:marRight w:val="0"/>
          <w:marTop w:val="0"/>
          <w:marBottom w:val="0"/>
          <w:divBdr>
            <w:top w:val="none" w:sz="0" w:space="0" w:color="auto"/>
            <w:left w:val="none" w:sz="0" w:space="0" w:color="auto"/>
            <w:bottom w:val="none" w:sz="0" w:space="0" w:color="auto"/>
            <w:right w:val="none" w:sz="0" w:space="0" w:color="auto"/>
          </w:divBdr>
        </w:div>
        <w:div w:id="747188385">
          <w:marLeft w:val="0"/>
          <w:marRight w:val="0"/>
          <w:marTop w:val="0"/>
          <w:marBottom w:val="0"/>
          <w:divBdr>
            <w:top w:val="none" w:sz="0" w:space="0" w:color="auto"/>
            <w:left w:val="none" w:sz="0" w:space="0" w:color="auto"/>
            <w:bottom w:val="none" w:sz="0" w:space="0" w:color="auto"/>
            <w:right w:val="none" w:sz="0" w:space="0" w:color="auto"/>
          </w:divBdr>
        </w:div>
        <w:div w:id="773985275">
          <w:marLeft w:val="0"/>
          <w:marRight w:val="0"/>
          <w:marTop w:val="0"/>
          <w:marBottom w:val="0"/>
          <w:divBdr>
            <w:top w:val="none" w:sz="0" w:space="0" w:color="auto"/>
            <w:left w:val="none" w:sz="0" w:space="0" w:color="auto"/>
            <w:bottom w:val="none" w:sz="0" w:space="0" w:color="auto"/>
            <w:right w:val="none" w:sz="0" w:space="0" w:color="auto"/>
          </w:divBdr>
        </w:div>
        <w:div w:id="783497794">
          <w:marLeft w:val="0"/>
          <w:marRight w:val="0"/>
          <w:marTop w:val="0"/>
          <w:marBottom w:val="0"/>
          <w:divBdr>
            <w:top w:val="none" w:sz="0" w:space="0" w:color="auto"/>
            <w:left w:val="none" w:sz="0" w:space="0" w:color="auto"/>
            <w:bottom w:val="none" w:sz="0" w:space="0" w:color="auto"/>
            <w:right w:val="none" w:sz="0" w:space="0" w:color="auto"/>
          </w:divBdr>
        </w:div>
        <w:div w:id="840660685">
          <w:marLeft w:val="0"/>
          <w:marRight w:val="0"/>
          <w:marTop w:val="0"/>
          <w:marBottom w:val="0"/>
          <w:divBdr>
            <w:top w:val="none" w:sz="0" w:space="0" w:color="auto"/>
            <w:left w:val="none" w:sz="0" w:space="0" w:color="auto"/>
            <w:bottom w:val="none" w:sz="0" w:space="0" w:color="auto"/>
            <w:right w:val="none" w:sz="0" w:space="0" w:color="auto"/>
          </w:divBdr>
        </w:div>
        <w:div w:id="866916265">
          <w:marLeft w:val="0"/>
          <w:marRight w:val="0"/>
          <w:marTop w:val="0"/>
          <w:marBottom w:val="0"/>
          <w:divBdr>
            <w:top w:val="none" w:sz="0" w:space="0" w:color="auto"/>
            <w:left w:val="none" w:sz="0" w:space="0" w:color="auto"/>
            <w:bottom w:val="none" w:sz="0" w:space="0" w:color="auto"/>
            <w:right w:val="none" w:sz="0" w:space="0" w:color="auto"/>
          </w:divBdr>
        </w:div>
        <w:div w:id="873737358">
          <w:marLeft w:val="0"/>
          <w:marRight w:val="0"/>
          <w:marTop w:val="0"/>
          <w:marBottom w:val="0"/>
          <w:divBdr>
            <w:top w:val="none" w:sz="0" w:space="0" w:color="auto"/>
            <w:left w:val="none" w:sz="0" w:space="0" w:color="auto"/>
            <w:bottom w:val="none" w:sz="0" w:space="0" w:color="auto"/>
            <w:right w:val="none" w:sz="0" w:space="0" w:color="auto"/>
          </w:divBdr>
        </w:div>
        <w:div w:id="879585861">
          <w:marLeft w:val="0"/>
          <w:marRight w:val="0"/>
          <w:marTop w:val="0"/>
          <w:marBottom w:val="0"/>
          <w:divBdr>
            <w:top w:val="none" w:sz="0" w:space="0" w:color="auto"/>
            <w:left w:val="none" w:sz="0" w:space="0" w:color="auto"/>
            <w:bottom w:val="none" w:sz="0" w:space="0" w:color="auto"/>
            <w:right w:val="none" w:sz="0" w:space="0" w:color="auto"/>
          </w:divBdr>
        </w:div>
        <w:div w:id="882448002">
          <w:marLeft w:val="0"/>
          <w:marRight w:val="0"/>
          <w:marTop w:val="0"/>
          <w:marBottom w:val="0"/>
          <w:divBdr>
            <w:top w:val="none" w:sz="0" w:space="0" w:color="auto"/>
            <w:left w:val="none" w:sz="0" w:space="0" w:color="auto"/>
            <w:bottom w:val="none" w:sz="0" w:space="0" w:color="auto"/>
            <w:right w:val="none" w:sz="0" w:space="0" w:color="auto"/>
          </w:divBdr>
        </w:div>
        <w:div w:id="897472953">
          <w:marLeft w:val="0"/>
          <w:marRight w:val="0"/>
          <w:marTop w:val="0"/>
          <w:marBottom w:val="0"/>
          <w:divBdr>
            <w:top w:val="none" w:sz="0" w:space="0" w:color="auto"/>
            <w:left w:val="none" w:sz="0" w:space="0" w:color="auto"/>
            <w:bottom w:val="none" w:sz="0" w:space="0" w:color="auto"/>
            <w:right w:val="none" w:sz="0" w:space="0" w:color="auto"/>
          </w:divBdr>
        </w:div>
        <w:div w:id="917443144">
          <w:marLeft w:val="0"/>
          <w:marRight w:val="0"/>
          <w:marTop w:val="0"/>
          <w:marBottom w:val="0"/>
          <w:divBdr>
            <w:top w:val="none" w:sz="0" w:space="0" w:color="auto"/>
            <w:left w:val="none" w:sz="0" w:space="0" w:color="auto"/>
            <w:bottom w:val="none" w:sz="0" w:space="0" w:color="auto"/>
            <w:right w:val="none" w:sz="0" w:space="0" w:color="auto"/>
          </w:divBdr>
        </w:div>
        <w:div w:id="935483203">
          <w:marLeft w:val="0"/>
          <w:marRight w:val="0"/>
          <w:marTop w:val="0"/>
          <w:marBottom w:val="0"/>
          <w:divBdr>
            <w:top w:val="none" w:sz="0" w:space="0" w:color="auto"/>
            <w:left w:val="none" w:sz="0" w:space="0" w:color="auto"/>
            <w:bottom w:val="none" w:sz="0" w:space="0" w:color="auto"/>
            <w:right w:val="none" w:sz="0" w:space="0" w:color="auto"/>
          </w:divBdr>
        </w:div>
        <w:div w:id="939024136">
          <w:marLeft w:val="0"/>
          <w:marRight w:val="0"/>
          <w:marTop w:val="0"/>
          <w:marBottom w:val="0"/>
          <w:divBdr>
            <w:top w:val="none" w:sz="0" w:space="0" w:color="auto"/>
            <w:left w:val="none" w:sz="0" w:space="0" w:color="auto"/>
            <w:bottom w:val="none" w:sz="0" w:space="0" w:color="auto"/>
            <w:right w:val="none" w:sz="0" w:space="0" w:color="auto"/>
          </w:divBdr>
        </w:div>
        <w:div w:id="1005014907">
          <w:marLeft w:val="0"/>
          <w:marRight w:val="0"/>
          <w:marTop w:val="0"/>
          <w:marBottom w:val="0"/>
          <w:divBdr>
            <w:top w:val="none" w:sz="0" w:space="0" w:color="auto"/>
            <w:left w:val="none" w:sz="0" w:space="0" w:color="auto"/>
            <w:bottom w:val="none" w:sz="0" w:space="0" w:color="auto"/>
            <w:right w:val="none" w:sz="0" w:space="0" w:color="auto"/>
          </w:divBdr>
        </w:div>
        <w:div w:id="1025521432">
          <w:marLeft w:val="0"/>
          <w:marRight w:val="0"/>
          <w:marTop w:val="0"/>
          <w:marBottom w:val="0"/>
          <w:divBdr>
            <w:top w:val="none" w:sz="0" w:space="0" w:color="auto"/>
            <w:left w:val="none" w:sz="0" w:space="0" w:color="auto"/>
            <w:bottom w:val="none" w:sz="0" w:space="0" w:color="auto"/>
            <w:right w:val="none" w:sz="0" w:space="0" w:color="auto"/>
          </w:divBdr>
        </w:div>
        <w:div w:id="1043017958">
          <w:marLeft w:val="0"/>
          <w:marRight w:val="0"/>
          <w:marTop w:val="0"/>
          <w:marBottom w:val="0"/>
          <w:divBdr>
            <w:top w:val="none" w:sz="0" w:space="0" w:color="auto"/>
            <w:left w:val="none" w:sz="0" w:space="0" w:color="auto"/>
            <w:bottom w:val="none" w:sz="0" w:space="0" w:color="auto"/>
            <w:right w:val="none" w:sz="0" w:space="0" w:color="auto"/>
          </w:divBdr>
        </w:div>
        <w:div w:id="1067343992">
          <w:marLeft w:val="0"/>
          <w:marRight w:val="0"/>
          <w:marTop w:val="0"/>
          <w:marBottom w:val="0"/>
          <w:divBdr>
            <w:top w:val="none" w:sz="0" w:space="0" w:color="auto"/>
            <w:left w:val="none" w:sz="0" w:space="0" w:color="auto"/>
            <w:bottom w:val="none" w:sz="0" w:space="0" w:color="auto"/>
            <w:right w:val="none" w:sz="0" w:space="0" w:color="auto"/>
          </w:divBdr>
        </w:div>
        <w:div w:id="1094517525">
          <w:marLeft w:val="0"/>
          <w:marRight w:val="0"/>
          <w:marTop w:val="0"/>
          <w:marBottom w:val="0"/>
          <w:divBdr>
            <w:top w:val="none" w:sz="0" w:space="0" w:color="auto"/>
            <w:left w:val="none" w:sz="0" w:space="0" w:color="auto"/>
            <w:bottom w:val="none" w:sz="0" w:space="0" w:color="auto"/>
            <w:right w:val="none" w:sz="0" w:space="0" w:color="auto"/>
          </w:divBdr>
        </w:div>
        <w:div w:id="1131049779">
          <w:marLeft w:val="0"/>
          <w:marRight w:val="0"/>
          <w:marTop w:val="0"/>
          <w:marBottom w:val="0"/>
          <w:divBdr>
            <w:top w:val="none" w:sz="0" w:space="0" w:color="auto"/>
            <w:left w:val="none" w:sz="0" w:space="0" w:color="auto"/>
            <w:bottom w:val="none" w:sz="0" w:space="0" w:color="auto"/>
            <w:right w:val="none" w:sz="0" w:space="0" w:color="auto"/>
          </w:divBdr>
        </w:div>
        <w:div w:id="1215966326">
          <w:marLeft w:val="0"/>
          <w:marRight w:val="0"/>
          <w:marTop w:val="0"/>
          <w:marBottom w:val="0"/>
          <w:divBdr>
            <w:top w:val="none" w:sz="0" w:space="0" w:color="auto"/>
            <w:left w:val="none" w:sz="0" w:space="0" w:color="auto"/>
            <w:bottom w:val="none" w:sz="0" w:space="0" w:color="auto"/>
            <w:right w:val="none" w:sz="0" w:space="0" w:color="auto"/>
          </w:divBdr>
        </w:div>
        <w:div w:id="1245602414">
          <w:marLeft w:val="0"/>
          <w:marRight w:val="0"/>
          <w:marTop w:val="0"/>
          <w:marBottom w:val="0"/>
          <w:divBdr>
            <w:top w:val="none" w:sz="0" w:space="0" w:color="auto"/>
            <w:left w:val="none" w:sz="0" w:space="0" w:color="auto"/>
            <w:bottom w:val="none" w:sz="0" w:space="0" w:color="auto"/>
            <w:right w:val="none" w:sz="0" w:space="0" w:color="auto"/>
          </w:divBdr>
        </w:div>
        <w:div w:id="1286230898">
          <w:marLeft w:val="0"/>
          <w:marRight w:val="0"/>
          <w:marTop w:val="0"/>
          <w:marBottom w:val="0"/>
          <w:divBdr>
            <w:top w:val="none" w:sz="0" w:space="0" w:color="auto"/>
            <w:left w:val="none" w:sz="0" w:space="0" w:color="auto"/>
            <w:bottom w:val="none" w:sz="0" w:space="0" w:color="auto"/>
            <w:right w:val="none" w:sz="0" w:space="0" w:color="auto"/>
          </w:divBdr>
        </w:div>
        <w:div w:id="1368141672">
          <w:marLeft w:val="0"/>
          <w:marRight w:val="0"/>
          <w:marTop w:val="0"/>
          <w:marBottom w:val="0"/>
          <w:divBdr>
            <w:top w:val="none" w:sz="0" w:space="0" w:color="auto"/>
            <w:left w:val="none" w:sz="0" w:space="0" w:color="auto"/>
            <w:bottom w:val="none" w:sz="0" w:space="0" w:color="auto"/>
            <w:right w:val="none" w:sz="0" w:space="0" w:color="auto"/>
          </w:divBdr>
        </w:div>
        <w:div w:id="1376353187">
          <w:marLeft w:val="0"/>
          <w:marRight w:val="0"/>
          <w:marTop w:val="0"/>
          <w:marBottom w:val="0"/>
          <w:divBdr>
            <w:top w:val="none" w:sz="0" w:space="0" w:color="auto"/>
            <w:left w:val="none" w:sz="0" w:space="0" w:color="auto"/>
            <w:bottom w:val="none" w:sz="0" w:space="0" w:color="auto"/>
            <w:right w:val="none" w:sz="0" w:space="0" w:color="auto"/>
          </w:divBdr>
        </w:div>
        <w:div w:id="1433697457">
          <w:marLeft w:val="0"/>
          <w:marRight w:val="0"/>
          <w:marTop w:val="0"/>
          <w:marBottom w:val="0"/>
          <w:divBdr>
            <w:top w:val="none" w:sz="0" w:space="0" w:color="auto"/>
            <w:left w:val="none" w:sz="0" w:space="0" w:color="auto"/>
            <w:bottom w:val="none" w:sz="0" w:space="0" w:color="auto"/>
            <w:right w:val="none" w:sz="0" w:space="0" w:color="auto"/>
          </w:divBdr>
        </w:div>
        <w:div w:id="1441727719">
          <w:marLeft w:val="0"/>
          <w:marRight w:val="0"/>
          <w:marTop w:val="0"/>
          <w:marBottom w:val="0"/>
          <w:divBdr>
            <w:top w:val="none" w:sz="0" w:space="0" w:color="auto"/>
            <w:left w:val="none" w:sz="0" w:space="0" w:color="auto"/>
            <w:bottom w:val="none" w:sz="0" w:space="0" w:color="auto"/>
            <w:right w:val="none" w:sz="0" w:space="0" w:color="auto"/>
          </w:divBdr>
        </w:div>
        <w:div w:id="1490558798">
          <w:marLeft w:val="0"/>
          <w:marRight w:val="0"/>
          <w:marTop w:val="0"/>
          <w:marBottom w:val="0"/>
          <w:divBdr>
            <w:top w:val="none" w:sz="0" w:space="0" w:color="auto"/>
            <w:left w:val="none" w:sz="0" w:space="0" w:color="auto"/>
            <w:bottom w:val="none" w:sz="0" w:space="0" w:color="auto"/>
            <w:right w:val="none" w:sz="0" w:space="0" w:color="auto"/>
          </w:divBdr>
        </w:div>
        <w:div w:id="1507556037">
          <w:marLeft w:val="0"/>
          <w:marRight w:val="0"/>
          <w:marTop w:val="0"/>
          <w:marBottom w:val="0"/>
          <w:divBdr>
            <w:top w:val="none" w:sz="0" w:space="0" w:color="auto"/>
            <w:left w:val="none" w:sz="0" w:space="0" w:color="auto"/>
            <w:bottom w:val="none" w:sz="0" w:space="0" w:color="auto"/>
            <w:right w:val="none" w:sz="0" w:space="0" w:color="auto"/>
          </w:divBdr>
        </w:div>
        <w:div w:id="1521817385">
          <w:marLeft w:val="0"/>
          <w:marRight w:val="0"/>
          <w:marTop w:val="0"/>
          <w:marBottom w:val="0"/>
          <w:divBdr>
            <w:top w:val="none" w:sz="0" w:space="0" w:color="auto"/>
            <w:left w:val="none" w:sz="0" w:space="0" w:color="auto"/>
            <w:bottom w:val="none" w:sz="0" w:space="0" w:color="auto"/>
            <w:right w:val="none" w:sz="0" w:space="0" w:color="auto"/>
          </w:divBdr>
        </w:div>
        <w:div w:id="1571887138">
          <w:marLeft w:val="0"/>
          <w:marRight w:val="0"/>
          <w:marTop w:val="0"/>
          <w:marBottom w:val="0"/>
          <w:divBdr>
            <w:top w:val="none" w:sz="0" w:space="0" w:color="auto"/>
            <w:left w:val="none" w:sz="0" w:space="0" w:color="auto"/>
            <w:bottom w:val="none" w:sz="0" w:space="0" w:color="auto"/>
            <w:right w:val="none" w:sz="0" w:space="0" w:color="auto"/>
          </w:divBdr>
        </w:div>
        <w:div w:id="1655066004">
          <w:marLeft w:val="0"/>
          <w:marRight w:val="0"/>
          <w:marTop w:val="0"/>
          <w:marBottom w:val="0"/>
          <w:divBdr>
            <w:top w:val="none" w:sz="0" w:space="0" w:color="auto"/>
            <w:left w:val="none" w:sz="0" w:space="0" w:color="auto"/>
            <w:bottom w:val="none" w:sz="0" w:space="0" w:color="auto"/>
            <w:right w:val="none" w:sz="0" w:space="0" w:color="auto"/>
          </w:divBdr>
        </w:div>
        <w:div w:id="1656647849">
          <w:marLeft w:val="0"/>
          <w:marRight w:val="0"/>
          <w:marTop w:val="0"/>
          <w:marBottom w:val="0"/>
          <w:divBdr>
            <w:top w:val="none" w:sz="0" w:space="0" w:color="auto"/>
            <w:left w:val="none" w:sz="0" w:space="0" w:color="auto"/>
            <w:bottom w:val="none" w:sz="0" w:space="0" w:color="auto"/>
            <w:right w:val="none" w:sz="0" w:space="0" w:color="auto"/>
          </w:divBdr>
        </w:div>
        <w:div w:id="1671178423">
          <w:marLeft w:val="0"/>
          <w:marRight w:val="0"/>
          <w:marTop w:val="0"/>
          <w:marBottom w:val="0"/>
          <w:divBdr>
            <w:top w:val="none" w:sz="0" w:space="0" w:color="auto"/>
            <w:left w:val="none" w:sz="0" w:space="0" w:color="auto"/>
            <w:bottom w:val="none" w:sz="0" w:space="0" w:color="auto"/>
            <w:right w:val="none" w:sz="0" w:space="0" w:color="auto"/>
          </w:divBdr>
        </w:div>
        <w:div w:id="1704282278">
          <w:marLeft w:val="0"/>
          <w:marRight w:val="0"/>
          <w:marTop w:val="0"/>
          <w:marBottom w:val="0"/>
          <w:divBdr>
            <w:top w:val="none" w:sz="0" w:space="0" w:color="auto"/>
            <w:left w:val="none" w:sz="0" w:space="0" w:color="auto"/>
            <w:bottom w:val="none" w:sz="0" w:space="0" w:color="auto"/>
            <w:right w:val="none" w:sz="0" w:space="0" w:color="auto"/>
          </w:divBdr>
        </w:div>
        <w:div w:id="1715471677">
          <w:marLeft w:val="0"/>
          <w:marRight w:val="0"/>
          <w:marTop w:val="0"/>
          <w:marBottom w:val="0"/>
          <w:divBdr>
            <w:top w:val="none" w:sz="0" w:space="0" w:color="auto"/>
            <w:left w:val="none" w:sz="0" w:space="0" w:color="auto"/>
            <w:bottom w:val="none" w:sz="0" w:space="0" w:color="auto"/>
            <w:right w:val="none" w:sz="0" w:space="0" w:color="auto"/>
          </w:divBdr>
        </w:div>
        <w:div w:id="1729526456">
          <w:marLeft w:val="0"/>
          <w:marRight w:val="0"/>
          <w:marTop w:val="0"/>
          <w:marBottom w:val="0"/>
          <w:divBdr>
            <w:top w:val="none" w:sz="0" w:space="0" w:color="auto"/>
            <w:left w:val="none" w:sz="0" w:space="0" w:color="auto"/>
            <w:bottom w:val="none" w:sz="0" w:space="0" w:color="auto"/>
            <w:right w:val="none" w:sz="0" w:space="0" w:color="auto"/>
          </w:divBdr>
        </w:div>
        <w:div w:id="1747651886">
          <w:marLeft w:val="0"/>
          <w:marRight w:val="0"/>
          <w:marTop w:val="0"/>
          <w:marBottom w:val="0"/>
          <w:divBdr>
            <w:top w:val="none" w:sz="0" w:space="0" w:color="auto"/>
            <w:left w:val="none" w:sz="0" w:space="0" w:color="auto"/>
            <w:bottom w:val="none" w:sz="0" w:space="0" w:color="auto"/>
            <w:right w:val="none" w:sz="0" w:space="0" w:color="auto"/>
          </w:divBdr>
        </w:div>
        <w:div w:id="1749766565">
          <w:marLeft w:val="0"/>
          <w:marRight w:val="0"/>
          <w:marTop w:val="0"/>
          <w:marBottom w:val="0"/>
          <w:divBdr>
            <w:top w:val="none" w:sz="0" w:space="0" w:color="auto"/>
            <w:left w:val="none" w:sz="0" w:space="0" w:color="auto"/>
            <w:bottom w:val="none" w:sz="0" w:space="0" w:color="auto"/>
            <w:right w:val="none" w:sz="0" w:space="0" w:color="auto"/>
          </w:divBdr>
        </w:div>
        <w:div w:id="1828856366">
          <w:marLeft w:val="0"/>
          <w:marRight w:val="0"/>
          <w:marTop w:val="0"/>
          <w:marBottom w:val="0"/>
          <w:divBdr>
            <w:top w:val="none" w:sz="0" w:space="0" w:color="auto"/>
            <w:left w:val="none" w:sz="0" w:space="0" w:color="auto"/>
            <w:bottom w:val="none" w:sz="0" w:space="0" w:color="auto"/>
            <w:right w:val="none" w:sz="0" w:space="0" w:color="auto"/>
          </w:divBdr>
        </w:div>
        <w:div w:id="1841120205">
          <w:marLeft w:val="0"/>
          <w:marRight w:val="0"/>
          <w:marTop w:val="0"/>
          <w:marBottom w:val="0"/>
          <w:divBdr>
            <w:top w:val="none" w:sz="0" w:space="0" w:color="auto"/>
            <w:left w:val="none" w:sz="0" w:space="0" w:color="auto"/>
            <w:bottom w:val="none" w:sz="0" w:space="0" w:color="auto"/>
            <w:right w:val="none" w:sz="0" w:space="0" w:color="auto"/>
          </w:divBdr>
        </w:div>
        <w:div w:id="1879052793">
          <w:marLeft w:val="0"/>
          <w:marRight w:val="0"/>
          <w:marTop w:val="0"/>
          <w:marBottom w:val="0"/>
          <w:divBdr>
            <w:top w:val="none" w:sz="0" w:space="0" w:color="auto"/>
            <w:left w:val="none" w:sz="0" w:space="0" w:color="auto"/>
            <w:bottom w:val="none" w:sz="0" w:space="0" w:color="auto"/>
            <w:right w:val="none" w:sz="0" w:space="0" w:color="auto"/>
          </w:divBdr>
        </w:div>
        <w:div w:id="1954361650">
          <w:marLeft w:val="0"/>
          <w:marRight w:val="0"/>
          <w:marTop w:val="0"/>
          <w:marBottom w:val="0"/>
          <w:divBdr>
            <w:top w:val="none" w:sz="0" w:space="0" w:color="auto"/>
            <w:left w:val="none" w:sz="0" w:space="0" w:color="auto"/>
            <w:bottom w:val="none" w:sz="0" w:space="0" w:color="auto"/>
            <w:right w:val="none" w:sz="0" w:space="0" w:color="auto"/>
          </w:divBdr>
        </w:div>
        <w:div w:id="1969820898">
          <w:marLeft w:val="0"/>
          <w:marRight w:val="0"/>
          <w:marTop w:val="0"/>
          <w:marBottom w:val="0"/>
          <w:divBdr>
            <w:top w:val="none" w:sz="0" w:space="0" w:color="auto"/>
            <w:left w:val="none" w:sz="0" w:space="0" w:color="auto"/>
            <w:bottom w:val="none" w:sz="0" w:space="0" w:color="auto"/>
            <w:right w:val="none" w:sz="0" w:space="0" w:color="auto"/>
          </w:divBdr>
        </w:div>
        <w:div w:id="1999069685">
          <w:marLeft w:val="0"/>
          <w:marRight w:val="0"/>
          <w:marTop w:val="0"/>
          <w:marBottom w:val="0"/>
          <w:divBdr>
            <w:top w:val="none" w:sz="0" w:space="0" w:color="auto"/>
            <w:left w:val="none" w:sz="0" w:space="0" w:color="auto"/>
            <w:bottom w:val="none" w:sz="0" w:space="0" w:color="auto"/>
            <w:right w:val="none" w:sz="0" w:space="0" w:color="auto"/>
          </w:divBdr>
        </w:div>
        <w:div w:id="2019623647">
          <w:marLeft w:val="0"/>
          <w:marRight w:val="0"/>
          <w:marTop w:val="0"/>
          <w:marBottom w:val="0"/>
          <w:divBdr>
            <w:top w:val="none" w:sz="0" w:space="0" w:color="auto"/>
            <w:left w:val="none" w:sz="0" w:space="0" w:color="auto"/>
            <w:bottom w:val="none" w:sz="0" w:space="0" w:color="auto"/>
            <w:right w:val="none" w:sz="0" w:space="0" w:color="auto"/>
          </w:divBdr>
        </w:div>
        <w:div w:id="2038968120">
          <w:marLeft w:val="0"/>
          <w:marRight w:val="0"/>
          <w:marTop w:val="0"/>
          <w:marBottom w:val="0"/>
          <w:divBdr>
            <w:top w:val="none" w:sz="0" w:space="0" w:color="auto"/>
            <w:left w:val="none" w:sz="0" w:space="0" w:color="auto"/>
            <w:bottom w:val="none" w:sz="0" w:space="0" w:color="auto"/>
            <w:right w:val="none" w:sz="0" w:space="0" w:color="auto"/>
          </w:divBdr>
        </w:div>
        <w:div w:id="2082019542">
          <w:marLeft w:val="0"/>
          <w:marRight w:val="0"/>
          <w:marTop w:val="0"/>
          <w:marBottom w:val="0"/>
          <w:divBdr>
            <w:top w:val="none" w:sz="0" w:space="0" w:color="auto"/>
            <w:left w:val="none" w:sz="0" w:space="0" w:color="auto"/>
            <w:bottom w:val="none" w:sz="0" w:space="0" w:color="auto"/>
            <w:right w:val="none" w:sz="0" w:space="0" w:color="auto"/>
          </w:divBdr>
        </w:div>
        <w:div w:id="2086145683">
          <w:marLeft w:val="0"/>
          <w:marRight w:val="0"/>
          <w:marTop w:val="0"/>
          <w:marBottom w:val="0"/>
          <w:divBdr>
            <w:top w:val="none" w:sz="0" w:space="0" w:color="auto"/>
            <w:left w:val="none" w:sz="0" w:space="0" w:color="auto"/>
            <w:bottom w:val="none" w:sz="0" w:space="0" w:color="auto"/>
            <w:right w:val="none" w:sz="0" w:space="0" w:color="auto"/>
          </w:divBdr>
        </w:div>
        <w:div w:id="2093812356">
          <w:marLeft w:val="0"/>
          <w:marRight w:val="0"/>
          <w:marTop w:val="0"/>
          <w:marBottom w:val="0"/>
          <w:divBdr>
            <w:top w:val="none" w:sz="0" w:space="0" w:color="auto"/>
            <w:left w:val="none" w:sz="0" w:space="0" w:color="auto"/>
            <w:bottom w:val="none" w:sz="0" w:space="0" w:color="auto"/>
            <w:right w:val="none" w:sz="0" w:space="0" w:color="auto"/>
          </w:divBdr>
        </w:div>
      </w:divsChild>
    </w:div>
    <w:div w:id="1663197529">
      <w:bodyDiv w:val="1"/>
      <w:marLeft w:val="0"/>
      <w:marRight w:val="0"/>
      <w:marTop w:val="0"/>
      <w:marBottom w:val="0"/>
      <w:divBdr>
        <w:top w:val="none" w:sz="0" w:space="0" w:color="auto"/>
        <w:left w:val="none" w:sz="0" w:space="0" w:color="auto"/>
        <w:bottom w:val="none" w:sz="0" w:space="0" w:color="auto"/>
        <w:right w:val="none" w:sz="0" w:space="0" w:color="auto"/>
      </w:divBdr>
      <w:divsChild>
        <w:div w:id="817261341">
          <w:marLeft w:val="0"/>
          <w:marRight w:val="0"/>
          <w:marTop w:val="0"/>
          <w:marBottom w:val="0"/>
          <w:divBdr>
            <w:top w:val="none" w:sz="0" w:space="0" w:color="auto"/>
            <w:left w:val="none" w:sz="0" w:space="0" w:color="auto"/>
            <w:bottom w:val="none" w:sz="0" w:space="0" w:color="auto"/>
            <w:right w:val="none" w:sz="0" w:space="0" w:color="auto"/>
          </w:divBdr>
          <w:divsChild>
            <w:div w:id="1526014900">
              <w:marLeft w:val="0"/>
              <w:marRight w:val="0"/>
              <w:marTop w:val="0"/>
              <w:marBottom w:val="0"/>
              <w:divBdr>
                <w:top w:val="none" w:sz="0" w:space="0" w:color="auto"/>
                <w:left w:val="none" w:sz="0" w:space="0" w:color="auto"/>
                <w:bottom w:val="none" w:sz="0" w:space="0" w:color="auto"/>
                <w:right w:val="none" w:sz="0" w:space="0" w:color="auto"/>
              </w:divBdr>
              <w:divsChild>
                <w:div w:id="106845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463887">
      <w:bodyDiv w:val="1"/>
      <w:marLeft w:val="0"/>
      <w:marRight w:val="0"/>
      <w:marTop w:val="0"/>
      <w:marBottom w:val="0"/>
      <w:divBdr>
        <w:top w:val="none" w:sz="0" w:space="0" w:color="auto"/>
        <w:left w:val="none" w:sz="0" w:space="0" w:color="auto"/>
        <w:bottom w:val="none" w:sz="0" w:space="0" w:color="auto"/>
        <w:right w:val="none" w:sz="0" w:space="0" w:color="auto"/>
      </w:divBdr>
    </w:div>
    <w:div w:id="1752847132">
      <w:bodyDiv w:val="1"/>
      <w:marLeft w:val="0"/>
      <w:marRight w:val="0"/>
      <w:marTop w:val="0"/>
      <w:marBottom w:val="0"/>
      <w:divBdr>
        <w:top w:val="none" w:sz="0" w:space="0" w:color="auto"/>
        <w:left w:val="none" w:sz="0" w:space="0" w:color="auto"/>
        <w:bottom w:val="none" w:sz="0" w:space="0" w:color="auto"/>
        <w:right w:val="none" w:sz="0" w:space="0" w:color="auto"/>
      </w:divBdr>
      <w:divsChild>
        <w:div w:id="546458538">
          <w:marLeft w:val="0"/>
          <w:marRight w:val="0"/>
          <w:marTop w:val="0"/>
          <w:marBottom w:val="0"/>
          <w:divBdr>
            <w:top w:val="none" w:sz="0" w:space="0" w:color="auto"/>
            <w:left w:val="none" w:sz="0" w:space="0" w:color="auto"/>
            <w:bottom w:val="none" w:sz="0" w:space="0" w:color="auto"/>
            <w:right w:val="none" w:sz="0" w:space="0" w:color="auto"/>
          </w:divBdr>
          <w:divsChild>
            <w:div w:id="1589267722">
              <w:marLeft w:val="0"/>
              <w:marRight w:val="0"/>
              <w:marTop w:val="0"/>
              <w:marBottom w:val="0"/>
              <w:divBdr>
                <w:top w:val="none" w:sz="0" w:space="0" w:color="auto"/>
                <w:left w:val="none" w:sz="0" w:space="0" w:color="auto"/>
                <w:bottom w:val="none" w:sz="0" w:space="0" w:color="auto"/>
                <w:right w:val="none" w:sz="0" w:space="0" w:color="auto"/>
              </w:divBdr>
              <w:divsChild>
                <w:div w:id="51087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064657">
      <w:bodyDiv w:val="1"/>
      <w:marLeft w:val="0"/>
      <w:marRight w:val="0"/>
      <w:marTop w:val="0"/>
      <w:marBottom w:val="0"/>
      <w:divBdr>
        <w:top w:val="none" w:sz="0" w:space="0" w:color="auto"/>
        <w:left w:val="none" w:sz="0" w:space="0" w:color="auto"/>
        <w:bottom w:val="none" w:sz="0" w:space="0" w:color="auto"/>
        <w:right w:val="none" w:sz="0" w:space="0" w:color="auto"/>
      </w:divBdr>
    </w:div>
    <w:div w:id="2017924013">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6">
          <w:marLeft w:val="0"/>
          <w:marRight w:val="0"/>
          <w:marTop w:val="0"/>
          <w:marBottom w:val="0"/>
          <w:divBdr>
            <w:top w:val="none" w:sz="0" w:space="0" w:color="auto"/>
            <w:left w:val="none" w:sz="0" w:space="0" w:color="auto"/>
            <w:bottom w:val="none" w:sz="0" w:space="0" w:color="auto"/>
            <w:right w:val="none" w:sz="0" w:space="0" w:color="auto"/>
          </w:divBdr>
          <w:divsChild>
            <w:div w:id="391395257">
              <w:marLeft w:val="0"/>
              <w:marRight w:val="0"/>
              <w:marTop w:val="0"/>
              <w:marBottom w:val="0"/>
              <w:divBdr>
                <w:top w:val="none" w:sz="0" w:space="0" w:color="auto"/>
                <w:left w:val="none" w:sz="0" w:space="0" w:color="auto"/>
                <w:bottom w:val="none" w:sz="0" w:space="0" w:color="auto"/>
                <w:right w:val="none" w:sz="0" w:space="0" w:color="auto"/>
              </w:divBdr>
              <w:divsChild>
                <w:div w:id="65904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271615">
      <w:bodyDiv w:val="1"/>
      <w:marLeft w:val="0"/>
      <w:marRight w:val="0"/>
      <w:marTop w:val="0"/>
      <w:marBottom w:val="0"/>
      <w:divBdr>
        <w:top w:val="none" w:sz="0" w:space="0" w:color="auto"/>
        <w:left w:val="none" w:sz="0" w:space="0" w:color="auto"/>
        <w:bottom w:val="none" w:sz="0" w:space="0" w:color="auto"/>
        <w:right w:val="none" w:sz="0" w:space="0" w:color="auto"/>
      </w:divBdr>
      <w:divsChild>
        <w:div w:id="1844318563">
          <w:marLeft w:val="0"/>
          <w:marRight w:val="0"/>
          <w:marTop w:val="0"/>
          <w:marBottom w:val="0"/>
          <w:divBdr>
            <w:top w:val="none" w:sz="0" w:space="0" w:color="auto"/>
            <w:left w:val="none" w:sz="0" w:space="0" w:color="auto"/>
            <w:bottom w:val="none" w:sz="0" w:space="0" w:color="auto"/>
            <w:right w:val="none" w:sz="0" w:space="0" w:color="auto"/>
          </w:divBdr>
          <w:divsChild>
            <w:div w:id="1537740490">
              <w:marLeft w:val="0"/>
              <w:marRight w:val="0"/>
              <w:marTop w:val="0"/>
              <w:marBottom w:val="0"/>
              <w:divBdr>
                <w:top w:val="none" w:sz="0" w:space="0" w:color="auto"/>
                <w:left w:val="none" w:sz="0" w:space="0" w:color="auto"/>
                <w:bottom w:val="none" w:sz="0" w:space="0" w:color="auto"/>
                <w:right w:val="none" w:sz="0" w:space="0" w:color="auto"/>
              </w:divBdr>
              <w:divsChild>
                <w:div w:id="138807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2023-10/ESMA50-524821-2963_TRV_Article_the_August_2022_surge_in_the_price_of_natural_gas_futures.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ma.europa.eu/sites/default/files/2023-05/ESMA50-165-2483_TRV-EU_natural_gas_derivatives_marke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ba.europa.eu/sites/default/files/document_library/About%20Us/Missions%20and%20tasks/Correspondence%20with%20EU%20institutions/2022/1039915/EBA%20response%20to%20EC%20request%20on%20energy%20markets.pdf" TargetMode="External"/><Relationship Id="rId4" Type="http://schemas.openxmlformats.org/officeDocument/2006/relationships/settings" Target="settings.xml"/><Relationship Id="rId9" Type="http://schemas.openxmlformats.org/officeDocument/2006/relationships/hyperlink" Target="https://www.fsb.org/wp-content/uploads/P200223-2.pd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9919E-5B9B-4781-86AD-9597045C7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2223</Words>
  <Characters>12674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Deutsche Boerse Group</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 Stiers</dc:creator>
  <cp:keywords/>
  <dc:description/>
  <cp:lastModifiedBy>Jorge Vecino</cp:lastModifiedBy>
  <cp:revision>2</cp:revision>
  <dcterms:created xsi:type="dcterms:W3CDTF">2024-11-22T10:43:00Z</dcterms:created>
  <dcterms:modified xsi:type="dcterms:W3CDTF">2024-11-22T10:43:00Z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301c8199,79e38690,3eb33544</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2e952e98-911c-4aff-840a-f71bc6baaf7f_Enabled">
    <vt:lpwstr>true</vt:lpwstr>
  </property>
  <property fmtid="{D5CDD505-2E9C-101B-9397-08002B2CF9AE}" pid="6" name="MSIP_Label_2e952e98-911c-4aff-840a-f71bc6baaf7f_SetDate">
    <vt:lpwstr>2024-10-24T21:21:53Z</vt:lpwstr>
  </property>
  <property fmtid="{D5CDD505-2E9C-101B-9397-08002B2CF9AE}" pid="7" name="MSIP_Label_2e952e98-911c-4aff-840a-f71bc6baaf7f_Method">
    <vt:lpwstr>Standard</vt:lpwstr>
  </property>
  <property fmtid="{D5CDD505-2E9C-101B-9397-08002B2CF9AE}" pid="8" name="MSIP_Label_2e952e98-911c-4aff-840a-f71bc6baaf7f_Name">
    <vt:lpwstr>2e952e98-911c-4aff-840a-f71bc6baaf7f</vt:lpwstr>
  </property>
  <property fmtid="{D5CDD505-2E9C-101B-9397-08002B2CF9AE}" pid="9" name="MSIP_Label_2e952e98-911c-4aff-840a-f71bc6baaf7f_SiteId">
    <vt:lpwstr>e00ddcdf-1e0f-4be5-a37a-894a4731986a</vt:lpwstr>
  </property>
  <property fmtid="{D5CDD505-2E9C-101B-9397-08002B2CF9AE}" pid="10" name="MSIP_Label_2e952e98-911c-4aff-840a-f71bc6baaf7f_ActionId">
    <vt:lpwstr>7f3f2faa-77e5-4f9f-b35e-2015c9a22b26</vt:lpwstr>
  </property>
  <property fmtid="{D5CDD505-2E9C-101B-9397-08002B2CF9AE}" pid="11" name="MSIP_Label_2e952e98-911c-4aff-840a-f71bc6baaf7f_ContentBits">
    <vt:lpwstr>2</vt:lpwstr>
  </property>
</Properties>
</file>