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77BF" w14:textId="55652D73" w:rsidR="00907971" w:rsidRDefault="00C94C7D" w:rsidP="006A6E28">
      <w:pPr>
        <w:pStyle w:val="Title"/>
        <w:jc w:val="both"/>
      </w:pPr>
      <w:r>
        <w:t xml:space="preserve"> </w:t>
      </w:r>
    </w:p>
    <w:p w14:paraId="60559F2F" w14:textId="77777777" w:rsidR="00907971" w:rsidRDefault="00907971" w:rsidP="006A6E28">
      <w:pPr>
        <w:pStyle w:val="Title"/>
        <w:jc w:val="both"/>
      </w:pPr>
    </w:p>
    <w:p w14:paraId="618ADA69" w14:textId="77777777" w:rsidR="00907971" w:rsidRDefault="00907971" w:rsidP="006A6E28">
      <w:pPr>
        <w:pStyle w:val="Title"/>
        <w:jc w:val="both"/>
      </w:pPr>
    </w:p>
    <w:p w14:paraId="71900161" w14:textId="77777777" w:rsidR="00907971" w:rsidRDefault="00907971" w:rsidP="006A6E28">
      <w:pPr>
        <w:pStyle w:val="Title"/>
        <w:jc w:val="both"/>
      </w:pPr>
    </w:p>
    <w:p w14:paraId="440031B2" w14:textId="77777777" w:rsidR="00907971" w:rsidRDefault="00907971" w:rsidP="006A6E28">
      <w:pPr>
        <w:pStyle w:val="Title"/>
        <w:jc w:val="both"/>
      </w:pPr>
    </w:p>
    <w:p w14:paraId="6490A3FA" w14:textId="1AA4D286" w:rsidR="002C0BDB" w:rsidRDefault="00267AF5" w:rsidP="006B3CD3">
      <w:pPr>
        <w:pStyle w:val="Title"/>
      </w:pPr>
      <w:r w:rsidRPr="00831B2A">
        <w:rPr>
          <w:noProof/>
        </w:rPr>
        <w:drawing>
          <wp:anchor distT="0" distB="0" distL="114300" distR="114300" simplePos="0" relativeHeight="251659264" behindDoc="0" locked="0" layoutInCell="1" allowOverlap="1" wp14:anchorId="78D27EFE" wp14:editId="3E5EDA13">
            <wp:simplePos x="0" y="0"/>
            <wp:positionH relativeFrom="margin">
              <wp:align>right</wp:align>
            </wp:positionH>
            <wp:positionV relativeFrom="page">
              <wp:posOffset>720090</wp:posOffset>
            </wp:positionV>
            <wp:extent cx="2995200" cy="576000"/>
            <wp:effectExtent l="0" t="0" r="0" b="0"/>
            <wp:wrapNone/>
            <wp:docPr id="11" name="Picture 11" descr="\\Gimecb01\homedir-eh$\heckler\Layout\ESRB\ESRB 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mecb01\homedir-eh$\heckler\Layout\ESRB\ESRB logo.e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52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465E">
        <w:t xml:space="preserve">ESRB </w:t>
      </w:r>
      <w:r w:rsidR="00C915FB">
        <w:t>response</w:t>
      </w:r>
    </w:p>
    <w:p w14:paraId="1BEF9E5D" w14:textId="4BB1E524" w:rsidR="00831B2A" w:rsidRPr="00831B2A" w:rsidRDefault="00F139E2" w:rsidP="006B3CD3">
      <w:pPr>
        <w:pStyle w:val="Subtitle"/>
      </w:pPr>
      <w:r>
        <w:t xml:space="preserve">to </w:t>
      </w:r>
      <w:r w:rsidR="0092465E">
        <w:t xml:space="preserve">individual </w:t>
      </w:r>
      <w:r>
        <w:t>questions</w:t>
      </w:r>
      <w:r w:rsidR="0092465E">
        <w:t xml:space="preserve"> in</w:t>
      </w:r>
      <w:r>
        <w:t xml:space="preserve"> </w:t>
      </w:r>
      <w:r w:rsidR="0092465E" w:rsidRPr="0092465E">
        <w:t>the EU Commission</w:t>
      </w:r>
      <w:r w:rsidR="0092465E">
        <w:t>’s</w:t>
      </w:r>
      <w:r w:rsidR="0092465E" w:rsidRPr="0092465E">
        <w:t xml:space="preserve"> Targeted Consultation on macroprudential policy for NBFI</w:t>
      </w:r>
    </w:p>
    <w:p w14:paraId="2AE12955" w14:textId="5491B324" w:rsidR="00BE2135" w:rsidRPr="00A22651" w:rsidRDefault="00BE2135" w:rsidP="006A6E28">
      <w:pPr>
        <w:jc w:val="both"/>
      </w:pPr>
      <w:r>
        <w:rPr>
          <w:lang w:eastAsia="en-US"/>
        </w:rPr>
        <w:br w:type="page"/>
      </w:r>
    </w:p>
    <w:p w14:paraId="7415FDD0" w14:textId="49211FF0" w:rsidR="00EC58EE" w:rsidRPr="00A2497B" w:rsidRDefault="006E7ECD" w:rsidP="006A6E28">
      <w:pPr>
        <w:pStyle w:val="Heading1"/>
        <w:jc w:val="both"/>
        <w:rPr>
          <w:lang w:eastAsia="en-US"/>
        </w:rPr>
      </w:pPr>
      <w:r w:rsidRPr="00A2497B">
        <w:rPr>
          <w:lang w:eastAsia="en-US"/>
        </w:rPr>
        <w:lastRenderedPageBreak/>
        <w:t xml:space="preserve">3. To </w:t>
      </w:r>
      <w:r w:rsidR="00EC58EE" w:rsidRPr="00A2497B">
        <w:rPr>
          <w:lang w:eastAsia="en-US"/>
        </w:rPr>
        <w:t xml:space="preserve">what extent could the failure of an NBFI affect the provision of critical functions to the real economy or the financial system that cannot easily be replaced? Please explain </w:t>
      </w:r>
      <w:proofErr w:type="gramStart"/>
      <w:r w:rsidR="00EC58EE" w:rsidRPr="00A2497B">
        <w:rPr>
          <w:lang w:eastAsia="en-US"/>
        </w:rPr>
        <w:t>in particular to</w:t>
      </w:r>
      <w:proofErr w:type="gramEnd"/>
      <w:r w:rsidR="00EC58EE" w:rsidRPr="00A2497B">
        <w:rPr>
          <w:lang w:eastAsia="en-US"/>
        </w:rPr>
        <w:t xml:space="preserve"> which NBFI sector, part of the financial system and critical function you refer to, and if and how you believe such knock-on effect could be mitigated.</w:t>
      </w:r>
    </w:p>
    <w:p w14:paraId="2EFECC0E" w14:textId="4B42F5B5" w:rsidR="009201BF" w:rsidRPr="003F2DCA" w:rsidRDefault="009201BF" w:rsidP="006A6E28">
      <w:pPr>
        <w:jc w:val="both"/>
        <w:rPr>
          <w:rStyle w:val="IntenseEmphasis"/>
          <w:rFonts w:cs="Arial"/>
          <w:b w:val="0"/>
          <w:bCs w:val="0"/>
          <w:iCs w:val="0"/>
          <w:color w:val="auto"/>
        </w:rPr>
      </w:pPr>
      <w:r w:rsidRPr="0014309E">
        <w:rPr>
          <w:rStyle w:val="IntenseEmphasis"/>
          <w:rFonts w:cs="Arial"/>
        </w:rPr>
        <w:t>Recovery and resolution regimes are in the process of being rolled out to cope with the systemic consequences of the failure of a CCP or an insurer.</w:t>
      </w:r>
      <w:r w:rsidRPr="0014309E">
        <w:rPr>
          <w:rFonts w:cs="Arial"/>
          <w:lang w:eastAsia="en-US"/>
        </w:rPr>
        <w:t xml:space="preserve"> Due to their high interconnectedness and critical function in financial markets, the failure of a CCP or an insurer would have severe </w:t>
      </w:r>
      <w:r w:rsidR="005165C8">
        <w:rPr>
          <w:rFonts w:cs="Arial"/>
          <w:lang w:eastAsia="en-US"/>
        </w:rPr>
        <w:t>effects on the financial system and the real economy</w:t>
      </w:r>
      <w:r w:rsidRPr="0014309E">
        <w:rPr>
          <w:rFonts w:cs="Arial"/>
          <w:lang w:eastAsia="en-US"/>
        </w:rPr>
        <w:t>.</w:t>
      </w:r>
      <w:r w:rsidRPr="0014309E">
        <w:rPr>
          <w:rStyle w:val="FootnoteReference"/>
          <w:rFonts w:cs="Arial"/>
          <w:lang w:eastAsia="en-US"/>
        </w:rPr>
        <w:footnoteReference w:id="2"/>
      </w:r>
      <w:r w:rsidRPr="0014309E">
        <w:rPr>
          <w:rFonts w:cs="Arial"/>
          <w:lang w:eastAsia="en-US"/>
        </w:rPr>
        <w:t xml:space="preserve"> </w:t>
      </w:r>
      <w:r w:rsidR="003A19A6" w:rsidRPr="0014309E">
        <w:rPr>
          <w:rFonts w:cs="Arial"/>
          <w:lang w:eastAsia="en-US"/>
        </w:rPr>
        <w:t xml:space="preserve">Therefore, the ESRB advocated </w:t>
      </w:r>
      <w:r w:rsidR="005165C8">
        <w:rPr>
          <w:rFonts w:cs="Arial"/>
          <w:lang w:eastAsia="en-US"/>
        </w:rPr>
        <w:t>the establishment of</w:t>
      </w:r>
      <w:r w:rsidR="003A19A6" w:rsidRPr="0014309E">
        <w:rPr>
          <w:rFonts w:cs="Arial"/>
          <w:lang w:eastAsia="en-US"/>
        </w:rPr>
        <w:t xml:space="preserve"> recovery plans and resolution regimes for </w:t>
      </w:r>
      <w:r w:rsidR="005165C8">
        <w:rPr>
          <w:rFonts w:cs="Arial"/>
          <w:lang w:eastAsia="en-US"/>
        </w:rPr>
        <w:t>CCPs and for insurers</w:t>
      </w:r>
      <w:r w:rsidR="00A2497B">
        <w:rPr>
          <w:rFonts w:cs="Arial"/>
          <w:lang w:eastAsia="en-US"/>
        </w:rPr>
        <w:t>.</w:t>
      </w:r>
      <w:r w:rsidR="00CB3BCD" w:rsidRPr="0014309E">
        <w:rPr>
          <w:rStyle w:val="FootnoteReference"/>
          <w:rFonts w:cs="Arial"/>
          <w:lang w:eastAsia="en-US"/>
        </w:rPr>
        <w:footnoteReference w:id="3"/>
      </w:r>
      <w:r w:rsidR="00CB3BCD" w:rsidRPr="0014309E">
        <w:rPr>
          <w:rFonts w:cs="Arial"/>
          <w:lang w:eastAsia="en-US"/>
        </w:rPr>
        <w:t xml:space="preserve"> </w:t>
      </w:r>
      <w:r w:rsidR="00A2497B">
        <w:rPr>
          <w:rFonts w:cs="Arial"/>
          <w:lang w:eastAsia="en-US"/>
        </w:rPr>
        <w:t xml:space="preserve">The ESRB welcomes that legislation is in the </w:t>
      </w:r>
      <w:r w:rsidR="00CB3BCD" w:rsidRPr="0014309E">
        <w:rPr>
          <w:rFonts w:cs="Arial"/>
          <w:lang w:eastAsia="en-US"/>
        </w:rPr>
        <w:t>process of being implemented</w:t>
      </w:r>
      <w:r w:rsidR="003A19A6" w:rsidRPr="0014309E">
        <w:rPr>
          <w:rFonts w:cs="Arial"/>
          <w:lang w:eastAsia="en-US"/>
        </w:rPr>
        <w:t xml:space="preserve">. For the other </w:t>
      </w:r>
      <w:r w:rsidR="005165C8">
        <w:rPr>
          <w:rFonts w:cs="Arial"/>
          <w:lang w:eastAsia="en-US"/>
        </w:rPr>
        <w:t xml:space="preserve">types of </w:t>
      </w:r>
      <w:r w:rsidR="003A19A6" w:rsidRPr="0014309E">
        <w:rPr>
          <w:rFonts w:cs="Arial"/>
          <w:lang w:eastAsia="en-US"/>
        </w:rPr>
        <w:t>NBFI</w:t>
      </w:r>
      <w:r w:rsidR="005165C8">
        <w:rPr>
          <w:rFonts w:cs="Arial"/>
          <w:lang w:eastAsia="en-US"/>
        </w:rPr>
        <w:t>s</w:t>
      </w:r>
      <w:r w:rsidR="003A19A6" w:rsidRPr="0014309E">
        <w:rPr>
          <w:rFonts w:cs="Arial"/>
          <w:lang w:eastAsia="en-US"/>
        </w:rPr>
        <w:t xml:space="preserve">, </w:t>
      </w:r>
      <w:r w:rsidRPr="0014309E">
        <w:rPr>
          <w:rFonts w:cs="Arial"/>
        </w:rPr>
        <w:t xml:space="preserve">an impact of critical functions might not necessarily stem from the failure of </w:t>
      </w:r>
      <w:r w:rsidR="003A19A6" w:rsidRPr="0014309E">
        <w:rPr>
          <w:rFonts w:cs="Arial"/>
        </w:rPr>
        <w:t xml:space="preserve">these </w:t>
      </w:r>
      <w:r w:rsidRPr="0014309E">
        <w:rPr>
          <w:rFonts w:cs="Arial"/>
        </w:rPr>
        <w:t xml:space="preserve">entities. </w:t>
      </w:r>
      <w:r w:rsidR="00C6695D">
        <w:rPr>
          <w:rFonts w:cs="Arial"/>
        </w:rPr>
        <w:t xml:space="preserve">Recent episodes showed that it may </w:t>
      </w:r>
      <w:r w:rsidRPr="0014309E">
        <w:rPr>
          <w:rFonts w:cs="Arial"/>
        </w:rPr>
        <w:t>stem</w:t>
      </w:r>
      <w:r w:rsidR="00832086">
        <w:rPr>
          <w:rFonts w:cs="Arial"/>
        </w:rPr>
        <w:t xml:space="preserve"> </w:t>
      </w:r>
      <w:r w:rsidRPr="0014309E">
        <w:rPr>
          <w:rFonts w:cs="Arial"/>
        </w:rPr>
        <w:t xml:space="preserve">from the collective actions that NBFIs might take as a reaction to shocks, </w:t>
      </w:r>
      <w:proofErr w:type="gramStart"/>
      <w:r w:rsidRPr="0014309E">
        <w:rPr>
          <w:rFonts w:cs="Arial"/>
        </w:rPr>
        <w:t>in light of</w:t>
      </w:r>
      <w:proofErr w:type="gramEnd"/>
      <w:r w:rsidRPr="0014309E">
        <w:rPr>
          <w:rFonts w:cs="Arial"/>
        </w:rPr>
        <w:t xml:space="preserve"> underlying financial vulnerabilities, such as liquidity mismatch, unsustainable leverage or unpreparedness for margin calls.</w:t>
      </w:r>
    </w:p>
    <w:p w14:paraId="730E9691" w14:textId="73CD8BA8" w:rsidR="00A13D70" w:rsidRDefault="00A13D70" w:rsidP="00A13D70">
      <w:r w:rsidRPr="00A13D70">
        <w:rPr>
          <w:rStyle w:val="IntenseEmphasis"/>
          <w:rFonts w:cs="Arial"/>
        </w:rPr>
        <w:t>NBFIs</w:t>
      </w:r>
      <w:r>
        <w:rPr>
          <w:rStyle w:val="IntenseEmphasis"/>
          <w:rFonts w:cs="Arial"/>
        </w:rPr>
        <w:t xml:space="preserve"> contribute increasingly to market liquidity</w:t>
      </w:r>
      <w:r w:rsidRPr="00A13D70">
        <w:rPr>
          <w:rStyle w:val="IntenseEmphasis"/>
          <w:rFonts w:cs="Arial"/>
        </w:rPr>
        <w:t xml:space="preserve">. </w:t>
      </w:r>
      <w:r>
        <w:t>The microstructure of modern financial markets is increasingly complex, not only because financial assets are being traded across many trading venues and time zones, but also due to vertical integration between assets, like equities, futures, and ETFs; or interest rates products such as bonds, futures, repos, and OTC interest rate derivatives. Maintaining price alignment across these markets and providing liquidity accordingly is a very complex task which is however vital for markets to fulfil their function of providing reliable valuations for all financial assets, which ultimately underpins financial stability. Increasingly, these critical functions are being carried out by large, sophisticated, and specialised traders. These non-banks operate on own account, often comparable to market makers, have little warehousing capacity, rely on complex IT algorithms, and have a global reach. The failure of one of these liquidity providers would cause severe disruption in the pricing of assets, and in some cases would leave specific assets or venues without the needed liquidity to function properly. While other market participants could theoretically fill the void, capital constraints and the granularity of the market would still pre</w:t>
      </w:r>
      <w:r w:rsidR="00C6695D">
        <w:t>clude</w:t>
      </w:r>
      <w:r>
        <w:t xml:space="preserve"> a quick and seamless substitution. If this were to happen during a stress event, the effects would be significantly amplified.</w:t>
      </w:r>
    </w:p>
    <w:p w14:paraId="13D81EC8" w14:textId="7F083668" w:rsidR="009079FC" w:rsidRPr="003F2DCA" w:rsidRDefault="009079FC" w:rsidP="006A6E28">
      <w:pPr>
        <w:jc w:val="both"/>
        <w:rPr>
          <w:rFonts w:cs="Arial"/>
        </w:rPr>
      </w:pPr>
      <w:r w:rsidRPr="003F2DCA">
        <w:rPr>
          <w:rStyle w:val="IntenseEmphasis"/>
          <w:rFonts w:cs="Arial"/>
        </w:rPr>
        <w:t>In</w:t>
      </w:r>
      <w:r w:rsidRPr="003F2DCA">
        <w:rPr>
          <w:rFonts w:cs="Arial"/>
        </w:rPr>
        <w:t xml:space="preserve"> </w:t>
      </w:r>
      <w:r w:rsidR="00E059FF" w:rsidRPr="0014309E">
        <w:rPr>
          <w:rStyle w:val="IntenseEmphasis"/>
          <w:rFonts w:cs="Arial"/>
        </w:rPr>
        <w:t xml:space="preserve">the government bond cash and repo </w:t>
      </w:r>
      <w:r w:rsidR="00B354DB" w:rsidRPr="0014309E">
        <w:rPr>
          <w:rStyle w:val="IntenseEmphasis"/>
          <w:rFonts w:cs="Arial"/>
        </w:rPr>
        <w:t>markets, a disorderly default of a large participant could have severe contagion effects</w:t>
      </w:r>
      <w:r w:rsidR="00B354DB" w:rsidRPr="0014309E">
        <w:rPr>
          <w:rStyle w:val="IntenseEmphasis"/>
          <w:rFonts w:cs="Arial"/>
          <w:color w:val="auto"/>
        </w:rPr>
        <w:t xml:space="preserve">. </w:t>
      </w:r>
      <w:r w:rsidR="009F11ED">
        <w:rPr>
          <w:rStyle w:val="IntenseEmphasis"/>
          <w:rFonts w:cs="Arial"/>
          <w:b w:val="0"/>
          <w:bCs w:val="0"/>
          <w:color w:val="auto"/>
        </w:rPr>
        <w:t xml:space="preserve">One example of </w:t>
      </w:r>
      <w:r w:rsidR="009F11ED">
        <w:t>the contribution of NBFIs to market liquidity is the increasing activity of hedge funds in the EU government bond cash and repo markets</w:t>
      </w:r>
      <w:r w:rsidR="00C6695D" w:rsidRPr="00C6695D">
        <w:t>, which now accounted for 56% of trading volume for European government bond cash transactions on the electronic trading platform Tradeweb in 2023 (compared to 36% in 2020)</w:t>
      </w:r>
      <w:r w:rsidR="009F11ED">
        <w:t xml:space="preserve">. </w:t>
      </w:r>
      <w:r w:rsidR="00B354DB" w:rsidRPr="0014309E">
        <w:rPr>
          <w:rStyle w:val="IntenseEmphasis"/>
          <w:rFonts w:cs="Arial"/>
          <w:b w:val="0"/>
          <w:color w:val="auto"/>
        </w:rPr>
        <w:t xml:space="preserve">The </w:t>
      </w:r>
      <w:r w:rsidR="00E059FF" w:rsidRPr="0014309E">
        <w:rPr>
          <w:rStyle w:val="IntenseEmphasis"/>
          <w:rFonts w:cs="Arial"/>
          <w:b w:val="0"/>
          <w:color w:val="auto"/>
        </w:rPr>
        <w:t xml:space="preserve">EU government bond markets have so far not experienced </w:t>
      </w:r>
      <w:r w:rsidR="00E059FF" w:rsidRPr="0014309E">
        <w:rPr>
          <w:rFonts w:cs="Arial"/>
        </w:rPr>
        <w:t xml:space="preserve">a default of a large market participant with centrally and bilaterally cleared government bond cash and repo transactions. However, </w:t>
      </w:r>
      <w:r w:rsidR="00A44853" w:rsidRPr="0014309E">
        <w:rPr>
          <w:rFonts w:cs="Arial"/>
        </w:rPr>
        <w:t xml:space="preserve">with the growing activity of hedge funds, </w:t>
      </w:r>
      <w:r w:rsidR="00E059FF" w:rsidRPr="0014309E">
        <w:rPr>
          <w:rFonts w:cs="Arial"/>
        </w:rPr>
        <w:t xml:space="preserve">it cannot be ruled out that a case comparable to </w:t>
      </w:r>
      <w:r w:rsidR="006E7ECD" w:rsidRPr="0014309E">
        <w:rPr>
          <w:rFonts w:cs="Arial"/>
        </w:rPr>
        <w:t xml:space="preserve">the Archegos </w:t>
      </w:r>
      <w:r w:rsidR="00A44853" w:rsidRPr="0014309E">
        <w:rPr>
          <w:rFonts w:cs="Arial"/>
        </w:rPr>
        <w:t xml:space="preserve">or Long Term Capital </w:t>
      </w:r>
      <w:r w:rsidR="00A44853" w:rsidRPr="0014309E">
        <w:rPr>
          <w:rFonts w:cs="Arial"/>
        </w:rPr>
        <w:lastRenderedPageBreak/>
        <w:t xml:space="preserve">Management </w:t>
      </w:r>
      <w:r w:rsidR="006E7ECD" w:rsidRPr="0014309E">
        <w:rPr>
          <w:rFonts w:cs="Arial"/>
        </w:rPr>
        <w:t xml:space="preserve">collapse also </w:t>
      </w:r>
      <w:r w:rsidR="00E059FF" w:rsidRPr="0014309E">
        <w:rPr>
          <w:rFonts w:cs="Arial"/>
        </w:rPr>
        <w:t xml:space="preserve">happens with a highly leveraged NBFI in the government bond markets, including the future segment. </w:t>
      </w:r>
      <w:r w:rsidR="00B34F6C" w:rsidRPr="0014309E">
        <w:rPr>
          <w:rFonts w:cs="Arial"/>
        </w:rPr>
        <w:t xml:space="preserve">Any </w:t>
      </w:r>
      <w:r w:rsidR="00E059FF" w:rsidRPr="0014309E">
        <w:rPr>
          <w:rFonts w:cs="Arial"/>
        </w:rPr>
        <w:t xml:space="preserve">unwinding of its open transactions and positions in cash, repo and future markets </w:t>
      </w:r>
      <w:r w:rsidR="00B34F6C" w:rsidRPr="0014309E">
        <w:rPr>
          <w:rFonts w:cs="Arial"/>
        </w:rPr>
        <w:t xml:space="preserve">would likely </w:t>
      </w:r>
      <w:r w:rsidR="00D50C46" w:rsidRPr="0014309E">
        <w:rPr>
          <w:rFonts w:cs="Arial"/>
        </w:rPr>
        <w:t>result in</w:t>
      </w:r>
      <w:r w:rsidR="00E059FF" w:rsidRPr="0014309E">
        <w:rPr>
          <w:rFonts w:cs="Arial"/>
        </w:rPr>
        <w:t xml:space="preserve"> cascading effects on multiple other market participants including CCPs</w:t>
      </w:r>
      <w:r w:rsidR="00A44853" w:rsidRPr="0014309E">
        <w:rPr>
          <w:rFonts w:cs="Arial"/>
        </w:rPr>
        <w:t>, possibly creating a Lehman</w:t>
      </w:r>
      <w:r w:rsidR="00C6695D">
        <w:rPr>
          <w:rFonts w:cs="Arial"/>
        </w:rPr>
        <w:t>-</w:t>
      </w:r>
      <w:proofErr w:type="gramStart"/>
      <w:r w:rsidR="00C6695D">
        <w:rPr>
          <w:rFonts w:cs="Arial"/>
        </w:rPr>
        <w:t>like</w:t>
      </w:r>
      <w:r w:rsidR="00A44853" w:rsidRPr="0014309E">
        <w:rPr>
          <w:rFonts w:cs="Arial"/>
        </w:rPr>
        <w:t xml:space="preserve">  shock</w:t>
      </w:r>
      <w:proofErr w:type="gramEnd"/>
      <w:r w:rsidR="00A44853" w:rsidRPr="0014309E">
        <w:rPr>
          <w:rFonts w:cs="Arial"/>
        </w:rPr>
        <w:t xml:space="preserve"> moment as</w:t>
      </w:r>
      <w:r w:rsidR="00E059FF" w:rsidRPr="0014309E">
        <w:rPr>
          <w:rFonts w:cs="Arial"/>
        </w:rPr>
        <w:t xml:space="preserve"> </w:t>
      </w:r>
      <w:r w:rsidR="00A44853" w:rsidRPr="0014309E">
        <w:rPr>
          <w:rFonts w:cs="Arial"/>
        </w:rPr>
        <w:t>n</w:t>
      </w:r>
      <w:r w:rsidR="00E059FF" w:rsidRPr="0014309E">
        <w:rPr>
          <w:rFonts w:cs="Arial"/>
        </w:rPr>
        <w:t xml:space="preserve">o counterparty will have a complete understanding of the substantial market footprint of the defaulter. </w:t>
      </w:r>
      <w:r w:rsidR="00A44853" w:rsidRPr="0014309E">
        <w:rPr>
          <w:rFonts w:cs="Arial"/>
        </w:rPr>
        <w:t xml:space="preserve">The credit supply to the real economy including new sovereign debt issuance could be </w:t>
      </w:r>
      <w:r w:rsidR="00A2497B">
        <w:rPr>
          <w:rFonts w:cs="Arial"/>
        </w:rPr>
        <w:t>disrupted</w:t>
      </w:r>
      <w:r w:rsidR="00A44853" w:rsidRPr="0014309E">
        <w:rPr>
          <w:rFonts w:cs="Arial"/>
        </w:rPr>
        <w:t xml:space="preserve">. </w:t>
      </w:r>
      <w:r w:rsidR="00E059FF" w:rsidRPr="0014309E">
        <w:rPr>
          <w:rFonts w:cs="Arial"/>
        </w:rPr>
        <w:t>Counterparties with a short position will take actions in parallel to cover their exposure, including an uncoordinated liquidation of collateral.</w:t>
      </w:r>
      <w:r w:rsidR="00C01551" w:rsidRPr="0014309E">
        <w:rPr>
          <w:rFonts w:cs="Arial"/>
        </w:rPr>
        <w:t xml:space="preserve"> </w:t>
      </w:r>
      <w:r w:rsidR="00E059FF" w:rsidRPr="0014309E">
        <w:rPr>
          <w:rFonts w:cs="Arial"/>
        </w:rPr>
        <w:t xml:space="preserve">The haircuts applied to the collateral </w:t>
      </w:r>
      <w:r w:rsidR="006E7ECD" w:rsidRPr="0014309E">
        <w:rPr>
          <w:rFonts w:cs="Arial"/>
        </w:rPr>
        <w:t xml:space="preserve">in bilateral clearing </w:t>
      </w:r>
      <w:r w:rsidR="00E059FF" w:rsidRPr="0014309E">
        <w:rPr>
          <w:rFonts w:cs="Arial"/>
        </w:rPr>
        <w:t xml:space="preserve">likely </w:t>
      </w:r>
      <w:r w:rsidR="00C01551" w:rsidRPr="0014309E">
        <w:rPr>
          <w:rFonts w:cs="Arial"/>
        </w:rPr>
        <w:t xml:space="preserve">underestimate the aggregate liquidity risk of such an unwinding of several counterparties at the same time. </w:t>
      </w:r>
      <w:r w:rsidR="00E059FF" w:rsidRPr="0014309E">
        <w:rPr>
          <w:rFonts w:cs="Arial"/>
        </w:rPr>
        <w:t>The SEC cites such contagion risks as a reason for their structural reforms in the US government bond markets</w:t>
      </w:r>
      <w:r w:rsidR="00A2497B">
        <w:rPr>
          <w:rFonts w:cs="Arial"/>
        </w:rPr>
        <w:t>,</w:t>
      </w:r>
      <w:r w:rsidR="00E059FF" w:rsidRPr="0014309E">
        <w:rPr>
          <w:rFonts w:cs="Arial"/>
        </w:rPr>
        <w:t xml:space="preserve"> because CCPs with open positions from the defaulter are not aware of the bilateral transactions and the aggregate liquidity risk of all open positions.</w:t>
      </w:r>
      <w:r w:rsidR="00E059FF" w:rsidRPr="0014309E">
        <w:rPr>
          <w:rStyle w:val="FootnoteReference"/>
          <w:rFonts w:cs="Arial"/>
        </w:rPr>
        <w:footnoteReference w:id="4"/>
      </w:r>
    </w:p>
    <w:p w14:paraId="65219401" w14:textId="52A4C6E6" w:rsidR="009079FC" w:rsidRPr="0014309E" w:rsidRDefault="009079FC" w:rsidP="006A6E28">
      <w:pPr>
        <w:jc w:val="both"/>
        <w:rPr>
          <w:rFonts w:cs="Arial"/>
        </w:rPr>
      </w:pPr>
      <w:r w:rsidRPr="003F2DCA">
        <w:rPr>
          <w:rStyle w:val="IntenseEmphasis"/>
          <w:rFonts w:cs="Arial"/>
        </w:rPr>
        <w:t>The failure of an insurer or pension fund could lead to other financial companies also suffering distress, which could amplify the shocks to the rest of the financial system.</w:t>
      </w:r>
      <w:r w:rsidRPr="003F2DCA">
        <w:rPr>
          <w:rFonts w:cs="Arial"/>
        </w:rPr>
        <w:t xml:space="preserve">  Insurers and pension funds provide critical functions</w:t>
      </w:r>
      <w:r w:rsidRPr="003F2DCA">
        <w:rPr>
          <w:rStyle w:val="FootnoteReference"/>
          <w:rFonts w:cs="Arial"/>
        </w:rPr>
        <w:footnoteReference w:id="5"/>
      </w:r>
      <w:r w:rsidRPr="003F2DCA">
        <w:rPr>
          <w:rFonts w:cs="Arial"/>
        </w:rPr>
        <w:t xml:space="preserve"> for the functioning of the economy by taking on risks and mobilising savings. They are also large long-term investors in financial markets, contributing to economic growth and play an important role in financial stability. </w:t>
      </w:r>
      <w:r w:rsidRPr="0014309E">
        <w:rPr>
          <w:rFonts w:cs="Arial"/>
        </w:rPr>
        <w:t xml:space="preserve">The links between insurance and other sectors follow from its primary functions of pooling and transferring risk and investing premiums they received by policyholders before a claim occurs. The links between pension funds and other sectors follow from their function to pull in savings from beneficiaries and invest them until their retirement. Because of this central role, any widespread reaction by the sector to market dynamics could create distortion in the financial market and impair their ability to boost the economy. Interconnectedness could potentially exacerbate adverse effects. Further to this, substitutability and concentration of service provision could pose problems for the real economy in stress conditions. </w:t>
      </w:r>
      <w:r w:rsidR="00383AD2" w:rsidRPr="00383AD2">
        <w:rPr>
          <w:rFonts w:cs="Arial"/>
        </w:rPr>
        <w:t xml:space="preserve">The risk-based regulatory framework for insurers (Solvency II) and pension funds (Institutions for Occupational Retirement Provision Directive (IORP II)) reduces the likelihood of failure and the </w:t>
      </w:r>
      <w:r w:rsidR="00380554">
        <w:rPr>
          <w:rFonts w:cs="Arial"/>
        </w:rPr>
        <w:t xml:space="preserve">proposed </w:t>
      </w:r>
      <w:r w:rsidR="00383AD2" w:rsidRPr="00383AD2">
        <w:rPr>
          <w:rFonts w:cs="Arial"/>
        </w:rPr>
        <w:t xml:space="preserve">Insurance Recovery and Resolution Directive (IRRD) facilitates and orderly recovery and resolution of insurers. </w:t>
      </w:r>
    </w:p>
    <w:p w14:paraId="5437D0CA" w14:textId="099C8A15" w:rsidR="009079FC" w:rsidRPr="0014309E" w:rsidRDefault="0094626A" w:rsidP="006A6E28">
      <w:pPr>
        <w:pStyle w:val="pf0"/>
        <w:spacing w:line="360" w:lineRule="auto"/>
        <w:jc w:val="both"/>
        <w:rPr>
          <w:rFonts w:ascii="Arial" w:hAnsi="Arial" w:cs="Arial"/>
          <w:sz w:val="18"/>
          <w:szCs w:val="18"/>
        </w:rPr>
      </w:pPr>
      <w:r>
        <w:rPr>
          <w:rStyle w:val="IntenseEmphasis"/>
          <w:rFonts w:ascii="Arial" w:hAnsi="Arial" w:cs="Arial"/>
          <w:sz w:val="18"/>
          <w:szCs w:val="18"/>
        </w:rPr>
        <w:t>From</w:t>
      </w:r>
      <w:r w:rsidR="009079FC" w:rsidRPr="0014309E">
        <w:rPr>
          <w:rStyle w:val="IntenseEmphasis"/>
          <w:rFonts w:ascii="Arial" w:hAnsi="Arial" w:cs="Arial"/>
          <w:sz w:val="18"/>
          <w:szCs w:val="18"/>
        </w:rPr>
        <w:t xml:space="preserve"> a substitutability perspective, the impact of failure of insurers</w:t>
      </w:r>
      <w:r>
        <w:rPr>
          <w:rStyle w:val="IntenseEmphasis"/>
          <w:rFonts w:ascii="Arial" w:hAnsi="Arial" w:cs="Arial"/>
          <w:sz w:val="18"/>
          <w:szCs w:val="18"/>
        </w:rPr>
        <w:t xml:space="preserve"> or providers of other financial services</w:t>
      </w:r>
      <w:r w:rsidR="009079FC" w:rsidRPr="0014309E">
        <w:rPr>
          <w:rStyle w:val="IntenseEmphasis"/>
          <w:rFonts w:ascii="Arial" w:hAnsi="Arial" w:cs="Arial"/>
          <w:sz w:val="18"/>
          <w:szCs w:val="18"/>
        </w:rPr>
        <w:t xml:space="preserve"> could vary according to the service offered.</w:t>
      </w:r>
      <w:r w:rsidR="009079FC" w:rsidRPr="0014309E">
        <w:rPr>
          <w:rFonts w:ascii="Arial" w:hAnsi="Arial" w:cs="Arial"/>
          <w:sz w:val="18"/>
          <w:szCs w:val="18"/>
        </w:rPr>
        <w:t xml:space="preserve"> The scale of the negative impact of an insurance companies’ failure depends primarily on the lack of substitutability of individual insurers in certain markets that are considered significant and highly concentrated</w:t>
      </w:r>
      <w:r w:rsidR="009079FC" w:rsidRPr="0014309E">
        <w:rPr>
          <w:rStyle w:val="FootnoteReference"/>
          <w:rFonts w:ascii="Arial" w:hAnsi="Arial" w:cs="Arial"/>
          <w:sz w:val="18"/>
          <w:szCs w:val="18"/>
        </w:rPr>
        <w:footnoteReference w:id="6"/>
      </w:r>
      <w:r w:rsidR="009079FC" w:rsidRPr="0014309E">
        <w:rPr>
          <w:rFonts w:ascii="Arial" w:hAnsi="Arial" w:cs="Arial"/>
          <w:sz w:val="18"/>
          <w:szCs w:val="18"/>
        </w:rPr>
        <w:t>.  Life insurers are significant investors in financial markets, and failure of significant life insurers could affect economy.  Non-life insurers, in particular offer specialised products (</w:t>
      </w:r>
      <w:r w:rsidR="007C7286" w:rsidRPr="0014309E">
        <w:rPr>
          <w:rFonts w:ascii="Arial" w:hAnsi="Arial" w:cs="Arial"/>
          <w:sz w:val="18"/>
          <w:szCs w:val="18"/>
        </w:rPr>
        <w:t>e.g.,</w:t>
      </w:r>
      <w:r w:rsidR="009079FC" w:rsidRPr="0014309E">
        <w:rPr>
          <w:rFonts w:ascii="Arial" w:hAnsi="Arial" w:cs="Arial"/>
          <w:sz w:val="18"/>
          <w:szCs w:val="18"/>
        </w:rPr>
        <w:t xml:space="preserve"> </w:t>
      </w:r>
      <w:r w:rsidR="009079FC" w:rsidRPr="0014309E">
        <w:rPr>
          <w:rFonts w:ascii="Arial" w:hAnsi="Arial" w:cs="Arial"/>
          <w:sz w:val="18"/>
          <w:szCs w:val="18"/>
        </w:rPr>
        <w:lastRenderedPageBreak/>
        <w:t>catastrophe coverage; marine and aviation insurance; and trade credit insurance) that are not easily substituted. The failure of non-life insurance companies could therefore have a significant impact on the real economy and financial stability. The ESRB analysed the macroprudential aspects of trade credit insurance (TCI) and published its findings in an Issues Note</w:t>
      </w:r>
      <w:r w:rsidR="009079FC" w:rsidRPr="0014309E">
        <w:rPr>
          <w:rStyle w:val="FootnoteReference"/>
          <w:rFonts w:ascii="Arial" w:hAnsi="Arial" w:cs="Arial"/>
          <w:sz w:val="18"/>
          <w:szCs w:val="18"/>
        </w:rPr>
        <w:footnoteReference w:id="7"/>
      </w:r>
      <w:r w:rsidR="009079FC" w:rsidRPr="0014309E">
        <w:rPr>
          <w:rFonts w:ascii="Arial" w:hAnsi="Arial" w:cs="Arial"/>
          <w:sz w:val="18"/>
          <w:szCs w:val="18"/>
        </w:rPr>
        <w:t>. It concluded that TCI is a critical function and therefore a systemically relevant line of business. The ESRB’s Issues Note sets out why ad-hoc government interventions are sub-optimal way of maintaining TCI cover and provides avenues for policy work. The ESRB also noted that, certain risks such as natural catastrophes (NatCat) become more global and systemic, and insurer’s capacity to diversify risks becomes compromised and this could amplify social risks</w:t>
      </w:r>
      <w:r w:rsidR="009079FC" w:rsidRPr="0014309E">
        <w:rPr>
          <w:rStyle w:val="FootnoteReference"/>
          <w:rFonts w:ascii="Arial" w:hAnsi="Arial" w:cs="Arial"/>
          <w:sz w:val="18"/>
          <w:szCs w:val="18"/>
        </w:rPr>
        <w:footnoteReference w:id="8"/>
      </w:r>
      <w:r w:rsidR="009079FC" w:rsidRPr="0014309E">
        <w:rPr>
          <w:rFonts w:ascii="Arial" w:hAnsi="Arial" w:cs="Arial"/>
          <w:sz w:val="18"/>
          <w:szCs w:val="18"/>
        </w:rPr>
        <w:t>. Ultimately, higher insurance costs and reduced risk diversification capacity could result in a large increase in uninsured losses, also known as the protection gap</w:t>
      </w:r>
      <w:r w:rsidR="0031724D">
        <w:rPr>
          <w:rFonts w:ascii="Arial" w:hAnsi="Arial" w:cs="Arial"/>
          <w:sz w:val="18"/>
          <w:szCs w:val="18"/>
        </w:rPr>
        <w:t>. Research also evidences that the lack of insurance affects GDP growth after a disaster</w:t>
      </w:r>
      <w:r w:rsidR="0031724D">
        <w:rPr>
          <w:rStyle w:val="FootnoteReference"/>
          <w:rFonts w:ascii="Arial" w:hAnsi="Arial" w:cs="Arial"/>
          <w:sz w:val="18"/>
          <w:szCs w:val="18"/>
        </w:rPr>
        <w:footnoteReference w:id="9"/>
      </w:r>
      <w:r w:rsidR="009079FC" w:rsidRPr="0014309E">
        <w:rPr>
          <w:rFonts w:ascii="Arial" w:hAnsi="Arial" w:cs="Arial"/>
          <w:sz w:val="18"/>
          <w:szCs w:val="18"/>
        </w:rPr>
        <w:t xml:space="preserve">. In the examples of TCIs, and NatCat, the consequences of not having insurance availability for those lines of business is material to policyholders, either they would assume full cost of losses directly or need to depend on government support to cover some of the losses. Either option is not </w:t>
      </w:r>
      <w:r w:rsidR="007C7286" w:rsidRPr="0014309E">
        <w:rPr>
          <w:rFonts w:ascii="Arial" w:hAnsi="Arial" w:cs="Arial"/>
          <w:sz w:val="18"/>
          <w:szCs w:val="18"/>
        </w:rPr>
        <w:t>sustainable,</w:t>
      </w:r>
      <w:r w:rsidR="009079FC" w:rsidRPr="0014309E">
        <w:rPr>
          <w:rFonts w:ascii="Arial" w:hAnsi="Arial" w:cs="Arial"/>
          <w:sz w:val="18"/>
          <w:szCs w:val="18"/>
        </w:rPr>
        <w:t xml:space="preserve"> </w:t>
      </w:r>
      <w:r w:rsidR="00DF5517" w:rsidRPr="0014309E">
        <w:rPr>
          <w:rFonts w:ascii="Arial" w:hAnsi="Arial" w:cs="Arial"/>
          <w:sz w:val="18"/>
          <w:szCs w:val="18"/>
        </w:rPr>
        <w:t xml:space="preserve">and </w:t>
      </w:r>
      <w:r w:rsidR="00DF5517">
        <w:rPr>
          <w:rFonts w:ascii="Arial" w:hAnsi="Arial" w:cs="Arial"/>
          <w:sz w:val="18"/>
          <w:szCs w:val="18"/>
        </w:rPr>
        <w:t>it</w:t>
      </w:r>
      <w:r w:rsidR="0031724D">
        <w:rPr>
          <w:rFonts w:ascii="Arial" w:hAnsi="Arial" w:cs="Arial"/>
          <w:sz w:val="18"/>
          <w:szCs w:val="18"/>
        </w:rPr>
        <w:t xml:space="preserve"> </w:t>
      </w:r>
      <w:r w:rsidR="009079FC" w:rsidRPr="0014309E">
        <w:rPr>
          <w:rFonts w:ascii="Arial" w:hAnsi="Arial" w:cs="Arial"/>
          <w:sz w:val="18"/>
          <w:szCs w:val="18"/>
        </w:rPr>
        <w:t>may in severe cases generate a knock-on effect on the real economy</w:t>
      </w:r>
      <w:r w:rsidR="00DF5517">
        <w:rPr>
          <w:rFonts w:ascii="Arial" w:hAnsi="Arial" w:cs="Arial"/>
          <w:sz w:val="18"/>
          <w:szCs w:val="18"/>
        </w:rPr>
        <w:t xml:space="preserve"> and financial stability (</w:t>
      </w:r>
      <w:r w:rsidR="007C7286">
        <w:rPr>
          <w:rFonts w:ascii="Arial" w:hAnsi="Arial" w:cs="Arial"/>
          <w:sz w:val="18"/>
          <w:szCs w:val="18"/>
        </w:rPr>
        <w:t>e.g.,</w:t>
      </w:r>
      <w:r w:rsidR="00DF5517">
        <w:rPr>
          <w:rFonts w:ascii="Arial" w:hAnsi="Arial" w:cs="Arial"/>
          <w:sz w:val="18"/>
          <w:szCs w:val="18"/>
        </w:rPr>
        <w:t xml:space="preserve"> increased fiscal pressure from governments to help communities severely affected; creditors facing losses on collateral)</w:t>
      </w:r>
      <w:r w:rsidR="009079FC" w:rsidRPr="0014309E">
        <w:rPr>
          <w:rFonts w:ascii="Arial" w:hAnsi="Arial" w:cs="Arial"/>
          <w:sz w:val="18"/>
          <w:szCs w:val="18"/>
        </w:rPr>
        <w:t xml:space="preserve">. It is challenging to foresee the potential impact of a failure of one company or more, whether the impact will be contained to one country or have ripple effects to other countries and/or other sectors. </w:t>
      </w:r>
      <w:r w:rsidR="00D76FD8">
        <w:rPr>
          <w:rFonts w:ascii="Arial" w:hAnsi="Arial" w:cs="Arial"/>
          <w:sz w:val="18"/>
          <w:szCs w:val="18"/>
        </w:rPr>
        <w:t>Scenario</w:t>
      </w:r>
      <w:r w:rsidR="009079FC" w:rsidRPr="0014309E">
        <w:rPr>
          <w:rFonts w:ascii="Arial" w:hAnsi="Arial" w:cs="Arial"/>
          <w:sz w:val="18"/>
          <w:szCs w:val="18"/>
        </w:rPr>
        <w:t xml:space="preserve"> analysis</w:t>
      </w:r>
      <w:r w:rsidR="00D76FD8">
        <w:rPr>
          <w:rFonts w:ascii="Arial" w:hAnsi="Arial" w:cs="Arial"/>
          <w:sz w:val="18"/>
          <w:szCs w:val="18"/>
        </w:rPr>
        <w:t xml:space="preserve"> may help quantify this impact.</w:t>
      </w:r>
      <w:r>
        <w:rPr>
          <w:rFonts w:ascii="Arial" w:hAnsi="Arial" w:cs="Arial"/>
          <w:sz w:val="18"/>
          <w:szCs w:val="18"/>
        </w:rPr>
        <w:t xml:space="preserve"> </w:t>
      </w:r>
      <w:r w:rsidRPr="0028335D">
        <w:rPr>
          <w:rFonts w:ascii="Arial" w:hAnsi="Arial" w:cs="Arial"/>
          <w:sz w:val="18"/>
          <w:szCs w:val="18"/>
        </w:rPr>
        <w:t xml:space="preserve">Substitutability risks can also occur </w:t>
      </w:r>
      <w:proofErr w:type="gramStart"/>
      <w:r w:rsidRPr="0028335D">
        <w:rPr>
          <w:rFonts w:ascii="Arial" w:hAnsi="Arial" w:cs="Arial"/>
          <w:sz w:val="18"/>
          <w:szCs w:val="18"/>
        </w:rPr>
        <w:t>in the area of</w:t>
      </w:r>
      <w:proofErr w:type="gramEnd"/>
      <w:r w:rsidRPr="0028335D">
        <w:rPr>
          <w:rFonts w:ascii="Arial" w:hAnsi="Arial" w:cs="Arial"/>
          <w:sz w:val="18"/>
          <w:szCs w:val="18"/>
        </w:rPr>
        <w:t xml:space="preserve"> payment services. For example, some large non-bank groups provide critical services for 50% of significant credit institutions. This concentration could pose a systemic risk if any of these providers were to experience operational risks.</w:t>
      </w:r>
    </w:p>
    <w:p w14:paraId="7C51BAD5" w14:textId="1E379D27" w:rsidR="009079FC" w:rsidRDefault="009079FC" w:rsidP="006A6E28">
      <w:pPr>
        <w:spacing w:line="360" w:lineRule="auto"/>
        <w:jc w:val="both"/>
        <w:rPr>
          <w:rFonts w:cs="Arial"/>
        </w:rPr>
      </w:pPr>
      <w:bookmarkStart w:id="0" w:name="_Hlk181121890"/>
      <w:r w:rsidRPr="0014309E">
        <w:rPr>
          <w:rStyle w:val="IntenseEmphasis"/>
          <w:rFonts w:cs="Arial"/>
        </w:rPr>
        <w:t>For this reason, continued monitoring and prevention are key in safeguarding financial stability.</w:t>
      </w:r>
      <w:r w:rsidRPr="0014309E">
        <w:rPr>
          <w:rFonts w:cs="Arial"/>
        </w:rPr>
        <w:t xml:space="preserve"> Adequate monitoring and pr</w:t>
      </w:r>
      <w:r w:rsidRPr="0014309E">
        <w:rPr>
          <w:rFonts w:cs="Arial"/>
          <w:lang w:eastAsia="en-US"/>
        </w:rPr>
        <w:t>event</w:t>
      </w:r>
      <w:r w:rsidRPr="0014309E">
        <w:rPr>
          <w:rFonts w:cs="Arial"/>
        </w:rPr>
        <w:t>ive</w:t>
      </w:r>
      <w:r w:rsidRPr="0014309E">
        <w:rPr>
          <w:rFonts w:cs="Arial"/>
          <w:lang w:eastAsia="en-US"/>
        </w:rPr>
        <w:t xml:space="preserve"> </w:t>
      </w:r>
      <w:r w:rsidRPr="0014309E">
        <w:rPr>
          <w:rFonts w:cs="Arial"/>
        </w:rPr>
        <w:t xml:space="preserve">micro- and macroprudential supervisory measures can reduce the frequency and impact of the financial distress of a market segment, a </w:t>
      </w:r>
      <w:r w:rsidR="007C7286" w:rsidRPr="0014309E">
        <w:rPr>
          <w:rFonts w:cs="Arial"/>
        </w:rPr>
        <w:t>sector,</w:t>
      </w:r>
      <w:r w:rsidRPr="0014309E">
        <w:rPr>
          <w:rFonts w:cs="Arial"/>
        </w:rPr>
        <w:t xml:space="preserve"> or a region. Preventive measures would help reducing the knock-on effects on the economy. Such measures need to be designed and considered at each sector as well as including a macroprudential perspective that looks across sectors. This to ensure that the tools available to prevent failures and reduce negative repercussions of any failures will preserve the provision of critical functions. In addition </w:t>
      </w:r>
      <w:r w:rsidR="000A1F2A" w:rsidRPr="0014309E">
        <w:rPr>
          <w:rFonts w:cs="Arial"/>
        </w:rPr>
        <w:t>to the</w:t>
      </w:r>
      <w:r w:rsidRPr="0014309E">
        <w:rPr>
          <w:rFonts w:cs="Arial"/>
        </w:rPr>
        <w:t xml:space="preserve"> measures </w:t>
      </w:r>
      <w:r w:rsidR="00C6695D">
        <w:rPr>
          <w:rFonts w:cs="Arial"/>
        </w:rPr>
        <w:t xml:space="preserve">introduced in the recently adopted </w:t>
      </w:r>
      <w:r w:rsidRPr="0014309E">
        <w:rPr>
          <w:rFonts w:cs="Arial"/>
        </w:rPr>
        <w:t>regulatory framework for insurers</w:t>
      </w:r>
      <w:r w:rsidR="00265E79">
        <w:rPr>
          <w:rStyle w:val="FootnoteReference"/>
          <w:rFonts w:cs="Arial"/>
        </w:rPr>
        <w:footnoteReference w:id="10"/>
      </w:r>
      <w:r w:rsidRPr="0014309E">
        <w:rPr>
          <w:rFonts w:cs="Arial"/>
        </w:rPr>
        <w:t xml:space="preserve">: </w:t>
      </w:r>
      <w:r w:rsidRPr="0014309E">
        <w:rPr>
          <w:rFonts w:cs="Arial"/>
          <w:i/>
          <w:iCs/>
        </w:rPr>
        <w:t xml:space="preserve">e.g. liquidity risk management plans, macroprudential considerations in the own risk solvency assessment and prudent person principle, new supervisory powers to temporarily suspend/restrict certain payments to protect </w:t>
      </w:r>
      <w:r w:rsidRPr="00AB6A8C">
        <w:rPr>
          <w:rFonts w:cs="Arial"/>
          <w:i/>
          <w:iCs/>
        </w:rPr>
        <w:t>policyholders and</w:t>
      </w:r>
      <w:r w:rsidR="00832086">
        <w:rPr>
          <w:rFonts w:cs="Arial"/>
          <w:i/>
          <w:iCs/>
        </w:rPr>
        <w:t>/</w:t>
      </w:r>
      <w:r w:rsidRPr="00AB6A8C">
        <w:rPr>
          <w:rFonts w:cs="Arial"/>
          <w:i/>
          <w:iCs/>
        </w:rPr>
        <w:t xml:space="preserve">or financial stability, </w:t>
      </w:r>
      <w:r w:rsidR="00C6695D">
        <w:rPr>
          <w:rFonts w:cs="Arial"/>
          <w:i/>
          <w:iCs/>
        </w:rPr>
        <w:t xml:space="preserve">new supervisory powers to temporarily </w:t>
      </w:r>
      <w:r w:rsidR="00C6695D" w:rsidRPr="005F4ED4">
        <w:rPr>
          <w:rFonts w:cs="Arial"/>
          <w:i/>
          <w:iCs/>
        </w:rPr>
        <w:t>suspend redemption rights of life insurance policy holders</w:t>
      </w:r>
      <w:r w:rsidR="00C6695D">
        <w:rPr>
          <w:rFonts w:cs="Arial"/>
          <w:i/>
          <w:iCs/>
        </w:rPr>
        <w:t>,</w:t>
      </w:r>
      <w:r w:rsidR="00C6695D" w:rsidRPr="0081688F">
        <w:rPr>
          <w:rFonts w:cs="Arial"/>
          <w:i/>
          <w:iCs/>
        </w:rPr>
        <w:t xml:space="preserve"> </w:t>
      </w:r>
      <w:r w:rsidR="00C6695D" w:rsidRPr="0014309E">
        <w:rPr>
          <w:rFonts w:cs="Arial"/>
          <w:i/>
          <w:iCs/>
        </w:rPr>
        <w:t>recovery and resolution</w:t>
      </w:r>
      <w:r w:rsidR="00C6695D" w:rsidRPr="00AB6A8C">
        <w:rPr>
          <w:rFonts w:cs="Arial"/>
          <w:i/>
          <w:iCs/>
        </w:rPr>
        <w:t>,</w:t>
      </w:r>
      <w:r w:rsidR="00C6695D">
        <w:rPr>
          <w:rFonts w:cs="Arial"/>
          <w:i/>
          <w:iCs/>
        </w:rPr>
        <w:t xml:space="preserve"> </w:t>
      </w:r>
      <w:r w:rsidR="002544F0" w:rsidRPr="00AB6A8C">
        <w:rPr>
          <w:rFonts w:cs="Arial"/>
        </w:rPr>
        <w:t>it</w:t>
      </w:r>
      <w:r w:rsidRPr="00AB6A8C">
        <w:rPr>
          <w:rFonts w:cs="Arial"/>
        </w:rPr>
        <w:t xml:space="preserve"> is important to improve liquidity preparedness regarding potential margin calls and set an adequate oversight of leverage by sector and across sectors, with an emphasis on the items noted in the </w:t>
      </w:r>
      <w:r w:rsidR="00AB6A8C" w:rsidRPr="00AB6A8C">
        <w:rPr>
          <w:rFonts w:cs="Arial"/>
        </w:rPr>
        <w:t>ESRB’s response cited below</w:t>
      </w:r>
      <w:r w:rsidR="003060F2">
        <w:rPr>
          <w:rFonts w:cs="Arial"/>
        </w:rPr>
        <w:t xml:space="preserve"> in this document</w:t>
      </w:r>
      <w:r w:rsidRPr="00AB6A8C">
        <w:rPr>
          <w:rFonts w:cs="Arial"/>
        </w:rPr>
        <w:t xml:space="preserve"> and other ESRB proposals to enhance the macroprudential perspective for </w:t>
      </w:r>
      <w:r w:rsidR="00AB6A8C">
        <w:rPr>
          <w:rFonts w:cs="Arial"/>
        </w:rPr>
        <w:lastRenderedPageBreak/>
        <w:t>i</w:t>
      </w:r>
      <w:r w:rsidRPr="00AB6A8C">
        <w:rPr>
          <w:rFonts w:cs="Arial"/>
        </w:rPr>
        <w:t>nsurers</w:t>
      </w:r>
      <w:r w:rsidR="00AB6A8C">
        <w:rPr>
          <w:rFonts w:cs="Arial"/>
        </w:rPr>
        <w:t>.</w:t>
      </w:r>
      <w:r w:rsidRPr="0014309E">
        <w:rPr>
          <w:rFonts w:cs="Arial"/>
        </w:rPr>
        <w:t xml:space="preserve"> </w:t>
      </w:r>
      <w:r w:rsidR="000A6980">
        <w:rPr>
          <w:rFonts w:cs="Arial"/>
        </w:rPr>
        <w:t>In context of insurance authorities are</w:t>
      </w:r>
      <w:r w:rsidR="00AB6A8C">
        <w:rPr>
          <w:rFonts w:cs="Arial"/>
        </w:rPr>
        <w:t xml:space="preserve"> also </w:t>
      </w:r>
      <w:r w:rsidR="000A6980">
        <w:rPr>
          <w:rFonts w:cs="Arial"/>
        </w:rPr>
        <w:t xml:space="preserve">considering how situations where the </w:t>
      </w:r>
      <w:r w:rsidR="000A6980" w:rsidRPr="000A6980">
        <w:rPr>
          <w:rFonts w:cs="Arial"/>
        </w:rPr>
        <w:t xml:space="preserve">provision of critical functions to the real economy </w:t>
      </w:r>
      <w:r w:rsidR="000A6980">
        <w:rPr>
          <w:rFonts w:cs="Arial"/>
        </w:rPr>
        <w:t xml:space="preserve">are being affected, could be addressed. This includes </w:t>
      </w:r>
      <w:r w:rsidRPr="0014309E">
        <w:rPr>
          <w:rFonts w:cs="Arial"/>
        </w:rPr>
        <w:t>the ladder approach proposed by the ECB and EIOPA to reduce the climate insurance protection gap.</w:t>
      </w:r>
    </w:p>
    <w:bookmarkEnd w:id="0"/>
    <w:p w14:paraId="779FB987" w14:textId="39B55C53" w:rsidR="00C95B18" w:rsidRDefault="007D2D46" w:rsidP="00962B22">
      <w:pPr>
        <w:spacing w:line="360" w:lineRule="auto"/>
        <w:jc w:val="both"/>
        <w:rPr>
          <w:lang w:eastAsia="en-US"/>
        </w:rPr>
      </w:pPr>
      <w:r>
        <w:rPr>
          <w:lang w:eastAsia="en-US"/>
        </w:rPr>
        <w:t xml:space="preserve">The ESRB would like to point out that </w:t>
      </w:r>
      <w:r w:rsidR="00166B52">
        <w:rPr>
          <w:lang w:eastAsia="en-US"/>
        </w:rPr>
        <w:t>the failure of an NBFI for which critical functions are not easily replaced</w:t>
      </w:r>
      <w:r>
        <w:rPr>
          <w:lang w:eastAsia="en-US"/>
        </w:rPr>
        <w:t xml:space="preserve"> is not a </w:t>
      </w:r>
      <w:r w:rsidR="00846507">
        <w:rPr>
          <w:lang w:eastAsia="en-US"/>
        </w:rPr>
        <w:t xml:space="preserve">pre-requisite to observe contagion effects in the financial system. </w:t>
      </w:r>
      <w:r w:rsidR="00962B22">
        <w:rPr>
          <w:lang w:eastAsia="en-US"/>
        </w:rPr>
        <w:t xml:space="preserve">Other transmission mechanism and examples of episodes where NBFIs have propagated stress in the financial system are described in </w:t>
      </w:r>
      <w:r w:rsidR="00C95B18">
        <w:rPr>
          <w:lang w:eastAsia="en-US"/>
        </w:rPr>
        <w:t>the Introduction</w:t>
      </w:r>
      <w:r w:rsidR="00962B22">
        <w:rPr>
          <w:lang w:eastAsia="en-US"/>
        </w:rPr>
        <w:t xml:space="preserve">, </w:t>
      </w:r>
      <w:r w:rsidR="00C95B18">
        <w:rPr>
          <w:lang w:eastAsia="en-US"/>
        </w:rPr>
        <w:t>of ESRB (2024), “</w:t>
      </w:r>
      <w:r w:rsidR="00C95B18" w:rsidRPr="00141340">
        <w:rPr>
          <w:lang w:eastAsia="en-US"/>
        </w:rPr>
        <w:t>A system-wide approach to macroprudential policy</w:t>
      </w:r>
      <w:r w:rsidR="00C95B18">
        <w:rPr>
          <w:lang w:eastAsia="en-US"/>
        </w:rPr>
        <w:t xml:space="preserve"> - </w:t>
      </w:r>
      <w:r w:rsidR="00C95B18" w:rsidRPr="00141340">
        <w:rPr>
          <w:lang w:eastAsia="en-US"/>
        </w:rPr>
        <w:t>ESRB response to the European Commission’s consultation on assessing the adequacy of macroprudential policies for Non-bank Financial Intermediation</w:t>
      </w:r>
      <w:r w:rsidR="00C95B18">
        <w:rPr>
          <w:lang w:eastAsia="en-US"/>
        </w:rPr>
        <w:t>”.</w:t>
      </w:r>
    </w:p>
    <w:p w14:paraId="413E99F2" w14:textId="031D7252" w:rsidR="00EC58EE" w:rsidRDefault="006A5121" w:rsidP="006A6E28">
      <w:pPr>
        <w:jc w:val="both"/>
        <w:rPr>
          <w:rFonts w:cs="Sendnya"/>
          <w:b/>
          <w:bCs/>
          <w:color w:val="003894"/>
          <w:kern w:val="28"/>
          <w:sz w:val="22"/>
          <w:szCs w:val="28"/>
          <w:lang w:eastAsia="en-US"/>
        </w:rPr>
      </w:pPr>
      <w:r>
        <w:rPr>
          <w:lang w:eastAsia="en-US"/>
        </w:rPr>
        <w:br w:type="page"/>
      </w:r>
    </w:p>
    <w:p w14:paraId="3B80090D" w14:textId="5AB1CC52" w:rsidR="00E92B3F" w:rsidRDefault="00E92B3F" w:rsidP="006A6E28">
      <w:pPr>
        <w:pStyle w:val="Heading1"/>
        <w:jc w:val="both"/>
        <w:rPr>
          <w:lang w:eastAsia="en-US"/>
        </w:rPr>
      </w:pPr>
      <w:r>
        <w:rPr>
          <w:lang w:eastAsia="en-US"/>
        </w:rPr>
        <w:lastRenderedPageBreak/>
        <w:t xml:space="preserve">5. </w:t>
      </w:r>
      <w:r w:rsidRPr="00EC58EE">
        <w:rPr>
          <w:lang w:eastAsia="en-US"/>
        </w:rPr>
        <w:t>Where in the NBFI sectors do you see build-up of excessive leverage, and why? Which NBFIs could be most vulnerable? Please provide concrete examples.</w:t>
      </w:r>
    </w:p>
    <w:p w14:paraId="14D756E5" w14:textId="2C928176" w:rsidR="00E92B3F" w:rsidRDefault="00E92B3F" w:rsidP="006A6E28">
      <w:pPr>
        <w:jc w:val="both"/>
        <w:rPr>
          <w:lang w:eastAsia="en-US"/>
        </w:rPr>
      </w:pPr>
      <w:r w:rsidRPr="008E3C93">
        <w:rPr>
          <w:rStyle w:val="IntenseEmphasis"/>
        </w:rPr>
        <w:t>The absence of a</w:t>
      </w:r>
      <w:r>
        <w:rPr>
          <w:rStyle w:val="IntenseEmphasis"/>
        </w:rPr>
        <w:t xml:space="preserve"> comparable </w:t>
      </w:r>
      <w:r w:rsidRPr="008E3C93">
        <w:rPr>
          <w:rStyle w:val="IntenseEmphasis"/>
        </w:rPr>
        <w:t>measure for leverage</w:t>
      </w:r>
      <w:r>
        <w:rPr>
          <w:rStyle w:val="IntenseEmphasis"/>
        </w:rPr>
        <w:t xml:space="preserve">, as well as </w:t>
      </w:r>
      <w:r w:rsidRPr="008E3C93">
        <w:rPr>
          <w:rStyle w:val="IntenseEmphasis"/>
        </w:rPr>
        <w:t>leverage-related risks across NBFI sectors impedes effective assessment of vulnerabilities.</w:t>
      </w:r>
      <w:r w:rsidRPr="00155A92">
        <w:rPr>
          <w:lang w:eastAsia="en-US"/>
        </w:rPr>
        <w:t xml:space="preserve"> </w:t>
      </w:r>
      <w:r w:rsidRPr="003930D6">
        <w:rPr>
          <w:lang w:eastAsia="en-US"/>
        </w:rPr>
        <w:t xml:space="preserve">Excessive leverage is often cited as a root cause of financial crises. </w:t>
      </w:r>
      <w:r>
        <w:rPr>
          <w:lang w:eastAsia="en-US"/>
        </w:rPr>
        <w:t>W</w:t>
      </w:r>
      <w:r w:rsidRPr="00CF6D20">
        <w:rPr>
          <w:lang w:eastAsia="en-US"/>
        </w:rPr>
        <w:t xml:space="preserve">hile leverage </w:t>
      </w:r>
      <w:r>
        <w:rPr>
          <w:lang w:eastAsia="en-US"/>
        </w:rPr>
        <w:t>indicates</w:t>
      </w:r>
      <w:r w:rsidRPr="00CF6D20">
        <w:rPr>
          <w:lang w:eastAsia="en-US"/>
        </w:rPr>
        <w:t xml:space="preserve"> the presence of other risks, such as counterparty credit risk, liquidity risk, and market risk, it should not be conflated with risk itself.</w:t>
      </w:r>
      <w:r>
        <w:rPr>
          <w:lang w:eastAsia="en-US"/>
        </w:rPr>
        <w:t xml:space="preserve"> Moreover</w:t>
      </w:r>
      <w:r w:rsidRPr="003930D6">
        <w:rPr>
          <w:lang w:eastAsia="en-US"/>
        </w:rPr>
        <w:t>, there is no universal</w:t>
      </w:r>
      <w:r>
        <w:rPr>
          <w:lang w:eastAsia="en-US"/>
        </w:rPr>
        <w:t xml:space="preserve"> </w:t>
      </w:r>
      <w:r w:rsidRPr="003930D6">
        <w:rPr>
          <w:lang w:eastAsia="en-US"/>
        </w:rPr>
        <w:t>definition of leverage</w:t>
      </w:r>
      <w:r>
        <w:rPr>
          <w:lang w:eastAsia="en-US"/>
        </w:rPr>
        <w:t>, and its</w:t>
      </w:r>
      <w:r w:rsidRPr="003930D6">
        <w:rPr>
          <w:lang w:eastAsia="en-US"/>
        </w:rPr>
        <w:t xml:space="preserve"> measures </w:t>
      </w:r>
      <w:r>
        <w:rPr>
          <w:lang w:eastAsia="en-US"/>
        </w:rPr>
        <w:t>vary</w:t>
      </w:r>
      <w:r w:rsidRPr="003930D6">
        <w:rPr>
          <w:lang w:eastAsia="en-US"/>
        </w:rPr>
        <w:t xml:space="preserve"> across </w:t>
      </w:r>
      <w:r>
        <w:rPr>
          <w:lang w:eastAsia="en-US"/>
        </w:rPr>
        <w:t xml:space="preserve">NBFI </w:t>
      </w:r>
      <w:r w:rsidRPr="003930D6">
        <w:rPr>
          <w:lang w:eastAsia="en-US"/>
        </w:rPr>
        <w:t>sector</w:t>
      </w:r>
      <w:r>
        <w:rPr>
          <w:lang w:eastAsia="en-US"/>
        </w:rPr>
        <w:t xml:space="preserve">s. While prudential oversight often focuses on leverage of different types of entities such as banks or investment funds, the systemic perspective is more </w:t>
      </w:r>
      <w:r w:rsidRPr="0011327B">
        <w:rPr>
          <w:lang w:eastAsia="en-US"/>
        </w:rPr>
        <w:t xml:space="preserve">concerned with the resilience of the </w:t>
      </w:r>
      <w:r>
        <w:rPr>
          <w:lang w:eastAsia="en-US"/>
        </w:rPr>
        <w:t xml:space="preserve">financial </w:t>
      </w:r>
      <w:proofErr w:type="gramStart"/>
      <w:r w:rsidRPr="0011327B">
        <w:rPr>
          <w:lang w:eastAsia="en-US"/>
        </w:rPr>
        <w:t>system as a whole</w:t>
      </w:r>
      <w:proofErr w:type="gramEnd"/>
      <w:r w:rsidRPr="0011327B">
        <w:rPr>
          <w:lang w:eastAsia="en-US"/>
        </w:rPr>
        <w:t>.</w:t>
      </w:r>
      <w:r>
        <w:rPr>
          <w:lang w:eastAsia="en-US"/>
        </w:rPr>
        <w:t xml:space="preserve"> M</w:t>
      </w:r>
      <w:r w:rsidRPr="0011327B">
        <w:rPr>
          <w:lang w:eastAsia="en-US"/>
        </w:rPr>
        <w:t>easuring leverage</w:t>
      </w:r>
      <w:r>
        <w:rPr>
          <w:lang w:eastAsia="en-US"/>
        </w:rPr>
        <w:t xml:space="preserve"> </w:t>
      </w:r>
      <w:r w:rsidRPr="0011327B">
        <w:rPr>
          <w:lang w:eastAsia="en-US"/>
        </w:rPr>
        <w:t>at the system level to inform a macroprudential approach remains challenging.</w:t>
      </w:r>
      <w:r>
        <w:rPr>
          <w:lang w:eastAsia="en-US"/>
        </w:rPr>
        <w:t xml:space="preserve"> </w:t>
      </w:r>
      <w:r w:rsidR="003171F2" w:rsidRPr="003171F2">
        <w:rPr>
          <w:lang w:eastAsia="en-US"/>
        </w:rPr>
        <w:t>Further efforts to develop measures for leverage-related risks that could be used across different types of entities would enhance comparability and monitoring of vulnerabilities in the financial system</w:t>
      </w:r>
      <w:r w:rsidR="003171F2">
        <w:rPr>
          <w:lang w:eastAsia="en-US"/>
        </w:rPr>
        <w:t>.</w:t>
      </w:r>
    </w:p>
    <w:p w14:paraId="143E8EE3" w14:textId="08614A42" w:rsidR="007F0C42" w:rsidRDefault="007F0C42" w:rsidP="007F0C42">
      <w:pPr>
        <w:jc w:val="both"/>
        <w:rPr>
          <w:lang w:eastAsia="en-US"/>
        </w:rPr>
      </w:pPr>
      <w:r>
        <w:rPr>
          <w:rStyle w:val="IntenseEmphasis"/>
        </w:rPr>
        <w:t>Risk a</w:t>
      </w:r>
      <w:r w:rsidRPr="00CF6D20">
        <w:rPr>
          <w:rStyle w:val="IntenseEmphasis"/>
        </w:rPr>
        <w:t>ssessment is hindered by data gaps.</w:t>
      </w:r>
      <w:r>
        <w:rPr>
          <w:lang w:eastAsia="en-US"/>
        </w:rPr>
        <w:t xml:space="preserve"> </w:t>
      </w:r>
      <w:r w:rsidRPr="00033C69">
        <w:rPr>
          <w:lang w:eastAsia="en-US"/>
        </w:rPr>
        <w:t>While reporting frameworks and data quality are improving, further efforts are needed to enable a more comprehensive evaluation of risks to financial stability, including those related to leverage. These efforts should focus on shedding light on leverage</w:t>
      </w:r>
      <w:r>
        <w:rPr>
          <w:lang w:eastAsia="en-US"/>
        </w:rPr>
        <w:t xml:space="preserve">d </w:t>
      </w:r>
      <w:r w:rsidRPr="00033C69">
        <w:rPr>
          <w:lang w:eastAsia="en-US"/>
        </w:rPr>
        <w:t xml:space="preserve">UCITS funds </w:t>
      </w:r>
      <w:r>
        <w:rPr>
          <w:lang w:eastAsia="en-US"/>
        </w:rPr>
        <w:t>using</w:t>
      </w:r>
      <w:r w:rsidRPr="00033C69">
        <w:rPr>
          <w:lang w:eastAsia="en-US"/>
        </w:rPr>
        <w:t xml:space="preserve"> the </w:t>
      </w:r>
      <w:proofErr w:type="spellStart"/>
      <w:r w:rsidRPr="00033C69">
        <w:rPr>
          <w:lang w:eastAsia="en-US"/>
        </w:rPr>
        <w:t>VaR</w:t>
      </w:r>
      <w:proofErr w:type="spellEnd"/>
      <w:r w:rsidRPr="00033C69">
        <w:rPr>
          <w:lang w:eastAsia="en-US"/>
        </w:rPr>
        <w:t xml:space="preserve"> approach, as well as on less transparent forms of asset management such as family offices and discretionary mandates</w:t>
      </w:r>
      <w:r>
        <w:rPr>
          <w:lang w:eastAsia="en-US"/>
        </w:rPr>
        <w:t xml:space="preserve">, </w:t>
      </w:r>
      <w:r w:rsidRPr="003171F2">
        <w:rPr>
          <w:lang w:eastAsia="en-US"/>
        </w:rPr>
        <w:t>and other opaque segments of the NBFI space, such as OFIs.</w:t>
      </w:r>
      <w:r>
        <w:rPr>
          <w:lang w:eastAsia="en-US"/>
        </w:rPr>
        <w:t xml:space="preserve"> </w:t>
      </w:r>
      <w:r w:rsidRPr="00672D06">
        <w:rPr>
          <w:lang w:eastAsia="en-US"/>
        </w:rPr>
        <w:t xml:space="preserve">Given that high leverage levels are typically associated </w:t>
      </w:r>
      <w:r>
        <w:rPr>
          <w:lang w:eastAsia="en-US"/>
        </w:rPr>
        <w:t xml:space="preserve">with </w:t>
      </w:r>
      <w:r w:rsidRPr="00672D06">
        <w:rPr>
          <w:lang w:eastAsia="en-US"/>
        </w:rPr>
        <w:t xml:space="preserve">hedge funds, a detailed understanding of their strategies, interlinkages, and associated risks is essential. Furthermore, vulnerabilities in the Commercial Real Estate sector could threaten financial stability necessitating scrutiny of leverage in real estate funds, particularly those with a significant market </w:t>
      </w:r>
      <w:r>
        <w:rPr>
          <w:lang w:eastAsia="en-US"/>
        </w:rPr>
        <w:t>footprint.</w:t>
      </w:r>
      <w:r>
        <w:rPr>
          <w:rStyle w:val="FootnoteReference"/>
          <w:lang w:eastAsia="en-US"/>
        </w:rPr>
        <w:footnoteReference w:id="11"/>
      </w:r>
      <w:r>
        <w:rPr>
          <w:lang w:eastAsia="en-US"/>
        </w:rPr>
        <w:t>, In addition</w:t>
      </w:r>
      <w:r w:rsidRPr="00033C69">
        <w:rPr>
          <w:lang w:eastAsia="en-US"/>
        </w:rPr>
        <w:t>, given that NBFI</w:t>
      </w:r>
      <w:r>
        <w:rPr>
          <w:lang w:eastAsia="en-US"/>
        </w:rPr>
        <w:t xml:space="preserve">s </w:t>
      </w:r>
      <w:r w:rsidRPr="00033C69">
        <w:rPr>
          <w:lang w:eastAsia="en-US"/>
        </w:rPr>
        <w:t>are often multi-layered and inter</w:t>
      </w:r>
      <w:r>
        <w:rPr>
          <w:lang w:eastAsia="en-US"/>
        </w:rPr>
        <w:t>twined</w:t>
      </w:r>
      <w:r w:rsidRPr="00033C69">
        <w:rPr>
          <w:lang w:eastAsia="en-US"/>
        </w:rPr>
        <w:t xml:space="preserve">, there is a need for a better understanding of leverage across </w:t>
      </w:r>
      <w:r>
        <w:rPr>
          <w:lang w:eastAsia="en-US"/>
        </w:rPr>
        <w:t>complex</w:t>
      </w:r>
      <w:r w:rsidRPr="00033C69">
        <w:rPr>
          <w:lang w:eastAsia="en-US"/>
        </w:rPr>
        <w:t xml:space="preserve"> intermediation chains</w:t>
      </w:r>
      <w:r>
        <w:rPr>
          <w:lang w:eastAsia="en-US"/>
        </w:rPr>
        <w:t xml:space="preserve"> and potential amplification channels</w:t>
      </w:r>
      <w:r w:rsidRPr="00033C69">
        <w:rPr>
          <w:lang w:eastAsia="en-US"/>
        </w:rPr>
        <w:t xml:space="preserve">, </w:t>
      </w:r>
      <w:r>
        <w:rPr>
          <w:lang w:eastAsia="en-US"/>
        </w:rPr>
        <w:t>e.g.,</w:t>
      </w:r>
      <w:r w:rsidRPr="00033C69">
        <w:rPr>
          <w:lang w:eastAsia="en-US"/>
        </w:rPr>
        <w:t xml:space="preserve"> through broader application of a look-through </w:t>
      </w:r>
      <w:r>
        <w:rPr>
          <w:lang w:eastAsia="en-US"/>
        </w:rPr>
        <w:t xml:space="preserve">reporting. </w:t>
      </w:r>
      <w:r w:rsidRPr="00AA3ABD">
        <w:rPr>
          <w:lang w:eastAsia="en-US"/>
        </w:rPr>
        <w:t xml:space="preserve">Another area where increased transparency is </w:t>
      </w:r>
      <w:r>
        <w:rPr>
          <w:lang w:eastAsia="en-US"/>
        </w:rPr>
        <w:t>needed</w:t>
      </w:r>
      <w:r w:rsidRPr="00AA3ABD">
        <w:rPr>
          <w:lang w:eastAsia="en-US"/>
        </w:rPr>
        <w:t xml:space="preserve"> is the use of leverage in private finance</w:t>
      </w:r>
      <w:r>
        <w:rPr>
          <w:lang w:eastAsia="en-US"/>
        </w:rPr>
        <w:t xml:space="preserve">. </w:t>
      </w:r>
      <w:r w:rsidRPr="00417FE8">
        <w:rPr>
          <w:lang w:eastAsia="en-US"/>
        </w:rPr>
        <w:t>Although leverage may be small at the fund level, private finance strategies tend to use a large amount of debt along the financing chain. The structure of the European leveraged loans market confirms high levels of debt, as most of the borrowers are private equity</w:t>
      </w:r>
      <w:r>
        <w:rPr>
          <w:lang w:eastAsia="en-US"/>
        </w:rPr>
        <w:t>-</w:t>
      </w:r>
      <w:r w:rsidRPr="00417FE8">
        <w:rPr>
          <w:lang w:eastAsia="en-US"/>
        </w:rPr>
        <w:t>sponsored.</w:t>
      </w:r>
      <w:r w:rsidRPr="00AA3ABD">
        <w:rPr>
          <w:rStyle w:val="FootnoteReference"/>
          <w:lang w:eastAsia="en-US"/>
        </w:rPr>
        <w:t xml:space="preserve"> </w:t>
      </w:r>
      <w:r>
        <w:rPr>
          <w:rStyle w:val="FootnoteReference"/>
          <w:lang w:eastAsia="en-US"/>
        </w:rPr>
        <w:footnoteReference w:id="12"/>
      </w:r>
      <w:r w:rsidRPr="00417FE8">
        <w:rPr>
          <w:lang w:eastAsia="en-US"/>
        </w:rPr>
        <w:t xml:space="preserve"> The lack of a look-through approach in the regulation of private equity funds complicates the assessment of leverage associated with private finance.</w:t>
      </w:r>
    </w:p>
    <w:p w14:paraId="77DC265C" w14:textId="359C79B8" w:rsidR="00E92B3F" w:rsidRDefault="00E92B3F" w:rsidP="006A6E28">
      <w:pPr>
        <w:jc w:val="both"/>
        <w:rPr>
          <w:lang w:eastAsia="en-US"/>
        </w:rPr>
      </w:pPr>
      <w:r w:rsidRPr="005D4366">
        <w:rPr>
          <w:rStyle w:val="IntenseEmphasis"/>
        </w:rPr>
        <w:t xml:space="preserve">NBFIs that combine excessive leverage with other vulnerabilities are </w:t>
      </w:r>
      <w:r>
        <w:rPr>
          <w:rStyle w:val="IntenseEmphasis"/>
        </w:rPr>
        <w:t xml:space="preserve">particularly relevant from a financial stability perspective. </w:t>
      </w:r>
      <w:r w:rsidRPr="00EC793B">
        <w:rPr>
          <w:lang w:eastAsia="en-US"/>
        </w:rPr>
        <w:t xml:space="preserve">The interplay between multiple systemic vulnerabilities </w:t>
      </w:r>
      <w:r>
        <w:rPr>
          <w:lang w:eastAsia="en-US"/>
        </w:rPr>
        <w:t xml:space="preserve">can lead to feedback loops, amplify </w:t>
      </w:r>
      <w:r w:rsidR="007C7286">
        <w:rPr>
          <w:lang w:eastAsia="en-US"/>
        </w:rPr>
        <w:t>shocks,</w:t>
      </w:r>
      <w:r>
        <w:rPr>
          <w:lang w:eastAsia="en-US"/>
        </w:rPr>
        <w:t xml:space="preserve"> and undermine financial stability. </w:t>
      </w:r>
      <w:r w:rsidRPr="00EC793B">
        <w:rPr>
          <w:lang w:eastAsia="en-US"/>
        </w:rPr>
        <w:t>This includes combination of excessive leverage with liquidity mismatch, high interconnectedness, large footprint in underlying markets, and/or concentration.</w:t>
      </w:r>
      <w:r>
        <w:rPr>
          <w:lang w:eastAsia="en-US"/>
        </w:rPr>
        <w:t xml:space="preserve"> </w:t>
      </w:r>
      <w:r w:rsidR="00BC60E1" w:rsidRPr="00BC60E1">
        <w:rPr>
          <w:lang w:eastAsia="en-US"/>
        </w:rPr>
        <w:t xml:space="preserve">Certain </w:t>
      </w:r>
      <w:r w:rsidR="00BC60E1">
        <w:rPr>
          <w:lang w:eastAsia="en-US"/>
        </w:rPr>
        <w:t>investment</w:t>
      </w:r>
      <w:r w:rsidR="00BC60E1" w:rsidRPr="00BC60E1">
        <w:rPr>
          <w:lang w:eastAsia="en-US"/>
        </w:rPr>
        <w:t xml:space="preserve"> funds, for example, </w:t>
      </w:r>
      <w:r w:rsidR="00592973">
        <w:rPr>
          <w:lang w:eastAsia="en-US"/>
        </w:rPr>
        <w:t>can</w:t>
      </w:r>
      <w:r w:rsidR="00BC60E1" w:rsidRPr="00BC60E1">
        <w:rPr>
          <w:lang w:eastAsia="en-US"/>
        </w:rPr>
        <w:t xml:space="preserve"> exhibit such combinations.</w:t>
      </w:r>
      <w:r w:rsidR="00BC60E1">
        <w:rPr>
          <w:rStyle w:val="FootnoteReference"/>
          <w:lang w:eastAsia="en-US"/>
        </w:rPr>
        <w:footnoteReference w:id="13"/>
      </w:r>
      <w:r w:rsidR="00BC60E1">
        <w:rPr>
          <w:lang w:eastAsia="en-US"/>
        </w:rPr>
        <w:t xml:space="preserve"> </w:t>
      </w:r>
      <w:r>
        <w:rPr>
          <w:lang w:eastAsia="en-US"/>
        </w:rPr>
        <w:t xml:space="preserve">The </w:t>
      </w:r>
      <w:r w:rsidRPr="00484779">
        <w:rPr>
          <w:lang w:eastAsia="en-US"/>
        </w:rPr>
        <w:t xml:space="preserve">European Commission should ensure that, when </w:t>
      </w:r>
      <w:r>
        <w:rPr>
          <w:lang w:eastAsia="en-US"/>
        </w:rPr>
        <w:t>the use of leverage</w:t>
      </w:r>
      <w:r w:rsidRPr="00484779">
        <w:rPr>
          <w:lang w:eastAsia="en-US"/>
        </w:rPr>
        <w:t xml:space="preserve"> </w:t>
      </w:r>
      <w:r>
        <w:rPr>
          <w:lang w:eastAsia="en-US"/>
        </w:rPr>
        <w:lastRenderedPageBreak/>
        <w:t xml:space="preserve">by various NBFI sectors </w:t>
      </w:r>
      <w:r w:rsidRPr="00484779">
        <w:rPr>
          <w:lang w:eastAsia="en-US"/>
        </w:rPr>
        <w:t>can cause similar externalities that could endanger financial stability, there are consistent tools in place to address such externalities.</w:t>
      </w:r>
    </w:p>
    <w:p w14:paraId="3F4B2A65" w14:textId="261D7F64" w:rsidR="00485103" w:rsidRPr="003171F2" w:rsidRDefault="00485103" w:rsidP="006A6E28">
      <w:pPr>
        <w:jc w:val="both"/>
        <w:rPr>
          <w:rStyle w:val="IntenseEmphasis"/>
          <w:b w:val="0"/>
          <w:bCs w:val="0"/>
          <w:lang w:eastAsia="en-US"/>
        </w:rPr>
      </w:pPr>
      <w:r w:rsidRPr="00DF6EE4">
        <w:rPr>
          <w:rStyle w:val="IntenseEmphasis"/>
        </w:rPr>
        <w:t xml:space="preserve">NBFIs increasing presence </w:t>
      </w:r>
      <w:r>
        <w:rPr>
          <w:rStyle w:val="IntenseEmphasis"/>
        </w:rPr>
        <w:t>in the EU government bond markets may create vulnerabilities during periods of stress.</w:t>
      </w:r>
      <w:r>
        <w:t xml:space="preserve"> </w:t>
      </w:r>
      <w:r w:rsidRPr="003171F2">
        <w:t>Some NBFIs such as h</w:t>
      </w:r>
      <w:r w:rsidRPr="003171F2">
        <w:rPr>
          <w:rStyle w:val="IntenseEmphasis"/>
          <w:b w:val="0"/>
          <w:bCs w:val="0"/>
          <w:color w:val="auto"/>
          <w:lang w:eastAsia="en-US"/>
        </w:rPr>
        <w:t>edge funds make use of highly leveraged strategies, and their involvement in leveraged basis trades in the US government bond market may has contributed to disruptions in the repo market. Importantly, their presence in the EU government bond markets is growing rapidly, and they are already now a key player in the cash market, and increasingly also in the repo market. There is also evidence that a key contributing factor to their leverage is the fact that they can borrow in the bilaterally cleared repo market with zero haircuts on their collateral.</w:t>
      </w:r>
      <w:r w:rsidR="003060F2">
        <w:rPr>
          <w:rStyle w:val="FootnoteReference"/>
          <w:iCs/>
          <w:lang w:eastAsia="en-US"/>
        </w:rPr>
        <w:footnoteReference w:id="14"/>
      </w:r>
      <w:r w:rsidRPr="003171F2">
        <w:rPr>
          <w:rStyle w:val="IntenseEmphasis"/>
          <w:b w:val="0"/>
          <w:bCs w:val="0"/>
          <w:color w:val="auto"/>
          <w:lang w:eastAsia="en-US"/>
        </w:rPr>
        <w:t xml:space="preserve"> </w:t>
      </w:r>
      <w:r w:rsidR="00BC60E1" w:rsidRPr="003171F2">
        <w:t>If c</w:t>
      </w:r>
      <w:r w:rsidRPr="003171F2">
        <w:t>ombined with inadequate liquidity preparedness to meet margin calls, these NBFIs may amplify market dynamics through procyclical selling behaviour, particularly when they rapidly alter their positioning in response to shifts in market sentiment, thereby exacerbating the risk of dysfunction in financial markets by putting pressure on banks’ intermediation capacity and create trading bottlenecks.</w:t>
      </w:r>
    </w:p>
    <w:p w14:paraId="3E061EEE" w14:textId="2F47086F" w:rsidR="00D5496F" w:rsidRDefault="008434F6" w:rsidP="006A6E28">
      <w:pPr>
        <w:jc w:val="both"/>
        <w:rPr>
          <w:lang w:eastAsia="en-US"/>
        </w:rPr>
      </w:pPr>
      <w:r w:rsidRPr="00C06241">
        <w:rPr>
          <w:rStyle w:val="IntenseEmphasis"/>
          <w:lang w:eastAsia="en-US"/>
        </w:rPr>
        <w:t xml:space="preserve">From a financial stability perspective, it is crucial to understand not only the build-up of leverage </w:t>
      </w:r>
      <w:r w:rsidRPr="00C06241">
        <w:rPr>
          <w:rStyle w:val="IntenseEmphasis"/>
        </w:rPr>
        <w:t>in</w:t>
      </w:r>
      <w:r w:rsidRPr="00C06241">
        <w:rPr>
          <w:rStyle w:val="IntenseEmphasis"/>
          <w:lang w:eastAsia="en-US"/>
        </w:rPr>
        <w:t xml:space="preserve"> NBFI</w:t>
      </w:r>
      <w:r w:rsidRPr="00C06241">
        <w:rPr>
          <w:rStyle w:val="IntenseEmphasis"/>
        </w:rPr>
        <w:t xml:space="preserve"> </w:t>
      </w:r>
      <w:r w:rsidRPr="00C06241">
        <w:rPr>
          <w:rStyle w:val="IntenseEmphasis"/>
          <w:lang w:eastAsia="en-US"/>
        </w:rPr>
        <w:t>s</w:t>
      </w:r>
      <w:r w:rsidRPr="00C06241">
        <w:rPr>
          <w:rStyle w:val="IntenseEmphasis"/>
        </w:rPr>
        <w:t>ectors</w:t>
      </w:r>
      <w:r w:rsidRPr="00C06241">
        <w:rPr>
          <w:rStyle w:val="IntenseEmphasis"/>
          <w:lang w:eastAsia="en-US"/>
        </w:rPr>
        <w:t xml:space="preserve"> but also </w:t>
      </w:r>
      <w:r w:rsidRPr="00C06241">
        <w:rPr>
          <w:rStyle w:val="IntenseEmphasis"/>
        </w:rPr>
        <w:t>their role in providing leverage</w:t>
      </w:r>
      <w:r w:rsidRPr="00C06241">
        <w:rPr>
          <w:rStyle w:val="IntenseEmphasis"/>
          <w:lang w:eastAsia="en-US"/>
        </w:rPr>
        <w:t>.</w:t>
      </w:r>
      <w:r w:rsidRPr="00C06241">
        <w:rPr>
          <w:rStyle w:val="IntenseEmphasis"/>
        </w:rPr>
        <w:t xml:space="preserve"> </w:t>
      </w:r>
      <w:r>
        <w:rPr>
          <w:lang w:eastAsia="en-US"/>
        </w:rPr>
        <w:t>W</w:t>
      </w:r>
      <w:r w:rsidRPr="00BA4C33">
        <w:rPr>
          <w:lang w:eastAsia="en-US"/>
        </w:rPr>
        <w:t xml:space="preserve">hen assessing risks related to leverage, it is </w:t>
      </w:r>
      <w:r>
        <w:rPr>
          <w:lang w:eastAsia="en-US"/>
        </w:rPr>
        <w:t>important</w:t>
      </w:r>
      <w:r w:rsidRPr="00BA4C33">
        <w:rPr>
          <w:lang w:eastAsia="en-US"/>
        </w:rPr>
        <w:t xml:space="preserve"> to recognise </w:t>
      </w:r>
      <w:r w:rsidR="003171F2" w:rsidRPr="00BA4C33">
        <w:rPr>
          <w:lang w:eastAsia="en-US"/>
        </w:rPr>
        <w:t xml:space="preserve">that NBFIs </w:t>
      </w:r>
      <w:r w:rsidR="003171F2">
        <w:rPr>
          <w:lang w:eastAsia="en-US"/>
        </w:rPr>
        <w:t xml:space="preserve">can be important providers of leverage. </w:t>
      </w:r>
      <w:r>
        <w:rPr>
          <w:lang w:eastAsia="en-US"/>
        </w:rPr>
        <w:t>B</w:t>
      </w:r>
      <w:r w:rsidRPr="008434F6">
        <w:rPr>
          <w:lang w:eastAsia="en-US"/>
        </w:rPr>
        <w:t xml:space="preserve">y providing alternative or complementary financing to companies or investment projects with high financing needs that might not meet the criteria or “risk appetite” for financing from </w:t>
      </w:r>
      <w:r>
        <w:rPr>
          <w:lang w:eastAsia="en-US"/>
        </w:rPr>
        <w:t xml:space="preserve">banks, NBFI play an </w:t>
      </w:r>
      <w:r w:rsidRPr="008434F6">
        <w:rPr>
          <w:lang w:eastAsia="en-US"/>
        </w:rPr>
        <w:t>important role in the economy</w:t>
      </w:r>
      <w:r>
        <w:rPr>
          <w:lang w:eastAsia="en-US"/>
        </w:rPr>
        <w:t xml:space="preserve"> and contribute to CMU goals. </w:t>
      </w:r>
      <w:r w:rsidRPr="008434F6">
        <w:rPr>
          <w:lang w:eastAsia="en-US"/>
        </w:rPr>
        <w:t xml:space="preserve">But </w:t>
      </w:r>
      <w:r>
        <w:rPr>
          <w:lang w:eastAsia="en-US"/>
        </w:rPr>
        <w:t xml:space="preserve">at the same time, it can </w:t>
      </w:r>
      <w:r w:rsidRPr="003758BE">
        <w:rPr>
          <w:lang w:eastAsia="en-US"/>
        </w:rPr>
        <w:t>contribut</w:t>
      </w:r>
      <w:r>
        <w:rPr>
          <w:lang w:eastAsia="en-US"/>
        </w:rPr>
        <w:t xml:space="preserve">e </w:t>
      </w:r>
      <w:r w:rsidRPr="003758BE">
        <w:rPr>
          <w:lang w:eastAsia="en-US"/>
        </w:rPr>
        <w:t>to over-indebtedness and financial imbalances</w:t>
      </w:r>
      <w:r>
        <w:rPr>
          <w:lang w:eastAsia="en-US"/>
        </w:rPr>
        <w:t xml:space="preserve"> in the economy.</w:t>
      </w:r>
      <w:r w:rsidRPr="008434F6">
        <w:rPr>
          <w:lang w:eastAsia="en-US"/>
        </w:rPr>
        <w:t xml:space="preserve"> As this financing channel expands, it is </w:t>
      </w:r>
      <w:r w:rsidR="009F014C">
        <w:rPr>
          <w:lang w:eastAsia="en-US"/>
        </w:rPr>
        <w:t>crucial</w:t>
      </w:r>
      <w:r w:rsidRPr="008434F6">
        <w:rPr>
          <w:lang w:eastAsia="en-US"/>
        </w:rPr>
        <w:t xml:space="preserve"> to</w:t>
      </w:r>
      <w:r w:rsidR="009F014C">
        <w:rPr>
          <w:lang w:eastAsia="en-US"/>
        </w:rPr>
        <w:t xml:space="preserve"> </w:t>
      </w:r>
      <w:r w:rsidRPr="008434F6">
        <w:rPr>
          <w:lang w:eastAsia="en-US"/>
        </w:rPr>
        <w:t xml:space="preserve">understand and monitor </w:t>
      </w:r>
      <w:r w:rsidR="009F014C">
        <w:rPr>
          <w:lang w:eastAsia="en-US"/>
        </w:rPr>
        <w:t>related risks</w:t>
      </w:r>
      <w:r w:rsidR="00D5496F">
        <w:rPr>
          <w:lang w:eastAsia="en-US"/>
        </w:rPr>
        <w:t xml:space="preserve">, including </w:t>
      </w:r>
      <w:r w:rsidR="00D5496F" w:rsidRPr="00D5496F">
        <w:rPr>
          <w:lang w:eastAsia="en-US"/>
        </w:rPr>
        <w:t xml:space="preserve">interlinkages with </w:t>
      </w:r>
      <w:r w:rsidR="00D5496F">
        <w:rPr>
          <w:lang w:eastAsia="en-US"/>
        </w:rPr>
        <w:t xml:space="preserve">and </w:t>
      </w:r>
      <w:r w:rsidR="00D5496F" w:rsidRPr="00D5496F">
        <w:rPr>
          <w:lang w:eastAsia="en-US"/>
        </w:rPr>
        <w:t>the banking sector.</w:t>
      </w:r>
    </w:p>
    <w:p w14:paraId="689B4987" w14:textId="6F30CBC4" w:rsidR="00E92B3F" w:rsidRDefault="00E92B3F" w:rsidP="006A6E28">
      <w:pPr>
        <w:jc w:val="both"/>
        <w:rPr>
          <w:lang w:eastAsia="en-US"/>
        </w:rPr>
      </w:pPr>
      <w:r>
        <w:rPr>
          <w:lang w:eastAsia="en-US"/>
        </w:rPr>
        <w:t>More detail on these risks, and ESRB proposals to remedy them, are set out in the Introduction, Chapters 1, 3</w:t>
      </w:r>
      <w:r w:rsidR="00B52E8F">
        <w:rPr>
          <w:lang w:eastAsia="en-US"/>
        </w:rPr>
        <w:t>, 4</w:t>
      </w:r>
      <w:r>
        <w:rPr>
          <w:lang w:eastAsia="en-US"/>
        </w:rPr>
        <w:t xml:space="preserve"> and 5 and Policy Digest 2 of ESRB (2024), “</w:t>
      </w:r>
      <w:r w:rsidRPr="00141340">
        <w:rPr>
          <w:lang w:eastAsia="en-US"/>
        </w:rPr>
        <w:t>A system-wide approach to macroprudential policy</w:t>
      </w:r>
      <w:r>
        <w:rPr>
          <w:lang w:eastAsia="en-US"/>
        </w:rPr>
        <w:t xml:space="preserve"> - </w:t>
      </w:r>
      <w:r w:rsidRPr="00141340">
        <w:rPr>
          <w:lang w:eastAsia="en-US"/>
        </w:rPr>
        <w:t>ESRB response to the European Commission’s consultation on assessing the adequacy of macroprudential policies for Non-bank Financial Intermediation</w:t>
      </w:r>
      <w:r>
        <w:rPr>
          <w:lang w:eastAsia="en-US"/>
        </w:rPr>
        <w:t>”.</w:t>
      </w:r>
    </w:p>
    <w:p w14:paraId="3DA28251" w14:textId="77777777" w:rsidR="00985586" w:rsidRDefault="00985586" w:rsidP="006A6E28">
      <w:pPr>
        <w:jc w:val="both"/>
        <w:rPr>
          <w:lang w:eastAsia="en-US"/>
        </w:rPr>
      </w:pPr>
    </w:p>
    <w:p w14:paraId="5DAAB8EB" w14:textId="32F35F79" w:rsidR="00EC58EE" w:rsidRDefault="00EC58EE" w:rsidP="006A6E28">
      <w:pPr>
        <w:jc w:val="both"/>
        <w:rPr>
          <w:rFonts w:cs="Sendnya"/>
          <w:b/>
          <w:bCs/>
          <w:color w:val="003894"/>
          <w:kern w:val="28"/>
          <w:sz w:val="22"/>
          <w:szCs w:val="28"/>
          <w:lang w:eastAsia="en-US"/>
        </w:rPr>
      </w:pPr>
      <w:r>
        <w:rPr>
          <w:lang w:eastAsia="en-US"/>
        </w:rPr>
        <w:br w:type="page"/>
      </w:r>
    </w:p>
    <w:p w14:paraId="2F91DA26" w14:textId="060CBE41" w:rsidR="00EC58EE" w:rsidRDefault="00EC58EE" w:rsidP="006A6E28">
      <w:pPr>
        <w:pStyle w:val="Heading1"/>
        <w:jc w:val="both"/>
        <w:rPr>
          <w:lang w:eastAsia="en-US"/>
        </w:rPr>
      </w:pPr>
      <w:r>
        <w:rPr>
          <w:lang w:eastAsia="en-US"/>
        </w:rPr>
        <w:lastRenderedPageBreak/>
        <w:t xml:space="preserve">26. </w:t>
      </w:r>
      <w:r w:rsidRPr="00EC58EE">
        <w:rPr>
          <w:lang w:eastAsia="en-US"/>
        </w:rPr>
        <w:t xml:space="preserve">What are your views on the preparedness of NBFIs operating in the EU in meeting margin calls, and on the ways to improve preparedness, </w:t>
      </w:r>
      <w:proofErr w:type="gramStart"/>
      <w:r w:rsidRPr="00EC58EE">
        <w:rPr>
          <w:lang w:eastAsia="en-US"/>
        </w:rPr>
        <w:t>taking into account</w:t>
      </w:r>
      <w:proofErr w:type="gramEnd"/>
      <w:r w:rsidRPr="00EC58EE">
        <w:rPr>
          <w:lang w:eastAsia="en-US"/>
        </w:rPr>
        <w:t xml:space="preserve"> existing or recently agreed EU measures aimed at addressing this issue? Please specify the NBFI sector(s) you refer to in your answer?</w:t>
      </w:r>
    </w:p>
    <w:p w14:paraId="5C5FC2C3" w14:textId="57673870" w:rsidR="008C0D6B" w:rsidRDefault="00E059FF" w:rsidP="006A6E28">
      <w:pPr>
        <w:jc w:val="both"/>
        <w:rPr>
          <w:rStyle w:val="IntenseEmphasis"/>
        </w:rPr>
      </w:pPr>
      <w:r w:rsidRPr="00ED73DB">
        <w:rPr>
          <w:rStyle w:val="IntenseEmphasis"/>
        </w:rPr>
        <w:t xml:space="preserve">The ESRB </w:t>
      </w:r>
      <w:r>
        <w:rPr>
          <w:rStyle w:val="IntenseEmphasis"/>
        </w:rPr>
        <w:t>believes</w:t>
      </w:r>
      <w:r w:rsidRPr="00ED73DB">
        <w:rPr>
          <w:rStyle w:val="IntenseEmphasis"/>
        </w:rPr>
        <w:t xml:space="preserve"> that </w:t>
      </w:r>
      <w:r>
        <w:rPr>
          <w:rStyle w:val="IntenseEmphasis"/>
        </w:rPr>
        <w:t xml:space="preserve">liquidity </w:t>
      </w:r>
      <w:r w:rsidRPr="00ED73DB">
        <w:rPr>
          <w:rStyle w:val="IntenseEmphasis"/>
        </w:rPr>
        <w:t>stress testing is a key tool to test margin preparedness</w:t>
      </w:r>
      <w:r>
        <w:rPr>
          <w:rStyle w:val="IntenseEmphasis"/>
        </w:rPr>
        <w:t xml:space="preserve"> and welcomes that the EU-wide stress tests of the ESAs are considering this aspect</w:t>
      </w:r>
      <w:r w:rsidRPr="00D06BC7">
        <w:rPr>
          <w:rStyle w:val="IntenseEmphasis"/>
          <w:color w:val="auto"/>
        </w:rPr>
        <w:t>.</w:t>
      </w:r>
      <w:r w:rsidRPr="00D06BC7">
        <w:rPr>
          <w:rStyle w:val="IntenseEmphasis"/>
          <w:b w:val="0"/>
          <w:color w:val="auto"/>
        </w:rPr>
        <w:t xml:space="preserve"> </w:t>
      </w:r>
      <w:r w:rsidR="00A13D70">
        <w:rPr>
          <w:rStyle w:val="IntenseEmphasis"/>
          <w:b w:val="0"/>
          <w:color w:val="auto"/>
        </w:rPr>
        <w:t xml:space="preserve">The preparedness in meeting margin calls varies across the different NBFI sectors and across different firms in the same sector. Therefore, the ESRB believes it is important to assess the impact of margin calls as part of liquidity stress tests. </w:t>
      </w:r>
      <w:r w:rsidRPr="00D06BC7">
        <w:rPr>
          <w:rStyle w:val="IntenseEmphasis"/>
          <w:b w:val="0"/>
          <w:color w:val="auto"/>
        </w:rPr>
        <w:t>For example, while testing the resilience of CCPs is the core of ESMA’s regular stress test of CCPs, ESMA notes that CCPs may impact the resilience of their clearing members, clients, and markets, through abrupt margin calls during times of high prices and market volatility. Reflecting this, ESMA’s fifth CCP stress test include</w:t>
      </w:r>
      <w:r w:rsidR="0030226D">
        <w:rPr>
          <w:rStyle w:val="IntenseEmphasis"/>
          <w:b w:val="0"/>
          <w:color w:val="auto"/>
        </w:rPr>
        <w:t>d</w:t>
      </w:r>
      <w:r w:rsidRPr="00D06BC7">
        <w:rPr>
          <w:rStyle w:val="IntenseEmphasis"/>
          <w:b w:val="0"/>
          <w:color w:val="auto"/>
        </w:rPr>
        <w:t xml:space="preserve"> an analysis of the central clearing ecosystem to complement the core components of its CCP stress tests. ESMA used data submitted by CCPs on variation margin </w:t>
      </w:r>
      <w:r>
        <w:rPr>
          <w:rStyle w:val="IntenseEmphasis"/>
          <w:b w:val="0"/>
          <w:color w:val="auto"/>
        </w:rPr>
        <w:t xml:space="preserve">(VM) </w:t>
      </w:r>
      <w:r w:rsidRPr="00D06BC7">
        <w:rPr>
          <w:rStyle w:val="IntenseEmphasis"/>
          <w:b w:val="0"/>
          <w:color w:val="auto"/>
        </w:rPr>
        <w:t xml:space="preserve">that would need to be exchanged under the market stress scenario to estimate the potential liquidity impact on clearing members and their clients in the EU clearing system. The analysis shows that the net largest liquidity demands from VM calls fall on the largest financial groups. While these groups should have access to liquid resources, ESMA notes that a significant amount of the stressed VM calls may be passed </w:t>
      </w:r>
      <w:r w:rsidR="00E63F40">
        <w:rPr>
          <w:rStyle w:val="IntenseEmphasis"/>
          <w:b w:val="0"/>
          <w:color w:val="auto"/>
        </w:rPr>
        <w:t xml:space="preserve">on </w:t>
      </w:r>
      <w:r w:rsidRPr="00D06BC7">
        <w:rPr>
          <w:rStyle w:val="IntenseEmphasis"/>
          <w:b w:val="0"/>
          <w:color w:val="auto"/>
        </w:rPr>
        <w:t>to clients.</w:t>
      </w:r>
      <w:r w:rsidRPr="00D06BC7">
        <w:rPr>
          <w:rStyle w:val="FootnoteReference"/>
          <w:iCs/>
        </w:rPr>
        <w:footnoteReference w:id="15"/>
      </w:r>
      <w:r w:rsidRPr="00D06BC7">
        <w:rPr>
          <w:rStyle w:val="IntenseEmphasis"/>
          <w:b w:val="0"/>
          <w:color w:val="auto"/>
        </w:rPr>
        <w:t xml:space="preserve"> In addition, EIOPA’s 2024 </w:t>
      </w:r>
      <w:r w:rsidR="0064129D">
        <w:rPr>
          <w:rStyle w:val="IntenseEmphasis"/>
          <w:b w:val="0"/>
          <w:color w:val="auto"/>
        </w:rPr>
        <w:t xml:space="preserve">insurance </w:t>
      </w:r>
      <w:r w:rsidRPr="00D06BC7">
        <w:rPr>
          <w:rStyle w:val="IntenseEmphasis"/>
          <w:b w:val="0"/>
          <w:color w:val="auto"/>
        </w:rPr>
        <w:t xml:space="preserve">stress test </w:t>
      </w:r>
      <w:r w:rsidR="0064129D">
        <w:rPr>
          <w:rStyle w:val="IntenseEmphasis"/>
          <w:b w:val="0"/>
          <w:color w:val="auto"/>
        </w:rPr>
        <w:t xml:space="preserve">exercise </w:t>
      </w:r>
      <w:r w:rsidRPr="00D06BC7">
        <w:rPr>
          <w:rStyle w:val="IntenseEmphasis"/>
          <w:b w:val="0"/>
          <w:color w:val="auto"/>
        </w:rPr>
        <w:t>includes a liquidity component that also captures margin calls.</w:t>
      </w:r>
      <w:r w:rsidRPr="00D06BC7">
        <w:rPr>
          <w:rStyle w:val="FootnoteReference"/>
          <w:iCs/>
        </w:rPr>
        <w:footnoteReference w:id="16"/>
      </w:r>
      <w:r w:rsidRPr="00D06BC7">
        <w:rPr>
          <w:rStyle w:val="IntenseEmphasis"/>
          <w:b w:val="0"/>
          <w:color w:val="auto"/>
        </w:rPr>
        <w:t xml:space="preserve"> </w:t>
      </w:r>
      <w:r w:rsidR="008C0D6B" w:rsidRPr="00D06BC7">
        <w:rPr>
          <w:rStyle w:val="IntenseEmphasis"/>
          <w:b w:val="0"/>
          <w:color w:val="auto"/>
        </w:rPr>
        <w:t>And the ESRB proposed that ESMA would review its stress testing guideline for investment funds such that they would be required to consider the impact of margin calls on their liquidity.</w:t>
      </w:r>
      <w:r w:rsidR="008C0D6B" w:rsidRPr="00D06BC7">
        <w:rPr>
          <w:rStyle w:val="FootnoteReference"/>
          <w:iCs/>
        </w:rPr>
        <w:footnoteReference w:id="17"/>
      </w:r>
      <w:r w:rsidR="008C0D6B" w:rsidRPr="00D06BC7">
        <w:rPr>
          <w:rStyle w:val="IntenseEmphasis"/>
          <w:b w:val="0"/>
          <w:color w:val="auto"/>
        </w:rPr>
        <w:t xml:space="preserve"> It is important that the European Commission reviews whether NCAs have sufficient powers to address any deficiencies in liquidity risk management, that these stress tests might reveal.</w:t>
      </w:r>
    </w:p>
    <w:p w14:paraId="764E9FDA" w14:textId="1403CB96" w:rsidR="00E059FF" w:rsidRDefault="00E059FF" w:rsidP="006A6E28">
      <w:pPr>
        <w:jc w:val="both"/>
        <w:rPr>
          <w:rStyle w:val="IntenseEmphasis"/>
          <w:b w:val="0"/>
          <w:color w:val="000000" w:themeColor="text1"/>
        </w:rPr>
      </w:pPr>
      <w:r>
        <w:rPr>
          <w:rStyle w:val="IntenseEmphasis"/>
        </w:rPr>
        <w:t>The</w:t>
      </w:r>
      <w:r w:rsidRPr="00EB4851">
        <w:rPr>
          <w:rStyle w:val="IntenseEmphasis"/>
        </w:rPr>
        <w:t xml:space="preserve"> </w:t>
      </w:r>
      <w:r>
        <w:rPr>
          <w:rStyle w:val="IntenseEmphasis"/>
        </w:rPr>
        <w:t xml:space="preserve">liquidity risk that can result from margin calls during times of heightened market volatility </w:t>
      </w:r>
      <w:r w:rsidRPr="00EB4851">
        <w:rPr>
          <w:rStyle w:val="IntenseEmphasis"/>
        </w:rPr>
        <w:t>needs to be managed better</w:t>
      </w:r>
      <w:r w:rsidRPr="0017468A">
        <w:rPr>
          <w:rStyle w:val="IntenseEmphasis"/>
          <w:color w:val="auto"/>
        </w:rPr>
        <w:t>.</w:t>
      </w:r>
      <w:r w:rsidRPr="0017468A">
        <w:rPr>
          <w:rStyle w:val="IntenseEmphasis"/>
          <w:b w:val="0"/>
          <w:color w:val="auto"/>
        </w:rPr>
        <w:t xml:space="preserve"> The regular exchange of margin to collateralise transactions has made the financial system safer. </w:t>
      </w:r>
      <w:r w:rsidRPr="009B045B">
        <w:rPr>
          <w:rStyle w:val="IntenseEmphasis"/>
          <w:b w:val="0"/>
          <w:color w:val="000000" w:themeColor="text1"/>
        </w:rPr>
        <w:t xml:space="preserve">A known side effect of the greater use of collateral </w:t>
      </w:r>
      <w:r>
        <w:rPr>
          <w:rStyle w:val="IntenseEmphasis"/>
          <w:b w:val="0"/>
          <w:color w:val="000000" w:themeColor="text1"/>
        </w:rPr>
        <w:t xml:space="preserve">in financial transactions </w:t>
      </w:r>
      <w:r w:rsidRPr="009B045B">
        <w:rPr>
          <w:rStyle w:val="IntenseEmphasis"/>
          <w:b w:val="0"/>
          <w:color w:val="000000" w:themeColor="text1"/>
        </w:rPr>
        <w:t xml:space="preserve">is that liquidity risk has increased. This is because – when market prices move sharply – market participants with loss-making positions need to meet large margin calls at short notice. This may force them to close out their positions by entering offsetting trades, thereby amplifying price movements. Or it may force them to raise liquidity by selling other assets (potentially at a steep discount in case of assets of low quality and/or that trade in markets that are not liquid), thereby creating contagion effects to other markets. The resulting effects can threaten financial stability. </w:t>
      </w:r>
      <w:r>
        <w:rPr>
          <w:lang w:eastAsia="en-US"/>
        </w:rPr>
        <w:t>As Box 1 on ‘Episodes of market turmoil and other indicators related to NBFIs’ in the ESRB publication</w:t>
      </w:r>
      <w:r w:rsidRPr="00045B83">
        <w:rPr>
          <w:lang w:eastAsia="en-US"/>
        </w:rPr>
        <w:t xml:space="preserve"> “A system-wide approach to macroprudential policy</w:t>
      </w:r>
      <w:r w:rsidR="0030226D">
        <w:rPr>
          <w:lang w:eastAsia="en-US"/>
        </w:rPr>
        <w:t xml:space="preserve"> </w:t>
      </w:r>
      <w:r w:rsidR="00B52E8F">
        <w:rPr>
          <w:lang w:eastAsia="en-US"/>
        </w:rPr>
        <w:t xml:space="preserve">- </w:t>
      </w:r>
      <w:r w:rsidR="00B52E8F" w:rsidRPr="00141340">
        <w:rPr>
          <w:lang w:eastAsia="en-US"/>
        </w:rPr>
        <w:t>ESRB response to the European Commission’s consultation on assessing the adequacy of macroprudential policies for Non-bank Financial Intermediation</w:t>
      </w:r>
      <w:r w:rsidR="0064129D">
        <w:rPr>
          <w:lang w:eastAsia="en-US"/>
        </w:rPr>
        <w:t>”</w:t>
      </w:r>
      <w:r>
        <w:rPr>
          <w:lang w:eastAsia="en-US"/>
        </w:rPr>
        <w:t xml:space="preserve"> highlights, there have been several episodes that demonstrate the </w:t>
      </w:r>
      <w:r>
        <w:rPr>
          <w:lang w:eastAsia="en-US"/>
        </w:rPr>
        <w:lastRenderedPageBreak/>
        <w:t xml:space="preserve">lack of preparedness of NBFIs in meeting margin calls. </w:t>
      </w:r>
      <w:r w:rsidRPr="009B045B">
        <w:rPr>
          <w:rStyle w:val="IntenseEmphasis"/>
          <w:b w:val="0"/>
          <w:color w:val="000000" w:themeColor="text1"/>
        </w:rPr>
        <w:t xml:space="preserve">For example, the March 2020 market turmoil, </w:t>
      </w:r>
      <w:bookmarkStart w:id="1" w:name="_Hlk172200417"/>
      <w:r w:rsidRPr="009B045B">
        <w:rPr>
          <w:rStyle w:val="IntenseEmphasis"/>
          <w:b w:val="0"/>
          <w:color w:val="000000" w:themeColor="text1"/>
        </w:rPr>
        <w:t xml:space="preserve">the energy crisis in </w:t>
      </w:r>
      <w:bookmarkEnd w:id="1"/>
      <w:r w:rsidR="0030226D">
        <w:rPr>
          <w:rStyle w:val="IntenseEmphasis"/>
          <w:b w:val="0"/>
          <w:color w:val="000000" w:themeColor="text1"/>
        </w:rPr>
        <w:t xml:space="preserve">the </w:t>
      </w:r>
      <w:r w:rsidRPr="009B045B">
        <w:rPr>
          <w:rStyle w:val="IntenseEmphasis"/>
          <w:b w:val="0"/>
          <w:color w:val="000000" w:themeColor="text1"/>
        </w:rPr>
        <w:t xml:space="preserve">EU, and the </w:t>
      </w:r>
      <w:bookmarkStart w:id="2" w:name="_Hlk172200456"/>
      <w:r w:rsidRPr="009B045B">
        <w:rPr>
          <w:rStyle w:val="IntenseEmphasis"/>
          <w:b w:val="0"/>
          <w:color w:val="000000" w:themeColor="text1"/>
        </w:rPr>
        <w:t xml:space="preserve">UK gilt turmoil in 2022 </w:t>
      </w:r>
      <w:bookmarkEnd w:id="2"/>
      <w:r w:rsidRPr="009B045B">
        <w:rPr>
          <w:rStyle w:val="IntenseEmphasis"/>
          <w:b w:val="0"/>
          <w:color w:val="000000" w:themeColor="text1"/>
        </w:rPr>
        <w:t xml:space="preserve">resulted in unprecedented interventions by public authorities that helped maintain the resilience of the clearing ecosystem. </w:t>
      </w:r>
    </w:p>
    <w:p w14:paraId="1CB0642E" w14:textId="2D809A69" w:rsidR="00C70C1E" w:rsidRDefault="00E059FF" w:rsidP="006A6E28">
      <w:pPr>
        <w:jc w:val="both"/>
        <w:rPr>
          <w:iCs/>
        </w:rPr>
      </w:pPr>
      <w:r w:rsidRPr="009B045B">
        <w:rPr>
          <w:b/>
          <w:bCs/>
          <w:color w:val="003894" w:themeColor="accent1"/>
          <w:lang w:eastAsia="en-US"/>
        </w:rPr>
        <w:t>All market participants that enter transactions that require exchange of margin need to be prepared to meet margin calls during times of stress.</w:t>
      </w:r>
      <w:r w:rsidRPr="009B045B">
        <w:rPr>
          <w:color w:val="000000" w:themeColor="text1"/>
          <w:lang w:eastAsia="en-US"/>
        </w:rPr>
        <w:t xml:space="preserve"> </w:t>
      </w:r>
      <w:r w:rsidR="00A13D70" w:rsidRPr="00CC3658">
        <w:rPr>
          <w:rStyle w:val="IntenseEmphasis"/>
          <w:b w:val="0"/>
          <w:color w:val="auto"/>
        </w:rPr>
        <w:t>Given their centrality in the clearing ecosystem</w:t>
      </w:r>
      <w:r w:rsidR="00A13D70">
        <w:rPr>
          <w:rStyle w:val="IntenseEmphasis"/>
          <w:b w:val="0"/>
          <w:color w:val="auto"/>
        </w:rPr>
        <w:t>,</w:t>
      </w:r>
      <w:r w:rsidR="00A13D70" w:rsidRPr="00CC3658">
        <w:rPr>
          <w:rStyle w:val="IntenseEmphasis"/>
          <w:b w:val="0"/>
          <w:color w:val="auto"/>
        </w:rPr>
        <w:t xml:space="preserve"> it is important that CCPs do not put unnecessary strain on </w:t>
      </w:r>
      <w:r w:rsidR="00A13D70">
        <w:rPr>
          <w:rStyle w:val="IntenseEmphasis"/>
          <w:b w:val="0"/>
          <w:color w:val="auto"/>
        </w:rPr>
        <w:t xml:space="preserve">their clearing members </w:t>
      </w:r>
      <w:r w:rsidR="00A13D70" w:rsidRPr="00CC3658">
        <w:rPr>
          <w:rStyle w:val="IntenseEmphasis"/>
          <w:b w:val="0"/>
          <w:color w:val="auto"/>
        </w:rPr>
        <w:t xml:space="preserve">and clients. The ESRB has pointed to ways to reduce procyclical behaviour in various reports and a Recommendation. EMIR already requires EU CCPs to include anti-procyclicality measures in their </w:t>
      </w:r>
      <w:r w:rsidR="00A13D70">
        <w:rPr>
          <w:rStyle w:val="IntenseEmphasis"/>
          <w:b w:val="0"/>
          <w:color w:val="auto"/>
        </w:rPr>
        <w:t xml:space="preserve">initial margin </w:t>
      </w:r>
      <w:r w:rsidR="00A13D70" w:rsidRPr="00CC3658">
        <w:rPr>
          <w:rStyle w:val="IntenseEmphasis"/>
          <w:b w:val="0"/>
          <w:color w:val="auto"/>
        </w:rPr>
        <w:t xml:space="preserve">models, and </w:t>
      </w:r>
      <w:r w:rsidR="00A13D70">
        <w:rPr>
          <w:color w:val="000000" w:themeColor="text1"/>
          <w:lang w:eastAsia="en-US"/>
        </w:rPr>
        <w:t>these provisions would be further strengthened if the European Commission endorses the revised Regulatory Technical Standard that ESMA has proposed.</w:t>
      </w:r>
      <w:r w:rsidR="00A56004">
        <w:rPr>
          <w:rStyle w:val="CommentReference"/>
        </w:rPr>
        <w:t xml:space="preserve"> </w:t>
      </w:r>
      <w:r w:rsidR="00A13D70" w:rsidRPr="009B045B">
        <w:rPr>
          <w:color w:val="000000" w:themeColor="text1"/>
          <w:lang w:eastAsia="en-US"/>
        </w:rPr>
        <w:t xml:space="preserve"> </w:t>
      </w:r>
      <w:r w:rsidR="00A13D70">
        <w:rPr>
          <w:rStyle w:val="IntenseEmphasis"/>
          <w:b w:val="0"/>
          <w:color w:val="auto"/>
        </w:rPr>
        <w:t>T</w:t>
      </w:r>
      <w:r w:rsidR="00A13D70" w:rsidRPr="00CC3658">
        <w:rPr>
          <w:rStyle w:val="IntenseEmphasis"/>
          <w:b w:val="0"/>
          <w:color w:val="auto"/>
        </w:rPr>
        <w:t xml:space="preserve">he revised EMIR (EMIR 3) provides further rules designed to reduce procyclical behaviour by CCPs. </w:t>
      </w:r>
      <w:r w:rsidR="00A13D70">
        <w:rPr>
          <w:rStyle w:val="IntenseEmphasis"/>
          <w:b w:val="0"/>
          <w:color w:val="auto"/>
        </w:rPr>
        <w:t xml:space="preserve">However, </w:t>
      </w:r>
      <w:r w:rsidRPr="009B045B">
        <w:rPr>
          <w:color w:val="000000" w:themeColor="text1"/>
          <w:lang w:eastAsia="en-US"/>
        </w:rPr>
        <w:t xml:space="preserve">during times of exceptional market volatility, </w:t>
      </w:r>
      <w:r w:rsidR="00A13D70">
        <w:rPr>
          <w:color w:val="000000" w:themeColor="text1"/>
          <w:lang w:eastAsia="en-US"/>
        </w:rPr>
        <w:t xml:space="preserve">CCPs </w:t>
      </w:r>
      <w:r w:rsidRPr="009B045B">
        <w:rPr>
          <w:color w:val="000000" w:themeColor="text1"/>
          <w:lang w:eastAsia="en-US"/>
        </w:rPr>
        <w:t xml:space="preserve">may not be able to avoid increasing them, as they would otherwise compromise their resilience. </w:t>
      </w:r>
      <w:r w:rsidR="00A13D70" w:rsidRPr="00CC3658">
        <w:rPr>
          <w:rStyle w:val="IntenseEmphasis"/>
          <w:b w:val="0"/>
          <w:color w:val="auto"/>
        </w:rPr>
        <w:t xml:space="preserve">Similarly, the ESRB has argued that when </w:t>
      </w:r>
      <w:r w:rsidR="00A13D70">
        <w:rPr>
          <w:rStyle w:val="IntenseEmphasis"/>
          <w:b w:val="0"/>
          <w:color w:val="auto"/>
        </w:rPr>
        <w:t>clearing members</w:t>
      </w:r>
      <w:r w:rsidR="00A13D70" w:rsidRPr="00CC3658">
        <w:rPr>
          <w:rStyle w:val="IntenseEmphasis"/>
          <w:b w:val="0"/>
          <w:color w:val="auto"/>
        </w:rPr>
        <w:t xml:space="preserve"> pass on increases in </w:t>
      </w:r>
      <w:r w:rsidR="00A13D70">
        <w:rPr>
          <w:rStyle w:val="IntenseEmphasis"/>
          <w:b w:val="0"/>
          <w:color w:val="auto"/>
        </w:rPr>
        <w:t xml:space="preserve">initial margin </w:t>
      </w:r>
      <w:r w:rsidR="00A13D70" w:rsidRPr="00CC3658">
        <w:rPr>
          <w:rStyle w:val="IntenseEmphasis"/>
          <w:b w:val="0"/>
          <w:color w:val="auto"/>
        </w:rPr>
        <w:t xml:space="preserve">or haircuts that a CCP requires to their clients, it is important that </w:t>
      </w:r>
      <w:r w:rsidR="00A13D70">
        <w:rPr>
          <w:rStyle w:val="IntenseEmphasis"/>
          <w:b w:val="0"/>
          <w:color w:val="auto"/>
        </w:rPr>
        <w:t xml:space="preserve">clearing members </w:t>
      </w:r>
      <w:proofErr w:type="gramStart"/>
      <w:r w:rsidR="00A13D70" w:rsidRPr="00CC3658">
        <w:rPr>
          <w:rStyle w:val="IntenseEmphasis"/>
          <w:b w:val="0"/>
          <w:color w:val="auto"/>
        </w:rPr>
        <w:t>would not unnecessarily</w:t>
      </w:r>
      <w:proofErr w:type="gramEnd"/>
      <w:r w:rsidR="00A13D70" w:rsidRPr="00CC3658">
        <w:rPr>
          <w:rStyle w:val="IntenseEmphasis"/>
          <w:b w:val="0"/>
          <w:color w:val="auto"/>
        </w:rPr>
        <w:t xml:space="preserve"> use add-ons or multipliers that amplify the liquidity demand</w:t>
      </w:r>
      <w:r w:rsidR="00A13D70">
        <w:rPr>
          <w:rStyle w:val="IntenseEmphasis"/>
          <w:b w:val="0"/>
          <w:color w:val="auto"/>
        </w:rPr>
        <w:t xml:space="preserve"> to reduce procyclicality</w:t>
      </w:r>
      <w:r w:rsidR="00A13D70" w:rsidRPr="00CC3658">
        <w:rPr>
          <w:rStyle w:val="IntenseEmphasis"/>
          <w:b w:val="0"/>
          <w:color w:val="auto"/>
        </w:rPr>
        <w:t>.</w:t>
      </w:r>
      <w:r w:rsidR="00A13D70">
        <w:rPr>
          <w:rStyle w:val="IntenseEmphasis"/>
          <w:b w:val="0"/>
          <w:color w:val="auto"/>
        </w:rPr>
        <w:t xml:space="preserve"> </w:t>
      </w:r>
      <w:r w:rsidR="00A13D70">
        <w:rPr>
          <w:color w:val="000000" w:themeColor="text1"/>
          <w:lang w:eastAsia="en-US"/>
        </w:rPr>
        <w:t xml:space="preserve">Still, </w:t>
      </w:r>
      <w:r w:rsidR="0030226D">
        <w:rPr>
          <w:color w:val="000000" w:themeColor="text1"/>
          <w:lang w:eastAsia="en-US"/>
        </w:rPr>
        <w:t>t</w:t>
      </w:r>
      <w:r w:rsidR="0030226D" w:rsidRPr="009B045B">
        <w:rPr>
          <w:color w:val="000000" w:themeColor="text1"/>
          <w:lang w:eastAsia="en-US"/>
        </w:rPr>
        <w:t>here are currently no anti-procyclicality rules preventing initial margin increases in bilaterally cleared transactions.</w:t>
      </w:r>
      <w:r w:rsidR="0030226D">
        <w:rPr>
          <w:color w:val="000000" w:themeColor="text1"/>
          <w:lang w:eastAsia="en-US"/>
        </w:rPr>
        <w:t xml:space="preserve"> </w:t>
      </w:r>
      <w:r w:rsidR="003060F2">
        <w:rPr>
          <w:color w:val="000000" w:themeColor="text1"/>
          <w:lang w:eastAsia="en-US"/>
        </w:rPr>
        <w:t>Further</w:t>
      </w:r>
      <w:r w:rsidR="00A36CC8" w:rsidRPr="009B045B">
        <w:rPr>
          <w:color w:val="000000" w:themeColor="text1"/>
          <w:lang w:eastAsia="en-US"/>
        </w:rPr>
        <w:t>, because VM depends on market movements, and the resulting market-to-market gains and losses, some counterparties will always be faced with having to provide cash at short notice and might need to liquidate non-cash liquidity reserves</w:t>
      </w:r>
      <w:r w:rsidR="0030226D">
        <w:rPr>
          <w:color w:val="000000" w:themeColor="text1"/>
          <w:lang w:eastAsia="en-US"/>
        </w:rPr>
        <w:t>.</w:t>
      </w:r>
      <w:r w:rsidR="00091B27">
        <w:rPr>
          <w:rStyle w:val="FootnoteReference"/>
          <w:lang w:eastAsia="en-US"/>
        </w:rPr>
        <w:footnoteReference w:id="18"/>
      </w:r>
      <w:r w:rsidR="00A36CC8" w:rsidRPr="009B045B">
        <w:rPr>
          <w:color w:val="000000" w:themeColor="text1"/>
          <w:lang w:eastAsia="en-US"/>
        </w:rPr>
        <w:t xml:space="preserve"> </w:t>
      </w:r>
      <w:r w:rsidR="00201799">
        <w:rPr>
          <w:color w:val="000000" w:themeColor="text1"/>
          <w:lang w:eastAsia="en-US"/>
        </w:rPr>
        <w:t xml:space="preserve">The BCBS, the CPMI, IOSCO and the FSB </w:t>
      </w:r>
      <w:r w:rsidR="00201799" w:rsidRPr="00D42F13">
        <w:rPr>
          <w:iCs/>
        </w:rPr>
        <w:t xml:space="preserve">are finalising several proposals and recommendations, covering both centrally cleared </w:t>
      </w:r>
      <w:r w:rsidR="00201799">
        <w:rPr>
          <w:iCs/>
        </w:rPr>
        <w:t xml:space="preserve">as well as </w:t>
      </w:r>
      <w:r w:rsidR="00201799" w:rsidRPr="00D42F13">
        <w:rPr>
          <w:iCs/>
        </w:rPr>
        <w:t>bilaterally cleared derivative</w:t>
      </w:r>
      <w:r w:rsidR="00201799">
        <w:rPr>
          <w:iCs/>
        </w:rPr>
        <w:t>s and securities</w:t>
      </w:r>
      <w:r w:rsidR="00201799" w:rsidRPr="00D42F13">
        <w:rPr>
          <w:iCs/>
        </w:rPr>
        <w:t xml:space="preserve"> markets, to ensure that participants in </w:t>
      </w:r>
      <w:r w:rsidR="00201799">
        <w:rPr>
          <w:iCs/>
        </w:rPr>
        <w:t>these markets</w:t>
      </w:r>
      <w:r w:rsidR="00201799" w:rsidRPr="00D42F13">
        <w:rPr>
          <w:iCs/>
        </w:rPr>
        <w:t xml:space="preserve"> are better </w:t>
      </w:r>
      <w:r w:rsidRPr="009B045B">
        <w:rPr>
          <w:color w:val="000000" w:themeColor="text1"/>
          <w:lang w:eastAsia="en-US"/>
        </w:rPr>
        <w:t xml:space="preserve">prepared </w:t>
      </w:r>
      <w:r w:rsidR="00201799">
        <w:rPr>
          <w:color w:val="000000" w:themeColor="text1"/>
          <w:lang w:eastAsia="en-US"/>
        </w:rPr>
        <w:t xml:space="preserve">to </w:t>
      </w:r>
      <w:r w:rsidRPr="009B045B">
        <w:rPr>
          <w:color w:val="000000" w:themeColor="text1"/>
          <w:lang w:eastAsia="en-US"/>
        </w:rPr>
        <w:t>meet margin calls in a timely fashion, including during times of heightened market volatility.</w:t>
      </w:r>
      <w:r w:rsidR="003B57DE">
        <w:rPr>
          <w:rStyle w:val="FootnoteReference"/>
          <w:lang w:eastAsia="en-US"/>
        </w:rPr>
        <w:footnoteReference w:id="19"/>
      </w:r>
      <w:r>
        <w:rPr>
          <w:color w:val="000000" w:themeColor="text1"/>
          <w:lang w:eastAsia="en-US"/>
        </w:rPr>
        <w:t xml:space="preserve"> </w:t>
      </w:r>
      <w:r w:rsidR="00201799" w:rsidRPr="00D42F13">
        <w:rPr>
          <w:iCs/>
        </w:rPr>
        <w:t xml:space="preserve">It is important that the European Commission reviews </w:t>
      </w:r>
      <w:r w:rsidR="00201799" w:rsidRPr="008A3823">
        <w:rPr>
          <w:iCs/>
        </w:rPr>
        <w:t>whether EU legislation needs to be enhanced to fully reflect these proposals and recommendations and proceeds accordingly</w:t>
      </w:r>
      <w:r w:rsidR="00201799">
        <w:rPr>
          <w:iCs/>
        </w:rPr>
        <w:t>.</w:t>
      </w:r>
      <w:r w:rsidR="002A7C5F">
        <w:rPr>
          <w:iCs/>
        </w:rPr>
        <w:t xml:space="preserve"> </w:t>
      </w:r>
      <w:r w:rsidR="002A7C5F" w:rsidRPr="002A7C5F">
        <w:rPr>
          <w:iCs/>
        </w:rPr>
        <w:t>However, even the best preparedness will not be sufficient to mitigate liquidity risk stemming from margin calls under all circumstances, e.g., in tail events with extreme market movements or breakdown of correlations, procyclical feedback loops between margin requirements and market liquidity might take place.</w:t>
      </w:r>
    </w:p>
    <w:p w14:paraId="6B218067" w14:textId="2F394B15" w:rsidR="00C70C1E" w:rsidRDefault="00A13D70" w:rsidP="006A6E28">
      <w:pPr>
        <w:jc w:val="both"/>
        <w:rPr>
          <w:lang w:eastAsia="en-US"/>
        </w:rPr>
      </w:pPr>
      <w:r>
        <w:rPr>
          <w:lang w:eastAsia="en-US"/>
        </w:rPr>
        <w:t xml:space="preserve">Further details </w:t>
      </w:r>
      <w:r w:rsidR="00C70C1E">
        <w:rPr>
          <w:lang w:eastAsia="en-US"/>
        </w:rPr>
        <w:t xml:space="preserve">on </w:t>
      </w:r>
      <w:r>
        <w:rPr>
          <w:lang w:eastAsia="en-US"/>
        </w:rPr>
        <w:t xml:space="preserve">the </w:t>
      </w:r>
      <w:r w:rsidR="00C70C1E">
        <w:rPr>
          <w:lang w:eastAsia="en-US"/>
        </w:rPr>
        <w:t xml:space="preserve">risks from margin calls and how to mitigate </w:t>
      </w:r>
      <w:r>
        <w:rPr>
          <w:lang w:eastAsia="en-US"/>
        </w:rPr>
        <w:t xml:space="preserve">them </w:t>
      </w:r>
      <w:r w:rsidR="00A56004">
        <w:rPr>
          <w:lang w:eastAsia="en-US"/>
        </w:rPr>
        <w:t>(including reference to documents referred to above</w:t>
      </w:r>
      <w:r w:rsidR="00BC7405">
        <w:rPr>
          <w:lang w:eastAsia="en-US"/>
        </w:rPr>
        <w:t>)</w:t>
      </w:r>
      <w:r w:rsidR="00A56004">
        <w:rPr>
          <w:lang w:eastAsia="en-US"/>
        </w:rPr>
        <w:t xml:space="preserve"> </w:t>
      </w:r>
      <w:r>
        <w:rPr>
          <w:lang w:eastAsia="en-US"/>
        </w:rPr>
        <w:t xml:space="preserve">can be found </w:t>
      </w:r>
      <w:r w:rsidR="00C70C1E">
        <w:rPr>
          <w:lang w:eastAsia="en-US"/>
        </w:rPr>
        <w:t xml:space="preserve">in </w:t>
      </w:r>
      <w:r>
        <w:rPr>
          <w:lang w:eastAsia="en-US"/>
        </w:rPr>
        <w:t xml:space="preserve">Section 2, </w:t>
      </w:r>
      <w:r w:rsidR="00C70C1E">
        <w:rPr>
          <w:lang w:eastAsia="en-US"/>
        </w:rPr>
        <w:t>Policy Digest 3 of ESRB (2024), “</w:t>
      </w:r>
      <w:r w:rsidR="00C70C1E" w:rsidRPr="00141340">
        <w:rPr>
          <w:lang w:eastAsia="en-US"/>
        </w:rPr>
        <w:t>A system-wide approach to macroprudential policy</w:t>
      </w:r>
      <w:r w:rsidR="00C70C1E">
        <w:rPr>
          <w:lang w:eastAsia="en-US"/>
        </w:rPr>
        <w:t xml:space="preserve"> - </w:t>
      </w:r>
      <w:r w:rsidR="00C70C1E" w:rsidRPr="00141340">
        <w:rPr>
          <w:lang w:eastAsia="en-US"/>
        </w:rPr>
        <w:t>ESRB response to the European Commission’s consultation on assessing the adequacy of macroprudential policies for Non-bank Financial Intermediation</w:t>
      </w:r>
      <w:r w:rsidR="00C70C1E">
        <w:rPr>
          <w:lang w:eastAsia="en-US"/>
        </w:rPr>
        <w:t>”.</w:t>
      </w:r>
    </w:p>
    <w:p w14:paraId="31EB70F2" w14:textId="68F40563" w:rsidR="00EC58EE" w:rsidRDefault="00EC58EE" w:rsidP="006A6E28">
      <w:pPr>
        <w:jc w:val="both"/>
        <w:rPr>
          <w:rFonts w:cs="Sendnya"/>
          <w:b/>
          <w:bCs/>
          <w:color w:val="003894"/>
          <w:kern w:val="28"/>
          <w:sz w:val="22"/>
          <w:szCs w:val="28"/>
          <w:lang w:eastAsia="en-US"/>
        </w:rPr>
      </w:pPr>
      <w:r>
        <w:rPr>
          <w:lang w:eastAsia="en-US"/>
        </w:rPr>
        <w:br w:type="page"/>
      </w:r>
    </w:p>
    <w:p w14:paraId="3F47C480" w14:textId="033F80DB" w:rsidR="00EC58EE" w:rsidRDefault="00EC58EE" w:rsidP="006A6E28">
      <w:pPr>
        <w:pStyle w:val="Heading1"/>
        <w:jc w:val="both"/>
        <w:rPr>
          <w:lang w:eastAsia="en-US"/>
        </w:rPr>
      </w:pPr>
      <w:r>
        <w:rPr>
          <w:lang w:eastAsia="en-US"/>
        </w:rPr>
        <w:lastRenderedPageBreak/>
        <w:t xml:space="preserve">53. </w:t>
      </w:r>
      <w:r w:rsidRPr="00EC58EE">
        <w:rPr>
          <w:lang w:eastAsia="en-US"/>
        </w:rPr>
        <w:t>What are the benefits and costs of a regular EU system-wide stress test across NBFI and banking sectors? Are current reporting and data sharing arrangements sufficient to perform this task? Would it be possible to combine available NBFI data with banking data? If so, how?</w:t>
      </w:r>
    </w:p>
    <w:p w14:paraId="11BA14A1" w14:textId="064919D2" w:rsidR="006B3CD3" w:rsidRPr="007B510B" w:rsidRDefault="006B3CD3" w:rsidP="006B3CD3">
      <w:pPr>
        <w:spacing w:before="100" w:beforeAutospacing="1" w:after="100" w:afterAutospacing="1"/>
        <w:jc w:val="both"/>
        <w:rPr>
          <w:rFonts w:asciiTheme="minorHAnsi" w:hAnsiTheme="minorHAnsi" w:cstheme="minorHAnsi"/>
        </w:rPr>
      </w:pPr>
      <w:r w:rsidRPr="007B510B">
        <w:rPr>
          <w:rStyle w:val="IntenseEmphasis"/>
          <w:rFonts w:asciiTheme="minorHAnsi" w:hAnsiTheme="minorHAnsi" w:cstheme="minorHAnsi"/>
        </w:rPr>
        <w:t xml:space="preserve">Regular EU system-wide </w:t>
      </w:r>
      <w:r w:rsidR="00541505">
        <w:rPr>
          <w:rStyle w:val="IntenseEmphasis"/>
          <w:rFonts w:asciiTheme="minorHAnsi" w:hAnsiTheme="minorHAnsi" w:cstheme="minorHAnsi"/>
        </w:rPr>
        <w:t xml:space="preserve">top-down </w:t>
      </w:r>
      <w:r w:rsidRPr="007B510B">
        <w:rPr>
          <w:rStyle w:val="IntenseEmphasis"/>
          <w:rFonts w:asciiTheme="minorHAnsi" w:hAnsiTheme="minorHAnsi" w:cstheme="minorHAnsi"/>
        </w:rPr>
        <w:t xml:space="preserve">stress tests across sectors would be a useful complement to the already established regular sectoral </w:t>
      </w:r>
      <w:r w:rsidR="00541505">
        <w:rPr>
          <w:rStyle w:val="IntenseEmphasis"/>
          <w:rFonts w:asciiTheme="minorHAnsi" w:hAnsiTheme="minorHAnsi" w:cstheme="minorHAnsi"/>
        </w:rPr>
        <w:t xml:space="preserve">bottom-up </w:t>
      </w:r>
      <w:r w:rsidRPr="007B510B">
        <w:rPr>
          <w:rStyle w:val="IntenseEmphasis"/>
          <w:rFonts w:asciiTheme="minorHAnsi" w:hAnsiTheme="minorHAnsi" w:cstheme="minorHAnsi"/>
        </w:rPr>
        <w:t>stress tests</w:t>
      </w:r>
      <w:r w:rsidR="00541505">
        <w:rPr>
          <w:rStyle w:val="IntenseEmphasis"/>
          <w:rFonts w:asciiTheme="minorHAnsi" w:hAnsiTheme="minorHAnsi" w:cstheme="minorHAnsi"/>
        </w:rPr>
        <w:t xml:space="preserve"> of the ESAs</w:t>
      </w:r>
      <w:r w:rsidRPr="007B510B">
        <w:rPr>
          <w:rStyle w:val="IntenseEmphasis"/>
          <w:rFonts w:asciiTheme="minorHAnsi" w:hAnsiTheme="minorHAnsi" w:cstheme="minorHAnsi"/>
        </w:rPr>
        <w:t xml:space="preserve">. </w:t>
      </w:r>
      <w:r w:rsidRPr="007B510B">
        <w:rPr>
          <w:rStyle w:val="IntenseEmphasis"/>
          <w:rFonts w:asciiTheme="minorHAnsi" w:hAnsiTheme="minorHAnsi" w:cstheme="minorHAnsi"/>
          <w:b w:val="0"/>
          <w:bCs w:val="0"/>
          <w:color w:val="auto"/>
        </w:rPr>
        <w:t>The results of the regular ESA stress tests, already conducted on an EU-wide basis</w:t>
      </w:r>
      <w:r w:rsidRPr="007B510B">
        <w:rPr>
          <w:rStyle w:val="FootnoteReference"/>
          <w:rFonts w:asciiTheme="minorHAnsi" w:hAnsiTheme="minorHAnsi" w:cstheme="minorHAnsi"/>
          <w:iCs/>
        </w:rPr>
        <w:footnoteReference w:id="20"/>
      </w:r>
      <w:r w:rsidRPr="007B510B">
        <w:rPr>
          <w:rStyle w:val="IntenseEmphasis"/>
          <w:rFonts w:asciiTheme="minorHAnsi" w:hAnsiTheme="minorHAnsi" w:cstheme="minorHAnsi"/>
          <w:b w:val="0"/>
          <w:bCs w:val="0"/>
          <w:color w:val="auto"/>
        </w:rPr>
        <w:t>, have been key inputs into policy decisions for the institutions covered and their importance for macroprudential policy is growing. Nevertheless, by focusing on separate sectors, feedback loops and interconnections are missed. Interlinkages between different parts of the financial system can amplify stresses, as demonstrated by the recent financial market turmoil (</w:t>
      </w:r>
      <w:r w:rsidR="007C7286" w:rsidRPr="007B510B">
        <w:rPr>
          <w:rStyle w:val="IntenseEmphasis"/>
          <w:rFonts w:asciiTheme="minorHAnsi" w:hAnsiTheme="minorHAnsi" w:cstheme="minorHAnsi"/>
          <w:b w:val="0"/>
          <w:bCs w:val="0"/>
          <w:color w:val="auto"/>
        </w:rPr>
        <w:t>e.g.,</w:t>
      </w:r>
      <w:r w:rsidRPr="007B510B">
        <w:rPr>
          <w:rStyle w:val="IntenseEmphasis"/>
          <w:rFonts w:asciiTheme="minorHAnsi" w:hAnsiTheme="minorHAnsi" w:cstheme="minorHAnsi"/>
          <w:b w:val="0"/>
          <w:bCs w:val="0"/>
          <w:color w:val="auto"/>
        </w:rPr>
        <w:t xml:space="preserve"> the pandemic in March 2020).</w:t>
      </w:r>
      <w:r w:rsidRPr="007B510B">
        <w:rPr>
          <w:rFonts w:asciiTheme="minorHAnsi" w:hAnsiTheme="minorHAnsi" w:cstheme="minorHAnsi"/>
        </w:rPr>
        <w:t xml:space="preserve"> </w:t>
      </w:r>
      <w:r w:rsidR="00541505">
        <w:rPr>
          <w:rFonts w:asciiTheme="minorHAnsi" w:hAnsiTheme="minorHAnsi" w:cstheme="minorHAnsi"/>
        </w:rPr>
        <w:t xml:space="preserve">Moreover, bottom-up exercises that require the participation of individual firms are labour intensive for participants and supervisors. </w:t>
      </w:r>
      <w:r w:rsidR="00541505" w:rsidRPr="007B510B">
        <w:rPr>
          <w:rFonts w:asciiTheme="minorHAnsi" w:hAnsiTheme="minorHAnsi" w:cstheme="minorHAnsi"/>
        </w:rPr>
        <w:t xml:space="preserve">A </w:t>
      </w:r>
      <w:r w:rsidR="00541505">
        <w:rPr>
          <w:rFonts w:asciiTheme="minorHAnsi" w:hAnsiTheme="minorHAnsi" w:cstheme="minorHAnsi"/>
        </w:rPr>
        <w:t xml:space="preserve">system-wide </w:t>
      </w:r>
      <w:r w:rsidR="00541505" w:rsidRPr="007B510B">
        <w:rPr>
          <w:rFonts w:asciiTheme="minorHAnsi" w:hAnsiTheme="minorHAnsi" w:cstheme="minorHAnsi"/>
        </w:rPr>
        <w:t xml:space="preserve">top-down stress test would </w:t>
      </w:r>
      <w:r w:rsidR="00BE157C">
        <w:rPr>
          <w:rFonts w:asciiTheme="minorHAnsi" w:hAnsiTheme="minorHAnsi" w:cstheme="minorHAnsi"/>
        </w:rPr>
        <w:t xml:space="preserve">be less labour intensive and could therefore be deployed in a more agile way, allowing </w:t>
      </w:r>
      <w:proofErr w:type="gramStart"/>
      <w:r w:rsidR="00BE157C">
        <w:rPr>
          <w:rFonts w:asciiTheme="minorHAnsi" w:hAnsiTheme="minorHAnsi" w:cstheme="minorHAnsi"/>
        </w:rPr>
        <w:t xml:space="preserve">authorities </w:t>
      </w:r>
      <w:r w:rsidR="00BE157C" w:rsidRPr="00830215">
        <w:rPr>
          <w:rFonts w:asciiTheme="minorHAnsi" w:hAnsiTheme="minorHAnsi" w:cstheme="minorHAnsi"/>
        </w:rPr>
        <w:t xml:space="preserve"> </w:t>
      </w:r>
      <w:r w:rsidR="00BE157C">
        <w:rPr>
          <w:rFonts w:asciiTheme="minorHAnsi" w:hAnsiTheme="minorHAnsi" w:cstheme="minorHAnsi"/>
        </w:rPr>
        <w:t>to</w:t>
      </w:r>
      <w:proofErr w:type="gramEnd"/>
      <w:r w:rsidR="00BE157C">
        <w:rPr>
          <w:rFonts w:asciiTheme="minorHAnsi" w:hAnsiTheme="minorHAnsi" w:cstheme="minorHAnsi"/>
        </w:rPr>
        <w:t xml:space="preserve"> test several scenarios more frequently than is currently the case.</w:t>
      </w:r>
      <w:r w:rsidR="00541505">
        <w:rPr>
          <w:rFonts w:asciiTheme="minorHAnsi" w:hAnsiTheme="minorHAnsi" w:cstheme="minorHAnsi"/>
        </w:rPr>
        <w:t xml:space="preserve"> </w:t>
      </w:r>
      <w:r w:rsidR="00BE157C">
        <w:rPr>
          <w:rFonts w:asciiTheme="minorHAnsi" w:hAnsiTheme="minorHAnsi" w:cstheme="minorHAnsi"/>
        </w:rPr>
        <w:t>Overall, the inclusion of feedback loops and greater agility</w:t>
      </w:r>
      <w:r w:rsidRPr="007B510B">
        <w:rPr>
          <w:rFonts w:asciiTheme="minorHAnsi" w:hAnsiTheme="minorHAnsi" w:cstheme="minorHAnsi"/>
        </w:rPr>
        <w:t xml:space="preserve"> </w:t>
      </w:r>
      <w:r w:rsidR="00D21B93">
        <w:rPr>
          <w:rFonts w:asciiTheme="minorHAnsi" w:hAnsiTheme="minorHAnsi" w:cstheme="minorHAnsi"/>
          <w:iCs/>
        </w:rPr>
        <w:t xml:space="preserve">would </w:t>
      </w:r>
      <w:r w:rsidRPr="007B510B">
        <w:rPr>
          <w:rFonts w:asciiTheme="minorHAnsi" w:hAnsiTheme="minorHAnsi" w:cstheme="minorHAnsi"/>
          <w:iCs/>
        </w:rPr>
        <w:t xml:space="preserve">help </w:t>
      </w:r>
      <w:r w:rsidR="00BE157C">
        <w:rPr>
          <w:rFonts w:asciiTheme="minorHAnsi" w:hAnsiTheme="minorHAnsi" w:cstheme="minorHAnsi"/>
          <w:iCs/>
        </w:rPr>
        <w:t xml:space="preserve">inform </w:t>
      </w:r>
      <w:r w:rsidRPr="007B510B">
        <w:rPr>
          <w:rFonts w:asciiTheme="minorHAnsi" w:hAnsiTheme="minorHAnsi" w:cstheme="minorHAnsi"/>
          <w:iCs/>
        </w:rPr>
        <w:t>discussions on</w:t>
      </w:r>
      <w:r w:rsidRPr="007B510B">
        <w:rPr>
          <w:rFonts w:asciiTheme="minorHAnsi" w:hAnsiTheme="minorHAnsi" w:cstheme="minorHAnsi"/>
        </w:rPr>
        <w:t xml:space="preserve"> appropriate macroprudential measures</w:t>
      </w:r>
      <w:r w:rsidR="00BE157C">
        <w:rPr>
          <w:rFonts w:asciiTheme="minorHAnsi" w:hAnsiTheme="minorHAnsi" w:cstheme="minorHAnsi"/>
        </w:rPr>
        <w:t xml:space="preserve"> in a more comprehensive and timely manner</w:t>
      </w:r>
      <w:r w:rsidRPr="007B510B">
        <w:rPr>
          <w:rFonts w:asciiTheme="minorHAnsi" w:hAnsiTheme="minorHAnsi" w:cstheme="minorHAnsi"/>
        </w:rPr>
        <w:t xml:space="preserve">. </w:t>
      </w:r>
    </w:p>
    <w:p w14:paraId="2AB61006" w14:textId="4C35EC73" w:rsidR="006B3CD3" w:rsidRPr="007B510B" w:rsidRDefault="006B3CD3" w:rsidP="006B3CD3">
      <w:pPr>
        <w:spacing w:before="100" w:beforeAutospacing="1" w:after="100" w:afterAutospacing="1"/>
        <w:jc w:val="both"/>
        <w:rPr>
          <w:rFonts w:asciiTheme="minorHAnsi" w:hAnsiTheme="minorHAnsi" w:cstheme="minorHAnsi"/>
        </w:rPr>
      </w:pPr>
      <w:r w:rsidRPr="007B510B">
        <w:rPr>
          <w:rStyle w:val="IntenseEmphasis"/>
          <w:rFonts w:asciiTheme="minorHAnsi" w:hAnsiTheme="minorHAnsi" w:cstheme="minorHAnsi"/>
        </w:rPr>
        <w:t xml:space="preserve">System-wide stress </w:t>
      </w:r>
      <w:r w:rsidR="00D21B93">
        <w:rPr>
          <w:rStyle w:val="IntenseEmphasis"/>
          <w:rFonts w:asciiTheme="minorHAnsi" w:hAnsiTheme="minorHAnsi" w:cstheme="minorHAnsi"/>
        </w:rPr>
        <w:t>tests</w:t>
      </w:r>
      <w:r w:rsidRPr="007B510B">
        <w:rPr>
          <w:rStyle w:val="IntenseEmphasis"/>
          <w:rFonts w:asciiTheme="minorHAnsi" w:hAnsiTheme="minorHAnsi" w:cstheme="minorHAnsi"/>
        </w:rPr>
        <w:t xml:space="preserve"> would </w:t>
      </w:r>
      <w:r w:rsidR="00D21B93">
        <w:rPr>
          <w:rStyle w:val="IntenseEmphasis"/>
          <w:rFonts w:asciiTheme="minorHAnsi" w:hAnsiTheme="minorHAnsi" w:cstheme="minorHAnsi"/>
        </w:rPr>
        <w:t xml:space="preserve">also </w:t>
      </w:r>
      <w:r w:rsidR="00FE2572">
        <w:rPr>
          <w:rStyle w:val="IntenseEmphasis"/>
          <w:rFonts w:asciiTheme="minorHAnsi" w:hAnsiTheme="minorHAnsi" w:cstheme="minorHAnsi"/>
        </w:rPr>
        <w:t>help</w:t>
      </w:r>
      <w:r w:rsidRPr="007B510B">
        <w:rPr>
          <w:rStyle w:val="IntenseEmphasis"/>
          <w:rFonts w:asciiTheme="minorHAnsi" w:hAnsiTheme="minorHAnsi" w:cstheme="minorHAnsi"/>
        </w:rPr>
        <w:t xml:space="preserve"> identify vulnerabilities </w:t>
      </w:r>
      <w:r w:rsidR="007F6B22">
        <w:rPr>
          <w:rStyle w:val="IntenseEmphasis"/>
          <w:rFonts w:asciiTheme="minorHAnsi" w:hAnsiTheme="minorHAnsi" w:cstheme="minorHAnsi"/>
        </w:rPr>
        <w:t xml:space="preserve">and amplifying effects </w:t>
      </w:r>
      <w:r w:rsidR="00FE2572">
        <w:rPr>
          <w:rStyle w:val="IntenseEmphasis"/>
          <w:rFonts w:asciiTheme="minorHAnsi" w:hAnsiTheme="minorHAnsi" w:cstheme="minorHAnsi"/>
        </w:rPr>
        <w:t>that might arise because different types of entities perform the same activities</w:t>
      </w:r>
      <w:r w:rsidRPr="007B510B">
        <w:rPr>
          <w:rFonts w:asciiTheme="minorHAnsi" w:hAnsiTheme="minorHAnsi" w:cstheme="minorHAnsi"/>
        </w:rPr>
        <w:t xml:space="preserve">. For instance, </w:t>
      </w:r>
      <w:r w:rsidR="00FE2572">
        <w:rPr>
          <w:rFonts w:asciiTheme="minorHAnsi" w:hAnsiTheme="minorHAnsi" w:cstheme="minorHAnsi"/>
        </w:rPr>
        <w:t>to better understand how force</w:t>
      </w:r>
      <w:r w:rsidR="00A9203C">
        <w:rPr>
          <w:rFonts w:asciiTheme="minorHAnsi" w:hAnsiTheme="minorHAnsi" w:cstheme="minorHAnsi"/>
        </w:rPr>
        <w:t>d</w:t>
      </w:r>
      <w:r w:rsidR="00FE2572">
        <w:rPr>
          <w:rFonts w:asciiTheme="minorHAnsi" w:hAnsiTheme="minorHAnsi" w:cstheme="minorHAnsi"/>
        </w:rPr>
        <w:t xml:space="preserve"> asset sales might impact market liquidity and amplify falls in asset prices, it is important to consider the behaviour of asset managers beyond </w:t>
      </w:r>
      <w:r w:rsidR="007F6B22">
        <w:rPr>
          <w:rFonts w:asciiTheme="minorHAnsi" w:hAnsiTheme="minorHAnsi" w:cstheme="minorHAnsi"/>
        </w:rPr>
        <w:t xml:space="preserve">investment funds. Similarly, to better understand </w:t>
      </w:r>
      <w:r w:rsidRPr="007B510B">
        <w:rPr>
          <w:rFonts w:asciiTheme="minorHAnsi" w:hAnsiTheme="minorHAnsi" w:cstheme="minorHAnsi"/>
        </w:rPr>
        <w:t xml:space="preserve">procyclicality in the development of </w:t>
      </w:r>
      <w:r w:rsidR="007F6B22">
        <w:rPr>
          <w:rFonts w:asciiTheme="minorHAnsi" w:hAnsiTheme="minorHAnsi" w:cstheme="minorHAnsi"/>
        </w:rPr>
        <w:t xml:space="preserve">lending </w:t>
      </w:r>
      <w:r w:rsidRPr="007B510B">
        <w:rPr>
          <w:rFonts w:asciiTheme="minorHAnsi" w:hAnsiTheme="minorHAnsi" w:cstheme="minorHAnsi"/>
        </w:rPr>
        <w:t xml:space="preserve">activities </w:t>
      </w:r>
      <w:r w:rsidR="007F6B22">
        <w:rPr>
          <w:rFonts w:asciiTheme="minorHAnsi" w:hAnsiTheme="minorHAnsi" w:cstheme="minorHAnsi"/>
        </w:rPr>
        <w:t xml:space="preserve">it is important to capture lenders other than banks and credit market activities in stress tests. </w:t>
      </w:r>
      <w:r w:rsidRPr="007B510B">
        <w:rPr>
          <w:rFonts w:asciiTheme="minorHAnsi" w:hAnsiTheme="minorHAnsi" w:cstheme="minorHAnsi"/>
        </w:rPr>
        <w:t xml:space="preserve">Also, new types of hybrid risks are affecting the entire financial system, such as cyber risk (linked to contagion / propagation channels that can spread across sectors and beyond geographical / financial sector borders) and climate risk. </w:t>
      </w:r>
    </w:p>
    <w:p w14:paraId="25917E1D" w14:textId="480E9DC6" w:rsidR="006B3CD3" w:rsidRPr="007B510B" w:rsidRDefault="00541505" w:rsidP="006B3CD3">
      <w:pPr>
        <w:spacing w:before="100" w:beforeAutospacing="1" w:after="100" w:afterAutospacing="1"/>
        <w:jc w:val="both"/>
        <w:rPr>
          <w:rFonts w:asciiTheme="minorHAnsi" w:hAnsiTheme="minorHAnsi" w:cstheme="minorHAnsi"/>
          <w:iCs/>
        </w:rPr>
      </w:pPr>
      <w:r>
        <w:rPr>
          <w:rStyle w:val="IntenseEmphasis"/>
          <w:rFonts w:asciiTheme="minorHAnsi" w:hAnsiTheme="minorHAnsi" w:cstheme="minorHAnsi"/>
        </w:rPr>
        <w:t>Progress is being made, but s</w:t>
      </w:r>
      <w:r w:rsidR="006B3CD3" w:rsidRPr="007B510B">
        <w:rPr>
          <w:rStyle w:val="IntenseEmphasis"/>
          <w:rFonts w:asciiTheme="minorHAnsi" w:hAnsiTheme="minorHAnsi" w:cstheme="minorHAnsi"/>
        </w:rPr>
        <w:t xml:space="preserve">ystem-wide stress tests have not yet reached a mature stage and there is currently little experience both within and outside the EU. </w:t>
      </w:r>
      <w:r w:rsidR="007F6B22">
        <w:rPr>
          <w:iCs/>
        </w:rPr>
        <w:t xml:space="preserve">Capturing </w:t>
      </w:r>
      <w:r w:rsidR="007F6B22" w:rsidRPr="00A9203C">
        <w:rPr>
          <w:iCs/>
        </w:rPr>
        <w:t xml:space="preserve">cross-sectoral effects, second-round impacts, and spillover effects </w:t>
      </w:r>
      <w:r w:rsidR="007F6B22">
        <w:rPr>
          <w:iCs/>
        </w:rPr>
        <w:t xml:space="preserve">that are at the heart of system-wide stress tests is challenging. But </w:t>
      </w:r>
      <w:r w:rsidR="006B3CD3" w:rsidRPr="00A9203C">
        <w:rPr>
          <w:iCs/>
        </w:rPr>
        <w:t>pro</w:t>
      </w:r>
      <w:r w:rsidR="006B3CD3" w:rsidRPr="00A9203C">
        <w:t>g</w:t>
      </w:r>
      <w:r w:rsidR="006B3CD3" w:rsidRPr="007B510B">
        <w:rPr>
          <w:rStyle w:val="IntenseEmphasis"/>
          <w:rFonts w:asciiTheme="minorHAnsi" w:hAnsiTheme="minorHAnsi" w:cstheme="minorHAnsi"/>
          <w:b w:val="0"/>
          <w:bCs w:val="0"/>
          <w:color w:val="auto"/>
        </w:rPr>
        <w:t xml:space="preserve">ress </w:t>
      </w:r>
      <w:r w:rsidR="007F6B22">
        <w:rPr>
          <w:rStyle w:val="IntenseEmphasis"/>
          <w:rFonts w:asciiTheme="minorHAnsi" w:hAnsiTheme="minorHAnsi" w:cstheme="minorHAnsi"/>
          <w:b w:val="0"/>
          <w:bCs w:val="0"/>
          <w:color w:val="auto"/>
        </w:rPr>
        <w:t xml:space="preserve">is being </w:t>
      </w:r>
      <w:r w:rsidR="006B3CD3" w:rsidRPr="007B510B">
        <w:rPr>
          <w:rStyle w:val="IntenseEmphasis"/>
          <w:rFonts w:asciiTheme="minorHAnsi" w:hAnsiTheme="minorHAnsi" w:cstheme="minorHAnsi"/>
          <w:b w:val="0"/>
          <w:bCs w:val="0"/>
          <w:color w:val="auto"/>
        </w:rPr>
        <w:t>made</w:t>
      </w:r>
      <w:r w:rsidR="007F6B22">
        <w:rPr>
          <w:rStyle w:val="IntenseEmphasis"/>
          <w:rFonts w:asciiTheme="minorHAnsi" w:hAnsiTheme="minorHAnsi" w:cstheme="minorHAnsi"/>
          <w:b w:val="0"/>
          <w:bCs w:val="0"/>
          <w:color w:val="auto"/>
        </w:rPr>
        <w:t xml:space="preserve">. Examples are </w:t>
      </w:r>
      <w:r w:rsidR="006B3CD3" w:rsidRPr="007B510B">
        <w:rPr>
          <w:rFonts w:asciiTheme="minorHAnsi" w:hAnsiTheme="minorHAnsi" w:cstheme="minorHAnsi"/>
          <w:iCs/>
        </w:rPr>
        <w:t>the Bank of England SWEs</w:t>
      </w:r>
      <w:r w:rsidR="006B3CD3" w:rsidRPr="007B510B">
        <w:rPr>
          <w:rStyle w:val="FootnoteReference"/>
          <w:rFonts w:asciiTheme="minorHAnsi" w:hAnsiTheme="minorHAnsi" w:cstheme="minorHAnsi"/>
        </w:rPr>
        <w:footnoteReference w:id="21"/>
      </w:r>
      <w:r w:rsidR="006B3CD3" w:rsidRPr="007B510B">
        <w:rPr>
          <w:rFonts w:asciiTheme="minorHAnsi" w:hAnsiTheme="minorHAnsi" w:cstheme="minorHAnsi"/>
          <w:iCs/>
        </w:rPr>
        <w:t xml:space="preserve">, the ECB </w:t>
      </w:r>
      <w:r w:rsidR="006B3CD3" w:rsidRPr="007B510B">
        <w:rPr>
          <w:rFonts w:asciiTheme="minorHAnsi" w:hAnsiTheme="minorHAnsi" w:cstheme="minorHAnsi"/>
        </w:rPr>
        <w:t>Interconnectedness System-Wide stress test analytics (ISA)</w:t>
      </w:r>
      <w:r w:rsidR="006B3CD3" w:rsidRPr="007B510B">
        <w:rPr>
          <w:rStyle w:val="FootnoteReference"/>
          <w:rFonts w:asciiTheme="minorHAnsi" w:hAnsiTheme="minorHAnsi" w:cstheme="minorHAnsi"/>
        </w:rPr>
        <w:footnoteReference w:id="22"/>
      </w:r>
      <w:r w:rsidR="006B3CD3" w:rsidRPr="007B510B">
        <w:rPr>
          <w:rFonts w:asciiTheme="minorHAnsi" w:hAnsiTheme="minorHAnsi" w:cstheme="minorHAnsi"/>
        </w:rPr>
        <w:t xml:space="preserve"> model </w:t>
      </w:r>
      <w:r w:rsidR="006B3CD3" w:rsidRPr="007B510B">
        <w:rPr>
          <w:rFonts w:asciiTheme="minorHAnsi" w:hAnsiTheme="minorHAnsi" w:cstheme="minorHAnsi"/>
          <w:iCs/>
        </w:rPr>
        <w:t xml:space="preserve">employed in the one off “Fit-for-55” climate analysis, </w:t>
      </w:r>
      <w:r w:rsidR="006B3CD3" w:rsidRPr="007B510B">
        <w:rPr>
          <w:rFonts w:asciiTheme="minorHAnsi" w:hAnsiTheme="minorHAnsi" w:cstheme="minorHAnsi"/>
        </w:rPr>
        <w:t xml:space="preserve">and </w:t>
      </w:r>
      <w:r w:rsidR="006B3CD3" w:rsidRPr="007B510B">
        <w:rPr>
          <w:rFonts w:asciiTheme="minorHAnsi" w:hAnsiTheme="minorHAnsi" w:cstheme="minorHAnsi"/>
          <w:iCs/>
        </w:rPr>
        <w:t>ongoing work on system-wide liquidity stress testing</w:t>
      </w:r>
      <w:r w:rsidR="007F6B22">
        <w:rPr>
          <w:rFonts w:asciiTheme="minorHAnsi" w:hAnsiTheme="minorHAnsi" w:cstheme="minorHAnsi"/>
          <w:iCs/>
        </w:rPr>
        <w:t xml:space="preserve"> at the ESRB</w:t>
      </w:r>
      <w:r w:rsidR="006B3CD3" w:rsidRPr="007B510B">
        <w:rPr>
          <w:rFonts w:asciiTheme="minorHAnsi" w:hAnsiTheme="minorHAnsi" w:cstheme="minorHAnsi"/>
        </w:rPr>
        <w:t xml:space="preserve">. </w:t>
      </w:r>
      <w:r w:rsidR="006B3CD3" w:rsidRPr="007B510B">
        <w:rPr>
          <w:rFonts w:asciiTheme="minorHAnsi" w:hAnsiTheme="minorHAnsi" w:cstheme="minorHAnsi"/>
          <w:iCs/>
        </w:rPr>
        <w:t>In particular:</w:t>
      </w:r>
    </w:p>
    <w:p w14:paraId="599FE065" w14:textId="6D7D616D" w:rsidR="006B3CD3" w:rsidRPr="007B510B" w:rsidRDefault="006B3CD3" w:rsidP="006B3CD3">
      <w:pPr>
        <w:pStyle w:val="ListParagraph"/>
        <w:numPr>
          <w:ilvl w:val="0"/>
          <w:numId w:val="35"/>
        </w:numPr>
        <w:spacing w:before="100" w:beforeAutospacing="1" w:after="0" w:line="360" w:lineRule="auto"/>
        <w:ind w:left="284" w:hanging="284"/>
        <w:jc w:val="both"/>
        <w:rPr>
          <w:rFonts w:asciiTheme="minorHAnsi" w:hAnsiTheme="minorHAnsi" w:cstheme="minorHAnsi"/>
          <w:sz w:val="18"/>
        </w:rPr>
      </w:pPr>
      <w:r w:rsidRPr="007B510B">
        <w:rPr>
          <w:rFonts w:asciiTheme="minorHAnsi" w:hAnsiTheme="minorHAnsi" w:cstheme="minorHAnsi"/>
          <w:sz w:val="18"/>
        </w:rPr>
        <w:lastRenderedPageBreak/>
        <w:t>The ISA</w:t>
      </w:r>
      <w:r w:rsidRPr="007B510B">
        <w:rPr>
          <w:rStyle w:val="FootnoteReference"/>
          <w:rFonts w:asciiTheme="minorHAnsi" w:hAnsiTheme="minorHAnsi" w:cstheme="minorHAnsi"/>
          <w:sz w:val="18"/>
        </w:rPr>
        <w:footnoteReference w:id="23"/>
      </w:r>
      <w:r w:rsidRPr="007B510B">
        <w:rPr>
          <w:rFonts w:asciiTheme="minorHAnsi" w:hAnsiTheme="minorHAnsi" w:cstheme="minorHAnsi"/>
          <w:sz w:val="18"/>
        </w:rPr>
        <w:t xml:space="preserve"> developed by the ECB represents a prominent advancement in system-wide stress testing, </w:t>
      </w:r>
      <w:r w:rsidR="007F6B22">
        <w:rPr>
          <w:rFonts w:asciiTheme="minorHAnsi" w:hAnsiTheme="minorHAnsi" w:cstheme="minorHAnsi"/>
          <w:sz w:val="18"/>
        </w:rPr>
        <w:t>capturing</w:t>
      </w:r>
      <w:r w:rsidR="007F6B22" w:rsidRPr="007B510B">
        <w:rPr>
          <w:rFonts w:asciiTheme="minorHAnsi" w:hAnsiTheme="minorHAnsi" w:cstheme="minorHAnsi"/>
          <w:sz w:val="18"/>
        </w:rPr>
        <w:t xml:space="preserve"> </w:t>
      </w:r>
      <w:r w:rsidRPr="007B510B">
        <w:rPr>
          <w:rFonts w:asciiTheme="minorHAnsi" w:hAnsiTheme="minorHAnsi" w:cstheme="minorHAnsi"/>
          <w:sz w:val="18"/>
        </w:rPr>
        <w:t>contagion risk and second-round responses to short-term liquidity shortfalls. The one-off “Fit-for-55” climate scenario analysis</w:t>
      </w:r>
      <w:r w:rsidRPr="007B510B">
        <w:rPr>
          <w:rStyle w:val="FootnoteReference"/>
          <w:rFonts w:asciiTheme="minorHAnsi" w:hAnsiTheme="minorHAnsi" w:cstheme="minorHAnsi"/>
          <w:sz w:val="18"/>
        </w:rPr>
        <w:footnoteReference w:id="24"/>
      </w:r>
      <w:r w:rsidRPr="007B510B">
        <w:rPr>
          <w:rFonts w:asciiTheme="minorHAnsi" w:hAnsiTheme="minorHAnsi" w:cstheme="minorHAnsi"/>
          <w:sz w:val="18"/>
        </w:rPr>
        <w:t xml:space="preserve"> used top-down models to assess the impact of the scenarios on the respective </w:t>
      </w:r>
      <w:proofErr w:type="gramStart"/>
      <w:r w:rsidRPr="007B510B">
        <w:rPr>
          <w:rFonts w:asciiTheme="minorHAnsi" w:hAnsiTheme="minorHAnsi" w:cstheme="minorHAnsi"/>
          <w:sz w:val="18"/>
        </w:rPr>
        <w:t>sectors, and</w:t>
      </w:r>
      <w:proofErr w:type="gramEnd"/>
      <w:r w:rsidRPr="007B510B">
        <w:rPr>
          <w:rFonts w:asciiTheme="minorHAnsi" w:hAnsiTheme="minorHAnsi" w:cstheme="minorHAnsi"/>
          <w:sz w:val="18"/>
        </w:rPr>
        <w:t xml:space="preserve"> employed the ISA model to assess the contagion and amplification effects across firms and sectors. </w:t>
      </w:r>
    </w:p>
    <w:p w14:paraId="657075EE" w14:textId="51D902E8" w:rsidR="006B3CD3" w:rsidRPr="007B510B" w:rsidRDefault="006B3CD3" w:rsidP="006B3CD3">
      <w:pPr>
        <w:pStyle w:val="ListParagraph"/>
        <w:numPr>
          <w:ilvl w:val="0"/>
          <w:numId w:val="35"/>
        </w:numPr>
        <w:spacing w:before="100" w:beforeAutospacing="1" w:after="0" w:line="360" w:lineRule="auto"/>
        <w:ind w:left="284" w:hanging="284"/>
        <w:jc w:val="both"/>
        <w:rPr>
          <w:rFonts w:asciiTheme="minorHAnsi" w:hAnsiTheme="minorHAnsi" w:cstheme="minorHAnsi"/>
          <w:sz w:val="18"/>
        </w:rPr>
      </w:pPr>
      <w:r w:rsidRPr="007B510B">
        <w:rPr>
          <w:rStyle w:val="IntenseEmphasis"/>
          <w:rFonts w:asciiTheme="minorHAnsi" w:hAnsiTheme="minorHAnsi" w:cstheme="minorHAnsi"/>
          <w:b w:val="0"/>
          <w:bCs w:val="0"/>
          <w:color w:val="auto"/>
          <w:sz w:val="18"/>
        </w:rPr>
        <w:t xml:space="preserve">The ESRB, in collaboration with the ECB, has been making some progress in specific system-wide scenario analysis </w:t>
      </w:r>
      <w:r w:rsidRPr="007B510B">
        <w:rPr>
          <w:rFonts w:asciiTheme="minorHAnsi" w:hAnsiTheme="minorHAnsi" w:cstheme="minorHAnsi"/>
          <w:sz w:val="18"/>
        </w:rPr>
        <w:t>involving all types of entities</w:t>
      </w:r>
      <w:r w:rsidRPr="007B510B">
        <w:rPr>
          <w:rStyle w:val="IntenseEmphasis"/>
          <w:rFonts w:asciiTheme="minorHAnsi" w:hAnsiTheme="minorHAnsi" w:cstheme="minorHAnsi"/>
          <w:b w:val="0"/>
          <w:bCs w:val="0"/>
          <w:color w:val="auto"/>
          <w:sz w:val="18"/>
        </w:rPr>
        <w:t>.</w:t>
      </w:r>
      <w:r w:rsidRPr="007B510B">
        <w:rPr>
          <w:rFonts w:asciiTheme="minorHAnsi" w:hAnsiTheme="minorHAnsi" w:cstheme="minorHAnsi"/>
          <w:sz w:val="18"/>
        </w:rPr>
        <w:t xml:space="preserve"> </w:t>
      </w:r>
      <w:r w:rsidR="00CB54B9">
        <w:rPr>
          <w:rFonts w:asciiTheme="minorHAnsi" w:hAnsiTheme="minorHAnsi" w:cstheme="minorHAnsi"/>
          <w:sz w:val="18"/>
        </w:rPr>
        <w:t xml:space="preserve">For example, in </w:t>
      </w:r>
      <w:r w:rsidRPr="007B510B">
        <w:rPr>
          <w:rFonts w:asciiTheme="minorHAnsi" w:hAnsiTheme="minorHAnsi" w:cstheme="minorHAnsi"/>
          <w:sz w:val="18"/>
        </w:rPr>
        <w:t>situations of acute financial stress, the ESRB has been using its access to granular market data (EMIR) to identify vulnerabilities across financial market</w:t>
      </w:r>
      <w:r w:rsidR="007F6B22">
        <w:rPr>
          <w:rFonts w:asciiTheme="minorHAnsi" w:hAnsiTheme="minorHAnsi" w:cstheme="minorHAnsi"/>
          <w:sz w:val="18"/>
        </w:rPr>
        <w:t>s</w:t>
      </w:r>
      <w:r w:rsidRPr="007B510B">
        <w:rPr>
          <w:rFonts w:asciiTheme="minorHAnsi" w:hAnsiTheme="minorHAnsi" w:cstheme="minorHAnsi"/>
          <w:sz w:val="18"/>
        </w:rPr>
        <w:t xml:space="preserve">. </w:t>
      </w:r>
      <w:r w:rsidR="00CB54B9">
        <w:rPr>
          <w:rFonts w:asciiTheme="minorHAnsi" w:hAnsiTheme="minorHAnsi" w:cstheme="minorHAnsi"/>
          <w:sz w:val="18"/>
        </w:rPr>
        <w:t>Also, m</w:t>
      </w:r>
      <w:r w:rsidRPr="007B510B">
        <w:rPr>
          <w:rFonts w:asciiTheme="minorHAnsi" w:hAnsiTheme="minorHAnsi" w:cstheme="minorHAnsi"/>
          <w:sz w:val="18"/>
        </w:rPr>
        <w:t>ost recently, the ESRB is testing ways to conduct a system-wide liquidity scenario analysis which attempts to provide an understanding of how systemic liquidity risks can spread via cross-sector interconnections and to capture second round cross-sectoral effects, via the price impact of asset sales.</w:t>
      </w:r>
    </w:p>
    <w:p w14:paraId="2669133D" w14:textId="77777777" w:rsidR="006B3CD3" w:rsidRPr="007B510B" w:rsidRDefault="006B3CD3" w:rsidP="006B3CD3">
      <w:pPr>
        <w:pStyle w:val="ListParagraph"/>
        <w:numPr>
          <w:ilvl w:val="0"/>
          <w:numId w:val="35"/>
        </w:numPr>
        <w:spacing w:before="100" w:beforeAutospacing="1" w:after="0" w:line="360" w:lineRule="auto"/>
        <w:ind w:left="284" w:hanging="284"/>
        <w:jc w:val="both"/>
        <w:rPr>
          <w:rFonts w:asciiTheme="minorHAnsi" w:hAnsiTheme="minorHAnsi" w:cstheme="minorHAnsi"/>
          <w:sz w:val="18"/>
        </w:rPr>
      </w:pPr>
      <w:r w:rsidRPr="007B510B">
        <w:rPr>
          <w:rFonts w:asciiTheme="minorHAnsi" w:hAnsiTheme="minorHAnsi" w:cstheme="minorHAnsi"/>
          <w:sz w:val="18"/>
        </w:rPr>
        <w:t xml:space="preserve">In certain instances, the ESAs in their sectoral bottom-up stress tests introduced some specific scenario analysis to see the interactions with the rest of the financial system e.g. (i) the latest ESMA 2024 CCP stress test includes an analysis of stress conditions for the broader CCP ecosystem, including banks and NFCs (ii) the EBA banking sector stress test has tried to assess the interaction between banks and the wider financial system. </w:t>
      </w:r>
    </w:p>
    <w:p w14:paraId="0166B489" w14:textId="22AD5264" w:rsidR="00C95C2D" w:rsidRPr="006B3CD3" w:rsidRDefault="00541505" w:rsidP="00C95C2D">
      <w:pPr>
        <w:jc w:val="both"/>
        <w:rPr>
          <w:rFonts w:asciiTheme="minorHAnsi" w:hAnsiTheme="minorHAnsi" w:cstheme="minorHAnsi"/>
          <w:color w:val="FF0000"/>
        </w:rPr>
      </w:pPr>
      <w:r>
        <w:rPr>
          <w:rStyle w:val="IntenseEmphasis"/>
          <w:rFonts w:asciiTheme="minorHAnsi" w:hAnsiTheme="minorHAnsi" w:cstheme="minorHAnsi"/>
        </w:rPr>
        <w:t>Important lessons are being learnt from the above exercises that will help the development of methodologies and models</w:t>
      </w:r>
      <w:r w:rsidR="006B3CD3" w:rsidRPr="007B510B">
        <w:rPr>
          <w:rStyle w:val="IntenseEmphasis"/>
          <w:rFonts w:asciiTheme="minorHAnsi" w:hAnsiTheme="minorHAnsi" w:cstheme="minorHAnsi"/>
        </w:rPr>
        <w:t>.</w:t>
      </w:r>
      <w:r w:rsidR="006B3CD3" w:rsidRPr="007B510B">
        <w:rPr>
          <w:rFonts w:asciiTheme="minorHAnsi" w:hAnsiTheme="minorHAnsi" w:cstheme="minorHAnsi"/>
        </w:rPr>
        <w:t xml:space="preserve"> The ESRB systemic liquidity scenario analysis </w:t>
      </w:r>
      <w:r w:rsidR="0092799F">
        <w:rPr>
          <w:rFonts w:asciiTheme="minorHAnsi" w:hAnsiTheme="minorHAnsi" w:cstheme="minorHAnsi"/>
        </w:rPr>
        <w:t xml:space="preserve">is </w:t>
      </w:r>
      <w:r w:rsidR="006B3CD3" w:rsidRPr="007B510B">
        <w:rPr>
          <w:rFonts w:asciiTheme="minorHAnsi" w:hAnsiTheme="minorHAnsi" w:cstheme="minorHAnsi"/>
        </w:rPr>
        <w:t>provid</w:t>
      </w:r>
      <w:r w:rsidR="0092799F">
        <w:rPr>
          <w:rFonts w:asciiTheme="minorHAnsi" w:hAnsiTheme="minorHAnsi" w:cstheme="minorHAnsi"/>
        </w:rPr>
        <w:t xml:space="preserve">ing </w:t>
      </w:r>
      <w:r w:rsidR="006B3CD3" w:rsidRPr="007B510B">
        <w:rPr>
          <w:rFonts w:asciiTheme="minorHAnsi" w:hAnsiTheme="minorHAnsi" w:cstheme="minorHAnsi"/>
        </w:rPr>
        <w:t xml:space="preserve">invaluable experience in terms of the challenges </w:t>
      </w:r>
      <w:r w:rsidR="0092799F">
        <w:rPr>
          <w:rFonts w:asciiTheme="minorHAnsi" w:hAnsiTheme="minorHAnsi" w:cstheme="minorHAnsi"/>
        </w:rPr>
        <w:t>to combine</w:t>
      </w:r>
      <w:r w:rsidR="006B3CD3" w:rsidRPr="007B510B">
        <w:rPr>
          <w:rFonts w:asciiTheme="minorHAnsi" w:hAnsiTheme="minorHAnsi" w:cstheme="minorHAnsi"/>
        </w:rPr>
        <w:t xml:space="preserve"> different data sources </w:t>
      </w:r>
      <w:r w:rsidR="0092799F">
        <w:rPr>
          <w:rFonts w:asciiTheme="minorHAnsi" w:hAnsiTheme="minorHAnsi" w:cstheme="minorHAnsi"/>
        </w:rPr>
        <w:t>and to</w:t>
      </w:r>
      <w:r w:rsidR="006B3CD3" w:rsidRPr="007B510B">
        <w:rPr>
          <w:rFonts w:asciiTheme="minorHAnsi" w:hAnsiTheme="minorHAnsi" w:cstheme="minorHAnsi"/>
        </w:rPr>
        <w:t xml:space="preserve"> reconcil</w:t>
      </w:r>
      <w:r w:rsidR="0092799F">
        <w:rPr>
          <w:rFonts w:asciiTheme="minorHAnsi" w:hAnsiTheme="minorHAnsi" w:cstheme="minorHAnsi"/>
        </w:rPr>
        <w:t>e</w:t>
      </w:r>
      <w:r w:rsidR="006B3CD3" w:rsidRPr="007B510B">
        <w:rPr>
          <w:rFonts w:asciiTheme="minorHAnsi" w:hAnsiTheme="minorHAnsi" w:cstheme="minorHAnsi"/>
        </w:rPr>
        <w:t xml:space="preserve"> different modelling approaches. It </w:t>
      </w:r>
      <w:r w:rsidR="0092799F">
        <w:rPr>
          <w:rFonts w:asciiTheme="minorHAnsi" w:hAnsiTheme="minorHAnsi" w:cstheme="minorHAnsi"/>
        </w:rPr>
        <w:t xml:space="preserve">also highlights the benefits of close interaction with </w:t>
      </w:r>
      <w:r w:rsidR="006B3CD3" w:rsidRPr="007B510B">
        <w:rPr>
          <w:rFonts w:asciiTheme="minorHAnsi" w:hAnsiTheme="minorHAnsi" w:cstheme="minorHAnsi"/>
        </w:rPr>
        <w:t xml:space="preserve">national authorities </w:t>
      </w:r>
      <w:r w:rsidR="0092799F">
        <w:rPr>
          <w:rFonts w:asciiTheme="minorHAnsi" w:hAnsiTheme="minorHAnsi" w:cstheme="minorHAnsi"/>
        </w:rPr>
        <w:t xml:space="preserve">during the </w:t>
      </w:r>
      <w:r w:rsidR="006B3CD3" w:rsidRPr="007B510B">
        <w:rPr>
          <w:rFonts w:asciiTheme="minorHAnsi" w:hAnsiTheme="minorHAnsi" w:cstheme="minorHAnsi"/>
        </w:rPr>
        <w:t xml:space="preserve">design of the stress test methodologies to leverage their experience with specific sectors and </w:t>
      </w:r>
      <w:r w:rsidR="0092799F">
        <w:rPr>
          <w:rFonts w:asciiTheme="minorHAnsi" w:hAnsiTheme="minorHAnsi" w:cstheme="minorHAnsi"/>
        </w:rPr>
        <w:t xml:space="preserve">to </w:t>
      </w:r>
      <w:r w:rsidR="006B3CD3" w:rsidRPr="007B510B">
        <w:rPr>
          <w:rFonts w:asciiTheme="minorHAnsi" w:hAnsiTheme="minorHAnsi" w:cstheme="minorHAnsi"/>
        </w:rPr>
        <w:t>account for local factors.</w:t>
      </w:r>
      <w:r w:rsidR="00BE157C">
        <w:rPr>
          <w:rFonts w:asciiTheme="minorHAnsi" w:hAnsiTheme="minorHAnsi" w:cstheme="minorHAnsi"/>
        </w:rPr>
        <w:t xml:space="preserve"> </w:t>
      </w:r>
      <w:r w:rsidR="00C95C2D">
        <w:rPr>
          <w:rFonts w:asciiTheme="minorHAnsi" w:hAnsiTheme="minorHAnsi" w:cstheme="minorHAnsi"/>
        </w:rPr>
        <w:t xml:space="preserve">Importantly, it showed that </w:t>
      </w:r>
      <w:r w:rsidR="00C95C2D">
        <w:rPr>
          <w:rFonts w:asciiTheme="minorHAnsi" w:hAnsiTheme="minorHAnsi" w:cstheme="minorHAnsi"/>
          <w:iCs/>
        </w:rPr>
        <w:t>better</w:t>
      </w:r>
      <w:r w:rsidR="00C95C2D" w:rsidRPr="007B510B">
        <w:rPr>
          <w:rFonts w:asciiTheme="minorHAnsi" w:hAnsiTheme="minorHAnsi" w:cstheme="minorHAnsi"/>
          <w:iCs/>
        </w:rPr>
        <w:t xml:space="preserve"> arrangement for sharing </w:t>
      </w:r>
      <w:r w:rsidR="00C95C2D">
        <w:rPr>
          <w:rFonts w:asciiTheme="minorHAnsi" w:hAnsiTheme="minorHAnsi" w:cstheme="minorHAnsi"/>
          <w:iCs/>
        </w:rPr>
        <w:t>of firm-specific</w:t>
      </w:r>
      <w:r w:rsidR="00C95C2D" w:rsidRPr="007B510B">
        <w:rPr>
          <w:rFonts w:asciiTheme="minorHAnsi" w:hAnsiTheme="minorHAnsi" w:cstheme="minorHAnsi"/>
          <w:iCs/>
        </w:rPr>
        <w:t xml:space="preserve"> d</w:t>
      </w:r>
      <w:r w:rsidR="00C95C2D" w:rsidRPr="007B510B">
        <w:rPr>
          <w:rFonts w:asciiTheme="minorHAnsi" w:hAnsiTheme="minorHAnsi" w:cstheme="minorHAnsi"/>
        </w:rPr>
        <w:t xml:space="preserve">ata </w:t>
      </w:r>
      <w:r w:rsidR="00C95C2D">
        <w:rPr>
          <w:rFonts w:asciiTheme="minorHAnsi" w:hAnsiTheme="minorHAnsi" w:cstheme="minorHAnsi"/>
        </w:rPr>
        <w:t>are needed</w:t>
      </w:r>
      <w:r w:rsidR="00B2775F">
        <w:rPr>
          <w:rFonts w:asciiTheme="minorHAnsi" w:hAnsiTheme="minorHAnsi" w:cstheme="minorHAnsi"/>
        </w:rPr>
        <w:t xml:space="preserve"> between all relevant authorities</w:t>
      </w:r>
      <w:r w:rsidR="00C95C2D" w:rsidRPr="007B510B">
        <w:rPr>
          <w:rFonts w:asciiTheme="minorHAnsi" w:hAnsiTheme="minorHAnsi" w:cstheme="minorHAnsi"/>
        </w:rPr>
        <w:t>.</w:t>
      </w:r>
      <w:r w:rsidR="00C95C2D" w:rsidRPr="007B510B">
        <w:rPr>
          <w:rStyle w:val="FootnoteReference"/>
          <w:rFonts w:asciiTheme="minorHAnsi" w:hAnsiTheme="minorHAnsi" w:cstheme="minorHAnsi"/>
        </w:rPr>
        <w:footnoteReference w:id="25"/>
      </w:r>
      <w:r w:rsidR="00C95C2D" w:rsidRPr="007B510B">
        <w:rPr>
          <w:rFonts w:asciiTheme="minorHAnsi" w:hAnsiTheme="minorHAnsi" w:cstheme="minorHAnsi"/>
        </w:rPr>
        <w:t xml:space="preserve"> </w:t>
      </w:r>
      <w:r w:rsidR="00B2775F">
        <w:rPr>
          <w:rFonts w:asciiTheme="minorHAnsi" w:hAnsiTheme="minorHAnsi" w:cstheme="minorHAnsi"/>
        </w:rPr>
        <w:t>In relation to</w:t>
      </w:r>
      <w:r w:rsidR="00C95C2D" w:rsidRPr="007B510B">
        <w:rPr>
          <w:rFonts w:asciiTheme="minorHAnsi" w:hAnsiTheme="minorHAnsi" w:cstheme="minorHAnsi"/>
        </w:rPr>
        <w:t xml:space="preserve"> this, the ESRB </w:t>
      </w:r>
      <w:r w:rsidR="00C95C2D">
        <w:rPr>
          <w:rFonts w:asciiTheme="minorHAnsi" w:hAnsiTheme="minorHAnsi" w:cstheme="minorHAnsi"/>
        </w:rPr>
        <w:t>sent a</w:t>
      </w:r>
      <w:r w:rsidR="00C95C2D" w:rsidRPr="007B510B">
        <w:rPr>
          <w:rFonts w:asciiTheme="minorHAnsi" w:hAnsiTheme="minorHAnsi" w:cstheme="minorHAnsi"/>
        </w:rPr>
        <w:t xml:space="preserve"> letter to the European co-legislator </w:t>
      </w:r>
      <w:r w:rsidR="00C95C2D">
        <w:rPr>
          <w:rFonts w:asciiTheme="minorHAnsi" w:hAnsiTheme="minorHAnsi" w:cstheme="minorHAnsi"/>
        </w:rPr>
        <w:t xml:space="preserve">stressing </w:t>
      </w:r>
      <w:r w:rsidR="00C95C2D" w:rsidRPr="007B510B">
        <w:rPr>
          <w:rFonts w:asciiTheme="minorHAnsi" w:hAnsiTheme="minorHAnsi" w:cstheme="minorHAnsi"/>
        </w:rPr>
        <w:t xml:space="preserve">the need for </w:t>
      </w:r>
      <w:r w:rsidR="00C95C2D">
        <w:rPr>
          <w:rFonts w:asciiTheme="minorHAnsi" w:hAnsiTheme="minorHAnsi" w:cstheme="minorHAnsi"/>
        </w:rPr>
        <w:t>legislation to facilitate</w:t>
      </w:r>
      <w:r w:rsidR="00C95C2D" w:rsidRPr="007B510B">
        <w:rPr>
          <w:rFonts w:asciiTheme="minorHAnsi" w:hAnsiTheme="minorHAnsi" w:cstheme="minorHAnsi"/>
        </w:rPr>
        <w:t xml:space="preserve"> data sharing between authorities.</w:t>
      </w:r>
      <w:r w:rsidR="00C95C2D" w:rsidRPr="007B510B">
        <w:rPr>
          <w:rStyle w:val="FootnoteReference"/>
          <w:rFonts w:asciiTheme="minorHAnsi" w:hAnsiTheme="minorHAnsi" w:cstheme="minorHAnsi"/>
        </w:rPr>
        <w:footnoteReference w:id="26"/>
      </w:r>
      <w:r w:rsidR="00C95C2D" w:rsidRPr="007B510B">
        <w:rPr>
          <w:rFonts w:asciiTheme="minorHAnsi" w:hAnsiTheme="minorHAnsi" w:cstheme="minorHAnsi"/>
        </w:rPr>
        <w:t xml:space="preserve"> A</w:t>
      </w:r>
      <w:r w:rsidR="00C95C2D">
        <w:rPr>
          <w:rFonts w:asciiTheme="minorHAnsi" w:hAnsiTheme="minorHAnsi" w:cstheme="minorHAnsi"/>
        </w:rPr>
        <w:t>t the technical level a</w:t>
      </w:r>
      <w:r w:rsidR="00C95C2D" w:rsidRPr="007B510B">
        <w:rPr>
          <w:rFonts w:asciiTheme="minorHAnsi" w:hAnsiTheme="minorHAnsi" w:cstheme="minorHAnsi"/>
        </w:rPr>
        <w:t>n Integrated Reporting Framework for all sectors could facilitate the combination of NBFI and bank data at different levels of aggregation</w:t>
      </w:r>
      <w:r w:rsidR="00C95C2D">
        <w:rPr>
          <w:rFonts w:asciiTheme="minorHAnsi" w:hAnsiTheme="minorHAnsi" w:cstheme="minorHAnsi"/>
        </w:rPr>
        <w:t xml:space="preserve">. </w:t>
      </w:r>
    </w:p>
    <w:p w14:paraId="0963CF7A" w14:textId="1C9CBA35" w:rsidR="00C95C2D" w:rsidRPr="007B510B" w:rsidRDefault="000D2457" w:rsidP="00C95C2D">
      <w:pPr>
        <w:spacing w:before="100" w:beforeAutospacing="1" w:after="100" w:afterAutospacing="1"/>
        <w:jc w:val="both"/>
        <w:rPr>
          <w:rFonts w:asciiTheme="minorHAnsi" w:hAnsiTheme="minorHAnsi" w:cstheme="minorHAnsi"/>
        </w:rPr>
      </w:pPr>
      <w:r>
        <w:rPr>
          <w:rStyle w:val="IntenseEmphasis"/>
          <w:rFonts w:asciiTheme="minorHAnsi" w:hAnsiTheme="minorHAnsi" w:cstheme="minorHAnsi"/>
        </w:rPr>
        <w:t xml:space="preserve">Given its broad membership, including the ECB and the ESAs, the </w:t>
      </w:r>
      <w:r w:rsidR="006B3CD3" w:rsidRPr="007B510B">
        <w:rPr>
          <w:rStyle w:val="IntenseEmphasis"/>
          <w:rFonts w:asciiTheme="minorHAnsi" w:hAnsiTheme="minorHAnsi" w:cstheme="minorHAnsi"/>
        </w:rPr>
        <w:t xml:space="preserve">ESRB </w:t>
      </w:r>
      <w:r w:rsidR="0095132E">
        <w:rPr>
          <w:rStyle w:val="IntenseEmphasis"/>
          <w:rFonts w:asciiTheme="minorHAnsi" w:hAnsiTheme="minorHAnsi" w:cstheme="minorHAnsi"/>
        </w:rPr>
        <w:t>might be in a good position</w:t>
      </w:r>
      <w:r w:rsidR="006B3CD3" w:rsidRPr="007B510B">
        <w:rPr>
          <w:rStyle w:val="IntenseEmphasis"/>
          <w:rFonts w:asciiTheme="minorHAnsi" w:hAnsiTheme="minorHAnsi" w:cstheme="minorHAnsi"/>
        </w:rPr>
        <w:t xml:space="preserve"> </w:t>
      </w:r>
      <w:r>
        <w:rPr>
          <w:rStyle w:val="IntenseEmphasis"/>
          <w:rFonts w:asciiTheme="minorHAnsi" w:hAnsiTheme="minorHAnsi" w:cstheme="minorHAnsi"/>
        </w:rPr>
        <w:t>to</w:t>
      </w:r>
      <w:r w:rsidRPr="000D2457">
        <w:rPr>
          <w:rStyle w:val="IntenseEmphasis"/>
          <w:rFonts w:asciiTheme="minorHAnsi" w:hAnsiTheme="minorHAnsi" w:cstheme="minorHAnsi"/>
        </w:rPr>
        <w:t xml:space="preserve"> develop a framework for periodic, top-down system-wide stress tests of the EU financial system</w:t>
      </w:r>
      <w:r w:rsidR="006B3CD3" w:rsidRPr="007B510B">
        <w:rPr>
          <w:rStyle w:val="IntenseEmphasis"/>
          <w:rFonts w:asciiTheme="minorHAnsi" w:hAnsiTheme="minorHAnsi" w:cstheme="minorHAnsi"/>
          <w:color w:val="auto"/>
        </w:rPr>
        <w:t>.</w:t>
      </w:r>
      <w:r w:rsidR="006B3CD3" w:rsidRPr="007B510B">
        <w:rPr>
          <w:rFonts w:asciiTheme="minorHAnsi" w:hAnsiTheme="minorHAnsi" w:cstheme="minorHAnsi"/>
        </w:rPr>
        <w:t xml:space="preserve"> </w:t>
      </w:r>
      <w:r w:rsidRPr="007B510B">
        <w:rPr>
          <w:rFonts w:asciiTheme="minorHAnsi" w:hAnsiTheme="minorHAnsi" w:cstheme="minorHAnsi"/>
        </w:rPr>
        <w:t xml:space="preserve">The regular </w:t>
      </w:r>
      <w:r w:rsidRPr="007B510B">
        <w:rPr>
          <w:rFonts w:asciiTheme="minorHAnsi" w:hAnsiTheme="minorHAnsi" w:cstheme="minorHAnsi"/>
          <w:iCs/>
        </w:rPr>
        <w:t xml:space="preserve">bottom-up </w:t>
      </w:r>
      <w:r w:rsidRPr="007B510B">
        <w:rPr>
          <w:rFonts w:asciiTheme="minorHAnsi" w:hAnsiTheme="minorHAnsi" w:cstheme="minorHAnsi"/>
        </w:rPr>
        <w:t>ESA stress test</w:t>
      </w:r>
      <w:r w:rsidRPr="007B510B">
        <w:rPr>
          <w:rFonts w:asciiTheme="minorHAnsi" w:hAnsiTheme="minorHAnsi" w:cstheme="minorHAnsi"/>
          <w:iCs/>
        </w:rPr>
        <w:t>s</w:t>
      </w:r>
      <w:r w:rsidRPr="007B510B">
        <w:rPr>
          <w:rFonts w:asciiTheme="minorHAnsi" w:hAnsiTheme="minorHAnsi" w:cstheme="minorHAnsi"/>
        </w:rPr>
        <w:t xml:space="preserve">, where the ESRB </w:t>
      </w:r>
      <w:r w:rsidRPr="007B510B">
        <w:rPr>
          <w:rFonts w:asciiTheme="minorHAnsi" w:hAnsiTheme="minorHAnsi" w:cstheme="minorHAnsi"/>
          <w:iCs/>
        </w:rPr>
        <w:t xml:space="preserve">already </w:t>
      </w:r>
      <w:r w:rsidRPr="007B510B">
        <w:rPr>
          <w:rFonts w:asciiTheme="minorHAnsi" w:hAnsiTheme="minorHAnsi" w:cstheme="minorHAnsi"/>
        </w:rPr>
        <w:t xml:space="preserve">develops scenarios in close collaboration with the ECB and the ESAs, could be seen as pillars on which a future </w:t>
      </w:r>
      <w:r>
        <w:rPr>
          <w:rFonts w:asciiTheme="minorHAnsi" w:hAnsiTheme="minorHAnsi" w:cstheme="minorHAnsi"/>
        </w:rPr>
        <w:t xml:space="preserve">top-down </w:t>
      </w:r>
      <w:r w:rsidRPr="007B510B">
        <w:rPr>
          <w:rFonts w:asciiTheme="minorHAnsi" w:hAnsiTheme="minorHAnsi" w:cstheme="minorHAnsi"/>
        </w:rPr>
        <w:t>system-wide stress test could be developed.</w:t>
      </w:r>
      <w:r>
        <w:rPr>
          <w:rFonts w:asciiTheme="minorHAnsi" w:hAnsiTheme="minorHAnsi" w:cstheme="minorHAnsi"/>
        </w:rPr>
        <w:t xml:space="preserve"> </w:t>
      </w:r>
      <w:r w:rsidRPr="000D2457">
        <w:rPr>
          <w:rFonts w:asciiTheme="minorHAnsi" w:hAnsiTheme="minorHAnsi" w:cstheme="minorHAnsi"/>
        </w:rPr>
        <w:t xml:space="preserve">Such a </w:t>
      </w:r>
      <w:r>
        <w:rPr>
          <w:rFonts w:asciiTheme="minorHAnsi" w:hAnsiTheme="minorHAnsi" w:cstheme="minorHAnsi"/>
        </w:rPr>
        <w:t xml:space="preserve">top-down system wide </w:t>
      </w:r>
      <w:r w:rsidRPr="000D2457">
        <w:rPr>
          <w:rFonts w:asciiTheme="minorHAnsi" w:hAnsiTheme="minorHAnsi" w:cstheme="minorHAnsi"/>
        </w:rPr>
        <w:t>stress test w</w:t>
      </w:r>
      <w:r>
        <w:rPr>
          <w:rFonts w:asciiTheme="minorHAnsi" w:hAnsiTheme="minorHAnsi" w:cstheme="minorHAnsi"/>
        </w:rPr>
        <w:t xml:space="preserve">ould </w:t>
      </w:r>
      <w:r w:rsidRPr="000D2457">
        <w:rPr>
          <w:rFonts w:asciiTheme="minorHAnsi" w:hAnsiTheme="minorHAnsi" w:cstheme="minorHAnsi"/>
        </w:rPr>
        <w:t xml:space="preserve">allow the ESRB to monitor and identify how specific shocks would propagate within the EU financial system, across sectors, </w:t>
      </w:r>
      <w:r w:rsidR="007C7286" w:rsidRPr="000D2457">
        <w:rPr>
          <w:rFonts w:asciiTheme="minorHAnsi" w:hAnsiTheme="minorHAnsi" w:cstheme="minorHAnsi"/>
        </w:rPr>
        <w:t>markets,</w:t>
      </w:r>
      <w:r w:rsidRPr="000D2457">
        <w:rPr>
          <w:rFonts w:asciiTheme="minorHAnsi" w:hAnsiTheme="minorHAnsi" w:cstheme="minorHAnsi"/>
        </w:rPr>
        <w:t xml:space="preserve"> and counterparties. This would facilitate the holistic assessment of systemic risk by bringing in empirical findings. In the short-term the ESRB should focus on </w:t>
      </w:r>
      <w:r w:rsidRPr="000D2457">
        <w:rPr>
          <w:rFonts w:asciiTheme="minorHAnsi" w:hAnsiTheme="minorHAnsi" w:cstheme="minorHAnsi"/>
        </w:rPr>
        <w:lastRenderedPageBreak/>
        <w:t>how to integrate and utilise current sectoral stress tests conducted by the ESAs</w:t>
      </w:r>
      <w:r>
        <w:rPr>
          <w:rFonts w:asciiTheme="minorHAnsi" w:hAnsiTheme="minorHAnsi" w:cstheme="minorHAnsi"/>
        </w:rPr>
        <w:t>.</w:t>
      </w:r>
      <w:r w:rsidR="00C95C2D" w:rsidRPr="00C95C2D">
        <w:rPr>
          <w:rFonts w:asciiTheme="minorHAnsi" w:hAnsiTheme="minorHAnsi" w:cstheme="minorHAnsi"/>
        </w:rPr>
        <w:t xml:space="preserve"> </w:t>
      </w:r>
      <w:r w:rsidR="00C95C2D">
        <w:rPr>
          <w:rFonts w:asciiTheme="minorHAnsi" w:hAnsiTheme="minorHAnsi" w:cstheme="minorHAnsi"/>
        </w:rPr>
        <w:t>As methodologies and models will develop gradually results need to be interpreted with care and limitations of the exercises need to be communicated clearly</w:t>
      </w:r>
      <w:r w:rsidR="00C95C2D" w:rsidRPr="007B510B">
        <w:rPr>
          <w:rFonts w:asciiTheme="minorHAnsi" w:hAnsiTheme="minorHAnsi" w:cstheme="minorHAnsi"/>
        </w:rPr>
        <w:t xml:space="preserve">. </w:t>
      </w:r>
    </w:p>
    <w:p w14:paraId="36C12D16" w14:textId="3B4578BD" w:rsidR="00B907BA" w:rsidRPr="00154CB7" w:rsidRDefault="00B914D0" w:rsidP="006A6E28">
      <w:pPr>
        <w:jc w:val="both"/>
        <w:rPr>
          <w:rStyle w:val="IntenseEmphasis"/>
          <w:b w:val="0"/>
          <w:bCs w:val="0"/>
          <w:iCs w:val="0"/>
          <w:color w:val="auto"/>
          <w:lang w:eastAsia="en-US"/>
        </w:rPr>
      </w:pPr>
      <w:r>
        <w:rPr>
          <w:lang w:eastAsia="en-US"/>
        </w:rPr>
        <w:t>More detail on data sharing which is crucial to advance desk-top based stress testing exercise is provided in Chapter 1 of ESRB (2024), “</w:t>
      </w:r>
      <w:r w:rsidRPr="00141340">
        <w:rPr>
          <w:lang w:eastAsia="en-US"/>
        </w:rPr>
        <w:t>A system-wide approach to macroprudential policy</w:t>
      </w:r>
      <w:r>
        <w:rPr>
          <w:lang w:eastAsia="en-US"/>
        </w:rPr>
        <w:t xml:space="preserve"> - </w:t>
      </w:r>
      <w:r w:rsidRPr="00141340">
        <w:rPr>
          <w:lang w:eastAsia="en-US"/>
        </w:rPr>
        <w:t>ESRB response to the European Commission’s consultation on assessing the adequacy of macroprudential policies for Non-bank Financial Intermediation</w:t>
      </w:r>
      <w:r>
        <w:rPr>
          <w:lang w:eastAsia="en-US"/>
        </w:rPr>
        <w:t>”.</w:t>
      </w:r>
    </w:p>
    <w:sectPr w:rsidR="00B907BA" w:rsidRPr="00154CB7" w:rsidSect="009B2C69">
      <w:headerReference w:type="even" r:id="rId9"/>
      <w:headerReference w:type="default" r:id="rId10"/>
      <w:footerReference w:type="default" r:id="rId11"/>
      <w:headerReference w:type="first" r:id="rId12"/>
      <w:footerReference w:type="first" r:id="rId13"/>
      <w:pgSz w:w="11900" w:h="16840" w:code="9"/>
      <w:pgMar w:top="2552" w:right="1418" w:bottom="1418" w:left="1418" w:header="0" w:footer="0" w:gutter="0"/>
      <w:cols w:space="720"/>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31743" w14:textId="77777777" w:rsidR="00860069" w:rsidRDefault="00860069" w:rsidP="0098092E">
      <w:r>
        <w:separator/>
      </w:r>
    </w:p>
    <w:p w14:paraId="78F068E9" w14:textId="77777777" w:rsidR="00860069" w:rsidRDefault="00860069"/>
    <w:p w14:paraId="39F5B159" w14:textId="77777777" w:rsidR="00860069" w:rsidRDefault="00860069"/>
    <w:p w14:paraId="21A1832B" w14:textId="77777777" w:rsidR="00860069" w:rsidRDefault="00860069"/>
    <w:p w14:paraId="4C31C84F" w14:textId="77777777" w:rsidR="00860069" w:rsidRDefault="00860069"/>
    <w:p w14:paraId="2CDE67AD" w14:textId="77777777" w:rsidR="00860069" w:rsidRDefault="00860069"/>
  </w:endnote>
  <w:endnote w:type="continuationSeparator" w:id="0">
    <w:p w14:paraId="7C4B8123" w14:textId="77777777" w:rsidR="00860069" w:rsidRDefault="00860069" w:rsidP="0098092E">
      <w:r>
        <w:continuationSeparator/>
      </w:r>
    </w:p>
    <w:p w14:paraId="77A60F53" w14:textId="77777777" w:rsidR="00860069" w:rsidRDefault="00860069"/>
    <w:p w14:paraId="38A6EDD8" w14:textId="77777777" w:rsidR="00860069" w:rsidRDefault="00860069"/>
    <w:p w14:paraId="76FF59B2" w14:textId="77777777" w:rsidR="00860069" w:rsidRDefault="00860069"/>
    <w:p w14:paraId="3D2106E3" w14:textId="77777777" w:rsidR="00860069" w:rsidRDefault="00860069"/>
    <w:p w14:paraId="37120ACE" w14:textId="77777777" w:rsidR="00860069" w:rsidRDefault="00860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LTFrutiger Next CondLight">
    <w:altName w:val="Impact"/>
    <w:panose1 w:val="00000000000000000000"/>
    <w:charset w:val="00"/>
    <w:family w:val="auto"/>
    <w:notTrueType/>
    <w:pitch w:val="variable"/>
    <w:sig w:usb0="00000003" w:usb1="00000000" w:usb2="00000000" w:usb3="00000000" w:csb0="00000001" w:csb1="00000000"/>
  </w:font>
  <w:font w:name="Sendnya">
    <w:altName w:val="Cambri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59BD" w14:textId="6770D824" w:rsidR="002B69B4" w:rsidRPr="002816BC" w:rsidRDefault="002B69B4" w:rsidP="002816BC">
    <w:pPr>
      <w:pStyle w:val="Footer"/>
    </w:pPr>
    <w:r w:rsidRPr="002816BC">
      <w:t xml:space="preserve">Page </w:t>
    </w:r>
    <w:r w:rsidRPr="002816BC">
      <w:fldChar w:fldCharType="begin"/>
    </w:r>
    <w:r w:rsidRPr="002816BC">
      <w:instrText xml:space="preserve"> PAGE  \* Arabic  \* MERGEFORMAT </w:instrText>
    </w:r>
    <w:r w:rsidRPr="002816BC">
      <w:fldChar w:fldCharType="separate"/>
    </w:r>
    <w:r w:rsidR="00390977">
      <w:rPr>
        <w:noProof/>
      </w:rPr>
      <w:t>1</w:t>
    </w:r>
    <w:r w:rsidRPr="002816BC">
      <w:fldChar w:fldCharType="end"/>
    </w:r>
    <w:r w:rsidRPr="002816BC">
      <w:t xml:space="preserve"> of </w:t>
    </w:r>
    <w:fldSimple w:instr=" NUMPAGES  \* Arabic  \* MERGEFORMAT ">
      <w:r w:rsidR="00390977">
        <w:rPr>
          <w:noProof/>
        </w:rPr>
        <w:t>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EFE4" w14:textId="77777777" w:rsidR="002B69B4" w:rsidRPr="002816BC" w:rsidRDefault="002B69B4" w:rsidP="002816BC">
    <w:pPr>
      <w:pStyle w:val="Footer"/>
    </w:pPr>
    <w:r w:rsidRPr="002816BC">
      <w:t xml:space="preserve">Page </w:t>
    </w:r>
    <w:r w:rsidRPr="002816BC">
      <w:fldChar w:fldCharType="begin"/>
    </w:r>
    <w:r w:rsidRPr="002816BC">
      <w:instrText xml:space="preserve"> PAGE  \* Arabic  \* MERGEFORMAT </w:instrText>
    </w:r>
    <w:r w:rsidRPr="002816BC">
      <w:fldChar w:fldCharType="separate"/>
    </w:r>
    <w:r>
      <w:rPr>
        <w:noProof/>
      </w:rPr>
      <w:t>1</w:t>
    </w:r>
    <w:r w:rsidRPr="002816BC">
      <w:fldChar w:fldCharType="end"/>
    </w:r>
    <w:r w:rsidRPr="002816BC">
      <w:t xml:space="preserve"> of </w:t>
    </w:r>
    <w:fldSimple w:instr=" NUMPAGES  \* Arabic  \* MERGEFORMAT ">
      <w:r w:rsidR="00390977">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53852" w14:textId="77777777" w:rsidR="00860069" w:rsidRDefault="00860069" w:rsidP="00F47403">
      <w:r w:rsidRPr="00D04F53">
        <w:separator/>
      </w:r>
    </w:p>
  </w:footnote>
  <w:footnote w:type="continuationSeparator" w:id="0">
    <w:p w14:paraId="6EA1C239" w14:textId="77777777" w:rsidR="00860069" w:rsidRDefault="00860069">
      <w:r w:rsidRPr="00D04F53">
        <w:continuationSeparator/>
      </w:r>
    </w:p>
  </w:footnote>
  <w:footnote w:type="continuationNotice" w:id="1">
    <w:p w14:paraId="2A921DA3" w14:textId="77777777" w:rsidR="00860069" w:rsidRDefault="00860069"/>
  </w:footnote>
  <w:footnote w:id="2">
    <w:p w14:paraId="1E207219" w14:textId="3CA03653" w:rsidR="009201BF" w:rsidRPr="0014309E" w:rsidRDefault="009201BF">
      <w:pPr>
        <w:pStyle w:val="FootnoteText"/>
        <w:rPr>
          <w:lang w:val="en-US"/>
        </w:rPr>
      </w:pPr>
      <w:r>
        <w:rPr>
          <w:rStyle w:val="FootnoteReference"/>
        </w:rPr>
        <w:footnoteRef/>
      </w:r>
      <w:r>
        <w:t xml:space="preserve"> </w:t>
      </w:r>
      <w:r>
        <w:rPr>
          <w:lang w:val="en-US"/>
        </w:rPr>
        <w:t>See speech by Andrew Bailey</w:t>
      </w:r>
      <w:r w:rsidR="00B76DC7">
        <w:rPr>
          <w:lang w:val="en-US"/>
        </w:rPr>
        <w:t xml:space="preserve"> (2024)</w:t>
      </w:r>
      <w:r>
        <w:rPr>
          <w:lang w:val="en-US"/>
        </w:rPr>
        <w:t xml:space="preserve">, </w:t>
      </w:r>
      <w:hyperlink r:id="rId1" w:history="1">
        <w:r w:rsidR="00B76DC7" w:rsidRPr="00B76DC7">
          <w:rPr>
            <w:rStyle w:val="Hyperlink"/>
            <w:lang w:val="en-US"/>
          </w:rPr>
          <w:t>Michael D. Gill Memorial Society Lecture</w:t>
        </w:r>
      </w:hyperlink>
      <w:r w:rsidR="00B76DC7">
        <w:rPr>
          <w:lang w:val="en-US"/>
        </w:rPr>
        <w:t>.</w:t>
      </w:r>
    </w:p>
  </w:footnote>
  <w:footnote w:id="3">
    <w:p w14:paraId="60DFFB1E" w14:textId="74E83A33" w:rsidR="00CB3BCD" w:rsidRPr="0014309E" w:rsidRDefault="00CB3BCD">
      <w:pPr>
        <w:pStyle w:val="FootnoteText"/>
        <w:rPr>
          <w:lang w:val="en-US"/>
        </w:rPr>
      </w:pPr>
      <w:r>
        <w:rPr>
          <w:rStyle w:val="FootnoteReference"/>
        </w:rPr>
        <w:footnoteRef/>
      </w:r>
      <w:r>
        <w:t xml:space="preserve"> </w:t>
      </w:r>
      <w:r>
        <w:rPr>
          <w:lang w:val="en-US"/>
        </w:rPr>
        <w:t xml:space="preserve">See ESRB (2017), </w:t>
      </w:r>
      <w:hyperlink r:id="rId2" w:history="1">
        <w:r w:rsidRPr="00CB3BCD">
          <w:rPr>
            <w:rStyle w:val="Hyperlink"/>
            <w:lang w:val="en-US"/>
          </w:rPr>
          <w:t>Opinion on a central counterparty recovery and resolution framework</w:t>
        </w:r>
      </w:hyperlink>
      <w:r>
        <w:rPr>
          <w:lang w:val="en-US"/>
        </w:rPr>
        <w:t xml:space="preserve">, and ESRB (2017), </w:t>
      </w:r>
      <w:hyperlink r:id="rId3" w:history="1">
        <w:r w:rsidRPr="00CB3BCD">
          <w:rPr>
            <w:rStyle w:val="Hyperlink"/>
            <w:lang w:val="en-US"/>
          </w:rPr>
          <w:t>Recovery and resolution for the EU insurance sector</w:t>
        </w:r>
      </w:hyperlink>
      <w:r>
        <w:rPr>
          <w:lang w:val="en-US"/>
        </w:rPr>
        <w:t>.</w:t>
      </w:r>
    </w:p>
  </w:footnote>
  <w:footnote w:id="4">
    <w:p w14:paraId="0BD4DE05" w14:textId="77777777" w:rsidR="00E059FF" w:rsidRPr="00A77A48" w:rsidRDefault="00E059FF" w:rsidP="00E059FF">
      <w:pPr>
        <w:pStyle w:val="FootnoteText"/>
      </w:pPr>
      <w:r>
        <w:rPr>
          <w:rStyle w:val="FootnoteReference"/>
        </w:rPr>
        <w:footnoteRef/>
      </w:r>
      <w:r>
        <w:t xml:space="preserve"> See SEC (2023), </w:t>
      </w:r>
      <w:hyperlink r:id="rId4" w:history="1">
        <w:r w:rsidRPr="00F55A3E">
          <w:rPr>
            <w:rStyle w:val="Hyperlink"/>
          </w:rPr>
          <w:t>SEC Adopts Rules to Improve Risk Management in Clearance and Settlement and Facilitate Additional Central Clearing for the U.S. Treasury Market</w:t>
        </w:r>
      </w:hyperlink>
      <w:r>
        <w:t xml:space="preserve">. </w:t>
      </w:r>
    </w:p>
  </w:footnote>
  <w:footnote w:id="5">
    <w:p w14:paraId="446B67D5" w14:textId="77777777" w:rsidR="009079FC" w:rsidRDefault="009079FC" w:rsidP="009079FC">
      <w:pPr>
        <w:pStyle w:val="FootnoteText"/>
      </w:pPr>
      <w:r>
        <w:rPr>
          <w:rStyle w:val="FootnoteReference"/>
        </w:rPr>
        <w:footnoteRef/>
      </w:r>
      <w:r>
        <w:t xml:space="preserve">  T</w:t>
      </w:r>
      <w:r w:rsidRPr="0010527A">
        <w:rPr>
          <w:rFonts w:asciiTheme="majorHAnsi" w:hAnsiTheme="majorHAnsi" w:cstheme="majorHAnsi"/>
        </w:rPr>
        <w:t>he recovery and resolution of insurance and reinsurance directive (IRRD) will be instrumental in ensuring effective resolution of failing insurers, which could have an impact not only on policyholders but also possibly the real economy and financial stability of the markets on which those insurers operate (recital 3). The IRRD recital 4 notes that “</w:t>
      </w:r>
      <w:r w:rsidRPr="0010527A">
        <w:rPr>
          <w:rFonts w:asciiTheme="majorHAnsi" w:hAnsiTheme="majorHAnsi" w:cstheme="majorHAnsi"/>
          <w:i/>
          <w:iCs/>
        </w:rPr>
        <w:t>It is therefore crucial that adequate tools be available to prevent failures and, where failures occur, to minimise negative repercussions by preserving the continuity of those critical functions</w:t>
      </w:r>
      <w:r w:rsidRPr="0010527A">
        <w:rPr>
          <w:rFonts w:asciiTheme="majorHAnsi" w:hAnsiTheme="majorHAnsi" w:cstheme="majorHAnsi"/>
        </w:rPr>
        <w:t xml:space="preserve"> “.</w:t>
      </w:r>
    </w:p>
  </w:footnote>
  <w:footnote w:id="6">
    <w:p w14:paraId="677B219B" w14:textId="77777777" w:rsidR="009079FC" w:rsidRDefault="009079FC" w:rsidP="009079FC">
      <w:pPr>
        <w:pStyle w:val="FootnoteText"/>
      </w:pPr>
      <w:r>
        <w:rPr>
          <w:rStyle w:val="FootnoteReference"/>
        </w:rPr>
        <w:footnoteRef/>
      </w:r>
      <w:r>
        <w:t xml:space="preserve"> </w:t>
      </w:r>
      <w:r w:rsidRPr="006B6BBF">
        <w:t xml:space="preserve">According to the International Association of Insurance Supervisors (IAIS), these conditions often apply – for example – in the following markets (IAIS, 2019 </w:t>
      </w:r>
      <w:hyperlink r:id="rId5" w:history="1">
        <w:r w:rsidRPr="00FA26B0">
          <w:rPr>
            <w:rStyle w:val="Hyperlink"/>
          </w:rPr>
          <w:t>Holistic Framework for Systemic Risk</w:t>
        </w:r>
      </w:hyperlink>
      <w:r w:rsidRPr="006B6BBF">
        <w:t>): catastrophe coverage, marine insurance;  aviation insurance; export credit respective trade credit insurance.</w:t>
      </w:r>
    </w:p>
  </w:footnote>
  <w:footnote w:id="7">
    <w:p w14:paraId="79C51F3B" w14:textId="77777777" w:rsidR="009079FC" w:rsidRPr="00055F6E" w:rsidRDefault="009079FC" w:rsidP="009079FC">
      <w:pPr>
        <w:pStyle w:val="FootnoteText"/>
      </w:pPr>
      <w:r>
        <w:rPr>
          <w:rStyle w:val="FootnoteReference"/>
        </w:rPr>
        <w:footnoteRef/>
      </w:r>
      <w:r>
        <w:t xml:space="preserve"> See ESRB (2022), </w:t>
      </w:r>
      <w:hyperlink r:id="rId6" w:history="1">
        <w:r w:rsidRPr="00055F6E">
          <w:rPr>
            <w:rStyle w:val="Hyperlink"/>
          </w:rPr>
          <w:t>Issues Note on macroprudential aspects of trade credit insurance</w:t>
        </w:r>
      </w:hyperlink>
      <w:r>
        <w:t>.</w:t>
      </w:r>
    </w:p>
  </w:footnote>
  <w:footnote w:id="8">
    <w:p w14:paraId="1A4C182A" w14:textId="727DEE6D" w:rsidR="009079FC" w:rsidRDefault="009079FC" w:rsidP="009079FC">
      <w:pPr>
        <w:pStyle w:val="FootnoteText"/>
      </w:pPr>
      <w:r>
        <w:rPr>
          <w:rStyle w:val="FootnoteReference"/>
        </w:rPr>
        <w:footnoteRef/>
      </w:r>
      <w:r>
        <w:t xml:space="preserve"> See ESRB (2024), </w:t>
      </w:r>
      <w:hyperlink r:id="rId7" w:history="1">
        <w:r w:rsidRPr="006217D0">
          <w:rPr>
            <w:rStyle w:val="Hyperlink"/>
          </w:rPr>
          <w:t>ESRB advice to EIOPA on the prudential treatment of environmental and social risks</w:t>
        </w:r>
      </w:hyperlink>
      <w:r>
        <w:t>.(page 3)</w:t>
      </w:r>
    </w:p>
  </w:footnote>
  <w:footnote w:id="9">
    <w:p w14:paraId="7EE87A30" w14:textId="704F711E" w:rsidR="0031724D" w:rsidRDefault="0031724D">
      <w:pPr>
        <w:pStyle w:val="FootnoteText"/>
      </w:pPr>
      <w:r>
        <w:rPr>
          <w:rStyle w:val="FootnoteReference"/>
        </w:rPr>
        <w:footnoteRef/>
      </w:r>
      <w:r>
        <w:t xml:space="preserve"> See, ECB and EIOPA (2021) </w:t>
      </w:r>
      <w:hyperlink r:id="rId8" w:history="1">
        <w:r w:rsidRPr="0031724D">
          <w:rPr>
            <w:rStyle w:val="Hyperlink"/>
          </w:rPr>
          <w:t>Climate change, catastrophes and the macroeconomic benefits of insurance</w:t>
        </w:r>
      </w:hyperlink>
    </w:p>
  </w:footnote>
  <w:footnote w:id="10">
    <w:p w14:paraId="6F43C144" w14:textId="0C52C3DF" w:rsidR="005059B5" w:rsidRDefault="00265E79" w:rsidP="005059B5">
      <w:pPr>
        <w:pStyle w:val="FootnoteText"/>
      </w:pPr>
      <w:r>
        <w:rPr>
          <w:rStyle w:val="FootnoteReference"/>
        </w:rPr>
        <w:footnoteRef/>
      </w:r>
      <w:r>
        <w:t xml:space="preserve"> </w:t>
      </w:r>
      <w:r w:rsidR="005059B5">
        <w:t xml:space="preserve">See, </w:t>
      </w:r>
      <w:hyperlink r:id="rId9" w:history="1">
        <w:r w:rsidR="005059B5" w:rsidRPr="005059B5">
          <w:rPr>
            <w:rStyle w:val="Hyperlink"/>
          </w:rPr>
          <w:t>Directive amending Solvency II</w:t>
        </w:r>
      </w:hyperlink>
      <w:r w:rsidR="005059B5">
        <w:t xml:space="preserve">  and  </w:t>
      </w:r>
      <w:hyperlink r:id="rId10" w:history="1">
        <w:r w:rsidR="005059B5" w:rsidRPr="005059B5">
          <w:rPr>
            <w:rStyle w:val="Hyperlink"/>
          </w:rPr>
          <w:t>Directive on the recovery and resolution of insurance and reinsurance undertakings</w:t>
        </w:r>
      </w:hyperlink>
    </w:p>
    <w:p w14:paraId="5F3BDA2B" w14:textId="7F2308C6" w:rsidR="00265E79" w:rsidRDefault="00265E79" w:rsidP="005059B5">
      <w:pPr>
        <w:pStyle w:val="FootnoteText"/>
      </w:pPr>
    </w:p>
  </w:footnote>
  <w:footnote w:id="11">
    <w:p w14:paraId="286D5601" w14:textId="77777777" w:rsidR="007F0C42" w:rsidRDefault="007F0C42" w:rsidP="007F0C42">
      <w:pPr>
        <w:pStyle w:val="FootnoteText"/>
      </w:pPr>
      <w:r>
        <w:rPr>
          <w:rStyle w:val="FootnoteReference"/>
        </w:rPr>
        <w:footnoteRef/>
      </w:r>
      <w:r>
        <w:t xml:space="preserve"> See </w:t>
      </w:r>
      <w:r w:rsidRPr="00F27BDC">
        <w:t>Recommendation of the European Systemic Risk Board of 1 December 2022 on vulnerabilities in the commercial real estate sector in the European Economic Area (ESRB/2022/9)</w:t>
      </w:r>
      <w:r>
        <w:t xml:space="preserve"> and </w:t>
      </w:r>
      <w:r w:rsidRPr="007B6BD8">
        <w:t xml:space="preserve">ESRB (2024) </w:t>
      </w:r>
      <w:hyperlink r:id="rId11" w:history="1">
        <w:r w:rsidRPr="007B6BD8">
          <w:rPr>
            <w:rStyle w:val="Hyperlink"/>
          </w:rPr>
          <w:t>EU Non-bank Financial Intermediation Risk Monitor 2024</w:t>
        </w:r>
      </w:hyperlink>
      <w:r>
        <w:t>.</w:t>
      </w:r>
    </w:p>
  </w:footnote>
  <w:footnote w:id="12">
    <w:p w14:paraId="05891E70" w14:textId="77777777" w:rsidR="007F0C42" w:rsidRDefault="007F0C42" w:rsidP="007F0C42">
      <w:pPr>
        <w:pStyle w:val="FootnoteText"/>
      </w:pPr>
      <w:r>
        <w:rPr>
          <w:rStyle w:val="FootnoteReference"/>
        </w:rPr>
        <w:footnoteRef/>
      </w:r>
      <w:r>
        <w:t xml:space="preserve"> See </w:t>
      </w:r>
      <w:r w:rsidRPr="007B6BD8">
        <w:t xml:space="preserve">ESRB (2024) </w:t>
      </w:r>
      <w:hyperlink r:id="rId12" w:history="1">
        <w:r w:rsidRPr="007B6BD8">
          <w:rPr>
            <w:rStyle w:val="Hyperlink"/>
          </w:rPr>
          <w:t>EU Non-bank Financial Intermediation Risk Monitor 2024</w:t>
        </w:r>
      </w:hyperlink>
    </w:p>
  </w:footnote>
  <w:footnote w:id="13">
    <w:p w14:paraId="404906F3" w14:textId="57D700DD" w:rsidR="00BC60E1" w:rsidRDefault="00BC60E1">
      <w:pPr>
        <w:pStyle w:val="FootnoteText"/>
      </w:pPr>
      <w:r>
        <w:rPr>
          <w:rStyle w:val="FootnoteReference"/>
        </w:rPr>
        <w:footnoteRef/>
      </w:r>
      <w:r>
        <w:t xml:space="preserve"> See </w:t>
      </w:r>
      <w:hyperlink r:id="rId13" w:history="1">
        <w:r w:rsidRPr="00BC60E1">
          <w:rPr>
            <w:rStyle w:val="Hyperlink"/>
          </w:rPr>
          <w:t>Risks from leverage: how did a small corner of the pensions industry threaten financial stability?</w:t>
        </w:r>
      </w:hyperlink>
      <w:r w:rsidRPr="00BC60E1">
        <w:t xml:space="preserve"> − speech by Sarah Breeden, 7 November 2022</w:t>
      </w:r>
      <w:r>
        <w:t xml:space="preserve"> and CBI</w:t>
      </w:r>
      <w:r w:rsidR="00592973">
        <w:t xml:space="preserve"> (2022) </w:t>
      </w:r>
      <w:hyperlink r:id="rId14" w:history="1">
        <w:r w:rsidR="00592973" w:rsidRPr="00592973">
          <w:rPr>
            <w:rStyle w:val="Hyperlink"/>
          </w:rPr>
          <w:t>The Central Bank’s macroprudential policy framework for Irish property funds</w:t>
        </w:r>
      </w:hyperlink>
      <w:r w:rsidR="00592973">
        <w:t>.</w:t>
      </w:r>
    </w:p>
  </w:footnote>
  <w:footnote w:id="14">
    <w:p w14:paraId="54ACD61A" w14:textId="7B5A158B" w:rsidR="003060F2" w:rsidRPr="003060F2" w:rsidRDefault="003060F2">
      <w:pPr>
        <w:pStyle w:val="FootnoteText"/>
      </w:pPr>
      <w:r>
        <w:rPr>
          <w:rStyle w:val="FootnoteReference"/>
        </w:rPr>
        <w:footnoteRef/>
      </w:r>
      <w:r>
        <w:t xml:space="preserve"> </w:t>
      </w:r>
      <w:r w:rsidRPr="003060F2">
        <w:t xml:space="preserve">See ECB (2023), Financial Stability Review, Box: </w:t>
      </w:r>
      <w:hyperlink r:id="rId15" w:history="1">
        <w:r w:rsidRPr="003060F2">
          <w:rPr>
            <w:rStyle w:val="Hyperlink"/>
          </w:rPr>
          <w:t>Non-banks’ liquidity preparedness and leverage: insights and policy implications from recent stress events</w:t>
        </w:r>
      </w:hyperlink>
      <w:r w:rsidRPr="003060F2">
        <w:t>.</w:t>
      </w:r>
    </w:p>
  </w:footnote>
  <w:footnote w:id="15">
    <w:p w14:paraId="681E86FA" w14:textId="3895D9F5" w:rsidR="00E059FF" w:rsidRPr="00AB1104" w:rsidRDefault="00E059FF" w:rsidP="00E059FF">
      <w:pPr>
        <w:pStyle w:val="FootnoteText"/>
        <w:rPr>
          <w:lang w:val="en-US"/>
        </w:rPr>
      </w:pPr>
      <w:r>
        <w:rPr>
          <w:rStyle w:val="FootnoteReference"/>
        </w:rPr>
        <w:footnoteRef/>
      </w:r>
      <w:r>
        <w:t xml:space="preserve"> </w:t>
      </w:r>
      <w:r>
        <w:rPr>
          <w:lang w:val="en-US"/>
        </w:rPr>
        <w:t>See Chapter 7 of ESMA (2024), “</w:t>
      </w:r>
      <w:hyperlink r:id="rId16" w:history="1">
        <w:r w:rsidRPr="00AB1104">
          <w:rPr>
            <w:rStyle w:val="Hyperlink"/>
            <w:lang w:val="en-US"/>
          </w:rPr>
          <w:t>Final Report – Fi</w:t>
        </w:r>
        <w:r w:rsidR="0064129D">
          <w:rPr>
            <w:rStyle w:val="Hyperlink"/>
            <w:lang w:val="en-US"/>
          </w:rPr>
          <w:t>f</w:t>
        </w:r>
        <w:r w:rsidRPr="00AB1104">
          <w:rPr>
            <w:rStyle w:val="Hyperlink"/>
            <w:lang w:val="en-US"/>
          </w:rPr>
          <w:t>th ESMA Stress Test Exercise for Central Counterparties</w:t>
        </w:r>
      </w:hyperlink>
      <w:r>
        <w:rPr>
          <w:lang w:val="en-US"/>
        </w:rPr>
        <w:t>”</w:t>
      </w:r>
    </w:p>
  </w:footnote>
  <w:footnote w:id="16">
    <w:p w14:paraId="762D19B5" w14:textId="77777777" w:rsidR="00E059FF" w:rsidRPr="00925742" w:rsidRDefault="00E059FF" w:rsidP="00E059FF">
      <w:pPr>
        <w:pStyle w:val="FootnoteText"/>
      </w:pPr>
      <w:r>
        <w:rPr>
          <w:rStyle w:val="FootnoteReference"/>
        </w:rPr>
        <w:footnoteRef/>
      </w:r>
      <w:r>
        <w:t xml:space="preserve"> See EIOPA, (2021), ‘</w:t>
      </w:r>
      <w:hyperlink r:id="rId17" w:history="1">
        <w:r w:rsidRPr="00925742">
          <w:rPr>
            <w:rStyle w:val="Hyperlink"/>
          </w:rPr>
          <w:t>Methodological Principles of insurance stress testing – liquidity component</w:t>
        </w:r>
      </w:hyperlink>
      <w:r>
        <w:t xml:space="preserve">’, and </w:t>
      </w:r>
      <w:r w:rsidRPr="00B903C5">
        <w:t>EIOPA (2024),</w:t>
      </w:r>
      <w:r>
        <w:t xml:space="preserve"> “</w:t>
      </w:r>
      <w:hyperlink r:id="rId18" w:history="1">
        <w:r w:rsidRPr="00A011DC">
          <w:rPr>
            <w:rStyle w:val="Hyperlink"/>
            <w:lang w:val="en-US"/>
          </w:rPr>
          <w:t>Insurance stress test 2024 technical specifications</w:t>
        </w:r>
      </w:hyperlink>
      <w:r>
        <w:rPr>
          <w:lang w:val="en-US"/>
        </w:rPr>
        <w:t>”</w:t>
      </w:r>
    </w:p>
  </w:footnote>
  <w:footnote w:id="17">
    <w:p w14:paraId="43DFDEF6" w14:textId="77777777" w:rsidR="008C0D6B" w:rsidRPr="005B0111" w:rsidRDefault="008C0D6B" w:rsidP="008C0D6B">
      <w:pPr>
        <w:pStyle w:val="FootnoteText"/>
        <w:rPr>
          <w:lang w:val="en-US"/>
        </w:rPr>
      </w:pPr>
      <w:r>
        <w:rPr>
          <w:rStyle w:val="FootnoteReference"/>
        </w:rPr>
        <w:footnoteRef/>
      </w:r>
      <w:r>
        <w:t xml:space="preserve"> The ESRB made this proposal in</w:t>
      </w:r>
      <w:r w:rsidRPr="00654271">
        <w:t xml:space="preserve"> the context of </w:t>
      </w:r>
      <w:r>
        <w:t>its response</w:t>
      </w:r>
      <w:r w:rsidRPr="00654271">
        <w:t xml:space="preserve"> to ESMA</w:t>
      </w:r>
      <w:r>
        <w:t>’</w:t>
      </w:r>
      <w:r w:rsidRPr="00654271">
        <w:t>s consultation on liquidity management tools for investment funds</w:t>
      </w:r>
      <w:r>
        <w:t xml:space="preserve">. See </w:t>
      </w:r>
      <w:hyperlink r:id="rId19" w:history="1">
        <w:r w:rsidRPr="00BC04FB">
          <w:rPr>
            <w:rStyle w:val="Hyperlink"/>
          </w:rPr>
          <w:t>ESRB response to the ESMA consultation on draft Regulatory Technical Standards and Guidelines on liquidity management tools</w:t>
        </w:r>
      </w:hyperlink>
      <w:r>
        <w:t>.</w:t>
      </w:r>
    </w:p>
  </w:footnote>
  <w:footnote w:id="18">
    <w:p w14:paraId="0C7D243A" w14:textId="1A369063" w:rsidR="00091B27" w:rsidRPr="00091B27" w:rsidRDefault="00091B27">
      <w:pPr>
        <w:pStyle w:val="FootnoteText"/>
        <w:rPr>
          <w:lang w:val="en-US"/>
        </w:rPr>
      </w:pPr>
      <w:r>
        <w:rPr>
          <w:rStyle w:val="FootnoteReference"/>
        </w:rPr>
        <w:footnoteRef/>
      </w:r>
      <w:r>
        <w:t xml:space="preserve"> See </w:t>
      </w:r>
      <w:r>
        <w:rPr>
          <w:color w:val="000000" w:themeColor="text1"/>
          <w:lang w:eastAsia="en-US"/>
        </w:rPr>
        <w:t xml:space="preserve">CPMI-IOSCO (2024) for </w:t>
      </w:r>
      <w:hyperlink r:id="rId20" w:history="1">
        <w:r w:rsidRPr="00091B27">
          <w:rPr>
            <w:rStyle w:val="Hyperlink"/>
            <w:lang w:eastAsia="en-US"/>
          </w:rPr>
          <w:t>examples of effective practices to streamline variation margin in centrally cleared markets</w:t>
        </w:r>
      </w:hyperlink>
      <w:r>
        <w:rPr>
          <w:color w:val="000000" w:themeColor="text1"/>
          <w:lang w:eastAsia="en-US"/>
        </w:rPr>
        <w:t xml:space="preserve">. </w:t>
      </w:r>
    </w:p>
  </w:footnote>
  <w:footnote w:id="19">
    <w:p w14:paraId="3C65CCDF" w14:textId="1983E1DA" w:rsidR="003B57DE" w:rsidRPr="003B57DE" w:rsidRDefault="003B57DE">
      <w:pPr>
        <w:pStyle w:val="FootnoteText"/>
        <w:rPr>
          <w:lang w:val="en-US"/>
        </w:rPr>
      </w:pPr>
      <w:r>
        <w:rPr>
          <w:rStyle w:val="FootnoteReference"/>
        </w:rPr>
        <w:footnoteRef/>
      </w:r>
      <w:r>
        <w:t xml:space="preserve"> </w:t>
      </w:r>
      <w:bookmarkStart w:id="3" w:name="_Hlk181130235"/>
      <w:r>
        <w:rPr>
          <w:rStyle w:val="IntenseEmphasis"/>
          <w:b w:val="0"/>
          <w:bCs w:val="0"/>
          <w:color w:val="auto"/>
        </w:rPr>
        <w:t>The ESRB responded to the d</w:t>
      </w:r>
      <w:r w:rsidRPr="00043B84">
        <w:rPr>
          <w:rStyle w:val="IntenseEmphasis"/>
          <w:b w:val="0"/>
          <w:bCs w:val="0"/>
          <w:color w:val="auto"/>
        </w:rPr>
        <w:t>raft proposals for consultation by the BCBS-CPMI-IOSCO for centrally cleared markets that aim to help clearing members and their clients to anticipate and prepare for margin calls</w:t>
      </w:r>
      <w:r>
        <w:rPr>
          <w:rStyle w:val="IntenseEmphasis"/>
          <w:b w:val="0"/>
          <w:bCs w:val="0"/>
          <w:color w:val="auto"/>
        </w:rPr>
        <w:t xml:space="preserve"> and expressed its support. See </w:t>
      </w:r>
      <w:r>
        <w:t>ESRB (2024), “</w:t>
      </w:r>
      <w:hyperlink r:id="rId21" w:history="1">
        <w:r w:rsidRPr="00233F84">
          <w:rPr>
            <w:rStyle w:val="Hyperlink"/>
          </w:rPr>
          <w:t>ESRB response to the consultative report by the BCBS, CPMI and IOSCO on transparency and responsiveness of initial margin in centrally cleared markets</w:t>
        </w:r>
      </w:hyperlink>
      <w:r>
        <w:t>”</w:t>
      </w:r>
      <w:bookmarkEnd w:id="3"/>
    </w:p>
  </w:footnote>
  <w:footnote w:id="20">
    <w:p w14:paraId="4E1D05E4" w14:textId="77777777" w:rsidR="006B3CD3" w:rsidRDefault="006B3CD3" w:rsidP="006B3CD3">
      <w:pPr>
        <w:pStyle w:val="FootnoteText"/>
        <w:spacing w:before="0"/>
      </w:pPr>
      <w:r>
        <w:rPr>
          <w:rStyle w:val="FootnoteReference"/>
        </w:rPr>
        <w:footnoteRef/>
      </w:r>
      <w:r>
        <w:t xml:space="preserve"> F</w:t>
      </w:r>
      <w:r w:rsidRPr="00E06794">
        <w:t>or the banking sector</w:t>
      </w:r>
      <w:r>
        <w:t xml:space="preserve"> by EBA</w:t>
      </w:r>
      <w:r w:rsidRPr="00E06794">
        <w:t xml:space="preserve">, </w:t>
      </w:r>
      <w:r>
        <w:t xml:space="preserve">for the </w:t>
      </w:r>
      <w:r w:rsidRPr="00E06794">
        <w:t>insurance sector</w:t>
      </w:r>
      <w:r>
        <w:t xml:space="preserve"> and the IORPs sector by EIOPA</w:t>
      </w:r>
      <w:r w:rsidRPr="00E06794">
        <w:t xml:space="preserve">, </w:t>
      </w:r>
      <w:r>
        <w:t xml:space="preserve">for </w:t>
      </w:r>
      <w:r w:rsidRPr="00E06794">
        <w:t>MMFs and CCPs</w:t>
      </w:r>
      <w:r>
        <w:t xml:space="preserve"> by ESMA.</w:t>
      </w:r>
    </w:p>
  </w:footnote>
  <w:footnote w:id="21">
    <w:p w14:paraId="4A77D07F" w14:textId="77777777" w:rsidR="006B3CD3" w:rsidRDefault="006B3CD3" w:rsidP="006B3CD3">
      <w:pPr>
        <w:pStyle w:val="FootnoteText"/>
        <w:spacing w:before="0"/>
      </w:pPr>
      <w:r>
        <w:rPr>
          <w:rStyle w:val="FootnoteReference"/>
        </w:rPr>
        <w:footnoteRef/>
      </w:r>
      <w:r>
        <w:t xml:space="preserve"> </w:t>
      </w:r>
      <w:hyperlink r:id="rId22" w:history="1">
        <w:r w:rsidRPr="006E0DEF">
          <w:rPr>
            <w:rStyle w:val="Hyperlink"/>
          </w:rPr>
          <w:t>https://www.bankofengland.co.uk/financial-stability/boe-system-wide-exploratory-scenario-exercise</w:t>
        </w:r>
      </w:hyperlink>
      <w:r>
        <w:t xml:space="preserve"> </w:t>
      </w:r>
    </w:p>
  </w:footnote>
  <w:footnote w:id="22">
    <w:p w14:paraId="71867BB7" w14:textId="77777777" w:rsidR="006B3CD3" w:rsidRDefault="006B3CD3" w:rsidP="006B3CD3">
      <w:pPr>
        <w:pStyle w:val="FootnoteText"/>
        <w:spacing w:before="0"/>
      </w:pPr>
      <w:r>
        <w:rPr>
          <w:rStyle w:val="FootnoteReference"/>
        </w:rPr>
        <w:footnoteRef/>
      </w:r>
      <w:r>
        <w:t xml:space="preserve"> For more information on the ISA model</w:t>
      </w:r>
      <w:r w:rsidRPr="0076223D">
        <w:t xml:space="preserve"> </w:t>
      </w:r>
      <w:hyperlink r:id="rId23" w:history="1">
        <w:r w:rsidRPr="0010618D">
          <w:rPr>
            <w:rStyle w:val="Hyperlink"/>
          </w:rPr>
          <w:t>https://www.ecb.europa.eu/pub/pdf/scpops/ecb.op348~6b72fbe3cf.en.pdf</w:t>
        </w:r>
      </w:hyperlink>
      <w:r>
        <w:t xml:space="preserve"> </w:t>
      </w:r>
      <w:r w:rsidRPr="0076223D">
        <w:t xml:space="preserve"> </w:t>
      </w:r>
    </w:p>
  </w:footnote>
  <w:footnote w:id="23">
    <w:p w14:paraId="4F4504AE" w14:textId="1C1669BF" w:rsidR="006B3CD3" w:rsidRPr="009C18E5" w:rsidRDefault="006B3CD3" w:rsidP="006B3CD3">
      <w:pPr>
        <w:pStyle w:val="FootnoteText"/>
        <w:tabs>
          <w:tab w:val="clear" w:pos="284"/>
          <w:tab w:val="left" w:pos="0"/>
        </w:tabs>
        <w:spacing w:before="0"/>
        <w:ind w:left="142" w:hanging="142"/>
        <w:rPr>
          <w:szCs w:val="14"/>
        </w:rPr>
      </w:pPr>
      <w:r w:rsidRPr="009C18E5">
        <w:rPr>
          <w:rStyle w:val="FootnoteReference"/>
          <w:szCs w:val="14"/>
        </w:rPr>
        <w:footnoteRef/>
      </w:r>
      <w:r w:rsidRPr="009C18E5">
        <w:rPr>
          <w:szCs w:val="14"/>
        </w:rPr>
        <w:t xml:space="preserve"> </w:t>
      </w:r>
      <w:r w:rsidRPr="009C18E5">
        <w:rPr>
          <w:rFonts w:asciiTheme="minorHAnsi" w:hAnsiTheme="minorHAnsi" w:cstheme="minorHAnsi"/>
          <w:szCs w:val="14"/>
        </w:rPr>
        <w:t xml:space="preserve">The tool proved to be flexible in handling complex data structures, combining supervisory reporting and commercial sources to reproduce the network of linkages characterising the financial system, and managed to combine first-round assessments from the ESAs to extract meaningful estimates of second-round effects. </w:t>
      </w:r>
    </w:p>
  </w:footnote>
  <w:footnote w:id="24">
    <w:p w14:paraId="25D161F3" w14:textId="77777777" w:rsidR="006B3CD3" w:rsidRPr="009C18E5" w:rsidRDefault="006B3CD3" w:rsidP="006B3CD3">
      <w:pPr>
        <w:pStyle w:val="FootnoteText"/>
        <w:spacing w:before="0"/>
        <w:jc w:val="both"/>
        <w:rPr>
          <w:szCs w:val="14"/>
        </w:rPr>
      </w:pPr>
      <w:r w:rsidRPr="009C18E5">
        <w:rPr>
          <w:rStyle w:val="FootnoteReference"/>
          <w:szCs w:val="14"/>
        </w:rPr>
        <w:footnoteRef/>
      </w:r>
      <w:r w:rsidRPr="009C18E5">
        <w:rPr>
          <w:szCs w:val="14"/>
        </w:rPr>
        <w:t xml:space="preserve"> As a further reference, the ESRB had coordinated a prototype SWST in the context of the climate assessments, via the ISA model (see </w:t>
      </w:r>
      <w:hyperlink r:id="rId24" w:history="1">
        <w:r w:rsidRPr="009C18E5">
          <w:rPr>
            <w:rStyle w:val="Hyperlink"/>
            <w:szCs w:val="14"/>
          </w:rPr>
          <w:t>ESRB (2021)</w:t>
        </w:r>
      </w:hyperlink>
      <w:r w:rsidRPr="009C18E5">
        <w:rPr>
          <w:szCs w:val="14"/>
        </w:rPr>
        <w:t xml:space="preserve"> and </w:t>
      </w:r>
      <w:hyperlink r:id="rId25" w:history="1">
        <w:r w:rsidRPr="009C18E5">
          <w:rPr>
            <w:rStyle w:val="Hyperlink"/>
            <w:szCs w:val="14"/>
          </w:rPr>
          <w:t>ESRB (2022)</w:t>
        </w:r>
      </w:hyperlink>
      <w:r w:rsidRPr="009C18E5">
        <w:rPr>
          <w:szCs w:val="14"/>
        </w:rPr>
        <w:t xml:space="preserve">). </w:t>
      </w:r>
      <w:r w:rsidRPr="009C18E5">
        <w:rPr>
          <w:rFonts w:asciiTheme="minorHAnsi" w:hAnsiTheme="minorHAnsi" w:cstheme="minorHAnsi"/>
          <w:szCs w:val="14"/>
        </w:rPr>
        <w:t xml:space="preserve">This exercise, </w:t>
      </w:r>
      <w:r w:rsidRPr="007B510B">
        <w:rPr>
          <w:rFonts w:asciiTheme="minorHAnsi" w:hAnsiTheme="minorHAnsi" w:cstheme="minorHAnsi"/>
          <w:szCs w:val="14"/>
        </w:rPr>
        <w:t>run by the ESAs and the ECB based on scenarios developed by the ESRB,</w:t>
      </w:r>
      <w:r w:rsidRPr="009C18E5">
        <w:rPr>
          <w:rFonts w:asciiTheme="minorHAnsi" w:hAnsiTheme="minorHAnsi" w:cstheme="minorHAnsi"/>
          <w:szCs w:val="14"/>
        </w:rPr>
        <w:t xml:space="preserve"> has promoted a fruitful collaboration among EU financial authorities and institutions, providing a tangible opportunity to assess climate risk from a joint perspective that aligns methodologies and analytical tools while leveraging on sector-specific expertise. </w:t>
      </w:r>
    </w:p>
  </w:footnote>
  <w:footnote w:id="25">
    <w:p w14:paraId="1B331F6D" w14:textId="77777777" w:rsidR="00C95C2D" w:rsidRPr="009C18E5" w:rsidRDefault="00C95C2D" w:rsidP="00C95C2D">
      <w:pPr>
        <w:pStyle w:val="FootnoteText"/>
        <w:spacing w:before="0"/>
        <w:rPr>
          <w:szCs w:val="14"/>
        </w:rPr>
      </w:pPr>
      <w:r w:rsidRPr="009C18E5">
        <w:rPr>
          <w:rStyle w:val="FootnoteReference"/>
          <w:szCs w:val="14"/>
        </w:rPr>
        <w:footnoteRef/>
      </w:r>
      <w:r w:rsidRPr="009C18E5">
        <w:rPr>
          <w:bCs/>
          <w:color w:val="auto"/>
          <w:szCs w:val="14"/>
        </w:rPr>
        <w:t xml:space="preserve"> </w:t>
      </w:r>
      <w:r w:rsidRPr="009C18E5">
        <w:rPr>
          <w:rStyle w:val="IntenseEmphasis"/>
          <w:b w:val="0"/>
          <w:bCs w:val="0"/>
          <w:color w:val="auto"/>
          <w:szCs w:val="14"/>
        </w:rPr>
        <w:t>The revised AIFMD and UCITS Directive address data deficiencies in the investment fund sector and will allow for more comprehensive risk monitoring and analysis, see answer to question 10.</w:t>
      </w:r>
    </w:p>
  </w:footnote>
  <w:footnote w:id="26">
    <w:p w14:paraId="134969AC" w14:textId="77777777" w:rsidR="00C95C2D" w:rsidRPr="00EB344A" w:rsidRDefault="00C95C2D" w:rsidP="00C95C2D">
      <w:pPr>
        <w:pStyle w:val="FootnoteText"/>
        <w:spacing w:before="0"/>
      </w:pPr>
      <w:r w:rsidRPr="009C18E5">
        <w:rPr>
          <w:rStyle w:val="FootnoteReference"/>
          <w:szCs w:val="14"/>
        </w:rPr>
        <w:footnoteRef/>
      </w:r>
      <w:r w:rsidRPr="009C18E5">
        <w:rPr>
          <w:szCs w:val="14"/>
        </w:rPr>
        <w:t xml:space="preserve"> See ESRB (2024), </w:t>
      </w:r>
      <w:hyperlink r:id="rId26" w:history="1">
        <w:r w:rsidRPr="009C18E5">
          <w:rPr>
            <w:rStyle w:val="Hyperlink"/>
            <w:szCs w:val="14"/>
          </w:rPr>
          <w:t>letter to the European Parliament - Data sharing between the European Supervisory Authorities and the ESRB</w:t>
        </w:r>
      </w:hyperlink>
      <w:r w:rsidRPr="009C18E5">
        <w:rPr>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A9E9" w14:textId="5CB5D5B5" w:rsidR="0002034C" w:rsidRDefault="0002034C">
    <w:pPr>
      <w:pStyle w:val="Header"/>
    </w:pPr>
    <w:r>
      <w:rPr>
        <w:noProof/>
      </w:rPr>
      <mc:AlternateContent>
        <mc:Choice Requires="wps">
          <w:drawing>
            <wp:anchor distT="0" distB="0" distL="0" distR="0" simplePos="0" relativeHeight="251659264" behindDoc="0" locked="0" layoutInCell="1" allowOverlap="1" wp14:anchorId="0861B82A" wp14:editId="7E0D4F7C">
              <wp:simplePos x="635" y="635"/>
              <wp:positionH relativeFrom="page">
                <wp:align>right</wp:align>
              </wp:positionH>
              <wp:positionV relativeFrom="page">
                <wp:align>top</wp:align>
              </wp:positionV>
              <wp:extent cx="443865" cy="443865"/>
              <wp:effectExtent l="0" t="0" r="0" b="12700"/>
              <wp:wrapNone/>
              <wp:docPr id="3" name="Text Box 3" descr="ECB-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2E0773" w14:textId="13E09CA6" w:rsidR="0002034C" w:rsidRPr="0002034C" w:rsidRDefault="0002034C" w:rsidP="0002034C">
                          <w:pPr>
                            <w:spacing w:after="0"/>
                            <w:rPr>
                              <w:rFonts w:eastAsia="Arial" w:cs="Arial"/>
                              <w:noProof/>
                              <w:color w:val="000000"/>
                              <w:sz w:val="20"/>
                              <w:szCs w:val="20"/>
                            </w:rPr>
                          </w:pPr>
                          <w:r w:rsidRPr="0002034C">
                            <w:rPr>
                              <w:rFonts w:eastAsia="Arial" w:cs="Arial"/>
                              <w:noProof/>
                              <w:color w:val="000000"/>
                              <w:sz w:val="20"/>
                              <w:szCs w:val="20"/>
                            </w:rPr>
                            <w:t>ECB-RESTRICTED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61B82A" id="_x0000_t202" coordsize="21600,21600" o:spt="202" path="m,l,21600r21600,l21600,xe">
              <v:stroke joinstyle="miter"/>
              <v:path gradientshapeok="t" o:connecttype="rect"/>
            </v:shapetype>
            <v:shape id="Text Box 3" o:spid="_x0000_s1026" type="#_x0000_t202" alt="ECB-RESTRICTED"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F2E0773" w14:textId="13E09CA6" w:rsidR="0002034C" w:rsidRPr="0002034C" w:rsidRDefault="0002034C" w:rsidP="0002034C">
                    <w:pPr>
                      <w:spacing w:after="0"/>
                      <w:rPr>
                        <w:rFonts w:eastAsia="Arial" w:cs="Arial"/>
                        <w:noProof/>
                        <w:color w:val="000000"/>
                        <w:sz w:val="20"/>
                        <w:szCs w:val="20"/>
                      </w:rPr>
                    </w:pPr>
                    <w:r w:rsidRPr="0002034C">
                      <w:rPr>
                        <w:rFonts w:eastAsia="Arial" w:cs="Arial"/>
                        <w:noProof/>
                        <w:color w:val="000000"/>
                        <w:sz w:val="20"/>
                        <w:szCs w:val="20"/>
                      </w:rPr>
                      <w:t>ECB-RESTRICTED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63CF" w14:textId="786A2946" w:rsidR="002B69B4" w:rsidRDefault="00000000" w:rsidP="006B61E3">
    <w:pPr>
      <w:pStyle w:val="Header"/>
    </w:pPr>
    <w:sdt>
      <w:sdtPr>
        <w:id w:val="1863786252"/>
        <w:lock w:val="sdtLocked"/>
        <w:date w:fullDate="2024-11-21T00:00:00Z">
          <w:dateFormat w:val="dd MMMM yyyy"/>
          <w:lid w:val="en-GB"/>
          <w:storeMappedDataAs w:val="dateTime"/>
          <w:calendar w:val="gregorian"/>
        </w:date>
      </w:sdtPr>
      <w:sdtContent>
        <w:r w:rsidR="007615A1">
          <w:rPr>
            <w:lang w:val="en-GB"/>
          </w:rPr>
          <w:t>21 November 2024</w:t>
        </w:r>
      </w:sdtContent>
    </w:sdt>
  </w:p>
  <w:p w14:paraId="0EDEA35E" w14:textId="339AC492" w:rsidR="00897E33" w:rsidRPr="00897E33" w:rsidRDefault="00000000">
    <w:pPr>
      <w:pStyle w:val="Header"/>
    </w:pPr>
    <w:sdt>
      <w:sdtPr>
        <w:alias w:val="confidentiality"/>
        <w:tag w:val="confidentiality"/>
        <w:id w:val="-2044124321"/>
        <w:lock w:val="sdtLocked"/>
        <w:dropDownList>
          <w:listItem w:displayText="Choose a confidentiality classification." w:value="Choose a confidentiality classification."/>
          <w:listItem w:displayText="ECB-PUBLIC" w:value="ECB-PUBLIC"/>
          <w:listItem w:displayText="ECB-UNRESTRICTED" w:value="ECB-UNRESTRICTED"/>
          <w:listItem w:displayText="ECB-RESTRICTED" w:value="ECB-RESTRICTED"/>
          <w:listItem w:displayText="ECB-CONFIDENTIAL" w:value="ECB-CONFIDENTIAL"/>
          <w:listItem w:displayText="ECB-SECRET" w:value="ECB-SECRET"/>
        </w:dropDownList>
      </w:sdtPr>
      <w:sdtContent>
        <w:r w:rsidR="006B4CDF">
          <w:t>ECB-RESTRICTED</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48F1" w14:textId="31FD47BC" w:rsidR="002B69B4" w:rsidRDefault="0002034C" w:rsidP="00B02306">
    <w:pPr>
      <w:pStyle w:val="Header"/>
    </w:pPr>
    <w:r>
      <w:rPr>
        <w:noProof/>
      </w:rPr>
      <mc:AlternateContent>
        <mc:Choice Requires="wps">
          <w:drawing>
            <wp:anchor distT="0" distB="0" distL="0" distR="0" simplePos="0" relativeHeight="251658240" behindDoc="0" locked="0" layoutInCell="1" allowOverlap="1" wp14:anchorId="3FC07CF1" wp14:editId="0E5FB760">
              <wp:simplePos x="635" y="635"/>
              <wp:positionH relativeFrom="page">
                <wp:align>right</wp:align>
              </wp:positionH>
              <wp:positionV relativeFrom="page">
                <wp:align>top</wp:align>
              </wp:positionV>
              <wp:extent cx="443865" cy="443865"/>
              <wp:effectExtent l="0" t="0" r="0" b="12700"/>
              <wp:wrapNone/>
              <wp:docPr id="2" name="Text Box 2" descr="ECB-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083327" w14:textId="779F2154" w:rsidR="0002034C" w:rsidRPr="0002034C" w:rsidRDefault="0002034C" w:rsidP="0002034C">
                          <w:pPr>
                            <w:spacing w:after="0"/>
                            <w:rPr>
                              <w:rFonts w:eastAsia="Arial" w:cs="Arial"/>
                              <w:noProof/>
                              <w:color w:val="000000"/>
                              <w:sz w:val="20"/>
                              <w:szCs w:val="20"/>
                            </w:rPr>
                          </w:pPr>
                          <w:r w:rsidRPr="0002034C">
                            <w:rPr>
                              <w:rFonts w:eastAsia="Arial" w:cs="Arial"/>
                              <w:noProof/>
                              <w:color w:val="000000"/>
                              <w:sz w:val="20"/>
                              <w:szCs w:val="20"/>
                            </w:rPr>
                            <w:t>ECB-RESTRICTED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C07CF1" id="_x0000_t202" coordsize="21600,21600" o:spt="202" path="m,l,21600r21600,l21600,xe">
              <v:stroke joinstyle="miter"/>
              <v:path gradientshapeok="t" o:connecttype="rect"/>
            </v:shapetype>
            <v:shape id="Text Box 2" o:spid="_x0000_s1027" type="#_x0000_t202" alt="ECB-RESTRICTED"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A083327" w14:textId="779F2154" w:rsidR="0002034C" w:rsidRPr="0002034C" w:rsidRDefault="0002034C" w:rsidP="0002034C">
                    <w:pPr>
                      <w:spacing w:after="0"/>
                      <w:rPr>
                        <w:rFonts w:eastAsia="Arial" w:cs="Arial"/>
                        <w:noProof/>
                        <w:color w:val="000000"/>
                        <w:sz w:val="20"/>
                        <w:szCs w:val="20"/>
                      </w:rPr>
                    </w:pPr>
                    <w:r w:rsidRPr="0002034C">
                      <w:rPr>
                        <w:rFonts w:eastAsia="Arial" w:cs="Arial"/>
                        <w:noProof/>
                        <w:color w:val="000000"/>
                        <w:sz w:val="20"/>
                        <w:szCs w:val="20"/>
                      </w:rPr>
                      <w:t>ECB-RESTRICTED</w:t>
                    </w:r>
                  </w:p>
                </w:txbxContent>
              </v:textbox>
              <w10:wrap anchorx="page" anchory="page"/>
            </v:shape>
          </w:pict>
        </mc:Fallback>
      </mc:AlternateContent>
    </w:r>
    <w:r w:rsidR="002B69B4" w:rsidRPr="00B02306">
      <w:t>Date</w:t>
    </w:r>
  </w:p>
  <w:p w14:paraId="71221652" w14:textId="77E89284" w:rsidR="002B69B4" w:rsidRDefault="00000000" w:rsidP="00B02306">
    <w:pPr>
      <w:pStyle w:val="Header"/>
    </w:pPr>
    <w:fldSimple w:instr=" FILENAME   \* MERGEFORMAT ">
      <w:r w:rsidR="002241EC">
        <w:rPr>
          <w:noProof/>
        </w:rPr>
        <w:t>FINAL - ESRB answers to specific questions of the Commission consultation on NBFI.docx</w:t>
      </w:r>
    </w:fldSimple>
  </w:p>
  <w:p w14:paraId="43BF40A6" w14:textId="77777777" w:rsidR="002B69B4" w:rsidRPr="00B02306" w:rsidRDefault="00000000" w:rsidP="00B02306">
    <w:pPr>
      <w:pStyle w:val="Header"/>
    </w:pPr>
    <w:sdt>
      <w:sdtPr>
        <w:alias w:val="confidentiality"/>
        <w:tag w:val="confidentiality"/>
        <w:id w:val="-1853554327"/>
        <w:dropDownList>
          <w:listItem w:displayText="Choose a confidentiality classification." w:value="Choose a confidentiality classification."/>
          <w:listItem w:displayText="ECB-PUBLIC" w:value="ECB-PUBLIC"/>
          <w:listItem w:displayText="ECB-UNRESTRICTED" w:value="ECB-UNRESTRICTED"/>
          <w:listItem w:displayText="ECB-RESTRICTED" w:value="ECB-RESTRICTED"/>
          <w:listItem w:displayText="ECB-CONFIDENTIAL" w:value="ECB-CONFIDENTIAL"/>
          <w:listItem w:displayText="ECB-SECRET" w:value="ECB-SECRET"/>
        </w:dropDownList>
      </w:sdtPr>
      <w:sdtContent>
        <w:r w:rsidR="002B69B4">
          <w:t>Choose a confidentiality classification.</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C032E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D486DE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85160188"/>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520622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58C0DED"/>
    <w:multiLevelType w:val="hybridMultilevel"/>
    <w:tmpl w:val="C4C69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37833"/>
    <w:multiLevelType w:val="multilevel"/>
    <w:tmpl w:val="6B645EC2"/>
    <w:styleLink w:val="ESRBpublicationsheadings"/>
    <w:lvl w:ilvl="0">
      <w:start w:val="1"/>
      <w:numFmt w:val="none"/>
      <w:pStyle w:val="Heading1"/>
      <w:suff w:val="nothing"/>
      <w:lvlText w:val=""/>
      <w:lvlJc w:val="left"/>
      <w:pPr>
        <w:ind w:left="0" w:firstLine="0"/>
      </w:pPr>
      <w:rPr>
        <w:rFonts w:hint="default"/>
      </w:rPr>
    </w:lvl>
    <w:lvl w:ilvl="1">
      <w:start w:val="1"/>
      <w:numFmt w:val="decimal"/>
      <w:pStyle w:val="Heading2"/>
      <w:suff w:val="nothing"/>
      <w:lvlText w:val="%1"/>
      <w:lvlJc w:val="left"/>
      <w:pPr>
        <w:ind w:left="0" w:firstLine="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none"/>
      <w:pStyle w:val="Heading6"/>
      <w:suff w:val="nothing"/>
      <w:lvlText w:val=""/>
      <w:lvlJc w:val="left"/>
      <w:pPr>
        <w:ind w:left="0" w:firstLine="0"/>
      </w:pPr>
      <w:rPr>
        <w:rFonts w:hint="default"/>
      </w:rPr>
    </w:lvl>
    <w:lvl w:ilvl="6">
      <w:start w:val="1"/>
      <w:numFmt w:val="decimal"/>
      <w:lvlText w:val="%1.%2.%3.%4.%5.%6.%7"/>
      <w:lvlJc w:val="left"/>
      <w:pPr>
        <w:tabs>
          <w:tab w:val="num" w:pos="2608"/>
        </w:tabs>
        <w:ind w:left="851" w:hanging="851"/>
      </w:pPr>
      <w:rPr>
        <w:rFonts w:hint="default"/>
      </w:rPr>
    </w:lvl>
    <w:lvl w:ilvl="7">
      <w:start w:val="1"/>
      <w:numFmt w:val="decimal"/>
      <w:lvlText w:val="%1.%2.%3.%4.%5.%6.%7.%8"/>
      <w:lvlJc w:val="left"/>
      <w:pPr>
        <w:tabs>
          <w:tab w:val="num" w:pos="2608"/>
        </w:tabs>
        <w:ind w:left="851" w:hanging="851"/>
      </w:pPr>
      <w:rPr>
        <w:rFonts w:hint="default"/>
      </w:rPr>
    </w:lvl>
    <w:lvl w:ilvl="8">
      <w:start w:val="1"/>
      <w:numFmt w:val="decimal"/>
      <w:lvlText w:val="%1.%2.%3.%4.%5.%6.%7.%8.%9"/>
      <w:lvlJc w:val="left"/>
      <w:pPr>
        <w:tabs>
          <w:tab w:val="num" w:pos="2608"/>
        </w:tabs>
        <w:ind w:left="851" w:hanging="851"/>
      </w:pPr>
      <w:rPr>
        <w:rFonts w:hint="default"/>
      </w:rPr>
    </w:lvl>
  </w:abstractNum>
  <w:abstractNum w:abstractNumId="6" w15:restartNumberingAfterBreak="0">
    <w:nsid w:val="16447665"/>
    <w:multiLevelType w:val="hybridMultilevel"/>
    <w:tmpl w:val="8AD6A83C"/>
    <w:lvl w:ilvl="0" w:tplc="8408920E">
      <w:start w:val="1"/>
      <w:numFmt w:val="bullet"/>
      <w:lvlText w:val=""/>
      <w:lvlJc w:val="left"/>
      <w:pPr>
        <w:ind w:left="720" w:hanging="360"/>
      </w:pPr>
      <w:rPr>
        <w:rFonts w:ascii="Symbol" w:hAnsi="Symbol"/>
      </w:rPr>
    </w:lvl>
    <w:lvl w:ilvl="1" w:tplc="C6DEACD2">
      <w:start w:val="1"/>
      <w:numFmt w:val="bullet"/>
      <w:lvlText w:val=""/>
      <w:lvlJc w:val="left"/>
      <w:pPr>
        <w:ind w:left="720" w:hanging="360"/>
      </w:pPr>
      <w:rPr>
        <w:rFonts w:ascii="Symbol" w:hAnsi="Symbol"/>
      </w:rPr>
    </w:lvl>
    <w:lvl w:ilvl="2" w:tplc="60BA3288">
      <w:start w:val="1"/>
      <w:numFmt w:val="bullet"/>
      <w:lvlText w:val=""/>
      <w:lvlJc w:val="left"/>
      <w:pPr>
        <w:ind w:left="720" w:hanging="360"/>
      </w:pPr>
      <w:rPr>
        <w:rFonts w:ascii="Symbol" w:hAnsi="Symbol"/>
      </w:rPr>
    </w:lvl>
    <w:lvl w:ilvl="3" w:tplc="ED547558">
      <w:start w:val="1"/>
      <w:numFmt w:val="bullet"/>
      <w:lvlText w:val=""/>
      <w:lvlJc w:val="left"/>
      <w:pPr>
        <w:ind w:left="720" w:hanging="360"/>
      </w:pPr>
      <w:rPr>
        <w:rFonts w:ascii="Symbol" w:hAnsi="Symbol"/>
      </w:rPr>
    </w:lvl>
    <w:lvl w:ilvl="4" w:tplc="18B2DCCE">
      <w:start w:val="1"/>
      <w:numFmt w:val="bullet"/>
      <w:lvlText w:val=""/>
      <w:lvlJc w:val="left"/>
      <w:pPr>
        <w:ind w:left="720" w:hanging="360"/>
      </w:pPr>
      <w:rPr>
        <w:rFonts w:ascii="Symbol" w:hAnsi="Symbol"/>
      </w:rPr>
    </w:lvl>
    <w:lvl w:ilvl="5" w:tplc="7C10D836">
      <w:start w:val="1"/>
      <w:numFmt w:val="bullet"/>
      <w:lvlText w:val=""/>
      <w:lvlJc w:val="left"/>
      <w:pPr>
        <w:ind w:left="720" w:hanging="360"/>
      </w:pPr>
      <w:rPr>
        <w:rFonts w:ascii="Symbol" w:hAnsi="Symbol"/>
      </w:rPr>
    </w:lvl>
    <w:lvl w:ilvl="6" w:tplc="3FBA468C">
      <w:start w:val="1"/>
      <w:numFmt w:val="bullet"/>
      <w:lvlText w:val=""/>
      <w:lvlJc w:val="left"/>
      <w:pPr>
        <w:ind w:left="720" w:hanging="360"/>
      </w:pPr>
      <w:rPr>
        <w:rFonts w:ascii="Symbol" w:hAnsi="Symbol"/>
      </w:rPr>
    </w:lvl>
    <w:lvl w:ilvl="7" w:tplc="E17AA674">
      <w:start w:val="1"/>
      <w:numFmt w:val="bullet"/>
      <w:lvlText w:val=""/>
      <w:lvlJc w:val="left"/>
      <w:pPr>
        <w:ind w:left="720" w:hanging="360"/>
      </w:pPr>
      <w:rPr>
        <w:rFonts w:ascii="Symbol" w:hAnsi="Symbol"/>
      </w:rPr>
    </w:lvl>
    <w:lvl w:ilvl="8" w:tplc="1C66F88E">
      <w:start w:val="1"/>
      <w:numFmt w:val="bullet"/>
      <w:lvlText w:val=""/>
      <w:lvlJc w:val="left"/>
      <w:pPr>
        <w:ind w:left="720" w:hanging="360"/>
      </w:pPr>
      <w:rPr>
        <w:rFonts w:ascii="Symbol" w:hAnsi="Symbol"/>
      </w:rPr>
    </w:lvl>
  </w:abstractNum>
  <w:abstractNum w:abstractNumId="7" w15:restartNumberingAfterBreak="0">
    <w:nsid w:val="1B623A8E"/>
    <w:multiLevelType w:val="hybridMultilevel"/>
    <w:tmpl w:val="4B9609E2"/>
    <w:lvl w:ilvl="0" w:tplc="908A8BFA">
      <w:start w:val="1"/>
      <w:numFmt w:val="bullet"/>
      <w:lvlText w:val=""/>
      <w:lvlJc w:val="left"/>
      <w:pPr>
        <w:ind w:left="720" w:hanging="360"/>
      </w:pPr>
      <w:rPr>
        <w:rFonts w:ascii="Symbol" w:hAnsi="Symbol"/>
      </w:rPr>
    </w:lvl>
    <w:lvl w:ilvl="1" w:tplc="6876012C">
      <w:start w:val="1"/>
      <w:numFmt w:val="bullet"/>
      <w:lvlText w:val=""/>
      <w:lvlJc w:val="left"/>
      <w:pPr>
        <w:ind w:left="720" w:hanging="360"/>
      </w:pPr>
      <w:rPr>
        <w:rFonts w:ascii="Symbol" w:hAnsi="Symbol"/>
      </w:rPr>
    </w:lvl>
    <w:lvl w:ilvl="2" w:tplc="333619F4">
      <w:start w:val="1"/>
      <w:numFmt w:val="bullet"/>
      <w:lvlText w:val=""/>
      <w:lvlJc w:val="left"/>
      <w:pPr>
        <w:ind w:left="720" w:hanging="360"/>
      </w:pPr>
      <w:rPr>
        <w:rFonts w:ascii="Symbol" w:hAnsi="Symbol"/>
      </w:rPr>
    </w:lvl>
    <w:lvl w:ilvl="3" w:tplc="206C1F98">
      <w:start w:val="1"/>
      <w:numFmt w:val="bullet"/>
      <w:lvlText w:val=""/>
      <w:lvlJc w:val="left"/>
      <w:pPr>
        <w:ind w:left="720" w:hanging="360"/>
      </w:pPr>
      <w:rPr>
        <w:rFonts w:ascii="Symbol" w:hAnsi="Symbol"/>
      </w:rPr>
    </w:lvl>
    <w:lvl w:ilvl="4" w:tplc="78B0816E">
      <w:start w:val="1"/>
      <w:numFmt w:val="bullet"/>
      <w:lvlText w:val=""/>
      <w:lvlJc w:val="left"/>
      <w:pPr>
        <w:ind w:left="720" w:hanging="360"/>
      </w:pPr>
      <w:rPr>
        <w:rFonts w:ascii="Symbol" w:hAnsi="Symbol"/>
      </w:rPr>
    </w:lvl>
    <w:lvl w:ilvl="5" w:tplc="D1AAE224">
      <w:start w:val="1"/>
      <w:numFmt w:val="bullet"/>
      <w:lvlText w:val=""/>
      <w:lvlJc w:val="left"/>
      <w:pPr>
        <w:ind w:left="720" w:hanging="360"/>
      </w:pPr>
      <w:rPr>
        <w:rFonts w:ascii="Symbol" w:hAnsi="Symbol"/>
      </w:rPr>
    </w:lvl>
    <w:lvl w:ilvl="6" w:tplc="40BE09BC">
      <w:start w:val="1"/>
      <w:numFmt w:val="bullet"/>
      <w:lvlText w:val=""/>
      <w:lvlJc w:val="left"/>
      <w:pPr>
        <w:ind w:left="720" w:hanging="360"/>
      </w:pPr>
      <w:rPr>
        <w:rFonts w:ascii="Symbol" w:hAnsi="Symbol"/>
      </w:rPr>
    </w:lvl>
    <w:lvl w:ilvl="7" w:tplc="CAA4A4E2">
      <w:start w:val="1"/>
      <w:numFmt w:val="bullet"/>
      <w:lvlText w:val=""/>
      <w:lvlJc w:val="left"/>
      <w:pPr>
        <w:ind w:left="720" w:hanging="360"/>
      </w:pPr>
      <w:rPr>
        <w:rFonts w:ascii="Symbol" w:hAnsi="Symbol"/>
      </w:rPr>
    </w:lvl>
    <w:lvl w:ilvl="8" w:tplc="F878E080">
      <w:start w:val="1"/>
      <w:numFmt w:val="bullet"/>
      <w:lvlText w:val=""/>
      <w:lvlJc w:val="left"/>
      <w:pPr>
        <w:ind w:left="720" w:hanging="360"/>
      </w:pPr>
      <w:rPr>
        <w:rFonts w:ascii="Symbol" w:hAnsi="Symbol"/>
      </w:rPr>
    </w:lvl>
  </w:abstractNum>
  <w:abstractNum w:abstractNumId="8" w15:restartNumberingAfterBreak="0">
    <w:nsid w:val="1FC62CB1"/>
    <w:multiLevelType w:val="multilevel"/>
    <w:tmpl w:val="CD3CF7A8"/>
    <w:lvl w:ilvl="0">
      <w:start w:val="1"/>
      <w:numFmt w:val="bullet"/>
      <w:lvlText w:val=""/>
      <w:lvlJc w:val="left"/>
      <w:pPr>
        <w:tabs>
          <w:tab w:val="num" w:pos="568"/>
        </w:tabs>
        <w:ind w:left="568" w:hanging="284"/>
      </w:pPr>
      <w:rPr>
        <w:rFonts w:ascii="Symbol" w:hAnsi="Symbol" w:hint="default"/>
        <w:color w:val="003399"/>
        <w:sz w:val="18"/>
      </w:rPr>
    </w:lvl>
    <w:lvl w:ilvl="1">
      <w:start w:val="1"/>
      <w:numFmt w:val="bullet"/>
      <w:lvlText w:val="-"/>
      <w:lvlJc w:val="left"/>
      <w:pPr>
        <w:tabs>
          <w:tab w:val="num" w:pos="851"/>
        </w:tabs>
        <w:ind w:left="851" w:hanging="283"/>
      </w:pPr>
      <w:rPr>
        <w:rFonts w:ascii="Arial" w:hAnsi="Arial" w:cs="Times New Roman" w:hint="default"/>
        <w:color w:val="003399"/>
        <w:sz w:val="22"/>
      </w:rPr>
    </w:lvl>
    <w:lvl w:ilvl="2">
      <w:start w:val="1"/>
      <w:numFmt w:val="bullet"/>
      <w:lvlText w:val="-"/>
      <w:lvlJc w:val="left"/>
      <w:pPr>
        <w:tabs>
          <w:tab w:val="num" w:pos="1135"/>
        </w:tabs>
        <w:ind w:left="1135" w:hanging="284"/>
      </w:pPr>
      <w:rPr>
        <w:rFonts w:ascii="Arial" w:hAnsi="Arial" w:cs="Times New Roman" w:hint="default"/>
        <w:color w:val="auto"/>
        <w:sz w:val="18"/>
      </w:rPr>
    </w:lvl>
    <w:lvl w:ilvl="3">
      <w:start w:val="1"/>
      <w:numFmt w:val="bullet"/>
      <w:lvlText w:val=""/>
      <w:lvlJc w:val="left"/>
      <w:pPr>
        <w:tabs>
          <w:tab w:val="num" w:pos="2084"/>
        </w:tabs>
        <w:ind w:left="2084" w:hanging="360"/>
      </w:pPr>
      <w:rPr>
        <w:rFonts w:ascii="Wingdings" w:hAnsi="Wingdings" w:cs="StarSymbol" w:hint="default"/>
        <w:sz w:val="18"/>
        <w:szCs w:val="18"/>
      </w:rPr>
    </w:lvl>
    <w:lvl w:ilvl="4">
      <w:start w:val="1"/>
      <w:numFmt w:val="bullet"/>
      <w:lvlText w:val=""/>
      <w:lvlJc w:val="left"/>
      <w:pPr>
        <w:tabs>
          <w:tab w:val="num" w:pos="2444"/>
        </w:tabs>
        <w:ind w:left="2444" w:hanging="360"/>
      </w:pPr>
      <w:rPr>
        <w:rFonts w:ascii="Wingdings 2" w:hAnsi="Wingdings 2" w:cs="StarSymbol" w:hint="default"/>
        <w:sz w:val="18"/>
        <w:szCs w:val="18"/>
      </w:rPr>
    </w:lvl>
    <w:lvl w:ilvl="5">
      <w:start w:val="1"/>
      <w:numFmt w:val="bullet"/>
      <w:lvlText w:val="■"/>
      <w:lvlJc w:val="left"/>
      <w:pPr>
        <w:tabs>
          <w:tab w:val="num" w:pos="2804"/>
        </w:tabs>
        <w:ind w:left="2804" w:hanging="360"/>
      </w:pPr>
      <w:rPr>
        <w:rFonts w:ascii="StarSymbol" w:hAnsi="StarSymbol" w:cs="StarSymbol" w:hint="default"/>
        <w:sz w:val="18"/>
        <w:szCs w:val="18"/>
      </w:rPr>
    </w:lvl>
    <w:lvl w:ilvl="6">
      <w:start w:val="1"/>
      <w:numFmt w:val="bullet"/>
      <w:lvlText w:val=""/>
      <w:lvlJc w:val="left"/>
      <w:pPr>
        <w:tabs>
          <w:tab w:val="num" w:pos="3164"/>
        </w:tabs>
        <w:ind w:left="3164" w:hanging="360"/>
      </w:pPr>
      <w:rPr>
        <w:rFonts w:ascii="Wingdings" w:hAnsi="Wingdings" w:cs="StarSymbol" w:hint="default"/>
        <w:sz w:val="18"/>
        <w:szCs w:val="18"/>
      </w:rPr>
    </w:lvl>
    <w:lvl w:ilvl="7">
      <w:start w:val="1"/>
      <w:numFmt w:val="bullet"/>
      <w:lvlText w:val=""/>
      <w:lvlJc w:val="left"/>
      <w:pPr>
        <w:tabs>
          <w:tab w:val="num" w:pos="3524"/>
        </w:tabs>
        <w:ind w:left="3524" w:hanging="360"/>
      </w:pPr>
      <w:rPr>
        <w:rFonts w:ascii="Wingdings 2" w:hAnsi="Wingdings 2" w:cs="StarSymbol" w:hint="default"/>
        <w:sz w:val="18"/>
        <w:szCs w:val="18"/>
      </w:rPr>
    </w:lvl>
    <w:lvl w:ilvl="8">
      <w:start w:val="1"/>
      <w:numFmt w:val="bullet"/>
      <w:lvlText w:val="■"/>
      <w:lvlJc w:val="left"/>
      <w:pPr>
        <w:tabs>
          <w:tab w:val="num" w:pos="3884"/>
        </w:tabs>
        <w:ind w:left="3884" w:hanging="360"/>
      </w:pPr>
      <w:rPr>
        <w:rFonts w:ascii="StarSymbol" w:hAnsi="StarSymbol" w:cs="StarSymbol" w:hint="default"/>
        <w:sz w:val="18"/>
        <w:szCs w:val="18"/>
      </w:rPr>
    </w:lvl>
  </w:abstractNum>
  <w:abstractNum w:abstractNumId="9" w15:restartNumberingAfterBreak="0">
    <w:nsid w:val="27731714"/>
    <w:multiLevelType w:val="hybridMultilevel"/>
    <w:tmpl w:val="5ACE12BA"/>
    <w:lvl w:ilvl="0" w:tplc="08090001">
      <w:start w:val="1"/>
      <w:numFmt w:val="bullet"/>
      <w:lvlText w:val=""/>
      <w:lvlJc w:val="left"/>
      <w:pPr>
        <w:ind w:left="360" w:hanging="360"/>
      </w:pPr>
      <w:rPr>
        <w:rFonts w:ascii="Symbol" w:hAnsi="Symbol"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1025ACF"/>
    <w:multiLevelType w:val="multilevel"/>
    <w:tmpl w:val="D79648E8"/>
    <w:styleLink w:val="ESRBBulletlist"/>
    <w:lvl w:ilvl="0">
      <w:start w:val="1"/>
      <w:numFmt w:val="bullet"/>
      <w:pStyle w:val="ListBullet"/>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1"/>
        </w:tabs>
        <w:ind w:left="851" w:hanging="426"/>
      </w:pPr>
      <w:rPr>
        <w:rFonts w:ascii="Symbol" w:hAnsi="Symbol" w:hint="default"/>
        <w:color w:val="auto"/>
      </w:rPr>
    </w:lvl>
    <w:lvl w:ilvl="2">
      <w:start w:val="1"/>
      <w:numFmt w:val="bullet"/>
      <w:pStyle w:val="ListBullet3"/>
      <w:lvlText w:val=""/>
      <w:lvlJc w:val="left"/>
      <w:pPr>
        <w:tabs>
          <w:tab w:val="num" w:pos="1276"/>
        </w:tabs>
        <w:ind w:left="1276" w:hanging="425"/>
      </w:pPr>
      <w:rPr>
        <w:rFonts w:ascii="Symbol" w:hAnsi="Symbol" w:hint="default"/>
        <w:color w:val="auto"/>
      </w:rPr>
    </w:lvl>
    <w:lvl w:ilvl="3">
      <w:start w:val="1"/>
      <w:numFmt w:val="bullet"/>
      <w:pStyle w:val="Box-ListBullet1"/>
      <w:lvlText w:val=""/>
      <w:lvlJc w:val="left"/>
      <w:pPr>
        <w:tabs>
          <w:tab w:val="num" w:pos="425"/>
        </w:tabs>
        <w:ind w:left="425" w:hanging="425"/>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2977B3D"/>
    <w:multiLevelType w:val="hybridMultilevel"/>
    <w:tmpl w:val="43185720"/>
    <w:lvl w:ilvl="0" w:tplc="C1C05C26">
      <w:start w:val="1"/>
      <w:numFmt w:val="lowerRoman"/>
      <w:lvlText w:val="(%1)"/>
      <w:lvlJc w:val="left"/>
      <w:pPr>
        <w:ind w:left="2188"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E358CB"/>
    <w:multiLevelType w:val="hybridMultilevel"/>
    <w:tmpl w:val="3536A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8AE265B"/>
    <w:multiLevelType w:val="hybridMultilevel"/>
    <w:tmpl w:val="00F64C4A"/>
    <w:lvl w:ilvl="0" w:tplc="FFFFFFFF">
      <w:start w:val="1"/>
      <w:numFmt w:val="decimal"/>
      <w:lvlText w:val="%1."/>
      <w:lvlJc w:val="left"/>
      <w:pPr>
        <w:ind w:left="720" w:hanging="360"/>
      </w:pPr>
      <w:rPr>
        <w:rFonts w:ascii="Open Sans" w:eastAsia="Times New Roman" w:hAnsi="Open Sans" w:cs="Open San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C427FCC"/>
    <w:multiLevelType w:val="hybridMultilevel"/>
    <w:tmpl w:val="260AA132"/>
    <w:lvl w:ilvl="0" w:tplc="6624DE7E">
      <w:start w:val="1"/>
      <w:numFmt w:val="bullet"/>
      <w:lvlText w:val=""/>
      <w:lvlJc w:val="left"/>
      <w:pPr>
        <w:ind w:left="720" w:hanging="360"/>
      </w:pPr>
      <w:rPr>
        <w:rFonts w:ascii="Symbol" w:hAnsi="Symbol"/>
      </w:rPr>
    </w:lvl>
    <w:lvl w:ilvl="1" w:tplc="311EAE5E">
      <w:start w:val="1"/>
      <w:numFmt w:val="bullet"/>
      <w:lvlText w:val=""/>
      <w:lvlJc w:val="left"/>
      <w:pPr>
        <w:ind w:left="720" w:hanging="360"/>
      </w:pPr>
      <w:rPr>
        <w:rFonts w:ascii="Symbol" w:hAnsi="Symbol"/>
      </w:rPr>
    </w:lvl>
    <w:lvl w:ilvl="2" w:tplc="C2224E92">
      <w:start w:val="1"/>
      <w:numFmt w:val="bullet"/>
      <w:lvlText w:val=""/>
      <w:lvlJc w:val="left"/>
      <w:pPr>
        <w:ind w:left="720" w:hanging="360"/>
      </w:pPr>
      <w:rPr>
        <w:rFonts w:ascii="Symbol" w:hAnsi="Symbol"/>
      </w:rPr>
    </w:lvl>
    <w:lvl w:ilvl="3" w:tplc="CD9205AA">
      <w:start w:val="1"/>
      <w:numFmt w:val="bullet"/>
      <w:lvlText w:val=""/>
      <w:lvlJc w:val="left"/>
      <w:pPr>
        <w:ind w:left="720" w:hanging="360"/>
      </w:pPr>
      <w:rPr>
        <w:rFonts w:ascii="Symbol" w:hAnsi="Symbol"/>
      </w:rPr>
    </w:lvl>
    <w:lvl w:ilvl="4" w:tplc="C4AA2BF8">
      <w:start w:val="1"/>
      <w:numFmt w:val="bullet"/>
      <w:lvlText w:val=""/>
      <w:lvlJc w:val="left"/>
      <w:pPr>
        <w:ind w:left="720" w:hanging="360"/>
      </w:pPr>
      <w:rPr>
        <w:rFonts w:ascii="Symbol" w:hAnsi="Symbol"/>
      </w:rPr>
    </w:lvl>
    <w:lvl w:ilvl="5" w:tplc="35148DAC">
      <w:start w:val="1"/>
      <w:numFmt w:val="bullet"/>
      <w:lvlText w:val=""/>
      <w:lvlJc w:val="left"/>
      <w:pPr>
        <w:ind w:left="720" w:hanging="360"/>
      </w:pPr>
      <w:rPr>
        <w:rFonts w:ascii="Symbol" w:hAnsi="Symbol"/>
      </w:rPr>
    </w:lvl>
    <w:lvl w:ilvl="6" w:tplc="7A8A8638">
      <w:start w:val="1"/>
      <w:numFmt w:val="bullet"/>
      <w:lvlText w:val=""/>
      <w:lvlJc w:val="left"/>
      <w:pPr>
        <w:ind w:left="720" w:hanging="360"/>
      </w:pPr>
      <w:rPr>
        <w:rFonts w:ascii="Symbol" w:hAnsi="Symbol"/>
      </w:rPr>
    </w:lvl>
    <w:lvl w:ilvl="7" w:tplc="8FB453F4">
      <w:start w:val="1"/>
      <w:numFmt w:val="bullet"/>
      <w:lvlText w:val=""/>
      <w:lvlJc w:val="left"/>
      <w:pPr>
        <w:ind w:left="720" w:hanging="360"/>
      </w:pPr>
      <w:rPr>
        <w:rFonts w:ascii="Symbol" w:hAnsi="Symbol"/>
      </w:rPr>
    </w:lvl>
    <w:lvl w:ilvl="8" w:tplc="49906DCA">
      <w:start w:val="1"/>
      <w:numFmt w:val="bullet"/>
      <w:lvlText w:val=""/>
      <w:lvlJc w:val="left"/>
      <w:pPr>
        <w:ind w:left="720" w:hanging="360"/>
      </w:pPr>
      <w:rPr>
        <w:rFonts w:ascii="Symbol" w:hAnsi="Symbol"/>
      </w:rPr>
    </w:lvl>
  </w:abstractNum>
  <w:abstractNum w:abstractNumId="15" w15:restartNumberingAfterBreak="0">
    <w:nsid w:val="3E341FD2"/>
    <w:multiLevelType w:val="multilevel"/>
    <w:tmpl w:val="1100A932"/>
    <w:lvl w:ilvl="0">
      <w:start w:val="1"/>
      <w:numFmt w:val="bullet"/>
      <w:lvlText w:val="•"/>
      <w:lvlJc w:val="left"/>
      <w:pPr>
        <w:tabs>
          <w:tab w:val="num" w:pos="284"/>
        </w:tabs>
        <w:ind w:left="284" w:hanging="284"/>
      </w:pPr>
      <w:rPr>
        <w:rFonts w:ascii="LTFrutiger Next CondLight" w:hAnsi="LTFrutiger Next CondLight" w:hint="default"/>
        <w:color w:val="003399"/>
        <w:sz w:val="18"/>
      </w:rPr>
    </w:lvl>
    <w:lvl w:ilvl="1">
      <w:start w:val="1"/>
      <w:numFmt w:val="bullet"/>
      <w:lvlText w:val="-"/>
      <w:lvlJc w:val="left"/>
      <w:pPr>
        <w:tabs>
          <w:tab w:val="num" w:pos="567"/>
        </w:tabs>
        <w:ind w:left="567" w:hanging="283"/>
      </w:pPr>
      <w:rPr>
        <w:rFonts w:ascii="Arial" w:hAnsi="Arial" w:hint="default"/>
        <w:color w:val="003399"/>
        <w:sz w:val="22"/>
      </w:rPr>
    </w:lvl>
    <w:lvl w:ilvl="2">
      <w:start w:val="1"/>
      <w:numFmt w:val="bullet"/>
      <w:lvlText w:val="-"/>
      <w:lvlJc w:val="left"/>
      <w:pPr>
        <w:tabs>
          <w:tab w:val="num" w:pos="851"/>
        </w:tabs>
        <w:ind w:left="851" w:hanging="284"/>
      </w:pPr>
      <w:rPr>
        <w:rFonts w:ascii="Arial" w:hAnsi="Arial" w:hint="default"/>
        <w:color w:val="auto"/>
        <w:sz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6" w15:restartNumberingAfterBreak="0">
    <w:nsid w:val="40F3649C"/>
    <w:multiLevelType w:val="hybridMultilevel"/>
    <w:tmpl w:val="1CE0275E"/>
    <w:lvl w:ilvl="0" w:tplc="2324842C">
      <w:start w:val="1"/>
      <w:numFmt w:val="bullet"/>
      <w:lvlText w:val="•"/>
      <w:lvlJc w:val="left"/>
      <w:pPr>
        <w:ind w:left="-1701" w:hanging="284"/>
      </w:pPr>
      <w:rPr>
        <w:rFonts w:ascii="Arial" w:hAnsi="Arial" w:hint="default"/>
        <w:color w:val="00389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5215FF"/>
    <w:multiLevelType w:val="multilevel"/>
    <w:tmpl w:val="7DD6E7EC"/>
    <w:styleLink w:val="ESRBnumberedlist"/>
    <w:lvl w:ilvl="0">
      <w:start w:val="1"/>
      <w:numFmt w:val="decimal"/>
      <w:pStyle w:val="ListNumber"/>
      <w:lvlText w:val="%1."/>
      <w:lvlJc w:val="left"/>
      <w:pPr>
        <w:ind w:left="425" w:hanging="425"/>
      </w:pPr>
      <w:rPr>
        <w:rFonts w:hint="default"/>
        <w:position w:val="0"/>
        <w:sz w:val="40"/>
      </w:rPr>
    </w:lvl>
    <w:lvl w:ilvl="1">
      <w:start w:val="1"/>
      <w:numFmt w:val="lowerLetter"/>
      <w:pStyle w:val="ListNumber2"/>
      <w:lvlText w:val="(%2)"/>
      <w:lvlJc w:val="left"/>
      <w:pPr>
        <w:ind w:left="851" w:hanging="426"/>
      </w:pPr>
      <w:rPr>
        <w:rFonts w:hint="default"/>
      </w:rPr>
    </w:lvl>
    <w:lvl w:ilvl="2">
      <w:start w:val="1"/>
      <w:numFmt w:val="lowerRoman"/>
      <w:pStyle w:val="ListNumber3"/>
      <w:lvlText w:val="(%3)"/>
      <w:lvlJc w:val="left"/>
      <w:pPr>
        <w:ind w:left="1276" w:hanging="425"/>
      </w:pPr>
      <w:rPr>
        <w:rFonts w:hint="default"/>
      </w:rPr>
    </w:lvl>
    <w:lvl w:ilvl="3">
      <w:start w:val="1"/>
      <w:numFmt w:val="decimal"/>
      <w:lvlText w:val="%4."/>
      <w:lvlJc w:val="left"/>
      <w:pPr>
        <w:tabs>
          <w:tab w:val="num" w:pos="-1276"/>
        </w:tabs>
        <w:ind w:left="-1276"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89C40C9"/>
    <w:multiLevelType w:val="hybridMultilevel"/>
    <w:tmpl w:val="3C4A6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7B7649"/>
    <w:multiLevelType w:val="hybridMultilevel"/>
    <w:tmpl w:val="48AC8666"/>
    <w:lvl w:ilvl="0" w:tplc="99A0FBCC">
      <w:start w:val="1"/>
      <w:numFmt w:val="lowerLetter"/>
      <w:lvlText w:val="%1."/>
      <w:lvlJc w:val="left"/>
      <w:pPr>
        <w:ind w:left="720" w:hanging="360"/>
      </w:pPr>
    </w:lvl>
    <w:lvl w:ilvl="1" w:tplc="5A4469E8">
      <w:start w:val="1"/>
      <w:numFmt w:val="lowerLetter"/>
      <w:lvlText w:val="%2."/>
      <w:lvlJc w:val="left"/>
      <w:pPr>
        <w:ind w:left="720" w:hanging="360"/>
      </w:pPr>
    </w:lvl>
    <w:lvl w:ilvl="2" w:tplc="80B66502">
      <w:start w:val="1"/>
      <w:numFmt w:val="lowerLetter"/>
      <w:lvlText w:val="%3."/>
      <w:lvlJc w:val="left"/>
      <w:pPr>
        <w:ind w:left="720" w:hanging="360"/>
      </w:pPr>
    </w:lvl>
    <w:lvl w:ilvl="3" w:tplc="7B3C548A">
      <w:start w:val="1"/>
      <w:numFmt w:val="lowerLetter"/>
      <w:lvlText w:val="%4."/>
      <w:lvlJc w:val="left"/>
      <w:pPr>
        <w:ind w:left="720" w:hanging="360"/>
      </w:pPr>
    </w:lvl>
    <w:lvl w:ilvl="4" w:tplc="81E0DACC">
      <w:start w:val="1"/>
      <w:numFmt w:val="lowerLetter"/>
      <w:lvlText w:val="%5."/>
      <w:lvlJc w:val="left"/>
      <w:pPr>
        <w:ind w:left="720" w:hanging="360"/>
      </w:pPr>
    </w:lvl>
    <w:lvl w:ilvl="5" w:tplc="5DE0F250">
      <w:start w:val="1"/>
      <w:numFmt w:val="lowerLetter"/>
      <w:lvlText w:val="%6."/>
      <w:lvlJc w:val="left"/>
      <w:pPr>
        <w:ind w:left="720" w:hanging="360"/>
      </w:pPr>
    </w:lvl>
    <w:lvl w:ilvl="6" w:tplc="7E2E43DA">
      <w:start w:val="1"/>
      <w:numFmt w:val="lowerLetter"/>
      <w:lvlText w:val="%7."/>
      <w:lvlJc w:val="left"/>
      <w:pPr>
        <w:ind w:left="720" w:hanging="360"/>
      </w:pPr>
    </w:lvl>
    <w:lvl w:ilvl="7" w:tplc="8CBA532A">
      <w:start w:val="1"/>
      <w:numFmt w:val="lowerLetter"/>
      <w:lvlText w:val="%8."/>
      <w:lvlJc w:val="left"/>
      <w:pPr>
        <w:ind w:left="720" w:hanging="360"/>
      </w:pPr>
    </w:lvl>
    <w:lvl w:ilvl="8" w:tplc="0570FBC6">
      <w:start w:val="1"/>
      <w:numFmt w:val="lowerLetter"/>
      <w:lvlText w:val="%9."/>
      <w:lvlJc w:val="left"/>
      <w:pPr>
        <w:ind w:left="720" w:hanging="360"/>
      </w:pPr>
    </w:lvl>
  </w:abstractNum>
  <w:abstractNum w:abstractNumId="20" w15:restartNumberingAfterBreak="0">
    <w:nsid w:val="6B282BF5"/>
    <w:multiLevelType w:val="hybridMultilevel"/>
    <w:tmpl w:val="8D9E79C6"/>
    <w:lvl w:ilvl="0" w:tplc="C1C05C26">
      <w:start w:val="1"/>
      <w:numFmt w:val="lowerRoman"/>
      <w:lvlText w:val="(%1)"/>
      <w:lvlJc w:val="left"/>
      <w:pPr>
        <w:ind w:left="2188" w:hanging="720"/>
      </w:pPr>
      <w:rPr>
        <w:rFonts w:hint="default"/>
      </w:rPr>
    </w:lvl>
    <w:lvl w:ilvl="1" w:tplc="08090019" w:tentative="1">
      <w:start w:val="1"/>
      <w:numFmt w:val="lowerLetter"/>
      <w:lvlText w:val="%2."/>
      <w:lvlJc w:val="left"/>
      <w:pPr>
        <w:ind w:left="2548" w:hanging="360"/>
      </w:pPr>
    </w:lvl>
    <w:lvl w:ilvl="2" w:tplc="0809001B" w:tentative="1">
      <w:start w:val="1"/>
      <w:numFmt w:val="lowerRoman"/>
      <w:lvlText w:val="%3."/>
      <w:lvlJc w:val="right"/>
      <w:pPr>
        <w:ind w:left="3268" w:hanging="180"/>
      </w:pPr>
    </w:lvl>
    <w:lvl w:ilvl="3" w:tplc="0809000F" w:tentative="1">
      <w:start w:val="1"/>
      <w:numFmt w:val="decimal"/>
      <w:lvlText w:val="%4."/>
      <w:lvlJc w:val="left"/>
      <w:pPr>
        <w:ind w:left="3988" w:hanging="360"/>
      </w:pPr>
    </w:lvl>
    <w:lvl w:ilvl="4" w:tplc="08090019" w:tentative="1">
      <w:start w:val="1"/>
      <w:numFmt w:val="lowerLetter"/>
      <w:lvlText w:val="%5."/>
      <w:lvlJc w:val="left"/>
      <w:pPr>
        <w:ind w:left="4708" w:hanging="360"/>
      </w:pPr>
    </w:lvl>
    <w:lvl w:ilvl="5" w:tplc="0809001B" w:tentative="1">
      <w:start w:val="1"/>
      <w:numFmt w:val="lowerRoman"/>
      <w:lvlText w:val="%6."/>
      <w:lvlJc w:val="right"/>
      <w:pPr>
        <w:ind w:left="5428" w:hanging="180"/>
      </w:pPr>
    </w:lvl>
    <w:lvl w:ilvl="6" w:tplc="0809000F" w:tentative="1">
      <w:start w:val="1"/>
      <w:numFmt w:val="decimal"/>
      <w:lvlText w:val="%7."/>
      <w:lvlJc w:val="left"/>
      <w:pPr>
        <w:ind w:left="6148" w:hanging="360"/>
      </w:pPr>
    </w:lvl>
    <w:lvl w:ilvl="7" w:tplc="08090019" w:tentative="1">
      <w:start w:val="1"/>
      <w:numFmt w:val="lowerLetter"/>
      <w:lvlText w:val="%8."/>
      <w:lvlJc w:val="left"/>
      <w:pPr>
        <w:ind w:left="6868" w:hanging="360"/>
      </w:pPr>
    </w:lvl>
    <w:lvl w:ilvl="8" w:tplc="0809001B" w:tentative="1">
      <w:start w:val="1"/>
      <w:numFmt w:val="lowerRoman"/>
      <w:lvlText w:val="%9."/>
      <w:lvlJc w:val="right"/>
      <w:pPr>
        <w:ind w:left="7588" w:hanging="180"/>
      </w:pPr>
    </w:lvl>
  </w:abstractNum>
  <w:abstractNum w:abstractNumId="21" w15:restartNumberingAfterBreak="0">
    <w:nsid w:val="740D72B7"/>
    <w:multiLevelType w:val="hybridMultilevel"/>
    <w:tmpl w:val="250E12A0"/>
    <w:lvl w:ilvl="0" w:tplc="28EC35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4E787E"/>
    <w:multiLevelType w:val="multilevel"/>
    <w:tmpl w:val="87F069D8"/>
    <w:lvl w:ilvl="0">
      <w:start w:val="1"/>
      <w:numFmt w:val="bullet"/>
      <w:lvlText w:val=""/>
      <w:lvlJc w:val="left"/>
      <w:pPr>
        <w:tabs>
          <w:tab w:val="num" w:pos="568"/>
        </w:tabs>
        <w:ind w:left="568" w:hanging="284"/>
      </w:pPr>
      <w:rPr>
        <w:rFonts w:ascii="Symbol" w:hAnsi="Symbol" w:hint="default"/>
        <w:color w:val="003399"/>
        <w:sz w:val="18"/>
      </w:rPr>
    </w:lvl>
    <w:lvl w:ilvl="1">
      <w:start w:val="1"/>
      <w:numFmt w:val="bullet"/>
      <w:lvlText w:val="-"/>
      <w:lvlJc w:val="left"/>
      <w:pPr>
        <w:tabs>
          <w:tab w:val="num" w:pos="851"/>
        </w:tabs>
        <w:ind w:left="851" w:hanging="283"/>
      </w:pPr>
      <w:rPr>
        <w:rFonts w:ascii="Arial" w:hAnsi="Arial" w:cs="Times New Roman" w:hint="default"/>
        <w:color w:val="003399"/>
        <w:sz w:val="22"/>
      </w:rPr>
    </w:lvl>
    <w:lvl w:ilvl="2">
      <w:start w:val="1"/>
      <w:numFmt w:val="bullet"/>
      <w:lvlText w:val="-"/>
      <w:lvlJc w:val="left"/>
      <w:pPr>
        <w:tabs>
          <w:tab w:val="num" w:pos="1135"/>
        </w:tabs>
        <w:ind w:left="1135" w:hanging="284"/>
      </w:pPr>
      <w:rPr>
        <w:rFonts w:ascii="Arial" w:hAnsi="Arial" w:cs="Times New Roman" w:hint="default"/>
        <w:color w:val="auto"/>
        <w:sz w:val="18"/>
      </w:rPr>
    </w:lvl>
    <w:lvl w:ilvl="3">
      <w:start w:val="1"/>
      <w:numFmt w:val="bullet"/>
      <w:lvlText w:val=""/>
      <w:lvlJc w:val="left"/>
      <w:pPr>
        <w:tabs>
          <w:tab w:val="num" w:pos="2084"/>
        </w:tabs>
        <w:ind w:left="2084" w:hanging="360"/>
      </w:pPr>
      <w:rPr>
        <w:rFonts w:ascii="Wingdings" w:hAnsi="Wingdings" w:cs="StarSymbol" w:hint="default"/>
        <w:sz w:val="18"/>
        <w:szCs w:val="18"/>
      </w:rPr>
    </w:lvl>
    <w:lvl w:ilvl="4">
      <w:start w:val="1"/>
      <w:numFmt w:val="bullet"/>
      <w:lvlText w:val=""/>
      <w:lvlJc w:val="left"/>
      <w:pPr>
        <w:tabs>
          <w:tab w:val="num" w:pos="2444"/>
        </w:tabs>
        <w:ind w:left="2444" w:hanging="360"/>
      </w:pPr>
      <w:rPr>
        <w:rFonts w:ascii="Wingdings 2" w:hAnsi="Wingdings 2" w:cs="StarSymbol" w:hint="default"/>
        <w:sz w:val="18"/>
        <w:szCs w:val="18"/>
      </w:rPr>
    </w:lvl>
    <w:lvl w:ilvl="5">
      <w:start w:val="1"/>
      <w:numFmt w:val="bullet"/>
      <w:lvlText w:val="■"/>
      <w:lvlJc w:val="left"/>
      <w:pPr>
        <w:tabs>
          <w:tab w:val="num" w:pos="2804"/>
        </w:tabs>
        <w:ind w:left="2804" w:hanging="360"/>
      </w:pPr>
      <w:rPr>
        <w:rFonts w:ascii="StarSymbol" w:hAnsi="StarSymbol" w:cs="StarSymbol" w:hint="default"/>
        <w:sz w:val="18"/>
        <w:szCs w:val="18"/>
      </w:rPr>
    </w:lvl>
    <w:lvl w:ilvl="6">
      <w:start w:val="1"/>
      <w:numFmt w:val="bullet"/>
      <w:lvlText w:val=""/>
      <w:lvlJc w:val="left"/>
      <w:pPr>
        <w:tabs>
          <w:tab w:val="num" w:pos="3164"/>
        </w:tabs>
        <w:ind w:left="3164" w:hanging="360"/>
      </w:pPr>
      <w:rPr>
        <w:rFonts w:ascii="Wingdings" w:hAnsi="Wingdings" w:cs="StarSymbol" w:hint="default"/>
        <w:sz w:val="18"/>
        <w:szCs w:val="18"/>
      </w:rPr>
    </w:lvl>
    <w:lvl w:ilvl="7">
      <w:start w:val="1"/>
      <w:numFmt w:val="bullet"/>
      <w:lvlText w:val=""/>
      <w:lvlJc w:val="left"/>
      <w:pPr>
        <w:tabs>
          <w:tab w:val="num" w:pos="3524"/>
        </w:tabs>
        <w:ind w:left="3524" w:hanging="360"/>
      </w:pPr>
      <w:rPr>
        <w:rFonts w:ascii="Wingdings 2" w:hAnsi="Wingdings 2" w:cs="StarSymbol" w:hint="default"/>
        <w:sz w:val="18"/>
        <w:szCs w:val="18"/>
      </w:rPr>
    </w:lvl>
    <w:lvl w:ilvl="8">
      <w:start w:val="1"/>
      <w:numFmt w:val="bullet"/>
      <w:lvlText w:val="■"/>
      <w:lvlJc w:val="left"/>
      <w:pPr>
        <w:tabs>
          <w:tab w:val="num" w:pos="3884"/>
        </w:tabs>
        <w:ind w:left="3884" w:hanging="360"/>
      </w:pPr>
      <w:rPr>
        <w:rFonts w:ascii="StarSymbol" w:hAnsi="StarSymbol" w:cs="StarSymbol" w:hint="default"/>
        <w:sz w:val="18"/>
        <w:szCs w:val="18"/>
      </w:rPr>
    </w:lvl>
  </w:abstractNum>
  <w:abstractNum w:abstractNumId="23" w15:restartNumberingAfterBreak="0">
    <w:nsid w:val="7B0553B7"/>
    <w:multiLevelType w:val="multilevel"/>
    <w:tmpl w:val="8272BE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45100853">
    <w:abstractNumId w:val="5"/>
  </w:num>
  <w:num w:numId="2" w16cid:durableId="2010131536">
    <w:abstractNumId w:val="10"/>
  </w:num>
  <w:num w:numId="3" w16cid:durableId="130372187">
    <w:abstractNumId w:val="3"/>
  </w:num>
  <w:num w:numId="4" w16cid:durableId="1622881480">
    <w:abstractNumId w:val="2"/>
  </w:num>
  <w:num w:numId="5" w16cid:durableId="1555392358">
    <w:abstractNumId w:val="1"/>
  </w:num>
  <w:num w:numId="6" w16cid:durableId="627398166">
    <w:abstractNumId w:val="0"/>
  </w:num>
  <w:num w:numId="7" w16cid:durableId="213004469">
    <w:abstractNumId w:val="23"/>
  </w:num>
  <w:num w:numId="8" w16cid:durableId="1996907635">
    <w:abstractNumId w:val="16"/>
  </w:num>
  <w:num w:numId="9" w16cid:durableId="1293096596">
    <w:abstractNumId w:val="17"/>
  </w:num>
  <w:num w:numId="10" w16cid:durableId="1326207080">
    <w:abstractNumId w:val="10"/>
  </w:num>
  <w:num w:numId="11" w16cid:durableId="1983385717">
    <w:abstractNumId w:val="17"/>
  </w:num>
  <w:num w:numId="12" w16cid:durableId="446581947">
    <w:abstractNumId w:val="10"/>
  </w:num>
  <w:num w:numId="13" w16cid:durableId="1445660943">
    <w:abstractNumId w:val="10"/>
  </w:num>
  <w:num w:numId="14" w16cid:durableId="1293049855">
    <w:abstractNumId w:val="10"/>
  </w:num>
  <w:num w:numId="15" w16cid:durableId="676888375">
    <w:abstractNumId w:val="17"/>
    <w:lvlOverride w:ilvl="0">
      <w:lvl w:ilvl="0">
        <w:start w:val="1"/>
        <w:numFmt w:val="decimal"/>
        <w:pStyle w:val="ListNumber"/>
        <w:lvlText w:val="%1."/>
        <w:lvlJc w:val="left"/>
        <w:pPr>
          <w:ind w:left="425" w:hanging="425"/>
        </w:pPr>
        <w:rPr>
          <w:rFonts w:hint="default"/>
          <w:position w:val="0"/>
          <w:sz w:val="18"/>
        </w:rPr>
      </w:lvl>
    </w:lvlOverride>
    <w:lvlOverride w:ilvl="1">
      <w:lvl w:ilvl="1">
        <w:start w:val="1"/>
        <w:numFmt w:val="lowerLetter"/>
        <w:pStyle w:val="ListNumber2"/>
        <w:lvlText w:val="(%2)"/>
        <w:lvlJc w:val="left"/>
        <w:pPr>
          <w:ind w:left="851" w:hanging="426"/>
        </w:pPr>
        <w:rPr>
          <w:rFonts w:hint="default"/>
        </w:rPr>
      </w:lvl>
    </w:lvlOverride>
    <w:lvlOverride w:ilvl="2">
      <w:lvl w:ilvl="2">
        <w:start w:val="1"/>
        <w:numFmt w:val="lowerRoman"/>
        <w:pStyle w:val="ListNumber3"/>
        <w:lvlText w:val="(%3)"/>
        <w:lvlJc w:val="left"/>
        <w:pPr>
          <w:ind w:left="1276" w:hanging="425"/>
        </w:pPr>
        <w:rPr>
          <w:rFonts w:hint="default"/>
        </w:rPr>
      </w:lvl>
    </w:lvlOverride>
    <w:lvlOverride w:ilvl="3">
      <w:lvl w:ilvl="3">
        <w:start w:val="1"/>
        <w:numFmt w:val="decimal"/>
        <w:lvlText w:val="%4."/>
        <w:lvlJc w:val="left"/>
        <w:pPr>
          <w:tabs>
            <w:tab w:val="num" w:pos="-1276"/>
          </w:tabs>
          <w:ind w:left="-1276" w:hanging="425"/>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32409059">
    <w:abstractNumId w:val="17"/>
    <w:lvlOverride w:ilvl="0">
      <w:lvl w:ilvl="0">
        <w:start w:val="1"/>
        <w:numFmt w:val="decimal"/>
        <w:pStyle w:val="ListNumber"/>
        <w:lvlText w:val="%1."/>
        <w:lvlJc w:val="left"/>
        <w:pPr>
          <w:ind w:left="425" w:hanging="425"/>
        </w:pPr>
        <w:rPr>
          <w:rFonts w:hint="default"/>
          <w:position w:val="0"/>
          <w:sz w:val="18"/>
        </w:rPr>
      </w:lvl>
    </w:lvlOverride>
    <w:lvlOverride w:ilvl="1">
      <w:lvl w:ilvl="1">
        <w:start w:val="1"/>
        <w:numFmt w:val="lowerLetter"/>
        <w:pStyle w:val="ListNumber2"/>
        <w:lvlText w:val="(%2)"/>
        <w:lvlJc w:val="left"/>
        <w:pPr>
          <w:ind w:left="851" w:hanging="426"/>
        </w:pPr>
        <w:rPr>
          <w:rFonts w:hint="default"/>
        </w:rPr>
      </w:lvl>
    </w:lvlOverride>
    <w:lvlOverride w:ilvl="2">
      <w:lvl w:ilvl="2">
        <w:start w:val="1"/>
        <w:numFmt w:val="lowerRoman"/>
        <w:pStyle w:val="ListNumber3"/>
        <w:lvlText w:val="(%3)"/>
        <w:lvlJc w:val="left"/>
        <w:pPr>
          <w:ind w:left="1276" w:hanging="425"/>
        </w:pPr>
        <w:rPr>
          <w:rFonts w:hint="default"/>
        </w:rPr>
      </w:lvl>
    </w:lvlOverride>
    <w:lvlOverride w:ilvl="3">
      <w:lvl w:ilvl="3">
        <w:start w:val="1"/>
        <w:numFmt w:val="decimal"/>
        <w:lvlText w:val="%4."/>
        <w:lvlJc w:val="left"/>
        <w:pPr>
          <w:tabs>
            <w:tab w:val="num" w:pos="-1276"/>
          </w:tabs>
          <w:ind w:left="-1276" w:hanging="425"/>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16cid:durableId="1575048607">
    <w:abstractNumId w:val="17"/>
    <w:lvlOverride w:ilvl="0">
      <w:lvl w:ilvl="0">
        <w:start w:val="1"/>
        <w:numFmt w:val="decimal"/>
        <w:pStyle w:val="ListNumber"/>
        <w:lvlText w:val="%1."/>
        <w:lvlJc w:val="left"/>
        <w:pPr>
          <w:ind w:left="425" w:hanging="425"/>
        </w:pPr>
        <w:rPr>
          <w:rFonts w:hint="default"/>
          <w:position w:val="0"/>
          <w:sz w:val="18"/>
        </w:rPr>
      </w:lvl>
    </w:lvlOverride>
    <w:lvlOverride w:ilvl="1">
      <w:lvl w:ilvl="1">
        <w:start w:val="1"/>
        <w:numFmt w:val="lowerLetter"/>
        <w:pStyle w:val="ListNumber2"/>
        <w:lvlText w:val="(%2)"/>
        <w:lvlJc w:val="left"/>
        <w:pPr>
          <w:ind w:left="851" w:hanging="426"/>
        </w:pPr>
        <w:rPr>
          <w:rFonts w:hint="default"/>
        </w:rPr>
      </w:lvl>
    </w:lvlOverride>
    <w:lvlOverride w:ilvl="2">
      <w:lvl w:ilvl="2">
        <w:start w:val="1"/>
        <w:numFmt w:val="lowerRoman"/>
        <w:pStyle w:val="ListNumber3"/>
        <w:lvlText w:val="(%3)"/>
        <w:lvlJc w:val="left"/>
        <w:pPr>
          <w:ind w:left="1276" w:hanging="425"/>
        </w:pPr>
        <w:rPr>
          <w:rFonts w:hint="default"/>
        </w:rPr>
      </w:lvl>
    </w:lvlOverride>
    <w:lvlOverride w:ilvl="3">
      <w:lvl w:ilvl="3">
        <w:start w:val="1"/>
        <w:numFmt w:val="decimal"/>
        <w:lvlText w:val="%4."/>
        <w:lvlJc w:val="left"/>
        <w:pPr>
          <w:tabs>
            <w:tab w:val="num" w:pos="-1276"/>
          </w:tabs>
          <w:ind w:left="-1276" w:hanging="425"/>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493565960">
    <w:abstractNumId w:val="15"/>
  </w:num>
  <w:num w:numId="19" w16cid:durableId="212230673">
    <w:abstractNumId w:val="10"/>
  </w:num>
  <w:num w:numId="20" w16cid:durableId="156532175">
    <w:abstractNumId w:val="22"/>
  </w:num>
  <w:num w:numId="21" w16cid:durableId="144666860">
    <w:abstractNumId w:val="8"/>
  </w:num>
  <w:num w:numId="22" w16cid:durableId="681979883">
    <w:abstractNumId w:val="13"/>
  </w:num>
  <w:num w:numId="23" w16cid:durableId="603224795">
    <w:abstractNumId w:val="21"/>
  </w:num>
  <w:num w:numId="24" w16cid:durableId="1718235204">
    <w:abstractNumId w:val="9"/>
  </w:num>
  <w:num w:numId="25" w16cid:durableId="1367834418">
    <w:abstractNumId w:val="20"/>
  </w:num>
  <w:num w:numId="26" w16cid:durableId="1851988356">
    <w:abstractNumId w:val="11"/>
  </w:num>
  <w:num w:numId="27" w16cid:durableId="251746953">
    <w:abstractNumId w:val="19"/>
  </w:num>
  <w:num w:numId="28" w16cid:durableId="30226137">
    <w:abstractNumId w:val="5"/>
  </w:num>
  <w:num w:numId="29" w16cid:durableId="318074327">
    <w:abstractNumId w:val="5"/>
  </w:num>
  <w:num w:numId="30" w16cid:durableId="1089735580">
    <w:abstractNumId w:val="5"/>
  </w:num>
  <w:num w:numId="31" w16cid:durableId="1399591877">
    <w:abstractNumId w:val="5"/>
  </w:num>
  <w:num w:numId="32" w16cid:durableId="1095710910">
    <w:abstractNumId w:val="4"/>
  </w:num>
  <w:num w:numId="33" w16cid:durableId="87774156">
    <w:abstractNumId w:val="6"/>
  </w:num>
  <w:num w:numId="34" w16cid:durableId="529997773">
    <w:abstractNumId w:val="14"/>
  </w:num>
  <w:num w:numId="35" w16cid:durableId="1327242697">
    <w:abstractNumId w:val="18"/>
  </w:num>
  <w:num w:numId="36" w16cid:durableId="573586173">
    <w:abstractNumId w:val="12"/>
  </w:num>
  <w:num w:numId="37" w16cid:durableId="28654774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LockTheme/>
  <w:styleLockQFSet/>
  <w:defaultTabStop w:val="141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ileName" w:val="ESRB cover note"/>
  </w:docVars>
  <w:rsids>
    <w:rsidRoot w:val="00F139E2"/>
    <w:rsid w:val="00001AA1"/>
    <w:rsid w:val="00003A9F"/>
    <w:rsid w:val="00004A52"/>
    <w:rsid w:val="000066DA"/>
    <w:rsid w:val="00006FAB"/>
    <w:rsid w:val="00007D13"/>
    <w:rsid w:val="00010310"/>
    <w:rsid w:val="00010A4E"/>
    <w:rsid w:val="00015E8F"/>
    <w:rsid w:val="0002034C"/>
    <w:rsid w:val="00020940"/>
    <w:rsid w:val="000257BA"/>
    <w:rsid w:val="00030510"/>
    <w:rsid w:val="00030E51"/>
    <w:rsid w:val="000337C2"/>
    <w:rsid w:val="00036380"/>
    <w:rsid w:val="000369D6"/>
    <w:rsid w:val="00036ABE"/>
    <w:rsid w:val="00037590"/>
    <w:rsid w:val="00037F4F"/>
    <w:rsid w:val="0004001E"/>
    <w:rsid w:val="00040516"/>
    <w:rsid w:val="00040C14"/>
    <w:rsid w:val="00043B84"/>
    <w:rsid w:val="0005003E"/>
    <w:rsid w:val="00050726"/>
    <w:rsid w:val="00054605"/>
    <w:rsid w:val="00055F69"/>
    <w:rsid w:val="00055F6E"/>
    <w:rsid w:val="000560A1"/>
    <w:rsid w:val="00056DB5"/>
    <w:rsid w:val="00061F78"/>
    <w:rsid w:val="00061FBE"/>
    <w:rsid w:val="00065988"/>
    <w:rsid w:val="0006666E"/>
    <w:rsid w:val="000666DB"/>
    <w:rsid w:val="00070F79"/>
    <w:rsid w:val="00071495"/>
    <w:rsid w:val="00072DA7"/>
    <w:rsid w:val="00072FFA"/>
    <w:rsid w:val="000769F3"/>
    <w:rsid w:val="0008173D"/>
    <w:rsid w:val="000833A2"/>
    <w:rsid w:val="00083BAC"/>
    <w:rsid w:val="000841C0"/>
    <w:rsid w:val="00084983"/>
    <w:rsid w:val="000867A7"/>
    <w:rsid w:val="00086FBE"/>
    <w:rsid w:val="00086FF9"/>
    <w:rsid w:val="00090474"/>
    <w:rsid w:val="00091B27"/>
    <w:rsid w:val="00092DC7"/>
    <w:rsid w:val="00092EF8"/>
    <w:rsid w:val="0009368F"/>
    <w:rsid w:val="00094306"/>
    <w:rsid w:val="00094B0F"/>
    <w:rsid w:val="00094D17"/>
    <w:rsid w:val="000951D5"/>
    <w:rsid w:val="000955D9"/>
    <w:rsid w:val="00096B07"/>
    <w:rsid w:val="000976D8"/>
    <w:rsid w:val="000A000A"/>
    <w:rsid w:val="000A0B3B"/>
    <w:rsid w:val="000A0F14"/>
    <w:rsid w:val="000A1168"/>
    <w:rsid w:val="000A16E1"/>
    <w:rsid w:val="000A1F2A"/>
    <w:rsid w:val="000A1F7D"/>
    <w:rsid w:val="000A25FC"/>
    <w:rsid w:val="000A2B1C"/>
    <w:rsid w:val="000A3383"/>
    <w:rsid w:val="000A364C"/>
    <w:rsid w:val="000A5447"/>
    <w:rsid w:val="000A5E9B"/>
    <w:rsid w:val="000A6802"/>
    <w:rsid w:val="000A6980"/>
    <w:rsid w:val="000B2F15"/>
    <w:rsid w:val="000B4376"/>
    <w:rsid w:val="000B6932"/>
    <w:rsid w:val="000B6FE1"/>
    <w:rsid w:val="000B7037"/>
    <w:rsid w:val="000B7A08"/>
    <w:rsid w:val="000C2976"/>
    <w:rsid w:val="000C2DF1"/>
    <w:rsid w:val="000C426E"/>
    <w:rsid w:val="000C58D6"/>
    <w:rsid w:val="000C5DED"/>
    <w:rsid w:val="000C60DC"/>
    <w:rsid w:val="000D2457"/>
    <w:rsid w:val="000D6654"/>
    <w:rsid w:val="000D6947"/>
    <w:rsid w:val="000D7C4E"/>
    <w:rsid w:val="000E2D21"/>
    <w:rsid w:val="000E350F"/>
    <w:rsid w:val="000E3860"/>
    <w:rsid w:val="000E4677"/>
    <w:rsid w:val="000E4F1F"/>
    <w:rsid w:val="000E4FDC"/>
    <w:rsid w:val="000E699A"/>
    <w:rsid w:val="000E69B9"/>
    <w:rsid w:val="000E6B82"/>
    <w:rsid w:val="000E73A1"/>
    <w:rsid w:val="000E778A"/>
    <w:rsid w:val="000F057F"/>
    <w:rsid w:val="000F0E47"/>
    <w:rsid w:val="000F38FF"/>
    <w:rsid w:val="000F4303"/>
    <w:rsid w:val="000F73C3"/>
    <w:rsid w:val="00101181"/>
    <w:rsid w:val="001012C8"/>
    <w:rsid w:val="00101A64"/>
    <w:rsid w:val="00101C26"/>
    <w:rsid w:val="00101EB0"/>
    <w:rsid w:val="001049AC"/>
    <w:rsid w:val="00106298"/>
    <w:rsid w:val="00106F0F"/>
    <w:rsid w:val="0011029F"/>
    <w:rsid w:val="0011099F"/>
    <w:rsid w:val="00110E6C"/>
    <w:rsid w:val="001115F2"/>
    <w:rsid w:val="00111D40"/>
    <w:rsid w:val="0011432B"/>
    <w:rsid w:val="00121476"/>
    <w:rsid w:val="00122CEA"/>
    <w:rsid w:val="00122F31"/>
    <w:rsid w:val="001246E5"/>
    <w:rsid w:val="0012501F"/>
    <w:rsid w:val="001259E5"/>
    <w:rsid w:val="00126742"/>
    <w:rsid w:val="00127DB1"/>
    <w:rsid w:val="001306EF"/>
    <w:rsid w:val="00130871"/>
    <w:rsid w:val="00130B11"/>
    <w:rsid w:val="001311F1"/>
    <w:rsid w:val="0013242D"/>
    <w:rsid w:val="00132C3A"/>
    <w:rsid w:val="00132E98"/>
    <w:rsid w:val="00133ACA"/>
    <w:rsid w:val="00133AED"/>
    <w:rsid w:val="00133F27"/>
    <w:rsid w:val="00134382"/>
    <w:rsid w:val="0013515C"/>
    <w:rsid w:val="00140981"/>
    <w:rsid w:val="00141340"/>
    <w:rsid w:val="00141583"/>
    <w:rsid w:val="00142E8A"/>
    <w:rsid w:val="00142F3D"/>
    <w:rsid w:val="0014309E"/>
    <w:rsid w:val="00143846"/>
    <w:rsid w:val="00143A07"/>
    <w:rsid w:val="00144F69"/>
    <w:rsid w:val="00147046"/>
    <w:rsid w:val="001501B2"/>
    <w:rsid w:val="001515B3"/>
    <w:rsid w:val="001547D0"/>
    <w:rsid w:val="00154CB7"/>
    <w:rsid w:val="00156C3D"/>
    <w:rsid w:val="00157D21"/>
    <w:rsid w:val="00160620"/>
    <w:rsid w:val="00161319"/>
    <w:rsid w:val="00165FA9"/>
    <w:rsid w:val="00166B52"/>
    <w:rsid w:val="00170BAC"/>
    <w:rsid w:val="00171874"/>
    <w:rsid w:val="00171E21"/>
    <w:rsid w:val="00171E41"/>
    <w:rsid w:val="0017490B"/>
    <w:rsid w:val="001754CF"/>
    <w:rsid w:val="00175DDE"/>
    <w:rsid w:val="0018252A"/>
    <w:rsid w:val="001829C7"/>
    <w:rsid w:val="0018432B"/>
    <w:rsid w:val="00185851"/>
    <w:rsid w:val="001867AD"/>
    <w:rsid w:val="00186D37"/>
    <w:rsid w:val="00186DB2"/>
    <w:rsid w:val="00187451"/>
    <w:rsid w:val="00193B81"/>
    <w:rsid w:val="00193C61"/>
    <w:rsid w:val="0019454C"/>
    <w:rsid w:val="00195E22"/>
    <w:rsid w:val="00196875"/>
    <w:rsid w:val="00196D39"/>
    <w:rsid w:val="001A29C8"/>
    <w:rsid w:val="001A6D88"/>
    <w:rsid w:val="001A774E"/>
    <w:rsid w:val="001A7E9F"/>
    <w:rsid w:val="001B0E7E"/>
    <w:rsid w:val="001B18DD"/>
    <w:rsid w:val="001B1C57"/>
    <w:rsid w:val="001B21E6"/>
    <w:rsid w:val="001B23D6"/>
    <w:rsid w:val="001B26F4"/>
    <w:rsid w:val="001B2CE6"/>
    <w:rsid w:val="001B33E0"/>
    <w:rsid w:val="001B789A"/>
    <w:rsid w:val="001C22F0"/>
    <w:rsid w:val="001C27B4"/>
    <w:rsid w:val="001C4254"/>
    <w:rsid w:val="001C47C6"/>
    <w:rsid w:val="001C5CD7"/>
    <w:rsid w:val="001C7C5D"/>
    <w:rsid w:val="001D0630"/>
    <w:rsid w:val="001D1D5C"/>
    <w:rsid w:val="001D452E"/>
    <w:rsid w:val="001D6767"/>
    <w:rsid w:val="001E0D65"/>
    <w:rsid w:val="001E2260"/>
    <w:rsid w:val="001E22F7"/>
    <w:rsid w:val="001E2900"/>
    <w:rsid w:val="001E3B33"/>
    <w:rsid w:val="001E43D4"/>
    <w:rsid w:val="001E4604"/>
    <w:rsid w:val="001E7E85"/>
    <w:rsid w:val="001F253F"/>
    <w:rsid w:val="001F286A"/>
    <w:rsid w:val="001F3314"/>
    <w:rsid w:val="001F3615"/>
    <w:rsid w:val="001F485D"/>
    <w:rsid w:val="001F5053"/>
    <w:rsid w:val="001F552C"/>
    <w:rsid w:val="001F5C04"/>
    <w:rsid w:val="001F628F"/>
    <w:rsid w:val="001F64CD"/>
    <w:rsid w:val="001F6A35"/>
    <w:rsid w:val="001F77DD"/>
    <w:rsid w:val="00201470"/>
    <w:rsid w:val="00201799"/>
    <w:rsid w:val="0020267D"/>
    <w:rsid w:val="00204210"/>
    <w:rsid w:val="002076CE"/>
    <w:rsid w:val="00210785"/>
    <w:rsid w:val="00211F93"/>
    <w:rsid w:val="00212081"/>
    <w:rsid w:val="002158CA"/>
    <w:rsid w:val="00216301"/>
    <w:rsid w:val="00216FA4"/>
    <w:rsid w:val="0022099C"/>
    <w:rsid w:val="00221A9D"/>
    <w:rsid w:val="002222C0"/>
    <w:rsid w:val="00222BC4"/>
    <w:rsid w:val="002241EC"/>
    <w:rsid w:val="002263D0"/>
    <w:rsid w:val="00231546"/>
    <w:rsid w:val="00231EA8"/>
    <w:rsid w:val="00233D28"/>
    <w:rsid w:val="00235F6C"/>
    <w:rsid w:val="00236D0E"/>
    <w:rsid w:val="0023768D"/>
    <w:rsid w:val="00237CC9"/>
    <w:rsid w:val="00237E78"/>
    <w:rsid w:val="002403E3"/>
    <w:rsid w:val="00241619"/>
    <w:rsid w:val="00241C37"/>
    <w:rsid w:val="00241F3D"/>
    <w:rsid w:val="002429AF"/>
    <w:rsid w:val="00243F90"/>
    <w:rsid w:val="00244F09"/>
    <w:rsid w:val="0024532F"/>
    <w:rsid w:val="002469A5"/>
    <w:rsid w:val="0024799C"/>
    <w:rsid w:val="0025102A"/>
    <w:rsid w:val="002543B1"/>
    <w:rsid w:val="002544F0"/>
    <w:rsid w:val="00260B64"/>
    <w:rsid w:val="00261B9D"/>
    <w:rsid w:val="00265E79"/>
    <w:rsid w:val="00266840"/>
    <w:rsid w:val="00267733"/>
    <w:rsid w:val="00267AF5"/>
    <w:rsid w:val="00272947"/>
    <w:rsid w:val="002758E6"/>
    <w:rsid w:val="00276A8D"/>
    <w:rsid w:val="00276E50"/>
    <w:rsid w:val="00276FAE"/>
    <w:rsid w:val="0028006E"/>
    <w:rsid w:val="002810DA"/>
    <w:rsid w:val="002810E6"/>
    <w:rsid w:val="002816BC"/>
    <w:rsid w:val="0028344E"/>
    <w:rsid w:val="00283714"/>
    <w:rsid w:val="00283CAE"/>
    <w:rsid w:val="002845A5"/>
    <w:rsid w:val="00284AE7"/>
    <w:rsid w:val="0028565E"/>
    <w:rsid w:val="002865BE"/>
    <w:rsid w:val="00286AF5"/>
    <w:rsid w:val="0028734D"/>
    <w:rsid w:val="00292B15"/>
    <w:rsid w:val="002934E3"/>
    <w:rsid w:val="002A1042"/>
    <w:rsid w:val="002A7C5F"/>
    <w:rsid w:val="002B0E32"/>
    <w:rsid w:val="002B237E"/>
    <w:rsid w:val="002B3CE2"/>
    <w:rsid w:val="002B4801"/>
    <w:rsid w:val="002B5AA6"/>
    <w:rsid w:val="002B69B4"/>
    <w:rsid w:val="002B76C9"/>
    <w:rsid w:val="002C0158"/>
    <w:rsid w:val="002C09D7"/>
    <w:rsid w:val="002C0BDB"/>
    <w:rsid w:val="002C1156"/>
    <w:rsid w:val="002C343F"/>
    <w:rsid w:val="002C77AC"/>
    <w:rsid w:val="002D05DB"/>
    <w:rsid w:val="002D08E7"/>
    <w:rsid w:val="002D219B"/>
    <w:rsid w:val="002D291C"/>
    <w:rsid w:val="002D37C3"/>
    <w:rsid w:val="002D47C0"/>
    <w:rsid w:val="002E22DE"/>
    <w:rsid w:val="002F107C"/>
    <w:rsid w:val="002F18BE"/>
    <w:rsid w:val="002F1BB9"/>
    <w:rsid w:val="002F48E8"/>
    <w:rsid w:val="002F603E"/>
    <w:rsid w:val="002F6C48"/>
    <w:rsid w:val="002F6FD0"/>
    <w:rsid w:val="0030059F"/>
    <w:rsid w:val="00300D00"/>
    <w:rsid w:val="0030171D"/>
    <w:rsid w:val="0030226D"/>
    <w:rsid w:val="00303954"/>
    <w:rsid w:val="00304E17"/>
    <w:rsid w:val="00305A96"/>
    <w:rsid w:val="003060F1"/>
    <w:rsid w:val="003060F2"/>
    <w:rsid w:val="0031095A"/>
    <w:rsid w:val="00311BB5"/>
    <w:rsid w:val="00316647"/>
    <w:rsid w:val="003171F2"/>
    <w:rsid w:val="0031724D"/>
    <w:rsid w:val="003177E0"/>
    <w:rsid w:val="00323FC9"/>
    <w:rsid w:val="003270E5"/>
    <w:rsid w:val="00327D10"/>
    <w:rsid w:val="00332EA3"/>
    <w:rsid w:val="003377D7"/>
    <w:rsid w:val="00344B02"/>
    <w:rsid w:val="00345346"/>
    <w:rsid w:val="003477D3"/>
    <w:rsid w:val="003477E1"/>
    <w:rsid w:val="003505F8"/>
    <w:rsid w:val="00350FB5"/>
    <w:rsid w:val="00351C50"/>
    <w:rsid w:val="00352219"/>
    <w:rsid w:val="0035495A"/>
    <w:rsid w:val="00354962"/>
    <w:rsid w:val="00354EAB"/>
    <w:rsid w:val="003558E2"/>
    <w:rsid w:val="00356945"/>
    <w:rsid w:val="00357348"/>
    <w:rsid w:val="00357E37"/>
    <w:rsid w:val="0036008C"/>
    <w:rsid w:val="00362DC4"/>
    <w:rsid w:val="00364440"/>
    <w:rsid w:val="00367657"/>
    <w:rsid w:val="00367DAC"/>
    <w:rsid w:val="003730DD"/>
    <w:rsid w:val="0037467A"/>
    <w:rsid w:val="003775CA"/>
    <w:rsid w:val="00377871"/>
    <w:rsid w:val="00380266"/>
    <w:rsid w:val="003802C0"/>
    <w:rsid w:val="00380554"/>
    <w:rsid w:val="0038171C"/>
    <w:rsid w:val="003819F7"/>
    <w:rsid w:val="00381FDA"/>
    <w:rsid w:val="00382601"/>
    <w:rsid w:val="0038268B"/>
    <w:rsid w:val="0038349A"/>
    <w:rsid w:val="003835CF"/>
    <w:rsid w:val="00383622"/>
    <w:rsid w:val="00383AD2"/>
    <w:rsid w:val="00385E7A"/>
    <w:rsid w:val="00390977"/>
    <w:rsid w:val="0039181A"/>
    <w:rsid w:val="0039412B"/>
    <w:rsid w:val="003946B7"/>
    <w:rsid w:val="00395848"/>
    <w:rsid w:val="003A19A6"/>
    <w:rsid w:val="003A233E"/>
    <w:rsid w:val="003A2E77"/>
    <w:rsid w:val="003A4834"/>
    <w:rsid w:val="003A7C00"/>
    <w:rsid w:val="003B10EC"/>
    <w:rsid w:val="003B2E15"/>
    <w:rsid w:val="003B2E4F"/>
    <w:rsid w:val="003B44A9"/>
    <w:rsid w:val="003B5729"/>
    <w:rsid w:val="003B57DE"/>
    <w:rsid w:val="003C0514"/>
    <w:rsid w:val="003C1A87"/>
    <w:rsid w:val="003C2F0C"/>
    <w:rsid w:val="003C554D"/>
    <w:rsid w:val="003C747D"/>
    <w:rsid w:val="003C7BBA"/>
    <w:rsid w:val="003D1F4C"/>
    <w:rsid w:val="003D5291"/>
    <w:rsid w:val="003D5A79"/>
    <w:rsid w:val="003D5D21"/>
    <w:rsid w:val="003D7266"/>
    <w:rsid w:val="003E071D"/>
    <w:rsid w:val="003E0D78"/>
    <w:rsid w:val="003E22E5"/>
    <w:rsid w:val="003E3EA4"/>
    <w:rsid w:val="003F2DCA"/>
    <w:rsid w:val="003F2EF7"/>
    <w:rsid w:val="003F3654"/>
    <w:rsid w:val="003F3767"/>
    <w:rsid w:val="003F4C43"/>
    <w:rsid w:val="003F5C2C"/>
    <w:rsid w:val="003F75ED"/>
    <w:rsid w:val="003F7A44"/>
    <w:rsid w:val="0040051D"/>
    <w:rsid w:val="004008F4"/>
    <w:rsid w:val="00400C68"/>
    <w:rsid w:val="00402011"/>
    <w:rsid w:val="004022D8"/>
    <w:rsid w:val="00404C20"/>
    <w:rsid w:val="00406222"/>
    <w:rsid w:val="00407C9F"/>
    <w:rsid w:val="0041082E"/>
    <w:rsid w:val="004111D1"/>
    <w:rsid w:val="00411BA9"/>
    <w:rsid w:val="004124BC"/>
    <w:rsid w:val="00413622"/>
    <w:rsid w:val="004167C1"/>
    <w:rsid w:val="00420D38"/>
    <w:rsid w:val="004240FD"/>
    <w:rsid w:val="00425851"/>
    <w:rsid w:val="004260E6"/>
    <w:rsid w:val="004307D0"/>
    <w:rsid w:val="004316E3"/>
    <w:rsid w:val="004333B3"/>
    <w:rsid w:val="00433BD3"/>
    <w:rsid w:val="00433EA8"/>
    <w:rsid w:val="00437539"/>
    <w:rsid w:val="00441119"/>
    <w:rsid w:val="004453F1"/>
    <w:rsid w:val="00445E98"/>
    <w:rsid w:val="00447961"/>
    <w:rsid w:val="00450D67"/>
    <w:rsid w:val="00451880"/>
    <w:rsid w:val="00452399"/>
    <w:rsid w:val="004577CB"/>
    <w:rsid w:val="004577DA"/>
    <w:rsid w:val="0046108E"/>
    <w:rsid w:val="004645F8"/>
    <w:rsid w:val="004667F4"/>
    <w:rsid w:val="004669AE"/>
    <w:rsid w:val="00470EA3"/>
    <w:rsid w:val="00471002"/>
    <w:rsid w:val="00471CEA"/>
    <w:rsid w:val="00472160"/>
    <w:rsid w:val="0047224E"/>
    <w:rsid w:val="004731A8"/>
    <w:rsid w:val="00473AE7"/>
    <w:rsid w:val="004744D6"/>
    <w:rsid w:val="00475381"/>
    <w:rsid w:val="00475648"/>
    <w:rsid w:val="004756D2"/>
    <w:rsid w:val="0047738B"/>
    <w:rsid w:val="00481952"/>
    <w:rsid w:val="00482DEB"/>
    <w:rsid w:val="00483709"/>
    <w:rsid w:val="00483AEB"/>
    <w:rsid w:val="00485103"/>
    <w:rsid w:val="00485D7F"/>
    <w:rsid w:val="0048758E"/>
    <w:rsid w:val="004907D2"/>
    <w:rsid w:val="0049156E"/>
    <w:rsid w:val="00492AC9"/>
    <w:rsid w:val="00493BF8"/>
    <w:rsid w:val="00493CCB"/>
    <w:rsid w:val="00494299"/>
    <w:rsid w:val="00495917"/>
    <w:rsid w:val="004A2558"/>
    <w:rsid w:val="004A3720"/>
    <w:rsid w:val="004A3D6C"/>
    <w:rsid w:val="004A41E4"/>
    <w:rsid w:val="004A4365"/>
    <w:rsid w:val="004A44B0"/>
    <w:rsid w:val="004A5725"/>
    <w:rsid w:val="004A5CD1"/>
    <w:rsid w:val="004A6E05"/>
    <w:rsid w:val="004A7B60"/>
    <w:rsid w:val="004B023B"/>
    <w:rsid w:val="004B0A37"/>
    <w:rsid w:val="004B1AD6"/>
    <w:rsid w:val="004B1C09"/>
    <w:rsid w:val="004B28C2"/>
    <w:rsid w:val="004B4616"/>
    <w:rsid w:val="004B7F13"/>
    <w:rsid w:val="004B7F4B"/>
    <w:rsid w:val="004C0B02"/>
    <w:rsid w:val="004C38A2"/>
    <w:rsid w:val="004C3CA2"/>
    <w:rsid w:val="004C543C"/>
    <w:rsid w:val="004C5E3C"/>
    <w:rsid w:val="004C60DB"/>
    <w:rsid w:val="004C765B"/>
    <w:rsid w:val="004D1A3A"/>
    <w:rsid w:val="004D1B2A"/>
    <w:rsid w:val="004D1CA2"/>
    <w:rsid w:val="004D2896"/>
    <w:rsid w:val="004D2CBA"/>
    <w:rsid w:val="004D304D"/>
    <w:rsid w:val="004D70B9"/>
    <w:rsid w:val="004D7589"/>
    <w:rsid w:val="004D7FBD"/>
    <w:rsid w:val="004E255B"/>
    <w:rsid w:val="004E2819"/>
    <w:rsid w:val="004E2A52"/>
    <w:rsid w:val="004E2AA0"/>
    <w:rsid w:val="004E32FC"/>
    <w:rsid w:val="004E3363"/>
    <w:rsid w:val="004E63BC"/>
    <w:rsid w:val="004F0AF1"/>
    <w:rsid w:val="004F0D2E"/>
    <w:rsid w:val="004F117E"/>
    <w:rsid w:val="004F30CC"/>
    <w:rsid w:val="004F3E91"/>
    <w:rsid w:val="004F4F74"/>
    <w:rsid w:val="00500FB1"/>
    <w:rsid w:val="005038A4"/>
    <w:rsid w:val="0050584E"/>
    <w:rsid w:val="005059B5"/>
    <w:rsid w:val="005104E6"/>
    <w:rsid w:val="00512ED7"/>
    <w:rsid w:val="00513DB1"/>
    <w:rsid w:val="00514046"/>
    <w:rsid w:val="00515D0E"/>
    <w:rsid w:val="005165C8"/>
    <w:rsid w:val="00516ACE"/>
    <w:rsid w:val="0052031E"/>
    <w:rsid w:val="00521103"/>
    <w:rsid w:val="00522132"/>
    <w:rsid w:val="0052298F"/>
    <w:rsid w:val="005229EE"/>
    <w:rsid w:val="00523E7E"/>
    <w:rsid w:val="005269A8"/>
    <w:rsid w:val="00530D53"/>
    <w:rsid w:val="005313B1"/>
    <w:rsid w:val="005313B6"/>
    <w:rsid w:val="005330E2"/>
    <w:rsid w:val="00535201"/>
    <w:rsid w:val="00535B87"/>
    <w:rsid w:val="00536562"/>
    <w:rsid w:val="00540163"/>
    <w:rsid w:val="00540591"/>
    <w:rsid w:val="00541505"/>
    <w:rsid w:val="00541FE7"/>
    <w:rsid w:val="00542346"/>
    <w:rsid w:val="00547B1D"/>
    <w:rsid w:val="00551BCA"/>
    <w:rsid w:val="00552CF8"/>
    <w:rsid w:val="005554FA"/>
    <w:rsid w:val="00557FF0"/>
    <w:rsid w:val="00560E0E"/>
    <w:rsid w:val="00561C85"/>
    <w:rsid w:val="00561E33"/>
    <w:rsid w:val="00563510"/>
    <w:rsid w:val="0056360C"/>
    <w:rsid w:val="0056427A"/>
    <w:rsid w:val="005734D7"/>
    <w:rsid w:val="00573C6D"/>
    <w:rsid w:val="00574960"/>
    <w:rsid w:val="00574CF8"/>
    <w:rsid w:val="00575548"/>
    <w:rsid w:val="00575D3C"/>
    <w:rsid w:val="00576B9A"/>
    <w:rsid w:val="00577865"/>
    <w:rsid w:val="00585AEE"/>
    <w:rsid w:val="00586314"/>
    <w:rsid w:val="00586594"/>
    <w:rsid w:val="00587E74"/>
    <w:rsid w:val="0059290D"/>
    <w:rsid w:val="00592973"/>
    <w:rsid w:val="005938FF"/>
    <w:rsid w:val="00595255"/>
    <w:rsid w:val="00595CC1"/>
    <w:rsid w:val="005A089B"/>
    <w:rsid w:val="005A2F82"/>
    <w:rsid w:val="005A333E"/>
    <w:rsid w:val="005A33B6"/>
    <w:rsid w:val="005A480C"/>
    <w:rsid w:val="005A4900"/>
    <w:rsid w:val="005B0B88"/>
    <w:rsid w:val="005B164F"/>
    <w:rsid w:val="005B168F"/>
    <w:rsid w:val="005B18F9"/>
    <w:rsid w:val="005B3E21"/>
    <w:rsid w:val="005B4E9C"/>
    <w:rsid w:val="005B53EA"/>
    <w:rsid w:val="005B5F6B"/>
    <w:rsid w:val="005B60C4"/>
    <w:rsid w:val="005B72B9"/>
    <w:rsid w:val="005B7524"/>
    <w:rsid w:val="005C473A"/>
    <w:rsid w:val="005C588F"/>
    <w:rsid w:val="005C7B7E"/>
    <w:rsid w:val="005D3FAF"/>
    <w:rsid w:val="005D640A"/>
    <w:rsid w:val="005D6430"/>
    <w:rsid w:val="005E0814"/>
    <w:rsid w:val="005E1305"/>
    <w:rsid w:val="005E4384"/>
    <w:rsid w:val="005E4EC7"/>
    <w:rsid w:val="005E563E"/>
    <w:rsid w:val="005E7647"/>
    <w:rsid w:val="005F0DFC"/>
    <w:rsid w:val="005F1B41"/>
    <w:rsid w:val="005F214D"/>
    <w:rsid w:val="005F4ED4"/>
    <w:rsid w:val="005F63EA"/>
    <w:rsid w:val="0060242B"/>
    <w:rsid w:val="00602E52"/>
    <w:rsid w:val="00604095"/>
    <w:rsid w:val="00604D0E"/>
    <w:rsid w:val="006052BA"/>
    <w:rsid w:val="00605CE4"/>
    <w:rsid w:val="006070A6"/>
    <w:rsid w:val="006074FE"/>
    <w:rsid w:val="00610234"/>
    <w:rsid w:val="006124F5"/>
    <w:rsid w:val="00612B18"/>
    <w:rsid w:val="00612C7B"/>
    <w:rsid w:val="00613888"/>
    <w:rsid w:val="0061593B"/>
    <w:rsid w:val="00615D18"/>
    <w:rsid w:val="00617839"/>
    <w:rsid w:val="006179D1"/>
    <w:rsid w:val="00623699"/>
    <w:rsid w:val="0062375E"/>
    <w:rsid w:val="006249E6"/>
    <w:rsid w:val="00624BA7"/>
    <w:rsid w:val="00625065"/>
    <w:rsid w:val="006261CB"/>
    <w:rsid w:val="00627552"/>
    <w:rsid w:val="006307D4"/>
    <w:rsid w:val="00631C1B"/>
    <w:rsid w:val="00631CE3"/>
    <w:rsid w:val="00632656"/>
    <w:rsid w:val="00632F40"/>
    <w:rsid w:val="006336B2"/>
    <w:rsid w:val="00634586"/>
    <w:rsid w:val="006374EC"/>
    <w:rsid w:val="006406FC"/>
    <w:rsid w:val="0064129D"/>
    <w:rsid w:val="00643D54"/>
    <w:rsid w:val="00644715"/>
    <w:rsid w:val="00645F0F"/>
    <w:rsid w:val="0064619A"/>
    <w:rsid w:val="00646352"/>
    <w:rsid w:val="006525AF"/>
    <w:rsid w:val="00655063"/>
    <w:rsid w:val="00655E29"/>
    <w:rsid w:val="00655FE6"/>
    <w:rsid w:val="0066015D"/>
    <w:rsid w:val="00661047"/>
    <w:rsid w:val="00662D42"/>
    <w:rsid w:val="00662F71"/>
    <w:rsid w:val="0066782B"/>
    <w:rsid w:val="006717E1"/>
    <w:rsid w:val="00671960"/>
    <w:rsid w:val="00675095"/>
    <w:rsid w:val="00676981"/>
    <w:rsid w:val="00682937"/>
    <w:rsid w:val="00682E4A"/>
    <w:rsid w:val="00684C85"/>
    <w:rsid w:val="00691614"/>
    <w:rsid w:val="0069251D"/>
    <w:rsid w:val="00692E97"/>
    <w:rsid w:val="006932CA"/>
    <w:rsid w:val="00694772"/>
    <w:rsid w:val="00695EAA"/>
    <w:rsid w:val="006968A3"/>
    <w:rsid w:val="006A2445"/>
    <w:rsid w:val="006A484E"/>
    <w:rsid w:val="006A5121"/>
    <w:rsid w:val="006A58A2"/>
    <w:rsid w:val="006A6A9C"/>
    <w:rsid w:val="006A6E28"/>
    <w:rsid w:val="006B32BA"/>
    <w:rsid w:val="006B3381"/>
    <w:rsid w:val="006B365D"/>
    <w:rsid w:val="006B3CD3"/>
    <w:rsid w:val="006B42F2"/>
    <w:rsid w:val="006B4935"/>
    <w:rsid w:val="006B4CDF"/>
    <w:rsid w:val="006B57AE"/>
    <w:rsid w:val="006B61E3"/>
    <w:rsid w:val="006B67DC"/>
    <w:rsid w:val="006B6BBF"/>
    <w:rsid w:val="006C1011"/>
    <w:rsid w:val="006C44A1"/>
    <w:rsid w:val="006C641E"/>
    <w:rsid w:val="006D45BE"/>
    <w:rsid w:val="006D4E73"/>
    <w:rsid w:val="006D618B"/>
    <w:rsid w:val="006D7B5A"/>
    <w:rsid w:val="006E0CC7"/>
    <w:rsid w:val="006E3B5C"/>
    <w:rsid w:val="006E4069"/>
    <w:rsid w:val="006E7E18"/>
    <w:rsid w:val="006E7ECD"/>
    <w:rsid w:val="006F0562"/>
    <w:rsid w:val="006F204C"/>
    <w:rsid w:val="006F2066"/>
    <w:rsid w:val="006F35A7"/>
    <w:rsid w:val="00701077"/>
    <w:rsid w:val="0070123D"/>
    <w:rsid w:val="007062D6"/>
    <w:rsid w:val="00706AB4"/>
    <w:rsid w:val="00706C91"/>
    <w:rsid w:val="0071153D"/>
    <w:rsid w:val="007125F9"/>
    <w:rsid w:val="0071307B"/>
    <w:rsid w:val="007133F8"/>
    <w:rsid w:val="0071372B"/>
    <w:rsid w:val="00713821"/>
    <w:rsid w:val="00714053"/>
    <w:rsid w:val="007147B1"/>
    <w:rsid w:val="00714A6A"/>
    <w:rsid w:val="00722E28"/>
    <w:rsid w:val="00723C6F"/>
    <w:rsid w:val="0072458D"/>
    <w:rsid w:val="00725212"/>
    <w:rsid w:val="0072704D"/>
    <w:rsid w:val="00727155"/>
    <w:rsid w:val="007311AB"/>
    <w:rsid w:val="00731624"/>
    <w:rsid w:val="0073312D"/>
    <w:rsid w:val="00733FCE"/>
    <w:rsid w:val="0073401B"/>
    <w:rsid w:val="0073434B"/>
    <w:rsid w:val="00734E27"/>
    <w:rsid w:val="00736A2D"/>
    <w:rsid w:val="00737C9B"/>
    <w:rsid w:val="00740B7F"/>
    <w:rsid w:val="0074251C"/>
    <w:rsid w:val="00747823"/>
    <w:rsid w:val="00747E1D"/>
    <w:rsid w:val="00750AA6"/>
    <w:rsid w:val="00750B87"/>
    <w:rsid w:val="00753ECE"/>
    <w:rsid w:val="00756A9E"/>
    <w:rsid w:val="00760EEA"/>
    <w:rsid w:val="007615A1"/>
    <w:rsid w:val="00763723"/>
    <w:rsid w:val="00766E46"/>
    <w:rsid w:val="00767629"/>
    <w:rsid w:val="007678C7"/>
    <w:rsid w:val="00767B57"/>
    <w:rsid w:val="00774524"/>
    <w:rsid w:val="00780867"/>
    <w:rsid w:val="00781E38"/>
    <w:rsid w:val="00782A24"/>
    <w:rsid w:val="00782E2E"/>
    <w:rsid w:val="00783E8B"/>
    <w:rsid w:val="007849C6"/>
    <w:rsid w:val="00784C7B"/>
    <w:rsid w:val="007904D2"/>
    <w:rsid w:val="00795932"/>
    <w:rsid w:val="00795C7B"/>
    <w:rsid w:val="00797C83"/>
    <w:rsid w:val="007A0E00"/>
    <w:rsid w:val="007A0EA5"/>
    <w:rsid w:val="007A19FF"/>
    <w:rsid w:val="007A29E7"/>
    <w:rsid w:val="007A3837"/>
    <w:rsid w:val="007A40D9"/>
    <w:rsid w:val="007A5F67"/>
    <w:rsid w:val="007B0DF1"/>
    <w:rsid w:val="007B1472"/>
    <w:rsid w:val="007B1F13"/>
    <w:rsid w:val="007B23AA"/>
    <w:rsid w:val="007B30FB"/>
    <w:rsid w:val="007B5B94"/>
    <w:rsid w:val="007B77EA"/>
    <w:rsid w:val="007C1475"/>
    <w:rsid w:val="007C18DF"/>
    <w:rsid w:val="007C2CB1"/>
    <w:rsid w:val="007C2CFA"/>
    <w:rsid w:val="007C348D"/>
    <w:rsid w:val="007C3C07"/>
    <w:rsid w:val="007C5A25"/>
    <w:rsid w:val="007C6247"/>
    <w:rsid w:val="007C6466"/>
    <w:rsid w:val="007C7286"/>
    <w:rsid w:val="007D0392"/>
    <w:rsid w:val="007D1235"/>
    <w:rsid w:val="007D160E"/>
    <w:rsid w:val="007D2D46"/>
    <w:rsid w:val="007D35F7"/>
    <w:rsid w:val="007D3D6A"/>
    <w:rsid w:val="007D5957"/>
    <w:rsid w:val="007E0436"/>
    <w:rsid w:val="007E0DF7"/>
    <w:rsid w:val="007E25C8"/>
    <w:rsid w:val="007E292A"/>
    <w:rsid w:val="007E4D5D"/>
    <w:rsid w:val="007E5C74"/>
    <w:rsid w:val="007E62F0"/>
    <w:rsid w:val="007E682C"/>
    <w:rsid w:val="007E7DFE"/>
    <w:rsid w:val="007F0C42"/>
    <w:rsid w:val="007F3BCE"/>
    <w:rsid w:val="007F5B49"/>
    <w:rsid w:val="007F6B22"/>
    <w:rsid w:val="007F7CD7"/>
    <w:rsid w:val="00802B1E"/>
    <w:rsid w:val="0080475E"/>
    <w:rsid w:val="0080498C"/>
    <w:rsid w:val="00805016"/>
    <w:rsid w:val="008050A8"/>
    <w:rsid w:val="00805740"/>
    <w:rsid w:val="00805C5A"/>
    <w:rsid w:val="008071DB"/>
    <w:rsid w:val="008111D7"/>
    <w:rsid w:val="0081279C"/>
    <w:rsid w:val="00812D3A"/>
    <w:rsid w:val="0081553A"/>
    <w:rsid w:val="00815C35"/>
    <w:rsid w:val="0081688F"/>
    <w:rsid w:val="008177DB"/>
    <w:rsid w:val="00821F07"/>
    <w:rsid w:val="00822397"/>
    <w:rsid w:val="00822A73"/>
    <w:rsid w:val="008230B0"/>
    <w:rsid w:val="00823222"/>
    <w:rsid w:val="0082459E"/>
    <w:rsid w:val="008261C2"/>
    <w:rsid w:val="00827AC7"/>
    <w:rsid w:val="00830215"/>
    <w:rsid w:val="0083185E"/>
    <w:rsid w:val="00831B2A"/>
    <w:rsid w:val="00832086"/>
    <w:rsid w:val="00833679"/>
    <w:rsid w:val="00833851"/>
    <w:rsid w:val="00833AF8"/>
    <w:rsid w:val="00833DE1"/>
    <w:rsid w:val="00840B18"/>
    <w:rsid w:val="0084218F"/>
    <w:rsid w:val="008434F6"/>
    <w:rsid w:val="00845158"/>
    <w:rsid w:val="00845958"/>
    <w:rsid w:val="00846507"/>
    <w:rsid w:val="00846AB5"/>
    <w:rsid w:val="00847170"/>
    <w:rsid w:val="00847BA6"/>
    <w:rsid w:val="00847E8A"/>
    <w:rsid w:val="008528FA"/>
    <w:rsid w:val="00855E4E"/>
    <w:rsid w:val="00856045"/>
    <w:rsid w:val="00860069"/>
    <w:rsid w:val="00860598"/>
    <w:rsid w:val="008633EE"/>
    <w:rsid w:val="00864CC1"/>
    <w:rsid w:val="008654E1"/>
    <w:rsid w:val="008658B0"/>
    <w:rsid w:val="008659CF"/>
    <w:rsid w:val="00870445"/>
    <w:rsid w:val="00870A94"/>
    <w:rsid w:val="008713A7"/>
    <w:rsid w:val="00874438"/>
    <w:rsid w:val="00875410"/>
    <w:rsid w:val="008757CC"/>
    <w:rsid w:val="008833F2"/>
    <w:rsid w:val="00884A44"/>
    <w:rsid w:val="00885863"/>
    <w:rsid w:val="00887BF4"/>
    <w:rsid w:val="0089013C"/>
    <w:rsid w:val="008902F3"/>
    <w:rsid w:val="00892053"/>
    <w:rsid w:val="00892223"/>
    <w:rsid w:val="00896CA7"/>
    <w:rsid w:val="00897AC6"/>
    <w:rsid w:val="00897E33"/>
    <w:rsid w:val="008A07CE"/>
    <w:rsid w:val="008A1619"/>
    <w:rsid w:val="008A26E7"/>
    <w:rsid w:val="008A409B"/>
    <w:rsid w:val="008A60F9"/>
    <w:rsid w:val="008A6E25"/>
    <w:rsid w:val="008A749C"/>
    <w:rsid w:val="008A7843"/>
    <w:rsid w:val="008B3A03"/>
    <w:rsid w:val="008B7370"/>
    <w:rsid w:val="008C0D6B"/>
    <w:rsid w:val="008C191B"/>
    <w:rsid w:val="008C204E"/>
    <w:rsid w:val="008C2491"/>
    <w:rsid w:val="008C2DB1"/>
    <w:rsid w:val="008C45CB"/>
    <w:rsid w:val="008C4847"/>
    <w:rsid w:val="008C6658"/>
    <w:rsid w:val="008C6C60"/>
    <w:rsid w:val="008C71F5"/>
    <w:rsid w:val="008C73A3"/>
    <w:rsid w:val="008D1AB9"/>
    <w:rsid w:val="008D31F9"/>
    <w:rsid w:val="008D7A58"/>
    <w:rsid w:val="008E0353"/>
    <w:rsid w:val="008E1903"/>
    <w:rsid w:val="008E7DBB"/>
    <w:rsid w:val="008E7DC8"/>
    <w:rsid w:val="008E7E51"/>
    <w:rsid w:val="008F1310"/>
    <w:rsid w:val="008F3D50"/>
    <w:rsid w:val="008F41E4"/>
    <w:rsid w:val="008F4FF5"/>
    <w:rsid w:val="008F5F1B"/>
    <w:rsid w:val="008F7E14"/>
    <w:rsid w:val="009000E4"/>
    <w:rsid w:val="00900363"/>
    <w:rsid w:val="00904A36"/>
    <w:rsid w:val="00907832"/>
    <w:rsid w:val="00907971"/>
    <w:rsid w:val="009079FC"/>
    <w:rsid w:val="00907FA7"/>
    <w:rsid w:val="00911D5B"/>
    <w:rsid w:val="00913EC2"/>
    <w:rsid w:val="0091537F"/>
    <w:rsid w:val="00915E9F"/>
    <w:rsid w:val="00916487"/>
    <w:rsid w:val="00916788"/>
    <w:rsid w:val="009201BF"/>
    <w:rsid w:val="009223B8"/>
    <w:rsid w:val="00922DB8"/>
    <w:rsid w:val="0092340B"/>
    <w:rsid w:val="0092465E"/>
    <w:rsid w:val="00924D53"/>
    <w:rsid w:val="00925C19"/>
    <w:rsid w:val="0092799F"/>
    <w:rsid w:val="0093034B"/>
    <w:rsid w:val="009304AF"/>
    <w:rsid w:val="00930CE7"/>
    <w:rsid w:val="009320EA"/>
    <w:rsid w:val="0093304E"/>
    <w:rsid w:val="009330A3"/>
    <w:rsid w:val="00933A62"/>
    <w:rsid w:val="009356AC"/>
    <w:rsid w:val="00935A45"/>
    <w:rsid w:val="00937211"/>
    <w:rsid w:val="009411E5"/>
    <w:rsid w:val="00942221"/>
    <w:rsid w:val="009429A8"/>
    <w:rsid w:val="0094441E"/>
    <w:rsid w:val="00945673"/>
    <w:rsid w:val="0094626A"/>
    <w:rsid w:val="009472E5"/>
    <w:rsid w:val="009474DA"/>
    <w:rsid w:val="0095132E"/>
    <w:rsid w:val="00951744"/>
    <w:rsid w:val="009518EF"/>
    <w:rsid w:val="00951BE3"/>
    <w:rsid w:val="00952E82"/>
    <w:rsid w:val="00955A52"/>
    <w:rsid w:val="00956863"/>
    <w:rsid w:val="00961D5E"/>
    <w:rsid w:val="00962B22"/>
    <w:rsid w:val="00962D1C"/>
    <w:rsid w:val="009641E0"/>
    <w:rsid w:val="00966966"/>
    <w:rsid w:val="00966CA2"/>
    <w:rsid w:val="00970249"/>
    <w:rsid w:val="00970ABC"/>
    <w:rsid w:val="00971C39"/>
    <w:rsid w:val="00971CAA"/>
    <w:rsid w:val="00974C9C"/>
    <w:rsid w:val="00976C99"/>
    <w:rsid w:val="00980795"/>
    <w:rsid w:val="0098092E"/>
    <w:rsid w:val="00981D44"/>
    <w:rsid w:val="00984684"/>
    <w:rsid w:val="00985131"/>
    <w:rsid w:val="00985586"/>
    <w:rsid w:val="009860B7"/>
    <w:rsid w:val="00986763"/>
    <w:rsid w:val="009912AD"/>
    <w:rsid w:val="00996BE7"/>
    <w:rsid w:val="00996DC1"/>
    <w:rsid w:val="009A0DC1"/>
    <w:rsid w:val="009A2305"/>
    <w:rsid w:val="009A5777"/>
    <w:rsid w:val="009A6220"/>
    <w:rsid w:val="009A6276"/>
    <w:rsid w:val="009A6392"/>
    <w:rsid w:val="009A76BD"/>
    <w:rsid w:val="009B0053"/>
    <w:rsid w:val="009B2C69"/>
    <w:rsid w:val="009B44B9"/>
    <w:rsid w:val="009B6E4B"/>
    <w:rsid w:val="009B75A9"/>
    <w:rsid w:val="009C2110"/>
    <w:rsid w:val="009C2EC8"/>
    <w:rsid w:val="009C419A"/>
    <w:rsid w:val="009C5ED0"/>
    <w:rsid w:val="009C608A"/>
    <w:rsid w:val="009D113F"/>
    <w:rsid w:val="009D1C00"/>
    <w:rsid w:val="009D2980"/>
    <w:rsid w:val="009D32D5"/>
    <w:rsid w:val="009D3B2D"/>
    <w:rsid w:val="009D3C6D"/>
    <w:rsid w:val="009E0103"/>
    <w:rsid w:val="009E17F4"/>
    <w:rsid w:val="009E4599"/>
    <w:rsid w:val="009E513F"/>
    <w:rsid w:val="009E58F7"/>
    <w:rsid w:val="009E6304"/>
    <w:rsid w:val="009E666C"/>
    <w:rsid w:val="009E68F2"/>
    <w:rsid w:val="009E6FCE"/>
    <w:rsid w:val="009F014C"/>
    <w:rsid w:val="009F05EA"/>
    <w:rsid w:val="009F0FD8"/>
    <w:rsid w:val="009F11ED"/>
    <w:rsid w:val="009F2CD5"/>
    <w:rsid w:val="009F3DA0"/>
    <w:rsid w:val="009F4A49"/>
    <w:rsid w:val="00A00479"/>
    <w:rsid w:val="00A01367"/>
    <w:rsid w:val="00A01881"/>
    <w:rsid w:val="00A0673A"/>
    <w:rsid w:val="00A071F1"/>
    <w:rsid w:val="00A126CE"/>
    <w:rsid w:val="00A12A60"/>
    <w:rsid w:val="00A12D02"/>
    <w:rsid w:val="00A13D70"/>
    <w:rsid w:val="00A14A6F"/>
    <w:rsid w:val="00A15792"/>
    <w:rsid w:val="00A1683A"/>
    <w:rsid w:val="00A16D1A"/>
    <w:rsid w:val="00A17374"/>
    <w:rsid w:val="00A17589"/>
    <w:rsid w:val="00A17A0A"/>
    <w:rsid w:val="00A22651"/>
    <w:rsid w:val="00A22B2A"/>
    <w:rsid w:val="00A22B44"/>
    <w:rsid w:val="00A22D20"/>
    <w:rsid w:val="00A23255"/>
    <w:rsid w:val="00A2497B"/>
    <w:rsid w:val="00A27714"/>
    <w:rsid w:val="00A31889"/>
    <w:rsid w:val="00A3211C"/>
    <w:rsid w:val="00A3229C"/>
    <w:rsid w:val="00A33876"/>
    <w:rsid w:val="00A35B62"/>
    <w:rsid w:val="00A36CC8"/>
    <w:rsid w:val="00A44853"/>
    <w:rsid w:val="00A509BE"/>
    <w:rsid w:val="00A52A05"/>
    <w:rsid w:val="00A54A6B"/>
    <w:rsid w:val="00A56004"/>
    <w:rsid w:val="00A56AFE"/>
    <w:rsid w:val="00A6398F"/>
    <w:rsid w:val="00A64E54"/>
    <w:rsid w:val="00A667E3"/>
    <w:rsid w:val="00A7173A"/>
    <w:rsid w:val="00A718F8"/>
    <w:rsid w:val="00A72F5D"/>
    <w:rsid w:val="00A81BD0"/>
    <w:rsid w:val="00A82AB0"/>
    <w:rsid w:val="00A835B8"/>
    <w:rsid w:val="00A85B7B"/>
    <w:rsid w:val="00A85D9C"/>
    <w:rsid w:val="00A9203C"/>
    <w:rsid w:val="00A9368C"/>
    <w:rsid w:val="00A938B6"/>
    <w:rsid w:val="00A94C6D"/>
    <w:rsid w:val="00A95848"/>
    <w:rsid w:val="00A972A5"/>
    <w:rsid w:val="00A9778B"/>
    <w:rsid w:val="00AA018E"/>
    <w:rsid w:val="00AA1B1C"/>
    <w:rsid w:val="00AA2FB1"/>
    <w:rsid w:val="00AA44C2"/>
    <w:rsid w:val="00AB1A7E"/>
    <w:rsid w:val="00AB1CD6"/>
    <w:rsid w:val="00AB267B"/>
    <w:rsid w:val="00AB2B1F"/>
    <w:rsid w:val="00AB2BC0"/>
    <w:rsid w:val="00AB3BA9"/>
    <w:rsid w:val="00AB4532"/>
    <w:rsid w:val="00AB4A79"/>
    <w:rsid w:val="00AB4BBE"/>
    <w:rsid w:val="00AB5523"/>
    <w:rsid w:val="00AB69BC"/>
    <w:rsid w:val="00AB6A8C"/>
    <w:rsid w:val="00AB6D12"/>
    <w:rsid w:val="00AB78FB"/>
    <w:rsid w:val="00AC1411"/>
    <w:rsid w:val="00AC4F75"/>
    <w:rsid w:val="00AC4F86"/>
    <w:rsid w:val="00AD36E0"/>
    <w:rsid w:val="00AD5C9D"/>
    <w:rsid w:val="00AE0213"/>
    <w:rsid w:val="00AE22F6"/>
    <w:rsid w:val="00AE23C0"/>
    <w:rsid w:val="00AE23C3"/>
    <w:rsid w:val="00AE24BA"/>
    <w:rsid w:val="00AE71FA"/>
    <w:rsid w:val="00AF0014"/>
    <w:rsid w:val="00AF0A32"/>
    <w:rsid w:val="00AF14DA"/>
    <w:rsid w:val="00AF251D"/>
    <w:rsid w:val="00AF3618"/>
    <w:rsid w:val="00AF42FB"/>
    <w:rsid w:val="00AF5478"/>
    <w:rsid w:val="00AF58C8"/>
    <w:rsid w:val="00AF59FD"/>
    <w:rsid w:val="00AF7FAC"/>
    <w:rsid w:val="00B02306"/>
    <w:rsid w:val="00B053E4"/>
    <w:rsid w:val="00B100BB"/>
    <w:rsid w:val="00B105BD"/>
    <w:rsid w:val="00B11FAB"/>
    <w:rsid w:val="00B1282D"/>
    <w:rsid w:val="00B13315"/>
    <w:rsid w:val="00B158B6"/>
    <w:rsid w:val="00B16389"/>
    <w:rsid w:val="00B176AA"/>
    <w:rsid w:val="00B17DED"/>
    <w:rsid w:val="00B20AB9"/>
    <w:rsid w:val="00B21B15"/>
    <w:rsid w:val="00B22D0E"/>
    <w:rsid w:val="00B23616"/>
    <w:rsid w:val="00B242BC"/>
    <w:rsid w:val="00B244DA"/>
    <w:rsid w:val="00B256C8"/>
    <w:rsid w:val="00B2775F"/>
    <w:rsid w:val="00B30737"/>
    <w:rsid w:val="00B31DA0"/>
    <w:rsid w:val="00B329E7"/>
    <w:rsid w:val="00B33251"/>
    <w:rsid w:val="00B34F6C"/>
    <w:rsid w:val="00B354DB"/>
    <w:rsid w:val="00B35D73"/>
    <w:rsid w:val="00B36964"/>
    <w:rsid w:val="00B40608"/>
    <w:rsid w:val="00B41272"/>
    <w:rsid w:val="00B41E16"/>
    <w:rsid w:val="00B424E2"/>
    <w:rsid w:val="00B42661"/>
    <w:rsid w:val="00B46646"/>
    <w:rsid w:val="00B468FB"/>
    <w:rsid w:val="00B50718"/>
    <w:rsid w:val="00B51EF3"/>
    <w:rsid w:val="00B52E8F"/>
    <w:rsid w:val="00B54030"/>
    <w:rsid w:val="00B5650F"/>
    <w:rsid w:val="00B57288"/>
    <w:rsid w:val="00B607FC"/>
    <w:rsid w:val="00B60C10"/>
    <w:rsid w:val="00B61A39"/>
    <w:rsid w:val="00B61E1A"/>
    <w:rsid w:val="00B61FE0"/>
    <w:rsid w:val="00B630D7"/>
    <w:rsid w:val="00B63ACF"/>
    <w:rsid w:val="00B643F6"/>
    <w:rsid w:val="00B646C8"/>
    <w:rsid w:val="00B65D07"/>
    <w:rsid w:val="00B65DB6"/>
    <w:rsid w:val="00B663F0"/>
    <w:rsid w:val="00B67CFE"/>
    <w:rsid w:val="00B702DB"/>
    <w:rsid w:val="00B71045"/>
    <w:rsid w:val="00B7623B"/>
    <w:rsid w:val="00B76DC7"/>
    <w:rsid w:val="00B80162"/>
    <w:rsid w:val="00B80513"/>
    <w:rsid w:val="00B805B9"/>
    <w:rsid w:val="00B810F0"/>
    <w:rsid w:val="00B81686"/>
    <w:rsid w:val="00B84FDB"/>
    <w:rsid w:val="00B85DE7"/>
    <w:rsid w:val="00B86230"/>
    <w:rsid w:val="00B86564"/>
    <w:rsid w:val="00B907BA"/>
    <w:rsid w:val="00B90944"/>
    <w:rsid w:val="00B90BDE"/>
    <w:rsid w:val="00B911D8"/>
    <w:rsid w:val="00B914D0"/>
    <w:rsid w:val="00B919A5"/>
    <w:rsid w:val="00B92D15"/>
    <w:rsid w:val="00B94543"/>
    <w:rsid w:val="00B946EF"/>
    <w:rsid w:val="00B96D71"/>
    <w:rsid w:val="00B96DF5"/>
    <w:rsid w:val="00B97F44"/>
    <w:rsid w:val="00BA2017"/>
    <w:rsid w:val="00BA440F"/>
    <w:rsid w:val="00BA48DA"/>
    <w:rsid w:val="00BA4C9E"/>
    <w:rsid w:val="00BA70D8"/>
    <w:rsid w:val="00BB0B39"/>
    <w:rsid w:val="00BB27AB"/>
    <w:rsid w:val="00BB281D"/>
    <w:rsid w:val="00BB3487"/>
    <w:rsid w:val="00BB36F0"/>
    <w:rsid w:val="00BB3AF0"/>
    <w:rsid w:val="00BB5FC6"/>
    <w:rsid w:val="00BB6E17"/>
    <w:rsid w:val="00BB6F4D"/>
    <w:rsid w:val="00BC25D8"/>
    <w:rsid w:val="00BC32C6"/>
    <w:rsid w:val="00BC37E4"/>
    <w:rsid w:val="00BC60E1"/>
    <w:rsid w:val="00BC7336"/>
    <w:rsid w:val="00BC7405"/>
    <w:rsid w:val="00BD0171"/>
    <w:rsid w:val="00BD1E91"/>
    <w:rsid w:val="00BD4DE6"/>
    <w:rsid w:val="00BD5481"/>
    <w:rsid w:val="00BD5A9D"/>
    <w:rsid w:val="00BD6AE4"/>
    <w:rsid w:val="00BD7AFA"/>
    <w:rsid w:val="00BE04F1"/>
    <w:rsid w:val="00BE157C"/>
    <w:rsid w:val="00BE198B"/>
    <w:rsid w:val="00BE2135"/>
    <w:rsid w:val="00BE3FD1"/>
    <w:rsid w:val="00BE4169"/>
    <w:rsid w:val="00BE4A3E"/>
    <w:rsid w:val="00BE6F5E"/>
    <w:rsid w:val="00BE7916"/>
    <w:rsid w:val="00BF30E9"/>
    <w:rsid w:val="00BF365B"/>
    <w:rsid w:val="00BF377D"/>
    <w:rsid w:val="00BF4EF3"/>
    <w:rsid w:val="00C01551"/>
    <w:rsid w:val="00C021E1"/>
    <w:rsid w:val="00C03C28"/>
    <w:rsid w:val="00C042C5"/>
    <w:rsid w:val="00C10A12"/>
    <w:rsid w:val="00C12513"/>
    <w:rsid w:val="00C158DC"/>
    <w:rsid w:val="00C15ACD"/>
    <w:rsid w:val="00C17543"/>
    <w:rsid w:val="00C21F27"/>
    <w:rsid w:val="00C2726F"/>
    <w:rsid w:val="00C31C6A"/>
    <w:rsid w:val="00C34C3C"/>
    <w:rsid w:val="00C35361"/>
    <w:rsid w:val="00C3571A"/>
    <w:rsid w:val="00C37400"/>
    <w:rsid w:val="00C376F4"/>
    <w:rsid w:val="00C376F8"/>
    <w:rsid w:val="00C4161E"/>
    <w:rsid w:val="00C4162D"/>
    <w:rsid w:val="00C43292"/>
    <w:rsid w:val="00C45DAC"/>
    <w:rsid w:val="00C466FC"/>
    <w:rsid w:val="00C47B63"/>
    <w:rsid w:val="00C47E52"/>
    <w:rsid w:val="00C5000D"/>
    <w:rsid w:val="00C500A3"/>
    <w:rsid w:val="00C51F1E"/>
    <w:rsid w:val="00C533C8"/>
    <w:rsid w:val="00C53A53"/>
    <w:rsid w:val="00C54F1C"/>
    <w:rsid w:val="00C612BF"/>
    <w:rsid w:val="00C6231A"/>
    <w:rsid w:val="00C625B5"/>
    <w:rsid w:val="00C6280F"/>
    <w:rsid w:val="00C64612"/>
    <w:rsid w:val="00C659F6"/>
    <w:rsid w:val="00C6637B"/>
    <w:rsid w:val="00C6695D"/>
    <w:rsid w:val="00C70C1E"/>
    <w:rsid w:val="00C719B7"/>
    <w:rsid w:val="00C72655"/>
    <w:rsid w:val="00C74028"/>
    <w:rsid w:val="00C743C7"/>
    <w:rsid w:val="00C74571"/>
    <w:rsid w:val="00C7568D"/>
    <w:rsid w:val="00C77591"/>
    <w:rsid w:val="00C82AAF"/>
    <w:rsid w:val="00C83AC5"/>
    <w:rsid w:val="00C83B5F"/>
    <w:rsid w:val="00C840AD"/>
    <w:rsid w:val="00C85466"/>
    <w:rsid w:val="00C85C74"/>
    <w:rsid w:val="00C86DDB"/>
    <w:rsid w:val="00C90EE0"/>
    <w:rsid w:val="00C91508"/>
    <w:rsid w:val="00C915FB"/>
    <w:rsid w:val="00C91C73"/>
    <w:rsid w:val="00C93082"/>
    <w:rsid w:val="00C93AB3"/>
    <w:rsid w:val="00C94C7D"/>
    <w:rsid w:val="00C95B18"/>
    <w:rsid w:val="00C95C2D"/>
    <w:rsid w:val="00C95F12"/>
    <w:rsid w:val="00C961CB"/>
    <w:rsid w:val="00C96C9A"/>
    <w:rsid w:val="00C9780F"/>
    <w:rsid w:val="00CA4EA3"/>
    <w:rsid w:val="00CA57D3"/>
    <w:rsid w:val="00CA5892"/>
    <w:rsid w:val="00CA5B82"/>
    <w:rsid w:val="00CA66B8"/>
    <w:rsid w:val="00CA7F19"/>
    <w:rsid w:val="00CB019A"/>
    <w:rsid w:val="00CB3BCD"/>
    <w:rsid w:val="00CB54B9"/>
    <w:rsid w:val="00CC0E23"/>
    <w:rsid w:val="00CC3658"/>
    <w:rsid w:val="00CC46CE"/>
    <w:rsid w:val="00CC5178"/>
    <w:rsid w:val="00CC6EA5"/>
    <w:rsid w:val="00CC727E"/>
    <w:rsid w:val="00CC7FEC"/>
    <w:rsid w:val="00CD073D"/>
    <w:rsid w:val="00CD0C4F"/>
    <w:rsid w:val="00CD19BA"/>
    <w:rsid w:val="00CD3009"/>
    <w:rsid w:val="00CD3327"/>
    <w:rsid w:val="00CD49A1"/>
    <w:rsid w:val="00CD59BF"/>
    <w:rsid w:val="00CD6352"/>
    <w:rsid w:val="00CD731E"/>
    <w:rsid w:val="00CD7D0F"/>
    <w:rsid w:val="00CE06D4"/>
    <w:rsid w:val="00CE072E"/>
    <w:rsid w:val="00CE27FB"/>
    <w:rsid w:val="00CE31E8"/>
    <w:rsid w:val="00CE494B"/>
    <w:rsid w:val="00CF2DAE"/>
    <w:rsid w:val="00CF3BB0"/>
    <w:rsid w:val="00CF3C1F"/>
    <w:rsid w:val="00CF41E2"/>
    <w:rsid w:val="00CF5521"/>
    <w:rsid w:val="00CF7154"/>
    <w:rsid w:val="00D019CC"/>
    <w:rsid w:val="00D02B8F"/>
    <w:rsid w:val="00D04F53"/>
    <w:rsid w:val="00D0758D"/>
    <w:rsid w:val="00D07FF3"/>
    <w:rsid w:val="00D14587"/>
    <w:rsid w:val="00D17CF3"/>
    <w:rsid w:val="00D21B93"/>
    <w:rsid w:val="00D21D73"/>
    <w:rsid w:val="00D231A9"/>
    <w:rsid w:val="00D250F1"/>
    <w:rsid w:val="00D2531F"/>
    <w:rsid w:val="00D26936"/>
    <w:rsid w:val="00D31C01"/>
    <w:rsid w:val="00D32FAE"/>
    <w:rsid w:val="00D35509"/>
    <w:rsid w:val="00D3799B"/>
    <w:rsid w:val="00D40B91"/>
    <w:rsid w:val="00D41165"/>
    <w:rsid w:val="00D440C6"/>
    <w:rsid w:val="00D44478"/>
    <w:rsid w:val="00D451D8"/>
    <w:rsid w:val="00D4645D"/>
    <w:rsid w:val="00D46C63"/>
    <w:rsid w:val="00D46EE6"/>
    <w:rsid w:val="00D502A4"/>
    <w:rsid w:val="00D50C46"/>
    <w:rsid w:val="00D52709"/>
    <w:rsid w:val="00D52A5D"/>
    <w:rsid w:val="00D5496F"/>
    <w:rsid w:val="00D54FA5"/>
    <w:rsid w:val="00D55378"/>
    <w:rsid w:val="00D57460"/>
    <w:rsid w:val="00D6042E"/>
    <w:rsid w:val="00D61BC0"/>
    <w:rsid w:val="00D623CF"/>
    <w:rsid w:val="00D63CFB"/>
    <w:rsid w:val="00D657B9"/>
    <w:rsid w:val="00D658A7"/>
    <w:rsid w:val="00D67F00"/>
    <w:rsid w:val="00D67F90"/>
    <w:rsid w:val="00D70505"/>
    <w:rsid w:val="00D72809"/>
    <w:rsid w:val="00D72D18"/>
    <w:rsid w:val="00D76FD8"/>
    <w:rsid w:val="00D7777E"/>
    <w:rsid w:val="00D77E58"/>
    <w:rsid w:val="00D80325"/>
    <w:rsid w:val="00D808DA"/>
    <w:rsid w:val="00D81F85"/>
    <w:rsid w:val="00D82150"/>
    <w:rsid w:val="00D82F45"/>
    <w:rsid w:val="00D83541"/>
    <w:rsid w:val="00D844F4"/>
    <w:rsid w:val="00D84E57"/>
    <w:rsid w:val="00D905C9"/>
    <w:rsid w:val="00D905EA"/>
    <w:rsid w:val="00D9343B"/>
    <w:rsid w:val="00D956F4"/>
    <w:rsid w:val="00D96217"/>
    <w:rsid w:val="00D96966"/>
    <w:rsid w:val="00D976CA"/>
    <w:rsid w:val="00DA1CEF"/>
    <w:rsid w:val="00DA23C4"/>
    <w:rsid w:val="00DA2717"/>
    <w:rsid w:val="00DA3258"/>
    <w:rsid w:val="00DA3620"/>
    <w:rsid w:val="00DA38EF"/>
    <w:rsid w:val="00DA3A48"/>
    <w:rsid w:val="00DA416B"/>
    <w:rsid w:val="00DA776C"/>
    <w:rsid w:val="00DB0B4F"/>
    <w:rsid w:val="00DB0F6C"/>
    <w:rsid w:val="00DB13A9"/>
    <w:rsid w:val="00DB1B75"/>
    <w:rsid w:val="00DB3D4E"/>
    <w:rsid w:val="00DB4541"/>
    <w:rsid w:val="00DB6AC1"/>
    <w:rsid w:val="00DB75C6"/>
    <w:rsid w:val="00DB7B04"/>
    <w:rsid w:val="00DC0F25"/>
    <w:rsid w:val="00DC33BD"/>
    <w:rsid w:val="00DC4148"/>
    <w:rsid w:val="00DC4537"/>
    <w:rsid w:val="00DC4E22"/>
    <w:rsid w:val="00DD0152"/>
    <w:rsid w:val="00DD03E8"/>
    <w:rsid w:val="00DD1376"/>
    <w:rsid w:val="00DD2C07"/>
    <w:rsid w:val="00DD5341"/>
    <w:rsid w:val="00DD6990"/>
    <w:rsid w:val="00DD6BAB"/>
    <w:rsid w:val="00DE15C8"/>
    <w:rsid w:val="00DE1AE5"/>
    <w:rsid w:val="00DE21DC"/>
    <w:rsid w:val="00DE32F0"/>
    <w:rsid w:val="00DE345D"/>
    <w:rsid w:val="00DE666A"/>
    <w:rsid w:val="00DE7C19"/>
    <w:rsid w:val="00DF029F"/>
    <w:rsid w:val="00DF0E9E"/>
    <w:rsid w:val="00DF294D"/>
    <w:rsid w:val="00DF2A7F"/>
    <w:rsid w:val="00DF3F6B"/>
    <w:rsid w:val="00DF5517"/>
    <w:rsid w:val="00E0196A"/>
    <w:rsid w:val="00E01B28"/>
    <w:rsid w:val="00E01DE4"/>
    <w:rsid w:val="00E059FF"/>
    <w:rsid w:val="00E1034B"/>
    <w:rsid w:val="00E14F4A"/>
    <w:rsid w:val="00E153C8"/>
    <w:rsid w:val="00E201CB"/>
    <w:rsid w:val="00E205E6"/>
    <w:rsid w:val="00E20C38"/>
    <w:rsid w:val="00E21DE7"/>
    <w:rsid w:val="00E23711"/>
    <w:rsid w:val="00E23C6E"/>
    <w:rsid w:val="00E24DF2"/>
    <w:rsid w:val="00E25242"/>
    <w:rsid w:val="00E27C46"/>
    <w:rsid w:val="00E30518"/>
    <w:rsid w:val="00E30740"/>
    <w:rsid w:val="00E308FE"/>
    <w:rsid w:val="00E30E76"/>
    <w:rsid w:val="00E32143"/>
    <w:rsid w:val="00E324B1"/>
    <w:rsid w:val="00E3370C"/>
    <w:rsid w:val="00E3435A"/>
    <w:rsid w:val="00E349B4"/>
    <w:rsid w:val="00E34CF1"/>
    <w:rsid w:val="00E352D4"/>
    <w:rsid w:val="00E35BA3"/>
    <w:rsid w:val="00E35C06"/>
    <w:rsid w:val="00E36715"/>
    <w:rsid w:val="00E36B1F"/>
    <w:rsid w:val="00E411A6"/>
    <w:rsid w:val="00E425FF"/>
    <w:rsid w:val="00E43D79"/>
    <w:rsid w:val="00E442C7"/>
    <w:rsid w:val="00E467A7"/>
    <w:rsid w:val="00E46E94"/>
    <w:rsid w:val="00E46F35"/>
    <w:rsid w:val="00E50EB9"/>
    <w:rsid w:val="00E539EA"/>
    <w:rsid w:val="00E53BD5"/>
    <w:rsid w:val="00E54844"/>
    <w:rsid w:val="00E54D6D"/>
    <w:rsid w:val="00E54F56"/>
    <w:rsid w:val="00E556F7"/>
    <w:rsid w:val="00E55D21"/>
    <w:rsid w:val="00E56F91"/>
    <w:rsid w:val="00E57282"/>
    <w:rsid w:val="00E57F17"/>
    <w:rsid w:val="00E6106B"/>
    <w:rsid w:val="00E613EF"/>
    <w:rsid w:val="00E61815"/>
    <w:rsid w:val="00E61AB3"/>
    <w:rsid w:val="00E63F40"/>
    <w:rsid w:val="00E64101"/>
    <w:rsid w:val="00E6560C"/>
    <w:rsid w:val="00E70CB2"/>
    <w:rsid w:val="00E73902"/>
    <w:rsid w:val="00E757A8"/>
    <w:rsid w:val="00E77921"/>
    <w:rsid w:val="00E8402A"/>
    <w:rsid w:val="00E840C3"/>
    <w:rsid w:val="00E848AB"/>
    <w:rsid w:val="00E849D5"/>
    <w:rsid w:val="00E86DBD"/>
    <w:rsid w:val="00E8724F"/>
    <w:rsid w:val="00E913CA"/>
    <w:rsid w:val="00E91E42"/>
    <w:rsid w:val="00E92B3F"/>
    <w:rsid w:val="00E93016"/>
    <w:rsid w:val="00E957AA"/>
    <w:rsid w:val="00E964F6"/>
    <w:rsid w:val="00E9687C"/>
    <w:rsid w:val="00E96D4F"/>
    <w:rsid w:val="00E9746A"/>
    <w:rsid w:val="00EA29CF"/>
    <w:rsid w:val="00EA3E3D"/>
    <w:rsid w:val="00EA5F47"/>
    <w:rsid w:val="00EA64FD"/>
    <w:rsid w:val="00EA7336"/>
    <w:rsid w:val="00EB344A"/>
    <w:rsid w:val="00EB6845"/>
    <w:rsid w:val="00EC0431"/>
    <w:rsid w:val="00EC2D3B"/>
    <w:rsid w:val="00EC3B43"/>
    <w:rsid w:val="00EC58EE"/>
    <w:rsid w:val="00EC6489"/>
    <w:rsid w:val="00EC6511"/>
    <w:rsid w:val="00EC6873"/>
    <w:rsid w:val="00ED0097"/>
    <w:rsid w:val="00ED13FE"/>
    <w:rsid w:val="00ED1B54"/>
    <w:rsid w:val="00ED3C5D"/>
    <w:rsid w:val="00ED4214"/>
    <w:rsid w:val="00ED73C9"/>
    <w:rsid w:val="00EE0495"/>
    <w:rsid w:val="00EE0C1F"/>
    <w:rsid w:val="00EE19F0"/>
    <w:rsid w:val="00EE24BC"/>
    <w:rsid w:val="00EE49FC"/>
    <w:rsid w:val="00EE4E50"/>
    <w:rsid w:val="00EE55EE"/>
    <w:rsid w:val="00EE56AA"/>
    <w:rsid w:val="00EE6873"/>
    <w:rsid w:val="00EE6EDA"/>
    <w:rsid w:val="00EF09DD"/>
    <w:rsid w:val="00EF33A3"/>
    <w:rsid w:val="00EF3E33"/>
    <w:rsid w:val="00EF47DB"/>
    <w:rsid w:val="00EF6FB9"/>
    <w:rsid w:val="00EF7320"/>
    <w:rsid w:val="00F00423"/>
    <w:rsid w:val="00F0106A"/>
    <w:rsid w:val="00F01843"/>
    <w:rsid w:val="00F0371F"/>
    <w:rsid w:val="00F03CF4"/>
    <w:rsid w:val="00F05504"/>
    <w:rsid w:val="00F059DD"/>
    <w:rsid w:val="00F07EDB"/>
    <w:rsid w:val="00F1065C"/>
    <w:rsid w:val="00F10F18"/>
    <w:rsid w:val="00F11D63"/>
    <w:rsid w:val="00F139E2"/>
    <w:rsid w:val="00F13D50"/>
    <w:rsid w:val="00F14B44"/>
    <w:rsid w:val="00F160BB"/>
    <w:rsid w:val="00F1694B"/>
    <w:rsid w:val="00F16B3E"/>
    <w:rsid w:val="00F230A9"/>
    <w:rsid w:val="00F23CE6"/>
    <w:rsid w:val="00F27688"/>
    <w:rsid w:val="00F320EF"/>
    <w:rsid w:val="00F3300A"/>
    <w:rsid w:val="00F350CF"/>
    <w:rsid w:val="00F3518D"/>
    <w:rsid w:val="00F366BB"/>
    <w:rsid w:val="00F37425"/>
    <w:rsid w:val="00F37BC2"/>
    <w:rsid w:val="00F40E33"/>
    <w:rsid w:val="00F41968"/>
    <w:rsid w:val="00F44734"/>
    <w:rsid w:val="00F456AF"/>
    <w:rsid w:val="00F458EA"/>
    <w:rsid w:val="00F45B18"/>
    <w:rsid w:val="00F45E63"/>
    <w:rsid w:val="00F46513"/>
    <w:rsid w:val="00F47403"/>
    <w:rsid w:val="00F47DB0"/>
    <w:rsid w:val="00F5266E"/>
    <w:rsid w:val="00F55558"/>
    <w:rsid w:val="00F60840"/>
    <w:rsid w:val="00F622A6"/>
    <w:rsid w:val="00F62C8A"/>
    <w:rsid w:val="00F643C4"/>
    <w:rsid w:val="00F644F1"/>
    <w:rsid w:val="00F6501A"/>
    <w:rsid w:val="00F701F3"/>
    <w:rsid w:val="00F702C6"/>
    <w:rsid w:val="00F70B88"/>
    <w:rsid w:val="00F72BF9"/>
    <w:rsid w:val="00F74A02"/>
    <w:rsid w:val="00F75813"/>
    <w:rsid w:val="00F76D39"/>
    <w:rsid w:val="00F77592"/>
    <w:rsid w:val="00F804E6"/>
    <w:rsid w:val="00F81F7F"/>
    <w:rsid w:val="00F83AC0"/>
    <w:rsid w:val="00F86073"/>
    <w:rsid w:val="00F86FB6"/>
    <w:rsid w:val="00F872CC"/>
    <w:rsid w:val="00F87426"/>
    <w:rsid w:val="00F9024F"/>
    <w:rsid w:val="00F90798"/>
    <w:rsid w:val="00F90B53"/>
    <w:rsid w:val="00F940E4"/>
    <w:rsid w:val="00F95FA0"/>
    <w:rsid w:val="00FA0869"/>
    <w:rsid w:val="00FA387F"/>
    <w:rsid w:val="00FA3EEE"/>
    <w:rsid w:val="00FA789B"/>
    <w:rsid w:val="00FA78E4"/>
    <w:rsid w:val="00FB3F4B"/>
    <w:rsid w:val="00FB4DCD"/>
    <w:rsid w:val="00FB556E"/>
    <w:rsid w:val="00FB5C6D"/>
    <w:rsid w:val="00FB74BD"/>
    <w:rsid w:val="00FC1941"/>
    <w:rsid w:val="00FC221B"/>
    <w:rsid w:val="00FC4093"/>
    <w:rsid w:val="00FC4344"/>
    <w:rsid w:val="00FC5F26"/>
    <w:rsid w:val="00FC7D8D"/>
    <w:rsid w:val="00FD226C"/>
    <w:rsid w:val="00FD2AB1"/>
    <w:rsid w:val="00FD3EF8"/>
    <w:rsid w:val="00FD4FEF"/>
    <w:rsid w:val="00FD5A92"/>
    <w:rsid w:val="00FD61AD"/>
    <w:rsid w:val="00FE07EA"/>
    <w:rsid w:val="00FE0D1E"/>
    <w:rsid w:val="00FE2572"/>
    <w:rsid w:val="00FE2E64"/>
    <w:rsid w:val="00FE3218"/>
    <w:rsid w:val="00FE3E34"/>
    <w:rsid w:val="00FE436A"/>
    <w:rsid w:val="00FE715F"/>
    <w:rsid w:val="00FF0D82"/>
    <w:rsid w:val="00FF0DD1"/>
    <w:rsid w:val="00FF3EB9"/>
    <w:rsid w:val="00FF7D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6A3AD3"/>
  <w15:docId w15:val="{3CF6519D-2955-4C2F-91E0-8BE19F6B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8"/>
        <w:szCs w:val="18"/>
        <w:lang w:val="en-GB" w:eastAsia="en-GB" w:bidi="ar-SA"/>
      </w:rPr>
    </w:rPrDefault>
    <w:pPrDefault>
      <w:pPr>
        <w:spacing w:before="200" w:after="200" w:line="320" w:lineRule="atLeast"/>
      </w:pPr>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semiHidden="1" w:uiPriority="5" w:unhideWhenUsed="1" w:qFormat="1"/>
    <w:lsdException w:name="toc 2" w:semiHidden="1" w:uiPriority="5" w:unhideWhenUsed="1" w:qFormat="1"/>
    <w:lsdException w:name="toc 3" w:semiHidden="1" w:uiPriority="5" w:unhideWhenUsed="1" w:qFormat="1"/>
    <w:lsdException w:name="toc 4" w:locked="1" w:semiHidden="1" w:uiPriority="39" w:unhideWhenUsed="1"/>
    <w:lsdException w:name="toc 5" w:locked="1" w:semiHidden="1"/>
    <w:lsdException w:name="toc 6" w:locked="1" w:semiHidden="1"/>
    <w:lsdException w:name="toc 7" w:locked="1" w:semiHidden="1"/>
    <w:lsdException w:name="toc 8" w:locked="1" w:semiHidden="1"/>
    <w:lsdException w:name="toc 9" w:locked="1" w:semiHidden="1"/>
    <w:lsdException w:name="Normal Indent" w:locked="1" w:semiHidden="1"/>
    <w:lsdException w:name="footnote text" w:semiHidden="1" w:unhideWhenUsed="1" w:qFormat="1"/>
    <w:lsdException w:name="annotation text" w:locked="1" w:semiHidden="1" w:unhideWhenUsed="1"/>
    <w:lsdException w:name="header" w:semiHidden="1" w:unhideWhenUsed="1" w:qFormat="1"/>
    <w:lsdException w:name="footer" w:semiHidden="1" w:uiPriority="0" w:unhideWhenUsed="1" w:qFormat="1"/>
    <w:lsdException w:name="index heading" w:locked="1" w:semiHidden="1"/>
    <w:lsdException w:name="caption" w:locked="1" w:semiHidden="1" w:unhideWhenUsed="1" w:qFormat="1"/>
    <w:lsdException w:name="table of figures" w:semiHidden="1"/>
    <w:lsdException w:name="envelope address" w:locked="1" w:semiHidden="1"/>
    <w:lsdException w:name="envelope return" w:locked="1" w:semiHidden="1"/>
    <w:lsdException w:name="footnote reference" w:semiHidden="1" w:unhideWhenUsed="1" w:qFormat="1"/>
    <w:lsdException w:name="annotation reference" w:locked="1" w:semiHidden="1" w:unhideWhenUsed="1"/>
    <w:lsdException w:name="line number" w:locked="1" w:semiHidden="1" w:unhideWhenUsed="1"/>
    <w:lsdException w:name="page number" w:semiHidden="1" w:uiPriority="5" w:unhideWhenUsed="1" w:qFormat="1"/>
    <w:lsdException w:name="endnote reference" w:locked="1" w:semiHidden="1"/>
    <w:lsdException w:name="endnote text" w:locked="1" w:semiHidden="1"/>
    <w:lsdException w:name="table of authorities" w:semiHidden="1"/>
    <w:lsdException w:name="macro" w:locked="1" w:semiHidden="1"/>
    <w:lsdException w:name="toa heading" w:semiHidden="1"/>
    <w:lsdException w:name="List" w:locked="1" w:semiHidden="1"/>
    <w:lsdException w:name="List Bullet" w:uiPriority="2" w:qFormat="1"/>
    <w:lsdException w:name="List Number" w:uiPriority="2" w:qFormat="1"/>
    <w:lsdException w:name="List 2" w:locked="1" w:semiHidden="1"/>
    <w:lsdException w:name="List 3" w:locked="1" w:semiHidden="1"/>
    <w:lsdException w:name="List 4" w:locked="1" w:semiHidden="1"/>
    <w:lsdException w:name="List 5" w:locked="1" w:semiHidden="1"/>
    <w:lsdException w:name="List Bullet 2" w:uiPriority="2" w:qFormat="1"/>
    <w:lsdException w:name="List Bullet 3" w:uiPriority="2" w:qFormat="1"/>
    <w:lsdException w:name="List Bullet 4" w:locked="1" w:semiHidden="1"/>
    <w:lsdException w:name="List Bullet 5" w:locked="1" w:semiHidden="1"/>
    <w:lsdException w:name="List Number 2" w:uiPriority="2" w:qFormat="1"/>
    <w:lsdException w:name="List Number 3" w:uiPriority="2" w:qFormat="1"/>
    <w:lsdException w:name="List Number 4" w:locked="1" w:semiHidden="1"/>
    <w:lsdException w:name="List Number 5" w:locked="1" w:semiHidden="1"/>
    <w:lsdException w:name="Title" w:uiPriority="10" w:qFormat="1"/>
    <w:lsdException w:name="Closing" w:locked="1" w:semiHidden="1"/>
    <w:lsdException w:name="Signature" w:locked="1" w:semiHidden="1"/>
    <w:lsdException w:name="Default Paragraph Font" w:semiHidden="1" w:uiPriority="1" w:unhideWhenUsed="1"/>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11" w:qFormat="1"/>
    <w:lsdException w:name="Salutation" w:locked="1" w:semiHidden="1"/>
    <w:lsdException w:name="Date" w:locked="1" w:semiHidden="1" w:qFormat="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semiHidden="1" w:unhideWhenUsed="1" w:qFormat="1"/>
    <w:lsdException w:name="FollowedHyperlink" w:locked="1" w:semiHidden="1" w:unhideWhenUsed="1"/>
    <w:lsdException w:name="Strong" w:uiPriority="0" w:qFormat="1"/>
    <w:lsdException w:name="Emphasis" w:uiPriority="20" w:qFormat="1"/>
    <w:lsdException w:name="Document Map" w:locked="1" w:semiHidden="1"/>
    <w:lsdException w:name="Plain Text" w:locked="1" w:semiHidden="1"/>
    <w:lsdException w:name="E-mail Signature" w:locked="1" w:semiHidden="1"/>
    <w:lsdException w:name="HTML Top of Form" w:semiHidden="1" w:unhideWhenUsed="1"/>
    <w:lsdException w:name="HTML Bottom of Form" w:semiHidden="1" w:unhideWhenUsed="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semiHidden="1" w:unhideWhenUsed="1"/>
    <w:lsdException w:name="annotation subject" w:locked="1" w:semiHidden="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locked="1" w:semiHidden="1"/>
    <w:lsdException w:name="No Spacing" w:lock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lsdException w:name="Intense Quote" w:locked="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lsdException w:name="Intense Emphasis" w:uiPriority="21" w:qFormat="1"/>
    <w:lsdException w:name="Subtle Reference" w:locked="1" w:qFormat="1"/>
    <w:lsdException w:name="Intense Reference" w:locked="1" w:uiPriority="32"/>
    <w:lsdException w:name="Book Title" w:locked="1" w:uiPriority="33"/>
    <w:lsdException w:name="Bibliography" w:locked="1" w:semiHidden="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A4834"/>
  </w:style>
  <w:style w:type="paragraph" w:styleId="Heading1">
    <w:name w:val="heading 1"/>
    <w:next w:val="Normal"/>
    <w:link w:val="Heading1Char"/>
    <w:uiPriority w:val="1"/>
    <w:qFormat/>
    <w:rsid w:val="00A16D1A"/>
    <w:pPr>
      <w:keepNext/>
      <w:numPr>
        <w:numId w:val="1"/>
      </w:numPr>
      <w:tabs>
        <w:tab w:val="right" w:pos="9072"/>
      </w:tabs>
      <w:suppressAutoHyphens/>
      <w:spacing w:before="600" w:line="300" w:lineRule="exact"/>
      <w:outlineLvl w:val="0"/>
    </w:pPr>
    <w:rPr>
      <w:rFonts w:cs="Sendnya"/>
      <w:b/>
      <w:bCs/>
      <w:color w:val="003894"/>
      <w:kern w:val="28"/>
      <w:sz w:val="22"/>
      <w:szCs w:val="28"/>
    </w:rPr>
  </w:style>
  <w:style w:type="paragraph" w:styleId="Heading2">
    <w:name w:val="heading 2"/>
    <w:next w:val="Normal"/>
    <w:link w:val="Heading2Char"/>
    <w:uiPriority w:val="1"/>
    <w:qFormat/>
    <w:rsid w:val="00E9687C"/>
    <w:pPr>
      <w:keepNext/>
      <w:numPr>
        <w:ilvl w:val="1"/>
        <w:numId w:val="1"/>
      </w:numPr>
      <w:suppressAutoHyphens/>
      <w:spacing w:before="480" w:after="120" w:line="280" w:lineRule="exact"/>
      <w:outlineLvl w:val="1"/>
    </w:pPr>
    <w:rPr>
      <w:rFonts w:cs="Sendnya"/>
      <w:b/>
      <w:bCs/>
      <w:color w:val="505050"/>
      <w:kern w:val="28"/>
      <w:sz w:val="20"/>
      <w:szCs w:val="28"/>
    </w:rPr>
  </w:style>
  <w:style w:type="paragraph" w:styleId="Heading3">
    <w:name w:val="heading 3"/>
    <w:next w:val="Normal"/>
    <w:link w:val="Heading3Char"/>
    <w:uiPriority w:val="99"/>
    <w:semiHidden/>
    <w:qFormat/>
    <w:rsid w:val="00E9687C"/>
    <w:pPr>
      <w:keepNext/>
      <w:numPr>
        <w:ilvl w:val="2"/>
        <w:numId w:val="1"/>
      </w:numPr>
      <w:suppressAutoHyphens/>
      <w:spacing w:before="480" w:after="120" w:line="280" w:lineRule="exact"/>
      <w:outlineLvl w:val="2"/>
    </w:pPr>
    <w:rPr>
      <w:rFonts w:cs="Sendnya"/>
      <w:b/>
      <w:bCs/>
      <w:color w:val="003894"/>
      <w:sz w:val="20"/>
      <w:szCs w:val="24"/>
    </w:rPr>
  </w:style>
  <w:style w:type="paragraph" w:styleId="Heading4">
    <w:name w:val="heading 4"/>
    <w:next w:val="Normal"/>
    <w:link w:val="Heading4Char"/>
    <w:uiPriority w:val="99"/>
    <w:semiHidden/>
    <w:qFormat/>
    <w:rsid w:val="00E9687C"/>
    <w:pPr>
      <w:keepNext/>
      <w:numPr>
        <w:ilvl w:val="3"/>
        <w:numId w:val="1"/>
      </w:numPr>
      <w:suppressAutoHyphens/>
      <w:spacing w:before="480" w:after="120" w:line="280" w:lineRule="exact"/>
      <w:outlineLvl w:val="3"/>
    </w:pPr>
    <w:rPr>
      <w:rFonts w:cs="Sendnya"/>
      <w:b/>
      <w:bCs/>
      <w:iCs/>
      <w:color w:val="003894"/>
      <w:sz w:val="20"/>
      <w:szCs w:val="22"/>
    </w:rPr>
  </w:style>
  <w:style w:type="paragraph" w:styleId="Heading5">
    <w:name w:val="heading 5"/>
    <w:next w:val="Normal"/>
    <w:link w:val="Heading5Char"/>
    <w:uiPriority w:val="99"/>
    <w:semiHidden/>
    <w:qFormat/>
    <w:rsid w:val="00E9687C"/>
    <w:pPr>
      <w:keepNext/>
      <w:numPr>
        <w:ilvl w:val="4"/>
        <w:numId w:val="1"/>
      </w:numPr>
      <w:suppressAutoHyphens/>
      <w:spacing w:before="480" w:after="120" w:line="280" w:lineRule="exact"/>
      <w:outlineLvl w:val="4"/>
    </w:pPr>
    <w:rPr>
      <w:rFonts w:cs="Sendnya"/>
      <w:b/>
      <w:color w:val="003894"/>
      <w:sz w:val="20"/>
      <w:szCs w:val="22"/>
    </w:rPr>
  </w:style>
  <w:style w:type="paragraph" w:styleId="Heading6">
    <w:name w:val="heading 6"/>
    <w:next w:val="Normal"/>
    <w:link w:val="Heading6Char"/>
    <w:uiPriority w:val="99"/>
    <w:semiHidden/>
    <w:qFormat/>
    <w:rsid w:val="00E9687C"/>
    <w:pPr>
      <w:keepNext/>
      <w:numPr>
        <w:ilvl w:val="5"/>
        <w:numId w:val="1"/>
      </w:numPr>
      <w:suppressAutoHyphens/>
      <w:spacing w:before="480" w:after="120" w:line="280" w:lineRule="exact"/>
      <w:outlineLvl w:val="5"/>
    </w:pPr>
    <w:rPr>
      <w:rFonts w:cs="Sendnya"/>
      <w:b/>
      <w:iCs/>
      <w:color w:val="003894"/>
      <w:sz w:val="20"/>
      <w:szCs w:val="22"/>
    </w:rPr>
  </w:style>
  <w:style w:type="paragraph" w:styleId="Heading7">
    <w:name w:val="heading 7"/>
    <w:basedOn w:val="Heading6"/>
    <w:next w:val="Normal"/>
    <w:link w:val="Heading7Char"/>
    <w:uiPriority w:val="99"/>
    <w:semiHidden/>
    <w:locked/>
    <w:rsid w:val="00144F69"/>
    <w:pPr>
      <w:jc w:val="center"/>
      <w:outlineLvl w:val="6"/>
    </w:pPr>
    <w:rPr>
      <w:i/>
      <w:iCs w:val="0"/>
      <w:caps/>
      <w:color w:val="0083AF" w:themeColor="accent2" w:themeShade="BF"/>
      <w:spacing w:val="10"/>
    </w:rPr>
  </w:style>
  <w:style w:type="paragraph" w:styleId="Heading8">
    <w:name w:val="heading 8"/>
    <w:basedOn w:val="Normal"/>
    <w:next w:val="Normal"/>
    <w:link w:val="Heading8Char"/>
    <w:uiPriority w:val="99"/>
    <w:semiHidden/>
    <w:locked/>
    <w:rsid w:val="00C85466"/>
    <w:pPr>
      <w:jc w:val="center"/>
      <w:outlineLvl w:val="7"/>
    </w:pPr>
    <w:rPr>
      <w:caps/>
      <w:spacing w:val="10"/>
      <w:sz w:val="20"/>
      <w:szCs w:val="20"/>
    </w:rPr>
  </w:style>
  <w:style w:type="paragraph" w:styleId="Heading9">
    <w:name w:val="heading 9"/>
    <w:basedOn w:val="Normal"/>
    <w:next w:val="Normal"/>
    <w:link w:val="Heading9Char"/>
    <w:uiPriority w:val="99"/>
    <w:semiHidden/>
    <w:locked/>
    <w:rsid w:val="00C85466"/>
    <w:pPr>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SRBBulletlist">
    <w:name w:val="ESRB Bullet list"/>
    <w:rsid w:val="00352219"/>
    <w:pPr>
      <w:numPr>
        <w:numId w:val="2"/>
      </w:numPr>
    </w:pPr>
  </w:style>
  <w:style w:type="character" w:styleId="Emphasis">
    <w:name w:val="Emphasis"/>
    <w:qFormat/>
    <w:rsid w:val="00D657B9"/>
    <w:rPr>
      <w:i/>
      <w:iCs/>
    </w:rPr>
  </w:style>
  <w:style w:type="paragraph" w:styleId="Footer">
    <w:name w:val="footer"/>
    <w:basedOn w:val="Normal"/>
    <w:link w:val="FooterChar"/>
    <w:uiPriority w:val="5"/>
    <w:qFormat/>
    <w:rsid w:val="00631C1B"/>
    <w:pPr>
      <w:pBdr>
        <w:left w:val="single" w:sz="4" w:space="10" w:color="003894"/>
        <w:bottom w:val="single" w:sz="4" w:space="20" w:color="FFFFFF" w:themeColor="background1"/>
      </w:pBdr>
      <w:tabs>
        <w:tab w:val="right" w:pos="7938"/>
      </w:tabs>
      <w:spacing w:before="0" w:after="0" w:line="288" w:lineRule="auto"/>
      <w:contextualSpacing/>
    </w:pPr>
    <w:rPr>
      <w:color w:val="003894"/>
      <w:lang w:val="en-US"/>
    </w:rPr>
  </w:style>
  <w:style w:type="character" w:styleId="FootnoteReference">
    <w:name w:val="footnote reference"/>
    <w:aliases w:val="Footnote Reference Number,Footnote Reference_LVL6,Footnote Reference_LVL61,Footnote Reference_LVL62,Footnote Reference_LVL63,Footnote Reference_LVL64,Appel note de bas de page,Appel note de bas de p.1,16 Point,Superscript 6 Point,fr,R"/>
    <w:link w:val="Odwoanieprzypisu"/>
    <w:uiPriority w:val="99"/>
    <w:qFormat/>
    <w:rsid w:val="00D657B9"/>
    <w:rPr>
      <w:color w:val="auto"/>
      <w:vertAlign w:val="superscript"/>
    </w:rPr>
  </w:style>
  <w:style w:type="paragraph" w:styleId="FootnoteText">
    <w:name w:val="footnote text"/>
    <w:aliases w:val="FSR footnote,Footnote,Fußnote,lábléc,Footnote Text Char Char,lábléc Car Car Car,Fodnotetekst Tegn Tegn Tegn Tegn Tegn Tegn Tegn Char Char,Fodnotetekst Tegn Tegn Tegn Tegn Tegn Tegn Tegn Char Char Char Char,fn,text,Footnote Text Char1,Char"/>
    <w:link w:val="FootnoteTextChar"/>
    <w:uiPriority w:val="99"/>
    <w:qFormat/>
    <w:rsid w:val="00F14B44"/>
    <w:pPr>
      <w:keepLines/>
      <w:tabs>
        <w:tab w:val="left" w:pos="284"/>
      </w:tabs>
      <w:suppressAutoHyphens/>
      <w:spacing w:after="60" w:line="180" w:lineRule="exact"/>
      <w:ind w:left="284" w:hanging="284"/>
    </w:pPr>
    <w:rPr>
      <w:rFonts w:cs="Sendnya"/>
      <w:color w:val="000000"/>
      <w:sz w:val="14"/>
    </w:rPr>
  </w:style>
  <w:style w:type="paragraph" w:styleId="ListBullet">
    <w:name w:val="List Bullet"/>
    <w:uiPriority w:val="2"/>
    <w:qFormat/>
    <w:rsid w:val="00352219"/>
    <w:pPr>
      <w:numPr>
        <w:numId w:val="2"/>
      </w:numPr>
      <w:suppressAutoHyphens/>
      <w:spacing w:line="280" w:lineRule="atLeast"/>
    </w:pPr>
    <w:rPr>
      <w:rFonts w:cs="Sendnya"/>
      <w:color w:val="000000"/>
      <w:szCs w:val="22"/>
    </w:rPr>
  </w:style>
  <w:style w:type="paragraph" w:styleId="ListBullet2">
    <w:name w:val="List Bullet 2"/>
    <w:uiPriority w:val="2"/>
    <w:qFormat/>
    <w:rsid w:val="00352219"/>
    <w:pPr>
      <w:numPr>
        <w:ilvl w:val="1"/>
        <w:numId w:val="2"/>
      </w:numPr>
      <w:suppressAutoHyphens/>
      <w:spacing w:line="280" w:lineRule="atLeast"/>
    </w:pPr>
    <w:rPr>
      <w:rFonts w:cs="Sendnya"/>
      <w:szCs w:val="22"/>
    </w:rPr>
  </w:style>
  <w:style w:type="paragraph" w:styleId="TOC1">
    <w:name w:val="toc 1"/>
    <w:next w:val="Normal"/>
    <w:uiPriority w:val="99"/>
    <w:semiHidden/>
    <w:qFormat/>
    <w:rsid w:val="0073312D"/>
    <w:pPr>
      <w:tabs>
        <w:tab w:val="right" w:pos="7938"/>
      </w:tabs>
      <w:suppressAutoHyphens/>
      <w:spacing w:before="360" w:after="120" w:line="260" w:lineRule="exact"/>
      <w:ind w:right="1247"/>
    </w:pPr>
    <w:rPr>
      <w:rFonts w:cs="Sendnya"/>
      <w:b/>
      <w:color w:val="003894"/>
    </w:rPr>
  </w:style>
  <w:style w:type="paragraph" w:styleId="TOC2">
    <w:name w:val="toc 2"/>
    <w:next w:val="Normal"/>
    <w:uiPriority w:val="99"/>
    <w:semiHidden/>
    <w:qFormat/>
    <w:rsid w:val="0073312D"/>
    <w:pPr>
      <w:tabs>
        <w:tab w:val="left" w:pos="567"/>
        <w:tab w:val="right" w:pos="7938"/>
      </w:tabs>
      <w:suppressAutoHyphens/>
      <w:spacing w:before="120" w:after="120" w:line="260" w:lineRule="exact"/>
      <w:ind w:left="567" w:right="1247" w:hanging="567"/>
    </w:pPr>
    <w:rPr>
      <w:rFonts w:cs="Sendnya"/>
      <w:color w:val="5C5C5C"/>
    </w:rPr>
  </w:style>
  <w:style w:type="paragraph" w:styleId="TOC3">
    <w:name w:val="toc 3"/>
    <w:next w:val="Normal"/>
    <w:uiPriority w:val="99"/>
    <w:semiHidden/>
    <w:qFormat/>
    <w:rsid w:val="0073312D"/>
    <w:pPr>
      <w:tabs>
        <w:tab w:val="left" w:pos="1134"/>
        <w:tab w:val="right" w:pos="7938"/>
      </w:tabs>
      <w:suppressAutoHyphens/>
      <w:spacing w:before="120" w:after="120" w:line="260" w:lineRule="exact"/>
      <w:ind w:left="1134" w:right="1247" w:hanging="567"/>
    </w:pPr>
    <w:rPr>
      <w:color w:val="5C5C5C"/>
    </w:rPr>
  </w:style>
  <w:style w:type="paragraph" w:styleId="ListBullet3">
    <w:name w:val="List Bullet 3"/>
    <w:uiPriority w:val="2"/>
    <w:qFormat/>
    <w:rsid w:val="00352219"/>
    <w:pPr>
      <w:numPr>
        <w:ilvl w:val="2"/>
        <w:numId w:val="2"/>
      </w:numPr>
      <w:suppressAutoHyphens/>
      <w:spacing w:line="280" w:lineRule="atLeast"/>
    </w:pPr>
    <w:rPr>
      <w:rFonts w:cs="Sendnya"/>
      <w:color w:val="000000"/>
      <w:szCs w:val="22"/>
    </w:rPr>
  </w:style>
  <w:style w:type="character" w:styleId="Hyperlink">
    <w:name w:val="Hyperlink"/>
    <w:uiPriority w:val="99"/>
    <w:qFormat/>
    <w:rsid w:val="0073312D"/>
    <w:rPr>
      <w:b/>
      <w:color w:val="007816"/>
      <w:u w:val="none"/>
    </w:rPr>
  </w:style>
  <w:style w:type="numbering" w:customStyle="1" w:styleId="ESRBpublicationsheadings">
    <w:name w:val="ESRB publications headings"/>
    <w:rsid w:val="00E9687C"/>
    <w:pPr>
      <w:numPr>
        <w:numId w:val="1"/>
      </w:numPr>
    </w:pPr>
  </w:style>
  <w:style w:type="paragraph" w:styleId="BalloonText">
    <w:name w:val="Balloon Text"/>
    <w:basedOn w:val="Normal"/>
    <w:link w:val="BalloonTextChar"/>
    <w:uiPriority w:val="99"/>
    <w:semiHidden/>
    <w:locked/>
    <w:rsid w:val="002F1BB9"/>
    <w:pPr>
      <w:spacing w:before="0" w:after="0" w:line="240" w:lineRule="auto"/>
    </w:pPr>
    <w:rPr>
      <w:rFonts w:ascii="Tahoma" w:hAnsi="Tahoma" w:cs="Tahoma"/>
      <w:sz w:val="16"/>
      <w:szCs w:val="16"/>
    </w:rPr>
  </w:style>
  <w:style w:type="character" w:styleId="PlaceholderText">
    <w:name w:val="Placeholder Text"/>
    <w:uiPriority w:val="99"/>
    <w:semiHidden/>
    <w:locked/>
    <w:rsid w:val="0038268B"/>
    <w:rPr>
      <w:color w:val="808080"/>
    </w:rPr>
  </w:style>
  <w:style w:type="paragraph" w:customStyle="1" w:styleId="Imprinttextbottom">
    <w:name w:val="Imprint text_bottom"/>
    <w:uiPriority w:val="99"/>
    <w:semiHidden/>
    <w:qFormat/>
    <w:rsid w:val="0073312D"/>
    <w:pPr>
      <w:framePr w:w="7938" w:wrap="notBeside" w:vAnchor="page" w:hAnchor="text" w:yAlign="bottom"/>
      <w:pBdr>
        <w:left w:val="single" w:sz="4" w:space="4" w:color="003894"/>
      </w:pBdr>
      <w:tabs>
        <w:tab w:val="left" w:pos="1701"/>
      </w:tabs>
      <w:suppressAutoHyphens/>
      <w:autoSpaceDE w:val="0"/>
      <w:autoSpaceDN w:val="0"/>
      <w:adjustRightInd w:val="0"/>
      <w:spacing w:before="114" w:line="300" w:lineRule="auto"/>
      <w:textAlignment w:val="center"/>
    </w:pPr>
    <w:rPr>
      <w:rFonts w:cs="Calibri"/>
      <w:color w:val="003894"/>
      <w:sz w:val="16"/>
    </w:rPr>
  </w:style>
  <w:style w:type="character" w:customStyle="1" w:styleId="Heading4Char">
    <w:name w:val="Heading 4 Char"/>
    <w:link w:val="Heading4"/>
    <w:uiPriority w:val="99"/>
    <w:semiHidden/>
    <w:rsid w:val="00E9687C"/>
    <w:rPr>
      <w:rFonts w:cs="Sendnya"/>
      <w:b/>
      <w:bCs/>
      <w:iCs/>
      <w:color w:val="003894"/>
      <w:sz w:val="20"/>
      <w:szCs w:val="22"/>
    </w:rPr>
  </w:style>
  <w:style w:type="character" w:customStyle="1" w:styleId="Heading5Char">
    <w:name w:val="Heading 5 Char"/>
    <w:link w:val="Heading5"/>
    <w:uiPriority w:val="99"/>
    <w:semiHidden/>
    <w:rsid w:val="00E9687C"/>
    <w:rPr>
      <w:rFonts w:cs="Sendnya"/>
      <w:b/>
      <w:color w:val="003894"/>
      <w:sz w:val="20"/>
      <w:szCs w:val="22"/>
    </w:rPr>
  </w:style>
  <w:style w:type="character" w:customStyle="1" w:styleId="Heading6Char">
    <w:name w:val="Heading 6 Char"/>
    <w:link w:val="Heading6"/>
    <w:uiPriority w:val="99"/>
    <w:semiHidden/>
    <w:rsid w:val="00E9687C"/>
    <w:rPr>
      <w:rFonts w:cs="Sendnya"/>
      <w:b/>
      <w:iCs/>
      <w:color w:val="003894"/>
      <w:sz w:val="20"/>
      <w:szCs w:val="22"/>
    </w:rPr>
  </w:style>
  <w:style w:type="character" w:styleId="IntenseEmphasis">
    <w:name w:val="Intense Emphasis"/>
    <w:uiPriority w:val="21"/>
    <w:qFormat/>
    <w:rsid w:val="0073312D"/>
    <w:rPr>
      <w:b/>
      <w:bCs/>
      <w:i w:val="0"/>
      <w:iCs/>
      <w:color w:val="003894"/>
    </w:rPr>
  </w:style>
  <w:style w:type="numbering" w:customStyle="1" w:styleId="ESRBnumberedlist">
    <w:name w:val="ESRB numbered list"/>
    <w:rsid w:val="003B2E15"/>
    <w:pPr>
      <w:numPr>
        <w:numId w:val="9"/>
      </w:numPr>
    </w:pPr>
  </w:style>
  <w:style w:type="paragraph" w:styleId="ListNumber">
    <w:name w:val="List Number"/>
    <w:uiPriority w:val="2"/>
    <w:qFormat/>
    <w:rsid w:val="001B789A"/>
    <w:pPr>
      <w:numPr>
        <w:numId w:val="17"/>
      </w:numPr>
      <w:suppressAutoHyphens/>
      <w:spacing w:line="280" w:lineRule="atLeast"/>
    </w:pPr>
    <w:rPr>
      <w:rFonts w:cs="Sendnya"/>
      <w:color w:val="000000"/>
      <w:szCs w:val="22"/>
    </w:rPr>
  </w:style>
  <w:style w:type="paragraph" w:styleId="ListNumber2">
    <w:name w:val="List Number 2"/>
    <w:basedOn w:val="ListNumber"/>
    <w:uiPriority w:val="2"/>
    <w:qFormat/>
    <w:rsid w:val="001B789A"/>
    <w:pPr>
      <w:numPr>
        <w:ilvl w:val="1"/>
      </w:numPr>
    </w:pPr>
  </w:style>
  <w:style w:type="paragraph" w:styleId="ListNumber3">
    <w:name w:val="List Number 3"/>
    <w:uiPriority w:val="2"/>
    <w:qFormat/>
    <w:rsid w:val="001B789A"/>
    <w:pPr>
      <w:numPr>
        <w:ilvl w:val="2"/>
        <w:numId w:val="17"/>
      </w:numPr>
      <w:suppressAutoHyphens/>
      <w:spacing w:line="280" w:lineRule="atLeast"/>
    </w:pPr>
    <w:rPr>
      <w:rFonts w:cs="Sendnya"/>
      <w:color w:val="000000"/>
      <w:szCs w:val="22"/>
    </w:rPr>
  </w:style>
  <w:style w:type="paragraph" w:customStyle="1" w:styleId="Box-Headline">
    <w:name w:val="Box - Headline"/>
    <w:uiPriority w:val="3"/>
    <w:qFormat/>
    <w:rsid w:val="00352219"/>
    <w:pPr>
      <w:keepNext/>
      <w:pBdr>
        <w:top w:val="single" w:sz="4" w:space="10" w:color="F2F2F2"/>
        <w:left w:val="single" w:sz="4" w:space="10" w:color="F2F2F2"/>
        <w:bottom w:val="single" w:sz="4" w:space="10" w:color="F2F2F2"/>
        <w:right w:val="single" w:sz="4" w:space="10" w:color="F2F2F2"/>
      </w:pBdr>
      <w:shd w:val="clear" w:color="auto" w:fill="F2F2F2"/>
      <w:suppressAutoHyphens/>
      <w:spacing w:line="280" w:lineRule="atLeast"/>
    </w:pPr>
    <w:rPr>
      <w:rFonts w:cs="Sendnya"/>
      <w:b/>
      <w:color w:val="003299"/>
      <w:sz w:val="20"/>
      <w:szCs w:val="22"/>
    </w:rPr>
  </w:style>
  <w:style w:type="table" w:styleId="TableGrid">
    <w:name w:val="Table Grid"/>
    <w:basedOn w:val="TableNormal"/>
    <w:uiPriority w:val="59"/>
    <w:rsid w:val="0073312D"/>
    <w:rPr>
      <w:sz w:val="12"/>
    </w:rPr>
    <w:tblPr>
      <w:tblBorders>
        <w:left w:val="single" w:sz="4" w:space="0" w:color="auto"/>
      </w:tblBorders>
      <w:tblCellMar>
        <w:top w:w="57" w:type="dxa"/>
        <w:left w:w="57" w:type="dxa"/>
        <w:bottom w:w="57" w:type="dxa"/>
        <w:right w:w="57" w:type="dxa"/>
      </w:tblCellMar>
    </w:tblPr>
    <w:tblStylePr w:type="firstRow">
      <w:tblPr/>
      <w:tcPr>
        <w:tcBorders>
          <w:top w:val="nil"/>
          <w:left w:val="single" w:sz="4" w:space="0" w:color="003894"/>
          <w:bottom w:val="single" w:sz="4" w:space="0" w:color="003894"/>
          <w:right w:val="nil"/>
          <w:insideH w:val="nil"/>
          <w:insideV w:val="single" w:sz="4" w:space="0" w:color="003894"/>
          <w:tl2br w:val="nil"/>
          <w:tr2bl w:val="nil"/>
        </w:tcBorders>
      </w:tcPr>
    </w:tblStylePr>
  </w:style>
  <w:style w:type="character" w:customStyle="1" w:styleId="Heading1Char">
    <w:name w:val="Heading 1 Char"/>
    <w:link w:val="Heading1"/>
    <w:uiPriority w:val="1"/>
    <w:rsid w:val="00A16D1A"/>
    <w:rPr>
      <w:rFonts w:cs="Sendnya"/>
      <w:b/>
      <w:bCs/>
      <w:color w:val="003894"/>
      <w:kern w:val="28"/>
      <w:sz w:val="22"/>
      <w:szCs w:val="28"/>
    </w:rPr>
  </w:style>
  <w:style w:type="character" w:customStyle="1" w:styleId="Heading2Char">
    <w:name w:val="Heading 2 Char"/>
    <w:link w:val="Heading2"/>
    <w:uiPriority w:val="1"/>
    <w:rsid w:val="00E9687C"/>
    <w:rPr>
      <w:rFonts w:cs="Sendnya"/>
      <w:b/>
      <w:bCs/>
      <w:color w:val="505050"/>
      <w:kern w:val="28"/>
      <w:sz w:val="20"/>
      <w:szCs w:val="28"/>
    </w:rPr>
  </w:style>
  <w:style w:type="character" w:customStyle="1" w:styleId="Heading3Char">
    <w:name w:val="Heading 3 Char"/>
    <w:link w:val="Heading3"/>
    <w:uiPriority w:val="99"/>
    <w:semiHidden/>
    <w:rsid w:val="00E9687C"/>
    <w:rPr>
      <w:rFonts w:cs="Sendnya"/>
      <w:b/>
      <w:bCs/>
      <w:color w:val="003894"/>
      <w:sz w:val="20"/>
      <w:szCs w:val="24"/>
    </w:rPr>
  </w:style>
  <w:style w:type="character" w:customStyle="1" w:styleId="Heading7Char">
    <w:name w:val="Heading 7 Char"/>
    <w:basedOn w:val="DefaultParagraphFont"/>
    <w:link w:val="Heading7"/>
    <w:uiPriority w:val="99"/>
    <w:semiHidden/>
    <w:rsid w:val="008C2DB1"/>
    <w:rPr>
      <w:rFonts w:cs="Sendnya"/>
      <w:b/>
      <w:i/>
      <w:caps/>
      <w:color w:val="0083AF" w:themeColor="accent2" w:themeShade="BF"/>
      <w:spacing w:val="10"/>
      <w:sz w:val="20"/>
      <w:szCs w:val="22"/>
    </w:rPr>
  </w:style>
  <w:style w:type="character" w:customStyle="1" w:styleId="Heading8Char">
    <w:name w:val="Heading 8 Char"/>
    <w:basedOn w:val="DefaultParagraphFont"/>
    <w:link w:val="Heading8"/>
    <w:uiPriority w:val="99"/>
    <w:semiHidden/>
    <w:rsid w:val="008C2DB1"/>
    <w:rPr>
      <w:caps/>
      <w:spacing w:val="10"/>
      <w:sz w:val="20"/>
      <w:szCs w:val="20"/>
    </w:rPr>
  </w:style>
  <w:style w:type="character" w:customStyle="1" w:styleId="Heading9Char">
    <w:name w:val="Heading 9 Char"/>
    <w:basedOn w:val="DefaultParagraphFont"/>
    <w:link w:val="Heading9"/>
    <w:uiPriority w:val="99"/>
    <w:semiHidden/>
    <w:rsid w:val="008C2DB1"/>
    <w:rPr>
      <w:i/>
      <w:iCs/>
      <w:caps/>
      <w:spacing w:val="10"/>
      <w:sz w:val="20"/>
      <w:szCs w:val="20"/>
    </w:rPr>
  </w:style>
  <w:style w:type="paragraph" w:styleId="Revision">
    <w:name w:val="Revision"/>
    <w:hidden/>
    <w:uiPriority w:val="99"/>
    <w:semiHidden/>
    <w:rsid w:val="00CA7F19"/>
    <w:rPr>
      <w:rFonts w:cs="Sendnya"/>
      <w:color w:val="000000"/>
      <w:szCs w:val="22"/>
    </w:rPr>
  </w:style>
  <w:style w:type="paragraph" w:styleId="NoSpacing">
    <w:name w:val="No Spacing"/>
    <w:link w:val="NoSpacingChar"/>
    <w:uiPriority w:val="99"/>
    <w:semiHidden/>
    <w:qFormat/>
    <w:locked/>
    <w:rsid w:val="00C85466"/>
    <w:rPr>
      <w:rFonts w:ascii="Calibri" w:eastAsia="MS Mincho" w:hAnsi="Calibri" w:cs="Arial"/>
      <w:sz w:val="22"/>
      <w:szCs w:val="22"/>
      <w:lang w:val="en-US" w:eastAsia="ja-JP"/>
    </w:rPr>
  </w:style>
  <w:style w:type="character" w:customStyle="1" w:styleId="NoSpacingChar">
    <w:name w:val="No Spacing Char"/>
    <w:link w:val="NoSpacing"/>
    <w:uiPriority w:val="99"/>
    <w:semiHidden/>
    <w:rsid w:val="008C2DB1"/>
    <w:rPr>
      <w:rFonts w:ascii="Calibri" w:eastAsia="MS Mincho" w:hAnsi="Calibri" w:cs="Arial"/>
      <w:sz w:val="22"/>
      <w:szCs w:val="22"/>
      <w:lang w:val="en-US" w:eastAsia="ja-JP"/>
    </w:rPr>
  </w:style>
  <w:style w:type="paragraph" w:styleId="ListParagraph">
    <w:name w:val="List Paragraph"/>
    <w:basedOn w:val="Normal"/>
    <w:uiPriority w:val="34"/>
    <w:qFormat/>
    <w:rsid w:val="00D657B9"/>
    <w:pPr>
      <w:spacing w:before="0" w:line="276" w:lineRule="auto"/>
      <w:ind w:left="720"/>
    </w:pPr>
    <w:rPr>
      <w:rFonts w:ascii="Calibri" w:eastAsia="Calibri" w:hAnsi="Calibri"/>
      <w:sz w:val="22"/>
      <w:lang w:eastAsia="en-US"/>
    </w:rPr>
  </w:style>
  <w:style w:type="paragraph" w:styleId="Quote">
    <w:name w:val="Quote"/>
    <w:basedOn w:val="Normal"/>
    <w:next w:val="Normal"/>
    <w:link w:val="QuoteChar"/>
    <w:uiPriority w:val="99"/>
    <w:semiHidden/>
    <w:locked/>
    <w:rsid w:val="00C85466"/>
    <w:rPr>
      <w:i/>
      <w:iCs/>
    </w:rPr>
  </w:style>
  <w:style w:type="character" w:customStyle="1" w:styleId="QuoteChar">
    <w:name w:val="Quote Char"/>
    <w:basedOn w:val="DefaultParagraphFont"/>
    <w:link w:val="Quote"/>
    <w:uiPriority w:val="99"/>
    <w:semiHidden/>
    <w:rsid w:val="008C2DB1"/>
    <w:rPr>
      <w:i/>
      <w:iCs/>
    </w:rPr>
  </w:style>
  <w:style w:type="paragraph" w:styleId="IntenseQuote">
    <w:name w:val="Intense Quote"/>
    <w:basedOn w:val="Normal"/>
    <w:next w:val="Normal"/>
    <w:link w:val="IntenseQuoteChar"/>
    <w:uiPriority w:val="99"/>
    <w:semiHidden/>
    <w:locked/>
    <w:rsid w:val="00C85466"/>
    <w:pPr>
      <w:pBdr>
        <w:top w:val="dotted" w:sz="2" w:space="10" w:color="005875" w:themeColor="accent2" w:themeShade="80"/>
        <w:bottom w:val="dotted" w:sz="2" w:space="4" w:color="005875" w:themeColor="accent2" w:themeShade="80"/>
      </w:pBdr>
      <w:spacing w:before="160" w:line="300" w:lineRule="auto"/>
      <w:ind w:left="1440" w:right="1440"/>
    </w:pPr>
    <w:rPr>
      <w:caps/>
      <w:color w:val="005774" w:themeColor="accent2" w:themeShade="7F"/>
      <w:spacing w:val="5"/>
      <w:sz w:val="20"/>
      <w:szCs w:val="20"/>
    </w:rPr>
  </w:style>
  <w:style w:type="character" w:customStyle="1" w:styleId="IntenseQuoteChar">
    <w:name w:val="Intense Quote Char"/>
    <w:basedOn w:val="DefaultParagraphFont"/>
    <w:link w:val="IntenseQuote"/>
    <w:uiPriority w:val="99"/>
    <w:semiHidden/>
    <w:rsid w:val="008C2DB1"/>
    <w:rPr>
      <w:caps/>
      <w:color w:val="005774" w:themeColor="accent2" w:themeShade="7F"/>
      <w:spacing w:val="5"/>
      <w:sz w:val="20"/>
      <w:szCs w:val="20"/>
    </w:rPr>
  </w:style>
  <w:style w:type="character" w:styleId="SubtleEmphasis">
    <w:name w:val="Subtle Emphasis"/>
    <w:uiPriority w:val="99"/>
    <w:semiHidden/>
    <w:locked/>
    <w:rsid w:val="00C85466"/>
    <w:rPr>
      <w:i/>
      <w:iCs/>
    </w:rPr>
  </w:style>
  <w:style w:type="character" w:styleId="SubtleReference">
    <w:name w:val="Subtle Reference"/>
    <w:uiPriority w:val="99"/>
    <w:semiHidden/>
    <w:qFormat/>
    <w:locked/>
    <w:rsid w:val="00C85466"/>
    <w:rPr>
      <w:smallCaps/>
      <w:color w:val="C0504D"/>
      <w:u w:val="single"/>
    </w:rPr>
  </w:style>
  <w:style w:type="character" w:styleId="IntenseReference">
    <w:name w:val="Intense Reference"/>
    <w:uiPriority w:val="99"/>
    <w:semiHidden/>
    <w:locked/>
    <w:rsid w:val="00C85466"/>
    <w:rPr>
      <w:rFonts w:asciiTheme="minorHAnsi" w:eastAsiaTheme="minorEastAsia" w:hAnsiTheme="minorHAnsi" w:cstheme="minorBidi"/>
      <w:b/>
      <w:bCs/>
      <w:i/>
      <w:iCs/>
      <w:color w:val="005774" w:themeColor="accent2" w:themeShade="7F"/>
    </w:rPr>
  </w:style>
  <w:style w:type="character" w:styleId="BookTitle">
    <w:name w:val="Book Title"/>
    <w:uiPriority w:val="99"/>
    <w:semiHidden/>
    <w:locked/>
    <w:rsid w:val="00C85466"/>
    <w:rPr>
      <w:caps/>
      <w:color w:val="005774" w:themeColor="accent2" w:themeShade="7F"/>
      <w:spacing w:val="5"/>
      <w:u w:color="005774" w:themeColor="accent2" w:themeShade="7F"/>
    </w:rPr>
  </w:style>
  <w:style w:type="paragraph" w:customStyle="1" w:styleId="Box-Heading">
    <w:name w:val="Box - Heading"/>
    <w:uiPriority w:val="3"/>
    <w:qFormat/>
    <w:rsid w:val="00352219"/>
    <w:pPr>
      <w:keepNext/>
      <w:pBdr>
        <w:top w:val="single" w:sz="4" w:space="10" w:color="F2F2F2"/>
        <w:left w:val="single" w:sz="4" w:space="10" w:color="F2F2F2"/>
        <w:bottom w:val="single" w:sz="4" w:space="10" w:color="F2F2F2"/>
        <w:right w:val="single" w:sz="4" w:space="10" w:color="F2F2F2"/>
      </w:pBdr>
      <w:shd w:val="clear" w:color="auto" w:fill="F2F2F2"/>
      <w:suppressAutoHyphens/>
      <w:spacing w:line="280" w:lineRule="atLeast"/>
      <w:contextualSpacing/>
      <w:outlineLvl w:val="1"/>
    </w:pPr>
    <w:rPr>
      <w:rFonts w:cs="Sendnya"/>
      <w:color w:val="003299"/>
      <w:sz w:val="22"/>
      <w:szCs w:val="22"/>
    </w:rPr>
  </w:style>
  <w:style w:type="character" w:customStyle="1" w:styleId="FooterChar">
    <w:name w:val="Footer Char"/>
    <w:basedOn w:val="DefaultParagraphFont"/>
    <w:link w:val="Footer"/>
    <w:uiPriority w:val="5"/>
    <w:rsid w:val="00631C1B"/>
    <w:rPr>
      <w:color w:val="003894"/>
      <w:lang w:val="en-US"/>
    </w:rPr>
  </w:style>
  <w:style w:type="paragraph" w:customStyle="1" w:styleId="ChartRight-Measure">
    <w:name w:val="Chart Right - Measure"/>
    <w:link w:val="ChartRight-MeasureChar"/>
    <w:uiPriority w:val="3"/>
    <w:qFormat/>
    <w:rsid w:val="001B789A"/>
    <w:pPr>
      <w:keepNext/>
      <w:pBdr>
        <w:left w:val="single" w:sz="4" w:space="10" w:color="003299"/>
      </w:pBdr>
      <w:suppressAutoHyphens/>
      <w:spacing w:line="200" w:lineRule="atLeast"/>
      <w:contextualSpacing/>
    </w:pPr>
    <w:rPr>
      <w:rFonts w:cs="Sendnya"/>
      <w:i/>
      <w:color w:val="003299"/>
      <w:sz w:val="14"/>
      <w:szCs w:val="22"/>
    </w:rPr>
  </w:style>
  <w:style w:type="character" w:customStyle="1" w:styleId="ChartRight-MeasureChar">
    <w:name w:val="Chart Right - Measure Char"/>
    <w:link w:val="ChartRight-Measure"/>
    <w:uiPriority w:val="3"/>
    <w:rsid w:val="001B789A"/>
    <w:rPr>
      <w:rFonts w:cs="Sendnya"/>
      <w:i/>
      <w:color w:val="003299"/>
      <w:sz w:val="14"/>
      <w:szCs w:val="22"/>
    </w:rPr>
  </w:style>
  <w:style w:type="paragraph" w:customStyle="1" w:styleId="Chartright-Picture">
    <w:name w:val="Chart right - Picture"/>
    <w:link w:val="Chartright-PictureChar"/>
    <w:uiPriority w:val="3"/>
    <w:qFormat/>
    <w:rsid w:val="001B789A"/>
    <w:pPr>
      <w:keepNext/>
      <w:pBdr>
        <w:left w:val="single" w:sz="4" w:space="10" w:color="003299"/>
      </w:pBdr>
      <w:tabs>
        <w:tab w:val="left" w:pos="3969"/>
      </w:tabs>
      <w:suppressAutoHyphens/>
      <w:spacing w:before="60" w:after="60" w:line="200" w:lineRule="atLeast"/>
    </w:pPr>
    <w:rPr>
      <w:rFonts w:cs="Sendnya"/>
      <w:sz w:val="14"/>
      <w:szCs w:val="22"/>
      <w:lang w:eastAsia="en-US"/>
    </w:rPr>
  </w:style>
  <w:style w:type="character" w:customStyle="1" w:styleId="Chartright-PictureChar">
    <w:name w:val="Chart right - Picture Char"/>
    <w:link w:val="Chartright-Picture"/>
    <w:uiPriority w:val="3"/>
    <w:rsid w:val="001B789A"/>
    <w:rPr>
      <w:rFonts w:cs="Sendnya"/>
      <w:sz w:val="14"/>
      <w:szCs w:val="22"/>
      <w:lang w:eastAsia="en-US"/>
    </w:rPr>
  </w:style>
  <w:style w:type="paragraph" w:customStyle="1" w:styleId="ChartRight-Heading">
    <w:name w:val="Chart Right - Heading"/>
    <w:link w:val="ChartRight-HeadingChar"/>
    <w:uiPriority w:val="3"/>
    <w:qFormat/>
    <w:rsid w:val="001B789A"/>
    <w:pPr>
      <w:keepNext/>
      <w:pBdr>
        <w:left w:val="single" w:sz="4" w:space="10" w:color="003299"/>
      </w:pBdr>
      <w:suppressAutoHyphens/>
      <w:spacing w:before="240" w:line="280" w:lineRule="atLeast"/>
      <w:contextualSpacing/>
    </w:pPr>
    <w:rPr>
      <w:rFonts w:cs="Sendnya"/>
      <w:color w:val="003299"/>
      <w:szCs w:val="22"/>
    </w:rPr>
  </w:style>
  <w:style w:type="character" w:customStyle="1" w:styleId="ChartRight-HeadingChar">
    <w:name w:val="Chart Right - Heading Char"/>
    <w:link w:val="ChartRight-Heading"/>
    <w:uiPriority w:val="3"/>
    <w:rsid w:val="001B789A"/>
    <w:rPr>
      <w:rFonts w:cs="Sendnya"/>
      <w:color w:val="003299"/>
      <w:szCs w:val="22"/>
    </w:rPr>
  </w:style>
  <w:style w:type="character" w:styleId="FollowedHyperlink">
    <w:name w:val="FollowedHyperlink"/>
    <w:basedOn w:val="DefaultParagraphFont"/>
    <w:uiPriority w:val="99"/>
    <w:semiHidden/>
    <w:locked/>
    <w:rsid w:val="001D1D5C"/>
    <w:rPr>
      <w:color w:val="8139C6" w:themeColor="followedHyperlink"/>
      <w:u w:val="single"/>
    </w:rPr>
  </w:style>
  <w:style w:type="character" w:customStyle="1" w:styleId="FootnoteTextChar">
    <w:name w:val="Footnote Text Char"/>
    <w:aliases w:val="FSR footnote Char,Footnote Char,Fußnote Char,lábléc Char,Footnote Text Char Char Char,lábléc Car Car Car Char,Fodnotetekst Tegn Tegn Tegn Tegn Tegn Tegn Tegn Char Char Char,fn Char,text Char,Footnote Text Char1 Char,Char Char"/>
    <w:link w:val="FootnoteText"/>
    <w:uiPriority w:val="99"/>
    <w:qFormat/>
    <w:rsid w:val="00F14B44"/>
    <w:rPr>
      <w:rFonts w:cs="Sendnya"/>
      <w:color w:val="000000"/>
      <w:sz w:val="14"/>
    </w:rPr>
  </w:style>
  <w:style w:type="character" w:styleId="CommentReference">
    <w:name w:val="annotation reference"/>
    <w:basedOn w:val="DefaultParagraphFont"/>
    <w:uiPriority w:val="99"/>
    <w:semiHidden/>
    <w:locked/>
    <w:rsid w:val="009D32D5"/>
    <w:rPr>
      <w:sz w:val="18"/>
      <w:szCs w:val="18"/>
    </w:rPr>
  </w:style>
  <w:style w:type="character" w:customStyle="1" w:styleId="BalloonTextChar">
    <w:name w:val="Balloon Text Char"/>
    <w:basedOn w:val="DefaultParagraphFont"/>
    <w:link w:val="BalloonText"/>
    <w:uiPriority w:val="99"/>
    <w:semiHidden/>
    <w:rsid w:val="008C2DB1"/>
    <w:rPr>
      <w:rFonts w:ascii="Tahoma" w:hAnsi="Tahoma" w:cs="Tahoma"/>
      <w:sz w:val="16"/>
      <w:szCs w:val="16"/>
    </w:rPr>
  </w:style>
  <w:style w:type="paragraph" w:styleId="CommentText">
    <w:name w:val="annotation text"/>
    <w:basedOn w:val="Normal"/>
    <w:link w:val="CommentTextChar"/>
    <w:uiPriority w:val="99"/>
    <w:locked/>
    <w:rsid w:val="009D32D5"/>
    <w:pPr>
      <w:spacing w:line="240" w:lineRule="auto"/>
    </w:pPr>
    <w:rPr>
      <w:sz w:val="24"/>
      <w:szCs w:val="24"/>
    </w:rPr>
  </w:style>
  <w:style w:type="character" w:customStyle="1" w:styleId="CommentTextChar">
    <w:name w:val="Comment Text Char"/>
    <w:basedOn w:val="DefaultParagraphFont"/>
    <w:link w:val="CommentText"/>
    <w:uiPriority w:val="99"/>
    <w:rsid w:val="008C2DB1"/>
    <w:rPr>
      <w:sz w:val="24"/>
      <w:szCs w:val="24"/>
    </w:rPr>
  </w:style>
  <w:style w:type="paragraph" w:styleId="Caption">
    <w:name w:val="caption"/>
    <w:basedOn w:val="Normal"/>
    <w:next w:val="Normal"/>
    <w:uiPriority w:val="99"/>
    <w:semiHidden/>
    <w:qFormat/>
    <w:locked/>
    <w:rsid w:val="008A60F9"/>
    <w:pPr>
      <w:spacing w:before="0" w:line="240" w:lineRule="auto"/>
    </w:pPr>
    <w:rPr>
      <w:b/>
      <w:bCs/>
      <w:color w:val="003894" w:themeColor="accent1"/>
    </w:rPr>
  </w:style>
  <w:style w:type="character" w:styleId="LineNumber">
    <w:name w:val="line number"/>
    <w:basedOn w:val="DefaultParagraphFont"/>
    <w:uiPriority w:val="99"/>
    <w:semiHidden/>
    <w:locked/>
    <w:rsid w:val="000C5DED"/>
  </w:style>
  <w:style w:type="paragraph" w:customStyle="1" w:styleId="Photo-Legend">
    <w:name w:val="Photo - Legend"/>
    <w:uiPriority w:val="99"/>
    <w:semiHidden/>
    <w:qFormat/>
    <w:rsid w:val="0073312D"/>
    <w:pPr>
      <w:framePr w:w="2268" w:hSpace="227" w:wrap="around" w:vAnchor="text" w:hAnchor="text" w:y="86"/>
      <w:pBdr>
        <w:left w:val="single" w:sz="4" w:space="4" w:color="003894"/>
      </w:pBdr>
      <w:suppressAutoHyphens/>
      <w:spacing w:line="288" w:lineRule="auto"/>
      <w:contextualSpacing/>
    </w:pPr>
    <w:rPr>
      <w:i/>
      <w:color w:val="000000"/>
      <w:sz w:val="14"/>
    </w:rPr>
  </w:style>
  <w:style w:type="paragraph" w:customStyle="1" w:styleId="Formula">
    <w:name w:val="Formula"/>
    <w:basedOn w:val="Normal"/>
    <w:uiPriority w:val="1"/>
    <w:qFormat/>
    <w:rsid w:val="00B51EF3"/>
    <w:pPr>
      <w:spacing w:before="240" w:after="240"/>
      <w:jc w:val="center"/>
    </w:pPr>
    <w:rPr>
      <w:rFonts w:ascii="Cambria Math" w:hAnsi="Cambria Math"/>
    </w:rPr>
  </w:style>
  <w:style w:type="paragraph" w:styleId="TOC4">
    <w:name w:val="toc 4"/>
    <w:basedOn w:val="Normal"/>
    <w:next w:val="Normal"/>
    <w:autoRedefine/>
    <w:uiPriority w:val="99"/>
    <w:semiHidden/>
    <w:locked/>
    <w:rsid w:val="00FF7DDA"/>
    <w:pPr>
      <w:tabs>
        <w:tab w:val="right" w:leader="dot" w:pos="8222"/>
      </w:tabs>
      <w:ind w:left="1843" w:right="1247" w:hanging="709"/>
    </w:pPr>
    <w:rPr>
      <w:noProof/>
    </w:rPr>
  </w:style>
  <w:style w:type="paragraph" w:styleId="Header">
    <w:name w:val="header"/>
    <w:basedOn w:val="Footer"/>
    <w:link w:val="HeaderChar"/>
    <w:uiPriority w:val="2"/>
    <w:qFormat/>
    <w:rsid w:val="006B61E3"/>
    <w:pPr>
      <w:pBdr>
        <w:bottom w:val="none" w:sz="0" w:space="0" w:color="auto"/>
      </w:pBdr>
      <w:tabs>
        <w:tab w:val="clear" w:pos="7938"/>
      </w:tabs>
      <w:spacing w:before="1134" w:line="360" w:lineRule="auto"/>
      <w:ind w:right="5103"/>
    </w:pPr>
    <w:rPr>
      <w:b/>
    </w:rPr>
  </w:style>
  <w:style w:type="character" w:customStyle="1" w:styleId="HeaderChar">
    <w:name w:val="Header Char"/>
    <w:basedOn w:val="DefaultParagraphFont"/>
    <w:link w:val="Header"/>
    <w:uiPriority w:val="2"/>
    <w:rsid w:val="006B61E3"/>
    <w:rPr>
      <w:b/>
      <w:color w:val="003894"/>
      <w:lang w:val="en-US"/>
    </w:rPr>
  </w:style>
  <w:style w:type="paragraph" w:styleId="Title">
    <w:name w:val="Title"/>
    <w:next w:val="Normal"/>
    <w:link w:val="TitleChar"/>
    <w:uiPriority w:val="5"/>
    <w:qFormat/>
    <w:rsid w:val="009B2C69"/>
    <w:pPr>
      <w:keepNext/>
      <w:suppressAutoHyphens/>
      <w:spacing w:line="440" w:lineRule="exact"/>
      <w:contextualSpacing/>
      <w:jc w:val="center"/>
    </w:pPr>
    <w:rPr>
      <w:rFonts w:cs="Sendnya"/>
      <w:b/>
      <w:bCs/>
      <w:color w:val="003894"/>
      <w:kern w:val="28"/>
      <w:sz w:val="40"/>
      <w:szCs w:val="28"/>
    </w:rPr>
  </w:style>
  <w:style w:type="paragraph" w:styleId="TOCHeading">
    <w:name w:val="TOC Heading"/>
    <w:next w:val="Normal"/>
    <w:uiPriority w:val="99"/>
    <w:semiHidden/>
    <w:qFormat/>
    <w:rsid w:val="00896CA7"/>
    <w:pPr>
      <w:framePr w:w="7938" w:h="2268" w:vSpace="567" w:wrap="around" w:vAnchor="page" w:hAnchor="text" w:yAlign="top"/>
      <w:pBdr>
        <w:left w:val="single" w:sz="4" w:space="4" w:color="003894"/>
      </w:pBdr>
      <w:spacing w:before="1560" w:line="440" w:lineRule="exact"/>
    </w:pPr>
    <w:rPr>
      <w:rFonts w:cs="Sendnya"/>
      <w:bCs/>
      <w:color w:val="003894"/>
      <w:kern w:val="28"/>
      <w:sz w:val="32"/>
      <w:szCs w:val="28"/>
    </w:rPr>
  </w:style>
  <w:style w:type="paragraph" w:styleId="Subtitle">
    <w:name w:val="Subtitle"/>
    <w:next w:val="Normal"/>
    <w:link w:val="SubtitleChar"/>
    <w:uiPriority w:val="5"/>
    <w:qFormat/>
    <w:rsid w:val="00352219"/>
    <w:pPr>
      <w:keepNext/>
      <w:numPr>
        <w:ilvl w:val="1"/>
      </w:numPr>
      <w:suppressAutoHyphens/>
      <w:spacing w:before="360" w:line="288" w:lineRule="auto"/>
      <w:jc w:val="center"/>
    </w:pPr>
    <w:rPr>
      <w:rFonts w:eastAsiaTheme="majorEastAsia" w:cstheme="majorBidi"/>
      <w:iCs/>
      <w:color w:val="5C5C5C"/>
      <w:sz w:val="32"/>
      <w:szCs w:val="24"/>
    </w:rPr>
  </w:style>
  <w:style w:type="character" w:customStyle="1" w:styleId="SubtitleChar">
    <w:name w:val="Subtitle Char"/>
    <w:basedOn w:val="DefaultParagraphFont"/>
    <w:link w:val="Subtitle"/>
    <w:uiPriority w:val="5"/>
    <w:rsid w:val="00352219"/>
    <w:rPr>
      <w:rFonts w:eastAsiaTheme="majorEastAsia" w:cstheme="majorBidi"/>
      <w:iCs/>
      <w:color w:val="5C5C5C"/>
      <w:sz w:val="32"/>
      <w:szCs w:val="24"/>
    </w:rPr>
  </w:style>
  <w:style w:type="character" w:customStyle="1" w:styleId="TitleChar">
    <w:name w:val="Title Char"/>
    <w:basedOn w:val="DefaultParagraphFont"/>
    <w:link w:val="Title"/>
    <w:uiPriority w:val="5"/>
    <w:rsid w:val="009B2C69"/>
    <w:rPr>
      <w:rFonts w:cs="Sendnya"/>
      <w:b/>
      <w:bCs/>
      <w:color w:val="003894"/>
      <w:kern w:val="28"/>
      <w:sz w:val="40"/>
      <w:szCs w:val="28"/>
    </w:rPr>
  </w:style>
  <w:style w:type="paragraph" w:customStyle="1" w:styleId="Authors">
    <w:name w:val="Authors"/>
    <w:uiPriority w:val="99"/>
    <w:semiHidden/>
    <w:qFormat/>
    <w:rsid w:val="00266840"/>
    <w:pPr>
      <w:pBdr>
        <w:left w:val="single" w:sz="4" w:space="4" w:color="003894"/>
      </w:pBdr>
      <w:suppressAutoHyphens/>
      <w:spacing w:before="240" w:line="240" w:lineRule="exact"/>
      <w:ind w:right="2835"/>
      <w:contextualSpacing/>
    </w:pPr>
    <w:rPr>
      <w:color w:val="5C5C5C"/>
      <w:sz w:val="20"/>
      <w:szCs w:val="24"/>
    </w:rPr>
  </w:style>
  <w:style w:type="paragraph" w:customStyle="1" w:styleId="Imprinttexttop">
    <w:name w:val="Imprint text_top"/>
    <w:uiPriority w:val="99"/>
    <w:semiHidden/>
    <w:qFormat/>
    <w:rsid w:val="0073312D"/>
    <w:pPr>
      <w:tabs>
        <w:tab w:val="left" w:pos="851"/>
      </w:tabs>
      <w:suppressAutoHyphens/>
      <w:spacing w:line="200" w:lineRule="exact"/>
    </w:pPr>
    <w:rPr>
      <w:rFonts w:cs="Calibri"/>
      <w:color w:val="000000"/>
      <w:sz w:val="16"/>
    </w:rPr>
  </w:style>
  <w:style w:type="paragraph" w:customStyle="1" w:styleId="Imprintheadlinetop">
    <w:name w:val="Imprint headline_top"/>
    <w:uiPriority w:val="99"/>
    <w:semiHidden/>
    <w:qFormat/>
    <w:rsid w:val="0073312D"/>
    <w:pPr>
      <w:keepNext/>
      <w:tabs>
        <w:tab w:val="left" w:pos="851"/>
      </w:tabs>
      <w:suppressAutoHyphens/>
      <w:spacing w:before="192" w:line="200" w:lineRule="exact"/>
      <w:contextualSpacing/>
    </w:pPr>
    <w:rPr>
      <w:rFonts w:cs="Calibri"/>
      <w:b/>
      <w:color w:val="003894"/>
      <w:sz w:val="16"/>
    </w:rPr>
  </w:style>
  <w:style w:type="paragraph" w:styleId="Bibliography">
    <w:name w:val="Bibliography"/>
    <w:basedOn w:val="Normal"/>
    <w:next w:val="Normal"/>
    <w:uiPriority w:val="99"/>
    <w:semiHidden/>
    <w:locked/>
    <w:rsid w:val="008F7E14"/>
  </w:style>
  <w:style w:type="paragraph" w:styleId="BlockText">
    <w:name w:val="Block Text"/>
    <w:basedOn w:val="Normal"/>
    <w:uiPriority w:val="99"/>
    <w:semiHidden/>
    <w:locked/>
    <w:rsid w:val="008F7E14"/>
    <w:pPr>
      <w:pBdr>
        <w:top w:val="single" w:sz="2" w:space="10" w:color="003894" w:themeColor="accent1"/>
        <w:left w:val="single" w:sz="2" w:space="10" w:color="003894" w:themeColor="accent1"/>
        <w:bottom w:val="single" w:sz="2" w:space="10" w:color="003894" w:themeColor="accent1"/>
        <w:right w:val="single" w:sz="2" w:space="10" w:color="003894" w:themeColor="accent1"/>
      </w:pBdr>
      <w:ind w:left="1152" w:right="1152"/>
    </w:pPr>
    <w:rPr>
      <w:rFonts w:asciiTheme="minorHAnsi" w:eastAsiaTheme="minorEastAsia" w:hAnsiTheme="minorHAnsi" w:cstheme="minorBidi"/>
      <w:i/>
      <w:iCs/>
      <w:color w:val="003894" w:themeColor="accent1"/>
    </w:rPr>
  </w:style>
  <w:style w:type="paragraph" w:styleId="BodyText">
    <w:name w:val="Body Text"/>
    <w:basedOn w:val="Normal"/>
    <w:link w:val="BodyTextChar"/>
    <w:uiPriority w:val="99"/>
    <w:semiHidden/>
    <w:locked/>
    <w:rsid w:val="008F7E14"/>
  </w:style>
  <w:style w:type="character" w:customStyle="1" w:styleId="BodyTextChar">
    <w:name w:val="Body Text Char"/>
    <w:basedOn w:val="DefaultParagraphFont"/>
    <w:link w:val="BodyText"/>
    <w:uiPriority w:val="99"/>
    <w:semiHidden/>
    <w:rsid w:val="008C2DB1"/>
  </w:style>
  <w:style w:type="paragraph" w:styleId="BodyText2">
    <w:name w:val="Body Text 2"/>
    <w:basedOn w:val="Normal"/>
    <w:link w:val="BodyText2Char"/>
    <w:uiPriority w:val="99"/>
    <w:semiHidden/>
    <w:locked/>
    <w:rsid w:val="008F7E14"/>
    <w:pPr>
      <w:spacing w:line="480" w:lineRule="auto"/>
    </w:pPr>
  </w:style>
  <w:style w:type="character" w:customStyle="1" w:styleId="BodyText2Char">
    <w:name w:val="Body Text 2 Char"/>
    <w:basedOn w:val="DefaultParagraphFont"/>
    <w:link w:val="BodyText2"/>
    <w:uiPriority w:val="99"/>
    <w:semiHidden/>
    <w:rsid w:val="008C2DB1"/>
  </w:style>
  <w:style w:type="paragraph" w:styleId="BodyText3">
    <w:name w:val="Body Text 3"/>
    <w:basedOn w:val="Normal"/>
    <w:link w:val="BodyText3Char"/>
    <w:uiPriority w:val="99"/>
    <w:semiHidden/>
    <w:locked/>
    <w:rsid w:val="008F7E14"/>
    <w:rPr>
      <w:sz w:val="16"/>
      <w:szCs w:val="16"/>
    </w:rPr>
  </w:style>
  <w:style w:type="character" w:customStyle="1" w:styleId="BodyText3Char">
    <w:name w:val="Body Text 3 Char"/>
    <w:basedOn w:val="DefaultParagraphFont"/>
    <w:link w:val="BodyText3"/>
    <w:uiPriority w:val="99"/>
    <w:semiHidden/>
    <w:rsid w:val="008C2DB1"/>
    <w:rPr>
      <w:sz w:val="16"/>
      <w:szCs w:val="16"/>
    </w:rPr>
  </w:style>
  <w:style w:type="paragraph" w:styleId="BodyTextFirstIndent">
    <w:name w:val="Body Text First Indent"/>
    <w:basedOn w:val="BodyText"/>
    <w:link w:val="BodyTextFirstIndentChar"/>
    <w:uiPriority w:val="99"/>
    <w:semiHidden/>
    <w:locked/>
    <w:rsid w:val="008F7E14"/>
    <w:pPr>
      <w:ind w:firstLine="360"/>
    </w:pPr>
  </w:style>
  <w:style w:type="character" w:customStyle="1" w:styleId="BodyTextFirstIndentChar">
    <w:name w:val="Body Text First Indent Char"/>
    <w:basedOn w:val="BodyTextChar"/>
    <w:link w:val="BodyTextFirstIndent"/>
    <w:uiPriority w:val="99"/>
    <w:semiHidden/>
    <w:rsid w:val="008C2DB1"/>
  </w:style>
  <w:style w:type="paragraph" w:styleId="BodyTextIndent">
    <w:name w:val="Body Text Indent"/>
    <w:basedOn w:val="Normal"/>
    <w:link w:val="BodyTextIndentChar"/>
    <w:uiPriority w:val="99"/>
    <w:semiHidden/>
    <w:locked/>
    <w:rsid w:val="008F7E14"/>
    <w:pPr>
      <w:ind w:left="283"/>
    </w:pPr>
  </w:style>
  <w:style w:type="character" w:customStyle="1" w:styleId="BodyTextIndentChar">
    <w:name w:val="Body Text Indent Char"/>
    <w:basedOn w:val="DefaultParagraphFont"/>
    <w:link w:val="BodyTextIndent"/>
    <w:uiPriority w:val="99"/>
    <w:semiHidden/>
    <w:rsid w:val="008C2DB1"/>
  </w:style>
  <w:style w:type="paragraph" w:styleId="BodyTextFirstIndent2">
    <w:name w:val="Body Text First Indent 2"/>
    <w:basedOn w:val="BodyTextIndent"/>
    <w:link w:val="BodyTextFirstIndent2Char"/>
    <w:uiPriority w:val="99"/>
    <w:semiHidden/>
    <w:locked/>
    <w:rsid w:val="008F7E14"/>
    <w:pPr>
      <w:ind w:left="360" w:firstLine="360"/>
    </w:pPr>
  </w:style>
  <w:style w:type="character" w:customStyle="1" w:styleId="BodyTextFirstIndent2Char">
    <w:name w:val="Body Text First Indent 2 Char"/>
    <w:basedOn w:val="BodyTextIndentChar"/>
    <w:link w:val="BodyTextFirstIndent2"/>
    <w:uiPriority w:val="99"/>
    <w:semiHidden/>
    <w:rsid w:val="008C2DB1"/>
  </w:style>
  <w:style w:type="paragraph" w:styleId="BodyTextIndent2">
    <w:name w:val="Body Text Indent 2"/>
    <w:basedOn w:val="Normal"/>
    <w:link w:val="BodyTextIndent2Char"/>
    <w:uiPriority w:val="99"/>
    <w:semiHidden/>
    <w:locked/>
    <w:rsid w:val="008F7E14"/>
    <w:pPr>
      <w:spacing w:line="480" w:lineRule="auto"/>
      <w:ind w:left="283"/>
    </w:pPr>
  </w:style>
  <w:style w:type="character" w:customStyle="1" w:styleId="BodyTextIndent2Char">
    <w:name w:val="Body Text Indent 2 Char"/>
    <w:basedOn w:val="DefaultParagraphFont"/>
    <w:link w:val="BodyTextIndent2"/>
    <w:uiPriority w:val="99"/>
    <w:semiHidden/>
    <w:rsid w:val="008C2DB1"/>
  </w:style>
  <w:style w:type="paragraph" w:styleId="BodyTextIndent3">
    <w:name w:val="Body Text Indent 3"/>
    <w:basedOn w:val="Normal"/>
    <w:link w:val="BodyTextIndent3Char"/>
    <w:uiPriority w:val="99"/>
    <w:semiHidden/>
    <w:locked/>
    <w:rsid w:val="008F7E14"/>
    <w:pPr>
      <w:ind w:left="283"/>
    </w:pPr>
    <w:rPr>
      <w:sz w:val="16"/>
      <w:szCs w:val="16"/>
    </w:rPr>
  </w:style>
  <w:style w:type="character" w:customStyle="1" w:styleId="BodyTextIndent3Char">
    <w:name w:val="Body Text Indent 3 Char"/>
    <w:basedOn w:val="DefaultParagraphFont"/>
    <w:link w:val="BodyTextIndent3"/>
    <w:uiPriority w:val="99"/>
    <w:semiHidden/>
    <w:rsid w:val="008C2DB1"/>
    <w:rPr>
      <w:sz w:val="16"/>
      <w:szCs w:val="16"/>
    </w:rPr>
  </w:style>
  <w:style w:type="paragraph" w:styleId="Closing">
    <w:name w:val="Closing"/>
    <w:basedOn w:val="Normal"/>
    <w:link w:val="ClosingChar"/>
    <w:uiPriority w:val="99"/>
    <w:semiHidden/>
    <w:locked/>
    <w:rsid w:val="008F7E14"/>
    <w:pPr>
      <w:spacing w:before="0" w:after="0" w:line="240" w:lineRule="auto"/>
      <w:ind w:left="4252"/>
    </w:pPr>
  </w:style>
  <w:style w:type="character" w:customStyle="1" w:styleId="ClosingChar">
    <w:name w:val="Closing Char"/>
    <w:basedOn w:val="DefaultParagraphFont"/>
    <w:link w:val="Closing"/>
    <w:uiPriority w:val="99"/>
    <w:semiHidden/>
    <w:rsid w:val="008C2DB1"/>
  </w:style>
  <w:style w:type="paragraph" w:styleId="CommentSubject">
    <w:name w:val="annotation subject"/>
    <w:basedOn w:val="CommentText"/>
    <w:next w:val="CommentText"/>
    <w:link w:val="CommentSubjectChar"/>
    <w:uiPriority w:val="99"/>
    <w:semiHidden/>
    <w:locked/>
    <w:rsid w:val="008F7E14"/>
    <w:rPr>
      <w:b/>
      <w:bCs/>
      <w:sz w:val="20"/>
      <w:szCs w:val="20"/>
    </w:rPr>
  </w:style>
  <w:style w:type="character" w:customStyle="1" w:styleId="CommentSubjectChar">
    <w:name w:val="Comment Subject Char"/>
    <w:basedOn w:val="CommentTextChar"/>
    <w:link w:val="CommentSubject"/>
    <w:uiPriority w:val="99"/>
    <w:semiHidden/>
    <w:rsid w:val="008C2DB1"/>
    <w:rPr>
      <w:b/>
      <w:bCs/>
      <w:sz w:val="20"/>
      <w:szCs w:val="20"/>
    </w:rPr>
  </w:style>
  <w:style w:type="paragraph" w:styleId="Date">
    <w:name w:val="Date"/>
    <w:basedOn w:val="Normal"/>
    <w:next w:val="Normal"/>
    <w:link w:val="DateChar"/>
    <w:uiPriority w:val="99"/>
    <w:semiHidden/>
    <w:qFormat/>
    <w:locked/>
    <w:rsid w:val="008F7E14"/>
  </w:style>
  <w:style w:type="character" w:customStyle="1" w:styleId="DateChar">
    <w:name w:val="Date Char"/>
    <w:basedOn w:val="DefaultParagraphFont"/>
    <w:link w:val="Date"/>
    <w:uiPriority w:val="99"/>
    <w:semiHidden/>
    <w:rsid w:val="008C2DB1"/>
  </w:style>
  <w:style w:type="paragraph" w:styleId="DocumentMap">
    <w:name w:val="Document Map"/>
    <w:basedOn w:val="Normal"/>
    <w:link w:val="DocumentMapChar"/>
    <w:uiPriority w:val="99"/>
    <w:semiHidden/>
    <w:locked/>
    <w:rsid w:val="008F7E14"/>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C2DB1"/>
    <w:rPr>
      <w:rFonts w:ascii="Tahoma" w:hAnsi="Tahoma" w:cs="Tahoma"/>
      <w:sz w:val="16"/>
      <w:szCs w:val="16"/>
    </w:rPr>
  </w:style>
  <w:style w:type="paragraph" w:styleId="E-mailSignature">
    <w:name w:val="E-mail Signature"/>
    <w:basedOn w:val="Normal"/>
    <w:link w:val="E-mailSignatureChar"/>
    <w:uiPriority w:val="99"/>
    <w:semiHidden/>
    <w:locked/>
    <w:rsid w:val="008F7E14"/>
    <w:pPr>
      <w:spacing w:before="0" w:after="0" w:line="240" w:lineRule="auto"/>
    </w:pPr>
  </w:style>
  <w:style w:type="character" w:customStyle="1" w:styleId="E-mailSignatureChar">
    <w:name w:val="E-mail Signature Char"/>
    <w:basedOn w:val="DefaultParagraphFont"/>
    <w:link w:val="E-mailSignature"/>
    <w:uiPriority w:val="99"/>
    <w:semiHidden/>
    <w:rsid w:val="008C2DB1"/>
  </w:style>
  <w:style w:type="character" w:styleId="EndnoteReference">
    <w:name w:val="endnote reference"/>
    <w:basedOn w:val="DefaultParagraphFont"/>
    <w:uiPriority w:val="99"/>
    <w:semiHidden/>
    <w:locked/>
    <w:rsid w:val="008F7E14"/>
    <w:rPr>
      <w:vertAlign w:val="superscript"/>
    </w:rPr>
  </w:style>
  <w:style w:type="paragraph" w:styleId="EndnoteText">
    <w:name w:val="endnote text"/>
    <w:basedOn w:val="Normal"/>
    <w:link w:val="EndnoteTextChar"/>
    <w:uiPriority w:val="99"/>
    <w:semiHidden/>
    <w:locked/>
    <w:rsid w:val="008F7E14"/>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8C2DB1"/>
    <w:rPr>
      <w:sz w:val="20"/>
      <w:szCs w:val="20"/>
    </w:rPr>
  </w:style>
  <w:style w:type="paragraph" w:styleId="EnvelopeAddress">
    <w:name w:val="envelope address"/>
    <w:basedOn w:val="Normal"/>
    <w:uiPriority w:val="99"/>
    <w:semiHidden/>
    <w:locked/>
    <w:rsid w:val="008F7E14"/>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locked/>
    <w:rsid w:val="008F7E14"/>
    <w:pPr>
      <w:spacing w:before="0" w:after="0" w:line="240" w:lineRule="auto"/>
    </w:pPr>
    <w:rPr>
      <w:rFonts w:asciiTheme="majorHAnsi" w:eastAsiaTheme="majorEastAsia" w:hAnsiTheme="majorHAnsi" w:cstheme="majorBidi"/>
      <w:sz w:val="20"/>
      <w:szCs w:val="20"/>
    </w:rPr>
  </w:style>
  <w:style w:type="character" w:styleId="HTMLAcronym">
    <w:name w:val="HTML Acronym"/>
    <w:basedOn w:val="DefaultParagraphFont"/>
    <w:uiPriority w:val="99"/>
    <w:semiHidden/>
    <w:locked/>
    <w:rsid w:val="008F7E14"/>
  </w:style>
  <w:style w:type="paragraph" w:styleId="HTMLAddress">
    <w:name w:val="HTML Address"/>
    <w:basedOn w:val="Normal"/>
    <w:link w:val="HTMLAddressChar"/>
    <w:uiPriority w:val="99"/>
    <w:semiHidden/>
    <w:locked/>
    <w:rsid w:val="008F7E14"/>
    <w:pPr>
      <w:spacing w:before="0" w:after="0" w:line="240" w:lineRule="auto"/>
    </w:pPr>
    <w:rPr>
      <w:i/>
      <w:iCs/>
    </w:rPr>
  </w:style>
  <w:style w:type="character" w:customStyle="1" w:styleId="HTMLAddressChar">
    <w:name w:val="HTML Address Char"/>
    <w:basedOn w:val="DefaultParagraphFont"/>
    <w:link w:val="HTMLAddress"/>
    <w:uiPriority w:val="99"/>
    <w:semiHidden/>
    <w:rsid w:val="008C2DB1"/>
    <w:rPr>
      <w:i/>
      <w:iCs/>
    </w:rPr>
  </w:style>
  <w:style w:type="character" w:styleId="HTMLCite">
    <w:name w:val="HTML Cite"/>
    <w:basedOn w:val="DefaultParagraphFont"/>
    <w:uiPriority w:val="99"/>
    <w:semiHidden/>
    <w:locked/>
    <w:rsid w:val="008F7E14"/>
    <w:rPr>
      <w:i/>
      <w:iCs/>
    </w:rPr>
  </w:style>
  <w:style w:type="character" w:styleId="HTMLCode">
    <w:name w:val="HTML Code"/>
    <w:basedOn w:val="DefaultParagraphFont"/>
    <w:uiPriority w:val="99"/>
    <w:semiHidden/>
    <w:locked/>
    <w:rsid w:val="008F7E14"/>
    <w:rPr>
      <w:rFonts w:ascii="Consolas" w:hAnsi="Consolas" w:cs="Consolas"/>
      <w:sz w:val="20"/>
      <w:szCs w:val="20"/>
    </w:rPr>
  </w:style>
  <w:style w:type="character" w:styleId="HTMLDefinition">
    <w:name w:val="HTML Definition"/>
    <w:basedOn w:val="DefaultParagraphFont"/>
    <w:uiPriority w:val="99"/>
    <w:semiHidden/>
    <w:locked/>
    <w:rsid w:val="008F7E14"/>
    <w:rPr>
      <w:i/>
      <w:iCs/>
    </w:rPr>
  </w:style>
  <w:style w:type="character" w:styleId="HTMLKeyboard">
    <w:name w:val="HTML Keyboard"/>
    <w:basedOn w:val="DefaultParagraphFont"/>
    <w:uiPriority w:val="99"/>
    <w:semiHidden/>
    <w:locked/>
    <w:rsid w:val="008F7E14"/>
    <w:rPr>
      <w:rFonts w:ascii="Consolas" w:hAnsi="Consolas" w:cs="Consolas"/>
      <w:sz w:val="20"/>
      <w:szCs w:val="20"/>
    </w:rPr>
  </w:style>
  <w:style w:type="paragraph" w:styleId="HTMLPreformatted">
    <w:name w:val="HTML Preformatted"/>
    <w:basedOn w:val="Normal"/>
    <w:link w:val="HTMLPreformattedChar"/>
    <w:uiPriority w:val="99"/>
    <w:semiHidden/>
    <w:locked/>
    <w:rsid w:val="008F7E14"/>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C2DB1"/>
    <w:rPr>
      <w:rFonts w:ascii="Consolas" w:hAnsi="Consolas" w:cs="Consolas"/>
      <w:sz w:val="20"/>
      <w:szCs w:val="20"/>
    </w:rPr>
  </w:style>
  <w:style w:type="character" w:styleId="HTMLSample">
    <w:name w:val="HTML Sample"/>
    <w:basedOn w:val="DefaultParagraphFont"/>
    <w:uiPriority w:val="99"/>
    <w:semiHidden/>
    <w:locked/>
    <w:rsid w:val="008F7E14"/>
    <w:rPr>
      <w:rFonts w:ascii="Consolas" w:hAnsi="Consolas" w:cs="Consolas"/>
      <w:sz w:val="24"/>
      <w:szCs w:val="24"/>
    </w:rPr>
  </w:style>
  <w:style w:type="character" w:styleId="HTMLTypewriter">
    <w:name w:val="HTML Typewriter"/>
    <w:basedOn w:val="DefaultParagraphFont"/>
    <w:uiPriority w:val="99"/>
    <w:semiHidden/>
    <w:locked/>
    <w:rsid w:val="008F7E14"/>
    <w:rPr>
      <w:rFonts w:ascii="Consolas" w:hAnsi="Consolas" w:cs="Consolas"/>
      <w:sz w:val="20"/>
      <w:szCs w:val="20"/>
    </w:rPr>
  </w:style>
  <w:style w:type="character" w:styleId="HTMLVariable">
    <w:name w:val="HTML Variable"/>
    <w:basedOn w:val="DefaultParagraphFont"/>
    <w:uiPriority w:val="99"/>
    <w:semiHidden/>
    <w:locked/>
    <w:rsid w:val="008F7E14"/>
    <w:rPr>
      <w:i/>
      <w:iCs/>
    </w:rPr>
  </w:style>
  <w:style w:type="paragraph" w:styleId="Index1">
    <w:name w:val="index 1"/>
    <w:basedOn w:val="Normal"/>
    <w:next w:val="Normal"/>
    <w:autoRedefine/>
    <w:uiPriority w:val="99"/>
    <w:semiHidden/>
    <w:locked/>
    <w:rsid w:val="008F7E14"/>
    <w:pPr>
      <w:spacing w:before="0" w:after="0" w:line="240" w:lineRule="auto"/>
      <w:ind w:left="180" w:hanging="180"/>
    </w:pPr>
  </w:style>
  <w:style w:type="paragraph" w:styleId="Index2">
    <w:name w:val="index 2"/>
    <w:basedOn w:val="Normal"/>
    <w:next w:val="Normal"/>
    <w:autoRedefine/>
    <w:uiPriority w:val="99"/>
    <w:semiHidden/>
    <w:locked/>
    <w:rsid w:val="008F7E14"/>
    <w:pPr>
      <w:spacing w:before="0" w:after="0" w:line="240" w:lineRule="auto"/>
      <w:ind w:left="360" w:hanging="180"/>
    </w:pPr>
  </w:style>
  <w:style w:type="paragraph" w:styleId="Index3">
    <w:name w:val="index 3"/>
    <w:basedOn w:val="Normal"/>
    <w:next w:val="Normal"/>
    <w:autoRedefine/>
    <w:uiPriority w:val="99"/>
    <w:semiHidden/>
    <w:locked/>
    <w:rsid w:val="008F7E14"/>
    <w:pPr>
      <w:spacing w:before="0" w:after="0" w:line="240" w:lineRule="auto"/>
      <w:ind w:left="540" w:hanging="180"/>
    </w:pPr>
  </w:style>
  <w:style w:type="paragraph" w:styleId="Index4">
    <w:name w:val="index 4"/>
    <w:basedOn w:val="Normal"/>
    <w:next w:val="Normal"/>
    <w:autoRedefine/>
    <w:uiPriority w:val="99"/>
    <w:semiHidden/>
    <w:locked/>
    <w:rsid w:val="008F7E14"/>
    <w:pPr>
      <w:spacing w:before="0" w:after="0" w:line="240" w:lineRule="auto"/>
      <w:ind w:left="720" w:hanging="180"/>
    </w:pPr>
  </w:style>
  <w:style w:type="paragraph" w:styleId="Index5">
    <w:name w:val="index 5"/>
    <w:basedOn w:val="Normal"/>
    <w:next w:val="Normal"/>
    <w:autoRedefine/>
    <w:uiPriority w:val="99"/>
    <w:semiHidden/>
    <w:locked/>
    <w:rsid w:val="008F7E14"/>
    <w:pPr>
      <w:spacing w:before="0" w:after="0" w:line="240" w:lineRule="auto"/>
      <w:ind w:left="900" w:hanging="180"/>
    </w:pPr>
  </w:style>
  <w:style w:type="paragraph" w:styleId="Index6">
    <w:name w:val="index 6"/>
    <w:basedOn w:val="Normal"/>
    <w:next w:val="Normal"/>
    <w:autoRedefine/>
    <w:uiPriority w:val="99"/>
    <w:semiHidden/>
    <w:locked/>
    <w:rsid w:val="008F7E14"/>
    <w:pPr>
      <w:spacing w:before="0" w:after="0" w:line="240" w:lineRule="auto"/>
      <w:ind w:left="1080" w:hanging="180"/>
    </w:pPr>
  </w:style>
  <w:style w:type="paragraph" w:styleId="Index7">
    <w:name w:val="index 7"/>
    <w:basedOn w:val="Normal"/>
    <w:next w:val="Normal"/>
    <w:autoRedefine/>
    <w:uiPriority w:val="99"/>
    <w:semiHidden/>
    <w:locked/>
    <w:rsid w:val="008F7E14"/>
    <w:pPr>
      <w:spacing w:before="0" w:after="0" w:line="240" w:lineRule="auto"/>
      <w:ind w:left="1260" w:hanging="180"/>
    </w:pPr>
  </w:style>
  <w:style w:type="paragraph" w:styleId="Index8">
    <w:name w:val="index 8"/>
    <w:basedOn w:val="Normal"/>
    <w:next w:val="Normal"/>
    <w:autoRedefine/>
    <w:uiPriority w:val="99"/>
    <w:semiHidden/>
    <w:locked/>
    <w:rsid w:val="008F7E14"/>
    <w:pPr>
      <w:spacing w:before="0" w:after="0" w:line="240" w:lineRule="auto"/>
      <w:ind w:left="1440" w:hanging="180"/>
    </w:pPr>
  </w:style>
  <w:style w:type="paragraph" w:styleId="Index9">
    <w:name w:val="index 9"/>
    <w:basedOn w:val="Normal"/>
    <w:next w:val="Normal"/>
    <w:autoRedefine/>
    <w:uiPriority w:val="99"/>
    <w:semiHidden/>
    <w:locked/>
    <w:rsid w:val="008F7E14"/>
    <w:pPr>
      <w:spacing w:before="0" w:after="0" w:line="240" w:lineRule="auto"/>
      <w:ind w:left="1620" w:hanging="180"/>
    </w:pPr>
  </w:style>
  <w:style w:type="paragraph" w:styleId="IndexHeading">
    <w:name w:val="index heading"/>
    <w:basedOn w:val="Normal"/>
    <w:next w:val="Index1"/>
    <w:uiPriority w:val="99"/>
    <w:semiHidden/>
    <w:locked/>
    <w:rsid w:val="008F7E14"/>
    <w:rPr>
      <w:rFonts w:asciiTheme="majorHAnsi" w:eastAsiaTheme="majorEastAsia" w:hAnsiTheme="majorHAnsi" w:cstheme="majorBidi"/>
      <w:b/>
      <w:bCs/>
    </w:rPr>
  </w:style>
  <w:style w:type="paragraph" w:styleId="List">
    <w:name w:val="List"/>
    <w:basedOn w:val="Normal"/>
    <w:uiPriority w:val="99"/>
    <w:semiHidden/>
    <w:locked/>
    <w:rsid w:val="008F7E14"/>
    <w:pPr>
      <w:ind w:left="283" w:hanging="283"/>
      <w:contextualSpacing/>
    </w:pPr>
  </w:style>
  <w:style w:type="paragraph" w:styleId="List2">
    <w:name w:val="List 2"/>
    <w:basedOn w:val="Normal"/>
    <w:uiPriority w:val="99"/>
    <w:semiHidden/>
    <w:locked/>
    <w:rsid w:val="008F7E14"/>
    <w:pPr>
      <w:ind w:left="566" w:hanging="283"/>
      <w:contextualSpacing/>
    </w:pPr>
  </w:style>
  <w:style w:type="paragraph" w:styleId="List3">
    <w:name w:val="List 3"/>
    <w:basedOn w:val="Normal"/>
    <w:uiPriority w:val="99"/>
    <w:semiHidden/>
    <w:locked/>
    <w:rsid w:val="008F7E14"/>
    <w:pPr>
      <w:ind w:left="849" w:hanging="283"/>
      <w:contextualSpacing/>
    </w:pPr>
  </w:style>
  <w:style w:type="paragraph" w:styleId="List4">
    <w:name w:val="List 4"/>
    <w:basedOn w:val="Normal"/>
    <w:uiPriority w:val="99"/>
    <w:semiHidden/>
    <w:locked/>
    <w:rsid w:val="008F7E14"/>
    <w:pPr>
      <w:ind w:left="1132" w:hanging="283"/>
      <w:contextualSpacing/>
    </w:pPr>
  </w:style>
  <w:style w:type="paragraph" w:styleId="List5">
    <w:name w:val="List 5"/>
    <w:basedOn w:val="Normal"/>
    <w:uiPriority w:val="99"/>
    <w:semiHidden/>
    <w:locked/>
    <w:rsid w:val="008F7E14"/>
    <w:pPr>
      <w:ind w:left="1415" w:hanging="283"/>
      <w:contextualSpacing/>
    </w:pPr>
  </w:style>
  <w:style w:type="paragraph" w:styleId="ListBullet4">
    <w:name w:val="List Bullet 4"/>
    <w:basedOn w:val="Normal"/>
    <w:uiPriority w:val="99"/>
    <w:semiHidden/>
    <w:locked/>
    <w:rsid w:val="008F7E14"/>
    <w:pPr>
      <w:numPr>
        <w:numId w:val="3"/>
      </w:numPr>
      <w:contextualSpacing/>
    </w:pPr>
  </w:style>
  <w:style w:type="paragraph" w:styleId="ListBullet5">
    <w:name w:val="List Bullet 5"/>
    <w:basedOn w:val="Normal"/>
    <w:uiPriority w:val="99"/>
    <w:semiHidden/>
    <w:locked/>
    <w:rsid w:val="008F7E14"/>
    <w:pPr>
      <w:numPr>
        <w:numId w:val="4"/>
      </w:numPr>
      <w:contextualSpacing/>
    </w:pPr>
  </w:style>
  <w:style w:type="paragraph" w:styleId="ListContinue">
    <w:name w:val="List Continue"/>
    <w:basedOn w:val="Normal"/>
    <w:uiPriority w:val="99"/>
    <w:semiHidden/>
    <w:locked/>
    <w:rsid w:val="008F7E14"/>
    <w:pPr>
      <w:ind w:left="283"/>
      <w:contextualSpacing/>
    </w:pPr>
  </w:style>
  <w:style w:type="paragraph" w:styleId="ListContinue2">
    <w:name w:val="List Continue 2"/>
    <w:basedOn w:val="Normal"/>
    <w:uiPriority w:val="99"/>
    <w:semiHidden/>
    <w:locked/>
    <w:rsid w:val="008F7E14"/>
    <w:pPr>
      <w:ind w:left="566"/>
      <w:contextualSpacing/>
    </w:pPr>
  </w:style>
  <w:style w:type="paragraph" w:styleId="ListContinue3">
    <w:name w:val="List Continue 3"/>
    <w:basedOn w:val="Normal"/>
    <w:uiPriority w:val="99"/>
    <w:semiHidden/>
    <w:locked/>
    <w:rsid w:val="008F7E14"/>
    <w:pPr>
      <w:ind w:left="849"/>
      <w:contextualSpacing/>
    </w:pPr>
  </w:style>
  <w:style w:type="paragraph" w:styleId="ListContinue4">
    <w:name w:val="List Continue 4"/>
    <w:basedOn w:val="Normal"/>
    <w:uiPriority w:val="99"/>
    <w:semiHidden/>
    <w:locked/>
    <w:rsid w:val="008F7E14"/>
    <w:pPr>
      <w:ind w:left="1132"/>
      <w:contextualSpacing/>
    </w:pPr>
  </w:style>
  <w:style w:type="paragraph" w:styleId="ListContinue5">
    <w:name w:val="List Continue 5"/>
    <w:basedOn w:val="Normal"/>
    <w:uiPriority w:val="99"/>
    <w:semiHidden/>
    <w:locked/>
    <w:rsid w:val="008F7E14"/>
    <w:pPr>
      <w:ind w:left="1415"/>
      <w:contextualSpacing/>
    </w:pPr>
  </w:style>
  <w:style w:type="paragraph" w:styleId="ListNumber4">
    <w:name w:val="List Number 4"/>
    <w:basedOn w:val="Normal"/>
    <w:uiPriority w:val="99"/>
    <w:semiHidden/>
    <w:locked/>
    <w:rsid w:val="008F7E14"/>
    <w:pPr>
      <w:numPr>
        <w:numId w:val="5"/>
      </w:numPr>
      <w:contextualSpacing/>
    </w:pPr>
  </w:style>
  <w:style w:type="paragraph" w:styleId="ListNumber5">
    <w:name w:val="List Number 5"/>
    <w:basedOn w:val="Normal"/>
    <w:uiPriority w:val="99"/>
    <w:semiHidden/>
    <w:locked/>
    <w:rsid w:val="008F7E14"/>
    <w:pPr>
      <w:numPr>
        <w:numId w:val="6"/>
      </w:numPr>
      <w:contextualSpacing/>
    </w:pPr>
  </w:style>
  <w:style w:type="paragraph" w:styleId="MacroText">
    <w:name w:val="macro"/>
    <w:link w:val="MacroTextChar"/>
    <w:uiPriority w:val="99"/>
    <w:semiHidden/>
    <w:locked/>
    <w:rsid w:val="008F7E14"/>
    <w:pPr>
      <w:tabs>
        <w:tab w:val="left" w:pos="480"/>
        <w:tab w:val="left" w:pos="960"/>
        <w:tab w:val="left" w:pos="1440"/>
        <w:tab w:val="left" w:pos="1920"/>
        <w:tab w:val="left" w:pos="2400"/>
        <w:tab w:val="left" w:pos="2880"/>
        <w:tab w:val="left" w:pos="3360"/>
        <w:tab w:val="left" w:pos="3840"/>
        <w:tab w:val="left" w:pos="4320"/>
      </w:tabs>
      <w:suppressAutoHyphens/>
      <w:spacing w:before="120" w:line="260" w:lineRule="exact"/>
    </w:pPr>
    <w:rPr>
      <w:rFonts w:ascii="Consolas" w:hAnsi="Consolas" w:cs="Consolas"/>
      <w:sz w:val="20"/>
      <w:szCs w:val="20"/>
    </w:rPr>
  </w:style>
  <w:style w:type="character" w:customStyle="1" w:styleId="MacroTextChar">
    <w:name w:val="Macro Text Char"/>
    <w:basedOn w:val="DefaultParagraphFont"/>
    <w:link w:val="MacroText"/>
    <w:uiPriority w:val="99"/>
    <w:semiHidden/>
    <w:rsid w:val="008C2DB1"/>
    <w:rPr>
      <w:rFonts w:ascii="Consolas" w:hAnsi="Consolas" w:cs="Consolas"/>
      <w:sz w:val="20"/>
      <w:szCs w:val="20"/>
    </w:rPr>
  </w:style>
  <w:style w:type="paragraph" w:styleId="MessageHeader">
    <w:name w:val="Message Header"/>
    <w:basedOn w:val="Normal"/>
    <w:link w:val="MessageHeaderChar"/>
    <w:uiPriority w:val="99"/>
    <w:semiHidden/>
    <w:locked/>
    <w:rsid w:val="008F7E14"/>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C2DB1"/>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locked/>
    <w:rsid w:val="008F7E14"/>
    <w:rPr>
      <w:rFonts w:ascii="Times New Roman" w:hAnsi="Times New Roman"/>
      <w:sz w:val="24"/>
      <w:szCs w:val="24"/>
    </w:rPr>
  </w:style>
  <w:style w:type="paragraph" w:styleId="NormalIndent">
    <w:name w:val="Normal Indent"/>
    <w:basedOn w:val="Normal"/>
    <w:uiPriority w:val="99"/>
    <w:semiHidden/>
    <w:locked/>
    <w:rsid w:val="008F7E14"/>
    <w:pPr>
      <w:ind w:left="720"/>
    </w:pPr>
  </w:style>
  <w:style w:type="paragraph" w:styleId="NoteHeading">
    <w:name w:val="Note Heading"/>
    <w:basedOn w:val="Normal"/>
    <w:next w:val="Normal"/>
    <w:link w:val="NoteHeadingChar"/>
    <w:uiPriority w:val="99"/>
    <w:semiHidden/>
    <w:locked/>
    <w:rsid w:val="008F7E14"/>
    <w:pPr>
      <w:spacing w:before="0" w:after="0" w:line="240" w:lineRule="auto"/>
    </w:pPr>
  </w:style>
  <w:style w:type="character" w:customStyle="1" w:styleId="NoteHeadingChar">
    <w:name w:val="Note Heading Char"/>
    <w:basedOn w:val="DefaultParagraphFont"/>
    <w:link w:val="NoteHeading"/>
    <w:uiPriority w:val="99"/>
    <w:semiHidden/>
    <w:rsid w:val="008C2DB1"/>
  </w:style>
  <w:style w:type="character" w:styleId="PageNumber">
    <w:name w:val="page number"/>
    <w:basedOn w:val="DefaultParagraphFont"/>
    <w:uiPriority w:val="5"/>
    <w:qFormat/>
    <w:rsid w:val="0073312D"/>
  </w:style>
  <w:style w:type="paragraph" w:styleId="PlainText">
    <w:name w:val="Plain Text"/>
    <w:basedOn w:val="Normal"/>
    <w:link w:val="PlainTextChar"/>
    <w:uiPriority w:val="99"/>
    <w:semiHidden/>
    <w:locked/>
    <w:rsid w:val="008F7E14"/>
    <w:pPr>
      <w:spacing w:before="0"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C2DB1"/>
    <w:rPr>
      <w:rFonts w:ascii="Consolas" w:hAnsi="Consolas" w:cs="Consolas"/>
      <w:sz w:val="21"/>
      <w:szCs w:val="21"/>
    </w:rPr>
  </w:style>
  <w:style w:type="paragraph" w:styleId="Salutation">
    <w:name w:val="Salutation"/>
    <w:basedOn w:val="Normal"/>
    <w:next w:val="Normal"/>
    <w:link w:val="SalutationChar"/>
    <w:uiPriority w:val="99"/>
    <w:semiHidden/>
    <w:locked/>
    <w:rsid w:val="008F7E14"/>
  </w:style>
  <w:style w:type="character" w:customStyle="1" w:styleId="SalutationChar">
    <w:name w:val="Salutation Char"/>
    <w:basedOn w:val="DefaultParagraphFont"/>
    <w:link w:val="Salutation"/>
    <w:uiPriority w:val="99"/>
    <w:semiHidden/>
    <w:rsid w:val="008C2DB1"/>
  </w:style>
  <w:style w:type="paragraph" w:styleId="Signature">
    <w:name w:val="Signature"/>
    <w:basedOn w:val="Normal"/>
    <w:link w:val="SignatureChar"/>
    <w:uiPriority w:val="99"/>
    <w:semiHidden/>
    <w:locked/>
    <w:rsid w:val="008F7E14"/>
    <w:pPr>
      <w:spacing w:before="0" w:after="0" w:line="240" w:lineRule="auto"/>
      <w:ind w:left="4252"/>
    </w:pPr>
  </w:style>
  <w:style w:type="character" w:customStyle="1" w:styleId="SignatureChar">
    <w:name w:val="Signature Char"/>
    <w:basedOn w:val="DefaultParagraphFont"/>
    <w:link w:val="Signature"/>
    <w:uiPriority w:val="99"/>
    <w:semiHidden/>
    <w:rsid w:val="008C2DB1"/>
  </w:style>
  <w:style w:type="character" w:styleId="Strong">
    <w:name w:val="Strong"/>
    <w:qFormat/>
    <w:rsid w:val="0073312D"/>
    <w:rPr>
      <w:b/>
      <w:bCs/>
    </w:rPr>
  </w:style>
  <w:style w:type="paragraph" w:styleId="TableofAuthorities">
    <w:name w:val="table of authorities"/>
    <w:basedOn w:val="Normal"/>
    <w:next w:val="Normal"/>
    <w:uiPriority w:val="99"/>
    <w:semiHidden/>
    <w:rsid w:val="008F7E14"/>
    <w:pPr>
      <w:spacing w:after="0"/>
      <w:ind w:left="180" w:hanging="180"/>
    </w:pPr>
  </w:style>
  <w:style w:type="paragraph" w:styleId="TableofFigures">
    <w:name w:val="table of figures"/>
    <w:basedOn w:val="Normal"/>
    <w:next w:val="Normal"/>
    <w:uiPriority w:val="99"/>
    <w:semiHidden/>
    <w:rsid w:val="008F7E14"/>
    <w:pPr>
      <w:spacing w:after="0"/>
    </w:pPr>
  </w:style>
  <w:style w:type="paragraph" w:styleId="TOAHeading">
    <w:name w:val="toa heading"/>
    <w:basedOn w:val="Normal"/>
    <w:next w:val="Normal"/>
    <w:uiPriority w:val="99"/>
    <w:semiHidden/>
    <w:rsid w:val="0073312D"/>
    <w:rPr>
      <w:rFonts w:asciiTheme="majorHAnsi" w:eastAsiaTheme="majorEastAsia" w:hAnsiTheme="majorHAnsi" w:cstheme="majorBidi"/>
      <w:b/>
      <w:bCs/>
      <w:sz w:val="24"/>
      <w:szCs w:val="24"/>
    </w:rPr>
  </w:style>
  <w:style w:type="paragraph" w:styleId="TOC5">
    <w:name w:val="toc 5"/>
    <w:basedOn w:val="Normal"/>
    <w:next w:val="Normal"/>
    <w:autoRedefine/>
    <w:uiPriority w:val="99"/>
    <w:semiHidden/>
    <w:locked/>
    <w:rsid w:val="008F7E14"/>
    <w:pPr>
      <w:spacing w:after="100"/>
      <w:ind w:left="720"/>
    </w:pPr>
  </w:style>
  <w:style w:type="paragraph" w:styleId="TOC6">
    <w:name w:val="toc 6"/>
    <w:basedOn w:val="Normal"/>
    <w:next w:val="Normal"/>
    <w:autoRedefine/>
    <w:uiPriority w:val="99"/>
    <w:semiHidden/>
    <w:locked/>
    <w:rsid w:val="008F7E14"/>
    <w:pPr>
      <w:spacing w:after="100"/>
      <w:ind w:left="900"/>
    </w:pPr>
  </w:style>
  <w:style w:type="paragraph" w:styleId="TOC7">
    <w:name w:val="toc 7"/>
    <w:basedOn w:val="Normal"/>
    <w:next w:val="Normal"/>
    <w:autoRedefine/>
    <w:uiPriority w:val="99"/>
    <w:semiHidden/>
    <w:locked/>
    <w:rsid w:val="008F7E14"/>
    <w:pPr>
      <w:spacing w:after="100"/>
      <w:ind w:left="1080"/>
    </w:pPr>
  </w:style>
  <w:style w:type="paragraph" w:styleId="TOC8">
    <w:name w:val="toc 8"/>
    <w:basedOn w:val="Normal"/>
    <w:next w:val="Normal"/>
    <w:autoRedefine/>
    <w:uiPriority w:val="99"/>
    <w:semiHidden/>
    <w:locked/>
    <w:rsid w:val="008F7E14"/>
    <w:pPr>
      <w:spacing w:after="100"/>
      <w:ind w:left="1260"/>
    </w:pPr>
  </w:style>
  <w:style w:type="paragraph" w:styleId="TOC9">
    <w:name w:val="toc 9"/>
    <w:basedOn w:val="Normal"/>
    <w:next w:val="Normal"/>
    <w:autoRedefine/>
    <w:uiPriority w:val="99"/>
    <w:semiHidden/>
    <w:locked/>
    <w:rsid w:val="008F7E14"/>
    <w:pPr>
      <w:spacing w:after="100"/>
      <w:ind w:left="1440"/>
    </w:pPr>
  </w:style>
  <w:style w:type="character" w:customStyle="1" w:styleId="Disclaimercolour">
    <w:name w:val="Disclaimer colour"/>
    <w:basedOn w:val="Strong"/>
    <w:uiPriority w:val="1"/>
    <w:qFormat/>
    <w:rsid w:val="008C2DB1"/>
    <w:rPr>
      <w:b/>
      <w:bCs/>
      <w:i w:val="0"/>
      <w:color w:val="FF4B00"/>
    </w:rPr>
  </w:style>
  <w:style w:type="paragraph" w:customStyle="1" w:styleId="Box-ListBullet1">
    <w:name w:val="Box - List Bullet 1"/>
    <w:uiPriority w:val="3"/>
    <w:qFormat/>
    <w:rsid w:val="00352219"/>
    <w:pPr>
      <w:numPr>
        <w:ilvl w:val="3"/>
        <w:numId w:val="2"/>
      </w:numPr>
      <w:pBdr>
        <w:top w:val="single" w:sz="4" w:space="10" w:color="F2F2F2"/>
        <w:left w:val="single" w:sz="4" w:space="10" w:color="F2F2F2"/>
        <w:bottom w:val="single" w:sz="4" w:space="10" w:color="F2F2F2"/>
        <w:right w:val="single" w:sz="4" w:space="10" w:color="F2F2F2"/>
      </w:pBdr>
      <w:shd w:val="clear" w:color="auto" w:fill="F2F2F2"/>
      <w:suppressAutoHyphens/>
      <w:spacing w:line="280" w:lineRule="atLeast"/>
    </w:pPr>
    <w:rPr>
      <w:rFonts w:cs="Sendnya"/>
      <w:color w:val="003299"/>
      <w:szCs w:val="22"/>
    </w:rPr>
  </w:style>
  <w:style w:type="paragraph" w:customStyle="1" w:styleId="ChartRight-SourcesNotes">
    <w:name w:val="Chart Right - Sources &amp; Notes"/>
    <w:link w:val="ChartRight-SourcesNotesChar"/>
    <w:uiPriority w:val="3"/>
    <w:qFormat/>
    <w:rsid w:val="001B789A"/>
    <w:pPr>
      <w:pBdr>
        <w:left w:val="single" w:sz="4" w:space="10" w:color="003299"/>
      </w:pBdr>
      <w:suppressAutoHyphens/>
      <w:spacing w:after="360" w:line="200" w:lineRule="atLeast"/>
      <w:contextualSpacing/>
    </w:pPr>
    <w:rPr>
      <w:rFonts w:cs="Sendnya"/>
      <w:i/>
      <w:color w:val="003299"/>
      <w:sz w:val="14"/>
      <w:szCs w:val="22"/>
    </w:rPr>
  </w:style>
  <w:style w:type="character" w:customStyle="1" w:styleId="ChartRight-SourcesNotesChar">
    <w:name w:val="Chart Right - Sources &amp; Notes Char"/>
    <w:link w:val="ChartRight-SourcesNotes"/>
    <w:uiPriority w:val="3"/>
    <w:rsid w:val="001B789A"/>
    <w:rPr>
      <w:rFonts w:cs="Sendnya"/>
      <w:i/>
      <w:color w:val="003299"/>
      <w:sz w:val="14"/>
      <w:szCs w:val="22"/>
    </w:rPr>
  </w:style>
  <w:style w:type="table" w:customStyle="1" w:styleId="Tablecentrealigned">
    <w:name w:val="Table centre aligned"/>
    <w:basedOn w:val="TableNormal"/>
    <w:uiPriority w:val="99"/>
    <w:rsid w:val="001B789A"/>
    <w:pPr>
      <w:spacing w:before="60" w:after="60" w:line="160" w:lineRule="atLeast"/>
      <w:ind w:left="57" w:right="57"/>
      <w:jc w:val="center"/>
    </w:pPr>
    <w:rPr>
      <w:kern w:val="12"/>
      <w:sz w:val="12"/>
      <w:szCs w:val="19"/>
    </w:rPr>
    <w:tblPr>
      <w:tblStyleRowBandSize w:val="1"/>
      <w:tblStyleColBandSize w:val="1"/>
      <w:tblCellMar>
        <w:left w:w="0" w:type="dxa"/>
        <w:right w:w="0" w:type="dxa"/>
      </w:tblCellMar>
    </w:tblPr>
    <w:tcPr>
      <w:shd w:val="clear" w:color="auto" w:fill="auto"/>
    </w:tc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shd w:val="clear" w:color="auto" w:fill="auto"/>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tblStylePr w:type="band2Horz">
      <w:tblPr/>
      <w:tcPr>
        <w:tcBorders>
          <w:top w:val="nil"/>
          <w:left w:val="single" w:sz="4" w:space="0" w:color="003299"/>
          <w:bottom w:val="nil"/>
          <w:right w:val="nil"/>
          <w:insideH w:val="nil"/>
          <w:insideV w:val="nil"/>
          <w:tl2br w:val="nil"/>
          <w:tr2bl w:val="nil"/>
        </w:tcBorders>
        <w:shd w:val="clear" w:color="auto" w:fill="auto"/>
      </w:tcPr>
    </w:tblStylePr>
  </w:style>
  <w:style w:type="table" w:customStyle="1" w:styleId="Tableleftaligned">
    <w:name w:val="Table left aligned"/>
    <w:basedOn w:val="TableNormal"/>
    <w:uiPriority w:val="99"/>
    <w:rsid w:val="001B789A"/>
    <w:pPr>
      <w:keepLines/>
      <w:spacing w:before="60" w:after="60" w:line="160" w:lineRule="atLeast"/>
      <w:ind w:left="57" w:right="57"/>
    </w:pPr>
    <w:rPr>
      <w:kern w:val="12"/>
      <w:sz w:val="12"/>
      <w:szCs w:val="19"/>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894" w:themeColor="accent1"/>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table" w:customStyle="1" w:styleId="Tablerightaligned">
    <w:name w:val="Table right aligned"/>
    <w:basedOn w:val="TableNormal"/>
    <w:uiPriority w:val="99"/>
    <w:rsid w:val="001B789A"/>
    <w:pPr>
      <w:keepLines/>
      <w:spacing w:before="60" w:after="60" w:line="160" w:lineRule="atLeast"/>
      <w:ind w:left="57" w:right="57"/>
      <w:jc w:val="right"/>
    </w:pPr>
    <w:rPr>
      <w:kern w:val="12"/>
      <w:sz w:val="12"/>
      <w:szCs w:val="19"/>
    </w:rPr>
    <w:tblPr>
      <w:tblStyleRowBandSize w:val="1"/>
      <w:tblStyleColBandSize w:val="1"/>
      <w:tblCellMar>
        <w:left w:w="0" w:type="dxa"/>
        <w:right w:w="0" w:type="dxa"/>
      </w:tblCellMar>
    </w:tblPr>
    <w:tcPr>
      <w:vAlign w:val="bottom"/>
    </w:tcPr>
    <w:tblStylePr w:type="firstRow">
      <w:pPr>
        <w:wordWrap/>
        <w:jc w:val="center"/>
      </w:pPr>
      <w:rPr>
        <w:b/>
        <w:color w:val="003299"/>
      </w:rPr>
      <w:tblPr/>
      <w:tcPr>
        <w:tcBorders>
          <w:top w:val="nil"/>
          <w:left w:val="nil"/>
          <w:bottom w:val="single" w:sz="4" w:space="0" w:color="003299"/>
          <w:right w:val="nil"/>
          <w:insideH w:val="nil"/>
          <w:insideV w:val="single" w:sz="4" w:space="0" w:color="003299"/>
          <w:tl2br w:val="nil"/>
          <w:tr2bl w:val="nil"/>
        </w:tcBorders>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paragraph" w:customStyle="1" w:styleId="Publicationdate">
    <w:name w:val="Publication date"/>
    <w:uiPriority w:val="3"/>
    <w:semiHidden/>
    <w:qFormat/>
    <w:rsid w:val="00352219"/>
    <w:pPr>
      <w:suppressAutoHyphens/>
      <w:spacing w:line="280" w:lineRule="atLeast"/>
      <w:contextualSpacing/>
      <w:jc w:val="center"/>
    </w:pPr>
    <w:rPr>
      <w:rFonts w:eastAsiaTheme="majorEastAsia" w:cstheme="majorBidi"/>
      <w:b/>
      <w:bCs/>
      <w:color w:val="003299"/>
      <w:sz w:val="28"/>
      <w:szCs w:val="52"/>
    </w:rPr>
  </w:style>
  <w:style w:type="character" w:styleId="UnresolvedMention">
    <w:name w:val="Unresolved Mention"/>
    <w:basedOn w:val="DefaultParagraphFont"/>
    <w:uiPriority w:val="99"/>
    <w:semiHidden/>
    <w:unhideWhenUsed/>
    <w:rsid w:val="00C376F8"/>
    <w:rPr>
      <w:color w:val="605E5C"/>
      <w:shd w:val="clear" w:color="auto" w:fill="E1DFDD"/>
    </w:rPr>
  </w:style>
  <w:style w:type="paragraph" w:customStyle="1" w:styleId="Odwoanieprzypisu">
    <w:name w:val="Odwołanie przypisu"/>
    <w:aliases w:val="de nota al pie,footnote ref,2001+ Fußnotenzeichen, Exposant 3 Point,BVI fnr Знак Знак,BVI fnr Car Car Знак Знак,BVI fnr Car Знак Знак,number,Times 10 Point,Exposant 3 Point,Footnote reference number"/>
    <w:basedOn w:val="Normal"/>
    <w:link w:val="FootnoteReference"/>
    <w:uiPriority w:val="99"/>
    <w:rsid w:val="00E059FF"/>
    <w:pPr>
      <w:pBdr>
        <w:left w:val="single" w:sz="4" w:space="10" w:color="003299"/>
      </w:pBdr>
      <w:suppressAutoHyphens/>
      <w:spacing w:before="240" w:after="160" w:line="240" w:lineRule="exact"/>
      <w:contextualSpacing/>
      <w:jc w:val="both"/>
    </w:pPr>
    <w:rPr>
      <w:vertAlign w:val="superscript"/>
    </w:rPr>
  </w:style>
  <w:style w:type="paragraph" w:customStyle="1" w:styleId="pf0">
    <w:name w:val="pf0"/>
    <w:basedOn w:val="Normal"/>
    <w:rsid w:val="009079FC"/>
    <w:pPr>
      <w:spacing w:before="100" w:beforeAutospacing="1" w:after="100" w:afterAutospacing="1" w:line="240" w:lineRule="auto"/>
    </w:pPr>
    <w:rPr>
      <w:rFonts w:ascii="Times New Roman" w:hAnsi="Times New Roman"/>
      <w:sz w:val="24"/>
      <w:szCs w:val="24"/>
    </w:rPr>
  </w:style>
  <w:style w:type="character" w:customStyle="1" w:styleId="cf01">
    <w:name w:val="cf01"/>
    <w:basedOn w:val="DefaultParagraphFont"/>
    <w:rsid w:val="00166B5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5446">
      <w:bodyDiv w:val="1"/>
      <w:marLeft w:val="0"/>
      <w:marRight w:val="0"/>
      <w:marTop w:val="0"/>
      <w:marBottom w:val="0"/>
      <w:divBdr>
        <w:top w:val="none" w:sz="0" w:space="0" w:color="auto"/>
        <w:left w:val="none" w:sz="0" w:space="0" w:color="auto"/>
        <w:bottom w:val="none" w:sz="0" w:space="0" w:color="auto"/>
        <w:right w:val="none" w:sz="0" w:space="0" w:color="auto"/>
      </w:divBdr>
    </w:div>
    <w:div w:id="160128019">
      <w:bodyDiv w:val="1"/>
      <w:marLeft w:val="0"/>
      <w:marRight w:val="0"/>
      <w:marTop w:val="0"/>
      <w:marBottom w:val="0"/>
      <w:divBdr>
        <w:top w:val="none" w:sz="0" w:space="0" w:color="auto"/>
        <w:left w:val="none" w:sz="0" w:space="0" w:color="auto"/>
        <w:bottom w:val="none" w:sz="0" w:space="0" w:color="auto"/>
        <w:right w:val="none" w:sz="0" w:space="0" w:color="auto"/>
      </w:divBdr>
    </w:div>
    <w:div w:id="603466642">
      <w:bodyDiv w:val="1"/>
      <w:marLeft w:val="0"/>
      <w:marRight w:val="0"/>
      <w:marTop w:val="0"/>
      <w:marBottom w:val="0"/>
      <w:divBdr>
        <w:top w:val="none" w:sz="0" w:space="0" w:color="auto"/>
        <w:left w:val="none" w:sz="0" w:space="0" w:color="auto"/>
        <w:bottom w:val="none" w:sz="0" w:space="0" w:color="auto"/>
        <w:right w:val="none" w:sz="0" w:space="0" w:color="auto"/>
      </w:divBdr>
    </w:div>
    <w:div w:id="884491527">
      <w:bodyDiv w:val="1"/>
      <w:marLeft w:val="0"/>
      <w:marRight w:val="0"/>
      <w:marTop w:val="0"/>
      <w:marBottom w:val="0"/>
      <w:divBdr>
        <w:top w:val="none" w:sz="0" w:space="0" w:color="auto"/>
        <w:left w:val="none" w:sz="0" w:space="0" w:color="auto"/>
        <w:bottom w:val="none" w:sz="0" w:space="0" w:color="auto"/>
        <w:right w:val="none" w:sz="0" w:space="0" w:color="auto"/>
      </w:divBdr>
    </w:div>
    <w:div w:id="993722701">
      <w:bodyDiv w:val="1"/>
      <w:marLeft w:val="0"/>
      <w:marRight w:val="0"/>
      <w:marTop w:val="0"/>
      <w:marBottom w:val="0"/>
      <w:divBdr>
        <w:top w:val="none" w:sz="0" w:space="0" w:color="auto"/>
        <w:left w:val="none" w:sz="0" w:space="0" w:color="auto"/>
        <w:bottom w:val="none" w:sz="0" w:space="0" w:color="auto"/>
        <w:right w:val="none" w:sz="0" w:space="0" w:color="auto"/>
      </w:divBdr>
    </w:div>
    <w:div w:id="1079668532">
      <w:bodyDiv w:val="1"/>
      <w:marLeft w:val="0"/>
      <w:marRight w:val="0"/>
      <w:marTop w:val="0"/>
      <w:marBottom w:val="0"/>
      <w:divBdr>
        <w:top w:val="none" w:sz="0" w:space="0" w:color="auto"/>
        <w:left w:val="none" w:sz="0" w:space="0" w:color="auto"/>
        <w:bottom w:val="none" w:sz="0" w:space="0" w:color="auto"/>
        <w:right w:val="none" w:sz="0" w:space="0" w:color="auto"/>
      </w:divBdr>
    </w:div>
    <w:div w:id="1086461452">
      <w:bodyDiv w:val="1"/>
      <w:marLeft w:val="0"/>
      <w:marRight w:val="0"/>
      <w:marTop w:val="0"/>
      <w:marBottom w:val="0"/>
      <w:divBdr>
        <w:top w:val="none" w:sz="0" w:space="0" w:color="auto"/>
        <w:left w:val="none" w:sz="0" w:space="0" w:color="auto"/>
        <w:bottom w:val="none" w:sz="0" w:space="0" w:color="auto"/>
        <w:right w:val="none" w:sz="0" w:space="0" w:color="auto"/>
      </w:divBdr>
    </w:div>
    <w:div w:id="1182358266">
      <w:bodyDiv w:val="1"/>
      <w:marLeft w:val="0"/>
      <w:marRight w:val="0"/>
      <w:marTop w:val="0"/>
      <w:marBottom w:val="0"/>
      <w:divBdr>
        <w:top w:val="none" w:sz="0" w:space="0" w:color="auto"/>
        <w:left w:val="none" w:sz="0" w:space="0" w:color="auto"/>
        <w:bottom w:val="none" w:sz="0" w:space="0" w:color="auto"/>
        <w:right w:val="none" w:sz="0" w:space="0" w:color="auto"/>
      </w:divBdr>
    </w:div>
    <w:div w:id="1322152706">
      <w:bodyDiv w:val="1"/>
      <w:marLeft w:val="0"/>
      <w:marRight w:val="0"/>
      <w:marTop w:val="0"/>
      <w:marBottom w:val="0"/>
      <w:divBdr>
        <w:top w:val="none" w:sz="0" w:space="0" w:color="auto"/>
        <w:left w:val="none" w:sz="0" w:space="0" w:color="auto"/>
        <w:bottom w:val="none" w:sz="0" w:space="0" w:color="auto"/>
        <w:right w:val="none" w:sz="0" w:space="0" w:color="auto"/>
      </w:divBdr>
    </w:div>
    <w:div w:id="1415668795">
      <w:bodyDiv w:val="1"/>
      <w:marLeft w:val="0"/>
      <w:marRight w:val="0"/>
      <w:marTop w:val="0"/>
      <w:marBottom w:val="0"/>
      <w:divBdr>
        <w:top w:val="none" w:sz="0" w:space="0" w:color="auto"/>
        <w:left w:val="none" w:sz="0" w:space="0" w:color="auto"/>
        <w:bottom w:val="none" w:sz="0" w:space="0" w:color="auto"/>
        <w:right w:val="none" w:sz="0" w:space="0" w:color="auto"/>
      </w:divBdr>
    </w:div>
    <w:div w:id="1425491757">
      <w:bodyDiv w:val="1"/>
      <w:marLeft w:val="0"/>
      <w:marRight w:val="0"/>
      <w:marTop w:val="0"/>
      <w:marBottom w:val="0"/>
      <w:divBdr>
        <w:top w:val="none" w:sz="0" w:space="0" w:color="auto"/>
        <w:left w:val="none" w:sz="0" w:space="0" w:color="auto"/>
        <w:bottom w:val="none" w:sz="0" w:space="0" w:color="auto"/>
        <w:right w:val="none" w:sz="0" w:space="0" w:color="auto"/>
      </w:divBdr>
    </w:div>
    <w:div w:id="1433234415">
      <w:bodyDiv w:val="1"/>
      <w:marLeft w:val="0"/>
      <w:marRight w:val="0"/>
      <w:marTop w:val="0"/>
      <w:marBottom w:val="0"/>
      <w:divBdr>
        <w:top w:val="none" w:sz="0" w:space="0" w:color="auto"/>
        <w:left w:val="none" w:sz="0" w:space="0" w:color="auto"/>
        <w:bottom w:val="none" w:sz="0" w:space="0" w:color="auto"/>
        <w:right w:val="none" w:sz="0" w:space="0" w:color="auto"/>
      </w:divBdr>
    </w:div>
    <w:div w:id="1502548739">
      <w:bodyDiv w:val="1"/>
      <w:marLeft w:val="0"/>
      <w:marRight w:val="0"/>
      <w:marTop w:val="0"/>
      <w:marBottom w:val="0"/>
      <w:divBdr>
        <w:top w:val="none" w:sz="0" w:space="0" w:color="auto"/>
        <w:left w:val="none" w:sz="0" w:space="0" w:color="auto"/>
        <w:bottom w:val="none" w:sz="0" w:space="0" w:color="auto"/>
        <w:right w:val="none" w:sz="0" w:space="0" w:color="auto"/>
      </w:divBdr>
    </w:div>
    <w:div w:id="1509249794">
      <w:bodyDiv w:val="1"/>
      <w:marLeft w:val="0"/>
      <w:marRight w:val="0"/>
      <w:marTop w:val="0"/>
      <w:marBottom w:val="0"/>
      <w:divBdr>
        <w:top w:val="none" w:sz="0" w:space="0" w:color="auto"/>
        <w:left w:val="none" w:sz="0" w:space="0" w:color="auto"/>
        <w:bottom w:val="none" w:sz="0" w:space="0" w:color="auto"/>
        <w:right w:val="none" w:sz="0" w:space="0" w:color="auto"/>
      </w:divBdr>
    </w:div>
    <w:div w:id="1615556005">
      <w:bodyDiv w:val="1"/>
      <w:marLeft w:val="0"/>
      <w:marRight w:val="0"/>
      <w:marTop w:val="0"/>
      <w:marBottom w:val="0"/>
      <w:divBdr>
        <w:top w:val="none" w:sz="0" w:space="0" w:color="auto"/>
        <w:left w:val="none" w:sz="0" w:space="0" w:color="auto"/>
        <w:bottom w:val="none" w:sz="0" w:space="0" w:color="auto"/>
        <w:right w:val="none" w:sz="0" w:space="0" w:color="auto"/>
      </w:divBdr>
    </w:div>
    <w:div w:id="1646276939">
      <w:bodyDiv w:val="1"/>
      <w:marLeft w:val="0"/>
      <w:marRight w:val="0"/>
      <w:marTop w:val="0"/>
      <w:marBottom w:val="0"/>
      <w:divBdr>
        <w:top w:val="none" w:sz="0" w:space="0" w:color="auto"/>
        <w:left w:val="none" w:sz="0" w:space="0" w:color="auto"/>
        <w:bottom w:val="none" w:sz="0" w:space="0" w:color="auto"/>
        <w:right w:val="none" w:sz="0" w:space="0" w:color="auto"/>
      </w:divBdr>
    </w:div>
    <w:div w:id="1674794218">
      <w:bodyDiv w:val="1"/>
      <w:marLeft w:val="0"/>
      <w:marRight w:val="0"/>
      <w:marTop w:val="0"/>
      <w:marBottom w:val="0"/>
      <w:divBdr>
        <w:top w:val="none" w:sz="0" w:space="0" w:color="auto"/>
        <w:left w:val="none" w:sz="0" w:space="0" w:color="auto"/>
        <w:bottom w:val="none" w:sz="0" w:space="0" w:color="auto"/>
        <w:right w:val="none" w:sz="0" w:space="0" w:color="auto"/>
      </w:divBdr>
    </w:div>
    <w:div w:id="1902323995">
      <w:bodyDiv w:val="1"/>
      <w:marLeft w:val="0"/>
      <w:marRight w:val="0"/>
      <w:marTop w:val="0"/>
      <w:marBottom w:val="0"/>
      <w:divBdr>
        <w:top w:val="none" w:sz="0" w:space="0" w:color="auto"/>
        <w:left w:val="none" w:sz="0" w:space="0" w:color="auto"/>
        <w:bottom w:val="none" w:sz="0" w:space="0" w:color="auto"/>
        <w:right w:val="none" w:sz="0" w:space="0" w:color="auto"/>
      </w:divBdr>
    </w:div>
    <w:div w:id="1945577249">
      <w:bodyDiv w:val="1"/>
      <w:marLeft w:val="0"/>
      <w:marRight w:val="0"/>
      <w:marTop w:val="0"/>
      <w:marBottom w:val="0"/>
      <w:divBdr>
        <w:top w:val="none" w:sz="0" w:space="0" w:color="auto"/>
        <w:left w:val="none" w:sz="0" w:space="0" w:color="auto"/>
        <w:bottom w:val="none" w:sz="0" w:space="0" w:color="auto"/>
        <w:right w:val="none" w:sz="0" w:space="0" w:color="auto"/>
      </w:divBdr>
    </w:div>
    <w:div w:id="201564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iopa.europa.eu/system/files/2021-07/thematic-article-climate-change-july-2021.pdf" TargetMode="External"/><Relationship Id="rId13" Type="http://schemas.openxmlformats.org/officeDocument/2006/relationships/hyperlink" Target="https://www.bankofengland.co.uk/speech/2022/november/sarah-breeden-speech-at-isda-aimi-boe-on-nbfi-and-leverage" TargetMode="External"/><Relationship Id="rId18" Type="http://schemas.openxmlformats.org/officeDocument/2006/relationships/hyperlink" Target="https://www.eiopa.europa.eu/document/download/919c2f02-923b-45be-8115-7b979b24abf0_en?filename=EIOPA-BoS-24-087_2024%20Stress%20test%20-%20Technical%20specifications_v04.pdf" TargetMode="External"/><Relationship Id="rId26" Type="http://schemas.openxmlformats.org/officeDocument/2006/relationships/hyperlink" Target="https://www.esrb.europa.eu/pub/pdf/other/esrb.letter240819_data_sharing_parliament~19250ab48e.en.pdf" TargetMode="External"/><Relationship Id="rId3" Type="http://schemas.openxmlformats.org/officeDocument/2006/relationships/hyperlink" Target="https://www.esrb.europa.eu/pub/pdf/reports/esrb.reports170817_recoveryandresolution.en.pdf" TargetMode="External"/><Relationship Id="rId21" Type="http://schemas.openxmlformats.org/officeDocument/2006/relationships/hyperlink" Target="https://www.esrb.europa.eu/pub/pdf/other/esrb.letter240417_response_iosco_consultation~a5c98d897b.en.pdf?f8b9fcf1e4cba54aa39782dbdc16d9ba" TargetMode="External"/><Relationship Id="rId7" Type="http://schemas.openxmlformats.org/officeDocument/2006/relationships/hyperlink" Target="https://www.esrb.europa.eu/pub/pdf/other/esrb.letter240423_advice_EIOPA_Sust_Risks~fbc775d700.en.pdf" TargetMode="External"/><Relationship Id="rId12" Type="http://schemas.openxmlformats.org/officeDocument/2006/relationships/hyperlink" Target="https://www.esrb.europa.eu/pub/pdf/reports/nbfi_monitor/esrb.nbfi202406~2e211b2f80.en.pdf?a9a0bd2000556f5322f99d9afb9a8d37" TargetMode="External"/><Relationship Id="rId17" Type="http://schemas.openxmlformats.org/officeDocument/2006/relationships/hyperlink" Target="https://www.eiopa.europa.eu/document/download/7167dd5c-8628-4c01-81e6-0158678d72fc_en?filename=Methodological%20principles%20of%20insurance%20stress%20testing%20-%20liquidity%20component" TargetMode="External"/><Relationship Id="rId25" Type="http://schemas.openxmlformats.org/officeDocument/2006/relationships/hyperlink" Target="https://www.esrb.europa.eu/pub/pdf/reports/esrb.ecb.climate_report202207~622b791878.en.pdf?e0b611d79c3a324077d7515df273f56c" TargetMode="External"/><Relationship Id="rId2" Type="http://schemas.openxmlformats.org/officeDocument/2006/relationships/hyperlink" Target="https://www.esrb.europa.eu/pub/pdf/other/170725_ESRB_opinion_counterparty_recovery_resolution_framework.en.pdf" TargetMode="External"/><Relationship Id="rId16" Type="http://schemas.openxmlformats.org/officeDocument/2006/relationships/hyperlink" Target="https://www.esma.europa.eu/sites/default/files/2024-07/ESMA91-1505572268-3627_5th_ESMA_CCP_Stress_Test_Report.pdf" TargetMode="External"/><Relationship Id="rId20" Type="http://schemas.openxmlformats.org/officeDocument/2006/relationships/hyperlink" Target="https://www.bis.org/cpmi/publ/d221.pdf" TargetMode="External"/><Relationship Id="rId1" Type="http://schemas.openxmlformats.org/officeDocument/2006/relationships/hyperlink" Target="https://www.bankofengland.co.uk/speech/2024/october/andrew-bailey-mike-gill-memorial-lecture" TargetMode="External"/><Relationship Id="rId6" Type="http://schemas.openxmlformats.org/officeDocument/2006/relationships/hyperlink" Target="https://www.esrb.europa.eu/pub/pdf/reports/esrb.issuesnoteonmacroprudentialaspectstradecreditinsurance202208~eaa8c9c764.en.pdf" TargetMode="External"/><Relationship Id="rId11" Type="http://schemas.openxmlformats.org/officeDocument/2006/relationships/hyperlink" Target="https://www.esrb.europa.eu/pub/pdf/reports/nbfi_monitor/esrb.nbfi202406~2e211b2f80.en.pdf?a9a0bd2000556f5322f99d9afb9a8d37" TargetMode="External"/><Relationship Id="rId24" Type="http://schemas.openxmlformats.org/officeDocument/2006/relationships/hyperlink" Target="https://www.esrb.europa.eu/pub/pdf/reports/esrb.climateriskfinancialstability202107~79c10eba1a.en.pdf?d70cbb0890e4af7debf5ed9950976cc2" TargetMode="External"/><Relationship Id="rId5" Type="http://schemas.openxmlformats.org/officeDocument/2006/relationships/hyperlink" Target="https://www.iaisweb.org/uploads/2022/01/191114-Holistic-Framework-for-Systemic-Risk.pdf" TargetMode="External"/><Relationship Id="rId15" Type="http://schemas.openxmlformats.org/officeDocument/2006/relationships/hyperlink" Target="https://www.ecb.europa.eu/press/financial-stability-publications/fsr/focus/2023/html/ecb.fsrbox202305_07~64a379ad82.en.html" TargetMode="External"/><Relationship Id="rId23" Type="http://schemas.openxmlformats.org/officeDocument/2006/relationships/hyperlink" Target="https://www.ecb.europa.eu/pub/pdf/scpops/ecb.op348~6b72fbe3cf.en.pdf" TargetMode="External"/><Relationship Id="rId10" Type="http://schemas.openxmlformats.org/officeDocument/2006/relationships/hyperlink" Target="https://data.consilium.europa.eu/doc/document/PE-6-2024-INIT/en/pdf" TargetMode="External"/><Relationship Id="rId19" Type="http://schemas.openxmlformats.org/officeDocument/2006/relationships/hyperlink" Target="https://www.esrb.europa.eu/pub/pdf/other/ESRB.response.240902_ESMA_consultation_LMTs~738ff47fe8.en.pdf?30b3f3f06f99917b749c121e4d606c54" TargetMode="External"/><Relationship Id="rId4" Type="http://schemas.openxmlformats.org/officeDocument/2006/relationships/hyperlink" Target="https://www.sec.gov/newsroom/press-releases/2023-247" TargetMode="External"/><Relationship Id="rId9" Type="http://schemas.openxmlformats.org/officeDocument/2006/relationships/hyperlink" Target="https://data.consilium.europa.eu/doc/document/PE-5-2024-INIT/en/pdf" TargetMode="External"/><Relationship Id="rId14" Type="http://schemas.openxmlformats.org/officeDocument/2006/relationships/hyperlink" Target="https://www.centralbank.ie/docs/default-source/financial-system/financial-stability/macroprudential-policy/nbfi/macroprudential-measures-for-irish-property-funds.pdf" TargetMode="External"/><Relationship Id="rId22" Type="http://schemas.openxmlformats.org/officeDocument/2006/relationships/hyperlink" Target="https://www.bankofengland.co.uk/financial-stability/boe-system-wide-exploratory-scenario-exerc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CB%20Templates\ESRB%20cover%20note.dotx" TargetMode="External"/></Relationships>
</file>

<file path=word/theme/theme1.xml><?xml version="1.0" encoding="utf-8"?>
<a:theme xmlns:a="http://schemas.openxmlformats.org/drawingml/2006/main" name="Office Theme">
  <a:themeElements>
    <a:clrScheme name="ECB colours">
      <a:dk1>
        <a:sysClr val="windowText" lastClr="000000"/>
      </a:dk1>
      <a:lt1>
        <a:sysClr val="window" lastClr="FFFFFF"/>
      </a:lt1>
      <a:dk2>
        <a:srgbClr val="1D3641"/>
      </a:dk2>
      <a:lt2>
        <a:srgbClr val="DFE6D0"/>
      </a:lt2>
      <a:accent1>
        <a:srgbClr val="003894"/>
      </a:accent1>
      <a:accent2>
        <a:srgbClr val="00B1EA"/>
      </a:accent2>
      <a:accent3>
        <a:srgbClr val="FFB400"/>
      </a:accent3>
      <a:accent4>
        <a:srgbClr val="FF4B00"/>
      </a:accent4>
      <a:accent5>
        <a:srgbClr val="007816"/>
      </a:accent5>
      <a:accent6>
        <a:srgbClr val="65B800"/>
      </a:accent6>
      <a:hlink>
        <a:srgbClr val="00B1EA"/>
      </a:hlink>
      <a:folHlink>
        <a:srgbClr val="8139C6"/>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C536E-16AE-4F79-840C-92927390C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ESRB cover note.dotx</Template>
  <TotalTime>34</TotalTime>
  <Pages>12</Pages>
  <Words>4512</Words>
  <Characters>25721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Title</vt:lpstr>
    </vt:vector>
  </TitlesOfParts>
  <Company>European Central Bank</Company>
  <LinksUpToDate>false</LinksUpToDate>
  <CharactersWithSpaces>30173</CharactersWithSpaces>
  <SharedDoc>false</SharedDoc>
  <HLinks>
    <vt:vector size="18" baseType="variant">
      <vt:variant>
        <vt:i4>1245232</vt:i4>
      </vt:variant>
      <vt:variant>
        <vt:i4>14</vt:i4>
      </vt:variant>
      <vt:variant>
        <vt:i4>0</vt:i4>
      </vt:variant>
      <vt:variant>
        <vt:i4>5</vt:i4>
      </vt:variant>
      <vt:variant>
        <vt:lpwstr/>
      </vt:variant>
      <vt:variant>
        <vt:lpwstr>_Toc403040349</vt:lpwstr>
      </vt:variant>
      <vt:variant>
        <vt:i4>1245232</vt:i4>
      </vt:variant>
      <vt:variant>
        <vt:i4>8</vt:i4>
      </vt:variant>
      <vt:variant>
        <vt:i4>0</vt:i4>
      </vt:variant>
      <vt:variant>
        <vt:i4>5</vt:i4>
      </vt:variant>
      <vt:variant>
        <vt:lpwstr/>
      </vt:variant>
      <vt:variant>
        <vt:lpwstr>_Toc403040348</vt:lpwstr>
      </vt:variant>
      <vt:variant>
        <vt:i4>1245232</vt:i4>
      </vt:variant>
      <vt:variant>
        <vt:i4>2</vt:i4>
      </vt:variant>
      <vt:variant>
        <vt:i4>0</vt:i4>
      </vt:variant>
      <vt:variant>
        <vt:i4>5</vt:i4>
      </vt:variant>
      <vt:variant>
        <vt:lpwstr/>
      </vt:variant>
      <vt:variant>
        <vt:lpwstr>_Toc403040347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Nordahl, Carl Albin</dc:creator>
  <cp:lastModifiedBy>Nordahl, Carl Albin</cp:lastModifiedBy>
  <cp:revision>11</cp:revision>
  <cp:lastPrinted>2024-11-22T10:47:00Z</cp:lastPrinted>
  <dcterms:created xsi:type="dcterms:W3CDTF">2024-11-14T14:47:00Z</dcterms:created>
  <dcterms:modified xsi:type="dcterms:W3CDTF">2024-11-22T14:52:00Z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DRAFT</vt:lpwstr>
  </property>
  <property fmtid="{D5CDD505-2E9C-101B-9397-08002B2CF9AE}" pid="3" name="Supplemental Marking">
    <vt:lpwstr/>
  </property>
  <property fmtid="{D5CDD505-2E9C-101B-9397-08002B2CF9AE}" pid="4" name="ClassificationContentMarkingHeaderShapeIds">
    <vt:lpwstr>2,3,4</vt:lpwstr>
  </property>
  <property fmtid="{D5CDD505-2E9C-101B-9397-08002B2CF9AE}" pid="5" name="ClassificationContentMarkingHeaderFontProps">
    <vt:lpwstr>#000000,10,Arial</vt:lpwstr>
  </property>
  <property fmtid="{D5CDD505-2E9C-101B-9397-08002B2CF9AE}" pid="6" name="ClassificationContentMarkingHeaderText">
    <vt:lpwstr>ECB-RESTRICTED</vt:lpwstr>
  </property>
  <property fmtid="{D5CDD505-2E9C-101B-9397-08002B2CF9AE}" pid="7" name="MSIP_Label_894145f4-aec7-4462-867f-61720b9452af_Enabled">
    <vt:lpwstr>true</vt:lpwstr>
  </property>
  <property fmtid="{D5CDD505-2E9C-101B-9397-08002B2CF9AE}" pid="8" name="MSIP_Label_894145f4-aec7-4462-867f-61720b9452af_SetDate">
    <vt:lpwstr>2024-11-22T14:42:25Z</vt:lpwstr>
  </property>
  <property fmtid="{D5CDD505-2E9C-101B-9397-08002B2CF9AE}" pid="9" name="MSIP_Label_894145f4-aec7-4462-867f-61720b9452af_Method">
    <vt:lpwstr>Standard</vt:lpwstr>
  </property>
  <property fmtid="{D5CDD505-2E9C-101B-9397-08002B2CF9AE}" pid="10" name="MSIP_Label_894145f4-aec7-4462-867f-61720b9452af_Name">
    <vt:lpwstr>ECB-CONFIDENTIAL - Business</vt:lpwstr>
  </property>
  <property fmtid="{D5CDD505-2E9C-101B-9397-08002B2CF9AE}" pid="11" name="MSIP_Label_894145f4-aec7-4462-867f-61720b9452af_SiteId">
    <vt:lpwstr>b84ee435-4816-49d2-8d92-e740dbda4064</vt:lpwstr>
  </property>
  <property fmtid="{D5CDD505-2E9C-101B-9397-08002B2CF9AE}" pid="12" name="MSIP_Label_894145f4-aec7-4462-867f-61720b9452af_ActionId">
    <vt:lpwstr>adc2678c-cad8-4f5b-865b-6e3232956a5a</vt:lpwstr>
  </property>
  <property fmtid="{D5CDD505-2E9C-101B-9397-08002B2CF9AE}" pid="13" name="MSIP_Label_894145f4-aec7-4462-867f-61720b9452af_ContentBits">
    <vt:lpwstr>0</vt:lpwstr>
  </property>
</Properties>
</file>