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B48771" w14:textId="77777777" w:rsidR="00A779BA" w:rsidRPr="008A12C9" w:rsidRDefault="00A779BA" w:rsidP="00A779BA">
      <w:pPr>
        <w:pStyle w:val="Typedudocument"/>
        <w:spacing w:before="0" w:line="280" w:lineRule="exact"/>
        <w:jc w:val="both"/>
        <w:rPr>
          <w:rFonts w:ascii="Lucida Sans" w:hAnsi="Lucida Sans" w:cstheme="minorBidi"/>
          <w:bCs/>
          <w:i/>
          <w:iCs/>
          <w:color w:val="000000" w:themeColor="text1"/>
          <w:szCs w:val="24"/>
        </w:rPr>
      </w:pPr>
      <w:r>
        <w:rPr>
          <w:rFonts w:ascii="Lucida Sans" w:hAnsi="Lucida Sans" w:cstheme="minorBidi"/>
          <w:bCs/>
          <w:i/>
          <w:iCs/>
          <w:color w:val="000000" w:themeColor="text1"/>
          <w:szCs w:val="24"/>
        </w:rPr>
        <w:t>Assogestioni r</w:t>
      </w:r>
      <w:r w:rsidRPr="008A12C9">
        <w:rPr>
          <w:rFonts w:ascii="Lucida Sans" w:hAnsi="Lucida Sans" w:cstheme="minorBidi"/>
          <w:bCs/>
          <w:i/>
          <w:iCs/>
          <w:color w:val="000000" w:themeColor="text1"/>
          <w:szCs w:val="24"/>
        </w:rPr>
        <w:t xml:space="preserve">esponse to the </w:t>
      </w:r>
      <w:r>
        <w:rPr>
          <w:rFonts w:ascii="Lucida Sans" w:hAnsi="Lucida Sans" w:cstheme="minorBidi"/>
          <w:bCs/>
          <w:i/>
          <w:iCs/>
          <w:color w:val="000000" w:themeColor="text1"/>
          <w:szCs w:val="24"/>
        </w:rPr>
        <w:t>European Commission’s</w:t>
      </w:r>
      <w:r w:rsidRPr="008A12C9">
        <w:rPr>
          <w:rFonts w:ascii="Lucida Sans" w:hAnsi="Lucida Sans" w:cstheme="minorBidi"/>
          <w:bCs/>
          <w:i/>
          <w:iCs/>
          <w:color w:val="000000" w:themeColor="text1"/>
          <w:szCs w:val="24"/>
        </w:rPr>
        <w:t xml:space="preserve"> Consultation</w:t>
      </w:r>
      <w:r>
        <w:rPr>
          <w:rFonts w:ascii="Lucida Sans" w:hAnsi="Lucida Sans" w:cstheme="minorBidi"/>
          <w:bCs/>
          <w:i/>
          <w:iCs/>
          <w:color w:val="000000" w:themeColor="text1"/>
          <w:szCs w:val="24"/>
        </w:rPr>
        <w:t xml:space="preserve"> on a macroprudential policies for non-bank financial intermediation (NBFI)</w:t>
      </w:r>
    </w:p>
    <w:p w14:paraId="58BCDC82" w14:textId="77777777" w:rsidR="00A779BA" w:rsidRDefault="00A779BA" w:rsidP="00A779BA">
      <w:pPr>
        <w:rPr>
          <w:lang w:val="en-GB"/>
        </w:rPr>
      </w:pPr>
    </w:p>
    <w:p w14:paraId="6064402A" w14:textId="77777777" w:rsidR="00A779BA" w:rsidRPr="00527B8D" w:rsidRDefault="00A779BA" w:rsidP="00A779BA">
      <w:pPr>
        <w:rPr>
          <w:b/>
          <w:bCs/>
          <w:sz w:val="24"/>
          <w:szCs w:val="24"/>
          <w:u w:val="single"/>
          <w:lang w:val="en-US"/>
        </w:rPr>
      </w:pPr>
      <w:r w:rsidRPr="00527B8D">
        <w:rPr>
          <w:b/>
          <w:bCs/>
          <w:sz w:val="24"/>
          <w:szCs w:val="24"/>
          <w:u w:val="single"/>
          <w:lang w:val="en-US"/>
        </w:rPr>
        <w:t xml:space="preserve">General remarks </w:t>
      </w:r>
    </w:p>
    <w:p w14:paraId="363CF088" w14:textId="4DC3938F" w:rsidR="002D4518" w:rsidRPr="002D4518" w:rsidRDefault="002D4518" w:rsidP="002D4518">
      <w:pPr>
        <w:jc w:val="both"/>
        <w:rPr>
          <w:sz w:val="24"/>
          <w:szCs w:val="24"/>
          <w:lang w:val="en-US"/>
        </w:rPr>
      </w:pPr>
      <w:r w:rsidRPr="002D4518">
        <w:rPr>
          <w:sz w:val="24"/>
          <w:szCs w:val="24"/>
          <w:lang w:val="en-US"/>
        </w:rPr>
        <w:t>Assogestioni</w:t>
      </w:r>
      <w:r w:rsidR="00451470">
        <w:rPr>
          <w:rStyle w:val="Rimandonotaapidipagina"/>
          <w:sz w:val="24"/>
          <w:szCs w:val="24"/>
          <w:lang w:val="en-US"/>
        </w:rPr>
        <w:footnoteReference w:id="2"/>
      </w:r>
      <w:r w:rsidRPr="002D4518">
        <w:rPr>
          <w:sz w:val="24"/>
          <w:szCs w:val="24"/>
          <w:lang w:val="en-US"/>
        </w:rPr>
        <w:t xml:space="preserve"> welcomes the opportunity to contribute to the discussion on the adequacy of macroprudential policies for NBFIs in the EU.</w:t>
      </w:r>
    </w:p>
    <w:p w14:paraId="5AE467CC" w14:textId="77777777" w:rsidR="002D4518" w:rsidRPr="002D4518" w:rsidRDefault="002D4518" w:rsidP="002D4518">
      <w:pPr>
        <w:jc w:val="both"/>
        <w:rPr>
          <w:sz w:val="24"/>
          <w:szCs w:val="24"/>
          <w:lang w:val="en-US"/>
        </w:rPr>
      </w:pPr>
      <w:r w:rsidRPr="002D4518">
        <w:rPr>
          <w:sz w:val="24"/>
          <w:szCs w:val="24"/>
          <w:lang w:val="en-US"/>
        </w:rPr>
        <w:t xml:space="preserve">We support policymakers’ efforts to strengthen financial markets as making the EU an even safer place for individuals to save and invest over the long term is a key objective of the CMU. </w:t>
      </w:r>
    </w:p>
    <w:p w14:paraId="076EE783" w14:textId="77777777" w:rsidR="002D4518" w:rsidRPr="002D4518" w:rsidRDefault="002D4518" w:rsidP="002D4518">
      <w:pPr>
        <w:jc w:val="both"/>
        <w:rPr>
          <w:sz w:val="24"/>
          <w:szCs w:val="24"/>
          <w:lang w:val="en-US"/>
        </w:rPr>
      </w:pPr>
      <w:r w:rsidRPr="002D4518">
        <w:rPr>
          <w:sz w:val="24"/>
          <w:szCs w:val="24"/>
          <w:lang w:val="en-US"/>
        </w:rPr>
        <w:t xml:space="preserve">We therefore welcome the recognition in the Consultation Paper that much has been and is being done in the EU investment fund sector in terms of micro and macro-prudential policies, both in terms of supervision and regulation. Indeed, specific sectorial provisions are designed to mitigate the fund-level risks, to enhance the resilience of the industry and to safeguard financial stability. </w:t>
      </w:r>
    </w:p>
    <w:p w14:paraId="44B43D5E" w14:textId="77777777" w:rsidR="002D4518" w:rsidRPr="002D4518" w:rsidRDefault="002D4518" w:rsidP="002D4518">
      <w:pPr>
        <w:jc w:val="both"/>
        <w:rPr>
          <w:sz w:val="24"/>
          <w:szCs w:val="24"/>
          <w:lang w:val="en-US"/>
        </w:rPr>
      </w:pPr>
      <w:r w:rsidRPr="002D4518">
        <w:rPr>
          <w:sz w:val="24"/>
          <w:szCs w:val="24"/>
          <w:lang w:val="en-US"/>
        </w:rPr>
        <w:t xml:space="preserve">The further measures introduced in this direction by the recent review of the AIFMD and UCITSD are additional welcome steps. We refer in particular to the harmonization of the rules on liquidity management tools that could be used in each Member State to respond to potential financial stability externalities and to the work on an integrated reporting system which could achieve several objectives including, among others, ensuring the usefulness and quality of data collection (also to better understand potential vulnerabilities), improving efficiency and effective data sharing and reducing the reporting burden. </w:t>
      </w:r>
    </w:p>
    <w:p w14:paraId="51A32281" w14:textId="77777777" w:rsidR="002D4518" w:rsidRPr="002D4518" w:rsidRDefault="002D4518" w:rsidP="002D4518">
      <w:pPr>
        <w:jc w:val="both"/>
        <w:rPr>
          <w:sz w:val="24"/>
          <w:szCs w:val="24"/>
          <w:lang w:val="en-US"/>
        </w:rPr>
      </w:pPr>
      <w:r w:rsidRPr="002D4518">
        <w:rPr>
          <w:sz w:val="24"/>
          <w:szCs w:val="24"/>
          <w:lang w:val="en-US"/>
        </w:rPr>
        <w:t xml:space="preserve">Enhancing fund investor protection and financial stability are complementary objectives.  The diversity and specificity of investment funds with a market-to-market valuation should be well recognized as the fund industry plays a crucial and a distinct economic role from banks and other NBFIs in </w:t>
      </w:r>
      <w:proofErr w:type="spellStart"/>
      <w:r w:rsidRPr="002D4518">
        <w:rPr>
          <w:sz w:val="24"/>
          <w:szCs w:val="24"/>
          <w:lang w:val="en-US"/>
        </w:rPr>
        <w:t>channelling</w:t>
      </w:r>
      <w:proofErr w:type="spellEnd"/>
      <w:r w:rsidRPr="002D4518">
        <w:rPr>
          <w:sz w:val="24"/>
          <w:szCs w:val="24"/>
          <w:lang w:val="en-US"/>
        </w:rPr>
        <w:t xml:space="preserve"> investors’ savings into the real economy through an accessible and efficient vehicle. Asset managers operate under a principle-agent business model. By helping to manage the financial risk of the investments that investors directly carry, asset managers are obliged to inform investors about investment strategies and risk profiles according to strict transparency requirements, including redemption terms and suspension model. </w:t>
      </w:r>
    </w:p>
    <w:p w14:paraId="7A6F8328" w14:textId="4AB971CB" w:rsidR="002D4518" w:rsidRPr="002D4518" w:rsidRDefault="002D4518" w:rsidP="002D4518">
      <w:pPr>
        <w:jc w:val="both"/>
        <w:rPr>
          <w:sz w:val="24"/>
          <w:szCs w:val="24"/>
          <w:lang w:val="en-US"/>
        </w:rPr>
      </w:pPr>
      <w:r w:rsidRPr="002D4518">
        <w:rPr>
          <w:sz w:val="24"/>
          <w:szCs w:val="24"/>
          <w:lang w:val="en-US"/>
        </w:rPr>
        <w:t xml:space="preserve">Without recognizing the nature of investment funds, inappropriate macroprudential policy tools could potentially increase risks and have unintended consequences for both funds and the long-term investments they facilitate. In fact, certain measures (such as liquidity buffers or the supervisory activation of LMTs for a subset of funds) could discourage risk-taking of investments in European financial markets through funds, create incentives to run, introduce unlevel playing field between investors in </w:t>
      </w:r>
      <w:r w:rsidRPr="002D4518">
        <w:rPr>
          <w:sz w:val="24"/>
          <w:szCs w:val="24"/>
          <w:lang w:val="en-US"/>
        </w:rPr>
        <w:lastRenderedPageBreak/>
        <w:t>investments in funds and other investors, and may even act as a drag on fund performance and investor returns.</w:t>
      </w:r>
    </w:p>
    <w:p w14:paraId="23077CA2" w14:textId="363052ED" w:rsidR="002D4518" w:rsidRPr="002D4518" w:rsidRDefault="002D4518" w:rsidP="002D4518">
      <w:pPr>
        <w:jc w:val="both"/>
        <w:rPr>
          <w:sz w:val="24"/>
          <w:szCs w:val="24"/>
          <w:lang w:val="en-US"/>
        </w:rPr>
      </w:pPr>
      <w:r w:rsidRPr="002D4518">
        <w:rPr>
          <w:sz w:val="24"/>
          <w:szCs w:val="24"/>
          <w:lang w:val="en-US"/>
        </w:rPr>
        <w:t>It is important to remember that a lot of political initiatives have been promoted</w:t>
      </w:r>
      <w:r w:rsidR="00805D17">
        <w:rPr>
          <w:sz w:val="24"/>
          <w:szCs w:val="24"/>
          <w:lang w:val="en-US"/>
        </w:rPr>
        <w:t xml:space="preserve"> to enhance</w:t>
      </w:r>
      <w:r w:rsidR="00C47910">
        <w:rPr>
          <w:sz w:val="24"/>
          <w:szCs w:val="24"/>
          <w:lang w:val="en-US"/>
        </w:rPr>
        <w:t xml:space="preserve"> awareness </w:t>
      </w:r>
      <w:r w:rsidR="00411C68">
        <w:rPr>
          <w:sz w:val="24"/>
          <w:szCs w:val="24"/>
          <w:lang w:val="en-US"/>
        </w:rPr>
        <w:t>and resilience</w:t>
      </w:r>
      <w:r w:rsidRPr="002D4518">
        <w:rPr>
          <w:sz w:val="24"/>
          <w:szCs w:val="24"/>
          <w:lang w:val="en-US"/>
        </w:rPr>
        <w:t xml:space="preserve"> in the last years which still need to be finalized, implemented and assessed. For example, it should be ensured that asset managers use and calibrate LMTs properly; the proposal for a Consolidated Tape for market data transparency, which includes a centralized hub (also) for bond instruments, is on the run. The EMIR reporting REFIT will provide a lot of new information on the use of derivatives, given the scale of the intervention, whose quality and usability should be duly assessed. The construction/revision of an integrated EU reporting for investments funds is only at the beginning and the mandate given to ESMA might need to be complemented by other policy actions. In addition, Common Supervisory Actions</w:t>
      </w:r>
      <w:r w:rsidR="00321C01">
        <w:rPr>
          <w:sz w:val="24"/>
          <w:szCs w:val="24"/>
          <w:lang w:val="en-US"/>
        </w:rPr>
        <w:t>,</w:t>
      </w:r>
      <w:r w:rsidRPr="002D4518">
        <w:rPr>
          <w:sz w:val="24"/>
          <w:szCs w:val="24"/>
          <w:lang w:val="en-US"/>
        </w:rPr>
        <w:t xml:space="preserve"> to help convergence and supervisory practices</w:t>
      </w:r>
      <w:r w:rsidR="00321C01">
        <w:rPr>
          <w:sz w:val="24"/>
          <w:szCs w:val="24"/>
          <w:lang w:val="en-US"/>
        </w:rPr>
        <w:t>,</w:t>
      </w:r>
      <w:r w:rsidRPr="002D4518">
        <w:rPr>
          <w:sz w:val="24"/>
          <w:szCs w:val="24"/>
          <w:lang w:val="en-US"/>
        </w:rPr>
        <w:t xml:space="preserve"> are increasingly being used by ESMA and NCAs to point out oversight gaps and to enhance the effectiveness of existing regulatory, supervisory, and operational measures.</w:t>
      </w:r>
    </w:p>
    <w:p w14:paraId="71452A4A" w14:textId="465B193D" w:rsidR="002D4518" w:rsidRPr="002D4518" w:rsidRDefault="002D4518" w:rsidP="002D4518">
      <w:pPr>
        <w:jc w:val="both"/>
        <w:rPr>
          <w:sz w:val="24"/>
          <w:szCs w:val="24"/>
          <w:lang w:val="en-US"/>
        </w:rPr>
      </w:pPr>
      <w:r w:rsidRPr="002D4518">
        <w:rPr>
          <w:sz w:val="24"/>
          <w:szCs w:val="24"/>
          <w:lang w:val="en-US"/>
        </w:rPr>
        <w:t xml:space="preserve">Therefore, we believe that there is scope, at the time being, to consider the actual micro and macro prudential tools for investment funds sufficient, even if there is a need for increased scrutiny into some specific segments. As some </w:t>
      </w:r>
      <w:proofErr w:type="gramStart"/>
      <w:r w:rsidRPr="002D4518">
        <w:rPr>
          <w:sz w:val="24"/>
          <w:szCs w:val="24"/>
          <w:lang w:val="en-US"/>
        </w:rPr>
        <w:t>regulators  express</w:t>
      </w:r>
      <w:proofErr w:type="gramEnd"/>
      <w:r w:rsidR="00B636E9">
        <w:rPr>
          <w:rStyle w:val="Rimandonotaapidipagina"/>
          <w:sz w:val="24"/>
          <w:szCs w:val="24"/>
          <w:lang w:val="en-US"/>
        </w:rPr>
        <w:footnoteReference w:id="3"/>
      </w:r>
      <w:r w:rsidRPr="002D4518">
        <w:rPr>
          <w:sz w:val="24"/>
          <w:szCs w:val="24"/>
          <w:lang w:val="en-US"/>
        </w:rPr>
        <w:t>, “</w:t>
      </w:r>
      <w:r w:rsidRPr="00DE3F99">
        <w:rPr>
          <w:i/>
          <w:iCs/>
          <w:sz w:val="24"/>
          <w:szCs w:val="24"/>
          <w:lang w:val="en-US"/>
        </w:rPr>
        <w:t>the event put forward as examples of NBFI vulnerabilities differ widely from one another and, therefore, each of them call for a careful and specific analysis</w:t>
      </w:r>
      <w:r w:rsidRPr="002D4518">
        <w:rPr>
          <w:sz w:val="24"/>
          <w:szCs w:val="24"/>
          <w:lang w:val="en-US"/>
        </w:rPr>
        <w:t>”.</w:t>
      </w:r>
    </w:p>
    <w:p w14:paraId="0574581D" w14:textId="4F3D4370" w:rsidR="002D4518" w:rsidRPr="002D4518" w:rsidRDefault="002D4518" w:rsidP="002D4518">
      <w:pPr>
        <w:jc w:val="both"/>
        <w:rPr>
          <w:sz w:val="24"/>
          <w:szCs w:val="24"/>
          <w:lang w:val="en-US"/>
        </w:rPr>
      </w:pPr>
      <w:r w:rsidRPr="002D4518">
        <w:rPr>
          <w:sz w:val="24"/>
          <w:szCs w:val="24"/>
          <w:lang w:val="en-US"/>
        </w:rPr>
        <w:t xml:space="preserve">Furthermore, </w:t>
      </w:r>
      <w:proofErr w:type="gramStart"/>
      <w:r w:rsidRPr="002D4518">
        <w:rPr>
          <w:sz w:val="24"/>
          <w:szCs w:val="24"/>
          <w:lang w:val="en-US"/>
        </w:rPr>
        <w:t>with regard to</w:t>
      </w:r>
      <w:proofErr w:type="gramEnd"/>
      <w:r w:rsidRPr="002D4518">
        <w:rPr>
          <w:sz w:val="24"/>
          <w:szCs w:val="24"/>
          <w:lang w:val="en-US"/>
        </w:rPr>
        <w:t xml:space="preserve"> macroprudential supervisory coordination, Assogestioni believes that it would not be necessary to strengthen the coordination powers of ESMA -</w:t>
      </w:r>
      <w:r w:rsidR="00EE6320">
        <w:rPr>
          <w:sz w:val="24"/>
          <w:szCs w:val="24"/>
          <w:lang w:val="en-US"/>
        </w:rPr>
        <w:t xml:space="preserve"> </w:t>
      </w:r>
      <w:r w:rsidRPr="002D4518">
        <w:rPr>
          <w:sz w:val="24"/>
          <w:szCs w:val="24"/>
          <w:lang w:val="en-US"/>
        </w:rPr>
        <w:t xml:space="preserve">and of other EU bodies- and to create enhanced coordination mechanisms for the adoption of macroprudential measures in the fund sector. Indeed, there are already several coordination mechanisms in the current regulatory framework on which ESMA and NCAs could rely; therefore, the focus should be on making the best use of what is already available and underpinning coordinated action with an appropriate analytical framework. </w:t>
      </w:r>
    </w:p>
    <w:p w14:paraId="5B65147E" w14:textId="77777777" w:rsidR="002D4518" w:rsidRPr="002D4518" w:rsidRDefault="002D4518" w:rsidP="002D4518">
      <w:pPr>
        <w:jc w:val="both"/>
        <w:rPr>
          <w:sz w:val="24"/>
          <w:szCs w:val="24"/>
          <w:lang w:val="en-US"/>
        </w:rPr>
      </w:pPr>
      <w:r w:rsidRPr="002D4518">
        <w:rPr>
          <w:sz w:val="24"/>
          <w:szCs w:val="24"/>
          <w:lang w:val="en-US"/>
        </w:rPr>
        <w:t xml:space="preserve">In particular, </w:t>
      </w:r>
      <w:proofErr w:type="gramStart"/>
      <w:r w:rsidRPr="002D4518">
        <w:rPr>
          <w:sz w:val="24"/>
          <w:szCs w:val="24"/>
          <w:lang w:val="en-US"/>
        </w:rPr>
        <w:t>with regard to</w:t>
      </w:r>
      <w:proofErr w:type="gramEnd"/>
      <w:r w:rsidRPr="002D4518">
        <w:rPr>
          <w:sz w:val="24"/>
          <w:szCs w:val="24"/>
          <w:lang w:val="en-US"/>
        </w:rPr>
        <w:t xml:space="preserve"> large asset management companies we believe that there is no reason to strengthen supervisory coordination for them in order to address systemic risk, as there is no correlation between the size of the manager and its systemic relevance, and the current passporting regime already ensures that management companies are supervised by a single supervisor. More broadly, going beyond the mere purpose of the Consultation to assess the adequacy of macroprudential policies for NBFIs, we believe that national supervision remains the best option for the asset management industry, given the national specificities of each Member State and the conflicts of law that could arise from supervisory integration. </w:t>
      </w:r>
    </w:p>
    <w:p w14:paraId="4FD01C4F" w14:textId="77777777" w:rsidR="002D4518" w:rsidRPr="002D4518" w:rsidRDefault="002D4518" w:rsidP="002D4518">
      <w:pPr>
        <w:jc w:val="both"/>
        <w:rPr>
          <w:sz w:val="24"/>
          <w:szCs w:val="24"/>
          <w:lang w:val="en-US"/>
        </w:rPr>
      </w:pPr>
      <w:r w:rsidRPr="002D4518">
        <w:rPr>
          <w:sz w:val="24"/>
          <w:szCs w:val="24"/>
          <w:lang w:val="en-US"/>
        </w:rPr>
        <w:lastRenderedPageBreak/>
        <w:t>However, more coordinated and effective macroprudential supervision could be achieved by promoting the convergence of supervisory data, building an integrated reporting system and developing an appropriate analytical framework.</w:t>
      </w:r>
    </w:p>
    <w:p w14:paraId="52569444" w14:textId="08DEEF6B" w:rsidR="002D4518" w:rsidRPr="002D4518" w:rsidRDefault="002D4518" w:rsidP="002D4518">
      <w:pPr>
        <w:jc w:val="both"/>
        <w:rPr>
          <w:sz w:val="24"/>
          <w:szCs w:val="24"/>
          <w:lang w:val="en-US"/>
        </w:rPr>
      </w:pPr>
      <w:r w:rsidRPr="002D4518">
        <w:rPr>
          <w:sz w:val="24"/>
          <w:szCs w:val="24"/>
          <w:lang w:val="en-US"/>
        </w:rPr>
        <w:t xml:space="preserve">The complexity and interconnectedness of sectors, activities, market and participant as well as existing data gaps make it difficult to understand vulnerabilities and transmission channels </w:t>
      </w:r>
      <w:proofErr w:type="gramStart"/>
      <w:r w:rsidRPr="002D4518">
        <w:rPr>
          <w:sz w:val="24"/>
          <w:szCs w:val="24"/>
          <w:lang w:val="en-US"/>
        </w:rPr>
        <w:t>in order to</w:t>
      </w:r>
      <w:proofErr w:type="gramEnd"/>
      <w:r w:rsidRPr="002D4518">
        <w:rPr>
          <w:sz w:val="24"/>
          <w:szCs w:val="24"/>
          <w:lang w:val="en-US"/>
        </w:rPr>
        <w:t xml:space="preserve"> protect the financial system as a whole from large systemic events. An appropriate analytical framework based on a holistic and empirical approach, consistent supervisory data from across the financial system</w:t>
      </w:r>
      <w:r w:rsidR="0011768E">
        <w:rPr>
          <w:sz w:val="24"/>
          <w:szCs w:val="24"/>
          <w:lang w:val="en-US"/>
        </w:rPr>
        <w:t xml:space="preserve"> </w:t>
      </w:r>
      <w:r w:rsidR="0011768E" w:rsidRPr="002D4518">
        <w:rPr>
          <w:sz w:val="24"/>
          <w:szCs w:val="24"/>
          <w:lang w:val="en-US"/>
        </w:rPr>
        <w:t>(banks and NBFIs)</w:t>
      </w:r>
      <w:r w:rsidRPr="002D4518">
        <w:rPr>
          <w:sz w:val="24"/>
          <w:szCs w:val="24"/>
          <w:lang w:val="en-US"/>
        </w:rPr>
        <w:t xml:space="preserve">, other than proper risk metrics could be helpful. </w:t>
      </w:r>
    </w:p>
    <w:p w14:paraId="5E82DF53" w14:textId="77777777" w:rsidR="002D4518" w:rsidRPr="002D4518" w:rsidRDefault="002D4518" w:rsidP="002D4518">
      <w:pPr>
        <w:jc w:val="both"/>
        <w:rPr>
          <w:sz w:val="24"/>
          <w:szCs w:val="24"/>
          <w:lang w:val="en-US"/>
        </w:rPr>
      </w:pPr>
      <w:r w:rsidRPr="002D4518">
        <w:rPr>
          <w:sz w:val="24"/>
          <w:szCs w:val="24"/>
          <w:lang w:val="en-US"/>
        </w:rPr>
        <w:t>The EU's priority should be to develop supervisory capacity to identify pockets of risk even beyond the investment funds sector and the need for consistent and high-quality data for an effective systemic risk supervision is a cornerstone.</w:t>
      </w:r>
    </w:p>
    <w:p w14:paraId="5DBE5F33" w14:textId="6FE23E7D" w:rsidR="002D4518" w:rsidRPr="002D4518" w:rsidRDefault="002D4518" w:rsidP="002D4518">
      <w:pPr>
        <w:jc w:val="both"/>
        <w:rPr>
          <w:sz w:val="24"/>
          <w:szCs w:val="24"/>
          <w:lang w:val="en-US"/>
        </w:rPr>
      </w:pPr>
      <w:r w:rsidRPr="002D4518">
        <w:rPr>
          <w:sz w:val="24"/>
          <w:szCs w:val="24"/>
          <w:lang w:val="en-US"/>
        </w:rPr>
        <w:t xml:space="preserve">From a theoretical point of view, regular EU system-wide stress tests could be a beneficial exercise if </w:t>
      </w:r>
      <w:proofErr w:type="gramStart"/>
      <w:r w:rsidRPr="002D4518">
        <w:rPr>
          <w:sz w:val="24"/>
          <w:szCs w:val="24"/>
          <w:lang w:val="en-US"/>
        </w:rPr>
        <w:t>they will</w:t>
      </w:r>
      <w:proofErr w:type="gramEnd"/>
      <w:r w:rsidRPr="002D4518">
        <w:rPr>
          <w:sz w:val="24"/>
          <w:szCs w:val="24"/>
          <w:lang w:val="en-US"/>
        </w:rPr>
        <w:t xml:space="preserve"> help authorities and market participants to gain more insight into how all market participants behave </w:t>
      </w:r>
      <w:proofErr w:type="gramStart"/>
      <w:r w:rsidRPr="002D4518">
        <w:rPr>
          <w:sz w:val="24"/>
          <w:szCs w:val="24"/>
          <w:lang w:val="en-US"/>
        </w:rPr>
        <w:t>in a given</w:t>
      </w:r>
      <w:proofErr w:type="gramEnd"/>
      <w:r w:rsidRPr="002D4518">
        <w:rPr>
          <w:sz w:val="24"/>
          <w:szCs w:val="24"/>
          <w:lang w:val="en-US"/>
        </w:rPr>
        <w:t xml:space="preserve"> scenario, and how their possible interactions could amplify shocks to the EU financial system. However, modelling and estimating macroprudential effects is challenging and while they can help identify areas that deserve greater attention, they face </w:t>
      </w:r>
      <w:proofErr w:type="gramStart"/>
      <w:r w:rsidRPr="002D4518">
        <w:rPr>
          <w:sz w:val="24"/>
          <w:szCs w:val="24"/>
          <w:lang w:val="en-US"/>
        </w:rPr>
        <w:t>a number of</w:t>
      </w:r>
      <w:proofErr w:type="gramEnd"/>
      <w:r w:rsidRPr="002D4518">
        <w:rPr>
          <w:sz w:val="24"/>
          <w:szCs w:val="24"/>
          <w:lang w:val="en-US"/>
        </w:rPr>
        <w:t xml:space="preserve"> limitations. A macroprudential perspective alone is, therefore, insufficient to determine whether a policy response is needed. </w:t>
      </w:r>
    </w:p>
    <w:p w14:paraId="41819BB4" w14:textId="32FFE1A0" w:rsidR="00A779BA" w:rsidRDefault="002D4518" w:rsidP="002D4518">
      <w:pPr>
        <w:jc w:val="both"/>
        <w:rPr>
          <w:sz w:val="24"/>
          <w:szCs w:val="24"/>
          <w:lang w:val="en-US"/>
        </w:rPr>
      </w:pPr>
      <w:r w:rsidRPr="002D4518">
        <w:rPr>
          <w:sz w:val="24"/>
          <w:szCs w:val="24"/>
          <w:lang w:val="en-US"/>
        </w:rPr>
        <w:t>We believe that robust risk management, strong governance, convergence of supervisory data and supervision, together with more information on market dynamic and appropriate education to make informed investors decisions remain the critical elements to support the maintenance of financial stability</w:t>
      </w:r>
      <w:r w:rsidR="00A779BA" w:rsidRPr="00865CFB">
        <w:rPr>
          <w:sz w:val="24"/>
          <w:szCs w:val="24"/>
          <w:lang w:val="en-US"/>
        </w:rPr>
        <w:t xml:space="preserve">. </w:t>
      </w:r>
    </w:p>
    <w:p w14:paraId="543C16C8" w14:textId="77777777" w:rsidR="006330B8" w:rsidRPr="002C6243" w:rsidRDefault="006330B8" w:rsidP="00357A1C">
      <w:pPr>
        <w:jc w:val="both"/>
        <w:rPr>
          <w:sz w:val="24"/>
          <w:szCs w:val="24"/>
          <w:lang w:val="en-GB"/>
        </w:rPr>
      </w:pPr>
      <w:bookmarkStart w:id="0" w:name="_Hlk178580226"/>
    </w:p>
    <w:p w14:paraId="40EBCB4A" w14:textId="77777777" w:rsidR="006330B8" w:rsidRPr="002C6243" w:rsidRDefault="006330B8" w:rsidP="00357A1C">
      <w:pPr>
        <w:jc w:val="both"/>
        <w:rPr>
          <w:sz w:val="24"/>
          <w:szCs w:val="24"/>
          <w:lang w:val="en-GB"/>
        </w:rPr>
      </w:pPr>
    </w:p>
    <w:p w14:paraId="6BE18922" w14:textId="77777777" w:rsidR="003F67E3" w:rsidRPr="002C6243" w:rsidRDefault="003F67E3" w:rsidP="00357A1C">
      <w:pPr>
        <w:jc w:val="both"/>
        <w:rPr>
          <w:sz w:val="24"/>
          <w:szCs w:val="24"/>
          <w:lang w:val="en-GB"/>
        </w:rPr>
      </w:pPr>
    </w:p>
    <w:p w14:paraId="13974F1B" w14:textId="4EF1F6C7" w:rsidR="0069437E" w:rsidRPr="002C6243" w:rsidRDefault="0069437E" w:rsidP="00357A1C">
      <w:pPr>
        <w:jc w:val="both"/>
        <w:rPr>
          <w:sz w:val="24"/>
          <w:szCs w:val="24"/>
          <w:lang w:val="en-GB"/>
        </w:rPr>
      </w:pPr>
      <w:r w:rsidRPr="002C6243">
        <w:rPr>
          <w:sz w:val="24"/>
          <w:szCs w:val="24"/>
          <w:lang w:val="en-GB"/>
        </w:rPr>
        <w:br w:type="page"/>
      </w:r>
    </w:p>
    <w:bookmarkEnd w:id="0"/>
    <w:p w14:paraId="04BD8370" w14:textId="194BF347" w:rsidR="00C371D5" w:rsidRDefault="000A7F8C" w:rsidP="00AC0CD4">
      <w:pPr>
        <w:pBdr>
          <w:top w:val="nil"/>
          <w:left w:val="nil"/>
          <w:bottom w:val="nil"/>
          <w:right w:val="nil"/>
          <w:between w:val="nil"/>
          <w:bar w:val="nil"/>
        </w:pBdr>
        <w:spacing w:after="0" w:line="280" w:lineRule="exact"/>
        <w:jc w:val="both"/>
        <w:rPr>
          <w:sz w:val="24"/>
          <w:szCs w:val="24"/>
          <w:lang w:val="en-US"/>
        </w:rPr>
      </w:pPr>
      <w:r w:rsidRPr="000A7F8C">
        <w:rPr>
          <w:b/>
          <w:bCs/>
          <w:sz w:val="24"/>
          <w:szCs w:val="24"/>
          <w:u w:val="single"/>
          <w:lang w:val="en-US"/>
        </w:rPr>
        <w:lastRenderedPageBreak/>
        <w:t>1. Key vulnerabilities and risks stemming from NBFI</w:t>
      </w:r>
      <w:r w:rsidR="00FF592E" w:rsidRPr="00FF592E">
        <w:rPr>
          <w:b/>
          <w:bCs/>
          <w:sz w:val="24"/>
          <w:szCs w:val="24"/>
          <w:u w:val="single"/>
          <w:lang w:val="en-US"/>
        </w:rPr>
        <w:cr/>
      </w:r>
      <w:r w:rsidR="00FF592E" w:rsidRPr="00FF592E">
        <w:rPr>
          <w:sz w:val="24"/>
          <w:szCs w:val="24"/>
          <w:lang w:val="en-US"/>
        </w:rPr>
        <w:cr/>
      </w:r>
      <w:bookmarkStart w:id="1" w:name="_Hlk139875756"/>
    </w:p>
    <w:p w14:paraId="1B98EB25" w14:textId="6E6702D5" w:rsidR="00266A3A" w:rsidRDefault="00806C9A" w:rsidP="002421E2">
      <w:pPr>
        <w:pBdr>
          <w:top w:val="nil"/>
          <w:left w:val="nil"/>
          <w:bottom w:val="nil"/>
          <w:right w:val="nil"/>
          <w:between w:val="nil"/>
          <w:bar w:val="nil"/>
        </w:pBdr>
        <w:spacing w:after="0" w:line="280" w:lineRule="exact"/>
        <w:jc w:val="both"/>
        <w:rPr>
          <w:b/>
          <w:bCs/>
          <w:sz w:val="24"/>
          <w:szCs w:val="24"/>
          <w:lang w:val="en-US"/>
        </w:rPr>
      </w:pPr>
      <w:r w:rsidRPr="00806C9A">
        <w:rPr>
          <w:b/>
          <w:bCs/>
          <w:sz w:val="24"/>
          <w:szCs w:val="24"/>
          <w:lang w:val="en-US"/>
        </w:rPr>
        <w:t>Question 1. Are there other sources of systemic risks or vulnerabilities stemming from NBFIs’ activities and their interconnectedness, including activity through capital markets, that have not been identified in this paper?</w:t>
      </w:r>
    </w:p>
    <w:p w14:paraId="5B559D78" w14:textId="77777777" w:rsidR="00806C9A" w:rsidRPr="00996921" w:rsidRDefault="00806C9A" w:rsidP="002421E2">
      <w:pPr>
        <w:pBdr>
          <w:top w:val="nil"/>
          <w:left w:val="nil"/>
          <w:bottom w:val="nil"/>
          <w:right w:val="nil"/>
          <w:between w:val="nil"/>
          <w:bar w:val="nil"/>
        </w:pBdr>
        <w:spacing w:after="0" w:line="280" w:lineRule="exact"/>
        <w:jc w:val="both"/>
        <w:rPr>
          <w:b/>
          <w:bCs/>
          <w:sz w:val="24"/>
          <w:szCs w:val="24"/>
          <w:lang w:val="en-US"/>
        </w:rPr>
      </w:pPr>
    </w:p>
    <w:p w14:paraId="36551195" w14:textId="3388330A" w:rsidR="006A5C05" w:rsidRDefault="00A83144" w:rsidP="00195165">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A83144">
        <w:rPr>
          <w:sz w:val="24"/>
          <w:szCs w:val="24"/>
          <w:lang w:val="en-US"/>
        </w:rPr>
        <w:t xml:space="preserve">The Commission's analysis provides a valuable starting point, but a more sophisticated framework </w:t>
      </w:r>
      <w:r w:rsidR="008E7D06">
        <w:rPr>
          <w:sz w:val="24"/>
          <w:szCs w:val="24"/>
          <w:lang w:val="en-US"/>
        </w:rPr>
        <w:t>might be helpful</w:t>
      </w:r>
      <w:r w:rsidRPr="00A83144">
        <w:rPr>
          <w:sz w:val="24"/>
          <w:szCs w:val="24"/>
          <w:lang w:val="en-US"/>
        </w:rPr>
        <w:t xml:space="preserve">. This should include precise definitions of </w:t>
      </w:r>
      <w:r w:rsidR="001876F9">
        <w:rPr>
          <w:sz w:val="24"/>
          <w:szCs w:val="24"/>
          <w:lang w:val="en-US"/>
        </w:rPr>
        <w:t>“</w:t>
      </w:r>
      <w:r w:rsidRPr="00A83144">
        <w:rPr>
          <w:sz w:val="24"/>
          <w:szCs w:val="24"/>
          <w:lang w:val="en-US"/>
        </w:rPr>
        <w:t>systemic risks</w:t>
      </w:r>
      <w:r w:rsidR="001876F9">
        <w:rPr>
          <w:sz w:val="24"/>
          <w:szCs w:val="24"/>
          <w:lang w:val="en-US"/>
        </w:rPr>
        <w:t>”</w:t>
      </w:r>
      <w:r w:rsidR="008928E1">
        <w:rPr>
          <w:sz w:val="24"/>
          <w:szCs w:val="24"/>
          <w:lang w:val="en-US"/>
        </w:rPr>
        <w:t>,</w:t>
      </w:r>
      <w:r w:rsidRPr="00A83144">
        <w:rPr>
          <w:sz w:val="24"/>
          <w:szCs w:val="24"/>
          <w:lang w:val="en-US"/>
        </w:rPr>
        <w:t xml:space="preserve"> </w:t>
      </w:r>
      <w:r w:rsidR="00E376C7">
        <w:rPr>
          <w:sz w:val="24"/>
          <w:szCs w:val="24"/>
          <w:lang w:val="en-US"/>
        </w:rPr>
        <w:t>that the EU should seek to address</w:t>
      </w:r>
      <w:r w:rsidR="00E00900">
        <w:rPr>
          <w:sz w:val="24"/>
          <w:szCs w:val="24"/>
          <w:lang w:val="en-US"/>
        </w:rPr>
        <w:t>,</w:t>
      </w:r>
      <w:r w:rsidR="007B4C46">
        <w:rPr>
          <w:sz w:val="24"/>
          <w:szCs w:val="24"/>
          <w:lang w:val="en-US"/>
        </w:rPr>
        <w:t xml:space="preserve"> </w:t>
      </w:r>
      <w:r w:rsidRPr="00A83144">
        <w:rPr>
          <w:sz w:val="24"/>
          <w:szCs w:val="24"/>
          <w:lang w:val="en-US"/>
        </w:rPr>
        <w:t xml:space="preserve">and </w:t>
      </w:r>
      <w:r w:rsidR="006A35D2">
        <w:rPr>
          <w:sz w:val="24"/>
          <w:szCs w:val="24"/>
          <w:lang w:val="en-US"/>
        </w:rPr>
        <w:t>the</w:t>
      </w:r>
      <w:r w:rsidRPr="00A83144">
        <w:rPr>
          <w:sz w:val="24"/>
          <w:szCs w:val="24"/>
          <w:lang w:val="en-US"/>
        </w:rPr>
        <w:t xml:space="preserve"> </w:t>
      </w:r>
      <w:r w:rsidR="007B4C46">
        <w:rPr>
          <w:sz w:val="24"/>
          <w:szCs w:val="24"/>
          <w:lang w:val="en-US"/>
        </w:rPr>
        <w:t xml:space="preserve">outlining the </w:t>
      </w:r>
      <w:r w:rsidR="001876F9">
        <w:rPr>
          <w:sz w:val="24"/>
          <w:szCs w:val="24"/>
          <w:lang w:val="en-US"/>
        </w:rPr>
        <w:t>“</w:t>
      </w:r>
      <w:r w:rsidRPr="00A83144">
        <w:rPr>
          <w:sz w:val="24"/>
          <w:szCs w:val="24"/>
          <w:lang w:val="en-US"/>
        </w:rPr>
        <w:t>critical market functions</w:t>
      </w:r>
      <w:r w:rsidR="001876F9">
        <w:rPr>
          <w:sz w:val="24"/>
          <w:szCs w:val="24"/>
          <w:lang w:val="en-US"/>
        </w:rPr>
        <w:t>”</w:t>
      </w:r>
      <w:r w:rsidR="00183358">
        <w:rPr>
          <w:sz w:val="24"/>
          <w:szCs w:val="24"/>
          <w:lang w:val="en-US"/>
        </w:rPr>
        <w:t xml:space="preserve"> the EU should seek to preserve</w:t>
      </w:r>
      <w:r w:rsidRPr="00A83144">
        <w:rPr>
          <w:sz w:val="24"/>
          <w:szCs w:val="24"/>
          <w:lang w:val="en-US"/>
        </w:rPr>
        <w:t>.</w:t>
      </w:r>
    </w:p>
    <w:p w14:paraId="4AE89524" w14:textId="289D2692" w:rsidR="00DB7A17" w:rsidRDefault="00DB7A17" w:rsidP="00195165">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38F6A030" w14:textId="43DAFDC2" w:rsidR="00184C17" w:rsidRDefault="00184C17" w:rsidP="00184C17">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A</w:t>
      </w:r>
      <w:r w:rsidRPr="00C73610">
        <w:rPr>
          <w:sz w:val="24"/>
          <w:szCs w:val="24"/>
          <w:lang w:val="en-US"/>
        </w:rPr>
        <w:t xml:space="preserve"> more holistic approach is needed to assess how different financial sectors</w:t>
      </w:r>
      <w:r w:rsidR="00FE20AC">
        <w:rPr>
          <w:sz w:val="24"/>
          <w:szCs w:val="24"/>
          <w:lang w:val="en-US"/>
        </w:rPr>
        <w:t>,</w:t>
      </w:r>
      <w:r w:rsidRPr="00C73610">
        <w:rPr>
          <w:sz w:val="24"/>
          <w:szCs w:val="24"/>
          <w:lang w:val="en-US"/>
        </w:rPr>
        <w:t xml:space="preserve"> </w:t>
      </w:r>
      <w:r w:rsidR="00FE20AC" w:rsidRPr="00101AE5">
        <w:rPr>
          <w:sz w:val="24"/>
          <w:szCs w:val="24"/>
          <w:lang w:val="en-US"/>
        </w:rPr>
        <w:t xml:space="preserve">regardless of whether they are buyers or sellers or </w:t>
      </w:r>
      <w:r w:rsidR="008B4A45">
        <w:rPr>
          <w:sz w:val="24"/>
          <w:szCs w:val="24"/>
          <w:lang w:val="en-US"/>
        </w:rPr>
        <w:t xml:space="preserve">of </w:t>
      </w:r>
      <w:r w:rsidR="00FE20AC" w:rsidRPr="00101AE5">
        <w:rPr>
          <w:sz w:val="24"/>
          <w:szCs w:val="24"/>
          <w:lang w:val="en-US"/>
        </w:rPr>
        <w:t>their regulatory status</w:t>
      </w:r>
      <w:r w:rsidR="00FE20AC">
        <w:rPr>
          <w:sz w:val="24"/>
          <w:szCs w:val="24"/>
          <w:lang w:val="en-US"/>
        </w:rPr>
        <w:t xml:space="preserve"> (regulated or not regulated, NBFI or not)</w:t>
      </w:r>
      <w:r w:rsidR="00FE20AC" w:rsidRPr="00101AE5">
        <w:rPr>
          <w:sz w:val="24"/>
          <w:szCs w:val="24"/>
          <w:lang w:val="en-US"/>
        </w:rPr>
        <w:t xml:space="preserve">, </w:t>
      </w:r>
      <w:r w:rsidRPr="00C73610">
        <w:rPr>
          <w:sz w:val="24"/>
          <w:szCs w:val="24"/>
          <w:lang w:val="en-US"/>
        </w:rPr>
        <w:t>can contribute to or undermine financial system resilience</w:t>
      </w:r>
      <w:r>
        <w:rPr>
          <w:sz w:val="24"/>
          <w:szCs w:val="24"/>
          <w:lang w:val="en-US"/>
        </w:rPr>
        <w:t xml:space="preserve">, considering </w:t>
      </w:r>
      <w:r w:rsidR="002F6A7D">
        <w:rPr>
          <w:sz w:val="24"/>
          <w:szCs w:val="24"/>
          <w:lang w:val="en-US"/>
        </w:rPr>
        <w:t xml:space="preserve">also </w:t>
      </w:r>
      <w:r>
        <w:rPr>
          <w:sz w:val="24"/>
          <w:szCs w:val="24"/>
          <w:lang w:val="en-US"/>
        </w:rPr>
        <w:t>that, within a single sector, the risks borne by market participants may substantially differ</w:t>
      </w:r>
      <w:r w:rsidRPr="00C73610">
        <w:rPr>
          <w:sz w:val="24"/>
          <w:szCs w:val="24"/>
          <w:lang w:val="en-US"/>
        </w:rPr>
        <w:t>.</w:t>
      </w:r>
    </w:p>
    <w:p w14:paraId="71870373" w14:textId="77777777" w:rsidR="00B74023" w:rsidRDefault="00B74023" w:rsidP="00184C17">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33390A12" w14:textId="77777777" w:rsidR="005470A2" w:rsidRDefault="005470A2" w:rsidP="005470A2">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C377B4">
        <w:rPr>
          <w:sz w:val="24"/>
          <w:szCs w:val="24"/>
          <w:lang w:val="en-US"/>
        </w:rPr>
        <w:t>While investment funds are key market intermediaries, the assessment of systemic risk posed by the fund sector is still evolving</w:t>
      </w:r>
      <w:r>
        <w:rPr>
          <w:sz w:val="24"/>
          <w:szCs w:val="24"/>
          <w:lang w:val="en-US"/>
        </w:rPr>
        <w:t xml:space="preserve"> and debated</w:t>
      </w:r>
      <w:r w:rsidRPr="00C377B4">
        <w:rPr>
          <w:sz w:val="24"/>
          <w:szCs w:val="24"/>
          <w:lang w:val="en-US"/>
        </w:rPr>
        <w:t xml:space="preserve">. </w:t>
      </w:r>
    </w:p>
    <w:p w14:paraId="0F428D4D" w14:textId="77777777" w:rsidR="00C377B4" w:rsidRPr="00C377B4" w:rsidRDefault="00C377B4" w:rsidP="00C377B4">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073384D7" w14:textId="77777777" w:rsidR="00C377B4" w:rsidRPr="00C377B4" w:rsidRDefault="00C377B4" w:rsidP="00C377B4">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C377B4">
        <w:rPr>
          <w:sz w:val="24"/>
          <w:szCs w:val="24"/>
          <w:lang w:val="en-US"/>
        </w:rPr>
        <w:t>Despite frequent shocks over the last couple of years, investment funds (except MMFs) only sold assets during March 2020, begging the question why end-investors redeemed from funds in March 2020 while remaining invested in March 2022 during the invasion of Ukraine and throughout 2022 and 2023 when central banks sharply increased interest rates.</w:t>
      </w:r>
    </w:p>
    <w:p w14:paraId="5E7BD29E" w14:textId="77777777" w:rsidR="00C377B4" w:rsidRPr="00C377B4" w:rsidRDefault="00C377B4" w:rsidP="00C377B4">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4F4BDF2C" w14:textId="688B371B" w:rsidR="00C377B4" w:rsidRPr="00C377B4" w:rsidRDefault="00C377B4" w:rsidP="00C377B4">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C377B4">
        <w:rPr>
          <w:sz w:val="24"/>
          <w:szCs w:val="24"/>
          <w:lang w:val="en-US"/>
        </w:rPr>
        <w:t>Single investors</w:t>
      </w:r>
      <w:r w:rsidR="00914DCC">
        <w:rPr>
          <w:sz w:val="24"/>
          <w:szCs w:val="24"/>
          <w:lang w:val="en-US"/>
        </w:rPr>
        <w:t xml:space="preserve"> </w:t>
      </w:r>
      <w:r w:rsidR="00E5707A">
        <w:rPr>
          <w:sz w:val="24"/>
          <w:szCs w:val="24"/>
          <w:lang w:val="en-US"/>
        </w:rPr>
        <w:t>are free to decide</w:t>
      </w:r>
      <w:r w:rsidRPr="00C377B4">
        <w:rPr>
          <w:sz w:val="24"/>
          <w:szCs w:val="24"/>
          <w:lang w:val="en-US"/>
        </w:rPr>
        <w:t xml:space="preserve"> to access </w:t>
      </w:r>
      <w:r w:rsidR="004C55B9">
        <w:rPr>
          <w:sz w:val="24"/>
          <w:szCs w:val="24"/>
          <w:lang w:val="en-US"/>
        </w:rPr>
        <w:t>or</w:t>
      </w:r>
      <w:r w:rsidRPr="00C377B4">
        <w:rPr>
          <w:sz w:val="24"/>
          <w:szCs w:val="24"/>
          <w:lang w:val="en-US"/>
        </w:rPr>
        <w:t xml:space="preserve"> leave the market</w:t>
      </w:r>
      <w:r w:rsidR="004C55B9">
        <w:rPr>
          <w:sz w:val="24"/>
          <w:szCs w:val="24"/>
          <w:lang w:val="en-US"/>
        </w:rPr>
        <w:t>,</w:t>
      </w:r>
      <w:r w:rsidRPr="00C377B4">
        <w:rPr>
          <w:sz w:val="24"/>
          <w:szCs w:val="24"/>
          <w:lang w:val="en-US"/>
        </w:rPr>
        <w:t xml:space="preserve"> </w:t>
      </w:r>
      <w:proofErr w:type="gramStart"/>
      <w:r w:rsidRPr="00C377B4">
        <w:rPr>
          <w:sz w:val="24"/>
          <w:szCs w:val="24"/>
          <w:lang w:val="en-US"/>
        </w:rPr>
        <w:t>and also</w:t>
      </w:r>
      <w:proofErr w:type="gramEnd"/>
      <w:r w:rsidRPr="00C377B4">
        <w:rPr>
          <w:sz w:val="24"/>
          <w:szCs w:val="24"/>
          <w:lang w:val="en-US"/>
        </w:rPr>
        <w:t xml:space="preserve"> the collective nature of an open-ended investment fund helps to mitigate some potential effects coming from multiple investors’ decision</w:t>
      </w:r>
      <w:r w:rsidR="00117038">
        <w:rPr>
          <w:sz w:val="24"/>
          <w:szCs w:val="24"/>
          <w:lang w:val="en-US"/>
        </w:rPr>
        <w:t>s</w:t>
      </w:r>
      <w:r w:rsidRPr="00C377B4">
        <w:rPr>
          <w:sz w:val="24"/>
          <w:szCs w:val="24"/>
          <w:lang w:val="en-US"/>
        </w:rPr>
        <w:t xml:space="preserve"> to redeem their share</w:t>
      </w:r>
      <w:r w:rsidR="00784593">
        <w:rPr>
          <w:sz w:val="24"/>
          <w:szCs w:val="24"/>
          <w:lang w:val="en-US"/>
        </w:rPr>
        <w:t>s,</w:t>
      </w:r>
      <w:r w:rsidRPr="00C377B4">
        <w:rPr>
          <w:sz w:val="24"/>
          <w:szCs w:val="24"/>
          <w:lang w:val="en-US"/>
        </w:rPr>
        <w:t xml:space="preserve"> as they balance between who want</w:t>
      </w:r>
      <w:r w:rsidR="00FA39D7">
        <w:rPr>
          <w:sz w:val="24"/>
          <w:szCs w:val="24"/>
          <w:lang w:val="en-US"/>
        </w:rPr>
        <w:t>s</w:t>
      </w:r>
      <w:r w:rsidRPr="00C377B4">
        <w:rPr>
          <w:sz w:val="24"/>
          <w:szCs w:val="24"/>
          <w:lang w:val="en-US"/>
        </w:rPr>
        <w:t xml:space="preserve"> to divest and who want</w:t>
      </w:r>
      <w:r w:rsidR="00FA39D7">
        <w:rPr>
          <w:sz w:val="24"/>
          <w:szCs w:val="24"/>
          <w:lang w:val="en-US"/>
        </w:rPr>
        <w:t>s</w:t>
      </w:r>
      <w:r w:rsidRPr="00C377B4">
        <w:rPr>
          <w:sz w:val="24"/>
          <w:szCs w:val="24"/>
          <w:lang w:val="en-US"/>
        </w:rPr>
        <w:t xml:space="preserve"> to invest or remain exposed in </w:t>
      </w:r>
      <w:proofErr w:type="gramStart"/>
      <w:r w:rsidRPr="00C377B4">
        <w:rPr>
          <w:sz w:val="24"/>
          <w:szCs w:val="24"/>
          <w:lang w:val="en-US"/>
        </w:rPr>
        <w:t>financial</w:t>
      </w:r>
      <w:proofErr w:type="gramEnd"/>
      <w:r w:rsidRPr="00C377B4">
        <w:rPr>
          <w:sz w:val="24"/>
          <w:szCs w:val="24"/>
          <w:lang w:val="en-US"/>
        </w:rPr>
        <w:t xml:space="preserve"> market. Especially in case of stressed market conditions, advisory to retail investors and bilateral exchanges with the institutional one</w:t>
      </w:r>
      <w:r w:rsidR="00E2536A">
        <w:rPr>
          <w:sz w:val="24"/>
          <w:szCs w:val="24"/>
          <w:lang w:val="en-US"/>
        </w:rPr>
        <w:t>s</w:t>
      </w:r>
      <w:r w:rsidRPr="00C377B4">
        <w:rPr>
          <w:sz w:val="24"/>
          <w:szCs w:val="24"/>
          <w:lang w:val="en-US"/>
        </w:rPr>
        <w:t xml:space="preserve"> are essential elements that might help resilience and the capacity of the investment fund sectors to absorb shocks.</w:t>
      </w:r>
    </w:p>
    <w:p w14:paraId="2CBD8AC7" w14:textId="77777777" w:rsidR="00C377B4" w:rsidRPr="00C377B4" w:rsidRDefault="00C377B4" w:rsidP="00C377B4">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2080DD1C" w14:textId="3FCE07E9" w:rsidR="00B74023" w:rsidRDefault="00C377B4" w:rsidP="00184C17">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C377B4">
        <w:rPr>
          <w:sz w:val="24"/>
          <w:szCs w:val="24"/>
          <w:lang w:val="en-US"/>
        </w:rPr>
        <w:t>It is worth reminding that in open-ended funds</w:t>
      </w:r>
      <w:r w:rsidR="005E5FDD">
        <w:rPr>
          <w:sz w:val="24"/>
          <w:szCs w:val="24"/>
          <w:lang w:val="en-US"/>
        </w:rPr>
        <w:t>,</w:t>
      </w:r>
      <w:r w:rsidRPr="00C377B4">
        <w:rPr>
          <w:sz w:val="24"/>
          <w:szCs w:val="24"/>
          <w:lang w:val="en-US"/>
        </w:rPr>
        <w:t xml:space="preserve"> investors can redeem fund shares on demand, however there is a great diversity that should be duly considered to get an overarching picture of the system. Heterogeneity is across sectors and sub-sectors, on the investment strategy (cash vs derivatives), on the liquidity profile (</w:t>
      </w:r>
      <w:r w:rsidR="00420EFC" w:rsidRPr="00C377B4">
        <w:rPr>
          <w:sz w:val="24"/>
          <w:szCs w:val="24"/>
          <w:lang w:val="en-US"/>
        </w:rPr>
        <w:t>redefining</w:t>
      </w:r>
      <w:r w:rsidRPr="00C377B4">
        <w:rPr>
          <w:sz w:val="24"/>
          <w:szCs w:val="24"/>
          <w:lang w:val="en-US"/>
        </w:rPr>
        <w:t xml:space="preserve"> and maintaining a certain liquidity e.g.,</w:t>
      </w:r>
      <w:r w:rsidR="00E25236">
        <w:rPr>
          <w:sz w:val="24"/>
          <w:szCs w:val="24"/>
          <w:lang w:val="en-US"/>
        </w:rPr>
        <w:t xml:space="preserve"> </w:t>
      </w:r>
      <w:r w:rsidRPr="00C377B4">
        <w:rPr>
          <w:sz w:val="24"/>
          <w:szCs w:val="24"/>
          <w:lang w:val="en-US"/>
        </w:rPr>
        <w:t xml:space="preserve">by adapting their trading patterns to market conditions), on the client base (retail vs institutional) and in case of stress, </w:t>
      </w:r>
      <w:r w:rsidR="005964F4">
        <w:rPr>
          <w:sz w:val="24"/>
          <w:szCs w:val="24"/>
          <w:lang w:val="en-US"/>
        </w:rPr>
        <w:t xml:space="preserve">the liquidation approach and </w:t>
      </w:r>
      <w:r w:rsidRPr="00C377B4">
        <w:rPr>
          <w:sz w:val="24"/>
          <w:szCs w:val="24"/>
          <w:lang w:val="en-US"/>
        </w:rPr>
        <w:t>the LMT</w:t>
      </w:r>
      <w:r w:rsidR="00E25236">
        <w:rPr>
          <w:sz w:val="24"/>
          <w:szCs w:val="24"/>
          <w:lang w:val="en-US"/>
        </w:rPr>
        <w:t>s</w:t>
      </w:r>
      <w:r w:rsidRPr="00C377B4">
        <w:rPr>
          <w:sz w:val="24"/>
          <w:szCs w:val="24"/>
          <w:lang w:val="en-US"/>
        </w:rPr>
        <w:t xml:space="preserve"> </w:t>
      </w:r>
      <w:r w:rsidR="00540BFF">
        <w:rPr>
          <w:sz w:val="24"/>
          <w:szCs w:val="24"/>
          <w:lang w:val="en-US"/>
        </w:rPr>
        <w:t>selected</w:t>
      </w:r>
      <w:r w:rsidRPr="00C377B4">
        <w:rPr>
          <w:sz w:val="24"/>
          <w:szCs w:val="24"/>
          <w:lang w:val="en-US"/>
        </w:rPr>
        <w:t xml:space="preserve">, </w:t>
      </w:r>
      <w:r w:rsidR="00C073C6">
        <w:rPr>
          <w:sz w:val="24"/>
          <w:szCs w:val="24"/>
          <w:lang w:val="en-US"/>
        </w:rPr>
        <w:t>include</w:t>
      </w:r>
      <w:r w:rsidR="002B7D3B">
        <w:rPr>
          <w:sz w:val="24"/>
          <w:szCs w:val="24"/>
          <w:lang w:val="en-US"/>
        </w:rPr>
        <w:t>d</w:t>
      </w:r>
      <w:r w:rsidR="00C073C6">
        <w:rPr>
          <w:sz w:val="24"/>
          <w:szCs w:val="24"/>
          <w:lang w:val="en-US"/>
        </w:rPr>
        <w:t xml:space="preserve"> </w:t>
      </w:r>
      <w:r w:rsidRPr="00C377B4">
        <w:rPr>
          <w:sz w:val="24"/>
          <w:szCs w:val="24"/>
          <w:lang w:val="en-US"/>
        </w:rPr>
        <w:t xml:space="preserve">their </w:t>
      </w:r>
      <w:r w:rsidR="002B7D3B">
        <w:rPr>
          <w:sz w:val="24"/>
          <w:szCs w:val="24"/>
          <w:lang w:val="en-US"/>
        </w:rPr>
        <w:t>calibration</w:t>
      </w:r>
      <w:r w:rsidR="00EF17E0">
        <w:rPr>
          <w:sz w:val="24"/>
          <w:szCs w:val="24"/>
          <w:lang w:val="en-US"/>
        </w:rPr>
        <w:t>.</w:t>
      </w:r>
    </w:p>
    <w:p w14:paraId="00ED0610" w14:textId="77777777" w:rsidR="002A650E" w:rsidRDefault="002A650E" w:rsidP="00184C17">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2BDA89B0" w14:textId="77777777" w:rsidR="007A4181" w:rsidRPr="00C377B4" w:rsidRDefault="007A4181" w:rsidP="007A4181">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79E0FDB9" w14:textId="6277FA09" w:rsidR="007A4181" w:rsidRDefault="007A4181" w:rsidP="007A4181">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lastRenderedPageBreak/>
        <w:t>In this respect, and in consideration of the high regulated nature of EU investment funds, we share the ESMA view</w:t>
      </w:r>
      <w:r>
        <w:rPr>
          <w:rStyle w:val="Rimandonotaapidipagina"/>
          <w:sz w:val="24"/>
          <w:szCs w:val="24"/>
          <w:lang w:val="en-US"/>
        </w:rPr>
        <w:footnoteReference w:id="4"/>
      </w:r>
      <w:r>
        <w:rPr>
          <w:sz w:val="24"/>
          <w:szCs w:val="24"/>
          <w:lang w:val="en-US"/>
        </w:rPr>
        <w:t xml:space="preserve"> that “</w:t>
      </w:r>
      <w:r w:rsidRPr="00B80C02">
        <w:rPr>
          <w:i/>
          <w:iCs/>
          <w:sz w:val="24"/>
          <w:szCs w:val="24"/>
          <w:lang w:val="en-US"/>
        </w:rPr>
        <w:t>we need to be careful and differentiate risks that are macroprudential in nature and need to be addressed by macroprudential tools, from risks resulting from inadequate regulation or lack of proactive supervision and enforcement. Let’s ensure that the macroprudential framework is not there to compensate for loopholes in the regulation and/or supervision</w:t>
      </w:r>
      <w:r>
        <w:rPr>
          <w:sz w:val="24"/>
          <w:szCs w:val="24"/>
          <w:lang w:val="en-US"/>
        </w:rPr>
        <w:t>”.</w:t>
      </w:r>
    </w:p>
    <w:p w14:paraId="6B33E1D3" w14:textId="77777777" w:rsidR="00806C9A" w:rsidRPr="00996921" w:rsidRDefault="00806C9A" w:rsidP="00195165">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bookmarkEnd w:id="1"/>
    <w:p w14:paraId="7005EDEB" w14:textId="77777777" w:rsidR="00A46A75" w:rsidRDefault="00A46A75" w:rsidP="002421E2">
      <w:pPr>
        <w:pBdr>
          <w:top w:val="nil"/>
          <w:left w:val="nil"/>
          <w:bottom w:val="nil"/>
          <w:right w:val="nil"/>
          <w:between w:val="nil"/>
          <w:bar w:val="nil"/>
        </w:pBdr>
        <w:spacing w:after="0" w:line="280" w:lineRule="exact"/>
        <w:jc w:val="both"/>
        <w:rPr>
          <w:b/>
          <w:bCs/>
          <w:sz w:val="24"/>
          <w:szCs w:val="24"/>
          <w:lang w:val="en-US"/>
        </w:rPr>
      </w:pPr>
    </w:p>
    <w:p w14:paraId="0DCAACEF" w14:textId="77777777" w:rsidR="00BE6327" w:rsidRDefault="00BE6327" w:rsidP="00BE6327">
      <w:pPr>
        <w:pBdr>
          <w:top w:val="nil"/>
          <w:left w:val="nil"/>
          <w:bottom w:val="nil"/>
          <w:right w:val="nil"/>
          <w:between w:val="nil"/>
          <w:bar w:val="nil"/>
        </w:pBdr>
        <w:spacing w:after="0" w:line="280" w:lineRule="exact"/>
        <w:jc w:val="both"/>
        <w:rPr>
          <w:b/>
          <w:bCs/>
          <w:sz w:val="24"/>
          <w:szCs w:val="24"/>
          <w:lang w:val="en-US"/>
        </w:rPr>
      </w:pPr>
      <w:r w:rsidRPr="00422904">
        <w:rPr>
          <w:b/>
          <w:bCs/>
          <w:sz w:val="24"/>
          <w:szCs w:val="24"/>
          <w:lang w:val="en-US"/>
        </w:rPr>
        <w:t>Question 2. What are the most significant risks for credit institutions stemming from their exposures to NBFIs that you are currently observing? Please provide concrete examples.</w:t>
      </w:r>
    </w:p>
    <w:p w14:paraId="46FC2289" w14:textId="77777777" w:rsidR="00BE6327" w:rsidRPr="00996921" w:rsidRDefault="00BE6327" w:rsidP="00BE6327">
      <w:pPr>
        <w:pBdr>
          <w:top w:val="nil"/>
          <w:left w:val="nil"/>
          <w:bottom w:val="nil"/>
          <w:right w:val="nil"/>
          <w:between w:val="nil"/>
          <w:bar w:val="nil"/>
        </w:pBdr>
        <w:spacing w:after="0" w:line="280" w:lineRule="exact"/>
        <w:jc w:val="both"/>
        <w:rPr>
          <w:b/>
          <w:bCs/>
          <w:sz w:val="24"/>
          <w:szCs w:val="24"/>
          <w:lang w:val="en-US"/>
        </w:rPr>
      </w:pPr>
    </w:p>
    <w:p w14:paraId="7F231B3A" w14:textId="6BD10BE6" w:rsidR="003A76D0" w:rsidRDefault="003A76D0" w:rsidP="00BE6327">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458074A3" w14:textId="77777777" w:rsidR="003A76D0" w:rsidRDefault="003A76D0" w:rsidP="00BE6327">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727CAF08" w14:textId="77777777" w:rsidR="00266C92" w:rsidRPr="00996921" w:rsidRDefault="00266C92" w:rsidP="00BE6327">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41FAFBD2" w14:textId="77777777" w:rsidR="00BE6327" w:rsidRPr="00BE6327" w:rsidRDefault="00BE6327" w:rsidP="00BE6327">
      <w:pPr>
        <w:pBdr>
          <w:top w:val="nil"/>
          <w:left w:val="nil"/>
          <w:bottom w:val="nil"/>
          <w:right w:val="nil"/>
          <w:between w:val="nil"/>
          <w:bar w:val="nil"/>
        </w:pBdr>
        <w:spacing w:after="0" w:line="280" w:lineRule="exact"/>
        <w:jc w:val="both"/>
        <w:rPr>
          <w:b/>
          <w:bCs/>
          <w:sz w:val="24"/>
          <w:szCs w:val="24"/>
          <w:lang w:val="en-US"/>
        </w:rPr>
      </w:pPr>
    </w:p>
    <w:p w14:paraId="3359089E" w14:textId="77777777" w:rsidR="00BE6327" w:rsidRDefault="00BE6327" w:rsidP="00BE6327">
      <w:pPr>
        <w:pBdr>
          <w:top w:val="nil"/>
          <w:left w:val="nil"/>
          <w:bottom w:val="nil"/>
          <w:right w:val="nil"/>
          <w:between w:val="nil"/>
          <w:bar w:val="nil"/>
        </w:pBdr>
        <w:spacing w:after="0" w:line="280" w:lineRule="exact"/>
        <w:jc w:val="both"/>
        <w:rPr>
          <w:b/>
          <w:bCs/>
          <w:sz w:val="24"/>
          <w:szCs w:val="24"/>
          <w:lang w:val="en-US"/>
        </w:rPr>
      </w:pPr>
      <w:r w:rsidRPr="00BE6327">
        <w:rPr>
          <w:b/>
          <w:bCs/>
          <w:sz w:val="24"/>
          <w:szCs w:val="24"/>
          <w:lang w:val="en-US"/>
        </w:rPr>
        <w:t xml:space="preserve">Question 3. To what extent could the failure of an NBFI affect the provision of critical functions to the real economy or the financial system that cannot easily be replaced? Please explain </w:t>
      </w:r>
      <w:proofErr w:type="gramStart"/>
      <w:r w:rsidRPr="00BE6327">
        <w:rPr>
          <w:b/>
          <w:bCs/>
          <w:sz w:val="24"/>
          <w:szCs w:val="24"/>
          <w:lang w:val="en-US"/>
        </w:rPr>
        <w:t>in particular to</w:t>
      </w:r>
      <w:proofErr w:type="gramEnd"/>
      <w:r w:rsidRPr="00BE6327">
        <w:rPr>
          <w:b/>
          <w:bCs/>
          <w:sz w:val="24"/>
          <w:szCs w:val="24"/>
          <w:lang w:val="en-US"/>
        </w:rPr>
        <w:t xml:space="preserve"> which NBFI sector, part of the financial system and critical function you refer to, and if and how you believe such </w:t>
      </w:r>
      <w:proofErr w:type="gramStart"/>
      <w:r w:rsidRPr="00BE6327">
        <w:rPr>
          <w:b/>
          <w:bCs/>
          <w:sz w:val="24"/>
          <w:szCs w:val="24"/>
          <w:lang w:val="en-US"/>
        </w:rPr>
        <w:t>knock</w:t>
      </w:r>
      <w:proofErr w:type="gramEnd"/>
      <w:r w:rsidRPr="00BE6327">
        <w:rPr>
          <w:b/>
          <w:bCs/>
          <w:sz w:val="24"/>
          <w:szCs w:val="24"/>
          <w:lang w:val="en-US"/>
        </w:rPr>
        <w:t>-on effect could be mitigated.</w:t>
      </w:r>
    </w:p>
    <w:p w14:paraId="66FE8BF5" w14:textId="77777777" w:rsidR="00BE6327" w:rsidRPr="00996921" w:rsidRDefault="00BE6327" w:rsidP="00BE6327">
      <w:pPr>
        <w:pBdr>
          <w:top w:val="nil"/>
          <w:left w:val="nil"/>
          <w:bottom w:val="nil"/>
          <w:right w:val="nil"/>
          <w:between w:val="nil"/>
          <w:bar w:val="nil"/>
        </w:pBdr>
        <w:spacing w:after="0" w:line="280" w:lineRule="exact"/>
        <w:jc w:val="both"/>
        <w:rPr>
          <w:b/>
          <w:bCs/>
          <w:sz w:val="24"/>
          <w:szCs w:val="24"/>
          <w:lang w:val="en-US"/>
        </w:rPr>
      </w:pPr>
    </w:p>
    <w:p w14:paraId="6E0F3704" w14:textId="000204B6" w:rsidR="00017C21" w:rsidRDefault="00017C21" w:rsidP="00BE6327">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1A58EEB7" w14:textId="7ACC9A79" w:rsidR="00E6127F" w:rsidRDefault="00E6127F" w:rsidP="00C73667">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Referring</w:t>
      </w:r>
      <w:r w:rsidR="003C3993">
        <w:rPr>
          <w:sz w:val="24"/>
          <w:szCs w:val="24"/>
          <w:lang w:val="en-US"/>
        </w:rPr>
        <w:t xml:space="preserve"> to the fund sector, i</w:t>
      </w:r>
      <w:r w:rsidR="0027430B">
        <w:rPr>
          <w:sz w:val="24"/>
          <w:szCs w:val="24"/>
          <w:lang w:val="en-US"/>
        </w:rPr>
        <w:t>nsolvencies are unlikely to occur.</w:t>
      </w:r>
      <w:r w:rsidR="00C73667">
        <w:rPr>
          <w:sz w:val="24"/>
          <w:szCs w:val="24"/>
          <w:lang w:val="en-US"/>
        </w:rPr>
        <w:t xml:space="preserve"> </w:t>
      </w:r>
      <w:r w:rsidR="00C73667" w:rsidRPr="00D419D0">
        <w:rPr>
          <w:sz w:val="24"/>
          <w:szCs w:val="24"/>
          <w:lang w:val="en-US"/>
        </w:rPr>
        <w:t>Unlike debt-financed institutions</w:t>
      </w:r>
      <w:r w:rsidR="00C73667">
        <w:rPr>
          <w:sz w:val="24"/>
          <w:szCs w:val="24"/>
          <w:lang w:val="en-US"/>
        </w:rPr>
        <w:t xml:space="preserve"> </w:t>
      </w:r>
      <w:r w:rsidR="00C73667" w:rsidRPr="00BF01BC">
        <w:rPr>
          <w:sz w:val="24"/>
          <w:szCs w:val="24"/>
          <w:lang w:val="en-US"/>
        </w:rPr>
        <w:t>(incl. deposits for banks)</w:t>
      </w:r>
      <w:r w:rsidR="00C73667" w:rsidRPr="00D419D0">
        <w:rPr>
          <w:sz w:val="24"/>
          <w:szCs w:val="24"/>
          <w:lang w:val="en-US"/>
        </w:rPr>
        <w:t xml:space="preserve">, </w:t>
      </w:r>
      <w:r w:rsidR="00C73667">
        <w:rPr>
          <w:sz w:val="24"/>
          <w:szCs w:val="24"/>
          <w:lang w:val="en-US"/>
        </w:rPr>
        <w:t xml:space="preserve">investment </w:t>
      </w:r>
      <w:r w:rsidR="00C73667" w:rsidRPr="00D419D0">
        <w:rPr>
          <w:sz w:val="24"/>
          <w:szCs w:val="24"/>
          <w:lang w:val="en-US"/>
        </w:rPr>
        <w:t xml:space="preserve">funds raise capital through </w:t>
      </w:r>
      <w:r w:rsidR="00C73667">
        <w:rPr>
          <w:sz w:val="24"/>
          <w:szCs w:val="24"/>
          <w:lang w:val="en-US"/>
        </w:rPr>
        <w:t>“</w:t>
      </w:r>
      <w:r w:rsidR="00C73667" w:rsidRPr="00D419D0">
        <w:rPr>
          <w:sz w:val="24"/>
          <w:szCs w:val="24"/>
          <w:lang w:val="en-US"/>
        </w:rPr>
        <w:t>equity</w:t>
      </w:r>
      <w:r w:rsidR="00C73667">
        <w:rPr>
          <w:sz w:val="24"/>
          <w:szCs w:val="24"/>
          <w:lang w:val="en-US"/>
        </w:rPr>
        <w:t>”</w:t>
      </w:r>
      <w:r w:rsidR="00C73667" w:rsidRPr="00D419D0">
        <w:rPr>
          <w:sz w:val="24"/>
          <w:szCs w:val="24"/>
          <w:lang w:val="en-US"/>
        </w:rPr>
        <w:t xml:space="preserve"> issuance</w:t>
      </w:r>
      <w:r w:rsidR="00C73667">
        <w:rPr>
          <w:sz w:val="24"/>
          <w:szCs w:val="24"/>
          <w:lang w:val="en-US"/>
        </w:rPr>
        <w:t>, their asset are segregated and not exposed to asset manager balance sheets. The net asset value (NAV)</w:t>
      </w:r>
      <w:r w:rsidR="00C73667" w:rsidRPr="00D419D0">
        <w:rPr>
          <w:sz w:val="24"/>
          <w:szCs w:val="24"/>
          <w:lang w:val="en-US"/>
        </w:rPr>
        <w:t xml:space="preserve"> fluctuate</w:t>
      </w:r>
      <w:r w:rsidR="0096403F">
        <w:rPr>
          <w:sz w:val="24"/>
          <w:szCs w:val="24"/>
          <w:lang w:val="en-US"/>
        </w:rPr>
        <w:t>s</w:t>
      </w:r>
      <w:r w:rsidR="00C73667" w:rsidRPr="00D419D0">
        <w:rPr>
          <w:sz w:val="24"/>
          <w:szCs w:val="24"/>
          <w:lang w:val="en-US"/>
        </w:rPr>
        <w:t xml:space="preserve"> on market conditions, mitigating the risk of a systemic shock</w:t>
      </w:r>
      <w:r w:rsidR="00C73667">
        <w:rPr>
          <w:sz w:val="24"/>
          <w:szCs w:val="24"/>
          <w:lang w:val="en-US"/>
        </w:rPr>
        <w:t xml:space="preserve"> and they are typically not highly </w:t>
      </w:r>
      <w:r w:rsidR="004875DD">
        <w:rPr>
          <w:sz w:val="24"/>
          <w:szCs w:val="24"/>
          <w:lang w:val="en-US"/>
        </w:rPr>
        <w:t>leveraged</w:t>
      </w:r>
      <w:r w:rsidR="00C73667">
        <w:rPr>
          <w:sz w:val="24"/>
          <w:szCs w:val="24"/>
          <w:lang w:val="en-US"/>
        </w:rPr>
        <w:t xml:space="preserve">. </w:t>
      </w:r>
    </w:p>
    <w:p w14:paraId="0FB01891" w14:textId="77777777" w:rsidR="00E6127F" w:rsidRDefault="00E6127F" w:rsidP="00C73667">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5CAFB9DD" w14:textId="7786F69F" w:rsidR="00C73667" w:rsidRDefault="00C73667" w:rsidP="00C73667">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Over the years, t</w:t>
      </w:r>
      <w:r w:rsidRPr="004145EA">
        <w:rPr>
          <w:sz w:val="24"/>
          <w:szCs w:val="24"/>
          <w:lang w:val="en-US"/>
        </w:rPr>
        <w:t>he EU has introduced many safeguards to ensure that investment funds would not contribute to the build-up of systemic risks</w:t>
      </w:r>
      <w:r>
        <w:rPr>
          <w:sz w:val="24"/>
          <w:szCs w:val="24"/>
          <w:lang w:val="en-US"/>
        </w:rPr>
        <w:t xml:space="preserve"> (please see below).</w:t>
      </w:r>
    </w:p>
    <w:p w14:paraId="61F98D7F" w14:textId="77777777" w:rsidR="00C83F9C" w:rsidRDefault="00C83F9C" w:rsidP="00C73667">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718E8AC1" w14:textId="50850180" w:rsidR="00300222" w:rsidRPr="004145EA" w:rsidRDefault="00BB2895" w:rsidP="004145EA">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 xml:space="preserve">EU </w:t>
      </w:r>
      <w:r w:rsidR="00204516">
        <w:rPr>
          <w:sz w:val="24"/>
          <w:szCs w:val="24"/>
          <w:lang w:val="en-US"/>
        </w:rPr>
        <w:t>regulatory framework:</w:t>
      </w:r>
    </w:p>
    <w:p w14:paraId="64CB347E" w14:textId="0FD42C34" w:rsidR="004145EA" w:rsidRPr="004145EA" w:rsidRDefault="004145EA" w:rsidP="004145EA">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4145EA">
        <w:rPr>
          <w:sz w:val="24"/>
          <w:szCs w:val="24"/>
          <w:lang w:val="en-US"/>
        </w:rPr>
        <w:t>•</w:t>
      </w:r>
      <w:r w:rsidRPr="004145EA">
        <w:rPr>
          <w:sz w:val="24"/>
          <w:szCs w:val="24"/>
          <w:lang w:val="en-US"/>
        </w:rPr>
        <w:tab/>
        <w:t xml:space="preserve">All investment funds, whether UCITS, MMFs, or AIFs, are directly or indirectly regulated products. It notably means that these funds must obtain </w:t>
      </w:r>
      <w:proofErr w:type="gramStart"/>
      <w:r w:rsidRPr="004145EA">
        <w:rPr>
          <w:sz w:val="24"/>
          <w:szCs w:val="24"/>
          <w:lang w:val="en-US"/>
        </w:rPr>
        <w:t xml:space="preserve">an </w:t>
      </w:r>
      <w:proofErr w:type="spellStart"/>
      <w:r w:rsidRPr="004145EA">
        <w:rPr>
          <w:sz w:val="24"/>
          <w:szCs w:val="24"/>
          <w:lang w:val="en-US"/>
        </w:rPr>
        <w:t>authorisation</w:t>
      </w:r>
      <w:proofErr w:type="spellEnd"/>
      <w:proofErr w:type="gramEnd"/>
      <w:r w:rsidRPr="004145EA">
        <w:rPr>
          <w:sz w:val="24"/>
          <w:szCs w:val="24"/>
          <w:lang w:val="en-US"/>
        </w:rPr>
        <w:t xml:space="preserve">, or at the very least notify their supervisors in a few cases, to market their units or shares to investors.  </w:t>
      </w:r>
    </w:p>
    <w:p w14:paraId="62A9BA83" w14:textId="34CE9ADB" w:rsidR="004145EA" w:rsidRPr="004145EA" w:rsidRDefault="004145EA" w:rsidP="004145EA">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4145EA">
        <w:rPr>
          <w:sz w:val="24"/>
          <w:szCs w:val="24"/>
          <w:lang w:val="en-US"/>
        </w:rPr>
        <w:t>•</w:t>
      </w:r>
      <w:r w:rsidRPr="004145EA">
        <w:rPr>
          <w:sz w:val="24"/>
          <w:szCs w:val="24"/>
          <w:lang w:val="en-US"/>
        </w:rPr>
        <w:tab/>
        <w:t xml:space="preserve">UCITS funds are subject to several product rules that reduce financial stability risks (e.g., asset eligibility rules, concentration limits, borrowing prohibition, and leverage limits).  MMFs </w:t>
      </w:r>
      <w:r w:rsidR="005A2113">
        <w:rPr>
          <w:sz w:val="24"/>
          <w:szCs w:val="24"/>
          <w:lang w:val="en-US"/>
        </w:rPr>
        <w:t>have a specific regime (MMFR)</w:t>
      </w:r>
      <w:r w:rsidRPr="004145EA">
        <w:rPr>
          <w:sz w:val="24"/>
          <w:szCs w:val="24"/>
          <w:lang w:val="en-US"/>
        </w:rPr>
        <w:t xml:space="preserve">, i.e. with dedicated liquidity requirements and concentration limits, along with an ad hoc stress-testing regime whose parameters are updated annually by ESMA. Finally, while AIFs have more leeway, they nonetheless </w:t>
      </w:r>
      <w:proofErr w:type="gramStart"/>
      <w:r w:rsidRPr="004145EA">
        <w:rPr>
          <w:sz w:val="24"/>
          <w:szCs w:val="24"/>
          <w:lang w:val="en-US"/>
        </w:rPr>
        <w:t>have to</w:t>
      </w:r>
      <w:proofErr w:type="gramEnd"/>
      <w:r w:rsidRPr="004145EA">
        <w:rPr>
          <w:sz w:val="24"/>
          <w:szCs w:val="24"/>
          <w:lang w:val="en-US"/>
        </w:rPr>
        <w:t xml:space="preserve"> comply with self-imposed leverage limits, which usually remain quite low. </w:t>
      </w:r>
    </w:p>
    <w:p w14:paraId="24652449" w14:textId="221010FE" w:rsidR="004145EA" w:rsidRPr="004145EA" w:rsidRDefault="004145EA" w:rsidP="004145EA">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4145EA">
        <w:rPr>
          <w:sz w:val="24"/>
          <w:szCs w:val="24"/>
          <w:lang w:val="en-US"/>
        </w:rPr>
        <w:t>•</w:t>
      </w:r>
      <w:r w:rsidRPr="004145EA">
        <w:rPr>
          <w:sz w:val="24"/>
          <w:szCs w:val="24"/>
          <w:lang w:val="en-US"/>
        </w:rPr>
        <w:tab/>
        <w:t xml:space="preserve">management companies </w:t>
      </w:r>
      <w:proofErr w:type="gramStart"/>
      <w:r w:rsidR="00D05B99">
        <w:rPr>
          <w:sz w:val="24"/>
          <w:szCs w:val="24"/>
          <w:lang w:val="en-US"/>
        </w:rPr>
        <w:t>have to</w:t>
      </w:r>
      <w:proofErr w:type="gramEnd"/>
      <w:r w:rsidR="00D05B99">
        <w:rPr>
          <w:sz w:val="24"/>
          <w:szCs w:val="24"/>
          <w:lang w:val="en-US"/>
        </w:rPr>
        <w:t xml:space="preserve"> </w:t>
      </w:r>
      <w:r w:rsidRPr="004145EA">
        <w:rPr>
          <w:sz w:val="24"/>
          <w:szCs w:val="24"/>
          <w:lang w:val="en-US"/>
        </w:rPr>
        <w:t>maintain sound liquidity management policies</w:t>
      </w:r>
      <w:r w:rsidR="007D5DAF">
        <w:rPr>
          <w:sz w:val="24"/>
          <w:szCs w:val="24"/>
          <w:lang w:val="en-US"/>
        </w:rPr>
        <w:t xml:space="preserve">, </w:t>
      </w:r>
      <w:r w:rsidRPr="004145EA">
        <w:rPr>
          <w:sz w:val="24"/>
          <w:szCs w:val="24"/>
          <w:lang w:val="en-US"/>
        </w:rPr>
        <w:t xml:space="preserve">ensure that their investment strategy and redemption policy are </w:t>
      </w:r>
      <w:r w:rsidRPr="004145EA">
        <w:rPr>
          <w:sz w:val="24"/>
          <w:szCs w:val="24"/>
          <w:lang w:val="en-US"/>
        </w:rPr>
        <w:lastRenderedPageBreak/>
        <w:t>consistent</w:t>
      </w:r>
      <w:r w:rsidR="007D5DAF">
        <w:rPr>
          <w:sz w:val="24"/>
          <w:szCs w:val="24"/>
          <w:lang w:val="en-US"/>
        </w:rPr>
        <w:t xml:space="preserve">, </w:t>
      </w:r>
      <w:r w:rsidRPr="004145EA">
        <w:rPr>
          <w:sz w:val="24"/>
          <w:szCs w:val="24"/>
          <w:lang w:val="en-US"/>
        </w:rPr>
        <w:t>conduct regular stress testing exercises to ensure with sufficient certainty that funds can remain resilient even during stressed market conditions.</w:t>
      </w:r>
      <w:r w:rsidR="003811C1">
        <w:rPr>
          <w:sz w:val="24"/>
          <w:szCs w:val="24"/>
          <w:lang w:val="en-US"/>
        </w:rPr>
        <w:t xml:space="preserve"> In the next future</w:t>
      </w:r>
      <w:r w:rsidR="00A926A5">
        <w:rPr>
          <w:sz w:val="24"/>
          <w:szCs w:val="24"/>
          <w:lang w:val="en-US"/>
        </w:rPr>
        <w:t xml:space="preserve">, they </w:t>
      </w:r>
      <w:r w:rsidR="005A6C8A">
        <w:rPr>
          <w:sz w:val="24"/>
          <w:szCs w:val="24"/>
          <w:lang w:val="en-US"/>
        </w:rPr>
        <w:t xml:space="preserve">will </w:t>
      </w:r>
      <w:r w:rsidR="00A926A5">
        <w:rPr>
          <w:sz w:val="24"/>
          <w:szCs w:val="24"/>
          <w:lang w:val="en-US"/>
        </w:rPr>
        <w:t xml:space="preserve">all </w:t>
      </w:r>
      <w:proofErr w:type="gramStart"/>
      <w:r w:rsidR="00A926A5">
        <w:rPr>
          <w:sz w:val="24"/>
          <w:szCs w:val="24"/>
          <w:lang w:val="en-US"/>
        </w:rPr>
        <w:t>have</w:t>
      </w:r>
      <w:r w:rsidR="005A6C8A">
        <w:rPr>
          <w:sz w:val="24"/>
          <w:szCs w:val="24"/>
          <w:lang w:val="en-US"/>
        </w:rPr>
        <w:t>,</w:t>
      </w:r>
      <w:proofErr w:type="gramEnd"/>
      <w:r w:rsidR="005A6C8A">
        <w:rPr>
          <w:sz w:val="24"/>
          <w:szCs w:val="24"/>
          <w:lang w:val="en-US"/>
        </w:rPr>
        <w:t xml:space="preserve"> at the minimum, two </w:t>
      </w:r>
      <w:r w:rsidR="00A926A5">
        <w:rPr>
          <w:sz w:val="24"/>
          <w:szCs w:val="24"/>
          <w:lang w:val="en-US"/>
        </w:rPr>
        <w:t>LMT</w:t>
      </w:r>
      <w:r w:rsidR="005A6C8A">
        <w:rPr>
          <w:sz w:val="24"/>
          <w:szCs w:val="24"/>
          <w:lang w:val="en-US"/>
        </w:rPr>
        <w:t>s</w:t>
      </w:r>
      <w:r w:rsidR="00A926A5">
        <w:rPr>
          <w:sz w:val="24"/>
          <w:szCs w:val="24"/>
          <w:lang w:val="en-US"/>
        </w:rPr>
        <w:t xml:space="preserve"> </w:t>
      </w:r>
      <w:proofErr w:type="gramStart"/>
      <w:r w:rsidR="00A926A5">
        <w:rPr>
          <w:sz w:val="24"/>
          <w:szCs w:val="24"/>
          <w:lang w:val="en-US"/>
        </w:rPr>
        <w:t>if</w:t>
      </w:r>
      <w:proofErr w:type="gramEnd"/>
      <w:r w:rsidR="00A926A5">
        <w:rPr>
          <w:sz w:val="24"/>
          <w:szCs w:val="24"/>
          <w:lang w:val="en-US"/>
        </w:rPr>
        <w:t xml:space="preserve"> are not MMF</w:t>
      </w:r>
      <w:r w:rsidR="00D04A0A">
        <w:rPr>
          <w:sz w:val="24"/>
          <w:szCs w:val="24"/>
          <w:lang w:val="en-US"/>
        </w:rPr>
        <w:t>.</w:t>
      </w:r>
      <w:r w:rsidR="00D04A0A" w:rsidRPr="004145EA">
        <w:rPr>
          <w:sz w:val="24"/>
          <w:szCs w:val="24"/>
          <w:lang w:val="en-US"/>
        </w:rPr>
        <w:t xml:space="preserve"> </w:t>
      </w:r>
    </w:p>
    <w:p w14:paraId="11DE2DA1" w14:textId="1304C773" w:rsidR="004145EA" w:rsidRDefault="004145EA" w:rsidP="004145EA">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4145EA">
        <w:rPr>
          <w:sz w:val="24"/>
          <w:szCs w:val="24"/>
          <w:lang w:val="en-US"/>
        </w:rPr>
        <w:t>•</w:t>
      </w:r>
      <w:r w:rsidRPr="004145EA">
        <w:rPr>
          <w:sz w:val="24"/>
          <w:szCs w:val="24"/>
          <w:lang w:val="en-US"/>
        </w:rPr>
        <w:tab/>
        <w:t xml:space="preserve">National Competent Authorities have a wide array of supervisory powers that they can use to address well-documented financial stability threats: they can conduct on-site or off-site investigations, require the cessation of any practice that is contrary to applicable rules, introduce leverage limits, suspend the issue or redemption of shares, and even withdraw </w:t>
      </w:r>
      <w:proofErr w:type="gramStart"/>
      <w:r w:rsidRPr="004145EA">
        <w:rPr>
          <w:sz w:val="24"/>
          <w:szCs w:val="24"/>
          <w:lang w:val="en-US"/>
        </w:rPr>
        <w:t xml:space="preserve">an </w:t>
      </w:r>
      <w:proofErr w:type="spellStart"/>
      <w:r w:rsidRPr="004145EA">
        <w:rPr>
          <w:sz w:val="24"/>
          <w:szCs w:val="24"/>
          <w:lang w:val="en-US"/>
        </w:rPr>
        <w:t>authorisation</w:t>
      </w:r>
      <w:proofErr w:type="spellEnd"/>
      <w:proofErr w:type="gramEnd"/>
      <w:r w:rsidRPr="004145EA">
        <w:rPr>
          <w:sz w:val="24"/>
          <w:szCs w:val="24"/>
          <w:lang w:val="en-US"/>
        </w:rPr>
        <w:t xml:space="preserve"> granted to a UCITS or a management company.</w:t>
      </w:r>
    </w:p>
    <w:p w14:paraId="05209BDA" w14:textId="77777777" w:rsidR="003474F1" w:rsidRDefault="003474F1" w:rsidP="00BE6327">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0AB9FA73" w14:textId="402AAA5D" w:rsidR="00BE17C9" w:rsidRDefault="00BE17C9" w:rsidP="00BE6327">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1B97A33F" w14:textId="77777777" w:rsidR="00BE6327" w:rsidRDefault="00BE6327" w:rsidP="00BE6327">
      <w:pPr>
        <w:pBdr>
          <w:top w:val="nil"/>
          <w:left w:val="nil"/>
          <w:bottom w:val="nil"/>
          <w:right w:val="nil"/>
          <w:between w:val="nil"/>
          <w:bar w:val="nil"/>
        </w:pBdr>
        <w:spacing w:after="0" w:line="280" w:lineRule="exact"/>
        <w:jc w:val="both"/>
        <w:rPr>
          <w:b/>
          <w:bCs/>
          <w:sz w:val="24"/>
          <w:szCs w:val="24"/>
          <w:lang w:val="en-US"/>
        </w:rPr>
      </w:pPr>
    </w:p>
    <w:p w14:paraId="79AC6D49" w14:textId="77777777" w:rsidR="00BE6327" w:rsidRDefault="00BE6327" w:rsidP="00BE6327">
      <w:pPr>
        <w:pBdr>
          <w:top w:val="nil"/>
          <w:left w:val="nil"/>
          <w:bottom w:val="nil"/>
          <w:right w:val="nil"/>
          <w:between w:val="nil"/>
          <w:bar w:val="nil"/>
        </w:pBdr>
        <w:spacing w:after="0" w:line="280" w:lineRule="exact"/>
        <w:jc w:val="both"/>
        <w:rPr>
          <w:b/>
          <w:bCs/>
          <w:sz w:val="24"/>
          <w:szCs w:val="24"/>
          <w:lang w:val="en-US"/>
        </w:rPr>
      </w:pPr>
      <w:r w:rsidRPr="00BE6327">
        <w:rPr>
          <w:b/>
          <w:bCs/>
          <w:sz w:val="24"/>
          <w:szCs w:val="24"/>
          <w:lang w:val="en-US"/>
        </w:rPr>
        <w:t xml:space="preserve">Question 4. Where in the NBFI sectors could systemic liquidity risk most likely </w:t>
      </w:r>
      <w:proofErr w:type="spellStart"/>
      <w:r w:rsidRPr="00BE6327">
        <w:rPr>
          <w:b/>
          <w:bCs/>
          <w:sz w:val="24"/>
          <w:szCs w:val="24"/>
          <w:lang w:val="en-US"/>
        </w:rPr>
        <w:t>materialise</w:t>
      </w:r>
      <w:proofErr w:type="spellEnd"/>
      <w:r w:rsidRPr="00BE6327">
        <w:rPr>
          <w:b/>
          <w:bCs/>
          <w:sz w:val="24"/>
          <w:szCs w:val="24"/>
          <w:lang w:val="en-US"/>
        </w:rPr>
        <w:t xml:space="preserve"> and how? Which specific transmission channels of liquidity risk would be most relevant for NBFI? Please provide concrete examples.</w:t>
      </w:r>
    </w:p>
    <w:p w14:paraId="5A1DD58A" w14:textId="77777777" w:rsidR="004F7BA3" w:rsidRPr="00996921" w:rsidRDefault="004F7BA3" w:rsidP="004F7BA3">
      <w:pPr>
        <w:pBdr>
          <w:top w:val="nil"/>
          <w:left w:val="nil"/>
          <w:bottom w:val="nil"/>
          <w:right w:val="nil"/>
          <w:between w:val="nil"/>
          <w:bar w:val="nil"/>
        </w:pBdr>
        <w:spacing w:after="0" w:line="280" w:lineRule="exact"/>
        <w:jc w:val="both"/>
        <w:rPr>
          <w:b/>
          <w:bCs/>
          <w:sz w:val="24"/>
          <w:szCs w:val="24"/>
          <w:lang w:val="en-US"/>
        </w:rPr>
      </w:pPr>
    </w:p>
    <w:p w14:paraId="3DF9FF27" w14:textId="77777777" w:rsidR="00E4639E" w:rsidRDefault="00E4639E" w:rsidP="009A5851">
      <w:pPr>
        <w:pBdr>
          <w:top w:val="single" w:sz="4" w:space="1" w:color="auto"/>
          <w:left w:val="single" w:sz="4" w:space="1" w:color="auto"/>
          <w:bottom w:val="single" w:sz="4" w:space="1" w:color="auto"/>
          <w:right w:val="single" w:sz="4" w:space="0" w:color="auto"/>
          <w:between w:val="nil"/>
          <w:bar w:val="nil"/>
        </w:pBdr>
        <w:shd w:val="clear" w:color="auto" w:fill="D9E2F3" w:themeFill="accent1" w:themeFillTint="33"/>
        <w:spacing w:after="0" w:line="280" w:lineRule="exact"/>
        <w:jc w:val="both"/>
        <w:rPr>
          <w:sz w:val="24"/>
          <w:szCs w:val="24"/>
          <w:lang w:val="en-US"/>
        </w:rPr>
      </w:pPr>
    </w:p>
    <w:p w14:paraId="6D9C9C4E" w14:textId="3FDBF9A6" w:rsidR="00C936E4" w:rsidRPr="00CF38EC" w:rsidRDefault="008370AD" w:rsidP="00C936E4">
      <w:pPr>
        <w:pBdr>
          <w:top w:val="single" w:sz="4" w:space="1" w:color="auto"/>
          <w:left w:val="single" w:sz="4" w:space="1" w:color="auto"/>
          <w:bottom w:val="single" w:sz="4" w:space="1" w:color="auto"/>
          <w:right w:val="single" w:sz="4" w:space="0" w:color="auto"/>
          <w:between w:val="nil"/>
          <w:bar w:val="nil"/>
        </w:pBdr>
        <w:shd w:val="clear" w:color="auto" w:fill="D9E2F3" w:themeFill="accent1" w:themeFillTint="33"/>
        <w:spacing w:after="0" w:line="280" w:lineRule="exact"/>
        <w:jc w:val="both"/>
        <w:rPr>
          <w:sz w:val="24"/>
          <w:szCs w:val="24"/>
          <w:lang w:val="en-US"/>
        </w:rPr>
      </w:pPr>
      <w:r w:rsidRPr="008370AD">
        <w:rPr>
          <w:sz w:val="24"/>
          <w:szCs w:val="24"/>
          <w:lang w:val="en-US"/>
        </w:rPr>
        <w:t xml:space="preserve">A comprehensive understanding of systemic liquidity events in </w:t>
      </w:r>
      <w:r w:rsidR="00797D76">
        <w:rPr>
          <w:sz w:val="24"/>
          <w:szCs w:val="24"/>
          <w:lang w:val="en-US"/>
        </w:rPr>
        <w:t>NBFI</w:t>
      </w:r>
      <w:r w:rsidRPr="008370AD">
        <w:rPr>
          <w:sz w:val="24"/>
          <w:szCs w:val="24"/>
          <w:lang w:val="en-US"/>
        </w:rPr>
        <w:t xml:space="preserve"> necessitates a holistic analysis of both liquidity demand and supply</w:t>
      </w:r>
      <w:r w:rsidR="0088469C">
        <w:rPr>
          <w:sz w:val="24"/>
          <w:szCs w:val="24"/>
          <w:lang w:val="en-US"/>
        </w:rPr>
        <w:t xml:space="preserve"> of all market players</w:t>
      </w:r>
      <w:r w:rsidR="003A59A6">
        <w:rPr>
          <w:sz w:val="24"/>
          <w:szCs w:val="24"/>
          <w:lang w:val="en-US"/>
        </w:rPr>
        <w:t>, not only NBFI</w:t>
      </w:r>
      <w:r w:rsidR="009A5851">
        <w:rPr>
          <w:sz w:val="24"/>
          <w:szCs w:val="24"/>
          <w:lang w:val="en-US"/>
        </w:rPr>
        <w:t xml:space="preserve">. </w:t>
      </w:r>
      <w:r w:rsidR="00C936E4">
        <w:rPr>
          <w:sz w:val="24"/>
          <w:szCs w:val="24"/>
          <w:lang w:val="en-US"/>
        </w:rPr>
        <w:t xml:space="preserve">As a </w:t>
      </w:r>
      <w:proofErr w:type="gramStart"/>
      <w:r w:rsidR="00C936E4">
        <w:rPr>
          <w:sz w:val="24"/>
          <w:szCs w:val="24"/>
          <w:lang w:val="en-US"/>
        </w:rPr>
        <w:t>results</w:t>
      </w:r>
      <w:proofErr w:type="gramEnd"/>
      <w:r w:rsidR="00C936E4">
        <w:rPr>
          <w:sz w:val="24"/>
          <w:szCs w:val="24"/>
          <w:lang w:val="en-US"/>
        </w:rPr>
        <w:t xml:space="preserve">, one should have more information on the possible dynamics and </w:t>
      </w:r>
      <w:r w:rsidR="00C936E4" w:rsidRPr="00CF38EC">
        <w:rPr>
          <w:sz w:val="24"/>
          <w:szCs w:val="24"/>
          <w:lang w:val="en-US"/>
        </w:rPr>
        <w:t xml:space="preserve">interplay between market players, within the limit of the models and analysis. </w:t>
      </w:r>
    </w:p>
    <w:p w14:paraId="51540604" w14:textId="2C253FD8" w:rsidR="009A5851" w:rsidRPr="00CF38EC" w:rsidRDefault="009A5851" w:rsidP="00476D00">
      <w:pPr>
        <w:pBdr>
          <w:top w:val="single" w:sz="4" w:space="1" w:color="auto"/>
          <w:left w:val="single" w:sz="4" w:space="1" w:color="auto"/>
          <w:bottom w:val="single" w:sz="4" w:space="1" w:color="auto"/>
          <w:right w:val="single" w:sz="4" w:space="0" w:color="auto"/>
          <w:between w:val="nil"/>
          <w:bar w:val="nil"/>
        </w:pBdr>
        <w:shd w:val="clear" w:color="auto" w:fill="D9E2F3" w:themeFill="accent1" w:themeFillTint="33"/>
        <w:spacing w:after="0" w:line="280" w:lineRule="exact"/>
        <w:jc w:val="both"/>
        <w:rPr>
          <w:sz w:val="24"/>
          <w:szCs w:val="24"/>
          <w:lang w:val="en-US"/>
        </w:rPr>
      </w:pPr>
    </w:p>
    <w:p w14:paraId="25BD623A" w14:textId="6EA9C147" w:rsidR="00FF0E4A" w:rsidRDefault="00BC7CC6" w:rsidP="00476D00">
      <w:pPr>
        <w:pBdr>
          <w:top w:val="single" w:sz="4" w:space="1" w:color="auto"/>
          <w:left w:val="single" w:sz="4" w:space="1" w:color="auto"/>
          <w:bottom w:val="single" w:sz="4" w:space="1" w:color="auto"/>
          <w:right w:val="single" w:sz="4" w:space="0" w:color="auto"/>
          <w:between w:val="nil"/>
          <w:bar w:val="nil"/>
        </w:pBdr>
        <w:shd w:val="clear" w:color="auto" w:fill="D9E2F3" w:themeFill="accent1" w:themeFillTint="33"/>
        <w:spacing w:after="0" w:line="280" w:lineRule="exact"/>
        <w:jc w:val="both"/>
        <w:rPr>
          <w:sz w:val="24"/>
          <w:szCs w:val="24"/>
          <w:lang w:val="en-US"/>
        </w:rPr>
      </w:pPr>
      <w:r w:rsidRPr="00CF38EC">
        <w:rPr>
          <w:sz w:val="24"/>
          <w:szCs w:val="24"/>
          <w:lang w:val="en-US"/>
        </w:rPr>
        <w:t>T</w:t>
      </w:r>
      <w:r w:rsidR="00ED56B5" w:rsidRPr="00CF38EC">
        <w:rPr>
          <w:sz w:val="24"/>
          <w:szCs w:val="24"/>
          <w:lang w:val="en-US"/>
        </w:rPr>
        <w:t>he EU's priority should be developing supervisory capabilities to identify</w:t>
      </w:r>
      <w:r w:rsidR="00B31C6F" w:rsidRPr="00CF38EC">
        <w:rPr>
          <w:sz w:val="24"/>
          <w:szCs w:val="24"/>
          <w:lang w:val="en-US"/>
        </w:rPr>
        <w:t xml:space="preserve"> </w:t>
      </w:r>
      <w:r w:rsidR="003F0E8B" w:rsidRPr="00CF38EC">
        <w:rPr>
          <w:sz w:val="24"/>
          <w:szCs w:val="24"/>
          <w:lang w:val="en-US"/>
        </w:rPr>
        <w:t>pockets of risks</w:t>
      </w:r>
      <w:r w:rsidR="00477C31" w:rsidRPr="00CF38EC">
        <w:rPr>
          <w:lang w:val="en-GB"/>
        </w:rPr>
        <w:t xml:space="preserve"> </w:t>
      </w:r>
      <w:r w:rsidR="00477C31" w:rsidRPr="00CF38EC">
        <w:rPr>
          <w:sz w:val="24"/>
          <w:szCs w:val="24"/>
          <w:lang w:val="en-US"/>
        </w:rPr>
        <w:t>even beyond the investment funds sector</w:t>
      </w:r>
      <w:r w:rsidR="0063476C" w:rsidRPr="00CF38EC">
        <w:rPr>
          <w:sz w:val="24"/>
          <w:szCs w:val="24"/>
          <w:lang w:val="en-US"/>
        </w:rPr>
        <w:t xml:space="preserve"> and t</w:t>
      </w:r>
      <w:r w:rsidR="0044545F" w:rsidRPr="00CF38EC">
        <w:rPr>
          <w:sz w:val="24"/>
          <w:szCs w:val="24"/>
          <w:lang w:val="en-US"/>
        </w:rPr>
        <w:t xml:space="preserve">he need for </w:t>
      </w:r>
      <w:r w:rsidR="00917E68" w:rsidRPr="00CF38EC">
        <w:rPr>
          <w:sz w:val="24"/>
          <w:szCs w:val="24"/>
          <w:lang w:val="en-US"/>
        </w:rPr>
        <w:t>consistent</w:t>
      </w:r>
      <w:r w:rsidR="0044545F" w:rsidRPr="00CF38EC">
        <w:rPr>
          <w:sz w:val="24"/>
          <w:szCs w:val="24"/>
          <w:lang w:val="en-US"/>
        </w:rPr>
        <w:t xml:space="preserve"> and </w:t>
      </w:r>
      <w:r w:rsidR="008501E4" w:rsidRPr="00CF38EC">
        <w:rPr>
          <w:sz w:val="24"/>
          <w:szCs w:val="24"/>
          <w:lang w:val="en-US"/>
        </w:rPr>
        <w:t xml:space="preserve">high-quality data for an effective supervision of systemic risk is </w:t>
      </w:r>
      <w:r w:rsidR="006237BA" w:rsidRPr="00CF38EC">
        <w:rPr>
          <w:sz w:val="24"/>
          <w:szCs w:val="24"/>
          <w:lang w:val="en-US"/>
        </w:rPr>
        <w:t>a</w:t>
      </w:r>
      <w:r w:rsidR="00917E68" w:rsidRPr="00CF38EC">
        <w:rPr>
          <w:sz w:val="24"/>
          <w:szCs w:val="24"/>
          <w:lang w:val="en-US"/>
        </w:rPr>
        <w:t xml:space="preserve"> cornerstone</w:t>
      </w:r>
      <w:r w:rsidR="008501E4" w:rsidRPr="00CF38EC">
        <w:rPr>
          <w:sz w:val="24"/>
          <w:szCs w:val="24"/>
          <w:lang w:val="en-US"/>
        </w:rPr>
        <w:t>.</w:t>
      </w:r>
      <w:r w:rsidR="008501E4">
        <w:rPr>
          <w:sz w:val="24"/>
          <w:szCs w:val="24"/>
          <w:lang w:val="en-US"/>
        </w:rPr>
        <w:t xml:space="preserve"> </w:t>
      </w:r>
    </w:p>
    <w:p w14:paraId="256D268E" w14:textId="77777777" w:rsidR="002603CF" w:rsidRDefault="002603CF" w:rsidP="00476D00">
      <w:pPr>
        <w:pBdr>
          <w:top w:val="single" w:sz="4" w:space="1" w:color="auto"/>
          <w:left w:val="single" w:sz="4" w:space="1" w:color="auto"/>
          <w:bottom w:val="single" w:sz="4" w:space="1" w:color="auto"/>
          <w:right w:val="single" w:sz="4" w:space="0" w:color="auto"/>
          <w:between w:val="nil"/>
          <w:bar w:val="nil"/>
        </w:pBdr>
        <w:shd w:val="clear" w:color="auto" w:fill="D9E2F3" w:themeFill="accent1" w:themeFillTint="33"/>
        <w:spacing w:after="0" w:line="280" w:lineRule="exact"/>
        <w:jc w:val="both"/>
        <w:rPr>
          <w:sz w:val="24"/>
          <w:szCs w:val="24"/>
          <w:lang w:val="en-US"/>
        </w:rPr>
      </w:pPr>
    </w:p>
    <w:p w14:paraId="2151E196" w14:textId="1047B3FF" w:rsidR="002603CF" w:rsidRDefault="002603CF" w:rsidP="002603CF">
      <w:pPr>
        <w:pBdr>
          <w:top w:val="single" w:sz="4" w:space="1" w:color="auto"/>
          <w:left w:val="single" w:sz="4" w:space="1" w:color="auto"/>
          <w:bottom w:val="single" w:sz="4" w:space="1" w:color="auto"/>
          <w:right w:val="single" w:sz="4" w:space="0"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 xml:space="preserve">To identify areas that </w:t>
      </w:r>
      <w:proofErr w:type="gramStart"/>
      <w:r>
        <w:rPr>
          <w:sz w:val="24"/>
          <w:szCs w:val="24"/>
          <w:lang w:val="en-US"/>
        </w:rPr>
        <w:t>would deserve</w:t>
      </w:r>
      <w:proofErr w:type="gramEnd"/>
      <w:r>
        <w:rPr>
          <w:sz w:val="24"/>
          <w:szCs w:val="24"/>
          <w:lang w:val="en-US"/>
        </w:rPr>
        <w:t xml:space="preserve"> further attention, </w:t>
      </w:r>
      <w:r w:rsidRPr="001D25C6">
        <w:rPr>
          <w:sz w:val="24"/>
          <w:szCs w:val="24"/>
          <w:lang w:val="en-US"/>
        </w:rPr>
        <w:t xml:space="preserve">European Commission should ensure that authorities have access to sufficiently comprehensive datasets for their financial stability analyses. Because holistic financial analyses require consistent data across capital markets, every market participant should report, directly or indirectly, certain information to their authorities. </w:t>
      </w:r>
    </w:p>
    <w:p w14:paraId="5D47FC80" w14:textId="77777777" w:rsidR="002603CF" w:rsidRDefault="002603CF" w:rsidP="002603CF">
      <w:pPr>
        <w:pBdr>
          <w:top w:val="single" w:sz="4" w:space="1" w:color="auto"/>
          <w:left w:val="single" w:sz="4" w:space="1" w:color="auto"/>
          <w:bottom w:val="single" w:sz="4" w:space="1" w:color="auto"/>
          <w:right w:val="single" w:sz="4" w:space="0" w:color="auto"/>
          <w:between w:val="nil"/>
          <w:bar w:val="nil"/>
        </w:pBdr>
        <w:shd w:val="clear" w:color="auto" w:fill="D9E2F3" w:themeFill="accent1" w:themeFillTint="33"/>
        <w:spacing w:after="0" w:line="280" w:lineRule="exact"/>
        <w:jc w:val="both"/>
        <w:rPr>
          <w:sz w:val="24"/>
          <w:szCs w:val="24"/>
          <w:lang w:val="en-US"/>
        </w:rPr>
      </w:pPr>
    </w:p>
    <w:p w14:paraId="2DAE9F81" w14:textId="77777777" w:rsidR="002603CF" w:rsidRPr="00EB3CF2" w:rsidRDefault="002603CF" w:rsidP="002603CF">
      <w:pPr>
        <w:pBdr>
          <w:top w:val="single" w:sz="4" w:space="1" w:color="auto"/>
          <w:left w:val="single" w:sz="4" w:space="1" w:color="auto"/>
          <w:bottom w:val="single" w:sz="4" w:space="1" w:color="auto"/>
          <w:right w:val="single" w:sz="4" w:space="0" w:color="auto"/>
          <w:between w:val="nil"/>
          <w:bar w:val="nil"/>
        </w:pBdr>
        <w:shd w:val="clear" w:color="auto" w:fill="D9E2F3" w:themeFill="accent1" w:themeFillTint="33"/>
        <w:spacing w:after="0" w:line="280" w:lineRule="exact"/>
        <w:jc w:val="both"/>
        <w:rPr>
          <w:sz w:val="24"/>
          <w:szCs w:val="24"/>
          <w:lang w:val="en-US"/>
        </w:rPr>
      </w:pPr>
      <w:r w:rsidRPr="00EB3CF2">
        <w:rPr>
          <w:sz w:val="24"/>
          <w:szCs w:val="24"/>
          <w:lang w:val="en-US"/>
        </w:rPr>
        <w:t xml:space="preserve">We believe, in general, that data sharing between supervisors should be </w:t>
      </w:r>
      <w:proofErr w:type="gramStart"/>
      <w:r w:rsidRPr="00EB3CF2">
        <w:rPr>
          <w:sz w:val="24"/>
          <w:szCs w:val="24"/>
          <w:lang w:val="en-US"/>
        </w:rPr>
        <w:t>enhanced  and</w:t>
      </w:r>
      <w:proofErr w:type="gramEnd"/>
      <w:r w:rsidRPr="00EB3CF2">
        <w:rPr>
          <w:sz w:val="24"/>
          <w:szCs w:val="24"/>
          <w:lang w:val="en-US"/>
        </w:rPr>
        <w:t xml:space="preserve"> the reporting system should be improved in order to avoid reporting duplications and to promote data standardization amongst different jurisdictions.</w:t>
      </w:r>
      <w:r>
        <w:rPr>
          <w:sz w:val="24"/>
          <w:szCs w:val="24"/>
          <w:lang w:val="en-US"/>
        </w:rPr>
        <w:t xml:space="preserve"> </w:t>
      </w:r>
      <w:proofErr w:type="gramStart"/>
      <w:r w:rsidRPr="001D25C6">
        <w:rPr>
          <w:sz w:val="24"/>
          <w:szCs w:val="24"/>
          <w:lang w:val="en-US"/>
        </w:rPr>
        <w:t>Investment</w:t>
      </w:r>
      <w:proofErr w:type="gramEnd"/>
      <w:r w:rsidRPr="001D25C6">
        <w:rPr>
          <w:sz w:val="24"/>
          <w:szCs w:val="24"/>
          <w:lang w:val="en-US"/>
        </w:rPr>
        <w:t xml:space="preserve"> funds sector already reports quite extensive information</w:t>
      </w:r>
      <w:r>
        <w:rPr>
          <w:sz w:val="24"/>
          <w:szCs w:val="24"/>
          <w:lang w:val="en-US"/>
        </w:rPr>
        <w:t xml:space="preserve">, </w:t>
      </w:r>
      <w:proofErr w:type="gramStart"/>
      <w:r w:rsidRPr="001D25C6">
        <w:rPr>
          <w:sz w:val="24"/>
          <w:szCs w:val="24"/>
          <w:lang w:val="en-US"/>
        </w:rPr>
        <w:t>however</w:t>
      </w:r>
      <w:proofErr w:type="gramEnd"/>
      <w:r w:rsidRPr="001D25C6">
        <w:rPr>
          <w:sz w:val="24"/>
          <w:szCs w:val="24"/>
          <w:lang w:val="en-US"/>
        </w:rPr>
        <w:t xml:space="preserve"> </w:t>
      </w:r>
      <w:r>
        <w:rPr>
          <w:sz w:val="24"/>
          <w:szCs w:val="24"/>
          <w:lang w:val="en-US"/>
        </w:rPr>
        <w:t xml:space="preserve">remain </w:t>
      </w:r>
      <w:r w:rsidRPr="001D25C6">
        <w:rPr>
          <w:sz w:val="24"/>
          <w:szCs w:val="24"/>
          <w:lang w:val="en-US"/>
        </w:rPr>
        <w:t xml:space="preserve">certain data gaps </w:t>
      </w:r>
      <w:r>
        <w:rPr>
          <w:sz w:val="24"/>
          <w:szCs w:val="24"/>
          <w:lang w:val="en-US"/>
        </w:rPr>
        <w:t xml:space="preserve">in other NBFI </w:t>
      </w:r>
      <w:r w:rsidRPr="001D25C6">
        <w:rPr>
          <w:sz w:val="24"/>
          <w:szCs w:val="24"/>
          <w:lang w:val="en-US"/>
        </w:rPr>
        <w:t>that may prevent authorities from conducting comprehensive analyses</w:t>
      </w:r>
      <w:r w:rsidRPr="00EB3CF2">
        <w:rPr>
          <w:sz w:val="24"/>
          <w:szCs w:val="24"/>
          <w:lang w:val="en-US"/>
        </w:rPr>
        <w:t>:</w:t>
      </w:r>
    </w:p>
    <w:p w14:paraId="1F29EC03" w14:textId="77777777" w:rsidR="002603CF" w:rsidRPr="00EB3CF2" w:rsidRDefault="002603CF" w:rsidP="002603CF">
      <w:pPr>
        <w:pBdr>
          <w:top w:val="single" w:sz="4" w:space="1" w:color="auto"/>
          <w:left w:val="single" w:sz="4" w:space="1" w:color="auto"/>
          <w:bottom w:val="single" w:sz="4" w:space="1" w:color="auto"/>
          <w:right w:val="single" w:sz="4" w:space="0" w:color="auto"/>
          <w:between w:val="nil"/>
          <w:bar w:val="nil"/>
        </w:pBdr>
        <w:shd w:val="clear" w:color="auto" w:fill="D9E2F3" w:themeFill="accent1" w:themeFillTint="33"/>
        <w:spacing w:after="0" w:line="280" w:lineRule="exact"/>
        <w:jc w:val="both"/>
        <w:rPr>
          <w:sz w:val="24"/>
          <w:szCs w:val="24"/>
          <w:lang w:val="en-US"/>
        </w:rPr>
      </w:pPr>
    </w:p>
    <w:p w14:paraId="264FE1E5" w14:textId="77777777" w:rsidR="002603CF" w:rsidRPr="00EB3CF2" w:rsidRDefault="002603CF" w:rsidP="002603CF">
      <w:pPr>
        <w:pBdr>
          <w:top w:val="single" w:sz="4" w:space="1" w:color="auto"/>
          <w:left w:val="single" w:sz="4" w:space="1" w:color="auto"/>
          <w:bottom w:val="single" w:sz="4" w:space="1" w:color="auto"/>
          <w:right w:val="single" w:sz="4" w:space="0" w:color="auto"/>
          <w:between w:val="nil"/>
          <w:bar w:val="nil"/>
        </w:pBdr>
        <w:shd w:val="clear" w:color="auto" w:fill="D9E2F3" w:themeFill="accent1" w:themeFillTint="33"/>
        <w:spacing w:after="0" w:line="280" w:lineRule="exact"/>
        <w:jc w:val="both"/>
        <w:rPr>
          <w:sz w:val="24"/>
          <w:szCs w:val="24"/>
          <w:lang w:val="en-US"/>
        </w:rPr>
      </w:pPr>
      <w:r w:rsidRPr="00EB3CF2">
        <w:rPr>
          <w:sz w:val="24"/>
          <w:szCs w:val="24"/>
          <w:lang w:val="en-US"/>
        </w:rPr>
        <w:t>- Limited Visibility into Non-EU Entity Activity: Non-EU entities primarily report transaction data through broker-dealers, leaving a significant portion of EU capital markets partially outside regulatory oversight.</w:t>
      </w:r>
    </w:p>
    <w:p w14:paraId="6199C783" w14:textId="77777777" w:rsidR="002603CF" w:rsidRDefault="002603CF" w:rsidP="002603CF">
      <w:pPr>
        <w:pBdr>
          <w:top w:val="single" w:sz="4" w:space="1" w:color="auto"/>
          <w:left w:val="single" w:sz="4" w:space="1" w:color="auto"/>
          <w:bottom w:val="single" w:sz="4" w:space="1" w:color="auto"/>
          <w:right w:val="single" w:sz="4" w:space="0" w:color="auto"/>
          <w:between w:val="nil"/>
          <w:bar w:val="nil"/>
        </w:pBdr>
        <w:shd w:val="clear" w:color="auto" w:fill="D9E2F3" w:themeFill="accent1" w:themeFillTint="33"/>
        <w:spacing w:after="0" w:line="280" w:lineRule="exact"/>
        <w:jc w:val="both"/>
        <w:rPr>
          <w:sz w:val="24"/>
          <w:szCs w:val="24"/>
          <w:lang w:val="en-US"/>
        </w:rPr>
      </w:pPr>
      <w:r w:rsidRPr="00EB3CF2">
        <w:rPr>
          <w:sz w:val="24"/>
          <w:szCs w:val="24"/>
          <w:lang w:val="en-US"/>
        </w:rPr>
        <w:t>- Incomplete Data from Non-Regulated Entities: While non-regulated entities are indirectly subject to statistical and transaction reporting, they are not subject to supervisory reporting requirements. This limits the ability of central banks to fully assess the risks these entities pose, particularly off-balance sheet exposures.</w:t>
      </w:r>
    </w:p>
    <w:p w14:paraId="79685EB4" w14:textId="77777777" w:rsidR="00DC6B9B" w:rsidRPr="00996921" w:rsidRDefault="00DC6B9B" w:rsidP="009B0E34">
      <w:pPr>
        <w:pBdr>
          <w:top w:val="single" w:sz="4" w:space="1" w:color="auto"/>
          <w:left w:val="single" w:sz="4" w:space="1" w:color="auto"/>
          <w:bottom w:val="single" w:sz="4" w:space="1" w:color="auto"/>
          <w:right w:val="single" w:sz="4" w:space="0" w:color="auto"/>
          <w:between w:val="nil"/>
          <w:bar w:val="nil"/>
        </w:pBdr>
        <w:shd w:val="clear" w:color="auto" w:fill="D9E2F3" w:themeFill="accent1" w:themeFillTint="33"/>
        <w:spacing w:after="0" w:line="280" w:lineRule="exact"/>
        <w:jc w:val="both"/>
        <w:rPr>
          <w:sz w:val="24"/>
          <w:szCs w:val="24"/>
          <w:lang w:val="en-US"/>
        </w:rPr>
      </w:pPr>
    </w:p>
    <w:p w14:paraId="669D2827" w14:textId="77777777" w:rsidR="004F7BA3" w:rsidRDefault="004F7BA3" w:rsidP="004F7BA3">
      <w:pPr>
        <w:pBdr>
          <w:top w:val="nil"/>
          <w:left w:val="nil"/>
          <w:bottom w:val="nil"/>
          <w:right w:val="nil"/>
          <w:between w:val="nil"/>
          <w:bar w:val="nil"/>
        </w:pBdr>
        <w:spacing w:after="0" w:line="280" w:lineRule="exact"/>
        <w:jc w:val="both"/>
        <w:rPr>
          <w:b/>
          <w:bCs/>
          <w:sz w:val="24"/>
          <w:szCs w:val="24"/>
          <w:lang w:val="en-US"/>
        </w:rPr>
      </w:pPr>
    </w:p>
    <w:p w14:paraId="66E98C31" w14:textId="77777777" w:rsidR="00BE6327" w:rsidRDefault="00BE6327" w:rsidP="00BE6327">
      <w:pPr>
        <w:pBdr>
          <w:top w:val="nil"/>
          <w:left w:val="nil"/>
          <w:bottom w:val="nil"/>
          <w:right w:val="nil"/>
          <w:between w:val="nil"/>
          <w:bar w:val="nil"/>
        </w:pBdr>
        <w:spacing w:after="0" w:line="280" w:lineRule="exact"/>
        <w:jc w:val="both"/>
        <w:rPr>
          <w:b/>
          <w:bCs/>
          <w:sz w:val="24"/>
          <w:szCs w:val="24"/>
          <w:lang w:val="en-US"/>
        </w:rPr>
      </w:pPr>
      <w:r w:rsidRPr="00BE6327">
        <w:rPr>
          <w:b/>
          <w:bCs/>
          <w:sz w:val="24"/>
          <w:szCs w:val="24"/>
          <w:lang w:val="en-US"/>
        </w:rPr>
        <w:lastRenderedPageBreak/>
        <w:t>Question 5. Where in the NBFI sectors do you see build-up of excessive leverage, and why? Which NBFIs could be most vulnerable? Please provide concrete examples.</w:t>
      </w:r>
    </w:p>
    <w:p w14:paraId="24C36521" w14:textId="77777777" w:rsidR="004F7BA3" w:rsidRPr="00996921" w:rsidRDefault="004F7BA3" w:rsidP="004F7BA3">
      <w:pPr>
        <w:pBdr>
          <w:top w:val="nil"/>
          <w:left w:val="nil"/>
          <w:bottom w:val="nil"/>
          <w:right w:val="nil"/>
          <w:between w:val="nil"/>
          <w:bar w:val="nil"/>
        </w:pBdr>
        <w:spacing w:after="0" w:line="280" w:lineRule="exact"/>
        <w:jc w:val="both"/>
        <w:rPr>
          <w:b/>
          <w:bCs/>
          <w:sz w:val="24"/>
          <w:szCs w:val="24"/>
          <w:lang w:val="en-US"/>
        </w:rPr>
      </w:pPr>
    </w:p>
    <w:p w14:paraId="30881E7C" w14:textId="274F0BEF" w:rsidR="004B203D" w:rsidRDefault="004B203D" w:rsidP="00874A4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4B203D">
        <w:rPr>
          <w:sz w:val="24"/>
          <w:szCs w:val="24"/>
          <w:lang w:val="en-US"/>
        </w:rPr>
        <w:t>Leverage remains a relatively low phenomenon in the European investment fund</w:t>
      </w:r>
      <w:r w:rsidR="009A5FAD">
        <w:rPr>
          <w:sz w:val="24"/>
          <w:szCs w:val="24"/>
          <w:lang w:val="en-US"/>
        </w:rPr>
        <w:t>s</w:t>
      </w:r>
      <w:r w:rsidRPr="004B203D">
        <w:rPr>
          <w:sz w:val="24"/>
          <w:szCs w:val="24"/>
          <w:lang w:val="en-US"/>
        </w:rPr>
        <w:t xml:space="preserve"> sector, primarily used for risk management rather than seeking increased exposure.</w:t>
      </w:r>
      <w:r w:rsidR="002D32A4">
        <w:rPr>
          <w:rStyle w:val="Rimandonotaapidipagina"/>
          <w:sz w:val="24"/>
          <w:szCs w:val="24"/>
          <w:lang w:val="en-US"/>
        </w:rPr>
        <w:footnoteReference w:id="5"/>
      </w:r>
      <w:r w:rsidRPr="004B203D">
        <w:rPr>
          <w:sz w:val="24"/>
          <w:szCs w:val="24"/>
          <w:lang w:val="en-US"/>
        </w:rPr>
        <w:t xml:space="preserve"> </w:t>
      </w:r>
      <w:r w:rsidR="0018306A" w:rsidRPr="0018306A">
        <w:rPr>
          <w:sz w:val="24"/>
          <w:szCs w:val="24"/>
          <w:lang w:val="en-US"/>
        </w:rPr>
        <w:t>The ECB itself acknowledged in 2016 that investment funds, unlike traditional banks, maintain significantly lower leverage ratios</w:t>
      </w:r>
      <w:r w:rsidR="0018306A">
        <w:rPr>
          <w:sz w:val="24"/>
          <w:szCs w:val="24"/>
          <w:lang w:val="en-US"/>
        </w:rPr>
        <w:t>: “</w:t>
      </w:r>
      <w:r w:rsidR="00874A4F" w:rsidRPr="00874A4F">
        <w:rPr>
          <w:i/>
          <w:iCs/>
          <w:sz w:val="24"/>
          <w:szCs w:val="24"/>
          <w:lang w:val="en-US"/>
        </w:rPr>
        <w:t>Compared to the traditional banking sector where assets are often more than 10-30 times the size of equity, leverage in the investment fund sector is low with total assets much less than twice the amount of equity</w:t>
      </w:r>
      <w:r w:rsidR="0018306A">
        <w:rPr>
          <w:sz w:val="24"/>
          <w:szCs w:val="24"/>
          <w:lang w:val="en-US"/>
        </w:rPr>
        <w:t>”</w:t>
      </w:r>
      <w:r w:rsidR="00DD189F">
        <w:rPr>
          <w:rStyle w:val="Rimandonotaapidipagina"/>
          <w:sz w:val="24"/>
          <w:szCs w:val="24"/>
          <w:lang w:val="en-US"/>
        </w:rPr>
        <w:footnoteReference w:id="6"/>
      </w:r>
      <w:r w:rsidR="0018306A">
        <w:rPr>
          <w:sz w:val="24"/>
          <w:szCs w:val="24"/>
          <w:lang w:val="en-US"/>
        </w:rPr>
        <w:t>.</w:t>
      </w:r>
      <w:r w:rsidR="00C53905">
        <w:rPr>
          <w:sz w:val="24"/>
          <w:szCs w:val="24"/>
          <w:lang w:val="en-US"/>
        </w:rPr>
        <w:t xml:space="preserve"> </w:t>
      </w:r>
      <w:r w:rsidR="00BC19C8">
        <w:rPr>
          <w:sz w:val="24"/>
          <w:szCs w:val="24"/>
          <w:lang w:val="en-US"/>
        </w:rPr>
        <w:t xml:space="preserve"> </w:t>
      </w:r>
    </w:p>
    <w:p w14:paraId="018C0DCA" w14:textId="77777777" w:rsidR="002D39E8" w:rsidRDefault="002D39E8" w:rsidP="00874A4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186F3A04" w14:textId="491C35DC" w:rsidR="00194067" w:rsidRDefault="00194067" w:rsidP="004B203D">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194067">
        <w:rPr>
          <w:sz w:val="24"/>
          <w:szCs w:val="24"/>
          <w:lang w:val="en-US"/>
        </w:rPr>
        <w:t>These low levels can be attributed to two primary factors: a stringent regulatory environment designed to safeguard investor interests and the inherently simple structure of European funds, which generally do not employ leverage to enhance returns.</w:t>
      </w:r>
    </w:p>
    <w:p w14:paraId="72B1CFB7" w14:textId="77777777" w:rsidR="002D39E8" w:rsidRPr="004B203D" w:rsidRDefault="002D39E8" w:rsidP="004B203D">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38EA1592" w14:textId="4BE46A41" w:rsidR="001056D4" w:rsidRDefault="004C4504" w:rsidP="004B203D">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4C4504">
        <w:rPr>
          <w:sz w:val="24"/>
          <w:szCs w:val="24"/>
          <w:lang w:val="en-US"/>
        </w:rPr>
        <w:t>The regulatory framework governing investment funds imposes strict limits on leverage</w:t>
      </w:r>
      <w:r w:rsidR="00297315" w:rsidRPr="00297315">
        <w:rPr>
          <w:sz w:val="24"/>
          <w:szCs w:val="24"/>
          <w:lang w:val="en-US"/>
        </w:rPr>
        <w:t xml:space="preserve">. Pursuant to Article 83(2) of the UCITS Directive, </w:t>
      </w:r>
      <w:r w:rsidR="004917FC">
        <w:rPr>
          <w:sz w:val="24"/>
          <w:szCs w:val="24"/>
          <w:lang w:val="en-US"/>
        </w:rPr>
        <w:t xml:space="preserve">the </w:t>
      </w:r>
      <w:r w:rsidR="00297315" w:rsidRPr="00297315">
        <w:rPr>
          <w:sz w:val="24"/>
          <w:szCs w:val="24"/>
          <w:lang w:val="en-US"/>
        </w:rPr>
        <w:t xml:space="preserve">UCITS funds are prohibited from borrowing cash for investment purposes. Furthermore, </w:t>
      </w:r>
      <w:r w:rsidR="004D3B04">
        <w:rPr>
          <w:sz w:val="24"/>
          <w:szCs w:val="24"/>
          <w:lang w:val="en-US"/>
        </w:rPr>
        <w:t xml:space="preserve">on synthetic </w:t>
      </w:r>
      <w:r w:rsidR="00026535">
        <w:rPr>
          <w:sz w:val="24"/>
          <w:szCs w:val="24"/>
          <w:lang w:val="en-US"/>
        </w:rPr>
        <w:t>leverage</w:t>
      </w:r>
      <w:r w:rsidR="004D3B04">
        <w:rPr>
          <w:sz w:val="24"/>
          <w:szCs w:val="24"/>
          <w:lang w:val="en-US"/>
        </w:rPr>
        <w:t xml:space="preserve"> </w:t>
      </w:r>
      <w:r w:rsidR="00297315" w:rsidRPr="00297315">
        <w:rPr>
          <w:sz w:val="24"/>
          <w:szCs w:val="24"/>
          <w:lang w:val="en-US"/>
        </w:rPr>
        <w:t>the</w:t>
      </w:r>
      <w:r w:rsidR="00DF3D0B">
        <w:rPr>
          <w:sz w:val="24"/>
          <w:szCs w:val="24"/>
          <w:lang w:val="en-US"/>
        </w:rPr>
        <w:t xml:space="preserve"> UCITS</w:t>
      </w:r>
      <w:r w:rsidR="00297315" w:rsidRPr="00297315">
        <w:rPr>
          <w:sz w:val="24"/>
          <w:szCs w:val="24"/>
          <w:lang w:val="en-US"/>
        </w:rPr>
        <w:t xml:space="preserve"> Directive limits their net exposure to 200%</w:t>
      </w:r>
      <w:r w:rsidR="006D5FB0">
        <w:rPr>
          <w:sz w:val="24"/>
          <w:szCs w:val="24"/>
          <w:lang w:val="en-US"/>
        </w:rPr>
        <w:t xml:space="preserve"> (including physical assets)</w:t>
      </w:r>
      <w:r w:rsidR="00297315" w:rsidRPr="00297315">
        <w:rPr>
          <w:sz w:val="24"/>
          <w:szCs w:val="24"/>
          <w:lang w:val="en-US"/>
        </w:rPr>
        <w:t>. The AIFMD requires management companies to establish net leverage limits for AIFs, as stipulated in Article 25(3) of the directive.</w:t>
      </w:r>
      <w:r w:rsidR="00203538">
        <w:rPr>
          <w:sz w:val="24"/>
          <w:szCs w:val="24"/>
          <w:lang w:val="en-US"/>
        </w:rPr>
        <w:t xml:space="preserve"> </w:t>
      </w:r>
      <w:r w:rsidR="008E7B98" w:rsidRPr="00297315">
        <w:rPr>
          <w:sz w:val="24"/>
          <w:szCs w:val="24"/>
          <w:lang w:val="en-US"/>
        </w:rPr>
        <w:t xml:space="preserve">During the authorization process, </w:t>
      </w:r>
      <w:r w:rsidR="008E7B98">
        <w:rPr>
          <w:sz w:val="24"/>
          <w:szCs w:val="24"/>
          <w:lang w:val="en-US"/>
        </w:rPr>
        <w:t>NCAs</w:t>
      </w:r>
      <w:r w:rsidR="008E7B98" w:rsidRPr="00297315">
        <w:rPr>
          <w:sz w:val="24"/>
          <w:szCs w:val="24"/>
          <w:lang w:val="en-US"/>
        </w:rPr>
        <w:t xml:space="preserve"> assess the proposed level of leverage and may require additional safeguards from the management company</w:t>
      </w:r>
      <w:r w:rsidR="00AB486C">
        <w:rPr>
          <w:sz w:val="24"/>
          <w:szCs w:val="24"/>
          <w:lang w:val="en-US"/>
        </w:rPr>
        <w:t>.</w:t>
      </w:r>
      <w:r w:rsidR="0060417B">
        <w:rPr>
          <w:sz w:val="24"/>
          <w:szCs w:val="24"/>
          <w:lang w:val="en-US"/>
        </w:rPr>
        <w:t xml:space="preserve"> </w:t>
      </w:r>
      <w:r w:rsidR="0061142D">
        <w:rPr>
          <w:sz w:val="24"/>
          <w:szCs w:val="24"/>
          <w:lang w:val="en-US"/>
        </w:rPr>
        <w:t>NCAs can also impose specific leverage limit for some investment type</w:t>
      </w:r>
      <w:r w:rsidR="00F66BE1">
        <w:rPr>
          <w:sz w:val="24"/>
          <w:szCs w:val="24"/>
          <w:lang w:val="en-US"/>
        </w:rPr>
        <w:t xml:space="preserve"> (in Italy, </w:t>
      </w:r>
      <w:r w:rsidR="00914193">
        <w:rPr>
          <w:sz w:val="24"/>
          <w:szCs w:val="24"/>
          <w:lang w:val="en-US"/>
        </w:rPr>
        <w:t xml:space="preserve">the leverage is limited to 1.5 for </w:t>
      </w:r>
      <w:r w:rsidR="00F66BE1">
        <w:rPr>
          <w:sz w:val="24"/>
          <w:szCs w:val="24"/>
          <w:lang w:val="en-US"/>
        </w:rPr>
        <w:t>reserved AIFs that invest in loan</w:t>
      </w:r>
      <w:r w:rsidR="00DD03BB">
        <w:rPr>
          <w:sz w:val="24"/>
          <w:szCs w:val="24"/>
          <w:lang w:val="en-US"/>
        </w:rPr>
        <w:t>)</w:t>
      </w:r>
      <w:r w:rsidR="0061142D">
        <w:rPr>
          <w:sz w:val="24"/>
          <w:szCs w:val="24"/>
          <w:lang w:val="en-US"/>
        </w:rPr>
        <w:t>.</w:t>
      </w:r>
    </w:p>
    <w:p w14:paraId="23CB636E" w14:textId="77777777" w:rsidR="0060417B" w:rsidRDefault="0060417B" w:rsidP="004B203D">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16980C51" w14:textId="0278E0BA" w:rsidR="004B203D" w:rsidRDefault="001056D4" w:rsidP="004B203D">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Th</w:t>
      </w:r>
      <w:r w:rsidR="00C948F9">
        <w:rPr>
          <w:sz w:val="24"/>
          <w:szCs w:val="24"/>
          <w:lang w:val="en-US"/>
        </w:rPr>
        <w:t>e low leverage r</w:t>
      </w:r>
      <w:r>
        <w:rPr>
          <w:sz w:val="24"/>
          <w:szCs w:val="24"/>
          <w:lang w:val="en-US"/>
        </w:rPr>
        <w:t xml:space="preserve">esults </w:t>
      </w:r>
      <w:r w:rsidR="00F66CC1">
        <w:rPr>
          <w:sz w:val="24"/>
          <w:szCs w:val="24"/>
          <w:lang w:val="en-US"/>
        </w:rPr>
        <w:t xml:space="preserve">of the investment funds </w:t>
      </w:r>
      <w:r>
        <w:rPr>
          <w:sz w:val="24"/>
          <w:szCs w:val="24"/>
          <w:lang w:val="en-US"/>
        </w:rPr>
        <w:t xml:space="preserve">are also confirmed </w:t>
      </w:r>
      <w:r w:rsidR="00B26DB6">
        <w:rPr>
          <w:sz w:val="24"/>
          <w:szCs w:val="24"/>
          <w:lang w:val="en-US"/>
        </w:rPr>
        <w:t xml:space="preserve">in </w:t>
      </w:r>
      <w:r w:rsidR="00307DE7">
        <w:rPr>
          <w:sz w:val="24"/>
          <w:szCs w:val="24"/>
          <w:lang w:val="en-US"/>
        </w:rPr>
        <w:t>a</w:t>
      </w:r>
      <w:r w:rsidR="00EE4CD0">
        <w:rPr>
          <w:sz w:val="24"/>
          <w:szCs w:val="24"/>
          <w:lang w:val="en-US"/>
        </w:rPr>
        <w:t xml:space="preserve"> </w:t>
      </w:r>
      <w:r w:rsidR="00480AD4">
        <w:rPr>
          <w:sz w:val="24"/>
          <w:szCs w:val="24"/>
          <w:lang w:val="en-US"/>
        </w:rPr>
        <w:t>Working paper</w:t>
      </w:r>
      <w:r w:rsidR="00AD68CE">
        <w:rPr>
          <w:sz w:val="24"/>
          <w:szCs w:val="24"/>
          <w:lang w:val="en-US"/>
        </w:rPr>
        <w:t xml:space="preserve"> </w:t>
      </w:r>
      <w:r w:rsidR="00472EFC">
        <w:rPr>
          <w:sz w:val="24"/>
          <w:szCs w:val="24"/>
          <w:lang w:val="en-US"/>
        </w:rPr>
        <w:t>series of the ECB</w:t>
      </w:r>
      <w:r w:rsidR="003E04A1">
        <w:rPr>
          <w:rStyle w:val="Rimandonotaapidipagina"/>
          <w:sz w:val="24"/>
          <w:szCs w:val="24"/>
          <w:lang w:val="en-US"/>
        </w:rPr>
        <w:footnoteReference w:id="7"/>
      </w:r>
      <w:r w:rsidR="00472EFC">
        <w:rPr>
          <w:sz w:val="24"/>
          <w:szCs w:val="24"/>
          <w:lang w:val="en-US"/>
        </w:rPr>
        <w:t xml:space="preserve"> </w:t>
      </w:r>
      <w:r w:rsidR="00DF723E">
        <w:rPr>
          <w:sz w:val="24"/>
          <w:szCs w:val="24"/>
          <w:lang w:val="en-US"/>
        </w:rPr>
        <w:t xml:space="preserve">of 2024 </w:t>
      </w:r>
      <w:r w:rsidR="00AD68CE">
        <w:rPr>
          <w:sz w:val="24"/>
          <w:szCs w:val="24"/>
          <w:lang w:val="en-US"/>
        </w:rPr>
        <w:t xml:space="preserve">where </w:t>
      </w:r>
      <w:r w:rsidR="00472EFC">
        <w:rPr>
          <w:sz w:val="24"/>
          <w:szCs w:val="24"/>
          <w:lang w:val="en-US"/>
        </w:rPr>
        <w:t xml:space="preserve">the authors </w:t>
      </w:r>
      <w:r w:rsidR="00EE4CD0">
        <w:rPr>
          <w:sz w:val="24"/>
          <w:szCs w:val="24"/>
          <w:lang w:val="en-US"/>
        </w:rPr>
        <w:t>states that “</w:t>
      </w:r>
      <w:r w:rsidR="00AD68CE" w:rsidRPr="002D39E8">
        <w:rPr>
          <w:i/>
          <w:iCs/>
          <w:sz w:val="24"/>
          <w:szCs w:val="24"/>
          <w:lang w:val="en-US"/>
        </w:rPr>
        <w:t>Under UCITS III</w:t>
      </w:r>
      <w:r w:rsidR="00BE013A" w:rsidRPr="002D39E8">
        <w:rPr>
          <w:i/>
          <w:iCs/>
          <w:sz w:val="24"/>
          <w:szCs w:val="24"/>
          <w:lang w:val="en-US"/>
        </w:rPr>
        <w:t>, leverage can be used for investment purposes, wh</w:t>
      </w:r>
      <w:r w:rsidR="00DC38F1" w:rsidRPr="002D39E8">
        <w:rPr>
          <w:i/>
          <w:iCs/>
          <w:sz w:val="24"/>
          <w:szCs w:val="24"/>
          <w:lang w:val="en-US"/>
        </w:rPr>
        <w:t xml:space="preserve">it </w:t>
      </w:r>
      <w:proofErr w:type="gramStart"/>
      <w:r w:rsidR="00DC38F1" w:rsidRPr="002D39E8">
        <w:rPr>
          <w:i/>
          <w:iCs/>
          <w:sz w:val="24"/>
          <w:szCs w:val="24"/>
          <w:lang w:val="en-US"/>
        </w:rPr>
        <w:t>not need</w:t>
      </w:r>
      <w:proofErr w:type="gramEnd"/>
      <w:r w:rsidR="00DC38F1" w:rsidRPr="002D39E8">
        <w:rPr>
          <w:i/>
          <w:iCs/>
          <w:sz w:val="24"/>
          <w:szCs w:val="24"/>
          <w:lang w:val="en-US"/>
        </w:rPr>
        <w:t xml:space="preserve"> to match specific assets, but is limited. On the other hand, </w:t>
      </w:r>
      <w:r w:rsidR="00EE4CD0" w:rsidRPr="002D39E8">
        <w:rPr>
          <w:i/>
          <w:iCs/>
          <w:sz w:val="24"/>
          <w:szCs w:val="24"/>
          <w:lang w:val="en-US"/>
        </w:rPr>
        <w:t>the</w:t>
      </w:r>
      <w:r w:rsidR="00FB041E" w:rsidRPr="002D39E8">
        <w:rPr>
          <w:i/>
          <w:iCs/>
          <w:sz w:val="24"/>
          <w:szCs w:val="24"/>
          <w:lang w:val="en-US"/>
        </w:rPr>
        <w:t xml:space="preserve"> Alternative Inv</w:t>
      </w:r>
      <w:r w:rsidR="00DC38F1" w:rsidRPr="002D39E8">
        <w:rPr>
          <w:i/>
          <w:iCs/>
          <w:sz w:val="24"/>
          <w:szCs w:val="24"/>
          <w:lang w:val="en-US"/>
        </w:rPr>
        <w:t>e</w:t>
      </w:r>
      <w:r w:rsidR="00FB041E" w:rsidRPr="002D39E8">
        <w:rPr>
          <w:i/>
          <w:iCs/>
          <w:sz w:val="24"/>
          <w:szCs w:val="24"/>
          <w:lang w:val="en-US"/>
        </w:rPr>
        <w:t>stment Fund Managers (AIFM) directive does not include leverage limits, but corresponding funds are usually only moderately leveraged</w:t>
      </w:r>
      <w:r w:rsidR="007E3A4E" w:rsidRPr="002D39E8">
        <w:rPr>
          <w:i/>
          <w:iCs/>
          <w:sz w:val="24"/>
          <w:szCs w:val="24"/>
          <w:lang w:val="en-US"/>
        </w:rPr>
        <w:t xml:space="preserve">, </w:t>
      </w:r>
      <w:proofErr w:type="gramStart"/>
      <w:r w:rsidR="007E3A4E" w:rsidRPr="002D39E8">
        <w:rPr>
          <w:i/>
          <w:iCs/>
          <w:sz w:val="24"/>
          <w:szCs w:val="24"/>
          <w:lang w:val="en-US"/>
        </w:rPr>
        <w:t>with the exception of</w:t>
      </w:r>
      <w:proofErr w:type="gramEnd"/>
      <w:r w:rsidR="007E3A4E" w:rsidRPr="002D39E8">
        <w:rPr>
          <w:i/>
          <w:iCs/>
          <w:sz w:val="24"/>
          <w:szCs w:val="24"/>
          <w:lang w:val="en-US"/>
        </w:rPr>
        <w:t xml:space="preserve"> hedge funds</w:t>
      </w:r>
      <w:r w:rsidR="007E3A4E">
        <w:rPr>
          <w:sz w:val="24"/>
          <w:szCs w:val="24"/>
          <w:lang w:val="en-US"/>
        </w:rPr>
        <w:t>.”</w:t>
      </w:r>
      <w:r w:rsidR="00EE4CD0">
        <w:rPr>
          <w:sz w:val="24"/>
          <w:szCs w:val="24"/>
          <w:lang w:val="en-US"/>
        </w:rPr>
        <w:t xml:space="preserve"> </w:t>
      </w:r>
    </w:p>
    <w:p w14:paraId="2B9149BF" w14:textId="77777777" w:rsidR="008B3432" w:rsidRDefault="008B3432" w:rsidP="004B203D">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68A7CDC5" w14:textId="77777777" w:rsidR="004F7BA3" w:rsidRPr="00495F47" w:rsidRDefault="004F7BA3" w:rsidP="004F7BA3">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088DEE37" w14:textId="77777777" w:rsidR="004F7BA3" w:rsidRPr="00495F47" w:rsidRDefault="004F7BA3" w:rsidP="004F7BA3">
      <w:pPr>
        <w:pBdr>
          <w:top w:val="nil"/>
          <w:left w:val="nil"/>
          <w:bottom w:val="nil"/>
          <w:right w:val="nil"/>
          <w:between w:val="nil"/>
          <w:bar w:val="nil"/>
        </w:pBdr>
        <w:spacing w:after="0" w:line="280" w:lineRule="exact"/>
        <w:jc w:val="both"/>
        <w:rPr>
          <w:b/>
          <w:bCs/>
          <w:sz w:val="24"/>
          <w:szCs w:val="24"/>
          <w:lang w:val="en-US"/>
        </w:rPr>
      </w:pPr>
    </w:p>
    <w:p w14:paraId="28B42B9D" w14:textId="77777777" w:rsidR="00BE6327" w:rsidRDefault="00BE6327" w:rsidP="00BE6327">
      <w:pPr>
        <w:pBdr>
          <w:top w:val="nil"/>
          <w:left w:val="nil"/>
          <w:bottom w:val="nil"/>
          <w:right w:val="nil"/>
          <w:between w:val="nil"/>
          <w:bar w:val="nil"/>
        </w:pBdr>
        <w:spacing w:after="0" w:line="280" w:lineRule="exact"/>
        <w:jc w:val="both"/>
        <w:rPr>
          <w:b/>
          <w:bCs/>
          <w:sz w:val="24"/>
          <w:szCs w:val="24"/>
          <w:lang w:val="en-US"/>
        </w:rPr>
      </w:pPr>
      <w:r w:rsidRPr="00BE6327">
        <w:rPr>
          <w:b/>
          <w:bCs/>
          <w:sz w:val="24"/>
          <w:szCs w:val="24"/>
          <w:lang w:val="en-US"/>
        </w:rPr>
        <w:t xml:space="preserve">Question 6. Do you observe any systemic risks and vulnerabilities emerging from </w:t>
      </w:r>
      <w:proofErr w:type="gramStart"/>
      <w:r w:rsidRPr="00BE6327">
        <w:rPr>
          <w:b/>
          <w:bCs/>
          <w:sz w:val="24"/>
          <w:szCs w:val="24"/>
          <w:lang w:val="en-US"/>
        </w:rPr>
        <w:t>crypto assets</w:t>
      </w:r>
      <w:proofErr w:type="gramEnd"/>
      <w:r w:rsidRPr="00BE6327">
        <w:rPr>
          <w:b/>
          <w:bCs/>
          <w:sz w:val="24"/>
          <w:szCs w:val="24"/>
          <w:lang w:val="en-US"/>
        </w:rPr>
        <w:t xml:space="preserve"> trading and intermediaries in the EU?</w:t>
      </w:r>
    </w:p>
    <w:p w14:paraId="3E87BB10" w14:textId="77777777" w:rsidR="004F7BA3" w:rsidRPr="00996921" w:rsidRDefault="004F7BA3" w:rsidP="004F7BA3">
      <w:pPr>
        <w:pBdr>
          <w:top w:val="nil"/>
          <w:left w:val="nil"/>
          <w:bottom w:val="nil"/>
          <w:right w:val="nil"/>
          <w:between w:val="nil"/>
          <w:bar w:val="nil"/>
        </w:pBdr>
        <w:spacing w:after="0" w:line="280" w:lineRule="exact"/>
        <w:jc w:val="both"/>
        <w:rPr>
          <w:b/>
          <w:bCs/>
          <w:sz w:val="24"/>
          <w:szCs w:val="24"/>
          <w:lang w:val="en-US"/>
        </w:rPr>
      </w:pPr>
    </w:p>
    <w:p w14:paraId="78201759" w14:textId="68697D2F" w:rsidR="004F7BA3" w:rsidRDefault="004F7BA3" w:rsidP="004F7BA3">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022C9690" w14:textId="77777777" w:rsidR="004F7BA3" w:rsidRDefault="004F7BA3" w:rsidP="004F7BA3">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0398D514" w14:textId="77777777" w:rsidR="004F7BA3" w:rsidRPr="00996921" w:rsidRDefault="004F7BA3" w:rsidP="004F7BA3">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19330DAD" w14:textId="77777777" w:rsidR="004F7BA3" w:rsidRDefault="004F7BA3" w:rsidP="004F7BA3">
      <w:pPr>
        <w:pBdr>
          <w:top w:val="nil"/>
          <w:left w:val="nil"/>
          <w:bottom w:val="nil"/>
          <w:right w:val="nil"/>
          <w:between w:val="nil"/>
          <w:bar w:val="nil"/>
        </w:pBdr>
        <w:spacing w:after="0" w:line="280" w:lineRule="exact"/>
        <w:jc w:val="both"/>
        <w:rPr>
          <w:b/>
          <w:bCs/>
          <w:sz w:val="24"/>
          <w:szCs w:val="24"/>
          <w:lang w:val="en-US"/>
        </w:rPr>
      </w:pPr>
    </w:p>
    <w:p w14:paraId="764217B5" w14:textId="22F9EA86" w:rsidR="00806C9A" w:rsidRDefault="00BE6327" w:rsidP="00BE6327">
      <w:pPr>
        <w:pBdr>
          <w:top w:val="nil"/>
          <w:left w:val="nil"/>
          <w:bottom w:val="nil"/>
          <w:right w:val="nil"/>
          <w:between w:val="nil"/>
          <w:bar w:val="nil"/>
        </w:pBdr>
        <w:spacing w:after="0" w:line="280" w:lineRule="exact"/>
        <w:jc w:val="both"/>
        <w:rPr>
          <w:b/>
          <w:bCs/>
          <w:sz w:val="24"/>
          <w:szCs w:val="24"/>
          <w:lang w:val="en-US"/>
        </w:rPr>
      </w:pPr>
      <w:r w:rsidRPr="00BE6327">
        <w:rPr>
          <w:b/>
          <w:bCs/>
          <w:sz w:val="24"/>
          <w:szCs w:val="24"/>
          <w:lang w:val="en-US"/>
        </w:rPr>
        <w:t xml:space="preserve">Question 7. Considering the role NBFIs have in providing greater access to finance for companies and in the context of the capital markets union project, how can macroprudential policies support NBFIs’ ability to provide such funding opportunities to companies, </w:t>
      </w:r>
      <w:proofErr w:type="gramStart"/>
      <w:r w:rsidRPr="00BE6327">
        <w:rPr>
          <w:b/>
          <w:bCs/>
          <w:sz w:val="24"/>
          <w:szCs w:val="24"/>
          <w:lang w:val="en-US"/>
        </w:rPr>
        <w:t>in particular through</w:t>
      </w:r>
      <w:proofErr w:type="gramEnd"/>
      <w:r w:rsidRPr="00BE6327">
        <w:rPr>
          <w:b/>
          <w:bCs/>
          <w:sz w:val="24"/>
          <w:szCs w:val="24"/>
          <w:lang w:val="en-US"/>
        </w:rPr>
        <w:t xml:space="preserve"> capital markets? Please provide concrete examples.</w:t>
      </w:r>
    </w:p>
    <w:p w14:paraId="2B84AB0B" w14:textId="77777777" w:rsidR="004F7BA3" w:rsidRPr="00996921" w:rsidRDefault="004F7BA3" w:rsidP="004F7BA3">
      <w:pPr>
        <w:pBdr>
          <w:top w:val="nil"/>
          <w:left w:val="nil"/>
          <w:bottom w:val="nil"/>
          <w:right w:val="nil"/>
          <w:between w:val="nil"/>
          <w:bar w:val="nil"/>
        </w:pBdr>
        <w:spacing w:after="0" w:line="280" w:lineRule="exact"/>
        <w:jc w:val="both"/>
        <w:rPr>
          <w:b/>
          <w:bCs/>
          <w:sz w:val="24"/>
          <w:szCs w:val="24"/>
          <w:lang w:val="en-US"/>
        </w:rPr>
      </w:pPr>
    </w:p>
    <w:p w14:paraId="0BA142B5" w14:textId="5D68AA3A" w:rsidR="002424AA" w:rsidRPr="009B0E34" w:rsidRDefault="00E1302D" w:rsidP="002424AA">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FD2E8C">
        <w:rPr>
          <w:sz w:val="24"/>
          <w:szCs w:val="24"/>
          <w:lang w:val="en-US"/>
        </w:rPr>
        <w:t>E</w:t>
      </w:r>
      <w:r w:rsidRPr="009B0E34">
        <w:rPr>
          <w:sz w:val="24"/>
          <w:szCs w:val="24"/>
          <w:lang w:val="en-US"/>
        </w:rPr>
        <w:t xml:space="preserve">nhancing </w:t>
      </w:r>
      <w:r w:rsidR="007943C1" w:rsidRPr="00FD2E8C">
        <w:rPr>
          <w:sz w:val="24"/>
          <w:szCs w:val="24"/>
          <w:lang w:val="en-US"/>
        </w:rPr>
        <w:t xml:space="preserve">investment </w:t>
      </w:r>
      <w:proofErr w:type="gramStart"/>
      <w:r w:rsidR="007943C1" w:rsidRPr="00FD2E8C">
        <w:rPr>
          <w:sz w:val="24"/>
          <w:szCs w:val="24"/>
          <w:lang w:val="en-US"/>
        </w:rPr>
        <w:t>fund’s</w:t>
      </w:r>
      <w:proofErr w:type="gramEnd"/>
      <w:r w:rsidR="007943C1" w:rsidRPr="00FD2E8C">
        <w:rPr>
          <w:sz w:val="24"/>
          <w:szCs w:val="24"/>
          <w:lang w:val="en-US"/>
        </w:rPr>
        <w:t xml:space="preserve"> </w:t>
      </w:r>
      <w:r w:rsidRPr="009B0E34">
        <w:rPr>
          <w:sz w:val="24"/>
          <w:szCs w:val="24"/>
          <w:lang w:val="en-US"/>
        </w:rPr>
        <w:t>investor protection and financial stability are complementary objectives.</w:t>
      </w:r>
      <w:r w:rsidR="00B269AA" w:rsidRPr="009B0E34">
        <w:rPr>
          <w:sz w:val="24"/>
          <w:szCs w:val="24"/>
          <w:lang w:val="en-US"/>
        </w:rPr>
        <w:t xml:space="preserve"> </w:t>
      </w:r>
    </w:p>
    <w:p w14:paraId="4E614E85" w14:textId="77777777" w:rsidR="002424AA" w:rsidRPr="009B0E34" w:rsidRDefault="002424AA" w:rsidP="002424AA">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166C792B" w14:textId="77777777" w:rsidR="002424AA" w:rsidRPr="009B0E34" w:rsidRDefault="00637C81" w:rsidP="002424AA">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9B0E34">
        <w:rPr>
          <w:sz w:val="24"/>
          <w:szCs w:val="24"/>
          <w:lang w:val="en-US"/>
        </w:rPr>
        <w:t>However, i</w:t>
      </w:r>
      <w:r w:rsidR="0063602C" w:rsidRPr="009B0E34">
        <w:rPr>
          <w:sz w:val="24"/>
          <w:szCs w:val="24"/>
          <w:lang w:val="en-US"/>
        </w:rPr>
        <w:t xml:space="preserve">ll-suited policy tools could potentially heighten risks and lead to unintended consequences for both funds and the long-term investments they facilitate, mainly where measures such as cash buffers or capital requirements would </w:t>
      </w:r>
      <w:r w:rsidR="001F449B" w:rsidRPr="00FD2E8C">
        <w:rPr>
          <w:sz w:val="24"/>
          <w:szCs w:val="24"/>
          <w:lang w:val="en-US"/>
        </w:rPr>
        <w:t xml:space="preserve">discourage risk-taking in European financial markets </w:t>
      </w:r>
      <w:r w:rsidR="00FB1EE1" w:rsidRPr="00FD2E8C">
        <w:rPr>
          <w:sz w:val="24"/>
          <w:szCs w:val="24"/>
          <w:lang w:val="en-US"/>
        </w:rPr>
        <w:t xml:space="preserve">and </w:t>
      </w:r>
      <w:r w:rsidR="0063602C" w:rsidRPr="009B0E34">
        <w:rPr>
          <w:sz w:val="24"/>
          <w:szCs w:val="24"/>
          <w:lang w:val="en-US"/>
        </w:rPr>
        <w:t>act as a drag on fund performance and investor returns</w:t>
      </w:r>
      <w:r w:rsidR="00D83EEE" w:rsidRPr="00FD2E8C">
        <w:rPr>
          <w:sz w:val="24"/>
          <w:szCs w:val="24"/>
          <w:lang w:val="en-US"/>
        </w:rPr>
        <w:t>.</w:t>
      </w:r>
      <w:r w:rsidR="00964AE0" w:rsidRPr="009B0E34">
        <w:rPr>
          <w:sz w:val="24"/>
          <w:szCs w:val="24"/>
          <w:lang w:val="en-US"/>
        </w:rPr>
        <w:t xml:space="preserve"> </w:t>
      </w:r>
    </w:p>
    <w:p w14:paraId="18BB278A" w14:textId="77777777" w:rsidR="002424AA" w:rsidRPr="009B0E34" w:rsidRDefault="002424AA" w:rsidP="002424AA">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3A21EB06" w14:textId="700F1D9F" w:rsidR="002424AA" w:rsidRPr="009B0E34" w:rsidRDefault="002424AA" w:rsidP="002424AA">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roofErr w:type="gramStart"/>
      <w:r w:rsidRPr="009B0E34">
        <w:rPr>
          <w:sz w:val="24"/>
          <w:szCs w:val="24"/>
          <w:lang w:val="en-US"/>
        </w:rPr>
        <w:t>Maintain</w:t>
      </w:r>
      <w:proofErr w:type="gramEnd"/>
      <w:r w:rsidRPr="009B0E34">
        <w:rPr>
          <w:sz w:val="24"/>
          <w:szCs w:val="24"/>
          <w:lang w:val="en-US"/>
        </w:rPr>
        <w:t xml:space="preserve"> the </w:t>
      </w:r>
      <w:r w:rsidR="000D268F" w:rsidRPr="009B0E34">
        <w:rPr>
          <w:sz w:val="24"/>
          <w:szCs w:val="24"/>
          <w:lang w:val="en-US"/>
        </w:rPr>
        <w:t xml:space="preserve">right </w:t>
      </w:r>
      <w:r w:rsidRPr="009B0E34">
        <w:rPr>
          <w:sz w:val="24"/>
          <w:szCs w:val="24"/>
          <w:lang w:val="en-US"/>
        </w:rPr>
        <w:t xml:space="preserve">flexibility for an asset manager to react depending on current and potential market condition is fundamental. </w:t>
      </w:r>
    </w:p>
    <w:p w14:paraId="6DF01BC4" w14:textId="77777777" w:rsidR="0063602C" w:rsidRPr="00FD2E8C" w:rsidRDefault="0063602C" w:rsidP="004F7BA3">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43B24318" w14:textId="7C45F05E" w:rsidR="004F7BA3" w:rsidRPr="00FD2E8C" w:rsidRDefault="00733057" w:rsidP="004F7BA3">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FD2E8C">
        <w:rPr>
          <w:sz w:val="24"/>
          <w:szCs w:val="24"/>
          <w:lang w:val="en-US"/>
        </w:rPr>
        <w:t xml:space="preserve">A macroprudential policy for </w:t>
      </w:r>
      <w:r w:rsidR="00EF2E9A" w:rsidRPr="00FD2E8C">
        <w:rPr>
          <w:sz w:val="24"/>
          <w:szCs w:val="24"/>
          <w:lang w:val="en-US"/>
        </w:rPr>
        <w:t>NBFIs</w:t>
      </w:r>
      <w:r w:rsidRPr="00FD2E8C">
        <w:rPr>
          <w:sz w:val="24"/>
          <w:szCs w:val="24"/>
          <w:lang w:val="en-US"/>
        </w:rPr>
        <w:t xml:space="preserve"> could positively impact the Capital Markets Union (CMU) agenda if it effectively addresses liquidity imbalances during stress periods without imposing undue regulatory burdens.</w:t>
      </w:r>
    </w:p>
    <w:p w14:paraId="6201DA1B" w14:textId="77777777" w:rsidR="0039166F" w:rsidRPr="00FD2E8C" w:rsidRDefault="0039166F" w:rsidP="00003B05">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478E7E40" w14:textId="06FB81B2" w:rsidR="00B42DCC" w:rsidRPr="00003B05" w:rsidRDefault="00B42DCC" w:rsidP="00B42DC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FD2E8C">
        <w:rPr>
          <w:sz w:val="24"/>
          <w:szCs w:val="24"/>
          <w:lang w:val="en-US"/>
        </w:rPr>
        <w:t xml:space="preserve">In </w:t>
      </w:r>
      <w:r w:rsidR="00CD4C81" w:rsidRPr="009B0E34">
        <w:rPr>
          <w:sz w:val="24"/>
          <w:szCs w:val="24"/>
          <w:lang w:val="en-US"/>
        </w:rPr>
        <w:t>addition</w:t>
      </w:r>
      <w:r w:rsidRPr="00FD2E8C">
        <w:rPr>
          <w:sz w:val="24"/>
          <w:szCs w:val="24"/>
          <w:lang w:val="en-US"/>
        </w:rPr>
        <w:t xml:space="preserve">, </w:t>
      </w:r>
      <w:r w:rsidR="00761CFB" w:rsidRPr="009B0E34">
        <w:rPr>
          <w:sz w:val="24"/>
          <w:szCs w:val="24"/>
          <w:lang w:val="en-US"/>
        </w:rPr>
        <w:t xml:space="preserve">in case of market stress, </w:t>
      </w:r>
      <w:r w:rsidRPr="00FD2E8C">
        <w:rPr>
          <w:sz w:val="24"/>
          <w:szCs w:val="24"/>
          <w:lang w:val="en-US"/>
        </w:rPr>
        <w:t>the treatment of investment funds in the same manner as other investors is crucial. Differentiating between funds and direct investors could create an unlevel playing field, penalizing clients who invest through funds and hindering the industry's ability to deliver economies of scale crucial for capital market success.</w:t>
      </w:r>
    </w:p>
    <w:p w14:paraId="28C4C5AA" w14:textId="77777777" w:rsidR="004F7BA3" w:rsidRPr="00996921" w:rsidRDefault="004F7BA3" w:rsidP="004F7BA3">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1FDFCB59" w14:textId="77777777" w:rsidR="004F7BA3" w:rsidRDefault="004F7BA3" w:rsidP="004F7BA3">
      <w:pPr>
        <w:pBdr>
          <w:top w:val="nil"/>
          <w:left w:val="nil"/>
          <w:bottom w:val="nil"/>
          <w:right w:val="nil"/>
          <w:between w:val="nil"/>
          <w:bar w:val="nil"/>
        </w:pBdr>
        <w:spacing w:after="0" w:line="280" w:lineRule="exact"/>
        <w:jc w:val="both"/>
        <w:rPr>
          <w:b/>
          <w:bCs/>
          <w:sz w:val="24"/>
          <w:szCs w:val="24"/>
          <w:lang w:val="en-US"/>
        </w:rPr>
      </w:pPr>
    </w:p>
    <w:p w14:paraId="651DEC5C" w14:textId="77777777" w:rsidR="005A4BD2" w:rsidRPr="005A4BD2" w:rsidRDefault="005A4BD2" w:rsidP="005A4BD2">
      <w:pPr>
        <w:pBdr>
          <w:top w:val="nil"/>
          <w:left w:val="nil"/>
          <w:bottom w:val="nil"/>
          <w:right w:val="nil"/>
          <w:between w:val="nil"/>
          <w:bar w:val="nil"/>
        </w:pBdr>
        <w:spacing w:after="0" w:line="280" w:lineRule="exact"/>
        <w:jc w:val="both"/>
        <w:rPr>
          <w:b/>
          <w:bCs/>
          <w:sz w:val="24"/>
          <w:szCs w:val="24"/>
          <w:u w:val="single"/>
          <w:lang w:val="en-US"/>
        </w:rPr>
      </w:pPr>
      <w:r w:rsidRPr="005A4BD2">
        <w:rPr>
          <w:b/>
          <w:bCs/>
          <w:sz w:val="24"/>
          <w:szCs w:val="24"/>
          <w:u w:val="single"/>
          <w:lang w:val="en-US"/>
        </w:rPr>
        <w:t>3. Unmitigated liquidity mismatches</w:t>
      </w:r>
    </w:p>
    <w:p w14:paraId="5492EC6B" w14:textId="77777777" w:rsidR="005A4BD2" w:rsidRDefault="005A4BD2" w:rsidP="005A4BD2">
      <w:pPr>
        <w:pBdr>
          <w:top w:val="nil"/>
          <w:left w:val="nil"/>
          <w:bottom w:val="nil"/>
          <w:right w:val="nil"/>
          <w:between w:val="nil"/>
          <w:bar w:val="nil"/>
        </w:pBdr>
        <w:spacing w:after="0" w:line="280" w:lineRule="exact"/>
        <w:jc w:val="both"/>
        <w:rPr>
          <w:b/>
          <w:bCs/>
          <w:sz w:val="24"/>
          <w:szCs w:val="24"/>
          <w:u w:val="single"/>
          <w:lang w:val="en-US"/>
        </w:rPr>
      </w:pPr>
    </w:p>
    <w:p w14:paraId="22C2F02D" w14:textId="20AAD3FA" w:rsidR="004F7BA3" w:rsidRPr="005A4BD2" w:rsidRDefault="005A4BD2" w:rsidP="005A4BD2">
      <w:pPr>
        <w:pBdr>
          <w:top w:val="nil"/>
          <w:left w:val="nil"/>
          <w:bottom w:val="nil"/>
          <w:right w:val="nil"/>
          <w:between w:val="nil"/>
          <w:bar w:val="nil"/>
        </w:pBdr>
        <w:spacing w:after="0" w:line="280" w:lineRule="exact"/>
        <w:jc w:val="both"/>
        <w:rPr>
          <w:b/>
          <w:bCs/>
          <w:sz w:val="24"/>
          <w:szCs w:val="24"/>
          <w:u w:val="single"/>
          <w:lang w:val="en-US"/>
        </w:rPr>
      </w:pPr>
      <w:r w:rsidRPr="005A4BD2">
        <w:rPr>
          <w:b/>
          <w:bCs/>
          <w:sz w:val="24"/>
          <w:szCs w:val="24"/>
          <w:u w:val="single"/>
          <w:lang w:val="en-US"/>
        </w:rPr>
        <w:t>3.1 Money Market Funds (MMFs)</w:t>
      </w:r>
    </w:p>
    <w:p w14:paraId="0557076A" w14:textId="77777777" w:rsidR="005A4BD2" w:rsidRDefault="005A4BD2" w:rsidP="005A4BD2">
      <w:pPr>
        <w:pBdr>
          <w:top w:val="nil"/>
          <w:left w:val="nil"/>
          <w:bottom w:val="nil"/>
          <w:right w:val="nil"/>
          <w:between w:val="nil"/>
          <w:bar w:val="nil"/>
        </w:pBdr>
        <w:spacing w:after="0" w:line="280" w:lineRule="exact"/>
        <w:jc w:val="both"/>
        <w:rPr>
          <w:b/>
          <w:bCs/>
          <w:sz w:val="24"/>
          <w:szCs w:val="24"/>
          <w:lang w:val="en-US"/>
        </w:rPr>
      </w:pPr>
    </w:p>
    <w:p w14:paraId="02508A00" w14:textId="77777777" w:rsidR="00180410" w:rsidRPr="00610932" w:rsidRDefault="00180410" w:rsidP="00180410">
      <w:pPr>
        <w:pBdr>
          <w:top w:val="nil"/>
          <w:left w:val="nil"/>
          <w:bottom w:val="nil"/>
          <w:right w:val="nil"/>
          <w:between w:val="nil"/>
          <w:bar w:val="nil"/>
        </w:pBdr>
        <w:spacing w:after="0" w:line="280" w:lineRule="exact"/>
        <w:jc w:val="both"/>
        <w:rPr>
          <w:b/>
          <w:bCs/>
          <w:i/>
          <w:iCs/>
          <w:sz w:val="24"/>
          <w:szCs w:val="24"/>
          <w:lang w:val="en-US"/>
        </w:rPr>
      </w:pPr>
      <w:r w:rsidRPr="00610932">
        <w:rPr>
          <w:b/>
          <w:bCs/>
          <w:i/>
          <w:iCs/>
          <w:sz w:val="24"/>
          <w:szCs w:val="24"/>
          <w:lang w:val="en-US"/>
        </w:rPr>
        <w:t>Supervisory powers</w:t>
      </w:r>
    </w:p>
    <w:p w14:paraId="0A6A0A9F" w14:textId="77777777" w:rsidR="000C282F" w:rsidRPr="00180410" w:rsidRDefault="000C282F" w:rsidP="00180410">
      <w:pPr>
        <w:pBdr>
          <w:top w:val="nil"/>
          <w:left w:val="nil"/>
          <w:bottom w:val="nil"/>
          <w:right w:val="nil"/>
          <w:between w:val="nil"/>
          <w:bar w:val="nil"/>
        </w:pBdr>
        <w:spacing w:after="0" w:line="280" w:lineRule="exact"/>
        <w:jc w:val="both"/>
        <w:rPr>
          <w:b/>
          <w:bCs/>
          <w:sz w:val="24"/>
          <w:szCs w:val="24"/>
          <w:lang w:val="en-US"/>
        </w:rPr>
      </w:pPr>
    </w:p>
    <w:p w14:paraId="66CAD4A6" w14:textId="77777777" w:rsidR="00180410" w:rsidRDefault="00180410" w:rsidP="00180410">
      <w:pPr>
        <w:pBdr>
          <w:top w:val="nil"/>
          <w:left w:val="nil"/>
          <w:bottom w:val="nil"/>
          <w:right w:val="nil"/>
          <w:between w:val="nil"/>
          <w:bar w:val="nil"/>
        </w:pBdr>
        <w:spacing w:after="0" w:line="280" w:lineRule="exact"/>
        <w:jc w:val="both"/>
        <w:rPr>
          <w:b/>
          <w:bCs/>
          <w:sz w:val="24"/>
          <w:szCs w:val="24"/>
          <w:lang w:val="en-US"/>
        </w:rPr>
      </w:pPr>
      <w:r w:rsidRPr="00180410">
        <w:rPr>
          <w:b/>
          <w:bCs/>
          <w:sz w:val="24"/>
          <w:szCs w:val="24"/>
          <w:lang w:val="en-US"/>
        </w:rPr>
        <w:t>Question 8. What are pros and cons of giving the competent authority the power to increase liquidity buffer requirements on an individual or collective basis in the event of system-wide financial stability risks? Under which other situation do you believe MMF liquidity buffers should be increased on an individual or collective basis by the competent authority? Please explain.</w:t>
      </w:r>
    </w:p>
    <w:p w14:paraId="4E09C9A3" w14:textId="77777777" w:rsidR="000C282F" w:rsidRPr="00996921" w:rsidRDefault="000C282F" w:rsidP="000C282F">
      <w:pPr>
        <w:pBdr>
          <w:top w:val="nil"/>
          <w:left w:val="nil"/>
          <w:bottom w:val="nil"/>
          <w:right w:val="nil"/>
          <w:between w:val="nil"/>
          <w:bar w:val="nil"/>
        </w:pBdr>
        <w:spacing w:after="0" w:line="280" w:lineRule="exact"/>
        <w:jc w:val="both"/>
        <w:rPr>
          <w:b/>
          <w:bCs/>
          <w:sz w:val="24"/>
          <w:szCs w:val="24"/>
          <w:lang w:val="en-US"/>
        </w:rPr>
      </w:pPr>
    </w:p>
    <w:p w14:paraId="5523D7BF" w14:textId="77777777" w:rsidR="00F6519B" w:rsidRDefault="00F6519B" w:rsidP="000C282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75882EA5" w14:textId="3D304870" w:rsidR="000C282F" w:rsidRDefault="002F49AA" w:rsidP="000C282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 xml:space="preserve">Assogestioni </w:t>
      </w:r>
      <w:r w:rsidRPr="002F49AA">
        <w:rPr>
          <w:sz w:val="24"/>
          <w:szCs w:val="24"/>
          <w:lang w:val="en-US"/>
        </w:rPr>
        <w:t xml:space="preserve">strongly opposes </w:t>
      </w:r>
      <w:r w:rsidR="00B879C9">
        <w:rPr>
          <w:sz w:val="24"/>
          <w:szCs w:val="24"/>
          <w:lang w:val="en-US"/>
        </w:rPr>
        <w:t>giving the</w:t>
      </w:r>
      <w:r w:rsidRPr="002F49AA">
        <w:rPr>
          <w:sz w:val="24"/>
          <w:szCs w:val="24"/>
          <w:lang w:val="en-US"/>
        </w:rPr>
        <w:t xml:space="preserve"> NCAs the power to </w:t>
      </w:r>
      <w:r w:rsidR="00E77476">
        <w:rPr>
          <w:sz w:val="24"/>
          <w:szCs w:val="24"/>
          <w:lang w:val="en-US"/>
        </w:rPr>
        <w:t>increase</w:t>
      </w:r>
      <w:r w:rsidRPr="002F49AA">
        <w:rPr>
          <w:sz w:val="24"/>
          <w:szCs w:val="24"/>
          <w:lang w:val="en-US"/>
        </w:rPr>
        <w:t xml:space="preserve"> MMF liquidity buffers</w:t>
      </w:r>
      <w:r w:rsidR="00F063BE">
        <w:rPr>
          <w:sz w:val="24"/>
          <w:szCs w:val="24"/>
          <w:lang w:val="en-US"/>
        </w:rPr>
        <w:t xml:space="preserve"> </w:t>
      </w:r>
      <w:r w:rsidR="003E2C7F">
        <w:rPr>
          <w:sz w:val="24"/>
          <w:szCs w:val="24"/>
          <w:lang w:val="en-US"/>
        </w:rPr>
        <w:t>on</w:t>
      </w:r>
      <w:r w:rsidR="00E54964">
        <w:rPr>
          <w:sz w:val="24"/>
          <w:szCs w:val="24"/>
          <w:lang w:val="en-US"/>
        </w:rPr>
        <w:t xml:space="preserve"> and </w:t>
      </w:r>
      <w:r w:rsidR="003E2C7F">
        <w:rPr>
          <w:sz w:val="24"/>
          <w:szCs w:val="24"/>
          <w:lang w:val="en-US"/>
        </w:rPr>
        <w:t>individual or collec</w:t>
      </w:r>
      <w:r w:rsidR="003B564B">
        <w:rPr>
          <w:sz w:val="24"/>
          <w:szCs w:val="24"/>
          <w:lang w:val="en-US"/>
        </w:rPr>
        <w:t>tive</w:t>
      </w:r>
      <w:r w:rsidR="009E116D">
        <w:rPr>
          <w:sz w:val="24"/>
          <w:szCs w:val="24"/>
          <w:lang w:val="en-US"/>
        </w:rPr>
        <w:t xml:space="preserve"> </w:t>
      </w:r>
      <w:r w:rsidR="008C75D4">
        <w:rPr>
          <w:sz w:val="24"/>
          <w:szCs w:val="24"/>
          <w:lang w:val="en-US"/>
        </w:rPr>
        <w:t xml:space="preserve">basis </w:t>
      </w:r>
      <w:r w:rsidR="00F063BE">
        <w:rPr>
          <w:sz w:val="24"/>
          <w:szCs w:val="24"/>
          <w:lang w:val="en-US"/>
        </w:rPr>
        <w:t xml:space="preserve">to mitigate </w:t>
      </w:r>
      <w:r w:rsidR="00E54964">
        <w:rPr>
          <w:sz w:val="24"/>
          <w:szCs w:val="24"/>
          <w:lang w:val="en-US"/>
        </w:rPr>
        <w:t xml:space="preserve">systemic risk and </w:t>
      </w:r>
      <w:r w:rsidR="008A209E">
        <w:rPr>
          <w:sz w:val="24"/>
          <w:szCs w:val="24"/>
          <w:lang w:val="en-US"/>
        </w:rPr>
        <w:t>ensure market stability</w:t>
      </w:r>
      <w:r w:rsidRPr="002F49AA">
        <w:rPr>
          <w:sz w:val="24"/>
          <w:szCs w:val="24"/>
          <w:lang w:val="en-US"/>
        </w:rPr>
        <w:t xml:space="preserve">. Despite acknowledging the differences between banks and investment funds, the consultation paper proposes a </w:t>
      </w:r>
      <w:r w:rsidR="00C64230">
        <w:rPr>
          <w:sz w:val="24"/>
          <w:szCs w:val="24"/>
          <w:lang w:val="en-US"/>
        </w:rPr>
        <w:t>“</w:t>
      </w:r>
      <w:r w:rsidRPr="002F49AA">
        <w:rPr>
          <w:sz w:val="24"/>
          <w:szCs w:val="24"/>
          <w:lang w:val="en-US"/>
        </w:rPr>
        <w:t>bank-specific</w:t>
      </w:r>
      <w:r w:rsidR="00C64230">
        <w:rPr>
          <w:sz w:val="24"/>
          <w:szCs w:val="24"/>
          <w:lang w:val="en-US"/>
        </w:rPr>
        <w:t>”</w:t>
      </w:r>
      <w:r w:rsidRPr="002F49AA">
        <w:rPr>
          <w:sz w:val="24"/>
          <w:szCs w:val="24"/>
          <w:lang w:val="en-US"/>
        </w:rPr>
        <w:t xml:space="preserve"> solution. </w:t>
      </w:r>
    </w:p>
    <w:p w14:paraId="05FEF8C0" w14:textId="77777777" w:rsidR="00AC7FB1" w:rsidRDefault="00AC7FB1" w:rsidP="00351490">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0E2AD8AF" w14:textId="5666A4EC" w:rsidR="00351490" w:rsidRDefault="001A5235" w:rsidP="00351490">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Since liquidity buffer</w:t>
      </w:r>
      <w:r w:rsidR="0070110D">
        <w:rPr>
          <w:sz w:val="24"/>
          <w:szCs w:val="24"/>
          <w:lang w:val="en-US"/>
        </w:rPr>
        <w:t>s</w:t>
      </w:r>
      <w:r>
        <w:rPr>
          <w:sz w:val="24"/>
          <w:szCs w:val="24"/>
          <w:lang w:val="en-US"/>
        </w:rPr>
        <w:t xml:space="preserve"> could have </w:t>
      </w:r>
      <w:r w:rsidR="00661F02">
        <w:rPr>
          <w:sz w:val="24"/>
          <w:szCs w:val="24"/>
          <w:lang w:val="en-US"/>
        </w:rPr>
        <w:t>unintended</w:t>
      </w:r>
      <w:r>
        <w:rPr>
          <w:sz w:val="24"/>
          <w:szCs w:val="24"/>
          <w:lang w:val="en-US"/>
        </w:rPr>
        <w:t xml:space="preserve"> </w:t>
      </w:r>
      <w:r w:rsidR="00661F02">
        <w:rPr>
          <w:sz w:val="24"/>
          <w:szCs w:val="24"/>
          <w:lang w:val="en-US"/>
        </w:rPr>
        <w:t xml:space="preserve">consequences and prompt pro-cyclical </w:t>
      </w:r>
      <w:r w:rsidR="00D701BD">
        <w:rPr>
          <w:sz w:val="24"/>
          <w:szCs w:val="24"/>
          <w:lang w:val="en-US"/>
        </w:rPr>
        <w:t>behaviors</w:t>
      </w:r>
      <w:r w:rsidR="00093B20">
        <w:rPr>
          <w:sz w:val="24"/>
          <w:szCs w:val="24"/>
          <w:lang w:val="en-US"/>
        </w:rPr>
        <w:t xml:space="preserve"> from investors and </w:t>
      </w:r>
      <w:proofErr w:type="gramStart"/>
      <w:r w:rsidR="00093B20">
        <w:rPr>
          <w:sz w:val="24"/>
          <w:szCs w:val="24"/>
          <w:lang w:val="en-US"/>
        </w:rPr>
        <w:t>manager</w:t>
      </w:r>
      <w:proofErr w:type="gramEnd"/>
      <w:r w:rsidR="00093B20">
        <w:rPr>
          <w:sz w:val="24"/>
          <w:szCs w:val="24"/>
          <w:lang w:val="en-US"/>
        </w:rPr>
        <w:t>, w</w:t>
      </w:r>
      <w:r w:rsidR="00351490" w:rsidRPr="002F49AA">
        <w:rPr>
          <w:sz w:val="24"/>
          <w:szCs w:val="24"/>
          <w:lang w:val="en-US"/>
        </w:rPr>
        <w:t xml:space="preserve">e therefore </w:t>
      </w:r>
      <w:r w:rsidR="00B96257">
        <w:rPr>
          <w:sz w:val="24"/>
          <w:szCs w:val="24"/>
          <w:lang w:val="en-US"/>
        </w:rPr>
        <w:t xml:space="preserve">disagree </w:t>
      </w:r>
      <w:r w:rsidR="00351490" w:rsidRPr="002F49AA">
        <w:rPr>
          <w:sz w:val="24"/>
          <w:szCs w:val="24"/>
          <w:lang w:val="en-US"/>
        </w:rPr>
        <w:t xml:space="preserve">of empowering NCAs to </w:t>
      </w:r>
      <w:r w:rsidR="005A0F7F">
        <w:rPr>
          <w:sz w:val="24"/>
          <w:szCs w:val="24"/>
          <w:lang w:val="en-US"/>
        </w:rPr>
        <w:t xml:space="preserve">increase </w:t>
      </w:r>
      <w:r w:rsidR="00D701BD">
        <w:rPr>
          <w:sz w:val="24"/>
          <w:szCs w:val="24"/>
          <w:lang w:val="en-US"/>
        </w:rPr>
        <w:t>MMF liquidity buffer</w:t>
      </w:r>
      <w:r w:rsidR="00351490" w:rsidRPr="002F49AA">
        <w:rPr>
          <w:sz w:val="24"/>
          <w:szCs w:val="24"/>
          <w:lang w:val="en-US"/>
        </w:rPr>
        <w:t>.</w:t>
      </w:r>
    </w:p>
    <w:p w14:paraId="1A00BFC8" w14:textId="77777777" w:rsidR="00AC7FB1" w:rsidRDefault="00AC7FB1" w:rsidP="000C282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04725E8A" w14:textId="219987F0" w:rsidR="000C282F" w:rsidRDefault="00AC7FB1" w:rsidP="000C282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AC7FB1">
        <w:rPr>
          <w:sz w:val="24"/>
          <w:szCs w:val="24"/>
          <w:lang w:val="en-US"/>
        </w:rPr>
        <w:t>Recent regulatory developments, such as the AIFMD/UCITS review and the FSB/IOSCO recommendations on OEF liquidity management, emphasize the importance of assigning primary responsibility for liquidity management to fund managers. Any modifications to liquidity buffer requirements imposed by public authorities would directly contravene this principle.</w:t>
      </w:r>
    </w:p>
    <w:p w14:paraId="2132B1B9" w14:textId="77777777" w:rsidR="00AC7FB1" w:rsidRPr="00996921" w:rsidRDefault="00AC7FB1" w:rsidP="000C282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32A18B82" w14:textId="77777777" w:rsidR="000C282F" w:rsidRDefault="000C282F" w:rsidP="000C282F">
      <w:pPr>
        <w:pBdr>
          <w:top w:val="nil"/>
          <w:left w:val="nil"/>
          <w:bottom w:val="nil"/>
          <w:right w:val="nil"/>
          <w:between w:val="nil"/>
          <w:bar w:val="nil"/>
        </w:pBdr>
        <w:spacing w:after="0" w:line="280" w:lineRule="exact"/>
        <w:jc w:val="both"/>
        <w:rPr>
          <w:b/>
          <w:bCs/>
          <w:sz w:val="24"/>
          <w:szCs w:val="24"/>
          <w:lang w:val="en-US"/>
        </w:rPr>
      </w:pPr>
    </w:p>
    <w:p w14:paraId="0E4CDC6C" w14:textId="77777777" w:rsidR="00180410" w:rsidRDefault="00180410" w:rsidP="00180410">
      <w:pPr>
        <w:pBdr>
          <w:top w:val="nil"/>
          <w:left w:val="nil"/>
          <w:bottom w:val="nil"/>
          <w:right w:val="nil"/>
          <w:between w:val="nil"/>
          <w:bar w:val="nil"/>
        </w:pBdr>
        <w:spacing w:after="0" w:line="280" w:lineRule="exact"/>
        <w:jc w:val="both"/>
        <w:rPr>
          <w:b/>
          <w:bCs/>
          <w:sz w:val="24"/>
          <w:szCs w:val="24"/>
          <w:lang w:val="en-US"/>
        </w:rPr>
      </w:pPr>
      <w:r w:rsidRPr="00180410">
        <w:rPr>
          <w:b/>
          <w:bCs/>
          <w:sz w:val="24"/>
          <w:szCs w:val="24"/>
          <w:lang w:val="en-US"/>
        </w:rPr>
        <w:t>Question 9. How can ESMA and ESRB ensure coordination and the proper use of this power and what could be their individual roles? Please provide specific examples or scenarios to support your view.</w:t>
      </w:r>
    </w:p>
    <w:p w14:paraId="4793F153" w14:textId="77777777" w:rsidR="000C282F" w:rsidRPr="00996921" w:rsidRDefault="000C282F" w:rsidP="000C282F">
      <w:pPr>
        <w:pBdr>
          <w:top w:val="nil"/>
          <w:left w:val="nil"/>
          <w:bottom w:val="nil"/>
          <w:right w:val="nil"/>
          <w:between w:val="nil"/>
          <w:bar w:val="nil"/>
        </w:pBdr>
        <w:spacing w:after="0" w:line="280" w:lineRule="exact"/>
        <w:jc w:val="both"/>
        <w:rPr>
          <w:b/>
          <w:bCs/>
          <w:sz w:val="24"/>
          <w:szCs w:val="24"/>
          <w:lang w:val="en-US"/>
        </w:rPr>
      </w:pPr>
    </w:p>
    <w:p w14:paraId="119DC89C" w14:textId="77777777" w:rsidR="000C282F" w:rsidRDefault="000C282F" w:rsidP="000C282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6D25B8C6" w14:textId="77777777" w:rsidR="000C282F" w:rsidRDefault="000C282F" w:rsidP="000C282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5B2E754B" w14:textId="77777777" w:rsidR="000C282F" w:rsidRPr="00996921" w:rsidRDefault="000C282F" w:rsidP="000C282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2056B7B5" w14:textId="77777777" w:rsidR="000C282F" w:rsidRDefault="000C282F" w:rsidP="000C282F">
      <w:pPr>
        <w:pBdr>
          <w:top w:val="nil"/>
          <w:left w:val="nil"/>
          <w:bottom w:val="nil"/>
          <w:right w:val="nil"/>
          <w:between w:val="nil"/>
          <w:bar w:val="nil"/>
        </w:pBdr>
        <w:spacing w:after="0" w:line="280" w:lineRule="exact"/>
        <w:jc w:val="both"/>
        <w:rPr>
          <w:b/>
          <w:bCs/>
          <w:sz w:val="24"/>
          <w:szCs w:val="24"/>
          <w:lang w:val="en-US"/>
        </w:rPr>
      </w:pPr>
    </w:p>
    <w:p w14:paraId="295AF61A" w14:textId="77777777" w:rsidR="000C282F" w:rsidRPr="00180410" w:rsidRDefault="000C282F" w:rsidP="00180410">
      <w:pPr>
        <w:pBdr>
          <w:top w:val="nil"/>
          <w:left w:val="nil"/>
          <w:bottom w:val="nil"/>
          <w:right w:val="nil"/>
          <w:between w:val="nil"/>
          <w:bar w:val="nil"/>
        </w:pBdr>
        <w:spacing w:after="0" w:line="280" w:lineRule="exact"/>
        <w:jc w:val="both"/>
        <w:rPr>
          <w:b/>
          <w:bCs/>
          <w:sz w:val="24"/>
          <w:szCs w:val="24"/>
          <w:lang w:val="en-US"/>
        </w:rPr>
      </w:pPr>
    </w:p>
    <w:p w14:paraId="35B0C5DF" w14:textId="77777777" w:rsidR="00180410" w:rsidRPr="00610932" w:rsidRDefault="00180410" w:rsidP="00180410">
      <w:pPr>
        <w:pBdr>
          <w:top w:val="nil"/>
          <w:left w:val="nil"/>
          <w:bottom w:val="nil"/>
          <w:right w:val="nil"/>
          <w:between w:val="nil"/>
          <w:bar w:val="nil"/>
        </w:pBdr>
        <w:spacing w:after="0" w:line="280" w:lineRule="exact"/>
        <w:jc w:val="both"/>
        <w:rPr>
          <w:b/>
          <w:bCs/>
          <w:i/>
          <w:iCs/>
          <w:sz w:val="24"/>
          <w:szCs w:val="24"/>
          <w:lang w:val="en-US"/>
        </w:rPr>
      </w:pPr>
      <w:r w:rsidRPr="00610932">
        <w:rPr>
          <w:b/>
          <w:bCs/>
          <w:i/>
          <w:iCs/>
          <w:sz w:val="24"/>
          <w:szCs w:val="24"/>
          <w:lang w:val="en-US"/>
        </w:rPr>
        <w:t>Reporting requirements</w:t>
      </w:r>
    </w:p>
    <w:p w14:paraId="156558A5" w14:textId="77777777" w:rsidR="000C282F" w:rsidRPr="00180410" w:rsidRDefault="000C282F" w:rsidP="00180410">
      <w:pPr>
        <w:pBdr>
          <w:top w:val="nil"/>
          <w:left w:val="nil"/>
          <w:bottom w:val="nil"/>
          <w:right w:val="nil"/>
          <w:between w:val="nil"/>
          <w:bar w:val="nil"/>
        </w:pBdr>
        <w:spacing w:after="0" w:line="280" w:lineRule="exact"/>
        <w:jc w:val="both"/>
        <w:rPr>
          <w:b/>
          <w:bCs/>
          <w:sz w:val="24"/>
          <w:szCs w:val="24"/>
          <w:lang w:val="en-US"/>
        </w:rPr>
      </w:pPr>
    </w:p>
    <w:p w14:paraId="59A3BD0C" w14:textId="77777777" w:rsidR="00180410" w:rsidRDefault="00180410" w:rsidP="00180410">
      <w:pPr>
        <w:pBdr>
          <w:top w:val="nil"/>
          <w:left w:val="nil"/>
          <w:bottom w:val="nil"/>
          <w:right w:val="nil"/>
          <w:between w:val="nil"/>
          <w:bar w:val="nil"/>
        </w:pBdr>
        <w:spacing w:after="0" w:line="280" w:lineRule="exact"/>
        <w:jc w:val="both"/>
        <w:rPr>
          <w:b/>
          <w:bCs/>
          <w:sz w:val="24"/>
          <w:szCs w:val="24"/>
          <w:lang w:val="en-US"/>
        </w:rPr>
      </w:pPr>
      <w:r w:rsidRPr="00180410">
        <w:rPr>
          <w:b/>
          <w:bCs/>
          <w:sz w:val="24"/>
          <w:szCs w:val="24"/>
          <w:lang w:val="en-US"/>
        </w:rPr>
        <w:t>Question 10. In view of the new UCITS supervisory reporting obligations and improvements to AIFMD reporting, how could reporting requirements under the MMFR be aligned, simplified and improved to identify stability risks (such as liquidity risks) and to ensure more efficient data sharing?</w:t>
      </w:r>
    </w:p>
    <w:p w14:paraId="709D9998" w14:textId="77777777" w:rsidR="000C282F" w:rsidRPr="00996921" w:rsidRDefault="000C282F" w:rsidP="000C282F">
      <w:pPr>
        <w:pBdr>
          <w:top w:val="nil"/>
          <w:left w:val="nil"/>
          <w:bottom w:val="nil"/>
          <w:right w:val="nil"/>
          <w:between w:val="nil"/>
          <w:bar w:val="nil"/>
        </w:pBdr>
        <w:spacing w:after="0" w:line="280" w:lineRule="exact"/>
        <w:jc w:val="both"/>
        <w:rPr>
          <w:b/>
          <w:bCs/>
          <w:sz w:val="24"/>
          <w:szCs w:val="24"/>
          <w:lang w:val="en-US"/>
        </w:rPr>
      </w:pPr>
    </w:p>
    <w:p w14:paraId="304BFC66" w14:textId="77777777" w:rsidR="006C1746" w:rsidRPr="009B0E34" w:rsidRDefault="006C1746" w:rsidP="000C282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lang w:val="en-US"/>
        </w:rPr>
      </w:pPr>
    </w:p>
    <w:p w14:paraId="521024A5" w14:textId="708B44D3" w:rsidR="00694C3E" w:rsidRPr="009B0E34" w:rsidRDefault="005D230F" w:rsidP="00E978D9">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A31944">
        <w:rPr>
          <w:sz w:val="24"/>
          <w:szCs w:val="24"/>
          <w:lang w:val="en-US"/>
        </w:rPr>
        <w:t xml:space="preserve">In the </w:t>
      </w:r>
      <w:r w:rsidR="006C0454" w:rsidRPr="00A31944">
        <w:rPr>
          <w:sz w:val="24"/>
          <w:szCs w:val="24"/>
          <w:lang w:val="en-US"/>
        </w:rPr>
        <w:t>UCITS</w:t>
      </w:r>
      <w:r w:rsidR="006C0454" w:rsidRPr="009B0E34">
        <w:rPr>
          <w:sz w:val="24"/>
          <w:szCs w:val="24"/>
          <w:lang w:val="en-US"/>
        </w:rPr>
        <w:t xml:space="preserve">D and AIFMD </w:t>
      </w:r>
      <w:r w:rsidR="00FE1100" w:rsidRPr="009B0E34">
        <w:rPr>
          <w:sz w:val="24"/>
          <w:szCs w:val="24"/>
          <w:lang w:val="en-US"/>
        </w:rPr>
        <w:t xml:space="preserve">review </w:t>
      </w:r>
      <w:r w:rsidRPr="009B0E34">
        <w:rPr>
          <w:sz w:val="24"/>
          <w:szCs w:val="24"/>
          <w:lang w:val="en-US"/>
        </w:rPr>
        <w:t xml:space="preserve">there is a </w:t>
      </w:r>
      <w:r w:rsidR="006E2DEF" w:rsidRPr="009B0E34">
        <w:rPr>
          <w:sz w:val="24"/>
          <w:szCs w:val="24"/>
          <w:lang w:val="en-US"/>
        </w:rPr>
        <w:t xml:space="preserve">mandate to </w:t>
      </w:r>
      <w:r w:rsidR="003522E5" w:rsidRPr="009B0E34">
        <w:rPr>
          <w:sz w:val="24"/>
          <w:szCs w:val="24"/>
          <w:lang w:val="en-US"/>
        </w:rPr>
        <w:t xml:space="preserve">streamline </w:t>
      </w:r>
      <w:r w:rsidRPr="009B0E34">
        <w:rPr>
          <w:sz w:val="24"/>
          <w:szCs w:val="24"/>
          <w:lang w:val="en-US"/>
        </w:rPr>
        <w:t xml:space="preserve">and make a more </w:t>
      </w:r>
      <w:proofErr w:type="gramStart"/>
      <w:r w:rsidR="003522E5" w:rsidRPr="009B0E34">
        <w:rPr>
          <w:sz w:val="24"/>
          <w:szCs w:val="24"/>
          <w:lang w:val="en-US"/>
        </w:rPr>
        <w:t>integrate</w:t>
      </w:r>
      <w:proofErr w:type="gramEnd"/>
      <w:r w:rsidR="003522E5" w:rsidRPr="009B0E34">
        <w:rPr>
          <w:sz w:val="24"/>
          <w:szCs w:val="24"/>
          <w:lang w:val="en-US"/>
        </w:rPr>
        <w:t xml:space="preserve"> system of reporting</w:t>
      </w:r>
      <w:r w:rsidR="00965D37" w:rsidRPr="009B0E34">
        <w:rPr>
          <w:sz w:val="24"/>
          <w:szCs w:val="24"/>
          <w:lang w:val="en-US"/>
        </w:rPr>
        <w:t xml:space="preserve">, but </w:t>
      </w:r>
      <w:r w:rsidR="003522E5" w:rsidRPr="009B0E34">
        <w:rPr>
          <w:sz w:val="24"/>
          <w:szCs w:val="24"/>
          <w:lang w:val="en-US"/>
        </w:rPr>
        <w:t>MMFs are out of scope</w:t>
      </w:r>
      <w:r w:rsidR="00965D37" w:rsidRPr="009B0E34">
        <w:rPr>
          <w:sz w:val="24"/>
          <w:szCs w:val="24"/>
          <w:lang w:val="en-US"/>
        </w:rPr>
        <w:t>.</w:t>
      </w:r>
      <w:r w:rsidR="00A042EF" w:rsidRPr="009B0E34">
        <w:rPr>
          <w:sz w:val="24"/>
          <w:szCs w:val="24"/>
          <w:lang w:val="en-US"/>
        </w:rPr>
        <w:t xml:space="preserve"> </w:t>
      </w:r>
      <w:r w:rsidR="006E2DEF" w:rsidRPr="009B0E34">
        <w:rPr>
          <w:sz w:val="24"/>
          <w:szCs w:val="24"/>
          <w:lang w:val="en-US"/>
        </w:rPr>
        <w:t xml:space="preserve">Therefore, </w:t>
      </w:r>
      <w:r w:rsidR="00800443" w:rsidRPr="009B0E34">
        <w:rPr>
          <w:sz w:val="24"/>
          <w:szCs w:val="24"/>
          <w:lang w:val="en-US"/>
        </w:rPr>
        <w:t xml:space="preserve">it might be valuable to make an assessment </w:t>
      </w:r>
      <w:r w:rsidR="00B715C2" w:rsidRPr="009B0E34">
        <w:rPr>
          <w:sz w:val="24"/>
          <w:szCs w:val="24"/>
          <w:lang w:val="en-US"/>
        </w:rPr>
        <w:t xml:space="preserve">to reduce </w:t>
      </w:r>
      <w:r w:rsidR="007F108D" w:rsidRPr="009B0E34">
        <w:rPr>
          <w:sz w:val="24"/>
          <w:szCs w:val="24"/>
          <w:lang w:val="en-US"/>
        </w:rPr>
        <w:t>reporting obligation also for MMFs and ensure more efficient data sharing</w:t>
      </w:r>
      <w:r w:rsidR="00EE31F7" w:rsidRPr="00A31944">
        <w:rPr>
          <w:sz w:val="24"/>
          <w:szCs w:val="24"/>
          <w:lang w:val="en-US"/>
        </w:rPr>
        <w:t>.</w:t>
      </w:r>
    </w:p>
    <w:p w14:paraId="78C07469" w14:textId="77777777" w:rsidR="00FF61BA" w:rsidRPr="00A31944" w:rsidRDefault="00FF61BA" w:rsidP="00E978D9">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32D2ABA2" w14:textId="2FA48BD7" w:rsidR="00BF2E60" w:rsidRPr="009B0E34" w:rsidRDefault="00BF2E60" w:rsidP="00BF2E60">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9B0E34">
        <w:rPr>
          <w:sz w:val="24"/>
          <w:szCs w:val="24"/>
          <w:lang w:val="en-US"/>
        </w:rPr>
        <w:t>Broadly speaking, there is a need to simplify reporting and avoid overlaps between different pieces of EU legislation.</w:t>
      </w:r>
      <w:r w:rsidR="00ED0565">
        <w:rPr>
          <w:sz w:val="24"/>
          <w:szCs w:val="24"/>
          <w:lang w:val="en-US"/>
        </w:rPr>
        <w:t xml:space="preserve"> </w:t>
      </w:r>
      <w:r w:rsidRPr="009B0E34">
        <w:rPr>
          <w:sz w:val="24"/>
          <w:szCs w:val="24"/>
          <w:lang w:val="en-US"/>
        </w:rPr>
        <w:t xml:space="preserve">At UE level MMFs reporting is regulated by MMFR and ECB Regulation. Differences in the reporting come both in terms of content, frequency and data collection methods. </w:t>
      </w:r>
    </w:p>
    <w:p w14:paraId="1F7F6373" w14:textId="77777777" w:rsidR="000C282F" w:rsidRPr="007B2952" w:rsidRDefault="000C282F" w:rsidP="000C282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7516E8A6" w14:textId="77777777" w:rsidR="000C282F" w:rsidRPr="007B2952" w:rsidRDefault="000C282F" w:rsidP="000C282F">
      <w:pPr>
        <w:pBdr>
          <w:top w:val="nil"/>
          <w:left w:val="nil"/>
          <w:bottom w:val="nil"/>
          <w:right w:val="nil"/>
          <w:between w:val="nil"/>
          <w:bar w:val="nil"/>
        </w:pBdr>
        <w:spacing w:after="0" w:line="280" w:lineRule="exact"/>
        <w:jc w:val="both"/>
        <w:rPr>
          <w:b/>
          <w:bCs/>
          <w:sz w:val="24"/>
          <w:szCs w:val="24"/>
          <w:lang w:val="en-US"/>
        </w:rPr>
      </w:pPr>
    </w:p>
    <w:p w14:paraId="1B2B7F52" w14:textId="77777777" w:rsidR="000C282F" w:rsidRPr="007B2952" w:rsidRDefault="000C282F" w:rsidP="00180410">
      <w:pPr>
        <w:pBdr>
          <w:top w:val="nil"/>
          <w:left w:val="nil"/>
          <w:bottom w:val="nil"/>
          <w:right w:val="nil"/>
          <w:between w:val="nil"/>
          <w:bar w:val="nil"/>
        </w:pBdr>
        <w:spacing w:after="0" w:line="280" w:lineRule="exact"/>
        <w:jc w:val="both"/>
        <w:rPr>
          <w:b/>
          <w:bCs/>
          <w:sz w:val="24"/>
          <w:szCs w:val="24"/>
          <w:lang w:val="en-US"/>
        </w:rPr>
      </w:pPr>
    </w:p>
    <w:p w14:paraId="799868AC" w14:textId="77777777" w:rsidR="00180410" w:rsidRPr="00545CC8" w:rsidRDefault="00180410" w:rsidP="00180410">
      <w:pPr>
        <w:pBdr>
          <w:top w:val="nil"/>
          <w:left w:val="nil"/>
          <w:bottom w:val="nil"/>
          <w:right w:val="nil"/>
          <w:between w:val="nil"/>
          <w:bar w:val="nil"/>
        </w:pBdr>
        <w:spacing w:after="0" w:line="280" w:lineRule="exact"/>
        <w:jc w:val="both"/>
        <w:rPr>
          <w:b/>
          <w:bCs/>
          <w:i/>
          <w:iCs/>
          <w:sz w:val="24"/>
          <w:szCs w:val="24"/>
          <w:lang w:val="en-US"/>
        </w:rPr>
      </w:pPr>
      <w:r w:rsidRPr="00545CC8">
        <w:rPr>
          <w:b/>
          <w:bCs/>
          <w:i/>
          <w:iCs/>
          <w:sz w:val="24"/>
          <w:szCs w:val="24"/>
          <w:lang w:val="en-US"/>
        </w:rPr>
        <w:t>Stress testing framework</w:t>
      </w:r>
    </w:p>
    <w:p w14:paraId="5C439B22" w14:textId="77777777" w:rsidR="000C282F" w:rsidRPr="00545CC8" w:rsidRDefault="000C282F" w:rsidP="00180410">
      <w:pPr>
        <w:pBdr>
          <w:top w:val="nil"/>
          <w:left w:val="nil"/>
          <w:bottom w:val="nil"/>
          <w:right w:val="nil"/>
          <w:between w:val="nil"/>
          <w:bar w:val="nil"/>
        </w:pBdr>
        <w:spacing w:after="0" w:line="280" w:lineRule="exact"/>
        <w:jc w:val="both"/>
        <w:rPr>
          <w:b/>
          <w:bCs/>
          <w:sz w:val="24"/>
          <w:szCs w:val="24"/>
          <w:lang w:val="en-US"/>
        </w:rPr>
      </w:pPr>
    </w:p>
    <w:p w14:paraId="66F47D3A" w14:textId="77777777" w:rsidR="00180410" w:rsidRDefault="00180410" w:rsidP="00180410">
      <w:pPr>
        <w:pBdr>
          <w:top w:val="nil"/>
          <w:left w:val="nil"/>
          <w:bottom w:val="nil"/>
          <w:right w:val="nil"/>
          <w:between w:val="nil"/>
          <w:bar w:val="nil"/>
        </w:pBdr>
        <w:spacing w:after="0" w:line="280" w:lineRule="exact"/>
        <w:jc w:val="both"/>
        <w:rPr>
          <w:b/>
          <w:bCs/>
          <w:sz w:val="24"/>
          <w:szCs w:val="24"/>
          <w:lang w:val="en-US"/>
        </w:rPr>
      </w:pPr>
      <w:r w:rsidRPr="00180410">
        <w:rPr>
          <w:b/>
          <w:bCs/>
          <w:sz w:val="24"/>
          <w:szCs w:val="24"/>
          <w:lang w:val="en-US"/>
        </w:rPr>
        <w:t>Question 11. Do you believe that the proposed enhancements to the stress testing framework listed above are sufficient to identify and mitigate liquidity risks effectively? If not, what specific elements would you suggest including in the strengthened supervision and remediation actions for detecting liquidity risks?</w:t>
      </w:r>
    </w:p>
    <w:p w14:paraId="40A5491A" w14:textId="77777777" w:rsidR="000C282F" w:rsidRPr="00996921" w:rsidRDefault="000C282F" w:rsidP="000C282F">
      <w:pPr>
        <w:pBdr>
          <w:top w:val="nil"/>
          <w:left w:val="nil"/>
          <w:bottom w:val="nil"/>
          <w:right w:val="nil"/>
          <w:between w:val="nil"/>
          <w:bar w:val="nil"/>
        </w:pBdr>
        <w:spacing w:after="0" w:line="280" w:lineRule="exact"/>
        <w:jc w:val="both"/>
        <w:rPr>
          <w:b/>
          <w:bCs/>
          <w:sz w:val="24"/>
          <w:szCs w:val="24"/>
          <w:lang w:val="en-US"/>
        </w:rPr>
      </w:pPr>
    </w:p>
    <w:p w14:paraId="1FF2305B" w14:textId="77777777" w:rsidR="000C282F" w:rsidRDefault="000C282F" w:rsidP="000C282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2935D898" w14:textId="77777777" w:rsidR="000C282F" w:rsidRDefault="000C282F" w:rsidP="000C282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11C30847" w14:textId="77777777" w:rsidR="000C282F" w:rsidRPr="00996921" w:rsidRDefault="000C282F" w:rsidP="000C282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02214318" w14:textId="77777777" w:rsidR="000C282F" w:rsidRDefault="000C282F" w:rsidP="000C282F">
      <w:pPr>
        <w:pBdr>
          <w:top w:val="nil"/>
          <w:left w:val="nil"/>
          <w:bottom w:val="nil"/>
          <w:right w:val="nil"/>
          <w:between w:val="nil"/>
          <w:bar w:val="nil"/>
        </w:pBdr>
        <w:spacing w:after="0" w:line="280" w:lineRule="exact"/>
        <w:jc w:val="both"/>
        <w:rPr>
          <w:b/>
          <w:bCs/>
          <w:sz w:val="24"/>
          <w:szCs w:val="24"/>
          <w:lang w:val="en-US"/>
        </w:rPr>
      </w:pPr>
    </w:p>
    <w:p w14:paraId="0C1B0721" w14:textId="77777777" w:rsidR="000C282F" w:rsidRPr="00180410" w:rsidRDefault="000C282F" w:rsidP="00180410">
      <w:pPr>
        <w:pBdr>
          <w:top w:val="nil"/>
          <w:left w:val="nil"/>
          <w:bottom w:val="nil"/>
          <w:right w:val="nil"/>
          <w:between w:val="nil"/>
          <w:bar w:val="nil"/>
        </w:pBdr>
        <w:spacing w:after="0" w:line="280" w:lineRule="exact"/>
        <w:jc w:val="both"/>
        <w:rPr>
          <w:b/>
          <w:bCs/>
          <w:sz w:val="24"/>
          <w:szCs w:val="24"/>
          <w:lang w:val="en-US"/>
        </w:rPr>
      </w:pPr>
    </w:p>
    <w:p w14:paraId="4C7505E4" w14:textId="77777777" w:rsidR="00180410" w:rsidRDefault="00180410" w:rsidP="00180410">
      <w:pPr>
        <w:pBdr>
          <w:top w:val="nil"/>
          <w:left w:val="nil"/>
          <w:bottom w:val="nil"/>
          <w:right w:val="nil"/>
          <w:between w:val="nil"/>
          <w:bar w:val="nil"/>
        </w:pBdr>
        <w:spacing w:after="0" w:line="280" w:lineRule="exact"/>
        <w:jc w:val="both"/>
        <w:rPr>
          <w:b/>
          <w:bCs/>
          <w:sz w:val="24"/>
          <w:szCs w:val="24"/>
          <w:lang w:val="en-US"/>
        </w:rPr>
      </w:pPr>
      <w:r w:rsidRPr="00180410">
        <w:rPr>
          <w:b/>
          <w:bCs/>
          <w:sz w:val="24"/>
          <w:szCs w:val="24"/>
          <w:lang w:val="en-US"/>
        </w:rPr>
        <w:t>Question 12. What are the costs and benefits of introducing an EU-wide stress test on MMFs? Should this stress test focus mainly on liquidity risks?</w:t>
      </w:r>
    </w:p>
    <w:p w14:paraId="08DAD188" w14:textId="77777777" w:rsidR="002662BC" w:rsidRPr="00996921" w:rsidRDefault="002662BC" w:rsidP="002662BC">
      <w:pPr>
        <w:pBdr>
          <w:top w:val="nil"/>
          <w:left w:val="nil"/>
          <w:bottom w:val="nil"/>
          <w:right w:val="nil"/>
          <w:between w:val="nil"/>
          <w:bar w:val="nil"/>
        </w:pBdr>
        <w:spacing w:after="0" w:line="280" w:lineRule="exact"/>
        <w:jc w:val="both"/>
        <w:rPr>
          <w:b/>
          <w:bCs/>
          <w:sz w:val="24"/>
          <w:szCs w:val="24"/>
          <w:lang w:val="en-US"/>
        </w:rPr>
      </w:pPr>
    </w:p>
    <w:p w14:paraId="4DA515AA" w14:textId="77777777" w:rsidR="002662BC" w:rsidRDefault="002662BC" w:rsidP="002662B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513CEAA1" w14:textId="77777777" w:rsidR="002662BC" w:rsidRDefault="002662BC" w:rsidP="002662B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29021475" w14:textId="77777777" w:rsidR="002662BC" w:rsidRPr="00996921" w:rsidRDefault="002662BC" w:rsidP="002662B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4FD78A8B" w14:textId="77777777" w:rsidR="002662BC" w:rsidRDefault="002662BC" w:rsidP="002662BC">
      <w:pPr>
        <w:pBdr>
          <w:top w:val="nil"/>
          <w:left w:val="nil"/>
          <w:bottom w:val="nil"/>
          <w:right w:val="nil"/>
          <w:between w:val="nil"/>
          <w:bar w:val="nil"/>
        </w:pBdr>
        <w:spacing w:after="0" w:line="280" w:lineRule="exact"/>
        <w:jc w:val="both"/>
        <w:rPr>
          <w:b/>
          <w:bCs/>
          <w:sz w:val="24"/>
          <w:szCs w:val="24"/>
          <w:lang w:val="en-US"/>
        </w:rPr>
      </w:pPr>
    </w:p>
    <w:p w14:paraId="7D368A58" w14:textId="77777777" w:rsidR="000C282F" w:rsidRPr="00180410" w:rsidRDefault="000C282F" w:rsidP="00180410">
      <w:pPr>
        <w:pBdr>
          <w:top w:val="nil"/>
          <w:left w:val="nil"/>
          <w:bottom w:val="nil"/>
          <w:right w:val="nil"/>
          <w:between w:val="nil"/>
          <w:bar w:val="nil"/>
        </w:pBdr>
        <w:spacing w:after="0" w:line="280" w:lineRule="exact"/>
        <w:jc w:val="both"/>
        <w:rPr>
          <w:b/>
          <w:bCs/>
          <w:sz w:val="24"/>
          <w:szCs w:val="24"/>
          <w:lang w:val="en-US"/>
        </w:rPr>
      </w:pPr>
    </w:p>
    <w:p w14:paraId="406FE447" w14:textId="77777777" w:rsidR="00180410" w:rsidRPr="00610932" w:rsidRDefault="00180410" w:rsidP="00180410">
      <w:pPr>
        <w:pBdr>
          <w:top w:val="nil"/>
          <w:left w:val="nil"/>
          <w:bottom w:val="nil"/>
          <w:right w:val="nil"/>
          <w:between w:val="nil"/>
          <w:bar w:val="nil"/>
        </w:pBdr>
        <w:spacing w:after="0" w:line="280" w:lineRule="exact"/>
        <w:jc w:val="both"/>
        <w:rPr>
          <w:b/>
          <w:bCs/>
          <w:i/>
          <w:iCs/>
          <w:sz w:val="24"/>
          <w:szCs w:val="24"/>
          <w:lang w:val="en-US"/>
        </w:rPr>
      </w:pPr>
      <w:r w:rsidRPr="00610932">
        <w:rPr>
          <w:b/>
          <w:bCs/>
          <w:i/>
          <w:iCs/>
          <w:sz w:val="24"/>
          <w:szCs w:val="24"/>
          <w:lang w:val="en-US"/>
        </w:rPr>
        <w:t>Reverse distribution mechanism</w:t>
      </w:r>
    </w:p>
    <w:p w14:paraId="6117ABF8" w14:textId="77777777" w:rsidR="000C282F" w:rsidRPr="00180410" w:rsidRDefault="000C282F" w:rsidP="00180410">
      <w:pPr>
        <w:pBdr>
          <w:top w:val="nil"/>
          <w:left w:val="nil"/>
          <w:bottom w:val="nil"/>
          <w:right w:val="nil"/>
          <w:between w:val="nil"/>
          <w:bar w:val="nil"/>
        </w:pBdr>
        <w:spacing w:after="0" w:line="280" w:lineRule="exact"/>
        <w:jc w:val="both"/>
        <w:rPr>
          <w:b/>
          <w:bCs/>
          <w:sz w:val="24"/>
          <w:szCs w:val="24"/>
          <w:lang w:val="en-US"/>
        </w:rPr>
      </w:pPr>
    </w:p>
    <w:p w14:paraId="1F955994" w14:textId="77777777" w:rsidR="00180410" w:rsidRDefault="00180410" w:rsidP="00180410">
      <w:pPr>
        <w:pBdr>
          <w:top w:val="nil"/>
          <w:left w:val="nil"/>
          <w:bottom w:val="nil"/>
          <w:right w:val="nil"/>
          <w:between w:val="nil"/>
          <w:bar w:val="nil"/>
        </w:pBdr>
        <w:spacing w:after="0" w:line="280" w:lineRule="exact"/>
        <w:jc w:val="both"/>
        <w:rPr>
          <w:b/>
          <w:bCs/>
          <w:sz w:val="24"/>
          <w:szCs w:val="24"/>
          <w:lang w:val="en-US"/>
        </w:rPr>
      </w:pPr>
      <w:r w:rsidRPr="00180410">
        <w:rPr>
          <w:b/>
          <w:bCs/>
          <w:sz w:val="24"/>
          <w:szCs w:val="24"/>
          <w:lang w:val="en-US"/>
        </w:rPr>
        <w:t>Question 13. What are your views on the EU ban on a reverse distribution mechanism by MMFs?</w:t>
      </w:r>
    </w:p>
    <w:p w14:paraId="52480017" w14:textId="77777777" w:rsidR="002662BC" w:rsidRPr="00996921" w:rsidRDefault="002662BC" w:rsidP="002662BC">
      <w:pPr>
        <w:pBdr>
          <w:top w:val="nil"/>
          <w:left w:val="nil"/>
          <w:bottom w:val="nil"/>
          <w:right w:val="nil"/>
          <w:between w:val="nil"/>
          <w:bar w:val="nil"/>
        </w:pBdr>
        <w:spacing w:after="0" w:line="280" w:lineRule="exact"/>
        <w:jc w:val="both"/>
        <w:rPr>
          <w:b/>
          <w:bCs/>
          <w:sz w:val="24"/>
          <w:szCs w:val="24"/>
          <w:lang w:val="en-US"/>
        </w:rPr>
      </w:pPr>
    </w:p>
    <w:p w14:paraId="2F3866A5" w14:textId="77777777" w:rsidR="002662BC" w:rsidRDefault="002662BC" w:rsidP="002662B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21C69E30" w14:textId="77777777" w:rsidR="002662BC" w:rsidRDefault="002662BC" w:rsidP="002662B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5BAF4D89" w14:textId="77777777" w:rsidR="002662BC" w:rsidRPr="00996921" w:rsidRDefault="002662BC" w:rsidP="002662B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6F3E6027" w14:textId="77777777" w:rsidR="002662BC" w:rsidRDefault="002662BC" w:rsidP="002662BC">
      <w:pPr>
        <w:pBdr>
          <w:top w:val="nil"/>
          <w:left w:val="nil"/>
          <w:bottom w:val="nil"/>
          <w:right w:val="nil"/>
          <w:between w:val="nil"/>
          <w:bar w:val="nil"/>
        </w:pBdr>
        <w:spacing w:after="0" w:line="280" w:lineRule="exact"/>
        <w:jc w:val="both"/>
        <w:rPr>
          <w:b/>
          <w:bCs/>
          <w:sz w:val="24"/>
          <w:szCs w:val="24"/>
          <w:lang w:val="en-US"/>
        </w:rPr>
      </w:pPr>
    </w:p>
    <w:p w14:paraId="54EEDD7E" w14:textId="77777777" w:rsidR="000C282F" w:rsidRPr="00180410" w:rsidRDefault="000C282F" w:rsidP="00180410">
      <w:pPr>
        <w:pBdr>
          <w:top w:val="nil"/>
          <w:left w:val="nil"/>
          <w:bottom w:val="nil"/>
          <w:right w:val="nil"/>
          <w:between w:val="nil"/>
          <w:bar w:val="nil"/>
        </w:pBdr>
        <w:spacing w:after="0" w:line="280" w:lineRule="exact"/>
        <w:jc w:val="both"/>
        <w:rPr>
          <w:b/>
          <w:bCs/>
          <w:sz w:val="24"/>
          <w:szCs w:val="24"/>
          <w:lang w:val="en-US"/>
        </w:rPr>
      </w:pPr>
    </w:p>
    <w:p w14:paraId="3F9A37D1" w14:textId="77777777" w:rsidR="00180410" w:rsidRDefault="00180410" w:rsidP="00180410">
      <w:pPr>
        <w:pBdr>
          <w:top w:val="nil"/>
          <w:left w:val="nil"/>
          <w:bottom w:val="nil"/>
          <w:right w:val="nil"/>
          <w:between w:val="nil"/>
          <w:bar w:val="nil"/>
        </w:pBdr>
        <w:spacing w:after="0" w:line="280" w:lineRule="exact"/>
        <w:jc w:val="both"/>
        <w:rPr>
          <w:b/>
          <w:bCs/>
          <w:sz w:val="24"/>
          <w:szCs w:val="24"/>
          <w:lang w:val="en-US"/>
        </w:rPr>
      </w:pPr>
      <w:r w:rsidRPr="00180410">
        <w:rPr>
          <w:b/>
          <w:bCs/>
          <w:sz w:val="24"/>
          <w:szCs w:val="24"/>
          <w:lang w:val="en-US"/>
        </w:rPr>
        <w:t>Question 14. Can you provide insights and data on how the reverse distribution mechanism has impacted in practice the stability and integrity of MMFs?</w:t>
      </w:r>
    </w:p>
    <w:p w14:paraId="2BD20FA7" w14:textId="77777777" w:rsidR="002662BC" w:rsidRPr="00996921" w:rsidRDefault="002662BC" w:rsidP="002662BC">
      <w:pPr>
        <w:pBdr>
          <w:top w:val="nil"/>
          <w:left w:val="nil"/>
          <w:bottom w:val="nil"/>
          <w:right w:val="nil"/>
          <w:between w:val="nil"/>
          <w:bar w:val="nil"/>
        </w:pBdr>
        <w:spacing w:after="0" w:line="280" w:lineRule="exact"/>
        <w:jc w:val="both"/>
        <w:rPr>
          <w:b/>
          <w:bCs/>
          <w:sz w:val="24"/>
          <w:szCs w:val="24"/>
          <w:lang w:val="en-US"/>
        </w:rPr>
      </w:pPr>
    </w:p>
    <w:p w14:paraId="34AF4D5D" w14:textId="77777777" w:rsidR="002662BC" w:rsidRDefault="002662BC" w:rsidP="002662B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4437BE81" w14:textId="77777777" w:rsidR="002662BC" w:rsidRDefault="002662BC" w:rsidP="002662B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29942CE9" w14:textId="77777777" w:rsidR="002662BC" w:rsidRPr="00996921" w:rsidRDefault="002662BC" w:rsidP="002662B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348BBC83" w14:textId="77777777" w:rsidR="002662BC" w:rsidRDefault="002662BC" w:rsidP="002662BC">
      <w:pPr>
        <w:pBdr>
          <w:top w:val="nil"/>
          <w:left w:val="nil"/>
          <w:bottom w:val="nil"/>
          <w:right w:val="nil"/>
          <w:between w:val="nil"/>
          <w:bar w:val="nil"/>
        </w:pBdr>
        <w:spacing w:after="0" w:line="280" w:lineRule="exact"/>
        <w:jc w:val="both"/>
        <w:rPr>
          <w:b/>
          <w:bCs/>
          <w:sz w:val="24"/>
          <w:szCs w:val="24"/>
          <w:lang w:val="en-US"/>
        </w:rPr>
      </w:pPr>
    </w:p>
    <w:p w14:paraId="0D4586A7" w14:textId="77777777" w:rsidR="002662BC" w:rsidRDefault="002662BC" w:rsidP="00180410">
      <w:pPr>
        <w:pBdr>
          <w:top w:val="nil"/>
          <w:left w:val="nil"/>
          <w:bottom w:val="nil"/>
          <w:right w:val="nil"/>
          <w:between w:val="nil"/>
          <w:bar w:val="nil"/>
        </w:pBdr>
        <w:spacing w:after="0" w:line="280" w:lineRule="exact"/>
        <w:jc w:val="both"/>
        <w:rPr>
          <w:b/>
          <w:bCs/>
          <w:sz w:val="24"/>
          <w:szCs w:val="24"/>
          <w:lang w:val="en-US"/>
        </w:rPr>
      </w:pPr>
    </w:p>
    <w:p w14:paraId="1A5C177B" w14:textId="2B35A1EE" w:rsidR="00180410" w:rsidRPr="00610932" w:rsidRDefault="00180410" w:rsidP="00180410">
      <w:pPr>
        <w:pBdr>
          <w:top w:val="nil"/>
          <w:left w:val="nil"/>
          <w:bottom w:val="nil"/>
          <w:right w:val="nil"/>
          <w:between w:val="nil"/>
          <w:bar w:val="nil"/>
        </w:pBdr>
        <w:spacing w:after="0" w:line="280" w:lineRule="exact"/>
        <w:jc w:val="both"/>
        <w:rPr>
          <w:b/>
          <w:bCs/>
          <w:i/>
          <w:iCs/>
          <w:sz w:val="24"/>
          <w:szCs w:val="24"/>
          <w:lang w:val="en-US"/>
        </w:rPr>
      </w:pPr>
      <w:r w:rsidRPr="00610932">
        <w:rPr>
          <w:b/>
          <w:bCs/>
          <w:i/>
          <w:iCs/>
          <w:sz w:val="24"/>
          <w:szCs w:val="24"/>
          <w:lang w:val="en-US"/>
        </w:rPr>
        <w:t>Liquidity and short-term instruments</w:t>
      </w:r>
    </w:p>
    <w:p w14:paraId="46F49FC1" w14:textId="77777777" w:rsidR="000C282F" w:rsidRPr="00180410" w:rsidRDefault="000C282F" w:rsidP="00180410">
      <w:pPr>
        <w:pBdr>
          <w:top w:val="nil"/>
          <w:left w:val="nil"/>
          <w:bottom w:val="nil"/>
          <w:right w:val="nil"/>
          <w:between w:val="nil"/>
          <w:bar w:val="nil"/>
        </w:pBdr>
        <w:spacing w:after="0" w:line="280" w:lineRule="exact"/>
        <w:jc w:val="both"/>
        <w:rPr>
          <w:b/>
          <w:bCs/>
          <w:sz w:val="24"/>
          <w:szCs w:val="24"/>
          <w:lang w:val="en-US"/>
        </w:rPr>
      </w:pPr>
    </w:p>
    <w:p w14:paraId="512C0439" w14:textId="59FD9942" w:rsidR="005A4BD2" w:rsidRDefault="00180410" w:rsidP="00180410">
      <w:pPr>
        <w:pBdr>
          <w:top w:val="nil"/>
          <w:left w:val="nil"/>
          <w:bottom w:val="nil"/>
          <w:right w:val="nil"/>
          <w:between w:val="nil"/>
          <w:bar w:val="nil"/>
        </w:pBdr>
        <w:spacing w:after="0" w:line="280" w:lineRule="exact"/>
        <w:jc w:val="both"/>
        <w:rPr>
          <w:b/>
          <w:bCs/>
          <w:sz w:val="24"/>
          <w:szCs w:val="24"/>
          <w:lang w:val="en-US"/>
        </w:rPr>
      </w:pPr>
      <w:r w:rsidRPr="00180410">
        <w:rPr>
          <w:b/>
          <w:bCs/>
          <w:sz w:val="24"/>
          <w:szCs w:val="24"/>
          <w:lang w:val="en-US"/>
        </w:rPr>
        <w:t xml:space="preserve">Question 15. Should regulatory requirements for MMFs </w:t>
      </w:r>
      <w:proofErr w:type="gramStart"/>
      <w:r w:rsidRPr="00180410">
        <w:rPr>
          <w:b/>
          <w:bCs/>
          <w:sz w:val="24"/>
          <w:szCs w:val="24"/>
          <w:lang w:val="en-US"/>
        </w:rPr>
        <w:t>take into account</w:t>
      </w:r>
      <w:proofErr w:type="gramEnd"/>
      <w:r w:rsidRPr="00180410">
        <w:rPr>
          <w:b/>
          <w:bCs/>
          <w:sz w:val="24"/>
          <w:szCs w:val="24"/>
          <w:lang w:val="en-US"/>
        </w:rPr>
        <w:t xml:space="preserve"> whether the instrument they are investing in is admitted to trading on a trading venue (regulated markets, multilateral trading facilities or </w:t>
      </w:r>
      <w:proofErr w:type="spellStart"/>
      <w:r w:rsidRPr="00180410">
        <w:rPr>
          <w:b/>
          <w:bCs/>
          <w:sz w:val="24"/>
          <w:szCs w:val="24"/>
          <w:lang w:val="en-US"/>
        </w:rPr>
        <w:t>organised</w:t>
      </w:r>
      <w:proofErr w:type="spellEnd"/>
      <w:r w:rsidRPr="00180410">
        <w:rPr>
          <w:b/>
          <w:bCs/>
          <w:sz w:val="24"/>
          <w:szCs w:val="24"/>
          <w:lang w:val="en-US"/>
        </w:rPr>
        <w:t xml:space="preserve"> trading facilities) with some critical level of trading activity? Please explain your answer.</w:t>
      </w:r>
    </w:p>
    <w:p w14:paraId="2AA5A8C8" w14:textId="77777777" w:rsidR="002662BC" w:rsidRPr="00996921" w:rsidRDefault="002662BC" w:rsidP="002662BC">
      <w:pPr>
        <w:pBdr>
          <w:top w:val="nil"/>
          <w:left w:val="nil"/>
          <w:bottom w:val="nil"/>
          <w:right w:val="nil"/>
          <w:between w:val="nil"/>
          <w:bar w:val="nil"/>
        </w:pBdr>
        <w:spacing w:after="0" w:line="280" w:lineRule="exact"/>
        <w:jc w:val="both"/>
        <w:rPr>
          <w:b/>
          <w:bCs/>
          <w:sz w:val="24"/>
          <w:szCs w:val="24"/>
          <w:lang w:val="en-US"/>
        </w:rPr>
      </w:pPr>
    </w:p>
    <w:p w14:paraId="3048BEEC" w14:textId="77777777" w:rsidR="002662BC" w:rsidRDefault="002662BC" w:rsidP="002662B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71D13B66" w14:textId="77777777" w:rsidR="002662BC" w:rsidRDefault="002662BC" w:rsidP="002662B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02E0A5D4" w14:textId="77777777" w:rsidR="002662BC" w:rsidRPr="00996921" w:rsidRDefault="002662BC" w:rsidP="002662B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7F466D89" w14:textId="77777777" w:rsidR="002662BC" w:rsidRDefault="002662BC" w:rsidP="002662BC">
      <w:pPr>
        <w:pBdr>
          <w:top w:val="nil"/>
          <w:left w:val="nil"/>
          <w:bottom w:val="nil"/>
          <w:right w:val="nil"/>
          <w:between w:val="nil"/>
          <w:bar w:val="nil"/>
        </w:pBdr>
        <w:spacing w:after="0" w:line="280" w:lineRule="exact"/>
        <w:jc w:val="both"/>
        <w:rPr>
          <w:b/>
          <w:bCs/>
          <w:sz w:val="24"/>
          <w:szCs w:val="24"/>
          <w:lang w:val="en-US"/>
        </w:rPr>
      </w:pPr>
    </w:p>
    <w:p w14:paraId="5E36843B" w14:textId="77777777" w:rsidR="002D211B" w:rsidRPr="00293AFD" w:rsidRDefault="002D211B" w:rsidP="002D211B">
      <w:pPr>
        <w:pBdr>
          <w:top w:val="nil"/>
          <w:left w:val="nil"/>
          <w:bottom w:val="nil"/>
          <w:right w:val="nil"/>
          <w:between w:val="nil"/>
          <w:bar w:val="nil"/>
        </w:pBdr>
        <w:spacing w:after="0" w:line="280" w:lineRule="exact"/>
        <w:jc w:val="both"/>
        <w:rPr>
          <w:b/>
          <w:bCs/>
          <w:sz w:val="24"/>
          <w:szCs w:val="24"/>
          <w:u w:val="single"/>
          <w:lang w:val="en-US"/>
        </w:rPr>
      </w:pPr>
      <w:r w:rsidRPr="00293AFD">
        <w:rPr>
          <w:b/>
          <w:bCs/>
          <w:sz w:val="24"/>
          <w:szCs w:val="24"/>
          <w:u w:val="single"/>
          <w:lang w:val="en-US"/>
        </w:rPr>
        <w:t>3.2 Other open-ended funds (OEFs)</w:t>
      </w:r>
    </w:p>
    <w:p w14:paraId="725FBF30" w14:textId="77777777" w:rsidR="002D211B" w:rsidRDefault="002D211B" w:rsidP="00AA215C">
      <w:pPr>
        <w:pBdr>
          <w:top w:val="nil"/>
          <w:left w:val="nil"/>
          <w:bottom w:val="nil"/>
          <w:right w:val="nil"/>
          <w:between w:val="nil"/>
          <w:bar w:val="nil"/>
        </w:pBdr>
        <w:spacing w:after="0" w:line="280" w:lineRule="exact"/>
        <w:jc w:val="both"/>
        <w:rPr>
          <w:b/>
          <w:bCs/>
          <w:i/>
          <w:iCs/>
          <w:sz w:val="24"/>
          <w:szCs w:val="24"/>
          <w:lang w:val="en-US"/>
        </w:rPr>
      </w:pPr>
    </w:p>
    <w:p w14:paraId="0213DBDC" w14:textId="4868AA72" w:rsidR="00AA215C" w:rsidRPr="00610932" w:rsidRDefault="00AA215C" w:rsidP="00AA215C">
      <w:pPr>
        <w:pBdr>
          <w:top w:val="nil"/>
          <w:left w:val="nil"/>
          <w:bottom w:val="nil"/>
          <w:right w:val="nil"/>
          <w:between w:val="nil"/>
          <w:bar w:val="nil"/>
        </w:pBdr>
        <w:spacing w:after="0" w:line="280" w:lineRule="exact"/>
        <w:jc w:val="both"/>
        <w:rPr>
          <w:b/>
          <w:bCs/>
          <w:i/>
          <w:iCs/>
          <w:sz w:val="24"/>
          <w:szCs w:val="24"/>
          <w:lang w:val="en-US"/>
        </w:rPr>
      </w:pPr>
      <w:r w:rsidRPr="00610932">
        <w:rPr>
          <w:b/>
          <w:bCs/>
          <w:i/>
          <w:iCs/>
          <w:sz w:val="24"/>
          <w:szCs w:val="24"/>
          <w:lang w:val="en-US"/>
        </w:rPr>
        <w:t>Link between liquidity mismatch and liquidity risks</w:t>
      </w:r>
    </w:p>
    <w:p w14:paraId="4BA73196" w14:textId="77777777" w:rsidR="00AA215C" w:rsidRPr="00AA215C" w:rsidRDefault="00AA215C" w:rsidP="00AA215C">
      <w:pPr>
        <w:pBdr>
          <w:top w:val="nil"/>
          <w:left w:val="nil"/>
          <w:bottom w:val="nil"/>
          <w:right w:val="nil"/>
          <w:between w:val="nil"/>
          <w:bar w:val="nil"/>
        </w:pBdr>
        <w:spacing w:after="0" w:line="280" w:lineRule="exact"/>
        <w:jc w:val="both"/>
        <w:rPr>
          <w:b/>
          <w:bCs/>
          <w:sz w:val="24"/>
          <w:szCs w:val="24"/>
          <w:lang w:val="en-US"/>
        </w:rPr>
      </w:pPr>
    </w:p>
    <w:p w14:paraId="4EE63946" w14:textId="77777777" w:rsidR="00AA215C" w:rsidRDefault="00AA215C" w:rsidP="00AA215C">
      <w:pPr>
        <w:pBdr>
          <w:top w:val="nil"/>
          <w:left w:val="nil"/>
          <w:bottom w:val="nil"/>
          <w:right w:val="nil"/>
          <w:between w:val="nil"/>
          <w:bar w:val="nil"/>
        </w:pBdr>
        <w:spacing w:after="0" w:line="280" w:lineRule="exact"/>
        <w:jc w:val="both"/>
        <w:rPr>
          <w:b/>
          <w:bCs/>
          <w:sz w:val="24"/>
          <w:szCs w:val="24"/>
          <w:lang w:val="en-US"/>
        </w:rPr>
      </w:pPr>
      <w:r w:rsidRPr="00AA215C">
        <w:rPr>
          <w:b/>
          <w:bCs/>
          <w:sz w:val="24"/>
          <w:szCs w:val="24"/>
          <w:lang w:val="en-US"/>
        </w:rPr>
        <w:t xml:space="preserve">Question 16. How can NCAs better monitor the liquidity profile of OEFs, including redemption frequency and LMTs, </w:t>
      </w:r>
      <w:proofErr w:type="gramStart"/>
      <w:r w:rsidRPr="00AA215C">
        <w:rPr>
          <w:b/>
          <w:bCs/>
          <w:sz w:val="24"/>
          <w:szCs w:val="24"/>
          <w:lang w:val="en-US"/>
        </w:rPr>
        <w:t>in order to</w:t>
      </w:r>
      <w:proofErr w:type="gramEnd"/>
      <w:r w:rsidRPr="00AA215C">
        <w:rPr>
          <w:b/>
          <w:bCs/>
          <w:sz w:val="24"/>
          <w:szCs w:val="24"/>
          <w:lang w:val="en-US"/>
        </w:rPr>
        <w:t xml:space="preserve"> detect unmitigated liquidity mismatches during the lifetime of OEFs?</w:t>
      </w:r>
    </w:p>
    <w:p w14:paraId="783573D8" w14:textId="77777777" w:rsidR="00226F6F" w:rsidRPr="00996921" w:rsidRDefault="00226F6F" w:rsidP="00226F6F">
      <w:pPr>
        <w:pBdr>
          <w:top w:val="nil"/>
          <w:left w:val="nil"/>
          <w:bottom w:val="nil"/>
          <w:right w:val="nil"/>
          <w:between w:val="nil"/>
          <w:bar w:val="nil"/>
        </w:pBdr>
        <w:spacing w:after="0" w:line="280" w:lineRule="exact"/>
        <w:jc w:val="both"/>
        <w:rPr>
          <w:b/>
          <w:bCs/>
          <w:sz w:val="24"/>
          <w:szCs w:val="24"/>
          <w:lang w:val="en-US"/>
        </w:rPr>
      </w:pPr>
    </w:p>
    <w:p w14:paraId="5ECD3D91" w14:textId="73B4B0DB" w:rsidR="00EB57FD" w:rsidRDefault="00EB57FD" w:rsidP="00EB57FD">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6780384D" w14:textId="29BEA0B4" w:rsidR="00F44C69" w:rsidRDefault="00F44C69" w:rsidP="00F44C69">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 xml:space="preserve">It is important to remind </w:t>
      </w:r>
      <w:r w:rsidR="006F3308">
        <w:rPr>
          <w:sz w:val="24"/>
          <w:szCs w:val="24"/>
          <w:lang w:val="en-US"/>
        </w:rPr>
        <w:t xml:space="preserve">that </w:t>
      </w:r>
      <w:r w:rsidRPr="00D15228">
        <w:rPr>
          <w:sz w:val="24"/>
          <w:szCs w:val="24"/>
          <w:lang w:val="en-US"/>
        </w:rPr>
        <w:t>the “NAV</w:t>
      </w:r>
      <w:r>
        <w:rPr>
          <w:sz w:val="24"/>
          <w:szCs w:val="24"/>
          <w:lang w:val="en-US"/>
        </w:rPr>
        <w:t>”</w:t>
      </w:r>
      <w:r w:rsidRPr="00D15228">
        <w:rPr>
          <w:sz w:val="24"/>
          <w:szCs w:val="24"/>
          <w:lang w:val="en-US"/>
        </w:rPr>
        <w:t xml:space="preserve"> of an </w:t>
      </w:r>
      <w:r>
        <w:rPr>
          <w:sz w:val="24"/>
          <w:szCs w:val="24"/>
          <w:lang w:val="en-US"/>
        </w:rPr>
        <w:t xml:space="preserve">open-ended fund </w:t>
      </w:r>
      <w:r w:rsidRPr="00D15228">
        <w:rPr>
          <w:sz w:val="24"/>
          <w:szCs w:val="24"/>
          <w:lang w:val="en-US"/>
        </w:rPr>
        <w:t>reflect</w:t>
      </w:r>
      <w:r>
        <w:rPr>
          <w:sz w:val="24"/>
          <w:szCs w:val="24"/>
          <w:lang w:val="en-US"/>
        </w:rPr>
        <w:t>s</w:t>
      </w:r>
      <w:r w:rsidRPr="00D15228">
        <w:rPr>
          <w:sz w:val="24"/>
          <w:szCs w:val="24"/>
          <w:lang w:val="en-US"/>
        </w:rPr>
        <w:t xml:space="preserve"> market</w:t>
      </w:r>
      <w:r>
        <w:rPr>
          <w:sz w:val="24"/>
          <w:szCs w:val="24"/>
          <w:lang w:val="en-US"/>
        </w:rPr>
        <w:t xml:space="preserve"> </w:t>
      </w:r>
      <w:r w:rsidRPr="00D15228">
        <w:rPr>
          <w:sz w:val="24"/>
          <w:szCs w:val="24"/>
          <w:lang w:val="en-US"/>
        </w:rPr>
        <w:t>prices</w:t>
      </w:r>
      <w:r>
        <w:rPr>
          <w:sz w:val="24"/>
          <w:szCs w:val="24"/>
          <w:lang w:val="en-US"/>
        </w:rPr>
        <w:t xml:space="preserve"> and </w:t>
      </w:r>
      <w:r w:rsidRPr="00D15228">
        <w:rPr>
          <w:sz w:val="24"/>
          <w:szCs w:val="24"/>
          <w:lang w:val="en-US"/>
        </w:rPr>
        <w:t>fund investors bear the risk of market fluctuations</w:t>
      </w:r>
      <w:r>
        <w:rPr>
          <w:sz w:val="24"/>
          <w:szCs w:val="24"/>
          <w:lang w:val="en-US"/>
        </w:rPr>
        <w:t>, unlike banks which have an obligation to meet liabilities, including the repayment of the principal of their depositors. With this important difference in mind and g</w:t>
      </w:r>
      <w:r w:rsidRPr="00584CBA">
        <w:rPr>
          <w:sz w:val="24"/>
          <w:szCs w:val="24"/>
          <w:lang w:val="en-US"/>
        </w:rPr>
        <w:t xml:space="preserve">iven the complexity and diversity of the fund sector, </w:t>
      </w:r>
      <w:r>
        <w:rPr>
          <w:sz w:val="24"/>
          <w:szCs w:val="24"/>
          <w:lang w:val="en-US"/>
        </w:rPr>
        <w:t xml:space="preserve">we believe that </w:t>
      </w:r>
      <w:r w:rsidRPr="00584CBA">
        <w:rPr>
          <w:sz w:val="24"/>
          <w:szCs w:val="24"/>
          <w:lang w:val="en-US"/>
        </w:rPr>
        <w:t>a risk-based approach is necessary</w:t>
      </w:r>
      <w:r>
        <w:rPr>
          <w:sz w:val="24"/>
          <w:szCs w:val="24"/>
          <w:lang w:val="en-US"/>
        </w:rPr>
        <w:t xml:space="preserve"> other than fundamental. </w:t>
      </w:r>
    </w:p>
    <w:p w14:paraId="18E4550E" w14:textId="77777777" w:rsidR="00F44C69" w:rsidRDefault="00F44C69" w:rsidP="00F44C69">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608BD1DA" w14:textId="2FE683CF" w:rsidR="00165CC9" w:rsidRDefault="00723615" w:rsidP="009E0B35">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In this context, t</w:t>
      </w:r>
      <w:r w:rsidR="00EB57FD" w:rsidRPr="009C7391">
        <w:rPr>
          <w:sz w:val="24"/>
          <w:szCs w:val="24"/>
          <w:lang w:val="en-US"/>
        </w:rPr>
        <w:t>he EU's robust regulatory framework developed over the past decade</w:t>
      </w:r>
      <w:r w:rsidR="00E83E83">
        <w:rPr>
          <w:sz w:val="24"/>
          <w:szCs w:val="24"/>
          <w:lang w:val="en-US"/>
        </w:rPr>
        <w:t xml:space="preserve"> </w:t>
      </w:r>
      <w:r w:rsidR="00EB57FD" w:rsidRPr="009C7391">
        <w:rPr>
          <w:sz w:val="24"/>
          <w:szCs w:val="24"/>
          <w:lang w:val="en-US"/>
        </w:rPr>
        <w:t xml:space="preserve">empowers supervisors to closely monitor the </w:t>
      </w:r>
      <w:r w:rsidR="009D3318">
        <w:rPr>
          <w:sz w:val="24"/>
          <w:szCs w:val="24"/>
          <w:lang w:val="en-US"/>
        </w:rPr>
        <w:t xml:space="preserve">liquidity profile </w:t>
      </w:r>
      <w:r w:rsidR="00B840D8">
        <w:rPr>
          <w:sz w:val="24"/>
          <w:szCs w:val="24"/>
          <w:lang w:val="en-US"/>
        </w:rPr>
        <w:t xml:space="preserve">and the sound </w:t>
      </w:r>
      <w:r w:rsidR="006002E7">
        <w:rPr>
          <w:sz w:val="24"/>
          <w:szCs w:val="24"/>
          <w:lang w:val="en-US"/>
        </w:rPr>
        <w:t xml:space="preserve">liquidity </w:t>
      </w:r>
      <w:r w:rsidR="00B840D8">
        <w:rPr>
          <w:sz w:val="24"/>
          <w:szCs w:val="24"/>
          <w:lang w:val="en-US"/>
        </w:rPr>
        <w:t>risk manage</w:t>
      </w:r>
      <w:r w:rsidR="006002E7">
        <w:rPr>
          <w:sz w:val="24"/>
          <w:szCs w:val="24"/>
          <w:lang w:val="en-US"/>
        </w:rPr>
        <w:t>ment process</w:t>
      </w:r>
      <w:r w:rsidR="00B840D8">
        <w:rPr>
          <w:sz w:val="24"/>
          <w:szCs w:val="24"/>
          <w:lang w:val="en-US"/>
        </w:rPr>
        <w:t xml:space="preserve"> </w:t>
      </w:r>
      <w:r w:rsidR="009D3318">
        <w:rPr>
          <w:sz w:val="24"/>
          <w:szCs w:val="24"/>
          <w:lang w:val="en-US"/>
        </w:rPr>
        <w:t xml:space="preserve">of the fund </w:t>
      </w:r>
      <w:r w:rsidR="00EB57FD" w:rsidRPr="009C7391">
        <w:rPr>
          <w:sz w:val="24"/>
          <w:szCs w:val="24"/>
          <w:lang w:val="en-US"/>
        </w:rPr>
        <w:t>secto</w:t>
      </w:r>
      <w:r w:rsidR="001665AD">
        <w:rPr>
          <w:sz w:val="24"/>
          <w:szCs w:val="24"/>
          <w:lang w:val="en-US"/>
        </w:rPr>
        <w:t>r</w:t>
      </w:r>
      <w:r w:rsidR="00362253">
        <w:rPr>
          <w:sz w:val="24"/>
          <w:szCs w:val="24"/>
          <w:lang w:val="en-US"/>
        </w:rPr>
        <w:t xml:space="preserve"> </w:t>
      </w:r>
      <w:r w:rsidR="00AA444B">
        <w:rPr>
          <w:sz w:val="24"/>
          <w:szCs w:val="24"/>
          <w:lang w:val="en-US"/>
        </w:rPr>
        <w:t>in all stage</w:t>
      </w:r>
      <w:r w:rsidR="00F87E04">
        <w:rPr>
          <w:sz w:val="24"/>
          <w:szCs w:val="24"/>
          <w:lang w:val="en-US"/>
        </w:rPr>
        <w:t>s of a fund’s life</w:t>
      </w:r>
      <w:r w:rsidR="00D2352E">
        <w:rPr>
          <w:sz w:val="24"/>
          <w:szCs w:val="24"/>
          <w:lang w:val="en-US"/>
        </w:rPr>
        <w:t xml:space="preserve"> (</w:t>
      </w:r>
      <w:r w:rsidR="00F87E04">
        <w:rPr>
          <w:sz w:val="24"/>
          <w:szCs w:val="24"/>
          <w:lang w:val="en-US"/>
        </w:rPr>
        <w:t>from the design phase to the investment process</w:t>
      </w:r>
      <w:r w:rsidR="00D2352E">
        <w:rPr>
          <w:sz w:val="24"/>
          <w:szCs w:val="24"/>
          <w:lang w:val="en-US"/>
        </w:rPr>
        <w:t>)</w:t>
      </w:r>
      <w:r w:rsidR="00167300">
        <w:rPr>
          <w:sz w:val="24"/>
          <w:szCs w:val="24"/>
          <w:lang w:val="en-US"/>
        </w:rPr>
        <w:t xml:space="preserve"> and</w:t>
      </w:r>
      <w:r w:rsidR="005A50E3">
        <w:rPr>
          <w:sz w:val="24"/>
          <w:szCs w:val="24"/>
          <w:lang w:val="en-US"/>
        </w:rPr>
        <w:t xml:space="preserve"> </w:t>
      </w:r>
      <w:r w:rsidR="00F6251C">
        <w:rPr>
          <w:sz w:val="24"/>
          <w:szCs w:val="24"/>
          <w:lang w:val="en-US"/>
        </w:rPr>
        <w:t xml:space="preserve">address </w:t>
      </w:r>
      <w:r w:rsidR="009E0E6F">
        <w:rPr>
          <w:sz w:val="24"/>
          <w:szCs w:val="24"/>
          <w:lang w:val="en-US"/>
        </w:rPr>
        <w:t>any</w:t>
      </w:r>
      <w:r w:rsidR="00F6251C">
        <w:rPr>
          <w:sz w:val="24"/>
          <w:szCs w:val="24"/>
          <w:lang w:val="en-US"/>
        </w:rPr>
        <w:t xml:space="preserve"> deficiencies identified </w:t>
      </w:r>
      <w:r w:rsidR="00167300">
        <w:rPr>
          <w:sz w:val="24"/>
          <w:szCs w:val="24"/>
          <w:lang w:val="en-US"/>
        </w:rPr>
        <w:t xml:space="preserve">other than </w:t>
      </w:r>
      <w:r w:rsidR="008078C3">
        <w:rPr>
          <w:sz w:val="24"/>
          <w:szCs w:val="24"/>
          <w:lang w:val="en-US"/>
        </w:rPr>
        <w:t xml:space="preserve">to be </w:t>
      </w:r>
      <w:r w:rsidR="00362253">
        <w:rPr>
          <w:sz w:val="24"/>
          <w:szCs w:val="24"/>
          <w:lang w:val="en-US"/>
        </w:rPr>
        <w:t xml:space="preserve">better preparate </w:t>
      </w:r>
      <w:r w:rsidR="00202E1F">
        <w:rPr>
          <w:sz w:val="24"/>
          <w:szCs w:val="24"/>
          <w:lang w:val="en-US"/>
        </w:rPr>
        <w:t>for challenges in future periods of stress</w:t>
      </w:r>
      <w:r w:rsidR="001665AD">
        <w:rPr>
          <w:sz w:val="24"/>
          <w:szCs w:val="24"/>
          <w:lang w:val="en-US"/>
        </w:rPr>
        <w:t xml:space="preserve">. </w:t>
      </w:r>
      <w:r w:rsidR="00190563">
        <w:rPr>
          <w:sz w:val="24"/>
          <w:szCs w:val="24"/>
          <w:lang w:val="en-US"/>
        </w:rPr>
        <w:t xml:space="preserve">Therefore, </w:t>
      </w:r>
      <w:r w:rsidR="00190563" w:rsidRPr="00190563">
        <w:rPr>
          <w:sz w:val="24"/>
          <w:szCs w:val="24"/>
          <w:lang w:val="en-US"/>
        </w:rPr>
        <w:t>ensuring that all market participants comply with minimum regulatory requirements</w:t>
      </w:r>
      <w:r w:rsidR="00190563">
        <w:rPr>
          <w:sz w:val="24"/>
          <w:szCs w:val="24"/>
          <w:lang w:val="en-US"/>
        </w:rPr>
        <w:t xml:space="preserve"> is essential</w:t>
      </w:r>
      <w:r w:rsidR="00190563" w:rsidRPr="00190563">
        <w:rPr>
          <w:sz w:val="24"/>
          <w:szCs w:val="24"/>
          <w:lang w:val="en-US"/>
        </w:rPr>
        <w:t>.</w:t>
      </w:r>
    </w:p>
    <w:p w14:paraId="0C9BD285" w14:textId="77777777" w:rsidR="00207CE7" w:rsidRDefault="00207CE7" w:rsidP="009E0B35">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0D034D1E" w14:textId="538C936A" w:rsidR="00EB57FD" w:rsidRDefault="00EB57FD" w:rsidP="00EB57FD">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 xml:space="preserve">- </w:t>
      </w:r>
      <w:r w:rsidRPr="005B5A53">
        <w:rPr>
          <w:sz w:val="24"/>
          <w:szCs w:val="24"/>
          <w:lang w:val="en-US"/>
        </w:rPr>
        <w:t xml:space="preserve">Asset managers already provide detailed information on fund characteristics, including liquidity profiles, during authorization and ongoing supervision. </w:t>
      </w:r>
      <w:r w:rsidR="0015654A">
        <w:rPr>
          <w:sz w:val="24"/>
          <w:szCs w:val="24"/>
          <w:lang w:val="en-US"/>
        </w:rPr>
        <w:t xml:space="preserve">Some information </w:t>
      </w:r>
      <w:r w:rsidR="00BF0196">
        <w:rPr>
          <w:sz w:val="24"/>
          <w:szCs w:val="24"/>
          <w:lang w:val="en-US"/>
        </w:rPr>
        <w:t>is</w:t>
      </w:r>
      <w:r w:rsidR="0015654A">
        <w:rPr>
          <w:sz w:val="24"/>
          <w:szCs w:val="24"/>
          <w:lang w:val="en-US"/>
        </w:rPr>
        <w:t xml:space="preserve"> collect</w:t>
      </w:r>
      <w:r w:rsidR="00BF0196">
        <w:rPr>
          <w:sz w:val="24"/>
          <w:szCs w:val="24"/>
          <w:lang w:val="en-US"/>
        </w:rPr>
        <w:t>ed</w:t>
      </w:r>
      <w:r w:rsidR="0015654A">
        <w:rPr>
          <w:sz w:val="24"/>
          <w:szCs w:val="24"/>
          <w:lang w:val="en-US"/>
        </w:rPr>
        <w:t xml:space="preserve"> directly </w:t>
      </w:r>
      <w:r w:rsidR="00082E25">
        <w:rPr>
          <w:sz w:val="24"/>
          <w:szCs w:val="24"/>
          <w:lang w:val="en-US"/>
        </w:rPr>
        <w:t>using</w:t>
      </w:r>
      <w:r w:rsidR="00AF3BAF">
        <w:rPr>
          <w:sz w:val="24"/>
          <w:szCs w:val="24"/>
          <w:lang w:val="en-US"/>
        </w:rPr>
        <w:t xml:space="preserve"> a</w:t>
      </w:r>
      <w:r w:rsidR="00082E25">
        <w:rPr>
          <w:sz w:val="24"/>
          <w:szCs w:val="24"/>
          <w:lang w:val="en-US"/>
        </w:rPr>
        <w:t xml:space="preserve"> </w:t>
      </w:r>
      <w:r w:rsidR="00440C62">
        <w:rPr>
          <w:sz w:val="24"/>
          <w:szCs w:val="24"/>
          <w:lang w:val="en-US"/>
        </w:rPr>
        <w:t xml:space="preserve">harmonized </w:t>
      </w:r>
      <w:r w:rsidR="00A82BBB">
        <w:rPr>
          <w:sz w:val="24"/>
          <w:szCs w:val="24"/>
          <w:lang w:val="en-US"/>
        </w:rPr>
        <w:t xml:space="preserve">EU </w:t>
      </w:r>
      <w:r w:rsidR="003056CF">
        <w:rPr>
          <w:sz w:val="24"/>
          <w:szCs w:val="24"/>
          <w:lang w:val="en-US"/>
        </w:rPr>
        <w:t>template</w:t>
      </w:r>
      <w:r w:rsidR="00BF0196">
        <w:rPr>
          <w:sz w:val="24"/>
          <w:szCs w:val="24"/>
          <w:lang w:val="en-US"/>
        </w:rPr>
        <w:t xml:space="preserve"> (AIFMs/AIFs re</w:t>
      </w:r>
      <w:r w:rsidR="00942CF6">
        <w:rPr>
          <w:sz w:val="24"/>
          <w:szCs w:val="24"/>
          <w:lang w:val="en-US"/>
        </w:rPr>
        <w:t>porting</w:t>
      </w:r>
      <w:r w:rsidR="003056CF">
        <w:rPr>
          <w:sz w:val="24"/>
          <w:szCs w:val="24"/>
          <w:lang w:val="en-US"/>
        </w:rPr>
        <w:t>,</w:t>
      </w:r>
      <w:r w:rsidR="00942CF6">
        <w:rPr>
          <w:sz w:val="24"/>
          <w:szCs w:val="24"/>
          <w:lang w:val="en-US"/>
        </w:rPr>
        <w:t xml:space="preserve"> MMFs</w:t>
      </w:r>
      <w:r w:rsidR="003056CF">
        <w:rPr>
          <w:sz w:val="24"/>
          <w:szCs w:val="24"/>
          <w:lang w:val="en-US"/>
        </w:rPr>
        <w:t xml:space="preserve"> </w:t>
      </w:r>
      <w:r w:rsidR="00942CF6">
        <w:rPr>
          <w:sz w:val="24"/>
          <w:szCs w:val="24"/>
          <w:lang w:val="en-US"/>
        </w:rPr>
        <w:t>reporting)</w:t>
      </w:r>
      <w:r w:rsidR="00D84C8F">
        <w:rPr>
          <w:sz w:val="24"/>
          <w:szCs w:val="24"/>
          <w:lang w:val="en-US"/>
        </w:rPr>
        <w:t>.</w:t>
      </w:r>
      <w:r w:rsidR="00942CF6">
        <w:rPr>
          <w:sz w:val="24"/>
          <w:szCs w:val="24"/>
          <w:lang w:val="en-US"/>
        </w:rPr>
        <w:t xml:space="preserve"> </w:t>
      </w:r>
      <w:r w:rsidR="00D84C8F">
        <w:rPr>
          <w:sz w:val="24"/>
          <w:szCs w:val="24"/>
          <w:lang w:val="en-US"/>
        </w:rPr>
        <w:t>O</w:t>
      </w:r>
      <w:r w:rsidR="00A82BBB">
        <w:rPr>
          <w:sz w:val="24"/>
          <w:szCs w:val="24"/>
          <w:lang w:val="en-US"/>
        </w:rPr>
        <w:t>ther</w:t>
      </w:r>
      <w:r w:rsidR="00D84C8F">
        <w:rPr>
          <w:sz w:val="24"/>
          <w:szCs w:val="24"/>
          <w:lang w:val="en-US"/>
        </w:rPr>
        <w:t xml:space="preserve"> information</w:t>
      </w:r>
      <w:r w:rsidR="00A82BBB">
        <w:rPr>
          <w:sz w:val="24"/>
          <w:szCs w:val="24"/>
          <w:lang w:val="en-US"/>
        </w:rPr>
        <w:t xml:space="preserve"> </w:t>
      </w:r>
      <w:r w:rsidR="00F52281">
        <w:rPr>
          <w:sz w:val="24"/>
          <w:szCs w:val="24"/>
          <w:lang w:val="en-US"/>
        </w:rPr>
        <w:t xml:space="preserve">is </w:t>
      </w:r>
      <w:r w:rsidR="00942CF6">
        <w:rPr>
          <w:sz w:val="24"/>
          <w:szCs w:val="24"/>
          <w:lang w:val="en-US"/>
        </w:rPr>
        <w:t xml:space="preserve">collected </w:t>
      </w:r>
      <w:r w:rsidR="008955ED">
        <w:rPr>
          <w:sz w:val="24"/>
          <w:szCs w:val="24"/>
          <w:lang w:val="en-US"/>
        </w:rPr>
        <w:t xml:space="preserve">without </w:t>
      </w:r>
      <w:proofErr w:type="gramStart"/>
      <w:r w:rsidR="008955ED">
        <w:rPr>
          <w:sz w:val="24"/>
          <w:szCs w:val="24"/>
          <w:lang w:val="en-US"/>
        </w:rPr>
        <w:t>common</w:t>
      </w:r>
      <w:proofErr w:type="gramEnd"/>
      <w:r w:rsidR="008955ED">
        <w:rPr>
          <w:sz w:val="24"/>
          <w:szCs w:val="24"/>
          <w:lang w:val="en-US"/>
        </w:rPr>
        <w:t xml:space="preserve"> template but through </w:t>
      </w:r>
      <w:r w:rsidR="00BF0196">
        <w:rPr>
          <w:sz w:val="24"/>
          <w:szCs w:val="24"/>
          <w:lang w:val="en-US"/>
        </w:rPr>
        <w:t xml:space="preserve">ECB reporting requirements. </w:t>
      </w:r>
      <w:r w:rsidRPr="005B5A53">
        <w:rPr>
          <w:sz w:val="24"/>
          <w:szCs w:val="24"/>
          <w:lang w:val="en-US"/>
        </w:rPr>
        <w:t>The recent AIFMD/UCITS review</w:t>
      </w:r>
      <w:r>
        <w:rPr>
          <w:rStyle w:val="Rimandonotaapidipagina"/>
          <w:sz w:val="24"/>
          <w:szCs w:val="24"/>
          <w:lang w:val="en-US"/>
        </w:rPr>
        <w:footnoteReference w:id="8"/>
      </w:r>
      <w:r w:rsidRPr="005B5A53">
        <w:rPr>
          <w:sz w:val="24"/>
          <w:szCs w:val="24"/>
          <w:lang w:val="en-US"/>
        </w:rPr>
        <w:t xml:space="preserve"> will further enhance this reporting, </w:t>
      </w:r>
      <w:r w:rsidR="00C160D0">
        <w:rPr>
          <w:sz w:val="24"/>
          <w:szCs w:val="24"/>
          <w:lang w:val="en-US"/>
        </w:rPr>
        <w:t>whe</w:t>
      </w:r>
      <w:r w:rsidR="00DE3730">
        <w:rPr>
          <w:sz w:val="24"/>
          <w:szCs w:val="24"/>
          <w:lang w:val="en-US"/>
        </w:rPr>
        <w:t>re</w:t>
      </w:r>
      <w:r w:rsidR="000008D4">
        <w:rPr>
          <w:sz w:val="24"/>
          <w:szCs w:val="24"/>
          <w:lang w:val="en-US"/>
        </w:rPr>
        <w:t xml:space="preserve"> </w:t>
      </w:r>
      <w:r w:rsidR="00616AFD">
        <w:rPr>
          <w:sz w:val="24"/>
          <w:szCs w:val="24"/>
          <w:lang w:val="en-US"/>
        </w:rPr>
        <w:t xml:space="preserve">additional </w:t>
      </w:r>
      <w:r w:rsidR="000008D4">
        <w:rPr>
          <w:sz w:val="24"/>
          <w:szCs w:val="24"/>
          <w:lang w:val="en-US"/>
        </w:rPr>
        <w:t xml:space="preserve">information </w:t>
      </w:r>
      <w:r w:rsidR="002616B3">
        <w:rPr>
          <w:sz w:val="24"/>
          <w:szCs w:val="24"/>
          <w:lang w:val="en-US"/>
        </w:rPr>
        <w:t>could be collected on a periodic or ad hoc basis where necessary for the effective monitoring of systemic risk</w:t>
      </w:r>
      <w:r w:rsidR="00DE3730">
        <w:rPr>
          <w:sz w:val="24"/>
          <w:szCs w:val="24"/>
          <w:lang w:val="en-US"/>
        </w:rPr>
        <w:t xml:space="preserve"> or in exceptional circumstances</w:t>
      </w:r>
      <w:r w:rsidR="00760282">
        <w:rPr>
          <w:sz w:val="24"/>
          <w:szCs w:val="24"/>
          <w:lang w:val="en-US"/>
        </w:rPr>
        <w:t xml:space="preserve"> </w:t>
      </w:r>
      <w:proofErr w:type="gramStart"/>
      <w:r w:rsidR="00760282">
        <w:rPr>
          <w:sz w:val="24"/>
          <w:szCs w:val="24"/>
          <w:lang w:val="en-US"/>
        </w:rPr>
        <w:t>in order to</w:t>
      </w:r>
      <w:proofErr w:type="gramEnd"/>
      <w:r w:rsidR="00760282">
        <w:rPr>
          <w:sz w:val="24"/>
          <w:szCs w:val="24"/>
          <w:lang w:val="en-US"/>
        </w:rPr>
        <w:t xml:space="preserve"> ensure stability and inte</w:t>
      </w:r>
      <w:r w:rsidR="00304DE9">
        <w:rPr>
          <w:sz w:val="24"/>
          <w:szCs w:val="24"/>
          <w:lang w:val="en-US"/>
        </w:rPr>
        <w:t>grity of the financial system</w:t>
      </w:r>
      <w:r w:rsidRPr="005B5A53">
        <w:rPr>
          <w:sz w:val="24"/>
          <w:szCs w:val="24"/>
          <w:lang w:val="en-US"/>
        </w:rPr>
        <w:t>.</w:t>
      </w:r>
    </w:p>
    <w:p w14:paraId="6CBB9E66" w14:textId="77777777" w:rsidR="00CE5580" w:rsidRDefault="00CE5580" w:rsidP="00EB57FD">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15795EF8" w14:textId="11146C3E" w:rsidR="00207930" w:rsidRDefault="00207930" w:rsidP="00207930">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 xml:space="preserve">- </w:t>
      </w:r>
      <w:r w:rsidRPr="005A431B">
        <w:rPr>
          <w:sz w:val="24"/>
          <w:szCs w:val="24"/>
          <w:lang w:val="en-US"/>
        </w:rPr>
        <w:t>ESMA's Article 25 AIFMD Guidelines</w:t>
      </w:r>
      <w:r>
        <w:rPr>
          <w:rStyle w:val="Rimandonotaapidipagina"/>
          <w:sz w:val="24"/>
          <w:szCs w:val="24"/>
          <w:lang w:val="en-US"/>
        </w:rPr>
        <w:footnoteReference w:id="9"/>
      </w:r>
      <w:r w:rsidRPr="005A431B">
        <w:rPr>
          <w:sz w:val="24"/>
          <w:szCs w:val="24"/>
          <w:lang w:val="en-US"/>
        </w:rPr>
        <w:t xml:space="preserve"> provide a suitable framework for assessing fund risk, considering factors like leverage, liquidity, and concentration. By </w:t>
      </w:r>
      <w:r w:rsidR="00C42E6B">
        <w:rPr>
          <w:sz w:val="24"/>
          <w:szCs w:val="24"/>
          <w:lang w:val="en-US"/>
        </w:rPr>
        <w:t xml:space="preserve">starting from such factors, </w:t>
      </w:r>
      <w:r w:rsidRPr="009B0E34">
        <w:rPr>
          <w:sz w:val="24"/>
          <w:szCs w:val="24"/>
          <w:lang w:val="en-US"/>
        </w:rPr>
        <w:t xml:space="preserve">supervisors can identify </w:t>
      </w:r>
      <w:r w:rsidR="002923E7">
        <w:rPr>
          <w:sz w:val="24"/>
          <w:szCs w:val="24"/>
          <w:lang w:val="en-US"/>
        </w:rPr>
        <w:t>if there are some pocket</w:t>
      </w:r>
      <w:r w:rsidR="000C119D">
        <w:rPr>
          <w:sz w:val="24"/>
          <w:szCs w:val="24"/>
          <w:lang w:val="en-US"/>
        </w:rPr>
        <w:t>s</w:t>
      </w:r>
      <w:r w:rsidR="002923E7">
        <w:rPr>
          <w:sz w:val="24"/>
          <w:szCs w:val="24"/>
          <w:lang w:val="en-US"/>
        </w:rPr>
        <w:t xml:space="preserve"> of vulnerabilities that can spread </w:t>
      </w:r>
      <w:r w:rsidR="005940A8">
        <w:rPr>
          <w:sz w:val="24"/>
          <w:szCs w:val="24"/>
          <w:lang w:val="en-US"/>
        </w:rPr>
        <w:t>into markets</w:t>
      </w:r>
      <w:r w:rsidRPr="009B0E34">
        <w:rPr>
          <w:sz w:val="24"/>
          <w:szCs w:val="24"/>
          <w:lang w:val="en-US"/>
        </w:rPr>
        <w:t>.</w:t>
      </w:r>
    </w:p>
    <w:p w14:paraId="361FAFEC" w14:textId="77777777" w:rsidR="00DE3231" w:rsidRDefault="00DE3231" w:rsidP="00207930">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13B89D92" w14:textId="77777777" w:rsidR="00DE3231" w:rsidRDefault="00DE3231" w:rsidP="00DE3231">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 xml:space="preserve">- </w:t>
      </w:r>
      <w:r w:rsidRPr="009B0E34">
        <w:rPr>
          <w:sz w:val="24"/>
          <w:szCs w:val="24"/>
          <w:lang w:val="en-US"/>
        </w:rPr>
        <w:t>Stress tests</w:t>
      </w:r>
      <w:r w:rsidRPr="001F4495">
        <w:rPr>
          <w:sz w:val="24"/>
          <w:szCs w:val="24"/>
          <w:lang w:val="en-US"/>
        </w:rPr>
        <w:t xml:space="preserve"> can help identify potential vulnerabilities,</w:t>
      </w:r>
      <w:r>
        <w:rPr>
          <w:sz w:val="24"/>
          <w:szCs w:val="24"/>
          <w:lang w:val="en-US"/>
        </w:rPr>
        <w:t xml:space="preserve"> but</w:t>
      </w:r>
      <w:r w:rsidRPr="001F4495">
        <w:rPr>
          <w:sz w:val="24"/>
          <w:szCs w:val="24"/>
          <w:lang w:val="en-US"/>
        </w:rPr>
        <w:t xml:space="preserve"> </w:t>
      </w:r>
      <w:r>
        <w:rPr>
          <w:sz w:val="24"/>
          <w:szCs w:val="24"/>
          <w:lang w:val="en-US"/>
        </w:rPr>
        <w:t xml:space="preserve">it is important to </w:t>
      </w:r>
      <w:proofErr w:type="gramStart"/>
      <w:r>
        <w:rPr>
          <w:sz w:val="24"/>
          <w:szCs w:val="24"/>
          <w:lang w:val="en-US"/>
        </w:rPr>
        <w:t>remind</w:t>
      </w:r>
      <w:proofErr w:type="gramEnd"/>
      <w:r>
        <w:rPr>
          <w:sz w:val="24"/>
          <w:szCs w:val="24"/>
          <w:lang w:val="en-US"/>
        </w:rPr>
        <w:t xml:space="preserve"> that they also </w:t>
      </w:r>
      <w:r w:rsidRPr="001F4495">
        <w:rPr>
          <w:sz w:val="24"/>
          <w:szCs w:val="24"/>
          <w:lang w:val="en-US"/>
        </w:rPr>
        <w:t>have limitations.</w:t>
      </w:r>
      <w:r>
        <w:rPr>
          <w:sz w:val="24"/>
          <w:szCs w:val="24"/>
          <w:lang w:val="en-US"/>
        </w:rPr>
        <w:t xml:space="preserve"> </w:t>
      </w:r>
      <w:r w:rsidRPr="0042511B">
        <w:rPr>
          <w:sz w:val="24"/>
          <w:szCs w:val="24"/>
          <w:lang w:val="en-US"/>
        </w:rPr>
        <w:t>ESMA and ECB stress tests</w:t>
      </w:r>
      <w:r>
        <w:rPr>
          <w:sz w:val="24"/>
          <w:szCs w:val="24"/>
          <w:lang w:val="en-US"/>
        </w:rPr>
        <w:t xml:space="preserve"> conducted over the years </w:t>
      </w:r>
      <w:r w:rsidRPr="00BD5CB3">
        <w:rPr>
          <w:sz w:val="24"/>
          <w:szCs w:val="24"/>
          <w:lang w:val="en-US"/>
        </w:rPr>
        <w:t>to assess the resilience of the fund industry under various adverse scenarios</w:t>
      </w:r>
      <w:r>
        <w:rPr>
          <w:sz w:val="24"/>
          <w:szCs w:val="24"/>
          <w:lang w:val="en-US"/>
        </w:rPr>
        <w:t xml:space="preserve">, </w:t>
      </w:r>
      <w:r w:rsidRPr="00673374">
        <w:rPr>
          <w:sz w:val="24"/>
          <w:szCs w:val="24"/>
          <w:lang w:val="en-US"/>
        </w:rPr>
        <w:t>while valuable, may not fully capture real-world shocks.</w:t>
      </w:r>
      <w:r>
        <w:rPr>
          <w:sz w:val="24"/>
          <w:szCs w:val="24"/>
          <w:lang w:val="en-US"/>
        </w:rPr>
        <w:t xml:space="preserve"> </w:t>
      </w:r>
      <w:r w:rsidRPr="00012F1C">
        <w:rPr>
          <w:sz w:val="24"/>
          <w:szCs w:val="24"/>
          <w:lang w:val="en-US"/>
        </w:rPr>
        <w:t>These tests often apply uniform shocks, ignoring fund-specific differences and manager responses. Additionally, they may not consider broader market dynamics and feedback loops.</w:t>
      </w:r>
      <w:r>
        <w:rPr>
          <w:sz w:val="24"/>
          <w:szCs w:val="24"/>
          <w:lang w:val="en-US"/>
        </w:rPr>
        <w:t xml:space="preserve"> </w:t>
      </w:r>
      <w:r w:rsidRPr="0052026C">
        <w:rPr>
          <w:sz w:val="24"/>
          <w:szCs w:val="24"/>
          <w:lang w:val="en-US"/>
        </w:rPr>
        <w:t xml:space="preserve">It is always </w:t>
      </w:r>
      <w:r w:rsidRPr="0052026C">
        <w:rPr>
          <w:sz w:val="24"/>
          <w:szCs w:val="24"/>
          <w:lang w:val="en-US"/>
        </w:rPr>
        <w:lastRenderedPageBreak/>
        <w:t xml:space="preserve">necessary, therefore, to supplement these inputs with qualitative information based on </w:t>
      </w:r>
      <w:proofErr w:type="gramStart"/>
      <w:r w:rsidRPr="0052026C">
        <w:rPr>
          <w:sz w:val="24"/>
          <w:szCs w:val="24"/>
          <w:lang w:val="en-US"/>
        </w:rPr>
        <w:t>the experience</w:t>
      </w:r>
      <w:proofErr w:type="gramEnd"/>
      <w:r w:rsidRPr="0052026C">
        <w:rPr>
          <w:sz w:val="24"/>
          <w:szCs w:val="24"/>
          <w:lang w:val="en-US"/>
        </w:rPr>
        <w:t xml:space="preserve"> and sound judgment.</w:t>
      </w:r>
      <w:r>
        <w:rPr>
          <w:sz w:val="24"/>
          <w:szCs w:val="24"/>
          <w:lang w:val="en-US"/>
        </w:rPr>
        <w:t xml:space="preserve"> </w:t>
      </w:r>
    </w:p>
    <w:p w14:paraId="18EFD406" w14:textId="77777777" w:rsidR="00C92665" w:rsidRDefault="00C92665" w:rsidP="00EB57FD">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3303C539" w14:textId="2970E1BD" w:rsidR="00281A97" w:rsidRDefault="001547BF" w:rsidP="00AF0E91">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 xml:space="preserve">- </w:t>
      </w:r>
      <w:r w:rsidR="006D0893">
        <w:rPr>
          <w:sz w:val="24"/>
          <w:szCs w:val="24"/>
          <w:lang w:val="en-US"/>
        </w:rPr>
        <w:t xml:space="preserve">The use of </w:t>
      </w:r>
      <w:r w:rsidR="00EB57FD" w:rsidRPr="00D33BB7">
        <w:rPr>
          <w:sz w:val="24"/>
          <w:szCs w:val="24"/>
          <w:lang w:val="en-US"/>
        </w:rPr>
        <w:t>Common Supervisory Action</w:t>
      </w:r>
      <w:r w:rsidR="00EB57FD">
        <w:rPr>
          <w:sz w:val="24"/>
          <w:szCs w:val="24"/>
          <w:lang w:val="en-US"/>
        </w:rPr>
        <w:t>s</w:t>
      </w:r>
      <w:r w:rsidR="00EB57FD" w:rsidRPr="00D33BB7">
        <w:rPr>
          <w:sz w:val="24"/>
          <w:szCs w:val="24"/>
          <w:lang w:val="en-US"/>
        </w:rPr>
        <w:t xml:space="preserve"> (CSA</w:t>
      </w:r>
      <w:r w:rsidR="00EB57FD">
        <w:rPr>
          <w:sz w:val="24"/>
          <w:szCs w:val="24"/>
          <w:lang w:val="en-US"/>
        </w:rPr>
        <w:t>s</w:t>
      </w:r>
      <w:r w:rsidR="00EB57FD" w:rsidRPr="00D33BB7">
        <w:rPr>
          <w:sz w:val="24"/>
          <w:szCs w:val="24"/>
          <w:lang w:val="en-US"/>
        </w:rPr>
        <w:t xml:space="preserve">) </w:t>
      </w:r>
      <w:r w:rsidR="006D0893">
        <w:rPr>
          <w:sz w:val="24"/>
          <w:szCs w:val="24"/>
          <w:lang w:val="en-US"/>
        </w:rPr>
        <w:t xml:space="preserve">by ESMA </w:t>
      </w:r>
      <w:r w:rsidR="00EB57FD" w:rsidRPr="00D33BB7">
        <w:rPr>
          <w:sz w:val="24"/>
          <w:szCs w:val="24"/>
          <w:lang w:val="en-US"/>
        </w:rPr>
        <w:t>with NCAs</w:t>
      </w:r>
      <w:r w:rsidR="00EB57FD">
        <w:rPr>
          <w:sz w:val="24"/>
          <w:szCs w:val="24"/>
          <w:lang w:val="en-US"/>
        </w:rPr>
        <w:t xml:space="preserve"> </w:t>
      </w:r>
      <w:r w:rsidR="000148A7">
        <w:rPr>
          <w:sz w:val="24"/>
          <w:szCs w:val="24"/>
          <w:lang w:val="en-US"/>
        </w:rPr>
        <w:t xml:space="preserve">facilitated </w:t>
      </w:r>
      <w:r w:rsidR="003E5641">
        <w:rPr>
          <w:sz w:val="24"/>
          <w:szCs w:val="24"/>
          <w:lang w:val="en-US"/>
        </w:rPr>
        <w:t>discussions among NCA</w:t>
      </w:r>
      <w:r w:rsidR="003114F5">
        <w:rPr>
          <w:sz w:val="24"/>
          <w:szCs w:val="24"/>
          <w:lang w:val="en-US"/>
        </w:rPr>
        <w:t>s</w:t>
      </w:r>
      <w:r w:rsidR="003E5641">
        <w:rPr>
          <w:sz w:val="24"/>
          <w:szCs w:val="24"/>
          <w:lang w:val="en-US"/>
        </w:rPr>
        <w:t xml:space="preserve"> </w:t>
      </w:r>
      <w:proofErr w:type="gramStart"/>
      <w:r w:rsidR="004D0B4D">
        <w:rPr>
          <w:sz w:val="24"/>
          <w:szCs w:val="24"/>
          <w:lang w:val="en-US"/>
        </w:rPr>
        <w:t>in order to</w:t>
      </w:r>
      <w:proofErr w:type="gramEnd"/>
      <w:r w:rsidR="004D0B4D">
        <w:rPr>
          <w:sz w:val="24"/>
          <w:szCs w:val="24"/>
          <w:lang w:val="en-US"/>
        </w:rPr>
        <w:t xml:space="preserve"> ensure that both market participants and NCAs are </w:t>
      </w:r>
      <w:r w:rsidR="006415C8">
        <w:rPr>
          <w:sz w:val="24"/>
          <w:szCs w:val="24"/>
          <w:lang w:val="en-US"/>
        </w:rPr>
        <w:t>better preparate</w:t>
      </w:r>
      <w:r w:rsidR="00284DB8">
        <w:rPr>
          <w:sz w:val="24"/>
          <w:szCs w:val="24"/>
          <w:lang w:val="en-US"/>
        </w:rPr>
        <w:t xml:space="preserve">. </w:t>
      </w:r>
      <w:r w:rsidR="002027AC">
        <w:rPr>
          <w:sz w:val="24"/>
          <w:szCs w:val="24"/>
          <w:lang w:val="en-US"/>
        </w:rPr>
        <w:t>The use of CSA has been increased over the last years and i</w:t>
      </w:r>
      <w:r w:rsidR="00BA4EA5">
        <w:rPr>
          <w:sz w:val="24"/>
          <w:szCs w:val="24"/>
          <w:lang w:val="en-US"/>
        </w:rPr>
        <w:t xml:space="preserve">n the CSA on </w:t>
      </w:r>
      <w:hyperlink r:id="rId11" w:history="1">
        <w:r w:rsidR="00EB57FD" w:rsidRPr="009839FF">
          <w:rPr>
            <w:rStyle w:val="Collegamentoipertestuale"/>
            <w:sz w:val="24"/>
            <w:szCs w:val="24"/>
            <w:lang w:val="en-US"/>
          </w:rPr>
          <w:t>UCITS liquidity risk management</w:t>
        </w:r>
      </w:hyperlink>
      <w:r w:rsidR="00EB57FD">
        <w:rPr>
          <w:sz w:val="24"/>
          <w:szCs w:val="24"/>
          <w:lang w:val="en-US"/>
        </w:rPr>
        <w:t xml:space="preserve">, </w:t>
      </w:r>
      <w:r w:rsidR="007C5073">
        <w:rPr>
          <w:sz w:val="24"/>
          <w:szCs w:val="24"/>
          <w:lang w:val="en-US"/>
        </w:rPr>
        <w:t>ESMA states that</w:t>
      </w:r>
      <w:r w:rsidR="00C66B40">
        <w:rPr>
          <w:sz w:val="24"/>
          <w:szCs w:val="24"/>
          <w:lang w:val="en-US"/>
        </w:rPr>
        <w:t xml:space="preserve"> </w:t>
      </w:r>
      <w:r w:rsidR="00FB7744">
        <w:rPr>
          <w:sz w:val="24"/>
          <w:szCs w:val="24"/>
          <w:lang w:val="en-US"/>
        </w:rPr>
        <w:t>“</w:t>
      </w:r>
      <w:r w:rsidR="00FB7744" w:rsidRPr="009B0E34">
        <w:rPr>
          <w:i/>
          <w:iCs/>
          <w:sz w:val="24"/>
          <w:szCs w:val="24"/>
          <w:lang w:val="en-US"/>
        </w:rPr>
        <w:t>Overall</w:t>
      </w:r>
      <w:r w:rsidR="009B2FF5" w:rsidRPr="009B0E34">
        <w:rPr>
          <w:i/>
          <w:iCs/>
          <w:sz w:val="24"/>
          <w:szCs w:val="24"/>
          <w:lang w:val="en-US"/>
        </w:rPr>
        <w:t>, NCAs reported that most UCITS managers have demonstrated that they have implemented and applied sufficiently sound liquidity risk management processes. However, the exercise also identified shortcomings in a few cases and the need for improvements in certain key areas. Consequently, NCAs are following up with market participants to address the supervisory findings identified in the CSA at the individual and collective level</w:t>
      </w:r>
      <w:r w:rsidR="009B2FF5" w:rsidRPr="009B2FF5">
        <w:rPr>
          <w:sz w:val="24"/>
          <w:szCs w:val="24"/>
          <w:lang w:val="en-US"/>
        </w:rPr>
        <w:t>.</w:t>
      </w:r>
      <w:r w:rsidR="00FB7744">
        <w:rPr>
          <w:sz w:val="24"/>
          <w:szCs w:val="24"/>
          <w:lang w:val="en-US"/>
        </w:rPr>
        <w:t>”</w:t>
      </w:r>
      <w:r w:rsidR="004B6D71">
        <w:rPr>
          <w:sz w:val="24"/>
          <w:szCs w:val="24"/>
          <w:lang w:val="en-US"/>
        </w:rPr>
        <w:t xml:space="preserve"> </w:t>
      </w:r>
      <w:r w:rsidR="007C5073">
        <w:rPr>
          <w:sz w:val="24"/>
          <w:szCs w:val="24"/>
          <w:lang w:val="en-US"/>
        </w:rPr>
        <w:t xml:space="preserve">While in </w:t>
      </w:r>
      <w:r w:rsidR="00FB341E">
        <w:rPr>
          <w:sz w:val="24"/>
          <w:szCs w:val="24"/>
          <w:lang w:val="en-US"/>
        </w:rPr>
        <w:t xml:space="preserve">CSA on </w:t>
      </w:r>
      <w:hyperlink r:id="rId12" w:history="1">
        <w:r w:rsidR="00FB341E" w:rsidRPr="002260F1">
          <w:rPr>
            <w:rStyle w:val="Collegamentoipertestuale"/>
            <w:sz w:val="24"/>
            <w:szCs w:val="24"/>
            <w:lang w:val="en-US"/>
          </w:rPr>
          <w:t>the valuation of UCITS and open-ended Alternative Investment Funds (AIFs) across the EU</w:t>
        </w:r>
      </w:hyperlink>
      <w:r w:rsidR="007C5073">
        <w:rPr>
          <w:sz w:val="24"/>
          <w:szCs w:val="24"/>
          <w:lang w:val="en-US"/>
        </w:rPr>
        <w:t xml:space="preserve"> ESMA</w:t>
      </w:r>
      <w:r w:rsidR="00BD7B60">
        <w:rPr>
          <w:sz w:val="24"/>
          <w:szCs w:val="24"/>
          <w:lang w:val="en-US"/>
        </w:rPr>
        <w:t xml:space="preserve"> states that “</w:t>
      </w:r>
      <w:r w:rsidR="00FA4480" w:rsidRPr="009B0E34">
        <w:rPr>
          <w:i/>
          <w:iCs/>
          <w:sz w:val="24"/>
          <w:szCs w:val="24"/>
          <w:lang w:val="en-US"/>
        </w:rPr>
        <w:t>it is important that NCAs’ supervision</w:t>
      </w:r>
      <w:r w:rsidR="006415C8" w:rsidRPr="009B0E34">
        <w:rPr>
          <w:i/>
          <w:iCs/>
          <w:sz w:val="24"/>
          <w:szCs w:val="24"/>
          <w:lang w:val="en-US"/>
        </w:rPr>
        <w:t xml:space="preserve"> </w:t>
      </w:r>
      <w:r w:rsidR="00FA4480" w:rsidRPr="009B0E34">
        <w:rPr>
          <w:i/>
          <w:iCs/>
          <w:sz w:val="24"/>
          <w:szCs w:val="24"/>
          <w:lang w:val="en-US"/>
        </w:rPr>
        <w:t>addresses the deficiencies identified in the course of the CSA exercise and keeps paying</w:t>
      </w:r>
      <w:r w:rsidR="00BD7B60" w:rsidRPr="009B0E34">
        <w:rPr>
          <w:i/>
          <w:iCs/>
          <w:sz w:val="24"/>
          <w:szCs w:val="24"/>
          <w:lang w:val="en-US"/>
        </w:rPr>
        <w:t xml:space="preserve"> </w:t>
      </w:r>
      <w:r w:rsidR="00FA4480" w:rsidRPr="009B0E34">
        <w:rPr>
          <w:i/>
          <w:iCs/>
          <w:sz w:val="24"/>
          <w:szCs w:val="24"/>
          <w:lang w:val="en-US"/>
        </w:rPr>
        <w:t>close attention to potential valuation issues arising from less liquid assets, whose nature</w:t>
      </w:r>
      <w:r w:rsidR="00BD7B60" w:rsidRPr="009B0E34">
        <w:rPr>
          <w:i/>
          <w:iCs/>
          <w:sz w:val="24"/>
          <w:szCs w:val="24"/>
          <w:lang w:val="en-US"/>
        </w:rPr>
        <w:t xml:space="preserve"> </w:t>
      </w:r>
      <w:r w:rsidR="00FA4480" w:rsidRPr="009B0E34">
        <w:rPr>
          <w:i/>
          <w:iCs/>
          <w:sz w:val="24"/>
          <w:szCs w:val="24"/>
          <w:lang w:val="en-US"/>
        </w:rPr>
        <w:t>can amplify the structural liquidity mismatches of certain types of investment funds</w:t>
      </w:r>
      <w:r w:rsidR="00AF0E91" w:rsidRPr="009B0E34">
        <w:rPr>
          <w:i/>
          <w:iCs/>
          <w:sz w:val="24"/>
          <w:szCs w:val="24"/>
          <w:lang w:val="en-US"/>
        </w:rPr>
        <w:t xml:space="preserve">. This is particularly true for funds investing in Private Equity (PE) assets and Real Estate (RE) which might be more exposed to revaluation risks </w:t>
      </w:r>
      <w:proofErr w:type="gramStart"/>
      <w:r w:rsidR="00AF0E91" w:rsidRPr="009B0E34">
        <w:rPr>
          <w:i/>
          <w:iCs/>
          <w:sz w:val="24"/>
          <w:szCs w:val="24"/>
          <w:lang w:val="en-US"/>
        </w:rPr>
        <w:t>in light of</w:t>
      </w:r>
      <w:proofErr w:type="gramEnd"/>
      <w:r w:rsidR="00AF0E91" w:rsidRPr="009B0E34">
        <w:rPr>
          <w:i/>
          <w:iCs/>
          <w:sz w:val="24"/>
          <w:szCs w:val="24"/>
          <w:lang w:val="en-US"/>
        </w:rPr>
        <w:t xml:space="preserve"> the heavy reliance on long-term models and the illiquidity of their assets</w:t>
      </w:r>
      <w:r w:rsidR="00AF0E91">
        <w:rPr>
          <w:sz w:val="24"/>
          <w:szCs w:val="24"/>
          <w:lang w:val="en-US"/>
        </w:rPr>
        <w:t>.”</w:t>
      </w:r>
    </w:p>
    <w:p w14:paraId="6D809FE4" w14:textId="0387A094" w:rsidR="00C52046" w:rsidRDefault="00C52046" w:rsidP="00EB57FD">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0F79E0DC" w14:textId="77777777" w:rsidR="00226F6F" w:rsidRPr="00996921" w:rsidRDefault="00226F6F" w:rsidP="00226F6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51B40926" w14:textId="77777777" w:rsidR="00226F6F" w:rsidRDefault="00226F6F" w:rsidP="00226F6F">
      <w:pPr>
        <w:pBdr>
          <w:top w:val="nil"/>
          <w:left w:val="nil"/>
          <w:bottom w:val="nil"/>
          <w:right w:val="nil"/>
          <w:between w:val="nil"/>
          <w:bar w:val="nil"/>
        </w:pBdr>
        <w:spacing w:after="0" w:line="280" w:lineRule="exact"/>
        <w:jc w:val="both"/>
        <w:rPr>
          <w:b/>
          <w:bCs/>
          <w:sz w:val="24"/>
          <w:szCs w:val="24"/>
          <w:lang w:val="en-US"/>
        </w:rPr>
      </w:pPr>
    </w:p>
    <w:p w14:paraId="71300EAB" w14:textId="77777777" w:rsidR="00AA215C" w:rsidRDefault="00AA215C" w:rsidP="00AA215C">
      <w:pPr>
        <w:pBdr>
          <w:top w:val="nil"/>
          <w:left w:val="nil"/>
          <w:bottom w:val="nil"/>
          <w:right w:val="nil"/>
          <w:between w:val="nil"/>
          <w:bar w:val="nil"/>
        </w:pBdr>
        <w:spacing w:after="0" w:line="280" w:lineRule="exact"/>
        <w:jc w:val="both"/>
        <w:rPr>
          <w:b/>
          <w:bCs/>
          <w:sz w:val="24"/>
          <w:szCs w:val="24"/>
          <w:lang w:val="en-US"/>
        </w:rPr>
      </w:pPr>
      <w:r w:rsidRPr="00AA215C">
        <w:rPr>
          <w:b/>
          <w:bCs/>
          <w:sz w:val="24"/>
          <w:szCs w:val="24"/>
          <w:lang w:val="en-US"/>
        </w:rPr>
        <w:t>Question 16. [To NCAs/EU bodies] What is the supervisory practice and your experience with monitoring and detecting unmitigated liquidity mismatches during the lifetime of OEFs?</w:t>
      </w:r>
    </w:p>
    <w:p w14:paraId="6636EB68" w14:textId="77777777" w:rsidR="00226F6F" w:rsidRPr="00996921" w:rsidRDefault="00226F6F" w:rsidP="00226F6F">
      <w:pPr>
        <w:pBdr>
          <w:top w:val="nil"/>
          <w:left w:val="nil"/>
          <w:bottom w:val="nil"/>
          <w:right w:val="nil"/>
          <w:between w:val="nil"/>
          <w:bar w:val="nil"/>
        </w:pBdr>
        <w:spacing w:after="0" w:line="280" w:lineRule="exact"/>
        <w:jc w:val="both"/>
        <w:rPr>
          <w:b/>
          <w:bCs/>
          <w:sz w:val="24"/>
          <w:szCs w:val="24"/>
          <w:lang w:val="en-US"/>
        </w:rPr>
      </w:pPr>
    </w:p>
    <w:p w14:paraId="28FA2F4A" w14:textId="77777777" w:rsidR="00226F6F" w:rsidRPr="00996921" w:rsidRDefault="00226F6F" w:rsidP="00226F6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20F4FE67" w14:textId="77777777" w:rsidR="00226F6F" w:rsidRDefault="00226F6F" w:rsidP="00226F6F">
      <w:pPr>
        <w:pBdr>
          <w:top w:val="nil"/>
          <w:left w:val="nil"/>
          <w:bottom w:val="nil"/>
          <w:right w:val="nil"/>
          <w:between w:val="nil"/>
          <w:bar w:val="nil"/>
        </w:pBdr>
        <w:spacing w:after="0" w:line="280" w:lineRule="exact"/>
        <w:jc w:val="both"/>
        <w:rPr>
          <w:b/>
          <w:bCs/>
          <w:sz w:val="24"/>
          <w:szCs w:val="24"/>
          <w:lang w:val="en-US"/>
        </w:rPr>
      </w:pPr>
    </w:p>
    <w:p w14:paraId="5BAF979A" w14:textId="77777777" w:rsidR="00AA215C" w:rsidRDefault="00AA215C" w:rsidP="00AA215C">
      <w:pPr>
        <w:pBdr>
          <w:top w:val="nil"/>
          <w:left w:val="nil"/>
          <w:bottom w:val="nil"/>
          <w:right w:val="nil"/>
          <w:between w:val="nil"/>
          <w:bar w:val="nil"/>
        </w:pBdr>
        <w:spacing w:after="0" w:line="280" w:lineRule="exact"/>
        <w:jc w:val="both"/>
        <w:rPr>
          <w:b/>
          <w:bCs/>
          <w:sz w:val="24"/>
          <w:szCs w:val="24"/>
          <w:lang w:val="en-US"/>
        </w:rPr>
      </w:pPr>
      <w:r w:rsidRPr="00AA215C">
        <w:rPr>
          <w:b/>
          <w:bCs/>
          <w:sz w:val="24"/>
          <w:szCs w:val="24"/>
          <w:lang w:val="en-US"/>
        </w:rPr>
        <w:t>Question 17. What is the data that you find most relevant when monitoring liquidity risks of OEFs?</w:t>
      </w:r>
    </w:p>
    <w:p w14:paraId="17DA88B3" w14:textId="77777777" w:rsidR="00226F6F" w:rsidRPr="00996921" w:rsidRDefault="00226F6F" w:rsidP="00226F6F">
      <w:pPr>
        <w:pBdr>
          <w:top w:val="nil"/>
          <w:left w:val="nil"/>
          <w:bottom w:val="nil"/>
          <w:right w:val="nil"/>
          <w:between w:val="nil"/>
          <w:bar w:val="nil"/>
        </w:pBdr>
        <w:spacing w:after="0" w:line="280" w:lineRule="exact"/>
        <w:jc w:val="both"/>
        <w:rPr>
          <w:b/>
          <w:bCs/>
          <w:sz w:val="24"/>
          <w:szCs w:val="24"/>
          <w:lang w:val="en-US"/>
        </w:rPr>
      </w:pPr>
    </w:p>
    <w:p w14:paraId="6C9F482A" w14:textId="04710711" w:rsidR="00910FE3" w:rsidRDefault="008623E7" w:rsidP="00226F6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 xml:space="preserve">Implementing a sound </w:t>
      </w:r>
      <w:r w:rsidR="00753BBD">
        <w:rPr>
          <w:sz w:val="24"/>
          <w:szCs w:val="24"/>
          <w:lang w:val="en-US"/>
        </w:rPr>
        <w:t xml:space="preserve">and comprehensive liquidity risk management </w:t>
      </w:r>
      <w:r w:rsidR="008902DD" w:rsidRPr="008902DD">
        <w:rPr>
          <w:sz w:val="24"/>
          <w:szCs w:val="24"/>
          <w:lang w:val="en-US"/>
        </w:rPr>
        <w:t xml:space="preserve">requires a nuanced </w:t>
      </w:r>
      <w:r w:rsidR="00753BBD" w:rsidRPr="00EE77EB">
        <w:rPr>
          <w:sz w:val="24"/>
          <w:szCs w:val="24"/>
          <w:lang w:val="en-US"/>
        </w:rPr>
        <w:t xml:space="preserve">and holistic </w:t>
      </w:r>
      <w:r w:rsidR="008902DD" w:rsidRPr="00EE77EB">
        <w:rPr>
          <w:sz w:val="24"/>
          <w:szCs w:val="24"/>
          <w:lang w:val="en-US"/>
        </w:rPr>
        <w:t>approach</w:t>
      </w:r>
      <w:r w:rsidR="00506BE4" w:rsidRPr="00EE77EB">
        <w:rPr>
          <w:sz w:val="24"/>
          <w:szCs w:val="24"/>
          <w:lang w:val="en-US"/>
        </w:rPr>
        <w:t xml:space="preserve">, </w:t>
      </w:r>
      <w:r w:rsidR="00124398" w:rsidRPr="00EE77EB">
        <w:rPr>
          <w:sz w:val="24"/>
          <w:szCs w:val="24"/>
          <w:lang w:val="en-US"/>
        </w:rPr>
        <w:t xml:space="preserve">considering the </w:t>
      </w:r>
      <w:r w:rsidR="00375923" w:rsidRPr="00EE77EB">
        <w:rPr>
          <w:sz w:val="24"/>
          <w:szCs w:val="24"/>
          <w:lang w:val="en-US"/>
        </w:rPr>
        <w:t>changing nature for liquidity over time</w:t>
      </w:r>
      <w:r w:rsidR="008902DD" w:rsidRPr="00EE77EB">
        <w:rPr>
          <w:sz w:val="24"/>
          <w:szCs w:val="24"/>
          <w:lang w:val="en-US"/>
        </w:rPr>
        <w:t>.</w:t>
      </w:r>
    </w:p>
    <w:p w14:paraId="2268909A" w14:textId="77777777" w:rsidR="00910FE3" w:rsidRDefault="00910FE3" w:rsidP="00226F6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43B93DBD" w14:textId="16B4270F" w:rsidR="00B04EE6" w:rsidRDefault="00E13D7B" w:rsidP="00B04EE6">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 xml:space="preserve">Liquid and </w:t>
      </w:r>
      <w:proofErr w:type="spellStart"/>
      <w:r>
        <w:rPr>
          <w:sz w:val="24"/>
          <w:szCs w:val="24"/>
          <w:lang w:val="en-US"/>
        </w:rPr>
        <w:t>liquidability</w:t>
      </w:r>
      <w:proofErr w:type="spellEnd"/>
      <w:r>
        <w:rPr>
          <w:sz w:val="24"/>
          <w:szCs w:val="24"/>
          <w:lang w:val="en-US"/>
        </w:rPr>
        <w:t xml:space="preserve"> </w:t>
      </w:r>
      <w:r w:rsidR="004B47E7">
        <w:rPr>
          <w:sz w:val="24"/>
          <w:szCs w:val="24"/>
          <w:lang w:val="en-US"/>
        </w:rPr>
        <w:t xml:space="preserve">are key topics for an open-ended investment fund. </w:t>
      </w:r>
      <w:r w:rsidR="00B04EE6">
        <w:rPr>
          <w:sz w:val="24"/>
          <w:szCs w:val="24"/>
          <w:lang w:val="en-US"/>
        </w:rPr>
        <w:t>For our knowledge there is no single risk measure that can be use</w:t>
      </w:r>
      <w:r w:rsidR="00363F4C">
        <w:rPr>
          <w:sz w:val="24"/>
          <w:szCs w:val="24"/>
          <w:lang w:val="en-US"/>
        </w:rPr>
        <w:t>d</w:t>
      </w:r>
      <w:r w:rsidR="00B04EE6">
        <w:rPr>
          <w:sz w:val="24"/>
          <w:szCs w:val="24"/>
          <w:lang w:val="en-US"/>
        </w:rPr>
        <w:t xml:space="preserve"> to draw definitive conclusion and risk manager assess them on a periodic basis. </w:t>
      </w:r>
    </w:p>
    <w:p w14:paraId="62932408" w14:textId="77777777" w:rsidR="00910FE3" w:rsidRDefault="00910FE3" w:rsidP="00226F6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516E6759" w14:textId="5F738717" w:rsidR="00C541D6" w:rsidRPr="009B0E34" w:rsidRDefault="00813ED1" w:rsidP="00226F6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highlight w:val="yellow"/>
          <w:lang w:val="en-US"/>
        </w:rPr>
      </w:pPr>
      <w:r>
        <w:rPr>
          <w:sz w:val="24"/>
          <w:szCs w:val="24"/>
          <w:lang w:val="en-US"/>
        </w:rPr>
        <w:t>E</w:t>
      </w:r>
      <w:r w:rsidR="00C541D6" w:rsidRPr="009A279D">
        <w:rPr>
          <w:sz w:val="24"/>
          <w:szCs w:val="24"/>
          <w:lang w:val="en-US"/>
        </w:rPr>
        <w:t xml:space="preserve">ffective risk management requires a balance between practical measures and an awareness of the unexpected. Sound judgment and prudence are crucial when setting </w:t>
      </w:r>
      <w:r w:rsidR="00C541D6" w:rsidRPr="00091F22">
        <w:rPr>
          <w:sz w:val="24"/>
          <w:szCs w:val="24"/>
          <w:lang w:val="en-US"/>
        </w:rPr>
        <w:t>risk management policies and parameters</w:t>
      </w:r>
      <w:r w:rsidR="00C541D6" w:rsidRPr="009A279D">
        <w:rPr>
          <w:sz w:val="24"/>
          <w:szCs w:val="24"/>
          <w:lang w:val="en-US"/>
        </w:rPr>
        <w:t>.</w:t>
      </w:r>
      <w:r w:rsidR="00DC292D" w:rsidRPr="009B0E34">
        <w:rPr>
          <w:lang w:val="en-US"/>
        </w:rPr>
        <w:t xml:space="preserve"> </w:t>
      </w:r>
      <w:r w:rsidR="00DC292D" w:rsidRPr="00DC292D">
        <w:rPr>
          <w:sz w:val="24"/>
          <w:szCs w:val="24"/>
          <w:lang w:val="en-US"/>
        </w:rPr>
        <w:t>Risk management techniques usually include both quantitative measure and qualitative methods.</w:t>
      </w:r>
    </w:p>
    <w:p w14:paraId="3EF32B94" w14:textId="4BA9B792" w:rsidR="002E758E" w:rsidRPr="009B0E34" w:rsidRDefault="001710DF" w:rsidP="00226F6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9B0E34">
        <w:rPr>
          <w:sz w:val="24"/>
          <w:szCs w:val="24"/>
          <w:lang w:val="en-US"/>
        </w:rPr>
        <w:t xml:space="preserve"> </w:t>
      </w:r>
      <w:r w:rsidR="00A474B8" w:rsidRPr="009B0E34">
        <w:rPr>
          <w:sz w:val="24"/>
          <w:szCs w:val="24"/>
          <w:lang w:val="en-US"/>
        </w:rPr>
        <w:t xml:space="preserve"> </w:t>
      </w:r>
    </w:p>
    <w:p w14:paraId="00697BCA" w14:textId="77777777" w:rsidR="007B3669" w:rsidRDefault="00C377FF" w:rsidP="004D281A">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Different scenarios</w:t>
      </w:r>
      <w:r w:rsidR="004D281A" w:rsidRPr="00B80C02">
        <w:rPr>
          <w:sz w:val="24"/>
          <w:szCs w:val="24"/>
          <w:lang w:val="en-US"/>
        </w:rPr>
        <w:t xml:space="preserve"> can be used for business as usual and for stressed market </w:t>
      </w:r>
      <w:r w:rsidR="007531CC" w:rsidRPr="00B80C02">
        <w:rPr>
          <w:sz w:val="24"/>
          <w:szCs w:val="24"/>
          <w:lang w:val="en-US"/>
        </w:rPr>
        <w:t>conditions</w:t>
      </w:r>
      <w:r w:rsidR="004D281A" w:rsidRPr="00B80C02">
        <w:rPr>
          <w:sz w:val="24"/>
          <w:szCs w:val="24"/>
          <w:lang w:val="en-US"/>
        </w:rPr>
        <w:t xml:space="preserve"> to ensure that the liquidity risk of </w:t>
      </w:r>
      <w:proofErr w:type="gramStart"/>
      <w:r w:rsidR="004D281A" w:rsidRPr="00B80C02">
        <w:rPr>
          <w:sz w:val="24"/>
          <w:szCs w:val="24"/>
          <w:lang w:val="en-US"/>
        </w:rPr>
        <w:t>taken</w:t>
      </w:r>
      <w:proofErr w:type="gramEnd"/>
      <w:r w:rsidR="004D281A" w:rsidRPr="00B80C02">
        <w:rPr>
          <w:sz w:val="24"/>
          <w:szCs w:val="24"/>
          <w:lang w:val="en-US"/>
        </w:rPr>
        <w:t xml:space="preserve"> position and their contribution </w:t>
      </w:r>
      <w:r w:rsidR="004D281A" w:rsidRPr="00B80C02">
        <w:rPr>
          <w:sz w:val="24"/>
          <w:szCs w:val="24"/>
          <w:lang w:val="en-US"/>
        </w:rPr>
        <w:lastRenderedPageBreak/>
        <w:t xml:space="preserve">to the overall risk profile of the fund are accurately measured </w:t>
      </w:r>
      <w:proofErr w:type="gramStart"/>
      <w:r w:rsidR="004D281A" w:rsidRPr="00B80C02">
        <w:rPr>
          <w:sz w:val="24"/>
          <w:szCs w:val="24"/>
          <w:lang w:val="en-US"/>
        </w:rPr>
        <w:t>on the basis of</w:t>
      </w:r>
      <w:proofErr w:type="gramEnd"/>
      <w:r w:rsidR="004D281A" w:rsidRPr="00B80C02">
        <w:rPr>
          <w:sz w:val="24"/>
          <w:szCs w:val="24"/>
          <w:lang w:val="en-US"/>
        </w:rPr>
        <w:t xml:space="preserve"> sound and reliable data</w:t>
      </w:r>
      <w:r w:rsidR="00F47924">
        <w:rPr>
          <w:sz w:val="24"/>
          <w:szCs w:val="24"/>
          <w:lang w:val="en-US"/>
        </w:rPr>
        <w:t>.</w:t>
      </w:r>
      <w:r w:rsidR="00F47924" w:rsidRPr="009B0E34">
        <w:rPr>
          <w:sz w:val="24"/>
          <w:szCs w:val="24"/>
          <w:lang w:val="en-US"/>
        </w:rPr>
        <w:t xml:space="preserve"> </w:t>
      </w:r>
    </w:p>
    <w:p w14:paraId="343DADA9" w14:textId="77777777" w:rsidR="007B3669" w:rsidRDefault="007B3669" w:rsidP="004D281A">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2E50ED39" w14:textId="515B3CF0" w:rsidR="002160B0" w:rsidRDefault="00F47924" w:rsidP="004D281A">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9B0E34">
        <w:rPr>
          <w:sz w:val="24"/>
          <w:szCs w:val="24"/>
          <w:lang w:val="en-US"/>
        </w:rPr>
        <w:t xml:space="preserve">Several </w:t>
      </w:r>
      <w:r w:rsidR="006F6647" w:rsidRPr="009B0E34">
        <w:rPr>
          <w:sz w:val="24"/>
          <w:szCs w:val="24"/>
          <w:lang w:val="en-US"/>
        </w:rPr>
        <w:t xml:space="preserve">approaches and </w:t>
      </w:r>
      <w:r w:rsidRPr="009B0E34">
        <w:rPr>
          <w:sz w:val="24"/>
          <w:szCs w:val="24"/>
          <w:lang w:val="en-US"/>
        </w:rPr>
        <w:t>liquidity risk metrics</w:t>
      </w:r>
      <w:r w:rsidR="00006C57" w:rsidRPr="009B0E34">
        <w:rPr>
          <w:sz w:val="24"/>
          <w:szCs w:val="24"/>
          <w:lang w:val="en-US"/>
        </w:rPr>
        <w:t xml:space="preserve"> could be </w:t>
      </w:r>
      <w:r w:rsidR="00FC43F2" w:rsidRPr="00FC43F2">
        <w:rPr>
          <w:sz w:val="24"/>
          <w:szCs w:val="24"/>
          <w:lang w:val="en-US"/>
        </w:rPr>
        <w:t>used,</w:t>
      </w:r>
      <w:r w:rsidR="00BD16BB" w:rsidRPr="009B0E34">
        <w:rPr>
          <w:sz w:val="24"/>
          <w:szCs w:val="24"/>
          <w:lang w:val="en-US"/>
        </w:rPr>
        <w:t xml:space="preserve"> </w:t>
      </w:r>
      <w:r w:rsidR="00C377FF" w:rsidRPr="009B0E34">
        <w:rPr>
          <w:sz w:val="24"/>
          <w:szCs w:val="24"/>
          <w:lang w:val="en-US"/>
        </w:rPr>
        <w:t xml:space="preserve">and </w:t>
      </w:r>
      <w:proofErr w:type="gramStart"/>
      <w:r w:rsidR="00C377FF" w:rsidRPr="009B0E34">
        <w:rPr>
          <w:sz w:val="24"/>
          <w:szCs w:val="24"/>
          <w:lang w:val="en-US"/>
        </w:rPr>
        <w:t>them</w:t>
      </w:r>
      <w:proofErr w:type="gramEnd"/>
      <w:r w:rsidR="00C377FF" w:rsidRPr="009B0E34">
        <w:rPr>
          <w:sz w:val="24"/>
          <w:szCs w:val="24"/>
          <w:lang w:val="en-US"/>
        </w:rPr>
        <w:t xml:space="preserve"> </w:t>
      </w:r>
      <w:r w:rsidR="00FC43F2" w:rsidRPr="009B0E34">
        <w:rPr>
          <w:sz w:val="24"/>
          <w:szCs w:val="24"/>
          <w:lang w:val="en-US"/>
        </w:rPr>
        <w:t xml:space="preserve">could </w:t>
      </w:r>
      <w:r w:rsidR="00BD16BB" w:rsidRPr="00BD16BB">
        <w:rPr>
          <w:sz w:val="24"/>
          <w:szCs w:val="24"/>
          <w:lang w:val="en-US"/>
        </w:rPr>
        <w:t>not necessarily based on banking rules given the different characteristics of investment funds.</w:t>
      </w:r>
      <w:r w:rsidRPr="009B0E34">
        <w:rPr>
          <w:sz w:val="24"/>
          <w:szCs w:val="24"/>
          <w:lang w:val="en-US"/>
        </w:rPr>
        <w:t xml:space="preserve"> </w:t>
      </w:r>
      <w:r w:rsidR="00155ECD">
        <w:rPr>
          <w:sz w:val="24"/>
          <w:szCs w:val="24"/>
          <w:lang w:val="en-US"/>
        </w:rPr>
        <w:t xml:space="preserve">As ESMA </w:t>
      </w:r>
      <w:r w:rsidR="00FD7954">
        <w:rPr>
          <w:sz w:val="24"/>
          <w:szCs w:val="24"/>
          <w:lang w:val="en-US"/>
        </w:rPr>
        <w:t>already recognizes</w:t>
      </w:r>
      <w:r w:rsidR="00370C7F" w:rsidRPr="009B0E34">
        <w:rPr>
          <w:vertAlign w:val="superscript"/>
        </w:rPr>
        <w:footnoteReference w:id="10"/>
      </w:r>
      <w:r w:rsidR="00FD7954" w:rsidRPr="009B0E34">
        <w:rPr>
          <w:sz w:val="24"/>
          <w:szCs w:val="24"/>
          <w:vertAlign w:val="superscript"/>
          <w:lang w:val="en-US"/>
        </w:rPr>
        <w:t xml:space="preserve"> </w:t>
      </w:r>
      <w:r w:rsidR="00FD7954">
        <w:rPr>
          <w:sz w:val="24"/>
          <w:szCs w:val="24"/>
          <w:lang w:val="en-US"/>
        </w:rPr>
        <w:t xml:space="preserve">the HQLA </w:t>
      </w:r>
      <w:r w:rsidR="004D052E">
        <w:rPr>
          <w:sz w:val="24"/>
          <w:szCs w:val="24"/>
          <w:lang w:val="en-US"/>
        </w:rPr>
        <w:t>(high-quality liquid asset</w:t>
      </w:r>
      <w:r w:rsidR="00936C10">
        <w:rPr>
          <w:sz w:val="24"/>
          <w:szCs w:val="24"/>
          <w:lang w:val="en-US"/>
        </w:rPr>
        <w:t>)</w:t>
      </w:r>
      <w:r w:rsidR="004D052E">
        <w:rPr>
          <w:sz w:val="24"/>
          <w:szCs w:val="24"/>
          <w:lang w:val="en-US"/>
        </w:rPr>
        <w:t xml:space="preserve"> </w:t>
      </w:r>
      <w:r w:rsidR="00FD7954">
        <w:rPr>
          <w:sz w:val="24"/>
          <w:szCs w:val="24"/>
          <w:lang w:val="en-US"/>
        </w:rPr>
        <w:t>approach</w:t>
      </w:r>
      <w:r w:rsidR="00936C10">
        <w:rPr>
          <w:sz w:val="24"/>
          <w:szCs w:val="24"/>
          <w:lang w:val="en-US"/>
        </w:rPr>
        <w:t>, used for banks under Basel III liquidity regulatory requirements,</w:t>
      </w:r>
      <w:r w:rsidR="00FD7954">
        <w:rPr>
          <w:sz w:val="24"/>
          <w:szCs w:val="24"/>
          <w:lang w:val="en-US"/>
        </w:rPr>
        <w:t xml:space="preserve"> penalizes</w:t>
      </w:r>
      <w:r w:rsidR="00936C10">
        <w:rPr>
          <w:sz w:val="24"/>
          <w:szCs w:val="24"/>
          <w:lang w:val="en-US"/>
        </w:rPr>
        <w:t xml:space="preserve">, </w:t>
      </w:r>
      <w:r w:rsidR="00527F73">
        <w:rPr>
          <w:sz w:val="24"/>
          <w:szCs w:val="24"/>
          <w:lang w:val="en-US"/>
        </w:rPr>
        <w:t xml:space="preserve">by construction, </w:t>
      </w:r>
      <w:r w:rsidR="00FD7954">
        <w:rPr>
          <w:sz w:val="24"/>
          <w:szCs w:val="24"/>
          <w:lang w:val="en-US"/>
        </w:rPr>
        <w:t>fund investment in less liquid asset classes</w:t>
      </w:r>
      <w:r w:rsidR="00527F73">
        <w:rPr>
          <w:sz w:val="24"/>
          <w:szCs w:val="24"/>
          <w:lang w:val="en-US"/>
        </w:rPr>
        <w:t xml:space="preserve">. </w:t>
      </w:r>
      <w:r w:rsidR="00F835BD">
        <w:rPr>
          <w:sz w:val="24"/>
          <w:szCs w:val="24"/>
          <w:lang w:val="en-US"/>
        </w:rPr>
        <w:t>Time to liquidation</w:t>
      </w:r>
      <w:r w:rsidR="007C53FA">
        <w:rPr>
          <w:sz w:val="24"/>
          <w:szCs w:val="24"/>
          <w:lang w:val="en-US"/>
        </w:rPr>
        <w:t xml:space="preserve"> approach</w:t>
      </w:r>
      <w:r w:rsidR="00F835BD">
        <w:rPr>
          <w:sz w:val="24"/>
          <w:szCs w:val="24"/>
          <w:lang w:val="en-US"/>
        </w:rPr>
        <w:t xml:space="preserve"> </w:t>
      </w:r>
      <w:r w:rsidR="007C53FA">
        <w:rPr>
          <w:sz w:val="24"/>
          <w:szCs w:val="24"/>
          <w:lang w:val="en-US"/>
        </w:rPr>
        <w:t xml:space="preserve">would be helpful and in this regard </w:t>
      </w:r>
      <w:r w:rsidRPr="009B0E34">
        <w:rPr>
          <w:sz w:val="24"/>
          <w:szCs w:val="24"/>
          <w:lang w:val="en-US"/>
        </w:rPr>
        <w:t xml:space="preserve">one scenario </w:t>
      </w:r>
      <w:r w:rsidR="00006C57" w:rsidRPr="009B0E34">
        <w:rPr>
          <w:sz w:val="24"/>
          <w:szCs w:val="24"/>
          <w:lang w:val="en-US"/>
        </w:rPr>
        <w:t xml:space="preserve">could </w:t>
      </w:r>
      <w:proofErr w:type="spellStart"/>
      <w:r w:rsidRPr="009B0E34">
        <w:rPr>
          <w:sz w:val="24"/>
          <w:szCs w:val="24"/>
          <w:lang w:val="en-US"/>
        </w:rPr>
        <w:t>recognise</w:t>
      </w:r>
      <w:proofErr w:type="spellEnd"/>
      <w:r w:rsidRPr="009B0E34">
        <w:rPr>
          <w:sz w:val="24"/>
          <w:szCs w:val="24"/>
          <w:lang w:val="en-US"/>
        </w:rPr>
        <w:t xml:space="preserve"> that a portion of the activities </w:t>
      </w:r>
      <w:r w:rsidR="00A4206F" w:rsidRPr="00A4206F">
        <w:rPr>
          <w:sz w:val="24"/>
          <w:szCs w:val="24"/>
          <w:lang w:val="en-US"/>
        </w:rPr>
        <w:t>held</w:t>
      </w:r>
      <w:r w:rsidRPr="009B0E34">
        <w:rPr>
          <w:sz w:val="24"/>
          <w:szCs w:val="24"/>
          <w:lang w:val="en-US"/>
        </w:rPr>
        <w:t xml:space="preserve"> by an investment fund could be reasonable liquidated every day (i.e. the time to liquidate is not </w:t>
      </w:r>
      <w:r w:rsidR="00B50F5B">
        <w:rPr>
          <w:sz w:val="24"/>
          <w:szCs w:val="24"/>
          <w:lang w:val="en-US"/>
        </w:rPr>
        <w:t xml:space="preserve">necessary </w:t>
      </w:r>
      <w:r w:rsidRPr="009B0E34">
        <w:rPr>
          <w:sz w:val="24"/>
          <w:szCs w:val="24"/>
          <w:lang w:val="en-US"/>
        </w:rPr>
        <w:t>the longest period where the entire position could be reasonable liquidated)</w:t>
      </w:r>
      <w:r w:rsidR="00D660CA" w:rsidRPr="009B0E34">
        <w:rPr>
          <w:sz w:val="24"/>
          <w:szCs w:val="24"/>
          <w:lang w:val="en-US"/>
        </w:rPr>
        <w:t>.</w:t>
      </w:r>
      <w:r w:rsidR="004D281A" w:rsidRPr="00B80C02">
        <w:rPr>
          <w:sz w:val="24"/>
          <w:szCs w:val="24"/>
          <w:lang w:val="en-US"/>
        </w:rPr>
        <w:t xml:space="preserve"> </w:t>
      </w:r>
      <w:r w:rsidR="00B62347">
        <w:rPr>
          <w:sz w:val="24"/>
          <w:szCs w:val="24"/>
          <w:lang w:val="en-US"/>
        </w:rPr>
        <w:t xml:space="preserve">The liquidation approach </w:t>
      </w:r>
      <w:r w:rsidR="001E4725">
        <w:rPr>
          <w:sz w:val="24"/>
          <w:szCs w:val="24"/>
          <w:lang w:val="en-US"/>
        </w:rPr>
        <w:t xml:space="preserve">and the </w:t>
      </w:r>
      <w:r w:rsidR="00B62347">
        <w:rPr>
          <w:sz w:val="24"/>
          <w:szCs w:val="24"/>
          <w:lang w:val="en-US"/>
        </w:rPr>
        <w:t>analysis of the impact on the fund’s investment compliance and risk limits when it sell</w:t>
      </w:r>
      <w:r w:rsidR="006A232A">
        <w:rPr>
          <w:sz w:val="24"/>
          <w:szCs w:val="24"/>
          <w:lang w:val="en-US"/>
        </w:rPr>
        <w:t>s</w:t>
      </w:r>
      <w:r w:rsidR="00B62347">
        <w:rPr>
          <w:sz w:val="24"/>
          <w:szCs w:val="24"/>
          <w:lang w:val="en-US"/>
        </w:rPr>
        <w:t xml:space="preserve"> assets</w:t>
      </w:r>
      <w:r w:rsidR="00DA1EFD">
        <w:rPr>
          <w:sz w:val="24"/>
          <w:szCs w:val="24"/>
          <w:lang w:val="en-US"/>
        </w:rPr>
        <w:t>, especially in a stress scenario,</w:t>
      </w:r>
      <w:r w:rsidR="00DA3C9A">
        <w:rPr>
          <w:sz w:val="24"/>
          <w:szCs w:val="24"/>
          <w:lang w:val="en-US"/>
        </w:rPr>
        <w:t xml:space="preserve"> </w:t>
      </w:r>
      <w:r w:rsidR="00DA1EFD">
        <w:rPr>
          <w:sz w:val="24"/>
          <w:szCs w:val="24"/>
          <w:lang w:val="en-US"/>
        </w:rPr>
        <w:t xml:space="preserve">are </w:t>
      </w:r>
      <w:r w:rsidR="006A232A">
        <w:rPr>
          <w:sz w:val="24"/>
          <w:szCs w:val="24"/>
          <w:lang w:val="en-US"/>
        </w:rPr>
        <w:t xml:space="preserve">key </w:t>
      </w:r>
      <w:r w:rsidR="00DA1EFD">
        <w:rPr>
          <w:sz w:val="24"/>
          <w:szCs w:val="24"/>
          <w:lang w:val="en-US"/>
        </w:rPr>
        <w:t>aspect</w:t>
      </w:r>
      <w:r w:rsidR="006A232A">
        <w:rPr>
          <w:sz w:val="24"/>
          <w:szCs w:val="24"/>
          <w:lang w:val="en-US"/>
        </w:rPr>
        <w:t>s</w:t>
      </w:r>
      <w:r w:rsidR="00DA1EFD">
        <w:rPr>
          <w:sz w:val="24"/>
          <w:szCs w:val="24"/>
          <w:lang w:val="en-US"/>
        </w:rPr>
        <w:t xml:space="preserve"> to take into accounts.</w:t>
      </w:r>
    </w:p>
    <w:p w14:paraId="2B6BD827" w14:textId="77777777" w:rsidR="00D22AF5" w:rsidRDefault="00D22AF5" w:rsidP="004D281A">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6F0BBD08" w14:textId="2695C5F9" w:rsidR="00610019" w:rsidRDefault="00641998" w:rsidP="00155B8B">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 xml:space="preserve">ESMA already identified some relevant </w:t>
      </w:r>
      <w:r w:rsidR="00E4170B">
        <w:rPr>
          <w:sz w:val="24"/>
          <w:szCs w:val="24"/>
          <w:lang w:val="en-US"/>
        </w:rPr>
        <w:t>factors t</w:t>
      </w:r>
      <w:r w:rsidR="00C722A3">
        <w:rPr>
          <w:sz w:val="24"/>
          <w:szCs w:val="24"/>
          <w:lang w:val="en-US"/>
        </w:rPr>
        <w:t>hat are suggested t</w:t>
      </w:r>
      <w:r w:rsidR="00E4170B">
        <w:rPr>
          <w:sz w:val="24"/>
          <w:szCs w:val="24"/>
          <w:lang w:val="en-US"/>
        </w:rPr>
        <w:t>o be considered in their</w:t>
      </w:r>
      <w:r w:rsidR="00F158A9">
        <w:rPr>
          <w:sz w:val="24"/>
          <w:szCs w:val="24"/>
          <w:lang w:val="en-US"/>
        </w:rPr>
        <w:t xml:space="preserve"> guidelines on liquidity stress testing in UCITS and AIFs</w:t>
      </w:r>
      <w:r w:rsidR="00CD4344">
        <w:rPr>
          <w:rStyle w:val="Rimandonotaapidipagina"/>
          <w:sz w:val="24"/>
          <w:szCs w:val="24"/>
          <w:lang w:val="en-US"/>
        </w:rPr>
        <w:footnoteReference w:id="11"/>
      </w:r>
      <w:r w:rsidR="00F33C40">
        <w:rPr>
          <w:sz w:val="24"/>
          <w:szCs w:val="24"/>
          <w:lang w:val="en-US"/>
        </w:rPr>
        <w:t xml:space="preserve"> and i</w:t>
      </w:r>
      <w:r w:rsidR="006B644D" w:rsidRPr="006B644D">
        <w:rPr>
          <w:sz w:val="24"/>
          <w:szCs w:val="24"/>
          <w:lang w:val="en-US"/>
        </w:rPr>
        <w:t xml:space="preserve">t is important to highlight that </w:t>
      </w:r>
      <w:r w:rsidR="005D2675">
        <w:rPr>
          <w:sz w:val="24"/>
          <w:szCs w:val="24"/>
          <w:lang w:val="en-US"/>
        </w:rPr>
        <w:t>ESMA is</w:t>
      </w:r>
      <w:r w:rsidR="00155B8B">
        <w:rPr>
          <w:sz w:val="24"/>
          <w:szCs w:val="24"/>
          <w:lang w:val="en-US"/>
        </w:rPr>
        <w:t xml:space="preserve"> </w:t>
      </w:r>
      <w:r w:rsidR="006B644D" w:rsidRPr="006B644D">
        <w:rPr>
          <w:sz w:val="24"/>
          <w:szCs w:val="24"/>
          <w:lang w:val="en-US"/>
        </w:rPr>
        <w:t xml:space="preserve">not prescriptive on the methods </w:t>
      </w:r>
      <w:r w:rsidR="00AA09D8">
        <w:rPr>
          <w:sz w:val="24"/>
          <w:szCs w:val="24"/>
          <w:lang w:val="en-US"/>
        </w:rPr>
        <w:t xml:space="preserve">to be </w:t>
      </w:r>
      <w:r w:rsidR="006B644D" w:rsidRPr="006B644D">
        <w:rPr>
          <w:sz w:val="24"/>
          <w:szCs w:val="24"/>
          <w:lang w:val="en-US"/>
        </w:rPr>
        <w:t xml:space="preserve">used </w:t>
      </w:r>
      <w:r w:rsidR="00CE30D1">
        <w:rPr>
          <w:sz w:val="24"/>
          <w:szCs w:val="24"/>
          <w:lang w:val="en-US"/>
        </w:rPr>
        <w:t>in line with a nuance and holistic approach</w:t>
      </w:r>
      <w:r w:rsidR="006B644D" w:rsidRPr="006B644D">
        <w:rPr>
          <w:sz w:val="24"/>
          <w:szCs w:val="24"/>
          <w:lang w:val="en-US"/>
        </w:rPr>
        <w:t xml:space="preserve">. </w:t>
      </w:r>
    </w:p>
    <w:p w14:paraId="275AD492" w14:textId="77777777" w:rsidR="00155B8B" w:rsidRDefault="00155B8B" w:rsidP="00155B8B">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2628C249" w14:textId="77777777" w:rsidR="00155B8B" w:rsidRPr="00996921" w:rsidRDefault="00155B8B" w:rsidP="00155B8B">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6C2A18C3" w14:textId="77777777" w:rsidR="00226F6F" w:rsidRDefault="00226F6F" w:rsidP="00226F6F">
      <w:pPr>
        <w:pBdr>
          <w:top w:val="nil"/>
          <w:left w:val="nil"/>
          <w:bottom w:val="nil"/>
          <w:right w:val="nil"/>
          <w:between w:val="nil"/>
          <w:bar w:val="nil"/>
        </w:pBdr>
        <w:spacing w:after="0" w:line="280" w:lineRule="exact"/>
        <w:jc w:val="both"/>
        <w:rPr>
          <w:b/>
          <w:bCs/>
          <w:sz w:val="24"/>
          <w:szCs w:val="24"/>
          <w:lang w:val="en-US"/>
        </w:rPr>
      </w:pPr>
    </w:p>
    <w:p w14:paraId="7A57D4EB" w14:textId="77777777" w:rsidR="00AA215C" w:rsidRDefault="00AA215C" w:rsidP="00AA215C">
      <w:pPr>
        <w:pBdr>
          <w:top w:val="nil"/>
          <w:left w:val="nil"/>
          <w:bottom w:val="nil"/>
          <w:right w:val="nil"/>
          <w:between w:val="nil"/>
          <w:bar w:val="nil"/>
        </w:pBdr>
        <w:spacing w:after="0" w:line="280" w:lineRule="exact"/>
        <w:jc w:val="both"/>
        <w:rPr>
          <w:b/>
          <w:bCs/>
          <w:sz w:val="24"/>
          <w:szCs w:val="24"/>
          <w:lang w:val="en-US"/>
        </w:rPr>
      </w:pPr>
      <w:r w:rsidRPr="00AA215C">
        <w:rPr>
          <w:b/>
          <w:bCs/>
          <w:sz w:val="24"/>
          <w:szCs w:val="24"/>
          <w:lang w:val="en-US"/>
        </w:rPr>
        <w:t>Question 18. [To NCAs/EU bodies] What supervisory actions do you take when unmitigated liquidity mismatches are detected during the lifetime of an OEF?</w:t>
      </w:r>
    </w:p>
    <w:p w14:paraId="215A3608" w14:textId="77777777" w:rsidR="00226F6F" w:rsidRDefault="00226F6F" w:rsidP="00226F6F">
      <w:pPr>
        <w:pBdr>
          <w:top w:val="nil"/>
          <w:left w:val="nil"/>
          <w:bottom w:val="nil"/>
          <w:right w:val="nil"/>
          <w:between w:val="nil"/>
          <w:bar w:val="nil"/>
        </w:pBdr>
        <w:spacing w:after="0" w:line="280" w:lineRule="exact"/>
        <w:jc w:val="both"/>
        <w:rPr>
          <w:b/>
          <w:bCs/>
          <w:sz w:val="24"/>
          <w:szCs w:val="24"/>
          <w:lang w:val="en-US"/>
        </w:rPr>
      </w:pPr>
    </w:p>
    <w:p w14:paraId="169043BE" w14:textId="77777777" w:rsidR="00AA215C" w:rsidRDefault="00AA215C" w:rsidP="00AA215C">
      <w:pPr>
        <w:pBdr>
          <w:top w:val="nil"/>
          <w:left w:val="nil"/>
          <w:bottom w:val="nil"/>
          <w:right w:val="nil"/>
          <w:between w:val="nil"/>
          <w:bar w:val="nil"/>
        </w:pBdr>
        <w:spacing w:after="0" w:line="280" w:lineRule="exact"/>
        <w:jc w:val="both"/>
        <w:rPr>
          <w:b/>
          <w:bCs/>
          <w:sz w:val="24"/>
          <w:szCs w:val="24"/>
          <w:lang w:val="en-US"/>
        </w:rPr>
      </w:pPr>
      <w:r w:rsidRPr="00AA215C">
        <w:rPr>
          <w:b/>
          <w:bCs/>
          <w:sz w:val="24"/>
          <w:szCs w:val="24"/>
          <w:lang w:val="en-US"/>
        </w:rPr>
        <w:t xml:space="preserve">Question 19. </w:t>
      </w:r>
      <w:proofErr w:type="gramStart"/>
      <w:r w:rsidRPr="00AA215C">
        <w:rPr>
          <w:b/>
          <w:bCs/>
          <w:sz w:val="24"/>
          <w:szCs w:val="24"/>
          <w:lang w:val="en-US"/>
        </w:rPr>
        <w:t>On the basis of</w:t>
      </w:r>
      <w:proofErr w:type="gramEnd"/>
      <w:r w:rsidRPr="00AA215C">
        <w:rPr>
          <w:b/>
          <w:bCs/>
          <w:sz w:val="24"/>
          <w:szCs w:val="24"/>
          <w:lang w:val="en-US"/>
        </w:rPr>
        <w:t xml:space="preserve"> the reporting and stress testing information being collected by competent authorities throughout the life of a fund, how can supervisory powers of competent authorities be enhanced to deal with potential inconsistencies or insufficient calibration between the LMTs selected by the manager for a fund or a cohort of funds and their assets and liabilities liquidity profile? How can NCAs ensure that fund managers </w:t>
      </w:r>
      <w:proofErr w:type="gramStart"/>
      <w:r w:rsidRPr="00AA215C">
        <w:rPr>
          <w:b/>
          <w:bCs/>
          <w:sz w:val="24"/>
          <w:szCs w:val="24"/>
          <w:lang w:val="en-US"/>
        </w:rPr>
        <w:t>make adjustments to</w:t>
      </w:r>
      <w:proofErr w:type="gramEnd"/>
      <w:r w:rsidRPr="00AA215C">
        <w:rPr>
          <w:b/>
          <w:bCs/>
          <w:sz w:val="24"/>
          <w:szCs w:val="24"/>
          <w:lang w:val="en-US"/>
        </w:rPr>
        <w:t xml:space="preserve"> LMTs if they are unwilling to act? How could coordination be enhanced at the EU level?</w:t>
      </w:r>
    </w:p>
    <w:p w14:paraId="22D71A11" w14:textId="77777777" w:rsidR="00226F6F" w:rsidRPr="00996921" w:rsidRDefault="00226F6F" w:rsidP="00226F6F">
      <w:pPr>
        <w:pBdr>
          <w:top w:val="nil"/>
          <w:left w:val="nil"/>
          <w:bottom w:val="nil"/>
          <w:right w:val="nil"/>
          <w:between w:val="nil"/>
          <w:bar w:val="nil"/>
        </w:pBdr>
        <w:spacing w:after="0" w:line="280" w:lineRule="exact"/>
        <w:jc w:val="both"/>
        <w:rPr>
          <w:b/>
          <w:bCs/>
          <w:sz w:val="24"/>
          <w:szCs w:val="24"/>
          <w:lang w:val="en-US"/>
        </w:rPr>
      </w:pPr>
    </w:p>
    <w:p w14:paraId="7AA81418" w14:textId="47A76381" w:rsidR="00155FDA" w:rsidRDefault="00155FDA" w:rsidP="00155FDA">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G</w:t>
      </w:r>
      <w:r w:rsidRPr="00E2704B">
        <w:rPr>
          <w:sz w:val="24"/>
          <w:szCs w:val="24"/>
          <w:lang w:val="en-US"/>
        </w:rPr>
        <w:t xml:space="preserve">iven the diversity of the fund industry, it cannot be assumed that all asset </w:t>
      </w:r>
      <w:r>
        <w:rPr>
          <w:sz w:val="24"/>
          <w:szCs w:val="24"/>
          <w:lang w:val="en-US"/>
        </w:rPr>
        <w:t xml:space="preserve">managers have the same risk management approach or apply the same LMTs. </w:t>
      </w:r>
    </w:p>
    <w:p w14:paraId="06FA8D67" w14:textId="1D17C58C" w:rsidR="00155FDA" w:rsidRDefault="00155FDA" w:rsidP="00BA6C43">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3566974A" w14:textId="433D367B" w:rsidR="003F5F6D" w:rsidRDefault="00712F29" w:rsidP="00BA6C43">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A</w:t>
      </w:r>
      <w:r w:rsidR="00986619" w:rsidRPr="00E12D3F">
        <w:rPr>
          <w:sz w:val="24"/>
          <w:szCs w:val="24"/>
          <w:lang w:val="en-US"/>
        </w:rPr>
        <w:t>sset managers should remain primarily responsible for</w:t>
      </w:r>
      <w:r w:rsidR="00AE5048">
        <w:rPr>
          <w:sz w:val="24"/>
          <w:szCs w:val="24"/>
          <w:lang w:val="en-US"/>
        </w:rPr>
        <w:t xml:space="preserve"> </w:t>
      </w:r>
      <w:proofErr w:type="gramStart"/>
      <w:r w:rsidR="00AE5048">
        <w:rPr>
          <w:sz w:val="24"/>
          <w:szCs w:val="24"/>
          <w:lang w:val="en-US"/>
        </w:rPr>
        <w:t>the</w:t>
      </w:r>
      <w:r w:rsidR="00986619" w:rsidRPr="00E12D3F">
        <w:rPr>
          <w:sz w:val="24"/>
          <w:szCs w:val="24"/>
          <w:lang w:val="en-US"/>
        </w:rPr>
        <w:t xml:space="preserve"> liquidity</w:t>
      </w:r>
      <w:proofErr w:type="gramEnd"/>
      <w:r w:rsidR="00986619" w:rsidRPr="00E12D3F">
        <w:rPr>
          <w:sz w:val="24"/>
          <w:szCs w:val="24"/>
          <w:lang w:val="en-US"/>
        </w:rPr>
        <w:t xml:space="preserve"> management within their funds</w:t>
      </w:r>
      <w:r w:rsidR="00986619">
        <w:rPr>
          <w:sz w:val="24"/>
          <w:szCs w:val="24"/>
          <w:lang w:val="en-US"/>
        </w:rPr>
        <w:t xml:space="preserve">, including the selection and implementation of </w:t>
      </w:r>
      <w:r w:rsidR="00986619" w:rsidRPr="0024749F">
        <w:rPr>
          <w:sz w:val="24"/>
          <w:szCs w:val="24"/>
          <w:lang w:val="en-US"/>
        </w:rPr>
        <w:t>those LMT</w:t>
      </w:r>
      <w:r w:rsidR="00986619">
        <w:rPr>
          <w:sz w:val="24"/>
          <w:szCs w:val="24"/>
          <w:lang w:val="en-US"/>
        </w:rPr>
        <w:t>s</w:t>
      </w:r>
      <w:r w:rsidR="00986619" w:rsidRPr="0024749F">
        <w:rPr>
          <w:sz w:val="24"/>
          <w:szCs w:val="24"/>
          <w:lang w:val="en-US"/>
        </w:rPr>
        <w:t xml:space="preserve"> that they consider most appropriate with respect to the specific features of their fund, in both normal and exceptional circumstances</w:t>
      </w:r>
      <w:r w:rsidR="00391488">
        <w:rPr>
          <w:sz w:val="24"/>
          <w:szCs w:val="24"/>
          <w:lang w:val="en-US"/>
        </w:rPr>
        <w:t xml:space="preserve">, and </w:t>
      </w:r>
      <w:r w:rsidR="008B3807">
        <w:rPr>
          <w:sz w:val="24"/>
          <w:szCs w:val="24"/>
          <w:lang w:val="en-US"/>
        </w:rPr>
        <w:t xml:space="preserve">competent authorities </w:t>
      </w:r>
      <w:r w:rsidR="00E2704B" w:rsidRPr="00E2704B">
        <w:rPr>
          <w:sz w:val="24"/>
          <w:szCs w:val="24"/>
          <w:lang w:val="en-US"/>
        </w:rPr>
        <w:t xml:space="preserve">must play </w:t>
      </w:r>
      <w:r w:rsidR="005026A7">
        <w:rPr>
          <w:sz w:val="24"/>
          <w:szCs w:val="24"/>
          <w:lang w:val="en-US"/>
        </w:rPr>
        <w:t xml:space="preserve">their role </w:t>
      </w:r>
      <w:r w:rsidR="00E2704B" w:rsidRPr="00E2704B">
        <w:rPr>
          <w:sz w:val="24"/>
          <w:szCs w:val="24"/>
          <w:lang w:val="en-US"/>
        </w:rPr>
        <w:t xml:space="preserve">in </w:t>
      </w:r>
      <w:r w:rsidR="007A17DA">
        <w:rPr>
          <w:sz w:val="24"/>
          <w:szCs w:val="24"/>
          <w:lang w:val="en-US"/>
        </w:rPr>
        <w:t>overs</w:t>
      </w:r>
      <w:r w:rsidR="00F74B9C">
        <w:rPr>
          <w:sz w:val="24"/>
          <w:szCs w:val="24"/>
          <w:lang w:val="en-US"/>
        </w:rPr>
        <w:t>ight</w:t>
      </w:r>
      <w:r w:rsidR="00E2704B" w:rsidRPr="00E2704B">
        <w:rPr>
          <w:sz w:val="24"/>
          <w:szCs w:val="24"/>
          <w:lang w:val="en-US"/>
        </w:rPr>
        <w:t xml:space="preserve">. </w:t>
      </w:r>
    </w:p>
    <w:p w14:paraId="473DEA5E" w14:textId="1E5FF7C2" w:rsidR="00226F6F" w:rsidRDefault="00226F6F" w:rsidP="00226F6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78ABD672" w14:textId="29709A43" w:rsidR="00E80CE2" w:rsidRDefault="003173E9" w:rsidP="00226F6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In our view, c</w:t>
      </w:r>
      <w:r w:rsidR="002328B1">
        <w:rPr>
          <w:sz w:val="24"/>
          <w:szCs w:val="24"/>
          <w:lang w:val="en-US"/>
        </w:rPr>
        <w:t xml:space="preserve">ompetent authorities </w:t>
      </w:r>
      <w:r w:rsidR="00E80CE2" w:rsidRPr="00E80CE2">
        <w:rPr>
          <w:sz w:val="24"/>
          <w:szCs w:val="24"/>
          <w:lang w:val="en-US"/>
        </w:rPr>
        <w:t>are</w:t>
      </w:r>
      <w:r w:rsidR="00664F80">
        <w:rPr>
          <w:sz w:val="24"/>
          <w:szCs w:val="24"/>
          <w:lang w:val="en-US"/>
        </w:rPr>
        <w:t xml:space="preserve"> already</w:t>
      </w:r>
      <w:r w:rsidR="00E80CE2" w:rsidRPr="00E80CE2">
        <w:rPr>
          <w:sz w:val="24"/>
          <w:szCs w:val="24"/>
          <w:lang w:val="en-US"/>
        </w:rPr>
        <w:t xml:space="preserve"> equipped with a broad range of supervisory tools</w:t>
      </w:r>
      <w:r w:rsidR="008A0AE0">
        <w:rPr>
          <w:sz w:val="24"/>
          <w:szCs w:val="24"/>
          <w:lang w:val="en-US"/>
        </w:rPr>
        <w:t xml:space="preserve"> with several and increasing escalation measures. </w:t>
      </w:r>
      <w:r w:rsidR="00322977">
        <w:rPr>
          <w:sz w:val="24"/>
          <w:szCs w:val="24"/>
          <w:lang w:val="en-US"/>
        </w:rPr>
        <w:t>They may</w:t>
      </w:r>
      <w:r w:rsidR="00714D46">
        <w:rPr>
          <w:sz w:val="24"/>
          <w:szCs w:val="24"/>
          <w:lang w:val="en-US"/>
        </w:rPr>
        <w:t xml:space="preserve"> </w:t>
      </w:r>
      <w:r w:rsidR="008567FA">
        <w:rPr>
          <w:sz w:val="24"/>
          <w:szCs w:val="24"/>
          <w:lang w:val="en-US"/>
        </w:rPr>
        <w:lastRenderedPageBreak/>
        <w:t>suggest</w:t>
      </w:r>
      <w:r w:rsidR="00D60332">
        <w:rPr>
          <w:sz w:val="24"/>
          <w:szCs w:val="24"/>
          <w:lang w:val="en-US"/>
        </w:rPr>
        <w:t xml:space="preserve"> general</w:t>
      </w:r>
      <w:r w:rsidR="00714D46">
        <w:rPr>
          <w:sz w:val="24"/>
          <w:szCs w:val="24"/>
          <w:lang w:val="en-US"/>
        </w:rPr>
        <w:t xml:space="preserve"> guidance to the market</w:t>
      </w:r>
      <w:r w:rsidR="00406EBF">
        <w:rPr>
          <w:sz w:val="24"/>
          <w:szCs w:val="24"/>
          <w:lang w:val="en-US"/>
        </w:rPr>
        <w:t>,</w:t>
      </w:r>
      <w:r w:rsidR="00714D46">
        <w:rPr>
          <w:sz w:val="24"/>
          <w:szCs w:val="24"/>
          <w:lang w:val="en-US"/>
        </w:rPr>
        <w:t xml:space="preserve"> </w:t>
      </w:r>
      <w:proofErr w:type="gramStart"/>
      <w:r w:rsidR="00967F5A">
        <w:rPr>
          <w:sz w:val="24"/>
          <w:szCs w:val="24"/>
          <w:lang w:val="en-US"/>
        </w:rPr>
        <w:t>ask</w:t>
      </w:r>
      <w:proofErr w:type="gramEnd"/>
      <w:r w:rsidR="00967F5A">
        <w:rPr>
          <w:sz w:val="24"/>
          <w:szCs w:val="24"/>
          <w:lang w:val="en-US"/>
        </w:rPr>
        <w:t xml:space="preserve"> </w:t>
      </w:r>
      <w:r w:rsidR="00406EBF">
        <w:rPr>
          <w:sz w:val="24"/>
          <w:szCs w:val="24"/>
          <w:lang w:val="en-US"/>
        </w:rPr>
        <w:t xml:space="preserve">more </w:t>
      </w:r>
      <w:r w:rsidR="00967F5A">
        <w:rPr>
          <w:sz w:val="24"/>
          <w:szCs w:val="24"/>
          <w:lang w:val="en-US"/>
        </w:rPr>
        <w:t>information,</w:t>
      </w:r>
      <w:r w:rsidR="00C727AA">
        <w:rPr>
          <w:sz w:val="24"/>
          <w:szCs w:val="24"/>
          <w:lang w:val="en-US"/>
        </w:rPr>
        <w:t xml:space="preserve"> </w:t>
      </w:r>
      <w:r w:rsidR="00E80CE2" w:rsidRPr="00E80CE2">
        <w:rPr>
          <w:sz w:val="24"/>
          <w:szCs w:val="24"/>
          <w:lang w:val="en-US"/>
        </w:rPr>
        <w:t>conduct investigations, mandate the discontinuation of non-compliant practices, impose leverage constraints, suspend share issuance or redemption, and even revoke authorizations</w:t>
      </w:r>
      <w:r w:rsidR="00A84AC5">
        <w:rPr>
          <w:rStyle w:val="Rimandonotaapidipagina"/>
          <w:sz w:val="24"/>
          <w:szCs w:val="24"/>
          <w:lang w:val="en-US"/>
        </w:rPr>
        <w:footnoteReference w:id="12"/>
      </w:r>
      <w:r w:rsidR="00E80CE2" w:rsidRPr="00E80CE2">
        <w:rPr>
          <w:sz w:val="24"/>
          <w:szCs w:val="24"/>
          <w:lang w:val="en-US"/>
        </w:rPr>
        <w:t xml:space="preserve">. Persistent and flagrant breaches of liquidity management rules or supervisory directives </w:t>
      </w:r>
      <w:r w:rsidR="009E5E2C">
        <w:rPr>
          <w:sz w:val="24"/>
          <w:szCs w:val="24"/>
          <w:lang w:val="en-US"/>
        </w:rPr>
        <w:t xml:space="preserve">must be </w:t>
      </w:r>
      <w:r w:rsidR="00E80CE2" w:rsidRPr="00E80CE2">
        <w:rPr>
          <w:sz w:val="24"/>
          <w:szCs w:val="24"/>
          <w:lang w:val="en-US"/>
        </w:rPr>
        <w:t>met with appropriate sanctions, potentially culminating in the revocation of a manager's license.</w:t>
      </w:r>
    </w:p>
    <w:p w14:paraId="02D1EBFA" w14:textId="77777777" w:rsidR="007E1421" w:rsidRDefault="007E1421" w:rsidP="00226F6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0B66912B" w14:textId="6BE8C7AF" w:rsidR="00D548E6" w:rsidRDefault="00B55F0F" w:rsidP="00226F6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 xml:space="preserve">At EU level, </w:t>
      </w:r>
      <w:proofErr w:type="gramStart"/>
      <w:r w:rsidR="002473B6">
        <w:rPr>
          <w:sz w:val="24"/>
          <w:szCs w:val="24"/>
          <w:lang w:val="en-US"/>
        </w:rPr>
        <w:t xml:space="preserve">the </w:t>
      </w:r>
      <w:r w:rsidR="00E42715">
        <w:rPr>
          <w:sz w:val="24"/>
          <w:szCs w:val="24"/>
          <w:lang w:val="en-US"/>
        </w:rPr>
        <w:t>Common</w:t>
      </w:r>
      <w:proofErr w:type="gramEnd"/>
      <w:r w:rsidR="00E42715">
        <w:rPr>
          <w:sz w:val="24"/>
          <w:szCs w:val="24"/>
          <w:lang w:val="en-US"/>
        </w:rPr>
        <w:t xml:space="preserve"> Supervisory Action </w:t>
      </w:r>
      <w:r w:rsidR="001610E1">
        <w:rPr>
          <w:sz w:val="24"/>
          <w:szCs w:val="24"/>
          <w:lang w:val="en-US"/>
        </w:rPr>
        <w:t>is</w:t>
      </w:r>
      <w:r w:rsidR="00B22672">
        <w:rPr>
          <w:sz w:val="24"/>
          <w:szCs w:val="24"/>
          <w:lang w:val="en-US"/>
        </w:rPr>
        <w:t xml:space="preserve"> </w:t>
      </w:r>
      <w:r w:rsidR="001610E1">
        <w:rPr>
          <w:sz w:val="24"/>
          <w:szCs w:val="24"/>
          <w:lang w:val="en-US"/>
        </w:rPr>
        <w:t xml:space="preserve">a </w:t>
      </w:r>
      <w:r w:rsidR="00B22672">
        <w:rPr>
          <w:sz w:val="24"/>
          <w:szCs w:val="24"/>
          <w:lang w:val="en-US"/>
        </w:rPr>
        <w:t xml:space="preserve">useful tool to </w:t>
      </w:r>
      <w:r w:rsidR="00D813CA">
        <w:rPr>
          <w:sz w:val="24"/>
          <w:szCs w:val="24"/>
          <w:lang w:val="en-US"/>
        </w:rPr>
        <w:t>enhance coordination</w:t>
      </w:r>
      <w:r w:rsidR="001610E1">
        <w:rPr>
          <w:sz w:val="24"/>
          <w:szCs w:val="24"/>
          <w:lang w:val="en-US"/>
        </w:rPr>
        <w:t xml:space="preserve"> between NCAs</w:t>
      </w:r>
      <w:r w:rsidR="00A675F3">
        <w:rPr>
          <w:sz w:val="24"/>
          <w:szCs w:val="24"/>
          <w:lang w:val="en-US"/>
        </w:rPr>
        <w:t>. In this sense the CSA made</w:t>
      </w:r>
      <w:r w:rsidR="00A675F3" w:rsidRPr="00991DCC">
        <w:rPr>
          <w:sz w:val="24"/>
          <w:szCs w:val="24"/>
          <w:lang w:val="en-US"/>
        </w:rPr>
        <w:t xml:space="preserve"> on UCITS liquidity risk management</w:t>
      </w:r>
      <w:r w:rsidR="00A675F3">
        <w:rPr>
          <w:rStyle w:val="Rimandonotaapidipagina"/>
          <w:sz w:val="24"/>
          <w:szCs w:val="24"/>
          <w:lang w:val="en-US"/>
        </w:rPr>
        <w:footnoteReference w:id="13"/>
      </w:r>
      <w:r w:rsidR="00A675F3" w:rsidRPr="00991DCC">
        <w:rPr>
          <w:sz w:val="24"/>
          <w:szCs w:val="24"/>
          <w:lang w:val="en-US"/>
        </w:rPr>
        <w:t>, conducted in response to the COVID-19 market downturn of March 2020</w:t>
      </w:r>
      <w:r w:rsidR="00086FBA">
        <w:rPr>
          <w:sz w:val="24"/>
          <w:szCs w:val="24"/>
          <w:lang w:val="en-US"/>
        </w:rPr>
        <w:t xml:space="preserve"> </w:t>
      </w:r>
      <w:r w:rsidR="00A675F3" w:rsidRPr="00991DCC">
        <w:rPr>
          <w:sz w:val="24"/>
          <w:szCs w:val="24"/>
          <w:lang w:val="en-US"/>
        </w:rPr>
        <w:t xml:space="preserve">concluded that </w:t>
      </w:r>
      <w:r w:rsidR="00A675F3">
        <w:rPr>
          <w:sz w:val="24"/>
          <w:szCs w:val="24"/>
          <w:lang w:val="en-US"/>
        </w:rPr>
        <w:t>“</w:t>
      </w:r>
      <w:r w:rsidR="00A675F3" w:rsidRPr="00021CF8">
        <w:rPr>
          <w:i/>
          <w:iCs/>
          <w:sz w:val="24"/>
          <w:szCs w:val="24"/>
          <w:lang w:val="en-US"/>
        </w:rPr>
        <w:t>overall, most UCITS managers have demonstrated that they have implemented and applied sufficiently sound LRM processes</w:t>
      </w:r>
      <w:r w:rsidR="00A675F3" w:rsidRPr="00021CF8">
        <w:rPr>
          <w:sz w:val="24"/>
          <w:szCs w:val="24"/>
          <w:lang w:val="en-US"/>
        </w:rPr>
        <w:t>”</w:t>
      </w:r>
      <w:r w:rsidR="00A675F3" w:rsidRPr="00991DCC">
        <w:rPr>
          <w:sz w:val="24"/>
          <w:szCs w:val="24"/>
          <w:lang w:val="en-US"/>
        </w:rPr>
        <w:t>. Nevertheless, the ESMA also identified certain areas for improvement</w:t>
      </w:r>
      <w:r w:rsidR="001B5EB1">
        <w:rPr>
          <w:sz w:val="24"/>
          <w:szCs w:val="24"/>
          <w:lang w:val="en-US"/>
        </w:rPr>
        <w:t xml:space="preserve"> </w:t>
      </w:r>
      <w:r w:rsidR="000C3475" w:rsidRPr="000C3475">
        <w:rPr>
          <w:sz w:val="24"/>
          <w:szCs w:val="24"/>
          <w:lang w:val="en-US"/>
        </w:rPr>
        <w:t xml:space="preserve">on which </w:t>
      </w:r>
      <w:r w:rsidR="001B5EB1">
        <w:rPr>
          <w:sz w:val="24"/>
          <w:szCs w:val="24"/>
          <w:lang w:val="en-US"/>
        </w:rPr>
        <w:t xml:space="preserve">NCA </w:t>
      </w:r>
      <w:r w:rsidR="000C3475" w:rsidRPr="000C3475">
        <w:rPr>
          <w:sz w:val="24"/>
          <w:szCs w:val="24"/>
          <w:lang w:val="en-US"/>
        </w:rPr>
        <w:t>have assessed the need to carry out general and/or more targeted interventions</w:t>
      </w:r>
      <w:r w:rsidR="00787234">
        <w:rPr>
          <w:sz w:val="24"/>
          <w:szCs w:val="24"/>
          <w:lang w:val="en-US"/>
        </w:rPr>
        <w:t xml:space="preserve"> on their </w:t>
      </w:r>
      <w:r w:rsidR="009E15A5">
        <w:rPr>
          <w:sz w:val="24"/>
          <w:szCs w:val="24"/>
          <w:lang w:val="en-US"/>
        </w:rPr>
        <w:t xml:space="preserve">national </w:t>
      </w:r>
      <w:r w:rsidR="00787234">
        <w:rPr>
          <w:sz w:val="24"/>
          <w:szCs w:val="24"/>
          <w:lang w:val="en-US"/>
        </w:rPr>
        <w:t>markets.</w:t>
      </w:r>
    </w:p>
    <w:p w14:paraId="2D54F224" w14:textId="77777777" w:rsidR="00226F6F" w:rsidRPr="00996921" w:rsidRDefault="00226F6F" w:rsidP="00226F6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2EDA0853" w14:textId="77777777" w:rsidR="00226F6F" w:rsidRDefault="00226F6F" w:rsidP="00226F6F">
      <w:pPr>
        <w:pBdr>
          <w:top w:val="nil"/>
          <w:left w:val="nil"/>
          <w:bottom w:val="nil"/>
          <w:right w:val="nil"/>
          <w:between w:val="nil"/>
          <w:bar w:val="nil"/>
        </w:pBdr>
        <w:spacing w:after="0" w:line="280" w:lineRule="exact"/>
        <w:jc w:val="both"/>
        <w:rPr>
          <w:b/>
          <w:bCs/>
          <w:sz w:val="24"/>
          <w:szCs w:val="24"/>
          <w:lang w:val="en-US"/>
        </w:rPr>
      </w:pPr>
    </w:p>
    <w:p w14:paraId="378399FA" w14:textId="77777777" w:rsidR="00AA215C" w:rsidRDefault="00AA215C" w:rsidP="00AA215C">
      <w:pPr>
        <w:pBdr>
          <w:top w:val="nil"/>
          <w:left w:val="nil"/>
          <w:bottom w:val="nil"/>
          <w:right w:val="nil"/>
          <w:between w:val="nil"/>
          <w:bar w:val="nil"/>
        </w:pBdr>
        <w:spacing w:after="0" w:line="280" w:lineRule="exact"/>
        <w:jc w:val="both"/>
        <w:rPr>
          <w:b/>
          <w:bCs/>
          <w:sz w:val="24"/>
          <w:szCs w:val="24"/>
          <w:lang w:val="en-US"/>
        </w:rPr>
      </w:pPr>
      <w:r w:rsidRPr="00AA215C">
        <w:rPr>
          <w:b/>
          <w:bCs/>
          <w:sz w:val="24"/>
          <w:szCs w:val="24"/>
          <w:lang w:val="en-US"/>
        </w:rPr>
        <w:t>Question 20. [To asset managers] What measures do you find particularly effective to measure and monitor liquidity risk in stressed market conditions?</w:t>
      </w:r>
    </w:p>
    <w:p w14:paraId="536C5823" w14:textId="77777777" w:rsidR="00226F6F" w:rsidRPr="00996921" w:rsidRDefault="00226F6F" w:rsidP="00226F6F">
      <w:pPr>
        <w:pBdr>
          <w:top w:val="nil"/>
          <w:left w:val="nil"/>
          <w:bottom w:val="nil"/>
          <w:right w:val="nil"/>
          <w:between w:val="nil"/>
          <w:bar w:val="nil"/>
        </w:pBdr>
        <w:spacing w:after="0" w:line="280" w:lineRule="exact"/>
        <w:jc w:val="both"/>
        <w:rPr>
          <w:b/>
          <w:bCs/>
          <w:sz w:val="24"/>
          <w:szCs w:val="24"/>
          <w:lang w:val="en-US"/>
        </w:rPr>
      </w:pPr>
    </w:p>
    <w:p w14:paraId="7E7E0DDA" w14:textId="77777777" w:rsidR="00226F6F" w:rsidRDefault="00226F6F" w:rsidP="00226F6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0EF942DF" w14:textId="6141210E" w:rsidR="00736240" w:rsidRDefault="004E22B3" w:rsidP="00736240">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A06773">
        <w:rPr>
          <w:sz w:val="24"/>
          <w:szCs w:val="24"/>
          <w:lang w:val="en-US"/>
        </w:rPr>
        <w:t xml:space="preserve">Please see our </w:t>
      </w:r>
      <w:r w:rsidR="002E2556" w:rsidRPr="00A06773">
        <w:rPr>
          <w:sz w:val="24"/>
          <w:szCs w:val="24"/>
          <w:lang w:val="en-US"/>
        </w:rPr>
        <w:t xml:space="preserve">answer </w:t>
      </w:r>
      <w:r w:rsidR="00A06773">
        <w:rPr>
          <w:sz w:val="24"/>
          <w:szCs w:val="24"/>
          <w:lang w:val="en-US"/>
        </w:rPr>
        <w:t>to</w:t>
      </w:r>
      <w:r w:rsidR="002E2556" w:rsidRPr="00A06773">
        <w:rPr>
          <w:sz w:val="24"/>
          <w:szCs w:val="24"/>
          <w:lang w:val="en-US"/>
        </w:rPr>
        <w:t xml:space="preserve"> </w:t>
      </w:r>
      <w:r w:rsidR="00581F49">
        <w:rPr>
          <w:sz w:val="24"/>
          <w:szCs w:val="24"/>
          <w:lang w:val="en-US"/>
        </w:rPr>
        <w:t>Q</w:t>
      </w:r>
      <w:r w:rsidR="002E2556" w:rsidRPr="00A06773">
        <w:rPr>
          <w:sz w:val="24"/>
          <w:szCs w:val="24"/>
          <w:lang w:val="en-US"/>
        </w:rPr>
        <w:t>17.</w:t>
      </w:r>
    </w:p>
    <w:p w14:paraId="44E66DEA" w14:textId="77777777" w:rsidR="00226F6F" w:rsidRDefault="00226F6F" w:rsidP="00226F6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21E6F6D1" w14:textId="77777777" w:rsidR="00226F6F" w:rsidRDefault="00226F6F" w:rsidP="00226F6F">
      <w:pPr>
        <w:pBdr>
          <w:top w:val="nil"/>
          <w:left w:val="nil"/>
          <w:bottom w:val="nil"/>
          <w:right w:val="nil"/>
          <w:between w:val="nil"/>
          <w:bar w:val="nil"/>
        </w:pBdr>
        <w:spacing w:after="0" w:line="280" w:lineRule="exact"/>
        <w:jc w:val="both"/>
        <w:rPr>
          <w:b/>
          <w:bCs/>
          <w:sz w:val="24"/>
          <w:szCs w:val="24"/>
          <w:lang w:val="en-US"/>
        </w:rPr>
      </w:pPr>
    </w:p>
    <w:p w14:paraId="4EB6F060" w14:textId="77777777" w:rsidR="00AA215C" w:rsidRDefault="00AA215C" w:rsidP="00AA215C">
      <w:pPr>
        <w:pBdr>
          <w:top w:val="nil"/>
          <w:left w:val="nil"/>
          <w:bottom w:val="nil"/>
          <w:right w:val="nil"/>
          <w:between w:val="nil"/>
          <w:bar w:val="nil"/>
        </w:pBdr>
        <w:spacing w:after="0" w:line="280" w:lineRule="exact"/>
        <w:jc w:val="both"/>
        <w:rPr>
          <w:b/>
          <w:bCs/>
          <w:sz w:val="24"/>
          <w:szCs w:val="24"/>
          <w:lang w:val="en-US"/>
        </w:rPr>
      </w:pPr>
      <w:r w:rsidRPr="00AA215C">
        <w:rPr>
          <w:b/>
          <w:bCs/>
          <w:sz w:val="24"/>
          <w:szCs w:val="24"/>
          <w:lang w:val="en-US"/>
        </w:rPr>
        <w:t>Question 21. [To asset managers] What difficulties have you encountered in measuring and monitoring liquidity risks and their evolution? Are there enough tools available under the EU regulations to address liquidity mismatches?</w:t>
      </w:r>
    </w:p>
    <w:p w14:paraId="73B2AF4A" w14:textId="77777777" w:rsidR="00226F6F" w:rsidRPr="00996921" w:rsidRDefault="00226F6F" w:rsidP="00226F6F">
      <w:pPr>
        <w:pBdr>
          <w:top w:val="nil"/>
          <w:left w:val="nil"/>
          <w:bottom w:val="nil"/>
          <w:right w:val="nil"/>
          <w:between w:val="nil"/>
          <w:bar w:val="nil"/>
        </w:pBdr>
        <w:spacing w:after="0" w:line="280" w:lineRule="exact"/>
        <w:jc w:val="both"/>
        <w:rPr>
          <w:b/>
          <w:bCs/>
          <w:sz w:val="24"/>
          <w:szCs w:val="24"/>
          <w:lang w:val="en-US"/>
        </w:rPr>
      </w:pPr>
    </w:p>
    <w:p w14:paraId="20572CED" w14:textId="77777777" w:rsidR="001D0D31" w:rsidRDefault="001D0D31" w:rsidP="000A00B4">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GB"/>
        </w:rPr>
      </w:pPr>
    </w:p>
    <w:p w14:paraId="7F7B4004" w14:textId="76DFA09A" w:rsidR="00340599" w:rsidRDefault="000E2C64" w:rsidP="00340599">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GB"/>
        </w:rPr>
      </w:pPr>
      <w:r>
        <w:rPr>
          <w:sz w:val="24"/>
          <w:szCs w:val="24"/>
          <w:lang w:val="en-GB"/>
        </w:rPr>
        <w:t>We believe that t</w:t>
      </w:r>
      <w:r w:rsidR="00340599" w:rsidRPr="00DB6D75">
        <w:rPr>
          <w:sz w:val="24"/>
          <w:szCs w:val="24"/>
          <w:lang w:val="en-GB"/>
        </w:rPr>
        <w:t>here</w:t>
      </w:r>
      <w:r w:rsidR="00340599">
        <w:rPr>
          <w:sz w:val="24"/>
          <w:szCs w:val="24"/>
          <w:lang w:val="en-GB"/>
        </w:rPr>
        <w:t xml:space="preserve"> are</w:t>
      </w:r>
      <w:r w:rsidR="00340599" w:rsidRPr="00DB6D75">
        <w:rPr>
          <w:sz w:val="24"/>
          <w:szCs w:val="24"/>
          <w:lang w:val="en-GB"/>
        </w:rPr>
        <w:t xml:space="preserve"> enough tools available under the EU regulations to address liquidity </w:t>
      </w:r>
      <w:r w:rsidR="00340599">
        <w:rPr>
          <w:sz w:val="24"/>
          <w:szCs w:val="24"/>
          <w:lang w:val="en-GB"/>
        </w:rPr>
        <w:t>risks.</w:t>
      </w:r>
    </w:p>
    <w:p w14:paraId="7EA830FF" w14:textId="77777777" w:rsidR="00402072" w:rsidRDefault="00402072" w:rsidP="00340599">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GB"/>
        </w:rPr>
      </w:pPr>
    </w:p>
    <w:p w14:paraId="552CFC29" w14:textId="162FEDE7" w:rsidR="00101074" w:rsidRDefault="007559F0" w:rsidP="00340599">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T</w:t>
      </w:r>
      <w:r w:rsidRPr="000C5724">
        <w:rPr>
          <w:sz w:val="24"/>
          <w:szCs w:val="24"/>
          <w:lang w:val="en-US"/>
        </w:rPr>
        <w:t>he recent UCITSD and AIFMD review</w:t>
      </w:r>
      <w:r>
        <w:rPr>
          <w:sz w:val="24"/>
          <w:szCs w:val="24"/>
          <w:lang w:val="en-US"/>
        </w:rPr>
        <w:t xml:space="preserve"> has further improved </w:t>
      </w:r>
      <w:r w:rsidRPr="000C5724">
        <w:rPr>
          <w:sz w:val="24"/>
          <w:szCs w:val="24"/>
          <w:lang w:val="en-US"/>
        </w:rPr>
        <w:t xml:space="preserve">the liquidity management </w:t>
      </w:r>
      <w:proofErr w:type="gramStart"/>
      <w:r w:rsidRPr="000C5724">
        <w:rPr>
          <w:sz w:val="24"/>
          <w:szCs w:val="24"/>
          <w:lang w:val="en-US"/>
        </w:rPr>
        <w:t>framework</w:t>
      </w:r>
      <w:proofErr w:type="gramEnd"/>
      <w:r w:rsidR="005938C2">
        <w:rPr>
          <w:sz w:val="24"/>
          <w:szCs w:val="24"/>
          <w:lang w:val="en-US"/>
        </w:rPr>
        <w:t xml:space="preserve"> and the</w:t>
      </w:r>
      <w:r w:rsidDel="00DD18E0">
        <w:rPr>
          <w:sz w:val="24"/>
          <w:szCs w:val="24"/>
          <w:lang w:val="en-US"/>
        </w:rPr>
        <w:t xml:space="preserve"> </w:t>
      </w:r>
      <w:r w:rsidR="00340599" w:rsidRPr="000C5724">
        <w:rPr>
          <w:sz w:val="24"/>
          <w:szCs w:val="24"/>
          <w:lang w:val="en-US"/>
        </w:rPr>
        <w:t xml:space="preserve">EU legislation </w:t>
      </w:r>
      <w:r w:rsidR="005938C2">
        <w:rPr>
          <w:sz w:val="24"/>
          <w:szCs w:val="24"/>
          <w:lang w:val="en-US"/>
        </w:rPr>
        <w:t xml:space="preserve">already </w:t>
      </w:r>
      <w:r w:rsidR="00340599" w:rsidRPr="000C5724">
        <w:rPr>
          <w:sz w:val="24"/>
          <w:szCs w:val="24"/>
          <w:lang w:val="en-US"/>
        </w:rPr>
        <w:t xml:space="preserve">requires management companies to maintain effective liquidity management policies. </w:t>
      </w:r>
      <w:r w:rsidR="005938C2">
        <w:rPr>
          <w:sz w:val="24"/>
          <w:szCs w:val="24"/>
          <w:lang w:val="en-US"/>
        </w:rPr>
        <w:t xml:space="preserve">Among </w:t>
      </w:r>
      <w:proofErr w:type="gramStart"/>
      <w:r w:rsidR="005938C2">
        <w:rPr>
          <w:sz w:val="24"/>
          <w:szCs w:val="24"/>
          <w:lang w:val="en-US"/>
        </w:rPr>
        <w:t>other</w:t>
      </w:r>
      <w:proofErr w:type="gramEnd"/>
      <w:r w:rsidR="005938C2">
        <w:rPr>
          <w:sz w:val="24"/>
          <w:szCs w:val="24"/>
          <w:lang w:val="en-US"/>
        </w:rPr>
        <w:t xml:space="preserve">, </w:t>
      </w:r>
      <w:r w:rsidR="00101074">
        <w:rPr>
          <w:sz w:val="24"/>
          <w:szCs w:val="24"/>
          <w:lang w:val="en-US"/>
        </w:rPr>
        <w:t>t</w:t>
      </w:r>
      <w:r w:rsidR="00340599" w:rsidRPr="000C5724">
        <w:rPr>
          <w:sz w:val="24"/>
          <w:szCs w:val="24"/>
          <w:lang w:val="en-US"/>
        </w:rPr>
        <w:t>his includes aligning investment and redemption policies</w:t>
      </w:r>
      <w:r w:rsidR="00101074">
        <w:rPr>
          <w:sz w:val="24"/>
          <w:szCs w:val="24"/>
          <w:lang w:val="en-US"/>
        </w:rPr>
        <w:t xml:space="preserve">, </w:t>
      </w:r>
      <w:r w:rsidR="00340599" w:rsidRPr="000C5724">
        <w:rPr>
          <w:sz w:val="24"/>
          <w:szCs w:val="24"/>
          <w:lang w:val="en-US"/>
        </w:rPr>
        <w:t xml:space="preserve">developing robust liquidity risk management systems, such as defining and maintaining a liquidity profile (e.g. by adjusting their trading strategies to market conditions), using liquidity management tools (LMTs), and conducting </w:t>
      </w:r>
      <w:r w:rsidR="00340599">
        <w:rPr>
          <w:sz w:val="24"/>
          <w:szCs w:val="24"/>
          <w:lang w:val="en-US"/>
        </w:rPr>
        <w:t xml:space="preserve">regular </w:t>
      </w:r>
      <w:r w:rsidR="00340599" w:rsidRPr="000C5724">
        <w:rPr>
          <w:sz w:val="24"/>
          <w:szCs w:val="24"/>
          <w:lang w:val="en-US"/>
        </w:rPr>
        <w:t xml:space="preserve">stress testing. </w:t>
      </w:r>
    </w:p>
    <w:p w14:paraId="67DC2612" w14:textId="77777777" w:rsidR="00101074" w:rsidRDefault="00101074" w:rsidP="00340599">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3653D9A8" w14:textId="476AD0E1" w:rsidR="00340599" w:rsidRPr="00DB6D75" w:rsidRDefault="00340599" w:rsidP="00340599">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GB"/>
        </w:rPr>
      </w:pPr>
      <w:r w:rsidRPr="000C5724">
        <w:rPr>
          <w:sz w:val="24"/>
          <w:szCs w:val="24"/>
          <w:lang w:val="en-US"/>
        </w:rPr>
        <w:t xml:space="preserve">The EU's approach to fund liquidity management is widely recognized as best practices, as evidenced by the </w:t>
      </w:r>
      <w:r w:rsidRPr="000C5724">
        <w:rPr>
          <w:i/>
          <w:iCs/>
          <w:sz w:val="24"/>
          <w:szCs w:val="24"/>
          <w:lang w:val="en-US"/>
        </w:rPr>
        <w:t>IOSCO Thematic Review on Liquidity Risk Management Recommendations</w:t>
      </w:r>
      <w:r>
        <w:rPr>
          <w:rStyle w:val="Rimandonotaapidipagina"/>
          <w:i/>
          <w:iCs/>
          <w:sz w:val="24"/>
          <w:szCs w:val="24"/>
          <w:lang w:val="en-US"/>
        </w:rPr>
        <w:footnoteReference w:id="14"/>
      </w:r>
      <w:r w:rsidRPr="000C5724">
        <w:rPr>
          <w:sz w:val="24"/>
          <w:szCs w:val="24"/>
          <w:lang w:val="en-US"/>
        </w:rPr>
        <w:t>.</w:t>
      </w:r>
    </w:p>
    <w:p w14:paraId="68C5D7DF" w14:textId="77777777" w:rsidR="00340599" w:rsidRDefault="00340599" w:rsidP="000A00B4">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GB"/>
        </w:rPr>
      </w:pPr>
    </w:p>
    <w:p w14:paraId="39BCE608" w14:textId="24897890" w:rsidR="00CD05A6" w:rsidRDefault="00840374" w:rsidP="000A00B4">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GB"/>
        </w:rPr>
      </w:pPr>
      <w:r>
        <w:rPr>
          <w:sz w:val="24"/>
          <w:szCs w:val="24"/>
          <w:lang w:val="en-US"/>
        </w:rPr>
        <w:lastRenderedPageBreak/>
        <w:t>S</w:t>
      </w:r>
      <w:proofErr w:type="spellStart"/>
      <w:r w:rsidR="00F80BF0" w:rsidRPr="001D0D31">
        <w:rPr>
          <w:sz w:val="24"/>
          <w:szCs w:val="24"/>
          <w:lang w:val="en-GB"/>
        </w:rPr>
        <w:t>carcity</w:t>
      </w:r>
      <w:proofErr w:type="spellEnd"/>
      <w:r w:rsidR="001D0D31" w:rsidRPr="001D0D31">
        <w:rPr>
          <w:sz w:val="24"/>
          <w:szCs w:val="24"/>
          <w:lang w:val="en-GB"/>
        </w:rPr>
        <w:t xml:space="preserve"> of </w:t>
      </w:r>
      <w:proofErr w:type="gramStart"/>
      <w:r w:rsidR="001D0D31" w:rsidRPr="001D0D31">
        <w:rPr>
          <w:sz w:val="24"/>
          <w:szCs w:val="24"/>
          <w:lang w:val="en-GB"/>
        </w:rPr>
        <w:t>some data</w:t>
      </w:r>
      <w:proofErr w:type="gramEnd"/>
      <w:r w:rsidR="001D0D31" w:rsidRPr="001D0D31">
        <w:rPr>
          <w:sz w:val="24"/>
          <w:szCs w:val="24"/>
          <w:lang w:val="en-GB"/>
        </w:rPr>
        <w:t xml:space="preserve"> and idiosyncratic information in volumes remain key challenges in the modelling.</w:t>
      </w:r>
      <w:r w:rsidR="004730BE">
        <w:rPr>
          <w:sz w:val="24"/>
          <w:szCs w:val="24"/>
          <w:lang w:val="en-GB"/>
        </w:rPr>
        <w:t xml:space="preserve"> In this regard, m</w:t>
      </w:r>
      <w:r w:rsidR="00650880" w:rsidRPr="00650880">
        <w:rPr>
          <w:sz w:val="24"/>
          <w:szCs w:val="24"/>
          <w:lang w:val="en-GB"/>
        </w:rPr>
        <w:t>ore data for non-equity instruments that</w:t>
      </w:r>
      <w:r w:rsidR="004730BE">
        <w:rPr>
          <w:sz w:val="24"/>
          <w:szCs w:val="24"/>
          <w:lang w:val="en-GB"/>
        </w:rPr>
        <w:t xml:space="preserve"> could </w:t>
      </w:r>
      <w:r w:rsidR="00650880" w:rsidRPr="00650880">
        <w:rPr>
          <w:sz w:val="24"/>
          <w:szCs w:val="24"/>
          <w:lang w:val="en-GB"/>
        </w:rPr>
        <w:t xml:space="preserve">come from the future EU </w:t>
      </w:r>
      <w:r w:rsidR="00650880">
        <w:rPr>
          <w:sz w:val="24"/>
          <w:szCs w:val="24"/>
          <w:lang w:val="en-GB"/>
        </w:rPr>
        <w:t>Co</w:t>
      </w:r>
      <w:r w:rsidR="00650880" w:rsidRPr="00650880">
        <w:rPr>
          <w:sz w:val="24"/>
          <w:szCs w:val="24"/>
          <w:lang w:val="en-GB"/>
        </w:rPr>
        <w:t xml:space="preserve">nsolidate </w:t>
      </w:r>
      <w:r w:rsidR="00650880">
        <w:rPr>
          <w:sz w:val="24"/>
          <w:szCs w:val="24"/>
          <w:lang w:val="en-GB"/>
        </w:rPr>
        <w:t>T</w:t>
      </w:r>
      <w:r w:rsidR="00650880" w:rsidRPr="00650880">
        <w:rPr>
          <w:sz w:val="24"/>
          <w:szCs w:val="24"/>
          <w:lang w:val="en-GB"/>
        </w:rPr>
        <w:t>ape</w:t>
      </w:r>
      <w:r w:rsidR="004730BE">
        <w:rPr>
          <w:sz w:val="24"/>
          <w:szCs w:val="24"/>
          <w:lang w:val="en-GB"/>
        </w:rPr>
        <w:t xml:space="preserve"> </w:t>
      </w:r>
      <w:r w:rsidR="00A72EEC">
        <w:rPr>
          <w:sz w:val="24"/>
          <w:szCs w:val="24"/>
          <w:lang w:val="en-GB"/>
        </w:rPr>
        <w:t xml:space="preserve">may </w:t>
      </w:r>
      <w:r w:rsidR="004730BE" w:rsidRPr="00650880">
        <w:rPr>
          <w:sz w:val="24"/>
          <w:szCs w:val="24"/>
          <w:lang w:val="en-GB"/>
        </w:rPr>
        <w:t xml:space="preserve">higher </w:t>
      </w:r>
      <w:r w:rsidR="0033363B">
        <w:rPr>
          <w:sz w:val="24"/>
          <w:szCs w:val="24"/>
          <w:lang w:val="en-GB"/>
        </w:rPr>
        <w:t xml:space="preserve">the </w:t>
      </w:r>
      <w:r w:rsidR="004730BE" w:rsidRPr="00650880">
        <w:rPr>
          <w:sz w:val="24"/>
          <w:szCs w:val="24"/>
          <w:lang w:val="en-GB"/>
        </w:rPr>
        <w:t>level of transparency</w:t>
      </w:r>
      <w:r w:rsidR="00D07029">
        <w:rPr>
          <w:sz w:val="24"/>
          <w:szCs w:val="24"/>
          <w:lang w:val="en-GB"/>
        </w:rPr>
        <w:t xml:space="preserve"> that can be used by all market players, included asset managers</w:t>
      </w:r>
      <w:r w:rsidR="00650880" w:rsidRPr="00650880">
        <w:rPr>
          <w:sz w:val="24"/>
          <w:szCs w:val="24"/>
          <w:lang w:val="en-GB"/>
        </w:rPr>
        <w:t>.</w:t>
      </w:r>
      <w:r w:rsidR="00807940">
        <w:rPr>
          <w:sz w:val="24"/>
          <w:szCs w:val="24"/>
          <w:lang w:val="en-GB"/>
        </w:rPr>
        <w:t xml:space="preserve"> </w:t>
      </w:r>
    </w:p>
    <w:p w14:paraId="12990830" w14:textId="77777777" w:rsidR="00CD05A6" w:rsidRDefault="00CD05A6" w:rsidP="000A00B4">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GB"/>
        </w:rPr>
      </w:pPr>
    </w:p>
    <w:p w14:paraId="1145EDB8" w14:textId="5A700600" w:rsidR="00CD05A6" w:rsidRDefault="00CD05A6" w:rsidP="000A00B4">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GB"/>
        </w:rPr>
      </w:pPr>
      <w:r w:rsidRPr="009B0E34">
        <w:rPr>
          <w:sz w:val="24"/>
          <w:szCs w:val="24"/>
          <w:lang w:val="en-GB"/>
        </w:rPr>
        <w:t xml:space="preserve">Moreover, it </w:t>
      </w:r>
      <w:r w:rsidR="00D07029">
        <w:rPr>
          <w:sz w:val="24"/>
          <w:szCs w:val="24"/>
          <w:lang w:val="en-GB"/>
        </w:rPr>
        <w:t xml:space="preserve">would be helpful if </w:t>
      </w:r>
      <w:r w:rsidRPr="009B0E34">
        <w:rPr>
          <w:sz w:val="24"/>
          <w:szCs w:val="24"/>
          <w:lang w:val="en-GB"/>
        </w:rPr>
        <w:t>CCPs provide additional public disclosures regarding their margin models to allow market participants to incorporate these models in their stress testing exercises. It is equally important to ensure that clearing members’ collateral policies are sufficiently transparent to those investors who use their services, as brokers may impose additional margin requirements on their clients on top of those required by CCPs.</w:t>
      </w:r>
    </w:p>
    <w:p w14:paraId="3BCEF3DC" w14:textId="77777777" w:rsidR="0033363B" w:rsidRDefault="0033363B" w:rsidP="000A00B4">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GB"/>
        </w:rPr>
      </w:pPr>
    </w:p>
    <w:p w14:paraId="1557127D" w14:textId="77777777" w:rsidR="00226F6F" w:rsidRPr="00DB6D75" w:rsidRDefault="00226F6F" w:rsidP="00226F6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GB"/>
        </w:rPr>
      </w:pPr>
    </w:p>
    <w:p w14:paraId="486CFA3C" w14:textId="77777777" w:rsidR="00226F6F" w:rsidRPr="00DB6D75" w:rsidRDefault="00226F6F" w:rsidP="00226F6F">
      <w:pPr>
        <w:pBdr>
          <w:top w:val="nil"/>
          <w:left w:val="nil"/>
          <w:bottom w:val="nil"/>
          <w:right w:val="nil"/>
          <w:between w:val="nil"/>
          <w:bar w:val="nil"/>
        </w:pBdr>
        <w:spacing w:after="0" w:line="280" w:lineRule="exact"/>
        <w:jc w:val="both"/>
        <w:rPr>
          <w:b/>
          <w:bCs/>
          <w:sz w:val="24"/>
          <w:szCs w:val="24"/>
          <w:lang w:val="en-GB"/>
        </w:rPr>
      </w:pPr>
    </w:p>
    <w:p w14:paraId="5B306392" w14:textId="77777777" w:rsidR="00AA215C" w:rsidRDefault="00AA215C" w:rsidP="00AA215C">
      <w:pPr>
        <w:pBdr>
          <w:top w:val="nil"/>
          <w:left w:val="nil"/>
          <w:bottom w:val="nil"/>
          <w:right w:val="nil"/>
          <w:between w:val="nil"/>
          <w:bar w:val="nil"/>
        </w:pBdr>
        <w:spacing w:after="0" w:line="280" w:lineRule="exact"/>
        <w:jc w:val="both"/>
        <w:rPr>
          <w:b/>
          <w:bCs/>
          <w:sz w:val="24"/>
          <w:szCs w:val="24"/>
          <w:lang w:val="en-US"/>
        </w:rPr>
      </w:pPr>
      <w:r w:rsidRPr="00AA215C">
        <w:rPr>
          <w:b/>
          <w:bCs/>
          <w:sz w:val="24"/>
          <w:szCs w:val="24"/>
          <w:lang w:val="en-US"/>
        </w:rPr>
        <w:t>Question 22. [To asset managers] What are the challenges in calibrating worst-case and stress-case scenarios related to redemptions and margin calls?</w:t>
      </w:r>
    </w:p>
    <w:p w14:paraId="653613AE" w14:textId="77777777" w:rsidR="00226F6F" w:rsidRPr="00996921" w:rsidRDefault="00226F6F" w:rsidP="00226F6F">
      <w:pPr>
        <w:pBdr>
          <w:top w:val="nil"/>
          <w:left w:val="nil"/>
          <w:bottom w:val="nil"/>
          <w:right w:val="nil"/>
          <w:between w:val="nil"/>
          <w:bar w:val="nil"/>
        </w:pBdr>
        <w:spacing w:after="0" w:line="280" w:lineRule="exact"/>
        <w:jc w:val="both"/>
        <w:rPr>
          <w:b/>
          <w:bCs/>
          <w:sz w:val="24"/>
          <w:szCs w:val="24"/>
          <w:lang w:val="en-US"/>
        </w:rPr>
      </w:pPr>
    </w:p>
    <w:p w14:paraId="669DF9A9" w14:textId="77777777" w:rsidR="00226F6F" w:rsidRDefault="00226F6F" w:rsidP="00226F6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2A27B347" w14:textId="25DD86EA" w:rsidR="00947670" w:rsidRDefault="00E947E7" w:rsidP="00E75383">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R</w:t>
      </w:r>
      <w:r w:rsidR="00947670" w:rsidRPr="00B80C02">
        <w:rPr>
          <w:sz w:val="24"/>
          <w:szCs w:val="24"/>
          <w:lang w:val="en-US"/>
        </w:rPr>
        <w:t xml:space="preserve">isk drivers that determine price and liquidity dynamics are not static. The literature of recent years has begun to make significant contributions, however the lack of data, including volumes for specific instruments remain a significant obstacle to a robust modelling. In any case, modelling broader economic weakness is always a challenge and there could be a low degree of precision of liquidity models under stress conditions. </w:t>
      </w:r>
      <w:r w:rsidR="00947670" w:rsidRPr="009A279D">
        <w:rPr>
          <w:sz w:val="24"/>
          <w:szCs w:val="24"/>
          <w:lang w:val="en-US"/>
        </w:rPr>
        <w:t xml:space="preserve">History does not encompass every probable future </w:t>
      </w:r>
      <w:r w:rsidR="00502318" w:rsidRPr="009A279D">
        <w:rPr>
          <w:sz w:val="24"/>
          <w:szCs w:val="24"/>
          <w:lang w:val="en-US"/>
        </w:rPr>
        <w:t>scenario,</w:t>
      </w:r>
      <w:r w:rsidR="00947670">
        <w:rPr>
          <w:sz w:val="24"/>
          <w:szCs w:val="24"/>
          <w:lang w:val="en-US"/>
        </w:rPr>
        <w:t xml:space="preserve"> and i</w:t>
      </w:r>
      <w:r w:rsidR="00947670" w:rsidRPr="00B80C02">
        <w:rPr>
          <w:sz w:val="24"/>
          <w:szCs w:val="24"/>
          <w:lang w:val="en-US"/>
        </w:rPr>
        <w:t xml:space="preserve">t is always necessary, therefore, to supplement these inputs with qualitative information based on </w:t>
      </w:r>
      <w:r w:rsidR="00947670" w:rsidRPr="00155B8B">
        <w:rPr>
          <w:sz w:val="24"/>
          <w:szCs w:val="24"/>
          <w:lang w:val="en-US"/>
        </w:rPr>
        <w:t>experience</w:t>
      </w:r>
      <w:r w:rsidR="00947670" w:rsidRPr="00B80C02">
        <w:rPr>
          <w:sz w:val="24"/>
          <w:szCs w:val="24"/>
          <w:lang w:val="en-US"/>
        </w:rPr>
        <w:t xml:space="preserve"> and sound judgment. </w:t>
      </w:r>
    </w:p>
    <w:p w14:paraId="2970A341" w14:textId="77777777" w:rsidR="004B5E94" w:rsidRDefault="004B5E94" w:rsidP="00E75383">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7897ADE5" w14:textId="77777777" w:rsidR="004B5E94" w:rsidRDefault="004B5E94" w:rsidP="004B5E94">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7B71A9">
        <w:rPr>
          <w:sz w:val="24"/>
          <w:szCs w:val="24"/>
          <w:lang w:val="en-US"/>
        </w:rPr>
        <w:t>It is worth remembering that the nature and scale of market crises cannot always be predicted, even with the best data and modelling.</w:t>
      </w:r>
    </w:p>
    <w:p w14:paraId="22144932" w14:textId="77777777" w:rsidR="00226F6F" w:rsidRPr="00996921" w:rsidRDefault="00226F6F" w:rsidP="00226F6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7F48CDA4" w14:textId="77777777" w:rsidR="00226F6F" w:rsidRDefault="00226F6F" w:rsidP="00226F6F">
      <w:pPr>
        <w:pBdr>
          <w:top w:val="nil"/>
          <w:left w:val="nil"/>
          <w:bottom w:val="nil"/>
          <w:right w:val="nil"/>
          <w:between w:val="nil"/>
          <w:bar w:val="nil"/>
        </w:pBdr>
        <w:spacing w:after="0" w:line="280" w:lineRule="exact"/>
        <w:jc w:val="both"/>
        <w:rPr>
          <w:b/>
          <w:bCs/>
          <w:sz w:val="24"/>
          <w:szCs w:val="24"/>
          <w:lang w:val="en-US"/>
        </w:rPr>
      </w:pPr>
    </w:p>
    <w:p w14:paraId="6DF9F821" w14:textId="77777777" w:rsidR="00226F6F" w:rsidRPr="00AA215C" w:rsidRDefault="00226F6F" w:rsidP="00AA215C">
      <w:pPr>
        <w:pBdr>
          <w:top w:val="nil"/>
          <w:left w:val="nil"/>
          <w:bottom w:val="nil"/>
          <w:right w:val="nil"/>
          <w:between w:val="nil"/>
          <w:bar w:val="nil"/>
        </w:pBdr>
        <w:spacing w:after="0" w:line="280" w:lineRule="exact"/>
        <w:jc w:val="both"/>
        <w:rPr>
          <w:b/>
          <w:bCs/>
          <w:sz w:val="24"/>
          <w:szCs w:val="24"/>
          <w:lang w:val="en-US"/>
        </w:rPr>
      </w:pPr>
    </w:p>
    <w:p w14:paraId="6A68C9EE" w14:textId="77777777" w:rsidR="00AA215C" w:rsidRPr="00610932" w:rsidRDefault="00AA215C" w:rsidP="00AA215C">
      <w:pPr>
        <w:pBdr>
          <w:top w:val="nil"/>
          <w:left w:val="nil"/>
          <w:bottom w:val="nil"/>
          <w:right w:val="nil"/>
          <w:between w:val="nil"/>
          <w:bar w:val="nil"/>
        </w:pBdr>
        <w:spacing w:after="0" w:line="280" w:lineRule="exact"/>
        <w:jc w:val="both"/>
        <w:rPr>
          <w:b/>
          <w:bCs/>
          <w:i/>
          <w:iCs/>
          <w:sz w:val="24"/>
          <w:szCs w:val="24"/>
          <w:lang w:val="en-US"/>
        </w:rPr>
      </w:pPr>
      <w:r w:rsidRPr="00610932">
        <w:rPr>
          <w:b/>
          <w:bCs/>
          <w:i/>
          <w:iCs/>
          <w:sz w:val="24"/>
          <w:szCs w:val="24"/>
          <w:lang w:val="en-US"/>
        </w:rPr>
        <w:t>Stress testing</w:t>
      </w:r>
    </w:p>
    <w:p w14:paraId="0335015A" w14:textId="77777777" w:rsidR="00226F6F" w:rsidRPr="00AA215C" w:rsidRDefault="00226F6F" w:rsidP="00AA215C">
      <w:pPr>
        <w:pBdr>
          <w:top w:val="nil"/>
          <w:left w:val="nil"/>
          <w:bottom w:val="nil"/>
          <w:right w:val="nil"/>
          <w:between w:val="nil"/>
          <w:bar w:val="nil"/>
        </w:pBdr>
        <w:spacing w:after="0" w:line="280" w:lineRule="exact"/>
        <w:jc w:val="both"/>
        <w:rPr>
          <w:b/>
          <w:bCs/>
          <w:sz w:val="24"/>
          <w:szCs w:val="24"/>
          <w:lang w:val="en-US"/>
        </w:rPr>
      </w:pPr>
    </w:p>
    <w:p w14:paraId="51178CE5" w14:textId="77777777" w:rsidR="00AA215C" w:rsidRDefault="00AA215C" w:rsidP="00AA215C">
      <w:pPr>
        <w:pBdr>
          <w:top w:val="nil"/>
          <w:left w:val="nil"/>
          <w:bottom w:val="nil"/>
          <w:right w:val="nil"/>
          <w:between w:val="nil"/>
          <w:bar w:val="nil"/>
        </w:pBdr>
        <w:spacing w:after="0" w:line="280" w:lineRule="exact"/>
        <w:jc w:val="both"/>
        <w:rPr>
          <w:b/>
          <w:bCs/>
          <w:sz w:val="24"/>
          <w:szCs w:val="24"/>
          <w:lang w:val="en-US"/>
        </w:rPr>
      </w:pPr>
      <w:r w:rsidRPr="00AA215C">
        <w:rPr>
          <w:b/>
          <w:bCs/>
          <w:sz w:val="24"/>
          <w:szCs w:val="24"/>
          <w:lang w:val="en-US"/>
        </w:rPr>
        <w:t>Question 23. [To NCAs and EU bodies] When monitoring or using results of liquidity stress tests, are you able to timely collect underlying fund data used by managers and the methodology used for the simulation? Are there other aspects that you find very relevant when monitoring the stress tests run by managers?</w:t>
      </w:r>
    </w:p>
    <w:p w14:paraId="37340750" w14:textId="77777777" w:rsidR="00226F6F" w:rsidRDefault="00226F6F" w:rsidP="00226F6F">
      <w:pPr>
        <w:pBdr>
          <w:top w:val="nil"/>
          <w:left w:val="nil"/>
          <w:bottom w:val="nil"/>
          <w:right w:val="nil"/>
          <w:between w:val="nil"/>
          <w:bar w:val="nil"/>
        </w:pBdr>
        <w:spacing w:after="0" w:line="280" w:lineRule="exact"/>
        <w:jc w:val="both"/>
        <w:rPr>
          <w:b/>
          <w:bCs/>
          <w:sz w:val="24"/>
          <w:szCs w:val="24"/>
          <w:lang w:val="en-US"/>
        </w:rPr>
      </w:pPr>
    </w:p>
    <w:p w14:paraId="0F851A71" w14:textId="77777777" w:rsidR="00AA215C" w:rsidRDefault="00AA215C" w:rsidP="00AA215C">
      <w:pPr>
        <w:pBdr>
          <w:top w:val="nil"/>
          <w:left w:val="nil"/>
          <w:bottom w:val="nil"/>
          <w:right w:val="nil"/>
          <w:between w:val="nil"/>
          <w:bar w:val="nil"/>
        </w:pBdr>
        <w:spacing w:after="0" w:line="280" w:lineRule="exact"/>
        <w:jc w:val="both"/>
        <w:rPr>
          <w:b/>
          <w:bCs/>
          <w:sz w:val="24"/>
          <w:szCs w:val="24"/>
          <w:lang w:val="en-US"/>
        </w:rPr>
      </w:pPr>
      <w:r w:rsidRPr="00AA215C">
        <w:rPr>
          <w:b/>
          <w:bCs/>
          <w:sz w:val="24"/>
          <w:szCs w:val="24"/>
          <w:lang w:val="en-US"/>
        </w:rPr>
        <w:t>Question 24. [To NCAs and EU bodies] How do you use information collected from stress tests at fund level for other supervisory purposes and for monitoring systemic risks?</w:t>
      </w:r>
    </w:p>
    <w:p w14:paraId="00B3CE4C" w14:textId="77777777" w:rsidR="00226F6F" w:rsidRDefault="00226F6F" w:rsidP="00226F6F">
      <w:pPr>
        <w:pBdr>
          <w:top w:val="nil"/>
          <w:left w:val="nil"/>
          <w:bottom w:val="nil"/>
          <w:right w:val="nil"/>
          <w:between w:val="nil"/>
          <w:bar w:val="nil"/>
        </w:pBdr>
        <w:spacing w:after="0" w:line="280" w:lineRule="exact"/>
        <w:jc w:val="both"/>
        <w:rPr>
          <w:b/>
          <w:bCs/>
          <w:sz w:val="24"/>
          <w:szCs w:val="24"/>
          <w:lang w:val="en-US"/>
        </w:rPr>
      </w:pPr>
    </w:p>
    <w:p w14:paraId="494657DE" w14:textId="00540E16" w:rsidR="002662BC" w:rsidRDefault="00AA215C" w:rsidP="00AA215C">
      <w:pPr>
        <w:pBdr>
          <w:top w:val="nil"/>
          <w:left w:val="nil"/>
          <w:bottom w:val="nil"/>
          <w:right w:val="nil"/>
          <w:between w:val="nil"/>
          <w:bar w:val="nil"/>
        </w:pBdr>
        <w:spacing w:after="0" w:line="280" w:lineRule="exact"/>
        <w:jc w:val="both"/>
        <w:rPr>
          <w:b/>
          <w:bCs/>
          <w:sz w:val="24"/>
          <w:szCs w:val="24"/>
          <w:lang w:val="en-US"/>
        </w:rPr>
      </w:pPr>
      <w:r w:rsidRPr="00AA215C">
        <w:rPr>
          <w:b/>
          <w:bCs/>
          <w:sz w:val="24"/>
          <w:szCs w:val="24"/>
          <w:lang w:val="en-US"/>
        </w:rPr>
        <w:t xml:space="preserve">Question 25. [To NCAs and EU bodies] What are the main benefits and costs of introducing a stress test requirement at the asset management company level and how could this be </w:t>
      </w:r>
      <w:proofErr w:type="spellStart"/>
      <w:r w:rsidRPr="00AA215C">
        <w:rPr>
          <w:b/>
          <w:bCs/>
          <w:sz w:val="24"/>
          <w:szCs w:val="24"/>
          <w:lang w:val="en-US"/>
        </w:rPr>
        <w:t>organised</w:t>
      </w:r>
      <w:proofErr w:type="spellEnd"/>
      <w:r w:rsidRPr="00AA215C">
        <w:rPr>
          <w:b/>
          <w:bCs/>
          <w:sz w:val="24"/>
          <w:szCs w:val="24"/>
          <w:lang w:val="en-US"/>
        </w:rPr>
        <w:t>?</w:t>
      </w:r>
    </w:p>
    <w:p w14:paraId="3F2C1B48" w14:textId="77777777" w:rsidR="00226F6F" w:rsidRPr="00996921" w:rsidRDefault="00226F6F" w:rsidP="00226F6F">
      <w:pPr>
        <w:pBdr>
          <w:top w:val="nil"/>
          <w:left w:val="nil"/>
          <w:bottom w:val="nil"/>
          <w:right w:val="nil"/>
          <w:between w:val="nil"/>
          <w:bar w:val="nil"/>
        </w:pBdr>
        <w:spacing w:after="0" w:line="280" w:lineRule="exact"/>
        <w:jc w:val="both"/>
        <w:rPr>
          <w:b/>
          <w:bCs/>
          <w:sz w:val="24"/>
          <w:szCs w:val="24"/>
          <w:lang w:val="en-US"/>
        </w:rPr>
      </w:pPr>
    </w:p>
    <w:p w14:paraId="1A1F7EB9" w14:textId="77777777" w:rsidR="00226F6F" w:rsidRDefault="00226F6F" w:rsidP="00226F6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516CCA98" w14:textId="2991CAE0" w:rsidR="008B769D" w:rsidRDefault="004C4E63" w:rsidP="00773513">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i/>
          <w:iCs/>
          <w:lang w:val="en-GB"/>
        </w:rPr>
      </w:pPr>
      <w:r>
        <w:rPr>
          <w:sz w:val="24"/>
          <w:szCs w:val="24"/>
          <w:lang w:val="en-GB"/>
        </w:rPr>
        <w:t xml:space="preserve">Under </w:t>
      </w:r>
      <w:r w:rsidR="00773513" w:rsidRPr="00773513">
        <w:rPr>
          <w:sz w:val="24"/>
          <w:szCs w:val="24"/>
          <w:lang w:val="en-GB"/>
        </w:rPr>
        <w:t xml:space="preserve">ESMA </w:t>
      </w:r>
      <w:r w:rsidR="00EC3CC4">
        <w:rPr>
          <w:sz w:val="24"/>
          <w:szCs w:val="24"/>
          <w:lang w:val="en-GB"/>
        </w:rPr>
        <w:t>G</w:t>
      </w:r>
      <w:r w:rsidR="006F1D4D">
        <w:rPr>
          <w:sz w:val="24"/>
          <w:szCs w:val="24"/>
          <w:lang w:val="en-GB"/>
        </w:rPr>
        <w:t>uidelines</w:t>
      </w:r>
      <w:r w:rsidR="009D7131">
        <w:rPr>
          <w:sz w:val="24"/>
          <w:szCs w:val="24"/>
          <w:lang w:val="en-GB"/>
        </w:rPr>
        <w:t xml:space="preserve"> on stress testing</w:t>
      </w:r>
      <w:r w:rsidR="00EC3CC4">
        <w:rPr>
          <w:rStyle w:val="Rimandonotaapidipagina"/>
          <w:sz w:val="24"/>
          <w:szCs w:val="24"/>
          <w:lang w:val="en-US"/>
        </w:rPr>
        <w:footnoteReference w:id="15"/>
      </w:r>
      <w:r w:rsidR="009D7131">
        <w:rPr>
          <w:sz w:val="24"/>
          <w:szCs w:val="24"/>
          <w:lang w:val="en-GB"/>
        </w:rPr>
        <w:t xml:space="preserve">, </w:t>
      </w:r>
      <w:r w:rsidR="008B769D" w:rsidRPr="00B80C02">
        <w:rPr>
          <w:i/>
          <w:iCs/>
          <w:lang w:val="en-GB"/>
        </w:rPr>
        <w:t xml:space="preserve">“[a] manager should aggregate LST across funds under its management where </w:t>
      </w:r>
      <w:r w:rsidR="008B769D" w:rsidRPr="009B0E34">
        <w:rPr>
          <w:i/>
          <w:iCs/>
          <w:u w:val="single"/>
          <w:lang w:val="en-GB"/>
        </w:rPr>
        <w:t>it assesses such an activity to be appropriate</w:t>
      </w:r>
      <w:r w:rsidR="008B769D" w:rsidRPr="00B80C02">
        <w:rPr>
          <w:i/>
          <w:iCs/>
          <w:lang w:val="en-GB"/>
        </w:rPr>
        <w:t xml:space="preserve"> for those funds”</w:t>
      </w:r>
      <w:r w:rsidR="008B769D">
        <w:rPr>
          <w:i/>
          <w:iCs/>
          <w:lang w:val="en-GB"/>
        </w:rPr>
        <w:t>.</w:t>
      </w:r>
    </w:p>
    <w:p w14:paraId="7A429585" w14:textId="77777777" w:rsidR="008B769D" w:rsidRDefault="008B769D" w:rsidP="00773513">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i/>
          <w:iCs/>
          <w:lang w:val="en-GB"/>
        </w:rPr>
      </w:pPr>
    </w:p>
    <w:p w14:paraId="52658DBD" w14:textId="2256BB7E" w:rsidR="00C70644" w:rsidRPr="009B0E34" w:rsidRDefault="002F3F0D" w:rsidP="00773513">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rFonts w:cs="Arial"/>
          <w:lang w:val="en-US"/>
        </w:rPr>
      </w:pPr>
      <w:r w:rsidRPr="009B0E34">
        <w:rPr>
          <w:sz w:val="24"/>
          <w:szCs w:val="24"/>
          <w:lang w:val="en-GB"/>
        </w:rPr>
        <w:t>Aggregate</w:t>
      </w:r>
      <w:r w:rsidR="008B769D" w:rsidRPr="009B0E34">
        <w:rPr>
          <w:sz w:val="24"/>
          <w:szCs w:val="24"/>
          <w:lang w:val="en-GB"/>
        </w:rPr>
        <w:t xml:space="preserve"> stress testing is not mandatory </w:t>
      </w:r>
      <w:r w:rsidR="001B2EAA" w:rsidRPr="009B0E34">
        <w:rPr>
          <w:sz w:val="24"/>
          <w:szCs w:val="24"/>
          <w:lang w:val="en-GB"/>
        </w:rPr>
        <w:t>as there are</w:t>
      </w:r>
      <w:r w:rsidR="00FD4BF5" w:rsidRPr="009B0E34">
        <w:rPr>
          <w:sz w:val="24"/>
          <w:szCs w:val="24"/>
          <w:lang w:val="en-GB"/>
        </w:rPr>
        <w:t xml:space="preserve"> </w:t>
      </w:r>
      <w:r w:rsidR="00802DA5">
        <w:rPr>
          <w:sz w:val="24"/>
          <w:szCs w:val="24"/>
          <w:lang w:val="en-GB"/>
        </w:rPr>
        <w:t xml:space="preserve">possible </w:t>
      </w:r>
      <w:r w:rsidR="00FD4BF5" w:rsidRPr="009B0E34">
        <w:rPr>
          <w:sz w:val="24"/>
          <w:szCs w:val="24"/>
          <w:lang w:val="en-GB"/>
        </w:rPr>
        <w:t xml:space="preserve">limitation in doing such exercise </w:t>
      </w:r>
      <w:r w:rsidR="00E94620">
        <w:rPr>
          <w:sz w:val="24"/>
          <w:szCs w:val="24"/>
          <w:lang w:val="en-GB"/>
        </w:rPr>
        <w:t xml:space="preserve">(other than </w:t>
      </w:r>
      <w:r w:rsidR="00FD4BF5" w:rsidRPr="009B0E34">
        <w:rPr>
          <w:sz w:val="24"/>
          <w:szCs w:val="24"/>
          <w:lang w:val="en-GB"/>
        </w:rPr>
        <w:t>costs</w:t>
      </w:r>
      <w:r w:rsidR="00E94620">
        <w:rPr>
          <w:sz w:val="24"/>
          <w:szCs w:val="24"/>
          <w:lang w:val="en-GB"/>
        </w:rPr>
        <w:t>)</w:t>
      </w:r>
      <w:r w:rsidR="00FD4BF5" w:rsidRPr="009B0E34">
        <w:rPr>
          <w:sz w:val="24"/>
          <w:szCs w:val="24"/>
          <w:lang w:val="en-GB"/>
        </w:rPr>
        <w:t xml:space="preserve">. </w:t>
      </w:r>
      <w:r w:rsidR="00D81DB4">
        <w:rPr>
          <w:sz w:val="24"/>
          <w:szCs w:val="24"/>
          <w:lang w:val="en-GB"/>
        </w:rPr>
        <w:t>Investment f</w:t>
      </w:r>
      <w:proofErr w:type="spellStart"/>
      <w:r w:rsidR="003327C3" w:rsidRPr="009D3A59">
        <w:rPr>
          <w:sz w:val="24"/>
          <w:szCs w:val="24"/>
          <w:lang w:val="en-US"/>
        </w:rPr>
        <w:t>unds</w:t>
      </w:r>
      <w:proofErr w:type="spellEnd"/>
      <w:r w:rsidR="003327C3" w:rsidRPr="009D3A59">
        <w:rPr>
          <w:sz w:val="24"/>
          <w:szCs w:val="24"/>
          <w:lang w:val="en-US"/>
        </w:rPr>
        <w:t xml:space="preserve"> are set up as separate legal structures managed </w:t>
      </w:r>
      <w:r w:rsidR="00654123">
        <w:rPr>
          <w:sz w:val="24"/>
          <w:szCs w:val="24"/>
          <w:lang w:val="en-US"/>
        </w:rPr>
        <w:t>according to</w:t>
      </w:r>
      <w:r w:rsidR="00145BBF">
        <w:rPr>
          <w:sz w:val="24"/>
          <w:szCs w:val="24"/>
          <w:lang w:val="en-US"/>
        </w:rPr>
        <w:t xml:space="preserve"> their single investment strategies</w:t>
      </w:r>
      <w:r w:rsidR="00654123">
        <w:rPr>
          <w:sz w:val="24"/>
          <w:szCs w:val="24"/>
          <w:lang w:val="en-US"/>
        </w:rPr>
        <w:t xml:space="preserve">, </w:t>
      </w:r>
      <w:r w:rsidR="00514057">
        <w:rPr>
          <w:sz w:val="24"/>
          <w:szCs w:val="24"/>
          <w:lang w:val="en-US"/>
        </w:rPr>
        <w:t>with different risk profile and investor base</w:t>
      </w:r>
      <w:r w:rsidR="003327C3">
        <w:rPr>
          <w:sz w:val="24"/>
          <w:szCs w:val="24"/>
          <w:lang w:val="en-US"/>
        </w:rPr>
        <w:t>.</w:t>
      </w:r>
      <w:r w:rsidR="003327C3" w:rsidRPr="009D3A59">
        <w:rPr>
          <w:sz w:val="24"/>
          <w:szCs w:val="24"/>
          <w:lang w:val="en-US"/>
        </w:rPr>
        <w:t xml:space="preserve"> </w:t>
      </w:r>
      <w:r w:rsidR="006C5E16" w:rsidRPr="00E42F4B">
        <w:rPr>
          <w:sz w:val="24"/>
          <w:szCs w:val="24"/>
          <w:lang w:val="en-GB"/>
        </w:rPr>
        <w:t>Th</w:t>
      </w:r>
      <w:r w:rsidR="00F36BE1">
        <w:rPr>
          <w:sz w:val="24"/>
          <w:szCs w:val="24"/>
          <w:lang w:val="en-GB"/>
        </w:rPr>
        <w:t>erefor a</w:t>
      </w:r>
      <w:r w:rsidR="006C5E16" w:rsidRPr="00E42F4B">
        <w:rPr>
          <w:sz w:val="24"/>
          <w:szCs w:val="24"/>
          <w:lang w:val="en-GB"/>
        </w:rPr>
        <w:t xml:space="preserve"> liquidity ratio of one fund could be enough to fulfil the underling payment obligation of that fund, but for another fund the same liquidity ratio would be not enough because of a different investor structure</w:t>
      </w:r>
      <w:r w:rsidR="009D7C7E">
        <w:rPr>
          <w:sz w:val="24"/>
          <w:szCs w:val="24"/>
          <w:lang w:val="en-GB"/>
        </w:rPr>
        <w:t>, risk profile</w:t>
      </w:r>
      <w:r w:rsidR="006C5E16" w:rsidRPr="00E42F4B">
        <w:rPr>
          <w:sz w:val="24"/>
          <w:szCs w:val="24"/>
          <w:lang w:val="en-GB"/>
        </w:rPr>
        <w:t xml:space="preserve"> or other additional payment obligations resulting of different investment strategies</w:t>
      </w:r>
      <w:r w:rsidR="00E04461">
        <w:rPr>
          <w:sz w:val="24"/>
          <w:szCs w:val="24"/>
          <w:lang w:val="en-GB"/>
        </w:rPr>
        <w:t xml:space="preserve">. </w:t>
      </w:r>
      <w:r w:rsidR="00C70644" w:rsidRPr="009B0E34">
        <w:rPr>
          <w:sz w:val="24"/>
          <w:szCs w:val="24"/>
          <w:lang w:val="en-GB"/>
        </w:rPr>
        <w:t xml:space="preserve">In these cases, the </w:t>
      </w:r>
      <w:proofErr w:type="gramStart"/>
      <w:r w:rsidR="00C70644" w:rsidRPr="009B0E34">
        <w:rPr>
          <w:sz w:val="24"/>
          <w:szCs w:val="24"/>
          <w:lang w:val="en-GB"/>
        </w:rPr>
        <w:t>particular circumstances</w:t>
      </w:r>
      <w:proofErr w:type="gramEnd"/>
      <w:r w:rsidR="00C70644" w:rsidRPr="009B0E34">
        <w:rPr>
          <w:sz w:val="24"/>
          <w:szCs w:val="24"/>
          <w:lang w:val="en-GB"/>
        </w:rPr>
        <w:t xml:space="preserve"> of each fund would need to be looked at in isolation</w:t>
      </w:r>
      <w:r w:rsidR="00C40F2B">
        <w:rPr>
          <w:sz w:val="24"/>
          <w:szCs w:val="24"/>
          <w:lang w:val="en-GB"/>
        </w:rPr>
        <w:t xml:space="preserve"> and </w:t>
      </w:r>
      <w:r w:rsidR="00B97CB8">
        <w:rPr>
          <w:sz w:val="24"/>
          <w:szCs w:val="24"/>
          <w:lang w:val="en-GB"/>
        </w:rPr>
        <w:t xml:space="preserve">the results of </w:t>
      </w:r>
      <w:r w:rsidR="00C40F2B">
        <w:rPr>
          <w:sz w:val="24"/>
          <w:szCs w:val="24"/>
          <w:lang w:val="en-GB"/>
        </w:rPr>
        <w:t xml:space="preserve">aggregate </w:t>
      </w:r>
      <w:r w:rsidR="00EE014B">
        <w:rPr>
          <w:sz w:val="24"/>
          <w:szCs w:val="24"/>
          <w:lang w:val="en-GB"/>
        </w:rPr>
        <w:t xml:space="preserve">LST </w:t>
      </w:r>
      <w:r w:rsidR="00C40F2B">
        <w:rPr>
          <w:sz w:val="24"/>
          <w:szCs w:val="24"/>
          <w:lang w:val="en-GB"/>
        </w:rPr>
        <w:t xml:space="preserve">stress test </w:t>
      </w:r>
      <w:r w:rsidR="008339F5">
        <w:rPr>
          <w:sz w:val="24"/>
          <w:szCs w:val="24"/>
          <w:lang w:val="en-GB"/>
        </w:rPr>
        <w:t>may</w:t>
      </w:r>
      <w:r w:rsidR="00C40F2B">
        <w:rPr>
          <w:sz w:val="24"/>
          <w:szCs w:val="24"/>
          <w:lang w:val="en-GB"/>
        </w:rPr>
        <w:t xml:space="preserve"> </w:t>
      </w:r>
      <w:r w:rsidR="00EE014B">
        <w:rPr>
          <w:sz w:val="24"/>
          <w:szCs w:val="24"/>
          <w:lang w:val="en-GB"/>
        </w:rPr>
        <w:t>be use</w:t>
      </w:r>
      <w:r w:rsidR="00B97CB8">
        <w:rPr>
          <w:sz w:val="24"/>
          <w:szCs w:val="24"/>
          <w:lang w:val="en-GB"/>
        </w:rPr>
        <w:t>l</w:t>
      </w:r>
      <w:r w:rsidR="00EE014B">
        <w:rPr>
          <w:sz w:val="24"/>
          <w:szCs w:val="24"/>
          <w:lang w:val="en-GB"/>
        </w:rPr>
        <w:t>ess.</w:t>
      </w:r>
    </w:p>
    <w:p w14:paraId="2BB1132F" w14:textId="77777777" w:rsidR="00C70644" w:rsidRDefault="00C70644" w:rsidP="00773513">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GB"/>
        </w:rPr>
      </w:pPr>
    </w:p>
    <w:p w14:paraId="41B7660B" w14:textId="77777777" w:rsidR="00226F6F" w:rsidRPr="00996921" w:rsidRDefault="00226F6F" w:rsidP="00226F6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33D2855F" w14:textId="77777777" w:rsidR="00226F6F" w:rsidRDefault="00226F6F" w:rsidP="001C776B">
      <w:pPr>
        <w:pBdr>
          <w:top w:val="nil"/>
          <w:left w:val="nil"/>
          <w:bottom w:val="nil"/>
          <w:right w:val="nil"/>
          <w:between w:val="nil"/>
          <w:bar w:val="nil"/>
        </w:pBdr>
        <w:spacing w:after="0" w:line="280" w:lineRule="exact"/>
        <w:jc w:val="both"/>
        <w:rPr>
          <w:b/>
          <w:bCs/>
          <w:sz w:val="24"/>
          <w:szCs w:val="24"/>
          <w:lang w:val="en-US"/>
        </w:rPr>
      </w:pPr>
    </w:p>
    <w:p w14:paraId="0D261E6D" w14:textId="77777777" w:rsidR="00D4183B" w:rsidRDefault="00D4183B" w:rsidP="001C776B">
      <w:pPr>
        <w:pBdr>
          <w:top w:val="nil"/>
          <w:left w:val="nil"/>
          <w:bottom w:val="nil"/>
          <w:right w:val="nil"/>
          <w:between w:val="nil"/>
          <w:bar w:val="nil"/>
        </w:pBdr>
        <w:spacing w:after="0" w:line="280" w:lineRule="exact"/>
        <w:jc w:val="both"/>
        <w:rPr>
          <w:b/>
          <w:bCs/>
          <w:sz w:val="24"/>
          <w:szCs w:val="24"/>
          <w:lang w:val="en-US"/>
        </w:rPr>
      </w:pPr>
    </w:p>
    <w:p w14:paraId="2CB88DFE" w14:textId="4EFE36F8" w:rsidR="00226F6F" w:rsidRDefault="00D4183B" w:rsidP="001C776B">
      <w:pPr>
        <w:pBdr>
          <w:top w:val="nil"/>
          <w:left w:val="nil"/>
          <w:bottom w:val="nil"/>
          <w:right w:val="nil"/>
          <w:between w:val="nil"/>
          <w:bar w:val="nil"/>
        </w:pBdr>
        <w:spacing w:after="0" w:line="280" w:lineRule="exact"/>
        <w:jc w:val="both"/>
        <w:rPr>
          <w:b/>
          <w:bCs/>
          <w:sz w:val="24"/>
          <w:szCs w:val="24"/>
          <w:u w:val="single"/>
          <w:lang w:val="en-US"/>
        </w:rPr>
      </w:pPr>
      <w:r w:rsidRPr="00D4183B">
        <w:rPr>
          <w:b/>
          <w:bCs/>
          <w:sz w:val="24"/>
          <w:szCs w:val="24"/>
          <w:u w:val="single"/>
          <w:lang w:val="en-US"/>
        </w:rPr>
        <w:t>3.3 Other NBFIs and markets</w:t>
      </w:r>
    </w:p>
    <w:p w14:paraId="204CD7D0" w14:textId="77777777" w:rsidR="00D4183B" w:rsidRDefault="00D4183B" w:rsidP="001C776B">
      <w:pPr>
        <w:pBdr>
          <w:top w:val="nil"/>
          <w:left w:val="nil"/>
          <w:bottom w:val="nil"/>
          <w:right w:val="nil"/>
          <w:between w:val="nil"/>
          <w:bar w:val="nil"/>
        </w:pBdr>
        <w:spacing w:after="0" w:line="280" w:lineRule="exact"/>
        <w:jc w:val="both"/>
        <w:rPr>
          <w:b/>
          <w:bCs/>
          <w:sz w:val="24"/>
          <w:szCs w:val="24"/>
          <w:lang w:val="en-US"/>
        </w:rPr>
      </w:pPr>
    </w:p>
    <w:p w14:paraId="065F93C6" w14:textId="77777777" w:rsidR="00610932" w:rsidRPr="00610932" w:rsidRDefault="00610932" w:rsidP="001C776B">
      <w:pPr>
        <w:pBdr>
          <w:top w:val="nil"/>
          <w:left w:val="nil"/>
          <w:bottom w:val="nil"/>
          <w:right w:val="nil"/>
          <w:between w:val="nil"/>
          <w:bar w:val="nil"/>
        </w:pBdr>
        <w:spacing w:after="0" w:line="280" w:lineRule="exact"/>
        <w:jc w:val="both"/>
        <w:rPr>
          <w:b/>
          <w:bCs/>
          <w:i/>
          <w:iCs/>
          <w:sz w:val="24"/>
          <w:szCs w:val="24"/>
          <w:lang w:val="en-US"/>
        </w:rPr>
      </w:pPr>
      <w:r w:rsidRPr="00610932">
        <w:rPr>
          <w:b/>
          <w:bCs/>
          <w:i/>
          <w:iCs/>
          <w:sz w:val="24"/>
          <w:szCs w:val="24"/>
          <w:lang w:val="en-US"/>
        </w:rPr>
        <w:t>Other NBFIs</w:t>
      </w:r>
    </w:p>
    <w:p w14:paraId="18EC91C9" w14:textId="77777777" w:rsidR="00610932" w:rsidRDefault="00610932" w:rsidP="001C776B">
      <w:pPr>
        <w:pBdr>
          <w:top w:val="nil"/>
          <w:left w:val="nil"/>
          <w:bottom w:val="nil"/>
          <w:right w:val="nil"/>
          <w:between w:val="nil"/>
          <w:bar w:val="nil"/>
        </w:pBdr>
        <w:spacing w:after="0" w:line="280" w:lineRule="exact"/>
        <w:jc w:val="both"/>
        <w:rPr>
          <w:b/>
          <w:bCs/>
          <w:sz w:val="24"/>
          <w:szCs w:val="24"/>
          <w:lang w:val="en-US"/>
        </w:rPr>
      </w:pPr>
    </w:p>
    <w:p w14:paraId="1BB4C283" w14:textId="7177B877" w:rsidR="00610932" w:rsidRDefault="00610932" w:rsidP="001C776B">
      <w:pPr>
        <w:pBdr>
          <w:top w:val="nil"/>
          <w:left w:val="nil"/>
          <w:bottom w:val="nil"/>
          <w:right w:val="nil"/>
          <w:between w:val="nil"/>
          <w:bar w:val="nil"/>
        </w:pBdr>
        <w:spacing w:after="0" w:line="280" w:lineRule="exact"/>
        <w:jc w:val="both"/>
        <w:rPr>
          <w:b/>
          <w:bCs/>
          <w:sz w:val="24"/>
          <w:szCs w:val="24"/>
          <w:lang w:val="en-US"/>
        </w:rPr>
      </w:pPr>
      <w:r w:rsidRPr="00610932">
        <w:rPr>
          <w:b/>
          <w:bCs/>
          <w:sz w:val="24"/>
          <w:szCs w:val="24"/>
          <w:lang w:val="en-US"/>
        </w:rPr>
        <w:t xml:space="preserve">Question 26. What are your views on the preparedness of NBFIs operating in the EU in meeting margin calls, and on </w:t>
      </w:r>
      <w:proofErr w:type="gramStart"/>
      <w:r w:rsidRPr="00610932">
        <w:rPr>
          <w:b/>
          <w:bCs/>
          <w:sz w:val="24"/>
          <w:szCs w:val="24"/>
          <w:lang w:val="en-US"/>
        </w:rPr>
        <w:t>the ways</w:t>
      </w:r>
      <w:proofErr w:type="gramEnd"/>
      <w:r w:rsidRPr="00610932">
        <w:rPr>
          <w:b/>
          <w:bCs/>
          <w:sz w:val="24"/>
          <w:szCs w:val="24"/>
          <w:lang w:val="en-US"/>
        </w:rPr>
        <w:t xml:space="preserve"> to improve preparedness, </w:t>
      </w:r>
      <w:proofErr w:type="gramStart"/>
      <w:r w:rsidRPr="00610932">
        <w:rPr>
          <w:b/>
          <w:bCs/>
          <w:sz w:val="24"/>
          <w:szCs w:val="24"/>
          <w:lang w:val="en-US"/>
        </w:rPr>
        <w:t>taking into account</w:t>
      </w:r>
      <w:proofErr w:type="gramEnd"/>
      <w:r w:rsidRPr="00610932">
        <w:rPr>
          <w:b/>
          <w:bCs/>
          <w:sz w:val="24"/>
          <w:szCs w:val="24"/>
          <w:lang w:val="en-US"/>
        </w:rPr>
        <w:t xml:space="preserve"> existing or recently agreed EU measures aimed at addressing this issue? Please specify the NBFI sector(s) you refer to in your answer?</w:t>
      </w:r>
    </w:p>
    <w:p w14:paraId="410BCA1D" w14:textId="77777777" w:rsidR="00610932" w:rsidRPr="00610932" w:rsidRDefault="00610932" w:rsidP="001C776B">
      <w:pPr>
        <w:pBdr>
          <w:top w:val="nil"/>
          <w:left w:val="nil"/>
          <w:bottom w:val="nil"/>
          <w:right w:val="nil"/>
          <w:between w:val="nil"/>
          <w:bar w:val="nil"/>
        </w:pBdr>
        <w:spacing w:after="0" w:line="280" w:lineRule="exact"/>
        <w:jc w:val="both"/>
        <w:rPr>
          <w:b/>
          <w:bCs/>
          <w:sz w:val="24"/>
          <w:szCs w:val="24"/>
          <w:lang w:val="en-US"/>
        </w:rPr>
      </w:pPr>
    </w:p>
    <w:p w14:paraId="0096DC2F" w14:textId="77777777" w:rsidR="00610932" w:rsidRDefault="00610932" w:rsidP="001C776B">
      <w:pPr>
        <w:pBdr>
          <w:top w:val="nil"/>
          <w:left w:val="nil"/>
          <w:bottom w:val="nil"/>
          <w:right w:val="nil"/>
          <w:between w:val="nil"/>
          <w:bar w:val="nil"/>
        </w:pBdr>
        <w:spacing w:after="0" w:line="280" w:lineRule="exact"/>
        <w:jc w:val="both"/>
        <w:rPr>
          <w:b/>
          <w:bCs/>
          <w:sz w:val="24"/>
          <w:szCs w:val="24"/>
          <w:lang w:val="en-US"/>
        </w:rPr>
      </w:pPr>
      <w:r w:rsidRPr="00610932">
        <w:rPr>
          <w:b/>
          <w:bCs/>
          <w:sz w:val="24"/>
          <w:szCs w:val="24"/>
          <w:lang w:val="en-US"/>
        </w:rPr>
        <w:t>Question 27. What are relevant risk metrics or tools that can be used to effectively monitor liquidity and margin preparedness across all NBFI entity types? Please provide examples specifying the sector you refer to.</w:t>
      </w:r>
    </w:p>
    <w:p w14:paraId="7977C090" w14:textId="77777777" w:rsidR="00610932" w:rsidRPr="00610932" w:rsidRDefault="00610932" w:rsidP="001C776B">
      <w:pPr>
        <w:pBdr>
          <w:top w:val="nil"/>
          <w:left w:val="nil"/>
          <w:bottom w:val="nil"/>
          <w:right w:val="nil"/>
          <w:between w:val="nil"/>
          <w:bar w:val="nil"/>
        </w:pBdr>
        <w:spacing w:after="0" w:line="280" w:lineRule="exact"/>
        <w:jc w:val="both"/>
        <w:rPr>
          <w:b/>
          <w:bCs/>
          <w:sz w:val="24"/>
          <w:szCs w:val="24"/>
          <w:lang w:val="en-US"/>
        </w:rPr>
      </w:pPr>
    </w:p>
    <w:p w14:paraId="36899A37" w14:textId="77777777" w:rsidR="00610932" w:rsidRPr="00610932" w:rsidRDefault="00610932" w:rsidP="001C776B">
      <w:pPr>
        <w:pBdr>
          <w:top w:val="nil"/>
          <w:left w:val="nil"/>
          <w:bottom w:val="nil"/>
          <w:right w:val="nil"/>
          <w:between w:val="nil"/>
          <w:bar w:val="nil"/>
        </w:pBdr>
        <w:spacing w:after="0" w:line="280" w:lineRule="exact"/>
        <w:jc w:val="both"/>
        <w:rPr>
          <w:b/>
          <w:bCs/>
          <w:i/>
          <w:iCs/>
          <w:sz w:val="24"/>
          <w:szCs w:val="24"/>
          <w:lang w:val="en-US"/>
        </w:rPr>
      </w:pPr>
      <w:r w:rsidRPr="00610932">
        <w:rPr>
          <w:b/>
          <w:bCs/>
          <w:i/>
          <w:iCs/>
          <w:sz w:val="24"/>
          <w:szCs w:val="24"/>
          <w:lang w:val="en-US"/>
        </w:rPr>
        <w:t>Pension Funds</w:t>
      </w:r>
    </w:p>
    <w:p w14:paraId="1E68B4FB" w14:textId="77777777" w:rsidR="00610932" w:rsidRPr="00610932" w:rsidRDefault="00610932" w:rsidP="001C776B">
      <w:pPr>
        <w:pBdr>
          <w:top w:val="nil"/>
          <w:left w:val="nil"/>
          <w:bottom w:val="nil"/>
          <w:right w:val="nil"/>
          <w:between w:val="nil"/>
          <w:bar w:val="nil"/>
        </w:pBdr>
        <w:spacing w:after="0" w:line="280" w:lineRule="exact"/>
        <w:jc w:val="both"/>
        <w:rPr>
          <w:b/>
          <w:bCs/>
          <w:sz w:val="24"/>
          <w:szCs w:val="24"/>
          <w:lang w:val="en-US"/>
        </w:rPr>
      </w:pPr>
    </w:p>
    <w:p w14:paraId="57EE1116" w14:textId="77777777" w:rsidR="00610932" w:rsidRDefault="00610932" w:rsidP="001C776B">
      <w:pPr>
        <w:pBdr>
          <w:top w:val="nil"/>
          <w:left w:val="nil"/>
          <w:bottom w:val="nil"/>
          <w:right w:val="nil"/>
          <w:between w:val="nil"/>
          <w:bar w:val="nil"/>
        </w:pBdr>
        <w:spacing w:after="0" w:line="280" w:lineRule="exact"/>
        <w:jc w:val="both"/>
        <w:rPr>
          <w:b/>
          <w:bCs/>
          <w:sz w:val="24"/>
          <w:szCs w:val="24"/>
          <w:lang w:val="en-US"/>
        </w:rPr>
      </w:pPr>
      <w:r w:rsidRPr="00610932">
        <w:rPr>
          <w:b/>
          <w:bCs/>
          <w:sz w:val="24"/>
          <w:szCs w:val="24"/>
          <w:lang w:val="en-US"/>
        </w:rPr>
        <w:t xml:space="preserve">Question 28. How can current reporting by pension funds be improved to improve the supervision of liquidity risks (e.g. stemming from exposure to LDI funds, other funds or derivatives), while </w:t>
      </w:r>
      <w:proofErr w:type="spellStart"/>
      <w:r w:rsidRPr="00610932">
        <w:rPr>
          <w:b/>
          <w:bCs/>
          <w:sz w:val="24"/>
          <w:szCs w:val="24"/>
          <w:lang w:val="en-US"/>
        </w:rPr>
        <w:t>minimising</w:t>
      </w:r>
      <w:proofErr w:type="spellEnd"/>
      <w:r w:rsidRPr="00610932">
        <w:rPr>
          <w:b/>
          <w:bCs/>
          <w:sz w:val="24"/>
          <w:szCs w:val="24"/>
          <w:lang w:val="en-US"/>
        </w:rPr>
        <w:t xml:space="preserve"> the reporting burden? What can be done to ensure effective look-through capability and the ability to measure the impact of unexpected margin calls? Please provide examples also for other NBFI sectors.</w:t>
      </w:r>
    </w:p>
    <w:p w14:paraId="704F1E92" w14:textId="77777777" w:rsidR="00610932" w:rsidRPr="00610932" w:rsidRDefault="00610932" w:rsidP="001C776B">
      <w:pPr>
        <w:pBdr>
          <w:top w:val="nil"/>
          <w:left w:val="nil"/>
          <w:bottom w:val="nil"/>
          <w:right w:val="nil"/>
          <w:between w:val="nil"/>
          <w:bar w:val="nil"/>
        </w:pBdr>
        <w:spacing w:after="0" w:line="280" w:lineRule="exact"/>
        <w:jc w:val="both"/>
        <w:rPr>
          <w:b/>
          <w:bCs/>
          <w:sz w:val="24"/>
          <w:szCs w:val="24"/>
          <w:lang w:val="en-US"/>
        </w:rPr>
      </w:pPr>
    </w:p>
    <w:p w14:paraId="63126DE1" w14:textId="77777777" w:rsidR="00610932" w:rsidRDefault="00610932" w:rsidP="001C776B">
      <w:pPr>
        <w:pBdr>
          <w:top w:val="nil"/>
          <w:left w:val="nil"/>
          <w:bottom w:val="nil"/>
          <w:right w:val="nil"/>
          <w:between w:val="nil"/>
          <w:bar w:val="nil"/>
        </w:pBdr>
        <w:spacing w:after="0" w:line="280" w:lineRule="exact"/>
        <w:jc w:val="both"/>
        <w:rPr>
          <w:b/>
          <w:bCs/>
          <w:sz w:val="24"/>
          <w:szCs w:val="24"/>
          <w:lang w:val="en-US"/>
        </w:rPr>
      </w:pPr>
      <w:r w:rsidRPr="00610932">
        <w:rPr>
          <w:b/>
          <w:bCs/>
          <w:sz w:val="24"/>
          <w:szCs w:val="24"/>
          <w:lang w:val="en-US"/>
        </w:rPr>
        <w:t>Question 29. What would be the benefits and costs of a regular EU-wide liquidity stress test for pension funds and with what frequency? What should be the role of EU authorities in the preparation and execution of such liquidity stress tests?</w:t>
      </w:r>
    </w:p>
    <w:p w14:paraId="1D04EBEE" w14:textId="77777777" w:rsidR="00610932" w:rsidRPr="00610932" w:rsidRDefault="00610932" w:rsidP="001C776B">
      <w:pPr>
        <w:pBdr>
          <w:top w:val="nil"/>
          <w:left w:val="nil"/>
          <w:bottom w:val="nil"/>
          <w:right w:val="nil"/>
          <w:between w:val="nil"/>
          <w:bar w:val="nil"/>
        </w:pBdr>
        <w:spacing w:after="0" w:line="280" w:lineRule="exact"/>
        <w:jc w:val="both"/>
        <w:rPr>
          <w:b/>
          <w:bCs/>
          <w:sz w:val="24"/>
          <w:szCs w:val="24"/>
          <w:lang w:val="en-US"/>
        </w:rPr>
      </w:pPr>
    </w:p>
    <w:p w14:paraId="550E385D" w14:textId="77777777" w:rsidR="00610932" w:rsidRPr="00610932" w:rsidRDefault="00610932" w:rsidP="001C776B">
      <w:pPr>
        <w:pBdr>
          <w:top w:val="nil"/>
          <w:left w:val="nil"/>
          <w:bottom w:val="nil"/>
          <w:right w:val="nil"/>
          <w:between w:val="nil"/>
          <w:bar w:val="nil"/>
        </w:pBdr>
        <w:spacing w:after="0" w:line="280" w:lineRule="exact"/>
        <w:jc w:val="both"/>
        <w:rPr>
          <w:b/>
          <w:bCs/>
          <w:i/>
          <w:iCs/>
          <w:sz w:val="24"/>
          <w:szCs w:val="24"/>
          <w:lang w:val="en-US"/>
        </w:rPr>
      </w:pPr>
      <w:r w:rsidRPr="00610932">
        <w:rPr>
          <w:b/>
          <w:bCs/>
          <w:i/>
          <w:iCs/>
          <w:sz w:val="24"/>
          <w:szCs w:val="24"/>
          <w:lang w:val="en-US"/>
        </w:rPr>
        <w:t>Short-term funding markets</w:t>
      </w:r>
    </w:p>
    <w:p w14:paraId="6922B266" w14:textId="77777777" w:rsidR="00610932" w:rsidRPr="00610932" w:rsidRDefault="00610932" w:rsidP="001C776B">
      <w:pPr>
        <w:pBdr>
          <w:top w:val="nil"/>
          <w:left w:val="nil"/>
          <w:bottom w:val="nil"/>
          <w:right w:val="nil"/>
          <w:between w:val="nil"/>
          <w:bar w:val="nil"/>
        </w:pBdr>
        <w:spacing w:after="0" w:line="280" w:lineRule="exact"/>
        <w:jc w:val="both"/>
        <w:rPr>
          <w:b/>
          <w:bCs/>
          <w:sz w:val="24"/>
          <w:szCs w:val="24"/>
          <w:lang w:val="en-US"/>
        </w:rPr>
      </w:pPr>
    </w:p>
    <w:p w14:paraId="4E1AAFBF" w14:textId="3CBF1EAF" w:rsidR="00D4183B" w:rsidRDefault="00610932" w:rsidP="001C776B">
      <w:pPr>
        <w:pBdr>
          <w:top w:val="nil"/>
          <w:left w:val="nil"/>
          <w:bottom w:val="nil"/>
          <w:right w:val="nil"/>
          <w:between w:val="nil"/>
          <w:bar w:val="nil"/>
        </w:pBdr>
        <w:spacing w:after="0" w:line="280" w:lineRule="exact"/>
        <w:jc w:val="both"/>
        <w:rPr>
          <w:b/>
          <w:bCs/>
          <w:sz w:val="24"/>
          <w:szCs w:val="24"/>
          <w:lang w:val="en-US"/>
        </w:rPr>
      </w:pPr>
      <w:r w:rsidRPr="00610932">
        <w:rPr>
          <w:b/>
          <w:bCs/>
          <w:sz w:val="24"/>
          <w:szCs w:val="24"/>
          <w:lang w:val="en-US"/>
        </w:rPr>
        <w:t>Question 30. What would be the benefits and costs of creating a framework or a label in EU legislation for certain money market instruments (such as commercial papers) to increase</w:t>
      </w:r>
      <w:r w:rsidR="00E20828">
        <w:rPr>
          <w:b/>
          <w:bCs/>
          <w:sz w:val="24"/>
          <w:szCs w:val="24"/>
          <w:lang w:val="en-US"/>
        </w:rPr>
        <w:t xml:space="preserve"> </w:t>
      </w:r>
      <w:r w:rsidRPr="00610932">
        <w:rPr>
          <w:b/>
          <w:bCs/>
          <w:sz w:val="24"/>
          <w:szCs w:val="24"/>
          <w:lang w:val="en-US"/>
        </w:rPr>
        <w:t xml:space="preserve">transparency and </w:t>
      </w:r>
      <w:proofErr w:type="spellStart"/>
      <w:r w:rsidRPr="00610932">
        <w:rPr>
          <w:b/>
          <w:bCs/>
          <w:sz w:val="24"/>
          <w:szCs w:val="24"/>
          <w:lang w:val="en-US"/>
        </w:rPr>
        <w:t>standardisation</w:t>
      </w:r>
      <w:proofErr w:type="spellEnd"/>
      <w:r w:rsidRPr="00610932">
        <w:rPr>
          <w:b/>
          <w:bCs/>
          <w:sz w:val="24"/>
          <w:szCs w:val="24"/>
          <w:lang w:val="en-US"/>
        </w:rPr>
        <w:t>? Should the scope of eligible instruments to such framework/label be aligned with Article 3 of Directive 2007/16/EC60? If not, please suggest what criteria would you consider for identification of eligible instruments.</w:t>
      </w:r>
    </w:p>
    <w:p w14:paraId="712D2D80" w14:textId="77777777" w:rsidR="00E20828" w:rsidRDefault="00E20828" w:rsidP="001C776B">
      <w:pPr>
        <w:pBdr>
          <w:top w:val="nil"/>
          <w:left w:val="nil"/>
          <w:bottom w:val="nil"/>
          <w:right w:val="nil"/>
          <w:between w:val="nil"/>
          <w:bar w:val="nil"/>
        </w:pBdr>
        <w:spacing w:after="0" w:line="280" w:lineRule="exact"/>
        <w:jc w:val="both"/>
        <w:rPr>
          <w:b/>
          <w:bCs/>
          <w:sz w:val="24"/>
          <w:szCs w:val="24"/>
          <w:lang w:val="en-US"/>
        </w:rPr>
      </w:pPr>
    </w:p>
    <w:p w14:paraId="38E4B424" w14:textId="77777777" w:rsidR="00E20828" w:rsidRDefault="00E20828" w:rsidP="001C776B">
      <w:pPr>
        <w:pBdr>
          <w:top w:val="nil"/>
          <w:left w:val="nil"/>
          <w:bottom w:val="nil"/>
          <w:right w:val="nil"/>
          <w:between w:val="nil"/>
          <w:bar w:val="nil"/>
        </w:pBdr>
        <w:spacing w:after="0" w:line="280" w:lineRule="exact"/>
        <w:jc w:val="both"/>
        <w:rPr>
          <w:b/>
          <w:bCs/>
          <w:sz w:val="24"/>
          <w:szCs w:val="24"/>
          <w:lang w:val="en-US"/>
        </w:rPr>
      </w:pPr>
      <w:r w:rsidRPr="00E20828">
        <w:rPr>
          <w:b/>
          <w:bCs/>
          <w:sz w:val="24"/>
          <w:szCs w:val="24"/>
          <w:lang w:val="en-US"/>
        </w:rPr>
        <w:t xml:space="preserve">Question 31. Would the presence of a wider range of issuers (notably smaller issuers) to fund themselves </w:t>
      </w:r>
      <w:proofErr w:type="gramStart"/>
      <w:r w:rsidRPr="00E20828">
        <w:rPr>
          <w:b/>
          <w:bCs/>
          <w:sz w:val="24"/>
          <w:szCs w:val="24"/>
          <w:lang w:val="en-US"/>
        </w:rPr>
        <w:t>on</w:t>
      </w:r>
      <w:proofErr w:type="gramEnd"/>
      <w:r w:rsidRPr="00E20828">
        <w:rPr>
          <w:b/>
          <w:bCs/>
          <w:sz w:val="24"/>
          <w:szCs w:val="24"/>
          <w:lang w:val="en-US"/>
        </w:rPr>
        <w:t xml:space="preserve"> this market, and therefore diversify their funding sources, be beneficial or detrimental to financial stability?</w:t>
      </w:r>
    </w:p>
    <w:p w14:paraId="2957B745" w14:textId="77777777" w:rsidR="00E20828" w:rsidRPr="00E20828" w:rsidRDefault="00E20828" w:rsidP="001C776B">
      <w:pPr>
        <w:pBdr>
          <w:top w:val="nil"/>
          <w:left w:val="nil"/>
          <w:bottom w:val="nil"/>
          <w:right w:val="nil"/>
          <w:between w:val="nil"/>
          <w:bar w:val="nil"/>
        </w:pBdr>
        <w:spacing w:after="0" w:line="280" w:lineRule="exact"/>
        <w:jc w:val="both"/>
        <w:rPr>
          <w:b/>
          <w:bCs/>
          <w:sz w:val="24"/>
          <w:szCs w:val="24"/>
          <w:lang w:val="en-US"/>
        </w:rPr>
      </w:pPr>
    </w:p>
    <w:p w14:paraId="38DF883E" w14:textId="77777777" w:rsidR="00E20828" w:rsidRDefault="00E20828" w:rsidP="001C776B">
      <w:pPr>
        <w:pBdr>
          <w:top w:val="nil"/>
          <w:left w:val="nil"/>
          <w:bottom w:val="nil"/>
          <w:right w:val="nil"/>
          <w:between w:val="nil"/>
          <w:bar w:val="nil"/>
        </w:pBdr>
        <w:spacing w:after="0" w:line="280" w:lineRule="exact"/>
        <w:jc w:val="both"/>
        <w:rPr>
          <w:b/>
          <w:bCs/>
          <w:sz w:val="24"/>
          <w:szCs w:val="24"/>
          <w:lang w:val="en-US"/>
        </w:rPr>
      </w:pPr>
      <w:r w:rsidRPr="00E20828">
        <w:rPr>
          <w:b/>
          <w:bCs/>
          <w:sz w:val="24"/>
          <w:szCs w:val="24"/>
          <w:lang w:val="en-US"/>
        </w:rPr>
        <w:t>Question 32. What are your views on why euro-denominated commercial papers are in large part issued in the ‘EUR-CP’ commercial paper market outside the EU? What risks do you identify? Please provide quantitative and qualitative evidence, if possible.</w:t>
      </w:r>
    </w:p>
    <w:p w14:paraId="22852E2C" w14:textId="77777777" w:rsidR="00E20828" w:rsidRPr="00E20828" w:rsidRDefault="00E20828" w:rsidP="001C776B">
      <w:pPr>
        <w:pBdr>
          <w:top w:val="nil"/>
          <w:left w:val="nil"/>
          <w:bottom w:val="nil"/>
          <w:right w:val="nil"/>
          <w:between w:val="nil"/>
          <w:bar w:val="nil"/>
        </w:pBdr>
        <w:spacing w:after="0" w:line="280" w:lineRule="exact"/>
        <w:jc w:val="both"/>
        <w:rPr>
          <w:b/>
          <w:bCs/>
          <w:sz w:val="24"/>
          <w:szCs w:val="24"/>
          <w:lang w:val="en-US"/>
        </w:rPr>
      </w:pPr>
    </w:p>
    <w:p w14:paraId="727A9115" w14:textId="77777777" w:rsidR="00E20828" w:rsidRDefault="00E20828" w:rsidP="001C776B">
      <w:pPr>
        <w:pBdr>
          <w:top w:val="nil"/>
          <w:left w:val="nil"/>
          <w:bottom w:val="nil"/>
          <w:right w:val="nil"/>
          <w:between w:val="nil"/>
          <w:bar w:val="nil"/>
        </w:pBdr>
        <w:spacing w:after="0" w:line="280" w:lineRule="exact"/>
        <w:jc w:val="both"/>
        <w:rPr>
          <w:b/>
          <w:bCs/>
          <w:sz w:val="24"/>
          <w:szCs w:val="24"/>
          <w:lang w:val="en-US"/>
        </w:rPr>
      </w:pPr>
      <w:r w:rsidRPr="00E20828">
        <w:rPr>
          <w:b/>
          <w:bCs/>
          <w:sz w:val="24"/>
          <w:szCs w:val="24"/>
          <w:lang w:val="en-US"/>
        </w:rPr>
        <w:t>Question 33. What could be done to improve the liquidity of secondary markets in commercial papers and certificates of deposits?</w:t>
      </w:r>
    </w:p>
    <w:p w14:paraId="132ABF98" w14:textId="77777777" w:rsidR="00E20828" w:rsidRPr="00E20828" w:rsidRDefault="00E20828" w:rsidP="001C776B">
      <w:pPr>
        <w:pBdr>
          <w:top w:val="nil"/>
          <w:left w:val="nil"/>
          <w:bottom w:val="nil"/>
          <w:right w:val="nil"/>
          <w:between w:val="nil"/>
          <w:bar w:val="nil"/>
        </w:pBdr>
        <w:spacing w:after="0" w:line="280" w:lineRule="exact"/>
        <w:jc w:val="both"/>
        <w:rPr>
          <w:b/>
          <w:bCs/>
          <w:sz w:val="24"/>
          <w:szCs w:val="24"/>
          <w:lang w:val="en-US"/>
        </w:rPr>
      </w:pPr>
    </w:p>
    <w:p w14:paraId="631CB54F" w14:textId="77777777" w:rsidR="00E20828" w:rsidRDefault="00E20828" w:rsidP="001C776B">
      <w:pPr>
        <w:pBdr>
          <w:top w:val="nil"/>
          <w:left w:val="nil"/>
          <w:bottom w:val="nil"/>
          <w:right w:val="nil"/>
          <w:between w:val="nil"/>
          <w:bar w:val="nil"/>
        </w:pBdr>
        <w:spacing w:after="0" w:line="280" w:lineRule="exact"/>
        <w:jc w:val="both"/>
        <w:rPr>
          <w:b/>
          <w:bCs/>
          <w:sz w:val="24"/>
          <w:szCs w:val="24"/>
          <w:lang w:val="en-US"/>
        </w:rPr>
      </w:pPr>
      <w:r w:rsidRPr="00E20828">
        <w:rPr>
          <w:b/>
          <w:bCs/>
          <w:sz w:val="24"/>
          <w:szCs w:val="24"/>
          <w:lang w:val="en-US"/>
        </w:rPr>
        <w:t>Question 34. Considering market practice today, is the maturity threshold for ‘money market instruments’ (up to 397 days) in the Eligible Asset Directive 2007/16 sufficiently calibrated for these short-term funding markets?</w:t>
      </w:r>
    </w:p>
    <w:p w14:paraId="5ACA8407" w14:textId="77777777" w:rsidR="00E20828" w:rsidRPr="00E20828" w:rsidRDefault="00E20828" w:rsidP="001C776B">
      <w:pPr>
        <w:pBdr>
          <w:top w:val="nil"/>
          <w:left w:val="nil"/>
          <w:bottom w:val="nil"/>
          <w:right w:val="nil"/>
          <w:between w:val="nil"/>
          <w:bar w:val="nil"/>
        </w:pBdr>
        <w:spacing w:after="0" w:line="280" w:lineRule="exact"/>
        <w:jc w:val="both"/>
        <w:rPr>
          <w:b/>
          <w:bCs/>
          <w:sz w:val="24"/>
          <w:szCs w:val="24"/>
          <w:lang w:val="en-US"/>
        </w:rPr>
      </w:pPr>
    </w:p>
    <w:p w14:paraId="5F647A14" w14:textId="77777777" w:rsidR="00E20828" w:rsidRDefault="00E20828" w:rsidP="001C776B">
      <w:pPr>
        <w:pBdr>
          <w:top w:val="nil"/>
          <w:left w:val="nil"/>
          <w:bottom w:val="nil"/>
          <w:right w:val="nil"/>
          <w:between w:val="nil"/>
          <w:bar w:val="nil"/>
        </w:pBdr>
        <w:spacing w:after="0" w:line="280" w:lineRule="exact"/>
        <w:jc w:val="both"/>
        <w:rPr>
          <w:b/>
          <w:bCs/>
          <w:sz w:val="24"/>
          <w:szCs w:val="24"/>
          <w:lang w:val="en-US"/>
        </w:rPr>
      </w:pPr>
      <w:r w:rsidRPr="00E20828">
        <w:rPr>
          <w:b/>
          <w:bCs/>
          <w:sz w:val="24"/>
          <w:szCs w:val="24"/>
          <w:lang w:val="en-US"/>
        </w:rPr>
        <w:t>Question 35. Do you think there is a risk with the high concentration of this market in a few investors (MMF and banks)? Please elaborate.</w:t>
      </w:r>
    </w:p>
    <w:p w14:paraId="4B90276E" w14:textId="77777777" w:rsidR="00E20828" w:rsidRPr="00E20828" w:rsidRDefault="00E20828" w:rsidP="001C776B">
      <w:pPr>
        <w:pBdr>
          <w:top w:val="nil"/>
          <w:left w:val="nil"/>
          <w:bottom w:val="nil"/>
          <w:right w:val="nil"/>
          <w:between w:val="nil"/>
          <w:bar w:val="nil"/>
        </w:pBdr>
        <w:spacing w:after="0" w:line="280" w:lineRule="exact"/>
        <w:jc w:val="both"/>
        <w:rPr>
          <w:b/>
          <w:bCs/>
          <w:sz w:val="24"/>
          <w:szCs w:val="24"/>
          <w:lang w:val="en-US"/>
        </w:rPr>
      </w:pPr>
    </w:p>
    <w:p w14:paraId="2CAC3E10" w14:textId="77777777" w:rsidR="00E20828" w:rsidRDefault="00E20828" w:rsidP="001C776B">
      <w:pPr>
        <w:pBdr>
          <w:top w:val="nil"/>
          <w:left w:val="nil"/>
          <w:bottom w:val="nil"/>
          <w:right w:val="nil"/>
          <w:between w:val="nil"/>
          <w:bar w:val="nil"/>
        </w:pBdr>
        <w:spacing w:after="0" w:line="280" w:lineRule="exact"/>
        <w:jc w:val="both"/>
        <w:rPr>
          <w:b/>
          <w:bCs/>
          <w:sz w:val="24"/>
          <w:szCs w:val="24"/>
          <w:lang w:val="en-US"/>
        </w:rPr>
      </w:pPr>
      <w:r w:rsidRPr="00E20828">
        <w:rPr>
          <w:b/>
          <w:bCs/>
          <w:sz w:val="24"/>
          <w:szCs w:val="24"/>
          <w:lang w:val="en-US"/>
        </w:rPr>
        <w:t>Question 36. How could secondary markets in these money market instruments attract liquidity and a more diverse investor base, while relying less on banks buying back papers they have helped to place?</w:t>
      </w:r>
    </w:p>
    <w:p w14:paraId="2CB54441" w14:textId="77777777" w:rsidR="00E20828" w:rsidRPr="00E20828" w:rsidRDefault="00E20828" w:rsidP="001C776B">
      <w:pPr>
        <w:pBdr>
          <w:top w:val="nil"/>
          <w:left w:val="nil"/>
          <w:bottom w:val="nil"/>
          <w:right w:val="nil"/>
          <w:between w:val="nil"/>
          <w:bar w:val="nil"/>
        </w:pBdr>
        <w:spacing w:after="0" w:line="280" w:lineRule="exact"/>
        <w:jc w:val="both"/>
        <w:rPr>
          <w:b/>
          <w:bCs/>
          <w:sz w:val="24"/>
          <w:szCs w:val="24"/>
          <w:lang w:val="en-US"/>
        </w:rPr>
      </w:pPr>
    </w:p>
    <w:p w14:paraId="66D5BBC2" w14:textId="77777777" w:rsidR="00E20828" w:rsidRDefault="00E20828" w:rsidP="001C776B">
      <w:pPr>
        <w:pBdr>
          <w:top w:val="nil"/>
          <w:left w:val="nil"/>
          <w:bottom w:val="nil"/>
          <w:right w:val="nil"/>
          <w:between w:val="nil"/>
          <w:bar w:val="nil"/>
        </w:pBdr>
        <w:spacing w:after="0" w:line="280" w:lineRule="exact"/>
        <w:jc w:val="both"/>
        <w:rPr>
          <w:b/>
          <w:bCs/>
          <w:sz w:val="24"/>
          <w:szCs w:val="24"/>
          <w:lang w:val="en-US"/>
        </w:rPr>
      </w:pPr>
      <w:r w:rsidRPr="00E20828">
        <w:rPr>
          <w:b/>
          <w:bCs/>
          <w:sz w:val="24"/>
          <w:szCs w:val="24"/>
          <w:lang w:val="en-US"/>
        </w:rPr>
        <w:t xml:space="preserve">Question 37. What are the benefits and costs of introducing an obligation to trade on trading venues (regulated markets, multilateral trading facilities and </w:t>
      </w:r>
      <w:proofErr w:type="spellStart"/>
      <w:r w:rsidRPr="00E20828">
        <w:rPr>
          <w:b/>
          <w:bCs/>
          <w:sz w:val="24"/>
          <w:szCs w:val="24"/>
          <w:lang w:val="en-US"/>
        </w:rPr>
        <w:t>organised</w:t>
      </w:r>
      <w:proofErr w:type="spellEnd"/>
      <w:r w:rsidRPr="00E20828">
        <w:rPr>
          <w:b/>
          <w:bCs/>
          <w:sz w:val="24"/>
          <w:szCs w:val="24"/>
          <w:lang w:val="en-US"/>
        </w:rPr>
        <w:t xml:space="preserve"> trading facilities) for such instruments?</w:t>
      </w:r>
    </w:p>
    <w:p w14:paraId="737A92E2" w14:textId="77777777" w:rsidR="00E20828" w:rsidRPr="00E20828" w:rsidRDefault="00E20828" w:rsidP="001C776B">
      <w:pPr>
        <w:pBdr>
          <w:top w:val="nil"/>
          <w:left w:val="nil"/>
          <w:bottom w:val="nil"/>
          <w:right w:val="nil"/>
          <w:between w:val="nil"/>
          <w:bar w:val="nil"/>
        </w:pBdr>
        <w:spacing w:after="0" w:line="280" w:lineRule="exact"/>
        <w:jc w:val="both"/>
        <w:rPr>
          <w:b/>
          <w:bCs/>
          <w:sz w:val="24"/>
          <w:szCs w:val="24"/>
          <w:lang w:val="en-US"/>
        </w:rPr>
      </w:pPr>
    </w:p>
    <w:p w14:paraId="054FA24C" w14:textId="3090FA69" w:rsidR="00E20828" w:rsidRDefault="00E20828" w:rsidP="001C776B">
      <w:pPr>
        <w:pBdr>
          <w:top w:val="nil"/>
          <w:left w:val="nil"/>
          <w:bottom w:val="nil"/>
          <w:right w:val="nil"/>
          <w:between w:val="nil"/>
          <w:bar w:val="nil"/>
        </w:pBdr>
        <w:spacing w:after="0" w:line="280" w:lineRule="exact"/>
        <w:jc w:val="both"/>
        <w:rPr>
          <w:b/>
          <w:bCs/>
          <w:sz w:val="24"/>
          <w:szCs w:val="24"/>
          <w:lang w:val="en-US"/>
        </w:rPr>
      </w:pPr>
      <w:r w:rsidRPr="00E20828">
        <w:rPr>
          <w:b/>
          <w:bCs/>
          <w:sz w:val="24"/>
          <w:szCs w:val="24"/>
          <w:lang w:val="en-US"/>
        </w:rPr>
        <w:t xml:space="preserve">Question 38. Can the possibility </w:t>
      </w:r>
      <w:proofErr w:type="gramStart"/>
      <w:r w:rsidRPr="00E20828">
        <w:rPr>
          <w:b/>
          <w:bCs/>
          <w:sz w:val="24"/>
          <w:szCs w:val="24"/>
          <w:lang w:val="en-US"/>
        </w:rPr>
        <w:t>to trade</w:t>
      </w:r>
      <w:proofErr w:type="gramEnd"/>
      <w:r w:rsidRPr="00E20828">
        <w:rPr>
          <w:b/>
          <w:bCs/>
          <w:sz w:val="24"/>
          <w:szCs w:val="24"/>
          <w:lang w:val="en-US"/>
        </w:rPr>
        <w:t xml:space="preserve"> on a regulated venue increase the chances of secondary market activities in a systemic event, for instance by acting as a safety valve for funds that need to trade these assets before maturity (especially when facing strong redemption pressures, like for MMFs)?</w:t>
      </w:r>
    </w:p>
    <w:p w14:paraId="04F7A2A9" w14:textId="77777777" w:rsidR="00E20828" w:rsidRDefault="00E20828" w:rsidP="001C776B">
      <w:pPr>
        <w:pBdr>
          <w:top w:val="nil"/>
          <w:left w:val="nil"/>
          <w:bottom w:val="nil"/>
          <w:right w:val="nil"/>
          <w:between w:val="nil"/>
          <w:bar w:val="nil"/>
        </w:pBdr>
        <w:spacing w:after="0" w:line="280" w:lineRule="exact"/>
        <w:jc w:val="both"/>
        <w:rPr>
          <w:b/>
          <w:bCs/>
          <w:sz w:val="24"/>
          <w:szCs w:val="24"/>
          <w:lang w:val="en-US"/>
        </w:rPr>
      </w:pPr>
    </w:p>
    <w:p w14:paraId="7E9054F9" w14:textId="77777777" w:rsidR="00BB7E77" w:rsidRPr="00BB7E77" w:rsidRDefault="00BB7E77" w:rsidP="001C776B">
      <w:pPr>
        <w:pBdr>
          <w:top w:val="nil"/>
          <w:left w:val="nil"/>
          <w:bottom w:val="nil"/>
          <w:right w:val="nil"/>
          <w:between w:val="nil"/>
          <w:bar w:val="nil"/>
        </w:pBdr>
        <w:spacing w:after="0" w:line="280" w:lineRule="exact"/>
        <w:jc w:val="both"/>
        <w:rPr>
          <w:b/>
          <w:bCs/>
          <w:i/>
          <w:iCs/>
          <w:sz w:val="24"/>
          <w:szCs w:val="24"/>
          <w:lang w:val="en-US"/>
        </w:rPr>
      </w:pPr>
      <w:r w:rsidRPr="00BB7E77">
        <w:rPr>
          <w:b/>
          <w:bCs/>
          <w:i/>
          <w:iCs/>
          <w:sz w:val="24"/>
          <w:szCs w:val="24"/>
          <w:lang w:val="en-US"/>
        </w:rPr>
        <w:t>Commodities markets</w:t>
      </w:r>
    </w:p>
    <w:p w14:paraId="61645D99" w14:textId="77777777" w:rsidR="00BB7E77" w:rsidRPr="00BB7E77" w:rsidRDefault="00BB7E77" w:rsidP="001C776B">
      <w:pPr>
        <w:pBdr>
          <w:top w:val="nil"/>
          <w:left w:val="nil"/>
          <w:bottom w:val="nil"/>
          <w:right w:val="nil"/>
          <w:between w:val="nil"/>
          <w:bar w:val="nil"/>
        </w:pBdr>
        <w:spacing w:after="0" w:line="280" w:lineRule="exact"/>
        <w:jc w:val="both"/>
        <w:rPr>
          <w:b/>
          <w:bCs/>
          <w:sz w:val="24"/>
          <w:szCs w:val="24"/>
          <w:lang w:val="en-US"/>
        </w:rPr>
      </w:pPr>
    </w:p>
    <w:p w14:paraId="0218D916" w14:textId="77777777" w:rsidR="00BB7E77" w:rsidRDefault="00BB7E77" w:rsidP="001C776B">
      <w:pPr>
        <w:pBdr>
          <w:top w:val="nil"/>
          <w:left w:val="nil"/>
          <w:bottom w:val="nil"/>
          <w:right w:val="nil"/>
          <w:between w:val="nil"/>
          <w:bar w:val="nil"/>
        </w:pBdr>
        <w:spacing w:after="0" w:line="280" w:lineRule="exact"/>
        <w:jc w:val="both"/>
        <w:rPr>
          <w:b/>
          <w:bCs/>
          <w:sz w:val="24"/>
          <w:szCs w:val="24"/>
          <w:lang w:val="en-US"/>
        </w:rPr>
      </w:pPr>
      <w:r w:rsidRPr="00BB7E77">
        <w:rPr>
          <w:b/>
          <w:bCs/>
          <w:sz w:val="24"/>
          <w:szCs w:val="24"/>
          <w:lang w:val="en-US"/>
        </w:rPr>
        <w:t xml:space="preserve">Question 39. How would you assess the level of preparedness of commodity derivatives market participants in terms of meeting short-term liquidity needs or requests for collateral to meet margins? Please rank from 1 to 5 (lowest to highest) the level of preparedness for the following participants by sector: </w:t>
      </w:r>
      <w:r w:rsidRPr="00BB7E77">
        <w:rPr>
          <w:b/>
          <w:bCs/>
          <w:sz w:val="24"/>
          <w:szCs w:val="24"/>
          <w:lang w:val="en-US"/>
        </w:rPr>
        <w:lastRenderedPageBreak/>
        <w:t>insurance companies, UCITS funds, AIFs, commercial undertakings, investment firms, pension funds.</w:t>
      </w:r>
    </w:p>
    <w:p w14:paraId="3DEDA4F0" w14:textId="77777777" w:rsidR="00BB7E77" w:rsidRPr="00BB7E77" w:rsidRDefault="00BB7E77" w:rsidP="001C776B">
      <w:pPr>
        <w:pBdr>
          <w:top w:val="nil"/>
          <w:left w:val="nil"/>
          <w:bottom w:val="nil"/>
          <w:right w:val="nil"/>
          <w:between w:val="nil"/>
          <w:bar w:val="nil"/>
        </w:pBdr>
        <w:spacing w:after="0" w:line="280" w:lineRule="exact"/>
        <w:jc w:val="both"/>
        <w:rPr>
          <w:b/>
          <w:bCs/>
          <w:sz w:val="24"/>
          <w:szCs w:val="24"/>
          <w:lang w:val="en-US"/>
        </w:rPr>
      </w:pPr>
    </w:p>
    <w:p w14:paraId="0E4CC197" w14:textId="77777777" w:rsidR="00BB7E77" w:rsidRDefault="00BB7E77" w:rsidP="001C776B">
      <w:pPr>
        <w:pBdr>
          <w:top w:val="nil"/>
          <w:left w:val="nil"/>
          <w:bottom w:val="nil"/>
          <w:right w:val="nil"/>
          <w:between w:val="nil"/>
          <w:bar w:val="nil"/>
        </w:pBdr>
        <w:spacing w:after="0" w:line="280" w:lineRule="exact"/>
        <w:jc w:val="both"/>
        <w:rPr>
          <w:b/>
          <w:bCs/>
          <w:sz w:val="24"/>
          <w:szCs w:val="24"/>
          <w:lang w:val="en-US"/>
        </w:rPr>
      </w:pPr>
      <w:r w:rsidRPr="00BB7E77">
        <w:rPr>
          <w:b/>
          <w:bCs/>
          <w:sz w:val="24"/>
          <w:szCs w:val="24"/>
          <w:lang w:val="en-US"/>
        </w:rPr>
        <w:t xml:space="preserve">Question 40. </w:t>
      </w:r>
      <w:proofErr w:type="gramStart"/>
      <w:r w:rsidRPr="00BB7E77">
        <w:rPr>
          <w:b/>
          <w:bCs/>
          <w:sz w:val="24"/>
          <w:szCs w:val="24"/>
          <w:lang w:val="en-US"/>
        </w:rPr>
        <w:t>In light of</w:t>
      </w:r>
      <w:proofErr w:type="gramEnd"/>
      <w:r w:rsidRPr="00BB7E77">
        <w:rPr>
          <w:b/>
          <w:bCs/>
          <w:sz w:val="24"/>
          <w:szCs w:val="24"/>
          <w:lang w:val="en-US"/>
        </w:rPr>
        <w:t xml:space="preserve"> the potential risk of contagion from spot markets or off-exchange energy trading to futures markets, do you think that spot market participants should also meet a more comprehensive set of trading rules for market participation and risk management? Please elaborate on your response.</w:t>
      </w:r>
    </w:p>
    <w:p w14:paraId="2565F2A7" w14:textId="77777777" w:rsidR="00BB7E77" w:rsidRPr="00BB7E77" w:rsidRDefault="00BB7E77" w:rsidP="001C776B">
      <w:pPr>
        <w:pBdr>
          <w:top w:val="nil"/>
          <w:left w:val="nil"/>
          <w:bottom w:val="nil"/>
          <w:right w:val="nil"/>
          <w:between w:val="nil"/>
          <w:bar w:val="nil"/>
        </w:pBdr>
        <w:spacing w:after="0" w:line="280" w:lineRule="exact"/>
        <w:jc w:val="both"/>
        <w:rPr>
          <w:b/>
          <w:bCs/>
          <w:sz w:val="24"/>
          <w:szCs w:val="24"/>
          <w:lang w:val="en-US"/>
        </w:rPr>
      </w:pPr>
    </w:p>
    <w:p w14:paraId="38AAD657" w14:textId="77777777" w:rsidR="00BB7E77" w:rsidRDefault="00BB7E77" w:rsidP="001C776B">
      <w:pPr>
        <w:pBdr>
          <w:top w:val="nil"/>
          <w:left w:val="nil"/>
          <w:bottom w:val="nil"/>
          <w:right w:val="nil"/>
          <w:between w:val="nil"/>
          <w:bar w:val="nil"/>
        </w:pBdr>
        <w:spacing w:after="0" w:line="280" w:lineRule="exact"/>
        <w:jc w:val="both"/>
        <w:rPr>
          <w:b/>
          <w:bCs/>
          <w:sz w:val="24"/>
          <w:szCs w:val="24"/>
          <w:lang w:val="en-US"/>
        </w:rPr>
      </w:pPr>
      <w:r w:rsidRPr="00BB7E77">
        <w:rPr>
          <w:b/>
          <w:bCs/>
          <w:sz w:val="24"/>
          <w:szCs w:val="24"/>
          <w:lang w:val="en-US"/>
        </w:rPr>
        <w:t>Question 41. How can it be ensured that the functioning of underlying spot energy markets</w:t>
      </w:r>
      <w:r>
        <w:rPr>
          <w:b/>
          <w:bCs/>
          <w:sz w:val="24"/>
          <w:szCs w:val="24"/>
          <w:lang w:val="en-US"/>
        </w:rPr>
        <w:t xml:space="preserve"> </w:t>
      </w:r>
      <w:r w:rsidRPr="00BB7E77">
        <w:rPr>
          <w:b/>
          <w:bCs/>
          <w:sz w:val="24"/>
          <w:szCs w:val="24"/>
          <w:lang w:val="en-US"/>
        </w:rPr>
        <w:t>and off-exchange energy trading activity does not lead to the transmission of risks to financial markets?</w:t>
      </w:r>
    </w:p>
    <w:p w14:paraId="28B88438" w14:textId="77777777" w:rsidR="00BB7E77" w:rsidRPr="00BB7E77" w:rsidRDefault="00BB7E77" w:rsidP="001C776B">
      <w:pPr>
        <w:pBdr>
          <w:top w:val="nil"/>
          <w:left w:val="nil"/>
          <w:bottom w:val="nil"/>
          <w:right w:val="nil"/>
          <w:between w:val="nil"/>
          <w:bar w:val="nil"/>
        </w:pBdr>
        <w:spacing w:after="0" w:line="280" w:lineRule="exact"/>
        <w:jc w:val="both"/>
        <w:rPr>
          <w:b/>
          <w:bCs/>
          <w:sz w:val="24"/>
          <w:szCs w:val="24"/>
          <w:lang w:val="en-US"/>
        </w:rPr>
      </w:pPr>
    </w:p>
    <w:p w14:paraId="0CED983B" w14:textId="77777777" w:rsidR="00BB7E77" w:rsidRPr="00BB7E77" w:rsidRDefault="00BB7E77" w:rsidP="001C776B">
      <w:pPr>
        <w:pBdr>
          <w:top w:val="nil"/>
          <w:left w:val="nil"/>
          <w:bottom w:val="nil"/>
          <w:right w:val="nil"/>
          <w:between w:val="nil"/>
          <w:bar w:val="nil"/>
        </w:pBdr>
        <w:spacing w:after="0" w:line="280" w:lineRule="exact"/>
        <w:jc w:val="both"/>
        <w:rPr>
          <w:b/>
          <w:bCs/>
          <w:i/>
          <w:iCs/>
          <w:sz w:val="24"/>
          <w:szCs w:val="24"/>
          <w:lang w:val="en-US"/>
        </w:rPr>
      </w:pPr>
      <w:r w:rsidRPr="00BB7E77">
        <w:rPr>
          <w:b/>
          <w:bCs/>
          <w:i/>
          <w:iCs/>
          <w:sz w:val="24"/>
          <w:szCs w:val="24"/>
          <w:lang w:val="en-US"/>
        </w:rPr>
        <w:t>Other markets</w:t>
      </w:r>
    </w:p>
    <w:p w14:paraId="42CC9ADD" w14:textId="77777777" w:rsidR="00BB7E77" w:rsidRPr="00BB7E77" w:rsidRDefault="00BB7E77" w:rsidP="001C776B">
      <w:pPr>
        <w:pBdr>
          <w:top w:val="nil"/>
          <w:left w:val="nil"/>
          <w:bottom w:val="nil"/>
          <w:right w:val="nil"/>
          <w:between w:val="nil"/>
          <w:bar w:val="nil"/>
        </w:pBdr>
        <w:spacing w:after="0" w:line="280" w:lineRule="exact"/>
        <w:jc w:val="both"/>
        <w:rPr>
          <w:b/>
          <w:bCs/>
          <w:sz w:val="24"/>
          <w:szCs w:val="24"/>
          <w:lang w:val="en-US"/>
        </w:rPr>
      </w:pPr>
    </w:p>
    <w:p w14:paraId="39E1BEA4" w14:textId="11F5D3FF" w:rsidR="00BB7E77" w:rsidRDefault="00BB7E77" w:rsidP="001C776B">
      <w:pPr>
        <w:pBdr>
          <w:top w:val="nil"/>
          <w:left w:val="nil"/>
          <w:bottom w:val="nil"/>
          <w:right w:val="nil"/>
          <w:between w:val="nil"/>
          <w:bar w:val="nil"/>
        </w:pBdr>
        <w:spacing w:after="0" w:line="280" w:lineRule="exact"/>
        <w:jc w:val="both"/>
        <w:rPr>
          <w:b/>
          <w:bCs/>
          <w:sz w:val="24"/>
          <w:szCs w:val="24"/>
          <w:lang w:val="en-US"/>
        </w:rPr>
      </w:pPr>
      <w:r w:rsidRPr="00BB7E77">
        <w:rPr>
          <w:b/>
          <w:bCs/>
          <w:sz w:val="24"/>
          <w:szCs w:val="24"/>
          <w:lang w:val="en-US"/>
        </w:rPr>
        <w:t>Question 42. To what extent do you see emerging liquidity risks or market functioning issues that can affect liquidity in other markets? Can you provide concrete examples?</w:t>
      </w:r>
    </w:p>
    <w:p w14:paraId="41EB4BF5" w14:textId="77777777" w:rsidR="003924B4" w:rsidRDefault="003924B4" w:rsidP="001C776B">
      <w:pPr>
        <w:pBdr>
          <w:top w:val="nil"/>
          <w:left w:val="nil"/>
          <w:bottom w:val="nil"/>
          <w:right w:val="nil"/>
          <w:between w:val="nil"/>
          <w:bar w:val="nil"/>
        </w:pBdr>
        <w:spacing w:after="0" w:line="280" w:lineRule="exact"/>
        <w:jc w:val="both"/>
        <w:rPr>
          <w:b/>
          <w:bCs/>
          <w:sz w:val="24"/>
          <w:szCs w:val="24"/>
          <w:lang w:val="en-US"/>
        </w:rPr>
      </w:pPr>
    </w:p>
    <w:p w14:paraId="41D9E39A" w14:textId="77777777" w:rsidR="003924B4" w:rsidRDefault="003924B4" w:rsidP="001C776B">
      <w:pPr>
        <w:pBdr>
          <w:top w:val="nil"/>
          <w:left w:val="nil"/>
          <w:bottom w:val="nil"/>
          <w:right w:val="nil"/>
          <w:between w:val="nil"/>
          <w:bar w:val="nil"/>
        </w:pBdr>
        <w:spacing w:after="0" w:line="280" w:lineRule="exact"/>
        <w:jc w:val="both"/>
        <w:rPr>
          <w:b/>
          <w:bCs/>
          <w:sz w:val="24"/>
          <w:szCs w:val="24"/>
          <w:lang w:val="en-US"/>
        </w:rPr>
      </w:pPr>
    </w:p>
    <w:p w14:paraId="39CB47CC" w14:textId="4D08E67E" w:rsidR="003924B4" w:rsidRPr="003924B4" w:rsidRDefault="003924B4" w:rsidP="001C776B">
      <w:pPr>
        <w:pBdr>
          <w:top w:val="nil"/>
          <w:left w:val="nil"/>
          <w:bottom w:val="nil"/>
          <w:right w:val="nil"/>
          <w:between w:val="nil"/>
          <w:bar w:val="nil"/>
        </w:pBdr>
        <w:spacing w:after="0" w:line="280" w:lineRule="exact"/>
        <w:jc w:val="both"/>
        <w:rPr>
          <w:b/>
          <w:bCs/>
          <w:sz w:val="24"/>
          <w:szCs w:val="24"/>
          <w:u w:val="single"/>
          <w:lang w:val="en-US"/>
        </w:rPr>
      </w:pPr>
      <w:r w:rsidRPr="003924B4">
        <w:rPr>
          <w:b/>
          <w:bCs/>
          <w:sz w:val="24"/>
          <w:szCs w:val="24"/>
          <w:u w:val="single"/>
          <w:lang w:val="en-US"/>
        </w:rPr>
        <w:t>4</w:t>
      </w:r>
      <w:r>
        <w:rPr>
          <w:b/>
          <w:bCs/>
          <w:sz w:val="24"/>
          <w:szCs w:val="24"/>
          <w:u w:val="single"/>
          <w:lang w:val="en-US"/>
        </w:rPr>
        <w:t>.</w:t>
      </w:r>
      <w:r w:rsidRPr="003924B4">
        <w:rPr>
          <w:b/>
          <w:bCs/>
          <w:sz w:val="24"/>
          <w:szCs w:val="24"/>
          <w:u w:val="single"/>
          <w:lang w:val="en-US"/>
        </w:rPr>
        <w:t xml:space="preserve"> E</w:t>
      </w:r>
      <w:r>
        <w:rPr>
          <w:b/>
          <w:bCs/>
          <w:sz w:val="24"/>
          <w:szCs w:val="24"/>
          <w:u w:val="single"/>
          <w:lang w:val="en-US"/>
        </w:rPr>
        <w:t>xcessive</w:t>
      </w:r>
      <w:r w:rsidRPr="003924B4">
        <w:rPr>
          <w:b/>
          <w:bCs/>
          <w:sz w:val="24"/>
          <w:szCs w:val="24"/>
          <w:u w:val="single"/>
          <w:lang w:val="en-US"/>
        </w:rPr>
        <w:t xml:space="preserve"> </w:t>
      </w:r>
      <w:r>
        <w:rPr>
          <w:b/>
          <w:bCs/>
          <w:sz w:val="24"/>
          <w:szCs w:val="24"/>
          <w:u w:val="single"/>
          <w:lang w:val="en-US"/>
        </w:rPr>
        <w:t>leverage</w:t>
      </w:r>
    </w:p>
    <w:p w14:paraId="279950D5" w14:textId="77777777" w:rsidR="003924B4" w:rsidRDefault="003924B4" w:rsidP="001C776B">
      <w:pPr>
        <w:pBdr>
          <w:top w:val="nil"/>
          <w:left w:val="nil"/>
          <w:bottom w:val="nil"/>
          <w:right w:val="nil"/>
          <w:between w:val="nil"/>
          <w:bar w:val="nil"/>
        </w:pBdr>
        <w:spacing w:after="0" w:line="280" w:lineRule="exact"/>
        <w:jc w:val="both"/>
        <w:rPr>
          <w:b/>
          <w:bCs/>
          <w:sz w:val="24"/>
          <w:szCs w:val="24"/>
          <w:lang w:val="en-US"/>
        </w:rPr>
      </w:pPr>
    </w:p>
    <w:p w14:paraId="53435D30" w14:textId="298E4E8D" w:rsidR="003924B4" w:rsidRDefault="005B1AE0" w:rsidP="001C776B">
      <w:pPr>
        <w:pBdr>
          <w:top w:val="nil"/>
          <w:left w:val="nil"/>
          <w:bottom w:val="nil"/>
          <w:right w:val="nil"/>
          <w:between w:val="nil"/>
          <w:bar w:val="nil"/>
        </w:pBdr>
        <w:spacing w:after="0" w:line="280" w:lineRule="exact"/>
        <w:jc w:val="both"/>
        <w:rPr>
          <w:b/>
          <w:bCs/>
          <w:sz w:val="24"/>
          <w:szCs w:val="24"/>
          <w:lang w:val="en-US"/>
        </w:rPr>
      </w:pPr>
      <w:r w:rsidRPr="005B1AE0">
        <w:rPr>
          <w:b/>
          <w:bCs/>
          <w:sz w:val="24"/>
          <w:szCs w:val="24"/>
          <w:u w:val="single"/>
          <w:lang w:val="en-US"/>
        </w:rPr>
        <w:t>4.1 Open-ended funds (OEFs)</w:t>
      </w:r>
    </w:p>
    <w:p w14:paraId="605FEDFF" w14:textId="77777777" w:rsidR="005B1AE0" w:rsidRDefault="005B1AE0" w:rsidP="001C776B">
      <w:pPr>
        <w:pBdr>
          <w:top w:val="nil"/>
          <w:left w:val="nil"/>
          <w:bottom w:val="nil"/>
          <w:right w:val="nil"/>
          <w:between w:val="nil"/>
          <w:bar w:val="nil"/>
        </w:pBdr>
        <w:spacing w:after="0" w:line="280" w:lineRule="exact"/>
        <w:jc w:val="both"/>
        <w:rPr>
          <w:b/>
          <w:bCs/>
          <w:sz w:val="24"/>
          <w:szCs w:val="24"/>
          <w:lang w:val="en-US"/>
        </w:rPr>
      </w:pPr>
    </w:p>
    <w:p w14:paraId="03C13DF2" w14:textId="77777777" w:rsidR="005B1AE0" w:rsidRDefault="005B1AE0" w:rsidP="001C776B">
      <w:pPr>
        <w:pBdr>
          <w:top w:val="nil"/>
          <w:left w:val="nil"/>
          <w:bottom w:val="nil"/>
          <w:right w:val="nil"/>
          <w:between w:val="nil"/>
          <w:bar w:val="nil"/>
        </w:pBdr>
        <w:spacing w:after="0" w:line="280" w:lineRule="exact"/>
        <w:jc w:val="both"/>
        <w:rPr>
          <w:b/>
          <w:bCs/>
          <w:sz w:val="24"/>
          <w:szCs w:val="24"/>
          <w:lang w:val="en-US"/>
        </w:rPr>
      </w:pPr>
      <w:r w:rsidRPr="005B1AE0">
        <w:rPr>
          <w:b/>
          <w:bCs/>
          <w:sz w:val="24"/>
          <w:szCs w:val="24"/>
          <w:lang w:val="en-US"/>
        </w:rPr>
        <w:t>Question 43. What are other tools than those currently available under EU legislation which could be used to contain systemic risks generated by potential pockets of excessive leverage in OEFs?</w:t>
      </w:r>
    </w:p>
    <w:p w14:paraId="4D751F8E" w14:textId="77777777" w:rsidR="00D9447F" w:rsidRPr="00996921" w:rsidRDefault="00D9447F" w:rsidP="00D9447F">
      <w:pPr>
        <w:pBdr>
          <w:top w:val="nil"/>
          <w:left w:val="nil"/>
          <w:bottom w:val="nil"/>
          <w:right w:val="nil"/>
          <w:between w:val="nil"/>
          <w:bar w:val="nil"/>
        </w:pBdr>
        <w:spacing w:after="0" w:line="280" w:lineRule="exact"/>
        <w:jc w:val="both"/>
        <w:rPr>
          <w:b/>
          <w:bCs/>
          <w:sz w:val="24"/>
          <w:szCs w:val="24"/>
          <w:lang w:val="en-US"/>
        </w:rPr>
      </w:pPr>
    </w:p>
    <w:p w14:paraId="21486C5F" w14:textId="30071BE9" w:rsidR="00D9447F" w:rsidRDefault="00DB5A53" w:rsidP="00D9447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DB5A53">
        <w:rPr>
          <w:sz w:val="24"/>
          <w:szCs w:val="24"/>
          <w:lang w:val="en-US"/>
        </w:rPr>
        <w:t xml:space="preserve">The possibility </w:t>
      </w:r>
      <w:proofErr w:type="gramStart"/>
      <w:r w:rsidRPr="00DB5A53">
        <w:rPr>
          <w:sz w:val="24"/>
          <w:szCs w:val="24"/>
          <w:lang w:val="en-US"/>
        </w:rPr>
        <w:t>to impose</w:t>
      </w:r>
      <w:proofErr w:type="gramEnd"/>
      <w:r w:rsidRPr="00DB5A53">
        <w:rPr>
          <w:sz w:val="24"/>
          <w:szCs w:val="24"/>
          <w:lang w:val="en-US"/>
        </w:rPr>
        <w:t xml:space="preserve"> leverage limits</w:t>
      </w:r>
      <w:r w:rsidR="001762AE">
        <w:rPr>
          <w:sz w:val="24"/>
          <w:szCs w:val="24"/>
          <w:lang w:val="en-US"/>
        </w:rPr>
        <w:t xml:space="preserve"> under EU legislation</w:t>
      </w:r>
      <w:r w:rsidRPr="00DB5A53">
        <w:rPr>
          <w:sz w:val="24"/>
          <w:szCs w:val="24"/>
          <w:lang w:val="en-US"/>
        </w:rPr>
        <w:t xml:space="preserve"> is amply sufficient.</w:t>
      </w:r>
    </w:p>
    <w:p w14:paraId="214AB7DE" w14:textId="77777777" w:rsidR="00D9447F" w:rsidRPr="00996921" w:rsidRDefault="00D9447F" w:rsidP="00D9447F">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55250258" w14:textId="77777777" w:rsidR="005B1AE0" w:rsidRPr="005B1AE0" w:rsidRDefault="005B1AE0" w:rsidP="001C776B">
      <w:pPr>
        <w:pBdr>
          <w:top w:val="nil"/>
          <w:left w:val="nil"/>
          <w:bottom w:val="nil"/>
          <w:right w:val="nil"/>
          <w:between w:val="nil"/>
          <w:bar w:val="nil"/>
        </w:pBdr>
        <w:spacing w:after="0" w:line="280" w:lineRule="exact"/>
        <w:jc w:val="both"/>
        <w:rPr>
          <w:b/>
          <w:bCs/>
          <w:sz w:val="24"/>
          <w:szCs w:val="24"/>
          <w:lang w:val="en-US"/>
        </w:rPr>
      </w:pPr>
    </w:p>
    <w:p w14:paraId="640ABFD3" w14:textId="30685AE1" w:rsidR="005B1AE0" w:rsidRDefault="005B1AE0" w:rsidP="001C776B">
      <w:pPr>
        <w:pBdr>
          <w:top w:val="nil"/>
          <w:left w:val="nil"/>
          <w:bottom w:val="nil"/>
          <w:right w:val="nil"/>
          <w:between w:val="nil"/>
          <w:bar w:val="nil"/>
        </w:pBdr>
        <w:spacing w:after="0" w:line="280" w:lineRule="exact"/>
        <w:jc w:val="both"/>
        <w:rPr>
          <w:b/>
          <w:bCs/>
          <w:sz w:val="24"/>
          <w:szCs w:val="24"/>
          <w:lang w:val="en-US"/>
        </w:rPr>
      </w:pPr>
      <w:r w:rsidRPr="005B1AE0">
        <w:rPr>
          <w:b/>
          <w:bCs/>
          <w:sz w:val="24"/>
          <w:szCs w:val="24"/>
          <w:lang w:val="en-US"/>
        </w:rPr>
        <w:t>Question 44. What are, in your view, the benefits and costs of using yield buffers for Liability-Driven funds, such as it was done in Ireland and Luxembourg, to address leverage?</w:t>
      </w:r>
    </w:p>
    <w:p w14:paraId="3DBCA074" w14:textId="77777777" w:rsidR="0058480C" w:rsidRDefault="0058480C" w:rsidP="001C776B">
      <w:pPr>
        <w:pBdr>
          <w:top w:val="nil"/>
          <w:left w:val="nil"/>
          <w:bottom w:val="nil"/>
          <w:right w:val="nil"/>
          <w:between w:val="nil"/>
          <w:bar w:val="nil"/>
        </w:pBdr>
        <w:spacing w:after="0" w:line="280" w:lineRule="exact"/>
        <w:jc w:val="both"/>
        <w:rPr>
          <w:b/>
          <w:bCs/>
          <w:sz w:val="24"/>
          <w:szCs w:val="24"/>
          <w:lang w:val="en-US"/>
        </w:rPr>
      </w:pPr>
    </w:p>
    <w:p w14:paraId="46161497" w14:textId="77777777" w:rsidR="0058480C" w:rsidRDefault="0058480C" w:rsidP="001C776B">
      <w:pPr>
        <w:pBdr>
          <w:top w:val="nil"/>
          <w:left w:val="nil"/>
          <w:bottom w:val="nil"/>
          <w:right w:val="nil"/>
          <w:between w:val="nil"/>
          <w:bar w:val="nil"/>
        </w:pBdr>
        <w:spacing w:after="0" w:line="280" w:lineRule="exact"/>
        <w:jc w:val="both"/>
        <w:rPr>
          <w:b/>
          <w:bCs/>
          <w:sz w:val="24"/>
          <w:szCs w:val="24"/>
          <w:lang w:val="en-US"/>
        </w:rPr>
      </w:pPr>
      <w:r w:rsidRPr="0058480C">
        <w:rPr>
          <w:b/>
          <w:bCs/>
          <w:sz w:val="24"/>
          <w:szCs w:val="24"/>
          <w:lang w:val="en-US"/>
        </w:rPr>
        <w:t>Question 45. While on average EU OEFs are not highly leveraged, are there, to your knowledge, pockets of excessive leverage in the OEF sector that are not sufficiently addressed? Please elaborate with concrete examples.</w:t>
      </w:r>
    </w:p>
    <w:p w14:paraId="6BA219A7" w14:textId="77777777" w:rsidR="0058480C" w:rsidRPr="0058480C" w:rsidRDefault="0058480C" w:rsidP="001C776B">
      <w:pPr>
        <w:pBdr>
          <w:top w:val="nil"/>
          <w:left w:val="nil"/>
          <w:bottom w:val="nil"/>
          <w:right w:val="nil"/>
          <w:between w:val="nil"/>
          <w:bar w:val="nil"/>
        </w:pBdr>
        <w:spacing w:after="0" w:line="280" w:lineRule="exact"/>
        <w:jc w:val="both"/>
        <w:rPr>
          <w:b/>
          <w:bCs/>
          <w:sz w:val="24"/>
          <w:szCs w:val="24"/>
          <w:lang w:val="en-US"/>
        </w:rPr>
      </w:pPr>
    </w:p>
    <w:p w14:paraId="0ABC99CB" w14:textId="5820B853" w:rsidR="0058480C" w:rsidRDefault="0058480C" w:rsidP="001C776B">
      <w:pPr>
        <w:pBdr>
          <w:top w:val="nil"/>
          <w:left w:val="nil"/>
          <w:bottom w:val="nil"/>
          <w:right w:val="nil"/>
          <w:between w:val="nil"/>
          <w:bar w:val="nil"/>
        </w:pBdr>
        <w:spacing w:after="0" w:line="280" w:lineRule="exact"/>
        <w:jc w:val="both"/>
        <w:rPr>
          <w:b/>
          <w:bCs/>
          <w:sz w:val="24"/>
          <w:szCs w:val="24"/>
          <w:lang w:val="en-US"/>
        </w:rPr>
      </w:pPr>
      <w:r w:rsidRPr="0058480C">
        <w:rPr>
          <w:b/>
          <w:bCs/>
          <w:sz w:val="24"/>
          <w:szCs w:val="24"/>
          <w:lang w:val="en-US"/>
        </w:rPr>
        <w:t>Question 46. How can leverage through certain investment strategies (e.g. when funds invest in other funds based in third countries) be better detected?</w:t>
      </w:r>
    </w:p>
    <w:p w14:paraId="6E8C7A92" w14:textId="77777777" w:rsidR="0058480C" w:rsidRDefault="0058480C" w:rsidP="001C776B">
      <w:pPr>
        <w:pBdr>
          <w:top w:val="nil"/>
          <w:left w:val="nil"/>
          <w:bottom w:val="nil"/>
          <w:right w:val="nil"/>
          <w:between w:val="nil"/>
          <w:bar w:val="nil"/>
        </w:pBdr>
        <w:spacing w:after="0" w:line="280" w:lineRule="exact"/>
        <w:jc w:val="both"/>
        <w:rPr>
          <w:b/>
          <w:bCs/>
          <w:sz w:val="24"/>
          <w:szCs w:val="24"/>
          <w:lang w:val="en-US"/>
        </w:rPr>
      </w:pPr>
    </w:p>
    <w:p w14:paraId="3BCF0B73" w14:textId="77777777" w:rsidR="00C35791" w:rsidRDefault="00C35791" w:rsidP="001C776B">
      <w:pPr>
        <w:pBdr>
          <w:top w:val="nil"/>
          <w:left w:val="nil"/>
          <w:bottom w:val="nil"/>
          <w:right w:val="nil"/>
          <w:between w:val="nil"/>
          <w:bar w:val="nil"/>
        </w:pBdr>
        <w:spacing w:after="0" w:line="280" w:lineRule="exact"/>
        <w:jc w:val="both"/>
        <w:rPr>
          <w:b/>
          <w:bCs/>
          <w:sz w:val="24"/>
          <w:szCs w:val="24"/>
          <w:lang w:val="en-US"/>
        </w:rPr>
      </w:pPr>
    </w:p>
    <w:p w14:paraId="2CD8FF72" w14:textId="19EF0764" w:rsidR="0058480C" w:rsidRPr="0058480C" w:rsidRDefault="0058480C" w:rsidP="001C776B">
      <w:pPr>
        <w:pBdr>
          <w:top w:val="nil"/>
          <w:left w:val="nil"/>
          <w:bottom w:val="nil"/>
          <w:right w:val="nil"/>
          <w:between w:val="nil"/>
          <w:bar w:val="nil"/>
        </w:pBdr>
        <w:spacing w:after="0" w:line="280" w:lineRule="exact"/>
        <w:jc w:val="both"/>
        <w:rPr>
          <w:b/>
          <w:bCs/>
          <w:sz w:val="24"/>
          <w:szCs w:val="24"/>
          <w:u w:val="single"/>
          <w:lang w:val="en-US"/>
        </w:rPr>
      </w:pPr>
      <w:r w:rsidRPr="0058480C">
        <w:rPr>
          <w:b/>
          <w:bCs/>
          <w:sz w:val="24"/>
          <w:szCs w:val="24"/>
          <w:u w:val="single"/>
          <w:lang w:val="en-US"/>
        </w:rPr>
        <w:t>4.2 Other NBFIs and markets</w:t>
      </w:r>
    </w:p>
    <w:p w14:paraId="20226A75" w14:textId="77777777" w:rsidR="0058480C" w:rsidRDefault="0058480C" w:rsidP="001C776B">
      <w:pPr>
        <w:pBdr>
          <w:top w:val="nil"/>
          <w:left w:val="nil"/>
          <w:bottom w:val="nil"/>
          <w:right w:val="nil"/>
          <w:between w:val="nil"/>
          <w:bar w:val="nil"/>
        </w:pBdr>
        <w:spacing w:after="0" w:line="280" w:lineRule="exact"/>
        <w:jc w:val="both"/>
        <w:rPr>
          <w:b/>
          <w:bCs/>
          <w:sz w:val="24"/>
          <w:szCs w:val="24"/>
          <w:lang w:val="en-US"/>
        </w:rPr>
      </w:pPr>
    </w:p>
    <w:p w14:paraId="29EA1B89" w14:textId="77777777" w:rsidR="00C35791" w:rsidRDefault="00C35791" w:rsidP="001C776B">
      <w:pPr>
        <w:pBdr>
          <w:top w:val="nil"/>
          <w:left w:val="nil"/>
          <w:bottom w:val="nil"/>
          <w:right w:val="nil"/>
          <w:between w:val="nil"/>
          <w:bar w:val="nil"/>
        </w:pBdr>
        <w:spacing w:after="0" w:line="280" w:lineRule="exact"/>
        <w:jc w:val="both"/>
        <w:rPr>
          <w:b/>
          <w:bCs/>
          <w:sz w:val="24"/>
          <w:szCs w:val="24"/>
          <w:lang w:val="en-US"/>
        </w:rPr>
      </w:pPr>
      <w:r w:rsidRPr="00C35791">
        <w:rPr>
          <w:b/>
          <w:bCs/>
          <w:sz w:val="24"/>
          <w:szCs w:val="24"/>
          <w:lang w:val="en-US"/>
        </w:rPr>
        <w:t>Question 47. Are you aware of any NBFI sector entities with particularly high leverage in the EU that could raise systemic risk concerns?</w:t>
      </w:r>
    </w:p>
    <w:p w14:paraId="44513A16" w14:textId="77777777" w:rsidR="00C35791" w:rsidRPr="00C35791" w:rsidRDefault="00C35791" w:rsidP="001C776B">
      <w:pPr>
        <w:pBdr>
          <w:top w:val="nil"/>
          <w:left w:val="nil"/>
          <w:bottom w:val="nil"/>
          <w:right w:val="nil"/>
          <w:between w:val="nil"/>
          <w:bar w:val="nil"/>
        </w:pBdr>
        <w:spacing w:after="0" w:line="280" w:lineRule="exact"/>
        <w:jc w:val="both"/>
        <w:rPr>
          <w:b/>
          <w:bCs/>
          <w:sz w:val="24"/>
          <w:szCs w:val="24"/>
          <w:lang w:val="en-US"/>
        </w:rPr>
      </w:pPr>
    </w:p>
    <w:p w14:paraId="152F1A22" w14:textId="77777777" w:rsidR="00C35791" w:rsidRDefault="00C35791" w:rsidP="001C776B">
      <w:pPr>
        <w:pBdr>
          <w:top w:val="nil"/>
          <w:left w:val="nil"/>
          <w:bottom w:val="nil"/>
          <w:right w:val="nil"/>
          <w:between w:val="nil"/>
          <w:bar w:val="nil"/>
        </w:pBdr>
        <w:spacing w:after="0" w:line="280" w:lineRule="exact"/>
        <w:jc w:val="both"/>
        <w:rPr>
          <w:b/>
          <w:bCs/>
          <w:sz w:val="24"/>
          <w:szCs w:val="24"/>
          <w:lang w:val="en-US"/>
        </w:rPr>
      </w:pPr>
      <w:r w:rsidRPr="00C35791">
        <w:rPr>
          <w:b/>
          <w:bCs/>
          <w:sz w:val="24"/>
          <w:szCs w:val="24"/>
          <w:lang w:val="en-US"/>
        </w:rPr>
        <w:lastRenderedPageBreak/>
        <w:t xml:space="preserve">Question 48. Do stakeholders have views on macroprudential tools to deal with </w:t>
      </w:r>
      <w:proofErr w:type="gramStart"/>
      <w:r w:rsidRPr="00C35791">
        <w:rPr>
          <w:b/>
          <w:bCs/>
          <w:sz w:val="24"/>
          <w:szCs w:val="24"/>
          <w:lang w:val="en-US"/>
        </w:rPr>
        <w:t>leverage</w:t>
      </w:r>
      <w:proofErr w:type="gramEnd"/>
      <w:r w:rsidRPr="00C35791">
        <w:rPr>
          <w:b/>
          <w:bCs/>
          <w:sz w:val="24"/>
          <w:szCs w:val="24"/>
          <w:lang w:val="en-US"/>
        </w:rPr>
        <w:t xml:space="preserve"> of NBFIs that are not currently included in EU legislation?</w:t>
      </w:r>
    </w:p>
    <w:p w14:paraId="3746165F" w14:textId="77777777" w:rsidR="00C35791" w:rsidRPr="00C35791" w:rsidRDefault="00C35791" w:rsidP="001C776B">
      <w:pPr>
        <w:pBdr>
          <w:top w:val="nil"/>
          <w:left w:val="nil"/>
          <w:bottom w:val="nil"/>
          <w:right w:val="nil"/>
          <w:between w:val="nil"/>
          <w:bar w:val="nil"/>
        </w:pBdr>
        <w:spacing w:after="0" w:line="280" w:lineRule="exact"/>
        <w:jc w:val="both"/>
        <w:rPr>
          <w:b/>
          <w:bCs/>
          <w:sz w:val="24"/>
          <w:szCs w:val="24"/>
          <w:lang w:val="en-US"/>
        </w:rPr>
      </w:pPr>
    </w:p>
    <w:p w14:paraId="4B0A4924" w14:textId="77777777" w:rsidR="00C35791" w:rsidRDefault="00C35791" w:rsidP="001C776B">
      <w:pPr>
        <w:pBdr>
          <w:top w:val="nil"/>
          <w:left w:val="nil"/>
          <w:bottom w:val="nil"/>
          <w:right w:val="nil"/>
          <w:between w:val="nil"/>
          <w:bar w:val="nil"/>
        </w:pBdr>
        <w:spacing w:after="0" w:line="280" w:lineRule="exact"/>
        <w:jc w:val="both"/>
        <w:rPr>
          <w:b/>
          <w:bCs/>
          <w:sz w:val="24"/>
          <w:szCs w:val="24"/>
          <w:lang w:val="en-US"/>
        </w:rPr>
      </w:pPr>
      <w:r w:rsidRPr="00C35791">
        <w:rPr>
          <w:b/>
          <w:bCs/>
          <w:sz w:val="24"/>
          <w:szCs w:val="24"/>
          <w:lang w:val="en-US"/>
        </w:rPr>
        <w:t xml:space="preserve">Question 49. [To NCAs and EU bodies:] Are you able to timely identify (financial and synthetic) leverage pockets of other NBFIs (such as pension funds, insurance companies and so on), especially when they are taken via third parties or complex derivative transactions? Please elaborate on how this timely detection of leverage could be </w:t>
      </w:r>
      <w:proofErr w:type="gramStart"/>
      <w:r w:rsidRPr="00C35791">
        <w:rPr>
          <w:b/>
          <w:bCs/>
          <w:sz w:val="24"/>
          <w:szCs w:val="24"/>
          <w:lang w:val="en-US"/>
        </w:rPr>
        <w:t>obtained?</w:t>
      </w:r>
      <w:proofErr w:type="gramEnd"/>
    </w:p>
    <w:p w14:paraId="0524AD45" w14:textId="77777777" w:rsidR="00C35791" w:rsidRPr="00C35791" w:rsidRDefault="00C35791" w:rsidP="001C776B">
      <w:pPr>
        <w:pBdr>
          <w:top w:val="nil"/>
          <w:left w:val="nil"/>
          <w:bottom w:val="nil"/>
          <w:right w:val="nil"/>
          <w:between w:val="nil"/>
          <w:bar w:val="nil"/>
        </w:pBdr>
        <w:spacing w:after="0" w:line="280" w:lineRule="exact"/>
        <w:jc w:val="both"/>
        <w:rPr>
          <w:b/>
          <w:bCs/>
          <w:sz w:val="24"/>
          <w:szCs w:val="24"/>
          <w:lang w:val="en-US"/>
        </w:rPr>
      </w:pPr>
    </w:p>
    <w:p w14:paraId="2B42AE58" w14:textId="64A4CC28" w:rsidR="0058480C" w:rsidRDefault="00C35791" w:rsidP="001C776B">
      <w:pPr>
        <w:pBdr>
          <w:top w:val="nil"/>
          <w:left w:val="nil"/>
          <w:bottom w:val="nil"/>
          <w:right w:val="nil"/>
          <w:between w:val="nil"/>
          <w:bar w:val="nil"/>
        </w:pBdr>
        <w:spacing w:after="0" w:line="280" w:lineRule="exact"/>
        <w:jc w:val="both"/>
        <w:rPr>
          <w:b/>
          <w:bCs/>
          <w:sz w:val="24"/>
          <w:szCs w:val="24"/>
          <w:lang w:val="en-US"/>
        </w:rPr>
      </w:pPr>
      <w:r w:rsidRPr="00C35791">
        <w:rPr>
          <w:b/>
          <w:bCs/>
          <w:sz w:val="24"/>
          <w:szCs w:val="24"/>
          <w:lang w:val="en-US"/>
        </w:rPr>
        <w:t>Question 50. How can it be ensured that competent authorities can effectively reconcile positions in leveraged products (such as derivatives) taken via various legal entities (e.g. other funds or funds of funds) to the ultimate beneficiary?</w:t>
      </w:r>
    </w:p>
    <w:p w14:paraId="76A7A6FE" w14:textId="77777777" w:rsidR="0058480C" w:rsidRDefault="0058480C" w:rsidP="001C776B">
      <w:pPr>
        <w:pBdr>
          <w:top w:val="nil"/>
          <w:left w:val="nil"/>
          <w:bottom w:val="nil"/>
          <w:right w:val="nil"/>
          <w:between w:val="nil"/>
          <w:bar w:val="nil"/>
        </w:pBdr>
        <w:spacing w:after="0" w:line="280" w:lineRule="exact"/>
        <w:jc w:val="both"/>
        <w:rPr>
          <w:b/>
          <w:bCs/>
          <w:sz w:val="24"/>
          <w:szCs w:val="24"/>
          <w:lang w:val="en-US"/>
        </w:rPr>
      </w:pPr>
    </w:p>
    <w:p w14:paraId="0561D761" w14:textId="77777777" w:rsidR="00C35791" w:rsidRPr="00C35791" w:rsidRDefault="00C35791" w:rsidP="001C776B">
      <w:pPr>
        <w:pBdr>
          <w:top w:val="nil"/>
          <w:left w:val="nil"/>
          <w:bottom w:val="nil"/>
          <w:right w:val="nil"/>
          <w:between w:val="nil"/>
          <w:bar w:val="nil"/>
        </w:pBdr>
        <w:spacing w:after="0" w:line="280" w:lineRule="exact"/>
        <w:jc w:val="both"/>
        <w:rPr>
          <w:b/>
          <w:bCs/>
          <w:i/>
          <w:iCs/>
          <w:sz w:val="24"/>
          <w:szCs w:val="24"/>
          <w:lang w:val="en-US"/>
        </w:rPr>
      </w:pPr>
      <w:r w:rsidRPr="00C35791">
        <w:rPr>
          <w:b/>
          <w:bCs/>
          <w:i/>
          <w:iCs/>
          <w:sz w:val="24"/>
          <w:szCs w:val="24"/>
          <w:lang w:val="en-US"/>
        </w:rPr>
        <w:t>Commodities markets</w:t>
      </w:r>
    </w:p>
    <w:p w14:paraId="66814733" w14:textId="77777777" w:rsidR="00C35791" w:rsidRPr="00C35791" w:rsidRDefault="00C35791" w:rsidP="001C776B">
      <w:pPr>
        <w:pBdr>
          <w:top w:val="nil"/>
          <w:left w:val="nil"/>
          <w:bottom w:val="nil"/>
          <w:right w:val="nil"/>
          <w:between w:val="nil"/>
          <w:bar w:val="nil"/>
        </w:pBdr>
        <w:spacing w:after="0" w:line="280" w:lineRule="exact"/>
        <w:jc w:val="both"/>
        <w:rPr>
          <w:b/>
          <w:bCs/>
          <w:sz w:val="24"/>
          <w:szCs w:val="24"/>
          <w:lang w:val="en-US"/>
        </w:rPr>
      </w:pPr>
    </w:p>
    <w:p w14:paraId="1069C730" w14:textId="1590631B" w:rsidR="00C35791" w:rsidRDefault="00C35791" w:rsidP="001C776B">
      <w:pPr>
        <w:pBdr>
          <w:top w:val="nil"/>
          <w:left w:val="nil"/>
          <w:bottom w:val="nil"/>
          <w:right w:val="nil"/>
          <w:between w:val="nil"/>
          <w:bar w:val="nil"/>
        </w:pBdr>
        <w:spacing w:after="0" w:line="280" w:lineRule="exact"/>
        <w:jc w:val="both"/>
        <w:rPr>
          <w:b/>
          <w:bCs/>
          <w:sz w:val="24"/>
          <w:szCs w:val="24"/>
          <w:lang w:val="en-US"/>
        </w:rPr>
      </w:pPr>
      <w:r w:rsidRPr="00C35791">
        <w:rPr>
          <w:b/>
          <w:bCs/>
          <w:sz w:val="24"/>
          <w:szCs w:val="24"/>
          <w:lang w:val="en-US"/>
        </w:rPr>
        <w:t xml:space="preserve">Question 51. What role do </w:t>
      </w:r>
      <w:proofErr w:type="gramStart"/>
      <w:r w:rsidRPr="00C35791">
        <w:rPr>
          <w:b/>
          <w:bCs/>
          <w:sz w:val="24"/>
          <w:szCs w:val="24"/>
          <w:lang w:val="en-US"/>
        </w:rPr>
        <w:t>concentrated</w:t>
      </w:r>
      <w:proofErr w:type="gramEnd"/>
      <w:r w:rsidRPr="00C35791">
        <w:rPr>
          <w:b/>
          <w:bCs/>
          <w:sz w:val="24"/>
          <w:szCs w:val="24"/>
          <w:lang w:val="en-US"/>
        </w:rPr>
        <w:t xml:space="preserve"> intraday positions have in triggering high volatility and heightening risks of liquidity dry-ups? Please justify your response and suggest how the regulatory framework and the functioning of these markets could be further </w:t>
      </w:r>
      <w:proofErr w:type="gramStart"/>
      <w:r w:rsidRPr="00C35791">
        <w:rPr>
          <w:b/>
          <w:bCs/>
          <w:sz w:val="24"/>
          <w:szCs w:val="24"/>
          <w:lang w:val="en-US"/>
        </w:rPr>
        <w:t>improved?</w:t>
      </w:r>
      <w:proofErr w:type="gramEnd"/>
    </w:p>
    <w:p w14:paraId="65A784BA" w14:textId="77777777" w:rsidR="00C35791" w:rsidRDefault="00C35791" w:rsidP="001C776B">
      <w:pPr>
        <w:pBdr>
          <w:top w:val="nil"/>
          <w:left w:val="nil"/>
          <w:bottom w:val="nil"/>
          <w:right w:val="nil"/>
          <w:between w:val="nil"/>
          <w:bar w:val="nil"/>
        </w:pBdr>
        <w:spacing w:after="0" w:line="280" w:lineRule="exact"/>
        <w:jc w:val="both"/>
        <w:rPr>
          <w:b/>
          <w:bCs/>
          <w:sz w:val="24"/>
          <w:szCs w:val="24"/>
          <w:lang w:val="en-US"/>
        </w:rPr>
      </w:pPr>
    </w:p>
    <w:p w14:paraId="0330318D" w14:textId="77777777" w:rsidR="00705572" w:rsidRDefault="00705572" w:rsidP="001C776B">
      <w:pPr>
        <w:pBdr>
          <w:top w:val="nil"/>
          <w:left w:val="nil"/>
          <w:bottom w:val="nil"/>
          <w:right w:val="nil"/>
          <w:between w:val="nil"/>
          <w:bar w:val="nil"/>
        </w:pBdr>
        <w:spacing w:after="0" w:line="280" w:lineRule="exact"/>
        <w:jc w:val="both"/>
        <w:rPr>
          <w:b/>
          <w:bCs/>
          <w:sz w:val="24"/>
          <w:szCs w:val="24"/>
          <w:lang w:val="en-US"/>
        </w:rPr>
      </w:pPr>
    </w:p>
    <w:p w14:paraId="014C394C" w14:textId="26D37AF0" w:rsidR="00C35791" w:rsidRPr="00705572" w:rsidRDefault="00705572" w:rsidP="001C776B">
      <w:pPr>
        <w:pBdr>
          <w:top w:val="nil"/>
          <w:left w:val="nil"/>
          <w:bottom w:val="nil"/>
          <w:right w:val="nil"/>
          <w:between w:val="nil"/>
          <w:bar w:val="nil"/>
        </w:pBdr>
        <w:spacing w:after="0" w:line="280" w:lineRule="exact"/>
        <w:jc w:val="both"/>
        <w:rPr>
          <w:b/>
          <w:bCs/>
          <w:sz w:val="24"/>
          <w:szCs w:val="24"/>
          <w:u w:val="single"/>
          <w:lang w:val="en-US"/>
        </w:rPr>
      </w:pPr>
      <w:r w:rsidRPr="00705572">
        <w:rPr>
          <w:b/>
          <w:bCs/>
          <w:sz w:val="24"/>
          <w:szCs w:val="24"/>
          <w:u w:val="single"/>
          <w:lang w:val="en-US"/>
        </w:rPr>
        <w:t>5. Monitoring interconnectedness</w:t>
      </w:r>
    </w:p>
    <w:p w14:paraId="59AB263A" w14:textId="77777777" w:rsidR="00705572" w:rsidRDefault="00705572" w:rsidP="001C776B">
      <w:pPr>
        <w:pBdr>
          <w:top w:val="nil"/>
          <w:left w:val="nil"/>
          <w:bottom w:val="nil"/>
          <w:right w:val="nil"/>
          <w:between w:val="nil"/>
          <w:bar w:val="nil"/>
        </w:pBdr>
        <w:spacing w:after="0" w:line="280" w:lineRule="exact"/>
        <w:jc w:val="both"/>
        <w:rPr>
          <w:b/>
          <w:bCs/>
          <w:sz w:val="24"/>
          <w:szCs w:val="24"/>
          <w:lang w:val="en-US"/>
        </w:rPr>
      </w:pPr>
    </w:p>
    <w:p w14:paraId="331179DA" w14:textId="77777777" w:rsidR="007B6237" w:rsidRDefault="007B6237" w:rsidP="001C776B">
      <w:pPr>
        <w:pBdr>
          <w:top w:val="nil"/>
          <w:left w:val="nil"/>
          <w:bottom w:val="nil"/>
          <w:right w:val="nil"/>
          <w:between w:val="nil"/>
          <w:bar w:val="nil"/>
        </w:pBdr>
        <w:spacing w:after="0" w:line="280" w:lineRule="exact"/>
        <w:jc w:val="both"/>
        <w:rPr>
          <w:b/>
          <w:bCs/>
          <w:sz w:val="24"/>
          <w:szCs w:val="24"/>
          <w:lang w:val="en-US"/>
        </w:rPr>
      </w:pPr>
      <w:r w:rsidRPr="007B6237">
        <w:rPr>
          <w:b/>
          <w:bCs/>
          <w:sz w:val="24"/>
          <w:szCs w:val="24"/>
          <w:lang w:val="en-US"/>
        </w:rPr>
        <w:t>Question 52. Do you have concrete examples of links between banks and NBFIs, or between different NBFI sectors that could pose a risk to the financial system?</w:t>
      </w:r>
    </w:p>
    <w:p w14:paraId="6A198C7C" w14:textId="77777777" w:rsidR="007B6237" w:rsidRPr="007B6237" w:rsidRDefault="007B6237" w:rsidP="001C776B">
      <w:pPr>
        <w:pBdr>
          <w:top w:val="nil"/>
          <w:left w:val="nil"/>
          <w:bottom w:val="nil"/>
          <w:right w:val="nil"/>
          <w:between w:val="nil"/>
          <w:bar w:val="nil"/>
        </w:pBdr>
        <w:spacing w:after="0" w:line="280" w:lineRule="exact"/>
        <w:jc w:val="both"/>
        <w:rPr>
          <w:b/>
          <w:bCs/>
          <w:sz w:val="24"/>
          <w:szCs w:val="24"/>
          <w:lang w:val="en-US"/>
        </w:rPr>
      </w:pPr>
    </w:p>
    <w:p w14:paraId="6AEFC816" w14:textId="77777777" w:rsidR="007B6237" w:rsidRDefault="007B6237" w:rsidP="001C776B">
      <w:pPr>
        <w:pBdr>
          <w:top w:val="nil"/>
          <w:left w:val="nil"/>
          <w:bottom w:val="nil"/>
          <w:right w:val="nil"/>
          <w:between w:val="nil"/>
          <w:bar w:val="nil"/>
        </w:pBdr>
        <w:spacing w:after="0" w:line="280" w:lineRule="exact"/>
        <w:jc w:val="both"/>
        <w:rPr>
          <w:b/>
          <w:bCs/>
          <w:sz w:val="24"/>
          <w:szCs w:val="24"/>
          <w:lang w:val="en-US"/>
        </w:rPr>
      </w:pPr>
      <w:r w:rsidRPr="007B6237">
        <w:rPr>
          <w:b/>
          <w:bCs/>
          <w:sz w:val="24"/>
          <w:szCs w:val="24"/>
          <w:lang w:val="en-US"/>
        </w:rPr>
        <w:t>Question 53. What are the benefits and costs of a regular EU system-wide stress test across NBFI and banking sectors? Are current reporting and data sharing arrangements sufficient to</w:t>
      </w:r>
      <w:r>
        <w:rPr>
          <w:b/>
          <w:bCs/>
          <w:sz w:val="24"/>
          <w:szCs w:val="24"/>
          <w:lang w:val="en-US"/>
        </w:rPr>
        <w:t xml:space="preserve"> </w:t>
      </w:r>
      <w:r w:rsidRPr="007B6237">
        <w:rPr>
          <w:b/>
          <w:bCs/>
          <w:sz w:val="24"/>
          <w:szCs w:val="24"/>
          <w:lang w:val="en-US"/>
        </w:rPr>
        <w:t>perform this task? Would it be possible to combine available NBFI data with banking data? If so, how?</w:t>
      </w:r>
    </w:p>
    <w:p w14:paraId="66AD2E4B" w14:textId="77777777" w:rsidR="009B73BC" w:rsidRPr="00996921" w:rsidRDefault="009B73BC" w:rsidP="009B73BC">
      <w:pPr>
        <w:pBdr>
          <w:top w:val="nil"/>
          <w:left w:val="nil"/>
          <w:bottom w:val="nil"/>
          <w:right w:val="nil"/>
          <w:between w:val="nil"/>
          <w:bar w:val="nil"/>
        </w:pBdr>
        <w:spacing w:after="0" w:line="280" w:lineRule="exact"/>
        <w:jc w:val="both"/>
        <w:rPr>
          <w:b/>
          <w:bCs/>
          <w:sz w:val="24"/>
          <w:szCs w:val="24"/>
          <w:lang w:val="en-US"/>
        </w:rPr>
      </w:pPr>
    </w:p>
    <w:p w14:paraId="45464B9D" w14:textId="11F969E0" w:rsidR="005237C1" w:rsidRDefault="007855E6" w:rsidP="009B73B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bookmarkStart w:id="2" w:name="_Hlk182833579"/>
      <w:r>
        <w:rPr>
          <w:sz w:val="24"/>
          <w:szCs w:val="24"/>
          <w:lang w:val="en-US"/>
        </w:rPr>
        <w:t>From a theor</w:t>
      </w:r>
      <w:r w:rsidR="00167E1C">
        <w:rPr>
          <w:sz w:val="24"/>
          <w:szCs w:val="24"/>
          <w:lang w:val="en-US"/>
        </w:rPr>
        <w:t xml:space="preserve">etical point of view, regular </w:t>
      </w:r>
      <w:r w:rsidR="005C5DE4" w:rsidRPr="00BD2DDC">
        <w:rPr>
          <w:sz w:val="24"/>
          <w:szCs w:val="24"/>
          <w:lang w:val="en-US"/>
        </w:rPr>
        <w:t>EU system-wide stress tests could be a beneficial exercise</w:t>
      </w:r>
      <w:r w:rsidR="005C5DE4">
        <w:rPr>
          <w:sz w:val="24"/>
          <w:szCs w:val="24"/>
          <w:lang w:val="en-US"/>
        </w:rPr>
        <w:t xml:space="preserve"> if </w:t>
      </w:r>
      <w:r w:rsidR="00B05C51">
        <w:rPr>
          <w:sz w:val="24"/>
          <w:szCs w:val="24"/>
          <w:lang w:val="en-US"/>
        </w:rPr>
        <w:t xml:space="preserve">it </w:t>
      </w:r>
      <w:r w:rsidR="00C07541" w:rsidRPr="00C07541">
        <w:rPr>
          <w:sz w:val="24"/>
          <w:szCs w:val="24"/>
          <w:lang w:val="en-US"/>
        </w:rPr>
        <w:t xml:space="preserve">will help </w:t>
      </w:r>
      <w:r w:rsidR="00C03F34" w:rsidRPr="00C03F34">
        <w:rPr>
          <w:sz w:val="24"/>
          <w:szCs w:val="24"/>
          <w:lang w:val="en-US"/>
        </w:rPr>
        <w:t>authorities and market participants</w:t>
      </w:r>
      <w:r w:rsidR="00C07541" w:rsidRPr="00C07541">
        <w:rPr>
          <w:sz w:val="24"/>
          <w:szCs w:val="24"/>
          <w:lang w:val="en-US"/>
        </w:rPr>
        <w:t xml:space="preserve"> </w:t>
      </w:r>
      <w:r w:rsidR="00DB6112">
        <w:rPr>
          <w:sz w:val="24"/>
          <w:szCs w:val="24"/>
          <w:lang w:val="en-US"/>
        </w:rPr>
        <w:t xml:space="preserve">to have more insight </w:t>
      </w:r>
      <w:proofErr w:type="gramStart"/>
      <w:r w:rsidR="00DB6112">
        <w:rPr>
          <w:sz w:val="24"/>
          <w:szCs w:val="24"/>
          <w:lang w:val="en-US"/>
        </w:rPr>
        <w:t>on</w:t>
      </w:r>
      <w:proofErr w:type="gramEnd"/>
      <w:r w:rsidR="00DB6112">
        <w:rPr>
          <w:sz w:val="24"/>
          <w:szCs w:val="24"/>
          <w:lang w:val="en-US"/>
        </w:rPr>
        <w:t xml:space="preserve"> </w:t>
      </w:r>
      <w:r w:rsidR="00C07541" w:rsidRPr="00C07541">
        <w:rPr>
          <w:sz w:val="24"/>
          <w:szCs w:val="24"/>
          <w:lang w:val="en-US"/>
        </w:rPr>
        <w:t xml:space="preserve">how </w:t>
      </w:r>
      <w:r w:rsidR="00C03F34">
        <w:rPr>
          <w:sz w:val="24"/>
          <w:szCs w:val="24"/>
          <w:lang w:val="en-US"/>
        </w:rPr>
        <w:t>all market participants (</w:t>
      </w:r>
      <w:r w:rsidR="00C07541" w:rsidRPr="00C07541">
        <w:rPr>
          <w:sz w:val="24"/>
          <w:szCs w:val="24"/>
          <w:lang w:val="en-US"/>
        </w:rPr>
        <w:t>banks and NBFIs</w:t>
      </w:r>
      <w:r w:rsidR="00C03F34">
        <w:rPr>
          <w:sz w:val="24"/>
          <w:szCs w:val="24"/>
          <w:lang w:val="en-US"/>
        </w:rPr>
        <w:t>)</w:t>
      </w:r>
      <w:r w:rsidR="00C07541" w:rsidRPr="00C07541">
        <w:rPr>
          <w:sz w:val="24"/>
          <w:szCs w:val="24"/>
          <w:lang w:val="en-US"/>
        </w:rPr>
        <w:t xml:space="preserve"> behave during </w:t>
      </w:r>
      <w:r w:rsidR="008B5EC7">
        <w:rPr>
          <w:sz w:val="24"/>
          <w:szCs w:val="24"/>
          <w:lang w:val="en-US"/>
        </w:rPr>
        <w:t>certain scenario</w:t>
      </w:r>
      <w:r w:rsidR="00C07541" w:rsidRPr="00C07541">
        <w:rPr>
          <w:sz w:val="24"/>
          <w:szCs w:val="24"/>
          <w:lang w:val="en-US"/>
        </w:rPr>
        <w:t xml:space="preserve">, and how their </w:t>
      </w:r>
      <w:r w:rsidR="002B2499">
        <w:rPr>
          <w:sz w:val="24"/>
          <w:szCs w:val="24"/>
          <w:lang w:val="en-US"/>
        </w:rPr>
        <w:t xml:space="preserve">possible </w:t>
      </w:r>
      <w:r w:rsidR="00C07541" w:rsidRPr="00C07541">
        <w:rPr>
          <w:sz w:val="24"/>
          <w:szCs w:val="24"/>
          <w:lang w:val="en-US"/>
        </w:rPr>
        <w:t xml:space="preserve">interactions might amplify shocks to the </w:t>
      </w:r>
      <w:r w:rsidR="007D4795">
        <w:rPr>
          <w:sz w:val="24"/>
          <w:szCs w:val="24"/>
          <w:lang w:val="en-US"/>
        </w:rPr>
        <w:t>EU</w:t>
      </w:r>
      <w:r w:rsidR="00C07541" w:rsidRPr="00C07541">
        <w:rPr>
          <w:sz w:val="24"/>
          <w:szCs w:val="24"/>
          <w:lang w:val="en-US"/>
        </w:rPr>
        <w:t xml:space="preserve"> financial system.</w:t>
      </w:r>
      <w:r w:rsidR="00D14CC4">
        <w:rPr>
          <w:sz w:val="24"/>
          <w:szCs w:val="24"/>
          <w:lang w:val="en-US"/>
        </w:rPr>
        <w:t xml:space="preserve"> </w:t>
      </w:r>
    </w:p>
    <w:p w14:paraId="56C9B5DF" w14:textId="77777777" w:rsidR="009B73BC" w:rsidRDefault="009B73BC" w:rsidP="009B73B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75DCDED6" w14:textId="14E7350B" w:rsidR="00585104" w:rsidRPr="00A30EA9" w:rsidRDefault="00D22F98" w:rsidP="00585104">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D22F98">
        <w:rPr>
          <w:sz w:val="24"/>
          <w:szCs w:val="24"/>
          <w:lang w:val="en-US"/>
        </w:rPr>
        <w:t>However,</w:t>
      </w:r>
      <w:r w:rsidR="00F76CF5">
        <w:rPr>
          <w:sz w:val="24"/>
          <w:szCs w:val="24"/>
          <w:lang w:val="en-US"/>
        </w:rPr>
        <w:t xml:space="preserve"> d</w:t>
      </w:r>
      <w:r w:rsidR="0068727D" w:rsidRPr="0068727D">
        <w:rPr>
          <w:sz w:val="24"/>
          <w:szCs w:val="24"/>
          <w:lang w:val="en-US"/>
        </w:rPr>
        <w:t>ue to sig</w:t>
      </w:r>
      <w:r w:rsidR="0068727D" w:rsidRPr="00A30EA9">
        <w:rPr>
          <w:sz w:val="24"/>
          <w:szCs w:val="24"/>
          <w:lang w:val="en-US"/>
        </w:rPr>
        <w:t>nificant limitations and challenges</w:t>
      </w:r>
      <w:r w:rsidR="00635FE0">
        <w:rPr>
          <w:sz w:val="24"/>
          <w:szCs w:val="24"/>
          <w:lang w:val="en-US"/>
        </w:rPr>
        <w:t xml:space="preserve"> of system</w:t>
      </w:r>
      <w:r w:rsidR="00187056">
        <w:rPr>
          <w:sz w:val="24"/>
          <w:szCs w:val="24"/>
          <w:lang w:val="en-US"/>
        </w:rPr>
        <w:t>-wide</w:t>
      </w:r>
      <w:r w:rsidR="00635FE0">
        <w:rPr>
          <w:sz w:val="24"/>
          <w:szCs w:val="24"/>
          <w:lang w:val="en-US"/>
        </w:rPr>
        <w:t xml:space="preserve"> stress test modelling</w:t>
      </w:r>
      <w:r w:rsidR="0068727D" w:rsidRPr="00A30EA9">
        <w:rPr>
          <w:sz w:val="24"/>
          <w:szCs w:val="24"/>
          <w:lang w:val="en-US"/>
        </w:rPr>
        <w:t>, this exercise should not underpin macroprudential policy decisions</w:t>
      </w:r>
      <w:bookmarkEnd w:id="2"/>
      <w:r w:rsidR="0068727D" w:rsidRPr="00A30EA9">
        <w:rPr>
          <w:sz w:val="24"/>
          <w:szCs w:val="24"/>
          <w:lang w:val="en-US"/>
        </w:rPr>
        <w:t>.</w:t>
      </w:r>
    </w:p>
    <w:p w14:paraId="59A0CE53" w14:textId="77777777" w:rsidR="0068727D" w:rsidRPr="00A30EA9" w:rsidRDefault="0068727D" w:rsidP="00585104">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4444099B" w14:textId="074C4DC8" w:rsidR="008C33A0" w:rsidRDefault="00A30EA9" w:rsidP="00585104">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A30EA9">
        <w:rPr>
          <w:sz w:val="24"/>
          <w:szCs w:val="24"/>
          <w:lang w:val="en-US"/>
        </w:rPr>
        <w:t xml:space="preserve">While we acknowledge the importance of comprehensive and consistent reporting, we contend that system-wide stress tests should prioritize the analysis of dynamic market </w:t>
      </w:r>
      <w:r w:rsidR="007D39BC" w:rsidRPr="00A30EA9">
        <w:rPr>
          <w:sz w:val="24"/>
          <w:szCs w:val="24"/>
          <w:lang w:val="en-US"/>
        </w:rPr>
        <w:t>conditions,</w:t>
      </w:r>
      <w:r w:rsidR="008F3F4E">
        <w:rPr>
          <w:sz w:val="24"/>
          <w:szCs w:val="24"/>
          <w:lang w:val="en-US"/>
        </w:rPr>
        <w:t xml:space="preserve"> and no </w:t>
      </w:r>
      <w:r w:rsidR="00707A8F">
        <w:rPr>
          <w:sz w:val="24"/>
          <w:szCs w:val="24"/>
          <w:lang w:val="en-US"/>
        </w:rPr>
        <w:t xml:space="preserve">ad hoc information </w:t>
      </w:r>
      <w:r w:rsidR="004277D0">
        <w:rPr>
          <w:sz w:val="24"/>
          <w:szCs w:val="24"/>
          <w:lang w:val="en-US"/>
        </w:rPr>
        <w:t>should be requested</w:t>
      </w:r>
      <w:r w:rsidR="00AB2674">
        <w:rPr>
          <w:sz w:val="24"/>
          <w:szCs w:val="24"/>
          <w:lang w:val="en-US"/>
        </w:rPr>
        <w:t xml:space="preserve"> at the fund industry</w:t>
      </w:r>
      <w:r w:rsidRPr="00A30EA9">
        <w:rPr>
          <w:sz w:val="24"/>
          <w:szCs w:val="24"/>
          <w:lang w:val="en-US"/>
        </w:rPr>
        <w:t xml:space="preserve">. </w:t>
      </w:r>
    </w:p>
    <w:p w14:paraId="599FCDDD" w14:textId="77777777" w:rsidR="008C33A0" w:rsidRDefault="008C33A0" w:rsidP="00585104">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35C03583" w14:textId="141843E6" w:rsidR="00412918" w:rsidRDefault="004D4EFB" w:rsidP="00585104">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lastRenderedPageBreak/>
        <w:t xml:space="preserve">Investments funds </w:t>
      </w:r>
      <w:r w:rsidR="00412918" w:rsidRPr="00A30EA9">
        <w:rPr>
          <w:sz w:val="24"/>
          <w:szCs w:val="24"/>
          <w:lang w:val="en-US"/>
        </w:rPr>
        <w:t>already provide a substantial amount of data to authorities through various reporting regimes. This data should be sufficient to analyze the mechanisms that contributed to recent</w:t>
      </w:r>
      <w:r w:rsidR="00412918" w:rsidRPr="002D73E4">
        <w:rPr>
          <w:sz w:val="24"/>
          <w:szCs w:val="24"/>
          <w:lang w:val="en-US"/>
        </w:rPr>
        <w:t xml:space="preserve"> crises.</w:t>
      </w:r>
    </w:p>
    <w:p w14:paraId="3ACD3A67" w14:textId="77777777" w:rsidR="007B71A9" w:rsidRDefault="007B71A9" w:rsidP="00585104">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6FA0D129" w14:textId="77777777" w:rsidR="00D65692" w:rsidRPr="002D73E4" w:rsidRDefault="00D65692" w:rsidP="002D73E4">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1F640F9F" w14:textId="77777777" w:rsidR="00304F43" w:rsidRDefault="00304F43" w:rsidP="001C776B">
      <w:pPr>
        <w:pBdr>
          <w:top w:val="nil"/>
          <w:left w:val="nil"/>
          <w:bottom w:val="nil"/>
          <w:right w:val="nil"/>
          <w:between w:val="nil"/>
          <w:bar w:val="nil"/>
        </w:pBdr>
        <w:spacing w:after="0" w:line="280" w:lineRule="exact"/>
        <w:jc w:val="both"/>
        <w:rPr>
          <w:b/>
          <w:bCs/>
          <w:sz w:val="24"/>
          <w:szCs w:val="24"/>
          <w:lang w:val="en-US"/>
        </w:rPr>
      </w:pPr>
    </w:p>
    <w:p w14:paraId="0BDBED3B" w14:textId="77875F68" w:rsidR="007B6237" w:rsidRDefault="007B6237" w:rsidP="001C776B">
      <w:pPr>
        <w:pBdr>
          <w:top w:val="nil"/>
          <w:left w:val="nil"/>
          <w:bottom w:val="nil"/>
          <w:right w:val="nil"/>
          <w:between w:val="nil"/>
          <w:bar w:val="nil"/>
        </w:pBdr>
        <w:spacing w:after="0" w:line="280" w:lineRule="exact"/>
        <w:jc w:val="both"/>
        <w:rPr>
          <w:b/>
          <w:bCs/>
          <w:sz w:val="24"/>
          <w:szCs w:val="24"/>
          <w:lang w:val="en-US"/>
        </w:rPr>
      </w:pPr>
      <w:r w:rsidRPr="007B6237">
        <w:rPr>
          <w:b/>
          <w:bCs/>
          <w:sz w:val="24"/>
          <w:szCs w:val="24"/>
          <w:lang w:val="en-US"/>
        </w:rPr>
        <w:t xml:space="preserve">Question 54. Is there a need for arrangements between NBFI supervisors and bank supervisors to ensure timely and comprehensive sharing of data for the conduct of an EU-wide financial system stress </w:t>
      </w:r>
      <w:proofErr w:type="gramStart"/>
      <w:r w:rsidRPr="007B6237">
        <w:rPr>
          <w:b/>
          <w:bCs/>
          <w:sz w:val="24"/>
          <w:szCs w:val="24"/>
          <w:lang w:val="en-US"/>
        </w:rPr>
        <w:t>tests</w:t>
      </w:r>
      <w:proofErr w:type="gramEnd"/>
      <w:r w:rsidRPr="007B6237">
        <w:rPr>
          <w:b/>
          <w:bCs/>
          <w:sz w:val="24"/>
          <w:szCs w:val="24"/>
          <w:lang w:val="en-US"/>
        </w:rPr>
        <w:t>? Please elaborate.</w:t>
      </w:r>
    </w:p>
    <w:p w14:paraId="7E86FA0C" w14:textId="77777777" w:rsidR="00362AD9" w:rsidRDefault="00362AD9" w:rsidP="001C776B">
      <w:pPr>
        <w:pBdr>
          <w:top w:val="nil"/>
          <w:left w:val="nil"/>
          <w:bottom w:val="nil"/>
          <w:right w:val="nil"/>
          <w:between w:val="nil"/>
          <w:bar w:val="nil"/>
        </w:pBdr>
        <w:spacing w:after="0" w:line="280" w:lineRule="exact"/>
        <w:jc w:val="both"/>
        <w:rPr>
          <w:b/>
          <w:bCs/>
          <w:sz w:val="24"/>
          <w:szCs w:val="24"/>
          <w:lang w:val="en-US"/>
        </w:rPr>
      </w:pPr>
    </w:p>
    <w:p w14:paraId="0F28A004" w14:textId="77777777" w:rsidR="007B6237" w:rsidRDefault="007B6237" w:rsidP="001C776B">
      <w:pPr>
        <w:pBdr>
          <w:top w:val="nil"/>
          <w:left w:val="nil"/>
          <w:bottom w:val="nil"/>
          <w:right w:val="nil"/>
          <w:between w:val="nil"/>
          <w:bar w:val="nil"/>
        </w:pBdr>
        <w:spacing w:after="0" w:line="280" w:lineRule="exact"/>
        <w:jc w:val="both"/>
        <w:rPr>
          <w:b/>
          <w:bCs/>
          <w:sz w:val="24"/>
          <w:szCs w:val="24"/>
          <w:lang w:val="en-US"/>
        </w:rPr>
      </w:pPr>
      <w:r w:rsidRPr="007B6237">
        <w:rPr>
          <w:b/>
          <w:bCs/>
          <w:sz w:val="24"/>
          <w:szCs w:val="24"/>
          <w:lang w:val="en-US"/>
        </w:rPr>
        <w:t>Question 55. What governance principles already laid out in existing system-wide exercises in the EU, such as the one-off Fit-for-55 climate risk scenario analysis or the CCP stress tests conducted by ESMA, could be adopted in such system-wide stress test scenario?</w:t>
      </w:r>
    </w:p>
    <w:p w14:paraId="17F33CBA" w14:textId="77777777" w:rsidR="007B6237" w:rsidRPr="007B6237" w:rsidRDefault="007B6237" w:rsidP="001C776B">
      <w:pPr>
        <w:pBdr>
          <w:top w:val="nil"/>
          <w:left w:val="nil"/>
          <w:bottom w:val="nil"/>
          <w:right w:val="nil"/>
          <w:between w:val="nil"/>
          <w:bar w:val="nil"/>
        </w:pBdr>
        <w:spacing w:after="0" w:line="280" w:lineRule="exact"/>
        <w:jc w:val="both"/>
        <w:rPr>
          <w:b/>
          <w:bCs/>
          <w:sz w:val="24"/>
          <w:szCs w:val="24"/>
          <w:lang w:val="en-US"/>
        </w:rPr>
      </w:pPr>
    </w:p>
    <w:p w14:paraId="1D15E26C" w14:textId="248F7A0B" w:rsidR="00705572" w:rsidRDefault="007B6237" w:rsidP="001C776B">
      <w:pPr>
        <w:pBdr>
          <w:top w:val="nil"/>
          <w:left w:val="nil"/>
          <w:bottom w:val="nil"/>
          <w:right w:val="nil"/>
          <w:between w:val="nil"/>
          <w:bar w:val="nil"/>
        </w:pBdr>
        <w:spacing w:after="0" w:line="280" w:lineRule="exact"/>
        <w:jc w:val="both"/>
        <w:rPr>
          <w:b/>
          <w:bCs/>
          <w:sz w:val="24"/>
          <w:szCs w:val="24"/>
          <w:lang w:val="en-US"/>
        </w:rPr>
      </w:pPr>
      <w:r w:rsidRPr="007B6237">
        <w:rPr>
          <w:b/>
          <w:bCs/>
          <w:sz w:val="24"/>
          <w:szCs w:val="24"/>
          <w:lang w:val="en-US"/>
        </w:rPr>
        <w:t xml:space="preserve">Question 56. [To NBFIs and banks] In your risk management practices, do you run stress tests at group level, </w:t>
      </w:r>
      <w:proofErr w:type="gramStart"/>
      <w:r w:rsidRPr="007B6237">
        <w:rPr>
          <w:b/>
          <w:bCs/>
          <w:sz w:val="24"/>
          <w:szCs w:val="24"/>
          <w:lang w:val="en-US"/>
        </w:rPr>
        <w:t>and do you</w:t>
      </w:r>
      <w:proofErr w:type="gramEnd"/>
      <w:r w:rsidRPr="007B6237">
        <w:rPr>
          <w:b/>
          <w:bCs/>
          <w:sz w:val="24"/>
          <w:szCs w:val="24"/>
          <w:lang w:val="en-US"/>
        </w:rPr>
        <w:t xml:space="preserve"> monitor the level of interconnectedness with (other) NBFIs (within and beyond your own </w:t>
      </w:r>
      <w:proofErr w:type="gramStart"/>
      <w:r w:rsidRPr="007B6237">
        <w:rPr>
          <w:b/>
          <w:bCs/>
          <w:sz w:val="24"/>
          <w:szCs w:val="24"/>
          <w:lang w:val="en-US"/>
        </w:rPr>
        <w:t>sector;</w:t>
      </w:r>
      <w:proofErr w:type="gramEnd"/>
      <w:r w:rsidRPr="007B6237">
        <w:rPr>
          <w:b/>
          <w:bCs/>
          <w:sz w:val="24"/>
          <w:szCs w:val="24"/>
          <w:lang w:val="en-US"/>
        </w:rPr>
        <w:t xml:space="preserve"> e.g. portfolio overlaps)?</w:t>
      </w:r>
    </w:p>
    <w:p w14:paraId="5BC06744" w14:textId="77777777" w:rsidR="00A066AF" w:rsidRDefault="00A066AF" w:rsidP="001C776B">
      <w:pPr>
        <w:pBdr>
          <w:top w:val="nil"/>
          <w:left w:val="nil"/>
          <w:bottom w:val="nil"/>
          <w:right w:val="nil"/>
          <w:between w:val="nil"/>
          <w:bar w:val="nil"/>
        </w:pBdr>
        <w:spacing w:after="0" w:line="280" w:lineRule="exact"/>
        <w:jc w:val="both"/>
        <w:rPr>
          <w:b/>
          <w:bCs/>
          <w:sz w:val="24"/>
          <w:szCs w:val="24"/>
          <w:lang w:val="en-US"/>
        </w:rPr>
      </w:pPr>
    </w:p>
    <w:p w14:paraId="3F18FE31" w14:textId="77777777" w:rsidR="00CB336D" w:rsidRDefault="00CB336D" w:rsidP="001C776B">
      <w:pPr>
        <w:pBdr>
          <w:top w:val="nil"/>
          <w:left w:val="nil"/>
          <w:bottom w:val="nil"/>
          <w:right w:val="nil"/>
          <w:between w:val="nil"/>
          <w:bar w:val="nil"/>
        </w:pBdr>
        <w:spacing w:after="0" w:line="280" w:lineRule="exact"/>
        <w:jc w:val="both"/>
        <w:rPr>
          <w:b/>
          <w:bCs/>
          <w:sz w:val="24"/>
          <w:szCs w:val="24"/>
          <w:lang w:val="en-US"/>
        </w:rPr>
      </w:pPr>
    </w:p>
    <w:p w14:paraId="6C0A734C" w14:textId="77777777" w:rsidR="00A066AF" w:rsidRPr="00A066AF" w:rsidRDefault="00A066AF" w:rsidP="001C776B">
      <w:pPr>
        <w:pBdr>
          <w:top w:val="nil"/>
          <w:left w:val="nil"/>
          <w:bottom w:val="nil"/>
          <w:right w:val="nil"/>
          <w:between w:val="nil"/>
          <w:bar w:val="nil"/>
        </w:pBdr>
        <w:spacing w:after="0" w:line="280" w:lineRule="exact"/>
        <w:jc w:val="both"/>
        <w:rPr>
          <w:b/>
          <w:bCs/>
          <w:sz w:val="24"/>
          <w:szCs w:val="24"/>
          <w:u w:val="single"/>
          <w:lang w:val="en-US"/>
        </w:rPr>
      </w:pPr>
      <w:r w:rsidRPr="00A066AF">
        <w:rPr>
          <w:b/>
          <w:bCs/>
          <w:sz w:val="24"/>
          <w:szCs w:val="24"/>
          <w:u w:val="single"/>
          <w:lang w:val="en-US"/>
        </w:rPr>
        <w:t>6. Supervisory coordination and consistency at EU level</w:t>
      </w:r>
    </w:p>
    <w:p w14:paraId="2CA75D16" w14:textId="77777777" w:rsidR="00A066AF" w:rsidRPr="00A066AF" w:rsidRDefault="00A066AF" w:rsidP="001C776B">
      <w:pPr>
        <w:pBdr>
          <w:top w:val="nil"/>
          <w:left w:val="nil"/>
          <w:bottom w:val="nil"/>
          <w:right w:val="nil"/>
          <w:between w:val="nil"/>
          <w:bar w:val="nil"/>
        </w:pBdr>
        <w:spacing w:after="0" w:line="280" w:lineRule="exact"/>
        <w:jc w:val="both"/>
        <w:rPr>
          <w:b/>
          <w:bCs/>
          <w:sz w:val="24"/>
          <w:szCs w:val="24"/>
          <w:u w:val="single"/>
          <w:lang w:val="en-US"/>
        </w:rPr>
      </w:pPr>
    </w:p>
    <w:p w14:paraId="50D83BF9" w14:textId="67F6178E" w:rsidR="00A066AF" w:rsidRDefault="00A066AF" w:rsidP="001C776B">
      <w:pPr>
        <w:pBdr>
          <w:top w:val="nil"/>
          <w:left w:val="nil"/>
          <w:bottom w:val="nil"/>
          <w:right w:val="nil"/>
          <w:between w:val="nil"/>
          <w:bar w:val="nil"/>
        </w:pBdr>
        <w:spacing w:after="0" w:line="280" w:lineRule="exact"/>
        <w:jc w:val="both"/>
        <w:rPr>
          <w:b/>
          <w:bCs/>
          <w:sz w:val="24"/>
          <w:szCs w:val="24"/>
          <w:u w:val="single"/>
          <w:lang w:val="en-US"/>
        </w:rPr>
      </w:pPr>
      <w:r w:rsidRPr="00A066AF">
        <w:rPr>
          <w:b/>
          <w:bCs/>
          <w:sz w:val="24"/>
          <w:szCs w:val="24"/>
          <w:u w:val="single"/>
          <w:lang w:val="en-US"/>
        </w:rPr>
        <w:t>6.1 Open-ended funds (OEFs)</w:t>
      </w:r>
    </w:p>
    <w:p w14:paraId="2754BCBF" w14:textId="77777777" w:rsidR="00A066AF" w:rsidRDefault="00A066AF" w:rsidP="001C776B">
      <w:pPr>
        <w:pBdr>
          <w:top w:val="nil"/>
          <w:left w:val="nil"/>
          <w:bottom w:val="nil"/>
          <w:right w:val="nil"/>
          <w:between w:val="nil"/>
          <w:bar w:val="nil"/>
        </w:pBdr>
        <w:spacing w:after="0" w:line="280" w:lineRule="exact"/>
        <w:jc w:val="both"/>
        <w:rPr>
          <w:b/>
          <w:bCs/>
          <w:sz w:val="24"/>
          <w:szCs w:val="24"/>
          <w:lang w:val="en-US"/>
        </w:rPr>
      </w:pPr>
    </w:p>
    <w:p w14:paraId="19DABB2A" w14:textId="77777777" w:rsidR="001C776B" w:rsidRDefault="001C776B" w:rsidP="001C776B">
      <w:pPr>
        <w:pBdr>
          <w:top w:val="nil"/>
          <w:left w:val="nil"/>
          <w:bottom w:val="nil"/>
          <w:right w:val="nil"/>
          <w:between w:val="nil"/>
          <w:bar w:val="nil"/>
        </w:pBdr>
        <w:spacing w:after="0" w:line="280" w:lineRule="exact"/>
        <w:jc w:val="both"/>
        <w:rPr>
          <w:b/>
          <w:bCs/>
          <w:sz w:val="24"/>
          <w:szCs w:val="24"/>
          <w:lang w:val="en-US"/>
        </w:rPr>
      </w:pPr>
      <w:r w:rsidRPr="001C776B">
        <w:rPr>
          <w:b/>
          <w:bCs/>
          <w:sz w:val="24"/>
          <w:szCs w:val="24"/>
          <w:lang w:val="en-US"/>
        </w:rPr>
        <w:t>Question 57. How can we ensure a more coordinated and effective macroprudential supervision of NBFIs and markets? How could the role of EU bodies (including ESAs, ESRB, ESAs Joint Committee) be enhanced, if at all? Please explain.</w:t>
      </w:r>
    </w:p>
    <w:p w14:paraId="33860676" w14:textId="77777777" w:rsidR="001C776B" w:rsidRDefault="001C776B" w:rsidP="001C776B">
      <w:pPr>
        <w:pBdr>
          <w:top w:val="nil"/>
          <w:left w:val="nil"/>
          <w:bottom w:val="nil"/>
          <w:right w:val="nil"/>
          <w:between w:val="nil"/>
          <w:bar w:val="nil"/>
        </w:pBdr>
        <w:spacing w:after="0" w:line="280" w:lineRule="exact"/>
        <w:jc w:val="both"/>
        <w:rPr>
          <w:b/>
          <w:bCs/>
          <w:sz w:val="24"/>
          <w:szCs w:val="24"/>
          <w:lang w:val="en-US"/>
        </w:rPr>
      </w:pPr>
    </w:p>
    <w:p w14:paraId="7F7F751D" w14:textId="77777777" w:rsidR="00424005" w:rsidRPr="00996921" w:rsidRDefault="00424005" w:rsidP="00424005">
      <w:pPr>
        <w:pBdr>
          <w:top w:val="nil"/>
          <w:left w:val="nil"/>
          <w:bottom w:val="nil"/>
          <w:right w:val="nil"/>
          <w:between w:val="nil"/>
          <w:bar w:val="nil"/>
        </w:pBdr>
        <w:spacing w:after="0" w:line="280" w:lineRule="exact"/>
        <w:jc w:val="both"/>
        <w:rPr>
          <w:b/>
          <w:bCs/>
          <w:sz w:val="24"/>
          <w:szCs w:val="24"/>
          <w:lang w:val="en-US"/>
        </w:rPr>
      </w:pPr>
    </w:p>
    <w:p w14:paraId="0DCBA43A" w14:textId="37D81896" w:rsidR="000C10BC" w:rsidRPr="000C10BC" w:rsidRDefault="000C10BC" w:rsidP="000C10B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0C10BC">
        <w:rPr>
          <w:sz w:val="24"/>
          <w:szCs w:val="24"/>
          <w:lang w:val="en-US"/>
        </w:rPr>
        <w:t>With reference to the asset management sector, more coordinated and effective macroprudential supervision could be achieved by favoring the convergence of supervisory data and improving the reporting system, without any need to enhance the role of EU bodies.</w:t>
      </w:r>
    </w:p>
    <w:p w14:paraId="5867FDCA" w14:textId="77777777" w:rsidR="000C10BC" w:rsidRPr="000C10BC" w:rsidRDefault="000C10BC" w:rsidP="000C10B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1F7B9103" w14:textId="7833FBB2" w:rsidR="005B5C32" w:rsidRDefault="000C10BC" w:rsidP="000C10B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0C10BC">
        <w:rPr>
          <w:sz w:val="24"/>
          <w:szCs w:val="24"/>
          <w:lang w:val="en-US"/>
        </w:rPr>
        <w:t>ESMA should become the single data hub for supervisory data on capital markets.</w:t>
      </w:r>
    </w:p>
    <w:p w14:paraId="5670616F" w14:textId="77777777" w:rsidR="005B5C32" w:rsidRDefault="005B5C32" w:rsidP="000C10B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28801B7B" w14:textId="7D4BC742" w:rsidR="000C10BC" w:rsidRDefault="000C10BC" w:rsidP="000C10B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0C10BC">
        <w:rPr>
          <w:sz w:val="24"/>
          <w:szCs w:val="24"/>
          <w:lang w:val="en-US"/>
        </w:rPr>
        <w:t>Accordingly, NCAs, which receive reports from asset managers, would share this information with ESMA, and would be allowed to access ESMA’s database to monitor their local markets. Data convergence would enable authorities to access the necessary information without duplicating the reporting obligations on market participants. This would be particularly beneficial since the reporting burden might be heavy on asset managers, especially in periods of stress, when different authorities may require additional information to monitor the situation while asset managers should instead be focusing primarily on facing the crisis.</w:t>
      </w:r>
    </w:p>
    <w:p w14:paraId="614B592C" w14:textId="77777777" w:rsidR="00D35453" w:rsidRDefault="00D35453" w:rsidP="000C10B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0E184386" w14:textId="6E4FECAF" w:rsidR="00D35453" w:rsidRPr="000C10BC" w:rsidRDefault="00D35453" w:rsidP="000C10B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D35453">
        <w:rPr>
          <w:sz w:val="24"/>
          <w:szCs w:val="24"/>
          <w:lang w:val="en-US"/>
        </w:rPr>
        <w:lastRenderedPageBreak/>
        <w:t>In the same perspective, one measure that could increase the oversight and resilience of the fund industry and might need further policy attention, could be the construction of an integrated supervisory reporting for investment funds, which would ensure the usefulness and quality of data collection (also to better understand potential vulnerabilities), improve efficiency and data sharing amongst authorities and reduc</w:t>
      </w:r>
      <w:r w:rsidR="0042782A">
        <w:rPr>
          <w:sz w:val="24"/>
          <w:szCs w:val="24"/>
          <w:lang w:val="en-US"/>
        </w:rPr>
        <w:t>e</w:t>
      </w:r>
      <w:r w:rsidRPr="00D35453">
        <w:rPr>
          <w:sz w:val="24"/>
          <w:szCs w:val="24"/>
          <w:lang w:val="en-US"/>
        </w:rPr>
        <w:t xml:space="preserve"> the reporting burden. Some initial steps in this direction could be adopted in the context of ESMA’s mandate to adopt RTS aimed at improving and streamlining reporting obligations in the fund sector, which might however need to be complemented by other actions.</w:t>
      </w:r>
    </w:p>
    <w:p w14:paraId="55AB0324" w14:textId="77777777" w:rsidR="000C10BC" w:rsidRPr="000C10BC" w:rsidRDefault="000C10BC" w:rsidP="000C10BC">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7FA18F97" w14:textId="77777777" w:rsidR="00424005" w:rsidRPr="001C776B" w:rsidRDefault="00424005" w:rsidP="001C776B">
      <w:pPr>
        <w:pBdr>
          <w:top w:val="nil"/>
          <w:left w:val="nil"/>
          <w:bottom w:val="nil"/>
          <w:right w:val="nil"/>
          <w:between w:val="nil"/>
          <w:bar w:val="nil"/>
        </w:pBdr>
        <w:spacing w:after="0" w:line="280" w:lineRule="exact"/>
        <w:jc w:val="both"/>
        <w:rPr>
          <w:b/>
          <w:bCs/>
          <w:sz w:val="24"/>
          <w:szCs w:val="24"/>
          <w:lang w:val="en-US"/>
        </w:rPr>
      </w:pPr>
    </w:p>
    <w:p w14:paraId="774AFC6B" w14:textId="77777777" w:rsidR="001C776B" w:rsidRPr="001C776B" w:rsidRDefault="001C776B" w:rsidP="001C776B">
      <w:pPr>
        <w:pBdr>
          <w:top w:val="nil"/>
          <w:left w:val="nil"/>
          <w:bottom w:val="nil"/>
          <w:right w:val="nil"/>
          <w:between w:val="nil"/>
          <w:bar w:val="nil"/>
        </w:pBdr>
        <w:spacing w:after="0" w:line="280" w:lineRule="exact"/>
        <w:jc w:val="both"/>
        <w:rPr>
          <w:b/>
          <w:bCs/>
          <w:i/>
          <w:iCs/>
          <w:sz w:val="24"/>
          <w:szCs w:val="24"/>
          <w:lang w:val="en-US"/>
        </w:rPr>
      </w:pPr>
      <w:r w:rsidRPr="001C776B">
        <w:rPr>
          <w:b/>
          <w:bCs/>
          <w:i/>
          <w:iCs/>
          <w:sz w:val="24"/>
          <w:szCs w:val="24"/>
          <w:lang w:val="en-US"/>
        </w:rPr>
        <w:t>Enhanced coordination mechanism (implementation and adoption of NMMs)</w:t>
      </w:r>
    </w:p>
    <w:p w14:paraId="5BF8C7DE" w14:textId="77777777" w:rsidR="001C776B" w:rsidRPr="001C776B" w:rsidRDefault="001C776B" w:rsidP="001C776B">
      <w:pPr>
        <w:pBdr>
          <w:top w:val="nil"/>
          <w:left w:val="nil"/>
          <w:bottom w:val="nil"/>
          <w:right w:val="nil"/>
          <w:between w:val="nil"/>
          <w:bar w:val="nil"/>
        </w:pBdr>
        <w:spacing w:after="0" w:line="280" w:lineRule="exact"/>
        <w:jc w:val="both"/>
        <w:rPr>
          <w:b/>
          <w:bCs/>
          <w:sz w:val="24"/>
          <w:szCs w:val="24"/>
          <w:lang w:val="en-US"/>
        </w:rPr>
      </w:pPr>
    </w:p>
    <w:p w14:paraId="5284B55E" w14:textId="12C27DA0" w:rsidR="00A066AF" w:rsidRDefault="001C776B" w:rsidP="001C776B">
      <w:pPr>
        <w:pBdr>
          <w:top w:val="nil"/>
          <w:left w:val="nil"/>
          <w:bottom w:val="nil"/>
          <w:right w:val="nil"/>
          <w:between w:val="nil"/>
          <w:bar w:val="nil"/>
        </w:pBdr>
        <w:spacing w:after="0" w:line="280" w:lineRule="exact"/>
        <w:jc w:val="both"/>
        <w:rPr>
          <w:b/>
          <w:bCs/>
          <w:sz w:val="24"/>
          <w:szCs w:val="24"/>
          <w:lang w:val="en-US"/>
        </w:rPr>
      </w:pPr>
      <w:r w:rsidRPr="001C776B">
        <w:rPr>
          <w:b/>
          <w:bCs/>
          <w:sz w:val="24"/>
          <w:szCs w:val="24"/>
          <w:lang w:val="en-US"/>
        </w:rPr>
        <w:t>Question 58. How could the currently available coordination mechanisms for the implementation of macroprudential measures for OEFs by NCAs or ESAs (such as leverage restrictions or powers to suspend redemption on financial stability grounds) be improved?</w:t>
      </w:r>
    </w:p>
    <w:p w14:paraId="2F3FFED0" w14:textId="77777777" w:rsidR="001C776B" w:rsidRDefault="001C776B" w:rsidP="001C776B">
      <w:pPr>
        <w:pBdr>
          <w:top w:val="nil"/>
          <w:left w:val="nil"/>
          <w:bottom w:val="nil"/>
          <w:right w:val="nil"/>
          <w:between w:val="nil"/>
          <w:bar w:val="nil"/>
        </w:pBdr>
        <w:spacing w:after="0" w:line="280" w:lineRule="exact"/>
        <w:jc w:val="both"/>
        <w:rPr>
          <w:b/>
          <w:bCs/>
          <w:sz w:val="24"/>
          <w:szCs w:val="24"/>
          <w:lang w:val="en-US"/>
        </w:rPr>
      </w:pPr>
    </w:p>
    <w:p w14:paraId="246CD0B9" w14:textId="77777777" w:rsidR="00424005" w:rsidRPr="00996921" w:rsidRDefault="00424005" w:rsidP="00424005">
      <w:pPr>
        <w:pBdr>
          <w:top w:val="nil"/>
          <w:left w:val="nil"/>
          <w:bottom w:val="nil"/>
          <w:right w:val="nil"/>
          <w:between w:val="nil"/>
          <w:bar w:val="nil"/>
        </w:pBdr>
        <w:spacing w:after="0" w:line="280" w:lineRule="exact"/>
        <w:jc w:val="both"/>
        <w:rPr>
          <w:b/>
          <w:bCs/>
          <w:sz w:val="24"/>
          <w:szCs w:val="24"/>
          <w:lang w:val="en-US"/>
        </w:rPr>
      </w:pPr>
    </w:p>
    <w:p w14:paraId="5B037E66" w14:textId="77777777" w:rsidR="00853B48" w:rsidRDefault="00853B48" w:rsidP="00E0743D">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2DCE7FD6" w14:textId="53001C3A" w:rsidR="00CE290C" w:rsidRDefault="00D26B71" w:rsidP="00E0743D">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U</w:t>
      </w:r>
      <w:r w:rsidR="00542436" w:rsidRPr="00542436">
        <w:rPr>
          <w:sz w:val="24"/>
          <w:szCs w:val="24"/>
          <w:lang w:val="en-US"/>
        </w:rPr>
        <w:t>nder the current regulatory framework there are already several coordination mechanisms on which ESMA and NCAs can rely</w:t>
      </w:r>
      <w:r w:rsidR="002C121E">
        <w:rPr>
          <w:sz w:val="24"/>
          <w:szCs w:val="24"/>
          <w:lang w:val="en-US"/>
        </w:rPr>
        <w:t xml:space="preserve"> </w:t>
      </w:r>
      <w:r w:rsidR="00453BEF" w:rsidRPr="004E09E2">
        <w:rPr>
          <w:sz w:val="24"/>
          <w:szCs w:val="24"/>
          <w:lang w:val="en-US"/>
        </w:rPr>
        <w:t>(i.e. art. 9 of ESMA Regulation, art. 98(4) UCITS / 50(5h) AIFMD, 25 AIFMD, art. 84(3) UCITS and 50(5) AIFMD, art. 84(2b) UCITS / 46(2j) AIFMD)</w:t>
      </w:r>
      <w:r w:rsidR="00453BEF">
        <w:rPr>
          <w:sz w:val="24"/>
          <w:szCs w:val="24"/>
          <w:lang w:val="en-US"/>
        </w:rPr>
        <w:t xml:space="preserve"> </w:t>
      </w:r>
      <w:r>
        <w:rPr>
          <w:sz w:val="24"/>
          <w:szCs w:val="24"/>
          <w:lang w:val="en-US"/>
        </w:rPr>
        <w:t xml:space="preserve">and these seem to be, in </w:t>
      </w:r>
      <w:r w:rsidR="005307CF">
        <w:rPr>
          <w:sz w:val="24"/>
          <w:szCs w:val="24"/>
          <w:lang w:val="en-US"/>
        </w:rPr>
        <w:t>general,</w:t>
      </w:r>
      <w:r>
        <w:rPr>
          <w:sz w:val="24"/>
          <w:szCs w:val="24"/>
          <w:lang w:val="en-US"/>
        </w:rPr>
        <w:t xml:space="preserve"> sufficient</w:t>
      </w:r>
      <w:r w:rsidR="00A751FB">
        <w:rPr>
          <w:sz w:val="24"/>
          <w:szCs w:val="24"/>
          <w:lang w:val="en-US"/>
        </w:rPr>
        <w:t>.</w:t>
      </w:r>
      <w:r w:rsidR="00CF1F1F">
        <w:rPr>
          <w:sz w:val="24"/>
          <w:szCs w:val="24"/>
          <w:lang w:val="en-US"/>
        </w:rPr>
        <w:t xml:space="preserve"> </w:t>
      </w:r>
    </w:p>
    <w:p w14:paraId="04B68829" w14:textId="77777777" w:rsidR="009734FF" w:rsidRDefault="009734FF" w:rsidP="00E0743D">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66A3181B" w14:textId="4B4EB724" w:rsidR="00B70AD9" w:rsidRDefault="009734FF" w:rsidP="00E0743D">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 xml:space="preserve">Indeed, </w:t>
      </w:r>
      <w:r w:rsidRPr="00E0743D">
        <w:rPr>
          <w:sz w:val="24"/>
          <w:szCs w:val="24"/>
          <w:lang w:val="en-US"/>
        </w:rPr>
        <w:t>macroprudential measures have a limited role to play in the asset management sector</w:t>
      </w:r>
      <w:r w:rsidR="0092628F">
        <w:rPr>
          <w:sz w:val="24"/>
          <w:szCs w:val="24"/>
          <w:lang w:val="en-US"/>
        </w:rPr>
        <w:t>,</w:t>
      </w:r>
      <w:r w:rsidR="00A91AFC">
        <w:rPr>
          <w:sz w:val="24"/>
          <w:szCs w:val="24"/>
          <w:lang w:val="en-US"/>
        </w:rPr>
        <w:t xml:space="preserve"> as confirmed by the few times t</w:t>
      </w:r>
      <w:r w:rsidR="0005080D">
        <w:rPr>
          <w:sz w:val="24"/>
          <w:szCs w:val="24"/>
          <w:lang w:val="en-US"/>
        </w:rPr>
        <w:t>hese mechanisms</w:t>
      </w:r>
      <w:r w:rsidR="00BE3DC8">
        <w:rPr>
          <w:sz w:val="24"/>
          <w:szCs w:val="24"/>
          <w:lang w:val="en-US"/>
        </w:rPr>
        <w:t xml:space="preserve"> </w:t>
      </w:r>
      <w:r w:rsidR="0092628F">
        <w:rPr>
          <w:sz w:val="24"/>
          <w:szCs w:val="24"/>
          <w:lang w:val="en-US"/>
        </w:rPr>
        <w:t>have been</w:t>
      </w:r>
      <w:r w:rsidR="004A19F2">
        <w:rPr>
          <w:sz w:val="24"/>
          <w:szCs w:val="24"/>
          <w:lang w:val="en-US"/>
        </w:rPr>
        <w:t xml:space="preserve"> used</w:t>
      </w:r>
      <w:r w:rsidR="00651D13">
        <w:rPr>
          <w:sz w:val="24"/>
          <w:szCs w:val="24"/>
          <w:lang w:val="en-US"/>
        </w:rPr>
        <w:t>. T</w:t>
      </w:r>
      <w:r w:rsidR="00D70928">
        <w:rPr>
          <w:sz w:val="24"/>
          <w:szCs w:val="24"/>
          <w:lang w:val="en-US"/>
        </w:rPr>
        <w:t xml:space="preserve">he last one </w:t>
      </w:r>
      <w:r w:rsidR="00A751FB">
        <w:rPr>
          <w:sz w:val="24"/>
          <w:szCs w:val="24"/>
          <w:lang w:val="en-US"/>
        </w:rPr>
        <w:t xml:space="preserve">was the ESMA technical </w:t>
      </w:r>
      <w:r w:rsidR="00C60C57">
        <w:rPr>
          <w:sz w:val="24"/>
          <w:szCs w:val="24"/>
          <w:lang w:val="en-US"/>
        </w:rPr>
        <w:t>advice</w:t>
      </w:r>
      <w:r w:rsidR="00A751FB">
        <w:rPr>
          <w:sz w:val="24"/>
          <w:szCs w:val="24"/>
          <w:lang w:val="en-US"/>
        </w:rPr>
        <w:t xml:space="preserve"> on investment restrictions</w:t>
      </w:r>
      <w:r w:rsidR="00A265A1">
        <w:rPr>
          <w:sz w:val="24"/>
          <w:szCs w:val="24"/>
          <w:lang w:val="en-US"/>
        </w:rPr>
        <w:t xml:space="preserve"> for liability-</w:t>
      </w:r>
      <w:r w:rsidR="00D43F54">
        <w:rPr>
          <w:sz w:val="24"/>
          <w:szCs w:val="24"/>
          <w:lang w:val="en-US"/>
        </w:rPr>
        <w:t>driven</w:t>
      </w:r>
      <w:r w:rsidR="00A265A1">
        <w:rPr>
          <w:sz w:val="24"/>
          <w:szCs w:val="24"/>
          <w:lang w:val="en-US"/>
        </w:rPr>
        <w:t xml:space="preserve"> investment funds </w:t>
      </w:r>
      <w:r w:rsidR="003447B6">
        <w:rPr>
          <w:sz w:val="24"/>
          <w:szCs w:val="24"/>
          <w:lang w:val="en-US"/>
        </w:rPr>
        <w:t xml:space="preserve">managing GBP-denominated AIFs </w:t>
      </w:r>
      <w:r w:rsidR="00A265A1">
        <w:rPr>
          <w:sz w:val="24"/>
          <w:szCs w:val="24"/>
          <w:lang w:val="en-US"/>
        </w:rPr>
        <w:t>in Ireland and Luxembour</w:t>
      </w:r>
      <w:r w:rsidR="003447B6">
        <w:rPr>
          <w:sz w:val="24"/>
          <w:szCs w:val="24"/>
          <w:lang w:val="en-US"/>
        </w:rPr>
        <w:t>g</w:t>
      </w:r>
      <w:r w:rsidR="00651D13">
        <w:rPr>
          <w:sz w:val="24"/>
          <w:szCs w:val="24"/>
          <w:lang w:val="en-US"/>
        </w:rPr>
        <w:t>.</w:t>
      </w:r>
      <w:r w:rsidR="004A19F2">
        <w:rPr>
          <w:sz w:val="24"/>
          <w:szCs w:val="24"/>
          <w:lang w:val="en-US"/>
        </w:rPr>
        <w:t xml:space="preserve"> </w:t>
      </w:r>
    </w:p>
    <w:p w14:paraId="6EACF557" w14:textId="77777777" w:rsidR="00B70AD9" w:rsidRDefault="00B70AD9" w:rsidP="00E0743D">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1D9724CC" w14:textId="2299BC50" w:rsidR="00A142E2" w:rsidRDefault="00187871" w:rsidP="00E0743D">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Pr>
          <w:sz w:val="24"/>
          <w:szCs w:val="24"/>
          <w:lang w:val="en-US"/>
        </w:rPr>
        <w:t>With specific</w:t>
      </w:r>
      <w:r w:rsidR="00CB0BEF">
        <w:rPr>
          <w:sz w:val="24"/>
          <w:szCs w:val="24"/>
          <w:lang w:val="en-US"/>
        </w:rPr>
        <w:t xml:space="preserve"> </w:t>
      </w:r>
      <w:r w:rsidR="00E61E33">
        <w:rPr>
          <w:sz w:val="24"/>
          <w:szCs w:val="24"/>
          <w:lang w:val="en-US"/>
        </w:rPr>
        <w:t>regards</w:t>
      </w:r>
      <w:r w:rsidR="00CB0BEF">
        <w:rPr>
          <w:sz w:val="24"/>
          <w:szCs w:val="24"/>
          <w:lang w:val="en-US"/>
        </w:rPr>
        <w:t xml:space="preserve"> </w:t>
      </w:r>
      <w:r>
        <w:rPr>
          <w:sz w:val="24"/>
          <w:szCs w:val="24"/>
          <w:lang w:val="en-US"/>
        </w:rPr>
        <w:t xml:space="preserve">to </w:t>
      </w:r>
      <w:r w:rsidR="00CB0BEF">
        <w:rPr>
          <w:sz w:val="24"/>
          <w:szCs w:val="24"/>
          <w:lang w:val="en-US"/>
        </w:rPr>
        <w:t xml:space="preserve">fund suspension, </w:t>
      </w:r>
      <w:r w:rsidR="005D46FE">
        <w:rPr>
          <w:sz w:val="24"/>
          <w:szCs w:val="24"/>
          <w:lang w:val="en-US"/>
        </w:rPr>
        <w:t xml:space="preserve">it is worth highlighting </w:t>
      </w:r>
      <w:r w:rsidR="005325CA">
        <w:rPr>
          <w:sz w:val="24"/>
          <w:szCs w:val="24"/>
          <w:lang w:val="en-US"/>
        </w:rPr>
        <w:t>th</w:t>
      </w:r>
      <w:r w:rsidR="00123C49">
        <w:rPr>
          <w:sz w:val="24"/>
          <w:szCs w:val="24"/>
          <w:lang w:val="en-US"/>
        </w:rPr>
        <w:t xml:space="preserve">at </w:t>
      </w:r>
      <w:proofErr w:type="gramStart"/>
      <w:r w:rsidR="00576027">
        <w:rPr>
          <w:sz w:val="24"/>
          <w:szCs w:val="24"/>
          <w:lang w:val="en-US"/>
        </w:rPr>
        <w:t>a</w:t>
      </w:r>
      <w:r w:rsidR="005325CA">
        <w:rPr>
          <w:sz w:val="24"/>
          <w:szCs w:val="24"/>
          <w:lang w:val="en-US"/>
        </w:rPr>
        <w:t xml:space="preserve"> NCA</w:t>
      </w:r>
      <w:proofErr w:type="gramEnd"/>
      <w:r w:rsidR="005325CA">
        <w:rPr>
          <w:sz w:val="24"/>
          <w:szCs w:val="24"/>
          <w:lang w:val="en-US"/>
        </w:rPr>
        <w:t xml:space="preserve"> </w:t>
      </w:r>
      <w:r w:rsidR="006703F7">
        <w:rPr>
          <w:sz w:val="24"/>
          <w:szCs w:val="24"/>
          <w:lang w:val="en-US"/>
        </w:rPr>
        <w:t xml:space="preserve">may require </w:t>
      </w:r>
      <w:r w:rsidR="00BD6F23">
        <w:rPr>
          <w:sz w:val="24"/>
          <w:szCs w:val="24"/>
          <w:lang w:val="en-US"/>
        </w:rPr>
        <w:t>t</w:t>
      </w:r>
      <w:r w:rsidR="006703F7">
        <w:rPr>
          <w:sz w:val="24"/>
          <w:szCs w:val="24"/>
          <w:lang w:val="en-US"/>
        </w:rPr>
        <w:t>he suspension</w:t>
      </w:r>
      <w:r w:rsidR="00F15E90">
        <w:rPr>
          <w:sz w:val="24"/>
          <w:szCs w:val="24"/>
          <w:lang w:val="en-US"/>
        </w:rPr>
        <w:t xml:space="preserve"> in the interest of the public </w:t>
      </w:r>
      <w:r w:rsidR="00E61E33">
        <w:rPr>
          <w:sz w:val="24"/>
          <w:szCs w:val="24"/>
          <w:lang w:val="en-US"/>
        </w:rPr>
        <w:t xml:space="preserve">(other than the </w:t>
      </w:r>
      <w:proofErr w:type="gramStart"/>
      <w:r w:rsidR="00E61E33">
        <w:rPr>
          <w:sz w:val="24"/>
          <w:szCs w:val="24"/>
          <w:lang w:val="en-US"/>
        </w:rPr>
        <w:t>unit-holders</w:t>
      </w:r>
      <w:proofErr w:type="gramEnd"/>
      <w:r w:rsidR="00E61E33">
        <w:rPr>
          <w:sz w:val="24"/>
          <w:szCs w:val="24"/>
          <w:lang w:val="en-US"/>
        </w:rPr>
        <w:t xml:space="preserve">). </w:t>
      </w:r>
      <w:r w:rsidR="000D1253">
        <w:rPr>
          <w:sz w:val="24"/>
          <w:szCs w:val="24"/>
          <w:lang w:val="en-US"/>
        </w:rPr>
        <w:t xml:space="preserve">It should </w:t>
      </w:r>
      <w:r w:rsidR="00EF0363">
        <w:rPr>
          <w:sz w:val="24"/>
          <w:szCs w:val="24"/>
          <w:lang w:val="en-US"/>
        </w:rPr>
        <w:t xml:space="preserve">be </w:t>
      </w:r>
      <w:r w:rsidR="00536313">
        <w:rPr>
          <w:sz w:val="24"/>
          <w:szCs w:val="24"/>
          <w:lang w:val="en-US"/>
        </w:rPr>
        <w:t xml:space="preserve">considered </w:t>
      </w:r>
      <w:r w:rsidR="00471984">
        <w:rPr>
          <w:sz w:val="24"/>
          <w:szCs w:val="24"/>
          <w:lang w:val="en-US"/>
        </w:rPr>
        <w:t>a last resort</w:t>
      </w:r>
      <w:r w:rsidR="00A5069B">
        <w:rPr>
          <w:sz w:val="24"/>
          <w:szCs w:val="24"/>
          <w:lang w:val="en-US"/>
        </w:rPr>
        <w:t xml:space="preserve"> </w:t>
      </w:r>
      <w:r w:rsidR="00EF0363">
        <w:rPr>
          <w:sz w:val="24"/>
          <w:szCs w:val="24"/>
          <w:lang w:val="en-US"/>
        </w:rPr>
        <w:t xml:space="preserve">measure </w:t>
      </w:r>
      <w:r w:rsidR="00A5069B">
        <w:rPr>
          <w:sz w:val="24"/>
          <w:szCs w:val="24"/>
          <w:lang w:val="en-US"/>
        </w:rPr>
        <w:t>as</w:t>
      </w:r>
      <w:r w:rsidR="00A5069B" w:rsidRPr="00A5069B">
        <w:rPr>
          <w:sz w:val="24"/>
          <w:szCs w:val="24"/>
          <w:lang w:val="en-US"/>
        </w:rPr>
        <w:t xml:space="preserve"> the actual use of a direct intervention power by a public authority on a subset of investment funds would likely be interpreted as a widespread</w:t>
      </w:r>
      <w:r w:rsidR="00A5069B">
        <w:rPr>
          <w:sz w:val="24"/>
          <w:szCs w:val="24"/>
          <w:lang w:val="en-US"/>
        </w:rPr>
        <w:t xml:space="preserve"> </w:t>
      </w:r>
      <w:r w:rsidR="00A5069B" w:rsidRPr="00A5069B">
        <w:rPr>
          <w:sz w:val="24"/>
          <w:szCs w:val="24"/>
          <w:lang w:val="en-US"/>
        </w:rPr>
        <w:t>concern, which could trigger investor pani</w:t>
      </w:r>
      <w:r w:rsidR="00A5069B">
        <w:rPr>
          <w:sz w:val="24"/>
          <w:szCs w:val="24"/>
          <w:lang w:val="en-US"/>
        </w:rPr>
        <w:t>c</w:t>
      </w:r>
      <w:r w:rsidR="008E6359">
        <w:rPr>
          <w:sz w:val="24"/>
          <w:szCs w:val="24"/>
          <w:lang w:val="en-US"/>
        </w:rPr>
        <w:t xml:space="preserve">. </w:t>
      </w:r>
      <w:r w:rsidR="005649A9" w:rsidRPr="00000E46">
        <w:rPr>
          <w:sz w:val="24"/>
          <w:szCs w:val="24"/>
          <w:lang w:val="en-US"/>
        </w:rPr>
        <w:t xml:space="preserve">If certain markets experience excessive volatility, NCAs </w:t>
      </w:r>
      <w:r w:rsidR="005D46FE" w:rsidRPr="00000E46">
        <w:rPr>
          <w:sz w:val="24"/>
          <w:szCs w:val="24"/>
          <w:lang w:val="en-US"/>
        </w:rPr>
        <w:t>should</w:t>
      </w:r>
      <w:r w:rsidR="00DE7A3F">
        <w:rPr>
          <w:sz w:val="24"/>
          <w:szCs w:val="24"/>
          <w:lang w:val="en-US"/>
        </w:rPr>
        <w:t xml:space="preserve"> </w:t>
      </w:r>
      <w:r w:rsidR="005649A9" w:rsidRPr="00000E46">
        <w:rPr>
          <w:sz w:val="24"/>
          <w:szCs w:val="24"/>
          <w:lang w:val="en-US"/>
        </w:rPr>
        <w:t xml:space="preserve">consider closing these markets rather than suspending funds, which usually account for a limited share of the market. </w:t>
      </w:r>
      <w:r w:rsidR="000A12A8" w:rsidRPr="000A12A8">
        <w:rPr>
          <w:sz w:val="24"/>
          <w:szCs w:val="24"/>
          <w:lang w:val="en-US"/>
        </w:rPr>
        <w:t>This would allow all investors to be treated equally, regardless of how they access the market (directly or through investment funds).</w:t>
      </w:r>
      <w:r w:rsidR="000A12A8">
        <w:rPr>
          <w:sz w:val="24"/>
          <w:szCs w:val="24"/>
          <w:lang w:val="en-US"/>
        </w:rPr>
        <w:t xml:space="preserve"> </w:t>
      </w:r>
      <w:r w:rsidR="005D0B95" w:rsidRPr="00000E46">
        <w:rPr>
          <w:sz w:val="24"/>
          <w:szCs w:val="24"/>
          <w:lang w:val="en-US"/>
        </w:rPr>
        <w:t>The</w:t>
      </w:r>
      <w:r w:rsidR="00062E82" w:rsidRPr="00000E46">
        <w:rPr>
          <w:sz w:val="24"/>
          <w:szCs w:val="24"/>
          <w:lang w:val="en-US"/>
        </w:rPr>
        <w:t xml:space="preserve"> activation of this </w:t>
      </w:r>
      <w:r w:rsidR="005D0B95" w:rsidRPr="00000E46">
        <w:rPr>
          <w:sz w:val="24"/>
          <w:szCs w:val="24"/>
          <w:lang w:val="en-US"/>
        </w:rPr>
        <w:t>macroprudential measure</w:t>
      </w:r>
      <w:r w:rsidR="00972B56">
        <w:rPr>
          <w:sz w:val="24"/>
          <w:szCs w:val="24"/>
          <w:lang w:val="en-US"/>
        </w:rPr>
        <w:t>, especially during a stress period,</w:t>
      </w:r>
      <w:r w:rsidR="005D0B95" w:rsidRPr="00000E46">
        <w:rPr>
          <w:sz w:val="24"/>
          <w:szCs w:val="24"/>
          <w:lang w:val="en-US"/>
        </w:rPr>
        <w:t xml:space="preserve"> would certainly deserve close cooperation between </w:t>
      </w:r>
      <w:r w:rsidR="006127E2">
        <w:rPr>
          <w:sz w:val="24"/>
          <w:szCs w:val="24"/>
          <w:lang w:val="en-US"/>
        </w:rPr>
        <w:t>NCA</w:t>
      </w:r>
      <w:r w:rsidR="00587C38">
        <w:rPr>
          <w:sz w:val="24"/>
          <w:szCs w:val="24"/>
          <w:lang w:val="en-US"/>
        </w:rPr>
        <w:t>.</w:t>
      </w:r>
      <w:r w:rsidR="005D0B95">
        <w:rPr>
          <w:sz w:val="24"/>
          <w:szCs w:val="24"/>
          <w:lang w:val="en-US"/>
        </w:rPr>
        <w:t xml:space="preserve"> </w:t>
      </w:r>
    </w:p>
    <w:p w14:paraId="47CDA915" w14:textId="77777777" w:rsidR="005C5A11" w:rsidRDefault="005C5A11" w:rsidP="00E0743D">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1AB7B666" w14:textId="0EA0EB61" w:rsidR="00424005" w:rsidRPr="001C776B" w:rsidRDefault="00424005" w:rsidP="00424005">
      <w:pPr>
        <w:pBdr>
          <w:top w:val="nil"/>
          <w:left w:val="nil"/>
          <w:bottom w:val="nil"/>
          <w:right w:val="nil"/>
          <w:between w:val="nil"/>
          <w:bar w:val="nil"/>
        </w:pBdr>
        <w:spacing w:after="0" w:line="280" w:lineRule="exact"/>
        <w:jc w:val="both"/>
        <w:rPr>
          <w:b/>
          <w:bCs/>
          <w:sz w:val="24"/>
          <w:szCs w:val="24"/>
          <w:lang w:val="en-US"/>
        </w:rPr>
      </w:pPr>
    </w:p>
    <w:p w14:paraId="26C732FE" w14:textId="77777777" w:rsidR="00424005" w:rsidRDefault="00424005" w:rsidP="001C776B">
      <w:pPr>
        <w:pBdr>
          <w:top w:val="nil"/>
          <w:left w:val="nil"/>
          <w:bottom w:val="nil"/>
          <w:right w:val="nil"/>
          <w:between w:val="nil"/>
          <w:bar w:val="nil"/>
        </w:pBdr>
        <w:spacing w:after="0" w:line="280" w:lineRule="exact"/>
        <w:jc w:val="both"/>
        <w:rPr>
          <w:b/>
          <w:bCs/>
          <w:sz w:val="24"/>
          <w:szCs w:val="24"/>
          <w:lang w:val="en-US"/>
        </w:rPr>
      </w:pPr>
    </w:p>
    <w:p w14:paraId="4C39AE8E" w14:textId="77777777" w:rsidR="001C776B" w:rsidRDefault="001C776B" w:rsidP="001C776B">
      <w:pPr>
        <w:pBdr>
          <w:top w:val="nil"/>
          <w:left w:val="nil"/>
          <w:bottom w:val="nil"/>
          <w:right w:val="nil"/>
          <w:between w:val="nil"/>
          <w:bar w:val="nil"/>
        </w:pBdr>
        <w:spacing w:after="0" w:line="280" w:lineRule="exact"/>
        <w:jc w:val="both"/>
        <w:rPr>
          <w:b/>
          <w:bCs/>
          <w:sz w:val="24"/>
          <w:szCs w:val="24"/>
          <w:lang w:val="en-US"/>
        </w:rPr>
      </w:pPr>
      <w:r w:rsidRPr="001C776B">
        <w:rPr>
          <w:b/>
          <w:bCs/>
          <w:sz w:val="24"/>
          <w:szCs w:val="24"/>
          <w:lang w:val="en-US"/>
        </w:rPr>
        <w:t>Question 59. What are the benefits and costs of introducing an Enhanced Coordination Mechanism (ECM), as described above, for macroprudential measures adopted by NCAs?</w:t>
      </w:r>
    </w:p>
    <w:p w14:paraId="6752EB60" w14:textId="77777777" w:rsidR="001C776B" w:rsidRDefault="001C776B" w:rsidP="001C776B">
      <w:pPr>
        <w:pBdr>
          <w:top w:val="nil"/>
          <w:left w:val="nil"/>
          <w:bottom w:val="nil"/>
          <w:right w:val="nil"/>
          <w:between w:val="nil"/>
          <w:bar w:val="nil"/>
        </w:pBdr>
        <w:spacing w:after="0" w:line="280" w:lineRule="exact"/>
        <w:jc w:val="both"/>
        <w:rPr>
          <w:b/>
          <w:bCs/>
          <w:sz w:val="24"/>
          <w:szCs w:val="24"/>
          <w:lang w:val="en-US"/>
        </w:rPr>
      </w:pPr>
    </w:p>
    <w:p w14:paraId="518C951C" w14:textId="77777777" w:rsidR="00424005" w:rsidRPr="00996921" w:rsidRDefault="00424005" w:rsidP="00424005">
      <w:pPr>
        <w:pBdr>
          <w:top w:val="nil"/>
          <w:left w:val="nil"/>
          <w:bottom w:val="nil"/>
          <w:right w:val="nil"/>
          <w:between w:val="nil"/>
          <w:bar w:val="nil"/>
        </w:pBdr>
        <w:spacing w:after="0" w:line="280" w:lineRule="exact"/>
        <w:jc w:val="both"/>
        <w:rPr>
          <w:b/>
          <w:bCs/>
          <w:sz w:val="24"/>
          <w:szCs w:val="24"/>
          <w:lang w:val="en-US"/>
        </w:rPr>
      </w:pPr>
    </w:p>
    <w:p w14:paraId="19412D2A" w14:textId="0EA2098A" w:rsidR="00424005" w:rsidRPr="00996921" w:rsidRDefault="004E09E2" w:rsidP="00424005">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4E09E2">
        <w:rPr>
          <w:sz w:val="24"/>
          <w:szCs w:val="24"/>
          <w:lang w:val="en-US"/>
        </w:rPr>
        <w:t xml:space="preserve">Assogestioni believes that an Enhanced Coordination Mechanism (ECM) for macroprudential measures in the fund sector would be unnecessary, since under the current regulatory framework, there are already several coordination mechanisms on which ESMA and NCAs can rely. Accordingly, rather than amending the UCITS/AIFMD framework again, the focus should be on using the existing coordination powers in the best way. This could be achieved also by developing an appropriate analytical framework, </w:t>
      </w:r>
      <w:proofErr w:type="gramStart"/>
      <w:r w:rsidRPr="004E09E2">
        <w:rPr>
          <w:sz w:val="24"/>
          <w:szCs w:val="24"/>
          <w:lang w:val="en-US"/>
        </w:rPr>
        <w:t>in order to</w:t>
      </w:r>
      <w:proofErr w:type="gramEnd"/>
      <w:r w:rsidRPr="004E09E2">
        <w:rPr>
          <w:sz w:val="24"/>
          <w:szCs w:val="24"/>
          <w:lang w:val="en-US"/>
        </w:rPr>
        <w:t xml:space="preserve"> substantiate any coordinating action with concrete evidence. Moreover, considering the </w:t>
      </w:r>
      <w:r w:rsidRPr="00B94D50">
        <w:rPr>
          <w:sz w:val="24"/>
          <w:szCs w:val="24"/>
          <w:lang w:val="en-US"/>
        </w:rPr>
        <w:t>limited role of these measures in addressing vulnerabilities in the asset management sector (as outlined in our response to Q58), introducing an additional layer of coordination for their</w:t>
      </w:r>
      <w:r w:rsidRPr="004E09E2">
        <w:rPr>
          <w:sz w:val="24"/>
          <w:szCs w:val="24"/>
          <w:lang w:val="en-US"/>
        </w:rPr>
        <w:t xml:space="preserve"> activation would be excessive and disproportionate.</w:t>
      </w:r>
    </w:p>
    <w:p w14:paraId="746E5D80" w14:textId="77777777" w:rsidR="00424005" w:rsidRPr="001C776B" w:rsidRDefault="00424005" w:rsidP="00424005">
      <w:pPr>
        <w:pBdr>
          <w:top w:val="nil"/>
          <w:left w:val="nil"/>
          <w:bottom w:val="nil"/>
          <w:right w:val="nil"/>
          <w:between w:val="nil"/>
          <w:bar w:val="nil"/>
        </w:pBdr>
        <w:spacing w:after="0" w:line="280" w:lineRule="exact"/>
        <w:jc w:val="both"/>
        <w:rPr>
          <w:b/>
          <w:bCs/>
          <w:sz w:val="24"/>
          <w:szCs w:val="24"/>
          <w:lang w:val="en-US"/>
        </w:rPr>
      </w:pPr>
    </w:p>
    <w:p w14:paraId="59F4BA1D" w14:textId="77777777" w:rsidR="00424005" w:rsidRPr="001C776B" w:rsidRDefault="00424005" w:rsidP="001C776B">
      <w:pPr>
        <w:pBdr>
          <w:top w:val="nil"/>
          <w:left w:val="nil"/>
          <w:bottom w:val="nil"/>
          <w:right w:val="nil"/>
          <w:between w:val="nil"/>
          <w:bar w:val="nil"/>
        </w:pBdr>
        <w:spacing w:after="0" w:line="280" w:lineRule="exact"/>
        <w:jc w:val="both"/>
        <w:rPr>
          <w:b/>
          <w:bCs/>
          <w:sz w:val="24"/>
          <w:szCs w:val="24"/>
          <w:lang w:val="en-US"/>
        </w:rPr>
      </w:pPr>
    </w:p>
    <w:p w14:paraId="5BEA4943" w14:textId="77777777" w:rsidR="001C776B" w:rsidRDefault="001C776B" w:rsidP="001C776B">
      <w:pPr>
        <w:pBdr>
          <w:top w:val="nil"/>
          <w:left w:val="nil"/>
          <w:bottom w:val="nil"/>
          <w:right w:val="nil"/>
          <w:between w:val="nil"/>
          <w:bar w:val="nil"/>
        </w:pBdr>
        <w:spacing w:after="0" w:line="280" w:lineRule="exact"/>
        <w:jc w:val="both"/>
        <w:rPr>
          <w:b/>
          <w:bCs/>
          <w:sz w:val="24"/>
          <w:szCs w:val="24"/>
          <w:lang w:val="en-US"/>
        </w:rPr>
      </w:pPr>
      <w:r w:rsidRPr="001C776B">
        <w:rPr>
          <w:b/>
          <w:bCs/>
          <w:sz w:val="24"/>
          <w:szCs w:val="24"/>
          <w:lang w:val="en-US"/>
        </w:rPr>
        <w:t>Question 60. How can ESMA and the ESRB ensure that appropriate National Macroprudential Measures (NMMs) are also adopted in other relevant EU countries for the same (or similar) fund, if needed?</w:t>
      </w:r>
    </w:p>
    <w:p w14:paraId="3076B4A3" w14:textId="77777777" w:rsidR="001C776B" w:rsidRDefault="001C776B" w:rsidP="001C776B">
      <w:pPr>
        <w:pBdr>
          <w:top w:val="nil"/>
          <w:left w:val="nil"/>
          <w:bottom w:val="nil"/>
          <w:right w:val="nil"/>
          <w:between w:val="nil"/>
          <w:bar w:val="nil"/>
        </w:pBdr>
        <w:spacing w:after="0" w:line="280" w:lineRule="exact"/>
        <w:jc w:val="both"/>
        <w:rPr>
          <w:b/>
          <w:bCs/>
          <w:sz w:val="24"/>
          <w:szCs w:val="24"/>
          <w:lang w:val="en-US"/>
        </w:rPr>
      </w:pPr>
    </w:p>
    <w:p w14:paraId="752CD4E6" w14:textId="77777777" w:rsidR="00424005" w:rsidRPr="00996921" w:rsidRDefault="00424005" w:rsidP="00424005">
      <w:pPr>
        <w:pBdr>
          <w:top w:val="nil"/>
          <w:left w:val="nil"/>
          <w:bottom w:val="nil"/>
          <w:right w:val="nil"/>
          <w:between w:val="nil"/>
          <w:bar w:val="nil"/>
        </w:pBdr>
        <w:spacing w:after="0" w:line="280" w:lineRule="exact"/>
        <w:jc w:val="both"/>
        <w:rPr>
          <w:b/>
          <w:bCs/>
          <w:sz w:val="24"/>
          <w:szCs w:val="24"/>
          <w:lang w:val="en-US"/>
        </w:rPr>
      </w:pPr>
    </w:p>
    <w:p w14:paraId="53F06B1F" w14:textId="551D6F10" w:rsidR="00424005" w:rsidRPr="00996921" w:rsidRDefault="00C2407E" w:rsidP="00424005">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C2407E">
        <w:rPr>
          <w:sz w:val="24"/>
          <w:szCs w:val="24"/>
          <w:lang w:val="en-US"/>
        </w:rPr>
        <w:t>Assogestioni believes it would be important to stress that that the only EU body competent for promoting supervisory convergence in capital markets should be ESMA. The ESRB should only be an observer in that matter.</w:t>
      </w:r>
    </w:p>
    <w:p w14:paraId="494A6FEF" w14:textId="77777777" w:rsidR="00424005" w:rsidRPr="001C776B" w:rsidRDefault="00424005" w:rsidP="00094529">
      <w:pPr>
        <w:pBdr>
          <w:top w:val="nil"/>
          <w:left w:val="nil"/>
          <w:bottom w:val="nil"/>
          <w:right w:val="nil"/>
          <w:between w:val="nil"/>
          <w:bar w:val="nil"/>
        </w:pBdr>
        <w:spacing w:after="0" w:line="280" w:lineRule="exact"/>
        <w:jc w:val="both"/>
        <w:rPr>
          <w:b/>
          <w:bCs/>
          <w:sz w:val="24"/>
          <w:szCs w:val="24"/>
          <w:lang w:val="en-US"/>
        </w:rPr>
      </w:pPr>
    </w:p>
    <w:p w14:paraId="3312D2F4" w14:textId="77777777" w:rsidR="00424005" w:rsidRPr="001C776B" w:rsidRDefault="00424005" w:rsidP="00094529">
      <w:pPr>
        <w:pBdr>
          <w:top w:val="nil"/>
          <w:left w:val="nil"/>
          <w:bottom w:val="nil"/>
          <w:right w:val="nil"/>
          <w:between w:val="nil"/>
          <w:bar w:val="nil"/>
        </w:pBdr>
        <w:spacing w:after="0" w:line="280" w:lineRule="exact"/>
        <w:jc w:val="both"/>
        <w:rPr>
          <w:b/>
          <w:bCs/>
          <w:sz w:val="24"/>
          <w:szCs w:val="24"/>
          <w:lang w:val="en-US"/>
        </w:rPr>
      </w:pPr>
    </w:p>
    <w:p w14:paraId="46097AB6" w14:textId="77777777" w:rsidR="001C776B" w:rsidRDefault="001C776B" w:rsidP="00094529">
      <w:pPr>
        <w:pBdr>
          <w:top w:val="nil"/>
          <w:left w:val="nil"/>
          <w:bottom w:val="nil"/>
          <w:right w:val="nil"/>
          <w:between w:val="nil"/>
          <w:bar w:val="nil"/>
        </w:pBdr>
        <w:spacing w:after="0" w:line="280" w:lineRule="exact"/>
        <w:jc w:val="both"/>
        <w:rPr>
          <w:b/>
          <w:bCs/>
          <w:sz w:val="24"/>
          <w:szCs w:val="24"/>
          <w:lang w:val="en-US"/>
        </w:rPr>
      </w:pPr>
      <w:r w:rsidRPr="001C776B">
        <w:rPr>
          <w:b/>
          <w:bCs/>
          <w:sz w:val="24"/>
          <w:szCs w:val="24"/>
          <w:lang w:val="en-US"/>
        </w:rPr>
        <w:t>Question 61. Are there other ways of seeking coordination on macroprudential measures and possibly of reciprocation? What could this system look like? Please provide concrete examples/scenarios and explain if it could apply to all NBFI sectors or only for a specific one.</w:t>
      </w:r>
    </w:p>
    <w:p w14:paraId="63922A32" w14:textId="77777777" w:rsidR="00424005" w:rsidRDefault="00424005" w:rsidP="00094529">
      <w:pPr>
        <w:pBdr>
          <w:top w:val="nil"/>
          <w:left w:val="nil"/>
          <w:bottom w:val="nil"/>
          <w:right w:val="nil"/>
          <w:between w:val="nil"/>
          <w:bar w:val="nil"/>
        </w:pBdr>
        <w:spacing w:after="0" w:line="280" w:lineRule="exact"/>
        <w:jc w:val="both"/>
        <w:rPr>
          <w:b/>
          <w:bCs/>
          <w:sz w:val="24"/>
          <w:szCs w:val="24"/>
          <w:lang w:val="en-US"/>
        </w:rPr>
      </w:pPr>
    </w:p>
    <w:p w14:paraId="75E462C6" w14:textId="77777777" w:rsidR="00424005" w:rsidRPr="00996921" w:rsidRDefault="00424005" w:rsidP="00094529">
      <w:pPr>
        <w:pBdr>
          <w:top w:val="nil"/>
          <w:left w:val="nil"/>
          <w:bottom w:val="nil"/>
          <w:right w:val="nil"/>
          <w:between w:val="nil"/>
          <w:bar w:val="nil"/>
        </w:pBdr>
        <w:spacing w:after="0" w:line="280" w:lineRule="exact"/>
        <w:jc w:val="both"/>
        <w:rPr>
          <w:b/>
          <w:bCs/>
          <w:sz w:val="24"/>
          <w:szCs w:val="24"/>
          <w:lang w:val="en-US"/>
        </w:rPr>
      </w:pPr>
    </w:p>
    <w:p w14:paraId="55AE4130" w14:textId="09EEB155" w:rsidR="00424005" w:rsidRPr="00191FA8" w:rsidRDefault="00236226" w:rsidP="00424005">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GB"/>
        </w:rPr>
      </w:pPr>
      <w:r w:rsidRPr="007640B8">
        <w:rPr>
          <w:sz w:val="24"/>
          <w:szCs w:val="24"/>
          <w:lang w:val="en-US"/>
        </w:rPr>
        <w:t xml:space="preserve">As underscored in our response to Q57, convergence of supervisory data and </w:t>
      </w:r>
      <w:proofErr w:type="gramStart"/>
      <w:r w:rsidR="00361C8E">
        <w:rPr>
          <w:sz w:val="24"/>
          <w:szCs w:val="24"/>
          <w:lang w:val="en-US"/>
        </w:rPr>
        <w:t xml:space="preserve">the </w:t>
      </w:r>
      <w:r w:rsidR="00361C8E" w:rsidRPr="00361C8E">
        <w:rPr>
          <w:sz w:val="24"/>
          <w:szCs w:val="24"/>
          <w:lang w:val="en-US"/>
        </w:rPr>
        <w:t xml:space="preserve"> development</w:t>
      </w:r>
      <w:proofErr w:type="gramEnd"/>
      <w:r w:rsidR="00361C8E" w:rsidRPr="00361C8E">
        <w:rPr>
          <w:sz w:val="24"/>
          <w:szCs w:val="24"/>
          <w:lang w:val="en-US"/>
        </w:rPr>
        <w:t xml:space="preserve"> of an integrated </w:t>
      </w:r>
      <w:r w:rsidRPr="007640B8">
        <w:rPr>
          <w:sz w:val="24"/>
          <w:szCs w:val="24"/>
          <w:lang w:val="en-US"/>
        </w:rPr>
        <w:t>reporting system should</w:t>
      </w:r>
      <w:r w:rsidR="00DD77C3">
        <w:rPr>
          <w:sz w:val="24"/>
          <w:szCs w:val="24"/>
          <w:lang w:val="en-US"/>
        </w:rPr>
        <w:t xml:space="preserve"> be sufficient to</w:t>
      </w:r>
      <w:r w:rsidRPr="007640B8">
        <w:rPr>
          <w:sz w:val="24"/>
          <w:szCs w:val="24"/>
          <w:lang w:val="en-US"/>
        </w:rPr>
        <w:t xml:space="preserve"> achieve better </w:t>
      </w:r>
      <w:r w:rsidR="00A6634C">
        <w:rPr>
          <w:sz w:val="24"/>
          <w:szCs w:val="24"/>
          <w:lang w:val="en-US"/>
        </w:rPr>
        <w:t xml:space="preserve">supervisory </w:t>
      </w:r>
      <w:r w:rsidRPr="007640B8">
        <w:rPr>
          <w:sz w:val="24"/>
          <w:szCs w:val="24"/>
          <w:lang w:val="en-US"/>
        </w:rPr>
        <w:t>coordination on macroprudential measure</w:t>
      </w:r>
      <w:r w:rsidR="00A6634C">
        <w:rPr>
          <w:sz w:val="24"/>
          <w:szCs w:val="24"/>
          <w:lang w:val="en-US"/>
        </w:rPr>
        <w:t>s</w:t>
      </w:r>
      <w:r w:rsidR="00DE5EF4">
        <w:rPr>
          <w:sz w:val="24"/>
          <w:szCs w:val="24"/>
          <w:lang w:val="en-US"/>
        </w:rPr>
        <w:t>.</w:t>
      </w:r>
    </w:p>
    <w:p w14:paraId="1907A0A3" w14:textId="77777777" w:rsidR="00424005" w:rsidRPr="001C776B" w:rsidRDefault="00424005" w:rsidP="00424005">
      <w:pPr>
        <w:pBdr>
          <w:top w:val="nil"/>
          <w:left w:val="nil"/>
          <w:bottom w:val="nil"/>
          <w:right w:val="nil"/>
          <w:between w:val="nil"/>
          <w:bar w:val="nil"/>
        </w:pBdr>
        <w:spacing w:after="0" w:line="280" w:lineRule="exact"/>
        <w:jc w:val="both"/>
        <w:rPr>
          <w:b/>
          <w:bCs/>
          <w:sz w:val="24"/>
          <w:szCs w:val="24"/>
          <w:lang w:val="en-US"/>
        </w:rPr>
      </w:pPr>
    </w:p>
    <w:p w14:paraId="1EF848C9" w14:textId="77777777" w:rsidR="00424005" w:rsidRDefault="00424005" w:rsidP="001C776B">
      <w:pPr>
        <w:pBdr>
          <w:top w:val="nil"/>
          <w:left w:val="nil"/>
          <w:bottom w:val="nil"/>
          <w:right w:val="nil"/>
          <w:between w:val="nil"/>
          <w:bar w:val="nil"/>
        </w:pBdr>
        <w:spacing w:after="0" w:line="280" w:lineRule="exact"/>
        <w:jc w:val="both"/>
        <w:rPr>
          <w:b/>
          <w:bCs/>
          <w:sz w:val="24"/>
          <w:szCs w:val="24"/>
          <w:lang w:val="en-US"/>
        </w:rPr>
      </w:pPr>
    </w:p>
    <w:p w14:paraId="7C8006A7" w14:textId="77777777" w:rsidR="001C776B" w:rsidRPr="001C776B" w:rsidRDefault="001C776B" w:rsidP="001C776B">
      <w:pPr>
        <w:pBdr>
          <w:top w:val="nil"/>
          <w:left w:val="nil"/>
          <w:bottom w:val="nil"/>
          <w:right w:val="nil"/>
          <w:between w:val="nil"/>
          <w:bar w:val="nil"/>
        </w:pBdr>
        <w:spacing w:after="0" w:line="280" w:lineRule="exact"/>
        <w:jc w:val="both"/>
        <w:rPr>
          <w:b/>
          <w:bCs/>
          <w:sz w:val="24"/>
          <w:szCs w:val="24"/>
          <w:lang w:val="en-US"/>
        </w:rPr>
      </w:pPr>
    </w:p>
    <w:p w14:paraId="74B57D1E" w14:textId="77777777" w:rsidR="001C776B" w:rsidRPr="001C776B" w:rsidRDefault="001C776B" w:rsidP="001C776B">
      <w:pPr>
        <w:pBdr>
          <w:top w:val="nil"/>
          <w:left w:val="nil"/>
          <w:bottom w:val="nil"/>
          <w:right w:val="nil"/>
          <w:between w:val="nil"/>
          <w:bar w:val="nil"/>
        </w:pBdr>
        <w:spacing w:after="0" w:line="280" w:lineRule="exact"/>
        <w:jc w:val="both"/>
        <w:rPr>
          <w:b/>
          <w:bCs/>
          <w:i/>
          <w:iCs/>
          <w:sz w:val="24"/>
          <w:szCs w:val="24"/>
          <w:lang w:val="en-US"/>
        </w:rPr>
      </w:pPr>
      <w:r w:rsidRPr="001C776B">
        <w:rPr>
          <w:b/>
          <w:bCs/>
          <w:i/>
          <w:iCs/>
          <w:sz w:val="24"/>
          <w:szCs w:val="24"/>
          <w:lang w:val="en-US"/>
        </w:rPr>
        <w:t>Supervisory powers of EU bodies</w:t>
      </w:r>
    </w:p>
    <w:p w14:paraId="587107D0" w14:textId="77777777" w:rsidR="001C776B" w:rsidRPr="001C776B" w:rsidRDefault="001C776B" w:rsidP="001C776B">
      <w:pPr>
        <w:pBdr>
          <w:top w:val="nil"/>
          <w:left w:val="nil"/>
          <w:bottom w:val="nil"/>
          <w:right w:val="nil"/>
          <w:between w:val="nil"/>
          <w:bar w:val="nil"/>
        </w:pBdr>
        <w:spacing w:after="0" w:line="280" w:lineRule="exact"/>
        <w:jc w:val="both"/>
        <w:rPr>
          <w:b/>
          <w:bCs/>
          <w:sz w:val="24"/>
          <w:szCs w:val="24"/>
          <w:lang w:val="en-US"/>
        </w:rPr>
      </w:pPr>
    </w:p>
    <w:p w14:paraId="718DE267" w14:textId="77777777" w:rsidR="001C776B" w:rsidRDefault="001C776B" w:rsidP="001C776B">
      <w:pPr>
        <w:pBdr>
          <w:top w:val="nil"/>
          <w:left w:val="nil"/>
          <w:bottom w:val="nil"/>
          <w:right w:val="nil"/>
          <w:between w:val="nil"/>
          <w:bar w:val="nil"/>
        </w:pBdr>
        <w:spacing w:after="0" w:line="280" w:lineRule="exact"/>
        <w:jc w:val="both"/>
        <w:rPr>
          <w:b/>
          <w:bCs/>
          <w:sz w:val="24"/>
          <w:szCs w:val="24"/>
          <w:lang w:val="en-US"/>
        </w:rPr>
      </w:pPr>
      <w:r w:rsidRPr="001C776B">
        <w:rPr>
          <w:b/>
          <w:bCs/>
          <w:sz w:val="24"/>
          <w:szCs w:val="24"/>
          <w:lang w:val="en-US"/>
        </w:rPr>
        <w:t>Question 62. What are the benefits and costs of improving supervisory coordination over large (to be defined) asset management companies to address systemic risk and coordination issues among national supervisors? What could be ESMA’s role in ensuring coordination and guidance, including with daily supervision at fund level?</w:t>
      </w:r>
    </w:p>
    <w:p w14:paraId="2245489D" w14:textId="77777777" w:rsidR="001C776B" w:rsidRDefault="001C776B" w:rsidP="001C776B">
      <w:pPr>
        <w:pBdr>
          <w:top w:val="nil"/>
          <w:left w:val="nil"/>
          <w:bottom w:val="nil"/>
          <w:right w:val="nil"/>
          <w:between w:val="nil"/>
          <w:bar w:val="nil"/>
        </w:pBdr>
        <w:spacing w:after="0" w:line="280" w:lineRule="exact"/>
        <w:jc w:val="both"/>
        <w:rPr>
          <w:b/>
          <w:bCs/>
          <w:sz w:val="24"/>
          <w:szCs w:val="24"/>
          <w:lang w:val="en-US"/>
        </w:rPr>
      </w:pPr>
    </w:p>
    <w:p w14:paraId="6BB5F3CA" w14:textId="77777777" w:rsidR="00424005" w:rsidRPr="00996921" w:rsidRDefault="00424005" w:rsidP="00424005">
      <w:pPr>
        <w:pBdr>
          <w:top w:val="nil"/>
          <w:left w:val="nil"/>
          <w:bottom w:val="nil"/>
          <w:right w:val="nil"/>
          <w:between w:val="nil"/>
          <w:bar w:val="nil"/>
        </w:pBdr>
        <w:spacing w:after="0" w:line="280" w:lineRule="exact"/>
        <w:jc w:val="both"/>
        <w:rPr>
          <w:b/>
          <w:bCs/>
          <w:sz w:val="24"/>
          <w:szCs w:val="24"/>
          <w:lang w:val="en-US"/>
        </w:rPr>
      </w:pPr>
    </w:p>
    <w:p w14:paraId="5B3241D5" w14:textId="77777777" w:rsidR="00885827" w:rsidRPr="00885827" w:rsidRDefault="00885827" w:rsidP="00885827">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GB"/>
        </w:rPr>
      </w:pPr>
      <w:r w:rsidRPr="00885827">
        <w:rPr>
          <w:sz w:val="24"/>
          <w:szCs w:val="24"/>
          <w:lang w:val="en-GB"/>
        </w:rPr>
        <w:lastRenderedPageBreak/>
        <w:t xml:space="preserve">We believe that there is no reason to improve supervisory coordination over large management companies to address systemic risk, since there is no correlation between the size of the manager and the systemic relevance of the funds under its management, as management companies act on behalf of their investors and do not engage in proprietary trading. </w:t>
      </w:r>
    </w:p>
    <w:p w14:paraId="32145E66" w14:textId="77777777" w:rsidR="00885827" w:rsidRPr="00885827" w:rsidRDefault="00885827" w:rsidP="00885827">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GB"/>
        </w:rPr>
      </w:pPr>
    </w:p>
    <w:p w14:paraId="5276369C" w14:textId="77777777" w:rsidR="00885827" w:rsidRPr="00885827" w:rsidRDefault="00885827" w:rsidP="00885827">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GB"/>
        </w:rPr>
      </w:pPr>
      <w:r w:rsidRPr="00885827">
        <w:rPr>
          <w:sz w:val="24"/>
          <w:szCs w:val="24"/>
          <w:lang w:val="en-GB"/>
        </w:rPr>
        <w:t xml:space="preserve">In more general terms, reinforcing supervisory coordination over large management companies would be unnecessary as the current passporting regime already ensures that management companies are supervised by a single supervisor. Accordingly, Assogestioni believes that national supervision remains the best option for the asset management industry, given the national specificities of each Member State and the conflicts of law that might arise from supervisory integration. </w:t>
      </w:r>
    </w:p>
    <w:p w14:paraId="1C19EA6C" w14:textId="77777777" w:rsidR="00885827" w:rsidRPr="00885827" w:rsidRDefault="00885827" w:rsidP="00885827">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GB"/>
        </w:rPr>
      </w:pPr>
    </w:p>
    <w:p w14:paraId="3E56817F" w14:textId="2942EC5B" w:rsidR="00424005" w:rsidRPr="00885827" w:rsidRDefault="00885827" w:rsidP="00885827">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GB"/>
        </w:rPr>
      </w:pPr>
      <w:r w:rsidRPr="00885827">
        <w:rPr>
          <w:sz w:val="24"/>
          <w:szCs w:val="24"/>
          <w:lang w:val="en-GB"/>
        </w:rPr>
        <w:t>On such ground, we believe that ESMA should not be given enhanced coordination powers over large asset management companies. Moreover, we are concerned that this proposal might extend beyond the ultimate purpose of the consultation which is to assess the adequacy of the macroprudential policies for NBFIs.</w:t>
      </w:r>
    </w:p>
    <w:p w14:paraId="17B2BB62" w14:textId="77777777" w:rsidR="00424005" w:rsidRPr="001C776B" w:rsidRDefault="00424005" w:rsidP="00424005">
      <w:pPr>
        <w:pBdr>
          <w:top w:val="nil"/>
          <w:left w:val="nil"/>
          <w:bottom w:val="nil"/>
          <w:right w:val="nil"/>
          <w:between w:val="nil"/>
          <w:bar w:val="nil"/>
        </w:pBdr>
        <w:spacing w:after="0" w:line="280" w:lineRule="exact"/>
        <w:jc w:val="both"/>
        <w:rPr>
          <w:b/>
          <w:bCs/>
          <w:sz w:val="24"/>
          <w:szCs w:val="24"/>
          <w:lang w:val="en-US"/>
        </w:rPr>
      </w:pPr>
    </w:p>
    <w:p w14:paraId="4794B786" w14:textId="77777777" w:rsidR="00424005" w:rsidRPr="001C776B" w:rsidRDefault="00424005" w:rsidP="001C776B">
      <w:pPr>
        <w:pBdr>
          <w:top w:val="nil"/>
          <w:left w:val="nil"/>
          <w:bottom w:val="nil"/>
          <w:right w:val="nil"/>
          <w:between w:val="nil"/>
          <w:bar w:val="nil"/>
        </w:pBdr>
        <w:spacing w:after="0" w:line="280" w:lineRule="exact"/>
        <w:jc w:val="both"/>
        <w:rPr>
          <w:b/>
          <w:bCs/>
          <w:sz w:val="24"/>
          <w:szCs w:val="24"/>
          <w:lang w:val="en-US"/>
        </w:rPr>
      </w:pPr>
    </w:p>
    <w:p w14:paraId="6B338905" w14:textId="77777777" w:rsidR="001C776B" w:rsidRDefault="001C776B" w:rsidP="001C776B">
      <w:pPr>
        <w:pBdr>
          <w:top w:val="nil"/>
          <w:left w:val="nil"/>
          <w:bottom w:val="nil"/>
          <w:right w:val="nil"/>
          <w:between w:val="nil"/>
          <w:bar w:val="nil"/>
        </w:pBdr>
        <w:spacing w:after="0" w:line="280" w:lineRule="exact"/>
        <w:jc w:val="both"/>
        <w:rPr>
          <w:b/>
          <w:bCs/>
          <w:sz w:val="24"/>
          <w:szCs w:val="24"/>
          <w:lang w:val="en-US"/>
        </w:rPr>
      </w:pPr>
      <w:r w:rsidRPr="001C776B">
        <w:rPr>
          <w:b/>
          <w:bCs/>
          <w:sz w:val="24"/>
          <w:szCs w:val="24"/>
          <w:lang w:val="en-US"/>
        </w:rPr>
        <w:t>Question 63. What powers would be necessary for EU bodies to properly supervise large asset management companies in terms of flexibility and ability to react fast? Please provide concrete examples and justifications.</w:t>
      </w:r>
    </w:p>
    <w:p w14:paraId="208CAC15" w14:textId="77777777" w:rsidR="001C776B" w:rsidRDefault="001C776B" w:rsidP="001C776B">
      <w:pPr>
        <w:pBdr>
          <w:top w:val="nil"/>
          <w:left w:val="nil"/>
          <w:bottom w:val="nil"/>
          <w:right w:val="nil"/>
          <w:between w:val="nil"/>
          <w:bar w:val="nil"/>
        </w:pBdr>
        <w:spacing w:after="0" w:line="280" w:lineRule="exact"/>
        <w:jc w:val="both"/>
        <w:rPr>
          <w:b/>
          <w:bCs/>
          <w:sz w:val="24"/>
          <w:szCs w:val="24"/>
          <w:lang w:val="en-US"/>
        </w:rPr>
      </w:pPr>
    </w:p>
    <w:p w14:paraId="41D8A72F" w14:textId="77777777" w:rsidR="00424005" w:rsidRPr="00996921" w:rsidRDefault="00424005" w:rsidP="00424005">
      <w:pPr>
        <w:pBdr>
          <w:top w:val="nil"/>
          <w:left w:val="nil"/>
          <w:bottom w:val="nil"/>
          <w:right w:val="nil"/>
          <w:between w:val="nil"/>
          <w:bar w:val="nil"/>
        </w:pBdr>
        <w:spacing w:after="0" w:line="280" w:lineRule="exact"/>
        <w:jc w:val="both"/>
        <w:rPr>
          <w:b/>
          <w:bCs/>
          <w:sz w:val="24"/>
          <w:szCs w:val="24"/>
          <w:lang w:val="en-US"/>
        </w:rPr>
      </w:pPr>
    </w:p>
    <w:p w14:paraId="2F92837A" w14:textId="37A1795A" w:rsidR="00424005" w:rsidRPr="00996921" w:rsidRDefault="00550595" w:rsidP="00424005">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r w:rsidRPr="00550595">
        <w:rPr>
          <w:sz w:val="24"/>
          <w:szCs w:val="24"/>
          <w:lang w:val="en-US"/>
        </w:rPr>
        <w:t xml:space="preserve">As explained in our response to Q62, we believe that ESMA (as well as any other EU body) should not be given enhanced coordination powers over large asset management companies. This would be unnecessary given the absence of correlation between the size of the asset manager and its systemic relevance, and the effect already achieved by the current passporting regime of preventing supervisory fragmentation. Moreover, </w:t>
      </w:r>
      <w:r w:rsidR="00450244" w:rsidRPr="00550595">
        <w:rPr>
          <w:sz w:val="24"/>
          <w:szCs w:val="24"/>
          <w:lang w:val="en-US"/>
        </w:rPr>
        <w:t>supervisory</w:t>
      </w:r>
      <w:r w:rsidRPr="00550595">
        <w:rPr>
          <w:sz w:val="24"/>
          <w:szCs w:val="24"/>
          <w:lang w:val="en-US"/>
        </w:rPr>
        <w:t xml:space="preserve"> integration would make supervision in the EU more complex, while national supervision remains the best option for the asset management industry</w:t>
      </w:r>
      <w:r w:rsidR="00EB5821">
        <w:rPr>
          <w:sz w:val="24"/>
          <w:szCs w:val="24"/>
          <w:lang w:val="en-US"/>
        </w:rPr>
        <w:t>.</w:t>
      </w:r>
    </w:p>
    <w:p w14:paraId="22CAAB26" w14:textId="77777777" w:rsidR="00424005" w:rsidRPr="001C776B" w:rsidRDefault="00424005" w:rsidP="00424005">
      <w:pPr>
        <w:pBdr>
          <w:top w:val="nil"/>
          <w:left w:val="nil"/>
          <w:bottom w:val="nil"/>
          <w:right w:val="nil"/>
          <w:between w:val="nil"/>
          <w:bar w:val="nil"/>
        </w:pBdr>
        <w:spacing w:after="0" w:line="280" w:lineRule="exact"/>
        <w:jc w:val="both"/>
        <w:rPr>
          <w:b/>
          <w:bCs/>
          <w:sz w:val="24"/>
          <w:szCs w:val="24"/>
          <w:lang w:val="en-US"/>
        </w:rPr>
      </w:pPr>
    </w:p>
    <w:p w14:paraId="381D3910" w14:textId="77777777" w:rsidR="00424005" w:rsidRPr="001C776B" w:rsidRDefault="00424005" w:rsidP="001C776B">
      <w:pPr>
        <w:pBdr>
          <w:top w:val="nil"/>
          <w:left w:val="nil"/>
          <w:bottom w:val="nil"/>
          <w:right w:val="nil"/>
          <w:between w:val="nil"/>
          <w:bar w:val="nil"/>
        </w:pBdr>
        <w:spacing w:after="0" w:line="280" w:lineRule="exact"/>
        <w:jc w:val="both"/>
        <w:rPr>
          <w:b/>
          <w:bCs/>
          <w:sz w:val="24"/>
          <w:szCs w:val="24"/>
          <w:lang w:val="en-US"/>
        </w:rPr>
      </w:pPr>
    </w:p>
    <w:p w14:paraId="5C85811F" w14:textId="331C6B8B" w:rsidR="001C776B" w:rsidRDefault="001C776B" w:rsidP="001C776B">
      <w:pPr>
        <w:pBdr>
          <w:top w:val="nil"/>
          <w:left w:val="nil"/>
          <w:bottom w:val="nil"/>
          <w:right w:val="nil"/>
          <w:between w:val="nil"/>
          <w:bar w:val="nil"/>
        </w:pBdr>
        <w:spacing w:after="0" w:line="280" w:lineRule="exact"/>
        <w:jc w:val="both"/>
        <w:rPr>
          <w:b/>
          <w:bCs/>
          <w:sz w:val="24"/>
          <w:szCs w:val="24"/>
          <w:lang w:val="en-US"/>
        </w:rPr>
      </w:pPr>
      <w:r w:rsidRPr="001C776B">
        <w:rPr>
          <w:b/>
          <w:bCs/>
          <w:sz w:val="24"/>
          <w:szCs w:val="24"/>
          <w:lang w:val="en-US"/>
        </w:rPr>
        <w:t xml:space="preserve">Question 64. What are the benefits and costs of having targeted coordinated direct intervention powers to manage a crisis of large asset management companies? What could such intervention powers look like (e.g. </w:t>
      </w:r>
      <w:proofErr w:type="gramStart"/>
      <w:r w:rsidRPr="001C776B">
        <w:rPr>
          <w:b/>
          <w:bCs/>
          <w:sz w:val="24"/>
          <w:szCs w:val="24"/>
          <w:lang w:val="en-US"/>
        </w:rPr>
        <w:t>similar to</w:t>
      </w:r>
      <w:proofErr w:type="gramEnd"/>
      <w:r w:rsidRPr="001C776B">
        <w:rPr>
          <w:b/>
          <w:bCs/>
          <w:sz w:val="24"/>
          <w:szCs w:val="24"/>
          <w:lang w:val="en-US"/>
        </w:rPr>
        <w:t xml:space="preserve"> those in Article 24 of EMIR)?</w:t>
      </w:r>
    </w:p>
    <w:p w14:paraId="76A6BF9A" w14:textId="77777777" w:rsidR="00424005" w:rsidRDefault="00424005" w:rsidP="001C776B">
      <w:pPr>
        <w:pBdr>
          <w:top w:val="nil"/>
          <w:left w:val="nil"/>
          <w:bottom w:val="nil"/>
          <w:right w:val="nil"/>
          <w:between w:val="nil"/>
          <w:bar w:val="nil"/>
        </w:pBdr>
        <w:spacing w:after="0" w:line="280" w:lineRule="exact"/>
        <w:jc w:val="both"/>
        <w:rPr>
          <w:b/>
          <w:bCs/>
          <w:sz w:val="24"/>
          <w:szCs w:val="24"/>
          <w:lang w:val="en-US"/>
        </w:rPr>
      </w:pPr>
    </w:p>
    <w:p w14:paraId="139434FF" w14:textId="77777777" w:rsidR="00424005" w:rsidRPr="00996921" w:rsidRDefault="00424005" w:rsidP="00424005">
      <w:pPr>
        <w:pBdr>
          <w:top w:val="nil"/>
          <w:left w:val="nil"/>
          <w:bottom w:val="nil"/>
          <w:right w:val="nil"/>
          <w:between w:val="nil"/>
          <w:bar w:val="nil"/>
        </w:pBdr>
        <w:spacing w:after="0" w:line="280" w:lineRule="exact"/>
        <w:jc w:val="both"/>
        <w:rPr>
          <w:b/>
          <w:bCs/>
          <w:sz w:val="24"/>
          <w:szCs w:val="24"/>
          <w:lang w:val="en-US"/>
        </w:rPr>
      </w:pPr>
    </w:p>
    <w:p w14:paraId="37C1CB0B" w14:textId="77777777" w:rsidR="00424005" w:rsidRPr="00996921" w:rsidRDefault="00424005" w:rsidP="00424005">
      <w:pPr>
        <w:pBdr>
          <w:top w:val="single" w:sz="4" w:space="1" w:color="auto"/>
          <w:left w:val="single" w:sz="4" w:space="1" w:color="auto"/>
          <w:bottom w:val="single" w:sz="4" w:space="1" w:color="auto"/>
          <w:right w:val="single" w:sz="4" w:space="1" w:color="auto"/>
          <w:between w:val="nil"/>
          <w:bar w:val="nil"/>
        </w:pBdr>
        <w:shd w:val="clear" w:color="auto" w:fill="D9E2F3" w:themeFill="accent1" w:themeFillTint="33"/>
        <w:spacing w:after="0" w:line="280" w:lineRule="exact"/>
        <w:jc w:val="both"/>
        <w:rPr>
          <w:sz w:val="24"/>
          <w:szCs w:val="24"/>
          <w:lang w:val="en-US"/>
        </w:rPr>
      </w:pPr>
    </w:p>
    <w:p w14:paraId="20972583" w14:textId="77777777" w:rsidR="00424005" w:rsidRPr="001C776B" w:rsidRDefault="00424005" w:rsidP="00424005">
      <w:pPr>
        <w:pBdr>
          <w:top w:val="nil"/>
          <w:left w:val="nil"/>
          <w:bottom w:val="nil"/>
          <w:right w:val="nil"/>
          <w:between w:val="nil"/>
          <w:bar w:val="nil"/>
        </w:pBdr>
        <w:spacing w:after="0" w:line="280" w:lineRule="exact"/>
        <w:jc w:val="both"/>
        <w:rPr>
          <w:b/>
          <w:bCs/>
          <w:sz w:val="24"/>
          <w:szCs w:val="24"/>
          <w:lang w:val="en-US"/>
        </w:rPr>
      </w:pPr>
    </w:p>
    <w:p w14:paraId="6D54BD5F" w14:textId="77777777" w:rsidR="00424005" w:rsidRDefault="00424005" w:rsidP="001C776B">
      <w:pPr>
        <w:pBdr>
          <w:top w:val="nil"/>
          <w:left w:val="nil"/>
          <w:bottom w:val="nil"/>
          <w:right w:val="nil"/>
          <w:between w:val="nil"/>
          <w:bar w:val="nil"/>
        </w:pBdr>
        <w:spacing w:after="0" w:line="280" w:lineRule="exact"/>
        <w:jc w:val="both"/>
        <w:rPr>
          <w:b/>
          <w:bCs/>
          <w:sz w:val="24"/>
          <w:szCs w:val="24"/>
          <w:lang w:val="en-US"/>
        </w:rPr>
      </w:pPr>
    </w:p>
    <w:p w14:paraId="0B491283" w14:textId="77777777" w:rsidR="001C776B" w:rsidRDefault="001C776B" w:rsidP="001C776B">
      <w:pPr>
        <w:pBdr>
          <w:top w:val="nil"/>
          <w:left w:val="nil"/>
          <w:bottom w:val="nil"/>
          <w:right w:val="nil"/>
          <w:between w:val="nil"/>
          <w:bar w:val="nil"/>
        </w:pBdr>
        <w:spacing w:after="0" w:line="280" w:lineRule="exact"/>
        <w:jc w:val="both"/>
        <w:rPr>
          <w:b/>
          <w:bCs/>
          <w:sz w:val="24"/>
          <w:szCs w:val="24"/>
          <w:lang w:val="en-US"/>
        </w:rPr>
      </w:pPr>
    </w:p>
    <w:p w14:paraId="01C18212" w14:textId="03AC93E5" w:rsidR="001C776B" w:rsidRDefault="001C776B" w:rsidP="001C776B">
      <w:pPr>
        <w:pBdr>
          <w:top w:val="nil"/>
          <w:left w:val="nil"/>
          <w:bottom w:val="nil"/>
          <w:right w:val="nil"/>
          <w:between w:val="nil"/>
          <w:bar w:val="nil"/>
        </w:pBdr>
        <w:spacing w:after="0" w:line="280" w:lineRule="exact"/>
        <w:jc w:val="both"/>
        <w:rPr>
          <w:b/>
          <w:bCs/>
          <w:sz w:val="24"/>
          <w:szCs w:val="24"/>
          <w:u w:val="single"/>
          <w:lang w:val="en-US"/>
        </w:rPr>
      </w:pPr>
      <w:r w:rsidRPr="001C776B">
        <w:rPr>
          <w:b/>
          <w:bCs/>
          <w:sz w:val="24"/>
          <w:szCs w:val="24"/>
          <w:u w:val="single"/>
          <w:lang w:val="en-US"/>
        </w:rPr>
        <w:t>6.2 Other NBFIs and markets</w:t>
      </w:r>
    </w:p>
    <w:p w14:paraId="28926083" w14:textId="77777777" w:rsidR="001C776B" w:rsidRDefault="001C776B" w:rsidP="001C776B">
      <w:pPr>
        <w:pBdr>
          <w:top w:val="nil"/>
          <w:left w:val="nil"/>
          <w:bottom w:val="nil"/>
          <w:right w:val="nil"/>
          <w:between w:val="nil"/>
          <w:bar w:val="nil"/>
        </w:pBdr>
        <w:spacing w:after="0" w:line="280" w:lineRule="exact"/>
        <w:jc w:val="both"/>
        <w:rPr>
          <w:b/>
          <w:bCs/>
          <w:sz w:val="24"/>
          <w:szCs w:val="24"/>
          <w:lang w:val="en-US"/>
        </w:rPr>
      </w:pPr>
    </w:p>
    <w:p w14:paraId="541BDB14" w14:textId="0935CD15" w:rsidR="001C776B" w:rsidRDefault="006D2289" w:rsidP="001C776B">
      <w:pPr>
        <w:pBdr>
          <w:top w:val="nil"/>
          <w:left w:val="nil"/>
          <w:bottom w:val="nil"/>
          <w:right w:val="nil"/>
          <w:between w:val="nil"/>
          <w:bar w:val="nil"/>
        </w:pBdr>
        <w:spacing w:after="0" w:line="280" w:lineRule="exact"/>
        <w:jc w:val="both"/>
        <w:rPr>
          <w:b/>
          <w:bCs/>
          <w:sz w:val="24"/>
          <w:szCs w:val="24"/>
          <w:lang w:val="en-US"/>
        </w:rPr>
      </w:pPr>
      <w:r w:rsidRPr="006D2289">
        <w:rPr>
          <w:b/>
          <w:bCs/>
          <w:sz w:val="24"/>
          <w:szCs w:val="24"/>
          <w:lang w:val="en-US"/>
        </w:rPr>
        <w:lastRenderedPageBreak/>
        <w:t>Question 65. What are the pros and cons of extending the use of the Enhanced Coordination Mechanism (ECM) described under section 6.1 to other NBFI sectors?</w:t>
      </w:r>
    </w:p>
    <w:p w14:paraId="3328F730" w14:textId="77777777" w:rsidR="006D2289" w:rsidRPr="006D2289" w:rsidRDefault="006D2289" w:rsidP="001C776B">
      <w:pPr>
        <w:pBdr>
          <w:top w:val="nil"/>
          <w:left w:val="nil"/>
          <w:bottom w:val="nil"/>
          <w:right w:val="nil"/>
          <w:between w:val="nil"/>
          <w:bar w:val="nil"/>
        </w:pBdr>
        <w:spacing w:after="0" w:line="280" w:lineRule="exact"/>
        <w:jc w:val="both"/>
        <w:rPr>
          <w:b/>
          <w:bCs/>
          <w:i/>
          <w:iCs/>
          <w:sz w:val="24"/>
          <w:szCs w:val="24"/>
          <w:lang w:val="en-US"/>
        </w:rPr>
      </w:pPr>
    </w:p>
    <w:p w14:paraId="7BA9BE76" w14:textId="77777777" w:rsidR="006D2289" w:rsidRPr="006D2289" w:rsidRDefault="006D2289" w:rsidP="006D2289">
      <w:pPr>
        <w:pBdr>
          <w:top w:val="nil"/>
          <w:left w:val="nil"/>
          <w:bottom w:val="nil"/>
          <w:right w:val="nil"/>
          <w:between w:val="nil"/>
          <w:bar w:val="nil"/>
        </w:pBdr>
        <w:spacing w:after="0" w:line="280" w:lineRule="exact"/>
        <w:jc w:val="both"/>
        <w:rPr>
          <w:b/>
          <w:bCs/>
          <w:i/>
          <w:iCs/>
          <w:sz w:val="24"/>
          <w:szCs w:val="24"/>
          <w:lang w:val="en-US"/>
        </w:rPr>
      </w:pPr>
      <w:r w:rsidRPr="006D2289">
        <w:rPr>
          <w:b/>
          <w:bCs/>
          <w:i/>
          <w:iCs/>
          <w:sz w:val="24"/>
          <w:szCs w:val="24"/>
          <w:lang w:val="en-US"/>
        </w:rPr>
        <w:t>ESAs and ESRB’s powers during emergency situations</w:t>
      </w:r>
    </w:p>
    <w:p w14:paraId="1DD3FFFA" w14:textId="77777777" w:rsidR="006D2289" w:rsidRPr="006D2289" w:rsidRDefault="006D2289" w:rsidP="006D2289">
      <w:pPr>
        <w:pBdr>
          <w:top w:val="nil"/>
          <w:left w:val="nil"/>
          <w:bottom w:val="nil"/>
          <w:right w:val="nil"/>
          <w:between w:val="nil"/>
          <w:bar w:val="nil"/>
        </w:pBdr>
        <w:spacing w:after="0" w:line="280" w:lineRule="exact"/>
        <w:jc w:val="both"/>
        <w:rPr>
          <w:b/>
          <w:bCs/>
          <w:sz w:val="24"/>
          <w:szCs w:val="24"/>
          <w:lang w:val="en-US"/>
        </w:rPr>
      </w:pPr>
    </w:p>
    <w:p w14:paraId="39FCB8AB" w14:textId="77777777" w:rsidR="006D2289" w:rsidRDefault="006D2289" w:rsidP="006D2289">
      <w:pPr>
        <w:pBdr>
          <w:top w:val="nil"/>
          <w:left w:val="nil"/>
          <w:bottom w:val="nil"/>
          <w:right w:val="nil"/>
          <w:between w:val="nil"/>
          <w:bar w:val="nil"/>
        </w:pBdr>
        <w:spacing w:after="0" w:line="280" w:lineRule="exact"/>
        <w:jc w:val="both"/>
        <w:rPr>
          <w:b/>
          <w:bCs/>
          <w:sz w:val="24"/>
          <w:szCs w:val="24"/>
          <w:lang w:val="en-US"/>
        </w:rPr>
      </w:pPr>
      <w:r w:rsidRPr="006D2289">
        <w:rPr>
          <w:b/>
          <w:bCs/>
          <w:sz w:val="24"/>
          <w:szCs w:val="24"/>
          <w:lang w:val="en-US"/>
        </w:rPr>
        <w:t>Question 66. What are the benefits and costs of gradually giving ESAs greater intervention powers to be triggered by systemic events, such as the possibility to introduce EU-wide trade halts or direct power to collect data from regulated entities? Please justify your answer and provide examples of powers that could be given to the ESAs during a systemic crisis.</w:t>
      </w:r>
    </w:p>
    <w:p w14:paraId="1EC50877" w14:textId="77777777" w:rsidR="006D2289" w:rsidRPr="006D2289" w:rsidRDefault="006D2289" w:rsidP="006D2289">
      <w:pPr>
        <w:pBdr>
          <w:top w:val="nil"/>
          <w:left w:val="nil"/>
          <w:bottom w:val="nil"/>
          <w:right w:val="nil"/>
          <w:between w:val="nil"/>
          <w:bar w:val="nil"/>
        </w:pBdr>
        <w:spacing w:after="0" w:line="280" w:lineRule="exact"/>
        <w:jc w:val="both"/>
        <w:rPr>
          <w:b/>
          <w:bCs/>
          <w:sz w:val="24"/>
          <w:szCs w:val="24"/>
          <w:lang w:val="en-US"/>
        </w:rPr>
      </w:pPr>
    </w:p>
    <w:p w14:paraId="2F453F14" w14:textId="77777777" w:rsidR="006D2289" w:rsidRPr="006D2289" w:rsidRDefault="006D2289" w:rsidP="006D2289">
      <w:pPr>
        <w:pBdr>
          <w:top w:val="nil"/>
          <w:left w:val="nil"/>
          <w:bottom w:val="nil"/>
          <w:right w:val="nil"/>
          <w:between w:val="nil"/>
          <w:bar w:val="nil"/>
        </w:pBdr>
        <w:spacing w:after="0" w:line="280" w:lineRule="exact"/>
        <w:jc w:val="both"/>
        <w:rPr>
          <w:b/>
          <w:bCs/>
          <w:i/>
          <w:iCs/>
          <w:sz w:val="24"/>
          <w:szCs w:val="24"/>
          <w:lang w:val="en-US"/>
        </w:rPr>
      </w:pPr>
      <w:r w:rsidRPr="006D2289">
        <w:rPr>
          <w:b/>
          <w:bCs/>
          <w:i/>
          <w:iCs/>
          <w:sz w:val="24"/>
          <w:szCs w:val="24"/>
          <w:lang w:val="en-US"/>
        </w:rPr>
        <w:t xml:space="preserve">Integrated supervision </w:t>
      </w:r>
      <w:proofErr w:type="gramStart"/>
      <w:r w:rsidRPr="006D2289">
        <w:rPr>
          <w:b/>
          <w:bCs/>
          <w:i/>
          <w:iCs/>
          <w:sz w:val="24"/>
          <w:szCs w:val="24"/>
          <w:lang w:val="en-US"/>
        </w:rPr>
        <w:t>for</w:t>
      </w:r>
      <w:proofErr w:type="gramEnd"/>
      <w:r w:rsidRPr="006D2289">
        <w:rPr>
          <w:b/>
          <w:bCs/>
          <w:i/>
          <w:iCs/>
          <w:sz w:val="24"/>
          <w:szCs w:val="24"/>
          <w:lang w:val="en-US"/>
        </w:rPr>
        <w:t xml:space="preserve"> commodities markets</w:t>
      </w:r>
    </w:p>
    <w:p w14:paraId="15EDB736" w14:textId="77777777" w:rsidR="006D2289" w:rsidRPr="006D2289" w:rsidRDefault="006D2289" w:rsidP="006D2289">
      <w:pPr>
        <w:pBdr>
          <w:top w:val="nil"/>
          <w:left w:val="nil"/>
          <w:bottom w:val="nil"/>
          <w:right w:val="nil"/>
          <w:between w:val="nil"/>
          <w:bar w:val="nil"/>
        </w:pBdr>
        <w:spacing w:after="0" w:line="280" w:lineRule="exact"/>
        <w:jc w:val="both"/>
        <w:rPr>
          <w:b/>
          <w:bCs/>
          <w:sz w:val="24"/>
          <w:szCs w:val="24"/>
          <w:lang w:val="en-US"/>
        </w:rPr>
      </w:pPr>
    </w:p>
    <w:p w14:paraId="0E91BCA2" w14:textId="77777777" w:rsidR="006D2289" w:rsidRDefault="006D2289" w:rsidP="006D2289">
      <w:pPr>
        <w:pBdr>
          <w:top w:val="nil"/>
          <w:left w:val="nil"/>
          <w:bottom w:val="nil"/>
          <w:right w:val="nil"/>
          <w:between w:val="nil"/>
          <w:bar w:val="nil"/>
        </w:pBdr>
        <w:spacing w:after="0" w:line="280" w:lineRule="exact"/>
        <w:jc w:val="both"/>
        <w:rPr>
          <w:b/>
          <w:bCs/>
          <w:sz w:val="24"/>
          <w:szCs w:val="24"/>
          <w:lang w:val="en-US"/>
        </w:rPr>
      </w:pPr>
      <w:r w:rsidRPr="006D2289">
        <w:rPr>
          <w:b/>
          <w:bCs/>
          <w:sz w:val="24"/>
          <w:szCs w:val="24"/>
          <w:lang w:val="en-US"/>
        </w:rPr>
        <w:t>Question 67. What are the benefits and costs of a more integrated system of supervision for commodities markets where the financial markets supervisor bears responsibility for both the financial and physical infrastructure of the commodity futures exchange, including the system of rules and contractual terms of the exchange that regulate both futures and (cash/physical) forward contracts?</w:t>
      </w:r>
    </w:p>
    <w:p w14:paraId="4B629727" w14:textId="77777777" w:rsidR="006D2289" w:rsidRPr="006D2289" w:rsidRDefault="006D2289" w:rsidP="006D2289">
      <w:pPr>
        <w:pBdr>
          <w:top w:val="nil"/>
          <w:left w:val="nil"/>
          <w:bottom w:val="nil"/>
          <w:right w:val="nil"/>
          <w:between w:val="nil"/>
          <w:bar w:val="nil"/>
        </w:pBdr>
        <w:spacing w:after="0" w:line="280" w:lineRule="exact"/>
        <w:jc w:val="both"/>
        <w:rPr>
          <w:b/>
          <w:bCs/>
          <w:sz w:val="24"/>
          <w:szCs w:val="24"/>
          <w:lang w:val="en-US"/>
        </w:rPr>
      </w:pPr>
    </w:p>
    <w:p w14:paraId="07FE4894" w14:textId="77777777" w:rsidR="006D2289" w:rsidRPr="006D2289" w:rsidRDefault="006D2289" w:rsidP="006D2289">
      <w:pPr>
        <w:pBdr>
          <w:top w:val="nil"/>
          <w:left w:val="nil"/>
          <w:bottom w:val="nil"/>
          <w:right w:val="nil"/>
          <w:between w:val="nil"/>
          <w:bar w:val="nil"/>
        </w:pBdr>
        <w:spacing w:after="0" w:line="280" w:lineRule="exact"/>
        <w:jc w:val="both"/>
        <w:rPr>
          <w:b/>
          <w:bCs/>
          <w:i/>
          <w:iCs/>
          <w:sz w:val="24"/>
          <w:szCs w:val="24"/>
          <w:lang w:val="en-US"/>
        </w:rPr>
      </w:pPr>
      <w:r w:rsidRPr="006D2289">
        <w:rPr>
          <w:b/>
          <w:bCs/>
          <w:i/>
          <w:iCs/>
          <w:sz w:val="24"/>
          <w:szCs w:val="24"/>
          <w:lang w:val="en-US"/>
        </w:rPr>
        <w:t>International coordination</w:t>
      </w:r>
    </w:p>
    <w:p w14:paraId="5C57DE2E" w14:textId="77777777" w:rsidR="006D2289" w:rsidRPr="006D2289" w:rsidRDefault="006D2289" w:rsidP="006D2289">
      <w:pPr>
        <w:pBdr>
          <w:top w:val="nil"/>
          <w:left w:val="nil"/>
          <w:bottom w:val="nil"/>
          <w:right w:val="nil"/>
          <w:between w:val="nil"/>
          <w:bar w:val="nil"/>
        </w:pBdr>
        <w:spacing w:after="0" w:line="280" w:lineRule="exact"/>
        <w:jc w:val="both"/>
        <w:rPr>
          <w:b/>
          <w:bCs/>
          <w:sz w:val="24"/>
          <w:szCs w:val="24"/>
          <w:lang w:val="en-US"/>
        </w:rPr>
      </w:pPr>
    </w:p>
    <w:p w14:paraId="31B67AF0" w14:textId="4133124F" w:rsidR="006D2289" w:rsidRDefault="006D2289" w:rsidP="006D2289">
      <w:pPr>
        <w:pBdr>
          <w:top w:val="nil"/>
          <w:left w:val="nil"/>
          <w:bottom w:val="nil"/>
          <w:right w:val="nil"/>
          <w:between w:val="nil"/>
          <w:bar w:val="nil"/>
        </w:pBdr>
        <w:spacing w:after="0" w:line="280" w:lineRule="exact"/>
        <w:jc w:val="both"/>
        <w:rPr>
          <w:b/>
          <w:bCs/>
          <w:sz w:val="24"/>
          <w:szCs w:val="24"/>
          <w:lang w:val="en-US"/>
        </w:rPr>
      </w:pPr>
      <w:r w:rsidRPr="006D2289">
        <w:rPr>
          <w:b/>
          <w:bCs/>
          <w:sz w:val="24"/>
          <w:szCs w:val="24"/>
          <w:lang w:val="en-US"/>
        </w:rPr>
        <w:t xml:space="preserve">Question 68. Are there elements of the FSB </w:t>
      </w:r>
      <w:proofErr w:type="spellStart"/>
      <w:r w:rsidRPr="006D2289">
        <w:rPr>
          <w:b/>
          <w:bCs/>
          <w:sz w:val="24"/>
          <w:szCs w:val="24"/>
          <w:lang w:val="en-US"/>
        </w:rPr>
        <w:t>programme</w:t>
      </w:r>
      <w:proofErr w:type="spellEnd"/>
      <w:r w:rsidRPr="006D2289">
        <w:rPr>
          <w:b/>
          <w:bCs/>
          <w:sz w:val="24"/>
          <w:szCs w:val="24"/>
          <w:lang w:val="en-US"/>
        </w:rPr>
        <w:t xml:space="preserve"> on NBFI that should be </w:t>
      </w:r>
      <w:proofErr w:type="spellStart"/>
      <w:r w:rsidRPr="006D2289">
        <w:rPr>
          <w:b/>
          <w:bCs/>
          <w:sz w:val="24"/>
          <w:szCs w:val="24"/>
          <w:lang w:val="en-US"/>
        </w:rPr>
        <w:t>prioritised</w:t>
      </w:r>
      <w:proofErr w:type="spellEnd"/>
      <w:r w:rsidRPr="006D2289">
        <w:rPr>
          <w:b/>
          <w:bCs/>
          <w:sz w:val="24"/>
          <w:szCs w:val="24"/>
          <w:lang w:val="en-US"/>
        </w:rPr>
        <w:t xml:space="preserve"> in the EU? Please provide examples.</w:t>
      </w:r>
    </w:p>
    <w:p w14:paraId="61A1A42D" w14:textId="77777777" w:rsidR="006D2289" w:rsidRDefault="006D2289" w:rsidP="006D2289">
      <w:pPr>
        <w:pBdr>
          <w:top w:val="nil"/>
          <w:left w:val="nil"/>
          <w:bottom w:val="nil"/>
          <w:right w:val="nil"/>
          <w:between w:val="nil"/>
          <w:bar w:val="nil"/>
        </w:pBdr>
        <w:spacing w:after="0" w:line="280" w:lineRule="exact"/>
        <w:jc w:val="both"/>
        <w:rPr>
          <w:b/>
          <w:bCs/>
          <w:sz w:val="24"/>
          <w:szCs w:val="24"/>
          <w:lang w:val="en-US"/>
        </w:rPr>
      </w:pPr>
    </w:p>
    <w:p w14:paraId="37F5EE9D" w14:textId="77777777" w:rsidR="006D2289" w:rsidRPr="001C776B" w:rsidRDefault="006D2289" w:rsidP="006D2289">
      <w:pPr>
        <w:pBdr>
          <w:top w:val="nil"/>
          <w:left w:val="nil"/>
          <w:bottom w:val="nil"/>
          <w:right w:val="nil"/>
          <w:between w:val="nil"/>
          <w:bar w:val="nil"/>
        </w:pBdr>
        <w:spacing w:after="0" w:line="280" w:lineRule="exact"/>
        <w:jc w:val="both"/>
        <w:rPr>
          <w:b/>
          <w:bCs/>
          <w:sz w:val="24"/>
          <w:szCs w:val="24"/>
          <w:lang w:val="en-US"/>
        </w:rPr>
      </w:pPr>
    </w:p>
    <w:sectPr w:rsidR="006D2289" w:rsidRPr="001C776B" w:rsidSect="00824947">
      <w:headerReference w:type="default" r:id="rId13"/>
      <w:footerReference w:type="default" r:id="rId14"/>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6F583A" w14:textId="77777777" w:rsidR="00A94D0C" w:rsidRDefault="00A94D0C" w:rsidP="004450BB">
      <w:pPr>
        <w:spacing w:after="0" w:line="240" w:lineRule="auto"/>
      </w:pPr>
      <w:r>
        <w:separator/>
      </w:r>
    </w:p>
  </w:endnote>
  <w:endnote w:type="continuationSeparator" w:id="0">
    <w:p w14:paraId="283B0D40" w14:textId="77777777" w:rsidR="00A94D0C" w:rsidRDefault="00A94D0C" w:rsidP="004450BB">
      <w:pPr>
        <w:spacing w:after="0" w:line="240" w:lineRule="auto"/>
      </w:pPr>
      <w:r>
        <w:continuationSeparator/>
      </w:r>
    </w:p>
  </w:endnote>
  <w:endnote w:type="continuationNotice" w:id="1">
    <w:p w14:paraId="24E5D4B7" w14:textId="77777777" w:rsidR="00A94D0C" w:rsidRDefault="00A94D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EUAlbertina">
    <w:altName w:val="Cambria"/>
    <w:charset w:val="00"/>
    <w:family w:val="roman"/>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6675065"/>
      <w:docPartObj>
        <w:docPartGallery w:val="Page Numbers (Bottom of Page)"/>
        <w:docPartUnique/>
      </w:docPartObj>
    </w:sdtPr>
    <w:sdtEndPr/>
    <w:sdtContent>
      <w:p w14:paraId="26807FE0" w14:textId="0BCBD739" w:rsidR="006A1ABE" w:rsidRDefault="006A1ABE">
        <w:pPr>
          <w:pStyle w:val="Pidipagina"/>
          <w:jc w:val="center"/>
        </w:pPr>
        <w:r>
          <w:fldChar w:fldCharType="begin"/>
        </w:r>
        <w:r>
          <w:instrText>PAGE   \* MERGEFORMAT</w:instrText>
        </w:r>
        <w:r>
          <w:fldChar w:fldCharType="separate"/>
        </w:r>
        <w:r w:rsidR="00C10728">
          <w:rPr>
            <w:noProof/>
          </w:rPr>
          <w:t>3</w:t>
        </w:r>
        <w:r>
          <w:fldChar w:fldCharType="end"/>
        </w:r>
      </w:p>
    </w:sdtContent>
  </w:sdt>
  <w:p w14:paraId="43FD286D" w14:textId="3F2CE369" w:rsidR="006A1ABE" w:rsidRDefault="00973EDA">
    <w:pPr>
      <w:pStyle w:val="Pidipagina"/>
    </w:pPr>
    <w:r>
      <w:rPr>
        <w:noProof/>
        <w:lang w:eastAsia="it-IT"/>
      </w:rPr>
      <w:drawing>
        <wp:anchor distT="0" distB="0" distL="114300" distR="114300" simplePos="0" relativeHeight="251657216" behindDoc="0" locked="0" layoutInCell="1" allowOverlap="1" wp14:anchorId="381CF648" wp14:editId="4A20F867">
          <wp:simplePos x="0" y="0"/>
          <wp:positionH relativeFrom="column">
            <wp:posOffset>0</wp:posOffset>
          </wp:positionH>
          <wp:positionV relativeFrom="paragraph">
            <wp:posOffset>-635</wp:posOffset>
          </wp:positionV>
          <wp:extent cx="6120130" cy="347040"/>
          <wp:effectExtent l="0" t="0" r="0" b="0"/>
          <wp:wrapNone/>
          <wp:docPr id="16" name="Immagine 16" descr="pie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ede"/>
                  <pic:cNvPicPr>
                    <a:picLocks noChangeAspect="1" noChangeArrowheads="1"/>
                  </pic:cNvPicPr>
                </pic:nvPicPr>
                <pic:blipFill>
                  <a:blip r:embed="rId1" cstate="print">
                    <a:extLst>
                      <a:ext uri="{28A0092B-C50C-407E-A947-70E740481C1C}">
                        <a14:useLocalDpi xmlns:a14="http://schemas.microsoft.com/office/drawing/2010/main" val="0"/>
                      </a:ext>
                    </a:extLst>
                  </a:blip>
                  <a:srcRect t="-224"/>
                  <a:stretch>
                    <a:fillRect/>
                  </a:stretch>
                </pic:blipFill>
                <pic:spPr bwMode="auto">
                  <a:xfrm>
                    <a:off x="0" y="0"/>
                    <a:ext cx="6120130" cy="34704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50F94F" w14:textId="77777777" w:rsidR="00A94D0C" w:rsidRDefault="00A94D0C" w:rsidP="004450BB">
      <w:pPr>
        <w:spacing w:after="0" w:line="240" w:lineRule="auto"/>
      </w:pPr>
      <w:r>
        <w:separator/>
      </w:r>
    </w:p>
  </w:footnote>
  <w:footnote w:type="continuationSeparator" w:id="0">
    <w:p w14:paraId="514165C5" w14:textId="77777777" w:rsidR="00A94D0C" w:rsidRDefault="00A94D0C" w:rsidP="004450BB">
      <w:pPr>
        <w:spacing w:after="0" w:line="240" w:lineRule="auto"/>
      </w:pPr>
      <w:r>
        <w:continuationSeparator/>
      </w:r>
    </w:p>
  </w:footnote>
  <w:footnote w:type="continuationNotice" w:id="1">
    <w:p w14:paraId="35C2F214" w14:textId="77777777" w:rsidR="00A94D0C" w:rsidRDefault="00A94D0C">
      <w:pPr>
        <w:spacing w:after="0" w:line="240" w:lineRule="auto"/>
      </w:pPr>
    </w:p>
  </w:footnote>
  <w:footnote w:id="2">
    <w:p w14:paraId="6300C2A4" w14:textId="60F18C18" w:rsidR="00451470" w:rsidRPr="00451470" w:rsidRDefault="00451470" w:rsidP="00451470">
      <w:pPr>
        <w:pStyle w:val="Testonotaapidipagina"/>
        <w:ind w:left="0" w:firstLine="0"/>
        <w:rPr>
          <w:rFonts w:ascii="Lucida Sans" w:hAnsi="Lucida Sans"/>
          <w:sz w:val="18"/>
          <w:szCs w:val="18"/>
          <w:lang w:val="en-US"/>
        </w:rPr>
      </w:pPr>
      <w:r w:rsidRPr="00451470">
        <w:rPr>
          <w:rStyle w:val="Rimandonotaapidipagina"/>
          <w:rFonts w:ascii="Lucida Sans" w:hAnsi="Lucida Sans"/>
          <w:sz w:val="18"/>
          <w:szCs w:val="18"/>
        </w:rPr>
        <w:footnoteRef/>
      </w:r>
      <w:r w:rsidRPr="00451470">
        <w:rPr>
          <w:rFonts w:ascii="Lucida Sans" w:hAnsi="Lucida Sans"/>
          <w:sz w:val="18"/>
          <w:szCs w:val="18"/>
        </w:rPr>
        <w:t xml:space="preserve"> Assogestioni is the trade body for Italian asset management industry and represents the interests of members who manage funds and discretionary mandates around € </w:t>
      </w:r>
      <w:r w:rsidR="00E16D47" w:rsidRPr="00E16D47">
        <w:rPr>
          <w:rFonts w:ascii="Lucida Sans" w:hAnsi="Lucida Sans"/>
          <w:sz w:val="18"/>
          <w:szCs w:val="18"/>
        </w:rPr>
        <w:t>2,463 billion (as of September 2024).</w:t>
      </w:r>
    </w:p>
  </w:footnote>
  <w:footnote w:id="3">
    <w:p w14:paraId="2FE42189" w14:textId="77777777" w:rsidR="00B636E9" w:rsidRPr="00865CFB" w:rsidRDefault="00B636E9" w:rsidP="00B636E9">
      <w:pPr>
        <w:pStyle w:val="Testonotaapidipagina"/>
        <w:rPr>
          <w:lang w:val="en-US"/>
        </w:rPr>
      </w:pPr>
      <w:r>
        <w:rPr>
          <w:rStyle w:val="Rimandonotaapidipagina"/>
        </w:rPr>
        <w:footnoteRef/>
      </w:r>
      <w:r w:rsidRPr="00865CFB">
        <w:rPr>
          <w:lang w:val="en-US"/>
        </w:rPr>
        <w:t xml:space="preserve"> Consob, CNMV, AMF, FMA A macro-prudential approac</w:t>
      </w:r>
      <w:r>
        <w:rPr>
          <w:lang w:val="en-US"/>
        </w:rPr>
        <w:t>h to asset management, 15 April 2024.</w:t>
      </w:r>
    </w:p>
  </w:footnote>
  <w:footnote w:id="4">
    <w:p w14:paraId="4772ABC6" w14:textId="77777777" w:rsidR="007A4181" w:rsidRPr="00B80C02" w:rsidRDefault="007A4181" w:rsidP="007A4181">
      <w:pPr>
        <w:pStyle w:val="Testonotaapidipagina"/>
        <w:rPr>
          <w:lang w:val="en-US"/>
        </w:rPr>
      </w:pPr>
      <w:r>
        <w:rPr>
          <w:rStyle w:val="Rimandonotaapidipagina"/>
        </w:rPr>
        <w:footnoteRef/>
      </w:r>
      <w:r>
        <w:t xml:space="preserve"> </w:t>
      </w:r>
      <w:proofErr w:type="spellStart"/>
      <w:r>
        <w:t>Macroorudential</w:t>
      </w:r>
      <w:proofErr w:type="spellEnd"/>
      <w:r>
        <w:t xml:space="preserve"> policy for investment funds conference. </w:t>
      </w:r>
      <w:r w:rsidRPr="00B80C02">
        <w:rPr>
          <w:lang w:val="en-US"/>
        </w:rPr>
        <w:t>Keynote speech form Verena R</w:t>
      </w:r>
      <w:r>
        <w:rPr>
          <w:lang w:val="en-US"/>
        </w:rPr>
        <w:t xml:space="preserve">oss, 20 May 2024 </w:t>
      </w:r>
    </w:p>
  </w:footnote>
  <w:footnote w:id="5">
    <w:p w14:paraId="754F9D8C" w14:textId="00C26BE1" w:rsidR="002D32A4" w:rsidRPr="00B019C5" w:rsidRDefault="002D32A4">
      <w:pPr>
        <w:pStyle w:val="Testonotaapidipagina"/>
        <w:rPr>
          <w:rFonts w:ascii="Lucida Sans" w:hAnsi="Lucida Sans"/>
          <w:sz w:val="18"/>
          <w:szCs w:val="18"/>
        </w:rPr>
      </w:pPr>
      <w:r w:rsidRPr="00B019C5">
        <w:rPr>
          <w:rStyle w:val="Rimandonotaapidipagina"/>
          <w:rFonts w:ascii="Lucida Sans" w:hAnsi="Lucida Sans"/>
          <w:sz w:val="18"/>
          <w:szCs w:val="18"/>
        </w:rPr>
        <w:footnoteRef/>
      </w:r>
      <w:r w:rsidRPr="00B019C5">
        <w:rPr>
          <w:rFonts w:ascii="Lucida Sans" w:hAnsi="Lucida Sans"/>
          <w:sz w:val="18"/>
          <w:szCs w:val="18"/>
        </w:rPr>
        <w:t xml:space="preserve"> </w:t>
      </w:r>
      <w:r w:rsidRPr="00B019C5">
        <w:rPr>
          <w:rFonts w:ascii="Lucida Sans" w:hAnsi="Lucida Sans" w:cs="Arial"/>
          <w:sz w:val="18"/>
          <w:szCs w:val="18"/>
          <w:lang w:val="en-US"/>
        </w:rPr>
        <w:t xml:space="preserve">EFAMA, </w:t>
      </w:r>
      <w:hyperlink r:id="rId1" w:history="1">
        <w:r w:rsidRPr="00B019C5">
          <w:rPr>
            <w:rStyle w:val="Collegamentoipertestuale"/>
            <w:rFonts w:ascii="Lucida Sans" w:hAnsi="Lucida Sans" w:cs="Arial"/>
            <w:sz w:val="18"/>
            <w:szCs w:val="18"/>
            <w:lang w:val="en-US"/>
          </w:rPr>
          <w:t>Open-ended funds and resilient capital markets</w:t>
        </w:r>
      </w:hyperlink>
      <w:r w:rsidRPr="00B019C5">
        <w:rPr>
          <w:rFonts w:ascii="Lucida Sans" w:hAnsi="Lucida Sans" w:cs="Arial"/>
          <w:sz w:val="18"/>
          <w:szCs w:val="18"/>
          <w:lang w:val="en-US"/>
        </w:rPr>
        <w:t xml:space="preserve">, July 2023, pp. </w:t>
      </w:r>
      <w:r w:rsidR="00A71747" w:rsidRPr="00B019C5">
        <w:rPr>
          <w:rFonts w:ascii="Lucida Sans" w:hAnsi="Lucida Sans" w:cs="Arial"/>
          <w:sz w:val="18"/>
          <w:szCs w:val="18"/>
          <w:lang w:val="en-US"/>
        </w:rPr>
        <w:t>28 - 32</w:t>
      </w:r>
      <w:r w:rsidRPr="00B019C5">
        <w:rPr>
          <w:rFonts w:ascii="Lucida Sans" w:hAnsi="Lucida Sans" w:cs="Arial"/>
          <w:sz w:val="18"/>
          <w:szCs w:val="18"/>
          <w:lang w:val="en-US"/>
        </w:rPr>
        <w:t>.</w:t>
      </w:r>
    </w:p>
  </w:footnote>
  <w:footnote w:id="6">
    <w:p w14:paraId="14E2BA32" w14:textId="4FB54802" w:rsidR="00DD189F" w:rsidRPr="00DD189F" w:rsidRDefault="00DD189F" w:rsidP="00B019C5">
      <w:pPr>
        <w:pStyle w:val="Testonotaapidipagina"/>
        <w:ind w:left="0" w:firstLine="0"/>
      </w:pPr>
      <w:r w:rsidRPr="00B019C5">
        <w:rPr>
          <w:rStyle w:val="Rimandonotaapidipagina"/>
          <w:rFonts w:ascii="Lucida Sans" w:hAnsi="Lucida Sans"/>
          <w:sz w:val="18"/>
          <w:szCs w:val="18"/>
        </w:rPr>
        <w:footnoteRef/>
      </w:r>
      <w:r w:rsidRPr="00B019C5">
        <w:rPr>
          <w:rFonts w:ascii="Lucida Sans" w:hAnsi="Lucida Sans"/>
          <w:sz w:val="18"/>
          <w:szCs w:val="18"/>
        </w:rPr>
        <w:t xml:space="preserve"> </w:t>
      </w:r>
      <w:r w:rsidR="00B019C5" w:rsidRPr="00B019C5">
        <w:rPr>
          <w:rFonts w:ascii="Lucida Sans" w:hAnsi="Lucida Sans"/>
          <w:sz w:val="18"/>
          <w:szCs w:val="18"/>
        </w:rPr>
        <w:t xml:space="preserve">ECB, </w:t>
      </w:r>
      <w:hyperlink r:id="rId2" w:history="1">
        <w:r w:rsidR="00B019C5" w:rsidRPr="00B019C5">
          <w:rPr>
            <w:rStyle w:val="Collegamentoipertestuale"/>
            <w:rFonts w:ascii="Lucida Sans" w:hAnsi="Lucida Sans"/>
            <w:sz w:val="18"/>
            <w:szCs w:val="18"/>
          </w:rPr>
          <w:t>Shadow banking in the euro area: risks and vulnerabilities in the investment fund sector</w:t>
        </w:r>
      </w:hyperlink>
      <w:r w:rsidR="00B019C5" w:rsidRPr="00B019C5">
        <w:rPr>
          <w:rFonts w:ascii="Lucida Sans" w:hAnsi="Lucida Sans"/>
          <w:sz w:val="18"/>
          <w:szCs w:val="18"/>
        </w:rPr>
        <w:t>, Occasional Paper Series, No 174, June 2016, p. 26.</w:t>
      </w:r>
    </w:p>
  </w:footnote>
  <w:footnote w:id="7">
    <w:p w14:paraId="451CB3D2" w14:textId="552B8AB4" w:rsidR="003E04A1" w:rsidRPr="003E04A1" w:rsidRDefault="003E04A1" w:rsidP="00967D6C">
      <w:pPr>
        <w:pStyle w:val="Testonotaapidipagina"/>
        <w:ind w:left="0" w:firstLine="0"/>
      </w:pPr>
      <w:r>
        <w:rPr>
          <w:rStyle w:val="Rimandonotaapidipagina"/>
        </w:rPr>
        <w:footnoteRef/>
      </w:r>
      <w:r>
        <w:t xml:space="preserve"> </w:t>
      </w:r>
      <w:r w:rsidR="00705723" w:rsidRPr="00B636E9">
        <w:rPr>
          <w:rFonts w:ascii="Lucida Sans" w:hAnsi="Lucida Sans"/>
          <w:sz w:val="18"/>
          <w:szCs w:val="18"/>
        </w:rPr>
        <w:t>Banks and non-banks stressed: liquidity shocks and the mitigation role of insurance companies</w:t>
      </w:r>
      <w:r w:rsidR="002D65E8" w:rsidRPr="00B636E9">
        <w:rPr>
          <w:rFonts w:ascii="Lucida Sans" w:hAnsi="Lucida Sans"/>
          <w:sz w:val="18"/>
          <w:szCs w:val="18"/>
        </w:rPr>
        <w:t xml:space="preserve">. </w:t>
      </w:r>
      <w:r w:rsidR="00091250" w:rsidRPr="00B636E9">
        <w:rPr>
          <w:rFonts w:ascii="Lucida Sans" w:hAnsi="Lucida Sans"/>
          <w:sz w:val="18"/>
          <w:szCs w:val="18"/>
        </w:rPr>
        <w:t xml:space="preserve">ECB </w:t>
      </w:r>
      <w:r w:rsidR="002D65E8" w:rsidRPr="00B636E9">
        <w:rPr>
          <w:rFonts w:ascii="Lucida Sans" w:hAnsi="Lucida Sans"/>
          <w:sz w:val="18"/>
          <w:szCs w:val="18"/>
        </w:rPr>
        <w:t>Working Paper Series, n. 3000</w:t>
      </w:r>
      <w:r w:rsidR="00091250" w:rsidRPr="00B636E9">
        <w:rPr>
          <w:rFonts w:ascii="Lucida Sans" w:hAnsi="Lucida Sans"/>
          <w:sz w:val="18"/>
          <w:szCs w:val="18"/>
        </w:rPr>
        <w:t xml:space="preserve">, Matthias Sydow, Gábor </w:t>
      </w:r>
      <w:proofErr w:type="spellStart"/>
      <w:r w:rsidR="00091250" w:rsidRPr="00B636E9">
        <w:rPr>
          <w:rFonts w:ascii="Lucida Sans" w:hAnsi="Lucida Sans"/>
          <w:sz w:val="18"/>
          <w:szCs w:val="18"/>
        </w:rPr>
        <w:t>Fukker</w:t>
      </w:r>
      <w:proofErr w:type="spellEnd"/>
      <w:r w:rsidR="00091250" w:rsidRPr="00B636E9">
        <w:rPr>
          <w:rFonts w:ascii="Lucida Sans" w:hAnsi="Lucida Sans"/>
          <w:sz w:val="18"/>
          <w:szCs w:val="18"/>
        </w:rPr>
        <w:t>, Tomasz Dubiel-</w:t>
      </w:r>
      <w:proofErr w:type="spellStart"/>
      <w:r w:rsidR="00091250" w:rsidRPr="00B636E9">
        <w:rPr>
          <w:rFonts w:ascii="Lucida Sans" w:hAnsi="Lucida Sans"/>
          <w:sz w:val="18"/>
          <w:szCs w:val="18"/>
        </w:rPr>
        <w:t>Teleszynski</w:t>
      </w:r>
      <w:proofErr w:type="spellEnd"/>
      <w:r w:rsidR="00091250" w:rsidRPr="00B636E9">
        <w:rPr>
          <w:rFonts w:ascii="Lucida Sans" w:hAnsi="Lucida Sans"/>
          <w:sz w:val="18"/>
          <w:szCs w:val="18"/>
        </w:rPr>
        <w:t xml:space="preserve">, Fabio Franch, Sébastien Gallet, Helmut Gründl, Stelios Kotronis, Debora Miccio, Michela Pellegrino, Sebastian </w:t>
      </w:r>
      <w:proofErr w:type="spellStart"/>
      <w:r w:rsidR="00091250" w:rsidRPr="00B636E9">
        <w:rPr>
          <w:rFonts w:ascii="Lucida Sans" w:hAnsi="Lucida Sans"/>
          <w:sz w:val="18"/>
          <w:szCs w:val="18"/>
        </w:rPr>
        <w:t>Schlütter</w:t>
      </w:r>
      <w:proofErr w:type="spellEnd"/>
      <w:r w:rsidR="00091250" w:rsidRPr="00B636E9">
        <w:rPr>
          <w:rFonts w:ascii="Lucida Sans" w:hAnsi="Lucida Sans"/>
          <w:sz w:val="18"/>
          <w:szCs w:val="18"/>
        </w:rPr>
        <w:t xml:space="preserve">, Matteo </w:t>
      </w:r>
      <w:proofErr w:type="spellStart"/>
      <w:r w:rsidR="00091250" w:rsidRPr="00B636E9">
        <w:rPr>
          <w:rFonts w:ascii="Lucida Sans" w:hAnsi="Lucida Sans"/>
          <w:sz w:val="18"/>
          <w:szCs w:val="18"/>
        </w:rPr>
        <w:t>Sottocornola</w:t>
      </w:r>
      <w:proofErr w:type="spellEnd"/>
      <w:r w:rsidR="0003783E">
        <w:rPr>
          <w:rFonts w:ascii="Lucida Sans" w:hAnsi="Lucida Sans"/>
          <w:sz w:val="18"/>
          <w:szCs w:val="18"/>
        </w:rPr>
        <w:t>.</w:t>
      </w:r>
    </w:p>
  </w:footnote>
  <w:footnote w:id="8">
    <w:p w14:paraId="08AC08D4" w14:textId="77777777" w:rsidR="00EB57FD" w:rsidRPr="00050BD5" w:rsidRDefault="00EB57FD" w:rsidP="00EB57FD">
      <w:pPr>
        <w:pStyle w:val="Testonotaapidipagina"/>
        <w:ind w:left="0" w:firstLine="0"/>
      </w:pPr>
      <w:r>
        <w:rPr>
          <w:rStyle w:val="Rimandonotaapidipagina"/>
        </w:rPr>
        <w:footnoteRef/>
      </w:r>
      <w:r>
        <w:t xml:space="preserve"> </w:t>
      </w:r>
      <w:hyperlink r:id="rId3" w:history="1">
        <w:r w:rsidRPr="00996283">
          <w:rPr>
            <w:rStyle w:val="Collegamentoipertestuale"/>
            <w:rFonts w:ascii="Lucida Sans" w:hAnsi="Lucida Sans"/>
            <w:sz w:val="18"/>
            <w:szCs w:val="18"/>
          </w:rPr>
          <w:t>Directive (EU) 2024/927</w:t>
        </w:r>
      </w:hyperlink>
      <w:r w:rsidRPr="009D3014">
        <w:rPr>
          <w:rFonts w:ascii="Lucida Sans" w:hAnsi="Lucida Sans"/>
          <w:sz w:val="18"/>
          <w:szCs w:val="18"/>
        </w:rPr>
        <w:t xml:space="preserve"> of the European Parliament and of the Council of 13 March 2024 amending Directives 2011/61/EU and 2009/65/EC as regards delegation arrangements, liquidity risk management, supervisory reporting, the provision of depositary and custody services and loan origination by alternative investment funds, March 202</w:t>
      </w:r>
      <w:r>
        <w:rPr>
          <w:rFonts w:ascii="Lucida Sans" w:hAnsi="Lucida Sans"/>
          <w:sz w:val="18"/>
          <w:szCs w:val="18"/>
        </w:rPr>
        <w:t>4</w:t>
      </w:r>
      <w:r w:rsidRPr="009D3014">
        <w:rPr>
          <w:rFonts w:ascii="Lucida Sans" w:hAnsi="Lucida Sans"/>
          <w:sz w:val="18"/>
          <w:szCs w:val="18"/>
        </w:rPr>
        <w:t>.</w:t>
      </w:r>
    </w:p>
  </w:footnote>
  <w:footnote w:id="9">
    <w:p w14:paraId="6C3D1D91" w14:textId="77777777" w:rsidR="00207930" w:rsidRPr="000F2E91" w:rsidRDefault="00207930" w:rsidP="00207930">
      <w:pPr>
        <w:pStyle w:val="Testonotaapidipagina"/>
        <w:rPr>
          <w:rFonts w:ascii="Lucida Sans" w:hAnsi="Lucida Sans"/>
          <w:sz w:val="18"/>
          <w:szCs w:val="18"/>
        </w:rPr>
      </w:pPr>
      <w:r w:rsidRPr="000F2E91">
        <w:rPr>
          <w:rStyle w:val="Rimandonotaapidipagina"/>
          <w:rFonts w:ascii="Lucida Sans" w:hAnsi="Lucida Sans"/>
          <w:sz w:val="18"/>
          <w:szCs w:val="18"/>
        </w:rPr>
        <w:footnoteRef/>
      </w:r>
      <w:r w:rsidRPr="000F2E91">
        <w:rPr>
          <w:rFonts w:ascii="Lucida Sans" w:hAnsi="Lucida Sans"/>
          <w:sz w:val="18"/>
          <w:szCs w:val="18"/>
        </w:rPr>
        <w:t xml:space="preserve"> ESMA, </w:t>
      </w:r>
      <w:hyperlink r:id="rId4" w:history="1">
        <w:r w:rsidRPr="000F2E91">
          <w:rPr>
            <w:rStyle w:val="Collegamentoipertestuale"/>
            <w:rFonts w:ascii="Lucida Sans" w:hAnsi="Lucida Sans"/>
            <w:sz w:val="18"/>
            <w:szCs w:val="18"/>
          </w:rPr>
          <w:t>Guidelines on Article 25 of Directive 2011/61/EU</w:t>
        </w:r>
      </w:hyperlink>
      <w:r w:rsidRPr="000F2E91">
        <w:rPr>
          <w:rFonts w:ascii="Lucida Sans" w:hAnsi="Lucida Sans"/>
          <w:sz w:val="18"/>
          <w:szCs w:val="18"/>
        </w:rPr>
        <w:t>, June 2021.</w:t>
      </w:r>
    </w:p>
  </w:footnote>
  <w:footnote w:id="10">
    <w:p w14:paraId="03C464E9" w14:textId="4BA4ED1B" w:rsidR="00370C7F" w:rsidRPr="009B0E34" w:rsidRDefault="00370C7F" w:rsidP="00E72FF6">
      <w:pPr>
        <w:pStyle w:val="Testonotaapidipagina"/>
        <w:rPr>
          <w:rFonts w:ascii="Lucida Sans" w:hAnsi="Lucida Sans"/>
          <w:sz w:val="18"/>
          <w:szCs w:val="18"/>
        </w:rPr>
      </w:pPr>
      <w:r>
        <w:rPr>
          <w:rStyle w:val="Rimandonotaapidipagina"/>
        </w:rPr>
        <w:footnoteRef/>
      </w:r>
      <w:r>
        <w:t xml:space="preserve"> </w:t>
      </w:r>
      <w:r w:rsidR="00E72FF6" w:rsidRPr="009B0E34">
        <w:rPr>
          <w:rFonts w:ascii="Lucida Sans" w:hAnsi="Lucida Sans"/>
          <w:sz w:val="18"/>
          <w:szCs w:val="18"/>
        </w:rPr>
        <w:t>ESMA Economic Report Stress simulation for investment funds, 2019</w:t>
      </w:r>
      <w:r w:rsidR="00C90B2F">
        <w:rPr>
          <w:rFonts w:ascii="Lucida Sans" w:hAnsi="Lucida Sans"/>
          <w:sz w:val="18"/>
          <w:szCs w:val="18"/>
        </w:rPr>
        <w:t>.</w:t>
      </w:r>
    </w:p>
  </w:footnote>
  <w:footnote w:id="11">
    <w:p w14:paraId="4F5D2C4B" w14:textId="49A14650" w:rsidR="00CD4344" w:rsidRPr="00CD4344" w:rsidRDefault="00CD4344">
      <w:pPr>
        <w:pStyle w:val="Testonotaapidipagina"/>
      </w:pPr>
      <w:r>
        <w:rPr>
          <w:rStyle w:val="Rimandonotaapidipagina"/>
        </w:rPr>
        <w:footnoteRef/>
      </w:r>
      <w:r>
        <w:t xml:space="preserve"> </w:t>
      </w:r>
      <w:r w:rsidRPr="00C35009">
        <w:rPr>
          <w:rFonts w:ascii="Lucida Sans" w:hAnsi="Lucida Sans"/>
          <w:sz w:val="18"/>
          <w:szCs w:val="18"/>
        </w:rPr>
        <w:t xml:space="preserve">ESMA, </w:t>
      </w:r>
      <w:hyperlink r:id="rId5" w:history="1">
        <w:r w:rsidRPr="00C35009">
          <w:rPr>
            <w:rStyle w:val="Collegamentoipertestuale"/>
            <w:rFonts w:ascii="Lucida Sans" w:hAnsi="Lucida Sans"/>
            <w:sz w:val="18"/>
            <w:szCs w:val="18"/>
          </w:rPr>
          <w:t>Guidelines on liquidity stress testing in UCITS and AIFs</w:t>
        </w:r>
      </w:hyperlink>
      <w:r w:rsidRPr="00C35009">
        <w:rPr>
          <w:rFonts w:ascii="Lucida Sans" w:hAnsi="Lucida Sans"/>
          <w:sz w:val="18"/>
          <w:szCs w:val="18"/>
        </w:rPr>
        <w:t>, July 2020.</w:t>
      </w:r>
    </w:p>
  </w:footnote>
  <w:footnote w:id="12">
    <w:p w14:paraId="78E30F56" w14:textId="23A6A39D" w:rsidR="00A84AC5" w:rsidRPr="00A52F0B" w:rsidRDefault="00A84AC5">
      <w:pPr>
        <w:pStyle w:val="Testonotaapidipagina"/>
        <w:rPr>
          <w:rFonts w:ascii="Lucida Sans" w:hAnsi="Lucida Sans"/>
          <w:sz w:val="18"/>
          <w:szCs w:val="18"/>
        </w:rPr>
      </w:pPr>
      <w:r w:rsidRPr="00A52F0B">
        <w:rPr>
          <w:rStyle w:val="Rimandonotaapidipagina"/>
          <w:rFonts w:ascii="Lucida Sans" w:hAnsi="Lucida Sans"/>
          <w:sz w:val="18"/>
          <w:szCs w:val="18"/>
        </w:rPr>
        <w:footnoteRef/>
      </w:r>
      <w:r w:rsidRPr="00A52F0B">
        <w:rPr>
          <w:rFonts w:ascii="Lucida Sans" w:hAnsi="Lucida Sans"/>
          <w:sz w:val="18"/>
          <w:szCs w:val="18"/>
        </w:rPr>
        <w:t xml:space="preserve"> </w:t>
      </w:r>
      <w:r w:rsidR="00B709C9" w:rsidRPr="00A52F0B">
        <w:rPr>
          <w:rFonts w:ascii="Lucida Sans" w:hAnsi="Lucida Sans"/>
          <w:sz w:val="18"/>
          <w:szCs w:val="18"/>
        </w:rPr>
        <w:t>Articles 98 UCITS, 25(3), 43</w:t>
      </w:r>
      <w:r w:rsidR="001F1937" w:rsidRPr="00A52F0B">
        <w:rPr>
          <w:rFonts w:ascii="Lucida Sans" w:hAnsi="Lucida Sans"/>
          <w:sz w:val="18"/>
          <w:szCs w:val="18"/>
        </w:rPr>
        <w:t>, 46</w:t>
      </w:r>
      <w:r w:rsidR="00B709C9" w:rsidRPr="00A52F0B">
        <w:rPr>
          <w:rFonts w:ascii="Lucida Sans" w:hAnsi="Lucida Sans"/>
          <w:sz w:val="18"/>
          <w:szCs w:val="18"/>
        </w:rPr>
        <w:t xml:space="preserve"> AIFMD.</w:t>
      </w:r>
    </w:p>
  </w:footnote>
  <w:footnote w:id="13">
    <w:p w14:paraId="2FEAEF9D" w14:textId="6E8D9749" w:rsidR="00A675F3" w:rsidRPr="00A52F0B" w:rsidRDefault="00A675F3" w:rsidP="00A675F3">
      <w:pPr>
        <w:pStyle w:val="Testonotaapidipagina"/>
        <w:ind w:left="0" w:firstLine="0"/>
        <w:rPr>
          <w:rFonts w:ascii="Lucida Sans" w:hAnsi="Lucida Sans"/>
          <w:sz w:val="18"/>
          <w:szCs w:val="18"/>
        </w:rPr>
      </w:pPr>
      <w:r w:rsidRPr="00A52F0B">
        <w:rPr>
          <w:rStyle w:val="Rimandonotaapidipagina"/>
          <w:rFonts w:ascii="Lucida Sans" w:hAnsi="Lucida Sans"/>
          <w:sz w:val="18"/>
          <w:szCs w:val="18"/>
        </w:rPr>
        <w:footnoteRef/>
      </w:r>
      <w:r w:rsidRPr="00A52F0B">
        <w:rPr>
          <w:rFonts w:ascii="Lucida Sans" w:hAnsi="Lucida Sans"/>
          <w:sz w:val="18"/>
          <w:szCs w:val="18"/>
        </w:rPr>
        <w:t xml:space="preserve"> ESMA, </w:t>
      </w:r>
      <w:hyperlink r:id="rId6" w:history="1">
        <w:r w:rsidRPr="00A52F0B">
          <w:rPr>
            <w:rStyle w:val="Collegamentoipertestuale"/>
            <w:rFonts w:ascii="Lucida Sans" w:hAnsi="Lucida Sans"/>
            <w:sz w:val="18"/>
            <w:szCs w:val="18"/>
          </w:rPr>
          <w:t>Public statement on results of the 2020 Common Supervisory Action (CSA) on UCITS liquidity risk management</w:t>
        </w:r>
      </w:hyperlink>
      <w:r w:rsidRPr="00A52F0B">
        <w:rPr>
          <w:rFonts w:ascii="Lucida Sans" w:hAnsi="Lucida Sans"/>
          <w:sz w:val="18"/>
          <w:szCs w:val="18"/>
        </w:rPr>
        <w:t>, March 2021</w:t>
      </w:r>
      <w:r w:rsidR="00A40E5B">
        <w:rPr>
          <w:rFonts w:ascii="Lucida Sans" w:hAnsi="Lucida Sans"/>
          <w:sz w:val="18"/>
          <w:szCs w:val="18"/>
        </w:rPr>
        <w:t>.</w:t>
      </w:r>
    </w:p>
  </w:footnote>
  <w:footnote w:id="14">
    <w:p w14:paraId="49D1D3C7" w14:textId="77777777" w:rsidR="00340599" w:rsidRPr="00E1456E" w:rsidRDefault="00340599" w:rsidP="00340599">
      <w:pPr>
        <w:pStyle w:val="Testonotaapidipagina"/>
        <w:rPr>
          <w:rFonts w:ascii="Lucida Sans" w:hAnsi="Lucida Sans"/>
          <w:sz w:val="18"/>
          <w:szCs w:val="18"/>
        </w:rPr>
      </w:pPr>
      <w:r>
        <w:rPr>
          <w:rStyle w:val="Rimandonotaapidipagina"/>
        </w:rPr>
        <w:footnoteRef/>
      </w:r>
      <w:r>
        <w:t xml:space="preserve"> </w:t>
      </w:r>
      <w:r w:rsidRPr="00E1456E">
        <w:rPr>
          <w:rFonts w:ascii="Lucida Sans" w:hAnsi="Lucida Sans" w:cs="Arial"/>
          <w:sz w:val="18"/>
          <w:szCs w:val="18"/>
        </w:rPr>
        <w:t xml:space="preserve">IOSCO, </w:t>
      </w:r>
      <w:hyperlink r:id="rId7" w:history="1">
        <w:r w:rsidRPr="00E1456E">
          <w:rPr>
            <w:rStyle w:val="Collegamentoipertestuale"/>
            <w:rFonts w:ascii="Lucida Sans" w:hAnsi="Lucida Sans" w:cs="Arial"/>
            <w:sz w:val="18"/>
            <w:szCs w:val="18"/>
          </w:rPr>
          <w:t>Thematic Review on Liquidity Risk Management Recommendations</w:t>
        </w:r>
      </w:hyperlink>
      <w:r w:rsidRPr="00E1456E">
        <w:rPr>
          <w:rFonts w:ascii="Lucida Sans" w:hAnsi="Lucida Sans" w:cs="Arial"/>
          <w:sz w:val="18"/>
          <w:szCs w:val="18"/>
        </w:rPr>
        <w:t>, November 2022.</w:t>
      </w:r>
    </w:p>
  </w:footnote>
  <w:footnote w:id="15">
    <w:p w14:paraId="5920C771" w14:textId="77777777" w:rsidR="00EC3CC4" w:rsidRPr="00065023" w:rsidRDefault="00EC3CC4" w:rsidP="00EC3CC4">
      <w:pPr>
        <w:pStyle w:val="Testonotaapidipagina"/>
        <w:ind w:left="0" w:firstLine="0"/>
        <w:rPr>
          <w:rFonts w:ascii="Lucida Sans" w:hAnsi="Lucida Sans"/>
          <w:sz w:val="18"/>
          <w:szCs w:val="18"/>
        </w:rPr>
      </w:pPr>
      <w:r>
        <w:rPr>
          <w:rStyle w:val="Rimandonotaapidipagina"/>
        </w:rPr>
        <w:footnoteRef/>
      </w:r>
      <w:r>
        <w:t xml:space="preserve"> </w:t>
      </w:r>
      <w:r w:rsidRPr="00065023">
        <w:rPr>
          <w:rFonts w:ascii="Lucida Sans" w:hAnsi="Lucida Sans"/>
          <w:sz w:val="18"/>
          <w:szCs w:val="18"/>
        </w:rPr>
        <w:t xml:space="preserve">ESMA, </w:t>
      </w:r>
      <w:hyperlink r:id="rId8" w:history="1">
        <w:r w:rsidRPr="00065023">
          <w:rPr>
            <w:rStyle w:val="Collegamentoipertestuale"/>
            <w:rFonts w:ascii="Lucida Sans" w:hAnsi="Lucida Sans"/>
            <w:sz w:val="18"/>
            <w:szCs w:val="18"/>
          </w:rPr>
          <w:t>Guidelines on liquidity stress testing in UCITS and AIFs</w:t>
        </w:r>
      </w:hyperlink>
      <w:r w:rsidRPr="00065023">
        <w:rPr>
          <w:rFonts w:ascii="Lucida Sans" w:hAnsi="Lucida Sans"/>
          <w:sz w:val="18"/>
          <w:szCs w:val="18"/>
        </w:rPr>
        <w:t>, July 2020, point 72: “</w:t>
      </w:r>
      <w:r w:rsidRPr="00230158">
        <w:rPr>
          <w:rFonts w:ascii="Lucida Sans" w:hAnsi="Lucida Sans"/>
          <w:i/>
          <w:iCs/>
          <w:sz w:val="18"/>
          <w:szCs w:val="18"/>
        </w:rPr>
        <w:t>A manager should aggregate LST across funds under its management where it assesses such an activity to be appropriate for those funds.”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E9BFD" w14:textId="08AF1C7D" w:rsidR="006A1ABE" w:rsidRDefault="00973EDA" w:rsidP="00973EDA">
    <w:pPr>
      <w:pStyle w:val="Intestazione"/>
      <w:jc w:val="center"/>
    </w:pPr>
    <w:r>
      <w:rPr>
        <w:noProof/>
        <w:lang w:eastAsia="it-IT"/>
      </w:rPr>
      <w:drawing>
        <wp:inline distT="0" distB="0" distL="0" distR="0" wp14:anchorId="00C81EE2" wp14:editId="18557BA0">
          <wp:extent cx="659765" cy="580390"/>
          <wp:effectExtent l="19050" t="0" r="6985" b="0"/>
          <wp:docPr id="15" name="Immagine 15" descr="logoVele_lett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Vele_lettera"/>
                  <pic:cNvPicPr>
                    <a:picLocks noChangeAspect="1" noChangeArrowheads="1"/>
                  </pic:cNvPicPr>
                </pic:nvPicPr>
                <pic:blipFill>
                  <a:blip r:embed="rId1" cstate="print"/>
                  <a:srcRect/>
                  <a:stretch>
                    <a:fillRect/>
                  </a:stretch>
                </pic:blipFill>
                <pic:spPr bwMode="auto">
                  <a:xfrm>
                    <a:off x="0" y="0"/>
                    <a:ext cx="659765" cy="58039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840AE56C"/>
    <w:lvl w:ilvl="0">
      <w:start w:val="1"/>
      <w:numFmt w:val="bullet"/>
      <w:pStyle w:val="Puntoelenco2"/>
      <w:lvlText w:val=""/>
      <w:lvlJc w:val="left"/>
      <w:pPr>
        <w:tabs>
          <w:tab w:val="num" w:pos="643"/>
        </w:tabs>
        <w:ind w:left="643" w:hanging="360"/>
      </w:pPr>
      <w:rPr>
        <w:rFonts w:ascii="Symbol" w:hAnsi="Symbol" w:hint="default"/>
      </w:rPr>
    </w:lvl>
  </w:abstractNum>
  <w:abstractNum w:abstractNumId="1" w15:restartNumberingAfterBreak="0">
    <w:nsid w:val="007419CE"/>
    <w:multiLevelType w:val="hybridMultilevel"/>
    <w:tmpl w:val="46940070"/>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 w15:restartNumberingAfterBreak="0">
    <w:nsid w:val="031743BB"/>
    <w:multiLevelType w:val="hybridMultilevel"/>
    <w:tmpl w:val="C8D88A8A"/>
    <w:lvl w:ilvl="0" w:tplc="371C7C2C">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 w15:restartNumberingAfterBreak="0">
    <w:nsid w:val="07770295"/>
    <w:multiLevelType w:val="hybridMultilevel"/>
    <w:tmpl w:val="DA267FCE"/>
    <w:lvl w:ilvl="0" w:tplc="C9DA6504">
      <w:start w:val="1"/>
      <w:numFmt w:val="bullet"/>
      <w:lvlText w:val="-"/>
      <w:lvlJc w:val="left"/>
      <w:pPr>
        <w:ind w:left="720" w:hanging="360"/>
      </w:pPr>
      <w:rPr>
        <w:rFonts w:ascii="Arial" w:eastAsia="Arial"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1202451"/>
    <w:multiLevelType w:val="hybridMultilevel"/>
    <w:tmpl w:val="F13ADA3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2050FBD"/>
    <w:multiLevelType w:val="hybridMultilevel"/>
    <w:tmpl w:val="85741586"/>
    <w:lvl w:ilvl="0" w:tplc="0E72A5E8">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C00544"/>
    <w:multiLevelType w:val="hybridMultilevel"/>
    <w:tmpl w:val="0460573A"/>
    <w:lvl w:ilvl="0" w:tplc="639CE8AE">
      <w:start w:val="2"/>
      <w:numFmt w:val="bullet"/>
      <w:lvlText w:val="-"/>
      <w:lvlJc w:val="left"/>
      <w:pPr>
        <w:ind w:left="720" w:hanging="360"/>
      </w:pPr>
      <w:rPr>
        <w:rFonts w:ascii="Lucida Sans" w:eastAsiaTheme="minorHAnsi" w:hAnsi="Lucida San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943EFE"/>
    <w:multiLevelType w:val="hybridMultilevel"/>
    <w:tmpl w:val="86BC4C86"/>
    <w:lvl w:ilvl="0" w:tplc="147067E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5C97366"/>
    <w:multiLevelType w:val="hybridMultilevel"/>
    <w:tmpl w:val="5FB2CB4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6D523E1"/>
    <w:multiLevelType w:val="hybridMultilevel"/>
    <w:tmpl w:val="671E4BD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966D98"/>
    <w:multiLevelType w:val="hybridMultilevel"/>
    <w:tmpl w:val="B85E93E4"/>
    <w:lvl w:ilvl="0" w:tplc="68D65920">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9AD2E4F"/>
    <w:multiLevelType w:val="hybridMultilevel"/>
    <w:tmpl w:val="6B5C195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A8C2B9F"/>
    <w:multiLevelType w:val="hybridMultilevel"/>
    <w:tmpl w:val="E15AB89A"/>
    <w:lvl w:ilvl="0" w:tplc="505E9CE8">
      <w:start w:val="2"/>
      <w:numFmt w:val="bullet"/>
      <w:lvlText w:val="-"/>
      <w:lvlJc w:val="left"/>
      <w:pPr>
        <w:ind w:left="720" w:hanging="360"/>
      </w:pPr>
      <w:rPr>
        <w:rFonts w:ascii="Lucida Sans" w:eastAsia="Arial Unicode MS" w:hAnsi="Lucida San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B3C78B8"/>
    <w:multiLevelType w:val="multilevel"/>
    <w:tmpl w:val="2ED4F4D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4" w15:restartNumberingAfterBreak="0">
    <w:nsid w:val="1D3D567B"/>
    <w:multiLevelType w:val="hybridMultilevel"/>
    <w:tmpl w:val="73B66F7A"/>
    <w:lvl w:ilvl="0" w:tplc="C12A048A">
      <w:start w:val="1"/>
      <w:numFmt w:val="lowerRoman"/>
      <w:lvlText w:val="(%1)"/>
      <w:lvlJc w:val="left"/>
      <w:pPr>
        <w:ind w:left="1428" w:hanging="720"/>
      </w:pPr>
      <w:rPr>
        <w:rFonts w:hint="default"/>
        <w:sz w:val="2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 w15:restartNumberingAfterBreak="0">
    <w:nsid w:val="222E6F75"/>
    <w:multiLevelType w:val="hybridMultilevel"/>
    <w:tmpl w:val="207A520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A62289F"/>
    <w:multiLevelType w:val="hybridMultilevel"/>
    <w:tmpl w:val="5E0433EA"/>
    <w:lvl w:ilvl="0" w:tplc="84BC8FCE">
      <w:start w:val="1"/>
      <w:numFmt w:val="lowerLetter"/>
      <w:lvlText w:val="%1."/>
      <w:lvlJc w:val="left"/>
      <w:pPr>
        <w:ind w:left="1428" w:hanging="360"/>
      </w:pPr>
      <w:rPr>
        <w:rFonts w:cs="Times New Roman" w:hint="default"/>
        <w:i w:val="0"/>
        <w:u w:val="none"/>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2D555E06"/>
    <w:multiLevelType w:val="hybridMultilevel"/>
    <w:tmpl w:val="0B2ACBE8"/>
    <w:lvl w:ilvl="0" w:tplc="3246F40E">
      <w:start w:val="1"/>
      <w:numFmt w:val="lowerLetter"/>
      <w:lvlText w:val="%1."/>
      <w:lvlJc w:val="left"/>
      <w:pPr>
        <w:ind w:left="1068" w:hanging="360"/>
      </w:pPr>
      <w:rPr>
        <w:rFonts w:eastAsia="Arial Unicode MS" w:hint="default"/>
        <w:b/>
        <w:color w:val="FF000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9" w15:restartNumberingAfterBreak="0">
    <w:nsid w:val="36D247CA"/>
    <w:multiLevelType w:val="hybridMultilevel"/>
    <w:tmpl w:val="A830B4D2"/>
    <w:lvl w:ilvl="0" w:tplc="82D231D2">
      <w:start w:val="1"/>
      <w:numFmt w:val="lowerRoman"/>
      <w:lvlText w:val="(%1)"/>
      <w:lvlJc w:val="left"/>
      <w:pPr>
        <w:ind w:left="1776" w:hanging="360"/>
      </w:pPr>
      <w:rPr>
        <w:rFonts w:ascii="Lucida Sans" w:eastAsiaTheme="minorHAnsi" w:hAnsi="Lucida Sans" w:cstheme="minorBidi"/>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20" w15:restartNumberingAfterBreak="0">
    <w:nsid w:val="385135E0"/>
    <w:multiLevelType w:val="hybridMultilevel"/>
    <w:tmpl w:val="06B0DB2E"/>
    <w:lvl w:ilvl="0" w:tplc="43F0BCC2">
      <w:numFmt w:val="bullet"/>
      <w:lvlText w:val="-"/>
      <w:lvlJc w:val="left"/>
      <w:pPr>
        <w:ind w:left="720" w:hanging="360"/>
      </w:pPr>
      <w:rPr>
        <w:rFonts w:ascii="Lucida Sans" w:eastAsiaTheme="minorHAnsi" w:hAnsi="Lucida San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9AE0176"/>
    <w:multiLevelType w:val="hybridMultilevel"/>
    <w:tmpl w:val="176CD236"/>
    <w:lvl w:ilvl="0" w:tplc="819CBA5E">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B21215A"/>
    <w:multiLevelType w:val="hybridMultilevel"/>
    <w:tmpl w:val="4CB4FA8C"/>
    <w:lvl w:ilvl="0" w:tplc="E292B18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CEB43B6"/>
    <w:multiLevelType w:val="hybridMultilevel"/>
    <w:tmpl w:val="2B9A05CA"/>
    <w:lvl w:ilvl="0" w:tplc="340629AC">
      <w:start w:val="4"/>
      <w:numFmt w:val="bullet"/>
      <w:lvlText w:val="-"/>
      <w:lvlJc w:val="left"/>
      <w:pPr>
        <w:ind w:left="720" w:hanging="360"/>
      </w:pPr>
      <w:rPr>
        <w:rFonts w:ascii="Lucida Sans" w:eastAsiaTheme="minorHAnsi" w:hAnsi="Lucida San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FC70852"/>
    <w:multiLevelType w:val="hybridMultilevel"/>
    <w:tmpl w:val="269EF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3A722D5"/>
    <w:multiLevelType w:val="hybridMultilevel"/>
    <w:tmpl w:val="E398CF4C"/>
    <w:lvl w:ilvl="0" w:tplc="0410000F">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51B5901"/>
    <w:multiLevelType w:val="hybridMultilevel"/>
    <w:tmpl w:val="83E44D84"/>
    <w:lvl w:ilvl="0" w:tplc="C2BE7C78">
      <w:start w:val="1"/>
      <w:numFmt w:val="lowerRoman"/>
      <w:lvlText w:val="(%1)"/>
      <w:lvlJc w:val="left"/>
      <w:pPr>
        <w:ind w:left="1428" w:hanging="72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7" w15:restartNumberingAfterBreak="0">
    <w:nsid w:val="4A2B1402"/>
    <w:multiLevelType w:val="hybridMultilevel"/>
    <w:tmpl w:val="36A843DA"/>
    <w:lvl w:ilvl="0" w:tplc="0EEA884C">
      <w:start w:val="1"/>
      <w:numFmt w:val="bullet"/>
      <w:lvlText w:val="-"/>
      <w:lvlJc w:val="left"/>
      <w:pPr>
        <w:ind w:left="1080" w:hanging="360"/>
      </w:pPr>
      <w:rPr>
        <w:rFonts w:ascii="Arial" w:eastAsia="Arial" w:hAnsi="Arial" w:cs="Aria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8" w15:restartNumberingAfterBreak="0">
    <w:nsid w:val="503E2A46"/>
    <w:multiLevelType w:val="hybridMultilevel"/>
    <w:tmpl w:val="FA1A54B6"/>
    <w:lvl w:ilvl="0" w:tplc="6764C772">
      <w:start w:val="6"/>
      <w:numFmt w:val="bullet"/>
      <w:lvlText w:val="-"/>
      <w:lvlJc w:val="left"/>
      <w:pPr>
        <w:ind w:left="720" w:hanging="360"/>
      </w:pPr>
      <w:rPr>
        <w:rFonts w:ascii="Lucida Sans" w:eastAsiaTheme="minorHAnsi" w:hAnsi="Lucida San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18E612F"/>
    <w:multiLevelType w:val="hybridMultilevel"/>
    <w:tmpl w:val="4EA470E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2AB101B"/>
    <w:multiLevelType w:val="hybridMultilevel"/>
    <w:tmpl w:val="F9EEE1F8"/>
    <w:lvl w:ilvl="0" w:tplc="0FB84B88">
      <w:start w:val="4"/>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5C2028B"/>
    <w:multiLevelType w:val="hybridMultilevel"/>
    <w:tmpl w:val="D69843F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3" w15:restartNumberingAfterBreak="0">
    <w:nsid w:val="65EF4794"/>
    <w:multiLevelType w:val="hybridMultilevel"/>
    <w:tmpl w:val="31145D44"/>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AB57718"/>
    <w:multiLevelType w:val="hybridMultilevel"/>
    <w:tmpl w:val="FEACA0A0"/>
    <w:lvl w:ilvl="0" w:tplc="FD52B534">
      <w:start w:val="2"/>
      <w:numFmt w:val="bullet"/>
      <w:lvlText w:val="-"/>
      <w:lvlJc w:val="left"/>
      <w:pPr>
        <w:ind w:left="720" w:hanging="360"/>
      </w:pPr>
      <w:rPr>
        <w:rFonts w:ascii="Lucida Sans" w:eastAsiaTheme="minorHAnsi" w:hAnsi="Lucida San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C3A31EF"/>
    <w:multiLevelType w:val="hybridMultilevel"/>
    <w:tmpl w:val="176CD236"/>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D4E1C24"/>
    <w:multiLevelType w:val="hybridMultilevel"/>
    <w:tmpl w:val="B57E2522"/>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25C7E73"/>
    <w:multiLevelType w:val="hybridMultilevel"/>
    <w:tmpl w:val="AFCCBD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3B959EF"/>
    <w:multiLevelType w:val="hybridMultilevel"/>
    <w:tmpl w:val="F4E0F5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3D6330F"/>
    <w:multiLevelType w:val="hybridMultilevel"/>
    <w:tmpl w:val="1C0682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9F16446"/>
    <w:multiLevelType w:val="hybridMultilevel"/>
    <w:tmpl w:val="317CD8AE"/>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1" w15:restartNumberingAfterBreak="0">
    <w:nsid w:val="7BAB32B6"/>
    <w:multiLevelType w:val="hybridMultilevel"/>
    <w:tmpl w:val="316EAF7E"/>
    <w:lvl w:ilvl="0" w:tplc="530C771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15:restartNumberingAfterBreak="0">
    <w:nsid w:val="7C424E9B"/>
    <w:multiLevelType w:val="hybridMultilevel"/>
    <w:tmpl w:val="1408B642"/>
    <w:lvl w:ilvl="0" w:tplc="505E9CE8">
      <w:start w:val="2"/>
      <w:numFmt w:val="bullet"/>
      <w:lvlText w:val="-"/>
      <w:lvlJc w:val="left"/>
      <w:pPr>
        <w:ind w:left="720" w:hanging="360"/>
      </w:pPr>
      <w:rPr>
        <w:rFonts w:ascii="Lucida Sans" w:eastAsia="Arial Unicode MS" w:hAnsi="Lucida San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CBE4812"/>
    <w:multiLevelType w:val="singleLevel"/>
    <w:tmpl w:val="0410000B"/>
    <w:lvl w:ilvl="0">
      <w:start w:val="1"/>
      <w:numFmt w:val="bullet"/>
      <w:lvlText w:val=""/>
      <w:lvlJc w:val="left"/>
      <w:pPr>
        <w:ind w:left="720" w:hanging="360"/>
      </w:pPr>
      <w:rPr>
        <w:rFonts w:ascii="Wingdings" w:hAnsi="Wingdings" w:hint="default"/>
      </w:rPr>
    </w:lvl>
  </w:abstractNum>
  <w:abstractNum w:abstractNumId="44" w15:restartNumberingAfterBreak="0">
    <w:nsid w:val="7D545792"/>
    <w:multiLevelType w:val="hybridMultilevel"/>
    <w:tmpl w:val="277633DE"/>
    <w:lvl w:ilvl="0" w:tplc="F64673E2">
      <w:start w:val="5"/>
      <w:numFmt w:val="bullet"/>
      <w:lvlText w:val="-"/>
      <w:lvlJc w:val="left"/>
      <w:pPr>
        <w:ind w:left="720" w:hanging="360"/>
      </w:pPr>
      <w:rPr>
        <w:rFonts w:ascii="Lucida Sans" w:eastAsiaTheme="minorHAnsi" w:hAnsi="Lucida San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FC27BD0"/>
    <w:multiLevelType w:val="hybridMultilevel"/>
    <w:tmpl w:val="64347C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34339060">
    <w:abstractNumId w:val="29"/>
  </w:num>
  <w:num w:numId="2" w16cid:durableId="642394929">
    <w:abstractNumId w:val="43"/>
  </w:num>
  <w:num w:numId="3" w16cid:durableId="1790316055">
    <w:abstractNumId w:val="9"/>
  </w:num>
  <w:num w:numId="4" w16cid:durableId="275450571">
    <w:abstractNumId w:val="15"/>
  </w:num>
  <w:num w:numId="5" w16cid:durableId="421682810">
    <w:abstractNumId w:val="13"/>
  </w:num>
  <w:num w:numId="6" w16cid:durableId="10228629">
    <w:abstractNumId w:val="0"/>
  </w:num>
  <w:num w:numId="7" w16cid:durableId="1782534108">
    <w:abstractNumId w:val="16"/>
  </w:num>
  <w:num w:numId="8" w16cid:durableId="1849102650">
    <w:abstractNumId w:val="22"/>
  </w:num>
  <w:num w:numId="9" w16cid:durableId="1441993550">
    <w:abstractNumId w:val="40"/>
  </w:num>
  <w:num w:numId="10" w16cid:durableId="324942889">
    <w:abstractNumId w:val="12"/>
  </w:num>
  <w:num w:numId="11" w16cid:durableId="185561367">
    <w:abstractNumId w:val="42"/>
  </w:num>
  <w:num w:numId="12" w16cid:durableId="990526240">
    <w:abstractNumId w:val="24"/>
  </w:num>
  <w:num w:numId="13" w16cid:durableId="1363238494">
    <w:abstractNumId w:val="5"/>
  </w:num>
  <w:num w:numId="14" w16cid:durableId="187792673">
    <w:abstractNumId w:val="30"/>
  </w:num>
  <w:num w:numId="15" w16cid:durableId="1715957998">
    <w:abstractNumId w:val="41"/>
  </w:num>
  <w:num w:numId="16" w16cid:durableId="70203368">
    <w:abstractNumId w:val="8"/>
  </w:num>
  <w:num w:numId="17" w16cid:durableId="1068725760">
    <w:abstractNumId w:val="4"/>
  </w:num>
  <w:num w:numId="18" w16cid:durableId="360515510">
    <w:abstractNumId w:val="1"/>
  </w:num>
  <w:num w:numId="19" w16cid:durableId="495802111">
    <w:abstractNumId w:val="36"/>
  </w:num>
  <w:num w:numId="20" w16cid:durableId="72748162">
    <w:abstractNumId w:val="2"/>
  </w:num>
  <w:num w:numId="21" w16cid:durableId="1090934151">
    <w:abstractNumId w:val="18"/>
  </w:num>
  <w:num w:numId="22" w16cid:durableId="472796836">
    <w:abstractNumId w:val="17"/>
  </w:num>
  <w:num w:numId="23" w16cid:durableId="1297493253">
    <w:abstractNumId w:val="31"/>
  </w:num>
  <w:num w:numId="24" w16cid:durableId="657077281">
    <w:abstractNumId w:val="26"/>
  </w:num>
  <w:num w:numId="25" w16cid:durableId="1825008217">
    <w:abstractNumId w:val="14"/>
  </w:num>
  <w:num w:numId="26" w16cid:durableId="1147090414">
    <w:abstractNumId w:val="19"/>
  </w:num>
  <w:num w:numId="27" w16cid:durableId="912591809">
    <w:abstractNumId w:val="25"/>
  </w:num>
  <w:num w:numId="28" w16cid:durableId="1804426337">
    <w:abstractNumId w:val="45"/>
  </w:num>
  <w:num w:numId="29" w16cid:durableId="684743679">
    <w:abstractNumId w:val="11"/>
  </w:num>
  <w:num w:numId="30" w16cid:durableId="1119837262">
    <w:abstractNumId w:val="21"/>
  </w:num>
  <w:num w:numId="31" w16cid:durableId="427969561">
    <w:abstractNumId w:val="7"/>
  </w:num>
  <w:num w:numId="32" w16cid:durableId="1134372701">
    <w:abstractNumId w:val="35"/>
  </w:num>
  <w:num w:numId="33" w16cid:durableId="42751799">
    <w:abstractNumId w:val="32"/>
  </w:num>
  <w:num w:numId="34" w16cid:durableId="1469317456">
    <w:abstractNumId w:val="28"/>
  </w:num>
  <w:num w:numId="35" w16cid:durableId="639459433">
    <w:abstractNumId w:val="23"/>
  </w:num>
  <w:num w:numId="36" w16cid:durableId="100877677">
    <w:abstractNumId w:val="34"/>
  </w:num>
  <w:num w:numId="37" w16cid:durableId="1774351300">
    <w:abstractNumId w:val="6"/>
  </w:num>
  <w:num w:numId="38" w16cid:durableId="440731475">
    <w:abstractNumId w:val="37"/>
  </w:num>
  <w:num w:numId="39" w16cid:durableId="360253031">
    <w:abstractNumId w:val="3"/>
  </w:num>
  <w:num w:numId="40" w16cid:durableId="2134058822">
    <w:abstractNumId w:val="38"/>
  </w:num>
  <w:num w:numId="41" w16cid:durableId="1939483203">
    <w:abstractNumId w:val="44"/>
  </w:num>
  <w:num w:numId="42" w16cid:durableId="1014111300">
    <w:abstractNumId w:val="33"/>
  </w:num>
  <w:num w:numId="43" w16cid:durableId="1974091460">
    <w:abstractNumId w:val="10"/>
  </w:num>
  <w:num w:numId="44" w16cid:durableId="339894241">
    <w:abstractNumId w:val="39"/>
  </w:num>
  <w:num w:numId="45" w16cid:durableId="871379878">
    <w:abstractNumId w:val="20"/>
  </w:num>
  <w:num w:numId="46" w16cid:durableId="1206019889">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440"/>
    <w:rsid w:val="00000172"/>
    <w:rsid w:val="000003A7"/>
    <w:rsid w:val="000004EF"/>
    <w:rsid w:val="000008D4"/>
    <w:rsid w:val="000009F2"/>
    <w:rsid w:val="00000C9A"/>
    <w:rsid w:val="00000E46"/>
    <w:rsid w:val="0000102C"/>
    <w:rsid w:val="0000120E"/>
    <w:rsid w:val="000012B2"/>
    <w:rsid w:val="00001745"/>
    <w:rsid w:val="00001B4E"/>
    <w:rsid w:val="00001B86"/>
    <w:rsid w:val="00001D33"/>
    <w:rsid w:val="0000200B"/>
    <w:rsid w:val="0000247B"/>
    <w:rsid w:val="000036F8"/>
    <w:rsid w:val="00003A6D"/>
    <w:rsid w:val="00003B05"/>
    <w:rsid w:val="000044CE"/>
    <w:rsid w:val="00004748"/>
    <w:rsid w:val="000048B0"/>
    <w:rsid w:val="00004A82"/>
    <w:rsid w:val="00004B37"/>
    <w:rsid w:val="00005309"/>
    <w:rsid w:val="00005526"/>
    <w:rsid w:val="0000566B"/>
    <w:rsid w:val="00005779"/>
    <w:rsid w:val="000059CC"/>
    <w:rsid w:val="00005A04"/>
    <w:rsid w:val="00005D5A"/>
    <w:rsid w:val="00005F06"/>
    <w:rsid w:val="00005F37"/>
    <w:rsid w:val="000060C1"/>
    <w:rsid w:val="000063E5"/>
    <w:rsid w:val="0000657C"/>
    <w:rsid w:val="000065D5"/>
    <w:rsid w:val="0000688C"/>
    <w:rsid w:val="00006C38"/>
    <w:rsid w:val="00006C57"/>
    <w:rsid w:val="0000701B"/>
    <w:rsid w:val="00007792"/>
    <w:rsid w:val="0000787D"/>
    <w:rsid w:val="00007F26"/>
    <w:rsid w:val="00010696"/>
    <w:rsid w:val="0001069C"/>
    <w:rsid w:val="00010F0E"/>
    <w:rsid w:val="00011738"/>
    <w:rsid w:val="000118B9"/>
    <w:rsid w:val="000118DB"/>
    <w:rsid w:val="00011BA9"/>
    <w:rsid w:val="00011BCE"/>
    <w:rsid w:val="00011DB7"/>
    <w:rsid w:val="00011EE2"/>
    <w:rsid w:val="00012A10"/>
    <w:rsid w:val="00012AC9"/>
    <w:rsid w:val="00012F1C"/>
    <w:rsid w:val="000136F2"/>
    <w:rsid w:val="0001439D"/>
    <w:rsid w:val="000146CE"/>
    <w:rsid w:val="000148A7"/>
    <w:rsid w:val="00014DA2"/>
    <w:rsid w:val="00015171"/>
    <w:rsid w:val="0001556D"/>
    <w:rsid w:val="00015623"/>
    <w:rsid w:val="00015636"/>
    <w:rsid w:val="00015B83"/>
    <w:rsid w:val="00015C9F"/>
    <w:rsid w:val="00015D84"/>
    <w:rsid w:val="000163FF"/>
    <w:rsid w:val="0001696E"/>
    <w:rsid w:val="00016971"/>
    <w:rsid w:val="00016B99"/>
    <w:rsid w:val="00016E30"/>
    <w:rsid w:val="000178E1"/>
    <w:rsid w:val="00017BA1"/>
    <w:rsid w:val="00017C21"/>
    <w:rsid w:val="00017E50"/>
    <w:rsid w:val="00017EC7"/>
    <w:rsid w:val="0002070E"/>
    <w:rsid w:val="00020A01"/>
    <w:rsid w:val="00020AE5"/>
    <w:rsid w:val="00020DAA"/>
    <w:rsid w:val="00020EE8"/>
    <w:rsid w:val="00021032"/>
    <w:rsid w:val="00021363"/>
    <w:rsid w:val="000218FB"/>
    <w:rsid w:val="00021AF0"/>
    <w:rsid w:val="00021CF8"/>
    <w:rsid w:val="00022260"/>
    <w:rsid w:val="00022508"/>
    <w:rsid w:val="00022AFA"/>
    <w:rsid w:val="00022D5E"/>
    <w:rsid w:val="0002379B"/>
    <w:rsid w:val="000238C9"/>
    <w:rsid w:val="0002419D"/>
    <w:rsid w:val="00024521"/>
    <w:rsid w:val="000246F0"/>
    <w:rsid w:val="0002495A"/>
    <w:rsid w:val="00024BEB"/>
    <w:rsid w:val="000251CA"/>
    <w:rsid w:val="00025687"/>
    <w:rsid w:val="00025819"/>
    <w:rsid w:val="00025FA9"/>
    <w:rsid w:val="00026535"/>
    <w:rsid w:val="00027026"/>
    <w:rsid w:val="0002735C"/>
    <w:rsid w:val="00027E26"/>
    <w:rsid w:val="00027F85"/>
    <w:rsid w:val="00027FE6"/>
    <w:rsid w:val="0003041E"/>
    <w:rsid w:val="00030E89"/>
    <w:rsid w:val="0003160D"/>
    <w:rsid w:val="00031928"/>
    <w:rsid w:val="00031B81"/>
    <w:rsid w:val="0003224D"/>
    <w:rsid w:val="000324C6"/>
    <w:rsid w:val="00032D80"/>
    <w:rsid w:val="00033421"/>
    <w:rsid w:val="000334B5"/>
    <w:rsid w:val="00033567"/>
    <w:rsid w:val="00033D5C"/>
    <w:rsid w:val="00034188"/>
    <w:rsid w:val="0003434E"/>
    <w:rsid w:val="000344CA"/>
    <w:rsid w:val="00034869"/>
    <w:rsid w:val="0003519E"/>
    <w:rsid w:val="0003520A"/>
    <w:rsid w:val="0003522F"/>
    <w:rsid w:val="000356C3"/>
    <w:rsid w:val="00035A0A"/>
    <w:rsid w:val="00035C13"/>
    <w:rsid w:val="00035CAC"/>
    <w:rsid w:val="00035D09"/>
    <w:rsid w:val="0003622B"/>
    <w:rsid w:val="00036E85"/>
    <w:rsid w:val="00036EA2"/>
    <w:rsid w:val="000370BF"/>
    <w:rsid w:val="00037394"/>
    <w:rsid w:val="000374CD"/>
    <w:rsid w:val="000374F9"/>
    <w:rsid w:val="0003783E"/>
    <w:rsid w:val="00037B7F"/>
    <w:rsid w:val="00037CA6"/>
    <w:rsid w:val="00037E3A"/>
    <w:rsid w:val="00037E67"/>
    <w:rsid w:val="0004023B"/>
    <w:rsid w:val="00040464"/>
    <w:rsid w:val="000404A2"/>
    <w:rsid w:val="00040815"/>
    <w:rsid w:val="00040908"/>
    <w:rsid w:val="00040B82"/>
    <w:rsid w:val="0004109F"/>
    <w:rsid w:val="000410AC"/>
    <w:rsid w:val="000410F9"/>
    <w:rsid w:val="000413BB"/>
    <w:rsid w:val="00041E36"/>
    <w:rsid w:val="00041F98"/>
    <w:rsid w:val="00042518"/>
    <w:rsid w:val="0004275B"/>
    <w:rsid w:val="00042C44"/>
    <w:rsid w:val="00042E7D"/>
    <w:rsid w:val="00043017"/>
    <w:rsid w:val="00043097"/>
    <w:rsid w:val="00043446"/>
    <w:rsid w:val="00043499"/>
    <w:rsid w:val="00043603"/>
    <w:rsid w:val="00043677"/>
    <w:rsid w:val="00043F1B"/>
    <w:rsid w:val="0004470E"/>
    <w:rsid w:val="0004477D"/>
    <w:rsid w:val="000447A5"/>
    <w:rsid w:val="000449D6"/>
    <w:rsid w:val="00044A1E"/>
    <w:rsid w:val="00044DC1"/>
    <w:rsid w:val="00044E21"/>
    <w:rsid w:val="00044FFF"/>
    <w:rsid w:val="00045359"/>
    <w:rsid w:val="00045732"/>
    <w:rsid w:val="00046934"/>
    <w:rsid w:val="00046AC6"/>
    <w:rsid w:val="00046B87"/>
    <w:rsid w:val="00046EF1"/>
    <w:rsid w:val="00046F98"/>
    <w:rsid w:val="00047738"/>
    <w:rsid w:val="00047F7F"/>
    <w:rsid w:val="0005080D"/>
    <w:rsid w:val="00050834"/>
    <w:rsid w:val="00050BD5"/>
    <w:rsid w:val="000511F8"/>
    <w:rsid w:val="00051E81"/>
    <w:rsid w:val="00052214"/>
    <w:rsid w:val="00052482"/>
    <w:rsid w:val="0005255D"/>
    <w:rsid w:val="00052926"/>
    <w:rsid w:val="000531B8"/>
    <w:rsid w:val="0005384E"/>
    <w:rsid w:val="00053ED6"/>
    <w:rsid w:val="000548A6"/>
    <w:rsid w:val="00055181"/>
    <w:rsid w:val="00055C97"/>
    <w:rsid w:val="00055D62"/>
    <w:rsid w:val="0005601E"/>
    <w:rsid w:val="00056152"/>
    <w:rsid w:val="000564E5"/>
    <w:rsid w:val="000565D3"/>
    <w:rsid w:val="00057255"/>
    <w:rsid w:val="00057376"/>
    <w:rsid w:val="000573B2"/>
    <w:rsid w:val="00057E56"/>
    <w:rsid w:val="0006006A"/>
    <w:rsid w:val="00060388"/>
    <w:rsid w:val="0006065D"/>
    <w:rsid w:val="00060AFC"/>
    <w:rsid w:val="00060BB0"/>
    <w:rsid w:val="00061202"/>
    <w:rsid w:val="0006134F"/>
    <w:rsid w:val="00061480"/>
    <w:rsid w:val="000616EC"/>
    <w:rsid w:val="00061E6F"/>
    <w:rsid w:val="00061ECC"/>
    <w:rsid w:val="000623E9"/>
    <w:rsid w:val="000623F3"/>
    <w:rsid w:val="00062A74"/>
    <w:rsid w:val="00062A89"/>
    <w:rsid w:val="00062AF1"/>
    <w:rsid w:val="00062B02"/>
    <w:rsid w:val="00062CC2"/>
    <w:rsid w:val="00062E82"/>
    <w:rsid w:val="00063289"/>
    <w:rsid w:val="00063611"/>
    <w:rsid w:val="00063E72"/>
    <w:rsid w:val="000643C3"/>
    <w:rsid w:val="00064AA9"/>
    <w:rsid w:val="00064B9D"/>
    <w:rsid w:val="00065023"/>
    <w:rsid w:val="000650C6"/>
    <w:rsid w:val="0006544B"/>
    <w:rsid w:val="00065572"/>
    <w:rsid w:val="000655B0"/>
    <w:rsid w:val="0006584B"/>
    <w:rsid w:val="0006637A"/>
    <w:rsid w:val="00066751"/>
    <w:rsid w:val="000668FF"/>
    <w:rsid w:val="00066B60"/>
    <w:rsid w:val="00066BB1"/>
    <w:rsid w:val="00066F98"/>
    <w:rsid w:val="00067240"/>
    <w:rsid w:val="00067455"/>
    <w:rsid w:val="00067559"/>
    <w:rsid w:val="000676DD"/>
    <w:rsid w:val="00067E3E"/>
    <w:rsid w:val="00067E98"/>
    <w:rsid w:val="0007050A"/>
    <w:rsid w:val="0007052B"/>
    <w:rsid w:val="000707FB"/>
    <w:rsid w:val="00070B60"/>
    <w:rsid w:val="00070D74"/>
    <w:rsid w:val="00070F9C"/>
    <w:rsid w:val="00071225"/>
    <w:rsid w:val="000712ED"/>
    <w:rsid w:val="00071417"/>
    <w:rsid w:val="00071578"/>
    <w:rsid w:val="0007176F"/>
    <w:rsid w:val="00071BA6"/>
    <w:rsid w:val="000724B2"/>
    <w:rsid w:val="00072527"/>
    <w:rsid w:val="00073719"/>
    <w:rsid w:val="000739DF"/>
    <w:rsid w:val="00073BA2"/>
    <w:rsid w:val="00073E17"/>
    <w:rsid w:val="00073F49"/>
    <w:rsid w:val="00073F81"/>
    <w:rsid w:val="00073FBC"/>
    <w:rsid w:val="000741A2"/>
    <w:rsid w:val="0007422E"/>
    <w:rsid w:val="0007424C"/>
    <w:rsid w:val="00074312"/>
    <w:rsid w:val="00074462"/>
    <w:rsid w:val="00074682"/>
    <w:rsid w:val="00074CBB"/>
    <w:rsid w:val="00074CF8"/>
    <w:rsid w:val="00074E5F"/>
    <w:rsid w:val="0007590B"/>
    <w:rsid w:val="00075B3F"/>
    <w:rsid w:val="00075B6F"/>
    <w:rsid w:val="00076089"/>
    <w:rsid w:val="000760E2"/>
    <w:rsid w:val="00076606"/>
    <w:rsid w:val="00076C41"/>
    <w:rsid w:val="0007741E"/>
    <w:rsid w:val="0007751C"/>
    <w:rsid w:val="00077972"/>
    <w:rsid w:val="00077A2E"/>
    <w:rsid w:val="00077BDF"/>
    <w:rsid w:val="000800CF"/>
    <w:rsid w:val="00080CDB"/>
    <w:rsid w:val="00080FE3"/>
    <w:rsid w:val="0008128D"/>
    <w:rsid w:val="0008155F"/>
    <w:rsid w:val="000815D3"/>
    <w:rsid w:val="00081676"/>
    <w:rsid w:val="00081A23"/>
    <w:rsid w:val="00081BA4"/>
    <w:rsid w:val="000828DE"/>
    <w:rsid w:val="00082A6F"/>
    <w:rsid w:val="00082E25"/>
    <w:rsid w:val="00082EB0"/>
    <w:rsid w:val="00083728"/>
    <w:rsid w:val="00083943"/>
    <w:rsid w:val="00083A39"/>
    <w:rsid w:val="00083DBB"/>
    <w:rsid w:val="00083FDD"/>
    <w:rsid w:val="00084049"/>
    <w:rsid w:val="00084070"/>
    <w:rsid w:val="000843C8"/>
    <w:rsid w:val="00084B12"/>
    <w:rsid w:val="00084B56"/>
    <w:rsid w:val="00084E0E"/>
    <w:rsid w:val="0008510C"/>
    <w:rsid w:val="000851B1"/>
    <w:rsid w:val="0008552D"/>
    <w:rsid w:val="0008568D"/>
    <w:rsid w:val="00085CC3"/>
    <w:rsid w:val="00085E44"/>
    <w:rsid w:val="00086020"/>
    <w:rsid w:val="000867F3"/>
    <w:rsid w:val="000869B0"/>
    <w:rsid w:val="000869BA"/>
    <w:rsid w:val="00086FBA"/>
    <w:rsid w:val="00087092"/>
    <w:rsid w:val="0008709D"/>
    <w:rsid w:val="000873D7"/>
    <w:rsid w:val="0008740C"/>
    <w:rsid w:val="000876AF"/>
    <w:rsid w:val="00087793"/>
    <w:rsid w:val="00087AEA"/>
    <w:rsid w:val="00087B40"/>
    <w:rsid w:val="00087BFB"/>
    <w:rsid w:val="00087CFC"/>
    <w:rsid w:val="00087DD2"/>
    <w:rsid w:val="00087DDA"/>
    <w:rsid w:val="00087FF8"/>
    <w:rsid w:val="0009047A"/>
    <w:rsid w:val="000909B7"/>
    <w:rsid w:val="00090D16"/>
    <w:rsid w:val="00090FD7"/>
    <w:rsid w:val="00091250"/>
    <w:rsid w:val="0009153E"/>
    <w:rsid w:val="000915D7"/>
    <w:rsid w:val="00091A82"/>
    <w:rsid w:val="00091B6C"/>
    <w:rsid w:val="00091DAA"/>
    <w:rsid w:val="00091F22"/>
    <w:rsid w:val="00092754"/>
    <w:rsid w:val="00092EB8"/>
    <w:rsid w:val="00093325"/>
    <w:rsid w:val="000934B5"/>
    <w:rsid w:val="000934BC"/>
    <w:rsid w:val="0009353D"/>
    <w:rsid w:val="00093B20"/>
    <w:rsid w:val="00093B94"/>
    <w:rsid w:val="00093FD8"/>
    <w:rsid w:val="00094234"/>
    <w:rsid w:val="00094529"/>
    <w:rsid w:val="0009455C"/>
    <w:rsid w:val="000945AE"/>
    <w:rsid w:val="00094A17"/>
    <w:rsid w:val="00094AD8"/>
    <w:rsid w:val="00095023"/>
    <w:rsid w:val="00095263"/>
    <w:rsid w:val="0009533E"/>
    <w:rsid w:val="00095414"/>
    <w:rsid w:val="00095532"/>
    <w:rsid w:val="000959AA"/>
    <w:rsid w:val="00095DA6"/>
    <w:rsid w:val="00096055"/>
    <w:rsid w:val="0009613A"/>
    <w:rsid w:val="0009627A"/>
    <w:rsid w:val="000963DB"/>
    <w:rsid w:val="00096645"/>
    <w:rsid w:val="0009685E"/>
    <w:rsid w:val="00096C0F"/>
    <w:rsid w:val="0009772A"/>
    <w:rsid w:val="00097CD8"/>
    <w:rsid w:val="00097DE8"/>
    <w:rsid w:val="000A0055"/>
    <w:rsid w:val="000A00B4"/>
    <w:rsid w:val="000A01DC"/>
    <w:rsid w:val="000A03D4"/>
    <w:rsid w:val="000A03E3"/>
    <w:rsid w:val="000A04BE"/>
    <w:rsid w:val="000A0539"/>
    <w:rsid w:val="000A0B6A"/>
    <w:rsid w:val="000A12A8"/>
    <w:rsid w:val="000A17BF"/>
    <w:rsid w:val="000A1A1E"/>
    <w:rsid w:val="000A1B39"/>
    <w:rsid w:val="000A234E"/>
    <w:rsid w:val="000A2E39"/>
    <w:rsid w:val="000A2F0D"/>
    <w:rsid w:val="000A311D"/>
    <w:rsid w:val="000A3145"/>
    <w:rsid w:val="000A3221"/>
    <w:rsid w:val="000A379A"/>
    <w:rsid w:val="000A37C3"/>
    <w:rsid w:val="000A3AA4"/>
    <w:rsid w:val="000A3F93"/>
    <w:rsid w:val="000A41A8"/>
    <w:rsid w:val="000A473C"/>
    <w:rsid w:val="000A4A86"/>
    <w:rsid w:val="000A4EF3"/>
    <w:rsid w:val="000A5038"/>
    <w:rsid w:val="000A52EF"/>
    <w:rsid w:val="000A65AB"/>
    <w:rsid w:val="000A7278"/>
    <w:rsid w:val="000A7970"/>
    <w:rsid w:val="000A7EA7"/>
    <w:rsid w:val="000A7F8C"/>
    <w:rsid w:val="000B00A0"/>
    <w:rsid w:val="000B0328"/>
    <w:rsid w:val="000B03BA"/>
    <w:rsid w:val="000B0B6D"/>
    <w:rsid w:val="000B105D"/>
    <w:rsid w:val="000B15C6"/>
    <w:rsid w:val="000B1ACC"/>
    <w:rsid w:val="000B1B4F"/>
    <w:rsid w:val="000B1E50"/>
    <w:rsid w:val="000B1F8A"/>
    <w:rsid w:val="000B200C"/>
    <w:rsid w:val="000B2766"/>
    <w:rsid w:val="000B3314"/>
    <w:rsid w:val="000B3418"/>
    <w:rsid w:val="000B3571"/>
    <w:rsid w:val="000B35DF"/>
    <w:rsid w:val="000B3AA2"/>
    <w:rsid w:val="000B3B64"/>
    <w:rsid w:val="000B3C4E"/>
    <w:rsid w:val="000B3D8C"/>
    <w:rsid w:val="000B3FDA"/>
    <w:rsid w:val="000B4275"/>
    <w:rsid w:val="000B4FD4"/>
    <w:rsid w:val="000B53DF"/>
    <w:rsid w:val="000B5AD5"/>
    <w:rsid w:val="000B5BFC"/>
    <w:rsid w:val="000B6211"/>
    <w:rsid w:val="000B64CE"/>
    <w:rsid w:val="000B6CED"/>
    <w:rsid w:val="000B6EE6"/>
    <w:rsid w:val="000B6FA5"/>
    <w:rsid w:val="000B7068"/>
    <w:rsid w:val="000B72C3"/>
    <w:rsid w:val="000B75A5"/>
    <w:rsid w:val="000B7ECC"/>
    <w:rsid w:val="000C02A3"/>
    <w:rsid w:val="000C045E"/>
    <w:rsid w:val="000C058C"/>
    <w:rsid w:val="000C06BD"/>
    <w:rsid w:val="000C090E"/>
    <w:rsid w:val="000C0CA6"/>
    <w:rsid w:val="000C10BC"/>
    <w:rsid w:val="000C119D"/>
    <w:rsid w:val="000C1541"/>
    <w:rsid w:val="000C15EF"/>
    <w:rsid w:val="000C16BB"/>
    <w:rsid w:val="000C1774"/>
    <w:rsid w:val="000C1BC6"/>
    <w:rsid w:val="000C1C11"/>
    <w:rsid w:val="000C1CF3"/>
    <w:rsid w:val="000C2150"/>
    <w:rsid w:val="000C228A"/>
    <w:rsid w:val="000C282F"/>
    <w:rsid w:val="000C2A52"/>
    <w:rsid w:val="000C2F95"/>
    <w:rsid w:val="000C2FA4"/>
    <w:rsid w:val="000C306E"/>
    <w:rsid w:val="000C30B3"/>
    <w:rsid w:val="000C3475"/>
    <w:rsid w:val="000C34DF"/>
    <w:rsid w:val="000C37E0"/>
    <w:rsid w:val="000C396F"/>
    <w:rsid w:val="000C3A3C"/>
    <w:rsid w:val="000C4CF8"/>
    <w:rsid w:val="000C5280"/>
    <w:rsid w:val="000C533C"/>
    <w:rsid w:val="000C539D"/>
    <w:rsid w:val="000C5724"/>
    <w:rsid w:val="000C5B9F"/>
    <w:rsid w:val="000C5E4D"/>
    <w:rsid w:val="000C606A"/>
    <w:rsid w:val="000C6413"/>
    <w:rsid w:val="000C665F"/>
    <w:rsid w:val="000C682C"/>
    <w:rsid w:val="000C6D98"/>
    <w:rsid w:val="000C6DE6"/>
    <w:rsid w:val="000C6E1F"/>
    <w:rsid w:val="000C703E"/>
    <w:rsid w:val="000C744A"/>
    <w:rsid w:val="000C7630"/>
    <w:rsid w:val="000C76C7"/>
    <w:rsid w:val="000C7AD9"/>
    <w:rsid w:val="000D00E0"/>
    <w:rsid w:val="000D039B"/>
    <w:rsid w:val="000D046E"/>
    <w:rsid w:val="000D08A1"/>
    <w:rsid w:val="000D1253"/>
    <w:rsid w:val="000D12AE"/>
    <w:rsid w:val="000D1322"/>
    <w:rsid w:val="000D17B8"/>
    <w:rsid w:val="000D19D3"/>
    <w:rsid w:val="000D2118"/>
    <w:rsid w:val="000D2485"/>
    <w:rsid w:val="000D268F"/>
    <w:rsid w:val="000D2828"/>
    <w:rsid w:val="000D3145"/>
    <w:rsid w:val="000D32FF"/>
    <w:rsid w:val="000D372B"/>
    <w:rsid w:val="000D3A8A"/>
    <w:rsid w:val="000D3BAD"/>
    <w:rsid w:val="000D3BB6"/>
    <w:rsid w:val="000D3CD4"/>
    <w:rsid w:val="000D3F90"/>
    <w:rsid w:val="000D459A"/>
    <w:rsid w:val="000D4D15"/>
    <w:rsid w:val="000D4E6E"/>
    <w:rsid w:val="000D5270"/>
    <w:rsid w:val="000D5347"/>
    <w:rsid w:val="000D5C90"/>
    <w:rsid w:val="000D5E5C"/>
    <w:rsid w:val="000D5E68"/>
    <w:rsid w:val="000D624F"/>
    <w:rsid w:val="000D6323"/>
    <w:rsid w:val="000D6830"/>
    <w:rsid w:val="000D6893"/>
    <w:rsid w:val="000D6C7F"/>
    <w:rsid w:val="000D6C92"/>
    <w:rsid w:val="000D72FB"/>
    <w:rsid w:val="000D7388"/>
    <w:rsid w:val="000D742F"/>
    <w:rsid w:val="000D75A4"/>
    <w:rsid w:val="000D7636"/>
    <w:rsid w:val="000D7A34"/>
    <w:rsid w:val="000D7EBF"/>
    <w:rsid w:val="000D7F9E"/>
    <w:rsid w:val="000E0818"/>
    <w:rsid w:val="000E0901"/>
    <w:rsid w:val="000E0C28"/>
    <w:rsid w:val="000E0CF6"/>
    <w:rsid w:val="000E0DB6"/>
    <w:rsid w:val="000E106A"/>
    <w:rsid w:val="000E1124"/>
    <w:rsid w:val="000E12A3"/>
    <w:rsid w:val="000E1373"/>
    <w:rsid w:val="000E1521"/>
    <w:rsid w:val="000E1666"/>
    <w:rsid w:val="000E1E97"/>
    <w:rsid w:val="000E286B"/>
    <w:rsid w:val="000E2C64"/>
    <w:rsid w:val="000E2D33"/>
    <w:rsid w:val="000E38B6"/>
    <w:rsid w:val="000E38F5"/>
    <w:rsid w:val="000E3F4D"/>
    <w:rsid w:val="000E4723"/>
    <w:rsid w:val="000E49C7"/>
    <w:rsid w:val="000E4E24"/>
    <w:rsid w:val="000E4F8A"/>
    <w:rsid w:val="000E50A1"/>
    <w:rsid w:val="000E5622"/>
    <w:rsid w:val="000E56B0"/>
    <w:rsid w:val="000E5BAF"/>
    <w:rsid w:val="000E5F34"/>
    <w:rsid w:val="000E6738"/>
    <w:rsid w:val="000E695D"/>
    <w:rsid w:val="000E6B2C"/>
    <w:rsid w:val="000E6B93"/>
    <w:rsid w:val="000E750D"/>
    <w:rsid w:val="000E7566"/>
    <w:rsid w:val="000E7EDB"/>
    <w:rsid w:val="000F0305"/>
    <w:rsid w:val="000F0540"/>
    <w:rsid w:val="000F0B7D"/>
    <w:rsid w:val="000F0BA2"/>
    <w:rsid w:val="000F0CEF"/>
    <w:rsid w:val="000F1340"/>
    <w:rsid w:val="000F1704"/>
    <w:rsid w:val="000F179A"/>
    <w:rsid w:val="000F17B3"/>
    <w:rsid w:val="000F19D5"/>
    <w:rsid w:val="000F1B10"/>
    <w:rsid w:val="000F1C12"/>
    <w:rsid w:val="000F1F00"/>
    <w:rsid w:val="000F1F7A"/>
    <w:rsid w:val="000F22A9"/>
    <w:rsid w:val="000F23C4"/>
    <w:rsid w:val="000F2872"/>
    <w:rsid w:val="000F2B9F"/>
    <w:rsid w:val="000F2BD1"/>
    <w:rsid w:val="000F2C72"/>
    <w:rsid w:val="000F2E91"/>
    <w:rsid w:val="000F3335"/>
    <w:rsid w:val="000F3F61"/>
    <w:rsid w:val="000F403C"/>
    <w:rsid w:val="000F453C"/>
    <w:rsid w:val="000F4569"/>
    <w:rsid w:val="000F4788"/>
    <w:rsid w:val="000F47BE"/>
    <w:rsid w:val="000F47DA"/>
    <w:rsid w:val="000F4A8D"/>
    <w:rsid w:val="000F4C15"/>
    <w:rsid w:val="000F4D9C"/>
    <w:rsid w:val="000F4FDC"/>
    <w:rsid w:val="000F50D4"/>
    <w:rsid w:val="000F5C45"/>
    <w:rsid w:val="000F5E61"/>
    <w:rsid w:val="000F6270"/>
    <w:rsid w:val="000F695A"/>
    <w:rsid w:val="000F6A8B"/>
    <w:rsid w:val="000F76CA"/>
    <w:rsid w:val="000F78BD"/>
    <w:rsid w:val="000F7B9A"/>
    <w:rsid w:val="001005C9"/>
    <w:rsid w:val="00100CF0"/>
    <w:rsid w:val="00101074"/>
    <w:rsid w:val="001014D6"/>
    <w:rsid w:val="001019F3"/>
    <w:rsid w:val="00101A07"/>
    <w:rsid w:val="00101AE5"/>
    <w:rsid w:val="00101D4B"/>
    <w:rsid w:val="001020A7"/>
    <w:rsid w:val="001021C1"/>
    <w:rsid w:val="00102C18"/>
    <w:rsid w:val="0010317A"/>
    <w:rsid w:val="00103523"/>
    <w:rsid w:val="001035D1"/>
    <w:rsid w:val="00103905"/>
    <w:rsid w:val="00103A12"/>
    <w:rsid w:val="00103CFF"/>
    <w:rsid w:val="00103DBC"/>
    <w:rsid w:val="001040FC"/>
    <w:rsid w:val="001042F3"/>
    <w:rsid w:val="00104860"/>
    <w:rsid w:val="00104C8B"/>
    <w:rsid w:val="00104ED4"/>
    <w:rsid w:val="001053F9"/>
    <w:rsid w:val="0010566A"/>
    <w:rsid w:val="0010566B"/>
    <w:rsid w:val="001056D4"/>
    <w:rsid w:val="00105767"/>
    <w:rsid w:val="001057A2"/>
    <w:rsid w:val="00105C97"/>
    <w:rsid w:val="001060E1"/>
    <w:rsid w:val="0010614F"/>
    <w:rsid w:val="00106229"/>
    <w:rsid w:val="0010629A"/>
    <w:rsid w:val="00106827"/>
    <w:rsid w:val="00106D8C"/>
    <w:rsid w:val="00106E12"/>
    <w:rsid w:val="001070CF"/>
    <w:rsid w:val="00107177"/>
    <w:rsid w:val="001078AC"/>
    <w:rsid w:val="00107A1E"/>
    <w:rsid w:val="00107B3D"/>
    <w:rsid w:val="00110389"/>
    <w:rsid w:val="00110843"/>
    <w:rsid w:val="00110DD0"/>
    <w:rsid w:val="00110FD3"/>
    <w:rsid w:val="001113B8"/>
    <w:rsid w:val="00111BCB"/>
    <w:rsid w:val="00112298"/>
    <w:rsid w:val="00112594"/>
    <w:rsid w:val="00112A88"/>
    <w:rsid w:val="00112BA1"/>
    <w:rsid w:val="00112C49"/>
    <w:rsid w:val="00112E0A"/>
    <w:rsid w:val="00112EFF"/>
    <w:rsid w:val="00112FED"/>
    <w:rsid w:val="0011305E"/>
    <w:rsid w:val="00113289"/>
    <w:rsid w:val="001132FA"/>
    <w:rsid w:val="00113ACB"/>
    <w:rsid w:val="00113C94"/>
    <w:rsid w:val="00113E6D"/>
    <w:rsid w:val="0011470F"/>
    <w:rsid w:val="00114A8E"/>
    <w:rsid w:val="00114BEE"/>
    <w:rsid w:val="00114D65"/>
    <w:rsid w:val="00114E7C"/>
    <w:rsid w:val="00114F87"/>
    <w:rsid w:val="00114FB1"/>
    <w:rsid w:val="00115A94"/>
    <w:rsid w:val="001166BC"/>
    <w:rsid w:val="00116B8A"/>
    <w:rsid w:val="00116F17"/>
    <w:rsid w:val="00116F58"/>
    <w:rsid w:val="00116FB6"/>
    <w:rsid w:val="00117038"/>
    <w:rsid w:val="001172A2"/>
    <w:rsid w:val="00117432"/>
    <w:rsid w:val="00117597"/>
    <w:rsid w:val="0011768E"/>
    <w:rsid w:val="001178A9"/>
    <w:rsid w:val="001179E5"/>
    <w:rsid w:val="00117B60"/>
    <w:rsid w:val="0012045B"/>
    <w:rsid w:val="0012062F"/>
    <w:rsid w:val="00120A96"/>
    <w:rsid w:val="00120E63"/>
    <w:rsid w:val="001213A5"/>
    <w:rsid w:val="0012143C"/>
    <w:rsid w:val="00121B76"/>
    <w:rsid w:val="00121BBE"/>
    <w:rsid w:val="00121CD5"/>
    <w:rsid w:val="00121D09"/>
    <w:rsid w:val="00121DDD"/>
    <w:rsid w:val="00122782"/>
    <w:rsid w:val="001228D5"/>
    <w:rsid w:val="0012345E"/>
    <w:rsid w:val="001234F2"/>
    <w:rsid w:val="00123616"/>
    <w:rsid w:val="00123AA3"/>
    <w:rsid w:val="00123C49"/>
    <w:rsid w:val="00123EF9"/>
    <w:rsid w:val="001241EA"/>
    <w:rsid w:val="001241F7"/>
    <w:rsid w:val="00124398"/>
    <w:rsid w:val="0012442F"/>
    <w:rsid w:val="0012466C"/>
    <w:rsid w:val="00124BE3"/>
    <w:rsid w:val="00124D7F"/>
    <w:rsid w:val="0012531B"/>
    <w:rsid w:val="00125494"/>
    <w:rsid w:val="0012569A"/>
    <w:rsid w:val="00125903"/>
    <w:rsid w:val="0012593E"/>
    <w:rsid w:val="00125A8D"/>
    <w:rsid w:val="00125E93"/>
    <w:rsid w:val="00125EC4"/>
    <w:rsid w:val="00125F97"/>
    <w:rsid w:val="00126769"/>
    <w:rsid w:val="00126EE0"/>
    <w:rsid w:val="00127231"/>
    <w:rsid w:val="00127CC0"/>
    <w:rsid w:val="0013023D"/>
    <w:rsid w:val="00130309"/>
    <w:rsid w:val="00130310"/>
    <w:rsid w:val="00130387"/>
    <w:rsid w:val="0013093C"/>
    <w:rsid w:val="001311CA"/>
    <w:rsid w:val="001317E8"/>
    <w:rsid w:val="00131866"/>
    <w:rsid w:val="001318C8"/>
    <w:rsid w:val="00131B53"/>
    <w:rsid w:val="00131DA1"/>
    <w:rsid w:val="00131E5F"/>
    <w:rsid w:val="00131FC6"/>
    <w:rsid w:val="00132507"/>
    <w:rsid w:val="00132790"/>
    <w:rsid w:val="00132A4B"/>
    <w:rsid w:val="001330AA"/>
    <w:rsid w:val="00133155"/>
    <w:rsid w:val="001332A7"/>
    <w:rsid w:val="001337C4"/>
    <w:rsid w:val="00133929"/>
    <w:rsid w:val="00134108"/>
    <w:rsid w:val="001349BA"/>
    <w:rsid w:val="00134E5C"/>
    <w:rsid w:val="00134F5C"/>
    <w:rsid w:val="00135B4A"/>
    <w:rsid w:val="00135D81"/>
    <w:rsid w:val="00136250"/>
    <w:rsid w:val="00136524"/>
    <w:rsid w:val="001366A3"/>
    <w:rsid w:val="00136A06"/>
    <w:rsid w:val="00136C6E"/>
    <w:rsid w:val="00136D2F"/>
    <w:rsid w:val="001370ED"/>
    <w:rsid w:val="001374B8"/>
    <w:rsid w:val="001374BD"/>
    <w:rsid w:val="0013757C"/>
    <w:rsid w:val="00137877"/>
    <w:rsid w:val="0013787D"/>
    <w:rsid w:val="00137EE9"/>
    <w:rsid w:val="00140456"/>
    <w:rsid w:val="00140515"/>
    <w:rsid w:val="001407F9"/>
    <w:rsid w:val="0014098F"/>
    <w:rsid w:val="00140B89"/>
    <w:rsid w:val="00140DB7"/>
    <w:rsid w:val="00140F3E"/>
    <w:rsid w:val="00140F89"/>
    <w:rsid w:val="0014109D"/>
    <w:rsid w:val="0014142E"/>
    <w:rsid w:val="00141534"/>
    <w:rsid w:val="0014161F"/>
    <w:rsid w:val="00141B33"/>
    <w:rsid w:val="00141B90"/>
    <w:rsid w:val="00142159"/>
    <w:rsid w:val="00142175"/>
    <w:rsid w:val="00142472"/>
    <w:rsid w:val="00142884"/>
    <w:rsid w:val="00142A70"/>
    <w:rsid w:val="00142ADF"/>
    <w:rsid w:val="00143417"/>
    <w:rsid w:val="00143A99"/>
    <w:rsid w:val="00143AFE"/>
    <w:rsid w:val="00143C93"/>
    <w:rsid w:val="00143DC5"/>
    <w:rsid w:val="00144914"/>
    <w:rsid w:val="0014514A"/>
    <w:rsid w:val="001451D0"/>
    <w:rsid w:val="0014522F"/>
    <w:rsid w:val="00145619"/>
    <w:rsid w:val="00145A2C"/>
    <w:rsid w:val="00145BBF"/>
    <w:rsid w:val="001460DE"/>
    <w:rsid w:val="00146449"/>
    <w:rsid w:val="001465CF"/>
    <w:rsid w:val="001467BC"/>
    <w:rsid w:val="00146B18"/>
    <w:rsid w:val="00146DC0"/>
    <w:rsid w:val="001471D4"/>
    <w:rsid w:val="001473E3"/>
    <w:rsid w:val="00147480"/>
    <w:rsid w:val="00147556"/>
    <w:rsid w:val="00147573"/>
    <w:rsid w:val="0014779A"/>
    <w:rsid w:val="00147B5E"/>
    <w:rsid w:val="00147C24"/>
    <w:rsid w:val="00147CEF"/>
    <w:rsid w:val="0015012C"/>
    <w:rsid w:val="0015084C"/>
    <w:rsid w:val="00151349"/>
    <w:rsid w:val="00151716"/>
    <w:rsid w:val="0015173D"/>
    <w:rsid w:val="00151850"/>
    <w:rsid w:val="001518F1"/>
    <w:rsid w:val="00151E8C"/>
    <w:rsid w:val="001525CA"/>
    <w:rsid w:val="00152BE3"/>
    <w:rsid w:val="00152DF3"/>
    <w:rsid w:val="00153045"/>
    <w:rsid w:val="00153125"/>
    <w:rsid w:val="00153852"/>
    <w:rsid w:val="001538AC"/>
    <w:rsid w:val="001540F5"/>
    <w:rsid w:val="00154317"/>
    <w:rsid w:val="0015459B"/>
    <w:rsid w:val="00154617"/>
    <w:rsid w:val="001547BF"/>
    <w:rsid w:val="001547DE"/>
    <w:rsid w:val="001548A4"/>
    <w:rsid w:val="00154B7C"/>
    <w:rsid w:val="00155090"/>
    <w:rsid w:val="001553DC"/>
    <w:rsid w:val="00155468"/>
    <w:rsid w:val="001555EE"/>
    <w:rsid w:val="00155667"/>
    <w:rsid w:val="001557FC"/>
    <w:rsid w:val="001558E3"/>
    <w:rsid w:val="00155A45"/>
    <w:rsid w:val="00155B38"/>
    <w:rsid w:val="00155B8B"/>
    <w:rsid w:val="00155B96"/>
    <w:rsid w:val="00155ECD"/>
    <w:rsid w:val="00155FBC"/>
    <w:rsid w:val="00155FDA"/>
    <w:rsid w:val="00156410"/>
    <w:rsid w:val="0015654A"/>
    <w:rsid w:val="001566FF"/>
    <w:rsid w:val="00156767"/>
    <w:rsid w:val="001568ED"/>
    <w:rsid w:val="00156C69"/>
    <w:rsid w:val="001572B8"/>
    <w:rsid w:val="00157520"/>
    <w:rsid w:val="0016037C"/>
    <w:rsid w:val="001603E0"/>
    <w:rsid w:val="001605B4"/>
    <w:rsid w:val="00160B5E"/>
    <w:rsid w:val="001610E1"/>
    <w:rsid w:val="00161413"/>
    <w:rsid w:val="001614A8"/>
    <w:rsid w:val="0016187C"/>
    <w:rsid w:val="001618B7"/>
    <w:rsid w:val="0016198F"/>
    <w:rsid w:val="00161AF1"/>
    <w:rsid w:val="00161B9A"/>
    <w:rsid w:val="00161F19"/>
    <w:rsid w:val="001620EA"/>
    <w:rsid w:val="001625DE"/>
    <w:rsid w:val="00162647"/>
    <w:rsid w:val="001626B4"/>
    <w:rsid w:val="001626B5"/>
    <w:rsid w:val="00162770"/>
    <w:rsid w:val="00162D87"/>
    <w:rsid w:val="00162D91"/>
    <w:rsid w:val="00162E4A"/>
    <w:rsid w:val="00162E9C"/>
    <w:rsid w:val="001630ED"/>
    <w:rsid w:val="00163117"/>
    <w:rsid w:val="001636DD"/>
    <w:rsid w:val="001638E4"/>
    <w:rsid w:val="00163A62"/>
    <w:rsid w:val="00163DBA"/>
    <w:rsid w:val="001645DB"/>
    <w:rsid w:val="001647C2"/>
    <w:rsid w:val="001649D3"/>
    <w:rsid w:val="00164E1D"/>
    <w:rsid w:val="001650E1"/>
    <w:rsid w:val="001654DC"/>
    <w:rsid w:val="00165785"/>
    <w:rsid w:val="0016597C"/>
    <w:rsid w:val="00165990"/>
    <w:rsid w:val="00165CC9"/>
    <w:rsid w:val="00166105"/>
    <w:rsid w:val="001664D4"/>
    <w:rsid w:val="001665AD"/>
    <w:rsid w:val="00166723"/>
    <w:rsid w:val="00166A04"/>
    <w:rsid w:val="00166FC4"/>
    <w:rsid w:val="0016700D"/>
    <w:rsid w:val="00167068"/>
    <w:rsid w:val="0016708E"/>
    <w:rsid w:val="001670F1"/>
    <w:rsid w:val="00167300"/>
    <w:rsid w:val="00167330"/>
    <w:rsid w:val="001675D0"/>
    <w:rsid w:val="00167E0B"/>
    <w:rsid w:val="00167E1C"/>
    <w:rsid w:val="0017052F"/>
    <w:rsid w:val="00170A44"/>
    <w:rsid w:val="001710DF"/>
    <w:rsid w:val="0017185C"/>
    <w:rsid w:val="0017187E"/>
    <w:rsid w:val="0017197C"/>
    <w:rsid w:val="00171BA5"/>
    <w:rsid w:val="00172368"/>
    <w:rsid w:val="00172492"/>
    <w:rsid w:val="00172ABA"/>
    <w:rsid w:val="00172EF8"/>
    <w:rsid w:val="001734D7"/>
    <w:rsid w:val="001735A3"/>
    <w:rsid w:val="00173668"/>
    <w:rsid w:val="00173801"/>
    <w:rsid w:val="001738EE"/>
    <w:rsid w:val="00173BCF"/>
    <w:rsid w:val="00173C91"/>
    <w:rsid w:val="00173F21"/>
    <w:rsid w:val="001752A9"/>
    <w:rsid w:val="0017570D"/>
    <w:rsid w:val="001759A2"/>
    <w:rsid w:val="00175A6C"/>
    <w:rsid w:val="00175AB8"/>
    <w:rsid w:val="00175B30"/>
    <w:rsid w:val="001762AE"/>
    <w:rsid w:val="00176342"/>
    <w:rsid w:val="001767EB"/>
    <w:rsid w:val="00176857"/>
    <w:rsid w:val="0017696C"/>
    <w:rsid w:val="00176A20"/>
    <w:rsid w:val="00176A9A"/>
    <w:rsid w:val="00176D1E"/>
    <w:rsid w:val="00176E23"/>
    <w:rsid w:val="001776AD"/>
    <w:rsid w:val="001776D5"/>
    <w:rsid w:val="00177843"/>
    <w:rsid w:val="00177B89"/>
    <w:rsid w:val="00177D55"/>
    <w:rsid w:val="00180169"/>
    <w:rsid w:val="001803D8"/>
    <w:rsid w:val="00180410"/>
    <w:rsid w:val="00180599"/>
    <w:rsid w:val="001806E7"/>
    <w:rsid w:val="00180709"/>
    <w:rsid w:val="00180893"/>
    <w:rsid w:val="00180953"/>
    <w:rsid w:val="00180BED"/>
    <w:rsid w:val="00180C49"/>
    <w:rsid w:val="00181105"/>
    <w:rsid w:val="00181118"/>
    <w:rsid w:val="0018119F"/>
    <w:rsid w:val="001812A1"/>
    <w:rsid w:val="00182019"/>
    <w:rsid w:val="0018306A"/>
    <w:rsid w:val="00183283"/>
    <w:rsid w:val="00183289"/>
    <w:rsid w:val="00183358"/>
    <w:rsid w:val="00183376"/>
    <w:rsid w:val="00183484"/>
    <w:rsid w:val="00183C59"/>
    <w:rsid w:val="00184ABE"/>
    <w:rsid w:val="00184C17"/>
    <w:rsid w:val="00184DD4"/>
    <w:rsid w:val="001855DD"/>
    <w:rsid w:val="00185786"/>
    <w:rsid w:val="00185B93"/>
    <w:rsid w:val="0018655F"/>
    <w:rsid w:val="0018658B"/>
    <w:rsid w:val="00186864"/>
    <w:rsid w:val="00186DC2"/>
    <w:rsid w:val="00186E14"/>
    <w:rsid w:val="00187056"/>
    <w:rsid w:val="00187171"/>
    <w:rsid w:val="001872CB"/>
    <w:rsid w:val="001874A8"/>
    <w:rsid w:val="00187689"/>
    <w:rsid w:val="001876A8"/>
    <w:rsid w:val="001876F9"/>
    <w:rsid w:val="00187871"/>
    <w:rsid w:val="00187B1F"/>
    <w:rsid w:val="00187D64"/>
    <w:rsid w:val="00190115"/>
    <w:rsid w:val="00190386"/>
    <w:rsid w:val="00190563"/>
    <w:rsid w:val="0019060C"/>
    <w:rsid w:val="00190D90"/>
    <w:rsid w:val="001913B0"/>
    <w:rsid w:val="00191C5F"/>
    <w:rsid w:val="00191FA8"/>
    <w:rsid w:val="0019228A"/>
    <w:rsid w:val="001922CA"/>
    <w:rsid w:val="001924A3"/>
    <w:rsid w:val="001924B7"/>
    <w:rsid w:val="00192832"/>
    <w:rsid w:val="00192C40"/>
    <w:rsid w:val="00192F1F"/>
    <w:rsid w:val="001934CF"/>
    <w:rsid w:val="00193567"/>
    <w:rsid w:val="00193570"/>
    <w:rsid w:val="00193983"/>
    <w:rsid w:val="00193BF4"/>
    <w:rsid w:val="00194067"/>
    <w:rsid w:val="00194293"/>
    <w:rsid w:val="001943C1"/>
    <w:rsid w:val="0019458D"/>
    <w:rsid w:val="00194B25"/>
    <w:rsid w:val="00194C34"/>
    <w:rsid w:val="00195165"/>
    <w:rsid w:val="00195429"/>
    <w:rsid w:val="00195538"/>
    <w:rsid w:val="001957B4"/>
    <w:rsid w:val="001957CE"/>
    <w:rsid w:val="00195816"/>
    <w:rsid w:val="00196144"/>
    <w:rsid w:val="001962A8"/>
    <w:rsid w:val="0019653D"/>
    <w:rsid w:val="0019704D"/>
    <w:rsid w:val="001974B3"/>
    <w:rsid w:val="00197EC2"/>
    <w:rsid w:val="001A0160"/>
    <w:rsid w:val="001A04B1"/>
    <w:rsid w:val="001A067A"/>
    <w:rsid w:val="001A0748"/>
    <w:rsid w:val="001A0A0A"/>
    <w:rsid w:val="001A0BA5"/>
    <w:rsid w:val="001A0C1E"/>
    <w:rsid w:val="001A0CC4"/>
    <w:rsid w:val="001A1070"/>
    <w:rsid w:val="001A132E"/>
    <w:rsid w:val="001A1FF1"/>
    <w:rsid w:val="001A29CF"/>
    <w:rsid w:val="001A3002"/>
    <w:rsid w:val="001A3455"/>
    <w:rsid w:val="001A3C68"/>
    <w:rsid w:val="001A4703"/>
    <w:rsid w:val="001A4E28"/>
    <w:rsid w:val="001A4E35"/>
    <w:rsid w:val="001A51CF"/>
    <w:rsid w:val="001A5235"/>
    <w:rsid w:val="001A53BD"/>
    <w:rsid w:val="001A575F"/>
    <w:rsid w:val="001A5987"/>
    <w:rsid w:val="001A5A7A"/>
    <w:rsid w:val="001A61BF"/>
    <w:rsid w:val="001A626B"/>
    <w:rsid w:val="001A636C"/>
    <w:rsid w:val="001A66BF"/>
    <w:rsid w:val="001A68FC"/>
    <w:rsid w:val="001A6BD5"/>
    <w:rsid w:val="001A772A"/>
    <w:rsid w:val="001A77E3"/>
    <w:rsid w:val="001A7A96"/>
    <w:rsid w:val="001B0481"/>
    <w:rsid w:val="001B05C7"/>
    <w:rsid w:val="001B0BB2"/>
    <w:rsid w:val="001B0BE9"/>
    <w:rsid w:val="001B0C23"/>
    <w:rsid w:val="001B0C91"/>
    <w:rsid w:val="001B0D50"/>
    <w:rsid w:val="001B0FCB"/>
    <w:rsid w:val="001B13B2"/>
    <w:rsid w:val="001B18F1"/>
    <w:rsid w:val="001B1B87"/>
    <w:rsid w:val="001B1C44"/>
    <w:rsid w:val="001B20BC"/>
    <w:rsid w:val="001B21F6"/>
    <w:rsid w:val="001B2490"/>
    <w:rsid w:val="001B26F6"/>
    <w:rsid w:val="001B282A"/>
    <w:rsid w:val="001B2852"/>
    <w:rsid w:val="001B28D3"/>
    <w:rsid w:val="001B28DF"/>
    <w:rsid w:val="001B2CAA"/>
    <w:rsid w:val="001B2EAA"/>
    <w:rsid w:val="001B3DA7"/>
    <w:rsid w:val="001B4100"/>
    <w:rsid w:val="001B416A"/>
    <w:rsid w:val="001B4223"/>
    <w:rsid w:val="001B43F7"/>
    <w:rsid w:val="001B459D"/>
    <w:rsid w:val="001B4A55"/>
    <w:rsid w:val="001B4E81"/>
    <w:rsid w:val="001B54EE"/>
    <w:rsid w:val="001B54FD"/>
    <w:rsid w:val="001B55C3"/>
    <w:rsid w:val="001B59A6"/>
    <w:rsid w:val="001B5A9A"/>
    <w:rsid w:val="001B5EB1"/>
    <w:rsid w:val="001B6188"/>
    <w:rsid w:val="001B66E5"/>
    <w:rsid w:val="001B689E"/>
    <w:rsid w:val="001B68D2"/>
    <w:rsid w:val="001B7273"/>
    <w:rsid w:val="001B7575"/>
    <w:rsid w:val="001B7ADF"/>
    <w:rsid w:val="001C0587"/>
    <w:rsid w:val="001C0C27"/>
    <w:rsid w:val="001C107C"/>
    <w:rsid w:val="001C1363"/>
    <w:rsid w:val="001C1437"/>
    <w:rsid w:val="001C14A5"/>
    <w:rsid w:val="001C1921"/>
    <w:rsid w:val="001C1E73"/>
    <w:rsid w:val="001C2406"/>
    <w:rsid w:val="001C2407"/>
    <w:rsid w:val="001C2831"/>
    <w:rsid w:val="001C2872"/>
    <w:rsid w:val="001C2887"/>
    <w:rsid w:val="001C2A35"/>
    <w:rsid w:val="001C2F92"/>
    <w:rsid w:val="001C2FF4"/>
    <w:rsid w:val="001C308F"/>
    <w:rsid w:val="001C3715"/>
    <w:rsid w:val="001C3DA7"/>
    <w:rsid w:val="001C4F21"/>
    <w:rsid w:val="001C5431"/>
    <w:rsid w:val="001C5767"/>
    <w:rsid w:val="001C59A7"/>
    <w:rsid w:val="001C5A89"/>
    <w:rsid w:val="001C603F"/>
    <w:rsid w:val="001C67AA"/>
    <w:rsid w:val="001C68A3"/>
    <w:rsid w:val="001C69AA"/>
    <w:rsid w:val="001C6BD9"/>
    <w:rsid w:val="001C6CB1"/>
    <w:rsid w:val="001C703A"/>
    <w:rsid w:val="001C7088"/>
    <w:rsid w:val="001C71B6"/>
    <w:rsid w:val="001C71E2"/>
    <w:rsid w:val="001C734E"/>
    <w:rsid w:val="001C74F7"/>
    <w:rsid w:val="001C7525"/>
    <w:rsid w:val="001C776B"/>
    <w:rsid w:val="001C79B2"/>
    <w:rsid w:val="001C7AA8"/>
    <w:rsid w:val="001C7F67"/>
    <w:rsid w:val="001C7F85"/>
    <w:rsid w:val="001D00D1"/>
    <w:rsid w:val="001D0556"/>
    <w:rsid w:val="001D069A"/>
    <w:rsid w:val="001D0A59"/>
    <w:rsid w:val="001D0D31"/>
    <w:rsid w:val="001D0D68"/>
    <w:rsid w:val="001D1166"/>
    <w:rsid w:val="001D1CAC"/>
    <w:rsid w:val="001D1FAF"/>
    <w:rsid w:val="001D23CD"/>
    <w:rsid w:val="001D23FC"/>
    <w:rsid w:val="001D2539"/>
    <w:rsid w:val="001D25C6"/>
    <w:rsid w:val="001D2AE5"/>
    <w:rsid w:val="001D3070"/>
    <w:rsid w:val="001D32DA"/>
    <w:rsid w:val="001D3A36"/>
    <w:rsid w:val="001D3C0D"/>
    <w:rsid w:val="001D4107"/>
    <w:rsid w:val="001D4408"/>
    <w:rsid w:val="001D470E"/>
    <w:rsid w:val="001D4BCD"/>
    <w:rsid w:val="001D4BD5"/>
    <w:rsid w:val="001D4F4A"/>
    <w:rsid w:val="001D528D"/>
    <w:rsid w:val="001D53B6"/>
    <w:rsid w:val="001D5778"/>
    <w:rsid w:val="001D57DF"/>
    <w:rsid w:val="001D5BA1"/>
    <w:rsid w:val="001D5E63"/>
    <w:rsid w:val="001D60D7"/>
    <w:rsid w:val="001D6111"/>
    <w:rsid w:val="001D62FD"/>
    <w:rsid w:val="001D66F3"/>
    <w:rsid w:val="001D6ED7"/>
    <w:rsid w:val="001D7206"/>
    <w:rsid w:val="001D7212"/>
    <w:rsid w:val="001D7587"/>
    <w:rsid w:val="001D76BA"/>
    <w:rsid w:val="001D76C4"/>
    <w:rsid w:val="001D7789"/>
    <w:rsid w:val="001D7D2B"/>
    <w:rsid w:val="001E030C"/>
    <w:rsid w:val="001E03E0"/>
    <w:rsid w:val="001E085C"/>
    <w:rsid w:val="001E0B01"/>
    <w:rsid w:val="001E0B8F"/>
    <w:rsid w:val="001E0D18"/>
    <w:rsid w:val="001E1095"/>
    <w:rsid w:val="001E1376"/>
    <w:rsid w:val="001E1456"/>
    <w:rsid w:val="001E18B6"/>
    <w:rsid w:val="001E19A0"/>
    <w:rsid w:val="001E19B2"/>
    <w:rsid w:val="001E1D39"/>
    <w:rsid w:val="001E1ECB"/>
    <w:rsid w:val="001E2196"/>
    <w:rsid w:val="001E23C8"/>
    <w:rsid w:val="001E25CC"/>
    <w:rsid w:val="001E290F"/>
    <w:rsid w:val="001E29A6"/>
    <w:rsid w:val="001E373E"/>
    <w:rsid w:val="001E40E2"/>
    <w:rsid w:val="001E4476"/>
    <w:rsid w:val="001E4725"/>
    <w:rsid w:val="001E501E"/>
    <w:rsid w:val="001E503A"/>
    <w:rsid w:val="001E55BD"/>
    <w:rsid w:val="001E589B"/>
    <w:rsid w:val="001E5FD3"/>
    <w:rsid w:val="001E6092"/>
    <w:rsid w:val="001E62D7"/>
    <w:rsid w:val="001E635F"/>
    <w:rsid w:val="001E6669"/>
    <w:rsid w:val="001E6C1B"/>
    <w:rsid w:val="001E6F5F"/>
    <w:rsid w:val="001E7079"/>
    <w:rsid w:val="001E7108"/>
    <w:rsid w:val="001E7264"/>
    <w:rsid w:val="001E7851"/>
    <w:rsid w:val="001E7E35"/>
    <w:rsid w:val="001F0070"/>
    <w:rsid w:val="001F0351"/>
    <w:rsid w:val="001F05DB"/>
    <w:rsid w:val="001F0608"/>
    <w:rsid w:val="001F06F4"/>
    <w:rsid w:val="001F0EE7"/>
    <w:rsid w:val="001F11DB"/>
    <w:rsid w:val="001F11EB"/>
    <w:rsid w:val="001F13D8"/>
    <w:rsid w:val="001F17E9"/>
    <w:rsid w:val="001F1937"/>
    <w:rsid w:val="001F1A65"/>
    <w:rsid w:val="001F1B60"/>
    <w:rsid w:val="001F1D19"/>
    <w:rsid w:val="001F230D"/>
    <w:rsid w:val="001F2338"/>
    <w:rsid w:val="001F2870"/>
    <w:rsid w:val="001F28A5"/>
    <w:rsid w:val="001F2FA4"/>
    <w:rsid w:val="001F3418"/>
    <w:rsid w:val="001F4142"/>
    <w:rsid w:val="001F43FE"/>
    <w:rsid w:val="001F4495"/>
    <w:rsid w:val="001F449B"/>
    <w:rsid w:val="001F486B"/>
    <w:rsid w:val="001F4999"/>
    <w:rsid w:val="001F4D73"/>
    <w:rsid w:val="001F519D"/>
    <w:rsid w:val="001F53C8"/>
    <w:rsid w:val="001F53EF"/>
    <w:rsid w:val="001F5B3C"/>
    <w:rsid w:val="001F5BF9"/>
    <w:rsid w:val="001F62C1"/>
    <w:rsid w:val="001F69C2"/>
    <w:rsid w:val="001F6A9A"/>
    <w:rsid w:val="001F6E6F"/>
    <w:rsid w:val="001F6F08"/>
    <w:rsid w:val="001F7558"/>
    <w:rsid w:val="001F79AA"/>
    <w:rsid w:val="001F7BB7"/>
    <w:rsid w:val="001F7E22"/>
    <w:rsid w:val="00200716"/>
    <w:rsid w:val="00200AB1"/>
    <w:rsid w:val="0020113E"/>
    <w:rsid w:val="00201568"/>
    <w:rsid w:val="002015BA"/>
    <w:rsid w:val="002016DC"/>
    <w:rsid w:val="00201CDD"/>
    <w:rsid w:val="002023D1"/>
    <w:rsid w:val="002027AC"/>
    <w:rsid w:val="00202846"/>
    <w:rsid w:val="00202C2C"/>
    <w:rsid w:val="00202E1F"/>
    <w:rsid w:val="002031E5"/>
    <w:rsid w:val="00203386"/>
    <w:rsid w:val="002034E1"/>
    <w:rsid w:val="00203538"/>
    <w:rsid w:val="00203575"/>
    <w:rsid w:val="00203637"/>
    <w:rsid w:val="00203746"/>
    <w:rsid w:val="002037CC"/>
    <w:rsid w:val="002038B3"/>
    <w:rsid w:val="00203ED4"/>
    <w:rsid w:val="00204516"/>
    <w:rsid w:val="00204948"/>
    <w:rsid w:val="00204FB0"/>
    <w:rsid w:val="00205185"/>
    <w:rsid w:val="00205ACB"/>
    <w:rsid w:val="00205CB9"/>
    <w:rsid w:val="00205FA7"/>
    <w:rsid w:val="0020629A"/>
    <w:rsid w:val="00206A69"/>
    <w:rsid w:val="00206DD7"/>
    <w:rsid w:val="00207371"/>
    <w:rsid w:val="00207518"/>
    <w:rsid w:val="00207702"/>
    <w:rsid w:val="002078F6"/>
    <w:rsid w:val="00207930"/>
    <w:rsid w:val="00207CE7"/>
    <w:rsid w:val="00207E6B"/>
    <w:rsid w:val="00210067"/>
    <w:rsid w:val="002100E8"/>
    <w:rsid w:val="00210438"/>
    <w:rsid w:val="00210FB1"/>
    <w:rsid w:val="00211610"/>
    <w:rsid w:val="0021164D"/>
    <w:rsid w:val="0021191E"/>
    <w:rsid w:val="00211956"/>
    <w:rsid w:val="002121A7"/>
    <w:rsid w:val="002124BE"/>
    <w:rsid w:val="0021251B"/>
    <w:rsid w:val="00212947"/>
    <w:rsid w:val="002134B1"/>
    <w:rsid w:val="002136E5"/>
    <w:rsid w:val="0021377F"/>
    <w:rsid w:val="00213CDE"/>
    <w:rsid w:val="00213FCE"/>
    <w:rsid w:val="00214682"/>
    <w:rsid w:val="002147F3"/>
    <w:rsid w:val="0021494B"/>
    <w:rsid w:val="00214B84"/>
    <w:rsid w:val="002151EE"/>
    <w:rsid w:val="00215217"/>
    <w:rsid w:val="002154BA"/>
    <w:rsid w:val="002156D9"/>
    <w:rsid w:val="00215D8D"/>
    <w:rsid w:val="00215EA8"/>
    <w:rsid w:val="00215EB9"/>
    <w:rsid w:val="00215F3F"/>
    <w:rsid w:val="002160B0"/>
    <w:rsid w:val="00216C8F"/>
    <w:rsid w:val="00216D84"/>
    <w:rsid w:val="002170AF"/>
    <w:rsid w:val="00217462"/>
    <w:rsid w:val="002175F4"/>
    <w:rsid w:val="00217BAF"/>
    <w:rsid w:val="00217E31"/>
    <w:rsid w:val="00217FC9"/>
    <w:rsid w:val="002204CF"/>
    <w:rsid w:val="002206E6"/>
    <w:rsid w:val="00220F73"/>
    <w:rsid w:val="00221456"/>
    <w:rsid w:val="00221D6D"/>
    <w:rsid w:val="00221EA4"/>
    <w:rsid w:val="00221F73"/>
    <w:rsid w:val="002220B5"/>
    <w:rsid w:val="00222791"/>
    <w:rsid w:val="00222992"/>
    <w:rsid w:val="00222F1C"/>
    <w:rsid w:val="002239E9"/>
    <w:rsid w:val="00223FD1"/>
    <w:rsid w:val="0022463A"/>
    <w:rsid w:val="00224945"/>
    <w:rsid w:val="00224C60"/>
    <w:rsid w:val="00224E59"/>
    <w:rsid w:val="00225454"/>
    <w:rsid w:val="0022558C"/>
    <w:rsid w:val="002255C2"/>
    <w:rsid w:val="0022588F"/>
    <w:rsid w:val="00225E5E"/>
    <w:rsid w:val="00225EEF"/>
    <w:rsid w:val="00225FA3"/>
    <w:rsid w:val="002260F1"/>
    <w:rsid w:val="00226201"/>
    <w:rsid w:val="00226D64"/>
    <w:rsid w:val="00226DCE"/>
    <w:rsid w:val="00226F6F"/>
    <w:rsid w:val="0022731D"/>
    <w:rsid w:val="00227BD0"/>
    <w:rsid w:val="00230158"/>
    <w:rsid w:val="0023036B"/>
    <w:rsid w:val="00230933"/>
    <w:rsid w:val="002309AD"/>
    <w:rsid w:val="00230D6E"/>
    <w:rsid w:val="00230E20"/>
    <w:rsid w:val="0023125B"/>
    <w:rsid w:val="00231309"/>
    <w:rsid w:val="00231397"/>
    <w:rsid w:val="0023189E"/>
    <w:rsid w:val="00231BE6"/>
    <w:rsid w:val="00232155"/>
    <w:rsid w:val="00232351"/>
    <w:rsid w:val="00232370"/>
    <w:rsid w:val="00232487"/>
    <w:rsid w:val="002324D3"/>
    <w:rsid w:val="002328B1"/>
    <w:rsid w:val="00232C78"/>
    <w:rsid w:val="0023360E"/>
    <w:rsid w:val="002339E3"/>
    <w:rsid w:val="00233BC4"/>
    <w:rsid w:val="00233CCE"/>
    <w:rsid w:val="00233E61"/>
    <w:rsid w:val="0023401D"/>
    <w:rsid w:val="002340DB"/>
    <w:rsid w:val="00234143"/>
    <w:rsid w:val="0023451A"/>
    <w:rsid w:val="00234745"/>
    <w:rsid w:val="00234769"/>
    <w:rsid w:val="0023540C"/>
    <w:rsid w:val="002357B2"/>
    <w:rsid w:val="00235B63"/>
    <w:rsid w:val="00235E3E"/>
    <w:rsid w:val="00235FE9"/>
    <w:rsid w:val="002360C7"/>
    <w:rsid w:val="00236226"/>
    <w:rsid w:val="00236245"/>
    <w:rsid w:val="00236570"/>
    <w:rsid w:val="002365CC"/>
    <w:rsid w:val="00236717"/>
    <w:rsid w:val="00236789"/>
    <w:rsid w:val="0023686F"/>
    <w:rsid w:val="00236ACC"/>
    <w:rsid w:val="00236BE7"/>
    <w:rsid w:val="00236C9D"/>
    <w:rsid w:val="00237075"/>
    <w:rsid w:val="002374BB"/>
    <w:rsid w:val="002374C1"/>
    <w:rsid w:val="002377ED"/>
    <w:rsid w:val="00237B29"/>
    <w:rsid w:val="00237FD3"/>
    <w:rsid w:val="0024009F"/>
    <w:rsid w:val="00240278"/>
    <w:rsid w:val="00240329"/>
    <w:rsid w:val="00240A30"/>
    <w:rsid w:val="00240AE1"/>
    <w:rsid w:val="0024100D"/>
    <w:rsid w:val="002411AF"/>
    <w:rsid w:val="002413CB"/>
    <w:rsid w:val="00241649"/>
    <w:rsid w:val="00241FC7"/>
    <w:rsid w:val="0024205C"/>
    <w:rsid w:val="002421E2"/>
    <w:rsid w:val="002424AA"/>
    <w:rsid w:val="002427A5"/>
    <w:rsid w:val="002428DE"/>
    <w:rsid w:val="00242962"/>
    <w:rsid w:val="00242EE4"/>
    <w:rsid w:val="002430E4"/>
    <w:rsid w:val="0024313E"/>
    <w:rsid w:val="002434B1"/>
    <w:rsid w:val="00243A50"/>
    <w:rsid w:val="0024400A"/>
    <w:rsid w:val="002449A2"/>
    <w:rsid w:val="002449DE"/>
    <w:rsid w:val="00244FC1"/>
    <w:rsid w:val="002450DE"/>
    <w:rsid w:val="00245135"/>
    <w:rsid w:val="00245744"/>
    <w:rsid w:val="00245855"/>
    <w:rsid w:val="00245A67"/>
    <w:rsid w:val="00245B68"/>
    <w:rsid w:val="00246213"/>
    <w:rsid w:val="00246597"/>
    <w:rsid w:val="0024665D"/>
    <w:rsid w:val="00246C9A"/>
    <w:rsid w:val="00246D83"/>
    <w:rsid w:val="00246FD9"/>
    <w:rsid w:val="002473B6"/>
    <w:rsid w:val="0024749F"/>
    <w:rsid w:val="002477E0"/>
    <w:rsid w:val="002478FB"/>
    <w:rsid w:val="0024795E"/>
    <w:rsid w:val="00247AC4"/>
    <w:rsid w:val="00247B0A"/>
    <w:rsid w:val="00247B84"/>
    <w:rsid w:val="00250A07"/>
    <w:rsid w:val="00250A7B"/>
    <w:rsid w:val="00250D6B"/>
    <w:rsid w:val="00250F7F"/>
    <w:rsid w:val="00251272"/>
    <w:rsid w:val="00251471"/>
    <w:rsid w:val="0025180E"/>
    <w:rsid w:val="00251851"/>
    <w:rsid w:val="00251997"/>
    <w:rsid w:val="00251B9B"/>
    <w:rsid w:val="00251C42"/>
    <w:rsid w:val="00251F60"/>
    <w:rsid w:val="00251F90"/>
    <w:rsid w:val="0025300E"/>
    <w:rsid w:val="00253338"/>
    <w:rsid w:val="002535C6"/>
    <w:rsid w:val="00253847"/>
    <w:rsid w:val="00254606"/>
    <w:rsid w:val="00254B37"/>
    <w:rsid w:val="00254CB7"/>
    <w:rsid w:val="00255653"/>
    <w:rsid w:val="002556B3"/>
    <w:rsid w:val="00255FEB"/>
    <w:rsid w:val="00256053"/>
    <w:rsid w:val="002560DE"/>
    <w:rsid w:val="00256112"/>
    <w:rsid w:val="00256546"/>
    <w:rsid w:val="002565B4"/>
    <w:rsid w:val="002566A2"/>
    <w:rsid w:val="0025679D"/>
    <w:rsid w:val="00256890"/>
    <w:rsid w:val="00256F7E"/>
    <w:rsid w:val="0025707A"/>
    <w:rsid w:val="00257208"/>
    <w:rsid w:val="00257385"/>
    <w:rsid w:val="002573B4"/>
    <w:rsid w:val="002573DF"/>
    <w:rsid w:val="00257598"/>
    <w:rsid w:val="0025763E"/>
    <w:rsid w:val="00257A72"/>
    <w:rsid w:val="00257B62"/>
    <w:rsid w:val="00257D3D"/>
    <w:rsid w:val="00257DB7"/>
    <w:rsid w:val="00257E01"/>
    <w:rsid w:val="0026021E"/>
    <w:rsid w:val="002602DF"/>
    <w:rsid w:val="002603B8"/>
    <w:rsid w:val="002603CF"/>
    <w:rsid w:val="00260F5D"/>
    <w:rsid w:val="0026105F"/>
    <w:rsid w:val="002616B3"/>
    <w:rsid w:val="0026173A"/>
    <w:rsid w:val="00261993"/>
    <w:rsid w:val="00261D93"/>
    <w:rsid w:val="002621C3"/>
    <w:rsid w:val="002623CC"/>
    <w:rsid w:val="0026276D"/>
    <w:rsid w:val="002628A3"/>
    <w:rsid w:val="00262A05"/>
    <w:rsid w:val="00262AA2"/>
    <w:rsid w:val="00262B7A"/>
    <w:rsid w:val="00262D1B"/>
    <w:rsid w:val="0026317F"/>
    <w:rsid w:val="00263460"/>
    <w:rsid w:val="002634F0"/>
    <w:rsid w:val="00263904"/>
    <w:rsid w:val="00263975"/>
    <w:rsid w:val="00263A29"/>
    <w:rsid w:val="0026436B"/>
    <w:rsid w:val="00264859"/>
    <w:rsid w:val="00264A7C"/>
    <w:rsid w:val="00264CA7"/>
    <w:rsid w:val="00264E9D"/>
    <w:rsid w:val="00265320"/>
    <w:rsid w:val="00265335"/>
    <w:rsid w:val="002653CB"/>
    <w:rsid w:val="002655CD"/>
    <w:rsid w:val="002657C6"/>
    <w:rsid w:val="00265E21"/>
    <w:rsid w:val="00265E4C"/>
    <w:rsid w:val="002662BC"/>
    <w:rsid w:val="0026647A"/>
    <w:rsid w:val="0026665C"/>
    <w:rsid w:val="00266A3A"/>
    <w:rsid w:val="00266C92"/>
    <w:rsid w:val="002676D8"/>
    <w:rsid w:val="002679CF"/>
    <w:rsid w:val="00267A90"/>
    <w:rsid w:val="00270176"/>
    <w:rsid w:val="00270360"/>
    <w:rsid w:val="00270412"/>
    <w:rsid w:val="00270881"/>
    <w:rsid w:val="0027108B"/>
    <w:rsid w:val="002714A0"/>
    <w:rsid w:val="00271DDD"/>
    <w:rsid w:val="002727AB"/>
    <w:rsid w:val="00272823"/>
    <w:rsid w:val="002728FC"/>
    <w:rsid w:val="0027293B"/>
    <w:rsid w:val="00272F0C"/>
    <w:rsid w:val="002730BB"/>
    <w:rsid w:val="0027355B"/>
    <w:rsid w:val="00273571"/>
    <w:rsid w:val="002736D7"/>
    <w:rsid w:val="0027372B"/>
    <w:rsid w:val="0027398D"/>
    <w:rsid w:val="002740FD"/>
    <w:rsid w:val="0027430B"/>
    <w:rsid w:val="00274C48"/>
    <w:rsid w:val="00275036"/>
    <w:rsid w:val="00275218"/>
    <w:rsid w:val="002753D2"/>
    <w:rsid w:val="00275531"/>
    <w:rsid w:val="002755D8"/>
    <w:rsid w:val="00276016"/>
    <w:rsid w:val="0027604D"/>
    <w:rsid w:val="002763B9"/>
    <w:rsid w:val="002764F6"/>
    <w:rsid w:val="00276CB9"/>
    <w:rsid w:val="002770E5"/>
    <w:rsid w:val="00277507"/>
    <w:rsid w:val="002775F2"/>
    <w:rsid w:val="002778F9"/>
    <w:rsid w:val="00277C65"/>
    <w:rsid w:val="00280411"/>
    <w:rsid w:val="00280746"/>
    <w:rsid w:val="00280798"/>
    <w:rsid w:val="00280811"/>
    <w:rsid w:val="002808F6"/>
    <w:rsid w:val="00280911"/>
    <w:rsid w:val="00280A92"/>
    <w:rsid w:val="00280B9D"/>
    <w:rsid w:val="00280E33"/>
    <w:rsid w:val="00281282"/>
    <w:rsid w:val="0028150B"/>
    <w:rsid w:val="002816D0"/>
    <w:rsid w:val="002817F0"/>
    <w:rsid w:val="00281A97"/>
    <w:rsid w:val="00282093"/>
    <w:rsid w:val="00282553"/>
    <w:rsid w:val="00282AA5"/>
    <w:rsid w:val="00282E02"/>
    <w:rsid w:val="002842E1"/>
    <w:rsid w:val="00284C61"/>
    <w:rsid w:val="00284DB8"/>
    <w:rsid w:val="00284F72"/>
    <w:rsid w:val="00284F94"/>
    <w:rsid w:val="0028502B"/>
    <w:rsid w:val="002851CD"/>
    <w:rsid w:val="00285384"/>
    <w:rsid w:val="0028548F"/>
    <w:rsid w:val="002855AA"/>
    <w:rsid w:val="00285E85"/>
    <w:rsid w:val="002860D6"/>
    <w:rsid w:val="002865C5"/>
    <w:rsid w:val="00286963"/>
    <w:rsid w:val="00286C63"/>
    <w:rsid w:val="00286D0C"/>
    <w:rsid w:val="00286DE7"/>
    <w:rsid w:val="00287072"/>
    <w:rsid w:val="00287A78"/>
    <w:rsid w:val="002900AA"/>
    <w:rsid w:val="0029067F"/>
    <w:rsid w:val="00291AB2"/>
    <w:rsid w:val="00291AC4"/>
    <w:rsid w:val="0029203E"/>
    <w:rsid w:val="002921CB"/>
    <w:rsid w:val="002923E7"/>
    <w:rsid w:val="0029284D"/>
    <w:rsid w:val="00292A85"/>
    <w:rsid w:val="00292BAA"/>
    <w:rsid w:val="00292EFD"/>
    <w:rsid w:val="0029319A"/>
    <w:rsid w:val="00293293"/>
    <w:rsid w:val="0029330F"/>
    <w:rsid w:val="002935DE"/>
    <w:rsid w:val="00293AFD"/>
    <w:rsid w:val="00293EE6"/>
    <w:rsid w:val="00294A66"/>
    <w:rsid w:val="00294B0C"/>
    <w:rsid w:val="00294D06"/>
    <w:rsid w:val="00295055"/>
    <w:rsid w:val="00295105"/>
    <w:rsid w:val="002959FC"/>
    <w:rsid w:val="00295A19"/>
    <w:rsid w:val="00295B70"/>
    <w:rsid w:val="00295B89"/>
    <w:rsid w:val="00295F1E"/>
    <w:rsid w:val="002963E5"/>
    <w:rsid w:val="0029692B"/>
    <w:rsid w:val="00296931"/>
    <w:rsid w:val="00296B85"/>
    <w:rsid w:val="00296BA8"/>
    <w:rsid w:val="00296EA3"/>
    <w:rsid w:val="00296F9F"/>
    <w:rsid w:val="0029729F"/>
    <w:rsid w:val="002972C2"/>
    <w:rsid w:val="00297315"/>
    <w:rsid w:val="00297599"/>
    <w:rsid w:val="0029787F"/>
    <w:rsid w:val="00297C00"/>
    <w:rsid w:val="002A08F1"/>
    <w:rsid w:val="002A0954"/>
    <w:rsid w:val="002A0AA4"/>
    <w:rsid w:val="002A0DE7"/>
    <w:rsid w:val="002A0E1E"/>
    <w:rsid w:val="002A0E33"/>
    <w:rsid w:val="002A1001"/>
    <w:rsid w:val="002A11A9"/>
    <w:rsid w:val="002A1283"/>
    <w:rsid w:val="002A1602"/>
    <w:rsid w:val="002A20DA"/>
    <w:rsid w:val="002A292A"/>
    <w:rsid w:val="002A2984"/>
    <w:rsid w:val="002A2B02"/>
    <w:rsid w:val="002A2E0A"/>
    <w:rsid w:val="002A2E13"/>
    <w:rsid w:val="002A3466"/>
    <w:rsid w:val="002A36D9"/>
    <w:rsid w:val="002A3F85"/>
    <w:rsid w:val="002A4003"/>
    <w:rsid w:val="002A4315"/>
    <w:rsid w:val="002A45C8"/>
    <w:rsid w:val="002A484A"/>
    <w:rsid w:val="002A4E6A"/>
    <w:rsid w:val="002A50B5"/>
    <w:rsid w:val="002A597E"/>
    <w:rsid w:val="002A5B32"/>
    <w:rsid w:val="002A5E33"/>
    <w:rsid w:val="002A650E"/>
    <w:rsid w:val="002A692F"/>
    <w:rsid w:val="002A72E9"/>
    <w:rsid w:val="002A7389"/>
    <w:rsid w:val="002A7400"/>
    <w:rsid w:val="002A741D"/>
    <w:rsid w:val="002A7935"/>
    <w:rsid w:val="002B0367"/>
    <w:rsid w:val="002B039D"/>
    <w:rsid w:val="002B04EE"/>
    <w:rsid w:val="002B05A8"/>
    <w:rsid w:val="002B05D2"/>
    <w:rsid w:val="002B0692"/>
    <w:rsid w:val="002B0AD5"/>
    <w:rsid w:val="002B0DCB"/>
    <w:rsid w:val="002B10B1"/>
    <w:rsid w:val="002B12B8"/>
    <w:rsid w:val="002B12D8"/>
    <w:rsid w:val="002B15D8"/>
    <w:rsid w:val="002B18F0"/>
    <w:rsid w:val="002B1F3F"/>
    <w:rsid w:val="002B21D4"/>
    <w:rsid w:val="002B2499"/>
    <w:rsid w:val="002B2639"/>
    <w:rsid w:val="002B26CF"/>
    <w:rsid w:val="002B2A19"/>
    <w:rsid w:val="002B2A6D"/>
    <w:rsid w:val="002B2A7B"/>
    <w:rsid w:val="002B2AC6"/>
    <w:rsid w:val="002B2FE4"/>
    <w:rsid w:val="002B32CA"/>
    <w:rsid w:val="002B3304"/>
    <w:rsid w:val="002B336D"/>
    <w:rsid w:val="002B3517"/>
    <w:rsid w:val="002B367F"/>
    <w:rsid w:val="002B38E6"/>
    <w:rsid w:val="002B3D4D"/>
    <w:rsid w:val="002B3E36"/>
    <w:rsid w:val="002B3FFC"/>
    <w:rsid w:val="002B4A40"/>
    <w:rsid w:val="002B4A70"/>
    <w:rsid w:val="002B4AC3"/>
    <w:rsid w:val="002B4DD1"/>
    <w:rsid w:val="002B578F"/>
    <w:rsid w:val="002B5912"/>
    <w:rsid w:val="002B5A1F"/>
    <w:rsid w:val="002B5EC3"/>
    <w:rsid w:val="002B63A1"/>
    <w:rsid w:val="002B689C"/>
    <w:rsid w:val="002B69EC"/>
    <w:rsid w:val="002B6D00"/>
    <w:rsid w:val="002B7276"/>
    <w:rsid w:val="002B7304"/>
    <w:rsid w:val="002B75F5"/>
    <w:rsid w:val="002B7CBB"/>
    <w:rsid w:val="002B7D3B"/>
    <w:rsid w:val="002C056B"/>
    <w:rsid w:val="002C056D"/>
    <w:rsid w:val="002C076A"/>
    <w:rsid w:val="002C08A7"/>
    <w:rsid w:val="002C09E8"/>
    <w:rsid w:val="002C0B7A"/>
    <w:rsid w:val="002C10A9"/>
    <w:rsid w:val="002C121E"/>
    <w:rsid w:val="002C1257"/>
    <w:rsid w:val="002C127F"/>
    <w:rsid w:val="002C15AD"/>
    <w:rsid w:val="002C1613"/>
    <w:rsid w:val="002C185A"/>
    <w:rsid w:val="002C1C22"/>
    <w:rsid w:val="002C1DDE"/>
    <w:rsid w:val="002C2321"/>
    <w:rsid w:val="002C24B3"/>
    <w:rsid w:val="002C252C"/>
    <w:rsid w:val="002C27AC"/>
    <w:rsid w:val="002C2893"/>
    <w:rsid w:val="002C2E85"/>
    <w:rsid w:val="002C33EB"/>
    <w:rsid w:val="002C35AF"/>
    <w:rsid w:val="002C3738"/>
    <w:rsid w:val="002C395A"/>
    <w:rsid w:val="002C3F68"/>
    <w:rsid w:val="002C488B"/>
    <w:rsid w:val="002C4FE4"/>
    <w:rsid w:val="002C5175"/>
    <w:rsid w:val="002C51B9"/>
    <w:rsid w:val="002C522B"/>
    <w:rsid w:val="002C5243"/>
    <w:rsid w:val="002C57C2"/>
    <w:rsid w:val="002C5C3D"/>
    <w:rsid w:val="002C5CA5"/>
    <w:rsid w:val="002C5D45"/>
    <w:rsid w:val="002C5FE8"/>
    <w:rsid w:val="002C6243"/>
    <w:rsid w:val="002C656A"/>
    <w:rsid w:val="002C6AC3"/>
    <w:rsid w:val="002C6BF9"/>
    <w:rsid w:val="002C6F58"/>
    <w:rsid w:val="002C708F"/>
    <w:rsid w:val="002C77FD"/>
    <w:rsid w:val="002D07F0"/>
    <w:rsid w:val="002D0A2A"/>
    <w:rsid w:val="002D0E50"/>
    <w:rsid w:val="002D0E69"/>
    <w:rsid w:val="002D12EC"/>
    <w:rsid w:val="002D1C43"/>
    <w:rsid w:val="002D1DC3"/>
    <w:rsid w:val="002D211B"/>
    <w:rsid w:val="002D26FA"/>
    <w:rsid w:val="002D2876"/>
    <w:rsid w:val="002D3145"/>
    <w:rsid w:val="002D3179"/>
    <w:rsid w:val="002D32A4"/>
    <w:rsid w:val="002D39E8"/>
    <w:rsid w:val="002D3F27"/>
    <w:rsid w:val="002D3FC8"/>
    <w:rsid w:val="002D3FEA"/>
    <w:rsid w:val="002D43F6"/>
    <w:rsid w:val="002D442E"/>
    <w:rsid w:val="002D4518"/>
    <w:rsid w:val="002D4962"/>
    <w:rsid w:val="002D4CE9"/>
    <w:rsid w:val="002D5807"/>
    <w:rsid w:val="002D5F21"/>
    <w:rsid w:val="002D5FDB"/>
    <w:rsid w:val="002D65E8"/>
    <w:rsid w:val="002D66F8"/>
    <w:rsid w:val="002D699C"/>
    <w:rsid w:val="002D6A33"/>
    <w:rsid w:val="002D6B8C"/>
    <w:rsid w:val="002D6BF9"/>
    <w:rsid w:val="002D70A5"/>
    <w:rsid w:val="002D70E1"/>
    <w:rsid w:val="002D73E4"/>
    <w:rsid w:val="002D755E"/>
    <w:rsid w:val="002D75AF"/>
    <w:rsid w:val="002D7B9D"/>
    <w:rsid w:val="002D7CEF"/>
    <w:rsid w:val="002E053E"/>
    <w:rsid w:val="002E0DE6"/>
    <w:rsid w:val="002E0EA1"/>
    <w:rsid w:val="002E14A5"/>
    <w:rsid w:val="002E1539"/>
    <w:rsid w:val="002E1B52"/>
    <w:rsid w:val="002E1CE5"/>
    <w:rsid w:val="002E214C"/>
    <w:rsid w:val="002E2556"/>
    <w:rsid w:val="002E286F"/>
    <w:rsid w:val="002E2BDE"/>
    <w:rsid w:val="002E2C06"/>
    <w:rsid w:val="002E2CDB"/>
    <w:rsid w:val="002E2DD2"/>
    <w:rsid w:val="002E2E1E"/>
    <w:rsid w:val="002E2E9C"/>
    <w:rsid w:val="002E33BF"/>
    <w:rsid w:val="002E3ACE"/>
    <w:rsid w:val="002E3B9F"/>
    <w:rsid w:val="002E3D54"/>
    <w:rsid w:val="002E3DA2"/>
    <w:rsid w:val="002E4073"/>
    <w:rsid w:val="002E4EA1"/>
    <w:rsid w:val="002E501E"/>
    <w:rsid w:val="002E5565"/>
    <w:rsid w:val="002E6256"/>
    <w:rsid w:val="002E6683"/>
    <w:rsid w:val="002E689D"/>
    <w:rsid w:val="002E6AA6"/>
    <w:rsid w:val="002E6D97"/>
    <w:rsid w:val="002E728F"/>
    <w:rsid w:val="002E758E"/>
    <w:rsid w:val="002E79B6"/>
    <w:rsid w:val="002E7AA6"/>
    <w:rsid w:val="002E7F1E"/>
    <w:rsid w:val="002F014D"/>
    <w:rsid w:val="002F0295"/>
    <w:rsid w:val="002F0401"/>
    <w:rsid w:val="002F0465"/>
    <w:rsid w:val="002F0498"/>
    <w:rsid w:val="002F04F2"/>
    <w:rsid w:val="002F05E7"/>
    <w:rsid w:val="002F1005"/>
    <w:rsid w:val="002F175B"/>
    <w:rsid w:val="002F1769"/>
    <w:rsid w:val="002F1AC4"/>
    <w:rsid w:val="002F1CF7"/>
    <w:rsid w:val="002F1D95"/>
    <w:rsid w:val="002F25D2"/>
    <w:rsid w:val="002F2978"/>
    <w:rsid w:val="002F2C52"/>
    <w:rsid w:val="002F30D5"/>
    <w:rsid w:val="002F37B6"/>
    <w:rsid w:val="002F3F0D"/>
    <w:rsid w:val="002F42F6"/>
    <w:rsid w:val="002F4340"/>
    <w:rsid w:val="002F4433"/>
    <w:rsid w:val="002F4489"/>
    <w:rsid w:val="002F4523"/>
    <w:rsid w:val="002F46B5"/>
    <w:rsid w:val="002F49AA"/>
    <w:rsid w:val="002F4EC3"/>
    <w:rsid w:val="002F5265"/>
    <w:rsid w:val="002F561C"/>
    <w:rsid w:val="002F56A2"/>
    <w:rsid w:val="002F597B"/>
    <w:rsid w:val="002F5A78"/>
    <w:rsid w:val="002F5B34"/>
    <w:rsid w:val="002F60C1"/>
    <w:rsid w:val="002F6326"/>
    <w:rsid w:val="002F659D"/>
    <w:rsid w:val="002F680E"/>
    <w:rsid w:val="002F686F"/>
    <w:rsid w:val="002F693A"/>
    <w:rsid w:val="002F6A7D"/>
    <w:rsid w:val="002F6BCA"/>
    <w:rsid w:val="002F6F5C"/>
    <w:rsid w:val="002F6FE9"/>
    <w:rsid w:val="002F7606"/>
    <w:rsid w:val="002F7A1F"/>
    <w:rsid w:val="002F7A3E"/>
    <w:rsid w:val="002F7B6F"/>
    <w:rsid w:val="002F7E15"/>
    <w:rsid w:val="00300165"/>
    <w:rsid w:val="003001E4"/>
    <w:rsid w:val="00300222"/>
    <w:rsid w:val="003002FB"/>
    <w:rsid w:val="00300499"/>
    <w:rsid w:val="003004E7"/>
    <w:rsid w:val="0030051C"/>
    <w:rsid w:val="00300560"/>
    <w:rsid w:val="00300A82"/>
    <w:rsid w:val="00300D53"/>
    <w:rsid w:val="00300D68"/>
    <w:rsid w:val="00301151"/>
    <w:rsid w:val="00301196"/>
    <w:rsid w:val="003013A4"/>
    <w:rsid w:val="00301695"/>
    <w:rsid w:val="00301857"/>
    <w:rsid w:val="00301AF4"/>
    <w:rsid w:val="00301DE2"/>
    <w:rsid w:val="00302104"/>
    <w:rsid w:val="003027C5"/>
    <w:rsid w:val="00302D72"/>
    <w:rsid w:val="00302E17"/>
    <w:rsid w:val="00302FCE"/>
    <w:rsid w:val="003031C5"/>
    <w:rsid w:val="00303E5C"/>
    <w:rsid w:val="00303FE8"/>
    <w:rsid w:val="003040BE"/>
    <w:rsid w:val="00304294"/>
    <w:rsid w:val="0030432F"/>
    <w:rsid w:val="003046D7"/>
    <w:rsid w:val="00304AE3"/>
    <w:rsid w:val="00304DE9"/>
    <w:rsid w:val="00304F43"/>
    <w:rsid w:val="0030511A"/>
    <w:rsid w:val="003053C0"/>
    <w:rsid w:val="003056CF"/>
    <w:rsid w:val="003057CA"/>
    <w:rsid w:val="00305A9D"/>
    <w:rsid w:val="003060E8"/>
    <w:rsid w:val="003063B0"/>
    <w:rsid w:val="00306617"/>
    <w:rsid w:val="003068FD"/>
    <w:rsid w:val="00306A68"/>
    <w:rsid w:val="00306D8C"/>
    <w:rsid w:val="00306EC1"/>
    <w:rsid w:val="003071E4"/>
    <w:rsid w:val="003073E4"/>
    <w:rsid w:val="003079C0"/>
    <w:rsid w:val="00307DE7"/>
    <w:rsid w:val="00307E54"/>
    <w:rsid w:val="00307E5D"/>
    <w:rsid w:val="003102B7"/>
    <w:rsid w:val="003105B2"/>
    <w:rsid w:val="00310CB7"/>
    <w:rsid w:val="00310E91"/>
    <w:rsid w:val="00311108"/>
    <w:rsid w:val="003111F4"/>
    <w:rsid w:val="00311251"/>
    <w:rsid w:val="003114F5"/>
    <w:rsid w:val="00311E09"/>
    <w:rsid w:val="00312A8A"/>
    <w:rsid w:val="00312E4A"/>
    <w:rsid w:val="00312F87"/>
    <w:rsid w:val="00313438"/>
    <w:rsid w:val="00313BB1"/>
    <w:rsid w:val="00313BC2"/>
    <w:rsid w:val="00313DC5"/>
    <w:rsid w:val="00313F44"/>
    <w:rsid w:val="00314105"/>
    <w:rsid w:val="0031416E"/>
    <w:rsid w:val="0031440E"/>
    <w:rsid w:val="0031467E"/>
    <w:rsid w:val="003148D8"/>
    <w:rsid w:val="00314A45"/>
    <w:rsid w:val="00314BCF"/>
    <w:rsid w:val="00314F77"/>
    <w:rsid w:val="00314FA5"/>
    <w:rsid w:val="00315643"/>
    <w:rsid w:val="0031584F"/>
    <w:rsid w:val="00315D0C"/>
    <w:rsid w:val="00315ED1"/>
    <w:rsid w:val="00315F3F"/>
    <w:rsid w:val="003165A1"/>
    <w:rsid w:val="00316B76"/>
    <w:rsid w:val="00316C4D"/>
    <w:rsid w:val="0031711D"/>
    <w:rsid w:val="00317352"/>
    <w:rsid w:val="003173B3"/>
    <w:rsid w:val="003173E9"/>
    <w:rsid w:val="00317440"/>
    <w:rsid w:val="00317525"/>
    <w:rsid w:val="003178E1"/>
    <w:rsid w:val="0031793D"/>
    <w:rsid w:val="00317FEE"/>
    <w:rsid w:val="00320131"/>
    <w:rsid w:val="00320173"/>
    <w:rsid w:val="00320418"/>
    <w:rsid w:val="0032067D"/>
    <w:rsid w:val="00320844"/>
    <w:rsid w:val="00320FA7"/>
    <w:rsid w:val="003212F0"/>
    <w:rsid w:val="0032174D"/>
    <w:rsid w:val="00321A17"/>
    <w:rsid w:val="00321C01"/>
    <w:rsid w:val="0032226A"/>
    <w:rsid w:val="003223C2"/>
    <w:rsid w:val="00322977"/>
    <w:rsid w:val="00322E88"/>
    <w:rsid w:val="0032326A"/>
    <w:rsid w:val="00323787"/>
    <w:rsid w:val="00323CCB"/>
    <w:rsid w:val="00323FFE"/>
    <w:rsid w:val="00324075"/>
    <w:rsid w:val="003242AF"/>
    <w:rsid w:val="00324570"/>
    <w:rsid w:val="003248BA"/>
    <w:rsid w:val="003248E0"/>
    <w:rsid w:val="00324DD8"/>
    <w:rsid w:val="0032568F"/>
    <w:rsid w:val="003256D9"/>
    <w:rsid w:val="00325BE5"/>
    <w:rsid w:val="00325E5C"/>
    <w:rsid w:val="003261AA"/>
    <w:rsid w:val="00326D0E"/>
    <w:rsid w:val="00326DD9"/>
    <w:rsid w:val="00326EE6"/>
    <w:rsid w:val="00327106"/>
    <w:rsid w:val="00327766"/>
    <w:rsid w:val="00327BB6"/>
    <w:rsid w:val="00327F39"/>
    <w:rsid w:val="00327F92"/>
    <w:rsid w:val="003303F3"/>
    <w:rsid w:val="00330714"/>
    <w:rsid w:val="00330AC4"/>
    <w:rsid w:val="00330BD6"/>
    <w:rsid w:val="00330D09"/>
    <w:rsid w:val="00330E94"/>
    <w:rsid w:val="00331A16"/>
    <w:rsid w:val="00331A7A"/>
    <w:rsid w:val="00331D00"/>
    <w:rsid w:val="00331D2E"/>
    <w:rsid w:val="003324ED"/>
    <w:rsid w:val="003324F2"/>
    <w:rsid w:val="003325E2"/>
    <w:rsid w:val="0033268A"/>
    <w:rsid w:val="003327C3"/>
    <w:rsid w:val="00332C97"/>
    <w:rsid w:val="00332E94"/>
    <w:rsid w:val="003330D8"/>
    <w:rsid w:val="00333522"/>
    <w:rsid w:val="0033363B"/>
    <w:rsid w:val="003339F4"/>
    <w:rsid w:val="00333ABB"/>
    <w:rsid w:val="00333DFC"/>
    <w:rsid w:val="0033491D"/>
    <w:rsid w:val="00334AE5"/>
    <w:rsid w:val="00334CC4"/>
    <w:rsid w:val="003353E3"/>
    <w:rsid w:val="00335603"/>
    <w:rsid w:val="003357E4"/>
    <w:rsid w:val="003358CD"/>
    <w:rsid w:val="00335B43"/>
    <w:rsid w:val="00336188"/>
    <w:rsid w:val="00336806"/>
    <w:rsid w:val="00336C7C"/>
    <w:rsid w:val="0033762D"/>
    <w:rsid w:val="0033770B"/>
    <w:rsid w:val="00337921"/>
    <w:rsid w:val="00337F21"/>
    <w:rsid w:val="00340165"/>
    <w:rsid w:val="00340599"/>
    <w:rsid w:val="003407AB"/>
    <w:rsid w:val="00340F3A"/>
    <w:rsid w:val="0034124B"/>
    <w:rsid w:val="00341337"/>
    <w:rsid w:val="0034142E"/>
    <w:rsid w:val="00341663"/>
    <w:rsid w:val="00341ABC"/>
    <w:rsid w:val="00341EBE"/>
    <w:rsid w:val="00342029"/>
    <w:rsid w:val="003421D0"/>
    <w:rsid w:val="0034235B"/>
    <w:rsid w:val="003429A3"/>
    <w:rsid w:val="003429B3"/>
    <w:rsid w:val="00342B7F"/>
    <w:rsid w:val="00343126"/>
    <w:rsid w:val="00343A3D"/>
    <w:rsid w:val="00343CC3"/>
    <w:rsid w:val="00343D9D"/>
    <w:rsid w:val="00343F4A"/>
    <w:rsid w:val="003445A3"/>
    <w:rsid w:val="003447AC"/>
    <w:rsid w:val="003447B1"/>
    <w:rsid w:val="003447B6"/>
    <w:rsid w:val="003449A4"/>
    <w:rsid w:val="00344B9F"/>
    <w:rsid w:val="00345502"/>
    <w:rsid w:val="0034608D"/>
    <w:rsid w:val="00346272"/>
    <w:rsid w:val="0034631D"/>
    <w:rsid w:val="00346B5F"/>
    <w:rsid w:val="003474F1"/>
    <w:rsid w:val="00347685"/>
    <w:rsid w:val="00347961"/>
    <w:rsid w:val="00347BAE"/>
    <w:rsid w:val="00347C02"/>
    <w:rsid w:val="00347C52"/>
    <w:rsid w:val="00350193"/>
    <w:rsid w:val="003503B8"/>
    <w:rsid w:val="003504A2"/>
    <w:rsid w:val="003504FE"/>
    <w:rsid w:val="00350765"/>
    <w:rsid w:val="00350BB3"/>
    <w:rsid w:val="00350C42"/>
    <w:rsid w:val="00350F01"/>
    <w:rsid w:val="00350F76"/>
    <w:rsid w:val="00350FA4"/>
    <w:rsid w:val="0035112B"/>
    <w:rsid w:val="00351224"/>
    <w:rsid w:val="00351490"/>
    <w:rsid w:val="003515C1"/>
    <w:rsid w:val="00352085"/>
    <w:rsid w:val="003522E5"/>
    <w:rsid w:val="00352384"/>
    <w:rsid w:val="00353318"/>
    <w:rsid w:val="003537F5"/>
    <w:rsid w:val="0035399B"/>
    <w:rsid w:val="00353A7A"/>
    <w:rsid w:val="0035402E"/>
    <w:rsid w:val="00354238"/>
    <w:rsid w:val="003542B3"/>
    <w:rsid w:val="00354A58"/>
    <w:rsid w:val="00355F79"/>
    <w:rsid w:val="00355F8D"/>
    <w:rsid w:val="00356931"/>
    <w:rsid w:val="00356940"/>
    <w:rsid w:val="00356E03"/>
    <w:rsid w:val="00356EB3"/>
    <w:rsid w:val="003570CF"/>
    <w:rsid w:val="00357138"/>
    <w:rsid w:val="00357642"/>
    <w:rsid w:val="00357A1C"/>
    <w:rsid w:val="00357D46"/>
    <w:rsid w:val="00357F0D"/>
    <w:rsid w:val="003600F7"/>
    <w:rsid w:val="003605C9"/>
    <w:rsid w:val="00360DD5"/>
    <w:rsid w:val="00360DDF"/>
    <w:rsid w:val="003610E6"/>
    <w:rsid w:val="00361148"/>
    <w:rsid w:val="0036181D"/>
    <w:rsid w:val="00361866"/>
    <w:rsid w:val="00361BE2"/>
    <w:rsid w:val="00361C8E"/>
    <w:rsid w:val="00361DE3"/>
    <w:rsid w:val="0036202B"/>
    <w:rsid w:val="0036220A"/>
    <w:rsid w:val="00362253"/>
    <w:rsid w:val="00362AD9"/>
    <w:rsid w:val="00362FB5"/>
    <w:rsid w:val="00363237"/>
    <w:rsid w:val="00363B27"/>
    <w:rsid w:val="00363D62"/>
    <w:rsid w:val="00363EA2"/>
    <w:rsid w:val="00363F4C"/>
    <w:rsid w:val="00364983"/>
    <w:rsid w:val="00364BF6"/>
    <w:rsid w:val="00364E06"/>
    <w:rsid w:val="00364EE3"/>
    <w:rsid w:val="0036531F"/>
    <w:rsid w:val="00365437"/>
    <w:rsid w:val="003657E4"/>
    <w:rsid w:val="00365A5E"/>
    <w:rsid w:val="00365D70"/>
    <w:rsid w:val="00365E56"/>
    <w:rsid w:val="003663BA"/>
    <w:rsid w:val="0036646A"/>
    <w:rsid w:val="003665FF"/>
    <w:rsid w:val="003669EF"/>
    <w:rsid w:val="00366A69"/>
    <w:rsid w:val="00366AC4"/>
    <w:rsid w:val="00366BCC"/>
    <w:rsid w:val="00366FE6"/>
    <w:rsid w:val="0036705A"/>
    <w:rsid w:val="00367627"/>
    <w:rsid w:val="0036781D"/>
    <w:rsid w:val="00367A98"/>
    <w:rsid w:val="00367C6E"/>
    <w:rsid w:val="00367F52"/>
    <w:rsid w:val="0037055B"/>
    <w:rsid w:val="00370581"/>
    <w:rsid w:val="003706AB"/>
    <w:rsid w:val="00370761"/>
    <w:rsid w:val="00370C7F"/>
    <w:rsid w:val="00370F42"/>
    <w:rsid w:val="003717B0"/>
    <w:rsid w:val="00371913"/>
    <w:rsid w:val="003719BC"/>
    <w:rsid w:val="00371A55"/>
    <w:rsid w:val="00371AB7"/>
    <w:rsid w:val="00371AD4"/>
    <w:rsid w:val="00371ED4"/>
    <w:rsid w:val="00372B76"/>
    <w:rsid w:val="003730D5"/>
    <w:rsid w:val="00373960"/>
    <w:rsid w:val="003739CC"/>
    <w:rsid w:val="00373A56"/>
    <w:rsid w:val="00373ADE"/>
    <w:rsid w:val="00373E8B"/>
    <w:rsid w:val="003746E7"/>
    <w:rsid w:val="003749EA"/>
    <w:rsid w:val="003749F5"/>
    <w:rsid w:val="00374CBF"/>
    <w:rsid w:val="00374FDA"/>
    <w:rsid w:val="003754FA"/>
    <w:rsid w:val="003757CD"/>
    <w:rsid w:val="00375923"/>
    <w:rsid w:val="00375AF4"/>
    <w:rsid w:val="0037647A"/>
    <w:rsid w:val="00376518"/>
    <w:rsid w:val="0037658E"/>
    <w:rsid w:val="003767AC"/>
    <w:rsid w:val="00376D6A"/>
    <w:rsid w:val="003774B8"/>
    <w:rsid w:val="00377D89"/>
    <w:rsid w:val="0038074E"/>
    <w:rsid w:val="00380EB8"/>
    <w:rsid w:val="00381007"/>
    <w:rsid w:val="003811C1"/>
    <w:rsid w:val="003811CF"/>
    <w:rsid w:val="003812E8"/>
    <w:rsid w:val="003814E5"/>
    <w:rsid w:val="0038189F"/>
    <w:rsid w:val="00381D89"/>
    <w:rsid w:val="00382496"/>
    <w:rsid w:val="00382F03"/>
    <w:rsid w:val="003833E7"/>
    <w:rsid w:val="00383BF5"/>
    <w:rsid w:val="003841F8"/>
    <w:rsid w:val="0038431D"/>
    <w:rsid w:val="003845B6"/>
    <w:rsid w:val="00384624"/>
    <w:rsid w:val="00385250"/>
    <w:rsid w:val="0038543E"/>
    <w:rsid w:val="00385F19"/>
    <w:rsid w:val="0038668B"/>
    <w:rsid w:val="003869F8"/>
    <w:rsid w:val="00386C12"/>
    <w:rsid w:val="00386E65"/>
    <w:rsid w:val="00387293"/>
    <w:rsid w:val="0038756A"/>
    <w:rsid w:val="003875E5"/>
    <w:rsid w:val="003904E3"/>
    <w:rsid w:val="00390ABD"/>
    <w:rsid w:val="00390B79"/>
    <w:rsid w:val="00390BC0"/>
    <w:rsid w:val="00390EED"/>
    <w:rsid w:val="00390F35"/>
    <w:rsid w:val="00391488"/>
    <w:rsid w:val="00391648"/>
    <w:rsid w:val="0039166F"/>
    <w:rsid w:val="00391ABD"/>
    <w:rsid w:val="00391FEC"/>
    <w:rsid w:val="00392142"/>
    <w:rsid w:val="003922B4"/>
    <w:rsid w:val="003924B4"/>
    <w:rsid w:val="00392C50"/>
    <w:rsid w:val="00393557"/>
    <w:rsid w:val="0039440B"/>
    <w:rsid w:val="00394880"/>
    <w:rsid w:val="00394DAA"/>
    <w:rsid w:val="003950AE"/>
    <w:rsid w:val="0039552D"/>
    <w:rsid w:val="00395687"/>
    <w:rsid w:val="00395A20"/>
    <w:rsid w:val="00395DAA"/>
    <w:rsid w:val="00395DC2"/>
    <w:rsid w:val="00395E8D"/>
    <w:rsid w:val="00395EEA"/>
    <w:rsid w:val="00396149"/>
    <w:rsid w:val="0039637E"/>
    <w:rsid w:val="00396561"/>
    <w:rsid w:val="003966A1"/>
    <w:rsid w:val="00396A7D"/>
    <w:rsid w:val="00396C9D"/>
    <w:rsid w:val="00397261"/>
    <w:rsid w:val="00397384"/>
    <w:rsid w:val="00397436"/>
    <w:rsid w:val="003974A6"/>
    <w:rsid w:val="00397AD8"/>
    <w:rsid w:val="00397C79"/>
    <w:rsid w:val="003A0032"/>
    <w:rsid w:val="003A01A0"/>
    <w:rsid w:val="003A03D6"/>
    <w:rsid w:val="003A06A1"/>
    <w:rsid w:val="003A08F7"/>
    <w:rsid w:val="003A0F1D"/>
    <w:rsid w:val="003A1033"/>
    <w:rsid w:val="003A104B"/>
    <w:rsid w:val="003A1485"/>
    <w:rsid w:val="003A151D"/>
    <w:rsid w:val="003A1892"/>
    <w:rsid w:val="003A1AD0"/>
    <w:rsid w:val="003A2253"/>
    <w:rsid w:val="003A23E9"/>
    <w:rsid w:val="003A24A3"/>
    <w:rsid w:val="003A2799"/>
    <w:rsid w:val="003A2981"/>
    <w:rsid w:val="003A2B91"/>
    <w:rsid w:val="003A2D57"/>
    <w:rsid w:val="003A2D6B"/>
    <w:rsid w:val="003A2DF3"/>
    <w:rsid w:val="003A2E4B"/>
    <w:rsid w:val="003A39A6"/>
    <w:rsid w:val="003A40D3"/>
    <w:rsid w:val="003A4294"/>
    <w:rsid w:val="003A45BE"/>
    <w:rsid w:val="003A5603"/>
    <w:rsid w:val="003A595D"/>
    <w:rsid w:val="003A59A6"/>
    <w:rsid w:val="003A59D8"/>
    <w:rsid w:val="003A5AA4"/>
    <w:rsid w:val="003A5E3D"/>
    <w:rsid w:val="003A5E68"/>
    <w:rsid w:val="003A68C7"/>
    <w:rsid w:val="003A6D0F"/>
    <w:rsid w:val="003A6D16"/>
    <w:rsid w:val="003A717B"/>
    <w:rsid w:val="003A736A"/>
    <w:rsid w:val="003A7686"/>
    <w:rsid w:val="003A76D0"/>
    <w:rsid w:val="003A78F3"/>
    <w:rsid w:val="003A7A6B"/>
    <w:rsid w:val="003A7DE7"/>
    <w:rsid w:val="003A7DFE"/>
    <w:rsid w:val="003B01AC"/>
    <w:rsid w:val="003B01B2"/>
    <w:rsid w:val="003B0319"/>
    <w:rsid w:val="003B057D"/>
    <w:rsid w:val="003B09A9"/>
    <w:rsid w:val="003B0F3A"/>
    <w:rsid w:val="003B0FB4"/>
    <w:rsid w:val="003B168B"/>
    <w:rsid w:val="003B17DD"/>
    <w:rsid w:val="003B17F3"/>
    <w:rsid w:val="003B1D8E"/>
    <w:rsid w:val="003B1EC6"/>
    <w:rsid w:val="003B2252"/>
    <w:rsid w:val="003B23E0"/>
    <w:rsid w:val="003B2607"/>
    <w:rsid w:val="003B299F"/>
    <w:rsid w:val="003B2A6C"/>
    <w:rsid w:val="003B2ED4"/>
    <w:rsid w:val="003B368D"/>
    <w:rsid w:val="003B3AF1"/>
    <w:rsid w:val="003B3DB3"/>
    <w:rsid w:val="003B44A2"/>
    <w:rsid w:val="003B4524"/>
    <w:rsid w:val="003B464C"/>
    <w:rsid w:val="003B4777"/>
    <w:rsid w:val="003B4981"/>
    <w:rsid w:val="003B4A12"/>
    <w:rsid w:val="003B4CCA"/>
    <w:rsid w:val="003B4D15"/>
    <w:rsid w:val="003B4E2A"/>
    <w:rsid w:val="003B5630"/>
    <w:rsid w:val="003B564B"/>
    <w:rsid w:val="003B59A6"/>
    <w:rsid w:val="003B5FE4"/>
    <w:rsid w:val="003B68E7"/>
    <w:rsid w:val="003B69BB"/>
    <w:rsid w:val="003B706B"/>
    <w:rsid w:val="003B757F"/>
    <w:rsid w:val="003B762C"/>
    <w:rsid w:val="003B76CB"/>
    <w:rsid w:val="003B774B"/>
    <w:rsid w:val="003B7E42"/>
    <w:rsid w:val="003B7EB7"/>
    <w:rsid w:val="003C0157"/>
    <w:rsid w:val="003C0379"/>
    <w:rsid w:val="003C0788"/>
    <w:rsid w:val="003C0A86"/>
    <w:rsid w:val="003C0AB4"/>
    <w:rsid w:val="003C0F88"/>
    <w:rsid w:val="003C1216"/>
    <w:rsid w:val="003C1C60"/>
    <w:rsid w:val="003C226D"/>
    <w:rsid w:val="003C320E"/>
    <w:rsid w:val="003C36A2"/>
    <w:rsid w:val="003C3993"/>
    <w:rsid w:val="003C3A01"/>
    <w:rsid w:val="003C3B71"/>
    <w:rsid w:val="003C3D11"/>
    <w:rsid w:val="003C3D5B"/>
    <w:rsid w:val="003C43F7"/>
    <w:rsid w:val="003C47E1"/>
    <w:rsid w:val="003C4805"/>
    <w:rsid w:val="003C4B1B"/>
    <w:rsid w:val="003C50B3"/>
    <w:rsid w:val="003C514B"/>
    <w:rsid w:val="003C5532"/>
    <w:rsid w:val="003C5601"/>
    <w:rsid w:val="003C5B18"/>
    <w:rsid w:val="003C5EB2"/>
    <w:rsid w:val="003C5EF6"/>
    <w:rsid w:val="003C604E"/>
    <w:rsid w:val="003C6671"/>
    <w:rsid w:val="003D025E"/>
    <w:rsid w:val="003D0506"/>
    <w:rsid w:val="003D08A2"/>
    <w:rsid w:val="003D0A01"/>
    <w:rsid w:val="003D0B98"/>
    <w:rsid w:val="003D140F"/>
    <w:rsid w:val="003D1633"/>
    <w:rsid w:val="003D1945"/>
    <w:rsid w:val="003D1AF9"/>
    <w:rsid w:val="003D1C94"/>
    <w:rsid w:val="003D2018"/>
    <w:rsid w:val="003D230E"/>
    <w:rsid w:val="003D2357"/>
    <w:rsid w:val="003D24E6"/>
    <w:rsid w:val="003D2A90"/>
    <w:rsid w:val="003D2C8E"/>
    <w:rsid w:val="003D33E0"/>
    <w:rsid w:val="003D345A"/>
    <w:rsid w:val="003D35D7"/>
    <w:rsid w:val="003D385E"/>
    <w:rsid w:val="003D42DC"/>
    <w:rsid w:val="003D44EA"/>
    <w:rsid w:val="003D4888"/>
    <w:rsid w:val="003D4BB2"/>
    <w:rsid w:val="003D5371"/>
    <w:rsid w:val="003D552B"/>
    <w:rsid w:val="003D5631"/>
    <w:rsid w:val="003D57D2"/>
    <w:rsid w:val="003D593C"/>
    <w:rsid w:val="003D59B8"/>
    <w:rsid w:val="003D5F11"/>
    <w:rsid w:val="003D60BD"/>
    <w:rsid w:val="003D690E"/>
    <w:rsid w:val="003D696B"/>
    <w:rsid w:val="003D6B2B"/>
    <w:rsid w:val="003D7157"/>
    <w:rsid w:val="003D74AB"/>
    <w:rsid w:val="003D7E82"/>
    <w:rsid w:val="003E005D"/>
    <w:rsid w:val="003E04A1"/>
    <w:rsid w:val="003E11ED"/>
    <w:rsid w:val="003E1776"/>
    <w:rsid w:val="003E1C30"/>
    <w:rsid w:val="003E1DCA"/>
    <w:rsid w:val="003E1E2C"/>
    <w:rsid w:val="003E1E72"/>
    <w:rsid w:val="003E1F16"/>
    <w:rsid w:val="003E217E"/>
    <w:rsid w:val="003E24B0"/>
    <w:rsid w:val="003E25D2"/>
    <w:rsid w:val="003E284C"/>
    <w:rsid w:val="003E2C0E"/>
    <w:rsid w:val="003E2C7F"/>
    <w:rsid w:val="003E316D"/>
    <w:rsid w:val="003E3483"/>
    <w:rsid w:val="003E3526"/>
    <w:rsid w:val="003E440C"/>
    <w:rsid w:val="003E45C2"/>
    <w:rsid w:val="003E4891"/>
    <w:rsid w:val="003E4AA5"/>
    <w:rsid w:val="003E548D"/>
    <w:rsid w:val="003E5546"/>
    <w:rsid w:val="003E5641"/>
    <w:rsid w:val="003E5730"/>
    <w:rsid w:val="003E586F"/>
    <w:rsid w:val="003E59A5"/>
    <w:rsid w:val="003E609D"/>
    <w:rsid w:val="003E7036"/>
    <w:rsid w:val="003E711C"/>
    <w:rsid w:val="003E761F"/>
    <w:rsid w:val="003E7B4F"/>
    <w:rsid w:val="003E7D71"/>
    <w:rsid w:val="003F0194"/>
    <w:rsid w:val="003F0292"/>
    <w:rsid w:val="003F035A"/>
    <w:rsid w:val="003F0469"/>
    <w:rsid w:val="003F05CF"/>
    <w:rsid w:val="003F0621"/>
    <w:rsid w:val="003F0AEA"/>
    <w:rsid w:val="003F0B4D"/>
    <w:rsid w:val="003F0C5A"/>
    <w:rsid w:val="003F0E8B"/>
    <w:rsid w:val="003F1B5C"/>
    <w:rsid w:val="003F2244"/>
    <w:rsid w:val="003F253C"/>
    <w:rsid w:val="003F2927"/>
    <w:rsid w:val="003F2A2C"/>
    <w:rsid w:val="003F2F08"/>
    <w:rsid w:val="003F34ED"/>
    <w:rsid w:val="003F3B46"/>
    <w:rsid w:val="003F408F"/>
    <w:rsid w:val="003F40FF"/>
    <w:rsid w:val="003F41F4"/>
    <w:rsid w:val="003F4307"/>
    <w:rsid w:val="003F4856"/>
    <w:rsid w:val="003F48FA"/>
    <w:rsid w:val="003F511D"/>
    <w:rsid w:val="003F5144"/>
    <w:rsid w:val="003F5261"/>
    <w:rsid w:val="003F52AC"/>
    <w:rsid w:val="003F5612"/>
    <w:rsid w:val="003F5E5B"/>
    <w:rsid w:val="003F5F0A"/>
    <w:rsid w:val="003F5F6D"/>
    <w:rsid w:val="003F6158"/>
    <w:rsid w:val="003F6517"/>
    <w:rsid w:val="003F66E0"/>
    <w:rsid w:val="003F674C"/>
    <w:rsid w:val="003F67E3"/>
    <w:rsid w:val="003F6DD5"/>
    <w:rsid w:val="003F71C8"/>
    <w:rsid w:val="003F722B"/>
    <w:rsid w:val="003F7E12"/>
    <w:rsid w:val="0040001E"/>
    <w:rsid w:val="004000B0"/>
    <w:rsid w:val="004004F1"/>
    <w:rsid w:val="0040095E"/>
    <w:rsid w:val="00400B3A"/>
    <w:rsid w:val="0040100B"/>
    <w:rsid w:val="004010D3"/>
    <w:rsid w:val="004012CD"/>
    <w:rsid w:val="004013D0"/>
    <w:rsid w:val="00401453"/>
    <w:rsid w:val="004019C6"/>
    <w:rsid w:val="00402072"/>
    <w:rsid w:val="0040248F"/>
    <w:rsid w:val="004028FC"/>
    <w:rsid w:val="00402E0D"/>
    <w:rsid w:val="004037EA"/>
    <w:rsid w:val="00403C05"/>
    <w:rsid w:val="00403DF7"/>
    <w:rsid w:val="00403ED5"/>
    <w:rsid w:val="004050CF"/>
    <w:rsid w:val="00405419"/>
    <w:rsid w:val="004058CE"/>
    <w:rsid w:val="00405BD4"/>
    <w:rsid w:val="00405D51"/>
    <w:rsid w:val="00406073"/>
    <w:rsid w:val="00406090"/>
    <w:rsid w:val="00406094"/>
    <w:rsid w:val="004066CB"/>
    <w:rsid w:val="00406A8E"/>
    <w:rsid w:val="00406B91"/>
    <w:rsid w:val="00406BB7"/>
    <w:rsid w:val="00406C37"/>
    <w:rsid w:val="00406EBF"/>
    <w:rsid w:val="0040747A"/>
    <w:rsid w:val="00407624"/>
    <w:rsid w:val="0040775A"/>
    <w:rsid w:val="004078A9"/>
    <w:rsid w:val="00407A71"/>
    <w:rsid w:val="00407CF9"/>
    <w:rsid w:val="004101AF"/>
    <w:rsid w:val="00410AAB"/>
    <w:rsid w:val="0041108C"/>
    <w:rsid w:val="00411737"/>
    <w:rsid w:val="004118B5"/>
    <w:rsid w:val="00411C68"/>
    <w:rsid w:val="00411DE3"/>
    <w:rsid w:val="00412032"/>
    <w:rsid w:val="0041213A"/>
    <w:rsid w:val="00412918"/>
    <w:rsid w:val="00412AD0"/>
    <w:rsid w:val="00412CC1"/>
    <w:rsid w:val="0041390A"/>
    <w:rsid w:val="00413BB7"/>
    <w:rsid w:val="00413C3F"/>
    <w:rsid w:val="0041442B"/>
    <w:rsid w:val="004145EA"/>
    <w:rsid w:val="00414A43"/>
    <w:rsid w:val="004152DB"/>
    <w:rsid w:val="00415B72"/>
    <w:rsid w:val="00415C92"/>
    <w:rsid w:val="00415D45"/>
    <w:rsid w:val="00416147"/>
    <w:rsid w:val="0041691B"/>
    <w:rsid w:val="00416E30"/>
    <w:rsid w:val="00417831"/>
    <w:rsid w:val="00417991"/>
    <w:rsid w:val="00417C74"/>
    <w:rsid w:val="00420186"/>
    <w:rsid w:val="00420284"/>
    <w:rsid w:val="0042029E"/>
    <w:rsid w:val="00420489"/>
    <w:rsid w:val="0042071C"/>
    <w:rsid w:val="00420B4E"/>
    <w:rsid w:val="00420D81"/>
    <w:rsid w:val="00420EFC"/>
    <w:rsid w:val="004212F5"/>
    <w:rsid w:val="00421A30"/>
    <w:rsid w:val="00422056"/>
    <w:rsid w:val="00422696"/>
    <w:rsid w:val="004227C1"/>
    <w:rsid w:val="00422904"/>
    <w:rsid w:val="00422A33"/>
    <w:rsid w:val="00423568"/>
    <w:rsid w:val="0042395E"/>
    <w:rsid w:val="00423C91"/>
    <w:rsid w:val="00423D41"/>
    <w:rsid w:val="00423D55"/>
    <w:rsid w:val="00424005"/>
    <w:rsid w:val="0042402D"/>
    <w:rsid w:val="004243B4"/>
    <w:rsid w:val="0042446D"/>
    <w:rsid w:val="004248EB"/>
    <w:rsid w:val="00424A4D"/>
    <w:rsid w:val="00424D5C"/>
    <w:rsid w:val="0042511B"/>
    <w:rsid w:val="00425233"/>
    <w:rsid w:val="004252D3"/>
    <w:rsid w:val="004255E4"/>
    <w:rsid w:val="00425BAF"/>
    <w:rsid w:val="00425DEC"/>
    <w:rsid w:val="004261A4"/>
    <w:rsid w:val="00426A26"/>
    <w:rsid w:val="00426DE8"/>
    <w:rsid w:val="0042746E"/>
    <w:rsid w:val="0042763C"/>
    <w:rsid w:val="004277D0"/>
    <w:rsid w:val="0042782A"/>
    <w:rsid w:val="0042789C"/>
    <w:rsid w:val="00427A92"/>
    <w:rsid w:val="00427D52"/>
    <w:rsid w:val="00427E13"/>
    <w:rsid w:val="004302DD"/>
    <w:rsid w:val="0043054A"/>
    <w:rsid w:val="00430572"/>
    <w:rsid w:val="0043058B"/>
    <w:rsid w:val="0043095E"/>
    <w:rsid w:val="00430B7B"/>
    <w:rsid w:val="00430EB8"/>
    <w:rsid w:val="004316F6"/>
    <w:rsid w:val="00431817"/>
    <w:rsid w:val="00431D0B"/>
    <w:rsid w:val="00431DD3"/>
    <w:rsid w:val="00431E16"/>
    <w:rsid w:val="00431E1E"/>
    <w:rsid w:val="004323AF"/>
    <w:rsid w:val="004325E5"/>
    <w:rsid w:val="00432984"/>
    <w:rsid w:val="00432B07"/>
    <w:rsid w:val="00432BD9"/>
    <w:rsid w:val="00432E44"/>
    <w:rsid w:val="00433D65"/>
    <w:rsid w:val="00434270"/>
    <w:rsid w:val="004346AF"/>
    <w:rsid w:val="00434971"/>
    <w:rsid w:val="00434E06"/>
    <w:rsid w:val="0043519B"/>
    <w:rsid w:val="00435562"/>
    <w:rsid w:val="00435680"/>
    <w:rsid w:val="00435CC2"/>
    <w:rsid w:val="00435DE5"/>
    <w:rsid w:val="00436064"/>
    <w:rsid w:val="00436B8B"/>
    <w:rsid w:val="00436D9F"/>
    <w:rsid w:val="004370A3"/>
    <w:rsid w:val="004370C9"/>
    <w:rsid w:val="004377DB"/>
    <w:rsid w:val="00437E1E"/>
    <w:rsid w:val="004406D7"/>
    <w:rsid w:val="004408CD"/>
    <w:rsid w:val="00440BC0"/>
    <w:rsid w:val="00440C62"/>
    <w:rsid w:val="004415DA"/>
    <w:rsid w:val="004416D4"/>
    <w:rsid w:val="00442002"/>
    <w:rsid w:val="004422C3"/>
    <w:rsid w:val="00442956"/>
    <w:rsid w:val="0044295E"/>
    <w:rsid w:val="00442DFE"/>
    <w:rsid w:val="00442EA6"/>
    <w:rsid w:val="0044306A"/>
    <w:rsid w:val="00443077"/>
    <w:rsid w:val="00443CDD"/>
    <w:rsid w:val="004440A3"/>
    <w:rsid w:val="00444100"/>
    <w:rsid w:val="0044460C"/>
    <w:rsid w:val="00444D72"/>
    <w:rsid w:val="00444E8C"/>
    <w:rsid w:val="004450BB"/>
    <w:rsid w:val="0044512E"/>
    <w:rsid w:val="0044545F"/>
    <w:rsid w:val="0044636C"/>
    <w:rsid w:val="00447217"/>
    <w:rsid w:val="004473E6"/>
    <w:rsid w:val="0044768C"/>
    <w:rsid w:val="004477A3"/>
    <w:rsid w:val="00450160"/>
    <w:rsid w:val="004501B2"/>
    <w:rsid w:val="00450244"/>
    <w:rsid w:val="00450406"/>
    <w:rsid w:val="00450547"/>
    <w:rsid w:val="0045086D"/>
    <w:rsid w:val="00450C52"/>
    <w:rsid w:val="00450CBC"/>
    <w:rsid w:val="00451291"/>
    <w:rsid w:val="00451470"/>
    <w:rsid w:val="00451630"/>
    <w:rsid w:val="004517CC"/>
    <w:rsid w:val="0045185E"/>
    <w:rsid w:val="00451B0F"/>
    <w:rsid w:val="00451BD6"/>
    <w:rsid w:val="00451C34"/>
    <w:rsid w:val="004520AB"/>
    <w:rsid w:val="00452399"/>
    <w:rsid w:val="004524C2"/>
    <w:rsid w:val="00452538"/>
    <w:rsid w:val="00452B29"/>
    <w:rsid w:val="00452C52"/>
    <w:rsid w:val="004530A5"/>
    <w:rsid w:val="004530E7"/>
    <w:rsid w:val="00453348"/>
    <w:rsid w:val="0045394E"/>
    <w:rsid w:val="00453BEF"/>
    <w:rsid w:val="00453EC8"/>
    <w:rsid w:val="00453F09"/>
    <w:rsid w:val="0045420C"/>
    <w:rsid w:val="00454556"/>
    <w:rsid w:val="00454C42"/>
    <w:rsid w:val="00454CA6"/>
    <w:rsid w:val="004551B6"/>
    <w:rsid w:val="00455263"/>
    <w:rsid w:val="00455F95"/>
    <w:rsid w:val="00456035"/>
    <w:rsid w:val="00457626"/>
    <w:rsid w:val="00457D72"/>
    <w:rsid w:val="00460980"/>
    <w:rsid w:val="00460988"/>
    <w:rsid w:val="004612F2"/>
    <w:rsid w:val="00461549"/>
    <w:rsid w:val="0046154C"/>
    <w:rsid w:val="00461643"/>
    <w:rsid w:val="004619B7"/>
    <w:rsid w:val="00461B99"/>
    <w:rsid w:val="004626E4"/>
    <w:rsid w:val="00462708"/>
    <w:rsid w:val="00462952"/>
    <w:rsid w:val="00462EEA"/>
    <w:rsid w:val="0046315E"/>
    <w:rsid w:val="00463505"/>
    <w:rsid w:val="0046373F"/>
    <w:rsid w:val="004638D2"/>
    <w:rsid w:val="004646DB"/>
    <w:rsid w:val="00464B5F"/>
    <w:rsid w:val="00465203"/>
    <w:rsid w:val="00465348"/>
    <w:rsid w:val="004654E3"/>
    <w:rsid w:val="004659C7"/>
    <w:rsid w:val="0046639C"/>
    <w:rsid w:val="00466892"/>
    <w:rsid w:val="00466A22"/>
    <w:rsid w:val="00466B82"/>
    <w:rsid w:val="00466EBB"/>
    <w:rsid w:val="00466FDF"/>
    <w:rsid w:val="004672F7"/>
    <w:rsid w:val="00467408"/>
    <w:rsid w:val="00467663"/>
    <w:rsid w:val="004677F3"/>
    <w:rsid w:val="00467E3E"/>
    <w:rsid w:val="004701AE"/>
    <w:rsid w:val="00470676"/>
    <w:rsid w:val="004706DD"/>
    <w:rsid w:val="00470D7A"/>
    <w:rsid w:val="00471118"/>
    <w:rsid w:val="0047131A"/>
    <w:rsid w:val="00471688"/>
    <w:rsid w:val="0047186F"/>
    <w:rsid w:val="00471984"/>
    <w:rsid w:val="004725B9"/>
    <w:rsid w:val="004726F9"/>
    <w:rsid w:val="00472CB5"/>
    <w:rsid w:val="00472D0B"/>
    <w:rsid w:val="00472E44"/>
    <w:rsid w:val="00472EFC"/>
    <w:rsid w:val="004730BE"/>
    <w:rsid w:val="00474494"/>
    <w:rsid w:val="0047464B"/>
    <w:rsid w:val="0047475B"/>
    <w:rsid w:val="004747F5"/>
    <w:rsid w:val="00474D26"/>
    <w:rsid w:val="0047576A"/>
    <w:rsid w:val="00475972"/>
    <w:rsid w:val="00475A31"/>
    <w:rsid w:val="00475F46"/>
    <w:rsid w:val="0047625D"/>
    <w:rsid w:val="00476322"/>
    <w:rsid w:val="004765F4"/>
    <w:rsid w:val="00476D00"/>
    <w:rsid w:val="00476F4E"/>
    <w:rsid w:val="00477054"/>
    <w:rsid w:val="004770AB"/>
    <w:rsid w:val="00477107"/>
    <w:rsid w:val="0047710F"/>
    <w:rsid w:val="0047711E"/>
    <w:rsid w:val="00477C31"/>
    <w:rsid w:val="0048020F"/>
    <w:rsid w:val="00480641"/>
    <w:rsid w:val="00480827"/>
    <w:rsid w:val="004808CF"/>
    <w:rsid w:val="00480AD4"/>
    <w:rsid w:val="00480ADF"/>
    <w:rsid w:val="00481261"/>
    <w:rsid w:val="0048197F"/>
    <w:rsid w:val="00481A93"/>
    <w:rsid w:val="00481B63"/>
    <w:rsid w:val="00481FB5"/>
    <w:rsid w:val="00481FC4"/>
    <w:rsid w:val="00482B3E"/>
    <w:rsid w:val="00482C90"/>
    <w:rsid w:val="00482FD0"/>
    <w:rsid w:val="004830F3"/>
    <w:rsid w:val="004832D7"/>
    <w:rsid w:val="00483644"/>
    <w:rsid w:val="00483655"/>
    <w:rsid w:val="00483916"/>
    <w:rsid w:val="00483D8B"/>
    <w:rsid w:val="00483EFA"/>
    <w:rsid w:val="00483F2B"/>
    <w:rsid w:val="004840D9"/>
    <w:rsid w:val="0048412C"/>
    <w:rsid w:val="00484482"/>
    <w:rsid w:val="004844B8"/>
    <w:rsid w:val="00484C8D"/>
    <w:rsid w:val="00484D6C"/>
    <w:rsid w:val="00484F1C"/>
    <w:rsid w:val="0048539B"/>
    <w:rsid w:val="00485459"/>
    <w:rsid w:val="00485503"/>
    <w:rsid w:val="00485711"/>
    <w:rsid w:val="00486A4A"/>
    <w:rsid w:val="00486A71"/>
    <w:rsid w:val="00486EC5"/>
    <w:rsid w:val="00487457"/>
    <w:rsid w:val="004875DD"/>
    <w:rsid w:val="00487A42"/>
    <w:rsid w:val="00487BF8"/>
    <w:rsid w:val="00487F4A"/>
    <w:rsid w:val="004902C5"/>
    <w:rsid w:val="004904F6"/>
    <w:rsid w:val="00490920"/>
    <w:rsid w:val="004910AD"/>
    <w:rsid w:val="004917FC"/>
    <w:rsid w:val="004918DC"/>
    <w:rsid w:val="00491A4D"/>
    <w:rsid w:val="00491BE3"/>
    <w:rsid w:val="00491C80"/>
    <w:rsid w:val="004924B1"/>
    <w:rsid w:val="00492860"/>
    <w:rsid w:val="00492A8A"/>
    <w:rsid w:val="004938DD"/>
    <w:rsid w:val="0049394B"/>
    <w:rsid w:val="00493B3A"/>
    <w:rsid w:val="00493C1A"/>
    <w:rsid w:val="00493D1A"/>
    <w:rsid w:val="00493F2E"/>
    <w:rsid w:val="00494002"/>
    <w:rsid w:val="00494A63"/>
    <w:rsid w:val="004952A5"/>
    <w:rsid w:val="0049542C"/>
    <w:rsid w:val="004959AA"/>
    <w:rsid w:val="00495F47"/>
    <w:rsid w:val="0049629F"/>
    <w:rsid w:val="00496368"/>
    <w:rsid w:val="0049692E"/>
    <w:rsid w:val="00496DEA"/>
    <w:rsid w:val="0049707C"/>
    <w:rsid w:val="004972B9"/>
    <w:rsid w:val="0049795A"/>
    <w:rsid w:val="00497D3D"/>
    <w:rsid w:val="00497E3E"/>
    <w:rsid w:val="004A0241"/>
    <w:rsid w:val="004A10F0"/>
    <w:rsid w:val="004A1145"/>
    <w:rsid w:val="004A1542"/>
    <w:rsid w:val="004A19F2"/>
    <w:rsid w:val="004A1A25"/>
    <w:rsid w:val="004A20CE"/>
    <w:rsid w:val="004A231F"/>
    <w:rsid w:val="004A2692"/>
    <w:rsid w:val="004A2722"/>
    <w:rsid w:val="004A292D"/>
    <w:rsid w:val="004A2B1D"/>
    <w:rsid w:val="004A37F9"/>
    <w:rsid w:val="004A39EE"/>
    <w:rsid w:val="004A3CA7"/>
    <w:rsid w:val="004A416F"/>
    <w:rsid w:val="004A4564"/>
    <w:rsid w:val="004A45FF"/>
    <w:rsid w:val="004A4694"/>
    <w:rsid w:val="004A48ED"/>
    <w:rsid w:val="004A4ED2"/>
    <w:rsid w:val="004A5799"/>
    <w:rsid w:val="004A68E5"/>
    <w:rsid w:val="004A71C7"/>
    <w:rsid w:val="004A745E"/>
    <w:rsid w:val="004A7572"/>
    <w:rsid w:val="004A7CFA"/>
    <w:rsid w:val="004A7F2D"/>
    <w:rsid w:val="004B0100"/>
    <w:rsid w:val="004B03D8"/>
    <w:rsid w:val="004B0675"/>
    <w:rsid w:val="004B095B"/>
    <w:rsid w:val="004B0A1F"/>
    <w:rsid w:val="004B0EE2"/>
    <w:rsid w:val="004B0FA1"/>
    <w:rsid w:val="004B1484"/>
    <w:rsid w:val="004B174D"/>
    <w:rsid w:val="004B1B8D"/>
    <w:rsid w:val="004B203D"/>
    <w:rsid w:val="004B22CA"/>
    <w:rsid w:val="004B272B"/>
    <w:rsid w:val="004B27C8"/>
    <w:rsid w:val="004B2A00"/>
    <w:rsid w:val="004B2CED"/>
    <w:rsid w:val="004B2FE2"/>
    <w:rsid w:val="004B35F3"/>
    <w:rsid w:val="004B3729"/>
    <w:rsid w:val="004B38B0"/>
    <w:rsid w:val="004B3E79"/>
    <w:rsid w:val="004B432D"/>
    <w:rsid w:val="004B44D0"/>
    <w:rsid w:val="004B463E"/>
    <w:rsid w:val="004B47E7"/>
    <w:rsid w:val="004B5437"/>
    <w:rsid w:val="004B578D"/>
    <w:rsid w:val="004B5877"/>
    <w:rsid w:val="004B5A47"/>
    <w:rsid w:val="004B5AD7"/>
    <w:rsid w:val="004B5E4D"/>
    <w:rsid w:val="004B5E94"/>
    <w:rsid w:val="004B6178"/>
    <w:rsid w:val="004B64D1"/>
    <w:rsid w:val="004B651F"/>
    <w:rsid w:val="004B6665"/>
    <w:rsid w:val="004B6875"/>
    <w:rsid w:val="004B6AFF"/>
    <w:rsid w:val="004B6D71"/>
    <w:rsid w:val="004B7263"/>
    <w:rsid w:val="004B73B8"/>
    <w:rsid w:val="004B785F"/>
    <w:rsid w:val="004B7A25"/>
    <w:rsid w:val="004B7C51"/>
    <w:rsid w:val="004C0069"/>
    <w:rsid w:val="004C0082"/>
    <w:rsid w:val="004C0920"/>
    <w:rsid w:val="004C0B84"/>
    <w:rsid w:val="004C0D7D"/>
    <w:rsid w:val="004C1309"/>
    <w:rsid w:val="004C1747"/>
    <w:rsid w:val="004C17B0"/>
    <w:rsid w:val="004C187F"/>
    <w:rsid w:val="004C1B28"/>
    <w:rsid w:val="004C1FA5"/>
    <w:rsid w:val="004C25E0"/>
    <w:rsid w:val="004C28EC"/>
    <w:rsid w:val="004C2EEA"/>
    <w:rsid w:val="004C2F6B"/>
    <w:rsid w:val="004C3908"/>
    <w:rsid w:val="004C3C10"/>
    <w:rsid w:val="004C3D61"/>
    <w:rsid w:val="004C405F"/>
    <w:rsid w:val="004C4504"/>
    <w:rsid w:val="004C4664"/>
    <w:rsid w:val="004C482D"/>
    <w:rsid w:val="004C4E63"/>
    <w:rsid w:val="004C52B8"/>
    <w:rsid w:val="004C55B9"/>
    <w:rsid w:val="004C571E"/>
    <w:rsid w:val="004C5A11"/>
    <w:rsid w:val="004C5F89"/>
    <w:rsid w:val="004C5FBB"/>
    <w:rsid w:val="004C5FEE"/>
    <w:rsid w:val="004C61BA"/>
    <w:rsid w:val="004C653C"/>
    <w:rsid w:val="004C6ADC"/>
    <w:rsid w:val="004C6C19"/>
    <w:rsid w:val="004C7097"/>
    <w:rsid w:val="004C7518"/>
    <w:rsid w:val="004C7A23"/>
    <w:rsid w:val="004D0480"/>
    <w:rsid w:val="004D052E"/>
    <w:rsid w:val="004D059B"/>
    <w:rsid w:val="004D05CF"/>
    <w:rsid w:val="004D09A6"/>
    <w:rsid w:val="004D0B4D"/>
    <w:rsid w:val="004D0D81"/>
    <w:rsid w:val="004D123C"/>
    <w:rsid w:val="004D1370"/>
    <w:rsid w:val="004D140C"/>
    <w:rsid w:val="004D16D2"/>
    <w:rsid w:val="004D1816"/>
    <w:rsid w:val="004D1C43"/>
    <w:rsid w:val="004D21AE"/>
    <w:rsid w:val="004D21EB"/>
    <w:rsid w:val="004D266B"/>
    <w:rsid w:val="004D281A"/>
    <w:rsid w:val="004D2A64"/>
    <w:rsid w:val="004D33CC"/>
    <w:rsid w:val="004D35A6"/>
    <w:rsid w:val="004D37ED"/>
    <w:rsid w:val="004D37FA"/>
    <w:rsid w:val="004D39AE"/>
    <w:rsid w:val="004D3B04"/>
    <w:rsid w:val="004D3BBE"/>
    <w:rsid w:val="004D413A"/>
    <w:rsid w:val="004D436D"/>
    <w:rsid w:val="004D466E"/>
    <w:rsid w:val="004D4B70"/>
    <w:rsid w:val="004D4EC9"/>
    <w:rsid w:val="004D4EFB"/>
    <w:rsid w:val="004D5162"/>
    <w:rsid w:val="004D52F7"/>
    <w:rsid w:val="004D5478"/>
    <w:rsid w:val="004D54F1"/>
    <w:rsid w:val="004D5E0B"/>
    <w:rsid w:val="004D5EB6"/>
    <w:rsid w:val="004D5FCB"/>
    <w:rsid w:val="004D6827"/>
    <w:rsid w:val="004D68E1"/>
    <w:rsid w:val="004D6AEC"/>
    <w:rsid w:val="004D6B21"/>
    <w:rsid w:val="004D6E53"/>
    <w:rsid w:val="004D6F6A"/>
    <w:rsid w:val="004D6FEE"/>
    <w:rsid w:val="004D758B"/>
    <w:rsid w:val="004D76DB"/>
    <w:rsid w:val="004D794A"/>
    <w:rsid w:val="004D7A35"/>
    <w:rsid w:val="004D7B9F"/>
    <w:rsid w:val="004D7CA3"/>
    <w:rsid w:val="004D7CD4"/>
    <w:rsid w:val="004E0216"/>
    <w:rsid w:val="004E02BD"/>
    <w:rsid w:val="004E0311"/>
    <w:rsid w:val="004E035C"/>
    <w:rsid w:val="004E0561"/>
    <w:rsid w:val="004E0754"/>
    <w:rsid w:val="004E09E2"/>
    <w:rsid w:val="004E0E74"/>
    <w:rsid w:val="004E139A"/>
    <w:rsid w:val="004E1766"/>
    <w:rsid w:val="004E1992"/>
    <w:rsid w:val="004E22B3"/>
    <w:rsid w:val="004E23D0"/>
    <w:rsid w:val="004E2549"/>
    <w:rsid w:val="004E29B9"/>
    <w:rsid w:val="004E2C0E"/>
    <w:rsid w:val="004E2C6E"/>
    <w:rsid w:val="004E2FEB"/>
    <w:rsid w:val="004E300C"/>
    <w:rsid w:val="004E3114"/>
    <w:rsid w:val="004E337E"/>
    <w:rsid w:val="004E34E6"/>
    <w:rsid w:val="004E375F"/>
    <w:rsid w:val="004E3B19"/>
    <w:rsid w:val="004E3D53"/>
    <w:rsid w:val="004E41DC"/>
    <w:rsid w:val="004E4201"/>
    <w:rsid w:val="004E452D"/>
    <w:rsid w:val="004E4F57"/>
    <w:rsid w:val="004E52D4"/>
    <w:rsid w:val="004E5476"/>
    <w:rsid w:val="004E5A56"/>
    <w:rsid w:val="004E5ED3"/>
    <w:rsid w:val="004E5EE1"/>
    <w:rsid w:val="004E6085"/>
    <w:rsid w:val="004E60D8"/>
    <w:rsid w:val="004E65A0"/>
    <w:rsid w:val="004E678D"/>
    <w:rsid w:val="004E6925"/>
    <w:rsid w:val="004E6CDC"/>
    <w:rsid w:val="004E6D6E"/>
    <w:rsid w:val="004E73BC"/>
    <w:rsid w:val="004E7A79"/>
    <w:rsid w:val="004E7E25"/>
    <w:rsid w:val="004E7E77"/>
    <w:rsid w:val="004F0111"/>
    <w:rsid w:val="004F051C"/>
    <w:rsid w:val="004F066A"/>
    <w:rsid w:val="004F0779"/>
    <w:rsid w:val="004F0920"/>
    <w:rsid w:val="004F0A00"/>
    <w:rsid w:val="004F114B"/>
    <w:rsid w:val="004F1272"/>
    <w:rsid w:val="004F14CE"/>
    <w:rsid w:val="004F15F2"/>
    <w:rsid w:val="004F1D25"/>
    <w:rsid w:val="004F2331"/>
    <w:rsid w:val="004F2448"/>
    <w:rsid w:val="004F2807"/>
    <w:rsid w:val="004F3372"/>
    <w:rsid w:val="004F34CF"/>
    <w:rsid w:val="004F3970"/>
    <w:rsid w:val="004F4103"/>
    <w:rsid w:val="004F416D"/>
    <w:rsid w:val="004F4199"/>
    <w:rsid w:val="004F4487"/>
    <w:rsid w:val="004F4A19"/>
    <w:rsid w:val="004F4C52"/>
    <w:rsid w:val="004F52E5"/>
    <w:rsid w:val="004F5931"/>
    <w:rsid w:val="004F5C20"/>
    <w:rsid w:val="004F5C21"/>
    <w:rsid w:val="004F5CE8"/>
    <w:rsid w:val="004F5CF4"/>
    <w:rsid w:val="004F5E88"/>
    <w:rsid w:val="004F5F4E"/>
    <w:rsid w:val="004F633B"/>
    <w:rsid w:val="004F63CE"/>
    <w:rsid w:val="004F6426"/>
    <w:rsid w:val="004F65DF"/>
    <w:rsid w:val="004F69DB"/>
    <w:rsid w:val="004F6F42"/>
    <w:rsid w:val="004F7BA3"/>
    <w:rsid w:val="00500035"/>
    <w:rsid w:val="005002D8"/>
    <w:rsid w:val="0050049A"/>
    <w:rsid w:val="005008DC"/>
    <w:rsid w:val="00500C91"/>
    <w:rsid w:val="00500DD8"/>
    <w:rsid w:val="005010EA"/>
    <w:rsid w:val="00501316"/>
    <w:rsid w:val="00502318"/>
    <w:rsid w:val="005026A7"/>
    <w:rsid w:val="00502729"/>
    <w:rsid w:val="00502754"/>
    <w:rsid w:val="00502A97"/>
    <w:rsid w:val="005030A4"/>
    <w:rsid w:val="00503F54"/>
    <w:rsid w:val="0050422F"/>
    <w:rsid w:val="005048C4"/>
    <w:rsid w:val="0050492A"/>
    <w:rsid w:val="00504B9D"/>
    <w:rsid w:val="00505000"/>
    <w:rsid w:val="00505B04"/>
    <w:rsid w:val="00505C60"/>
    <w:rsid w:val="00506B93"/>
    <w:rsid w:val="00506BE4"/>
    <w:rsid w:val="0050736B"/>
    <w:rsid w:val="0050747D"/>
    <w:rsid w:val="00507A89"/>
    <w:rsid w:val="00510328"/>
    <w:rsid w:val="00510E35"/>
    <w:rsid w:val="00510EC7"/>
    <w:rsid w:val="00510EEF"/>
    <w:rsid w:val="00510FD2"/>
    <w:rsid w:val="00511CB1"/>
    <w:rsid w:val="00511EB5"/>
    <w:rsid w:val="00511FD3"/>
    <w:rsid w:val="0051206F"/>
    <w:rsid w:val="00512210"/>
    <w:rsid w:val="00512467"/>
    <w:rsid w:val="00512B34"/>
    <w:rsid w:val="00512DB0"/>
    <w:rsid w:val="005135DE"/>
    <w:rsid w:val="0051382E"/>
    <w:rsid w:val="00514057"/>
    <w:rsid w:val="0051438E"/>
    <w:rsid w:val="005146CD"/>
    <w:rsid w:val="00514F5F"/>
    <w:rsid w:val="005155C3"/>
    <w:rsid w:val="00515B98"/>
    <w:rsid w:val="0051643B"/>
    <w:rsid w:val="005165D0"/>
    <w:rsid w:val="0051672D"/>
    <w:rsid w:val="00516889"/>
    <w:rsid w:val="00517000"/>
    <w:rsid w:val="005177B3"/>
    <w:rsid w:val="00517D44"/>
    <w:rsid w:val="0052026C"/>
    <w:rsid w:val="005207F9"/>
    <w:rsid w:val="00520801"/>
    <w:rsid w:val="00520B78"/>
    <w:rsid w:val="00520BEE"/>
    <w:rsid w:val="00520F10"/>
    <w:rsid w:val="0052158C"/>
    <w:rsid w:val="00521B2B"/>
    <w:rsid w:val="00521F0D"/>
    <w:rsid w:val="00522514"/>
    <w:rsid w:val="005226C7"/>
    <w:rsid w:val="0052271B"/>
    <w:rsid w:val="005227BB"/>
    <w:rsid w:val="00522BAC"/>
    <w:rsid w:val="005232CE"/>
    <w:rsid w:val="00523365"/>
    <w:rsid w:val="005233E6"/>
    <w:rsid w:val="005236F0"/>
    <w:rsid w:val="005237C1"/>
    <w:rsid w:val="005237D0"/>
    <w:rsid w:val="005237E4"/>
    <w:rsid w:val="00523A67"/>
    <w:rsid w:val="00524213"/>
    <w:rsid w:val="00524662"/>
    <w:rsid w:val="005248E6"/>
    <w:rsid w:val="00524ED7"/>
    <w:rsid w:val="00525217"/>
    <w:rsid w:val="005252B5"/>
    <w:rsid w:val="00526145"/>
    <w:rsid w:val="00526156"/>
    <w:rsid w:val="0052668F"/>
    <w:rsid w:val="005267CA"/>
    <w:rsid w:val="00526972"/>
    <w:rsid w:val="00526D8C"/>
    <w:rsid w:val="00527321"/>
    <w:rsid w:val="005274AC"/>
    <w:rsid w:val="00527671"/>
    <w:rsid w:val="005276C5"/>
    <w:rsid w:val="00527840"/>
    <w:rsid w:val="00527B8D"/>
    <w:rsid w:val="00527F73"/>
    <w:rsid w:val="00530098"/>
    <w:rsid w:val="0053029E"/>
    <w:rsid w:val="005307CF"/>
    <w:rsid w:val="00530928"/>
    <w:rsid w:val="00530CB9"/>
    <w:rsid w:val="0053108A"/>
    <w:rsid w:val="00531AD9"/>
    <w:rsid w:val="00531B89"/>
    <w:rsid w:val="00531BCF"/>
    <w:rsid w:val="00531CD3"/>
    <w:rsid w:val="005320E0"/>
    <w:rsid w:val="005321FF"/>
    <w:rsid w:val="005325CA"/>
    <w:rsid w:val="00533145"/>
    <w:rsid w:val="005336F0"/>
    <w:rsid w:val="005337B2"/>
    <w:rsid w:val="005337F8"/>
    <w:rsid w:val="005339A7"/>
    <w:rsid w:val="00533A84"/>
    <w:rsid w:val="00534852"/>
    <w:rsid w:val="00534987"/>
    <w:rsid w:val="00535698"/>
    <w:rsid w:val="0053584D"/>
    <w:rsid w:val="00535876"/>
    <w:rsid w:val="00535BF8"/>
    <w:rsid w:val="00536313"/>
    <w:rsid w:val="0053712A"/>
    <w:rsid w:val="005379D5"/>
    <w:rsid w:val="00537BCE"/>
    <w:rsid w:val="00537BE6"/>
    <w:rsid w:val="00540001"/>
    <w:rsid w:val="00540592"/>
    <w:rsid w:val="00540868"/>
    <w:rsid w:val="0054090F"/>
    <w:rsid w:val="00540BFF"/>
    <w:rsid w:val="00540DD4"/>
    <w:rsid w:val="0054105D"/>
    <w:rsid w:val="00541506"/>
    <w:rsid w:val="00541522"/>
    <w:rsid w:val="00541656"/>
    <w:rsid w:val="00541BE6"/>
    <w:rsid w:val="00541ECB"/>
    <w:rsid w:val="00542330"/>
    <w:rsid w:val="00542436"/>
    <w:rsid w:val="00542606"/>
    <w:rsid w:val="005426A5"/>
    <w:rsid w:val="00542B9B"/>
    <w:rsid w:val="00542C07"/>
    <w:rsid w:val="0054301F"/>
    <w:rsid w:val="005432CD"/>
    <w:rsid w:val="0054340C"/>
    <w:rsid w:val="00543D60"/>
    <w:rsid w:val="00543FFE"/>
    <w:rsid w:val="00544273"/>
    <w:rsid w:val="0054495C"/>
    <w:rsid w:val="005458FF"/>
    <w:rsid w:val="005459F8"/>
    <w:rsid w:val="00545AA1"/>
    <w:rsid w:val="00545CC8"/>
    <w:rsid w:val="0054645E"/>
    <w:rsid w:val="00546694"/>
    <w:rsid w:val="00546871"/>
    <w:rsid w:val="005470A2"/>
    <w:rsid w:val="00547171"/>
    <w:rsid w:val="0054741A"/>
    <w:rsid w:val="005476AA"/>
    <w:rsid w:val="00547AF6"/>
    <w:rsid w:val="00550002"/>
    <w:rsid w:val="0055011A"/>
    <w:rsid w:val="00550127"/>
    <w:rsid w:val="00550595"/>
    <w:rsid w:val="00550C4C"/>
    <w:rsid w:val="005519A4"/>
    <w:rsid w:val="00551AF1"/>
    <w:rsid w:val="00551BB0"/>
    <w:rsid w:val="00551D7A"/>
    <w:rsid w:val="0055204F"/>
    <w:rsid w:val="00552063"/>
    <w:rsid w:val="0055208C"/>
    <w:rsid w:val="005521C5"/>
    <w:rsid w:val="00552A36"/>
    <w:rsid w:val="00552B48"/>
    <w:rsid w:val="00552BC3"/>
    <w:rsid w:val="00552C16"/>
    <w:rsid w:val="00552CC0"/>
    <w:rsid w:val="00552E4F"/>
    <w:rsid w:val="00552EF9"/>
    <w:rsid w:val="00553240"/>
    <w:rsid w:val="005535AF"/>
    <w:rsid w:val="00553AB9"/>
    <w:rsid w:val="00553ABE"/>
    <w:rsid w:val="00553F20"/>
    <w:rsid w:val="005540B7"/>
    <w:rsid w:val="005542FB"/>
    <w:rsid w:val="0055470E"/>
    <w:rsid w:val="005548B4"/>
    <w:rsid w:val="00554A02"/>
    <w:rsid w:val="00554BED"/>
    <w:rsid w:val="00555342"/>
    <w:rsid w:val="005553B8"/>
    <w:rsid w:val="005556ED"/>
    <w:rsid w:val="00555BE7"/>
    <w:rsid w:val="00556178"/>
    <w:rsid w:val="005562FA"/>
    <w:rsid w:val="0055681B"/>
    <w:rsid w:val="00556AA0"/>
    <w:rsid w:val="00556B4A"/>
    <w:rsid w:val="00556CEA"/>
    <w:rsid w:val="00556F02"/>
    <w:rsid w:val="00556FC9"/>
    <w:rsid w:val="00557119"/>
    <w:rsid w:val="00557540"/>
    <w:rsid w:val="00557750"/>
    <w:rsid w:val="0055788F"/>
    <w:rsid w:val="00557EA5"/>
    <w:rsid w:val="00560428"/>
    <w:rsid w:val="0056051E"/>
    <w:rsid w:val="005609E4"/>
    <w:rsid w:val="00560B80"/>
    <w:rsid w:val="00560C33"/>
    <w:rsid w:val="00560D3E"/>
    <w:rsid w:val="00560E54"/>
    <w:rsid w:val="00560EEF"/>
    <w:rsid w:val="00560FE4"/>
    <w:rsid w:val="00561200"/>
    <w:rsid w:val="005613DC"/>
    <w:rsid w:val="005614E8"/>
    <w:rsid w:val="005615CF"/>
    <w:rsid w:val="00561670"/>
    <w:rsid w:val="005616DF"/>
    <w:rsid w:val="005617C7"/>
    <w:rsid w:val="00561B27"/>
    <w:rsid w:val="00561D3E"/>
    <w:rsid w:val="00561DCF"/>
    <w:rsid w:val="00561E36"/>
    <w:rsid w:val="00562597"/>
    <w:rsid w:val="00562794"/>
    <w:rsid w:val="0056280F"/>
    <w:rsid w:val="005628D4"/>
    <w:rsid w:val="00562FD6"/>
    <w:rsid w:val="005635B8"/>
    <w:rsid w:val="00563DAD"/>
    <w:rsid w:val="00564117"/>
    <w:rsid w:val="0056418B"/>
    <w:rsid w:val="00564421"/>
    <w:rsid w:val="0056444D"/>
    <w:rsid w:val="005649A9"/>
    <w:rsid w:val="00564A81"/>
    <w:rsid w:val="00564C3C"/>
    <w:rsid w:val="00565029"/>
    <w:rsid w:val="005650BE"/>
    <w:rsid w:val="005651DC"/>
    <w:rsid w:val="00565CA4"/>
    <w:rsid w:val="00565DE5"/>
    <w:rsid w:val="0056662B"/>
    <w:rsid w:val="0056691B"/>
    <w:rsid w:val="00566AD5"/>
    <w:rsid w:val="00566BF9"/>
    <w:rsid w:val="00566C8E"/>
    <w:rsid w:val="005670D7"/>
    <w:rsid w:val="00567438"/>
    <w:rsid w:val="0056745B"/>
    <w:rsid w:val="00567501"/>
    <w:rsid w:val="005677FD"/>
    <w:rsid w:val="00567951"/>
    <w:rsid w:val="00567AA0"/>
    <w:rsid w:val="005700A1"/>
    <w:rsid w:val="005700C9"/>
    <w:rsid w:val="00570161"/>
    <w:rsid w:val="005704AA"/>
    <w:rsid w:val="005707A4"/>
    <w:rsid w:val="00570866"/>
    <w:rsid w:val="005708DE"/>
    <w:rsid w:val="00570D37"/>
    <w:rsid w:val="00571199"/>
    <w:rsid w:val="00571268"/>
    <w:rsid w:val="00571F8A"/>
    <w:rsid w:val="00572A45"/>
    <w:rsid w:val="00572B7E"/>
    <w:rsid w:val="00572E12"/>
    <w:rsid w:val="00572E93"/>
    <w:rsid w:val="005730B8"/>
    <w:rsid w:val="00573222"/>
    <w:rsid w:val="0057327C"/>
    <w:rsid w:val="005732E4"/>
    <w:rsid w:val="00573315"/>
    <w:rsid w:val="0057370D"/>
    <w:rsid w:val="00573770"/>
    <w:rsid w:val="00573917"/>
    <w:rsid w:val="00573EA8"/>
    <w:rsid w:val="005741E2"/>
    <w:rsid w:val="00574396"/>
    <w:rsid w:val="005743F0"/>
    <w:rsid w:val="00574AA4"/>
    <w:rsid w:val="00574C49"/>
    <w:rsid w:val="00574CAC"/>
    <w:rsid w:val="00574CCD"/>
    <w:rsid w:val="00574E78"/>
    <w:rsid w:val="00575AFA"/>
    <w:rsid w:val="00575DD1"/>
    <w:rsid w:val="00575E59"/>
    <w:rsid w:val="00575F10"/>
    <w:rsid w:val="00575FC4"/>
    <w:rsid w:val="00576027"/>
    <w:rsid w:val="005761D3"/>
    <w:rsid w:val="00576529"/>
    <w:rsid w:val="005769E2"/>
    <w:rsid w:val="00576E0C"/>
    <w:rsid w:val="00576F0D"/>
    <w:rsid w:val="0057746D"/>
    <w:rsid w:val="00577711"/>
    <w:rsid w:val="005779F8"/>
    <w:rsid w:val="00580A70"/>
    <w:rsid w:val="00580BEC"/>
    <w:rsid w:val="005811A9"/>
    <w:rsid w:val="0058121D"/>
    <w:rsid w:val="0058143D"/>
    <w:rsid w:val="00581BE2"/>
    <w:rsid w:val="00581C53"/>
    <w:rsid w:val="00581F49"/>
    <w:rsid w:val="00582041"/>
    <w:rsid w:val="0058234F"/>
    <w:rsid w:val="00582517"/>
    <w:rsid w:val="00582C7D"/>
    <w:rsid w:val="00582E0D"/>
    <w:rsid w:val="0058402E"/>
    <w:rsid w:val="00584403"/>
    <w:rsid w:val="0058463E"/>
    <w:rsid w:val="0058472A"/>
    <w:rsid w:val="0058480C"/>
    <w:rsid w:val="00584855"/>
    <w:rsid w:val="00584CBA"/>
    <w:rsid w:val="00584D33"/>
    <w:rsid w:val="00585104"/>
    <w:rsid w:val="0058515D"/>
    <w:rsid w:val="0058521A"/>
    <w:rsid w:val="005858CD"/>
    <w:rsid w:val="00585ACD"/>
    <w:rsid w:val="00585BE6"/>
    <w:rsid w:val="00585F6B"/>
    <w:rsid w:val="0058649E"/>
    <w:rsid w:val="00587AB5"/>
    <w:rsid w:val="00587C38"/>
    <w:rsid w:val="00590457"/>
    <w:rsid w:val="00590D44"/>
    <w:rsid w:val="005916FD"/>
    <w:rsid w:val="00591ADB"/>
    <w:rsid w:val="00591B39"/>
    <w:rsid w:val="00591C59"/>
    <w:rsid w:val="00592183"/>
    <w:rsid w:val="0059244F"/>
    <w:rsid w:val="00592A01"/>
    <w:rsid w:val="00592ACD"/>
    <w:rsid w:val="00592F5D"/>
    <w:rsid w:val="005933AB"/>
    <w:rsid w:val="005933EB"/>
    <w:rsid w:val="0059341B"/>
    <w:rsid w:val="00593441"/>
    <w:rsid w:val="00593723"/>
    <w:rsid w:val="005938C2"/>
    <w:rsid w:val="00593BCE"/>
    <w:rsid w:val="005940A8"/>
    <w:rsid w:val="0059457B"/>
    <w:rsid w:val="0059540D"/>
    <w:rsid w:val="005959F0"/>
    <w:rsid w:val="00595D3C"/>
    <w:rsid w:val="00595DDE"/>
    <w:rsid w:val="00596256"/>
    <w:rsid w:val="005964F4"/>
    <w:rsid w:val="0059724A"/>
    <w:rsid w:val="00597D1C"/>
    <w:rsid w:val="00597ECD"/>
    <w:rsid w:val="005A0044"/>
    <w:rsid w:val="005A0558"/>
    <w:rsid w:val="005A0F7F"/>
    <w:rsid w:val="005A0FCA"/>
    <w:rsid w:val="005A10EA"/>
    <w:rsid w:val="005A146B"/>
    <w:rsid w:val="005A1488"/>
    <w:rsid w:val="005A1838"/>
    <w:rsid w:val="005A189B"/>
    <w:rsid w:val="005A1AA2"/>
    <w:rsid w:val="005A1D5D"/>
    <w:rsid w:val="005A1F35"/>
    <w:rsid w:val="005A207F"/>
    <w:rsid w:val="005A2113"/>
    <w:rsid w:val="005A2302"/>
    <w:rsid w:val="005A26FD"/>
    <w:rsid w:val="005A2815"/>
    <w:rsid w:val="005A2821"/>
    <w:rsid w:val="005A29C1"/>
    <w:rsid w:val="005A2B17"/>
    <w:rsid w:val="005A342F"/>
    <w:rsid w:val="005A3462"/>
    <w:rsid w:val="005A3FC6"/>
    <w:rsid w:val="005A431B"/>
    <w:rsid w:val="005A4730"/>
    <w:rsid w:val="005A4BD2"/>
    <w:rsid w:val="005A50E3"/>
    <w:rsid w:val="005A51BD"/>
    <w:rsid w:val="005A612B"/>
    <w:rsid w:val="005A621C"/>
    <w:rsid w:val="005A6558"/>
    <w:rsid w:val="005A661F"/>
    <w:rsid w:val="005A6703"/>
    <w:rsid w:val="005A6976"/>
    <w:rsid w:val="005A6A3F"/>
    <w:rsid w:val="005A6C8A"/>
    <w:rsid w:val="005A71E8"/>
    <w:rsid w:val="005A726B"/>
    <w:rsid w:val="005A740C"/>
    <w:rsid w:val="005A7521"/>
    <w:rsid w:val="005A7613"/>
    <w:rsid w:val="005A761F"/>
    <w:rsid w:val="005A79BF"/>
    <w:rsid w:val="005A7C55"/>
    <w:rsid w:val="005A7C5D"/>
    <w:rsid w:val="005B0113"/>
    <w:rsid w:val="005B02F2"/>
    <w:rsid w:val="005B0CF0"/>
    <w:rsid w:val="005B0FE5"/>
    <w:rsid w:val="005B1448"/>
    <w:rsid w:val="005B14C7"/>
    <w:rsid w:val="005B150D"/>
    <w:rsid w:val="005B1568"/>
    <w:rsid w:val="005B1AE0"/>
    <w:rsid w:val="005B1B42"/>
    <w:rsid w:val="005B1E27"/>
    <w:rsid w:val="005B2242"/>
    <w:rsid w:val="005B2462"/>
    <w:rsid w:val="005B2A3C"/>
    <w:rsid w:val="005B2CD3"/>
    <w:rsid w:val="005B2CD7"/>
    <w:rsid w:val="005B2F0B"/>
    <w:rsid w:val="005B366C"/>
    <w:rsid w:val="005B3F6F"/>
    <w:rsid w:val="005B44D1"/>
    <w:rsid w:val="005B479F"/>
    <w:rsid w:val="005B491D"/>
    <w:rsid w:val="005B53DC"/>
    <w:rsid w:val="005B5A53"/>
    <w:rsid w:val="005B5C32"/>
    <w:rsid w:val="005B5D39"/>
    <w:rsid w:val="005B5E4C"/>
    <w:rsid w:val="005B6CBF"/>
    <w:rsid w:val="005B6CC0"/>
    <w:rsid w:val="005B7A21"/>
    <w:rsid w:val="005B7F80"/>
    <w:rsid w:val="005C0211"/>
    <w:rsid w:val="005C02CC"/>
    <w:rsid w:val="005C06CC"/>
    <w:rsid w:val="005C0996"/>
    <w:rsid w:val="005C09B6"/>
    <w:rsid w:val="005C0BF5"/>
    <w:rsid w:val="005C0FE6"/>
    <w:rsid w:val="005C1351"/>
    <w:rsid w:val="005C13C5"/>
    <w:rsid w:val="005C1506"/>
    <w:rsid w:val="005C1FFF"/>
    <w:rsid w:val="005C229F"/>
    <w:rsid w:val="005C24AA"/>
    <w:rsid w:val="005C2DDA"/>
    <w:rsid w:val="005C310E"/>
    <w:rsid w:val="005C334E"/>
    <w:rsid w:val="005C36E7"/>
    <w:rsid w:val="005C42F3"/>
    <w:rsid w:val="005C48E1"/>
    <w:rsid w:val="005C4980"/>
    <w:rsid w:val="005C4ADE"/>
    <w:rsid w:val="005C4C9F"/>
    <w:rsid w:val="005C5239"/>
    <w:rsid w:val="005C5A11"/>
    <w:rsid w:val="005C5DE4"/>
    <w:rsid w:val="005C5FD5"/>
    <w:rsid w:val="005C63A9"/>
    <w:rsid w:val="005C63B1"/>
    <w:rsid w:val="005C69BC"/>
    <w:rsid w:val="005C6FFD"/>
    <w:rsid w:val="005C797D"/>
    <w:rsid w:val="005D03B0"/>
    <w:rsid w:val="005D0506"/>
    <w:rsid w:val="005D0576"/>
    <w:rsid w:val="005D06D9"/>
    <w:rsid w:val="005D0B58"/>
    <w:rsid w:val="005D0B95"/>
    <w:rsid w:val="005D0D4F"/>
    <w:rsid w:val="005D103D"/>
    <w:rsid w:val="005D172C"/>
    <w:rsid w:val="005D17AD"/>
    <w:rsid w:val="005D1DB9"/>
    <w:rsid w:val="005D2127"/>
    <w:rsid w:val="005D230F"/>
    <w:rsid w:val="005D2420"/>
    <w:rsid w:val="005D24F3"/>
    <w:rsid w:val="005D2675"/>
    <w:rsid w:val="005D2B73"/>
    <w:rsid w:val="005D2F9E"/>
    <w:rsid w:val="005D327C"/>
    <w:rsid w:val="005D336A"/>
    <w:rsid w:val="005D3B94"/>
    <w:rsid w:val="005D3E58"/>
    <w:rsid w:val="005D3EBF"/>
    <w:rsid w:val="005D44B7"/>
    <w:rsid w:val="005D46FE"/>
    <w:rsid w:val="005D4A7C"/>
    <w:rsid w:val="005D4B5D"/>
    <w:rsid w:val="005D4C1E"/>
    <w:rsid w:val="005D4E5C"/>
    <w:rsid w:val="005D4F52"/>
    <w:rsid w:val="005D53CE"/>
    <w:rsid w:val="005D5DDD"/>
    <w:rsid w:val="005D61F6"/>
    <w:rsid w:val="005D6239"/>
    <w:rsid w:val="005D6AC9"/>
    <w:rsid w:val="005D6ACA"/>
    <w:rsid w:val="005D6BE8"/>
    <w:rsid w:val="005D716F"/>
    <w:rsid w:val="005D766D"/>
    <w:rsid w:val="005D793B"/>
    <w:rsid w:val="005D7A62"/>
    <w:rsid w:val="005D7C5C"/>
    <w:rsid w:val="005D7CAA"/>
    <w:rsid w:val="005E03CC"/>
    <w:rsid w:val="005E04C4"/>
    <w:rsid w:val="005E072B"/>
    <w:rsid w:val="005E0B8C"/>
    <w:rsid w:val="005E10EA"/>
    <w:rsid w:val="005E1136"/>
    <w:rsid w:val="005E1978"/>
    <w:rsid w:val="005E2512"/>
    <w:rsid w:val="005E280A"/>
    <w:rsid w:val="005E2872"/>
    <w:rsid w:val="005E28C3"/>
    <w:rsid w:val="005E311E"/>
    <w:rsid w:val="005E3439"/>
    <w:rsid w:val="005E4267"/>
    <w:rsid w:val="005E4A71"/>
    <w:rsid w:val="005E5582"/>
    <w:rsid w:val="005E5655"/>
    <w:rsid w:val="005E5FDD"/>
    <w:rsid w:val="005E61F9"/>
    <w:rsid w:val="005E634B"/>
    <w:rsid w:val="005E6412"/>
    <w:rsid w:val="005E6634"/>
    <w:rsid w:val="005E6675"/>
    <w:rsid w:val="005E6B8E"/>
    <w:rsid w:val="005E70A1"/>
    <w:rsid w:val="005E74ED"/>
    <w:rsid w:val="005E77ED"/>
    <w:rsid w:val="005E7B81"/>
    <w:rsid w:val="005F0000"/>
    <w:rsid w:val="005F01C8"/>
    <w:rsid w:val="005F0279"/>
    <w:rsid w:val="005F0416"/>
    <w:rsid w:val="005F0485"/>
    <w:rsid w:val="005F1A48"/>
    <w:rsid w:val="005F1D5B"/>
    <w:rsid w:val="005F1D97"/>
    <w:rsid w:val="005F1F1F"/>
    <w:rsid w:val="005F20CB"/>
    <w:rsid w:val="005F252D"/>
    <w:rsid w:val="005F25D7"/>
    <w:rsid w:val="005F276A"/>
    <w:rsid w:val="005F2C9C"/>
    <w:rsid w:val="005F33A9"/>
    <w:rsid w:val="005F359F"/>
    <w:rsid w:val="005F3A0E"/>
    <w:rsid w:val="005F3A88"/>
    <w:rsid w:val="005F3B4E"/>
    <w:rsid w:val="005F3C1B"/>
    <w:rsid w:val="005F414D"/>
    <w:rsid w:val="005F4391"/>
    <w:rsid w:val="005F4482"/>
    <w:rsid w:val="005F4B57"/>
    <w:rsid w:val="005F4FEE"/>
    <w:rsid w:val="005F5079"/>
    <w:rsid w:val="005F54EC"/>
    <w:rsid w:val="005F5A41"/>
    <w:rsid w:val="005F5CF2"/>
    <w:rsid w:val="005F5EE2"/>
    <w:rsid w:val="005F607B"/>
    <w:rsid w:val="005F61C4"/>
    <w:rsid w:val="005F670B"/>
    <w:rsid w:val="005F68B5"/>
    <w:rsid w:val="005F6F04"/>
    <w:rsid w:val="005F710A"/>
    <w:rsid w:val="005F772B"/>
    <w:rsid w:val="005F7786"/>
    <w:rsid w:val="0060009D"/>
    <w:rsid w:val="006002E7"/>
    <w:rsid w:val="006006EE"/>
    <w:rsid w:val="0060085A"/>
    <w:rsid w:val="00600AAB"/>
    <w:rsid w:val="00600AB7"/>
    <w:rsid w:val="00600AF4"/>
    <w:rsid w:val="00600F19"/>
    <w:rsid w:val="00601BD4"/>
    <w:rsid w:val="00601F2E"/>
    <w:rsid w:val="006022F3"/>
    <w:rsid w:val="0060242A"/>
    <w:rsid w:val="006025C5"/>
    <w:rsid w:val="00602606"/>
    <w:rsid w:val="00602B8E"/>
    <w:rsid w:val="00602C54"/>
    <w:rsid w:val="006030AF"/>
    <w:rsid w:val="006034AB"/>
    <w:rsid w:val="006034BD"/>
    <w:rsid w:val="006036B2"/>
    <w:rsid w:val="00603892"/>
    <w:rsid w:val="006038E6"/>
    <w:rsid w:val="00603B47"/>
    <w:rsid w:val="00603C1B"/>
    <w:rsid w:val="00603C3A"/>
    <w:rsid w:val="00603DDD"/>
    <w:rsid w:val="0060417B"/>
    <w:rsid w:val="00604C2B"/>
    <w:rsid w:val="00604C74"/>
    <w:rsid w:val="00604D26"/>
    <w:rsid w:val="0060517F"/>
    <w:rsid w:val="00605242"/>
    <w:rsid w:val="0060548B"/>
    <w:rsid w:val="00605595"/>
    <w:rsid w:val="00605A84"/>
    <w:rsid w:val="00605BEA"/>
    <w:rsid w:val="006067F3"/>
    <w:rsid w:val="00606B2B"/>
    <w:rsid w:val="00606D3D"/>
    <w:rsid w:val="00606F15"/>
    <w:rsid w:val="00607298"/>
    <w:rsid w:val="0060730B"/>
    <w:rsid w:val="00607D8E"/>
    <w:rsid w:val="00610019"/>
    <w:rsid w:val="00610317"/>
    <w:rsid w:val="0061033C"/>
    <w:rsid w:val="006103B8"/>
    <w:rsid w:val="00610522"/>
    <w:rsid w:val="00610932"/>
    <w:rsid w:val="00610A19"/>
    <w:rsid w:val="00610DB6"/>
    <w:rsid w:val="0061142D"/>
    <w:rsid w:val="00611916"/>
    <w:rsid w:val="00611B64"/>
    <w:rsid w:val="006124DA"/>
    <w:rsid w:val="0061271D"/>
    <w:rsid w:val="006127E2"/>
    <w:rsid w:val="0061287D"/>
    <w:rsid w:val="00612918"/>
    <w:rsid w:val="00612FF4"/>
    <w:rsid w:val="0061301C"/>
    <w:rsid w:val="0061377F"/>
    <w:rsid w:val="006142FD"/>
    <w:rsid w:val="0061459E"/>
    <w:rsid w:val="00614884"/>
    <w:rsid w:val="0061488A"/>
    <w:rsid w:val="006151D5"/>
    <w:rsid w:val="006156B4"/>
    <w:rsid w:val="00615A8E"/>
    <w:rsid w:val="00615C16"/>
    <w:rsid w:val="006161EF"/>
    <w:rsid w:val="00616943"/>
    <w:rsid w:val="00616A44"/>
    <w:rsid w:val="00616ADE"/>
    <w:rsid w:val="00616AFD"/>
    <w:rsid w:val="00616C60"/>
    <w:rsid w:val="00616D1C"/>
    <w:rsid w:val="006172AA"/>
    <w:rsid w:val="0061733E"/>
    <w:rsid w:val="00617DB3"/>
    <w:rsid w:val="00617FEF"/>
    <w:rsid w:val="006202D5"/>
    <w:rsid w:val="00620699"/>
    <w:rsid w:val="0062073D"/>
    <w:rsid w:val="00620A9C"/>
    <w:rsid w:val="00620B28"/>
    <w:rsid w:val="00621A0A"/>
    <w:rsid w:val="00621A2F"/>
    <w:rsid w:val="006220B0"/>
    <w:rsid w:val="00622440"/>
    <w:rsid w:val="006225BA"/>
    <w:rsid w:val="00622ABB"/>
    <w:rsid w:val="00622C2B"/>
    <w:rsid w:val="006231E8"/>
    <w:rsid w:val="006235E9"/>
    <w:rsid w:val="006237BA"/>
    <w:rsid w:val="00623E21"/>
    <w:rsid w:val="006241FB"/>
    <w:rsid w:val="00624292"/>
    <w:rsid w:val="0062437B"/>
    <w:rsid w:val="0062457E"/>
    <w:rsid w:val="006249E4"/>
    <w:rsid w:val="00624FFB"/>
    <w:rsid w:val="00625365"/>
    <w:rsid w:val="006255B2"/>
    <w:rsid w:val="00625993"/>
    <w:rsid w:val="00625E49"/>
    <w:rsid w:val="0062605F"/>
    <w:rsid w:val="006263F6"/>
    <w:rsid w:val="00626BEB"/>
    <w:rsid w:val="00626F36"/>
    <w:rsid w:val="00630527"/>
    <w:rsid w:val="0063074C"/>
    <w:rsid w:val="0063094D"/>
    <w:rsid w:val="006309B1"/>
    <w:rsid w:val="00630E72"/>
    <w:rsid w:val="00630EC9"/>
    <w:rsid w:val="00630FD2"/>
    <w:rsid w:val="00631244"/>
    <w:rsid w:val="006312B0"/>
    <w:rsid w:val="006314AD"/>
    <w:rsid w:val="0063151C"/>
    <w:rsid w:val="00631BA2"/>
    <w:rsid w:val="00631D9E"/>
    <w:rsid w:val="00631DE4"/>
    <w:rsid w:val="00631F5A"/>
    <w:rsid w:val="00632031"/>
    <w:rsid w:val="0063217A"/>
    <w:rsid w:val="00632217"/>
    <w:rsid w:val="006323A5"/>
    <w:rsid w:val="00632A2E"/>
    <w:rsid w:val="00632C5B"/>
    <w:rsid w:val="00632E75"/>
    <w:rsid w:val="006330B8"/>
    <w:rsid w:val="00633175"/>
    <w:rsid w:val="0063348B"/>
    <w:rsid w:val="00633697"/>
    <w:rsid w:val="0063386C"/>
    <w:rsid w:val="00633E27"/>
    <w:rsid w:val="00633F5F"/>
    <w:rsid w:val="00634663"/>
    <w:rsid w:val="00634681"/>
    <w:rsid w:val="0063476C"/>
    <w:rsid w:val="0063478F"/>
    <w:rsid w:val="00634B91"/>
    <w:rsid w:val="00634BB7"/>
    <w:rsid w:val="00634FD2"/>
    <w:rsid w:val="00635E13"/>
    <w:rsid w:val="00635FE0"/>
    <w:rsid w:val="0063602C"/>
    <w:rsid w:val="00636087"/>
    <w:rsid w:val="00636135"/>
    <w:rsid w:val="00636184"/>
    <w:rsid w:val="00636874"/>
    <w:rsid w:val="00636A15"/>
    <w:rsid w:val="00636E42"/>
    <w:rsid w:val="006379B1"/>
    <w:rsid w:val="00637A1F"/>
    <w:rsid w:val="00637C81"/>
    <w:rsid w:val="00637F0C"/>
    <w:rsid w:val="00640416"/>
    <w:rsid w:val="0064051E"/>
    <w:rsid w:val="006405E2"/>
    <w:rsid w:val="00640773"/>
    <w:rsid w:val="00640937"/>
    <w:rsid w:val="0064116C"/>
    <w:rsid w:val="00641597"/>
    <w:rsid w:val="006415C8"/>
    <w:rsid w:val="00641998"/>
    <w:rsid w:val="00641A90"/>
    <w:rsid w:val="00641E85"/>
    <w:rsid w:val="00641F42"/>
    <w:rsid w:val="00642260"/>
    <w:rsid w:val="0064282F"/>
    <w:rsid w:val="00642CE7"/>
    <w:rsid w:val="00642E55"/>
    <w:rsid w:val="006430F5"/>
    <w:rsid w:val="006442A3"/>
    <w:rsid w:val="006443D8"/>
    <w:rsid w:val="006448F5"/>
    <w:rsid w:val="00644C1F"/>
    <w:rsid w:val="00644D63"/>
    <w:rsid w:val="00645021"/>
    <w:rsid w:val="00645231"/>
    <w:rsid w:val="0064524C"/>
    <w:rsid w:val="006456DA"/>
    <w:rsid w:val="006457C3"/>
    <w:rsid w:val="00645878"/>
    <w:rsid w:val="00645E6B"/>
    <w:rsid w:val="006467C4"/>
    <w:rsid w:val="00646A19"/>
    <w:rsid w:val="00647076"/>
    <w:rsid w:val="006470D3"/>
    <w:rsid w:val="006475DE"/>
    <w:rsid w:val="0064771E"/>
    <w:rsid w:val="00647A42"/>
    <w:rsid w:val="00647EEA"/>
    <w:rsid w:val="006505F3"/>
    <w:rsid w:val="006506FA"/>
    <w:rsid w:val="00650880"/>
    <w:rsid w:val="006508F1"/>
    <w:rsid w:val="00650E0A"/>
    <w:rsid w:val="00651232"/>
    <w:rsid w:val="00651254"/>
    <w:rsid w:val="00651992"/>
    <w:rsid w:val="00651C6C"/>
    <w:rsid w:val="00651CDA"/>
    <w:rsid w:val="00651D13"/>
    <w:rsid w:val="00651FAE"/>
    <w:rsid w:val="00652196"/>
    <w:rsid w:val="006525BE"/>
    <w:rsid w:val="006532D0"/>
    <w:rsid w:val="0065351E"/>
    <w:rsid w:val="006539FC"/>
    <w:rsid w:val="00653A72"/>
    <w:rsid w:val="00653EC7"/>
    <w:rsid w:val="00654123"/>
    <w:rsid w:val="006544A8"/>
    <w:rsid w:val="00654A67"/>
    <w:rsid w:val="00654B15"/>
    <w:rsid w:val="00654B21"/>
    <w:rsid w:val="00654C50"/>
    <w:rsid w:val="00654CA1"/>
    <w:rsid w:val="006550BB"/>
    <w:rsid w:val="00655539"/>
    <w:rsid w:val="00655851"/>
    <w:rsid w:val="00655979"/>
    <w:rsid w:val="006563AB"/>
    <w:rsid w:val="00657051"/>
    <w:rsid w:val="006572A6"/>
    <w:rsid w:val="00657B32"/>
    <w:rsid w:val="00660423"/>
    <w:rsid w:val="0066059D"/>
    <w:rsid w:val="006608AE"/>
    <w:rsid w:val="00660C18"/>
    <w:rsid w:val="00660D93"/>
    <w:rsid w:val="00661264"/>
    <w:rsid w:val="006617EB"/>
    <w:rsid w:val="00661CEF"/>
    <w:rsid w:val="00661E68"/>
    <w:rsid w:val="00661F02"/>
    <w:rsid w:val="00661F05"/>
    <w:rsid w:val="00661FF4"/>
    <w:rsid w:val="00662211"/>
    <w:rsid w:val="006629C4"/>
    <w:rsid w:val="006629EC"/>
    <w:rsid w:val="00662A23"/>
    <w:rsid w:val="00662BE9"/>
    <w:rsid w:val="00662CBC"/>
    <w:rsid w:val="006630F9"/>
    <w:rsid w:val="0066311D"/>
    <w:rsid w:val="00663222"/>
    <w:rsid w:val="00663496"/>
    <w:rsid w:val="006634FA"/>
    <w:rsid w:val="006638D4"/>
    <w:rsid w:val="00663DF8"/>
    <w:rsid w:val="0066450F"/>
    <w:rsid w:val="00664D29"/>
    <w:rsid w:val="00664D88"/>
    <w:rsid w:val="00664F80"/>
    <w:rsid w:val="0066570A"/>
    <w:rsid w:val="006657C8"/>
    <w:rsid w:val="006659C9"/>
    <w:rsid w:val="00665AB8"/>
    <w:rsid w:val="00665B15"/>
    <w:rsid w:val="00665D49"/>
    <w:rsid w:val="00665E05"/>
    <w:rsid w:val="0066658F"/>
    <w:rsid w:val="00666661"/>
    <w:rsid w:val="00666993"/>
    <w:rsid w:val="006673EF"/>
    <w:rsid w:val="006675DC"/>
    <w:rsid w:val="0066765D"/>
    <w:rsid w:val="00667877"/>
    <w:rsid w:val="00667B5F"/>
    <w:rsid w:val="00670020"/>
    <w:rsid w:val="006701D5"/>
    <w:rsid w:val="00670233"/>
    <w:rsid w:val="006703F7"/>
    <w:rsid w:val="00670BB1"/>
    <w:rsid w:val="00670FB1"/>
    <w:rsid w:val="00671138"/>
    <w:rsid w:val="006712F4"/>
    <w:rsid w:val="00671B58"/>
    <w:rsid w:val="00671E76"/>
    <w:rsid w:val="00671FC6"/>
    <w:rsid w:val="00671FD9"/>
    <w:rsid w:val="00672114"/>
    <w:rsid w:val="00672208"/>
    <w:rsid w:val="00672472"/>
    <w:rsid w:val="00672573"/>
    <w:rsid w:val="00672FA7"/>
    <w:rsid w:val="00673374"/>
    <w:rsid w:val="00673686"/>
    <w:rsid w:val="006736CE"/>
    <w:rsid w:val="00673C0C"/>
    <w:rsid w:val="00673D71"/>
    <w:rsid w:val="00673F8A"/>
    <w:rsid w:val="006740D9"/>
    <w:rsid w:val="006741E2"/>
    <w:rsid w:val="006743E5"/>
    <w:rsid w:val="006745E8"/>
    <w:rsid w:val="006747F6"/>
    <w:rsid w:val="00674889"/>
    <w:rsid w:val="00675589"/>
    <w:rsid w:val="00675BF1"/>
    <w:rsid w:val="00675C79"/>
    <w:rsid w:val="00675D4C"/>
    <w:rsid w:val="00675D9B"/>
    <w:rsid w:val="00676086"/>
    <w:rsid w:val="006764B0"/>
    <w:rsid w:val="00676B0E"/>
    <w:rsid w:val="006772D4"/>
    <w:rsid w:val="00677477"/>
    <w:rsid w:val="006776B4"/>
    <w:rsid w:val="006776BD"/>
    <w:rsid w:val="00680198"/>
    <w:rsid w:val="00680711"/>
    <w:rsid w:val="00680844"/>
    <w:rsid w:val="00680D2C"/>
    <w:rsid w:val="00680E39"/>
    <w:rsid w:val="00681093"/>
    <w:rsid w:val="00681472"/>
    <w:rsid w:val="00681956"/>
    <w:rsid w:val="006819A1"/>
    <w:rsid w:val="00681AB4"/>
    <w:rsid w:val="006827E4"/>
    <w:rsid w:val="00682DD8"/>
    <w:rsid w:val="006831E6"/>
    <w:rsid w:val="00683690"/>
    <w:rsid w:val="00683809"/>
    <w:rsid w:val="0068400B"/>
    <w:rsid w:val="006844AD"/>
    <w:rsid w:val="00684651"/>
    <w:rsid w:val="006849F5"/>
    <w:rsid w:val="00684A44"/>
    <w:rsid w:val="00684BE9"/>
    <w:rsid w:val="00684E16"/>
    <w:rsid w:val="0068511E"/>
    <w:rsid w:val="00685229"/>
    <w:rsid w:val="00685546"/>
    <w:rsid w:val="0068561A"/>
    <w:rsid w:val="00685852"/>
    <w:rsid w:val="006858DB"/>
    <w:rsid w:val="00685E55"/>
    <w:rsid w:val="00686542"/>
    <w:rsid w:val="0068661A"/>
    <w:rsid w:val="00686B76"/>
    <w:rsid w:val="0068727D"/>
    <w:rsid w:val="00687312"/>
    <w:rsid w:val="0068736C"/>
    <w:rsid w:val="006875CA"/>
    <w:rsid w:val="00690449"/>
    <w:rsid w:val="006906B5"/>
    <w:rsid w:val="006907B8"/>
    <w:rsid w:val="00690A92"/>
    <w:rsid w:val="00690B4B"/>
    <w:rsid w:val="006911A1"/>
    <w:rsid w:val="006914D5"/>
    <w:rsid w:val="00691629"/>
    <w:rsid w:val="00691640"/>
    <w:rsid w:val="006919C9"/>
    <w:rsid w:val="00691C71"/>
    <w:rsid w:val="00691D41"/>
    <w:rsid w:val="00691DD6"/>
    <w:rsid w:val="00691F89"/>
    <w:rsid w:val="006924F0"/>
    <w:rsid w:val="006933EB"/>
    <w:rsid w:val="006934C1"/>
    <w:rsid w:val="00693B70"/>
    <w:rsid w:val="00693FD9"/>
    <w:rsid w:val="0069437E"/>
    <w:rsid w:val="0069463D"/>
    <w:rsid w:val="00694937"/>
    <w:rsid w:val="00694AA9"/>
    <w:rsid w:val="00694C3E"/>
    <w:rsid w:val="00694C69"/>
    <w:rsid w:val="00694E14"/>
    <w:rsid w:val="00695392"/>
    <w:rsid w:val="00695987"/>
    <w:rsid w:val="00695BE4"/>
    <w:rsid w:val="00696351"/>
    <w:rsid w:val="0069659D"/>
    <w:rsid w:val="00696BD5"/>
    <w:rsid w:val="00696CDF"/>
    <w:rsid w:val="00696DA7"/>
    <w:rsid w:val="00696EBA"/>
    <w:rsid w:val="00697075"/>
    <w:rsid w:val="00697445"/>
    <w:rsid w:val="006974C1"/>
    <w:rsid w:val="006976DA"/>
    <w:rsid w:val="0069780F"/>
    <w:rsid w:val="00697DEA"/>
    <w:rsid w:val="00697E20"/>
    <w:rsid w:val="00697EB7"/>
    <w:rsid w:val="006A00CD"/>
    <w:rsid w:val="006A03AA"/>
    <w:rsid w:val="006A03F5"/>
    <w:rsid w:val="006A06DC"/>
    <w:rsid w:val="006A0AA1"/>
    <w:rsid w:val="006A0FA3"/>
    <w:rsid w:val="006A110D"/>
    <w:rsid w:val="006A1447"/>
    <w:rsid w:val="006A17F7"/>
    <w:rsid w:val="006A1ABE"/>
    <w:rsid w:val="006A2296"/>
    <w:rsid w:val="006A232A"/>
    <w:rsid w:val="006A2538"/>
    <w:rsid w:val="006A2CBB"/>
    <w:rsid w:val="006A2F97"/>
    <w:rsid w:val="006A2FBC"/>
    <w:rsid w:val="006A3119"/>
    <w:rsid w:val="006A32FC"/>
    <w:rsid w:val="006A33DB"/>
    <w:rsid w:val="006A35D2"/>
    <w:rsid w:val="006A3A68"/>
    <w:rsid w:val="006A3D36"/>
    <w:rsid w:val="006A3D6B"/>
    <w:rsid w:val="006A3F61"/>
    <w:rsid w:val="006A3F8C"/>
    <w:rsid w:val="006A4092"/>
    <w:rsid w:val="006A40DE"/>
    <w:rsid w:val="006A4267"/>
    <w:rsid w:val="006A4993"/>
    <w:rsid w:val="006A50F9"/>
    <w:rsid w:val="006A5430"/>
    <w:rsid w:val="006A55D7"/>
    <w:rsid w:val="006A5B75"/>
    <w:rsid w:val="006A5C05"/>
    <w:rsid w:val="006A5DD7"/>
    <w:rsid w:val="006A6018"/>
    <w:rsid w:val="006A60C2"/>
    <w:rsid w:val="006A6353"/>
    <w:rsid w:val="006A64EE"/>
    <w:rsid w:val="006A66B8"/>
    <w:rsid w:val="006A6887"/>
    <w:rsid w:val="006A6970"/>
    <w:rsid w:val="006A6C36"/>
    <w:rsid w:val="006B0708"/>
    <w:rsid w:val="006B0823"/>
    <w:rsid w:val="006B0A66"/>
    <w:rsid w:val="006B0AD7"/>
    <w:rsid w:val="006B0E1A"/>
    <w:rsid w:val="006B0F6A"/>
    <w:rsid w:val="006B1067"/>
    <w:rsid w:val="006B1BE0"/>
    <w:rsid w:val="006B2147"/>
    <w:rsid w:val="006B2349"/>
    <w:rsid w:val="006B4848"/>
    <w:rsid w:val="006B4879"/>
    <w:rsid w:val="006B4AD6"/>
    <w:rsid w:val="006B4FC7"/>
    <w:rsid w:val="006B50EA"/>
    <w:rsid w:val="006B56DF"/>
    <w:rsid w:val="006B5A87"/>
    <w:rsid w:val="006B5CF2"/>
    <w:rsid w:val="006B5E64"/>
    <w:rsid w:val="006B5FA1"/>
    <w:rsid w:val="006B6013"/>
    <w:rsid w:val="006B623D"/>
    <w:rsid w:val="006B639A"/>
    <w:rsid w:val="006B644D"/>
    <w:rsid w:val="006B65D5"/>
    <w:rsid w:val="006B6E6D"/>
    <w:rsid w:val="006B6EFA"/>
    <w:rsid w:val="006B6F1F"/>
    <w:rsid w:val="006B75E0"/>
    <w:rsid w:val="006B7A44"/>
    <w:rsid w:val="006B7D34"/>
    <w:rsid w:val="006C0035"/>
    <w:rsid w:val="006C005E"/>
    <w:rsid w:val="006C013C"/>
    <w:rsid w:val="006C0188"/>
    <w:rsid w:val="006C0454"/>
    <w:rsid w:val="006C0721"/>
    <w:rsid w:val="006C0E8D"/>
    <w:rsid w:val="006C10DE"/>
    <w:rsid w:val="006C1596"/>
    <w:rsid w:val="006C1746"/>
    <w:rsid w:val="006C1A21"/>
    <w:rsid w:val="006C1ACC"/>
    <w:rsid w:val="006C1AF1"/>
    <w:rsid w:val="006C1F20"/>
    <w:rsid w:val="006C1FEE"/>
    <w:rsid w:val="006C1FF2"/>
    <w:rsid w:val="006C2144"/>
    <w:rsid w:val="006C2401"/>
    <w:rsid w:val="006C2966"/>
    <w:rsid w:val="006C329E"/>
    <w:rsid w:val="006C39C1"/>
    <w:rsid w:val="006C3E3F"/>
    <w:rsid w:val="006C415B"/>
    <w:rsid w:val="006C4378"/>
    <w:rsid w:val="006C4496"/>
    <w:rsid w:val="006C4895"/>
    <w:rsid w:val="006C4F01"/>
    <w:rsid w:val="006C4FCE"/>
    <w:rsid w:val="006C4FD7"/>
    <w:rsid w:val="006C5262"/>
    <w:rsid w:val="006C53AE"/>
    <w:rsid w:val="006C5731"/>
    <w:rsid w:val="006C5987"/>
    <w:rsid w:val="006C5E16"/>
    <w:rsid w:val="006C655B"/>
    <w:rsid w:val="006C6781"/>
    <w:rsid w:val="006C67F4"/>
    <w:rsid w:val="006C6DD8"/>
    <w:rsid w:val="006C6F1E"/>
    <w:rsid w:val="006C7299"/>
    <w:rsid w:val="006C79D0"/>
    <w:rsid w:val="006C7BC0"/>
    <w:rsid w:val="006C7C45"/>
    <w:rsid w:val="006C7E5B"/>
    <w:rsid w:val="006C7EBA"/>
    <w:rsid w:val="006D00C9"/>
    <w:rsid w:val="006D00D4"/>
    <w:rsid w:val="006D0197"/>
    <w:rsid w:val="006D0231"/>
    <w:rsid w:val="006D0893"/>
    <w:rsid w:val="006D0AEC"/>
    <w:rsid w:val="006D0E2F"/>
    <w:rsid w:val="006D147B"/>
    <w:rsid w:val="006D14C7"/>
    <w:rsid w:val="006D15FF"/>
    <w:rsid w:val="006D18A3"/>
    <w:rsid w:val="006D1BC3"/>
    <w:rsid w:val="006D1E41"/>
    <w:rsid w:val="006D2048"/>
    <w:rsid w:val="006D2129"/>
    <w:rsid w:val="006D2289"/>
    <w:rsid w:val="006D2302"/>
    <w:rsid w:val="006D2C6A"/>
    <w:rsid w:val="006D2D39"/>
    <w:rsid w:val="006D2EC4"/>
    <w:rsid w:val="006D2F50"/>
    <w:rsid w:val="006D3765"/>
    <w:rsid w:val="006D3BF9"/>
    <w:rsid w:val="006D3DEA"/>
    <w:rsid w:val="006D4294"/>
    <w:rsid w:val="006D4CB1"/>
    <w:rsid w:val="006D5379"/>
    <w:rsid w:val="006D53D0"/>
    <w:rsid w:val="006D562E"/>
    <w:rsid w:val="006D567F"/>
    <w:rsid w:val="006D5D7D"/>
    <w:rsid w:val="006D5F92"/>
    <w:rsid w:val="006D5FB0"/>
    <w:rsid w:val="006D615B"/>
    <w:rsid w:val="006D6194"/>
    <w:rsid w:val="006D61C1"/>
    <w:rsid w:val="006D67B8"/>
    <w:rsid w:val="006D6DA6"/>
    <w:rsid w:val="006D6F22"/>
    <w:rsid w:val="006D70D1"/>
    <w:rsid w:val="006D7441"/>
    <w:rsid w:val="006D755E"/>
    <w:rsid w:val="006D78BA"/>
    <w:rsid w:val="006D7D9B"/>
    <w:rsid w:val="006D7DC5"/>
    <w:rsid w:val="006E061D"/>
    <w:rsid w:val="006E07A6"/>
    <w:rsid w:val="006E097C"/>
    <w:rsid w:val="006E106A"/>
    <w:rsid w:val="006E1553"/>
    <w:rsid w:val="006E172B"/>
    <w:rsid w:val="006E208E"/>
    <w:rsid w:val="006E218C"/>
    <w:rsid w:val="006E23E5"/>
    <w:rsid w:val="006E24CE"/>
    <w:rsid w:val="006E2560"/>
    <w:rsid w:val="006E25E4"/>
    <w:rsid w:val="006E2656"/>
    <w:rsid w:val="006E2B77"/>
    <w:rsid w:val="006E2DDB"/>
    <w:rsid w:val="006E2DEF"/>
    <w:rsid w:val="006E2E5F"/>
    <w:rsid w:val="006E2FE2"/>
    <w:rsid w:val="006E307E"/>
    <w:rsid w:val="006E30C6"/>
    <w:rsid w:val="006E313B"/>
    <w:rsid w:val="006E361E"/>
    <w:rsid w:val="006E407A"/>
    <w:rsid w:val="006E41B9"/>
    <w:rsid w:val="006E48C7"/>
    <w:rsid w:val="006E50AC"/>
    <w:rsid w:val="006E515E"/>
    <w:rsid w:val="006E537D"/>
    <w:rsid w:val="006E5A5E"/>
    <w:rsid w:val="006E5E3F"/>
    <w:rsid w:val="006E6035"/>
    <w:rsid w:val="006E682D"/>
    <w:rsid w:val="006E68D0"/>
    <w:rsid w:val="006E6B61"/>
    <w:rsid w:val="006E6DD3"/>
    <w:rsid w:val="006E6EE7"/>
    <w:rsid w:val="006E702D"/>
    <w:rsid w:val="006E71EB"/>
    <w:rsid w:val="006E73A4"/>
    <w:rsid w:val="006E7EE6"/>
    <w:rsid w:val="006F0275"/>
    <w:rsid w:val="006F03E1"/>
    <w:rsid w:val="006F0440"/>
    <w:rsid w:val="006F04D3"/>
    <w:rsid w:val="006F05CB"/>
    <w:rsid w:val="006F1099"/>
    <w:rsid w:val="006F117C"/>
    <w:rsid w:val="006F120A"/>
    <w:rsid w:val="006F1258"/>
    <w:rsid w:val="006F12D3"/>
    <w:rsid w:val="006F1336"/>
    <w:rsid w:val="006F14DA"/>
    <w:rsid w:val="006F16D9"/>
    <w:rsid w:val="006F17EE"/>
    <w:rsid w:val="006F19A5"/>
    <w:rsid w:val="006F1BB7"/>
    <w:rsid w:val="006F1D4D"/>
    <w:rsid w:val="006F1E7F"/>
    <w:rsid w:val="006F2077"/>
    <w:rsid w:val="006F2676"/>
    <w:rsid w:val="006F281A"/>
    <w:rsid w:val="006F3002"/>
    <w:rsid w:val="006F326B"/>
    <w:rsid w:val="006F3308"/>
    <w:rsid w:val="006F33D1"/>
    <w:rsid w:val="006F362E"/>
    <w:rsid w:val="006F3B15"/>
    <w:rsid w:val="006F3ECB"/>
    <w:rsid w:val="006F42A5"/>
    <w:rsid w:val="006F4509"/>
    <w:rsid w:val="006F4912"/>
    <w:rsid w:val="006F4A9D"/>
    <w:rsid w:val="006F552B"/>
    <w:rsid w:val="006F5D9F"/>
    <w:rsid w:val="006F60A8"/>
    <w:rsid w:val="006F625B"/>
    <w:rsid w:val="006F633B"/>
    <w:rsid w:val="006F6493"/>
    <w:rsid w:val="006F6647"/>
    <w:rsid w:val="006F6807"/>
    <w:rsid w:val="006F6A5D"/>
    <w:rsid w:val="006F6C0C"/>
    <w:rsid w:val="006F6CBF"/>
    <w:rsid w:val="006F6E25"/>
    <w:rsid w:val="006F718A"/>
    <w:rsid w:val="006F73C3"/>
    <w:rsid w:val="006F7B7E"/>
    <w:rsid w:val="006F7CAD"/>
    <w:rsid w:val="007003C1"/>
    <w:rsid w:val="0070059F"/>
    <w:rsid w:val="007006E8"/>
    <w:rsid w:val="00700CDD"/>
    <w:rsid w:val="0070100E"/>
    <w:rsid w:val="0070110D"/>
    <w:rsid w:val="007013CF"/>
    <w:rsid w:val="007014E9"/>
    <w:rsid w:val="00701520"/>
    <w:rsid w:val="007016AB"/>
    <w:rsid w:val="007018B4"/>
    <w:rsid w:val="00701B62"/>
    <w:rsid w:val="00701FE2"/>
    <w:rsid w:val="0070209E"/>
    <w:rsid w:val="0070213F"/>
    <w:rsid w:val="0070227B"/>
    <w:rsid w:val="007023F0"/>
    <w:rsid w:val="00702C49"/>
    <w:rsid w:val="00703464"/>
    <w:rsid w:val="007036FC"/>
    <w:rsid w:val="007037C4"/>
    <w:rsid w:val="00703866"/>
    <w:rsid w:val="00703C5F"/>
    <w:rsid w:val="00703CAA"/>
    <w:rsid w:val="00704304"/>
    <w:rsid w:val="00704707"/>
    <w:rsid w:val="00704976"/>
    <w:rsid w:val="00704A05"/>
    <w:rsid w:val="00705046"/>
    <w:rsid w:val="007050A4"/>
    <w:rsid w:val="0070541A"/>
    <w:rsid w:val="00705572"/>
    <w:rsid w:val="00705723"/>
    <w:rsid w:val="00705F99"/>
    <w:rsid w:val="00706039"/>
    <w:rsid w:val="007060B3"/>
    <w:rsid w:val="007061A2"/>
    <w:rsid w:val="00706ED2"/>
    <w:rsid w:val="00707A8F"/>
    <w:rsid w:val="00707CF2"/>
    <w:rsid w:val="00707F98"/>
    <w:rsid w:val="00710028"/>
    <w:rsid w:val="00710864"/>
    <w:rsid w:val="00710884"/>
    <w:rsid w:val="00710948"/>
    <w:rsid w:val="00710964"/>
    <w:rsid w:val="00710A90"/>
    <w:rsid w:val="00710ED8"/>
    <w:rsid w:val="007110A3"/>
    <w:rsid w:val="00711109"/>
    <w:rsid w:val="00711616"/>
    <w:rsid w:val="00711EA2"/>
    <w:rsid w:val="007125B2"/>
    <w:rsid w:val="00712801"/>
    <w:rsid w:val="00712A15"/>
    <w:rsid w:val="00712D21"/>
    <w:rsid w:val="00712F29"/>
    <w:rsid w:val="00713217"/>
    <w:rsid w:val="00713294"/>
    <w:rsid w:val="007133CC"/>
    <w:rsid w:val="0071377D"/>
    <w:rsid w:val="0071380E"/>
    <w:rsid w:val="00713CB1"/>
    <w:rsid w:val="007146CC"/>
    <w:rsid w:val="00714AE9"/>
    <w:rsid w:val="00714D46"/>
    <w:rsid w:val="00714DA2"/>
    <w:rsid w:val="00715C3B"/>
    <w:rsid w:val="00716070"/>
    <w:rsid w:val="00716099"/>
    <w:rsid w:val="00716383"/>
    <w:rsid w:val="00716467"/>
    <w:rsid w:val="00716BD9"/>
    <w:rsid w:val="00716CD4"/>
    <w:rsid w:val="00716EC2"/>
    <w:rsid w:val="00720228"/>
    <w:rsid w:val="00720D75"/>
    <w:rsid w:val="00720F92"/>
    <w:rsid w:val="00721340"/>
    <w:rsid w:val="0072246C"/>
    <w:rsid w:val="00722515"/>
    <w:rsid w:val="00723019"/>
    <w:rsid w:val="00723033"/>
    <w:rsid w:val="007230DE"/>
    <w:rsid w:val="00723615"/>
    <w:rsid w:val="00723690"/>
    <w:rsid w:val="007236AF"/>
    <w:rsid w:val="00723885"/>
    <w:rsid w:val="00723A31"/>
    <w:rsid w:val="00723B3B"/>
    <w:rsid w:val="00723F4D"/>
    <w:rsid w:val="00723F70"/>
    <w:rsid w:val="007245E6"/>
    <w:rsid w:val="007248A1"/>
    <w:rsid w:val="00724A74"/>
    <w:rsid w:val="00724AA1"/>
    <w:rsid w:val="00724AA7"/>
    <w:rsid w:val="0072508F"/>
    <w:rsid w:val="00725177"/>
    <w:rsid w:val="007253C1"/>
    <w:rsid w:val="007258F3"/>
    <w:rsid w:val="0072592E"/>
    <w:rsid w:val="00725C0C"/>
    <w:rsid w:val="0072600A"/>
    <w:rsid w:val="0072647F"/>
    <w:rsid w:val="007264E9"/>
    <w:rsid w:val="00726AF1"/>
    <w:rsid w:val="00726C94"/>
    <w:rsid w:val="007275FF"/>
    <w:rsid w:val="00727619"/>
    <w:rsid w:val="00727C2D"/>
    <w:rsid w:val="00727CE9"/>
    <w:rsid w:val="00730077"/>
    <w:rsid w:val="00730169"/>
    <w:rsid w:val="007306A3"/>
    <w:rsid w:val="00730BE7"/>
    <w:rsid w:val="00730DE1"/>
    <w:rsid w:val="00730DFF"/>
    <w:rsid w:val="00731154"/>
    <w:rsid w:val="007319DD"/>
    <w:rsid w:val="00731A06"/>
    <w:rsid w:val="00731A94"/>
    <w:rsid w:val="00731B48"/>
    <w:rsid w:val="00731DB0"/>
    <w:rsid w:val="007321E5"/>
    <w:rsid w:val="007322D0"/>
    <w:rsid w:val="0073246E"/>
    <w:rsid w:val="0073285C"/>
    <w:rsid w:val="00732C29"/>
    <w:rsid w:val="00732C56"/>
    <w:rsid w:val="00733057"/>
    <w:rsid w:val="007336A0"/>
    <w:rsid w:val="0073395F"/>
    <w:rsid w:val="00733EBF"/>
    <w:rsid w:val="0073417E"/>
    <w:rsid w:val="00734254"/>
    <w:rsid w:val="00734299"/>
    <w:rsid w:val="00734FC6"/>
    <w:rsid w:val="007350A1"/>
    <w:rsid w:val="00735794"/>
    <w:rsid w:val="007357D2"/>
    <w:rsid w:val="00735F70"/>
    <w:rsid w:val="00736240"/>
    <w:rsid w:val="00736CC2"/>
    <w:rsid w:val="0073756F"/>
    <w:rsid w:val="00737782"/>
    <w:rsid w:val="007379AE"/>
    <w:rsid w:val="007404E5"/>
    <w:rsid w:val="00740914"/>
    <w:rsid w:val="00740979"/>
    <w:rsid w:val="00740E02"/>
    <w:rsid w:val="00740EBB"/>
    <w:rsid w:val="007410D2"/>
    <w:rsid w:val="00741299"/>
    <w:rsid w:val="00741445"/>
    <w:rsid w:val="0074175F"/>
    <w:rsid w:val="00741CC7"/>
    <w:rsid w:val="00741E2C"/>
    <w:rsid w:val="00741F1F"/>
    <w:rsid w:val="007426E0"/>
    <w:rsid w:val="00742729"/>
    <w:rsid w:val="00742AB7"/>
    <w:rsid w:val="00742E50"/>
    <w:rsid w:val="00743492"/>
    <w:rsid w:val="0074391D"/>
    <w:rsid w:val="00743CD1"/>
    <w:rsid w:val="00743D6B"/>
    <w:rsid w:val="00743FE5"/>
    <w:rsid w:val="0074440A"/>
    <w:rsid w:val="00744BD8"/>
    <w:rsid w:val="00744C98"/>
    <w:rsid w:val="00744E22"/>
    <w:rsid w:val="007451DC"/>
    <w:rsid w:val="007457D7"/>
    <w:rsid w:val="007457F3"/>
    <w:rsid w:val="00745B56"/>
    <w:rsid w:val="00745C83"/>
    <w:rsid w:val="007460DB"/>
    <w:rsid w:val="00746569"/>
    <w:rsid w:val="007465D5"/>
    <w:rsid w:val="007466C9"/>
    <w:rsid w:val="00746996"/>
    <w:rsid w:val="0074699D"/>
    <w:rsid w:val="00746A1C"/>
    <w:rsid w:val="007470A4"/>
    <w:rsid w:val="0074712E"/>
    <w:rsid w:val="00747ACC"/>
    <w:rsid w:val="00747EAB"/>
    <w:rsid w:val="00750113"/>
    <w:rsid w:val="00750434"/>
    <w:rsid w:val="0075095F"/>
    <w:rsid w:val="0075099E"/>
    <w:rsid w:val="007511DF"/>
    <w:rsid w:val="007515A5"/>
    <w:rsid w:val="00751AFF"/>
    <w:rsid w:val="00751E82"/>
    <w:rsid w:val="007525B6"/>
    <w:rsid w:val="007525C3"/>
    <w:rsid w:val="007528EB"/>
    <w:rsid w:val="00752F4E"/>
    <w:rsid w:val="00752F98"/>
    <w:rsid w:val="00752FE9"/>
    <w:rsid w:val="00752FFC"/>
    <w:rsid w:val="0075313E"/>
    <w:rsid w:val="007531CC"/>
    <w:rsid w:val="0075348D"/>
    <w:rsid w:val="007539F1"/>
    <w:rsid w:val="00753A2B"/>
    <w:rsid w:val="00753AA1"/>
    <w:rsid w:val="00753B60"/>
    <w:rsid w:val="00753BBD"/>
    <w:rsid w:val="00753D77"/>
    <w:rsid w:val="00754081"/>
    <w:rsid w:val="00754417"/>
    <w:rsid w:val="007546F8"/>
    <w:rsid w:val="0075486D"/>
    <w:rsid w:val="007548EB"/>
    <w:rsid w:val="00754C06"/>
    <w:rsid w:val="00754C94"/>
    <w:rsid w:val="00754FF0"/>
    <w:rsid w:val="0075508D"/>
    <w:rsid w:val="007550C1"/>
    <w:rsid w:val="007553BC"/>
    <w:rsid w:val="007559F0"/>
    <w:rsid w:val="00755C04"/>
    <w:rsid w:val="00755C11"/>
    <w:rsid w:val="00755DA5"/>
    <w:rsid w:val="00755DD1"/>
    <w:rsid w:val="0075664C"/>
    <w:rsid w:val="007569FD"/>
    <w:rsid w:val="00756A80"/>
    <w:rsid w:val="00756B15"/>
    <w:rsid w:val="00756DC7"/>
    <w:rsid w:val="00756FCE"/>
    <w:rsid w:val="00757771"/>
    <w:rsid w:val="00757853"/>
    <w:rsid w:val="007579AC"/>
    <w:rsid w:val="00757B31"/>
    <w:rsid w:val="00757BE4"/>
    <w:rsid w:val="00757E04"/>
    <w:rsid w:val="00757EBF"/>
    <w:rsid w:val="00760282"/>
    <w:rsid w:val="007606A4"/>
    <w:rsid w:val="007608D1"/>
    <w:rsid w:val="00760B09"/>
    <w:rsid w:val="00761417"/>
    <w:rsid w:val="007614AA"/>
    <w:rsid w:val="00761696"/>
    <w:rsid w:val="00761CFB"/>
    <w:rsid w:val="0076208F"/>
    <w:rsid w:val="00762127"/>
    <w:rsid w:val="0076259C"/>
    <w:rsid w:val="00762815"/>
    <w:rsid w:val="007628FE"/>
    <w:rsid w:val="00762B13"/>
    <w:rsid w:val="00762B76"/>
    <w:rsid w:val="00762C8E"/>
    <w:rsid w:val="00762D00"/>
    <w:rsid w:val="00762E2B"/>
    <w:rsid w:val="00762E2F"/>
    <w:rsid w:val="0076317B"/>
    <w:rsid w:val="007635BB"/>
    <w:rsid w:val="00763BD4"/>
    <w:rsid w:val="00763C7D"/>
    <w:rsid w:val="00763CC7"/>
    <w:rsid w:val="007640AF"/>
    <w:rsid w:val="007640B8"/>
    <w:rsid w:val="0076484C"/>
    <w:rsid w:val="007648AB"/>
    <w:rsid w:val="00764D72"/>
    <w:rsid w:val="00764DDA"/>
    <w:rsid w:val="00765011"/>
    <w:rsid w:val="007654B5"/>
    <w:rsid w:val="0076561C"/>
    <w:rsid w:val="00766344"/>
    <w:rsid w:val="00766ACC"/>
    <w:rsid w:val="00766CF9"/>
    <w:rsid w:val="00766E9E"/>
    <w:rsid w:val="007672EE"/>
    <w:rsid w:val="007673EA"/>
    <w:rsid w:val="007674D5"/>
    <w:rsid w:val="007674E7"/>
    <w:rsid w:val="00767593"/>
    <w:rsid w:val="0076791B"/>
    <w:rsid w:val="00767C26"/>
    <w:rsid w:val="00767FE6"/>
    <w:rsid w:val="0077055B"/>
    <w:rsid w:val="007705E8"/>
    <w:rsid w:val="0077064C"/>
    <w:rsid w:val="007709AF"/>
    <w:rsid w:val="00770AA8"/>
    <w:rsid w:val="00770C0E"/>
    <w:rsid w:val="00771856"/>
    <w:rsid w:val="00771B03"/>
    <w:rsid w:val="00771CFD"/>
    <w:rsid w:val="00771D39"/>
    <w:rsid w:val="00772010"/>
    <w:rsid w:val="00772641"/>
    <w:rsid w:val="007728F5"/>
    <w:rsid w:val="00772F9D"/>
    <w:rsid w:val="00772FA9"/>
    <w:rsid w:val="0077342E"/>
    <w:rsid w:val="00773513"/>
    <w:rsid w:val="00773645"/>
    <w:rsid w:val="00773BA6"/>
    <w:rsid w:val="00773C23"/>
    <w:rsid w:val="00773CDB"/>
    <w:rsid w:val="00773E15"/>
    <w:rsid w:val="00773F8B"/>
    <w:rsid w:val="0077434D"/>
    <w:rsid w:val="00774379"/>
    <w:rsid w:val="007743C5"/>
    <w:rsid w:val="007743FC"/>
    <w:rsid w:val="007747FE"/>
    <w:rsid w:val="00774960"/>
    <w:rsid w:val="00775178"/>
    <w:rsid w:val="007758E5"/>
    <w:rsid w:val="00775C39"/>
    <w:rsid w:val="00775DCD"/>
    <w:rsid w:val="00776144"/>
    <w:rsid w:val="00776398"/>
    <w:rsid w:val="00776402"/>
    <w:rsid w:val="00776787"/>
    <w:rsid w:val="00776A10"/>
    <w:rsid w:val="00776B9A"/>
    <w:rsid w:val="00776F36"/>
    <w:rsid w:val="00777007"/>
    <w:rsid w:val="007771F8"/>
    <w:rsid w:val="00777369"/>
    <w:rsid w:val="007774A9"/>
    <w:rsid w:val="007776CE"/>
    <w:rsid w:val="00777837"/>
    <w:rsid w:val="00777A43"/>
    <w:rsid w:val="00777E07"/>
    <w:rsid w:val="0078029A"/>
    <w:rsid w:val="007807D1"/>
    <w:rsid w:val="00780BDE"/>
    <w:rsid w:val="00780C02"/>
    <w:rsid w:val="00780E13"/>
    <w:rsid w:val="00780E4D"/>
    <w:rsid w:val="0078101B"/>
    <w:rsid w:val="00781132"/>
    <w:rsid w:val="007813AE"/>
    <w:rsid w:val="007819D5"/>
    <w:rsid w:val="00781A9C"/>
    <w:rsid w:val="00781CC7"/>
    <w:rsid w:val="00781E24"/>
    <w:rsid w:val="00782828"/>
    <w:rsid w:val="00782928"/>
    <w:rsid w:val="00782BE1"/>
    <w:rsid w:val="00782C6A"/>
    <w:rsid w:val="00782E2E"/>
    <w:rsid w:val="007830CB"/>
    <w:rsid w:val="00783214"/>
    <w:rsid w:val="00783A3D"/>
    <w:rsid w:val="00783CF2"/>
    <w:rsid w:val="00783D76"/>
    <w:rsid w:val="00783DA9"/>
    <w:rsid w:val="00784593"/>
    <w:rsid w:val="00784757"/>
    <w:rsid w:val="00784A93"/>
    <w:rsid w:val="007853A8"/>
    <w:rsid w:val="0078547F"/>
    <w:rsid w:val="007855E6"/>
    <w:rsid w:val="0078696A"/>
    <w:rsid w:val="00786AE5"/>
    <w:rsid w:val="00786BC8"/>
    <w:rsid w:val="00786D08"/>
    <w:rsid w:val="00786EA0"/>
    <w:rsid w:val="00786EDF"/>
    <w:rsid w:val="00786FB8"/>
    <w:rsid w:val="00787234"/>
    <w:rsid w:val="00787338"/>
    <w:rsid w:val="00787B1B"/>
    <w:rsid w:val="00787FE2"/>
    <w:rsid w:val="007905CD"/>
    <w:rsid w:val="00790641"/>
    <w:rsid w:val="00791091"/>
    <w:rsid w:val="0079111D"/>
    <w:rsid w:val="007911F7"/>
    <w:rsid w:val="0079122D"/>
    <w:rsid w:val="007912C0"/>
    <w:rsid w:val="0079163D"/>
    <w:rsid w:val="007918C1"/>
    <w:rsid w:val="00791B9B"/>
    <w:rsid w:val="00791C1F"/>
    <w:rsid w:val="007923D3"/>
    <w:rsid w:val="0079247B"/>
    <w:rsid w:val="0079249B"/>
    <w:rsid w:val="007924B7"/>
    <w:rsid w:val="0079259C"/>
    <w:rsid w:val="007930B8"/>
    <w:rsid w:val="0079391E"/>
    <w:rsid w:val="00793B3A"/>
    <w:rsid w:val="00794045"/>
    <w:rsid w:val="00794348"/>
    <w:rsid w:val="007943C1"/>
    <w:rsid w:val="00794561"/>
    <w:rsid w:val="0079461B"/>
    <w:rsid w:val="007949A1"/>
    <w:rsid w:val="00794D02"/>
    <w:rsid w:val="00794D11"/>
    <w:rsid w:val="00794E11"/>
    <w:rsid w:val="00794F44"/>
    <w:rsid w:val="00794FA9"/>
    <w:rsid w:val="0079517B"/>
    <w:rsid w:val="00795CA7"/>
    <w:rsid w:val="007962A6"/>
    <w:rsid w:val="00796774"/>
    <w:rsid w:val="0079690D"/>
    <w:rsid w:val="00796B2C"/>
    <w:rsid w:val="007973DC"/>
    <w:rsid w:val="007974CB"/>
    <w:rsid w:val="007978FB"/>
    <w:rsid w:val="00797A5B"/>
    <w:rsid w:val="00797BFB"/>
    <w:rsid w:val="00797D76"/>
    <w:rsid w:val="00797DB7"/>
    <w:rsid w:val="00797FC8"/>
    <w:rsid w:val="007A016B"/>
    <w:rsid w:val="007A0311"/>
    <w:rsid w:val="007A0399"/>
    <w:rsid w:val="007A03AC"/>
    <w:rsid w:val="007A03CD"/>
    <w:rsid w:val="007A09F0"/>
    <w:rsid w:val="007A0A57"/>
    <w:rsid w:val="007A0B3C"/>
    <w:rsid w:val="007A108C"/>
    <w:rsid w:val="007A15E7"/>
    <w:rsid w:val="007A175D"/>
    <w:rsid w:val="007A17DA"/>
    <w:rsid w:val="007A23EC"/>
    <w:rsid w:val="007A28E9"/>
    <w:rsid w:val="007A2B09"/>
    <w:rsid w:val="007A2B84"/>
    <w:rsid w:val="007A2D71"/>
    <w:rsid w:val="007A2E1D"/>
    <w:rsid w:val="007A3187"/>
    <w:rsid w:val="007A322E"/>
    <w:rsid w:val="007A3317"/>
    <w:rsid w:val="007A3B4E"/>
    <w:rsid w:val="007A4181"/>
    <w:rsid w:val="007A42A9"/>
    <w:rsid w:val="007A485A"/>
    <w:rsid w:val="007A48C1"/>
    <w:rsid w:val="007A5204"/>
    <w:rsid w:val="007A53F3"/>
    <w:rsid w:val="007A560B"/>
    <w:rsid w:val="007A5B69"/>
    <w:rsid w:val="007A5B85"/>
    <w:rsid w:val="007A5BA5"/>
    <w:rsid w:val="007A65C8"/>
    <w:rsid w:val="007A68C5"/>
    <w:rsid w:val="007A6C32"/>
    <w:rsid w:val="007A6DCF"/>
    <w:rsid w:val="007A7107"/>
    <w:rsid w:val="007A73C4"/>
    <w:rsid w:val="007A73EF"/>
    <w:rsid w:val="007A7A1A"/>
    <w:rsid w:val="007A7DC6"/>
    <w:rsid w:val="007A7E28"/>
    <w:rsid w:val="007A7EA2"/>
    <w:rsid w:val="007A7EB2"/>
    <w:rsid w:val="007B002A"/>
    <w:rsid w:val="007B020E"/>
    <w:rsid w:val="007B0390"/>
    <w:rsid w:val="007B03DD"/>
    <w:rsid w:val="007B0551"/>
    <w:rsid w:val="007B0702"/>
    <w:rsid w:val="007B0737"/>
    <w:rsid w:val="007B07F2"/>
    <w:rsid w:val="007B0A46"/>
    <w:rsid w:val="007B1A18"/>
    <w:rsid w:val="007B1B4F"/>
    <w:rsid w:val="007B1C63"/>
    <w:rsid w:val="007B211A"/>
    <w:rsid w:val="007B224A"/>
    <w:rsid w:val="007B2952"/>
    <w:rsid w:val="007B2C48"/>
    <w:rsid w:val="007B2FA0"/>
    <w:rsid w:val="007B321A"/>
    <w:rsid w:val="007B365E"/>
    <w:rsid w:val="007B3669"/>
    <w:rsid w:val="007B3785"/>
    <w:rsid w:val="007B3BB9"/>
    <w:rsid w:val="007B3E6C"/>
    <w:rsid w:val="007B3FBE"/>
    <w:rsid w:val="007B42BD"/>
    <w:rsid w:val="007B4318"/>
    <w:rsid w:val="007B4501"/>
    <w:rsid w:val="007B4978"/>
    <w:rsid w:val="007B4C46"/>
    <w:rsid w:val="007B56EA"/>
    <w:rsid w:val="007B57C6"/>
    <w:rsid w:val="007B59A6"/>
    <w:rsid w:val="007B5A94"/>
    <w:rsid w:val="007B5CDF"/>
    <w:rsid w:val="007B5D75"/>
    <w:rsid w:val="007B6237"/>
    <w:rsid w:val="007B65B1"/>
    <w:rsid w:val="007B672B"/>
    <w:rsid w:val="007B6DBF"/>
    <w:rsid w:val="007B6FAF"/>
    <w:rsid w:val="007B71A9"/>
    <w:rsid w:val="007B7377"/>
    <w:rsid w:val="007B7424"/>
    <w:rsid w:val="007B7524"/>
    <w:rsid w:val="007B75BD"/>
    <w:rsid w:val="007B75DA"/>
    <w:rsid w:val="007B75F8"/>
    <w:rsid w:val="007B786B"/>
    <w:rsid w:val="007B7B0F"/>
    <w:rsid w:val="007C0214"/>
    <w:rsid w:val="007C043B"/>
    <w:rsid w:val="007C05D3"/>
    <w:rsid w:val="007C05FC"/>
    <w:rsid w:val="007C075E"/>
    <w:rsid w:val="007C07C5"/>
    <w:rsid w:val="007C0B81"/>
    <w:rsid w:val="007C146F"/>
    <w:rsid w:val="007C15D5"/>
    <w:rsid w:val="007C1941"/>
    <w:rsid w:val="007C1CA3"/>
    <w:rsid w:val="007C2056"/>
    <w:rsid w:val="007C2411"/>
    <w:rsid w:val="007C27BA"/>
    <w:rsid w:val="007C2B77"/>
    <w:rsid w:val="007C2BEF"/>
    <w:rsid w:val="007C2CC5"/>
    <w:rsid w:val="007C2DD6"/>
    <w:rsid w:val="007C3007"/>
    <w:rsid w:val="007C3108"/>
    <w:rsid w:val="007C3182"/>
    <w:rsid w:val="007C36AE"/>
    <w:rsid w:val="007C38B1"/>
    <w:rsid w:val="007C3AF1"/>
    <w:rsid w:val="007C3B26"/>
    <w:rsid w:val="007C3BD3"/>
    <w:rsid w:val="007C41BE"/>
    <w:rsid w:val="007C4267"/>
    <w:rsid w:val="007C4376"/>
    <w:rsid w:val="007C4678"/>
    <w:rsid w:val="007C5073"/>
    <w:rsid w:val="007C50F4"/>
    <w:rsid w:val="007C5224"/>
    <w:rsid w:val="007C53CA"/>
    <w:rsid w:val="007C53FA"/>
    <w:rsid w:val="007C56EB"/>
    <w:rsid w:val="007C5B0E"/>
    <w:rsid w:val="007C6053"/>
    <w:rsid w:val="007C640C"/>
    <w:rsid w:val="007C659C"/>
    <w:rsid w:val="007C668A"/>
    <w:rsid w:val="007C6754"/>
    <w:rsid w:val="007C678A"/>
    <w:rsid w:val="007C69F7"/>
    <w:rsid w:val="007C6BBD"/>
    <w:rsid w:val="007C6D27"/>
    <w:rsid w:val="007C746D"/>
    <w:rsid w:val="007C75EC"/>
    <w:rsid w:val="007C76B9"/>
    <w:rsid w:val="007C76F7"/>
    <w:rsid w:val="007C7A14"/>
    <w:rsid w:val="007C7D35"/>
    <w:rsid w:val="007C7D66"/>
    <w:rsid w:val="007C7D81"/>
    <w:rsid w:val="007C7F32"/>
    <w:rsid w:val="007D017A"/>
    <w:rsid w:val="007D0283"/>
    <w:rsid w:val="007D039A"/>
    <w:rsid w:val="007D03E8"/>
    <w:rsid w:val="007D05A7"/>
    <w:rsid w:val="007D0600"/>
    <w:rsid w:val="007D066D"/>
    <w:rsid w:val="007D0A87"/>
    <w:rsid w:val="007D1425"/>
    <w:rsid w:val="007D168B"/>
    <w:rsid w:val="007D1855"/>
    <w:rsid w:val="007D1FBB"/>
    <w:rsid w:val="007D2466"/>
    <w:rsid w:val="007D2A5C"/>
    <w:rsid w:val="007D2E63"/>
    <w:rsid w:val="007D3008"/>
    <w:rsid w:val="007D3028"/>
    <w:rsid w:val="007D39BC"/>
    <w:rsid w:val="007D3E1E"/>
    <w:rsid w:val="007D40D8"/>
    <w:rsid w:val="007D45FB"/>
    <w:rsid w:val="007D4645"/>
    <w:rsid w:val="007D4795"/>
    <w:rsid w:val="007D4A1D"/>
    <w:rsid w:val="007D5330"/>
    <w:rsid w:val="007D5896"/>
    <w:rsid w:val="007D599E"/>
    <w:rsid w:val="007D5DAF"/>
    <w:rsid w:val="007D5F4E"/>
    <w:rsid w:val="007D6344"/>
    <w:rsid w:val="007D6654"/>
    <w:rsid w:val="007D69E0"/>
    <w:rsid w:val="007D6AC0"/>
    <w:rsid w:val="007D6BAE"/>
    <w:rsid w:val="007D6F48"/>
    <w:rsid w:val="007D75E1"/>
    <w:rsid w:val="007D77D6"/>
    <w:rsid w:val="007D793C"/>
    <w:rsid w:val="007E052D"/>
    <w:rsid w:val="007E056E"/>
    <w:rsid w:val="007E0D58"/>
    <w:rsid w:val="007E0F5B"/>
    <w:rsid w:val="007E1317"/>
    <w:rsid w:val="007E1391"/>
    <w:rsid w:val="007E1421"/>
    <w:rsid w:val="007E180F"/>
    <w:rsid w:val="007E27DC"/>
    <w:rsid w:val="007E294F"/>
    <w:rsid w:val="007E2A51"/>
    <w:rsid w:val="007E39B9"/>
    <w:rsid w:val="007E3A26"/>
    <w:rsid w:val="007E3A4E"/>
    <w:rsid w:val="007E3A8D"/>
    <w:rsid w:val="007E3C32"/>
    <w:rsid w:val="007E3E95"/>
    <w:rsid w:val="007E4961"/>
    <w:rsid w:val="007E4A31"/>
    <w:rsid w:val="007E4E00"/>
    <w:rsid w:val="007E4FCE"/>
    <w:rsid w:val="007E5273"/>
    <w:rsid w:val="007E532B"/>
    <w:rsid w:val="007E55A9"/>
    <w:rsid w:val="007E5900"/>
    <w:rsid w:val="007E5969"/>
    <w:rsid w:val="007E59E8"/>
    <w:rsid w:val="007E5A00"/>
    <w:rsid w:val="007E5AA9"/>
    <w:rsid w:val="007E6409"/>
    <w:rsid w:val="007E712B"/>
    <w:rsid w:val="007E71CB"/>
    <w:rsid w:val="007E7249"/>
    <w:rsid w:val="007E727E"/>
    <w:rsid w:val="007E7DEC"/>
    <w:rsid w:val="007F039E"/>
    <w:rsid w:val="007F0600"/>
    <w:rsid w:val="007F070C"/>
    <w:rsid w:val="007F0816"/>
    <w:rsid w:val="007F085B"/>
    <w:rsid w:val="007F0C56"/>
    <w:rsid w:val="007F0FC3"/>
    <w:rsid w:val="007F108D"/>
    <w:rsid w:val="007F1376"/>
    <w:rsid w:val="007F175E"/>
    <w:rsid w:val="007F197A"/>
    <w:rsid w:val="007F2630"/>
    <w:rsid w:val="007F2ABC"/>
    <w:rsid w:val="007F3167"/>
    <w:rsid w:val="007F395A"/>
    <w:rsid w:val="007F39E8"/>
    <w:rsid w:val="007F3C63"/>
    <w:rsid w:val="007F404E"/>
    <w:rsid w:val="007F4D91"/>
    <w:rsid w:val="007F5046"/>
    <w:rsid w:val="007F50F3"/>
    <w:rsid w:val="007F52C3"/>
    <w:rsid w:val="007F5969"/>
    <w:rsid w:val="007F5AAB"/>
    <w:rsid w:val="007F5BB2"/>
    <w:rsid w:val="007F6748"/>
    <w:rsid w:val="007F67B8"/>
    <w:rsid w:val="007F67EB"/>
    <w:rsid w:val="007F683A"/>
    <w:rsid w:val="007F6AEB"/>
    <w:rsid w:val="007F6DB1"/>
    <w:rsid w:val="007F6F9D"/>
    <w:rsid w:val="007F77EB"/>
    <w:rsid w:val="007F7A39"/>
    <w:rsid w:val="007F7AB6"/>
    <w:rsid w:val="007F7BA2"/>
    <w:rsid w:val="00800231"/>
    <w:rsid w:val="00800443"/>
    <w:rsid w:val="00800537"/>
    <w:rsid w:val="008008CE"/>
    <w:rsid w:val="00800B7B"/>
    <w:rsid w:val="00800C17"/>
    <w:rsid w:val="00801585"/>
    <w:rsid w:val="00801AD0"/>
    <w:rsid w:val="00802245"/>
    <w:rsid w:val="008025B8"/>
    <w:rsid w:val="0080294D"/>
    <w:rsid w:val="00802AAE"/>
    <w:rsid w:val="00802B35"/>
    <w:rsid w:val="00802DA5"/>
    <w:rsid w:val="0080344F"/>
    <w:rsid w:val="00803B76"/>
    <w:rsid w:val="00803B84"/>
    <w:rsid w:val="00803C84"/>
    <w:rsid w:val="00803F70"/>
    <w:rsid w:val="008046B2"/>
    <w:rsid w:val="00804936"/>
    <w:rsid w:val="00804B22"/>
    <w:rsid w:val="00804B4A"/>
    <w:rsid w:val="00804FDB"/>
    <w:rsid w:val="0080565A"/>
    <w:rsid w:val="0080591F"/>
    <w:rsid w:val="00805D17"/>
    <w:rsid w:val="00806290"/>
    <w:rsid w:val="008062B9"/>
    <w:rsid w:val="00806697"/>
    <w:rsid w:val="0080689C"/>
    <w:rsid w:val="00806A57"/>
    <w:rsid w:val="00806B0F"/>
    <w:rsid w:val="00806B61"/>
    <w:rsid w:val="00806C9A"/>
    <w:rsid w:val="00807035"/>
    <w:rsid w:val="008070BB"/>
    <w:rsid w:val="008070BE"/>
    <w:rsid w:val="0080775E"/>
    <w:rsid w:val="008078C3"/>
    <w:rsid w:val="00807940"/>
    <w:rsid w:val="00807BF5"/>
    <w:rsid w:val="00810176"/>
    <w:rsid w:val="00810FCC"/>
    <w:rsid w:val="00811080"/>
    <w:rsid w:val="008113B8"/>
    <w:rsid w:val="008114C4"/>
    <w:rsid w:val="008116F1"/>
    <w:rsid w:val="00811C0E"/>
    <w:rsid w:val="00811C21"/>
    <w:rsid w:val="00812C6F"/>
    <w:rsid w:val="00812E31"/>
    <w:rsid w:val="0081305A"/>
    <w:rsid w:val="008132F5"/>
    <w:rsid w:val="00813AC9"/>
    <w:rsid w:val="00813C4D"/>
    <w:rsid w:val="00813ED1"/>
    <w:rsid w:val="00813F43"/>
    <w:rsid w:val="008141DC"/>
    <w:rsid w:val="0081480E"/>
    <w:rsid w:val="00814960"/>
    <w:rsid w:val="00814ABB"/>
    <w:rsid w:val="00814C53"/>
    <w:rsid w:val="00814C8C"/>
    <w:rsid w:val="00814F89"/>
    <w:rsid w:val="0081590A"/>
    <w:rsid w:val="00815D72"/>
    <w:rsid w:val="00815F6A"/>
    <w:rsid w:val="00816173"/>
    <w:rsid w:val="008163B6"/>
    <w:rsid w:val="00816692"/>
    <w:rsid w:val="008167C7"/>
    <w:rsid w:val="00816A20"/>
    <w:rsid w:val="008171D0"/>
    <w:rsid w:val="00817211"/>
    <w:rsid w:val="0081767D"/>
    <w:rsid w:val="008176FE"/>
    <w:rsid w:val="00817A00"/>
    <w:rsid w:val="00817E29"/>
    <w:rsid w:val="00817E54"/>
    <w:rsid w:val="008202AE"/>
    <w:rsid w:val="00820504"/>
    <w:rsid w:val="008208EF"/>
    <w:rsid w:val="00820F0F"/>
    <w:rsid w:val="00821957"/>
    <w:rsid w:val="00821AED"/>
    <w:rsid w:val="00821D13"/>
    <w:rsid w:val="00821FC2"/>
    <w:rsid w:val="00821FDE"/>
    <w:rsid w:val="00822029"/>
    <w:rsid w:val="0082203E"/>
    <w:rsid w:val="008223C1"/>
    <w:rsid w:val="008225C2"/>
    <w:rsid w:val="00822F0E"/>
    <w:rsid w:val="00823073"/>
    <w:rsid w:val="00823345"/>
    <w:rsid w:val="008239C5"/>
    <w:rsid w:val="00823C3B"/>
    <w:rsid w:val="00823D90"/>
    <w:rsid w:val="008241A2"/>
    <w:rsid w:val="008241E8"/>
    <w:rsid w:val="00824947"/>
    <w:rsid w:val="0082520A"/>
    <w:rsid w:val="008252A8"/>
    <w:rsid w:val="00825366"/>
    <w:rsid w:val="00825B14"/>
    <w:rsid w:val="00825F57"/>
    <w:rsid w:val="00826793"/>
    <w:rsid w:val="008274A2"/>
    <w:rsid w:val="00827AF3"/>
    <w:rsid w:val="00827C6F"/>
    <w:rsid w:val="00827F4E"/>
    <w:rsid w:val="00830202"/>
    <w:rsid w:val="008302CE"/>
    <w:rsid w:val="008309D4"/>
    <w:rsid w:val="00830B3F"/>
    <w:rsid w:val="00830D75"/>
    <w:rsid w:val="008310DC"/>
    <w:rsid w:val="00831B3A"/>
    <w:rsid w:val="00832197"/>
    <w:rsid w:val="0083232E"/>
    <w:rsid w:val="008324D8"/>
    <w:rsid w:val="00832607"/>
    <w:rsid w:val="00832E98"/>
    <w:rsid w:val="00833230"/>
    <w:rsid w:val="0083351B"/>
    <w:rsid w:val="008337F7"/>
    <w:rsid w:val="008339F5"/>
    <w:rsid w:val="008341D3"/>
    <w:rsid w:val="00834592"/>
    <w:rsid w:val="00834D06"/>
    <w:rsid w:val="00835356"/>
    <w:rsid w:val="008355DD"/>
    <w:rsid w:val="00835662"/>
    <w:rsid w:val="00835760"/>
    <w:rsid w:val="00835FD8"/>
    <w:rsid w:val="00836277"/>
    <w:rsid w:val="008370A3"/>
    <w:rsid w:val="008370AD"/>
    <w:rsid w:val="00837FBF"/>
    <w:rsid w:val="00840374"/>
    <w:rsid w:val="0084039E"/>
    <w:rsid w:val="00840A3A"/>
    <w:rsid w:val="00840D71"/>
    <w:rsid w:val="00840E83"/>
    <w:rsid w:val="00840E84"/>
    <w:rsid w:val="00841018"/>
    <w:rsid w:val="00841376"/>
    <w:rsid w:val="008413DC"/>
    <w:rsid w:val="00841541"/>
    <w:rsid w:val="008423A0"/>
    <w:rsid w:val="00842F3B"/>
    <w:rsid w:val="0084308E"/>
    <w:rsid w:val="0084342D"/>
    <w:rsid w:val="0084347F"/>
    <w:rsid w:val="0084366F"/>
    <w:rsid w:val="00843B41"/>
    <w:rsid w:val="00843B8C"/>
    <w:rsid w:val="00843C07"/>
    <w:rsid w:val="00843CF5"/>
    <w:rsid w:val="008445D2"/>
    <w:rsid w:val="00844631"/>
    <w:rsid w:val="008447F4"/>
    <w:rsid w:val="00844806"/>
    <w:rsid w:val="0084488D"/>
    <w:rsid w:val="008449B8"/>
    <w:rsid w:val="008450F9"/>
    <w:rsid w:val="0084514D"/>
    <w:rsid w:val="00845996"/>
    <w:rsid w:val="008459E1"/>
    <w:rsid w:val="00845B8A"/>
    <w:rsid w:val="00845CBB"/>
    <w:rsid w:val="00845F94"/>
    <w:rsid w:val="00845FCA"/>
    <w:rsid w:val="008460C9"/>
    <w:rsid w:val="008468F4"/>
    <w:rsid w:val="00847362"/>
    <w:rsid w:val="008473BB"/>
    <w:rsid w:val="0084744D"/>
    <w:rsid w:val="008475A3"/>
    <w:rsid w:val="00847AB8"/>
    <w:rsid w:val="00847F4A"/>
    <w:rsid w:val="008501E4"/>
    <w:rsid w:val="008502B4"/>
    <w:rsid w:val="008504B2"/>
    <w:rsid w:val="00850B31"/>
    <w:rsid w:val="00850BB6"/>
    <w:rsid w:val="00850F51"/>
    <w:rsid w:val="0085154D"/>
    <w:rsid w:val="008515C9"/>
    <w:rsid w:val="008517A4"/>
    <w:rsid w:val="00851A6D"/>
    <w:rsid w:val="00851F82"/>
    <w:rsid w:val="008521C6"/>
    <w:rsid w:val="00852685"/>
    <w:rsid w:val="008527EC"/>
    <w:rsid w:val="008528FD"/>
    <w:rsid w:val="00852926"/>
    <w:rsid w:val="00852B73"/>
    <w:rsid w:val="00852D72"/>
    <w:rsid w:val="00853426"/>
    <w:rsid w:val="008534B4"/>
    <w:rsid w:val="008539CC"/>
    <w:rsid w:val="008539D6"/>
    <w:rsid w:val="00853B48"/>
    <w:rsid w:val="00853D60"/>
    <w:rsid w:val="00853E6D"/>
    <w:rsid w:val="00853E7E"/>
    <w:rsid w:val="008543CC"/>
    <w:rsid w:val="008544A4"/>
    <w:rsid w:val="008544DA"/>
    <w:rsid w:val="008546D2"/>
    <w:rsid w:val="00854A64"/>
    <w:rsid w:val="00854B83"/>
    <w:rsid w:val="00854F2E"/>
    <w:rsid w:val="00855069"/>
    <w:rsid w:val="00855410"/>
    <w:rsid w:val="008558CF"/>
    <w:rsid w:val="00855D40"/>
    <w:rsid w:val="00855D9B"/>
    <w:rsid w:val="00855DAF"/>
    <w:rsid w:val="00855DE0"/>
    <w:rsid w:val="008560C9"/>
    <w:rsid w:val="00856699"/>
    <w:rsid w:val="008567FA"/>
    <w:rsid w:val="00856D09"/>
    <w:rsid w:val="00856D3F"/>
    <w:rsid w:val="00856E20"/>
    <w:rsid w:val="0085724B"/>
    <w:rsid w:val="00857417"/>
    <w:rsid w:val="00857476"/>
    <w:rsid w:val="00857B2B"/>
    <w:rsid w:val="00857B72"/>
    <w:rsid w:val="00860015"/>
    <w:rsid w:val="00860501"/>
    <w:rsid w:val="0086089D"/>
    <w:rsid w:val="008608B6"/>
    <w:rsid w:val="0086124A"/>
    <w:rsid w:val="00861814"/>
    <w:rsid w:val="0086204D"/>
    <w:rsid w:val="008621DC"/>
    <w:rsid w:val="00862240"/>
    <w:rsid w:val="008623E7"/>
    <w:rsid w:val="00862885"/>
    <w:rsid w:val="00862924"/>
    <w:rsid w:val="00862941"/>
    <w:rsid w:val="008629CD"/>
    <w:rsid w:val="0086361F"/>
    <w:rsid w:val="008639DB"/>
    <w:rsid w:val="00863E58"/>
    <w:rsid w:val="00863EE5"/>
    <w:rsid w:val="008648D3"/>
    <w:rsid w:val="00864BDE"/>
    <w:rsid w:val="00864C92"/>
    <w:rsid w:val="00864D5B"/>
    <w:rsid w:val="00864E0C"/>
    <w:rsid w:val="00865739"/>
    <w:rsid w:val="00865851"/>
    <w:rsid w:val="00865872"/>
    <w:rsid w:val="00865C1D"/>
    <w:rsid w:val="00866844"/>
    <w:rsid w:val="00866B84"/>
    <w:rsid w:val="00866D49"/>
    <w:rsid w:val="008676B9"/>
    <w:rsid w:val="0086791E"/>
    <w:rsid w:val="0086799B"/>
    <w:rsid w:val="00867C37"/>
    <w:rsid w:val="00867D90"/>
    <w:rsid w:val="00867FDA"/>
    <w:rsid w:val="00870021"/>
    <w:rsid w:val="008700DB"/>
    <w:rsid w:val="00870199"/>
    <w:rsid w:val="0087063B"/>
    <w:rsid w:val="00870664"/>
    <w:rsid w:val="00870792"/>
    <w:rsid w:val="00870A8E"/>
    <w:rsid w:val="008715FE"/>
    <w:rsid w:val="0087183D"/>
    <w:rsid w:val="008718B9"/>
    <w:rsid w:val="00872385"/>
    <w:rsid w:val="00872691"/>
    <w:rsid w:val="00872950"/>
    <w:rsid w:val="00872DB4"/>
    <w:rsid w:val="0087315E"/>
    <w:rsid w:val="00873252"/>
    <w:rsid w:val="008735E2"/>
    <w:rsid w:val="00873682"/>
    <w:rsid w:val="0087396E"/>
    <w:rsid w:val="008739DD"/>
    <w:rsid w:val="00873FD9"/>
    <w:rsid w:val="008748D6"/>
    <w:rsid w:val="00874A4F"/>
    <w:rsid w:val="00874ED1"/>
    <w:rsid w:val="00875164"/>
    <w:rsid w:val="008752D5"/>
    <w:rsid w:val="00875BA6"/>
    <w:rsid w:val="00876397"/>
    <w:rsid w:val="00876C60"/>
    <w:rsid w:val="00876E61"/>
    <w:rsid w:val="00876E8D"/>
    <w:rsid w:val="008770A8"/>
    <w:rsid w:val="00877423"/>
    <w:rsid w:val="008775A5"/>
    <w:rsid w:val="0087764F"/>
    <w:rsid w:val="0087796E"/>
    <w:rsid w:val="00877A6A"/>
    <w:rsid w:val="00877BE9"/>
    <w:rsid w:val="00877D1E"/>
    <w:rsid w:val="00877E9D"/>
    <w:rsid w:val="00880060"/>
    <w:rsid w:val="008801B6"/>
    <w:rsid w:val="00880774"/>
    <w:rsid w:val="00880FDE"/>
    <w:rsid w:val="00881010"/>
    <w:rsid w:val="00881103"/>
    <w:rsid w:val="0088162D"/>
    <w:rsid w:val="00881EB4"/>
    <w:rsid w:val="008820D8"/>
    <w:rsid w:val="0088230D"/>
    <w:rsid w:val="00882563"/>
    <w:rsid w:val="00882785"/>
    <w:rsid w:val="0088293C"/>
    <w:rsid w:val="00882B9F"/>
    <w:rsid w:val="00882C3D"/>
    <w:rsid w:val="00882D2B"/>
    <w:rsid w:val="00883295"/>
    <w:rsid w:val="00883430"/>
    <w:rsid w:val="008835DF"/>
    <w:rsid w:val="00883765"/>
    <w:rsid w:val="00883D34"/>
    <w:rsid w:val="0088469C"/>
    <w:rsid w:val="00884F33"/>
    <w:rsid w:val="0088571E"/>
    <w:rsid w:val="00885827"/>
    <w:rsid w:val="0088591A"/>
    <w:rsid w:val="0088598F"/>
    <w:rsid w:val="00885996"/>
    <w:rsid w:val="00885A5B"/>
    <w:rsid w:val="00885BD8"/>
    <w:rsid w:val="00885F1F"/>
    <w:rsid w:val="0088604B"/>
    <w:rsid w:val="008860A1"/>
    <w:rsid w:val="00886628"/>
    <w:rsid w:val="0088691F"/>
    <w:rsid w:val="00887382"/>
    <w:rsid w:val="00887730"/>
    <w:rsid w:val="00887AC1"/>
    <w:rsid w:val="00887CF1"/>
    <w:rsid w:val="00887E76"/>
    <w:rsid w:val="008902DD"/>
    <w:rsid w:val="00890351"/>
    <w:rsid w:val="00890593"/>
    <w:rsid w:val="0089071B"/>
    <w:rsid w:val="0089074B"/>
    <w:rsid w:val="00890A25"/>
    <w:rsid w:val="00890D84"/>
    <w:rsid w:val="00890F95"/>
    <w:rsid w:val="0089140E"/>
    <w:rsid w:val="00891415"/>
    <w:rsid w:val="00891D12"/>
    <w:rsid w:val="00891E99"/>
    <w:rsid w:val="00891ECE"/>
    <w:rsid w:val="008922B6"/>
    <w:rsid w:val="0089244D"/>
    <w:rsid w:val="008924E0"/>
    <w:rsid w:val="00892608"/>
    <w:rsid w:val="0089260D"/>
    <w:rsid w:val="008927B0"/>
    <w:rsid w:val="008928E1"/>
    <w:rsid w:val="00892A64"/>
    <w:rsid w:val="00893110"/>
    <w:rsid w:val="00893E7E"/>
    <w:rsid w:val="00894AD0"/>
    <w:rsid w:val="008950AD"/>
    <w:rsid w:val="00895297"/>
    <w:rsid w:val="008955ED"/>
    <w:rsid w:val="0089577B"/>
    <w:rsid w:val="00895BC6"/>
    <w:rsid w:val="00895EBF"/>
    <w:rsid w:val="00896A4F"/>
    <w:rsid w:val="00896B8C"/>
    <w:rsid w:val="00896CF8"/>
    <w:rsid w:val="008971FA"/>
    <w:rsid w:val="008976B9"/>
    <w:rsid w:val="00897762"/>
    <w:rsid w:val="008979E4"/>
    <w:rsid w:val="00897AF3"/>
    <w:rsid w:val="00897E07"/>
    <w:rsid w:val="008A0643"/>
    <w:rsid w:val="008A0AE0"/>
    <w:rsid w:val="008A0D82"/>
    <w:rsid w:val="008A104E"/>
    <w:rsid w:val="008A12C9"/>
    <w:rsid w:val="008A1B3D"/>
    <w:rsid w:val="008A1C27"/>
    <w:rsid w:val="008A209E"/>
    <w:rsid w:val="008A2171"/>
    <w:rsid w:val="008A271E"/>
    <w:rsid w:val="008A2906"/>
    <w:rsid w:val="008A2DFA"/>
    <w:rsid w:val="008A2F81"/>
    <w:rsid w:val="008A329B"/>
    <w:rsid w:val="008A32C5"/>
    <w:rsid w:val="008A335A"/>
    <w:rsid w:val="008A338F"/>
    <w:rsid w:val="008A33AE"/>
    <w:rsid w:val="008A33D3"/>
    <w:rsid w:val="008A384B"/>
    <w:rsid w:val="008A38AF"/>
    <w:rsid w:val="008A39B4"/>
    <w:rsid w:val="008A3AF1"/>
    <w:rsid w:val="008A4297"/>
    <w:rsid w:val="008A437D"/>
    <w:rsid w:val="008A4792"/>
    <w:rsid w:val="008A4797"/>
    <w:rsid w:val="008A47E8"/>
    <w:rsid w:val="008A4991"/>
    <w:rsid w:val="008A4C8C"/>
    <w:rsid w:val="008A52CD"/>
    <w:rsid w:val="008A5381"/>
    <w:rsid w:val="008A5816"/>
    <w:rsid w:val="008A5A4F"/>
    <w:rsid w:val="008A5F32"/>
    <w:rsid w:val="008A61D6"/>
    <w:rsid w:val="008A627B"/>
    <w:rsid w:val="008A6A81"/>
    <w:rsid w:val="008A6F37"/>
    <w:rsid w:val="008A6FE8"/>
    <w:rsid w:val="008A712E"/>
    <w:rsid w:val="008A71BD"/>
    <w:rsid w:val="008A7347"/>
    <w:rsid w:val="008A7847"/>
    <w:rsid w:val="008A7B47"/>
    <w:rsid w:val="008A7C72"/>
    <w:rsid w:val="008A7EB6"/>
    <w:rsid w:val="008A7F3A"/>
    <w:rsid w:val="008B0193"/>
    <w:rsid w:val="008B0262"/>
    <w:rsid w:val="008B035E"/>
    <w:rsid w:val="008B0603"/>
    <w:rsid w:val="008B0BD3"/>
    <w:rsid w:val="008B0D0E"/>
    <w:rsid w:val="008B0E24"/>
    <w:rsid w:val="008B152C"/>
    <w:rsid w:val="008B1667"/>
    <w:rsid w:val="008B1BD0"/>
    <w:rsid w:val="008B1D65"/>
    <w:rsid w:val="008B1E5D"/>
    <w:rsid w:val="008B2261"/>
    <w:rsid w:val="008B229C"/>
    <w:rsid w:val="008B26B8"/>
    <w:rsid w:val="008B2DE8"/>
    <w:rsid w:val="008B2E72"/>
    <w:rsid w:val="008B3210"/>
    <w:rsid w:val="008B3432"/>
    <w:rsid w:val="008B3807"/>
    <w:rsid w:val="008B3879"/>
    <w:rsid w:val="008B3892"/>
    <w:rsid w:val="008B3A08"/>
    <w:rsid w:val="008B3A12"/>
    <w:rsid w:val="008B3F8E"/>
    <w:rsid w:val="008B3F9E"/>
    <w:rsid w:val="008B43D5"/>
    <w:rsid w:val="008B4A45"/>
    <w:rsid w:val="008B4C25"/>
    <w:rsid w:val="008B4F47"/>
    <w:rsid w:val="008B5083"/>
    <w:rsid w:val="008B546D"/>
    <w:rsid w:val="008B54D1"/>
    <w:rsid w:val="008B5577"/>
    <w:rsid w:val="008B560C"/>
    <w:rsid w:val="008B578A"/>
    <w:rsid w:val="008B5D2E"/>
    <w:rsid w:val="008B5DB8"/>
    <w:rsid w:val="008B5EC7"/>
    <w:rsid w:val="008B6095"/>
    <w:rsid w:val="008B610B"/>
    <w:rsid w:val="008B652F"/>
    <w:rsid w:val="008B70AA"/>
    <w:rsid w:val="008B7569"/>
    <w:rsid w:val="008B769D"/>
    <w:rsid w:val="008B7729"/>
    <w:rsid w:val="008B7E21"/>
    <w:rsid w:val="008C0931"/>
    <w:rsid w:val="008C0C13"/>
    <w:rsid w:val="008C1B99"/>
    <w:rsid w:val="008C1C03"/>
    <w:rsid w:val="008C1D35"/>
    <w:rsid w:val="008C24E5"/>
    <w:rsid w:val="008C255A"/>
    <w:rsid w:val="008C31E2"/>
    <w:rsid w:val="008C32EB"/>
    <w:rsid w:val="008C33A0"/>
    <w:rsid w:val="008C34E7"/>
    <w:rsid w:val="008C36F6"/>
    <w:rsid w:val="008C38F1"/>
    <w:rsid w:val="008C3C01"/>
    <w:rsid w:val="008C3E23"/>
    <w:rsid w:val="008C3E6F"/>
    <w:rsid w:val="008C40A8"/>
    <w:rsid w:val="008C41C0"/>
    <w:rsid w:val="008C42C1"/>
    <w:rsid w:val="008C436B"/>
    <w:rsid w:val="008C4627"/>
    <w:rsid w:val="008C4A52"/>
    <w:rsid w:val="008C4BA3"/>
    <w:rsid w:val="008C4C73"/>
    <w:rsid w:val="008C4DDB"/>
    <w:rsid w:val="008C52FF"/>
    <w:rsid w:val="008C5A42"/>
    <w:rsid w:val="008C5AE7"/>
    <w:rsid w:val="008C62E7"/>
    <w:rsid w:val="008C65AC"/>
    <w:rsid w:val="008C674F"/>
    <w:rsid w:val="008C736B"/>
    <w:rsid w:val="008C742C"/>
    <w:rsid w:val="008C74BB"/>
    <w:rsid w:val="008C75D4"/>
    <w:rsid w:val="008C7613"/>
    <w:rsid w:val="008C77EE"/>
    <w:rsid w:val="008C7BB5"/>
    <w:rsid w:val="008D0054"/>
    <w:rsid w:val="008D032A"/>
    <w:rsid w:val="008D0762"/>
    <w:rsid w:val="008D08D8"/>
    <w:rsid w:val="008D09BB"/>
    <w:rsid w:val="008D1072"/>
    <w:rsid w:val="008D1103"/>
    <w:rsid w:val="008D11FB"/>
    <w:rsid w:val="008D1328"/>
    <w:rsid w:val="008D1471"/>
    <w:rsid w:val="008D16BA"/>
    <w:rsid w:val="008D1747"/>
    <w:rsid w:val="008D175C"/>
    <w:rsid w:val="008D18C1"/>
    <w:rsid w:val="008D18D5"/>
    <w:rsid w:val="008D1A4E"/>
    <w:rsid w:val="008D253D"/>
    <w:rsid w:val="008D28FF"/>
    <w:rsid w:val="008D2A4C"/>
    <w:rsid w:val="008D2A7A"/>
    <w:rsid w:val="008D2B96"/>
    <w:rsid w:val="008D2DAE"/>
    <w:rsid w:val="008D36F3"/>
    <w:rsid w:val="008D38FA"/>
    <w:rsid w:val="008D38FD"/>
    <w:rsid w:val="008D3D14"/>
    <w:rsid w:val="008D412E"/>
    <w:rsid w:val="008D4329"/>
    <w:rsid w:val="008D47A6"/>
    <w:rsid w:val="008D5166"/>
    <w:rsid w:val="008D5A0D"/>
    <w:rsid w:val="008D5CBB"/>
    <w:rsid w:val="008D6405"/>
    <w:rsid w:val="008D66A2"/>
    <w:rsid w:val="008D6C23"/>
    <w:rsid w:val="008D6C2A"/>
    <w:rsid w:val="008D74A7"/>
    <w:rsid w:val="008D76CC"/>
    <w:rsid w:val="008D778B"/>
    <w:rsid w:val="008D7B19"/>
    <w:rsid w:val="008D7E01"/>
    <w:rsid w:val="008D7FFD"/>
    <w:rsid w:val="008E0019"/>
    <w:rsid w:val="008E00BA"/>
    <w:rsid w:val="008E0173"/>
    <w:rsid w:val="008E07FB"/>
    <w:rsid w:val="008E08AC"/>
    <w:rsid w:val="008E0A97"/>
    <w:rsid w:val="008E0BEA"/>
    <w:rsid w:val="008E0C5C"/>
    <w:rsid w:val="008E0E57"/>
    <w:rsid w:val="008E0FAD"/>
    <w:rsid w:val="008E116A"/>
    <w:rsid w:val="008E13B4"/>
    <w:rsid w:val="008E1601"/>
    <w:rsid w:val="008E1935"/>
    <w:rsid w:val="008E1A38"/>
    <w:rsid w:val="008E1CE4"/>
    <w:rsid w:val="008E1EA3"/>
    <w:rsid w:val="008E2008"/>
    <w:rsid w:val="008E246B"/>
    <w:rsid w:val="008E2A5D"/>
    <w:rsid w:val="008E2B9E"/>
    <w:rsid w:val="008E2CE1"/>
    <w:rsid w:val="008E395D"/>
    <w:rsid w:val="008E3D18"/>
    <w:rsid w:val="008E3D94"/>
    <w:rsid w:val="008E3F9A"/>
    <w:rsid w:val="008E41F4"/>
    <w:rsid w:val="008E4658"/>
    <w:rsid w:val="008E47B3"/>
    <w:rsid w:val="008E491C"/>
    <w:rsid w:val="008E4BB4"/>
    <w:rsid w:val="008E4F33"/>
    <w:rsid w:val="008E53E6"/>
    <w:rsid w:val="008E546F"/>
    <w:rsid w:val="008E571C"/>
    <w:rsid w:val="008E5C27"/>
    <w:rsid w:val="008E5D9D"/>
    <w:rsid w:val="008E5EAD"/>
    <w:rsid w:val="008E609A"/>
    <w:rsid w:val="008E6359"/>
    <w:rsid w:val="008E6574"/>
    <w:rsid w:val="008E6741"/>
    <w:rsid w:val="008E6C1F"/>
    <w:rsid w:val="008E7476"/>
    <w:rsid w:val="008E7730"/>
    <w:rsid w:val="008E7B98"/>
    <w:rsid w:val="008E7D06"/>
    <w:rsid w:val="008E7D41"/>
    <w:rsid w:val="008E7D49"/>
    <w:rsid w:val="008E7F4C"/>
    <w:rsid w:val="008F02FB"/>
    <w:rsid w:val="008F09A8"/>
    <w:rsid w:val="008F10BE"/>
    <w:rsid w:val="008F11D7"/>
    <w:rsid w:val="008F147D"/>
    <w:rsid w:val="008F14A6"/>
    <w:rsid w:val="008F14E9"/>
    <w:rsid w:val="008F1A44"/>
    <w:rsid w:val="008F1D58"/>
    <w:rsid w:val="008F1F9D"/>
    <w:rsid w:val="008F21AB"/>
    <w:rsid w:val="008F23AC"/>
    <w:rsid w:val="008F2546"/>
    <w:rsid w:val="008F2862"/>
    <w:rsid w:val="008F291A"/>
    <w:rsid w:val="008F2C9D"/>
    <w:rsid w:val="008F3604"/>
    <w:rsid w:val="008F363D"/>
    <w:rsid w:val="008F36E8"/>
    <w:rsid w:val="008F3F4E"/>
    <w:rsid w:val="008F4421"/>
    <w:rsid w:val="008F484E"/>
    <w:rsid w:val="008F48D3"/>
    <w:rsid w:val="008F56BD"/>
    <w:rsid w:val="008F5D4F"/>
    <w:rsid w:val="008F6895"/>
    <w:rsid w:val="008F68FF"/>
    <w:rsid w:val="008F6935"/>
    <w:rsid w:val="008F6B9E"/>
    <w:rsid w:val="008F7269"/>
    <w:rsid w:val="008F75D5"/>
    <w:rsid w:val="008F7945"/>
    <w:rsid w:val="008F7A96"/>
    <w:rsid w:val="008F7E94"/>
    <w:rsid w:val="008F7EB1"/>
    <w:rsid w:val="008F7FC3"/>
    <w:rsid w:val="008F7FF6"/>
    <w:rsid w:val="00900158"/>
    <w:rsid w:val="009004FC"/>
    <w:rsid w:val="009007DC"/>
    <w:rsid w:val="00901360"/>
    <w:rsid w:val="009014D2"/>
    <w:rsid w:val="00902817"/>
    <w:rsid w:val="009028A0"/>
    <w:rsid w:val="00902CFD"/>
    <w:rsid w:val="00902DF1"/>
    <w:rsid w:val="00902E0D"/>
    <w:rsid w:val="00902FF2"/>
    <w:rsid w:val="00903134"/>
    <w:rsid w:val="0090322A"/>
    <w:rsid w:val="009032F6"/>
    <w:rsid w:val="00903578"/>
    <w:rsid w:val="00903590"/>
    <w:rsid w:val="00903663"/>
    <w:rsid w:val="00903A72"/>
    <w:rsid w:val="00903BBB"/>
    <w:rsid w:val="00903C32"/>
    <w:rsid w:val="00903F82"/>
    <w:rsid w:val="00904AD9"/>
    <w:rsid w:val="00904B85"/>
    <w:rsid w:val="00904EE1"/>
    <w:rsid w:val="0090543B"/>
    <w:rsid w:val="00905532"/>
    <w:rsid w:val="0090557C"/>
    <w:rsid w:val="009055CD"/>
    <w:rsid w:val="0090568C"/>
    <w:rsid w:val="00905786"/>
    <w:rsid w:val="00905B50"/>
    <w:rsid w:val="00905C0B"/>
    <w:rsid w:val="00905E84"/>
    <w:rsid w:val="009060B8"/>
    <w:rsid w:val="00906244"/>
    <w:rsid w:val="0090686D"/>
    <w:rsid w:val="0090693F"/>
    <w:rsid w:val="00906957"/>
    <w:rsid w:val="00906BCE"/>
    <w:rsid w:val="009070DA"/>
    <w:rsid w:val="009074A8"/>
    <w:rsid w:val="00907DBA"/>
    <w:rsid w:val="00907E92"/>
    <w:rsid w:val="009101BE"/>
    <w:rsid w:val="0091031B"/>
    <w:rsid w:val="0091065E"/>
    <w:rsid w:val="009107F9"/>
    <w:rsid w:val="00910892"/>
    <w:rsid w:val="00910B07"/>
    <w:rsid w:val="00910D86"/>
    <w:rsid w:val="00910FE3"/>
    <w:rsid w:val="00911061"/>
    <w:rsid w:val="009111CD"/>
    <w:rsid w:val="009113F6"/>
    <w:rsid w:val="009118D1"/>
    <w:rsid w:val="00911964"/>
    <w:rsid w:val="00911D09"/>
    <w:rsid w:val="00911FDB"/>
    <w:rsid w:val="00912204"/>
    <w:rsid w:val="009124A1"/>
    <w:rsid w:val="009124FF"/>
    <w:rsid w:val="00912A97"/>
    <w:rsid w:val="00912B1F"/>
    <w:rsid w:val="00912C48"/>
    <w:rsid w:val="00912F0B"/>
    <w:rsid w:val="0091301A"/>
    <w:rsid w:val="00913205"/>
    <w:rsid w:val="00913451"/>
    <w:rsid w:val="00913581"/>
    <w:rsid w:val="009135FB"/>
    <w:rsid w:val="00913C57"/>
    <w:rsid w:val="00913EF2"/>
    <w:rsid w:val="009140F8"/>
    <w:rsid w:val="00914193"/>
    <w:rsid w:val="009142B6"/>
    <w:rsid w:val="009145E6"/>
    <w:rsid w:val="00914730"/>
    <w:rsid w:val="00914DCC"/>
    <w:rsid w:val="0091507E"/>
    <w:rsid w:val="009158A9"/>
    <w:rsid w:val="00915917"/>
    <w:rsid w:val="00915B2B"/>
    <w:rsid w:val="00915E6B"/>
    <w:rsid w:val="0091644E"/>
    <w:rsid w:val="00916A10"/>
    <w:rsid w:val="00916A1B"/>
    <w:rsid w:val="00917045"/>
    <w:rsid w:val="009172F8"/>
    <w:rsid w:val="009173CE"/>
    <w:rsid w:val="009179B7"/>
    <w:rsid w:val="00917C8A"/>
    <w:rsid w:val="00917E68"/>
    <w:rsid w:val="009204C3"/>
    <w:rsid w:val="00920932"/>
    <w:rsid w:val="00920EAE"/>
    <w:rsid w:val="0092170B"/>
    <w:rsid w:val="00921920"/>
    <w:rsid w:val="009219FB"/>
    <w:rsid w:val="00921A23"/>
    <w:rsid w:val="00921B48"/>
    <w:rsid w:val="00921E98"/>
    <w:rsid w:val="00922555"/>
    <w:rsid w:val="00922AA0"/>
    <w:rsid w:val="00922B0F"/>
    <w:rsid w:val="00922E94"/>
    <w:rsid w:val="00922FA6"/>
    <w:rsid w:val="00923217"/>
    <w:rsid w:val="0092351E"/>
    <w:rsid w:val="00923C2A"/>
    <w:rsid w:val="00923E4B"/>
    <w:rsid w:val="0092408E"/>
    <w:rsid w:val="009241D1"/>
    <w:rsid w:val="009243E7"/>
    <w:rsid w:val="0092475F"/>
    <w:rsid w:val="00924FAC"/>
    <w:rsid w:val="009255FA"/>
    <w:rsid w:val="009258A1"/>
    <w:rsid w:val="00925CEC"/>
    <w:rsid w:val="0092628F"/>
    <w:rsid w:val="009268F3"/>
    <w:rsid w:val="00926D64"/>
    <w:rsid w:val="009271FA"/>
    <w:rsid w:val="0092728C"/>
    <w:rsid w:val="009272C7"/>
    <w:rsid w:val="0092763D"/>
    <w:rsid w:val="009278E2"/>
    <w:rsid w:val="00927B44"/>
    <w:rsid w:val="00927B63"/>
    <w:rsid w:val="00927BE6"/>
    <w:rsid w:val="00927DAA"/>
    <w:rsid w:val="009302B1"/>
    <w:rsid w:val="009303F5"/>
    <w:rsid w:val="00930533"/>
    <w:rsid w:val="00930596"/>
    <w:rsid w:val="009307E2"/>
    <w:rsid w:val="00930D7D"/>
    <w:rsid w:val="009310C7"/>
    <w:rsid w:val="00931404"/>
    <w:rsid w:val="00931A9D"/>
    <w:rsid w:val="00931ECE"/>
    <w:rsid w:val="0093237D"/>
    <w:rsid w:val="0093284F"/>
    <w:rsid w:val="009328D5"/>
    <w:rsid w:val="00932DB0"/>
    <w:rsid w:val="009339F3"/>
    <w:rsid w:val="00934541"/>
    <w:rsid w:val="00934653"/>
    <w:rsid w:val="00934AEE"/>
    <w:rsid w:val="00934BB0"/>
    <w:rsid w:val="00934E6D"/>
    <w:rsid w:val="00934F56"/>
    <w:rsid w:val="009352CC"/>
    <w:rsid w:val="009356D1"/>
    <w:rsid w:val="00935A58"/>
    <w:rsid w:val="00935E11"/>
    <w:rsid w:val="00935FC2"/>
    <w:rsid w:val="009361C1"/>
    <w:rsid w:val="00936416"/>
    <w:rsid w:val="00936442"/>
    <w:rsid w:val="00936C10"/>
    <w:rsid w:val="00936CD2"/>
    <w:rsid w:val="00937433"/>
    <w:rsid w:val="009375E8"/>
    <w:rsid w:val="00937703"/>
    <w:rsid w:val="00937965"/>
    <w:rsid w:val="009379ED"/>
    <w:rsid w:val="00937F61"/>
    <w:rsid w:val="00940065"/>
    <w:rsid w:val="00940448"/>
    <w:rsid w:val="00940500"/>
    <w:rsid w:val="0094074E"/>
    <w:rsid w:val="00940899"/>
    <w:rsid w:val="0094107E"/>
    <w:rsid w:val="009411B3"/>
    <w:rsid w:val="0094179D"/>
    <w:rsid w:val="00941DC4"/>
    <w:rsid w:val="009427A5"/>
    <w:rsid w:val="0094285B"/>
    <w:rsid w:val="00942CF6"/>
    <w:rsid w:val="00942EB0"/>
    <w:rsid w:val="009439C6"/>
    <w:rsid w:val="00943B4C"/>
    <w:rsid w:val="00943CF7"/>
    <w:rsid w:val="009441F6"/>
    <w:rsid w:val="00944237"/>
    <w:rsid w:val="00944429"/>
    <w:rsid w:val="0094471E"/>
    <w:rsid w:val="00944C36"/>
    <w:rsid w:val="0094506C"/>
    <w:rsid w:val="009451A5"/>
    <w:rsid w:val="00945EF2"/>
    <w:rsid w:val="00946046"/>
    <w:rsid w:val="009462AB"/>
    <w:rsid w:val="009465BC"/>
    <w:rsid w:val="00946676"/>
    <w:rsid w:val="0094668A"/>
    <w:rsid w:val="0094671D"/>
    <w:rsid w:val="00946B3C"/>
    <w:rsid w:val="0094747A"/>
    <w:rsid w:val="009475CA"/>
    <w:rsid w:val="00947670"/>
    <w:rsid w:val="009477BB"/>
    <w:rsid w:val="00947BEE"/>
    <w:rsid w:val="00947D2D"/>
    <w:rsid w:val="00950066"/>
    <w:rsid w:val="0095020A"/>
    <w:rsid w:val="009502F1"/>
    <w:rsid w:val="0095058C"/>
    <w:rsid w:val="00950A8C"/>
    <w:rsid w:val="00950B02"/>
    <w:rsid w:val="00950C31"/>
    <w:rsid w:val="00950C77"/>
    <w:rsid w:val="009518D9"/>
    <w:rsid w:val="00951B70"/>
    <w:rsid w:val="00951C2E"/>
    <w:rsid w:val="009523D3"/>
    <w:rsid w:val="00952435"/>
    <w:rsid w:val="00953538"/>
    <w:rsid w:val="00953670"/>
    <w:rsid w:val="00953C40"/>
    <w:rsid w:val="009540A9"/>
    <w:rsid w:val="009542A1"/>
    <w:rsid w:val="00954396"/>
    <w:rsid w:val="009543B3"/>
    <w:rsid w:val="0095500C"/>
    <w:rsid w:val="009555A4"/>
    <w:rsid w:val="009558ED"/>
    <w:rsid w:val="00955900"/>
    <w:rsid w:val="00955C04"/>
    <w:rsid w:val="00955FC9"/>
    <w:rsid w:val="009566E9"/>
    <w:rsid w:val="00956A06"/>
    <w:rsid w:val="00956B17"/>
    <w:rsid w:val="00957235"/>
    <w:rsid w:val="00960ABA"/>
    <w:rsid w:val="00960DDF"/>
    <w:rsid w:val="00961077"/>
    <w:rsid w:val="00961289"/>
    <w:rsid w:val="00961409"/>
    <w:rsid w:val="009614E1"/>
    <w:rsid w:val="00961A35"/>
    <w:rsid w:val="00961B42"/>
    <w:rsid w:val="009621CC"/>
    <w:rsid w:val="009623DA"/>
    <w:rsid w:val="0096252E"/>
    <w:rsid w:val="0096277A"/>
    <w:rsid w:val="009627F6"/>
    <w:rsid w:val="0096297A"/>
    <w:rsid w:val="00962EC2"/>
    <w:rsid w:val="009634D1"/>
    <w:rsid w:val="0096389F"/>
    <w:rsid w:val="00963972"/>
    <w:rsid w:val="00963D17"/>
    <w:rsid w:val="00963F9E"/>
    <w:rsid w:val="0096403F"/>
    <w:rsid w:val="009640FB"/>
    <w:rsid w:val="00964229"/>
    <w:rsid w:val="00964238"/>
    <w:rsid w:val="009642FC"/>
    <w:rsid w:val="00964719"/>
    <w:rsid w:val="00964AE0"/>
    <w:rsid w:val="00964FA8"/>
    <w:rsid w:val="0096529F"/>
    <w:rsid w:val="00965449"/>
    <w:rsid w:val="009659CD"/>
    <w:rsid w:val="00965D37"/>
    <w:rsid w:val="00965D78"/>
    <w:rsid w:val="009663D2"/>
    <w:rsid w:val="009663F6"/>
    <w:rsid w:val="00966568"/>
    <w:rsid w:val="009666D1"/>
    <w:rsid w:val="00966D36"/>
    <w:rsid w:val="00966DFA"/>
    <w:rsid w:val="0096711D"/>
    <w:rsid w:val="009674D0"/>
    <w:rsid w:val="00967D6C"/>
    <w:rsid w:val="00967F5A"/>
    <w:rsid w:val="00967FDC"/>
    <w:rsid w:val="009709F4"/>
    <w:rsid w:val="00971462"/>
    <w:rsid w:val="00971501"/>
    <w:rsid w:val="009717AF"/>
    <w:rsid w:val="00971918"/>
    <w:rsid w:val="00971AF0"/>
    <w:rsid w:val="00971FF5"/>
    <w:rsid w:val="009721AE"/>
    <w:rsid w:val="00972419"/>
    <w:rsid w:val="00972476"/>
    <w:rsid w:val="009724F3"/>
    <w:rsid w:val="00972980"/>
    <w:rsid w:val="00972A16"/>
    <w:rsid w:val="00972B56"/>
    <w:rsid w:val="00972D9F"/>
    <w:rsid w:val="00972EE0"/>
    <w:rsid w:val="009734FF"/>
    <w:rsid w:val="009735D3"/>
    <w:rsid w:val="00973AD9"/>
    <w:rsid w:val="00973B06"/>
    <w:rsid w:val="00973C04"/>
    <w:rsid w:val="00973EDA"/>
    <w:rsid w:val="00974305"/>
    <w:rsid w:val="00974A18"/>
    <w:rsid w:val="00974B20"/>
    <w:rsid w:val="00974C41"/>
    <w:rsid w:val="00974CA9"/>
    <w:rsid w:val="00974DC5"/>
    <w:rsid w:val="00974DE2"/>
    <w:rsid w:val="00974F24"/>
    <w:rsid w:val="00975370"/>
    <w:rsid w:val="0097564E"/>
    <w:rsid w:val="00975E75"/>
    <w:rsid w:val="0097606F"/>
    <w:rsid w:val="0097675E"/>
    <w:rsid w:val="00976941"/>
    <w:rsid w:val="00976F0A"/>
    <w:rsid w:val="00977504"/>
    <w:rsid w:val="00977DF6"/>
    <w:rsid w:val="0098086E"/>
    <w:rsid w:val="00980A58"/>
    <w:rsid w:val="00981186"/>
    <w:rsid w:val="0098207C"/>
    <w:rsid w:val="00982156"/>
    <w:rsid w:val="00982AD4"/>
    <w:rsid w:val="00982BA9"/>
    <w:rsid w:val="009832D7"/>
    <w:rsid w:val="0098372B"/>
    <w:rsid w:val="00983828"/>
    <w:rsid w:val="009839FF"/>
    <w:rsid w:val="00983C4C"/>
    <w:rsid w:val="00984667"/>
    <w:rsid w:val="00984991"/>
    <w:rsid w:val="00984E43"/>
    <w:rsid w:val="009852C8"/>
    <w:rsid w:val="009855D4"/>
    <w:rsid w:val="00985733"/>
    <w:rsid w:val="00985EC0"/>
    <w:rsid w:val="00985F8D"/>
    <w:rsid w:val="00986523"/>
    <w:rsid w:val="00986619"/>
    <w:rsid w:val="00986872"/>
    <w:rsid w:val="00986A0E"/>
    <w:rsid w:val="00986B57"/>
    <w:rsid w:val="0098704C"/>
    <w:rsid w:val="00987398"/>
    <w:rsid w:val="00987A01"/>
    <w:rsid w:val="00987C01"/>
    <w:rsid w:val="009901B7"/>
    <w:rsid w:val="0099041C"/>
    <w:rsid w:val="00990751"/>
    <w:rsid w:val="00990824"/>
    <w:rsid w:val="00990C33"/>
    <w:rsid w:val="00990C3E"/>
    <w:rsid w:val="00990D1E"/>
    <w:rsid w:val="00990D60"/>
    <w:rsid w:val="00991363"/>
    <w:rsid w:val="0099169F"/>
    <w:rsid w:val="00991877"/>
    <w:rsid w:val="00991DCC"/>
    <w:rsid w:val="009921E6"/>
    <w:rsid w:val="009926D8"/>
    <w:rsid w:val="00992764"/>
    <w:rsid w:val="00992BA4"/>
    <w:rsid w:val="00992FDC"/>
    <w:rsid w:val="00993610"/>
    <w:rsid w:val="00993668"/>
    <w:rsid w:val="009939DF"/>
    <w:rsid w:val="00993A0B"/>
    <w:rsid w:val="00994041"/>
    <w:rsid w:val="0099419A"/>
    <w:rsid w:val="009946CD"/>
    <w:rsid w:val="00994EF7"/>
    <w:rsid w:val="00995372"/>
    <w:rsid w:val="0099597F"/>
    <w:rsid w:val="00995B21"/>
    <w:rsid w:val="009960D3"/>
    <w:rsid w:val="009960D4"/>
    <w:rsid w:val="00996259"/>
    <w:rsid w:val="00996283"/>
    <w:rsid w:val="009962F9"/>
    <w:rsid w:val="00996386"/>
    <w:rsid w:val="009964B0"/>
    <w:rsid w:val="0099691C"/>
    <w:rsid w:val="00996921"/>
    <w:rsid w:val="00996DC6"/>
    <w:rsid w:val="00996EFA"/>
    <w:rsid w:val="00996F3B"/>
    <w:rsid w:val="00997004"/>
    <w:rsid w:val="00997B45"/>
    <w:rsid w:val="009A0119"/>
    <w:rsid w:val="009A0219"/>
    <w:rsid w:val="009A078C"/>
    <w:rsid w:val="009A07FC"/>
    <w:rsid w:val="009A08EF"/>
    <w:rsid w:val="009A0A3A"/>
    <w:rsid w:val="009A0B86"/>
    <w:rsid w:val="009A0BC4"/>
    <w:rsid w:val="009A0BE9"/>
    <w:rsid w:val="009A0DCF"/>
    <w:rsid w:val="009A109C"/>
    <w:rsid w:val="009A1155"/>
    <w:rsid w:val="009A135B"/>
    <w:rsid w:val="009A16FF"/>
    <w:rsid w:val="009A18B9"/>
    <w:rsid w:val="009A1E24"/>
    <w:rsid w:val="009A1ED0"/>
    <w:rsid w:val="009A1F52"/>
    <w:rsid w:val="009A24C9"/>
    <w:rsid w:val="009A274E"/>
    <w:rsid w:val="009A279D"/>
    <w:rsid w:val="009A2C08"/>
    <w:rsid w:val="009A3038"/>
    <w:rsid w:val="009A366F"/>
    <w:rsid w:val="009A3A82"/>
    <w:rsid w:val="009A3C64"/>
    <w:rsid w:val="009A3EE9"/>
    <w:rsid w:val="009A438E"/>
    <w:rsid w:val="009A4621"/>
    <w:rsid w:val="009A4F1F"/>
    <w:rsid w:val="009A4FFB"/>
    <w:rsid w:val="009A5030"/>
    <w:rsid w:val="009A508D"/>
    <w:rsid w:val="009A5323"/>
    <w:rsid w:val="009A56BD"/>
    <w:rsid w:val="009A5834"/>
    <w:rsid w:val="009A5851"/>
    <w:rsid w:val="009A5EBC"/>
    <w:rsid w:val="009A5FAD"/>
    <w:rsid w:val="009A6098"/>
    <w:rsid w:val="009A63AF"/>
    <w:rsid w:val="009A66B6"/>
    <w:rsid w:val="009A66DE"/>
    <w:rsid w:val="009A6D55"/>
    <w:rsid w:val="009A6D7B"/>
    <w:rsid w:val="009A74CC"/>
    <w:rsid w:val="009A763C"/>
    <w:rsid w:val="009A779D"/>
    <w:rsid w:val="009A7B1A"/>
    <w:rsid w:val="009A7B5D"/>
    <w:rsid w:val="009A7B8C"/>
    <w:rsid w:val="009A7C8D"/>
    <w:rsid w:val="009A7F8A"/>
    <w:rsid w:val="009B0206"/>
    <w:rsid w:val="009B0227"/>
    <w:rsid w:val="009B0596"/>
    <w:rsid w:val="009B0848"/>
    <w:rsid w:val="009B096F"/>
    <w:rsid w:val="009B0BA5"/>
    <w:rsid w:val="009B0DB2"/>
    <w:rsid w:val="009B0E34"/>
    <w:rsid w:val="009B0E6E"/>
    <w:rsid w:val="009B1D08"/>
    <w:rsid w:val="009B2391"/>
    <w:rsid w:val="009B2995"/>
    <w:rsid w:val="009B2FF5"/>
    <w:rsid w:val="009B30B0"/>
    <w:rsid w:val="009B32FD"/>
    <w:rsid w:val="009B344F"/>
    <w:rsid w:val="009B346C"/>
    <w:rsid w:val="009B3BC9"/>
    <w:rsid w:val="009B3D5C"/>
    <w:rsid w:val="009B3FEF"/>
    <w:rsid w:val="009B414C"/>
    <w:rsid w:val="009B4BB4"/>
    <w:rsid w:val="009B514C"/>
    <w:rsid w:val="009B5166"/>
    <w:rsid w:val="009B52B7"/>
    <w:rsid w:val="009B54BF"/>
    <w:rsid w:val="009B57B3"/>
    <w:rsid w:val="009B5866"/>
    <w:rsid w:val="009B65AF"/>
    <w:rsid w:val="009B679B"/>
    <w:rsid w:val="009B6DAA"/>
    <w:rsid w:val="009B73BC"/>
    <w:rsid w:val="009B7666"/>
    <w:rsid w:val="009B79DC"/>
    <w:rsid w:val="009B7C7F"/>
    <w:rsid w:val="009B7ECA"/>
    <w:rsid w:val="009B7F21"/>
    <w:rsid w:val="009C02D7"/>
    <w:rsid w:val="009C036A"/>
    <w:rsid w:val="009C07E2"/>
    <w:rsid w:val="009C0F03"/>
    <w:rsid w:val="009C1794"/>
    <w:rsid w:val="009C2510"/>
    <w:rsid w:val="009C2704"/>
    <w:rsid w:val="009C27CC"/>
    <w:rsid w:val="009C27FF"/>
    <w:rsid w:val="009C3268"/>
    <w:rsid w:val="009C3794"/>
    <w:rsid w:val="009C3828"/>
    <w:rsid w:val="009C388B"/>
    <w:rsid w:val="009C3DF2"/>
    <w:rsid w:val="009C3EE9"/>
    <w:rsid w:val="009C3F54"/>
    <w:rsid w:val="009C414D"/>
    <w:rsid w:val="009C4258"/>
    <w:rsid w:val="009C46E5"/>
    <w:rsid w:val="009C4D81"/>
    <w:rsid w:val="009C52C9"/>
    <w:rsid w:val="009C61C8"/>
    <w:rsid w:val="009C6B20"/>
    <w:rsid w:val="009C6B30"/>
    <w:rsid w:val="009C7391"/>
    <w:rsid w:val="009C7DA7"/>
    <w:rsid w:val="009C7E4E"/>
    <w:rsid w:val="009D0415"/>
    <w:rsid w:val="009D06EC"/>
    <w:rsid w:val="009D167D"/>
    <w:rsid w:val="009D1779"/>
    <w:rsid w:val="009D2172"/>
    <w:rsid w:val="009D28AB"/>
    <w:rsid w:val="009D2BE7"/>
    <w:rsid w:val="009D2F0C"/>
    <w:rsid w:val="009D3014"/>
    <w:rsid w:val="009D3318"/>
    <w:rsid w:val="009D3436"/>
    <w:rsid w:val="009D3974"/>
    <w:rsid w:val="009D3DD1"/>
    <w:rsid w:val="009D3F13"/>
    <w:rsid w:val="009D4057"/>
    <w:rsid w:val="009D4094"/>
    <w:rsid w:val="009D4558"/>
    <w:rsid w:val="009D47D0"/>
    <w:rsid w:val="009D486B"/>
    <w:rsid w:val="009D48D7"/>
    <w:rsid w:val="009D4A32"/>
    <w:rsid w:val="009D50DA"/>
    <w:rsid w:val="009D56B7"/>
    <w:rsid w:val="009D5B36"/>
    <w:rsid w:val="009D5B53"/>
    <w:rsid w:val="009D5E3C"/>
    <w:rsid w:val="009D5EED"/>
    <w:rsid w:val="009D60A3"/>
    <w:rsid w:val="009D635A"/>
    <w:rsid w:val="009D66BC"/>
    <w:rsid w:val="009D6CC4"/>
    <w:rsid w:val="009D6E5C"/>
    <w:rsid w:val="009D7131"/>
    <w:rsid w:val="009D77F9"/>
    <w:rsid w:val="009D7B32"/>
    <w:rsid w:val="009D7B8E"/>
    <w:rsid w:val="009D7C7E"/>
    <w:rsid w:val="009D7DD6"/>
    <w:rsid w:val="009E0A33"/>
    <w:rsid w:val="009E0A97"/>
    <w:rsid w:val="009E0B35"/>
    <w:rsid w:val="009E0C31"/>
    <w:rsid w:val="009E0E6F"/>
    <w:rsid w:val="009E0EB5"/>
    <w:rsid w:val="009E0F84"/>
    <w:rsid w:val="009E0FAA"/>
    <w:rsid w:val="009E105A"/>
    <w:rsid w:val="009E116D"/>
    <w:rsid w:val="009E15A5"/>
    <w:rsid w:val="009E1968"/>
    <w:rsid w:val="009E1C81"/>
    <w:rsid w:val="009E2361"/>
    <w:rsid w:val="009E25AD"/>
    <w:rsid w:val="009E2760"/>
    <w:rsid w:val="009E2864"/>
    <w:rsid w:val="009E28AB"/>
    <w:rsid w:val="009E2AF2"/>
    <w:rsid w:val="009E2D40"/>
    <w:rsid w:val="009E2FF4"/>
    <w:rsid w:val="009E3079"/>
    <w:rsid w:val="009E339E"/>
    <w:rsid w:val="009E36AB"/>
    <w:rsid w:val="009E3A5E"/>
    <w:rsid w:val="009E3DFB"/>
    <w:rsid w:val="009E421A"/>
    <w:rsid w:val="009E458E"/>
    <w:rsid w:val="009E459D"/>
    <w:rsid w:val="009E4AF2"/>
    <w:rsid w:val="009E5032"/>
    <w:rsid w:val="009E5306"/>
    <w:rsid w:val="009E54DD"/>
    <w:rsid w:val="009E594D"/>
    <w:rsid w:val="009E5E2C"/>
    <w:rsid w:val="009E5F7D"/>
    <w:rsid w:val="009E63E2"/>
    <w:rsid w:val="009E65A2"/>
    <w:rsid w:val="009E680A"/>
    <w:rsid w:val="009E6966"/>
    <w:rsid w:val="009E6A37"/>
    <w:rsid w:val="009E6B5A"/>
    <w:rsid w:val="009E6DF5"/>
    <w:rsid w:val="009E6E25"/>
    <w:rsid w:val="009E6F33"/>
    <w:rsid w:val="009E6F82"/>
    <w:rsid w:val="009E720F"/>
    <w:rsid w:val="009F0294"/>
    <w:rsid w:val="009F04E7"/>
    <w:rsid w:val="009F14FF"/>
    <w:rsid w:val="009F157D"/>
    <w:rsid w:val="009F16BE"/>
    <w:rsid w:val="009F171E"/>
    <w:rsid w:val="009F17BE"/>
    <w:rsid w:val="009F19F1"/>
    <w:rsid w:val="009F1A73"/>
    <w:rsid w:val="009F1BA2"/>
    <w:rsid w:val="009F1D44"/>
    <w:rsid w:val="009F2507"/>
    <w:rsid w:val="009F275A"/>
    <w:rsid w:val="009F28A8"/>
    <w:rsid w:val="009F28AA"/>
    <w:rsid w:val="009F2946"/>
    <w:rsid w:val="009F2D7C"/>
    <w:rsid w:val="009F3070"/>
    <w:rsid w:val="009F3197"/>
    <w:rsid w:val="009F3291"/>
    <w:rsid w:val="009F33A8"/>
    <w:rsid w:val="009F34A0"/>
    <w:rsid w:val="009F382D"/>
    <w:rsid w:val="009F3E5B"/>
    <w:rsid w:val="009F42FF"/>
    <w:rsid w:val="009F46DA"/>
    <w:rsid w:val="009F484A"/>
    <w:rsid w:val="009F51E8"/>
    <w:rsid w:val="009F5300"/>
    <w:rsid w:val="009F5636"/>
    <w:rsid w:val="009F5BA6"/>
    <w:rsid w:val="009F5EDB"/>
    <w:rsid w:val="009F65A9"/>
    <w:rsid w:val="009F673C"/>
    <w:rsid w:val="009F6A2B"/>
    <w:rsid w:val="009F6D7C"/>
    <w:rsid w:val="009F6DD3"/>
    <w:rsid w:val="009F73E0"/>
    <w:rsid w:val="00A00100"/>
    <w:rsid w:val="00A00126"/>
    <w:rsid w:val="00A0022C"/>
    <w:rsid w:val="00A00C6C"/>
    <w:rsid w:val="00A00E75"/>
    <w:rsid w:val="00A00FFC"/>
    <w:rsid w:val="00A0114E"/>
    <w:rsid w:val="00A012B4"/>
    <w:rsid w:val="00A01B20"/>
    <w:rsid w:val="00A01C9C"/>
    <w:rsid w:val="00A01DAD"/>
    <w:rsid w:val="00A01E2A"/>
    <w:rsid w:val="00A01F69"/>
    <w:rsid w:val="00A024D5"/>
    <w:rsid w:val="00A028D9"/>
    <w:rsid w:val="00A0296D"/>
    <w:rsid w:val="00A02E36"/>
    <w:rsid w:val="00A030FB"/>
    <w:rsid w:val="00A031E8"/>
    <w:rsid w:val="00A0359C"/>
    <w:rsid w:val="00A03775"/>
    <w:rsid w:val="00A03C3E"/>
    <w:rsid w:val="00A03CE1"/>
    <w:rsid w:val="00A03ED3"/>
    <w:rsid w:val="00A03F9A"/>
    <w:rsid w:val="00A0405C"/>
    <w:rsid w:val="00A0408E"/>
    <w:rsid w:val="00A042EF"/>
    <w:rsid w:val="00A04505"/>
    <w:rsid w:val="00A045FA"/>
    <w:rsid w:val="00A04CD0"/>
    <w:rsid w:val="00A04D63"/>
    <w:rsid w:val="00A0507C"/>
    <w:rsid w:val="00A05127"/>
    <w:rsid w:val="00A051A7"/>
    <w:rsid w:val="00A0521A"/>
    <w:rsid w:val="00A0534F"/>
    <w:rsid w:val="00A0563F"/>
    <w:rsid w:val="00A0573A"/>
    <w:rsid w:val="00A057D4"/>
    <w:rsid w:val="00A0649C"/>
    <w:rsid w:val="00A065E7"/>
    <w:rsid w:val="00A066AF"/>
    <w:rsid w:val="00A06773"/>
    <w:rsid w:val="00A0782A"/>
    <w:rsid w:val="00A0784E"/>
    <w:rsid w:val="00A07CBF"/>
    <w:rsid w:val="00A07F3F"/>
    <w:rsid w:val="00A10292"/>
    <w:rsid w:val="00A1045B"/>
    <w:rsid w:val="00A10742"/>
    <w:rsid w:val="00A107AD"/>
    <w:rsid w:val="00A10821"/>
    <w:rsid w:val="00A108AE"/>
    <w:rsid w:val="00A10CED"/>
    <w:rsid w:val="00A111C5"/>
    <w:rsid w:val="00A1134D"/>
    <w:rsid w:val="00A113F1"/>
    <w:rsid w:val="00A1196A"/>
    <w:rsid w:val="00A11B45"/>
    <w:rsid w:val="00A11F96"/>
    <w:rsid w:val="00A1240E"/>
    <w:rsid w:val="00A12509"/>
    <w:rsid w:val="00A12B32"/>
    <w:rsid w:val="00A12BA8"/>
    <w:rsid w:val="00A12BAA"/>
    <w:rsid w:val="00A1344B"/>
    <w:rsid w:val="00A134D5"/>
    <w:rsid w:val="00A13A7A"/>
    <w:rsid w:val="00A13C00"/>
    <w:rsid w:val="00A13C19"/>
    <w:rsid w:val="00A13CEA"/>
    <w:rsid w:val="00A1401E"/>
    <w:rsid w:val="00A142E2"/>
    <w:rsid w:val="00A14382"/>
    <w:rsid w:val="00A1487F"/>
    <w:rsid w:val="00A149F3"/>
    <w:rsid w:val="00A14B72"/>
    <w:rsid w:val="00A14CA9"/>
    <w:rsid w:val="00A14CE7"/>
    <w:rsid w:val="00A15282"/>
    <w:rsid w:val="00A153A7"/>
    <w:rsid w:val="00A15BC9"/>
    <w:rsid w:val="00A15D99"/>
    <w:rsid w:val="00A15E58"/>
    <w:rsid w:val="00A15F52"/>
    <w:rsid w:val="00A160DA"/>
    <w:rsid w:val="00A16152"/>
    <w:rsid w:val="00A1625F"/>
    <w:rsid w:val="00A16428"/>
    <w:rsid w:val="00A1651C"/>
    <w:rsid w:val="00A16EF8"/>
    <w:rsid w:val="00A16FD5"/>
    <w:rsid w:val="00A1709F"/>
    <w:rsid w:val="00A170B4"/>
    <w:rsid w:val="00A17572"/>
    <w:rsid w:val="00A17775"/>
    <w:rsid w:val="00A17A77"/>
    <w:rsid w:val="00A17CA0"/>
    <w:rsid w:val="00A2096C"/>
    <w:rsid w:val="00A20D8D"/>
    <w:rsid w:val="00A211B2"/>
    <w:rsid w:val="00A2152D"/>
    <w:rsid w:val="00A21755"/>
    <w:rsid w:val="00A21CA2"/>
    <w:rsid w:val="00A21EB7"/>
    <w:rsid w:val="00A22326"/>
    <w:rsid w:val="00A22BFF"/>
    <w:rsid w:val="00A22EAF"/>
    <w:rsid w:val="00A22EBF"/>
    <w:rsid w:val="00A23EDF"/>
    <w:rsid w:val="00A23FB1"/>
    <w:rsid w:val="00A23FE0"/>
    <w:rsid w:val="00A240BD"/>
    <w:rsid w:val="00A24362"/>
    <w:rsid w:val="00A2492C"/>
    <w:rsid w:val="00A24C65"/>
    <w:rsid w:val="00A24E36"/>
    <w:rsid w:val="00A24F80"/>
    <w:rsid w:val="00A25B63"/>
    <w:rsid w:val="00A25F0F"/>
    <w:rsid w:val="00A26379"/>
    <w:rsid w:val="00A263CC"/>
    <w:rsid w:val="00A26505"/>
    <w:rsid w:val="00A2650F"/>
    <w:rsid w:val="00A26528"/>
    <w:rsid w:val="00A265A1"/>
    <w:rsid w:val="00A2660A"/>
    <w:rsid w:val="00A26B49"/>
    <w:rsid w:val="00A26DBD"/>
    <w:rsid w:val="00A26FD8"/>
    <w:rsid w:val="00A27113"/>
    <w:rsid w:val="00A27235"/>
    <w:rsid w:val="00A2778E"/>
    <w:rsid w:val="00A277A6"/>
    <w:rsid w:val="00A27BAB"/>
    <w:rsid w:val="00A27C5B"/>
    <w:rsid w:val="00A302AC"/>
    <w:rsid w:val="00A305C9"/>
    <w:rsid w:val="00A30AF7"/>
    <w:rsid w:val="00A30B50"/>
    <w:rsid w:val="00A30D93"/>
    <w:rsid w:val="00A30EA9"/>
    <w:rsid w:val="00A3101B"/>
    <w:rsid w:val="00A312DF"/>
    <w:rsid w:val="00A31944"/>
    <w:rsid w:val="00A3198A"/>
    <w:rsid w:val="00A31C64"/>
    <w:rsid w:val="00A320DA"/>
    <w:rsid w:val="00A32299"/>
    <w:rsid w:val="00A324E0"/>
    <w:rsid w:val="00A3292C"/>
    <w:rsid w:val="00A32B42"/>
    <w:rsid w:val="00A32CDC"/>
    <w:rsid w:val="00A32CE5"/>
    <w:rsid w:val="00A32D58"/>
    <w:rsid w:val="00A32E47"/>
    <w:rsid w:val="00A33004"/>
    <w:rsid w:val="00A336C5"/>
    <w:rsid w:val="00A33DEF"/>
    <w:rsid w:val="00A3411E"/>
    <w:rsid w:val="00A34437"/>
    <w:rsid w:val="00A34DC8"/>
    <w:rsid w:val="00A3502D"/>
    <w:rsid w:val="00A351A3"/>
    <w:rsid w:val="00A35DCB"/>
    <w:rsid w:val="00A367D0"/>
    <w:rsid w:val="00A3685D"/>
    <w:rsid w:val="00A37117"/>
    <w:rsid w:val="00A373AC"/>
    <w:rsid w:val="00A37554"/>
    <w:rsid w:val="00A37E38"/>
    <w:rsid w:val="00A37F6B"/>
    <w:rsid w:val="00A40097"/>
    <w:rsid w:val="00A4040D"/>
    <w:rsid w:val="00A40E5B"/>
    <w:rsid w:val="00A414FE"/>
    <w:rsid w:val="00A41908"/>
    <w:rsid w:val="00A41ABA"/>
    <w:rsid w:val="00A41D76"/>
    <w:rsid w:val="00A4206F"/>
    <w:rsid w:val="00A420EF"/>
    <w:rsid w:val="00A42200"/>
    <w:rsid w:val="00A42580"/>
    <w:rsid w:val="00A4294A"/>
    <w:rsid w:val="00A429F8"/>
    <w:rsid w:val="00A431BD"/>
    <w:rsid w:val="00A4391A"/>
    <w:rsid w:val="00A43AD8"/>
    <w:rsid w:val="00A43C45"/>
    <w:rsid w:val="00A44373"/>
    <w:rsid w:val="00A44AD0"/>
    <w:rsid w:val="00A44F00"/>
    <w:rsid w:val="00A452E7"/>
    <w:rsid w:val="00A455BD"/>
    <w:rsid w:val="00A45C2A"/>
    <w:rsid w:val="00A45C59"/>
    <w:rsid w:val="00A46058"/>
    <w:rsid w:val="00A4633C"/>
    <w:rsid w:val="00A463C8"/>
    <w:rsid w:val="00A4668A"/>
    <w:rsid w:val="00A46A75"/>
    <w:rsid w:val="00A46A78"/>
    <w:rsid w:val="00A46DE9"/>
    <w:rsid w:val="00A46F35"/>
    <w:rsid w:val="00A474B8"/>
    <w:rsid w:val="00A47E8F"/>
    <w:rsid w:val="00A50489"/>
    <w:rsid w:val="00A5069B"/>
    <w:rsid w:val="00A508F6"/>
    <w:rsid w:val="00A50A71"/>
    <w:rsid w:val="00A5160A"/>
    <w:rsid w:val="00A51763"/>
    <w:rsid w:val="00A517A5"/>
    <w:rsid w:val="00A51A66"/>
    <w:rsid w:val="00A51C59"/>
    <w:rsid w:val="00A5206F"/>
    <w:rsid w:val="00A52CAD"/>
    <w:rsid w:val="00A52E59"/>
    <w:rsid w:val="00A52F0B"/>
    <w:rsid w:val="00A5302C"/>
    <w:rsid w:val="00A530D3"/>
    <w:rsid w:val="00A532BB"/>
    <w:rsid w:val="00A532ED"/>
    <w:rsid w:val="00A532FB"/>
    <w:rsid w:val="00A53EB8"/>
    <w:rsid w:val="00A54018"/>
    <w:rsid w:val="00A54B93"/>
    <w:rsid w:val="00A54CEE"/>
    <w:rsid w:val="00A54D43"/>
    <w:rsid w:val="00A54E18"/>
    <w:rsid w:val="00A54FD8"/>
    <w:rsid w:val="00A55000"/>
    <w:rsid w:val="00A552F7"/>
    <w:rsid w:val="00A55475"/>
    <w:rsid w:val="00A55565"/>
    <w:rsid w:val="00A55719"/>
    <w:rsid w:val="00A55720"/>
    <w:rsid w:val="00A557DC"/>
    <w:rsid w:val="00A55BBC"/>
    <w:rsid w:val="00A55F9D"/>
    <w:rsid w:val="00A560A0"/>
    <w:rsid w:val="00A5647A"/>
    <w:rsid w:val="00A5664C"/>
    <w:rsid w:val="00A56912"/>
    <w:rsid w:val="00A56DCB"/>
    <w:rsid w:val="00A56E50"/>
    <w:rsid w:val="00A57294"/>
    <w:rsid w:val="00A57501"/>
    <w:rsid w:val="00A57911"/>
    <w:rsid w:val="00A57A15"/>
    <w:rsid w:val="00A57A23"/>
    <w:rsid w:val="00A600E2"/>
    <w:rsid w:val="00A6023D"/>
    <w:rsid w:val="00A602C2"/>
    <w:rsid w:val="00A605A1"/>
    <w:rsid w:val="00A605E7"/>
    <w:rsid w:val="00A60727"/>
    <w:rsid w:val="00A60A62"/>
    <w:rsid w:val="00A60CA9"/>
    <w:rsid w:val="00A60E1C"/>
    <w:rsid w:val="00A610D3"/>
    <w:rsid w:val="00A611D2"/>
    <w:rsid w:val="00A61607"/>
    <w:rsid w:val="00A618A1"/>
    <w:rsid w:val="00A619EF"/>
    <w:rsid w:val="00A622B4"/>
    <w:rsid w:val="00A6249B"/>
    <w:rsid w:val="00A624DC"/>
    <w:rsid w:val="00A62822"/>
    <w:rsid w:val="00A62A60"/>
    <w:rsid w:val="00A631D9"/>
    <w:rsid w:val="00A63593"/>
    <w:rsid w:val="00A6359C"/>
    <w:rsid w:val="00A641A3"/>
    <w:rsid w:val="00A641C4"/>
    <w:rsid w:val="00A6483C"/>
    <w:rsid w:val="00A64A2C"/>
    <w:rsid w:val="00A64B8F"/>
    <w:rsid w:val="00A64CFB"/>
    <w:rsid w:val="00A65415"/>
    <w:rsid w:val="00A65A57"/>
    <w:rsid w:val="00A65D45"/>
    <w:rsid w:val="00A661CD"/>
    <w:rsid w:val="00A662AF"/>
    <w:rsid w:val="00A6634C"/>
    <w:rsid w:val="00A6657B"/>
    <w:rsid w:val="00A66781"/>
    <w:rsid w:val="00A668EF"/>
    <w:rsid w:val="00A66C9B"/>
    <w:rsid w:val="00A672CD"/>
    <w:rsid w:val="00A675F3"/>
    <w:rsid w:val="00A67D6C"/>
    <w:rsid w:val="00A7004E"/>
    <w:rsid w:val="00A70125"/>
    <w:rsid w:val="00A70503"/>
    <w:rsid w:val="00A705C6"/>
    <w:rsid w:val="00A70891"/>
    <w:rsid w:val="00A708F4"/>
    <w:rsid w:val="00A70A8E"/>
    <w:rsid w:val="00A70E7D"/>
    <w:rsid w:val="00A7108C"/>
    <w:rsid w:val="00A71747"/>
    <w:rsid w:val="00A71BE3"/>
    <w:rsid w:val="00A71D6B"/>
    <w:rsid w:val="00A725D3"/>
    <w:rsid w:val="00A7277C"/>
    <w:rsid w:val="00A727A8"/>
    <w:rsid w:val="00A727BC"/>
    <w:rsid w:val="00A72983"/>
    <w:rsid w:val="00A72A48"/>
    <w:rsid w:val="00A72A83"/>
    <w:rsid w:val="00A72EEC"/>
    <w:rsid w:val="00A7311A"/>
    <w:rsid w:val="00A7365E"/>
    <w:rsid w:val="00A73CCE"/>
    <w:rsid w:val="00A740AC"/>
    <w:rsid w:val="00A74369"/>
    <w:rsid w:val="00A743F3"/>
    <w:rsid w:val="00A744B3"/>
    <w:rsid w:val="00A74842"/>
    <w:rsid w:val="00A74D23"/>
    <w:rsid w:val="00A751FB"/>
    <w:rsid w:val="00A75847"/>
    <w:rsid w:val="00A75D1A"/>
    <w:rsid w:val="00A75FB0"/>
    <w:rsid w:val="00A760DF"/>
    <w:rsid w:val="00A7621E"/>
    <w:rsid w:val="00A770E3"/>
    <w:rsid w:val="00A7729C"/>
    <w:rsid w:val="00A779BA"/>
    <w:rsid w:val="00A77AD3"/>
    <w:rsid w:val="00A77CFA"/>
    <w:rsid w:val="00A77F54"/>
    <w:rsid w:val="00A800A4"/>
    <w:rsid w:val="00A80444"/>
    <w:rsid w:val="00A80914"/>
    <w:rsid w:val="00A809A9"/>
    <w:rsid w:val="00A809F0"/>
    <w:rsid w:val="00A80CB4"/>
    <w:rsid w:val="00A810AC"/>
    <w:rsid w:val="00A81158"/>
    <w:rsid w:val="00A81758"/>
    <w:rsid w:val="00A81AD8"/>
    <w:rsid w:val="00A81BCC"/>
    <w:rsid w:val="00A821A7"/>
    <w:rsid w:val="00A824BF"/>
    <w:rsid w:val="00A82BBB"/>
    <w:rsid w:val="00A82BF0"/>
    <w:rsid w:val="00A82E91"/>
    <w:rsid w:val="00A83144"/>
    <w:rsid w:val="00A83521"/>
    <w:rsid w:val="00A83578"/>
    <w:rsid w:val="00A83634"/>
    <w:rsid w:val="00A8375A"/>
    <w:rsid w:val="00A83DD7"/>
    <w:rsid w:val="00A84685"/>
    <w:rsid w:val="00A84AC5"/>
    <w:rsid w:val="00A84B0F"/>
    <w:rsid w:val="00A84FCF"/>
    <w:rsid w:val="00A85067"/>
    <w:rsid w:val="00A86036"/>
    <w:rsid w:val="00A8630B"/>
    <w:rsid w:val="00A866BD"/>
    <w:rsid w:val="00A8698A"/>
    <w:rsid w:val="00A86BDA"/>
    <w:rsid w:val="00A86BF2"/>
    <w:rsid w:val="00A86EF7"/>
    <w:rsid w:val="00A87061"/>
    <w:rsid w:val="00A870C5"/>
    <w:rsid w:val="00A873F3"/>
    <w:rsid w:val="00A87AA4"/>
    <w:rsid w:val="00A87AF8"/>
    <w:rsid w:val="00A90A0C"/>
    <w:rsid w:val="00A90A40"/>
    <w:rsid w:val="00A90AF6"/>
    <w:rsid w:val="00A90B52"/>
    <w:rsid w:val="00A90C15"/>
    <w:rsid w:val="00A90C21"/>
    <w:rsid w:val="00A90EF6"/>
    <w:rsid w:val="00A916C7"/>
    <w:rsid w:val="00A91AFC"/>
    <w:rsid w:val="00A91D72"/>
    <w:rsid w:val="00A91EF1"/>
    <w:rsid w:val="00A920E1"/>
    <w:rsid w:val="00A924D7"/>
    <w:rsid w:val="00A926A5"/>
    <w:rsid w:val="00A9272C"/>
    <w:rsid w:val="00A9276A"/>
    <w:rsid w:val="00A92A5E"/>
    <w:rsid w:val="00A92AFC"/>
    <w:rsid w:val="00A92CF4"/>
    <w:rsid w:val="00A92E98"/>
    <w:rsid w:val="00A930C5"/>
    <w:rsid w:val="00A93172"/>
    <w:rsid w:val="00A932A8"/>
    <w:rsid w:val="00A93703"/>
    <w:rsid w:val="00A94134"/>
    <w:rsid w:val="00A9465F"/>
    <w:rsid w:val="00A94D0C"/>
    <w:rsid w:val="00A94E07"/>
    <w:rsid w:val="00A94EED"/>
    <w:rsid w:val="00A961C1"/>
    <w:rsid w:val="00A965E1"/>
    <w:rsid w:val="00A967B8"/>
    <w:rsid w:val="00A96AD9"/>
    <w:rsid w:val="00A96AE7"/>
    <w:rsid w:val="00A96B0C"/>
    <w:rsid w:val="00A97545"/>
    <w:rsid w:val="00AA0172"/>
    <w:rsid w:val="00AA0377"/>
    <w:rsid w:val="00AA09D8"/>
    <w:rsid w:val="00AA0D09"/>
    <w:rsid w:val="00AA0E57"/>
    <w:rsid w:val="00AA0E9D"/>
    <w:rsid w:val="00AA1028"/>
    <w:rsid w:val="00AA16A6"/>
    <w:rsid w:val="00AA1840"/>
    <w:rsid w:val="00AA1A2D"/>
    <w:rsid w:val="00AA215C"/>
    <w:rsid w:val="00AA2160"/>
    <w:rsid w:val="00AA2C2F"/>
    <w:rsid w:val="00AA2C80"/>
    <w:rsid w:val="00AA2CD0"/>
    <w:rsid w:val="00AA2EE7"/>
    <w:rsid w:val="00AA2FAC"/>
    <w:rsid w:val="00AA3135"/>
    <w:rsid w:val="00AA3414"/>
    <w:rsid w:val="00AA3A79"/>
    <w:rsid w:val="00AA4320"/>
    <w:rsid w:val="00AA444B"/>
    <w:rsid w:val="00AA45C2"/>
    <w:rsid w:val="00AA49D9"/>
    <w:rsid w:val="00AA49E1"/>
    <w:rsid w:val="00AA4F2C"/>
    <w:rsid w:val="00AA52F2"/>
    <w:rsid w:val="00AA5301"/>
    <w:rsid w:val="00AA5558"/>
    <w:rsid w:val="00AA5719"/>
    <w:rsid w:val="00AA57DA"/>
    <w:rsid w:val="00AA5899"/>
    <w:rsid w:val="00AA5971"/>
    <w:rsid w:val="00AA5B8F"/>
    <w:rsid w:val="00AA612A"/>
    <w:rsid w:val="00AA61EA"/>
    <w:rsid w:val="00AA636B"/>
    <w:rsid w:val="00AA6372"/>
    <w:rsid w:val="00AA6663"/>
    <w:rsid w:val="00AA6B30"/>
    <w:rsid w:val="00AA6BAF"/>
    <w:rsid w:val="00AA7384"/>
    <w:rsid w:val="00AA777A"/>
    <w:rsid w:val="00AA7912"/>
    <w:rsid w:val="00AA7BFD"/>
    <w:rsid w:val="00AA7E3E"/>
    <w:rsid w:val="00AA7F27"/>
    <w:rsid w:val="00AA7F4A"/>
    <w:rsid w:val="00AB0204"/>
    <w:rsid w:val="00AB074E"/>
    <w:rsid w:val="00AB0863"/>
    <w:rsid w:val="00AB086C"/>
    <w:rsid w:val="00AB17ED"/>
    <w:rsid w:val="00AB1B45"/>
    <w:rsid w:val="00AB1B90"/>
    <w:rsid w:val="00AB1D09"/>
    <w:rsid w:val="00AB1DA3"/>
    <w:rsid w:val="00AB1DEB"/>
    <w:rsid w:val="00AB1E2C"/>
    <w:rsid w:val="00AB2301"/>
    <w:rsid w:val="00AB23EB"/>
    <w:rsid w:val="00AB2674"/>
    <w:rsid w:val="00AB2B63"/>
    <w:rsid w:val="00AB2D16"/>
    <w:rsid w:val="00AB312A"/>
    <w:rsid w:val="00AB42FB"/>
    <w:rsid w:val="00AB4430"/>
    <w:rsid w:val="00AB486C"/>
    <w:rsid w:val="00AB48FF"/>
    <w:rsid w:val="00AB4936"/>
    <w:rsid w:val="00AB4CCA"/>
    <w:rsid w:val="00AB514D"/>
    <w:rsid w:val="00AB5288"/>
    <w:rsid w:val="00AB54EE"/>
    <w:rsid w:val="00AB56C5"/>
    <w:rsid w:val="00AB57E7"/>
    <w:rsid w:val="00AB5F4C"/>
    <w:rsid w:val="00AB60EF"/>
    <w:rsid w:val="00AB69B9"/>
    <w:rsid w:val="00AB6C66"/>
    <w:rsid w:val="00AB6D35"/>
    <w:rsid w:val="00AB6D91"/>
    <w:rsid w:val="00AB6E05"/>
    <w:rsid w:val="00AB7315"/>
    <w:rsid w:val="00AB7596"/>
    <w:rsid w:val="00AB769F"/>
    <w:rsid w:val="00AB7D63"/>
    <w:rsid w:val="00AC0877"/>
    <w:rsid w:val="00AC08B4"/>
    <w:rsid w:val="00AC09E2"/>
    <w:rsid w:val="00AC0CD4"/>
    <w:rsid w:val="00AC0CDD"/>
    <w:rsid w:val="00AC0E12"/>
    <w:rsid w:val="00AC128F"/>
    <w:rsid w:val="00AC146C"/>
    <w:rsid w:val="00AC18A9"/>
    <w:rsid w:val="00AC2578"/>
    <w:rsid w:val="00AC2AD3"/>
    <w:rsid w:val="00AC2AFF"/>
    <w:rsid w:val="00AC2B52"/>
    <w:rsid w:val="00AC3110"/>
    <w:rsid w:val="00AC332C"/>
    <w:rsid w:val="00AC34CD"/>
    <w:rsid w:val="00AC3777"/>
    <w:rsid w:val="00AC3A99"/>
    <w:rsid w:val="00AC3BE1"/>
    <w:rsid w:val="00AC461C"/>
    <w:rsid w:val="00AC4965"/>
    <w:rsid w:val="00AC5242"/>
    <w:rsid w:val="00AC52A7"/>
    <w:rsid w:val="00AC53E5"/>
    <w:rsid w:val="00AC56B3"/>
    <w:rsid w:val="00AC5AF5"/>
    <w:rsid w:val="00AC6724"/>
    <w:rsid w:val="00AC6CA8"/>
    <w:rsid w:val="00AC702C"/>
    <w:rsid w:val="00AC71B5"/>
    <w:rsid w:val="00AC729E"/>
    <w:rsid w:val="00AC734D"/>
    <w:rsid w:val="00AC7777"/>
    <w:rsid w:val="00AC7781"/>
    <w:rsid w:val="00AC788B"/>
    <w:rsid w:val="00AC7FB1"/>
    <w:rsid w:val="00AD03C7"/>
    <w:rsid w:val="00AD051E"/>
    <w:rsid w:val="00AD05A3"/>
    <w:rsid w:val="00AD09EA"/>
    <w:rsid w:val="00AD1340"/>
    <w:rsid w:val="00AD146E"/>
    <w:rsid w:val="00AD19AA"/>
    <w:rsid w:val="00AD1D1A"/>
    <w:rsid w:val="00AD1EC0"/>
    <w:rsid w:val="00AD1FC1"/>
    <w:rsid w:val="00AD2945"/>
    <w:rsid w:val="00AD297C"/>
    <w:rsid w:val="00AD2D9E"/>
    <w:rsid w:val="00AD31D8"/>
    <w:rsid w:val="00AD3E93"/>
    <w:rsid w:val="00AD41DB"/>
    <w:rsid w:val="00AD43AA"/>
    <w:rsid w:val="00AD4679"/>
    <w:rsid w:val="00AD4C93"/>
    <w:rsid w:val="00AD4E32"/>
    <w:rsid w:val="00AD5184"/>
    <w:rsid w:val="00AD536B"/>
    <w:rsid w:val="00AD56B5"/>
    <w:rsid w:val="00AD5980"/>
    <w:rsid w:val="00AD59A8"/>
    <w:rsid w:val="00AD5CC4"/>
    <w:rsid w:val="00AD6299"/>
    <w:rsid w:val="00AD63AB"/>
    <w:rsid w:val="00AD6610"/>
    <w:rsid w:val="00AD6616"/>
    <w:rsid w:val="00AD6689"/>
    <w:rsid w:val="00AD66CC"/>
    <w:rsid w:val="00AD66D6"/>
    <w:rsid w:val="00AD66E6"/>
    <w:rsid w:val="00AD68CE"/>
    <w:rsid w:val="00AD6A22"/>
    <w:rsid w:val="00AD6A77"/>
    <w:rsid w:val="00AD6D19"/>
    <w:rsid w:val="00AD6D6A"/>
    <w:rsid w:val="00AD6F2F"/>
    <w:rsid w:val="00AD72E0"/>
    <w:rsid w:val="00AD73C2"/>
    <w:rsid w:val="00AD7619"/>
    <w:rsid w:val="00AD76B0"/>
    <w:rsid w:val="00AD7DB5"/>
    <w:rsid w:val="00AD7EE3"/>
    <w:rsid w:val="00AE0041"/>
    <w:rsid w:val="00AE0237"/>
    <w:rsid w:val="00AE055E"/>
    <w:rsid w:val="00AE0628"/>
    <w:rsid w:val="00AE0752"/>
    <w:rsid w:val="00AE1A55"/>
    <w:rsid w:val="00AE1CE5"/>
    <w:rsid w:val="00AE1CE9"/>
    <w:rsid w:val="00AE1EF3"/>
    <w:rsid w:val="00AE1FD3"/>
    <w:rsid w:val="00AE209A"/>
    <w:rsid w:val="00AE21D7"/>
    <w:rsid w:val="00AE232D"/>
    <w:rsid w:val="00AE24F8"/>
    <w:rsid w:val="00AE2923"/>
    <w:rsid w:val="00AE306A"/>
    <w:rsid w:val="00AE3ADA"/>
    <w:rsid w:val="00AE3B57"/>
    <w:rsid w:val="00AE3D32"/>
    <w:rsid w:val="00AE3E81"/>
    <w:rsid w:val="00AE3E9E"/>
    <w:rsid w:val="00AE3F7A"/>
    <w:rsid w:val="00AE3FA3"/>
    <w:rsid w:val="00AE46AD"/>
    <w:rsid w:val="00AE4912"/>
    <w:rsid w:val="00AE4A6E"/>
    <w:rsid w:val="00AE5048"/>
    <w:rsid w:val="00AE50B9"/>
    <w:rsid w:val="00AE51A7"/>
    <w:rsid w:val="00AE5618"/>
    <w:rsid w:val="00AE57B5"/>
    <w:rsid w:val="00AE6198"/>
    <w:rsid w:val="00AE6825"/>
    <w:rsid w:val="00AE6888"/>
    <w:rsid w:val="00AE6FAE"/>
    <w:rsid w:val="00AE6FE1"/>
    <w:rsid w:val="00AE70DE"/>
    <w:rsid w:val="00AE75AF"/>
    <w:rsid w:val="00AE777E"/>
    <w:rsid w:val="00AE7990"/>
    <w:rsid w:val="00AE7E36"/>
    <w:rsid w:val="00AE7EEC"/>
    <w:rsid w:val="00AF005C"/>
    <w:rsid w:val="00AF02C3"/>
    <w:rsid w:val="00AF09E0"/>
    <w:rsid w:val="00AF0A9D"/>
    <w:rsid w:val="00AF0E0A"/>
    <w:rsid w:val="00AF0E16"/>
    <w:rsid w:val="00AF0E91"/>
    <w:rsid w:val="00AF128A"/>
    <w:rsid w:val="00AF13E8"/>
    <w:rsid w:val="00AF173B"/>
    <w:rsid w:val="00AF1744"/>
    <w:rsid w:val="00AF1A57"/>
    <w:rsid w:val="00AF1E36"/>
    <w:rsid w:val="00AF2273"/>
    <w:rsid w:val="00AF22F0"/>
    <w:rsid w:val="00AF2420"/>
    <w:rsid w:val="00AF24B6"/>
    <w:rsid w:val="00AF2A18"/>
    <w:rsid w:val="00AF2E00"/>
    <w:rsid w:val="00AF3BAF"/>
    <w:rsid w:val="00AF40DD"/>
    <w:rsid w:val="00AF45A4"/>
    <w:rsid w:val="00AF46D7"/>
    <w:rsid w:val="00AF482F"/>
    <w:rsid w:val="00AF484B"/>
    <w:rsid w:val="00AF4A0B"/>
    <w:rsid w:val="00AF4FDF"/>
    <w:rsid w:val="00AF53E5"/>
    <w:rsid w:val="00AF5589"/>
    <w:rsid w:val="00AF5612"/>
    <w:rsid w:val="00AF57F9"/>
    <w:rsid w:val="00AF5A7D"/>
    <w:rsid w:val="00AF5B0B"/>
    <w:rsid w:val="00AF5C48"/>
    <w:rsid w:val="00AF5C59"/>
    <w:rsid w:val="00AF5F2F"/>
    <w:rsid w:val="00AF5FB1"/>
    <w:rsid w:val="00AF6598"/>
    <w:rsid w:val="00AF6BA3"/>
    <w:rsid w:val="00AF6BBA"/>
    <w:rsid w:val="00AF6D0B"/>
    <w:rsid w:val="00AF6DED"/>
    <w:rsid w:val="00AF70A9"/>
    <w:rsid w:val="00AF72C1"/>
    <w:rsid w:val="00AF7371"/>
    <w:rsid w:val="00AF76B5"/>
    <w:rsid w:val="00AF7877"/>
    <w:rsid w:val="00AF788E"/>
    <w:rsid w:val="00AF7A52"/>
    <w:rsid w:val="00AF7B92"/>
    <w:rsid w:val="00AF7DBF"/>
    <w:rsid w:val="00AF7E01"/>
    <w:rsid w:val="00AF7FF1"/>
    <w:rsid w:val="00B0011E"/>
    <w:rsid w:val="00B00289"/>
    <w:rsid w:val="00B00528"/>
    <w:rsid w:val="00B00A4B"/>
    <w:rsid w:val="00B00D2C"/>
    <w:rsid w:val="00B00EB6"/>
    <w:rsid w:val="00B01499"/>
    <w:rsid w:val="00B01680"/>
    <w:rsid w:val="00B01770"/>
    <w:rsid w:val="00B019C5"/>
    <w:rsid w:val="00B0207D"/>
    <w:rsid w:val="00B02DD4"/>
    <w:rsid w:val="00B02E6F"/>
    <w:rsid w:val="00B0349C"/>
    <w:rsid w:val="00B038CC"/>
    <w:rsid w:val="00B04241"/>
    <w:rsid w:val="00B0431D"/>
    <w:rsid w:val="00B046D4"/>
    <w:rsid w:val="00B0488B"/>
    <w:rsid w:val="00B04D0C"/>
    <w:rsid w:val="00B04D33"/>
    <w:rsid w:val="00B04EE6"/>
    <w:rsid w:val="00B05382"/>
    <w:rsid w:val="00B05769"/>
    <w:rsid w:val="00B057D3"/>
    <w:rsid w:val="00B05C51"/>
    <w:rsid w:val="00B06852"/>
    <w:rsid w:val="00B07225"/>
    <w:rsid w:val="00B07389"/>
    <w:rsid w:val="00B075C4"/>
    <w:rsid w:val="00B077CC"/>
    <w:rsid w:val="00B07B47"/>
    <w:rsid w:val="00B07E0A"/>
    <w:rsid w:val="00B10348"/>
    <w:rsid w:val="00B10C39"/>
    <w:rsid w:val="00B10DA4"/>
    <w:rsid w:val="00B10EA7"/>
    <w:rsid w:val="00B11203"/>
    <w:rsid w:val="00B1185C"/>
    <w:rsid w:val="00B11863"/>
    <w:rsid w:val="00B1187A"/>
    <w:rsid w:val="00B11B3E"/>
    <w:rsid w:val="00B11BCB"/>
    <w:rsid w:val="00B11BD8"/>
    <w:rsid w:val="00B12153"/>
    <w:rsid w:val="00B1219F"/>
    <w:rsid w:val="00B12279"/>
    <w:rsid w:val="00B123B3"/>
    <w:rsid w:val="00B126E3"/>
    <w:rsid w:val="00B12A06"/>
    <w:rsid w:val="00B13280"/>
    <w:rsid w:val="00B13307"/>
    <w:rsid w:val="00B13334"/>
    <w:rsid w:val="00B13ABA"/>
    <w:rsid w:val="00B13B85"/>
    <w:rsid w:val="00B13BDC"/>
    <w:rsid w:val="00B14390"/>
    <w:rsid w:val="00B1440D"/>
    <w:rsid w:val="00B14535"/>
    <w:rsid w:val="00B1475B"/>
    <w:rsid w:val="00B14B4A"/>
    <w:rsid w:val="00B14C4C"/>
    <w:rsid w:val="00B14DDD"/>
    <w:rsid w:val="00B15050"/>
    <w:rsid w:val="00B1534A"/>
    <w:rsid w:val="00B15387"/>
    <w:rsid w:val="00B15846"/>
    <w:rsid w:val="00B15980"/>
    <w:rsid w:val="00B15A1E"/>
    <w:rsid w:val="00B15D5F"/>
    <w:rsid w:val="00B161C0"/>
    <w:rsid w:val="00B16238"/>
    <w:rsid w:val="00B169B8"/>
    <w:rsid w:val="00B16F1E"/>
    <w:rsid w:val="00B171DC"/>
    <w:rsid w:val="00B17231"/>
    <w:rsid w:val="00B17438"/>
    <w:rsid w:val="00B17A80"/>
    <w:rsid w:val="00B17C02"/>
    <w:rsid w:val="00B17F4D"/>
    <w:rsid w:val="00B17FF6"/>
    <w:rsid w:val="00B2010E"/>
    <w:rsid w:val="00B20CC7"/>
    <w:rsid w:val="00B20D1E"/>
    <w:rsid w:val="00B20DB3"/>
    <w:rsid w:val="00B20E49"/>
    <w:rsid w:val="00B20F1F"/>
    <w:rsid w:val="00B2108D"/>
    <w:rsid w:val="00B211C6"/>
    <w:rsid w:val="00B211E7"/>
    <w:rsid w:val="00B2180F"/>
    <w:rsid w:val="00B21853"/>
    <w:rsid w:val="00B2186D"/>
    <w:rsid w:val="00B21A37"/>
    <w:rsid w:val="00B21A8A"/>
    <w:rsid w:val="00B21E5B"/>
    <w:rsid w:val="00B22123"/>
    <w:rsid w:val="00B22511"/>
    <w:rsid w:val="00B22672"/>
    <w:rsid w:val="00B22830"/>
    <w:rsid w:val="00B22CD9"/>
    <w:rsid w:val="00B233B6"/>
    <w:rsid w:val="00B236A1"/>
    <w:rsid w:val="00B23998"/>
    <w:rsid w:val="00B23B61"/>
    <w:rsid w:val="00B23CFD"/>
    <w:rsid w:val="00B24492"/>
    <w:rsid w:val="00B247CD"/>
    <w:rsid w:val="00B24A23"/>
    <w:rsid w:val="00B24B17"/>
    <w:rsid w:val="00B24DD5"/>
    <w:rsid w:val="00B24DE4"/>
    <w:rsid w:val="00B24E9A"/>
    <w:rsid w:val="00B24F65"/>
    <w:rsid w:val="00B25225"/>
    <w:rsid w:val="00B2523B"/>
    <w:rsid w:val="00B25507"/>
    <w:rsid w:val="00B25757"/>
    <w:rsid w:val="00B2583A"/>
    <w:rsid w:val="00B25ACA"/>
    <w:rsid w:val="00B26387"/>
    <w:rsid w:val="00B269AA"/>
    <w:rsid w:val="00B26AD0"/>
    <w:rsid w:val="00B26BD7"/>
    <w:rsid w:val="00B26DB6"/>
    <w:rsid w:val="00B26DDE"/>
    <w:rsid w:val="00B27C7F"/>
    <w:rsid w:val="00B30316"/>
    <w:rsid w:val="00B30724"/>
    <w:rsid w:val="00B30816"/>
    <w:rsid w:val="00B30F2E"/>
    <w:rsid w:val="00B3105E"/>
    <w:rsid w:val="00B31072"/>
    <w:rsid w:val="00B315BD"/>
    <w:rsid w:val="00B31680"/>
    <w:rsid w:val="00B31C6F"/>
    <w:rsid w:val="00B31CF9"/>
    <w:rsid w:val="00B31D15"/>
    <w:rsid w:val="00B32198"/>
    <w:rsid w:val="00B32226"/>
    <w:rsid w:val="00B32AFD"/>
    <w:rsid w:val="00B32F94"/>
    <w:rsid w:val="00B33A20"/>
    <w:rsid w:val="00B33AC4"/>
    <w:rsid w:val="00B33B45"/>
    <w:rsid w:val="00B33B6A"/>
    <w:rsid w:val="00B3450F"/>
    <w:rsid w:val="00B34657"/>
    <w:rsid w:val="00B34CB6"/>
    <w:rsid w:val="00B34F79"/>
    <w:rsid w:val="00B35827"/>
    <w:rsid w:val="00B35C9B"/>
    <w:rsid w:val="00B35E95"/>
    <w:rsid w:val="00B36120"/>
    <w:rsid w:val="00B3623F"/>
    <w:rsid w:val="00B3625B"/>
    <w:rsid w:val="00B364E3"/>
    <w:rsid w:val="00B3671A"/>
    <w:rsid w:val="00B36901"/>
    <w:rsid w:val="00B36EBA"/>
    <w:rsid w:val="00B37044"/>
    <w:rsid w:val="00B37499"/>
    <w:rsid w:val="00B37613"/>
    <w:rsid w:val="00B377D0"/>
    <w:rsid w:val="00B37B4F"/>
    <w:rsid w:val="00B37C9F"/>
    <w:rsid w:val="00B4033D"/>
    <w:rsid w:val="00B40E67"/>
    <w:rsid w:val="00B40FD4"/>
    <w:rsid w:val="00B41090"/>
    <w:rsid w:val="00B4119C"/>
    <w:rsid w:val="00B41A14"/>
    <w:rsid w:val="00B41BE5"/>
    <w:rsid w:val="00B41D50"/>
    <w:rsid w:val="00B41F79"/>
    <w:rsid w:val="00B421B7"/>
    <w:rsid w:val="00B425FC"/>
    <w:rsid w:val="00B42613"/>
    <w:rsid w:val="00B42615"/>
    <w:rsid w:val="00B42C10"/>
    <w:rsid w:val="00B42DCC"/>
    <w:rsid w:val="00B42F12"/>
    <w:rsid w:val="00B42F87"/>
    <w:rsid w:val="00B431CB"/>
    <w:rsid w:val="00B434FE"/>
    <w:rsid w:val="00B4489A"/>
    <w:rsid w:val="00B451B2"/>
    <w:rsid w:val="00B45540"/>
    <w:rsid w:val="00B4622B"/>
    <w:rsid w:val="00B462E7"/>
    <w:rsid w:val="00B4636D"/>
    <w:rsid w:val="00B463B5"/>
    <w:rsid w:val="00B46525"/>
    <w:rsid w:val="00B46536"/>
    <w:rsid w:val="00B46BCB"/>
    <w:rsid w:val="00B47598"/>
    <w:rsid w:val="00B475E1"/>
    <w:rsid w:val="00B47823"/>
    <w:rsid w:val="00B47E00"/>
    <w:rsid w:val="00B47F27"/>
    <w:rsid w:val="00B500F5"/>
    <w:rsid w:val="00B50494"/>
    <w:rsid w:val="00B50794"/>
    <w:rsid w:val="00B50A1C"/>
    <w:rsid w:val="00B50E6F"/>
    <w:rsid w:val="00B50F5B"/>
    <w:rsid w:val="00B516C2"/>
    <w:rsid w:val="00B51B03"/>
    <w:rsid w:val="00B51BAB"/>
    <w:rsid w:val="00B51DB7"/>
    <w:rsid w:val="00B51FAE"/>
    <w:rsid w:val="00B524FB"/>
    <w:rsid w:val="00B52520"/>
    <w:rsid w:val="00B52524"/>
    <w:rsid w:val="00B52817"/>
    <w:rsid w:val="00B52872"/>
    <w:rsid w:val="00B528F2"/>
    <w:rsid w:val="00B52C06"/>
    <w:rsid w:val="00B53E80"/>
    <w:rsid w:val="00B54510"/>
    <w:rsid w:val="00B548D2"/>
    <w:rsid w:val="00B54D21"/>
    <w:rsid w:val="00B54EBC"/>
    <w:rsid w:val="00B551B0"/>
    <w:rsid w:val="00B553DF"/>
    <w:rsid w:val="00B5598E"/>
    <w:rsid w:val="00B55F0F"/>
    <w:rsid w:val="00B57113"/>
    <w:rsid w:val="00B5778C"/>
    <w:rsid w:val="00B57971"/>
    <w:rsid w:val="00B57A69"/>
    <w:rsid w:val="00B57B3C"/>
    <w:rsid w:val="00B57EEB"/>
    <w:rsid w:val="00B6083B"/>
    <w:rsid w:val="00B60866"/>
    <w:rsid w:val="00B61211"/>
    <w:rsid w:val="00B61663"/>
    <w:rsid w:val="00B61A73"/>
    <w:rsid w:val="00B61B85"/>
    <w:rsid w:val="00B621C2"/>
    <w:rsid w:val="00B62347"/>
    <w:rsid w:val="00B6278E"/>
    <w:rsid w:val="00B629CD"/>
    <w:rsid w:val="00B62CEB"/>
    <w:rsid w:val="00B636E9"/>
    <w:rsid w:val="00B63970"/>
    <w:rsid w:val="00B63D5D"/>
    <w:rsid w:val="00B63D76"/>
    <w:rsid w:val="00B640D1"/>
    <w:rsid w:val="00B64630"/>
    <w:rsid w:val="00B64744"/>
    <w:rsid w:val="00B64C25"/>
    <w:rsid w:val="00B64EF2"/>
    <w:rsid w:val="00B659FD"/>
    <w:rsid w:val="00B65A69"/>
    <w:rsid w:val="00B65CB3"/>
    <w:rsid w:val="00B65F27"/>
    <w:rsid w:val="00B66294"/>
    <w:rsid w:val="00B6661C"/>
    <w:rsid w:val="00B66EB8"/>
    <w:rsid w:val="00B67140"/>
    <w:rsid w:val="00B67208"/>
    <w:rsid w:val="00B6747E"/>
    <w:rsid w:val="00B678D5"/>
    <w:rsid w:val="00B67ACB"/>
    <w:rsid w:val="00B67B7C"/>
    <w:rsid w:val="00B709C9"/>
    <w:rsid w:val="00B70AD9"/>
    <w:rsid w:val="00B70F46"/>
    <w:rsid w:val="00B7105F"/>
    <w:rsid w:val="00B710CD"/>
    <w:rsid w:val="00B712AE"/>
    <w:rsid w:val="00B7151D"/>
    <w:rsid w:val="00B715C2"/>
    <w:rsid w:val="00B715DC"/>
    <w:rsid w:val="00B71639"/>
    <w:rsid w:val="00B71DF7"/>
    <w:rsid w:val="00B72428"/>
    <w:rsid w:val="00B7257F"/>
    <w:rsid w:val="00B72660"/>
    <w:rsid w:val="00B72BA3"/>
    <w:rsid w:val="00B73364"/>
    <w:rsid w:val="00B73719"/>
    <w:rsid w:val="00B74023"/>
    <w:rsid w:val="00B74046"/>
    <w:rsid w:val="00B749A3"/>
    <w:rsid w:val="00B749ED"/>
    <w:rsid w:val="00B74F50"/>
    <w:rsid w:val="00B753B6"/>
    <w:rsid w:val="00B75939"/>
    <w:rsid w:val="00B75AE5"/>
    <w:rsid w:val="00B75BDA"/>
    <w:rsid w:val="00B7603A"/>
    <w:rsid w:val="00B764A5"/>
    <w:rsid w:val="00B7653D"/>
    <w:rsid w:val="00B768A9"/>
    <w:rsid w:val="00B7695C"/>
    <w:rsid w:val="00B77105"/>
    <w:rsid w:val="00B77840"/>
    <w:rsid w:val="00B7796A"/>
    <w:rsid w:val="00B77FC1"/>
    <w:rsid w:val="00B77FEE"/>
    <w:rsid w:val="00B8033A"/>
    <w:rsid w:val="00B80A30"/>
    <w:rsid w:val="00B80AAD"/>
    <w:rsid w:val="00B80AE8"/>
    <w:rsid w:val="00B80D86"/>
    <w:rsid w:val="00B811BA"/>
    <w:rsid w:val="00B811C1"/>
    <w:rsid w:val="00B816D7"/>
    <w:rsid w:val="00B81C56"/>
    <w:rsid w:val="00B821DF"/>
    <w:rsid w:val="00B82A6A"/>
    <w:rsid w:val="00B82B19"/>
    <w:rsid w:val="00B82E36"/>
    <w:rsid w:val="00B830DD"/>
    <w:rsid w:val="00B83258"/>
    <w:rsid w:val="00B83488"/>
    <w:rsid w:val="00B835B8"/>
    <w:rsid w:val="00B83EAA"/>
    <w:rsid w:val="00B83EF2"/>
    <w:rsid w:val="00B83F78"/>
    <w:rsid w:val="00B84047"/>
    <w:rsid w:val="00B840AA"/>
    <w:rsid w:val="00B840D8"/>
    <w:rsid w:val="00B840E2"/>
    <w:rsid w:val="00B84844"/>
    <w:rsid w:val="00B848B1"/>
    <w:rsid w:val="00B851BB"/>
    <w:rsid w:val="00B8545C"/>
    <w:rsid w:val="00B85C15"/>
    <w:rsid w:val="00B85D24"/>
    <w:rsid w:val="00B860B5"/>
    <w:rsid w:val="00B861F4"/>
    <w:rsid w:val="00B86408"/>
    <w:rsid w:val="00B86705"/>
    <w:rsid w:val="00B86E3A"/>
    <w:rsid w:val="00B87975"/>
    <w:rsid w:val="00B879AC"/>
    <w:rsid w:val="00B879C9"/>
    <w:rsid w:val="00B87FD9"/>
    <w:rsid w:val="00B90195"/>
    <w:rsid w:val="00B90A0A"/>
    <w:rsid w:val="00B90AEA"/>
    <w:rsid w:val="00B913A8"/>
    <w:rsid w:val="00B91488"/>
    <w:rsid w:val="00B918B9"/>
    <w:rsid w:val="00B91B1D"/>
    <w:rsid w:val="00B91B8A"/>
    <w:rsid w:val="00B91EC1"/>
    <w:rsid w:val="00B92A0E"/>
    <w:rsid w:val="00B92ED8"/>
    <w:rsid w:val="00B933B5"/>
    <w:rsid w:val="00B9349D"/>
    <w:rsid w:val="00B93A6E"/>
    <w:rsid w:val="00B93FE6"/>
    <w:rsid w:val="00B94D50"/>
    <w:rsid w:val="00B94FEF"/>
    <w:rsid w:val="00B9568C"/>
    <w:rsid w:val="00B96131"/>
    <w:rsid w:val="00B96257"/>
    <w:rsid w:val="00B9650C"/>
    <w:rsid w:val="00B9650D"/>
    <w:rsid w:val="00B96C34"/>
    <w:rsid w:val="00B96D83"/>
    <w:rsid w:val="00B96DAF"/>
    <w:rsid w:val="00B96E02"/>
    <w:rsid w:val="00B976B6"/>
    <w:rsid w:val="00B976BB"/>
    <w:rsid w:val="00B97812"/>
    <w:rsid w:val="00B97863"/>
    <w:rsid w:val="00B9787A"/>
    <w:rsid w:val="00B97BA3"/>
    <w:rsid w:val="00B97CB8"/>
    <w:rsid w:val="00B97D57"/>
    <w:rsid w:val="00BA099D"/>
    <w:rsid w:val="00BA0AAC"/>
    <w:rsid w:val="00BA0E48"/>
    <w:rsid w:val="00BA11ED"/>
    <w:rsid w:val="00BA1443"/>
    <w:rsid w:val="00BA16DD"/>
    <w:rsid w:val="00BA17E9"/>
    <w:rsid w:val="00BA1FE1"/>
    <w:rsid w:val="00BA26FB"/>
    <w:rsid w:val="00BA28F3"/>
    <w:rsid w:val="00BA323C"/>
    <w:rsid w:val="00BA36E5"/>
    <w:rsid w:val="00BA3774"/>
    <w:rsid w:val="00BA37BD"/>
    <w:rsid w:val="00BA3B79"/>
    <w:rsid w:val="00BA3C6C"/>
    <w:rsid w:val="00BA3CBC"/>
    <w:rsid w:val="00BA3F14"/>
    <w:rsid w:val="00BA43AE"/>
    <w:rsid w:val="00BA44EC"/>
    <w:rsid w:val="00BA47B8"/>
    <w:rsid w:val="00BA48C7"/>
    <w:rsid w:val="00BA4B1D"/>
    <w:rsid w:val="00BA4EA5"/>
    <w:rsid w:val="00BA4F32"/>
    <w:rsid w:val="00BA5312"/>
    <w:rsid w:val="00BA5316"/>
    <w:rsid w:val="00BA5616"/>
    <w:rsid w:val="00BA59C6"/>
    <w:rsid w:val="00BA5DF5"/>
    <w:rsid w:val="00BA6C43"/>
    <w:rsid w:val="00BA78CA"/>
    <w:rsid w:val="00BA7C49"/>
    <w:rsid w:val="00BA7D3F"/>
    <w:rsid w:val="00BA7FD7"/>
    <w:rsid w:val="00BB0688"/>
    <w:rsid w:val="00BB06D9"/>
    <w:rsid w:val="00BB0911"/>
    <w:rsid w:val="00BB0E1D"/>
    <w:rsid w:val="00BB13E4"/>
    <w:rsid w:val="00BB1773"/>
    <w:rsid w:val="00BB18C8"/>
    <w:rsid w:val="00BB18F8"/>
    <w:rsid w:val="00BB1AC5"/>
    <w:rsid w:val="00BB24A9"/>
    <w:rsid w:val="00BB25B3"/>
    <w:rsid w:val="00BB25D3"/>
    <w:rsid w:val="00BB263D"/>
    <w:rsid w:val="00BB2652"/>
    <w:rsid w:val="00BB2895"/>
    <w:rsid w:val="00BB2A9F"/>
    <w:rsid w:val="00BB2D5F"/>
    <w:rsid w:val="00BB3318"/>
    <w:rsid w:val="00BB3570"/>
    <w:rsid w:val="00BB36D2"/>
    <w:rsid w:val="00BB3F64"/>
    <w:rsid w:val="00BB3FEB"/>
    <w:rsid w:val="00BB4454"/>
    <w:rsid w:val="00BB4943"/>
    <w:rsid w:val="00BB4A92"/>
    <w:rsid w:val="00BB4D2C"/>
    <w:rsid w:val="00BB5439"/>
    <w:rsid w:val="00BB5589"/>
    <w:rsid w:val="00BB59D7"/>
    <w:rsid w:val="00BB5DD4"/>
    <w:rsid w:val="00BB5F7F"/>
    <w:rsid w:val="00BB64B1"/>
    <w:rsid w:val="00BB6626"/>
    <w:rsid w:val="00BB669A"/>
    <w:rsid w:val="00BB682A"/>
    <w:rsid w:val="00BB6A0F"/>
    <w:rsid w:val="00BB6D0E"/>
    <w:rsid w:val="00BB744B"/>
    <w:rsid w:val="00BB75D3"/>
    <w:rsid w:val="00BB77A2"/>
    <w:rsid w:val="00BB77FD"/>
    <w:rsid w:val="00BB783A"/>
    <w:rsid w:val="00BB784F"/>
    <w:rsid w:val="00BB7BE3"/>
    <w:rsid w:val="00BB7E77"/>
    <w:rsid w:val="00BB7F39"/>
    <w:rsid w:val="00BC00FC"/>
    <w:rsid w:val="00BC040E"/>
    <w:rsid w:val="00BC0BB1"/>
    <w:rsid w:val="00BC0E43"/>
    <w:rsid w:val="00BC0FCA"/>
    <w:rsid w:val="00BC1020"/>
    <w:rsid w:val="00BC11C2"/>
    <w:rsid w:val="00BC19C8"/>
    <w:rsid w:val="00BC1B90"/>
    <w:rsid w:val="00BC1CF0"/>
    <w:rsid w:val="00BC1D18"/>
    <w:rsid w:val="00BC1F1D"/>
    <w:rsid w:val="00BC1FC2"/>
    <w:rsid w:val="00BC223F"/>
    <w:rsid w:val="00BC22E6"/>
    <w:rsid w:val="00BC2811"/>
    <w:rsid w:val="00BC2B05"/>
    <w:rsid w:val="00BC3093"/>
    <w:rsid w:val="00BC3121"/>
    <w:rsid w:val="00BC39BD"/>
    <w:rsid w:val="00BC39F2"/>
    <w:rsid w:val="00BC3A1D"/>
    <w:rsid w:val="00BC3B08"/>
    <w:rsid w:val="00BC45B5"/>
    <w:rsid w:val="00BC4BA5"/>
    <w:rsid w:val="00BC4C6F"/>
    <w:rsid w:val="00BC5399"/>
    <w:rsid w:val="00BC54D4"/>
    <w:rsid w:val="00BC5719"/>
    <w:rsid w:val="00BC58B4"/>
    <w:rsid w:val="00BC59BD"/>
    <w:rsid w:val="00BC5CFE"/>
    <w:rsid w:val="00BC6138"/>
    <w:rsid w:val="00BC6B03"/>
    <w:rsid w:val="00BC6C00"/>
    <w:rsid w:val="00BC7091"/>
    <w:rsid w:val="00BC7501"/>
    <w:rsid w:val="00BC752B"/>
    <w:rsid w:val="00BC7872"/>
    <w:rsid w:val="00BC7A8E"/>
    <w:rsid w:val="00BC7CC6"/>
    <w:rsid w:val="00BD0034"/>
    <w:rsid w:val="00BD035F"/>
    <w:rsid w:val="00BD14CE"/>
    <w:rsid w:val="00BD16BB"/>
    <w:rsid w:val="00BD1800"/>
    <w:rsid w:val="00BD1C0F"/>
    <w:rsid w:val="00BD1D0F"/>
    <w:rsid w:val="00BD1F20"/>
    <w:rsid w:val="00BD239E"/>
    <w:rsid w:val="00BD273C"/>
    <w:rsid w:val="00BD2A9D"/>
    <w:rsid w:val="00BD2C14"/>
    <w:rsid w:val="00BD2CB2"/>
    <w:rsid w:val="00BD2DDC"/>
    <w:rsid w:val="00BD33B5"/>
    <w:rsid w:val="00BD3472"/>
    <w:rsid w:val="00BD3545"/>
    <w:rsid w:val="00BD35BE"/>
    <w:rsid w:val="00BD4196"/>
    <w:rsid w:val="00BD5CB3"/>
    <w:rsid w:val="00BD6006"/>
    <w:rsid w:val="00BD6134"/>
    <w:rsid w:val="00BD620E"/>
    <w:rsid w:val="00BD6387"/>
    <w:rsid w:val="00BD6E20"/>
    <w:rsid w:val="00BD6F23"/>
    <w:rsid w:val="00BD6F3D"/>
    <w:rsid w:val="00BD7360"/>
    <w:rsid w:val="00BD75C7"/>
    <w:rsid w:val="00BD7B60"/>
    <w:rsid w:val="00BE013A"/>
    <w:rsid w:val="00BE01A9"/>
    <w:rsid w:val="00BE06A4"/>
    <w:rsid w:val="00BE0A06"/>
    <w:rsid w:val="00BE0AE6"/>
    <w:rsid w:val="00BE0BCF"/>
    <w:rsid w:val="00BE0C4E"/>
    <w:rsid w:val="00BE0C95"/>
    <w:rsid w:val="00BE15A2"/>
    <w:rsid w:val="00BE17C9"/>
    <w:rsid w:val="00BE1881"/>
    <w:rsid w:val="00BE1B4C"/>
    <w:rsid w:val="00BE1B68"/>
    <w:rsid w:val="00BE1BD7"/>
    <w:rsid w:val="00BE1E7B"/>
    <w:rsid w:val="00BE201A"/>
    <w:rsid w:val="00BE2315"/>
    <w:rsid w:val="00BE2344"/>
    <w:rsid w:val="00BE2502"/>
    <w:rsid w:val="00BE2D58"/>
    <w:rsid w:val="00BE2D84"/>
    <w:rsid w:val="00BE2F27"/>
    <w:rsid w:val="00BE2F35"/>
    <w:rsid w:val="00BE323C"/>
    <w:rsid w:val="00BE32BD"/>
    <w:rsid w:val="00BE32EE"/>
    <w:rsid w:val="00BE339D"/>
    <w:rsid w:val="00BE34D4"/>
    <w:rsid w:val="00BE372B"/>
    <w:rsid w:val="00BE37A8"/>
    <w:rsid w:val="00BE3BED"/>
    <w:rsid w:val="00BE3DC8"/>
    <w:rsid w:val="00BE3F8B"/>
    <w:rsid w:val="00BE402F"/>
    <w:rsid w:val="00BE4660"/>
    <w:rsid w:val="00BE4FE6"/>
    <w:rsid w:val="00BE54EE"/>
    <w:rsid w:val="00BE591F"/>
    <w:rsid w:val="00BE5C55"/>
    <w:rsid w:val="00BE5E90"/>
    <w:rsid w:val="00BE6026"/>
    <w:rsid w:val="00BE6078"/>
    <w:rsid w:val="00BE6327"/>
    <w:rsid w:val="00BE6AE7"/>
    <w:rsid w:val="00BE6F55"/>
    <w:rsid w:val="00BF00F2"/>
    <w:rsid w:val="00BF0196"/>
    <w:rsid w:val="00BF01BC"/>
    <w:rsid w:val="00BF03AF"/>
    <w:rsid w:val="00BF040E"/>
    <w:rsid w:val="00BF046A"/>
    <w:rsid w:val="00BF0492"/>
    <w:rsid w:val="00BF07B0"/>
    <w:rsid w:val="00BF0F25"/>
    <w:rsid w:val="00BF1040"/>
    <w:rsid w:val="00BF169B"/>
    <w:rsid w:val="00BF1B4A"/>
    <w:rsid w:val="00BF221D"/>
    <w:rsid w:val="00BF2247"/>
    <w:rsid w:val="00BF254C"/>
    <w:rsid w:val="00BF25A6"/>
    <w:rsid w:val="00BF286F"/>
    <w:rsid w:val="00BF2D27"/>
    <w:rsid w:val="00BF2D94"/>
    <w:rsid w:val="00BF2E60"/>
    <w:rsid w:val="00BF328F"/>
    <w:rsid w:val="00BF3548"/>
    <w:rsid w:val="00BF35D8"/>
    <w:rsid w:val="00BF36BD"/>
    <w:rsid w:val="00BF372F"/>
    <w:rsid w:val="00BF3E48"/>
    <w:rsid w:val="00BF3FA5"/>
    <w:rsid w:val="00BF4163"/>
    <w:rsid w:val="00BF4222"/>
    <w:rsid w:val="00BF4597"/>
    <w:rsid w:val="00BF4E47"/>
    <w:rsid w:val="00BF523E"/>
    <w:rsid w:val="00BF5634"/>
    <w:rsid w:val="00BF59FA"/>
    <w:rsid w:val="00BF6BB8"/>
    <w:rsid w:val="00BF73F1"/>
    <w:rsid w:val="00BF7407"/>
    <w:rsid w:val="00BF7808"/>
    <w:rsid w:val="00BF7825"/>
    <w:rsid w:val="00BF7843"/>
    <w:rsid w:val="00BF7CFF"/>
    <w:rsid w:val="00C004BA"/>
    <w:rsid w:val="00C004C9"/>
    <w:rsid w:val="00C00693"/>
    <w:rsid w:val="00C00B7D"/>
    <w:rsid w:val="00C00EC5"/>
    <w:rsid w:val="00C02AAC"/>
    <w:rsid w:val="00C02DCA"/>
    <w:rsid w:val="00C02F31"/>
    <w:rsid w:val="00C03306"/>
    <w:rsid w:val="00C03A73"/>
    <w:rsid w:val="00C03ACA"/>
    <w:rsid w:val="00C03C5E"/>
    <w:rsid w:val="00C03D4C"/>
    <w:rsid w:val="00C03E68"/>
    <w:rsid w:val="00C03F34"/>
    <w:rsid w:val="00C04047"/>
    <w:rsid w:val="00C041E9"/>
    <w:rsid w:val="00C04F86"/>
    <w:rsid w:val="00C05131"/>
    <w:rsid w:val="00C058A6"/>
    <w:rsid w:val="00C06266"/>
    <w:rsid w:val="00C06646"/>
    <w:rsid w:val="00C073C6"/>
    <w:rsid w:val="00C07541"/>
    <w:rsid w:val="00C0794B"/>
    <w:rsid w:val="00C07CE3"/>
    <w:rsid w:val="00C10728"/>
    <w:rsid w:val="00C1082D"/>
    <w:rsid w:val="00C1093B"/>
    <w:rsid w:val="00C10D9A"/>
    <w:rsid w:val="00C10F96"/>
    <w:rsid w:val="00C119E9"/>
    <w:rsid w:val="00C11C5C"/>
    <w:rsid w:val="00C12622"/>
    <w:rsid w:val="00C12759"/>
    <w:rsid w:val="00C12907"/>
    <w:rsid w:val="00C12B70"/>
    <w:rsid w:val="00C12CE1"/>
    <w:rsid w:val="00C12DE5"/>
    <w:rsid w:val="00C139CF"/>
    <w:rsid w:val="00C13F2C"/>
    <w:rsid w:val="00C1407C"/>
    <w:rsid w:val="00C14359"/>
    <w:rsid w:val="00C1444C"/>
    <w:rsid w:val="00C147B8"/>
    <w:rsid w:val="00C15129"/>
    <w:rsid w:val="00C15251"/>
    <w:rsid w:val="00C1545F"/>
    <w:rsid w:val="00C15BA1"/>
    <w:rsid w:val="00C160D0"/>
    <w:rsid w:val="00C16235"/>
    <w:rsid w:val="00C16509"/>
    <w:rsid w:val="00C16F32"/>
    <w:rsid w:val="00C173DB"/>
    <w:rsid w:val="00C178CD"/>
    <w:rsid w:val="00C17FD3"/>
    <w:rsid w:val="00C202A6"/>
    <w:rsid w:val="00C2049A"/>
    <w:rsid w:val="00C20716"/>
    <w:rsid w:val="00C214F4"/>
    <w:rsid w:val="00C218E8"/>
    <w:rsid w:val="00C22103"/>
    <w:rsid w:val="00C224D4"/>
    <w:rsid w:val="00C22514"/>
    <w:rsid w:val="00C227BE"/>
    <w:rsid w:val="00C229B6"/>
    <w:rsid w:val="00C22B53"/>
    <w:rsid w:val="00C22BE6"/>
    <w:rsid w:val="00C22FF9"/>
    <w:rsid w:val="00C23553"/>
    <w:rsid w:val="00C2407E"/>
    <w:rsid w:val="00C2458C"/>
    <w:rsid w:val="00C2471C"/>
    <w:rsid w:val="00C24754"/>
    <w:rsid w:val="00C2493F"/>
    <w:rsid w:val="00C24A1C"/>
    <w:rsid w:val="00C24A75"/>
    <w:rsid w:val="00C24C08"/>
    <w:rsid w:val="00C24C6B"/>
    <w:rsid w:val="00C24DAB"/>
    <w:rsid w:val="00C2547F"/>
    <w:rsid w:val="00C2560B"/>
    <w:rsid w:val="00C25AAE"/>
    <w:rsid w:val="00C25EAB"/>
    <w:rsid w:val="00C261EF"/>
    <w:rsid w:val="00C2675E"/>
    <w:rsid w:val="00C26986"/>
    <w:rsid w:val="00C26ACA"/>
    <w:rsid w:val="00C26C11"/>
    <w:rsid w:val="00C27188"/>
    <w:rsid w:val="00C27310"/>
    <w:rsid w:val="00C27463"/>
    <w:rsid w:val="00C27542"/>
    <w:rsid w:val="00C275AC"/>
    <w:rsid w:val="00C2794C"/>
    <w:rsid w:val="00C27D5A"/>
    <w:rsid w:val="00C27F47"/>
    <w:rsid w:val="00C30085"/>
    <w:rsid w:val="00C300BF"/>
    <w:rsid w:val="00C302EE"/>
    <w:rsid w:val="00C30486"/>
    <w:rsid w:val="00C305F1"/>
    <w:rsid w:val="00C3068E"/>
    <w:rsid w:val="00C309D7"/>
    <w:rsid w:val="00C30E26"/>
    <w:rsid w:val="00C30E9B"/>
    <w:rsid w:val="00C30ED5"/>
    <w:rsid w:val="00C30F07"/>
    <w:rsid w:val="00C31529"/>
    <w:rsid w:val="00C318F5"/>
    <w:rsid w:val="00C31EC7"/>
    <w:rsid w:val="00C31F74"/>
    <w:rsid w:val="00C32310"/>
    <w:rsid w:val="00C32366"/>
    <w:rsid w:val="00C325D0"/>
    <w:rsid w:val="00C3307B"/>
    <w:rsid w:val="00C331D3"/>
    <w:rsid w:val="00C332CC"/>
    <w:rsid w:val="00C33301"/>
    <w:rsid w:val="00C33912"/>
    <w:rsid w:val="00C33975"/>
    <w:rsid w:val="00C339D5"/>
    <w:rsid w:val="00C34247"/>
    <w:rsid w:val="00C34263"/>
    <w:rsid w:val="00C342DE"/>
    <w:rsid w:val="00C34465"/>
    <w:rsid w:val="00C34925"/>
    <w:rsid w:val="00C34AE4"/>
    <w:rsid w:val="00C35009"/>
    <w:rsid w:val="00C35135"/>
    <w:rsid w:val="00C35566"/>
    <w:rsid w:val="00C35791"/>
    <w:rsid w:val="00C363A2"/>
    <w:rsid w:val="00C36560"/>
    <w:rsid w:val="00C3669D"/>
    <w:rsid w:val="00C37080"/>
    <w:rsid w:val="00C3708C"/>
    <w:rsid w:val="00C371D5"/>
    <w:rsid w:val="00C37251"/>
    <w:rsid w:val="00C3771F"/>
    <w:rsid w:val="00C377B4"/>
    <w:rsid w:val="00C377FF"/>
    <w:rsid w:val="00C378D2"/>
    <w:rsid w:val="00C40691"/>
    <w:rsid w:val="00C40CDC"/>
    <w:rsid w:val="00C40F2B"/>
    <w:rsid w:val="00C41870"/>
    <w:rsid w:val="00C41A93"/>
    <w:rsid w:val="00C41D3D"/>
    <w:rsid w:val="00C426B3"/>
    <w:rsid w:val="00C4274C"/>
    <w:rsid w:val="00C42E3D"/>
    <w:rsid w:val="00C42E6B"/>
    <w:rsid w:val="00C431E6"/>
    <w:rsid w:val="00C4327B"/>
    <w:rsid w:val="00C436C1"/>
    <w:rsid w:val="00C43846"/>
    <w:rsid w:val="00C450D1"/>
    <w:rsid w:val="00C4548E"/>
    <w:rsid w:val="00C454D4"/>
    <w:rsid w:val="00C45A8A"/>
    <w:rsid w:val="00C45E3D"/>
    <w:rsid w:val="00C462C1"/>
    <w:rsid w:val="00C4649E"/>
    <w:rsid w:val="00C46913"/>
    <w:rsid w:val="00C4738E"/>
    <w:rsid w:val="00C47910"/>
    <w:rsid w:val="00C47A13"/>
    <w:rsid w:val="00C47CF4"/>
    <w:rsid w:val="00C47D8A"/>
    <w:rsid w:val="00C50223"/>
    <w:rsid w:val="00C509DC"/>
    <w:rsid w:val="00C50B93"/>
    <w:rsid w:val="00C50F17"/>
    <w:rsid w:val="00C51A6D"/>
    <w:rsid w:val="00C51A9D"/>
    <w:rsid w:val="00C51E64"/>
    <w:rsid w:val="00C51FC1"/>
    <w:rsid w:val="00C52046"/>
    <w:rsid w:val="00C52163"/>
    <w:rsid w:val="00C522B0"/>
    <w:rsid w:val="00C5243A"/>
    <w:rsid w:val="00C525EF"/>
    <w:rsid w:val="00C526A2"/>
    <w:rsid w:val="00C527A0"/>
    <w:rsid w:val="00C52802"/>
    <w:rsid w:val="00C52AAE"/>
    <w:rsid w:val="00C52FA9"/>
    <w:rsid w:val="00C53047"/>
    <w:rsid w:val="00C53265"/>
    <w:rsid w:val="00C5357E"/>
    <w:rsid w:val="00C53905"/>
    <w:rsid w:val="00C53B3F"/>
    <w:rsid w:val="00C541D6"/>
    <w:rsid w:val="00C544F1"/>
    <w:rsid w:val="00C5491A"/>
    <w:rsid w:val="00C54DD2"/>
    <w:rsid w:val="00C54F6F"/>
    <w:rsid w:val="00C552C3"/>
    <w:rsid w:val="00C561C0"/>
    <w:rsid w:val="00C56243"/>
    <w:rsid w:val="00C56793"/>
    <w:rsid w:val="00C567FE"/>
    <w:rsid w:val="00C5683A"/>
    <w:rsid w:val="00C56939"/>
    <w:rsid w:val="00C56F92"/>
    <w:rsid w:val="00C57220"/>
    <w:rsid w:val="00C5736A"/>
    <w:rsid w:val="00C5758E"/>
    <w:rsid w:val="00C575F5"/>
    <w:rsid w:val="00C57651"/>
    <w:rsid w:val="00C57A9A"/>
    <w:rsid w:val="00C57C38"/>
    <w:rsid w:val="00C57FAB"/>
    <w:rsid w:val="00C60944"/>
    <w:rsid w:val="00C60C16"/>
    <w:rsid w:val="00C60C57"/>
    <w:rsid w:val="00C60D0F"/>
    <w:rsid w:val="00C60F93"/>
    <w:rsid w:val="00C61779"/>
    <w:rsid w:val="00C6180F"/>
    <w:rsid w:val="00C6199C"/>
    <w:rsid w:val="00C61F1E"/>
    <w:rsid w:val="00C620A1"/>
    <w:rsid w:val="00C62102"/>
    <w:rsid w:val="00C625DA"/>
    <w:rsid w:val="00C62862"/>
    <w:rsid w:val="00C62A52"/>
    <w:rsid w:val="00C62A7E"/>
    <w:rsid w:val="00C63128"/>
    <w:rsid w:val="00C6334E"/>
    <w:rsid w:val="00C63391"/>
    <w:rsid w:val="00C633A8"/>
    <w:rsid w:val="00C63E57"/>
    <w:rsid w:val="00C63F96"/>
    <w:rsid w:val="00C63FC3"/>
    <w:rsid w:val="00C64230"/>
    <w:rsid w:val="00C6448C"/>
    <w:rsid w:val="00C644CA"/>
    <w:rsid w:val="00C645C1"/>
    <w:rsid w:val="00C650DC"/>
    <w:rsid w:val="00C65132"/>
    <w:rsid w:val="00C652BB"/>
    <w:rsid w:val="00C653A7"/>
    <w:rsid w:val="00C65ED9"/>
    <w:rsid w:val="00C65FF0"/>
    <w:rsid w:val="00C66000"/>
    <w:rsid w:val="00C669CE"/>
    <w:rsid w:val="00C66B40"/>
    <w:rsid w:val="00C66B8B"/>
    <w:rsid w:val="00C66D7C"/>
    <w:rsid w:val="00C67220"/>
    <w:rsid w:val="00C676A0"/>
    <w:rsid w:val="00C678CB"/>
    <w:rsid w:val="00C67C18"/>
    <w:rsid w:val="00C701E9"/>
    <w:rsid w:val="00C703A3"/>
    <w:rsid w:val="00C7062C"/>
    <w:rsid w:val="00C70644"/>
    <w:rsid w:val="00C70811"/>
    <w:rsid w:val="00C7083D"/>
    <w:rsid w:val="00C70ED3"/>
    <w:rsid w:val="00C70FD3"/>
    <w:rsid w:val="00C71014"/>
    <w:rsid w:val="00C71150"/>
    <w:rsid w:val="00C71285"/>
    <w:rsid w:val="00C71513"/>
    <w:rsid w:val="00C71577"/>
    <w:rsid w:val="00C718A7"/>
    <w:rsid w:val="00C71B48"/>
    <w:rsid w:val="00C71D12"/>
    <w:rsid w:val="00C720D0"/>
    <w:rsid w:val="00C720F0"/>
    <w:rsid w:val="00C722A3"/>
    <w:rsid w:val="00C72412"/>
    <w:rsid w:val="00C727AA"/>
    <w:rsid w:val="00C72910"/>
    <w:rsid w:val="00C72A9F"/>
    <w:rsid w:val="00C72FB5"/>
    <w:rsid w:val="00C73610"/>
    <w:rsid w:val="00C73667"/>
    <w:rsid w:val="00C738C0"/>
    <w:rsid w:val="00C73C23"/>
    <w:rsid w:val="00C73F93"/>
    <w:rsid w:val="00C74410"/>
    <w:rsid w:val="00C74552"/>
    <w:rsid w:val="00C7493F"/>
    <w:rsid w:val="00C74A33"/>
    <w:rsid w:val="00C74A5C"/>
    <w:rsid w:val="00C74D06"/>
    <w:rsid w:val="00C74D56"/>
    <w:rsid w:val="00C74E6A"/>
    <w:rsid w:val="00C750AB"/>
    <w:rsid w:val="00C7563E"/>
    <w:rsid w:val="00C7565F"/>
    <w:rsid w:val="00C757A3"/>
    <w:rsid w:val="00C75CD6"/>
    <w:rsid w:val="00C75D6A"/>
    <w:rsid w:val="00C76A16"/>
    <w:rsid w:val="00C76C08"/>
    <w:rsid w:val="00C76E4F"/>
    <w:rsid w:val="00C77182"/>
    <w:rsid w:val="00C77865"/>
    <w:rsid w:val="00C77B79"/>
    <w:rsid w:val="00C8025B"/>
    <w:rsid w:val="00C802C8"/>
    <w:rsid w:val="00C807F2"/>
    <w:rsid w:val="00C80A10"/>
    <w:rsid w:val="00C80B8F"/>
    <w:rsid w:val="00C80B95"/>
    <w:rsid w:val="00C80F95"/>
    <w:rsid w:val="00C81267"/>
    <w:rsid w:val="00C81302"/>
    <w:rsid w:val="00C8130C"/>
    <w:rsid w:val="00C8157F"/>
    <w:rsid w:val="00C81580"/>
    <w:rsid w:val="00C816C0"/>
    <w:rsid w:val="00C81779"/>
    <w:rsid w:val="00C8181D"/>
    <w:rsid w:val="00C81B2E"/>
    <w:rsid w:val="00C81D01"/>
    <w:rsid w:val="00C81E18"/>
    <w:rsid w:val="00C81F52"/>
    <w:rsid w:val="00C82042"/>
    <w:rsid w:val="00C820C3"/>
    <w:rsid w:val="00C8219C"/>
    <w:rsid w:val="00C82269"/>
    <w:rsid w:val="00C823EE"/>
    <w:rsid w:val="00C82674"/>
    <w:rsid w:val="00C827BA"/>
    <w:rsid w:val="00C829BC"/>
    <w:rsid w:val="00C82D95"/>
    <w:rsid w:val="00C83F9C"/>
    <w:rsid w:val="00C84143"/>
    <w:rsid w:val="00C84275"/>
    <w:rsid w:val="00C8484D"/>
    <w:rsid w:val="00C8491B"/>
    <w:rsid w:val="00C85133"/>
    <w:rsid w:val="00C8562D"/>
    <w:rsid w:val="00C85795"/>
    <w:rsid w:val="00C858A7"/>
    <w:rsid w:val="00C85C88"/>
    <w:rsid w:val="00C8633C"/>
    <w:rsid w:val="00C86399"/>
    <w:rsid w:val="00C86534"/>
    <w:rsid w:val="00C86577"/>
    <w:rsid w:val="00C8683A"/>
    <w:rsid w:val="00C86A5A"/>
    <w:rsid w:val="00C86A8E"/>
    <w:rsid w:val="00C86ABB"/>
    <w:rsid w:val="00C86B84"/>
    <w:rsid w:val="00C86F76"/>
    <w:rsid w:val="00C87716"/>
    <w:rsid w:val="00C87BCC"/>
    <w:rsid w:val="00C87CCD"/>
    <w:rsid w:val="00C87DCA"/>
    <w:rsid w:val="00C901CC"/>
    <w:rsid w:val="00C90283"/>
    <w:rsid w:val="00C90540"/>
    <w:rsid w:val="00C90B2F"/>
    <w:rsid w:val="00C90B4F"/>
    <w:rsid w:val="00C90D0D"/>
    <w:rsid w:val="00C90DAE"/>
    <w:rsid w:val="00C91285"/>
    <w:rsid w:val="00C9133F"/>
    <w:rsid w:val="00C91378"/>
    <w:rsid w:val="00C91564"/>
    <w:rsid w:val="00C917B0"/>
    <w:rsid w:val="00C917F8"/>
    <w:rsid w:val="00C91819"/>
    <w:rsid w:val="00C91987"/>
    <w:rsid w:val="00C91A24"/>
    <w:rsid w:val="00C91C9E"/>
    <w:rsid w:val="00C91E86"/>
    <w:rsid w:val="00C91FE9"/>
    <w:rsid w:val="00C92487"/>
    <w:rsid w:val="00C9265B"/>
    <w:rsid w:val="00C92665"/>
    <w:rsid w:val="00C926C0"/>
    <w:rsid w:val="00C928BF"/>
    <w:rsid w:val="00C92CA5"/>
    <w:rsid w:val="00C92E6C"/>
    <w:rsid w:val="00C92F62"/>
    <w:rsid w:val="00C930E6"/>
    <w:rsid w:val="00C935D6"/>
    <w:rsid w:val="00C936E4"/>
    <w:rsid w:val="00C93BC7"/>
    <w:rsid w:val="00C942ED"/>
    <w:rsid w:val="00C9434E"/>
    <w:rsid w:val="00C9444C"/>
    <w:rsid w:val="00C94775"/>
    <w:rsid w:val="00C948F9"/>
    <w:rsid w:val="00C949C2"/>
    <w:rsid w:val="00C954A1"/>
    <w:rsid w:val="00C9559C"/>
    <w:rsid w:val="00C961CF"/>
    <w:rsid w:val="00C964DC"/>
    <w:rsid w:val="00C96D9E"/>
    <w:rsid w:val="00C97BE9"/>
    <w:rsid w:val="00CA0B54"/>
    <w:rsid w:val="00CA10B2"/>
    <w:rsid w:val="00CA12D2"/>
    <w:rsid w:val="00CA1B05"/>
    <w:rsid w:val="00CA1D12"/>
    <w:rsid w:val="00CA206D"/>
    <w:rsid w:val="00CA2D0B"/>
    <w:rsid w:val="00CA32A3"/>
    <w:rsid w:val="00CA343C"/>
    <w:rsid w:val="00CA37EA"/>
    <w:rsid w:val="00CA4321"/>
    <w:rsid w:val="00CA43EC"/>
    <w:rsid w:val="00CA4615"/>
    <w:rsid w:val="00CA4F0D"/>
    <w:rsid w:val="00CA5404"/>
    <w:rsid w:val="00CA5414"/>
    <w:rsid w:val="00CA5865"/>
    <w:rsid w:val="00CA59F7"/>
    <w:rsid w:val="00CA5EE7"/>
    <w:rsid w:val="00CA656E"/>
    <w:rsid w:val="00CA67F0"/>
    <w:rsid w:val="00CA6849"/>
    <w:rsid w:val="00CA6AB0"/>
    <w:rsid w:val="00CA6B72"/>
    <w:rsid w:val="00CA6DC7"/>
    <w:rsid w:val="00CA7044"/>
    <w:rsid w:val="00CA730B"/>
    <w:rsid w:val="00CA757D"/>
    <w:rsid w:val="00CB0019"/>
    <w:rsid w:val="00CB03C9"/>
    <w:rsid w:val="00CB0488"/>
    <w:rsid w:val="00CB0817"/>
    <w:rsid w:val="00CB08B0"/>
    <w:rsid w:val="00CB0BEF"/>
    <w:rsid w:val="00CB0CA1"/>
    <w:rsid w:val="00CB0EA9"/>
    <w:rsid w:val="00CB0EE8"/>
    <w:rsid w:val="00CB1972"/>
    <w:rsid w:val="00CB1B0E"/>
    <w:rsid w:val="00CB1B2C"/>
    <w:rsid w:val="00CB28CB"/>
    <w:rsid w:val="00CB292E"/>
    <w:rsid w:val="00CB2BD0"/>
    <w:rsid w:val="00CB32B8"/>
    <w:rsid w:val="00CB3318"/>
    <w:rsid w:val="00CB336D"/>
    <w:rsid w:val="00CB33F0"/>
    <w:rsid w:val="00CB34DA"/>
    <w:rsid w:val="00CB350B"/>
    <w:rsid w:val="00CB3BAE"/>
    <w:rsid w:val="00CB3CCA"/>
    <w:rsid w:val="00CB445F"/>
    <w:rsid w:val="00CB4A35"/>
    <w:rsid w:val="00CB4D0D"/>
    <w:rsid w:val="00CB4DC7"/>
    <w:rsid w:val="00CB502C"/>
    <w:rsid w:val="00CB50A6"/>
    <w:rsid w:val="00CB5141"/>
    <w:rsid w:val="00CB52C7"/>
    <w:rsid w:val="00CB5389"/>
    <w:rsid w:val="00CB588E"/>
    <w:rsid w:val="00CB5896"/>
    <w:rsid w:val="00CB5AB2"/>
    <w:rsid w:val="00CB5BD3"/>
    <w:rsid w:val="00CB5FAA"/>
    <w:rsid w:val="00CB63FE"/>
    <w:rsid w:val="00CB6601"/>
    <w:rsid w:val="00CB664C"/>
    <w:rsid w:val="00CB6C66"/>
    <w:rsid w:val="00CB6D07"/>
    <w:rsid w:val="00CB6D3C"/>
    <w:rsid w:val="00CB759D"/>
    <w:rsid w:val="00CC01AF"/>
    <w:rsid w:val="00CC023D"/>
    <w:rsid w:val="00CC06D0"/>
    <w:rsid w:val="00CC0EC5"/>
    <w:rsid w:val="00CC0F0E"/>
    <w:rsid w:val="00CC1107"/>
    <w:rsid w:val="00CC144C"/>
    <w:rsid w:val="00CC1894"/>
    <w:rsid w:val="00CC1A0B"/>
    <w:rsid w:val="00CC21FD"/>
    <w:rsid w:val="00CC2214"/>
    <w:rsid w:val="00CC242B"/>
    <w:rsid w:val="00CC280B"/>
    <w:rsid w:val="00CC2C7C"/>
    <w:rsid w:val="00CC3007"/>
    <w:rsid w:val="00CC3032"/>
    <w:rsid w:val="00CC3075"/>
    <w:rsid w:val="00CC3209"/>
    <w:rsid w:val="00CC4072"/>
    <w:rsid w:val="00CC4097"/>
    <w:rsid w:val="00CC4BDC"/>
    <w:rsid w:val="00CC4E20"/>
    <w:rsid w:val="00CC4F8F"/>
    <w:rsid w:val="00CC5248"/>
    <w:rsid w:val="00CC547C"/>
    <w:rsid w:val="00CC56DB"/>
    <w:rsid w:val="00CC5E46"/>
    <w:rsid w:val="00CC60AA"/>
    <w:rsid w:val="00CC67AC"/>
    <w:rsid w:val="00CC7117"/>
    <w:rsid w:val="00CC7389"/>
    <w:rsid w:val="00CC78B5"/>
    <w:rsid w:val="00CC78FF"/>
    <w:rsid w:val="00CC7F12"/>
    <w:rsid w:val="00CC7FC0"/>
    <w:rsid w:val="00CC7FE4"/>
    <w:rsid w:val="00CD05A6"/>
    <w:rsid w:val="00CD0746"/>
    <w:rsid w:val="00CD0B42"/>
    <w:rsid w:val="00CD0C11"/>
    <w:rsid w:val="00CD12FC"/>
    <w:rsid w:val="00CD1EB4"/>
    <w:rsid w:val="00CD2CC1"/>
    <w:rsid w:val="00CD32AF"/>
    <w:rsid w:val="00CD32DA"/>
    <w:rsid w:val="00CD378B"/>
    <w:rsid w:val="00CD39ED"/>
    <w:rsid w:val="00CD3B7F"/>
    <w:rsid w:val="00CD3FB4"/>
    <w:rsid w:val="00CD4344"/>
    <w:rsid w:val="00CD4381"/>
    <w:rsid w:val="00CD4480"/>
    <w:rsid w:val="00CD4651"/>
    <w:rsid w:val="00CD4C81"/>
    <w:rsid w:val="00CD4DEF"/>
    <w:rsid w:val="00CD56B9"/>
    <w:rsid w:val="00CD579B"/>
    <w:rsid w:val="00CD5860"/>
    <w:rsid w:val="00CD5B5B"/>
    <w:rsid w:val="00CD5D5A"/>
    <w:rsid w:val="00CD6AEC"/>
    <w:rsid w:val="00CD6B81"/>
    <w:rsid w:val="00CD6D1B"/>
    <w:rsid w:val="00CD6F18"/>
    <w:rsid w:val="00CD6F20"/>
    <w:rsid w:val="00CD71CA"/>
    <w:rsid w:val="00CD748B"/>
    <w:rsid w:val="00CD78D9"/>
    <w:rsid w:val="00CD7ADA"/>
    <w:rsid w:val="00CD7AE5"/>
    <w:rsid w:val="00CD7BDC"/>
    <w:rsid w:val="00CD7C21"/>
    <w:rsid w:val="00CE0268"/>
    <w:rsid w:val="00CE05F9"/>
    <w:rsid w:val="00CE094E"/>
    <w:rsid w:val="00CE0BC6"/>
    <w:rsid w:val="00CE0D41"/>
    <w:rsid w:val="00CE0D72"/>
    <w:rsid w:val="00CE0DEA"/>
    <w:rsid w:val="00CE1000"/>
    <w:rsid w:val="00CE11AB"/>
    <w:rsid w:val="00CE1C29"/>
    <w:rsid w:val="00CE1E42"/>
    <w:rsid w:val="00CE26EF"/>
    <w:rsid w:val="00CE290C"/>
    <w:rsid w:val="00CE2E68"/>
    <w:rsid w:val="00CE2FF6"/>
    <w:rsid w:val="00CE30D1"/>
    <w:rsid w:val="00CE37B4"/>
    <w:rsid w:val="00CE3839"/>
    <w:rsid w:val="00CE3EF3"/>
    <w:rsid w:val="00CE3FEC"/>
    <w:rsid w:val="00CE4060"/>
    <w:rsid w:val="00CE4527"/>
    <w:rsid w:val="00CE4548"/>
    <w:rsid w:val="00CE4ADB"/>
    <w:rsid w:val="00CE4E18"/>
    <w:rsid w:val="00CE4E23"/>
    <w:rsid w:val="00CE50A2"/>
    <w:rsid w:val="00CE5580"/>
    <w:rsid w:val="00CE55EC"/>
    <w:rsid w:val="00CE586D"/>
    <w:rsid w:val="00CE5B40"/>
    <w:rsid w:val="00CE61F2"/>
    <w:rsid w:val="00CE6772"/>
    <w:rsid w:val="00CE6DA2"/>
    <w:rsid w:val="00CE702F"/>
    <w:rsid w:val="00CE7139"/>
    <w:rsid w:val="00CE73E1"/>
    <w:rsid w:val="00CE7DC8"/>
    <w:rsid w:val="00CF0080"/>
    <w:rsid w:val="00CF05C3"/>
    <w:rsid w:val="00CF0660"/>
    <w:rsid w:val="00CF09B4"/>
    <w:rsid w:val="00CF0AFF"/>
    <w:rsid w:val="00CF0CA7"/>
    <w:rsid w:val="00CF0D68"/>
    <w:rsid w:val="00CF1095"/>
    <w:rsid w:val="00CF12F1"/>
    <w:rsid w:val="00CF18DC"/>
    <w:rsid w:val="00CF1A24"/>
    <w:rsid w:val="00CF1B68"/>
    <w:rsid w:val="00CF1DEF"/>
    <w:rsid w:val="00CF1F1F"/>
    <w:rsid w:val="00CF1F52"/>
    <w:rsid w:val="00CF2224"/>
    <w:rsid w:val="00CF239C"/>
    <w:rsid w:val="00CF265A"/>
    <w:rsid w:val="00CF2C92"/>
    <w:rsid w:val="00CF3019"/>
    <w:rsid w:val="00CF343A"/>
    <w:rsid w:val="00CF36B6"/>
    <w:rsid w:val="00CF3873"/>
    <w:rsid w:val="00CF38EC"/>
    <w:rsid w:val="00CF40CB"/>
    <w:rsid w:val="00CF4468"/>
    <w:rsid w:val="00CF48DA"/>
    <w:rsid w:val="00CF49BC"/>
    <w:rsid w:val="00CF51E5"/>
    <w:rsid w:val="00CF5647"/>
    <w:rsid w:val="00CF56DC"/>
    <w:rsid w:val="00CF5DF1"/>
    <w:rsid w:val="00CF5EB3"/>
    <w:rsid w:val="00CF5F33"/>
    <w:rsid w:val="00CF66AB"/>
    <w:rsid w:val="00CF6D1C"/>
    <w:rsid w:val="00CF705D"/>
    <w:rsid w:val="00CF7752"/>
    <w:rsid w:val="00CF7819"/>
    <w:rsid w:val="00CF798A"/>
    <w:rsid w:val="00CF7CDD"/>
    <w:rsid w:val="00CF7E4B"/>
    <w:rsid w:val="00D000AF"/>
    <w:rsid w:val="00D00341"/>
    <w:rsid w:val="00D005EA"/>
    <w:rsid w:val="00D00B91"/>
    <w:rsid w:val="00D00D01"/>
    <w:rsid w:val="00D00D89"/>
    <w:rsid w:val="00D00E1D"/>
    <w:rsid w:val="00D01096"/>
    <w:rsid w:val="00D014C4"/>
    <w:rsid w:val="00D014DD"/>
    <w:rsid w:val="00D0176B"/>
    <w:rsid w:val="00D01F18"/>
    <w:rsid w:val="00D02367"/>
    <w:rsid w:val="00D029DB"/>
    <w:rsid w:val="00D02A65"/>
    <w:rsid w:val="00D02CC7"/>
    <w:rsid w:val="00D02E0F"/>
    <w:rsid w:val="00D032AC"/>
    <w:rsid w:val="00D03477"/>
    <w:rsid w:val="00D03547"/>
    <w:rsid w:val="00D035D6"/>
    <w:rsid w:val="00D036F5"/>
    <w:rsid w:val="00D03EBF"/>
    <w:rsid w:val="00D04645"/>
    <w:rsid w:val="00D04A0A"/>
    <w:rsid w:val="00D04B93"/>
    <w:rsid w:val="00D04E1B"/>
    <w:rsid w:val="00D054DE"/>
    <w:rsid w:val="00D055CE"/>
    <w:rsid w:val="00D05850"/>
    <w:rsid w:val="00D05B99"/>
    <w:rsid w:val="00D05CBE"/>
    <w:rsid w:val="00D05CCA"/>
    <w:rsid w:val="00D063D9"/>
    <w:rsid w:val="00D067C2"/>
    <w:rsid w:val="00D068F3"/>
    <w:rsid w:val="00D06958"/>
    <w:rsid w:val="00D069CA"/>
    <w:rsid w:val="00D07029"/>
    <w:rsid w:val="00D07519"/>
    <w:rsid w:val="00D076A9"/>
    <w:rsid w:val="00D10082"/>
    <w:rsid w:val="00D103E3"/>
    <w:rsid w:val="00D10532"/>
    <w:rsid w:val="00D11162"/>
    <w:rsid w:val="00D11696"/>
    <w:rsid w:val="00D1182C"/>
    <w:rsid w:val="00D12038"/>
    <w:rsid w:val="00D120D5"/>
    <w:rsid w:val="00D12E73"/>
    <w:rsid w:val="00D13135"/>
    <w:rsid w:val="00D131AA"/>
    <w:rsid w:val="00D131BB"/>
    <w:rsid w:val="00D134FC"/>
    <w:rsid w:val="00D1359D"/>
    <w:rsid w:val="00D135B5"/>
    <w:rsid w:val="00D1367C"/>
    <w:rsid w:val="00D1399F"/>
    <w:rsid w:val="00D13AAA"/>
    <w:rsid w:val="00D13F8C"/>
    <w:rsid w:val="00D145BB"/>
    <w:rsid w:val="00D146AE"/>
    <w:rsid w:val="00D1494B"/>
    <w:rsid w:val="00D14C7D"/>
    <w:rsid w:val="00D14CC4"/>
    <w:rsid w:val="00D14D9D"/>
    <w:rsid w:val="00D15228"/>
    <w:rsid w:val="00D158D5"/>
    <w:rsid w:val="00D159D6"/>
    <w:rsid w:val="00D15ABC"/>
    <w:rsid w:val="00D15D2A"/>
    <w:rsid w:val="00D15E0C"/>
    <w:rsid w:val="00D15EE0"/>
    <w:rsid w:val="00D16050"/>
    <w:rsid w:val="00D1609E"/>
    <w:rsid w:val="00D1618C"/>
    <w:rsid w:val="00D1639D"/>
    <w:rsid w:val="00D165F5"/>
    <w:rsid w:val="00D16C76"/>
    <w:rsid w:val="00D16D1B"/>
    <w:rsid w:val="00D16FAB"/>
    <w:rsid w:val="00D170E1"/>
    <w:rsid w:val="00D17197"/>
    <w:rsid w:val="00D171E9"/>
    <w:rsid w:val="00D1739E"/>
    <w:rsid w:val="00D17B65"/>
    <w:rsid w:val="00D17DEF"/>
    <w:rsid w:val="00D20B92"/>
    <w:rsid w:val="00D20E36"/>
    <w:rsid w:val="00D211DA"/>
    <w:rsid w:val="00D217BE"/>
    <w:rsid w:val="00D21B84"/>
    <w:rsid w:val="00D21CBF"/>
    <w:rsid w:val="00D21FED"/>
    <w:rsid w:val="00D221F9"/>
    <w:rsid w:val="00D22AF5"/>
    <w:rsid w:val="00D22B23"/>
    <w:rsid w:val="00D22F98"/>
    <w:rsid w:val="00D233CD"/>
    <w:rsid w:val="00D234EC"/>
    <w:rsid w:val="00D2352E"/>
    <w:rsid w:val="00D235ED"/>
    <w:rsid w:val="00D23BA9"/>
    <w:rsid w:val="00D23C72"/>
    <w:rsid w:val="00D23D1A"/>
    <w:rsid w:val="00D24297"/>
    <w:rsid w:val="00D242A9"/>
    <w:rsid w:val="00D242E4"/>
    <w:rsid w:val="00D2434C"/>
    <w:rsid w:val="00D247B9"/>
    <w:rsid w:val="00D255B1"/>
    <w:rsid w:val="00D2561E"/>
    <w:rsid w:val="00D2566E"/>
    <w:rsid w:val="00D25751"/>
    <w:rsid w:val="00D257D6"/>
    <w:rsid w:val="00D25917"/>
    <w:rsid w:val="00D25B76"/>
    <w:rsid w:val="00D2687E"/>
    <w:rsid w:val="00D269B9"/>
    <w:rsid w:val="00D26A4E"/>
    <w:rsid w:val="00D26B71"/>
    <w:rsid w:val="00D26CC4"/>
    <w:rsid w:val="00D27197"/>
    <w:rsid w:val="00D27AA1"/>
    <w:rsid w:val="00D27E14"/>
    <w:rsid w:val="00D27E5E"/>
    <w:rsid w:val="00D302DA"/>
    <w:rsid w:val="00D3090A"/>
    <w:rsid w:val="00D30949"/>
    <w:rsid w:val="00D30A0B"/>
    <w:rsid w:val="00D30B25"/>
    <w:rsid w:val="00D30B7C"/>
    <w:rsid w:val="00D30C0E"/>
    <w:rsid w:val="00D30CF7"/>
    <w:rsid w:val="00D310EA"/>
    <w:rsid w:val="00D32035"/>
    <w:rsid w:val="00D3223D"/>
    <w:rsid w:val="00D326AC"/>
    <w:rsid w:val="00D329B0"/>
    <w:rsid w:val="00D32FE0"/>
    <w:rsid w:val="00D32FF3"/>
    <w:rsid w:val="00D3364F"/>
    <w:rsid w:val="00D336F1"/>
    <w:rsid w:val="00D33862"/>
    <w:rsid w:val="00D339A2"/>
    <w:rsid w:val="00D339C0"/>
    <w:rsid w:val="00D339D0"/>
    <w:rsid w:val="00D33BB7"/>
    <w:rsid w:val="00D34095"/>
    <w:rsid w:val="00D34649"/>
    <w:rsid w:val="00D3464F"/>
    <w:rsid w:val="00D34A1A"/>
    <w:rsid w:val="00D34B93"/>
    <w:rsid w:val="00D35453"/>
    <w:rsid w:val="00D3596F"/>
    <w:rsid w:val="00D363C4"/>
    <w:rsid w:val="00D36465"/>
    <w:rsid w:val="00D36695"/>
    <w:rsid w:val="00D36A53"/>
    <w:rsid w:val="00D375B1"/>
    <w:rsid w:val="00D37BCF"/>
    <w:rsid w:val="00D40690"/>
    <w:rsid w:val="00D40F4A"/>
    <w:rsid w:val="00D4121C"/>
    <w:rsid w:val="00D4133E"/>
    <w:rsid w:val="00D41490"/>
    <w:rsid w:val="00D415FD"/>
    <w:rsid w:val="00D4183B"/>
    <w:rsid w:val="00D419D0"/>
    <w:rsid w:val="00D41BF4"/>
    <w:rsid w:val="00D41CC7"/>
    <w:rsid w:val="00D41DE7"/>
    <w:rsid w:val="00D42214"/>
    <w:rsid w:val="00D4222B"/>
    <w:rsid w:val="00D423C2"/>
    <w:rsid w:val="00D42523"/>
    <w:rsid w:val="00D4288A"/>
    <w:rsid w:val="00D429C0"/>
    <w:rsid w:val="00D42CFC"/>
    <w:rsid w:val="00D4350B"/>
    <w:rsid w:val="00D43651"/>
    <w:rsid w:val="00D4385F"/>
    <w:rsid w:val="00D43F54"/>
    <w:rsid w:val="00D4450F"/>
    <w:rsid w:val="00D445AF"/>
    <w:rsid w:val="00D44606"/>
    <w:rsid w:val="00D453A7"/>
    <w:rsid w:val="00D45A97"/>
    <w:rsid w:val="00D45D66"/>
    <w:rsid w:val="00D45EF2"/>
    <w:rsid w:val="00D4604E"/>
    <w:rsid w:val="00D46564"/>
    <w:rsid w:val="00D46643"/>
    <w:rsid w:val="00D46777"/>
    <w:rsid w:val="00D46B04"/>
    <w:rsid w:val="00D46DFD"/>
    <w:rsid w:val="00D46EB4"/>
    <w:rsid w:val="00D470CB"/>
    <w:rsid w:val="00D471E3"/>
    <w:rsid w:val="00D475FB"/>
    <w:rsid w:val="00D477BE"/>
    <w:rsid w:val="00D47DA2"/>
    <w:rsid w:val="00D5036F"/>
    <w:rsid w:val="00D5059E"/>
    <w:rsid w:val="00D508D7"/>
    <w:rsid w:val="00D50EEE"/>
    <w:rsid w:val="00D51512"/>
    <w:rsid w:val="00D516DE"/>
    <w:rsid w:val="00D51A5A"/>
    <w:rsid w:val="00D51D82"/>
    <w:rsid w:val="00D51F2F"/>
    <w:rsid w:val="00D52128"/>
    <w:rsid w:val="00D52224"/>
    <w:rsid w:val="00D5236E"/>
    <w:rsid w:val="00D531B0"/>
    <w:rsid w:val="00D533C6"/>
    <w:rsid w:val="00D534D2"/>
    <w:rsid w:val="00D535FF"/>
    <w:rsid w:val="00D53968"/>
    <w:rsid w:val="00D53D3B"/>
    <w:rsid w:val="00D53EC5"/>
    <w:rsid w:val="00D542E9"/>
    <w:rsid w:val="00D547ED"/>
    <w:rsid w:val="00D548E6"/>
    <w:rsid w:val="00D54EF4"/>
    <w:rsid w:val="00D54F67"/>
    <w:rsid w:val="00D551CB"/>
    <w:rsid w:val="00D55245"/>
    <w:rsid w:val="00D555AA"/>
    <w:rsid w:val="00D55B9F"/>
    <w:rsid w:val="00D55C12"/>
    <w:rsid w:val="00D55EB0"/>
    <w:rsid w:val="00D5639B"/>
    <w:rsid w:val="00D563BC"/>
    <w:rsid w:val="00D565EC"/>
    <w:rsid w:val="00D5663A"/>
    <w:rsid w:val="00D56C8A"/>
    <w:rsid w:val="00D572D4"/>
    <w:rsid w:val="00D57883"/>
    <w:rsid w:val="00D60332"/>
    <w:rsid w:val="00D6044F"/>
    <w:rsid w:val="00D605A8"/>
    <w:rsid w:val="00D609B9"/>
    <w:rsid w:val="00D60A38"/>
    <w:rsid w:val="00D60BF5"/>
    <w:rsid w:val="00D6104A"/>
    <w:rsid w:val="00D61464"/>
    <w:rsid w:val="00D61718"/>
    <w:rsid w:val="00D61815"/>
    <w:rsid w:val="00D61851"/>
    <w:rsid w:val="00D61CA9"/>
    <w:rsid w:val="00D61E29"/>
    <w:rsid w:val="00D62335"/>
    <w:rsid w:val="00D623BC"/>
    <w:rsid w:val="00D62746"/>
    <w:rsid w:val="00D62A69"/>
    <w:rsid w:val="00D62DAC"/>
    <w:rsid w:val="00D62FBA"/>
    <w:rsid w:val="00D6324B"/>
    <w:rsid w:val="00D63392"/>
    <w:rsid w:val="00D64384"/>
    <w:rsid w:val="00D64B24"/>
    <w:rsid w:val="00D64F20"/>
    <w:rsid w:val="00D651C7"/>
    <w:rsid w:val="00D651E7"/>
    <w:rsid w:val="00D653AD"/>
    <w:rsid w:val="00D65692"/>
    <w:rsid w:val="00D65703"/>
    <w:rsid w:val="00D65723"/>
    <w:rsid w:val="00D658DF"/>
    <w:rsid w:val="00D65D2E"/>
    <w:rsid w:val="00D65E87"/>
    <w:rsid w:val="00D65FA4"/>
    <w:rsid w:val="00D660BB"/>
    <w:rsid w:val="00D660CA"/>
    <w:rsid w:val="00D665CB"/>
    <w:rsid w:val="00D667A2"/>
    <w:rsid w:val="00D668FE"/>
    <w:rsid w:val="00D66ABE"/>
    <w:rsid w:val="00D66F46"/>
    <w:rsid w:val="00D67976"/>
    <w:rsid w:val="00D701BD"/>
    <w:rsid w:val="00D705FF"/>
    <w:rsid w:val="00D70791"/>
    <w:rsid w:val="00D70896"/>
    <w:rsid w:val="00D70928"/>
    <w:rsid w:val="00D70CC1"/>
    <w:rsid w:val="00D70FC9"/>
    <w:rsid w:val="00D711E0"/>
    <w:rsid w:val="00D71E61"/>
    <w:rsid w:val="00D71E74"/>
    <w:rsid w:val="00D71F5B"/>
    <w:rsid w:val="00D72EDC"/>
    <w:rsid w:val="00D73284"/>
    <w:rsid w:val="00D73459"/>
    <w:rsid w:val="00D73CA6"/>
    <w:rsid w:val="00D73E53"/>
    <w:rsid w:val="00D74058"/>
    <w:rsid w:val="00D74208"/>
    <w:rsid w:val="00D74CF2"/>
    <w:rsid w:val="00D75025"/>
    <w:rsid w:val="00D75210"/>
    <w:rsid w:val="00D75B05"/>
    <w:rsid w:val="00D75B94"/>
    <w:rsid w:val="00D75C48"/>
    <w:rsid w:val="00D76524"/>
    <w:rsid w:val="00D765E1"/>
    <w:rsid w:val="00D7687E"/>
    <w:rsid w:val="00D76908"/>
    <w:rsid w:val="00D76A6E"/>
    <w:rsid w:val="00D76EA5"/>
    <w:rsid w:val="00D76EF5"/>
    <w:rsid w:val="00D779AC"/>
    <w:rsid w:val="00D77CCB"/>
    <w:rsid w:val="00D77E8C"/>
    <w:rsid w:val="00D804AA"/>
    <w:rsid w:val="00D807BF"/>
    <w:rsid w:val="00D809A4"/>
    <w:rsid w:val="00D80D6A"/>
    <w:rsid w:val="00D810A3"/>
    <w:rsid w:val="00D810EB"/>
    <w:rsid w:val="00D813A9"/>
    <w:rsid w:val="00D813CA"/>
    <w:rsid w:val="00D813D1"/>
    <w:rsid w:val="00D818B7"/>
    <w:rsid w:val="00D818DC"/>
    <w:rsid w:val="00D81B92"/>
    <w:rsid w:val="00D81DB4"/>
    <w:rsid w:val="00D81E0D"/>
    <w:rsid w:val="00D81E8A"/>
    <w:rsid w:val="00D81F7B"/>
    <w:rsid w:val="00D82475"/>
    <w:rsid w:val="00D828B4"/>
    <w:rsid w:val="00D82B0A"/>
    <w:rsid w:val="00D82C16"/>
    <w:rsid w:val="00D831F6"/>
    <w:rsid w:val="00D83EEE"/>
    <w:rsid w:val="00D842D7"/>
    <w:rsid w:val="00D846ED"/>
    <w:rsid w:val="00D84C8F"/>
    <w:rsid w:val="00D84D1B"/>
    <w:rsid w:val="00D84F8A"/>
    <w:rsid w:val="00D85008"/>
    <w:rsid w:val="00D85030"/>
    <w:rsid w:val="00D851B0"/>
    <w:rsid w:val="00D85815"/>
    <w:rsid w:val="00D85AFB"/>
    <w:rsid w:val="00D85D80"/>
    <w:rsid w:val="00D85E6B"/>
    <w:rsid w:val="00D8670C"/>
    <w:rsid w:val="00D86788"/>
    <w:rsid w:val="00D86C1A"/>
    <w:rsid w:val="00D8711E"/>
    <w:rsid w:val="00D8731A"/>
    <w:rsid w:val="00D87725"/>
    <w:rsid w:val="00D87987"/>
    <w:rsid w:val="00D87B1D"/>
    <w:rsid w:val="00D87EA6"/>
    <w:rsid w:val="00D9015E"/>
    <w:rsid w:val="00D906AC"/>
    <w:rsid w:val="00D908A4"/>
    <w:rsid w:val="00D90B35"/>
    <w:rsid w:val="00D91244"/>
    <w:rsid w:val="00D91EAB"/>
    <w:rsid w:val="00D920AB"/>
    <w:rsid w:val="00D92669"/>
    <w:rsid w:val="00D927F0"/>
    <w:rsid w:val="00D928CF"/>
    <w:rsid w:val="00D9318B"/>
    <w:rsid w:val="00D93418"/>
    <w:rsid w:val="00D93784"/>
    <w:rsid w:val="00D93A26"/>
    <w:rsid w:val="00D94288"/>
    <w:rsid w:val="00D942EA"/>
    <w:rsid w:val="00D9447F"/>
    <w:rsid w:val="00D9473B"/>
    <w:rsid w:val="00D94E60"/>
    <w:rsid w:val="00D94F19"/>
    <w:rsid w:val="00D9555F"/>
    <w:rsid w:val="00D95594"/>
    <w:rsid w:val="00D96069"/>
    <w:rsid w:val="00D968D9"/>
    <w:rsid w:val="00D96A34"/>
    <w:rsid w:val="00D96ECF"/>
    <w:rsid w:val="00D9747E"/>
    <w:rsid w:val="00D97AAF"/>
    <w:rsid w:val="00D97AC0"/>
    <w:rsid w:val="00D97D22"/>
    <w:rsid w:val="00D97DC9"/>
    <w:rsid w:val="00D97E50"/>
    <w:rsid w:val="00DA0000"/>
    <w:rsid w:val="00DA021B"/>
    <w:rsid w:val="00DA0600"/>
    <w:rsid w:val="00DA06E9"/>
    <w:rsid w:val="00DA081C"/>
    <w:rsid w:val="00DA0A0F"/>
    <w:rsid w:val="00DA0D11"/>
    <w:rsid w:val="00DA0DC7"/>
    <w:rsid w:val="00DA0FC0"/>
    <w:rsid w:val="00DA14D7"/>
    <w:rsid w:val="00DA14F9"/>
    <w:rsid w:val="00DA15C0"/>
    <w:rsid w:val="00DA18F4"/>
    <w:rsid w:val="00DA1917"/>
    <w:rsid w:val="00DA1EFD"/>
    <w:rsid w:val="00DA1F34"/>
    <w:rsid w:val="00DA204C"/>
    <w:rsid w:val="00DA2147"/>
    <w:rsid w:val="00DA2BAB"/>
    <w:rsid w:val="00DA319F"/>
    <w:rsid w:val="00DA31E7"/>
    <w:rsid w:val="00DA338D"/>
    <w:rsid w:val="00DA33D5"/>
    <w:rsid w:val="00DA395C"/>
    <w:rsid w:val="00DA3A0D"/>
    <w:rsid w:val="00DA3C9A"/>
    <w:rsid w:val="00DA3D4D"/>
    <w:rsid w:val="00DA3E3E"/>
    <w:rsid w:val="00DA4454"/>
    <w:rsid w:val="00DA468A"/>
    <w:rsid w:val="00DA4964"/>
    <w:rsid w:val="00DA4AB9"/>
    <w:rsid w:val="00DA4E9E"/>
    <w:rsid w:val="00DA4FDF"/>
    <w:rsid w:val="00DA561E"/>
    <w:rsid w:val="00DA58E5"/>
    <w:rsid w:val="00DA5C70"/>
    <w:rsid w:val="00DA6287"/>
    <w:rsid w:val="00DA63AF"/>
    <w:rsid w:val="00DA677D"/>
    <w:rsid w:val="00DA70C0"/>
    <w:rsid w:val="00DA74AD"/>
    <w:rsid w:val="00DA7A5A"/>
    <w:rsid w:val="00DA7BC8"/>
    <w:rsid w:val="00DB0285"/>
    <w:rsid w:val="00DB09BB"/>
    <w:rsid w:val="00DB12E1"/>
    <w:rsid w:val="00DB1E52"/>
    <w:rsid w:val="00DB2512"/>
    <w:rsid w:val="00DB327A"/>
    <w:rsid w:val="00DB328A"/>
    <w:rsid w:val="00DB32D9"/>
    <w:rsid w:val="00DB3400"/>
    <w:rsid w:val="00DB3B36"/>
    <w:rsid w:val="00DB3EA5"/>
    <w:rsid w:val="00DB427B"/>
    <w:rsid w:val="00DB44FD"/>
    <w:rsid w:val="00DB4F34"/>
    <w:rsid w:val="00DB5547"/>
    <w:rsid w:val="00DB5661"/>
    <w:rsid w:val="00DB5956"/>
    <w:rsid w:val="00DB5A53"/>
    <w:rsid w:val="00DB5AD2"/>
    <w:rsid w:val="00DB5B5F"/>
    <w:rsid w:val="00DB5BEE"/>
    <w:rsid w:val="00DB6112"/>
    <w:rsid w:val="00DB6234"/>
    <w:rsid w:val="00DB6247"/>
    <w:rsid w:val="00DB644F"/>
    <w:rsid w:val="00DB6672"/>
    <w:rsid w:val="00DB67BB"/>
    <w:rsid w:val="00DB6D75"/>
    <w:rsid w:val="00DB71D7"/>
    <w:rsid w:val="00DB754C"/>
    <w:rsid w:val="00DB76D9"/>
    <w:rsid w:val="00DB7A17"/>
    <w:rsid w:val="00DB7B6A"/>
    <w:rsid w:val="00DB7E5F"/>
    <w:rsid w:val="00DB7EC5"/>
    <w:rsid w:val="00DB7EEA"/>
    <w:rsid w:val="00DC012F"/>
    <w:rsid w:val="00DC0363"/>
    <w:rsid w:val="00DC0551"/>
    <w:rsid w:val="00DC069F"/>
    <w:rsid w:val="00DC0D69"/>
    <w:rsid w:val="00DC10EF"/>
    <w:rsid w:val="00DC1146"/>
    <w:rsid w:val="00DC1543"/>
    <w:rsid w:val="00DC1B29"/>
    <w:rsid w:val="00DC20FE"/>
    <w:rsid w:val="00DC2464"/>
    <w:rsid w:val="00DC292D"/>
    <w:rsid w:val="00DC29C6"/>
    <w:rsid w:val="00DC2CD9"/>
    <w:rsid w:val="00DC2E4E"/>
    <w:rsid w:val="00DC31A8"/>
    <w:rsid w:val="00DC38F1"/>
    <w:rsid w:val="00DC3FB3"/>
    <w:rsid w:val="00DC40D8"/>
    <w:rsid w:val="00DC4353"/>
    <w:rsid w:val="00DC47E7"/>
    <w:rsid w:val="00DC4D8F"/>
    <w:rsid w:val="00DC561E"/>
    <w:rsid w:val="00DC5F3F"/>
    <w:rsid w:val="00DC5F4B"/>
    <w:rsid w:val="00DC6396"/>
    <w:rsid w:val="00DC647B"/>
    <w:rsid w:val="00DC6595"/>
    <w:rsid w:val="00DC65A7"/>
    <w:rsid w:val="00DC65EC"/>
    <w:rsid w:val="00DC68BD"/>
    <w:rsid w:val="00DC6AD5"/>
    <w:rsid w:val="00DC6B28"/>
    <w:rsid w:val="00DC6B9B"/>
    <w:rsid w:val="00DC746A"/>
    <w:rsid w:val="00DC7609"/>
    <w:rsid w:val="00DC7839"/>
    <w:rsid w:val="00DC7DC5"/>
    <w:rsid w:val="00DC7FFA"/>
    <w:rsid w:val="00DD0013"/>
    <w:rsid w:val="00DD00D2"/>
    <w:rsid w:val="00DD034F"/>
    <w:rsid w:val="00DD03BB"/>
    <w:rsid w:val="00DD0A45"/>
    <w:rsid w:val="00DD0ADC"/>
    <w:rsid w:val="00DD0EE8"/>
    <w:rsid w:val="00DD0F7B"/>
    <w:rsid w:val="00DD10D2"/>
    <w:rsid w:val="00DD110C"/>
    <w:rsid w:val="00DD1200"/>
    <w:rsid w:val="00DD1254"/>
    <w:rsid w:val="00DD189F"/>
    <w:rsid w:val="00DD18A5"/>
    <w:rsid w:val="00DD18E0"/>
    <w:rsid w:val="00DD1D1D"/>
    <w:rsid w:val="00DD2003"/>
    <w:rsid w:val="00DD215F"/>
    <w:rsid w:val="00DD235F"/>
    <w:rsid w:val="00DD239A"/>
    <w:rsid w:val="00DD2465"/>
    <w:rsid w:val="00DD297D"/>
    <w:rsid w:val="00DD2991"/>
    <w:rsid w:val="00DD2BA3"/>
    <w:rsid w:val="00DD2E22"/>
    <w:rsid w:val="00DD3607"/>
    <w:rsid w:val="00DD3D9C"/>
    <w:rsid w:val="00DD424B"/>
    <w:rsid w:val="00DD4260"/>
    <w:rsid w:val="00DD45A7"/>
    <w:rsid w:val="00DD45B2"/>
    <w:rsid w:val="00DD50E4"/>
    <w:rsid w:val="00DD52D7"/>
    <w:rsid w:val="00DD5604"/>
    <w:rsid w:val="00DD595E"/>
    <w:rsid w:val="00DD5A35"/>
    <w:rsid w:val="00DD5B76"/>
    <w:rsid w:val="00DD5CED"/>
    <w:rsid w:val="00DD5D89"/>
    <w:rsid w:val="00DD5F69"/>
    <w:rsid w:val="00DD6215"/>
    <w:rsid w:val="00DD67FF"/>
    <w:rsid w:val="00DD6A0A"/>
    <w:rsid w:val="00DD6A7B"/>
    <w:rsid w:val="00DD716D"/>
    <w:rsid w:val="00DD7558"/>
    <w:rsid w:val="00DD7578"/>
    <w:rsid w:val="00DD76E9"/>
    <w:rsid w:val="00DD77C3"/>
    <w:rsid w:val="00DD7A78"/>
    <w:rsid w:val="00DD7A7F"/>
    <w:rsid w:val="00DD7E6C"/>
    <w:rsid w:val="00DE04C7"/>
    <w:rsid w:val="00DE05F5"/>
    <w:rsid w:val="00DE06D5"/>
    <w:rsid w:val="00DE0D34"/>
    <w:rsid w:val="00DE0D7A"/>
    <w:rsid w:val="00DE0E62"/>
    <w:rsid w:val="00DE1A16"/>
    <w:rsid w:val="00DE1A54"/>
    <w:rsid w:val="00DE1EAF"/>
    <w:rsid w:val="00DE1FD2"/>
    <w:rsid w:val="00DE21DF"/>
    <w:rsid w:val="00DE24EA"/>
    <w:rsid w:val="00DE2765"/>
    <w:rsid w:val="00DE2807"/>
    <w:rsid w:val="00DE2A40"/>
    <w:rsid w:val="00DE2DCD"/>
    <w:rsid w:val="00DE2F65"/>
    <w:rsid w:val="00DE2FE8"/>
    <w:rsid w:val="00DE30A4"/>
    <w:rsid w:val="00DE3193"/>
    <w:rsid w:val="00DE3231"/>
    <w:rsid w:val="00DE3730"/>
    <w:rsid w:val="00DE3835"/>
    <w:rsid w:val="00DE3F99"/>
    <w:rsid w:val="00DE407B"/>
    <w:rsid w:val="00DE424B"/>
    <w:rsid w:val="00DE424D"/>
    <w:rsid w:val="00DE4313"/>
    <w:rsid w:val="00DE48F3"/>
    <w:rsid w:val="00DE4AF5"/>
    <w:rsid w:val="00DE4C1E"/>
    <w:rsid w:val="00DE4D2B"/>
    <w:rsid w:val="00DE50C7"/>
    <w:rsid w:val="00DE5462"/>
    <w:rsid w:val="00DE56D9"/>
    <w:rsid w:val="00DE5B57"/>
    <w:rsid w:val="00DE5EF4"/>
    <w:rsid w:val="00DE69B8"/>
    <w:rsid w:val="00DE6B11"/>
    <w:rsid w:val="00DE6C18"/>
    <w:rsid w:val="00DE6EEE"/>
    <w:rsid w:val="00DE756D"/>
    <w:rsid w:val="00DE7A3F"/>
    <w:rsid w:val="00DE7FD2"/>
    <w:rsid w:val="00DF0E17"/>
    <w:rsid w:val="00DF1655"/>
    <w:rsid w:val="00DF172A"/>
    <w:rsid w:val="00DF18BD"/>
    <w:rsid w:val="00DF1CDC"/>
    <w:rsid w:val="00DF1E92"/>
    <w:rsid w:val="00DF213D"/>
    <w:rsid w:val="00DF2536"/>
    <w:rsid w:val="00DF25C6"/>
    <w:rsid w:val="00DF2A7A"/>
    <w:rsid w:val="00DF2AAE"/>
    <w:rsid w:val="00DF2BBF"/>
    <w:rsid w:val="00DF347E"/>
    <w:rsid w:val="00DF3985"/>
    <w:rsid w:val="00DF3D0B"/>
    <w:rsid w:val="00DF4106"/>
    <w:rsid w:val="00DF4429"/>
    <w:rsid w:val="00DF4D21"/>
    <w:rsid w:val="00DF4F46"/>
    <w:rsid w:val="00DF4F7D"/>
    <w:rsid w:val="00DF534E"/>
    <w:rsid w:val="00DF536C"/>
    <w:rsid w:val="00DF5853"/>
    <w:rsid w:val="00DF5AB7"/>
    <w:rsid w:val="00DF5FB1"/>
    <w:rsid w:val="00DF638D"/>
    <w:rsid w:val="00DF6524"/>
    <w:rsid w:val="00DF690E"/>
    <w:rsid w:val="00DF6A19"/>
    <w:rsid w:val="00DF6ACB"/>
    <w:rsid w:val="00DF723E"/>
    <w:rsid w:val="00DF73A9"/>
    <w:rsid w:val="00DF762A"/>
    <w:rsid w:val="00DF7954"/>
    <w:rsid w:val="00DF795C"/>
    <w:rsid w:val="00DF7A40"/>
    <w:rsid w:val="00DF7A99"/>
    <w:rsid w:val="00E00116"/>
    <w:rsid w:val="00E0013F"/>
    <w:rsid w:val="00E001B0"/>
    <w:rsid w:val="00E00787"/>
    <w:rsid w:val="00E00900"/>
    <w:rsid w:val="00E00C79"/>
    <w:rsid w:val="00E00CB1"/>
    <w:rsid w:val="00E00EC1"/>
    <w:rsid w:val="00E00EC4"/>
    <w:rsid w:val="00E017FC"/>
    <w:rsid w:val="00E01934"/>
    <w:rsid w:val="00E01B38"/>
    <w:rsid w:val="00E01E7C"/>
    <w:rsid w:val="00E02188"/>
    <w:rsid w:val="00E024C3"/>
    <w:rsid w:val="00E028D8"/>
    <w:rsid w:val="00E02F75"/>
    <w:rsid w:val="00E031F8"/>
    <w:rsid w:val="00E0339E"/>
    <w:rsid w:val="00E033D7"/>
    <w:rsid w:val="00E03B25"/>
    <w:rsid w:val="00E040FB"/>
    <w:rsid w:val="00E041A0"/>
    <w:rsid w:val="00E043EA"/>
    <w:rsid w:val="00E04461"/>
    <w:rsid w:val="00E04831"/>
    <w:rsid w:val="00E04859"/>
    <w:rsid w:val="00E04BB3"/>
    <w:rsid w:val="00E05142"/>
    <w:rsid w:val="00E05260"/>
    <w:rsid w:val="00E052A7"/>
    <w:rsid w:val="00E05434"/>
    <w:rsid w:val="00E05475"/>
    <w:rsid w:val="00E055C6"/>
    <w:rsid w:val="00E056B2"/>
    <w:rsid w:val="00E0622A"/>
    <w:rsid w:val="00E062EB"/>
    <w:rsid w:val="00E06331"/>
    <w:rsid w:val="00E06853"/>
    <w:rsid w:val="00E06FB5"/>
    <w:rsid w:val="00E0743D"/>
    <w:rsid w:val="00E07489"/>
    <w:rsid w:val="00E07796"/>
    <w:rsid w:val="00E07935"/>
    <w:rsid w:val="00E07974"/>
    <w:rsid w:val="00E07A2C"/>
    <w:rsid w:val="00E07B0A"/>
    <w:rsid w:val="00E07FDF"/>
    <w:rsid w:val="00E104B3"/>
    <w:rsid w:val="00E109FE"/>
    <w:rsid w:val="00E10C4F"/>
    <w:rsid w:val="00E10CDC"/>
    <w:rsid w:val="00E11581"/>
    <w:rsid w:val="00E11625"/>
    <w:rsid w:val="00E11A9F"/>
    <w:rsid w:val="00E11B95"/>
    <w:rsid w:val="00E12051"/>
    <w:rsid w:val="00E1205D"/>
    <w:rsid w:val="00E12082"/>
    <w:rsid w:val="00E12786"/>
    <w:rsid w:val="00E12AAF"/>
    <w:rsid w:val="00E12D3F"/>
    <w:rsid w:val="00E12F01"/>
    <w:rsid w:val="00E1302D"/>
    <w:rsid w:val="00E13281"/>
    <w:rsid w:val="00E13848"/>
    <w:rsid w:val="00E13D7B"/>
    <w:rsid w:val="00E13FD4"/>
    <w:rsid w:val="00E14023"/>
    <w:rsid w:val="00E14187"/>
    <w:rsid w:val="00E14360"/>
    <w:rsid w:val="00E144CC"/>
    <w:rsid w:val="00E1453E"/>
    <w:rsid w:val="00E1456E"/>
    <w:rsid w:val="00E14C0C"/>
    <w:rsid w:val="00E14CA6"/>
    <w:rsid w:val="00E15036"/>
    <w:rsid w:val="00E15244"/>
    <w:rsid w:val="00E15281"/>
    <w:rsid w:val="00E15623"/>
    <w:rsid w:val="00E15632"/>
    <w:rsid w:val="00E15F55"/>
    <w:rsid w:val="00E160A2"/>
    <w:rsid w:val="00E16D47"/>
    <w:rsid w:val="00E1700D"/>
    <w:rsid w:val="00E17063"/>
    <w:rsid w:val="00E172E1"/>
    <w:rsid w:val="00E172F0"/>
    <w:rsid w:val="00E1744F"/>
    <w:rsid w:val="00E178C3"/>
    <w:rsid w:val="00E17A5C"/>
    <w:rsid w:val="00E17AEA"/>
    <w:rsid w:val="00E20828"/>
    <w:rsid w:val="00E20BD8"/>
    <w:rsid w:val="00E21008"/>
    <w:rsid w:val="00E211A4"/>
    <w:rsid w:val="00E21215"/>
    <w:rsid w:val="00E2162A"/>
    <w:rsid w:val="00E21A52"/>
    <w:rsid w:val="00E21BD1"/>
    <w:rsid w:val="00E21C0C"/>
    <w:rsid w:val="00E22AF2"/>
    <w:rsid w:val="00E2369B"/>
    <w:rsid w:val="00E24372"/>
    <w:rsid w:val="00E2462B"/>
    <w:rsid w:val="00E246B7"/>
    <w:rsid w:val="00E24AD8"/>
    <w:rsid w:val="00E24CD6"/>
    <w:rsid w:val="00E24D44"/>
    <w:rsid w:val="00E24EAB"/>
    <w:rsid w:val="00E250B1"/>
    <w:rsid w:val="00E2516F"/>
    <w:rsid w:val="00E251A3"/>
    <w:rsid w:val="00E25236"/>
    <w:rsid w:val="00E2536A"/>
    <w:rsid w:val="00E2541E"/>
    <w:rsid w:val="00E2566A"/>
    <w:rsid w:val="00E259C3"/>
    <w:rsid w:val="00E25C99"/>
    <w:rsid w:val="00E25DB5"/>
    <w:rsid w:val="00E25EEC"/>
    <w:rsid w:val="00E25FC8"/>
    <w:rsid w:val="00E2601D"/>
    <w:rsid w:val="00E2610E"/>
    <w:rsid w:val="00E26849"/>
    <w:rsid w:val="00E2691B"/>
    <w:rsid w:val="00E269BC"/>
    <w:rsid w:val="00E269E6"/>
    <w:rsid w:val="00E26CB2"/>
    <w:rsid w:val="00E26D6B"/>
    <w:rsid w:val="00E26E3A"/>
    <w:rsid w:val="00E2704B"/>
    <w:rsid w:val="00E2762D"/>
    <w:rsid w:val="00E27695"/>
    <w:rsid w:val="00E27827"/>
    <w:rsid w:val="00E27FD5"/>
    <w:rsid w:val="00E3039C"/>
    <w:rsid w:val="00E308F2"/>
    <w:rsid w:val="00E30A8D"/>
    <w:rsid w:val="00E3286F"/>
    <w:rsid w:val="00E32947"/>
    <w:rsid w:val="00E32CC6"/>
    <w:rsid w:val="00E32DB3"/>
    <w:rsid w:val="00E32FA3"/>
    <w:rsid w:val="00E3342C"/>
    <w:rsid w:val="00E33DF9"/>
    <w:rsid w:val="00E340BC"/>
    <w:rsid w:val="00E340EB"/>
    <w:rsid w:val="00E3449B"/>
    <w:rsid w:val="00E34B07"/>
    <w:rsid w:val="00E34F40"/>
    <w:rsid w:val="00E3547E"/>
    <w:rsid w:val="00E35AB9"/>
    <w:rsid w:val="00E35BC5"/>
    <w:rsid w:val="00E35D58"/>
    <w:rsid w:val="00E36570"/>
    <w:rsid w:val="00E36614"/>
    <w:rsid w:val="00E36B6A"/>
    <w:rsid w:val="00E36CFC"/>
    <w:rsid w:val="00E36FC3"/>
    <w:rsid w:val="00E3769B"/>
    <w:rsid w:val="00E376C7"/>
    <w:rsid w:val="00E37881"/>
    <w:rsid w:val="00E378EC"/>
    <w:rsid w:val="00E379C3"/>
    <w:rsid w:val="00E37CA1"/>
    <w:rsid w:val="00E402F9"/>
    <w:rsid w:val="00E40373"/>
    <w:rsid w:val="00E40953"/>
    <w:rsid w:val="00E40BC2"/>
    <w:rsid w:val="00E40DB0"/>
    <w:rsid w:val="00E41074"/>
    <w:rsid w:val="00E4110A"/>
    <w:rsid w:val="00E41202"/>
    <w:rsid w:val="00E413F3"/>
    <w:rsid w:val="00E41436"/>
    <w:rsid w:val="00E4159E"/>
    <w:rsid w:val="00E4170B"/>
    <w:rsid w:val="00E41A22"/>
    <w:rsid w:val="00E41CBE"/>
    <w:rsid w:val="00E42715"/>
    <w:rsid w:val="00E4289C"/>
    <w:rsid w:val="00E42A8F"/>
    <w:rsid w:val="00E42AB6"/>
    <w:rsid w:val="00E42B04"/>
    <w:rsid w:val="00E42F4B"/>
    <w:rsid w:val="00E43585"/>
    <w:rsid w:val="00E438EC"/>
    <w:rsid w:val="00E43D33"/>
    <w:rsid w:val="00E43FA4"/>
    <w:rsid w:val="00E440AC"/>
    <w:rsid w:val="00E440E1"/>
    <w:rsid w:val="00E445EF"/>
    <w:rsid w:val="00E449AF"/>
    <w:rsid w:val="00E44A6E"/>
    <w:rsid w:val="00E45BA3"/>
    <w:rsid w:val="00E45CE9"/>
    <w:rsid w:val="00E45F32"/>
    <w:rsid w:val="00E4639E"/>
    <w:rsid w:val="00E464A2"/>
    <w:rsid w:val="00E46C09"/>
    <w:rsid w:val="00E46E50"/>
    <w:rsid w:val="00E46ED7"/>
    <w:rsid w:val="00E46F4B"/>
    <w:rsid w:val="00E478A6"/>
    <w:rsid w:val="00E479C7"/>
    <w:rsid w:val="00E47B51"/>
    <w:rsid w:val="00E47F8A"/>
    <w:rsid w:val="00E50460"/>
    <w:rsid w:val="00E504B2"/>
    <w:rsid w:val="00E50C29"/>
    <w:rsid w:val="00E50EA8"/>
    <w:rsid w:val="00E5139B"/>
    <w:rsid w:val="00E515EC"/>
    <w:rsid w:val="00E51E2D"/>
    <w:rsid w:val="00E52076"/>
    <w:rsid w:val="00E5215D"/>
    <w:rsid w:val="00E52285"/>
    <w:rsid w:val="00E52984"/>
    <w:rsid w:val="00E529A5"/>
    <w:rsid w:val="00E5310E"/>
    <w:rsid w:val="00E531EF"/>
    <w:rsid w:val="00E5334D"/>
    <w:rsid w:val="00E53583"/>
    <w:rsid w:val="00E537AF"/>
    <w:rsid w:val="00E54178"/>
    <w:rsid w:val="00E54964"/>
    <w:rsid w:val="00E549D9"/>
    <w:rsid w:val="00E54A9D"/>
    <w:rsid w:val="00E54C25"/>
    <w:rsid w:val="00E54D90"/>
    <w:rsid w:val="00E5535C"/>
    <w:rsid w:val="00E55411"/>
    <w:rsid w:val="00E55457"/>
    <w:rsid w:val="00E558A9"/>
    <w:rsid w:val="00E55AB2"/>
    <w:rsid w:val="00E55BFD"/>
    <w:rsid w:val="00E55D43"/>
    <w:rsid w:val="00E55D8F"/>
    <w:rsid w:val="00E5645F"/>
    <w:rsid w:val="00E5668E"/>
    <w:rsid w:val="00E5707A"/>
    <w:rsid w:val="00E570A5"/>
    <w:rsid w:val="00E5726B"/>
    <w:rsid w:val="00E57277"/>
    <w:rsid w:val="00E57405"/>
    <w:rsid w:val="00E5751F"/>
    <w:rsid w:val="00E577CA"/>
    <w:rsid w:val="00E57846"/>
    <w:rsid w:val="00E57A06"/>
    <w:rsid w:val="00E57BCE"/>
    <w:rsid w:val="00E57C42"/>
    <w:rsid w:val="00E57CCF"/>
    <w:rsid w:val="00E57D8F"/>
    <w:rsid w:val="00E60040"/>
    <w:rsid w:val="00E6021A"/>
    <w:rsid w:val="00E602FD"/>
    <w:rsid w:val="00E60B09"/>
    <w:rsid w:val="00E60BF3"/>
    <w:rsid w:val="00E60D29"/>
    <w:rsid w:val="00E60D63"/>
    <w:rsid w:val="00E60F49"/>
    <w:rsid w:val="00E6127F"/>
    <w:rsid w:val="00E61E33"/>
    <w:rsid w:val="00E626CF"/>
    <w:rsid w:val="00E62941"/>
    <w:rsid w:val="00E62D46"/>
    <w:rsid w:val="00E634E1"/>
    <w:rsid w:val="00E63982"/>
    <w:rsid w:val="00E639CC"/>
    <w:rsid w:val="00E639F0"/>
    <w:rsid w:val="00E63C33"/>
    <w:rsid w:val="00E63D4D"/>
    <w:rsid w:val="00E6404B"/>
    <w:rsid w:val="00E64178"/>
    <w:rsid w:val="00E6445F"/>
    <w:rsid w:val="00E6449D"/>
    <w:rsid w:val="00E646AE"/>
    <w:rsid w:val="00E648E2"/>
    <w:rsid w:val="00E64FD2"/>
    <w:rsid w:val="00E65097"/>
    <w:rsid w:val="00E65948"/>
    <w:rsid w:val="00E6625D"/>
    <w:rsid w:val="00E664A2"/>
    <w:rsid w:val="00E66585"/>
    <w:rsid w:val="00E666E1"/>
    <w:rsid w:val="00E66E70"/>
    <w:rsid w:val="00E66F79"/>
    <w:rsid w:val="00E6729B"/>
    <w:rsid w:val="00E67582"/>
    <w:rsid w:val="00E677F9"/>
    <w:rsid w:val="00E67BAB"/>
    <w:rsid w:val="00E67D10"/>
    <w:rsid w:val="00E701C1"/>
    <w:rsid w:val="00E701CB"/>
    <w:rsid w:val="00E70254"/>
    <w:rsid w:val="00E70BBF"/>
    <w:rsid w:val="00E70CB2"/>
    <w:rsid w:val="00E71160"/>
    <w:rsid w:val="00E711E7"/>
    <w:rsid w:val="00E714D5"/>
    <w:rsid w:val="00E71980"/>
    <w:rsid w:val="00E71AB6"/>
    <w:rsid w:val="00E71C59"/>
    <w:rsid w:val="00E71C95"/>
    <w:rsid w:val="00E71DC0"/>
    <w:rsid w:val="00E71F4C"/>
    <w:rsid w:val="00E720F5"/>
    <w:rsid w:val="00E721B9"/>
    <w:rsid w:val="00E72327"/>
    <w:rsid w:val="00E726E0"/>
    <w:rsid w:val="00E72FF6"/>
    <w:rsid w:val="00E730EB"/>
    <w:rsid w:val="00E7317B"/>
    <w:rsid w:val="00E74BF9"/>
    <w:rsid w:val="00E74F78"/>
    <w:rsid w:val="00E7503C"/>
    <w:rsid w:val="00E751A6"/>
    <w:rsid w:val="00E75383"/>
    <w:rsid w:val="00E7563F"/>
    <w:rsid w:val="00E75690"/>
    <w:rsid w:val="00E75692"/>
    <w:rsid w:val="00E756B5"/>
    <w:rsid w:val="00E75EE2"/>
    <w:rsid w:val="00E7647E"/>
    <w:rsid w:val="00E7649E"/>
    <w:rsid w:val="00E765C3"/>
    <w:rsid w:val="00E7673E"/>
    <w:rsid w:val="00E769C5"/>
    <w:rsid w:val="00E76E2E"/>
    <w:rsid w:val="00E76F6A"/>
    <w:rsid w:val="00E770DE"/>
    <w:rsid w:val="00E7718D"/>
    <w:rsid w:val="00E771BF"/>
    <w:rsid w:val="00E7745A"/>
    <w:rsid w:val="00E77476"/>
    <w:rsid w:val="00E77778"/>
    <w:rsid w:val="00E77A34"/>
    <w:rsid w:val="00E77B97"/>
    <w:rsid w:val="00E77D19"/>
    <w:rsid w:val="00E77DA6"/>
    <w:rsid w:val="00E8073C"/>
    <w:rsid w:val="00E80CE2"/>
    <w:rsid w:val="00E814A1"/>
    <w:rsid w:val="00E817FC"/>
    <w:rsid w:val="00E8183F"/>
    <w:rsid w:val="00E81924"/>
    <w:rsid w:val="00E81B39"/>
    <w:rsid w:val="00E820CE"/>
    <w:rsid w:val="00E822AD"/>
    <w:rsid w:val="00E827E9"/>
    <w:rsid w:val="00E82998"/>
    <w:rsid w:val="00E82C9E"/>
    <w:rsid w:val="00E82D49"/>
    <w:rsid w:val="00E831E8"/>
    <w:rsid w:val="00E8384F"/>
    <w:rsid w:val="00E83E83"/>
    <w:rsid w:val="00E84768"/>
    <w:rsid w:val="00E84C71"/>
    <w:rsid w:val="00E84E38"/>
    <w:rsid w:val="00E84EAB"/>
    <w:rsid w:val="00E85031"/>
    <w:rsid w:val="00E85475"/>
    <w:rsid w:val="00E858AA"/>
    <w:rsid w:val="00E859A1"/>
    <w:rsid w:val="00E85AC9"/>
    <w:rsid w:val="00E85F49"/>
    <w:rsid w:val="00E85F88"/>
    <w:rsid w:val="00E8673F"/>
    <w:rsid w:val="00E86B45"/>
    <w:rsid w:val="00E86E0C"/>
    <w:rsid w:val="00E90263"/>
    <w:rsid w:val="00E90737"/>
    <w:rsid w:val="00E908FA"/>
    <w:rsid w:val="00E90B96"/>
    <w:rsid w:val="00E90D38"/>
    <w:rsid w:val="00E91177"/>
    <w:rsid w:val="00E911E0"/>
    <w:rsid w:val="00E911EC"/>
    <w:rsid w:val="00E912D9"/>
    <w:rsid w:val="00E91353"/>
    <w:rsid w:val="00E9139B"/>
    <w:rsid w:val="00E9147D"/>
    <w:rsid w:val="00E91781"/>
    <w:rsid w:val="00E91820"/>
    <w:rsid w:val="00E91AEB"/>
    <w:rsid w:val="00E91CCC"/>
    <w:rsid w:val="00E91F51"/>
    <w:rsid w:val="00E92792"/>
    <w:rsid w:val="00E93273"/>
    <w:rsid w:val="00E93491"/>
    <w:rsid w:val="00E93735"/>
    <w:rsid w:val="00E939AF"/>
    <w:rsid w:val="00E93E05"/>
    <w:rsid w:val="00E93FE0"/>
    <w:rsid w:val="00E94373"/>
    <w:rsid w:val="00E94620"/>
    <w:rsid w:val="00E947E7"/>
    <w:rsid w:val="00E95F91"/>
    <w:rsid w:val="00E961FB"/>
    <w:rsid w:val="00E967FD"/>
    <w:rsid w:val="00E96BA6"/>
    <w:rsid w:val="00E96E30"/>
    <w:rsid w:val="00E9758D"/>
    <w:rsid w:val="00E978D9"/>
    <w:rsid w:val="00E97B4C"/>
    <w:rsid w:val="00EA01CB"/>
    <w:rsid w:val="00EA069F"/>
    <w:rsid w:val="00EA09A9"/>
    <w:rsid w:val="00EA0B5F"/>
    <w:rsid w:val="00EA0BE6"/>
    <w:rsid w:val="00EA1AF1"/>
    <w:rsid w:val="00EA1B47"/>
    <w:rsid w:val="00EA1FA5"/>
    <w:rsid w:val="00EA1FB2"/>
    <w:rsid w:val="00EA245E"/>
    <w:rsid w:val="00EA279A"/>
    <w:rsid w:val="00EA2834"/>
    <w:rsid w:val="00EA29E6"/>
    <w:rsid w:val="00EA2AAA"/>
    <w:rsid w:val="00EA2E9B"/>
    <w:rsid w:val="00EA30FD"/>
    <w:rsid w:val="00EA343A"/>
    <w:rsid w:val="00EA3902"/>
    <w:rsid w:val="00EA3A53"/>
    <w:rsid w:val="00EA3F38"/>
    <w:rsid w:val="00EA3F9D"/>
    <w:rsid w:val="00EA41D9"/>
    <w:rsid w:val="00EA4431"/>
    <w:rsid w:val="00EA4486"/>
    <w:rsid w:val="00EA482B"/>
    <w:rsid w:val="00EA4952"/>
    <w:rsid w:val="00EA4A75"/>
    <w:rsid w:val="00EA4D0F"/>
    <w:rsid w:val="00EA5573"/>
    <w:rsid w:val="00EA583B"/>
    <w:rsid w:val="00EA58B4"/>
    <w:rsid w:val="00EA5BA9"/>
    <w:rsid w:val="00EA60D0"/>
    <w:rsid w:val="00EA6FFF"/>
    <w:rsid w:val="00EA72C3"/>
    <w:rsid w:val="00EA73F8"/>
    <w:rsid w:val="00EA768F"/>
    <w:rsid w:val="00EA7BEF"/>
    <w:rsid w:val="00EA7D2C"/>
    <w:rsid w:val="00EA7E73"/>
    <w:rsid w:val="00EA7F7D"/>
    <w:rsid w:val="00EB000A"/>
    <w:rsid w:val="00EB0A93"/>
    <w:rsid w:val="00EB0EE9"/>
    <w:rsid w:val="00EB117B"/>
    <w:rsid w:val="00EB14AD"/>
    <w:rsid w:val="00EB16DB"/>
    <w:rsid w:val="00EB16DC"/>
    <w:rsid w:val="00EB17EC"/>
    <w:rsid w:val="00EB1B76"/>
    <w:rsid w:val="00EB1E26"/>
    <w:rsid w:val="00EB207D"/>
    <w:rsid w:val="00EB226C"/>
    <w:rsid w:val="00EB3035"/>
    <w:rsid w:val="00EB32C8"/>
    <w:rsid w:val="00EB369F"/>
    <w:rsid w:val="00EB396D"/>
    <w:rsid w:val="00EB3CF2"/>
    <w:rsid w:val="00EB3ECE"/>
    <w:rsid w:val="00EB42CB"/>
    <w:rsid w:val="00EB4900"/>
    <w:rsid w:val="00EB4DE8"/>
    <w:rsid w:val="00EB51EE"/>
    <w:rsid w:val="00EB57FD"/>
    <w:rsid w:val="00EB5821"/>
    <w:rsid w:val="00EB5DA6"/>
    <w:rsid w:val="00EB64AB"/>
    <w:rsid w:val="00EB64DE"/>
    <w:rsid w:val="00EB6626"/>
    <w:rsid w:val="00EB6846"/>
    <w:rsid w:val="00EB6BE7"/>
    <w:rsid w:val="00EB6C1E"/>
    <w:rsid w:val="00EB6C41"/>
    <w:rsid w:val="00EB6D39"/>
    <w:rsid w:val="00EB7469"/>
    <w:rsid w:val="00EB776A"/>
    <w:rsid w:val="00EB783B"/>
    <w:rsid w:val="00EB798F"/>
    <w:rsid w:val="00EB7A8D"/>
    <w:rsid w:val="00EB7C3B"/>
    <w:rsid w:val="00EB7E8B"/>
    <w:rsid w:val="00EB7FD1"/>
    <w:rsid w:val="00EC06B9"/>
    <w:rsid w:val="00EC0EDC"/>
    <w:rsid w:val="00EC1279"/>
    <w:rsid w:val="00EC16FA"/>
    <w:rsid w:val="00EC175B"/>
    <w:rsid w:val="00EC1CAA"/>
    <w:rsid w:val="00EC1E90"/>
    <w:rsid w:val="00EC207C"/>
    <w:rsid w:val="00EC284B"/>
    <w:rsid w:val="00EC2B65"/>
    <w:rsid w:val="00EC3033"/>
    <w:rsid w:val="00EC3575"/>
    <w:rsid w:val="00EC3C8B"/>
    <w:rsid w:val="00EC3CC4"/>
    <w:rsid w:val="00EC3E3B"/>
    <w:rsid w:val="00EC481D"/>
    <w:rsid w:val="00EC4C17"/>
    <w:rsid w:val="00EC4C54"/>
    <w:rsid w:val="00EC55B6"/>
    <w:rsid w:val="00EC59D8"/>
    <w:rsid w:val="00EC5A63"/>
    <w:rsid w:val="00EC5D53"/>
    <w:rsid w:val="00EC5FDF"/>
    <w:rsid w:val="00EC6011"/>
    <w:rsid w:val="00EC64D3"/>
    <w:rsid w:val="00EC65E5"/>
    <w:rsid w:val="00EC73FB"/>
    <w:rsid w:val="00EC744F"/>
    <w:rsid w:val="00EC764C"/>
    <w:rsid w:val="00EC7AEC"/>
    <w:rsid w:val="00ED0208"/>
    <w:rsid w:val="00ED0461"/>
    <w:rsid w:val="00ED0565"/>
    <w:rsid w:val="00ED065D"/>
    <w:rsid w:val="00ED0C64"/>
    <w:rsid w:val="00ED0CD0"/>
    <w:rsid w:val="00ED0D75"/>
    <w:rsid w:val="00ED1079"/>
    <w:rsid w:val="00ED1354"/>
    <w:rsid w:val="00ED1520"/>
    <w:rsid w:val="00ED1727"/>
    <w:rsid w:val="00ED1CB8"/>
    <w:rsid w:val="00ED1D3B"/>
    <w:rsid w:val="00ED1D84"/>
    <w:rsid w:val="00ED21B9"/>
    <w:rsid w:val="00ED291E"/>
    <w:rsid w:val="00ED2BD7"/>
    <w:rsid w:val="00ED2C20"/>
    <w:rsid w:val="00ED2C78"/>
    <w:rsid w:val="00ED2FAF"/>
    <w:rsid w:val="00ED348F"/>
    <w:rsid w:val="00ED3703"/>
    <w:rsid w:val="00ED37C2"/>
    <w:rsid w:val="00ED3986"/>
    <w:rsid w:val="00ED39C4"/>
    <w:rsid w:val="00ED3A0C"/>
    <w:rsid w:val="00ED3FD8"/>
    <w:rsid w:val="00ED4313"/>
    <w:rsid w:val="00ED4A3E"/>
    <w:rsid w:val="00ED4C30"/>
    <w:rsid w:val="00ED4CAA"/>
    <w:rsid w:val="00ED5193"/>
    <w:rsid w:val="00ED5244"/>
    <w:rsid w:val="00ED5314"/>
    <w:rsid w:val="00ED554A"/>
    <w:rsid w:val="00ED56B5"/>
    <w:rsid w:val="00ED5871"/>
    <w:rsid w:val="00ED5BB5"/>
    <w:rsid w:val="00ED5D2D"/>
    <w:rsid w:val="00ED5E2B"/>
    <w:rsid w:val="00ED5F9E"/>
    <w:rsid w:val="00ED6377"/>
    <w:rsid w:val="00ED672E"/>
    <w:rsid w:val="00ED6A3C"/>
    <w:rsid w:val="00ED6AB0"/>
    <w:rsid w:val="00ED6D10"/>
    <w:rsid w:val="00ED6D43"/>
    <w:rsid w:val="00ED6D9E"/>
    <w:rsid w:val="00ED790D"/>
    <w:rsid w:val="00ED7A40"/>
    <w:rsid w:val="00ED7FA7"/>
    <w:rsid w:val="00EE014B"/>
    <w:rsid w:val="00EE0371"/>
    <w:rsid w:val="00EE06A0"/>
    <w:rsid w:val="00EE0A5C"/>
    <w:rsid w:val="00EE0F88"/>
    <w:rsid w:val="00EE12F9"/>
    <w:rsid w:val="00EE15D6"/>
    <w:rsid w:val="00EE1747"/>
    <w:rsid w:val="00EE18A8"/>
    <w:rsid w:val="00EE2284"/>
    <w:rsid w:val="00EE2443"/>
    <w:rsid w:val="00EE260E"/>
    <w:rsid w:val="00EE31F7"/>
    <w:rsid w:val="00EE343B"/>
    <w:rsid w:val="00EE3472"/>
    <w:rsid w:val="00EE38C9"/>
    <w:rsid w:val="00EE3BC6"/>
    <w:rsid w:val="00EE3E55"/>
    <w:rsid w:val="00EE4414"/>
    <w:rsid w:val="00EE467C"/>
    <w:rsid w:val="00EE48DC"/>
    <w:rsid w:val="00EE4CB4"/>
    <w:rsid w:val="00EE4CD0"/>
    <w:rsid w:val="00EE4ED0"/>
    <w:rsid w:val="00EE4F93"/>
    <w:rsid w:val="00EE5079"/>
    <w:rsid w:val="00EE51E8"/>
    <w:rsid w:val="00EE52C4"/>
    <w:rsid w:val="00EE5363"/>
    <w:rsid w:val="00EE6320"/>
    <w:rsid w:val="00EE6B0B"/>
    <w:rsid w:val="00EE6E3E"/>
    <w:rsid w:val="00EE7789"/>
    <w:rsid w:val="00EE77EB"/>
    <w:rsid w:val="00EE7F1D"/>
    <w:rsid w:val="00EF002F"/>
    <w:rsid w:val="00EF0363"/>
    <w:rsid w:val="00EF0738"/>
    <w:rsid w:val="00EF0807"/>
    <w:rsid w:val="00EF0B0A"/>
    <w:rsid w:val="00EF0B0E"/>
    <w:rsid w:val="00EF0B19"/>
    <w:rsid w:val="00EF125B"/>
    <w:rsid w:val="00EF16A0"/>
    <w:rsid w:val="00EF17E0"/>
    <w:rsid w:val="00EF1922"/>
    <w:rsid w:val="00EF1C63"/>
    <w:rsid w:val="00EF1D17"/>
    <w:rsid w:val="00EF1D26"/>
    <w:rsid w:val="00EF1DF3"/>
    <w:rsid w:val="00EF1E0B"/>
    <w:rsid w:val="00EF1FF8"/>
    <w:rsid w:val="00EF25DD"/>
    <w:rsid w:val="00EF2E9A"/>
    <w:rsid w:val="00EF352B"/>
    <w:rsid w:val="00EF398B"/>
    <w:rsid w:val="00EF3AB5"/>
    <w:rsid w:val="00EF3C18"/>
    <w:rsid w:val="00EF3E64"/>
    <w:rsid w:val="00EF4CA8"/>
    <w:rsid w:val="00EF5029"/>
    <w:rsid w:val="00EF528B"/>
    <w:rsid w:val="00EF54A3"/>
    <w:rsid w:val="00EF56EC"/>
    <w:rsid w:val="00EF5708"/>
    <w:rsid w:val="00EF5735"/>
    <w:rsid w:val="00EF5D92"/>
    <w:rsid w:val="00EF5F9F"/>
    <w:rsid w:val="00EF611B"/>
    <w:rsid w:val="00EF621E"/>
    <w:rsid w:val="00EF68CB"/>
    <w:rsid w:val="00EF6930"/>
    <w:rsid w:val="00EF69B3"/>
    <w:rsid w:val="00EF6A1A"/>
    <w:rsid w:val="00EF6BE2"/>
    <w:rsid w:val="00EF6C0E"/>
    <w:rsid w:val="00EF6F49"/>
    <w:rsid w:val="00EF797F"/>
    <w:rsid w:val="00F00844"/>
    <w:rsid w:val="00F009D6"/>
    <w:rsid w:val="00F00BE6"/>
    <w:rsid w:val="00F00E72"/>
    <w:rsid w:val="00F01400"/>
    <w:rsid w:val="00F01560"/>
    <w:rsid w:val="00F01792"/>
    <w:rsid w:val="00F01802"/>
    <w:rsid w:val="00F01ADD"/>
    <w:rsid w:val="00F01EFE"/>
    <w:rsid w:val="00F021A7"/>
    <w:rsid w:val="00F02201"/>
    <w:rsid w:val="00F02510"/>
    <w:rsid w:val="00F0303E"/>
    <w:rsid w:val="00F03A07"/>
    <w:rsid w:val="00F03AD4"/>
    <w:rsid w:val="00F03B28"/>
    <w:rsid w:val="00F047D1"/>
    <w:rsid w:val="00F04919"/>
    <w:rsid w:val="00F0492D"/>
    <w:rsid w:val="00F0497F"/>
    <w:rsid w:val="00F04AFA"/>
    <w:rsid w:val="00F04BA5"/>
    <w:rsid w:val="00F04DCE"/>
    <w:rsid w:val="00F04F8A"/>
    <w:rsid w:val="00F0591D"/>
    <w:rsid w:val="00F059E7"/>
    <w:rsid w:val="00F05B63"/>
    <w:rsid w:val="00F05FC5"/>
    <w:rsid w:val="00F06055"/>
    <w:rsid w:val="00F063BE"/>
    <w:rsid w:val="00F064EF"/>
    <w:rsid w:val="00F06709"/>
    <w:rsid w:val="00F0670D"/>
    <w:rsid w:val="00F067D6"/>
    <w:rsid w:val="00F06864"/>
    <w:rsid w:val="00F06978"/>
    <w:rsid w:val="00F069B3"/>
    <w:rsid w:val="00F06D1D"/>
    <w:rsid w:val="00F07427"/>
    <w:rsid w:val="00F075D9"/>
    <w:rsid w:val="00F07636"/>
    <w:rsid w:val="00F077C9"/>
    <w:rsid w:val="00F0793C"/>
    <w:rsid w:val="00F10451"/>
    <w:rsid w:val="00F104D8"/>
    <w:rsid w:val="00F10C75"/>
    <w:rsid w:val="00F10D52"/>
    <w:rsid w:val="00F11202"/>
    <w:rsid w:val="00F11A5B"/>
    <w:rsid w:val="00F11A6F"/>
    <w:rsid w:val="00F11AB3"/>
    <w:rsid w:val="00F11CDC"/>
    <w:rsid w:val="00F11CFC"/>
    <w:rsid w:val="00F11F43"/>
    <w:rsid w:val="00F11FF2"/>
    <w:rsid w:val="00F1206A"/>
    <w:rsid w:val="00F12453"/>
    <w:rsid w:val="00F1260D"/>
    <w:rsid w:val="00F132DA"/>
    <w:rsid w:val="00F133CC"/>
    <w:rsid w:val="00F1364E"/>
    <w:rsid w:val="00F137C5"/>
    <w:rsid w:val="00F13EAF"/>
    <w:rsid w:val="00F141CB"/>
    <w:rsid w:val="00F1478A"/>
    <w:rsid w:val="00F14D76"/>
    <w:rsid w:val="00F14DA4"/>
    <w:rsid w:val="00F15231"/>
    <w:rsid w:val="00F15238"/>
    <w:rsid w:val="00F1563F"/>
    <w:rsid w:val="00F158A9"/>
    <w:rsid w:val="00F15E90"/>
    <w:rsid w:val="00F16091"/>
    <w:rsid w:val="00F16133"/>
    <w:rsid w:val="00F1617B"/>
    <w:rsid w:val="00F162F8"/>
    <w:rsid w:val="00F1682E"/>
    <w:rsid w:val="00F16850"/>
    <w:rsid w:val="00F16CEA"/>
    <w:rsid w:val="00F16D7E"/>
    <w:rsid w:val="00F16F63"/>
    <w:rsid w:val="00F17525"/>
    <w:rsid w:val="00F17555"/>
    <w:rsid w:val="00F176B4"/>
    <w:rsid w:val="00F176D4"/>
    <w:rsid w:val="00F202A2"/>
    <w:rsid w:val="00F20D34"/>
    <w:rsid w:val="00F20DCC"/>
    <w:rsid w:val="00F21287"/>
    <w:rsid w:val="00F21575"/>
    <w:rsid w:val="00F225D9"/>
    <w:rsid w:val="00F22E78"/>
    <w:rsid w:val="00F22F1D"/>
    <w:rsid w:val="00F22F5F"/>
    <w:rsid w:val="00F23029"/>
    <w:rsid w:val="00F232CE"/>
    <w:rsid w:val="00F23A41"/>
    <w:rsid w:val="00F23BEA"/>
    <w:rsid w:val="00F23DA6"/>
    <w:rsid w:val="00F23F43"/>
    <w:rsid w:val="00F23F49"/>
    <w:rsid w:val="00F241A2"/>
    <w:rsid w:val="00F24244"/>
    <w:rsid w:val="00F242D9"/>
    <w:rsid w:val="00F247B6"/>
    <w:rsid w:val="00F248FD"/>
    <w:rsid w:val="00F24BE3"/>
    <w:rsid w:val="00F24E68"/>
    <w:rsid w:val="00F2517A"/>
    <w:rsid w:val="00F25886"/>
    <w:rsid w:val="00F25B05"/>
    <w:rsid w:val="00F25B95"/>
    <w:rsid w:val="00F26395"/>
    <w:rsid w:val="00F2676E"/>
    <w:rsid w:val="00F268D0"/>
    <w:rsid w:val="00F26B22"/>
    <w:rsid w:val="00F26D2C"/>
    <w:rsid w:val="00F27006"/>
    <w:rsid w:val="00F27B38"/>
    <w:rsid w:val="00F27E7D"/>
    <w:rsid w:val="00F27EBA"/>
    <w:rsid w:val="00F30044"/>
    <w:rsid w:val="00F3020B"/>
    <w:rsid w:val="00F309F5"/>
    <w:rsid w:val="00F30E3A"/>
    <w:rsid w:val="00F30EC5"/>
    <w:rsid w:val="00F30F4B"/>
    <w:rsid w:val="00F30FCB"/>
    <w:rsid w:val="00F31060"/>
    <w:rsid w:val="00F31C26"/>
    <w:rsid w:val="00F31C5A"/>
    <w:rsid w:val="00F31CC8"/>
    <w:rsid w:val="00F32154"/>
    <w:rsid w:val="00F3253A"/>
    <w:rsid w:val="00F3290A"/>
    <w:rsid w:val="00F32C9F"/>
    <w:rsid w:val="00F32F5B"/>
    <w:rsid w:val="00F33007"/>
    <w:rsid w:val="00F33155"/>
    <w:rsid w:val="00F3356F"/>
    <w:rsid w:val="00F335E5"/>
    <w:rsid w:val="00F3362D"/>
    <w:rsid w:val="00F33909"/>
    <w:rsid w:val="00F339A2"/>
    <w:rsid w:val="00F33C29"/>
    <w:rsid w:val="00F33C40"/>
    <w:rsid w:val="00F33EB1"/>
    <w:rsid w:val="00F33F32"/>
    <w:rsid w:val="00F34587"/>
    <w:rsid w:val="00F348F3"/>
    <w:rsid w:val="00F34ABB"/>
    <w:rsid w:val="00F34F83"/>
    <w:rsid w:val="00F35541"/>
    <w:rsid w:val="00F356AD"/>
    <w:rsid w:val="00F3588F"/>
    <w:rsid w:val="00F35FDC"/>
    <w:rsid w:val="00F360F4"/>
    <w:rsid w:val="00F362D2"/>
    <w:rsid w:val="00F36357"/>
    <w:rsid w:val="00F36564"/>
    <w:rsid w:val="00F3665D"/>
    <w:rsid w:val="00F36BE1"/>
    <w:rsid w:val="00F400C8"/>
    <w:rsid w:val="00F4070D"/>
    <w:rsid w:val="00F40EC6"/>
    <w:rsid w:val="00F4113F"/>
    <w:rsid w:val="00F415A4"/>
    <w:rsid w:val="00F41A9C"/>
    <w:rsid w:val="00F422A7"/>
    <w:rsid w:val="00F429C6"/>
    <w:rsid w:val="00F42BF0"/>
    <w:rsid w:val="00F42D60"/>
    <w:rsid w:val="00F43073"/>
    <w:rsid w:val="00F43164"/>
    <w:rsid w:val="00F4328D"/>
    <w:rsid w:val="00F43391"/>
    <w:rsid w:val="00F4339C"/>
    <w:rsid w:val="00F43554"/>
    <w:rsid w:val="00F435F1"/>
    <w:rsid w:val="00F439DE"/>
    <w:rsid w:val="00F442C6"/>
    <w:rsid w:val="00F44695"/>
    <w:rsid w:val="00F44C2D"/>
    <w:rsid w:val="00F44C69"/>
    <w:rsid w:val="00F44DF0"/>
    <w:rsid w:val="00F450E3"/>
    <w:rsid w:val="00F45183"/>
    <w:rsid w:val="00F45E46"/>
    <w:rsid w:val="00F45E4A"/>
    <w:rsid w:val="00F463F4"/>
    <w:rsid w:val="00F464E3"/>
    <w:rsid w:val="00F46CAC"/>
    <w:rsid w:val="00F46DC4"/>
    <w:rsid w:val="00F473A1"/>
    <w:rsid w:val="00F477BD"/>
    <w:rsid w:val="00F47838"/>
    <w:rsid w:val="00F47924"/>
    <w:rsid w:val="00F479F3"/>
    <w:rsid w:val="00F47F4D"/>
    <w:rsid w:val="00F50561"/>
    <w:rsid w:val="00F50A7C"/>
    <w:rsid w:val="00F50BF6"/>
    <w:rsid w:val="00F51231"/>
    <w:rsid w:val="00F515F5"/>
    <w:rsid w:val="00F51886"/>
    <w:rsid w:val="00F51E0A"/>
    <w:rsid w:val="00F5206F"/>
    <w:rsid w:val="00F52281"/>
    <w:rsid w:val="00F52A61"/>
    <w:rsid w:val="00F52A82"/>
    <w:rsid w:val="00F52F51"/>
    <w:rsid w:val="00F5301F"/>
    <w:rsid w:val="00F5314C"/>
    <w:rsid w:val="00F53607"/>
    <w:rsid w:val="00F5391B"/>
    <w:rsid w:val="00F53E17"/>
    <w:rsid w:val="00F542D8"/>
    <w:rsid w:val="00F54392"/>
    <w:rsid w:val="00F544B4"/>
    <w:rsid w:val="00F54819"/>
    <w:rsid w:val="00F5484E"/>
    <w:rsid w:val="00F549B3"/>
    <w:rsid w:val="00F54A0A"/>
    <w:rsid w:val="00F54CD8"/>
    <w:rsid w:val="00F55319"/>
    <w:rsid w:val="00F55C24"/>
    <w:rsid w:val="00F55D2F"/>
    <w:rsid w:val="00F55E96"/>
    <w:rsid w:val="00F55F20"/>
    <w:rsid w:val="00F5618D"/>
    <w:rsid w:val="00F565B9"/>
    <w:rsid w:val="00F567BA"/>
    <w:rsid w:val="00F56921"/>
    <w:rsid w:val="00F569EB"/>
    <w:rsid w:val="00F57410"/>
    <w:rsid w:val="00F57802"/>
    <w:rsid w:val="00F57970"/>
    <w:rsid w:val="00F6005F"/>
    <w:rsid w:val="00F60075"/>
    <w:rsid w:val="00F6011D"/>
    <w:rsid w:val="00F6042A"/>
    <w:rsid w:val="00F605B5"/>
    <w:rsid w:val="00F60790"/>
    <w:rsid w:val="00F60944"/>
    <w:rsid w:val="00F60A22"/>
    <w:rsid w:val="00F60A6F"/>
    <w:rsid w:val="00F60F1D"/>
    <w:rsid w:val="00F61380"/>
    <w:rsid w:val="00F61713"/>
    <w:rsid w:val="00F61834"/>
    <w:rsid w:val="00F618A7"/>
    <w:rsid w:val="00F61993"/>
    <w:rsid w:val="00F61F44"/>
    <w:rsid w:val="00F62050"/>
    <w:rsid w:val="00F622E1"/>
    <w:rsid w:val="00F6251C"/>
    <w:rsid w:val="00F62FC4"/>
    <w:rsid w:val="00F632F7"/>
    <w:rsid w:val="00F63506"/>
    <w:rsid w:val="00F63721"/>
    <w:rsid w:val="00F637D2"/>
    <w:rsid w:val="00F638CD"/>
    <w:rsid w:val="00F63BFC"/>
    <w:rsid w:val="00F6412E"/>
    <w:rsid w:val="00F6489C"/>
    <w:rsid w:val="00F64E94"/>
    <w:rsid w:val="00F64EE9"/>
    <w:rsid w:val="00F64FE4"/>
    <w:rsid w:val="00F6519B"/>
    <w:rsid w:val="00F65335"/>
    <w:rsid w:val="00F65373"/>
    <w:rsid w:val="00F65CD2"/>
    <w:rsid w:val="00F65D55"/>
    <w:rsid w:val="00F66134"/>
    <w:rsid w:val="00F663F9"/>
    <w:rsid w:val="00F667FE"/>
    <w:rsid w:val="00F66BE1"/>
    <w:rsid w:val="00F66C87"/>
    <w:rsid w:val="00F66CC1"/>
    <w:rsid w:val="00F670E6"/>
    <w:rsid w:val="00F67108"/>
    <w:rsid w:val="00F67240"/>
    <w:rsid w:val="00F67450"/>
    <w:rsid w:val="00F6770E"/>
    <w:rsid w:val="00F67972"/>
    <w:rsid w:val="00F70057"/>
    <w:rsid w:val="00F700BF"/>
    <w:rsid w:val="00F700FF"/>
    <w:rsid w:val="00F701AD"/>
    <w:rsid w:val="00F70523"/>
    <w:rsid w:val="00F70943"/>
    <w:rsid w:val="00F70AC8"/>
    <w:rsid w:val="00F70C31"/>
    <w:rsid w:val="00F710C8"/>
    <w:rsid w:val="00F712EA"/>
    <w:rsid w:val="00F715F8"/>
    <w:rsid w:val="00F71626"/>
    <w:rsid w:val="00F7180F"/>
    <w:rsid w:val="00F71A38"/>
    <w:rsid w:val="00F7209A"/>
    <w:rsid w:val="00F720A7"/>
    <w:rsid w:val="00F721C0"/>
    <w:rsid w:val="00F724C0"/>
    <w:rsid w:val="00F72784"/>
    <w:rsid w:val="00F72839"/>
    <w:rsid w:val="00F72D55"/>
    <w:rsid w:val="00F72FE9"/>
    <w:rsid w:val="00F730F0"/>
    <w:rsid w:val="00F733D4"/>
    <w:rsid w:val="00F7386F"/>
    <w:rsid w:val="00F738EF"/>
    <w:rsid w:val="00F7461E"/>
    <w:rsid w:val="00F74B9C"/>
    <w:rsid w:val="00F74CBC"/>
    <w:rsid w:val="00F756CF"/>
    <w:rsid w:val="00F75FCA"/>
    <w:rsid w:val="00F76142"/>
    <w:rsid w:val="00F76276"/>
    <w:rsid w:val="00F7646C"/>
    <w:rsid w:val="00F76492"/>
    <w:rsid w:val="00F76536"/>
    <w:rsid w:val="00F76C18"/>
    <w:rsid w:val="00F76C81"/>
    <w:rsid w:val="00F76CF5"/>
    <w:rsid w:val="00F776A1"/>
    <w:rsid w:val="00F7787A"/>
    <w:rsid w:val="00F77C3C"/>
    <w:rsid w:val="00F8031F"/>
    <w:rsid w:val="00F80BF0"/>
    <w:rsid w:val="00F80C51"/>
    <w:rsid w:val="00F80F27"/>
    <w:rsid w:val="00F8129A"/>
    <w:rsid w:val="00F81A0E"/>
    <w:rsid w:val="00F81A8C"/>
    <w:rsid w:val="00F81D95"/>
    <w:rsid w:val="00F81F40"/>
    <w:rsid w:val="00F821CD"/>
    <w:rsid w:val="00F828D7"/>
    <w:rsid w:val="00F82EC9"/>
    <w:rsid w:val="00F82FA1"/>
    <w:rsid w:val="00F83276"/>
    <w:rsid w:val="00F83375"/>
    <w:rsid w:val="00F835BD"/>
    <w:rsid w:val="00F83846"/>
    <w:rsid w:val="00F838F7"/>
    <w:rsid w:val="00F83950"/>
    <w:rsid w:val="00F83DC9"/>
    <w:rsid w:val="00F84B47"/>
    <w:rsid w:val="00F84DE6"/>
    <w:rsid w:val="00F84EDA"/>
    <w:rsid w:val="00F85013"/>
    <w:rsid w:val="00F85540"/>
    <w:rsid w:val="00F85D2F"/>
    <w:rsid w:val="00F8651F"/>
    <w:rsid w:val="00F86702"/>
    <w:rsid w:val="00F86B4A"/>
    <w:rsid w:val="00F86D9A"/>
    <w:rsid w:val="00F87113"/>
    <w:rsid w:val="00F87300"/>
    <w:rsid w:val="00F8776F"/>
    <w:rsid w:val="00F878BE"/>
    <w:rsid w:val="00F87E04"/>
    <w:rsid w:val="00F9060A"/>
    <w:rsid w:val="00F906FF"/>
    <w:rsid w:val="00F90772"/>
    <w:rsid w:val="00F90A83"/>
    <w:rsid w:val="00F90B96"/>
    <w:rsid w:val="00F90C89"/>
    <w:rsid w:val="00F90CE7"/>
    <w:rsid w:val="00F91326"/>
    <w:rsid w:val="00F91A7E"/>
    <w:rsid w:val="00F91CF5"/>
    <w:rsid w:val="00F91E4E"/>
    <w:rsid w:val="00F92053"/>
    <w:rsid w:val="00F92268"/>
    <w:rsid w:val="00F93190"/>
    <w:rsid w:val="00F93A2D"/>
    <w:rsid w:val="00F93B3C"/>
    <w:rsid w:val="00F93C15"/>
    <w:rsid w:val="00F93CF5"/>
    <w:rsid w:val="00F93DA2"/>
    <w:rsid w:val="00F93F2C"/>
    <w:rsid w:val="00F93FAF"/>
    <w:rsid w:val="00F948A2"/>
    <w:rsid w:val="00F952F3"/>
    <w:rsid w:val="00F95636"/>
    <w:rsid w:val="00F95667"/>
    <w:rsid w:val="00F958F8"/>
    <w:rsid w:val="00F95ABA"/>
    <w:rsid w:val="00F95D58"/>
    <w:rsid w:val="00F95D6C"/>
    <w:rsid w:val="00F96031"/>
    <w:rsid w:val="00F96081"/>
    <w:rsid w:val="00F96253"/>
    <w:rsid w:val="00F96CFF"/>
    <w:rsid w:val="00F974B7"/>
    <w:rsid w:val="00F975EB"/>
    <w:rsid w:val="00F977D3"/>
    <w:rsid w:val="00F97A64"/>
    <w:rsid w:val="00F97A6C"/>
    <w:rsid w:val="00F97B58"/>
    <w:rsid w:val="00F97CC5"/>
    <w:rsid w:val="00F97FA7"/>
    <w:rsid w:val="00FA056A"/>
    <w:rsid w:val="00FA0575"/>
    <w:rsid w:val="00FA066F"/>
    <w:rsid w:val="00FA07A7"/>
    <w:rsid w:val="00FA0A97"/>
    <w:rsid w:val="00FA0DDE"/>
    <w:rsid w:val="00FA0EC0"/>
    <w:rsid w:val="00FA0F30"/>
    <w:rsid w:val="00FA0F37"/>
    <w:rsid w:val="00FA1117"/>
    <w:rsid w:val="00FA12C5"/>
    <w:rsid w:val="00FA1674"/>
    <w:rsid w:val="00FA1966"/>
    <w:rsid w:val="00FA1B5C"/>
    <w:rsid w:val="00FA1BA2"/>
    <w:rsid w:val="00FA1BF2"/>
    <w:rsid w:val="00FA1CEE"/>
    <w:rsid w:val="00FA1E7B"/>
    <w:rsid w:val="00FA2691"/>
    <w:rsid w:val="00FA2E97"/>
    <w:rsid w:val="00FA2EAB"/>
    <w:rsid w:val="00FA38F0"/>
    <w:rsid w:val="00FA39D7"/>
    <w:rsid w:val="00FA3DC8"/>
    <w:rsid w:val="00FA4480"/>
    <w:rsid w:val="00FA4702"/>
    <w:rsid w:val="00FA4D49"/>
    <w:rsid w:val="00FA54EE"/>
    <w:rsid w:val="00FA57DF"/>
    <w:rsid w:val="00FA5DA0"/>
    <w:rsid w:val="00FA5ED4"/>
    <w:rsid w:val="00FA600E"/>
    <w:rsid w:val="00FA62D9"/>
    <w:rsid w:val="00FA63C0"/>
    <w:rsid w:val="00FA640D"/>
    <w:rsid w:val="00FA68A4"/>
    <w:rsid w:val="00FA70B3"/>
    <w:rsid w:val="00FA72DD"/>
    <w:rsid w:val="00FA74DC"/>
    <w:rsid w:val="00FA764B"/>
    <w:rsid w:val="00FA7701"/>
    <w:rsid w:val="00FA7768"/>
    <w:rsid w:val="00FA788E"/>
    <w:rsid w:val="00FA7FA3"/>
    <w:rsid w:val="00FB041E"/>
    <w:rsid w:val="00FB0771"/>
    <w:rsid w:val="00FB0830"/>
    <w:rsid w:val="00FB090D"/>
    <w:rsid w:val="00FB0940"/>
    <w:rsid w:val="00FB102F"/>
    <w:rsid w:val="00FB1530"/>
    <w:rsid w:val="00FB15BE"/>
    <w:rsid w:val="00FB1782"/>
    <w:rsid w:val="00FB1899"/>
    <w:rsid w:val="00FB1EE1"/>
    <w:rsid w:val="00FB216E"/>
    <w:rsid w:val="00FB22C6"/>
    <w:rsid w:val="00FB2997"/>
    <w:rsid w:val="00FB2A27"/>
    <w:rsid w:val="00FB2FC1"/>
    <w:rsid w:val="00FB3274"/>
    <w:rsid w:val="00FB3419"/>
    <w:rsid w:val="00FB341E"/>
    <w:rsid w:val="00FB390B"/>
    <w:rsid w:val="00FB39B9"/>
    <w:rsid w:val="00FB3A9D"/>
    <w:rsid w:val="00FB3D80"/>
    <w:rsid w:val="00FB3D96"/>
    <w:rsid w:val="00FB3DB3"/>
    <w:rsid w:val="00FB40FC"/>
    <w:rsid w:val="00FB43F6"/>
    <w:rsid w:val="00FB440A"/>
    <w:rsid w:val="00FB4543"/>
    <w:rsid w:val="00FB45A7"/>
    <w:rsid w:val="00FB45DD"/>
    <w:rsid w:val="00FB47F4"/>
    <w:rsid w:val="00FB4957"/>
    <w:rsid w:val="00FB50C6"/>
    <w:rsid w:val="00FB5A24"/>
    <w:rsid w:val="00FB5AAB"/>
    <w:rsid w:val="00FB5C19"/>
    <w:rsid w:val="00FB5D7C"/>
    <w:rsid w:val="00FB628E"/>
    <w:rsid w:val="00FB66C4"/>
    <w:rsid w:val="00FB68AA"/>
    <w:rsid w:val="00FB68C0"/>
    <w:rsid w:val="00FB69CE"/>
    <w:rsid w:val="00FB6A62"/>
    <w:rsid w:val="00FB6A7B"/>
    <w:rsid w:val="00FB6AEB"/>
    <w:rsid w:val="00FB6EB6"/>
    <w:rsid w:val="00FB76A6"/>
    <w:rsid w:val="00FB7744"/>
    <w:rsid w:val="00FB779C"/>
    <w:rsid w:val="00FC07AA"/>
    <w:rsid w:val="00FC0A17"/>
    <w:rsid w:val="00FC103F"/>
    <w:rsid w:val="00FC109A"/>
    <w:rsid w:val="00FC11B6"/>
    <w:rsid w:val="00FC11E7"/>
    <w:rsid w:val="00FC1655"/>
    <w:rsid w:val="00FC1909"/>
    <w:rsid w:val="00FC19B0"/>
    <w:rsid w:val="00FC1A5A"/>
    <w:rsid w:val="00FC1BE5"/>
    <w:rsid w:val="00FC257B"/>
    <w:rsid w:val="00FC269A"/>
    <w:rsid w:val="00FC270D"/>
    <w:rsid w:val="00FC301C"/>
    <w:rsid w:val="00FC3681"/>
    <w:rsid w:val="00FC3D32"/>
    <w:rsid w:val="00FC3D41"/>
    <w:rsid w:val="00FC3E40"/>
    <w:rsid w:val="00FC3E48"/>
    <w:rsid w:val="00FC4167"/>
    <w:rsid w:val="00FC4316"/>
    <w:rsid w:val="00FC43F2"/>
    <w:rsid w:val="00FC442F"/>
    <w:rsid w:val="00FC4604"/>
    <w:rsid w:val="00FC4E39"/>
    <w:rsid w:val="00FC563A"/>
    <w:rsid w:val="00FC60A2"/>
    <w:rsid w:val="00FC633C"/>
    <w:rsid w:val="00FC6872"/>
    <w:rsid w:val="00FC6D30"/>
    <w:rsid w:val="00FC6F4C"/>
    <w:rsid w:val="00FC72EC"/>
    <w:rsid w:val="00FC7721"/>
    <w:rsid w:val="00FC77B9"/>
    <w:rsid w:val="00FC7E4F"/>
    <w:rsid w:val="00FD01A3"/>
    <w:rsid w:val="00FD01CB"/>
    <w:rsid w:val="00FD0423"/>
    <w:rsid w:val="00FD0947"/>
    <w:rsid w:val="00FD0971"/>
    <w:rsid w:val="00FD0B39"/>
    <w:rsid w:val="00FD0D2B"/>
    <w:rsid w:val="00FD0E03"/>
    <w:rsid w:val="00FD11B9"/>
    <w:rsid w:val="00FD1278"/>
    <w:rsid w:val="00FD145B"/>
    <w:rsid w:val="00FD1540"/>
    <w:rsid w:val="00FD199B"/>
    <w:rsid w:val="00FD2E8C"/>
    <w:rsid w:val="00FD324D"/>
    <w:rsid w:val="00FD32A9"/>
    <w:rsid w:val="00FD3876"/>
    <w:rsid w:val="00FD38BD"/>
    <w:rsid w:val="00FD3A52"/>
    <w:rsid w:val="00FD4375"/>
    <w:rsid w:val="00FD4BF5"/>
    <w:rsid w:val="00FD5225"/>
    <w:rsid w:val="00FD5289"/>
    <w:rsid w:val="00FD52D7"/>
    <w:rsid w:val="00FD5382"/>
    <w:rsid w:val="00FD55E6"/>
    <w:rsid w:val="00FD5C6A"/>
    <w:rsid w:val="00FD60F6"/>
    <w:rsid w:val="00FD689C"/>
    <w:rsid w:val="00FD6BB1"/>
    <w:rsid w:val="00FD6CC8"/>
    <w:rsid w:val="00FD720C"/>
    <w:rsid w:val="00FD7954"/>
    <w:rsid w:val="00FD795A"/>
    <w:rsid w:val="00FE01A6"/>
    <w:rsid w:val="00FE04EF"/>
    <w:rsid w:val="00FE068A"/>
    <w:rsid w:val="00FE0690"/>
    <w:rsid w:val="00FE0BB2"/>
    <w:rsid w:val="00FE0C5D"/>
    <w:rsid w:val="00FE0FB4"/>
    <w:rsid w:val="00FE1100"/>
    <w:rsid w:val="00FE13FD"/>
    <w:rsid w:val="00FE1432"/>
    <w:rsid w:val="00FE15E2"/>
    <w:rsid w:val="00FE165A"/>
    <w:rsid w:val="00FE1A4F"/>
    <w:rsid w:val="00FE1AE9"/>
    <w:rsid w:val="00FE1B39"/>
    <w:rsid w:val="00FE1DA5"/>
    <w:rsid w:val="00FE20AC"/>
    <w:rsid w:val="00FE2187"/>
    <w:rsid w:val="00FE28F7"/>
    <w:rsid w:val="00FE2A35"/>
    <w:rsid w:val="00FE2CF7"/>
    <w:rsid w:val="00FE333C"/>
    <w:rsid w:val="00FE3530"/>
    <w:rsid w:val="00FE3C49"/>
    <w:rsid w:val="00FE3CBA"/>
    <w:rsid w:val="00FE423B"/>
    <w:rsid w:val="00FE46EC"/>
    <w:rsid w:val="00FE470E"/>
    <w:rsid w:val="00FE47FD"/>
    <w:rsid w:val="00FE4F5A"/>
    <w:rsid w:val="00FE5744"/>
    <w:rsid w:val="00FE58C2"/>
    <w:rsid w:val="00FE5F22"/>
    <w:rsid w:val="00FE656C"/>
    <w:rsid w:val="00FE6646"/>
    <w:rsid w:val="00FE669A"/>
    <w:rsid w:val="00FE6C03"/>
    <w:rsid w:val="00FE725E"/>
    <w:rsid w:val="00FE747E"/>
    <w:rsid w:val="00FE769B"/>
    <w:rsid w:val="00FE779A"/>
    <w:rsid w:val="00FE78B5"/>
    <w:rsid w:val="00FE7CF8"/>
    <w:rsid w:val="00FF02EB"/>
    <w:rsid w:val="00FF065A"/>
    <w:rsid w:val="00FF08C4"/>
    <w:rsid w:val="00FF0978"/>
    <w:rsid w:val="00FF0A76"/>
    <w:rsid w:val="00FF0E4A"/>
    <w:rsid w:val="00FF1638"/>
    <w:rsid w:val="00FF1F8D"/>
    <w:rsid w:val="00FF1FDF"/>
    <w:rsid w:val="00FF28B7"/>
    <w:rsid w:val="00FF2B0A"/>
    <w:rsid w:val="00FF2CE4"/>
    <w:rsid w:val="00FF30A4"/>
    <w:rsid w:val="00FF3336"/>
    <w:rsid w:val="00FF35C3"/>
    <w:rsid w:val="00FF3642"/>
    <w:rsid w:val="00FF3C31"/>
    <w:rsid w:val="00FF3E7B"/>
    <w:rsid w:val="00FF3FBD"/>
    <w:rsid w:val="00FF42D4"/>
    <w:rsid w:val="00FF43A1"/>
    <w:rsid w:val="00FF4428"/>
    <w:rsid w:val="00FF4442"/>
    <w:rsid w:val="00FF52C5"/>
    <w:rsid w:val="00FF592E"/>
    <w:rsid w:val="00FF5F63"/>
    <w:rsid w:val="00FF5FA1"/>
    <w:rsid w:val="00FF600B"/>
    <w:rsid w:val="00FF61BA"/>
    <w:rsid w:val="00FF6A63"/>
    <w:rsid w:val="00FF6DDC"/>
    <w:rsid w:val="00FF706D"/>
    <w:rsid w:val="00FF7500"/>
    <w:rsid w:val="00FF77C9"/>
    <w:rsid w:val="00FF78D5"/>
    <w:rsid w:val="00FF7F0A"/>
    <w:rsid w:val="0150D5EB"/>
    <w:rsid w:val="01ADD0ED"/>
    <w:rsid w:val="02A256B3"/>
    <w:rsid w:val="02D8F4E6"/>
    <w:rsid w:val="032AAF3A"/>
    <w:rsid w:val="03578F98"/>
    <w:rsid w:val="03CEC369"/>
    <w:rsid w:val="04A13B8D"/>
    <w:rsid w:val="06969A59"/>
    <w:rsid w:val="070141CF"/>
    <w:rsid w:val="075EF913"/>
    <w:rsid w:val="07A31705"/>
    <w:rsid w:val="088E6199"/>
    <w:rsid w:val="09BFFDB5"/>
    <w:rsid w:val="0B45C558"/>
    <w:rsid w:val="0B778B4B"/>
    <w:rsid w:val="0C49AF4E"/>
    <w:rsid w:val="0C7856CD"/>
    <w:rsid w:val="0C89D7BB"/>
    <w:rsid w:val="0CB2F570"/>
    <w:rsid w:val="0D6940F0"/>
    <w:rsid w:val="0D91DD69"/>
    <w:rsid w:val="0E0C1213"/>
    <w:rsid w:val="0E43ACEB"/>
    <w:rsid w:val="0EE1884D"/>
    <w:rsid w:val="0FE7FC86"/>
    <w:rsid w:val="1010A333"/>
    <w:rsid w:val="10A1D22D"/>
    <w:rsid w:val="111ED747"/>
    <w:rsid w:val="13933F1C"/>
    <w:rsid w:val="15F3A65E"/>
    <w:rsid w:val="172D4F75"/>
    <w:rsid w:val="188F2596"/>
    <w:rsid w:val="19163436"/>
    <w:rsid w:val="1B32F649"/>
    <w:rsid w:val="1B3D01EB"/>
    <w:rsid w:val="1BC71864"/>
    <w:rsid w:val="1DDD9D53"/>
    <w:rsid w:val="1F1D183B"/>
    <w:rsid w:val="1F84673B"/>
    <w:rsid w:val="1FFB6354"/>
    <w:rsid w:val="2005FCCA"/>
    <w:rsid w:val="21A996DE"/>
    <w:rsid w:val="21B8167F"/>
    <w:rsid w:val="222AD698"/>
    <w:rsid w:val="2241CD36"/>
    <w:rsid w:val="23890761"/>
    <w:rsid w:val="24198041"/>
    <w:rsid w:val="297D376A"/>
    <w:rsid w:val="29992B31"/>
    <w:rsid w:val="29C0221F"/>
    <w:rsid w:val="2A9E0E0B"/>
    <w:rsid w:val="2BAB8EE5"/>
    <w:rsid w:val="2BDFECAA"/>
    <w:rsid w:val="2DDA57C4"/>
    <w:rsid w:val="2E41A4AA"/>
    <w:rsid w:val="2FD7DB30"/>
    <w:rsid w:val="303ADF1D"/>
    <w:rsid w:val="309813D6"/>
    <w:rsid w:val="31BC638C"/>
    <w:rsid w:val="35A8A0F5"/>
    <w:rsid w:val="370AA0B8"/>
    <w:rsid w:val="379654FE"/>
    <w:rsid w:val="37B6B5BF"/>
    <w:rsid w:val="39414451"/>
    <w:rsid w:val="3943F853"/>
    <w:rsid w:val="3AED5C86"/>
    <w:rsid w:val="3B615D41"/>
    <w:rsid w:val="3FC469DA"/>
    <w:rsid w:val="403806A9"/>
    <w:rsid w:val="40442FD3"/>
    <w:rsid w:val="40B0F89E"/>
    <w:rsid w:val="4174DED9"/>
    <w:rsid w:val="419D35C5"/>
    <w:rsid w:val="429A394F"/>
    <w:rsid w:val="448815B3"/>
    <w:rsid w:val="46D69B6C"/>
    <w:rsid w:val="4750F9CA"/>
    <w:rsid w:val="477FBD3F"/>
    <w:rsid w:val="481DBC44"/>
    <w:rsid w:val="482E11D2"/>
    <w:rsid w:val="4977F272"/>
    <w:rsid w:val="4BF78B74"/>
    <w:rsid w:val="4D6459BD"/>
    <w:rsid w:val="4D992C34"/>
    <w:rsid w:val="4F782364"/>
    <w:rsid w:val="4FBF0756"/>
    <w:rsid w:val="4FD02CA5"/>
    <w:rsid w:val="50A7987D"/>
    <w:rsid w:val="52FDEE13"/>
    <w:rsid w:val="533F78A9"/>
    <w:rsid w:val="54BF706D"/>
    <w:rsid w:val="552142D3"/>
    <w:rsid w:val="56250106"/>
    <w:rsid w:val="56F88C4C"/>
    <w:rsid w:val="57AC05E0"/>
    <w:rsid w:val="5917C4E3"/>
    <w:rsid w:val="593FE608"/>
    <w:rsid w:val="5989E7F1"/>
    <w:rsid w:val="5A0B4EE8"/>
    <w:rsid w:val="5A0E860F"/>
    <w:rsid w:val="5ABB9A13"/>
    <w:rsid w:val="5B09DFE1"/>
    <w:rsid w:val="5B2780E1"/>
    <w:rsid w:val="5B66BEC9"/>
    <w:rsid w:val="5D226310"/>
    <w:rsid w:val="5E49AF6E"/>
    <w:rsid w:val="5E6272F0"/>
    <w:rsid w:val="5E7DFD59"/>
    <w:rsid w:val="5E992483"/>
    <w:rsid w:val="5FBFB424"/>
    <w:rsid w:val="62F66C4E"/>
    <w:rsid w:val="630CFEE1"/>
    <w:rsid w:val="631472AC"/>
    <w:rsid w:val="6610A61F"/>
    <w:rsid w:val="663D07FB"/>
    <w:rsid w:val="67DE5A19"/>
    <w:rsid w:val="68149CD7"/>
    <w:rsid w:val="691A3DE3"/>
    <w:rsid w:val="698CB12A"/>
    <w:rsid w:val="6A7BEC61"/>
    <w:rsid w:val="6B081391"/>
    <w:rsid w:val="6B94C313"/>
    <w:rsid w:val="6C1BD535"/>
    <w:rsid w:val="6F828BC7"/>
    <w:rsid w:val="6FFF4158"/>
    <w:rsid w:val="70BA6063"/>
    <w:rsid w:val="71173148"/>
    <w:rsid w:val="711E8EF9"/>
    <w:rsid w:val="71EE0F06"/>
    <w:rsid w:val="7258DC72"/>
    <w:rsid w:val="72C2E889"/>
    <w:rsid w:val="74E77608"/>
    <w:rsid w:val="75403A55"/>
    <w:rsid w:val="75DB11F8"/>
    <w:rsid w:val="777842A4"/>
    <w:rsid w:val="7A502D0E"/>
    <w:rsid w:val="7B5092A6"/>
    <w:rsid w:val="7B87B77D"/>
    <w:rsid w:val="7D543A4A"/>
    <w:rsid w:val="7E3261B0"/>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20CC69"/>
  <w15:chartTrackingRefBased/>
  <w15:docId w15:val="{03B9E451-D219-40D1-BE3F-DC5D49BED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ucida Sans" w:eastAsiaTheme="minorHAnsi" w:hAnsi="Lucida Sans" w:cstheme="minorBidi"/>
        <w:color w:val="000000" w:themeColor="text1"/>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8181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32DA"/>
    <w:pPr>
      <w:ind w:left="720"/>
      <w:contextualSpacing/>
    </w:pPr>
  </w:style>
  <w:style w:type="character" w:styleId="Rimandonotaapidipagina">
    <w:name w:val="footnote reference"/>
    <w:basedOn w:val="Carpredefinitoparagrafo"/>
    <w:uiPriority w:val="99"/>
    <w:semiHidden/>
    <w:unhideWhenUsed/>
    <w:rsid w:val="004450BB"/>
    <w:rPr>
      <w:shd w:val="clear" w:color="auto" w:fill="auto"/>
      <w:vertAlign w:val="superscript"/>
    </w:rPr>
  </w:style>
  <w:style w:type="paragraph" w:styleId="Testonotaapidipagina">
    <w:name w:val="footnote text"/>
    <w:basedOn w:val="Normale"/>
    <w:link w:val="TestonotaapidipaginaCarattere"/>
    <w:uiPriority w:val="99"/>
    <w:unhideWhenUsed/>
    <w:rsid w:val="004450BB"/>
    <w:pPr>
      <w:spacing w:after="0" w:line="240" w:lineRule="auto"/>
      <w:ind w:left="720" w:hanging="720"/>
      <w:jc w:val="both"/>
    </w:pPr>
    <w:rPr>
      <w:rFonts w:ascii="Times New Roman" w:hAnsi="Times New Roman" w:cs="Times New Roman"/>
      <w:color w:val="auto"/>
      <w:sz w:val="20"/>
      <w:szCs w:val="20"/>
      <w:lang w:val="en-GB"/>
    </w:rPr>
  </w:style>
  <w:style w:type="character" w:customStyle="1" w:styleId="TestonotaapidipaginaCarattere">
    <w:name w:val="Testo nota a piè di pagina Carattere"/>
    <w:basedOn w:val="Carpredefinitoparagrafo"/>
    <w:link w:val="Testonotaapidipagina"/>
    <w:uiPriority w:val="99"/>
    <w:rsid w:val="004450BB"/>
    <w:rPr>
      <w:rFonts w:ascii="Times New Roman" w:hAnsi="Times New Roman" w:cs="Times New Roman"/>
      <w:color w:val="auto"/>
      <w:sz w:val="20"/>
      <w:szCs w:val="20"/>
      <w:lang w:val="en-GB"/>
    </w:rPr>
  </w:style>
  <w:style w:type="paragraph" w:customStyle="1" w:styleId="ManualHeading2">
    <w:name w:val="Manual Heading 2"/>
    <w:basedOn w:val="Normale"/>
    <w:next w:val="Normale"/>
    <w:rsid w:val="00AF0A9D"/>
    <w:pPr>
      <w:keepNext/>
      <w:tabs>
        <w:tab w:val="left" w:pos="850"/>
      </w:tabs>
      <w:spacing w:before="120" w:after="120" w:line="240" w:lineRule="auto"/>
      <w:ind w:left="850" w:hanging="850"/>
      <w:jc w:val="both"/>
      <w:outlineLvl w:val="1"/>
    </w:pPr>
    <w:rPr>
      <w:rFonts w:ascii="Times New Roman" w:hAnsi="Times New Roman" w:cs="Times New Roman"/>
      <w:b/>
      <w:color w:val="auto"/>
      <w:sz w:val="24"/>
      <w:lang w:val="en-GB"/>
    </w:rPr>
  </w:style>
  <w:style w:type="paragraph" w:customStyle="1" w:styleId="Tiret0">
    <w:name w:val="Tiret 0"/>
    <w:basedOn w:val="Normale"/>
    <w:rsid w:val="00D055CE"/>
    <w:pPr>
      <w:numPr>
        <w:numId w:val="1"/>
      </w:numPr>
      <w:spacing w:before="120" w:after="120" w:line="240" w:lineRule="auto"/>
      <w:jc w:val="both"/>
    </w:pPr>
    <w:rPr>
      <w:rFonts w:ascii="Times New Roman" w:hAnsi="Times New Roman" w:cs="Times New Roman"/>
      <w:color w:val="auto"/>
      <w:sz w:val="24"/>
      <w:lang w:val="en-GB"/>
    </w:rPr>
  </w:style>
  <w:style w:type="paragraph" w:customStyle="1" w:styleId="Typedudocument">
    <w:name w:val="Type du document"/>
    <w:basedOn w:val="Normale"/>
    <w:next w:val="Normale"/>
    <w:rsid w:val="00FC633C"/>
    <w:pPr>
      <w:spacing w:before="360" w:after="0" w:line="240" w:lineRule="auto"/>
      <w:jc w:val="center"/>
    </w:pPr>
    <w:rPr>
      <w:rFonts w:ascii="Times New Roman" w:hAnsi="Times New Roman" w:cs="Times New Roman"/>
      <w:b/>
      <w:color w:val="auto"/>
      <w:sz w:val="24"/>
      <w:lang w:val="en-GB"/>
    </w:rPr>
  </w:style>
  <w:style w:type="paragraph" w:styleId="Intestazione">
    <w:name w:val="header"/>
    <w:basedOn w:val="Normale"/>
    <w:link w:val="IntestazioneCarattere"/>
    <w:uiPriority w:val="99"/>
    <w:unhideWhenUsed/>
    <w:rsid w:val="006A1AB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A1ABE"/>
  </w:style>
  <w:style w:type="paragraph" w:styleId="Pidipagina">
    <w:name w:val="footer"/>
    <w:basedOn w:val="Normale"/>
    <w:link w:val="PidipaginaCarattere"/>
    <w:uiPriority w:val="99"/>
    <w:unhideWhenUsed/>
    <w:rsid w:val="006A1AB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A1ABE"/>
  </w:style>
  <w:style w:type="paragraph" w:customStyle="1" w:styleId="Considrant">
    <w:name w:val="Considérant"/>
    <w:basedOn w:val="Normale"/>
    <w:rsid w:val="00ED6A3C"/>
    <w:pPr>
      <w:spacing w:before="120" w:after="120" w:line="240" w:lineRule="auto"/>
      <w:jc w:val="both"/>
    </w:pPr>
    <w:rPr>
      <w:rFonts w:ascii="Times New Roman" w:hAnsi="Times New Roman" w:cs="Times New Roman"/>
      <w:color w:val="auto"/>
      <w:sz w:val="24"/>
      <w:lang w:val="en-GB"/>
    </w:rPr>
  </w:style>
  <w:style w:type="paragraph" w:customStyle="1" w:styleId="Point0number">
    <w:name w:val="Point 0 (number)"/>
    <w:basedOn w:val="Normale"/>
    <w:rsid w:val="00926D64"/>
    <w:pPr>
      <w:numPr>
        <w:numId w:val="5"/>
      </w:numPr>
      <w:spacing w:before="120" w:after="120" w:line="240" w:lineRule="auto"/>
      <w:jc w:val="both"/>
    </w:pPr>
    <w:rPr>
      <w:rFonts w:ascii="Times New Roman" w:hAnsi="Times New Roman" w:cs="Times New Roman"/>
      <w:color w:val="auto"/>
      <w:sz w:val="24"/>
      <w:lang w:val="en-GB"/>
    </w:rPr>
  </w:style>
  <w:style w:type="paragraph" w:customStyle="1" w:styleId="Point1number">
    <w:name w:val="Point 1 (number)"/>
    <w:basedOn w:val="Normale"/>
    <w:rsid w:val="00926D64"/>
    <w:pPr>
      <w:numPr>
        <w:ilvl w:val="2"/>
        <w:numId w:val="5"/>
      </w:numPr>
      <w:spacing w:before="120" w:after="120" w:line="240" w:lineRule="auto"/>
      <w:jc w:val="both"/>
    </w:pPr>
    <w:rPr>
      <w:rFonts w:ascii="Times New Roman" w:hAnsi="Times New Roman" w:cs="Times New Roman"/>
      <w:color w:val="auto"/>
      <w:sz w:val="24"/>
      <w:lang w:val="en-GB"/>
    </w:rPr>
  </w:style>
  <w:style w:type="paragraph" w:customStyle="1" w:styleId="Point2number">
    <w:name w:val="Point 2 (number)"/>
    <w:basedOn w:val="Normale"/>
    <w:rsid w:val="00926D64"/>
    <w:pPr>
      <w:numPr>
        <w:ilvl w:val="4"/>
        <w:numId w:val="5"/>
      </w:numPr>
      <w:spacing w:before="120" w:after="120" w:line="240" w:lineRule="auto"/>
      <w:jc w:val="both"/>
    </w:pPr>
    <w:rPr>
      <w:rFonts w:ascii="Times New Roman" w:hAnsi="Times New Roman" w:cs="Times New Roman"/>
      <w:color w:val="auto"/>
      <w:sz w:val="24"/>
      <w:lang w:val="en-GB"/>
    </w:rPr>
  </w:style>
  <w:style w:type="paragraph" w:customStyle="1" w:styleId="Point3number">
    <w:name w:val="Point 3 (number)"/>
    <w:basedOn w:val="Normale"/>
    <w:rsid w:val="00926D64"/>
    <w:pPr>
      <w:numPr>
        <w:ilvl w:val="6"/>
        <w:numId w:val="5"/>
      </w:numPr>
      <w:spacing w:before="120" w:after="120" w:line="240" w:lineRule="auto"/>
      <w:jc w:val="both"/>
    </w:pPr>
    <w:rPr>
      <w:rFonts w:ascii="Times New Roman" w:hAnsi="Times New Roman" w:cs="Times New Roman"/>
      <w:color w:val="auto"/>
      <w:sz w:val="24"/>
      <w:lang w:val="en-GB"/>
    </w:rPr>
  </w:style>
  <w:style w:type="paragraph" w:customStyle="1" w:styleId="Point0letter">
    <w:name w:val="Point 0 (letter)"/>
    <w:basedOn w:val="Normale"/>
    <w:rsid w:val="00926D64"/>
    <w:pPr>
      <w:numPr>
        <w:ilvl w:val="1"/>
        <w:numId w:val="5"/>
      </w:numPr>
      <w:spacing w:before="120" w:after="120" w:line="240" w:lineRule="auto"/>
      <w:jc w:val="both"/>
    </w:pPr>
    <w:rPr>
      <w:rFonts w:ascii="Times New Roman" w:hAnsi="Times New Roman" w:cs="Times New Roman"/>
      <w:color w:val="auto"/>
      <w:sz w:val="24"/>
      <w:lang w:val="en-GB"/>
    </w:rPr>
  </w:style>
  <w:style w:type="paragraph" w:customStyle="1" w:styleId="Point1letter">
    <w:name w:val="Point 1 (letter)"/>
    <w:basedOn w:val="Normale"/>
    <w:rsid w:val="00926D64"/>
    <w:pPr>
      <w:numPr>
        <w:ilvl w:val="3"/>
        <w:numId w:val="5"/>
      </w:numPr>
      <w:spacing w:before="120" w:after="120" w:line="240" w:lineRule="auto"/>
      <w:jc w:val="both"/>
    </w:pPr>
    <w:rPr>
      <w:rFonts w:ascii="Times New Roman" w:hAnsi="Times New Roman" w:cs="Times New Roman"/>
      <w:color w:val="auto"/>
      <w:sz w:val="24"/>
      <w:lang w:val="en-GB"/>
    </w:rPr>
  </w:style>
  <w:style w:type="paragraph" w:customStyle="1" w:styleId="Point2letter">
    <w:name w:val="Point 2 (letter)"/>
    <w:basedOn w:val="Normale"/>
    <w:rsid w:val="00926D64"/>
    <w:pPr>
      <w:numPr>
        <w:ilvl w:val="5"/>
        <w:numId w:val="5"/>
      </w:numPr>
      <w:spacing w:before="120" w:after="120" w:line="240" w:lineRule="auto"/>
      <w:jc w:val="both"/>
    </w:pPr>
    <w:rPr>
      <w:rFonts w:ascii="Times New Roman" w:hAnsi="Times New Roman" w:cs="Times New Roman"/>
      <w:color w:val="auto"/>
      <w:sz w:val="24"/>
      <w:lang w:val="en-GB"/>
    </w:rPr>
  </w:style>
  <w:style w:type="paragraph" w:customStyle="1" w:styleId="Point3letter">
    <w:name w:val="Point 3 (letter)"/>
    <w:basedOn w:val="Normale"/>
    <w:rsid w:val="00926D64"/>
    <w:pPr>
      <w:numPr>
        <w:ilvl w:val="7"/>
        <w:numId w:val="5"/>
      </w:numPr>
      <w:spacing w:before="120" w:after="120" w:line="240" w:lineRule="auto"/>
      <w:jc w:val="both"/>
    </w:pPr>
    <w:rPr>
      <w:rFonts w:ascii="Times New Roman" w:hAnsi="Times New Roman" w:cs="Times New Roman"/>
      <w:color w:val="auto"/>
      <w:sz w:val="24"/>
      <w:lang w:val="en-GB"/>
    </w:rPr>
  </w:style>
  <w:style w:type="paragraph" w:customStyle="1" w:styleId="Point4letter">
    <w:name w:val="Point 4 (letter)"/>
    <w:basedOn w:val="Normale"/>
    <w:rsid w:val="00926D64"/>
    <w:pPr>
      <w:numPr>
        <w:ilvl w:val="8"/>
        <w:numId w:val="5"/>
      </w:numPr>
      <w:spacing w:before="120" w:after="120" w:line="240" w:lineRule="auto"/>
      <w:jc w:val="both"/>
    </w:pPr>
    <w:rPr>
      <w:rFonts w:ascii="Times New Roman" w:hAnsi="Times New Roman" w:cs="Times New Roman"/>
      <w:color w:val="auto"/>
      <w:sz w:val="24"/>
      <w:lang w:val="en-GB"/>
    </w:rPr>
  </w:style>
  <w:style w:type="paragraph" w:styleId="Puntoelenco2">
    <w:name w:val="List Bullet 2"/>
    <w:basedOn w:val="Normale"/>
    <w:uiPriority w:val="99"/>
    <w:semiHidden/>
    <w:unhideWhenUsed/>
    <w:rsid w:val="00BB783A"/>
    <w:pPr>
      <w:numPr>
        <w:numId w:val="6"/>
      </w:numPr>
      <w:spacing w:before="120" w:after="120" w:line="240" w:lineRule="auto"/>
      <w:contextualSpacing/>
      <w:jc w:val="both"/>
    </w:pPr>
    <w:rPr>
      <w:rFonts w:ascii="Times New Roman" w:hAnsi="Times New Roman" w:cs="Times New Roman"/>
      <w:color w:val="auto"/>
      <w:sz w:val="24"/>
      <w:lang w:val="en-GB"/>
    </w:rPr>
  </w:style>
  <w:style w:type="paragraph" w:customStyle="1" w:styleId="Titrearticle">
    <w:name w:val="Titre article"/>
    <w:basedOn w:val="Normale"/>
    <w:next w:val="Normale"/>
    <w:rsid w:val="00BB783A"/>
    <w:pPr>
      <w:keepNext/>
      <w:spacing w:before="360" w:after="120" w:line="240" w:lineRule="auto"/>
      <w:jc w:val="center"/>
    </w:pPr>
    <w:rPr>
      <w:rFonts w:ascii="Times New Roman" w:hAnsi="Times New Roman" w:cs="Times New Roman"/>
      <w:i/>
      <w:color w:val="auto"/>
      <w:sz w:val="24"/>
      <w:lang w:val="en-GB"/>
    </w:rPr>
  </w:style>
  <w:style w:type="paragraph" w:customStyle="1" w:styleId="Point2">
    <w:name w:val="Point 2"/>
    <w:basedOn w:val="Normale"/>
    <w:rsid w:val="009E5F7D"/>
    <w:pPr>
      <w:spacing w:before="120" w:after="120" w:line="240" w:lineRule="auto"/>
      <w:ind w:left="1984" w:hanging="567"/>
      <w:jc w:val="both"/>
    </w:pPr>
    <w:rPr>
      <w:rFonts w:ascii="Times New Roman" w:hAnsi="Times New Roman" w:cs="Times New Roman"/>
      <w:color w:val="auto"/>
      <w:sz w:val="24"/>
      <w:lang w:val="en-GB"/>
    </w:rPr>
  </w:style>
  <w:style w:type="paragraph" w:customStyle="1" w:styleId="NumPar1">
    <w:name w:val="NumPar 1"/>
    <w:basedOn w:val="Normale"/>
    <w:next w:val="Normale"/>
    <w:rsid w:val="009E5F7D"/>
    <w:pPr>
      <w:numPr>
        <w:numId w:val="7"/>
      </w:numPr>
      <w:spacing w:before="120" w:after="120" w:line="240" w:lineRule="auto"/>
      <w:jc w:val="both"/>
    </w:pPr>
    <w:rPr>
      <w:rFonts w:ascii="Times New Roman" w:hAnsi="Times New Roman" w:cs="Times New Roman"/>
      <w:color w:val="auto"/>
      <w:sz w:val="24"/>
      <w:lang w:val="en-GB"/>
    </w:rPr>
  </w:style>
  <w:style w:type="paragraph" w:customStyle="1" w:styleId="NumPar2">
    <w:name w:val="NumPar 2"/>
    <w:basedOn w:val="Normale"/>
    <w:next w:val="Normale"/>
    <w:rsid w:val="009E5F7D"/>
    <w:pPr>
      <w:numPr>
        <w:ilvl w:val="1"/>
        <w:numId w:val="7"/>
      </w:numPr>
      <w:spacing w:before="120" w:after="120" w:line="240" w:lineRule="auto"/>
      <w:jc w:val="both"/>
    </w:pPr>
    <w:rPr>
      <w:rFonts w:ascii="Times New Roman" w:hAnsi="Times New Roman" w:cs="Times New Roman"/>
      <w:color w:val="auto"/>
      <w:sz w:val="24"/>
      <w:lang w:val="en-GB"/>
    </w:rPr>
  </w:style>
  <w:style w:type="paragraph" w:customStyle="1" w:styleId="NumPar3">
    <w:name w:val="NumPar 3"/>
    <w:basedOn w:val="Normale"/>
    <w:next w:val="Normale"/>
    <w:rsid w:val="009E5F7D"/>
    <w:pPr>
      <w:numPr>
        <w:ilvl w:val="2"/>
        <w:numId w:val="7"/>
      </w:numPr>
      <w:spacing w:before="120" w:after="120" w:line="240" w:lineRule="auto"/>
      <w:jc w:val="both"/>
    </w:pPr>
    <w:rPr>
      <w:rFonts w:ascii="Times New Roman" w:hAnsi="Times New Roman" w:cs="Times New Roman"/>
      <w:color w:val="auto"/>
      <w:sz w:val="24"/>
      <w:lang w:val="en-GB"/>
    </w:rPr>
  </w:style>
  <w:style w:type="paragraph" w:customStyle="1" w:styleId="NumPar4">
    <w:name w:val="NumPar 4"/>
    <w:basedOn w:val="Normale"/>
    <w:next w:val="Normale"/>
    <w:rsid w:val="009E5F7D"/>
    <w:pPr>
      <w:numPr>
        <w:ilvl w:val="3"/>
        <w:numId w:val="7"/>
      </w:numPr>
      <w:spacing w:before="120" w:after="120" w:line="240" w:lineRule="auto"/>
      <w:jc w:val="both"/>
    </w:pPr>
    <w:rPr>
      <w:rFonts w:ascii="Times New Roman" w:hAnsi="Times New Roman" w:cs="Times New Roman"/>
      <w:color w:val="auto"/>
      <w:sz w:val="24"/>
      <w:lang w:val="en-GB"/>
    </w:rPr>
  </w:style>
  <w:style w:type="paragraph" w:customStyle="1" w:styleId="NumPar5">
    <w:name w:val="NumPar 5"/>
    <w:basedOn w:val="Normale"/>
    <w:next w:val="Normale"/>
    <w:rsid w:val="009E5F7D"/>
    <w:pPr>
      <w:numPr>
        <w:ilvl w:val="4"/>
        <w:numId w:val="7"/>
      </w:numPr>
      <w:spacing w:before="120" w:after="120" w:line="240" w:lineRule="auto"/>
      <w:jc w:val="both"/>
    </w:pPr>
    <w:rPr>
      <w:rFonts w:ascii="Times New Roman" w:hAnsi="Times New Roman" w:cs="Times New Roman"/>
      <w:color w:val="auto"/>
      <w:sz w:val="24"/>
      <w:lang w:val="en-GB"/>
    </w:rPr>
  </w:style>
  <w:style w:type="paragraph" w:customStyle="1" w:styleId="NumPar6">
    <w:name w:val="NumPar 6"/>
    <w:basedOn w:val="Normale"/>
    <w:next w:val="Normale"/>
    <w:rsid w:val="009E5F7D"/>
    <w:pPr>
      <w:numPr>
        <w:ilvl w:val="5"/>
        <w:numId w:val="7"/>
      </w:numPr>
      <w:spacing w:before="120" w:after="120" w:line="240" w:lineRule="auto"/>
      <w:jc w:val="both"/>
    </w:pPr>
    <w:rPr>
      <w:rFonts w:ascii="Times New Roman" w:hAnsi="Times New Roman" w:cs="Times New Roman"/>
      <w:color w:val="auto"/>
      <w:sz w:val="24"/>
      <w:lang w:val="en-GB"/>
    </w:rPr>
  </w:style>
  <w:style w:type="paragraph" w:customStyle="1" w:styleId="NumPar7">
    <w:name w:val="NumPar 7"/>
    <w:basedOn w:val="Normale"/>
    <w:next w:val="Normale"/>
    <w:rsid w:val="009E5F7D"/>
    <w:pPr>
      <w:numPr>
        <w:ilvl w:val="6"/>
        <w:numId w:val="7"/>
      </w:numPr>
      <w:spacing w:before="120" w:after="120" w:line="240" w:lineRule="auto"/>
      <w:jc w:val="both"/>
    </w:pPr>
    <w:rPr>
      <w:rFonts w:ascii="Times New Roman" w:hAnsi="Times New Roman" w:cs="Times New Roman"/>
      <w:color w:val="auto"/>
      <w:sz w:val="24"/>
      <w:lang w:val="en-GB"/>
    </w:rPr>
  </w:style>
  <w:style w:type="paragraph" w:styleId="Testonormale">
    <w:name w:val="Plain Text"/>
    <w:basedOn w:val="Normale"/>
    <w:link w:val="TestonormaleCarattere"/>
    <w:uiPriority w:val="99"/>
    <w:semiHidden/>
    <w:unhideWhenUsed/>
    <w:rsid w:val="00DD7558"/>
    <w:pPr>
      <w:spacing w:after="0" w:line="240" w:lineRule="auto"/>
    </w:pPr>
    <w:rPr>
      <w:rFonts w:ascii="Calibri" w:hAnsi="Calibri" w:cs="Calibri"/>
      <w:color w:val="auto"/>
    </w:rPr>
  </w:style>
  <w:style w:type="character" w:customStyle="1" w:styleId="TestonormaleCarattere">
    <w:name w:val="Testo normale Carattere"/>
    <w:basedOn w:val="Carpredefinitoparagrafo"/>
    <w:link w:val="Testonormale"/>
    <w:uiPriority w:val="99"/>
    <w:semiHidden/>
    <w:rsid w:val="00DD7558"/>
    <w:rPr>
      <w:rFonts w:ascii="Calibri" w:hAnsi="Calibri" w:cs="Calibri"/>
      <w:color w:val="auto"/>
    </w:rPr>
  </w:style>
  <w:style w:type="table" w:styleId="Grigliatabella">
    <w:name w:val="Table Grid"/>
    <w:basedOn w:val="Tabellanormale"/>
    <w:uiPriority w:val="39"/>
    <w:rsid w:val="002C35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7A2E"/>
    <w:pPr>
      <w:spacing w:after="0" w:line="240" w:lineRule="auto"/>
    </w:pPr>
  </w:style>
  <w:style w:type="character" w:styleId="Rimandocommento">
    <w:name w:val="annotation reference"/>
    <w:basedOn w:val="Carpredefinitoparagrafo"/>
    <w:uiPriority w:val="99"/>
    <w:semiHidden/>
    <w:unhideWhenUsed/>
    <w:rsid w:val="00D61E29"/>
    <w:rPr>
      <w:sz w:val="16"/>
      <w:szCs w:val="16"/>
    </w:rPr>
  </w:style>
  <w:style w:type="paragraph" w:styleId="Testocommento">
    <w:name w:val="annotation text"/>
    <w:basedOn w:val="Normale"/>
    <w:link w:val="TestocommentoCarattere"/>
    <w:uiPriority w:val="99"/>
    <w:unhideWhenUsed/>
    <w:rsid w:val="00D61E29"/>
    <w:pPr>
      <w:spacing w:line="240" w:lineRule="auto"/>
    </w:pPr>
    <w:rPr>
      <w:sz w:val="20"/>
      <w:szCs w:val="20"/>
    </w:rPr>
  </w:style>
  <w:style w:type="character" w:customStyle="1" w:styleId="TestocommentoCarattere">
    <w:name w:val="Testo commento Carattere"/>
    <w:basedOn w:val="Carpredefinitoparagrafo"/>
    <w:link w:val="Testocommento"/>
    <w:uiPriority w:val="99"/>
    <w:rsid w:val="00D61E29"/>
    <w:rPr>
      <w:sz w:val="20"/>
      <w:szCs w:val="20"/>
    </w:rPr>
  </w:style>
  <w:style w:type="paragraph" w:styleId="Soggettocommento">
    <w:name w:val="annotation subject"/>
    <w:basedOn w:val="Testocommento"/>
    <w:next w:val="Testocommento"/>
    <w:link w:val="SoggettocommentoCarattere"/>
    <w:uiPriority w:val="99"/>
    <w:semiHidden/>
    <w:unhideWhenUsed/>
    <w:rsid w:val="00D61E29"/>
    <w:rPr>
      <w:b/>
      <w:bCs/>
    </w:rPr>
  </w:style>
  <w:style w:type="character" w:customStyle="1" w:styleId="SoggettocommentoCarattere">
    <w:name w:val="Soggetto commento Carattere"/>
    <w:basedOn w:val="TestocommentoCarattere"/>
    <w:link w:val="Soggettocommento"/>
    <w:uiPriority w:val="99"/>
    <w:semiHidden/>
    <w:rsid w:val="00D61E29"/>
    <w:rPr>
      <w:b/>
      <w:bCs/>
      <w:sz w:val="20"/>
      <w:szCs w:val="20"/>
    </w:rPr>
  </w:style>
  <w:style w:type="character" w:styleId="Collegamentoipertestuale">
    <w:name w:val="Hyperlink"/>
    <w:basedOn w:val="Carpredefinitoparagrafo"/>
    <w:uiPriority w:val="99"/>
    <w:unhideWhenUsed/>
    <w:rsid w:val="007C4678"/>
    <w:rPr>
      <w:color w:val="0563C1" w:themeColor="hyperlink"/>
      <w:u w:val="single"/>
    </w:rPr>
  </w:style>
  <w:style w:type="character" w:customStyle="1" w:styleId="Menzionenonrisolta1">
    <w:name w:val="Menzione non risolta1"/>
    <w:basedOn w:val="Carpredefinitoparagrafo"/>
    <w:uiPriority w:val="99"/>
    <w:semiHidden/>
    <w:unhideWhenUsed/>
    <w:rsid w:val="007C4678"/>
    <w:rPr>
      <w:color w:val="605E5C"/>
      <w:shd w:val="clear" w:color="auto" w:fill="E1DFDD"/>
    </w:rPr>
  </w:style>
  <w:style w:type="character" w:styleId="Collegamentovisitato">
    <w:name w:val="FollowedHyperlink"/>
    <w:basedOn w:val="Carpredefinitoparagrafo"/>
    <w:uiPriority w:val="99"/>
    <w:semiHidden/>
    <w:unhideWhenUsed/>
    <w:rsid w:val="00685852"/>
    <w:rPr>
      <w:color w:val="954F72" w:themeColor="followedHyperlink"/>
      <w:u w:val="single"/>
    </w:rPr>
  </w:style>
  <w:style w:type="paragraph" w:styleId="NormaleWeb">
    <w:name w:val="Normal (Web)"/>
    <w:basedOn w:val="Normale"/>
    <w:uiPriority w:val="99"/>
    <w:unhideWhenUsed/>
    <w:rsid w:val="00DA63AF"/>
    <w:rPr>
      <w:rFonts w:ascii="Times New Roman" w:hAnsi="Times New Roman" w:cs="Times New Roman"/>
      <w:sz w:val="24"/>
      <w:szCs w:val="24"/>
    </w:rPr>
  </w:style>
  <w:style w:type="table" w:customStyle="1" w:styleId="Grigliatabella1">
    <w:name w:val="Griglia tabella1"/>
    <w:basedOn w:val="Tabellanormale"/>
    <w:next w:val="Grigliatabella"/>
    <w:uiPriority w:val="39"/>
    <w:rsid w:val="00F5484E"/>
    <w:pPr>
      <w:spacing w:after="0" w:line="240" w:lineRule="auto"/>
    </w:pPr>
    <w:rPr>
      <w:rFonts w:asciiTheme="minorHAnsi" w:hAnsiTheme="minorHAns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Carpredefinitoparagrafo"/>
    <w:rsid w:val="004D35A6"/>
  </w:style>
  <w:style w:type="paragraph" w:customStyle="1" w:styleId="Default">
    <w:name w:val="Default"/>
    <w:rsid w:val="00F71A3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Grigliatabella2">
    <w:name w:val="Griglia tabella2"/>
    <w:basedOn w:val="Tabellanormale"/>
    <w:next w:val="Grigliatabella"/>
    <w:uiPriority w:val="39"/>
    <w:rsid w:val="002C3F68"/>
    <w:pPr>
      <w:spacing w:after="0" w:line="240" w:lineRule="auto"/>
    </w:pPr>
    <w:rPr>
      <w:rFonts w:ascii="Lucida Sans Unicode" w:hAnsi="Lucida Sans Unicode"/>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2B2A6D"/>
    <w:rPr>
      <w:b/>
      <w:bCs/>
    </w:rPr>
  </w:style>
  <w:style w:type="paragraph" w:customStyle="1" w:styleId="CM1">
    <w:name w:val="CM1"/>
    <w:basedOn w:val="Default"/>
    <w:next w:val="Default"/>
    <w:uiPriority w:val="99"/>
    <w:rsid w:val="00D3364F"/>
    <w:rPr>
      <w:rFonts w:ascii="EUAlbertina" w:hAnsi="EUAlbertina" w:cstheme="minorBidi"/>
      <w:color w:val="000000" w:themeColor="text1"/>
    </w:rPr>
  </w:style>
  <w:style w:type="paragraph" w:customStyle="1" w:styleId="CM3">
    <w:name w:val="CM3"/>
    <w:basedOn w:val="Default"/>
    <w:next w:val="Default"/>
    <w:uiPriority w:val="99"/>
    <w:rsid w:val="00D3364F"/>
    <w:rPr>
      <w:rFonts w:ascii="EUAlbertina" w:hAnsi="EUAlbertina" w:cstheme="minorBidi"/>
      <w:color w:val="000000" w:themeColor="text1"/>
    </w:rPr>
  </w:style>
  <w:style w:type="paragraph" w:customStyle="1" w:styleId="CM4">
    <w:name w:val="CM4"/>
    <w:basedOn w:val="Default"/>
    <w:next w:val="Default"/>
    <w:uiPriority w:val="99"/>
    <w:rsid w:val="00D3364F"/>
    <w:rPr>
      <w:rFonts w:ascii="EUAlbertina" w:hAnsi="EUAlbertina" w:cstheme="minorBidi"/>
      <w:color w:val="000000" w:themeColor="text1"/>
    </w:rPr>
  </w:style>
  <w:style w:type="character" w:customStyle="1" w:styleId="ListParagraphChar">
    <w:name w:val="List Paragraph Char"/>
    <w:aliases w:val="PRI Bullets Char"/>
    <w:basedOn w:val="Carpredefinitoparagrafo"/>
    <w:link w:val="Paragrafoelenco1"/>
    <w:uiPriority w:val="34"/>
    <w:locked/>
    <w:rsid w:val="00442DFE"/>
  </w:style>
  <w:style w:type="paragraph" w:customStyle="1" w:styleId="Paragrafoelenco1">
    <w:name w:val="Paragrafo elenco1"/>
    <w:aliases w:val="PRI Bullets"/>
    <w:basedOn w:val="Normale"/>
    <w:link w:val="ListParagraphChar"/>
    <w:uiPriority w:val="34"/>
    <w:rsid w:val="00442DFE"/>
    <w:pPr>
      <w:spacing w:after="0" w:line="240" w:lineRule="auto"/>
      <w:ind w:left="720"/>
      <w:contextualSpacing/>
    </w:pPr>
  </w:style>
  <w:style w:type="character" w:customStyle="1" w:styleId="contentpasted11">
    <w:name w:val="contentpasted11"/>
    <w:basedOn w:val="Carpredefinitoparagrafo"/>
    <w:rsid w:val="00442DFE"/>
  </w:style>
  <w:style w:type="paragraph" w:styleId="PreformattatoHTML">
    <w:name w:val="HTML Preformatted"/>
    <w:basedOn w:val="Normale"/>
    <w:link w:val="PreformattatoHTMLCarattere"/>
    <w:uiPriority w:val="99"/>
    <w:semiHidden/>
    <w:unhideWhenUsed/>
    <w:rsid w:val="00C70811"/>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C70811"/>
    <w:rPr>
      <w:rFonts w:ascii="Consolas" w:hAnsi="Consolas"/>
      <w:sz w:val="20"/>
      <w:szCs w:val="20"/>
    </w:rPr>
  </w:style>
  <w:style w:type="paragraph" w:customStyle="1" w:styleId="pf0">
    <w:name w:val="pf0"/>
    <w:basedOn w:val="Normale"/>
    <w:rsid w:val="004D7CA3"/>
    <w:pPr>
      <w:spacing w:before="100" w:beforeAutospacing="1" w:after="100" w:afterAutospacing="1" w:line="240" w:lineRule="auto"/>
    </w:pPr>
    <w:rPr>
      <w:rFonts w:ascii="Times New Roman" w:eastAsia="Times New Roman" w:hAnsi="Times New Roman" w:cs="Times New Roman"/>
      <w:color w:val="auto"/>
      <w:sz w:val="24"/>
      <w:szCs w:val="24"/>
      <w:lang w:eastAsia="it-IT"/>
    </w:rPr>
  </w:style>
  <w:style w:type="character" w:customStyle="1" w:styleId="cf01">
    <w:name w:val="cf01"/>
    <w:basedOn w:val="Carpredefinitoparagrafo"/>
    <w:rsid w:val="004D7CA3"/>
    <w:rPr>
      <w:rFonts w:ascii="Segoe UI" w:hAnsi="Segoe UI" w:cs="Segoe UI" w:hint="default"/>
      <w:sz w:val="18"/>
      <w:szCs w:val="18"/>
    </w:rPr>
  </w:style>
  <w:style w:type="character" w:customStyle="1" w:styleId="cf11">
    <w:name w:val="cf11"/>
    <w:basedOn w:val="Carpredefinitoparagrafo"/>
    <w:rsid w:val="002D26FA"/>
    <w:rPr>
      <w:rFonts w:ascii="Segoe UI" w:hAnsi="Segoe UI" w:cs="Segoe UI" w:hint="default"/>
      <w:sz w:val="18"/>
      <w:szCs w:val="18"/>
    </w:rPr>
  </w:style>
  <w:style w:type="character" w:styleId="Menzionenonrisolta">
    <w:name w:val="Unresolved Mention"/>
    <w:basedOn w:val="Carpredefinitoparagrafo"/>
    <w:uiPriority w:val="99"/>
    <w:semiHidden/>
    <w:unhideWhenUsed/>
    <w:rsid w:val="00C350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91215">
      <w:bodyDiv w:val="1"/>
      <w:marLeft w:val="0"/>
      <w:marRight w:val="0"/>
      <w:marTop w:val="0"/>
      <w:marBottom w:val="0"/>
      <w:divBdr>
        <w:top w:val="none" w:sz="0" w:space="0" w:color="auto"/>
        <w:left w:val="none" w:sz="0" w:space="0" w:color="auto"/>
        <w:bottom w:val="none" w:sz="0" w:space="0" w:color="auto"/>
        <w:right w:val="none" w:sz="0" w:space="0" w:color="auto"/>
      </w:divBdr>
    </w:div>
    <w:div w:id="60712862">
      <w:bodyDiv w:val="1"/>
      <w:marLeft w:val="0"/>
      <w:marRight w:val="0"/>
      <w:marTop w:val="0"/>
      <w:marBottom w:val="0"/>
      <w:divBdr>
        <w:top w:val="none" w:sz="0" w:space="0" w:color="auto"/>
        <w:left w:val="none" w:sz="0" w:space="0" w:color="auto"/>
        <w:bottom w:val="none" w:sz="0" w:space="0" w:color="auto"/>
        <w:right w:val="none" w:sz="0" w:space="0" w:color="auto"/>
      </w:divBdr>
    </w:div>
    <w:div w:id="148133058">
      <w:bodyDiv w:val="1"/>
      <w:marLeft w:val="0"/>
      <w:marRight w:val="0"/>
      <w:marTop w:val="0"/>
      <w:marBottom w:val="0"/>
      <w:divBdr>
        <w:top w:val="none" w:sz="0" w:space="0" w:color="auto"/>
        <w:left w:val="none" w:sz="0" w:space="0" w:color="auto"/>
        <w:bottom w:val="none" w:sz="0" w:space="0" w:color="auto"/>
        <w:right w:val="none" w:sz="0" w:space="0" w:color="auto"/>
      </w:divBdr>
    </w:div>
    <w:div w:id="291399309">
      <w:bodyDiv w:val="1"/>
      <w:marLeft w:val="0"/>
      <w:marRight w:val="0"/>
      <w:marTop w:val="0"/>
      <w:marBottom w:val="0"/>
      <w:divBdr>
        <w:top w:val="none" w:sz="0" w:space="0" w:color="auto"/>
        <w:left w:val="none" w:sz="0" w:space="0" w:color="auto"/>
        <w:bottom w:val="none" w:sz="0" w:space="0" w:color="auto"/>
        <w:right w:val="none" w:sz="0" w:space="0" w:color="auto"/>
      </w:divBdr>
    </w:div>
    <w:div w:id="380903352">
      <w:bodyDiv w:val="1"/>
      <w:marLeft w:val="0"/>
      <w:marRight w:val="0"/>
      <w:marTop w:val="0"/>
      <w:marBottom w:val="0"/>
      <w:divBdr>
        <w:top w:val="none" w:sz="0" w:space="0" w:color="auto"/>
        <w:left w:val="none" w:sz="0" w:space="0" w:color="auto"/>
        <w:bottom w:val="none" w:sz="0" w:space="0" w:color="auto"/>
        <w:right w:val="none" w:sz="0" w:space="0" w:color="auto"/>
      </w:divBdr>
    </w:div>
    <w:div w:id="581372336">
      <w:bodyDiv w:val="1"/>
      <w:marLeft w:val="0"/>
      <w:marRight w:val="0"/>
      <w:marTop w:val="0"/>
      <w:marBottom w:val="0"/>
      <w:divBdr>
        <w:top w:val="none" w:sz="0" w:space="0" w:color="auto"/>
        <w:left w:val="none" w:sz="0" w:space="0" w:color="auto"/>
        <w:bottom w:val="none" w:sz="0" w:space="0" w:color="auto"/>
        <w:right w:val="none" w:sz="0" w:space="0" w:color="auto"/>
      </w:divBdr>
    </w:div>
    <w:div w:id="650134934">
      <w:bodyDiv w:val="1"/>
      <w:marLeft w:val="0"/>
      <w:marRight w:val="0"/>
      <w:marTop w:val="0"/>
      <w:marBottom w:val="0"/>
      <w:divBdr>
        <w:top w:val="none" w:sz="0" w:space="0" w:color="auto"/>
        <w:left w:val="none" w:sz="0" w:space="0" w:color="auto"/>
        <w:bottom w:val="none" w:sz="0" w:space="0" w:color="auto"/>
        <w:right w:val="none" w:sz="0" w:space="0" w:color="auto"/>
      </w:divBdr>
    </w:div>
    <w:div w:id="731540163">
      <w:bodyDiv w:val="1"/>
      <w:marLeft w:val="0"/>
      <w:marRight w:val="0"/>
      <w:marTop w:val="0"/>
      <w:marBottom w:val="0"/>
      <w:divBdr>
        <w:top w:val="none" w:sz="0" w:space="0" w:color="auto"/>
        <w:left w:val="none" w:sz="0" w:space="0" w:color="auto"/>
        <w:bottom w:val="none" w:sz="0" w:space="0" w:color="auto"/>
        <w:right w:val="none" w:sz="0" w:space="0" w:color="auto"/>
      </w:divBdr>
    </w:div>
    <w:div w:id="847792166">
      <w:bodyDiv w:val="1"/>
      <w:marLeft w:val="0"/>
      <w:marRight w:val="0"/>
      <w:marTop w:val="0"/>
      <w:marBottom w:val="0"/>
      <w:divBdr>
        <w:top w:val="none" w:sz="0" w:space="0" w:color="auto"/>
        <w:left w:val="none" w:sz="0" w:space="0" w:color="auto"/>
        <w:bottom w:val="none" w:sz="0" w:space="0" w:color="auto"/>
        <w:right w:val="none" w:sz="0" w:space="0" w:color="auto"/>
      </w:divBdr>
    </w:div>
    <w:div w:id="903611260">
      <w:bodyDiv w:val="1"/>
      <w:marLeft w:val="0"/>
      <w:marRight w:val="0"/>
      <w:marTop w:val="0"/>
      <w:marBottom w:val="0"/>
      <w:divBdr>
        <w:top w:val="none" w:sz="0" w:space="0" w:color="auto"/>
        <w:left w:val="none" w:sz="0" w:space="0" w:color="auto"/>
        <w:bottom w:val="none" w:sz="0" w:space="0" w:color="auto"/>
        <w:right w:val="none" w:sz="0" w:space="0" w:color="auto"/>
      </w:divBdr>
    </w:div>
    <w:div w:id="1002203341">
      <w:bodyDiv w:val="1"/>
      <w:marLeft w:val="0"/>
      <w:marRight w:val="0"/>
      <w:marTop w:val="0"/>
      <w:marBottom w:val="0"/>
      <w:divBdr>
        <w:top w:val="none" w:sz="0" w:space="0" w:color="auto"/>
        <w:left w:val="none" w:sz="0" w:space="0" w:color="auto"/>
        <w:bottom w:val="none" w:sz="0" w:space="0" w:color="auto"/>
        <w:right w:val="none" w:sz="0" w:space="0" w:color="auto"/>
      </w:divBdr>
    </w:div>
    <w:div w:id="1121537272">
      <w:bodyDiv w:val="1"/>
      <w:marLeft w:val="0"/>
      <w:marRight w:val="0"/>
      <w:marTop w:val="0"/>
      <w:marBottom w:val="0"/>
      <w:divBdr>
        <w:top w:val="none" w:sz="0" w:space="0" w:color="auto"/>
        <w:left w:val="none" w:sz="0" w:space="0" w:color="auto"/>
        <w:bottom w:val="none" w:sz="0" w:space="0" w:color="auto"/>
        <w:right w:val="none" w:sz="0" w:space="0" w:color="auto"/>
      </w:divBdr>
      <w:divsChild>
        <w:div w:id="47458815">
          <w:marLeft w:val="1166"/>
          <w:marRight w:val="0"/>
          <w:marTop w:val="82"/>
          <w:marBottom w:val="0"/>
          <w:divBdr>
            <w:top w:val="none" w:sz="0" w:space="0" w:color="auto"/>
            <w:left w:val="none" w:sz="0" w:space="0" w:color="auto"/>
            <w:bottom w:val="none" w:sz="0" w:space="0" w:color="auto"/>
            <w:right w:val="none" w:sz="0" w:space="0" w:color="auto"/>
          </w:divBdr>
        </w:div>
        <w:div w:id="692416792">
          <w:marLeft w:val="1166"/>
          <w:marRight w:val="0"/>
          <w:marTop w:val="82"/>
          <w:marBottom w:val="0"/>
          <w:divBdr>
            <w:top w:val="none" w:sz="0" w:space="0" w:color="auto"/>
            <w:left w:val="none" w:sz="0" w:space="0" w:color="auto"/>
            <w:bottom w:val="none" w:sz="0" w:space="0" w:color="auto"/>
            <w:right w:val="none" w:sz="0" w:space="0" w:color="auto"/>
          </w:divBdr>
        </w:div>
        <w:div w:id="727264352">
          <w:marLeft w:val="547"/>
          <w:marRight w:val="0"/>
          <w:marTop w:val="86"/>
          <w:marBottom w:val="0"/>
          <w:divBdr>
            <w:top w:val="none" w:sz="0" w:space="0" w:color="auto"/>
            <w:left w:val="none" w:sz="0" w:space="0" w:color="auto"/>
            <w:bottom w:val="none" w:sz="0" w:space="0" w:color="auto"/>
            <w:right w:val="none" w:sz="0" w:space="0" w:color="auto"/>
          </w:divBdr>
        </w:div>
        <w:div w:id="1224482801">
          <w:marLeft w:val="1166"/>
          <w:marRight w:val="0"/>
          <w:marTop w:val="82"/>
          <w:marBottom w:val="0"/>
          <w:divBdr>
            <w:top w:val="none" w:sz="0" w:space="0" w:color="auto"/>
            <w:left w:val="none" w:sz="0" w:space="0" w:color="auto"/>
            <w:bottom w:val="none" w:sz="0" w:space="0" w:color="auto"/>
            <w:right w:val="none" w:sz="0" w:space="0" w:color="auto"/>
          </w:divBdr>
        </w:div>
      </w:divsChild>
    </w:div>
    <w:div w:id="1148592698">
      <w:bodyDiv w:val="1"/>
      <w:marLeft w:val="0"/>
      <w:marRight w:val="0"/>
      <w:marTop w:val="0"/>
      <w:marBottom w:val="0"/>
      <w:divBdr>
        <w:top w:val="none" w:sz="0" w:space="0" w:color="auto"/>
        <w:left w:val="none" w:sz="0" w:space="0" w:color="auto"/>
        <w:bottom w:val="none" w:sz="0" w:space="0" w:color="auto"/>
        <w:right w:val="none" w:sz="0" w:space="0" w:color="auto"/>
      </w:divBdr>
    </w:div>
    <w:div w:id="1389382676">
      <w:bodyDiv w:val="1"/>
      <w:marLeft w:val="0"/>
      <w:marRight w:val="0"/>
      <w:marTop w:val="0"/>
      <w:marBottom w:val="0"/>
      <w:divBdr>
        <w:top w:val="none" w:sz="0" w:space="0" w:color="auto"/>
        <w:left w:val="none" w:sz="0" w:space="0" w:color="auto"/>
        <w:bottom w:val="none" w:sz="0" w:space="0" w:color="auto"/>
        <w:right w:val="none" w:sz="0" w:space="0" w:color="auto"/>
      </w:divBdr>
    </w:div>
    <w:div w:id="1529297756">
      <w:bodyDiv w:val="1"/>
      <w:marLeft w:val="0"/>
      <w:marRight w:val="0"/>
      <w:marTop w:val="0"/>
      <w:marBottom w:val="0"/>
      <w:divBdr>
        <w:top w:val="none" w:sz="0" w:space="0" w:color="auto"/>
        <w:left w:val="none" w:sz="0" w:space="0" w:color="auto"/>
        <w:bottom w:val="none" w:sz="0" w:space="0" w:color="auto"/>
        <w:right w:val="none" w:sz="0" w:space="0" w:color="auto"/>
      </w:divBdr>
      <w:divsChild>
        <w:div w:id="281035516">
          <w:marLeft w:val="216"/>
          <w:marRight w:val="0"/>
          <w:marTop w:val="0"/>
          <w:marBottom w:val="0"/>
          <w:divBdr>
            <w:top w:val="none" w:sz="0" w:space="0" w:color="auto"/>
            <w:left w:val="none" w:sz="0" w:space="0" w:color="auto"/>
            <w:bottom w:val="none" w:sz="0" w:space="0" w:color="auto"/>
            <w:right w:val="none" w:sz="0" w:space="0" w:color="auto"/>
          </w:divBdr>
        </w:div>
      </w:divsChild>
    </w:div>
    <w:div w:id="1597983304">
      <w:bodyDiv w:val="1"/>
      <w:marLeft w:val="0"/>
      <w:marRight w:val="0"/>
      <w:marTop w:val="0"/>
      <w:marBottom w:val="0"/>
      <w:divBdr>
        <w:top w:val="none" w:sz="0" w:space="0" w:color="auto"/>
        <w:left w:val="none" w:sz="0" w:space="0" w:color="auto"/>
        <w:bottom w:val="none" w:sz="0" w:space="0" w:color="auto"/>
        <w:right w:val="none" w:sz="0" w:space="0" w:color="auto"/>
      </w:divBdr>
    </w:div>
    <w:div w:id="1678725868">
      <w:bodyDiv w:val="1"/>
      <w:marLeft w:val="0"/>
      <w:marRight w:val="0"/>
      <w:marTop w:val="0"/>
      <w:marBottom w:val="0"/>
      <w:divBdr>
        <w:top w:val="none" w:sz="0" w:space="0" w:color="auto"/>
        <w:left w:val="none" w:sz="0" w:space="0" w:color="auto"/>
        <w:bottom w:val="none" w:sz="0" w:space="0" w:color="auto"/>
        <w:right w:val="none" w:sz="0" w:space="0" w:color="auto"/>
      </w:divBdr>
    </w:div>
    <w:div w:id="1697728275">
      <w:bodyDiv w:val="1"/>
      <w:marLeft w:val="0"/>
      <w:marRight w:val="0"/>
      <w:marTop w:val="0"/>
      <w:marBottom w:val="0"/>
      <w:divBdr>
        <w:top w:val="none" w:sz="0" w:space="0" w:color="auto"/>
        <w:left w:val="none" w:sz="0" w:space="0" w:color="auto"/>
        <w:bottom w:val="none" w:sz="0" w:space="0" w:color="auto"/>
        <w:right w:val="none" w:sz="0" w:space="0" w:color="auto"/>
      </w:divBdr>
      <w:divsChild>
        <w:div w:id="1919317266">
          <w:marLeft w:val="0"/>
          <w:marRight w:val="0"/>
          <w:marTop w:val="0"/>
          <w:marBottom w:val="0"/>
          <w:divBdr>
            <w:top w:val="none" w:sz="0" w:space="0" w:color="auto"/>
            <w:left w:val="none" w:sz="0" w:space="0" w:color="auto"/>
            <w:bottom w:val="none" w:sz="0" w:space="0" w:color="auto"/>
            <w:right w:val="none" w:sz="0" w:space="0" w:color="auto"/>
          </w:divBdr>
        </w:div>
      </w:divsChild>
    </w:div>
    <w:div w:id="1772822869">
      <w:bodyDiv w:val="1"/>
      <w:marLeft w:val="0"/>
      <w:marRight w:val="0"/>
      <w:marTop w:val="0"/>
      <w:marBottom w:val="0"/>
      <w:divBdr>
        <w:top w:val="none" w:sz="0" w:space="0" w:color="auto"/>
        <w:left w:val="none" w:sz="0" w:space="0" w:color="auto"/>
        <w:bottom w:val="none" w:sz="0" w:space="0" w:color="auto"/>
        <w:right w:val="none" w:sz="0" w:space="0" w:color="auto"/>
      </w:divBdr>
    </w:div>
    <w:div w:id="1772895016">
      <w:bodyDiv w:val="1"/>
      <w:marLeft w:val="0"/>
      <w:marRight w:val="0"/>
      <w:marTop w:val="0"/>
      <w:marBottom w:val="0"/>
      <w:divBdr>
        <w:top w:val="none" w:sz="0" w:space="0" w:color="auto"/>
        <w:left w:val="none" w:sz="0" w:space="0" w:color="auto"/>
        <w:bottom w:val="none" w:sz="0" w:space="0" w:color="auto"/>
        <w:right w:val="none" w:sz="0" w:space="0" w:color="auto"/>
      </w:divBdr>
      <w:divsChild>
        <w:div w:id="513307575">
          <w:marLeft w:val="216"/>
          <w:marRight w:val="0"/>
          <w:marTop w:val="0"/>
          <w:marBottom w:val="0"/>
          <w:divBdr>
            <w:top w:val="none" w:sz="0" w:space="0" w:color="auto"/>
            <w:left w:val="none" w:sz="0" w:space="0" w:color="auto"/>
            <w:bottom w:val="none" w:sz="0" w:space="0" w:color="auto"/>
            <w:right w:val="none" w:sz="0" w:space="0" w:color="auto"/>
          </w:divBdr>
        </w:div>
      </w:divsChild>
    </w:div>
    <w:div w:id="1824934384">
      <w:bodyDiv w:val="1"/>
      <w:marLeft w:val="0"/>
      <w:marRight w:val="0"/>
      <w:marTop w:val="0"/>
      <w:marBottom w:val="0"/>
      <w:divBdr>
        <w:top w:val="none" w:sz="0" w:space="0" w:color="auto"/>
        <w:left w:val="none" w:sz="0" w:space="0" w:color="auto"/>
        <w:bottom w:val="none" w:sz="0" w:space="0" w:color="auto"/>
        <w:right w:val="none" w:sz="0" w:space="0" w:color="auto"/>
      </w:divBdr>
    </w:div>
    <w:div w:id="1826966156">
      <w:bodyDiv w:val="1"/>
      <w:marLeft w:val="0"/>
      <w:marRight w:val="0"/>
      <w:marTop w:val="0"/>
      <w:marBottom w:val="0"/>
      <w:divBdr>
        <w:top w:val="none" w:sz="0" w:space="0" w:color="auto"/>
        <w:left w:val="none" w:sz="0" w:space="0" w:color="auto"/>
        <w:bottom w:val="none" w:sz="0" w:space="0" w:color="auto"/>
        <w:right w:val="none" w:sz="0" w:space="0" w:color="auto"/>
      </w:divBdr>
    </w:div>
    <w:div w:id="2001537019">
      <w:bodyDiv w:val="1"/>
      <w:marLeft w:val="0"/>
      <w:marRight w:val="0"/>
      <w:marTop w:val="0"/>
      <w:marBottom w:val="0"/>
      <w:divBdr>
        <w:top w:val="none" w:sz="0" w:space="0" w:color="auto"/>
        <w:left w:val="none" w:sz="0" w:space="0" w:color="auto"/>
        <w:bottom w:val="none" w:sz="0" w:space="0" w:color="auto"/>
        <w:right w:val="none" w:sz="0" w:space="0" w:color="auto"/>
      </w:divBdr>
    </w:div>
    <w:div w:id="2014533091">
      <w:bodyDiv w:val="1"/>
      <w:marLeft w:val="0"/>
      <w:marRight w:val="0"/>
      <w:marTop w:val="0"/>
      <w:marBottom w:val="0"/>
      <w:divBdr>
        <w:top w:val="none" w:sz="0" w:space="0" w:color="auto"/>
        <w:left w:val="none" w:sz="0" w:space="0" w:color="auto"/>
        <w:bottom w:val="none" w:sz="0" w:space="0" w:color="auto"/>
        <w:right w:val="none" w:sz="0" w:space="0" w:color="auto"/>
      </w:divBdr>
    </w:div>
    <w:div w:id="2051104960">
      <w:bodyDiv w:val="1"/>
      <w:marLeft w:val="0"/>
      <w:marRight w:val="0"/>
      <w:marTop w:val="0"/>
      <w:marBottom w:val="0"/>
      <w:divBdr>
        <w:top w:val="none" w:sz="0" w:space="0" w:color="auto"/>
        <w:left w:val="none" w:sz="0" w:space="0" w:color="auto"/>
        <w:bottom w:val="none" w:sz="0" w:space="0" w:color="auto"/>
        <w:right w:val="none" w:sz="0" w:space="0" w:color="auto"/>
      </w:divBdr>
    </w:div>
    <w:div w:id="211092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sma.europa.eu/press-news/esma-news/esma-launches-common-supervisory-action-ncas-valuation-ucits-and-open-ende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sma.europa.eu/press-news/esma-news/esma-launches-common-supervisory-action-ncas-ucits-liquidity-risk-managemen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s://www.esma.europa.eu/document/guidelines-liquidity-stress-testing-in-ucits-and-aifs" TargetMode="External"/><Relationship Id="rId3" Type="http://schemas.openxmlformats.org/officeDocument/2006/relationships/hyperlink" Target="http://data.europa.eu/eli/dir/2024/927/oj" TargetMode="External"/><Relationship Id="rId7" Type="http://schemas.openxmlformats.org/officeDocument/2006/relationships/hyperlink" Target="https://www.iosco.org/library/pubdocs/pdf/IOSCOPD721.pdf" TargetMode="External"/><Relationship Id="rId2" Type="http://schemas.openxmlformats.org/officeDocument/2006/relationships/hyperlink" Target="https://www.ecb.europa.eu/pub/pdf/scpops/ecbop174.en.pdf" TargetMode="External"/><Relationship Id="rId1" Type="http://schemas.openxmlformats.org/officeDocument/2006/relationships/hyperlink" Target="https://www.efama.org/sites/default/files/files/Open-ended%20funds%20and%20resilient%20capital%20markets.pdf" TargetMode="External"/><Relationship Id="rId6" Type="http://schemas.openxmlformats.org/officeDocument/2006/relationships/hyperlink" Target="https://www.esma.europa.eu/sites/default/files/library/esma_34-43-880-_public_statement_-_2020_csa_ucits_liquidity_risks_management.pdf" TargetMode="External"/><Relationship Id="rId5" Type="http://schemas.openxmlformats.org/officeDocument/2006/relationships/hyperlink" Target="https://www.esma.europa.eu/document/guidelines-liquidity-stress-testing-in-ucits-and-aifs" TargetMode="External"/><Relationship Id="rId4" Type="http://schemas.openxmlformats.org/officeDocument/2006/relationships/hyperlink" Target="https://www.esma.europa.eu/document/guidelines-article-25-directive-201161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63FE1922621A246A3235DC60D7D2BBF" ma:contentTypeVersion="16" ma:contentTypeDescription="Creare un nuovo documento." ma:contentTypeScope="" ma:versionID="dcef88eda3534b164190923c8ae9b1db">
  <xsd:schema xmlns:xsd="http://www.w3.org/2001/XMLSchema" xmlns:xs="http://www.w3.org/2001/XMLSchema" xmlns:p="http://schemas.microsoft.com/office/2006/metadata/properties" xmlns:ns2="ea5365e3-a102-462f-97e2-88165ef22f4e" xmlns:ns3="a3ac2b33-dcb5-4029-a3df-1d140c69e06a" targetNamespace="http://schemas.microsoft.com/office/2006/metadata/properties" ma:root="true" ma:fieldsID="3d8513d354c8f12b6fc7797b8ccb205e" ns2:_="" ns3:_="">
    <xsd:import namespace="ea5365e3-a102-462f-97e2-88165ef22f4e"/>
    <xsd:import namespace="a3ac2b33-dcb5-4029-a3df-1d140c69e06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LengthInSecond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65e3-a102-462f-97e2-88165ef22f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5f2e7d5d-91ef-4099-88a4-fa7ebac7382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ac2b33-dcb5-4029-a3df-1d140c69e0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c9f2085-a8db-4fe2-a6cb-72363bc59d26}" ma:internalName="TaxCatchAll" ma:showField="CatchAllData" ma:web="a3ac2b33-dcb5-4029-a3df-1d140c69e06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5365e3-a102-462f-97e2-88165ef22f4e">
      <Terms xmlns="http://schemas.microsoft.com/office/infopath/2007/PartnerControls"/>
    </lcf76f155ced4ddcb4097134ff3c332f>
    <TaxCatchAll xmlns="a3ac2b33-dcb5-4029-a3df-1d140c69e06a"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09DF25-87A2-409D-9903-28BB680F3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65e3-a102-462f-97e2-88165ef22f4e"/>
    <ds:schemaRef ds:uri="a3ac2b33-dcb5-4029-a3df-1d140c69e0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744B12-6A54-49F9-9429-C297F7A62617}">
  <ds:schemaRefs>
    <ds:schemaRef ds:uri="http://schemas.microsoft.com/office/2006/metadata/properties"/>
    <ds:schemaRef ds:uri="http://schemas.microsoft.com/office/infopath/2007/PartnerControls"/>
    <ds:schemaRef ds:uri="ea5365e3-a102-462f-97e2-88165ef22f4e"/>
    <ds:schemaRef ds:uri="a3ac2b33-dcb5-4029-a3df-1d140c69e06a"/>
  </ds:schemaRefs>
</ds:datastoreItem>
</file>

<file path=customXml/itemProps3.xml><?xml version="1.0" encoding="utf-8"?>
<ds:datastoreItem xmlns:ds="http://schemas.openxmlformats.org/officeDocument/2006/customXml" ds:itemID="{FD68BC6D-C770-4729-A586-410AE57988DD}">
  <ds:schemaRefs>
    <ds:schemaRef ds:uri="http://schemas.openxmlformats.org/officeDocument/2006/bibliography"/>
  </ds:schemaRefs>
</ds:datastoreItem>
</file>

<file path=customXml/itemProps4.xml><?xml version="1.0" encoding="utf-8"?>
<ds:datastoreItem xmlns:ds="http://schemas.openxmlformats.org/officeDocument/2006/customXml" ds:itemID="{8F203BBF-FF44-4DF8-924B-5C7F27C2B8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24</Pages>
  <Words>8208</Words>
  <Characters>46790</Characters>
  <Application>Microsoft Office Word</Application>
  <DocSecurity>0</DocSecurity>
  <Lines>389</Lines>
  <Paragraphs>109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54889</CharactersWithSpaces>
  <SharedDoc>false</SharedDoc>
  <HLinks>
    <vt:vector size="60" baseType="variant">
      <vt:variant>
        <vt:i4>2949227</vt:i4>
      </vt:variant>
      <vt:variant>
        <vt:i4>3</vt:i4>
      </vt:variant>
      <vt:variant>
        <vt:i4>0</vt:i4>
      </vt:variant>
      <vt:variant>
        <vt:i4>5</vt:i4>
      </vt:variant>
      <vt:variant>
        <vt:lpwstr>https://www.esma.europa.eu/press-news/esma-news/esma-launches-common-supervisory-action-ncas-valuation-ucits-and-open-ended</vt:lpwstr>
      </vt:variant>
      <vt:variant>
        <vt:lpwstr/>
      </vt:variant>
      <vt:variant>
        <vt:i4>4456529</vt:i4>
      </vt:variant>
      <vt:variant>
        <vt:i4>0</vt:i4>
      </vt:variant>
      <vt:variant>
        <vt:i4>0</vt:i4>
      </vt:variant>
      <vt:variant>
        <vt:i4>5</vt:i4>
      </vt:variant>
      <vt:variant>
        <vt:lpwstr>https://www.esma.europa.eu/press-news/esma-news/esma-launches-common-supervisory-action-ncas-ucits-liquidity-risk-management</vt:lpwstr>
      </vt:variant>
      <vt:variant>
        <vt:lpwstr/>
      </vt:variant>
      <vt:variant>
        <vt:i4>4653064</vt:i4>
      </vt:variant>
      <vt:variant>
        <vt:i4>21</vt:i4>
      </vt:variant>
      <vt:variant>
        <vt:i4>0</vt:i4>
      </vt:variant>
      <vt:variant>
        <vt:i4>5</vt:i4>
      </vt:variant>
      <vt:variant>
        <vt:lpwstr>https://www.esma.europa.eu/document/guidelines-liquidity-stress-testing-in-ucits-and-aifs</vt:lpwstr>
      </vt:variant>
      <vt:variant>
        <vt:lpwstr/>
      </vt:variant>
      <vt:variant>
        <vt:i4>720986</vt:i4>
      </vt:variant>
      <vt:variant>
        <vt:i4>18</vt:i4>
      </vt:variant>
      <vt:variant>
        <vt:i4>0</vt:i4>
      </vt:variant>
      <vt:variant>
        <vt:i4>5</vt:i4>
      </vt:variant>
      <vt:variant>
        <vt:lpwstr>https://www.iosco.org/library/pubdocs/pdf/IOSCOPD721.pdf</vt:lpwstr>
      </vt:variant>
      <vt:variant>
        <vt:lpwstr/>
      </vt:variant>
      <vt:variant>
        <vt:i4>6291518</vt:i4>
      </vt:variant>
      <vt:variant>
        <vt:i4>15</vt:i4>
      </vt:variant>
      <vt:variant>
        <vt:i4>0</vt:i4>
      </vt:variant>
      <vt:variant>
        <vt:i4>5</vt:i4>
      </vt:variant>
      <vt:variant>
        <vt:lpwstr>https://www.esma.europa.eu/sites/default/files/library/esma_34-43-880-_public_statement_-_2020_csa_ucits_liquidity_risks_management.pdf</vt:lpwstr>
      </vt:variant>
      <vt:variant>
        <vt:lpwstr/>
      </vt:variant>
      <vt:variant>
        <vt:i4>4653064</vt:i4>
      </vt:variant>
      <vt:variant>
        <vt:i4>12</vt:i4>
      </vt:variant>
      <vt:variant>
        <vt:i4>0</vt:i4>
      </vt:variant>
      <vt:variant>
        <vt:i4>5</vt:i4>
      </vt:variant>
      <vt:variant>
        <vt:lpwstr>https://www.esma.europa.eu/document/guidelines-liquidity-stress-testing-in-ucits-and-aifs</vt:lpwstr>
      </vt:variant>
      <vt:variant>
        <vt:lpwstr/>
      </vt:variant>
      <vt:variant>
        <vt:i4>4653136</vt:i4>
      </vt:variant>
      <vt:variant>
        <vt:i4>9</vt:i4>
      </vt:variant>
      <vt:variant>
        <vt:i4>0</vt:i4>
      </vt:variant>
      <vt:variant>
        <vt:i4>5</vt:i4>
      </vt:variant>
      <vt:variant>
        <vt:lpwstr>https://www.esma.europa.eu/document/guidelines-article-25-directive-201161eu</vt:lpwstr>
      </vt:variant>
      <vt:variant>
        <vt:lpwstr/>
      </vt:variant>
      <vt:variant>
        <vt:i4>4456477</vt:i4>
      </vt:variant>
      <vt:variant>
        <vt:i4>6</vt:i4>
      </vt:variant>
      <vt:variant>
        <vt:i4>0</vt:i4>
      </vt:variant>
      <vt:variant>
        <vt:i4>5</vt:i4>
      </vt:variant>
      <vt:variant>
        <vt:lpwstr>http://data.europa.eu/eli/dir/2024/927/oj</vt:lpwstr>
      </vt:variant>
      <vt:variant>
        <vt:lpwstr/>
      </vt:variant>
      <vt:variant>
        <vt:i4>4980741</vt:i4>
      </vt:variant>
      <vt:variant>
        <vt:i4>3</vt:i4>
      </vt:variant>
      <vt:variant>
        <vt:i4>0</vt:i4>
      </vt:variant>
      <vt:variant>
        <vt:i4>5</vt:i4>
      </vt:variant>
      <vt:variant>
        <vt:lpwstr>https://www.ecb.europa.eu/pub/pdf/scpops/ecbop174.en.pdf</vt:lpwstr>
      </vt:variant>
      <vt:variant>
        <vt:lpwstr/>
      </vt:variant>
      <vt:variant>
        <vt:i4>3735679</vt:i4>
      </vt:variant>
      <vt:variant>
        <vt:i4>0</vt:i4>
      </vt:variant>
      <vt:variant>
        <vt:i4>0</vt:i4>
      </vt:variant>
      <vt:variant>
        <vt:i4>5</vt:i4>
      </vt:variant>
      <vt:variant>
        <vt:lpwstr>https://www.efama.org/sites/default/files/files/Open-ended funds and resilient capital markets.pdf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Lapolla</dc:creator>
  <cp:keywords/>
  <dc:description/>
  <cp:lastModifiedBy>Deborah Anzaldi</cp:lastModifiedBy>
  <cp:revision>35</cp:revision>
  <cp:lastPrinted>2024-11-19T14:41:00Z</cp:lastPrinted>
  <dcterms:created xsi:type="dcterms:W3CDTF">2024-11-22T00:33:00Z</dcterms:created>
  <dcterms:modified xsi:type="dcterms:W3CDTF">2024-11-23T05:35:00Z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0x010100B63FE1922621A246A3235DC60D7D2BBF</vt:lpwstr>
  </property>
  <property fmtid="{D5CDD505-2E9C-101B-9397-08002B2CF9AE}" pid="3" name="MediaServiceImageTags">
    <vt:lpwstr/>
  </property>
</Properties>
</file>