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E634B3" w14:textId="77777777" w:rsidR="00284F6A" w:rsidRDefault="00284F6A" w:rsidP="00501C7C">
      <w:pPr>
        <w:jc w:val="both"/>
        <w:rPr>
          <w:rFonts w:eastAsia="Times New Roman"/>
        </w:rPr>
      </w:pPr>
    </w:p>
    <w:p w14:paraId="66E17EC5" w14:textId="566B0E40" w:rsidR="00141CDD" w:rsidRDefault="00072015" w:rsidP="00141CDD">
      <w:pPr>
        <w:numPr>
          <w:ilvl w:val="0"/>
          <w:numId w:val="2"/>
        </w:numPr>
        <w:spacing w:before="100" w:beforeAutospacing="1" w:after="100" w:afterAutospacing="1"/>
        <w:jc w:val="both"/>
        <w:rPr>
          <w:rFonts w:eastAsia="Times New Roman"/>
        </w:rPr>
      </w:pPr>
      <w:r>
        <w:rPr>
          <w:rFonts w:eastAsia="Times New Roman"/>
        </w:rPr>
        <w:t>L’intérêt de cette plate-forme tient à son exhaustivité. C</w:t>
      </w:r>
      <w:r w:rsidR="00284F6A" w:rsidRPr="005066B1">
        <w:rPr>
          <w:rFonts w:eastAsia="Times New Roman"/>
        </w:rPr>
        <w:t xml:space="preserve">ette plate-forme devrait concerner tout émetteur </w:t>
      </w:r>
      <w:r>
        <w:rPr>
          <w:rFonts w:eastAsia="Times New Roman"/>
        </w:rPr>
        <w:t xml:space="preserve">européen </w:t>
      </w:r>
      <w:r w:rsidR="00284F6A" w:rsidRPr="005066B1">
        <w:rPr>
          <w:rFonts w:eastAsia="Times New Roman"/>
        </w:rPr>
        <w:t xml:space="preserve">faisant appel public à l’épargne ainsi que tout produit financier </w:t>
      </w:r>
      <w:r>
        <w:rPr>
          <w:rFonts w:eastAsia="Times New Roman"/>
        </w:rPr>
        <w:t xml:space="preserve">européen </w:t>
      </w:r>
      <w:r w:rsidR="00284F6A" w:rsidRPr="005066B1">
        <w:rPr>
          <w:rFonts w:eastAsia="Times New Roman"/>
        </w:rPr>
        <w:t xml:space="preserve">faisant l’objet d’un appel public à l’épargne. </w:t>
      </w:r>
      <w:r w:rsidR="008C338E" w:rsidRPr="005066B1">
        <w:rPr>
          <w:rFonts w:eastAsia="Times New Roman"/>
        </w:rPr>
        <w:t xml:space="preserve">Elle devrait permettre à </w:t>
      </w:r>
      <w:r w:rsidRPr="005066B1">
        <w:rPr>
          <w:rFonts w:eastAsia="Times New Roman"/>
        </w:rPr>
        <w:t>terme à</w:t>
      </w:r>
      <w:r w:rsidR="008C338E" w:rsidRPr="005066B1">
        <w:rPr>
          <w:rFonts w:eastAsia="Times New Roman"/>
        </w:rPr>
        <w:t xml:space="preserve"> l’investisseur d’avoir un accès global à l’ensemble des propositions du marché européen</w:t>
      </w:r>
      <w:r>
        <w:rPr>
          <w:rFonts w:eastAsia="Times New Roman"/>
        </w:rPr>
        <w:t>, l</w:t>
      </w:r>
      <w:r w:rsidR="008C338E" w:rsidRPr="005066B1">
        <w:rPr>
          <w:rFonts w:eastAsia="Times New Roman"/>
        </w:rPr>
        <w:t>a notion d’admission sur un marché réglementé ne d</w:t>
      </w:r>
      <w:r>
        <w:rPr>
          <w:rFonts w:eastAsia="Times New Roman"/>
        </w:rPr>
        <w:t>evant</w:t>
      </w:r>
      <w:r w:rsidR="008C338E" w:rsidRPr="005066B1">
        <w:rPr>
          <w:rFonts w:eastAsia="Times New Roman"/>
        </w:rPr>
        <w:t xml:space="preserve"> plus être un </w:t>
      </w:r>
      <w:r w:rsidR="005066B1" w:rsidRPr="005066B1">
        <w:rPr>
          <w:rFonts w:eastAsia="Times New Roman"/>
        </w:rPr>
        <w:t>critère</w:t>
      </w:r>
      <w:r w:rsidR="008C338E" w:rsidRPr="005066B1">
        <w:rPr>
          <w:rFonts w:eastAsia="Times New Roman"/>
        </w:rPr>
        <w:t xml:space="preserve"> de sélection.</w:t>
      </w:r>
      <w:r>
        <w:rPr>
          <w:rFonts w:eastAsia="Times New Roman"/>
        </w:rPr>
        <w:t xml:space="preserve"> Les émetteurs d’obligations et autres titres de créance </w:t>
      </w:r>
      <w:r w:rsidR="009F6E8C">
        <w:rPr>
          <w:rFonts w:eastAsia="Times New Roman"/>
        </w:rPr>
        <w:t>seront bien entendu</w:t>
      </w:r>
      <w:r>
        <w:rPr>
          <w:rFonts w:eastAsia="Times New Roman"/>
        </w:rPr>
        <w:t xml:space="preserve"> concernés.</w:t>
      </w:r>
      <w:r w:rsidR="008C338E" w:rsidRPr="005066B1">
        <w:rPr>
          <w:rFonts w:eastAsia="Times New Roman"/>
        </w:rPr>
        <w:t xml:space="preserve">  </w:t>
      </w:r>
    </w:p>
    <w:p w14:paraId="03398543" w14:textId="77777777" w:rsidR="00141CDD" w:rsidRPr="00141CDD" w:rsidRDefault="00141CDD" w:rsidP="00141CDD">
      <w:pPr>
        <w:spacing w:before="100" w:beforeAutospacing="1" w:after="100" w:afterAutospacing="1"/>
        <w:ind w:left="720"/>
        <w:jc w:val="both"/>
        <w:rPr>
          <w:rFonts w:eastAsia="Times New Roman"/>
        </w:rPr>
      </w:pPr>
    </w:p>
    <w:p w14:paraId="661CD0CA" w14:textId="36E6A1BE" w:rsidR="00284F6A" w:rsidRDefault="00284F6A" w:rsidP="00141CDD">
      <w:pPr>
        <w:numPr>
          <w:ilvl w:val="0"/>
          <w:numId w:val="2"/>
        </w:numPr>
        <w:spacing w:before="100" w:beforeAutospacing="1" w:after="100" w:afterAutospacing="1"/>
        <w:jc w:val="both"/>
        <w:rPr>
          <w:rFonts w:eastAsia="Times New Roman"/>
        </w:rPr>
      </w:pPr>
      <w:r>
        <w:rPr>
          <w:rFonts w:eastAsia="Times New Roman"/>
        </w:rPr>
        <w:t>Sur cette base ne devraient figurer que les informations et documents qui doivent déjà être obligatoirement fournis. Dans le cadre de ce projet, aucune nouvelle disposition obligatoire en matière d’information ne devrait être imposée</w:t>
      </w:r>
      <w:r w:rsidR="005066B1">
        <w:rPr>
          <w:rFonts w:eastAsia="Times New Roman"/>
        </w:rPr>
        <w:t xml:space="preserve"> et pour les </w:t>
      </w:r>
      <w:r w:rsidR="00072015">
        <w:rPr>
          <w:rFonts w:eastAsia="Times New Roman"/>
        </w:rPr>
        <w:t>PME (SME),</w:t>
      </w:r>
      <w:r w:rsidR="005066B1">
        <w:rPr>
          <w:rFonts w:eastAsia="Times New Roman"/>
        </w:rPr>
        <w:t xml:space="preserve"> la notion de proportionnalité devra prévaloir. </w:t>
      </w:r>
      <w:r w:rsidR="00550A21">
        <w:rPr>
          <w:rFonts w:eastAsia="Times New Roman"/>
        </w:rPr>
        <w:t>A l’initiative</w:t>
      </w:r>
      <w:r w:rsidR="005066B1">
        <w:rPr>
          <w:rFonts w:eastAsia="Times New Roman"/>
        </w:rPr>
        <w:t xml:space="preserve"> de l’émetteur toutefois, d’autres informations pourront figurer sur cette base à condition qu’elles soient certifiées.</w:t>
      </w:r>
    </w:p>
    <w:p w14:paraId="7A82BB22" w14:textId="77777777" w:rsidR="00284F6A" w:rsidRDefault="00284F6A" w:rsidP="00501C7C">
      <w:pPr>
        <w:spacing w:before="100" w:beforeAutospacing="1" w:after="100" w:afterAutospacing="1"/>
        <w:ind w:left="360"/>
        <w:jc w:val="both"/>
        <w:rPr>
          <w:rFonts w:eastAsia="Times New Roman"/>
        </w:rPr>
      </w:pPr>
    </w:p>
    <w:p w14:paraId="0451FAD2" w14:textId="35441F52" w:rsidR="00284F6A" w:rsidRDefault="00284F6A" w:rsidP="00141CDD">
      <w:pPr>
        <w:numPr>
          <w:ilvl w:val="0"/>
          <w:numId w:val="2"/>
        </w:numPr>
        <w:spacing w:before="100" w:beforeAutospacing="1" w:after="100" w:afterAutospacing="1"/>
        <w:jc w:val="both"/>
        <w:rPr>
          <w:rFonts w:eastAsia="Times New Roman"/>
        </w:rPr>
      </w:pPr>
      <w:r>
        <w:rPr>
          <w:rFonts w:eastAsia="Times New Roman"/>
        </w:rPr>
        <w:t xml:space="preserve">Ce projet devra éviter les risques de redondance entre les demandes des autorités nationales en </w:t>
      </w:r>
      <w:r w:rsidR="005066B1">
        <w:rPr>
          <w:rFonts w:eastAsia="Times New Roman"/>
        </w:rPr>
        <w:t>matière de</w:t>
      </w:r>
      <w:r w:rsidR="00180C12">
        <w:rPr>
          <w:rFonts w:eastAsia="Times New Roman"/>
        </w:rPr>
        <w:t xml:space="preserve"> transmission </w:t>
      </w:r>
      <w:r>
        <w:rPr>
          <w:rFonts w:eastAsia="Times New Roman"/>
        </w:rPr>
        <w:t>d’information</w:t>
      </w:r>
      <w:r w:rsidR="00180C12">
        <w:rPr>
          <w:rFonts w:eastAsia="Times New Roman"/>
        </w:rPr>
        <w:t>s</w:t>
      </w:r>
      <w:r>
        <w:rPr>
          <w:rFonts w:eastAsia="Times New Roman"/>
        </w:rPr>
        <w:t xml:space="preserve"> et cette plate-forme européenne.</w:t>
      </w:r>
    </w:p>
    <w:p w14:paraId="580FFA51" w14:textId="77777777" w:rsidR="00284F6A" w:rsidRDefault="00284F6A" w:rsidP="00501C7C">
      <w:pPr>
        <w:spacing w:before="100" w:beforeAutospacing="1" w:after="100" w:afterAutospacing="1"/>
        <w:ind w:left="720"/>
        <w:jc w:val="both"/>
        <w:rPr>
          <w:rFonts w:eastAsia="Times New Roman"/>
        </w:rPr>
      </w:pPr>
    </w:p>
    <w:p w14:paraId="34630B8F" w14:textId="359A11B9" w:rsidR="00141CDD" w:rsidRDefault="00284F6A" w:rsidP="00141CDD">
      <w:pPr>
        <w:numPr>
          <w:ilvl w:val="0"/>
          <w:numId w:val="2"/>
        </w:numPr>
        <w:spacing w:before="100" w:beforeAutospacing="1" w:after="100" w:afterAutospacing="1"/>
        <w:jc w:val="both"/>
        <w:rPr>
          <w:rFonts w:eastAsia="Times New Roman"/>
        </w:rPr>
      </w:pPr>
      <w:r>
        <w:rPr>
          <w:rFonts w:eastAsia="Times New Roman"/>
        </w:rPr>
        <w:t>Le langage des flux d’information devra permettre une exportation aisé</w:t>
      </w:r>
      <w:r w:rsidR="00180C12">
        <w:rPr>
          <w:rFonts w:eastAsia="Times New Roman"/>
        </w:rPr>
        <w:t xml:space="preserve">e </w:t>
      </w:r>
      <w:r>
        <w:rPr>
          <w:rFonts w:eastAsia="Times New Roman"/>
        </w:rPr>
        <w:t>de</w:t>
      </w:r>
      <w:r w:rsidR="00180C12">
        <w:rPr>
          <w:rFonts w:eastAsia="Times New Roman"/>
        </w:rPr>
        <w:t>s données</w:t>
      </w:r>
      <w:r>
        <w:rPr>
          <w:rFonts w:eastAsia="Times New Roman"/>
        </w:rPr>
        <w:t>.</w:t>
      </w:r>
      <w:r w:rsidR="0080624F">
        <w:rPr>
          <w:rFonts w:eastAsia="Times New Roman"/>
        </w:rPr>
        <w:t xml:space="preserve"> </w:t>
      </w:r>
    </w:p>
    <w:p w14:paraId="2F9506CC" w14:textId="77777777" w:rsidR="00141CDD" w:rsidRPr="00141CDD" w:rsidRDefault="00141CDD" w:rsidP="00141CDD">
      <w:pPr>
        <w:spacing w:before="100" w:beforeAutospacing="1" w:after="100" w:afterAutospacing="1"/>
        <w:jc w:val="both"/>
        <w:rPr>
          <w:rFonts w:eastAsia="Times New Roman"/>
        </w:rPr>
      </w:pPr>
    </w:p>
    <w:p w14:paraId="215178CC" w14:textId="36AC8AC0" w:rsidR="00284F6A" w:rsidRDefault="00284F6A" w:rsidP="00141CDD">
      <w:pPr>
        <w:numPr>
          <w:ilvl w:val="0"/>
          <w:numId w:val="2"/>
        </w:numPr>
        <w:spacing w:before="100" w:beforeAutospacing="1" w:after="100" w:afterAutospacing="1"/>
        <w:jc w:val="both"/>
        <w:rPr>
          <w:rFonts w:eastAsia="Times New Roman"/>
        </w:rPr>
      </w:pPr>
      <w:r>
        <w:rPr>
          <w:rFonts w:eastAsia="Times New Roman"/>
        </w:rPr>
        <w:t>Compte tenu de</w:t>
      </w:r>
      <w:r w:rsidR="00180C12">
        <w:rPr>
          <w:rFonts w:eastAsia="Times New Roman"/>
        </w:rPr>
        <w:t xml:space="preserve">s ambitions </w:t>
      </w:r>
      <w:r>
        <w:rPr>
          <w:rFonts w:eastAsia="Times New Roman"/>
        </w:rPr>
        <w:t>de ce projet</w:t>
      </w:r>
      <w:r w:rsidR="00180C12">
        <w:rPr>
          <w:rFonts w:eastAsia="Times New Roman"/>
        </w:rPr>
        <w:t xml:space="preserve">, </w:t>
      </w:r>
      <w:r>
        <w:rPr>
          <w:rFonts w:eastAsia="Times New Roman"/>
        </w:rPr>
        <w:t xml:space="preserve">de son </w:t>
      </w:r>
      <w:r w:rsidR="00180C12">
        <w:rPr>
          <w:rFonts w:eastAsia="Times New Roman"/>
        </w:rPr>
        <w:t>ampleur et</w:t>
      </w:r>
      <w:r>
        <w:rPr>
          <w:rFonts w:eastAsia="Times New Roman"/>
        </w:rPr>
        <w:t xml:space="preserve"> de son caractère stratégique, cette plate-forme devrait être financé</w:t>
      </w:r>
      <w:r w:rsidR="00180C12">
        <w:rPr>
          <w:rFonts w:eastAsia="Times New Roman"/>
        </w:rPr>
        <w:t>e</w:t>
      </w:r>
      <w:r>
        <w:rPr>
          <w:rFonts w:eastAsia="Times New Roman"/>
        </w:rPr>
        <w:t xml:space="preserve"> par le budget de la </w:t>
      </w:r>
      <w:r w:rsidR="00180C12">
        <w:rPr>
          <w:rFonts w:eastAsia="Times New Roman"/>
        </w:rPr>
        <w:t>C</w:t>
      </w:r>
      <w:r>
        <w:rPr>
          <w:rFonts w:eastAsia="Times New Roman"/>
        </w:rPr>
        <w:t xml:space="preserve">ommission. </w:t>
      </w:r>
      <w:r w:rsidR="00180C12">
        <w:rPr>
          <w:rFonts w:eastAsia="Times New Roman"/>
        </w:rPr>
        <w:t>N</w:t>
      </w:r>
      <w:r>
        <w:rPr>
          <w:rFonts w:eastAsia="Times New Roman"/>
        </w:rPr>
        <w:t>ous ne souhaitons pas que des intérêts privés interfère</w:t>
      </w:r>
      <w:r w:rsidR="00180C12">
        <w:rPr>
          <w:rFonts w:eastAsia="Times New Roman"/>
        </w:rPr>
        <w:t>nt</w:t>
      </w:r>
      <w:r>
        <w:rPr>
          <w:rFonts w:eastAsia="Times New Roman"/>
        </w:rPr>
        <w:t xml:space="preserve"> dans la constitution de cette plate-forme</w:t>
      </w:r>
      <w:r w:rsidR="00180C12">
        <w:rPr>
          <w:rFonts w:eastAsia="Times New Roman"/>
        </w:rPr>
        <w:t xml:space="preserve">, ces données constituant un bien public. A défaut, un cahier des charges très précis devrait être soumis au politique et en tout état de cause, contrairement à des expériences passées, les intérêts européens devront être préservés. </w:t>
      </w:r>
      <w:r w:rsidR="00501C7C">
        <w:rPr>
          <w:rFonts w:eastAsia="Times New Roman"/>
        </w:rPr>
        <w:t>C’est là aussi une question de souveraineté.</w:t>
      </w:r>
      <w:r w:rsidR="009F6E8C">
        <w:rPr>
          <w:rFonts w:eastAsia="Times New Roman"/>
        </w:rPr>
        <w:t xml:space="preserve"> Il en est de même pour le choix du type d’immatriculation des émetteurs et produits financiers pour l’organisation de cette base.</w:t>
      </w:r>
    </w:p>
    <w:p w14:paraId="224D42BB" w14:textId="77777777" w:rsidR="009F6E8C" w:rsidRDefault="009F6E8C" w:rsidP="009F6E8C">
      <w:pPr>
        <w:pStyle w:val="Paragraphedeliste"/>
        <w:rPr>
          <w:rFonts w:eastAsia="Times New Roman"/>
        </w:rPr>
      </w:pPr>
    </w:p>
    <w:p w14:paraId="20B6DD1C" w14:textId="7D9413B3" w:rsidR="009F6E8C" w:rsidRDefault="009F6E8C" w:rsidP="00141CDD">
      <w:pPr>
        <w:numPr>
          <w:ilvl w:val="0"/>
          <w:numId w:val="2"/>
        </w:numPr>
        <w:spacing w:before="100" w:beforeAutospacing="1" w:after="100" w:afterAutospacing="1"/>
        <w:jc w:val="both"/>
        <w:rPr>
          <w:rFonts w:eastAsia="Times New Roman"/>
        </w:rPr>
      </w:pPr>
      <w:r>
        <w:rPr>
          <w:rFonts w:eastAsia="Times New Roman"/>
        </w:rPr>
        <w:t xml:space="preserve">L’accès aux informations contenues </w:t>
      </w:r>
      <w:proofErr w:type="gramStart"/>
      <w:r>
        <w:rPr>
          <w:rFonts w:eastAsia="Times New Roman"/>
        </w:rPr>
        <w:t>dans  cette</w:t>
      </w:r>
      <w:proofErr w:type="gramEnd"/>
      <w:r>
        <w:rPr>
          <w:rFonts w:eastAsia="Times New Roman"/>
        </w:rPr>
        <w:t xml:space="preserve"> plate-forme devrait être gratuit.</w:t>
      </w:r>
    </w:p>
    <w:p w14:paraId="3E40EDE9" w14:textId="77777777" w:rsidR="00141CDD" w:rsidRDefault="00141CDD" w:rsidP="00141CDD">
      <w:pPr>
        <w:pStyle w:val="Paragraphedeliste"/>
        <w:rPr>
          <w:rFonts w:eastAsia="Times New Roman"/>
        </w:rPr>
      </w:pPr>
    </w:p>
    <w:p w14:paraId="5A447EC8" w14:textId="636872E7" w:rsidR="009206FA" w:rsidRPr="00141CDD" w:rsidRDefault="00141CDD" w:rsidP="009206FA">
      <w:pPr>
        <w:numPr>
          <w:ilvl w:val="0"/>
          <w:numId w:val="2"/>
        </w:numPr>
        <w:spacing w:before="100" w:beforeAutospacing="1" w:after="100" w:afterAutospacing="1"/>
        <w:jc w:val="both"/>
        <w:rPr>
          <w:rFonts w:eastAsia="Times New Roman"/>
        </w:rPr>
      </w:pPr>
      <w:r>
        <w:rPr>
          <w:rFonts w:eastAsia="Times New Roman"/>
        </w:rPr>
        <w:t>En matière d’information non financière, nous insisterons sur le caractère prématuré d’une telle normalisation pour un secteur non stabilisé.</w:t>
      </w:r>
    </w:p>
    <w:p w14:paraId="72854CAB" w14:textId="390CF311" w:rsidR="009301C9" w:rsidRPr="00141CDD" w:rsidRDefault="009206FA" w:rsidP="00141CDD">
      <w:pPr>
        <w:spacing w:before="100" w:beforeAutospacing="1" w:after="100" w:afterAutospacing="1"/>
        <w:jc w:val="center"/>
        <w:rPr>
          <w:rFonts w:eastAsia="Times New Roman"/>
        </w:rPr>
      </w:pPr>
      <w:r>
        <w:rPr>
          <w:rFonts w:eastAsia="Times New Roman"/>
        </w:rPr>
        <w:t>************</w:t>
      </w:r>
    </w:p>
    <w:sectPr w:rsidR="009301C9" w:rsidRPr="00141C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0B5A0A"/>
    <w:multiLevelType w:val="multilevel"/>
    <w:tmpl w:val="E60E3E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8051AC1"/>
    <w:multiLevelType w:val="multilevel"/>
    <w:tmpl w:val="4A807F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F6A"/>
    <w:rsid w:val="00072015"/>
    <w:rsid w:val="00141CDD"/>
    <w:rsid w:val="00180C12"/>
    <w:rsid w:val="00284F6A"/>
    <w:rsid w:val="00453F96"/>
    <w:rsid w:val="00501C7C"/>
    <w:rsid w:val="005066B1"/>
    <w:rsid w:val="00527A16"/>
    <w:rsid w:val="00550A21"/>
    <w:rsid w:val="00640B4B"/>
    <w:rsid w:val="0080624F"/>
    <w:rsid w:val="008C338E"/>
    <w:rsid w:val="009206FA"/>
    <w:rsid w:val="009301C9"/>
    <w:rsid w:val="009F6E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2A12C"/>
  <w15:chartTrackingRefBased/>
  <w15:docId w15:val="{A8EFD499-F5FC-4F03-B7E2-1E73B918B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4F6A"/>
    <w:pPr>
      <w:spacing w:after="0" w:line="240" w:lineRule="auto"/>
    </w:pPr>
    <w:rPr>
      <w:rFonts w:ascii="Calibri" w:hAnsi="Calibri" w:cs="Calibri"/>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80C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4738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329</Words>
  <Characters>1815</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Pagniez</dc:creator>
  <cp:keywords/>
  <dc:description/>
  <cp:lastModifiedBy>Eric Pagniez</cp:lastModifiedBy>
  <cp:revision>2</cp:revision>
  <cp:lastPrinted>2021-03-01T07:56:00Z</cp:lastPrinted>
  <dcterms:created xsi:type="dcterms:W3CDTF">2021-03-03T08:35:00Z</dcterms:created>
  <dcterms:modified xsi:type="dcterms:W3CDTF">2021-03-03T08:35:00Z</dcterms:modified>
</cp:coreProperties>
</file>