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94F66" w14:textId="77777777" w:rsidR="008A0E96" w:rsidRDefault="008A0E96" w:rsidP="00FD1F97">
      <w:pPr>
        <w:pStyle w:val="Default"/>
        <w:ind w:right="119"/>
        <w:rPr>
          <w:rFonts w:asciiTheme="minorHAnsi" w:hAnsiTheme="minorHAnsi" w:cstheme="minorHAnsi"/>
          <w:b/>
          <w:bCs/>
          <w:sz w:val="20"/>
          <w:szCs w:val="20"/>
        </w:rPr>
      </w:pPr>
    </w:p>
    <w:p w14:paraId="0283B3B6" w14:textId="7E6070EF" w:rsidR="00D0696F" w:rsidRDefault="00FD730D" w:rsidP="00D0696F">
      <w:pPr>
        <w:pStyle w:val="Default"/>
        <w:ind w:left="-426" w:right="119"/>
        <w:rPr>
          <w:rStyle w:val="Hyperlink"/>
          <w:rFonts w:asciiTheme="minorHAnsi" w:hAnsiTheme="minorHAnsi" w:cstheme="minorHAnsi"/>
          <w:sz w:val="20"/>
          <w:szCs w:val="20"/>
        </w:rPr>
      </w:pPr>
      <w:r>
        <w:rPr>
          <w:rFonts w:asciiTheme="minorHAnsi" w:hAnsiTheme="minorHAnsi" w:cstheme="minorHAnsi"/>
          <w:b/>
          <w:bCs/>
          <w:sz w:val="20"/>
          <w:szCs w:val="20"/>
        </w:rPr>
        <w:t>The Internationa</w:t>
      </w:r>
      <w:r w:rsidR="00F702CE">
        <w:rPr>
          <w:rFonts w:asciiTheme="minorHAnsi" w:hAnsiTheme="minorHAnsi" w:cstheme="minorHAnsi"/>
          <w:b/>
          <w:bCs/>
          <w:sz w:val="20"/>
          <w:szCs w:val="20"/>
        </w:rPr>
        <w:t xml:space="preserve">l Securities Lending Association have responded to the following Sections of </w:t>
      </w:r>
      <w:r w:rsidR="00F702CE" w:rsidRPr="00F702CE">
        <w:rPr>
          <w:rFonts w:asciiTheme="minorHAnsi" w:hAnsiTheme="minorHAnsi" w:cstheme="minorHAnsi"/>
          <w:b/>
          <w:bCs/>
          <w:sz w:val="20"/>
          <w:szCs w:val="20"/>
        </w:rPr>
        <w:t xml:space="preserve">the </w:t>
      </w:r>
      <w:hyperlink r:id="rId10" w:anchor="about-this-consultation" w:history="1">
        <w:r w:rsidR="00F702CE" w:rsidRPr="00F702CE">
          <w:rPr>
            <w:rStyle w:val="Hyperlink"/>
            <w:rFonts w:asciiTheme="minorHAnsi" w:hAnsiTheme="minorHAnsi" w:cstheme="minorHAnsi"/>
            <w:sz w:val="20"/>
            <w:szCs w:val="20"/>
          </w:rPr>
          <w:t>Targeted consultation on the review of Regulation on improving securities settlement in the European Union and on central securities depositories | European Commission (europa.eu)</w:t>
        </w:r>
      </w:hyperlink>
    </w:p>
    <w:p w14:paraId="54D989DE" w14:textId="77777777" w:rsidR="005E53B3" w:rsidRDefault="005E53B3" w:rsidP="00D0696F">
      <w:pPr>
        <w:pStyle w:val="Default"/>
        <w:ind w:left="-426" w:right="119"/>
        <w:rPr>
          <w:rStyle w:val="Hyperlink"/>
          <w:rFonts w:asciiTheme="minorHAnsi" w:hAnsiTheme="minorHAnsi" w:cstheme="minorHAnsi"/>
          <w:sz w:val="20"/>
          <w:szCs w:val="20"/>
        </w:rPr>
      </w:pPr>
    </w:p>
    <w:p w14:paraId="1F3E8362" w14:textId="533150C1" w:rsidR="005E53B3" w:rsidRDefault="005E53B3" w:rsidP="005E53B3">
      <w:pPr>
        <w:pStyle w:val="Default"/>
        <w:numPr>
          <w:ilvl w:val="0"/>
          <w:numId w:val="14"/>
        </w:numPr>
        <w:ind w:right="119"/>
        <w:rPr>
          <w:rFonts w:asciiTheme="minorHAnsi" w:hAnsiTheme="minorHAnsi" w:cstheme="minorHAnsi"/>
          <w:b/>
          <w:bCs/>
          <w:sz w:val="20"/>
          <w:szCs w:val="20"/>
        </w:rPr>
      </w:pPr>
      <w:r>
        <w:rPr>
          <w:rFonts w:asciiTheme="minorHAnsi" w:hAnsiTheme="minorHAnsi" w:cstheme="minorHAnsi"/>
          <w:b/>
          <w:bCs/>
          <w:sz w:val="20"/>
          <w:szCs w:val="20"/>
        </w:rPr>
        <w:t xml:space="preserve">Section 3 – Internalised Settlement </w:t>
      </w:r>
    </w:p>
    <w:p w14:paraId="25F3EDDB" w14:textId="513D1076" w:rsidR="005E53B3" w:rsidRDefault="005E53B3" w:rsidP="005E53B3">
      <w:pPr>
        <w:pStyle w:val="Default"/>
        <w:numPr>
          <w:ilvl w:val="0"/>
          <w:numId w:val="14"/>
        </w:numPr>
        <w:ind w:right="119"/>
        <w:rPr>
          <w:rFonts w:asciiTheme="minorHAnsi" w:hAnsiTheme="minorHAnsi" w:cstheme="minorHAnsi"/>
          <w:b/>
          <w:bCs/>
          <w:sz w:val="20"/>
          <w:szCs w:val="20"/>
        </w:rPr>
      </w:pPr>
      <w:r>
        <w:rPr>
          <w:rFonts w:asciiTheme="minorHAnsi" w:hAnsiTheme="minorHAnsi" w:cstheme="minorHAnsi"/>
          <w:b/>
          <w:bCs/>
          <w:sz w:val="20"/>
          <w:szCs w:val="20"/>
        </w:rPr>
        <w:t>Section 6 – Scope</w:t>
      </w:r>
    </w:p>
    <w:p w14:paraId="6B8CD696" w14:textId="0480EC87" w:rsidR="005E53B3" w:rsidRDefault="005E53B3" w:rsidP="005E53B3">
      <w:pPr>
        <w:pStyle w:val="Default"/>
        <w:numPr>
          <w:ilvl w:val="0"/>
          <w:numId w:val="14"/>
        </w:numPr>
        <w:ind w:right="119"/>
        <w:rPr>
          <w:rFonts w:asciiTheme="minorHAnsi" w:hAnsiTheme="minorHAnsi" w:cstheme="minorHAnsi"/>
          <w:b/>
          <w:bCs/>
          <w:sz w:val="20"/>
          <w:szCs w:val="20"/>
        </w:rPr>
      </w:pPr>
      <w:r>
        <w:rPr>
          <w:rFonts w:asciiTheme="minorHAnsi" w:hAnsiTheme="minorHAnsi" w:cstheme="minorHAnsi"/>
          <w:b/>
          <w:bCs/>
          <w:sz w:val="20"/>
          <w:szCs w:val="20"/>
        </w:rPr>
        <w:t>Section 7 – Settlement Discipline</w:t>
      </w:r>
      <w:r w:rsidR="008122DF">
        <w:rPr>
          <w:rFonts w:asciiTheme="minorHAnsi" w:hAnsiTheme="minorHAnsi" w:cstheme="minorHAnsi"/>
          <w:b/>
          <w:bCs/>
          <w:sz w:val="20"/>
          <w:szCs w:val="20"/>
        </w:rPr>
        <w:t xml:space="preserve"> </w:t>
      </w:r>
    </w:p>
    <w:p w14:paraId="434E19A3" w14:textId="77777777" w:rsidR="00D0696F" w:rsidRDefault="00D0696F" w:rsidP="00D0696F">
      <w:pPr>
        <w:pStyle w:val="Default"/>
        <w:ind w:left="-426" w:right="119"/>
        <w:rPr>
          <w:rFonts w:asciiTheme="minorHAnsi" w:hAnsiTheme="minorHAnsi" w:cstheme="minorHAnsi"/>
          <w:b/>
          <w:bCs/>
          <w:sz w:val="20"/>
          <w:szCs w:val="20"/>
        </w:rPr>
      </w:pPr>
    </w:p>
    <w:p w14:paraId="45C45CAA" w14:textId="6413C55D" w:rsidR="00270848" w:rsidRPr="00EA25FA" w:rsidRDefault="00B522F8" w:rsidP="00FD1F97">
      <w:pPr>
        <w:pStyle w:val="Heading1"/>
        <w:ind w:left="-425"/>
        <w:rPr>
          <w:b w:val="0"/>
        </w:rPr>
      </w:pPr>
      <w:r w:rsidRPr="008A0E96">
        <w:t xml:space="preserve">3. </w:t>
      </w:r>
      <w:r w:rsidR="00270848" w:rsidRPr="008A0E96">
        <w:t xml:space="preserve">INTERNALISED SETTLEMENT </w:t>
      </w:r>
    </w:p>
    <w:p w14:paraId="587A2331" w14:textId="77777777" w:rsidR="00270848" w:rsidRPr="00EA25FA" w:rsidRDefault="00270848" w:rsidP="00C519A6">
      <w:pPr>
        <w:pStyle w:val="Default"/>
        <w:ind w:left="-425" w:right="119"/>
        <w:rPr>
          <w:rFonts w:asciiTheme="minorHAnsi" w:hAnsiTheme="minorHAnsi" w:cstheme="minorHAnsi"/>
          <w:sz w:val="20"/>
          <w:szCs w:val="20"/>
        </w:rPr>
      </w:pPr>
    </w:p>
    <w:p w14:paraId="63F60548" w14:textId="1923B6E8" w:rsidR="00270848" w:rsidRPr="00EA25FA" w:rsidRDefault="00270848" w:rsidP="00C519A6">
      <w:pPr>
        <w:pStyle w:val="Default"/>
        <w:ind w:left="-425" w:right="119"/>
        <w:rPr>
          <w:rFonts w:asciiTheme="minorHAnsi" w:hAnsiTheme="minorHAnsi" w:cstheme="minorHAnsi"/>
          <w:sz w:val="20"/>
          <w:szCs w:val="20"/>
        </w:rPr>
      </w:pPr>
      <w:r w:rsidRPr="00EA25FA">
        <w:rPr>
          <w:rFonts w:asciiTheme="minorHAnsi" w:hAnsiTheme="minorHAnsi" w:cstheme="minorHAnsi"/>
          <w:sz w:val="20"/>
          <w:szCs w:val="20"/>
        </w:rPr>
        <w:t>Article 9 of CSDR provides for internalised settlement reporting, whereby a settlement “internaliser” must report to the competent authority of its place of establishment, on a quarterly basis, the aggregated volume and value of all securities transactions that it settles outside a securities settlement system (SSS). The information which is required to be included in the quarterly internalised settlement reports is specified in Commission Delegated Regulation EU 2017/391,</w:t>
      </w:r>
      <w:r w:rsidRPr="00EA25FA">
        <w:rPr>
          <w:rFonts w:asciiTheme="minorHAnsi" w:hAnsiTheme="minorHAnsi" w:cstheme="minorHAnsi"/>
          <w:sz w:val="20"/>
          <w:szCs w:val="20"/>
          <w:vertAlign w:val="superscript"/>
        </w:rPr>
        <w:t>9</w:t>
      </w:r>
      <w:r w:rsidRPr="00EA25FA">
        <w:rPr>
          <w:rFonts w:asciiTheme="minorHAnsi" w:hAnsiTheme="minorHAnsi" w:cstheme="minorHAnsi"/>
          <w:sz w:val="20"/>
          <w:szCs w:val="20"/>
        </w:rPr>
        <w:t xml:space="preserve"> while the format of reports is outlined in Commission Implementing Regulation EU 2017/393.</w:t>
      </w:r>
      <w:r w:rsidRPr="00EA25FA">
        <w:rPr>
          <w:rFonts w:asciiTheme="minorHAnsi" w:hAnsiTheme="minorHAnsi" w:cstheme="minorHAnsi"/>
          <w:sz w:val="20"/>
          <w:szCs w:val="20"/>
          <w:vertAlign w:val="superscript"/>
        </w:rPr>
        <w:t>10</w:t>
      </w:r>
      <w:r w:rsidRPr="00EA25FA">
        <w:rPr>
          <w:rFonts w:asciiTheme="minorHAnsi" w:hAnsiTheme="minorHAnsi" w:cstheme="minorHAnsi"/>
          <w:sz w:val="20"/>
          <w:szCs w:val="20"/>
        </w:rPr>
        <w:t xml:space="preserve"> </w:t>
      </w:r>
    </w:p>
    <w:p w14:paraId="5D12FC45" w14:textId="77777777" w:rsidR="00270848" w:rsidRPr="00EA25FA" w:rsidRDefault="00270848" w:rsidP="00C519A6">
      <w:pPr>
        <w:pStyle w:val="Default"/>
        <w:ind w:left="-425" w:right="119"/>
        <w:rPr>
          <w:rFonts w:asciiTheme="minorHAnsi" w:hAnsiTheme="minorHAnsi" w:cstheme="minorHAnsi"/>
          <w:sz w:val="20"/>
          <w:szCs w:val="20"/>
        </w:rPr>
      </w:pPr>
    </w:p>
    <w:p w14:paraId="70358D32" w14:textId="28D06081" w:rsidR="00270848" w:rsidRPr="00DF2C77" w:rsidRDefault="00270848" w:rsidP="00C519A6">
      <w:pPr>
        <w:pStyle w:val="Default"/>
        <w:ind w:left="-425" w:right="119"/>
        <w:rPr>
          <w:rFonts w:asciiTheme="minorHAnsi" w:hAnsiTheme="minorHAnsi" w:cstheme="minorHAnsi"/>
          <w:sz w:val="20"/>
          <w:szCs w:val="20"/>
        </w:rPr>
      </w:pPr>
      <w:r w:rsidRPr="00DF2C77">
        <w:rPr>
          <w:rFonts w:asciiTheme="minorHAnsi" w:hAnsiTheme="minorHAnsi" w:cstheme="minorHAnsi"/>
          <w:sz w:val="20"/>
          <w:szCs w:val="20"/>
        </w:rPr>
        <w:t xml:space="preserve">The first internalised settlement reports were due to the competent authorities by 12 July 2019 and contained details of transactions settled internally from 1 April 2019 to 30 June 2019. </w:t>
      </w:r>
    </w:p>
    <w:p w14:paraId="5176A289" w14:textId="439A69F2" w:rsidR="00270848" w:rsidRDefault="00270848" w:rsidP="00C519A6">
      <w:pPr>
        <w:pStyle w:val="Default"/>
        <w:ind w:left="-425" w:right="119"/>
        <w:rPr>
          <w:rFonts w:asciiTheme="minorHAnsi" w:hAnsiTheme="minorHAnsi" w:cstheme="minorHAnsi"/>
          <w:sz w:val="20"/>
          <w:szCs w:val="20"/>
        </w:rPr>
      </w:pPr>
      <w:r w:rsidRPr="00DF2C77">
        <w:rPr>
          <w:rFonts w:asciiTheme="minorHAnsi" w:hAnsiTheme="minorHAnsi" w:cstheme="minorHAnsi"/>
          <w:sz w:val="20"/>
          <w:szCs w:val="20"/>
        </w:rPr>
        <w:t>The objective of internalised settlement reporting is to enable NCAs to monitor and identify the risks (e.g. operational, legal) associated with internalised settlement. The identification of such risks or of any trends seems to have been limited to date. Nevertheless, the reported figures show very high volumes and values, high concentration, as well as high settlement fail rates. This proves the importance of monitoring the internalised settlement activity. Data quality issues (</w:t>
      </w:r>
      <w:r w:rsidR="00EA25FA" w:rsidRPr="00DF2C77">
        <w:rPr>
          <w:rFonts w:asciiTheme="minorHAnsi" w:hAnsiTheme="minorHAnsi" w:cstheme="minorHAnsi"/>
          <w:sz w:val="20"/>
          <w:szCs w:val="20"/>
        </w:rPr>
        <w:t>e.g.</w:t>
      </w:r>
      <w:r w:rsidRPr="00DF2C77">
        <w:rPr>
          <w:rFonts w:asciiTheme="minorHAnsi" w:hAnsiTheme="minorHAnsi" w:cstheme="minorHAnsi"/>
          <w:sz w:val="20"/>
          <w:szCs w:val="20"/>
        </w:rPr>
        <w:t xml:space="preserve"> clarification of the exact</w:t>
      </w:r>
      <w:r w:rsidRPr="00EA25FA">
        <w:rPr>
          <w:rFonts w:asciiTheme="minorHAnsi" w:hAnsiTheme="minorHAnsi" w:cstheme="minorHAnsi"/>
          <w:sz w:val="20"/>
          <w:szCs w:val="20"/>
        </w:rPr>
        <w:t xml:space="preserve"> scope of the requirement, development and implementation of IT tools and systems, correct implementation of reporting formats, etc.) and the relatively short timeframe since the start of this reporting regime (Q2 2019) may have limited any such analysis of risks and/or trends. </w:t>
      </w:r>
    </w:p>
    <w:p w14:paraId="15DF38F1" w14:textId="77777777" w:rsidR="007B6801" w:rsidRPr="00EA25FA" w:rsidRDefault="007B6801" w:rsidP="00C519A6">
      <w:pPr>
        <w:pStyle w:val="Default"/>
        <w:ind w:left="-425" w:right="119"/>
        <w:rPr>
          <w:rFonts w:asciiTheme="minorHAnsi" w:hAnsiTheme="minorHAnsi" w:cstheme="minorHAnsi"/>
          <w:sz w:val="20"/>
          <w:szCs w:val="20"/>
        </w:rPr>
      </w:pPr>
    </w:p>
    <w:p w14:paraId="12FD3872" w14:textId="14D85F39" w:rsidR="00265DB0" w:rsidRDefault="00270848" w:rsidP="00C519A6">
      <w:pPr>
        <w:ind w:left="-425" w:right="119"/>
        <w:rPr>
          <w:rFonts w:cstheme="minorHAnsi"/>
          <w:sz w:val="20"/>
          <w:szCs w:val="20"/>
        </w:rPr>
      </w:pPr>
      <w:r w:rsidRPr="00EA25FA">
        <w:rPr>
          <w:rFonts w:cstheme="minorHAnsi"/>
          <w:sz w:val="20"/>
          <w:szCs w:val="20"/>
        </w:rPr>
        <w:t>As part of its fitness check on supervisory reporting requirements, the Commission has committed to assessing whether the reporting objectives are set correctly (relevance), whether the requirements meet the objectives (effectiveness, EU added value), whether they are consistent across the different legislative acts (coherence), and whether the costs and burden of supervisory reporting are reasonable and proportionate (efficiency). Furthermore, the Commission is aware that changes to reporting requirements may imply costs and as such the overall benefits of any amendment to an established reporting requirement should exceed its costs.</w:t>
      </w:r>
    </w:p>
    <w:p w14:paraId="150DC4DF" w14:textId="77777777" w:rsidR="00E25370" w:rsidRPr="00EA25FA" w:rsidRDefault="00764276" w:rsidP="00E25370">
      <w:pPr>
        <w:pStyle w:val="Default"/>
        <w:ind w:left="-425" w:right="119"/>
        <w:rPr>
          <w:rFonts w:asciiTheme="minorHAnsi" w:hAnsiTheme="minorHAnsi" w:cstheme="minorHAnsi"/>
          <w:sz w:val="20"/>
          <w:szCs w:val="20"/>
        </w:rPr>
      </w:pPr>
      <w:hyperlink r:id="rId11" w:history="1">
        <w:r w:rsidR="00E25370" w:rsidRPr="00EA25FA">
          <w:rPr>
            <w:rStyle w:val="Hyperlink"/>
            <w:rFonts w:asciiTheme="minorHAnsi" w:hAnsiTheme="minorHAnsi" w:cstheme="minorHAnsi"/>
            <w:sz w:val="20"/>
            <w:szCs w:val="20"/>
            <w:vertAlign w:val="superscript"/>
          </w:rPr>
          <w:t>9</w:t>
        </w:r>
        <w:r w:rsidR="00E25370" w:rsidRPr="00EA25FA">
          <w:rPr>
            <w:rStyle w:val="Hyperlink"/>
            <w:rFonts w:asciiTheme="minorHAnsi" w:hAnsiTheme="minorHAnsi" w:cstheme="minorHAnsi"/>
            <w:sz w:val="20"/>
            <w:szCs w:val="20"/>
          </w:rPr>
          <w:t xml:space="preserve"> Commission Delegated Regulation (EU) 2017/391 of 11 November 2016 further specifying the content of the reporting on internalised settlements, OJ L 65, 10.3.2017, p. 44–47.</w:t>
        </w:r>
      </w:hyperlink>
    </w:p>
    <w:p w14:paraId="4C465B2E" w14:textId="77777777" w:rsidR="00E25370" w:rsidRPr="00EA25FA" w:rsidRDefault="00E25370" w:rsidP="00E25370">
      <w:pPr>
        <w:pStyle w:val="Default"/>
        <w:ind w:left="-425" w:right="119"/>
        <w:rPr>
          <w:rFonts w:asciiTheme="minorHAnsi" w:hAnsiTheme="minorHAnsi" w:cstheme="minorHAnsi"/>
          <w:sz w:val="20"/>
          <w:szCs w:val="20"/>
        </w:rPr>
      </w:pPr>
    </w:p>
    <w:p w14:paraId="4BC9BABD" w14:textId="77EF888D" w:rsidR="00E25370" w:rsidRPr="00EA25FA" w:rsidRDefault="00764276" w:rsidP="00E25370">
      <w:pPr>
        <w:ind w:left="-425" w:right="119"/>
        <w:rPr>
          <w:rFonts w:cstheme="minorHAnsi"/>
          <w:sz w:val="20"/>
          <w:szCs w:val="20"/>
        </w:rPr>
      </w:pPr>
      <w:hyperlink r:id="rId12" w:history="1">
        <w:r w:rsidR="00E25370" w:rsidRPr="00EA25FA">
          <w:rPr>
            <w:rStyle w:val="Hyperlink"/>
            <w:rFonts w:cstheme="minorHAnsi"/>
            <w:sz w:val="20"/>
            <w:szCs w:val="20"/>
            <w:vertAlign w:val="superscript"/>
          </w:rPr>
          <w:t>10</w:t>
        </w:r>
        <w:r w:rsidR="00E25370" w:rsidRPr="00EA25FA">
          <w:rPr>
            <w:rStyle w:val="Hyperlink"/>
            <w:rFonts w:cstheme="minorHAnsi"/>
            <w:sz w:val="20"/>
            <w:szCs w:val="20"/>
          </w:rPr>
          <w:t xml:space="preserve"> Commission Implementing Regulation (EU) 2017/393 of 11 November 2016 laying down implementing technical standards with regard to the templates and procedures for the reporting and transmission of information on internalised settlements in accordance with Regulation (EU) 909/2014 of the European Parliament and of the Council, OJ L 65, 10.3.2017, p. 116–144</w:t>
        </w:r>
      </w:hyperlink>
      <w:r w:rsidR="00E25370" w:rsidRPr="00EA25FA">
        <w:rPr>
          <w:rFonts w:cstheme="minorHAnsi"/>
          <w:sz w:val="20"/>
          <w:szCs w:val="20"/>
        </w:rPr>
        <w:t xml:space="preserve">.  </w:t>
      </w:r>
    </w:p>
    <w:p w14:paraId="738FE34F" w14:textId="1CB28DFD" w:rsidR="00270848" w:rsidRPr="00EA25FA" w:rsidRDefault="00270848" w:rsidP="00C519A6">
      <w:pPr>
        <w:pStyle w:val="Default"/>
        <w:ind w:left="-425" w:right="119"/>
        <w:rPr>
          <w:rFonts w:asciiTheme="minorHAnsi" w:hAnsiTheme="minorHAnsi" w:cstheme="minorHAnsi"/>
          <w:sz w:val="20"/>
          <w:szCs w:val="20"/>
        </w:rPr>
      </w:pPr>
      <w:r w:rsidRPr="00EA25FA">
        <w:rPr>
          <w:rFonts w:asciiTheme="minorHAnsi" w:hAnsiTheme="minorHAnsi" w:cstheme="minorHAnsi"/>
          <w:b/>
          <w:bCs/>
          <w:sz w:val="20"/>
          <w:szCs w:val="20"/>
        </w:rPr>
        <w:t>Question 15</w:t>
      </w:r>
      <w:r w:rsidRPr="00EA25FA">
        <w:rPr>
          <w:rFonts w:asciiTheme="minorHAnsi" w:hAnsiTheme="minorHAnsi" w:cstheme="minorHAnsi"/>
          <w:sz w:val="20"/>
          <w:szCs w:val="20"/>
        </w:rPr>
        <w:t xml:space="preserve">. Article 2 of Commission Delegated Regulation (EU) 2017/391 establishes the data which internalised settlement reports should contain. Do you consider this data meets the objectives of relevance, effectiveness, EU added value, </w:t>
      </w:r>
      <w:r w:rsidR="00A55379" w:rsidRPr="00EA25FA">
        <w:rPr>
          <w:rFonts w:asciiTheme="minorHAnsi" w:hAnsiTheme="minorHAnsi" w:cstheme="minorHAnsi"/>
          <w:sz w:val="20"/>
          <w:szCs w:val="20"/>
        </w:rPr>
        <w:t>coherence,</w:t>
      </w:r>
      <w:r w:rsidRPr="00EA25FA">
        <w:rPr>
          <w:rFonts w:asciiTheme="minorHAnsi" w:hAnsiTheme="minorHAnsi" w:cstheme="minorHAnsi"/>
          <w:sz w:val="20"/>
          <w:szCs w:val="20"/>
        </w:rPr>
        <w:t xml:space="preserve"> and efficiency? </w:t>
      </w:r>
    </w:p>
    <w:p w14:paraId="231FCF83" w14:textId="77777777" w:rsidR="00270848" w:rsidRPr="00535318" w:rsidRDefault="00270848" w:rsidP="00C519A6">
      <w:pPr>
        <w:pStyle w:val="Default"/>
        <w:ind w:left="-425" w:right="119"/>
        <w:rPr>
          <w:rFonts w:asciiTheme="minorHAnsi" w:hAnsiTheme="minorHAnsi" w:cstheme="minorHAnsi"/>
          <w:color w:val="006666"/>
          <w:sz w:val="20"/>
          <w:szCs w:val="20"/>
        </w:rPr>
      </w:pPr>
    </w:p>
    <w:p w14:paraId="7250994A" w14:textId="08FDDC4F" w:rsidR="00270848" w:rsidRPr="00535318" w:rsidRDefault="00270848" w:rsidP="00C519A6">
      <w:pPr>
        <w:pStyle w:val="Default"/>
        <w:ind w:left="-425" w:right="119"/>
        <w:rPr>
          <w:rFonts w:asciiTheme="minorHAnsi" w:hAnsiTheme="minorHAnsi" w:cstheme="minorHAnsi"/>
          <w:color w:val="006666"/>
          <w:sz w:val="20"/>
          <w:szCs w:val="20"/>
        </w:rPr>
      </w:pPr>
      <w:r w:rsidRPr="00535318">
        <w:rPr>
          <w:rFonts w:asciiTheme="minorHAnsi" w:hAnsiTheme="minorHAnsi" w:cstheme="minorHAnsi"/>
          <w:color w:val="006666"/>
          <w:sz w:val="20"/>
          <w:szCs w:val="20"/>
        </w:rPr>
        <w:t>-</w:t>
      </w:r>
      <w:r w:rsidRPr="00EF2BD8">
        <w:rPr>
          <w:rFonts w:asciiTheme="minorHAnsi" w:eastAsia="Times New Roman" w:hAnsiTheme="minorHAnsi" w:cstheme="minorHAnsi"/>
          <w:color w:val="006666"/>
          <w:sz w:val="20"/>
          <w:szCs w:val="20"/>
        </w:rPr>
        <w:t xml:space="preserve"> </w:t>
      </w:r>
      <w:r w:rsidR="00B13784" w:rsidRPr="00EF2BD8">
        <w:rPr>
          <w:rFonts w:asciiTheme="minorHAnsi" w:eastAsia="Times New Roman" w:hAnsiTheme="minorHAnsi" w:cstheme="minorHAnsi"/>
          <w:color w:val="006666"/>
          <w:sz w:val="20"/>
          <w:szCs w:val="20"/>
        </w:rPr>
        <w:t>Yes</w:t>
      </w:r>
    </w:p>
    <w:p w14:paraId="449A55F1" w14:textId="77777777" w:rsidR="00270848" w:rsidRPr="00EA25FA" w:rsidRDefault="00270848" w:rsidP="00C519A6">
      <w:pPr>
        <w:pStyle w:val="Default"/>
        <w:ind w:left="-425" w:right="119"/>
        <w:rPr>
          <w:rFonts w:asciiTheme="minorHAnsi" w:hAnsiTheme="minorHAnsi" w:cstheme="minorHAnsi"/>
          <w:sz w:val="20"/>
          <w:szCs w:val="20"/>
        </w:rPr>
      </w:pPr>
    </w:p>
    <w:p w14:paraId="758CF262" w14:textId="148C6179" w:rsidR="00270848" w:rsidRPr="00EA25FA" w:rsidRDefault="00270848" w:rsidP="00C519A6">
      <w:pPr>
        <w:ind w:left="-425" w:right="119"/>
        <w:rPr>
          <w:rFonts w:cstheme="minorHAnsi"/>
          <w:sz w:val="20"/>
          <w:szCs w:val="20"/>
        </w:rPr>
      </w:pPr>
      <w:r w:rsidRPr="00EA25FA">
        <w:rPr>
          <w:rFonts w:cstheme="minorHAnsi"/>
          <w:b/>
          <w:bCs/>
          <w:sz w:val="20"/>
          <w:szCs w:val="20"/>
        </w:rPr>
        <w:t>Question 15.1</w:t>
      </w:r>
      <w:r w:rsidRPr="00EA25FA">
        <w:rPr>
          <w:rFonts w:cstheme="minorHAnsi"/>
          <w:sz w:val="20"/>
          <w:szCs w:val="20"/>
        </w:rPr>
        <w:t xml:space="preserve">: Please explain your answer to Question 15, providing where possible quantitative evidence and/or concrete examples. </w:t>
      </w:r>
    </w:p>
    <w:p w14:paraId="62B9F33D" w14:textId="7754EAA7" w:rsidR="0051667B" w:rsidRPr="009F4588" w:rsidRDefault="0051667B" w:rsidP="0051667B">
      <w:pPr>
        <w:pStyle w:val="ListParagraph"/>
        <w:spacing w:after="0" w:line="240" w:lineRule="auto"/>
        <w:ind w:left="-426"/>
        <w:rPr>
          <w:rFonts w:eastAsia="Times New Roman" w:cstheme="minorHAnsi"/>
          <w:color w:val="006666"/>
          <w:sz w:val="20"/>
          <w:szCs w:val="20"/>
        </w:rPr>
      </w:pPr>
      <w:r w:rsidRPr="009F4588">
        <w:rPr>
          <w:rFonts w:eastAsia="Times New Roman" w:cstheme="minorHAnsi"/>
          <w:color w:val="006666"/>
          <w:sz w:val="20"/>
          <w:szCs w:val="20"/>
        </w:rPr>
        <w:t xml:space="preserve">ISLA </w:t>
      </w:r>
      <w:r w:rsidR="0035160E">
        <w:rPr>
          <w:rFonts w:eastAsia="Times New Roman" w:cstheme="minorHAnsi"/>
          <w:color w:val="006666"/>
          <w:sz w:val="20"/>
          <w:szCs w:val="20"/>
        </w:rPr>
        <w:t xml:space="preserve">members </w:t>
      </w:r>
      <w:r w:rsidR="00442070">
        <w:rPr>
          <w:rFonts w:eastAsia="Times New Roman" w:cstheme="minorHAnsi"/>
          <w:color w:val="006666"/>
          <w:sz w:val="20"/>
          <w:szCs w:val="20"/>
        </w:rPr>
        <w:t>believe</w:t>
      </w:r>
      <w:r w:rsidR="009F2EA3">
        <w:rPr>
          <w:rFonts w:eastAsia="Times New Roman" w:cstheme="minorHAnsi"/>
          <w:color w:val="006666"/>
          <w:sz w:val="20"/>
          <w:szCs w:val="20"/>
        </w:rPr>
        <w:t xml:space="preserve"> that the current </w:t>
      </w:r>
      <w:r w:rsidR="00B577C2">
        <w:rPr>
          <w:rFonts w:eastAsia="Times New Roman" w:cstheme="minorHAnsi"/>
          <w:color w:val="006666"/>
          <w:sz w:val="20"/>
          <w:szCs w:val="20"/>
        </w:rPr>
        <w:t>reporting requirement</w:t>
      </w:r>
      <w:r w:rsidR="00437CA3">
        <w:rPr>
          <w:rFonts w:eastAsia="Times New Roman" w:cstheme="minorHAnsi"/>
          <w:color w:val="006666"/>
          <w:sz w:val="20"/>
          <w:szCs w:val="20"/>
        </w:rPr>
        <w:t>s</w:t>
      </w:r>
      <w:r w:rsidR="00B577C2">
        <w:rPr>
          <w:rFonts w:eastAsia="Times New Roman" w:cstheme="minorHAnsi"/>
          <w:color w:val="006666"/>
          <w:sz w:val="20"/>
          <w:szCs w:val="20"/>
        </w:rPr>
        <w:t xml:space="preserve"> do not require further amendments at this time and concur w</w:t>
      </w:r>
      <w:r w:rsidR="003400F2">
        <w:rPr>
          <w:rFonts w:eastAsia="Times New Roman" w:cstheme="minorHAnsi"/>
          <w:color w:val="006666"/>
          <w:sz w:val="20"/>
          <w:szCs w:val="20"/>
        </w:rPr>
        <w:t>ith</w:t>
      </w:r>
      <w:r w:rsidR="0008539D">
        <w:rPr>
          <w:rFonts w:eastAsia="Times New Roman" w:cstheme="minorHAnsi"/>
          <w:color w:val="006666"/>
          <w:sz w:val="20"/>
          <w:szCs w:val="20"/>
        </w:rPr>
        <w:t xml:space="preserve"> the findings of </w:t>
      </w:r>
      <w:hyperlink r:id="rId13" w:history="1">
        <w:r w:rsidR="0008539D" w:rsidRPr="006E510A">
          <w:rPr>
            <w:rStyle w:val="Hyperlink"/>
            <w:rFonts w:eastAsia="Times New Roman" w:cstheme="minorHAnsi"/>
            <w:sz w:val="20"/>
            <w:szCs w:val="20"/>
          </w:rPr>
          <w:t>ESMA’s report on Internalised settlement</w:t>
        </w:r>
      </w:hyperlink>
      <w:r w:rsidR="00D05912">
        <w:rPr>
          <w:rFonts w:eastAsia="Times New Roman" w:cstheme="minorHAnsi"/>
          <w:color w:val="006666"/>
          <w:sz w:val="20"/>
          <w:szCs w:val="20"/>
        </w:rPr>
        <w:t>, dated 5</w:t>
      </w:r>
      <w:r w:rsidR="00D05912" w:rsidRPr="00EF2BD8">
        <w:rPr>
          <w:rFonts w:eastAsia="Times New Roman" w:cstheme="minorHAnsi"/>
          <w:color w:val="006666"/>
          <w:sz w:val="20"/>
          <w:szCs w:val="20"/>
          <w:vertAlign w:val="superscript"/>
        </w:rPr>
        <w:t>th</w:t>
      </w:r>
      <w:r w:rsidR="00D05912">
        <w:rPr>
          <w:rFonts w:eastAsia="Times New Roman" w:cstheme="minorHAnsi"/>
          <w:color w:val="006666"/>
          <w:sz w:val="20"/>
          <w:szCs w:val="20"/>
        </w:rPr>
        <w:t xml:space="preserve"> November 2020, in which they advise</w:t>
      </w:r>
      <w:r w:rsidR="0035160E">
        <w:rPr>
          <w:rFonts w:eastAsia="Times New Roman" w:cstheme="minorHAnsi"/>
          <w:color w:val="006666"/>
          <w:sz w:val="20"/>
          <w:szCs w:val="20"/>
        </w:rPr>
        <w:t xml:space="preserve"> that</w:t>
      </w:r>
      <w:r>
        <w:rPr>
          <w:rFonts w:eastAsia="Times New Roman" w:cstheme="minorHAnsi"/>
          <w:color w:val="006666"/>
          <w:sz w:val="20"/>
          <w:szCs w:val="20"/>
        </w:rPr>
        <w:t xml:space="preserve"> it is too early to identify any trends from the data provided to date, in order to successfully identify any risks </w:t>
      </w:r>
      <w:r w:rsidR="00B235DB">
        <w:rPr>
          <w:rFonts w:eastAsia="Times New Roman" w:cstheme="minorHAnsi"/>
          <w:color w:val="006666"/>
          <w:sz w:val="20"/>
          <w:szCs w:val="20"/>
        </w:rPr>
        <w:t xml:space="preserve">(operational/legal) </w:t>
      </w:r>
      <w:r>
        <w:rPr>
          <w:rFonts w:eastAsia="Times New Roman" w:cstheme="minorHAnsi"/>
          <w:color w:val="006666"/>
          <w:sz w:val="20"/>
          <w:szCs w:val="20"/>
        </w:rPr>
        <w:t xml:space="preserve">associated with the activity. </w:t>
      </w:r>
      <w:r w:rsidR="00835BD1">
        <w:rPr>
          <w:rFonts w:eastAsia="Times New Roman" w:cstheme="minorHAnsi"/>
          <w:color w:val="006666"/>
          <w:sz w:val="20"/>
          <w:szCs w:val="20"/>
        </w:rPr>
        <w:t xml:space="preserve">ISLA members </w:t>
      </w:r>
      <w:r w:rsidR="00C97172">
        <w:rPr>
          <w:rFonts w:eastAsia="Times New Roman" w:cstheme="minorHAnsi"/>
          <w:color w:val="006666"/>
          <w:sz w:val="20"/>
          <w:szCs w:val="20"/>
        </w:rPr>
        <w:t xml:space="preserve">have </w:t>
      </w:r>
      <w:r w:rsidR="000F549F">
        <w:rPr>
          <w:rFonts w:eastAsia="Times New Roman" w:cstheme="minorHAnsi"/>
          <w:color w:val="006666"/>
          <w:sz w:val="20"/>
          <w:szCs w:val="20"/>
        </w:rPr>
        <w:t xml:space="preserve">put in place </w:t>
      </w:r>
      <w:r w:rsidR="00C97172">
        <w:rPr>
          <w:rFonts w:eastAsia="Times New Roman" w:cstheme="minorHAnsi"/>
          <w:color w:val="006666"/>
          <w:sz w:val="20"/>
          <w:szCs w:val="20"/>
        </w:rPr>
        <w:t>considerable</w:t>
      </w:r>
      <w:r w:rsidR="00682067">
        <w:rPr>
          <w:rFonts w:eastAsia="Times New Roman" w:cstheme="minorHAnsi"/>
          <w:color w:val="006666"/>
          <w:sz w:val="20"/>
          <w:szCs w:val="20"/>
        </w:rPr>
        <w:t xml:space="preserve"> </w:t>
      </w:r>
      <w:r w:rsidR="0065651D">
        <w:rPr>
          <w:rFonts w:eastAsia="Times New Roman" w:cstheme="minorHAnsi"/>
          <w:color w:val="006666"/>
          <w:sz w:val="20"/>
          <w:szCs w:val="20"/>
        </w:rPr>
        <w:t>technolog</w:t>
      </w:r>
      <w:r w:rsidR="00C97172">
        <w:rPr>
          <w:rFonts w:eastAsia="Times New Roman" w:cstheme="minorHAnsi"/>
          <w:color w:val="006666"/>
          <w:sz w:val="20"/>
          <w:szCs w:val="20"/>
        </w:rPr>
        <w:t>y build,</w:t>
      </w:r>
      <w:r w:rsidR="0065651D">
        <w:rPr>
          <w:rFonts w:eastAsia="Times New Roman" w:cstheme="minorHAnsi"/>
          <w:color w:val="006666"/>
          <w:sz w:val="20"/>
          <w:szCs w:val="20"/>
        </w:rPr>
        <w:t xml:space="preserve"> in order to comply with the </w:t>
      </w:r>
      <w:r w:rsidR="00C97172">
        <w:rPr>
          <w:rFonts w:eastAsia="Times New Roman" w:cstheme="minorHAnsi"/>
          <w:color w:val="006666"/>
          <w:sz w:val="20"/>
          <w:szCs w:val="20"/>
        </w:rPr>
        <w:t xml:space="preserve">reporting </w:t>
      </w:r>
      <w:r w:rsidR="0065651D">
        <w:rPr>
          <w:rFonts w:eastAsia="Times New Roman" w:cstheme="minorHAnsi"/>
          <w:color w:val="006666"/>
          <w:sz w:val="20"/>
          <w:szCs w:val="20"/>
        </w:rPr>
        <w:t xml:space="preserve">requirements </w:t>
      </w:r>
      <w:r w:rsidR="00F84AD1">
        <w:rPr>
          <w:rFonts w:eastAsia="Times New Roman" w:cstheme="minorHAnsi"/>
          <w:color w:val="006666"/>
          <w:sz w:val="20"/>
          <w:szCs w:val="20"/>
        </w:rPr>
        <w:t>and at current</w:t>
      </w:r>
      <w:r w:rsidR="00046AB4">
        <w:rPr>
          <w:rFonts w:eastAsia="Times New Roman" w:cstheme="minorHAnsi"/>
          <w:color w:val="006666"/>
          <w:sz w:val="20"/>
          <w:szCs w:val="20"/>
        </w:rPr>
        <w:t>,</w:t>
      </w:r>
      <w:r w:rsidR="00F84AD1">
        <w:rPr>
          <w:rFonts w:eastAsia="Times New Roman" w:cstheme="minorHAnsi"/>
          <w:color w:val="006666"/>
          <w:sz w:val="20"/>
          <w:szCs w:val="20"/>
        </w:rPr>
        <w:t xml:space="preserve"> </w:t>
      </w:r>
      <w:r w:rsidR="00A469DF">
        <w:rPr>
          <w:rFonts w:eastAsia="Times New Roman" w:cstheme="minorHAnsi"/>
          <w:color w:val="006666"/>
          <w:sz w:val="20"/>
          <w:szCs w:val="20"/>
        </w:rPr>
        <w:t>consider the</w:t>
      </w:r>
      <w:r w:rsidR="00DA0D5C">
        <w:rPr>
          <w:rFonts w:eastAsia="Times New Roman" w:cstheme="minorHAnsi"/>
          <w:color w:val="006666"/>
          <w:sz w:val="20"/>
          <w:szCs w:val="20"/>
        </w:rPr>
        <w:t xml:space="preserve"> data</w:t>
      </w:r>
      <w:r w:rsidR="00162DD2">
        <w:rPr>
          <w:rFonts w:eastAsia="Times New Roman" w:cstheme="minorHAnsi"/>
          <w:color w:val="006666"/>
          <w:sz w:val="20"/>
          <w:szCs w:val="20"/>
        </w:rPr>
        <w:t xml:space="preserve"> to be relevant</w:t>
      </w:r>
      <w:r w:rsidR="00386150">
        <w:rPr>
          <w:rFonts w:eastAsia="Times New Roman" w:cstheme="minorHAnsi"/>
          <w:color w:val="006666"/>
          <w:sz w:val="20"/>
          <w:szCs w:val="20"/>
        </w:rPr>
        <w:t xml:space="preserve">, </w:t>
      </w:r>
      <w:r w:rsidR="00165D2F">
        <w:rPr>
          <w:rFonts w:eastAsia="Times New Roman" w:cstheme="minorHAnsi"/>
          <w:color w:val="006666"/>
          <w:sz w:val="20"/>
          <w:szCs w:val="20"/>
        </w:rPr>
        <w:t>effective,</w:t>
      </w:r>
      <w:r w:rsidR="00386150">
        <w:rPr>
          <w:rFonts w:eastAsia="Times New Roman" w:cstheme="minorHAnsi"/>
          <w:color w:val="006666"/>
          <w:sz w:val="20"/>
          <w:szCs w:val="20"/>
        </w:rPr>
        <w:t xml:space="preserve"> and </w:t>
      </w:r>
      <w:r w:rsidR="009A0705">
        <w:rPr>
          <w:rFonts w:eastAsia="Times New Roman" w:cstheme="minorHAnsi"/>
          <w:color w:val="006666"/>
          <w:sz w:val="20"/>
          <w:szCs w:val="20"/>
        </w:rPr>
        <w:t xml:space="preserve">efficient. </w:t>
      </w:r>
    </w:p>
    <w:p w14:paraId="51631F70" w14:textId="6813866D" w:rsidR="0051667B" w:rsidRDefault="0051667B" w:rsidP="00511FE0">
      <w:pPr>
        <w:spacing w:after="0" w:line="240" w:lineRule="auto"/>
        <w:ind w:left="-426"/>
        <w:rPr>
          <w:rFonts w:eastAsia="Times New Roman" w:cstheme="minorHAnsi"/>
          <w:color w:val="006666"/>
          <w:sz w:val="20"/>
          <w:szCs w:val="20"/>
        </w:rPr>
      </w:pPr>
    </w:p>
    <w:p w14:paraId="4F9A0CF0" w14:textId="180FC95A" w:rsidR="005F00D0" w:rsidRDefault="00572ECE" w:rsidP="004C4C03">
      <w:pPr>
        <w:spacing w:after="0" w:line="240" w:lineRule="auto"/>
        <w:ind w:left="-426" w:right="119"/>
        <w:rPr>
          <w:rFonts w:eastAsia="Times New Roman" w:cstheme="minorHAnsi"/>
          <w:color w:val="006666"/>
          <w:sz w:val="20"/>
          <w:szCs w:val="20"/>
        </w:rPr>
      </w:pPr>
      <w:r>
        <w:rPr>
          <w:rFonts w:eastAsia="Times New Roman" w:cstheme="minorHAnsi"/>
          <w:color w:val="006666"/>
          <w:sz w:val="20"/>
          <w:szCs w:val="20"/>
        </w:rPr>
        <w:lastRenderedPageBreak/>
        <w:t>I</w:t>
      </w:r>
      <w:r w:rsidR="00B91DCE" w:rsidRPr="006A54EB">
        <w:rPr>
          <w:rFonts w:eastAsia="Times New Roman" w:cstheme="minorHAnsi"/>
          <w:color w:val="006666"/>
          <w:sz w:val="20"/>
          <w:szCs w:val="20"/>
        </w:rPr>
        <w:t>SLA</w:t>
      </w:r>
      <w:r w:rsidR="00547A83">
        <w:rPr>
          <w:rFonts w:eastAsia="Times New Roman" w:cstheme="minorHAnsi"/>
          <w:color w:val="006666"/>
          <w:sz w:val="20"/>
          <w:szCs w:val="20"/>
        </w:rPr>
        <w:t xml:space="preserve"> </w:t>
      </w:r>
      <w:r w:rsidR="001D345A">
        <w:rPr>
          <w:rFonts w:eastAsia="Times New Roman" w:cstheme="minorHAnsi"/>
          <w:color w:val="006666"/>
          <w:sz w:val="20"/>
          <w:szCs w:val="20"/>
        </w:rPr>
        <w:t>note</w:t>
      </w:r>
      <w:r w:rsidR="00547A83">
        <w:rPr>
          <w:rFonts w:eastAsia="Times New Roman" w:cstheme="minorHAnsi"/>
          <w:color w:val="006666"/>
          <w:sz w:val="20"/>
          <w:szCs w:val="20"/>
        </w:rPr>
        <w:t>s</w:t>
      </w:r>
      <w:r w:rsidR="001D345A">
        <w:rPr>
          <w:rFonts w:eastAsia="Times New Roman" w:cstheme="minorHAnsi"/>
          <w:color w:val="006666"/>
          <w:sz w:val="20"/>
          <w:szCs w:val="20"/>
        </w:rPr>
        <w:t xml:space="preserve"> </w:t>
      </w:r>
      <w:r w:rsidR="00292353">
        <w:rPr>
          <w:rFonts w:eastAsia="Times New Roman" w:cstheme="minorHAnsi"/>
          <w:color w:val="006666"/>
          <w:sz w:val="20"/>
          <w:szCs w:val="20"/>
        </w:rPr>
        <w:t xml:space="preserve">the highest volumes of activity for </w:t>
      </w:r>
      <w:r w:rsidR="00547A83">
        <w:rPr>
          <w:rFonts w:eastAsia="Times New Roman" w:cstheme="minorHAnsi"/>
          <w:color w:val="006666"/>
          <w:sz w:val="20"/>
          <w:szCs w:val="20"/>
        </w:rPr>
        <w:t>i</w:t>
      </w:r>
      <w:r w:rsidR="00292353">
        <w:rPr>
          <w:rFonts w:eastAsia="Times New Roman" w:cstheme="minorHAnsi"/>
          <w:color w:val="006666"/>
          <w:sz w:val="20"/>
          <w:szCs w:val="20"/>
        </w:rPr>
        <w:t xml:space="preserve">nternalised settlement </w:t>
      </w:r>
      <w:r w:rsidR="007A2EFF">
        <w:rPr>
          <w:rFonts w:eastAsia="Times New Roman" w:cstheme="minorHAnsi"/>
          <w:color w:val="006666"/>
          <w:sz w:val="20"/>
          <w:szCs w:val="20"/>
        </w:rPr>
        <w:t xml:space="preserve">stems from </w:t>
      </w:r>
      <w:r w:rsidR="00D20CDE">
        <w:rPr>
          <w:rFonts w:eastAsia="Times New Roman" w:cstheme="minorHAnsi"/>
          <w:color w:val="006666"/>
          <w:sz w:val="20"/>
          <w:szCs w:val="20"/>
        </w:rPr>
        <w:t>tri-party collateral</w:t>
      </w:r>
      <w:r w:rsidR="00547A83">
        <w:rPr>
          <w:rFonts w:eastAsia="Times New Roman" w:cstheme="minorHAnsi"/>
          <w:color w:val="006666"/>
          <w:sz w:val="20"/>
          <w:szCs w:val="20"/>
        </w:rPr>
        <w:t xml:space="preserve"> </w:t>
      </w:r>
      <w:r w:rsidR="00A45565">
        <w:rPr>
          <w:rFonts w:eastAsia="Times New Roman" w:cstheme="minorHAnsi"/>
          <w:color w:val="006666"/>
          <w:sz w:val="20"/>
          <w:szCs w:val="20"/>
        </w:rPr>
        <w:t>manag</w:t>
      </w:r>
      <w:r w:rsidR="00622068">
        <w:rPr>
          <w:rFonts w:eastAsia="Times New Roman" w:cstheme="minorHAnsi"/>
          <w:color w:val="006666"/>
          <w:sz w:val="20"/>
          <w:szCs w:val="20"/>
        </w:rPr>
        <w:t>ers</w:t>
      </w:r>
      <w:r w:rsidR="00061EBF">
        <w:rPr>
          <w:rFonts w:eastAsia="Times New Roman" w:cstheme="minorHAnsi"/>
          <w:color w:val="006666"/>
          <w:sz w:val="20"/>
          <w:szCs w:val="20"/>
        </w:rPr>
        <w:t>,</w:t>
      </w:r>
      <w:r w:rsidR="00397FA4">
        <w:rPr>
          <w:rFonts w:eastAsia="Times New Roman" w:cstheme="minorHAnsi"/>
          <w:color w:val="006666"/>
          <w:sz w:val="20"/>
          <w:szCs w:val="20"/>
        </w:rPr>
        <w:t xml:space="preserve"> </w:t>
      </w:r>
      <w:r w:rsidR="00061EBF">
        <w:rPr>
          <w:rFonts w:eastAsia="Times New Roman" w:cstheme="minorHAnsi"/>
          <w:color w:val="006666"/>
          <w:sz w:val="20"/>
          <w:szCs w:val="20"/>
        </w:rPr>
        <w:t xml:space="preserve">who </w:t>
      </w:r>
      <w:r w:rsidR="0019704B">
        <w:rPr>
          <w:rFonts w:eastAsia="Times New Roman" w:cstheme="minorHAnsi"/>
          <w:color w:val="006666"/>
          <w:sz w:val="20"/>
          <w:szCs w:val="20"/>
        </w:rPr>
        <w:t>provide collateral service</w:t>
      </w:r>
      <w:r>
        <w:rPr>
          <w:rFonts w:eastAsia="Times New Roman" w:cstheme="minorHAnsi"/>
          <w:color w:val="006666"/>
          <w:sz w:val="20"/>
          <w:szCs w:val="20"/>
        </w:rPr>
        <w:t>s</w:t>
      </w:r>
      <w:r w:rsidR="0019704B">
        <w:rPr>
          <w:rFonts w:eastAsia="Times New Roman" w:cstheme="minorHAnsi"/>
          <w:color w:val="006666"/>
          <w:sz w:val="20"/>
          <w:szCs w:val="20"/>
        </w:rPr>
        <w:t xml:space="preserve"> for a significant majority of securities lending activity</w:t>
      </w:r>
      <w:r w:rsidR="0070229B">
        <w:rPr>
          <w:rFonts w:eastAsia="Times New Roman" w:cstheme="minorHAnsi"/>
          <w:color w:val="006666"/>
          <w:sz w:val="20"/>
          <w:szCs w:val="20"/>
        </w:rPr>
        <w:t>.</w:t>
      </w:r>
      <w:r w:rsidR="007A06D8">
        <w:rPr>
          <w:rFonts w:eastAsia="Times New Roman" w:cstheme="minorHAnsi"/>
          <w:color w:val="006666"/>
          <w:sz w:val="20"/>
          <w:szCs w:val="20"/>
        </w:rPr>
        <w:t xml:space="preserve"> </w:t>
      </w:r>
      <w:r w:rsidR="00FB584A">
        <w:rPr>
          <w:rFonts w:eastAsia="Times New Roman" w:cstheme="minorHAnsi"/>
          <w:color w:val="006666"/>
          <w:sz w:val="20"/>
          <w:szCs w:val="20"/>
        </w:rPr>
        <w:t>This process</w:t>
      </w:r>
      <w:r w:rsidR="0019704B">
        <w:rPr>
          <w:rFonts w:eastAsia="Times New Roman" w:cstheme="minorHAnsi"/>
          <w:color w:val="006666"/>
          <w:sz w:val="20"/>
          <w:szCs w:val="20"/>
        </w:rPr>
        <w:t xml:space="preserve"> </w:t>
      </w:r>
      <w:r w:rsidR="005369A3" w:rsidRPr="006A54EB">
        <w:rPr>
          <w:rFonts w:eastAsia="Times New Roman" w:cstheme="minorHAnsi"/>
          <w:color w:val="006666"/>
          <w:sz w:val="20"/>
          <w:szCs w:val="20"/>
        </w:rPr>
        <w:t xml:space="preserve">achieves </w:t>
      </w:r>
      <w:r w:rsidR="002A78A4">
        <w:rPr>
          <w:rFonts w:eastAsia="Times New Roman" w:cstheme="minorHAnsi"/>
          <w:color w:val="006666"/>
          <w:sz w:val="20"/>
          <w:szCs w:val="20"/>
        </w:rPr>
        <w:t>the</w:t>
      </w:r>
      <w:r w:rsidR="00167259">
        <w:rPr>
          <w:rFonts w:eastAsia="Times New Roman" w:cstheme="minorHAnsi"/>
          <w:color w:val="006666"/>
          <w:sz w:val="20"/>
          <w:szCs w:val="20"/>
        </w:rPr>
        <w:t xml:space="preserve"> central</w:t>
      </w:r>
      <w:r w:rsidR="005369A3" w:rsidRPr="006A54EB">
        <w:rPr>
          <w:rFonts w:eastAsia="Times New Roman" w:cstheme="minorHAnsi"/>
          <w:color w:val="006666"/>
          <w:sz w:val="20"/>
          <w:szCs w:val="20"/>
        </w:rPr>
        <w:t xml:space="preserve"> objectives of CSDR</w:t>
      </w:r>
      <w:r w:rsidR="00B60101">
        <w:rPr>
          <w:rFonts w:eastAsia="Times New Roman" w:cstheme="minorHAnsi"/>
          <w:color w:val="006666"/>
          <w:sz w:val="20"/>
          <w:szCs w:val="20"/>
        </w:rPr>
        <w:t>,</w:t>
      </w:r>
      <w:r w:rsidR="005369A3" w:rsidRPr="006A54EB">
        <w:rPr>
          <w:rFonts w:eastAsia="Times New Roman" w:cstheme="minorHAnsi"/>
          <w:color w:val="006666"/>
          <w:sz w:val="20"/>
          <w:szCs w:val="20"/>
        </w:rPr>
        <w:t xml:space="preserve"> </w:t>
      </w:r>
      <w:r w:rsidR="00FD17F8" w:rsidRPr="006A54EB">
        <w:rPr>
          <w:rFonts w:eastAsia="Times New Roman" w:cstheme="minorHAnsi"/>
          <w:color w:val="006666"/>
          <w:sz w:val="20"/>
          <w:szCs w:val="20"/>
        </w:rPr>
        <w:t>by minimalizing settlement fails</w:t>
      </w:r>
      <w:r w:rsidR="00147488">
        <w:rPr>
          <w:rFonts w:eastAsia="Times New Roman" w:cstheme="minorHAnsi"/>
          <w:color w:val="006666"/>
          <w:sz w:val="20"/>
          <w:szCs w:val="20"/>
        </w:rPr>
        <w:t xml:space="preserve"> and </w:t>
      </w:r>
      <w:r w:rsidR="00FD17F8" w:rsidRPr="006A54EB">
        <w:rPr>
          <w:rFonts w:eastAsia="Times New Roman" w:cstheme="minorHAnsi"/>
          <w:color w:val="006666"/>
          <w:sz w:val="20"/>
          <w:szCs w:val="20"/>
        </w:rPr>
        <w:t>providing operational efficiency</w:t>
      </w:r>
      <w:r w:rsidR="00596108">
        <w:rPr>
          <w:rFonts w:eastAsia="Times New Roman" w:cstheme="minorHAnsi"/>
          <w:color w:val="006666"/>
          <w:sz w:val="20"/>
          <w:szCs w:val="20"/>
        </w:rPr>
        <w:t>. The</w:t>
      </w:r>
      <w:r w:rsidR="00937DCA" w:rsidRPr="00937DCA">
        <w:rPr>
          <w:rFonts w:eastAsia="Times New Roman" w:cstheme="minorHAnsi"/>
          <w:color w:val="006666"/>
          <w:sz w:val="20"/>
          <w:szCs w:val="20"/>
        </w:rPr>
        <w:t xml:space="preserve"> </w:t>
      </w:r>
      <w:r w:rsidR="00937DCA">
        <w:rPr>
          <w:rFonts w:eastAsia="Times New Roman" w:cstheme="minorHAnsi"/>
          <w:color w:val="006666"/>
          <w:sz w:val="20"/>
          <w:szCs w:val="20"/>
        </w:rPr>
        <w:t xml:space="preserve">high </w:t>
      </w:r>
      <w:r w:rsidR="00937DCA" w:rsidRPr="006A54EB">
        <w:rPr>
          <w:rFonts w:eastAsia="Times New Roman" w:cstheme="minorHAnsi"/>
          <w:color w:val="006666"/>
          <w:sz w:val="20"/>
          <w:szCs w:val="20"/>
        </w:rPr>
        <w:t>levels of Internalised settlement</w:t>
      </w:r>
      <w:r w:rsidR="00EF5E17">
        <w:rPr>
          <w:rFonts w:eastAsia="Times New Roman" w:cstheme="minorHAnsi"/>
          <w:color w:val="006666"/>
          <w:sz w:val="20"/>
          <w:szCs w:val="20"/>
        </w:rPr>
        <w:t xml:space="preserve">, </w:t>
      </w:r>
      <w:r w:rsidR="00937DCA" w:rsidRPr="006A54EB">
        <w:rPr>
          <w:rFonts w:eastAsia="Times New Roman" w:cstheme="minorHAnsi"/>
          <w:color w:val="006666"/>
          <w:sz w:val="20"/>
          <w:szCs w:val="20"/>
        </w:rPr>
        <w:t xml:space="preserve">as outlined in the ESMA report, </w:t>
      </w:r>
      <w:r w:rsidR="00937DCA">
        <w:rPr>
          <w:rFonts w:eastAsia="Times New Roman" w:cstheme="minorHAnsi"/>
          <w:color w:val="006666"/>
          <w:sz w:val="20"/>
          <w:szCs w:val="20"/>
        </w:rPr>
        <w:t xml:space="preserve">may often merely </w:t>
      </w:r>
      <w:r w:rsidR="00937DCA" w:rsidRPr="006A54EB">
        <w:rPr>
          <w:rFonts w:eastAsia="Times New Roman" w:cstheme="minorHAnsi"/>
          <w:color w:val="006666"/>
          <w:sz w:val="20"/>
          <w:szCs w:val="20"/>
        </w:rPr>
        <w:t>reflect counterparties ability to utilise omnibus accounts.</w:t>
      </w:r>
      <w:r w:rsidR="00147488">
        <w:rPr>
          <w:rFonts w:eastAsia="Times New Roman" w:cstheme="minorHAnsi"/>
          <w:color w:val="006666"/>
          <w:sz w:val="20"/>
          <w:szCs w:val="20"/>
        </w:rPr>
        <w:t xml:space="preserve"> </w:t>
      </w:r>
      <w:r w:rsidR="00BD498C" w:rsidRPr="006A54EB">
        <w:rPr>
          <w:rFonts w:eastAsia="Times New Roman" w:cstheme="minorHAnsi"/>
          <w:color w:val="006666"/>
          <w:sz w:val="20"/>
          <w:szCs w:val="20"/>
        </w:rPr>
        <w:t>T</w:t>
      </w:r>
      <w:r w:rsidR="0023380B" w:rsidRPr="006A54EB">
        <w:rPr>
          <w:rFonts w:eastAsia="Times New Roman" w:cstheme="minorHAnsi"/>
          <w:color w:val="006666"/>
          <w:sz w:val="20"/>
          <w:szCs w:val="20"/>
        </w:rPr>
        <w:t xml:space="preserve">ri-party collateral managers provide an efficient means of moving collateral between counterparties, whereby both </w:t>
      </w:r>
      <w:r w:rsidR="003D66F8" w:rsidRPr="006A54EB">
        <w:rPr>
          <w:rFonts w:eastAsia="Times New Roman" w:cstheme="minorHAnsi"/>
          <w:color w:val="006666"/>
          <w:sz w:val="20"/>
          <w:szCs w:val="20"/>
        </w:rPr>
        <w:t>collateral provider and receiver</w:t>
      </w:r>
      <w:r w:rsidR="006C341F" w:rsidRPr="006A54EB">
        <w:rPr>
          <w:rFonts w:eastAsia="Times New Roman" w:cstheme="minorHAnsi"/>
          <w:color w:val="006666"/>
          <w:sz w:val="20"/>
          <w:szCs w:val="20"/>
        </w:rPr>
        <w:t xml:space="preserve"> hold</w:t>
      </w:r>
      <w:r w:rsidR="0023380B" w:rsidRPr="006A54EB">
        <w:rPr>
          <w:rFonts w:eastAsia="Times New Roman" w:cstheme="minorHAnsi"/>
          <w:color w:val="006666"/>
          <w:sz w:val="20"/>
          <w:szCs w:val="20"/>
        </w:rPr>
        <w:t xml:space="preserve"> accounts on the </w:t>
      </w:r>
      <w:r w:rsidR="00BD498C" w:rsidRPr="006A54EB">
        <w:rPr>
          <w:rFonts w:eastAsia="Times New Roman" w:cstheme="minorHAnsi"/>
          <w:color w:val="006666"/>
          <w:sz w:val="20"/>
          <w:szCs w:val="20"/>
        </w:rPr>
        <w:t>t</w:t>
      </w:r>
      <w:r w:rsidR="0023380B" w:rsidRPr="006A54EB">
        <w:rPr>
          <w:rFonts w:eastAsia="Times New Roman" w:cstheme="minorHAnsi"/>
          <w:color w:val="006666"/>
          <w:sz w:val="20"/>
          <w:szCs w:val="20"/>
        </w:rPr>
        <w:t xml:space="preserve">ri-party </w:t>
      </w:r>
      <w:r w:rsidR="00E602F5">
        <w:rPr>
          <w:rFonts w:eastAsia="Times New Roman" w:cstheme="minorHAnsi"/>
          <w:color w:val="006666"/>
          <w:sz w:val="20"/>
          <w:szCs w:val="20"/>
        </w:rPr>
        <w:t>collateral managers</w:t>
      </w:r>
      <w:r w:rsidR="00E602F5" w:rsidRPr="006A54EB">
        <w:rPr>
          <w:rFonts w:eastAsia="Times New Roman" w:cstheme="minorHAnsi"/>
          <w:color w:val="006666"/>
          <w:sz w:val="20"/>
          <w:szCs w:val="20"/>
        </w:rPr>
        <w:t xml:space="preserve">’ </w:t>
      </w:r>
      <w:r w:rsidR="0023380B" w:rsidRPr="006A54EB">
        <w:rPr>
          <w:rFonts w:eastAsia="Times New Roman" w:cstheme="minorHAnsi"/>
          <w:color w:val="006666"/>
          <w:sz w:val="20"/>
          <w:szCs w:val="20"/>
        </w:rPr>
        <w:t xml:space="preserve">books. </w:t>
      </w:r>
      <w:r w:rsidR="00BD498C" w:rsidRPr="006A54EB">
        <w:rPr>
          <w:rFonts w:eastAsia="Times New Roman" w:cstheme="minorHAnsi"/>
          <w:color w:val="006666"/>
          <w:sz w:val="20"/>
          <w:szCs w:val="20"/>
        </w:rPr>
        <w:t xml:space="preserve">The </w:t>
      </w:r>
      <w:r w:rsidR="00926265" w:rsidRPr="006A54EB">
        <w:rPr>
          <w:rFonts w:eastAsia="Times New Roman" w:cstheme="minorHAnsi"/>
          <w:color w:val="006666"/>
          <w:sz w:val="20"/>
          <w:szCs w:val="20"/>
        </w:rPr>
        <w:t>c</w:t>
      </w:r>
      <w:r w:rsidR="0023380B" w:rsidRPr="006A54EB">
        <w:rPr>
          <w:rFonts w:eastAsia="Times New Roman" w:cstheme="minorHAnsi"/>
          <w:color w:val="006666"/>
          <w:sz w:val="20"/>
          <w:szCs w:val="20"/>
        </w:rPr>
        <w:t xml:space="preserve">ollateral provider delivers assets into the </w:t>
      </w:r>
      <w:r w:rsidR="00BD498C" w:rsidRPr="006A54EB">
        <w:rPr>
          <w:rFonts w:eastAsia="Times New Roman" w:cstheme="minorHAnsi"/>
          <w:color w:val="006666"/>
          <w:sz w:val="20"/>
          <w:szCs w:val="20"/>
        </w:rPr>
        <w:t>t</w:t>
      </w:r>
      <w:r w:rsidR="0023380B" w:rsidRPr="006A54EB">
        <w:rPr>
          <w:rFonts w:eastAsia="Times New Roman" w:cstheme="minorHAnsi"/>
          <w:color w:val="006666"/>
          <w:sz w:val="20"/>
          <w:szCs w:val="20"/>
        </w:rPr>
        <w:t xml:space="preserve">ri-party program (external movement from the providers custodian), after which the </w:t>
      </w:r>
      <w:r w:rsidR="006C341F">
        <w:rPr>
          <w:rFonts w:eastAsia="Times New Roman" w:cstheme="minorHAnsi"/>
          <w:color w:val="006666"/>
          <w:sz w:val="20"/>
          <w:szCs w:val="20"/>
        </w:rPr>
        <w:t>t</w:t>
      </w:r>
      <w:r w:rsidR="0023380B" w:rsidRPr="006A54EB">
        <w:rPr>
          <w:rFonts w:eastAsia="Times New Roman" w:cstheme="minorHAnsi"/>
          <w:color w:val="006666"/>
          <w:sz w:val="20"/>
          <w:szCs w:val="20"/>
        </w:rPr>
        <w:t xml:space="preserve">ri-party </w:t>
      </w:r>
      <w:r w:rsidR="00024CAC">
        <w:rPr>
          <w:rFonts w:eastAsia="Times New Roman" w:cstheme="minorHAnsi"/>
          <w:color w:val="006666"/>
          <w:sz w:val="20"/>
          <w:szCs w:val="20"/>
        </w:rPr>
        <w:t>collateral manager</w:t>
      </w:r>
      <w:r w:rsidR="00024CAC" w:rsidRPr="006A54EB">
        <w:rPr>
          <w:rFonts w:eastAsia="Times New Roman" w:cstheme="minorHAnsi"/>
          <w:color w:val="006666"/>
          <w:sz w:val="20"/>
          <w:szCs w:val="20"/>
        </w:rPr>
        <w:t xml:space="preserve"> </w:t>
      </w:r>
      <w:r w:rsidR="0023380B" w:rsidRPr="006A54EB">
        <w:rPr>
          <w:rFonts w:eastAsia="Times New Roman" w:cstheme="minorHAnsi"/>
          <w:color w:val="006666"/>
          <w:sz w:val="20"/>
          <w:szCs w:val="20"/>
        </w:rPr>
        <w:t>(acting upon client instruction)</w:t>
      </w:r>
      <w:r w:rsidR="00B269F2">
        <w:rPr>
          <w:rFonts w:eastAsia="Times New Roman" w:cstheme="minorHAnsi"/>
          <w:color w:val="006666"/>
          <w:sz w:val="20"/>
          <w:szCs w:val="20"/>
        </w:rPr>
        <w:t>,</w:t>
      </w:r>
      <w:r w:rsidR="0023380B" w:rsidRPr="006A54EB">
        <w:rPr>
          <w:rFonts w:eastAsia="Times New Roman" w:cstheme="minorHAnsi"/>
          <w:color w:val="006666"/>
          <w:sz w:val="20"/>
          <w:szCs w:val="20"/>
        </w:rPr>
        <w:t xml:space="preserve"> will ensure that securities are allocated, </w:t>
      </w:r>
      <w:r w:rsidR="0049112A" w:rsidRPr="006A54EB">
        <w:rPr>
          <w:rFonts w:eastAsia="Times New Roman" w:cstheme="minorHAnsi"/>
          <w:color w:val="006666"/>
          <w:sz w:val="20"/>
          <w:szCs w:val="20"/>
        </w:rPr>
        <w:t>substituted,</w:t>
      </w:r>
      <w:r w:rsidR="0023380B" w:rsidRPr="006A54EB">
        <w:rPr>
          <w:rFonts w:eastAsia="Times New Roman" w:cstheme="minorHAnsi"/>
          <w:color w:val="006666"/>
          <w:sz w:val="20"/>
          <w:szCs w:val="20"/>
        </w:rPr>
        <w:t xml:space="preserve"> and reused as necessary</w:t>
      </w:r>
      <w:r w:rsidR="00B269F2">
        <w:rPr>
          <w:rFonts w:eastAsia="Times New Roman" w:cstheme="minorHAnsi"/>
          <w:color w:val="006666"/>
          <w:sz w:val="20"/>
          <w:szCs w:val="20"/>
        </w:rPr>
        <w:t>,</w:t>
      </w:r>
      <w:r w:rsidR="0023380B" w:rsidRPr="006A54EB">
        <w:rPr>
          <w:rFonts w:eastAsia="Times New Roman" w:cstheme="minorHAnsi"/>
          <w:color w:val="006666"/>
          <w:sz w:val="20"/>
          <w:szCs w:val="20"/>
        </w:rPr>
        <w:t xml:space="preserve"> to ensure all parties are fully </w:t>
      </w:r>
      <w:r w:rsidR="0049112A" w:rsidRPr="006A54EB">
        <w:rPr>
          <w:rFonts w:eastAsia="Times New Roman" w:cstheme="minorHAnsi"/>
          <w:color w:val="006666"/>
          <w:sz w:val="20"/>
          <w:szCs w:val="20"/>
        </w:rPr>
        <w:t>collateralised for</w:t>
      </w:r>
      <w:r w:rsidR="0023380B" w:rsidRPr="006A54EB">
        <w:rPr>
          <w:rFonts w:eastAsia="Times New Roman" w:cstheme="minorHAnsi"/>
          <w:color w:val="006666"/>
          <w:sz w:val="20"/>
          <w:szCs w:val="20"/>
        </w:rPr>
        <w:t xml:space="preserve"> their underlying transactions. All resulting collateral movements are then considered reportable transactions</w:t>
      </w:r>
      <w:r w:rsidR="006A54EB" w:rsidRPr="006A54EB">
        <w:rPr>
          <w:rFonts w:eastAsia="Times New Roman" w:cstheme="minorHAnsi"/>
          <w:color w:val="006666"/>
          <w:sz w:val="20"/>
          <w:szCs w:val="20"/>
        </w:rPr>
        <w:t xml:space="preserve"> </w:t>
      </w:r>
      <w:r w:rsidR="00B269F2">
        <w:rPr>
          <w:rFonts w:eastAsia="Times New Roman" w:cstheme="minorHAnsi"/>
          <w:color w:val="006666"/>
          <w:sz w:val="20"/>
          <w:szCs w:val="20"/>
        </w:rPr>
        <w:t xml:space="preserve">under </w:t>
      </w:r>
      <w:r w:rsidR="00BB5727">
        <w:rPr>
          <w:rFonts w:eastAsia="Times New Roman" w:cstheme="minorHAnsi"/>
          <w:color w:val="006666"/>
          <w:sz w:val="20"/>
          <w:szCs w:val="20"/>
        </w:rPr>
        <w:t>CSDR</w:t>
      </w:r>
      <w:r w:rsidR="001A7420">
        <w:rPr>
          <w:rFonts w:eastAsia="Times New Roman" w:cstheme="minorHAnsi"/>
          <w:color w:val="006666"/>
          <w:sz w:val="20"/>
          <w:szCs w:val="20"/>
        </w:rPr>
        <w:t>.</w:t>
      </w:r>
      <w:r w:rsidR="00D93CDC">
        <w:rPr>
          <w:rFonts w:eastAsia="Times New Roman" w:cstheme="minorHAnsi"/>
          <w:color w:val="006666"/>
          <w:sz w:val="20"/>
          <w:szCs w:val="20"/>
        </w:rPr>
        <w:t xml:space="preserve"> </w:t>
      </w:r>
    </w:p>
    <w:p w14:paraId="688863C2" w14:textId="77777777" w:rsidR="005F00D0" w:rsidRDefault="005F00D0" w:rsidP="005F00D0">
      <w:pPr>
        <w:spacing w:after="0" w:line="240" w:lineRule="auto"/>
        <w:ind w:left="-426"/>
        <w:rPr>
          <w:rFonts w:eastAsia="Times New Roman" w:cstheme="minorHAnsi"/>
          <w:color w:val="006666"/>
          <w:sz w:val="20"/>
          <w:szCs w:val="20"/>
        </w:rPr>
      </w:pPr>
    </w:p>
    <w:p w14:paraId="07784C1C" w14:textId="1A8B6207" w:rsidR="00653B3C" w:rsidRDefault="005F00D0" w:rsidP="005F00D0">
      <w:pPr>
        <w:spacing w:after="0" w:line="240" w:lineRule="auto"/>
        <w:ind w:left="-426"/>
        <w:rPr>
          <w:rFonts w:eastAsia="Times New Roman" w:cstheme="minorHAnsi"/>
          <w:color w:val="006666"/>
          <w:sz w:val="20"/>
          <w:szCs w:val="20"/>
        </w:rPr>
      </w:pPr>
      <w:r>
        <w:rPr>
          <w:rFonts w:eastAsia="Times New Roman" w:cstheme="minorHAnsi"/>
          <w:color w:val="006666"/>
          <w:sz w:val="20"/>
          <w:szCs w:val="20"/>
        </w:rPr>
        <w:t xml:space="preserve">When assessing </w:t>
      </w:r>
      <w:r w:rsidR="00723D88">
        <w:rPr>
          <w:rFonts w:eastAsia="Times New Roman" w:cstheme="minorHAnsi"/>
          <w:color w:val="006666"/>
          <w:sz w:val="20"/>
          <w:szCs w:val="20"/>
        </w:rPr>
        <w:t xml:space="preserve">the </w:t>
      </w:r>
      <w:r w:rsidR="008C6420">
        <w:rPr>
          <w:rFonts w:eastAsia="Times New Roman" w:cstheme="minorHAnsi"/>
          <w:color w:val="006666"/>
          <w:sz w:val="20"/>
          <w:szCs w:val="20"/>
        </w:rPr>
        <w:t xml:space="preserve">risks </w:t>
      </w:r>
      <w:r w:rsidR="00401590">
        <w:rPr>
          <w:rFonts w:eastAsia="Times New Roman" w:cstheme="minorHAnsi"/>
          <w:color w:val="006666"/>
          <w:sz w:val="20"/>
          <w:szCs w:val="20"/>
        </w:rPr>
        <w:t xml:space="preserve">of internalised settlements, </w:t>
      </w:r>
      <w:r w:rsidR="006A54EB" w:rsidRPr="006A54EB">
        <w:rPr>
          <w:rFonts w:eastAsia="Times New Roman" w:cstheme="minorHAnsi"/>
          <w:color w:val="006666"/>
          <w:sz w:val="20"/>
          <w:szCs w:val="20"/>
        </w:rPr>
        <w:t xml:space="preserve">it is important to note the </w:t>
      </w:r>
      <w:r w:rsidR="00400F25" w:rsidRPr="006A54EB">
        <w:rPr>
          <w:rFonts w:eastAsia="Times New Roman" w:cstheme="minorHAnsi"/>
          <w:color w:val="006666"/>
          <w:sz w:val="20"/>
          <w:szCs w:val="20"/>
        </w:rPr>
        <w:t>following</w:t>
      </w:r>
      <w:r w:rsidR="00B269F2">
        <w:rPr>
          <w:rFonts w:eastAsia="Times New Roman" w:cstheme="minorHAnsi"/>
          <w:color w:val="006666"/>
          <w:sz w:val="20"/>
          <w:szCs w:val="20"/>
        </w:rPr>
        <w:t>:</w:t>
      </w:r>
    </w:p>
    <w:p w14:paraId="53F06DD0" w14:textId="77777777" w:rsidR="00653B3C" w:rsidRDefault="00653B3C" w:rsidP="00511FE0">
      <w:pPr>
        <w:spacing w:after="0" w:line="240" w:lineRule="auto"/>
        <w:ind w:left="-426"/>
        <w:rPr>
          <w:rFonts w:eastAsia="Times New Roman" w:cstheme="minorHAnsi"/>
          <w:color w:val="006666"/>
          <w:sz w:val="20"/>
          <w:szCs w:val="20"/>
        </w:rPr>
      </w:pPr>
    </w:p>
    <w:p w14:paraId="2E9D1741" w14:textId="7E59FEF3" w:rsidR="009750C2" w:rsidRDefault="0023380B" w:rsidP="00653B3C">
      <w:pPr>
        <w:pStyle w:val="ListParagraph"/>
        <w:numPr>
          <w:ilvl w:val="0"/>
          <w:numId w:val="12"/>
        </w:numPr>
        <w:spacing w:after="0" w:line="240" w:lineRule="auto"/>
        <w:rPr>
          <w:rFonts w:eastAsia="Times New Roman" w:cstheme="minorHAnsi"/>
          <w:color w:val="006666"/>
          <w:sz w:val="20"/>
          <w:szCs w:val="20"/>
        </w:rPr>
      </w:pPr>
      <w:r w:rsidRPr="00653B3C">
        <w:rPr>
          <w:rFonts w:eastAsia="Times New Roman" w:cstheme="minorHAnsi"/>
          <w:color w:val="006666"/>
          <w:sz w:val="20"/>
          <w:szCs w:val="20"/>
        </w:rPr>
        <w:t xml:space="preserve">Tri-party collateral is extensively used to </w:t>
      </w:r>
      <w:r w:rsidRPr="00401590">
        <w:rPr>
          <w:rFonts w:eastAsia="Times New Roman" w:cstheme="minorHAnsi"/>
          <w:color w:val="006666"/>
          <w:sz w:val="20"/>
          <w:szCs w:val="20"/>
          <w:u w:val="single"/>
        </w:rPr>
        <w:t>mitigate</w:t>
      </w:r>
      <w:r w:rsidRPr="00653B3C">
        <w:rPr>
          <w:rFonts w:eastAsia="Times New Roman" w:cstheme="minorHAnsi"/>
          <w:color w:val="006666"/>
          <w:sz w:val="20"/>
          <w:szCs w:val="20"/>
        </w:rPr>
        <w:t xml:space="preserve"> counterparty credit risk</w:t>
      </w:r>
      <w:r w:rsidR="00521CC2" w:rsidRPr="00653B3C">
        <w:rPr>
          <w:rFonts w:eastAsia="Times New Roman" w:cstheme="minorHAnsi"/>
          <w:color w:val="006666"/>
          <w:sz w:val="20"/>
          <w:szCs w:val="20"/>
        </w:rPr>
        <w:t>,</w:t>
      </w:r>
      <w:r w:rsidRPr="00653B3C">
        <w:rPr>
          <w:rFonts w:eastAsia="Times New Roman" w:cstheme="minorHAnsi"/>
          <w:color w:val="006666"/>
          <w:sz w:val="20"/>
          <w:szCs w:val="20"/>
        </w:rPr>
        <w:t xml:space="preserve"> arising primarily from securities financing activity, but also from OTC derivatives and result in many intra-day movements</w:t>
      </w:r>
      <w:r w:rsidR="00653B3C">
        <w:rPr>
          <w:rFonts w:eastAsia="Times New Roman" w:cstheme="minorHAnsi"/>
          <w:color w:val="006666"/>
          <w:sz w:val="20"/>
          <w:szCs w:val="20"/>
        </w:rPr>
        <w:t>.</w:t>
      </w:r>
    </w:p>
    <w:p w14:paraId="49ED1EAE" w14:textId="2E8923DC" w:rsidR="00135D5D" w:rsidRPr="003D66F8" w:rsidRDefault="0023380B" w:rsidP="00EF2BD8">
      <w:pPr>
        <w:pStyle w:val="ListParagraph"/>
        <w:numPr>
          <w:ilvl w:val="0"/>
          <w:numId w:val="12"/>
        </w:numPr>
        <w:spacing w:after="0" w:line="240" w:lineRule="auto"/>
        <w:rPr>
          <w:rFonts w:eastAsia="Times New Roman" w:cstheme="minorHAnsi"/>
          <w:color w:val="006666"/>
          <w:sz w:val="20"/>
          <w:szCs w:val="20"/>
        </w:rPr>
      </w:pPr>
      <w:r w:rsidRPr="003D66F8">
        <w:rPr>
          <w:rFonts w:eastAsia="Times New Roman" w:cstheme="minorHAnsi"/>
          <w:color w:val="006666"/>
          <w:sz w:val="20"/>
          <w:szCs w:val="20"/>
        </w:rPr>
        <w:t xml:space="preserve">Reportable volume from </w:t>
      </w:r>
      <w:r w:rsidR="006B7DAD" w:rsidRPr="003D66F8">
        <w:rPr>
          <w:rFonts w:eastAsia="Times New Roman" w:cstheme="minorHAnsi"/>
          <w:color w:val="006666"/>
          <w:sz w:val="20"/>
          <w:szCs w:val="20"/>
        </w:rPr>
        <w:t>t</w:t>
      </w:r>
      <w:r w:rsidRPr="003D66F8">
        <w:rPr>
          <w:rFonts w:eastAsia="Times New Roman" w:cstheme="minorHAnsi"/>
          <w:color w:val="006666"/>
          <w:sz w:val="20"/>
          <w:szCs w:val="20"/>
        </w:rPr>
        <w:t xml:space="preserve">ri-party </w:t>
      </w:r>
      <w:r w:rsidR="00A84C64" w:rsidRPr="003D66F8">
        <w:rPr>
          <w:rFonts w:eastAsia="Times New Roman" w:cstheme="minorHAnsi"/>
          <w:color w:val="006666"/>
          <w:sz w:val="20"/>
          <w:szCs w:val="20"/>
        </w:rPr>
        <w:t xml:space="preserve">collateral managers </w:t>
      </w:r>
      <w:r w:rsidRPr="003D66F8">
        <w:rPr>
          <w:rFonts w:eastAsia="Times New Roman" w:cstheme="minorHAnsi"/>
          <w:color w:val="006666"/>
          <w:sz w:val="20"/>
          <w:szCs w:val="20"/>
        </w:rPr>
        <w:t xml:space="preserve">is very high, eclipsing other internalising activity for those </w:t>
      </w:r>
      <w:r w:rsidR="00A50D25" w:rsidRPr="003D66F8">
        <w:rPr>
          <w:rFonts w:eastAsia="Times New Roman" w:cstheme="minorHAnsi"/>
          <w:color w:val="006666"/>
          <w:sz w:val="20"/>
          <w:szCs w:val="20"/>
        </w:rPr>
        <w:t>entities</w:t>
      </w:r>
      <w:r w:rsidR="00521CC2" w:rsidRPr="003D66F8">
        <w:rPr>
          <w:rFonts w:eastAsia="Times New Roman" w:cstheme="minorHAnsi"/>
          <w:color w:val="006666"/>
          <w:sz w:val="20"/>
          <w:szCs w:val="20"/>
        </w:rPr>
        <w:t>,</w:t>
      </w:r>
      <w:r w:rsidR="00A50D25" w:rsidRPr="003D66F8">
        <w:rPr>
          <w:rFonts w:eastAsia="Times New Roman" w:cstheme="minorHAnsi"/>
          <w:color w:val="006666"/>
          <w:sz w:val="20"/>
          <w:szCs w:val="20"/>
        </w:rPr>
        <w:t xml:space="preserve"> which</w:t>
      </w:r>
      <w:r w:rsidRPr="003D66F8">
        <w:rPr>
          <w:rFonts w:eastAsia="Times New Roman" w:cstheme="minorHAnsi"/>
          <w:color w:val="006666"/>
          <w:sz w:val="20"/>
          <w:szCs w:val="20"/>
        </w:rPr>
        <w:t xml:space="preserve"> is largely driven by intraday optimisation of collateral holdings</w:t>
      </w:r>
      <w:r w:rsidR="00521CC2" w:rsidRPr="003D66F8">
        <w:rPr>
          <w:rFonts w:eastAsia="Times New Roman" w:cstheme="minorHAnsi"/>
          <w:color w:val="006666"/>
          <w:sz w:val="20"/>
          <w:szCs w:val="20"/>
        </w:rPr>
        <w:t>,</w:t>
      </w:r>
      <w:r w:rsidRPr="003D66F8">
        <w:rPr>
          <w:rFonts w:eastAsia="Times New Roman" w:cstheme="minorHAnsi"/>
          <w:color w:val="006666"/>
          <w:sz w:val="20"/>
          <w:szCs w:val="20"/>
        </w:rPr>
        <w:t xml:space="preserve"> to ensure that the exposure amounts are covered by sufficient eligible collateral at all times, protecting lenders and allowing borrowers to optimise their financing and settlement needs</w:t>
      </w:r>
      <w:r w:rsidR="00E71864" w:rsidRPr="003D66F8">
        <w:rPr>
          <w:rFonts w:eastAsia="Times New Roman" w:cstheme="minorHAnsi"/>
          <w:color w:val="006666"/>
          <w:sz w:val="20"/>
          <w:szCs w:val="20"/>
        </w:rPr>
        <w:t>.</w:t>
      </w:r>
      <w:r w:rsidRPr="003D66F8">
        <w:rPr>
          <w:rFonts w:eastAsia="Times New Roman" w:cstheme="minorHAnsi"/>
          <w:color w:val="006666"/>
          <w:sz w:val="20"/>
          <w:szCs w:val="20"/>
        </w:rPr>
        <w:t xml:space="preserve"> </w:t>
      </w:r>
    </w:p>
    <w:p w14:paraId="2A476C22" w14:textId="4CBC5B30" w:rsidR="00DA247B" w:rsidRDefault="00401590" w:rsidP="00EF2BD8">
      <w:pPr>
        <w:pStyle w:val="ListParagraph"/>
        <w:numPr>
          <w:ilvl w:val="0"/>
          <w:numId w:val="12"/>
        </w:numPr>
        <w:spacing w:after="0" w:line="240" w:lineRule="auto"/>
      </w:pPr>
      <w:r w:rsidRPr="00EF2BD8">
        <w:rPr>
          <w:rFonts w:eastAsia="Times New Roman" w:cstheme="minorHAnsi"/>
          <w:color w:val="006666"/>
          <w:sz w:val="20"/>
          <w:szCs w:val="20"/>
        </w:rPr>
        <w:t>The</w:t>
      </w:r>
      <w:r w:rsidR="001A08EC" w:rsidRPr="00EF2BD8">
        <w:rPr>
          <w:rFonts w:eastAsia="Times New Roman" w:cstheme="minorHAnsi"/>
          <w:color w:val="006666"/>
          <w:sz w:val="20"/>
          <w:szCs w:val="20"/>
        </w:rPr>
        <w:t xml:space="preserve"> o</w:t>
      </w:r>
      <w:r w:rsidR="0023380B" w:rsidRPr="00EF2BD8">
        <w:rPr>
          <w:rFonts w:eastAsia="Times New Roman" w:cstheme="minorHAnsi"/>
          <w:color w:val="006666"/>
          <w:sz w:val="20"/>
          <w:szCs w:val="20"/>
        </w:rPr>
        <w:t xml:space="preserve">verall fail rate </w:t>
      </w:r>
      <w:r w:rsidR="001A08EC" w:rsidRPr="00EF2BD8">
        <w:rPr>
          <w:rFonts w:eastAsia="Times New Roman" w:cstheme="minorHAnsi"/>
          <w:color w:val="006666"/>
          <w:sz w:val="20"/>
          <w:szCs w:val="20"/>
        </w:rPr>
        <w:t>is considerably</w:t>
      </w:r>
      <w:r w:rsidR="0023380B" w:rsidRPr="00EF2BD8">
        <w:rPr>
          <w:rFonts w:eastAsia="Times New Roman" w:cstheme="minorHAnsi"/>
          <w:color w:val="006666"/>
          <w:sz w:val="20"/>
          <w:szCs w:val="20"/>
        </w:rPr>
        <w:t xml:space="preserve"> low</w:t>
      </w:r>
      <w:r w:rsidR="009F4588" w:rsidRPr="00EF2BD8">
        <w:rPr>
          <w:rFonts w:eastAsia="Times New Roman" w:cstheme="minorHAnsi"/>
          <w:color w:val="006666"/>
          <w:sz w:val="20"/>
          <w:szCs w:val="20"/>
        </w:rPr>
        <w:t xml:space="preserve"> for tri-party movements</w:t>
      </w:r>
      <w:r w:rsidR="001A08EC" w:rsidRPr="00EF2BD8">
        <w:rPr>
          <w:rFonts w:eastAsia="Times New Roman" w:cstheme="minorHAnsi"/>
          <w:color w:val="006666"/>
          <w:sz w:val="20"/>
          <w:szCs w:val="20"/>
        </w:rPr>
        <w:t>,</w:t>
      </w:r>
      <w:r w:rsidR="0023380B" w:rsidRPr="00EF2BD8">
        <w:rPr>
          <w:rFonts w:eastAsia="Times New Roman" w:cstheme="minorHAnsi"/>
          <w:color w:val="006666"/>
          <w:sz w:val="20"/>
          <w:szCs w:val="20"/>
        </w:rPr>
        <w:t xml:space="preserve"> as settlements are input based on available positions.</w:t>
      </w:r>
      <w:r w:rsidR="00B36B72" w:rsidRPr="00521CC2">
        <w:t xml:space="preserve"> </w:t>
      </w:r>
    </w:p>
    <w:p w14:paraId="62B57207" w14:textId="3BD32388" w:rsidR="005032F3" w:rsidRPr="00EF2BD8" w:rsidRDefault="005032F3" w:rsidP="00EF2BD8">
      <w:pPr>
        <w:spacing w:after="0" w:line="240" w:lineRule="auto"/>
        <w:rPr>
          <w:rFonts w:cstheme="minorHAnsi"/>
          <w:sz w:val="18"/>
          <w:szCs w:val="18"/>
        </w:rPr>
      </w:pPr>
    </w:p>
    <w:p w14:paraId="68908150" w14:textId="7E39476C" w:rsidR="00270848" w:rsidRPr="00EA25FA" w:rsidRDefault="00270848" w:rsidP="00C519A6">
      <w:pPr>
        <w:pStyle w:val="Default"/>
        <w:ind w:left="-425" w:right="119"/>
        <w:rPr>
          <w:rFonts w:asciiTheme="minorHAnsi" w:hAnsiTheme="minorHAnsi" w:cstheme="minorHAnsi"/>
          <w:sz w:val="20"/>
          <w:szCs w:val="20"/>
        </w:rPr>
      </w:pPr>
      <w:r w:rsidRPr="00EA25FA">
        <w:rPr>
          <w:rFonts w:asciiTheme="minorHAnsi" w:hAnsiTheme="minorHAnsi" w:cstheme="minorHAnsi"/>
          <w:b/>
          <w:bCs/>
          <w:sz w:val="20"/>
          <w:szCs w:val="20"/>
        </w:rPr>
        <w:t>Question 15.2</w:t>
      </w:r>
      <w:r w:rsidRPr="00EA25FA">
        <w:rPr>
          <w:rFonts w:asciiTheme="minorHAnsi" w:hAnsiTheme="minorHAnsi" w:cstheme="minorHAnsi"/>
          <w:sz w:val="20"/>
          <w:szCs w:val="20"/>
        </w:rPr>
        <w:t xml:space="preserve">: If you are an entity falling under the definition of “settlement internaliser”, what have been the costs you have incurred to comply with the internalised settlement reporting regime? Where possible, please compare those costs to the volumes of your average annual activity of internalised settlement. </w:t>
      </w:r>
    </w:p>
    <w:p w14:paraId="7675E767" w14:textId="3DF6646A" w:rsidR="00270848" w:rsidRDefault="00270848" w:rsidP="00C519A6">
      <w:pPr>
        <w:pStyle w:val="Default"/>
        <w:ind w:left="-425" w:right="119"/>
        <w:rPr>
          <w:rFonts w:asciiTheme="minorHAnsi" w:hAnsiTheme="minorHAnsi" w:cstheme="minorHAnsi"/>
          <w:sz w:val="20"/>
          <w:szCs w:val="20"/>
        </w:rPr>
      </w:pPr>
    </w:p>
    <w:p w14:paraId="30770B7A" w14:textId="27D64264" w:rsidR="00463D8E" w:rsidRPr="00241A49" w:rsidRDefault="00241A49" w:rsidP="00C519A6">
      <w:pPr>
        <w:pStyle w:val="Default"/>
        <w:ind w:left="-425" w:right="119"/>
        <w:rPr>
          <w:rFonts w:asciiTheme="minorHAnsi" w:eastAsia="Times New Roman" w:hAnsiTheme="minorHAnsi" w:cstheme="minorHAnsi"/>
          <w:color w:val="006666"/>
          <w:sz w:val="20"/>
          <w:szCs w:val="20"/>
        </w:rPr>
      </w:pPr>
      <w:r w:rsidRPr="00241A49">
        <w:rPr>
          <w:rFonts w:asciiTheme="minorHAnsi" w:eastAsia="Times New Roman" w:hAnsiTheme="minorHAnsi" w:cstheme="minorHAnsi"/>
          <w:color w:val="006666"/>
          <w:sz w:val="20"/>
          <w:szCs w:val="20"/>
        </w:rPr>
        <w:t>ISLA members to provide this data directly to the Commission</w:t>
      </w:r>
    </w:p>
    <w:p w14:paraId="058AEEC3" w14:textId="77777777" w:rsidR="00463D8E" w:rsidRPr="00EA25FA" w:rsidRDefault="00463D8E" w:rsidP="00C519A6">
      <w:pPr>
        <w:pStyle w:val="Default"/>
        <w:ind w:left="-425" w:right="119"/>
        <w:rPr>
          <w:rFonts w:asciiTheme="minorHAnsi" w:hAnsiTheme="minorHAnsi" w:cstheme="minorHAnsi"/>
          <w:sz w:val="20"/>
          <w:szCs w:val="20"/>
        </w:rPr>
      </w:pPr>
    </w:p>
    <w:p w14:paraId="0ABDD613" w14:textId="243B4D49" w:rsidR="00270848" w:rsidRPr="00EA25FA" w:rsidRDefault="00270848" w:rsidP="00C519A6">
      <w:pPr>
        <w:pStyle w:val="Default"/>
        <w:ind w:left="-425" w:right="119"/>
        <w:rPr>
          <w:rFonts w:asciiTheme="minorHAnsi" w:hAnsiTheme="minorHAnsi" w:cstheme="minorHAnsi"/>
          <w:sz w:val="20"/>
          <w:szCs w:val="20"/>
        </w:rPr>
      </w:pPr>
      <w:r w:rsidRPr="00EA25FA">
        <w:rPr>
          <w:rFonts w:asciiTheme="minorHAnsi" w:hAnsiTheme="minorHAnsi" w:cstheme="minorHAnsi"/>
          <w:b/>
          <w:bCs/>
          <w:sz w:val="20"/>
          <w:szCs w:val="20"/>
        </w:rPr>
        <w:t>Question 16</w:t>
      </w:r>
      <w:r w:rsidRPr="00EA25FA">
        <w:rPr>
          <w:rFonts w:asciiTheme="minorHAnsi" w:hAnsiTheme="minorHAnsi" w:cstheme="minorHAnsi"/>
          <w:sz w:val="20"/>
          <w:szCs w:val="20"/>
        </w:rPr>
        <w:t xml:space="preserve">. Do you think that a threshold for a minimum level of settlement internalisation activity should be set for entities to be subject to the obligation to report internalised settlement? </w:t>
      </w:r>
    </w:p>
    <w:p w14:paraId="1210AE88" w14:textId="77777777" w:rsidR="00270848" w:rsidRPr="00EA25FA" w:rsidRDefault="00270848" w:rsidP="00C519A6">
      <w:pPr>
        <w:pStyle w:val="Default"/>
        <w:ind w:left="-425" w:right="119"/>
        <w:rPr>
          <w:rFonts w:asciiTheme="minorHAnsi" w:hAnsiTheme="minorHAnsi" w:cstheme="minorHAnsi"/>
          <w:sz w:val="20"/>
          <w:szCs w:val="20"/>
        </w:rPr>
      </w:pPr>
    </w:p>
    <w:p w14:paraId="1F75BF8D" w14:textId="28513B5D" w:rsidR="00270848" w:rsidRPr="00143E90" w:rsidRDefault="00270848" w:rsidP="00C519A6">
      <w:pPr>
        <w:pStyle w:val="Default"/>
        <w:ind w:left="-425" w:right="119"/>
        <w:rPr>
          <w:rFonts w:asciiTheme="minorHAnsi" w:hAnsiTheme="minorHAnsi" w:cstheme="minorHAnsi"/>
          <w:color w:val="006666"/>
          <w:sz w:val="20"/>
          <w:szCs w:val="20"/>
        </w:rPr>
      </w:pPr>
      <w:r w:rsidRPr="00143E90">
        <w:rPr>
          <w:rFonts w:asciiTheme="minorHAnsi" w:hAnsiTheme="minorHAnsi" w:cstheme="minorHAnsi"/>
          <w:color w:val="006666"/>
          <w:sz w:val="20"/>
          <w:szCs w:val="20"/>
        </w:rPr>
        <w:t xml:space="preserve">- No </w:t>
      </w:r>
    </w:p>
    <w:p w14:paraId="3265DE81" w14:textId="77777777" w:rsidR="00270848" w:rsidRDefault="00270848" w:rsidP="00C519A6">
      <w:pPr>
        <w:pStyle w:val="Default"/>
        <w:ind w:left="-425" w:right="119"/>
        <w:rPr>
          <w:rFonts w:asciiTheme="minorHAnsi" w:hAnsiTheme="minorHAnsi" w:cstheme="minorHAnsi"/>
          <w:sz w:val="20"/>
          <w:szCs w:val="20"/>
        </w:rPr>
      </w:pPr>
    </w:p>
    <w:p w14:paraId="67FC0142" w14:textId="1164307A" w:rsidR="001F23B1" w:rsidRPr="00CB1F8F" w:rsidRDefault="001F23B1" w:rsidP="00CB1F8F">
      <w:pPr>
        <w:pStyle w:val="Default"/>
        <w:ind w:left="-425" w:right="119"/>
        <w:rPr>
          <w:rFonts w:asciiTheme="minorHAnsi" w:hAnsiTheme="minorHAnsi" w:cstheme="minorHAnsi"/>
          <w:b/>
          <w:bCs/>
          <w:sz w:val="20"/>
          <w:szCs w:val="20"/>
        </w:rPr>
      </w:pPr>
      <w:r w:rsidRPr="001F23B1">
        <w:rPr>
          <w:rFonts w:asciiTheme="minorHAnsi" w:hAnsiTheme="minorHAnsi" w:cstheme="minorHAnsi"/>
          <w:b/>
          <w:bCs/>
          <w:sz w:val="20"/>
          <w:szCs w:val="20"/>
        </w:rPr>
        <w:t>Question 16.1</w:t>
      </w:r>
      <w:r w:rsidR="00CB1F8F">
        <w:rPr>
          <w:rFonts w:asciiTheme="minorHAnsi" w:hAnsiTheme="minorHAnsi" w:cstheme="minorHAnsi"/>
          <w:b/>
          <w:bCs/>
          <w:sz w:val="20"/>
          <w:szCs w:val="20"/>
        </w:rPr>
        <w:t xml:space="preserve"> </w:t>
      </w:r>
      <w:r w:rsidRPr="001F23B1">
        <w:rPr>
          <w:rFonts w:asciiTheme="minorHAnsi" w:hAnsiTheme="minorHAnsi" w:cstheme="minorHAnsi"/>
          <w:sz w:val="20"/>
          <w:szCs w:val="20"/>
        </w:rPr>
        <w:t xml:space="preserve">Please explain your answer to Question 16, providing where possible quantitative evidence and/or examples. Please indicate: </w:t>
      </w:r>
    </w:p>
    <w:p w14:paraId="49C940A7" w14:textId="348CD62B" w:rsidR="001F23B1" w:rsidRPr="001F23B1" w:rsidRDefault="001F23B1" w:rsidP="002E3B04">
      <w:pPr>
        <w:pStyle w:val="Default"/>
        <w:numPr>
          <w:ilvl w:val="0"/>
          <w:numId w:val="12"/>
        </w:numPr>
        <w:ind w:right="119"/>
        <w:rPr>
          <w:rFonts w:asciiTheme="minorHAnsi" w:hAnsiTheme="minorHAnsi" w:cstheme="minorHAnsi"/>
          <w:sz w:val="20"/>
          <w:szCs w:val="20"/>
        </w:rPr>
      </w:pPr>
      <w:r w:rsidRPr="001F23B1">
        <w:rPr>
          <w:rFonts w:asciiTheme="minorHAnsi" w:hAnsiTheme="minorHAnsi" w:cstheme="minorHAnsi"/>
          <w:sz w:val="20"/>
          <w:szCs w:val="20"/>
        </w:rPr>
        <w:t xml:space="preserve">whether you consider that the introduction of such a threshold could endanger the capacity of NCAs to exercise their supervisory powers </w:t>
      </w:r>
      <w:r w:rsidR="002E3B04" w:rsidRPr="001F23B1">
        <w:rPr>
          <w:rFonts w:asciiTheme="minorHAnsi" w:hAnsiTheme="minorHAnsi" w:cstheme="minorHAnsi"/>
          <w:sz w:val="20"/>
          <w:szCs w:val="20"/>
        </w:rPr>
        <w:t>efficiently.</w:t>
      </w:r>
      <w:r w:rsidRPr="001F23B1">
        <w:rPr>
          <w:rFonts w:asciiTheme="minorHAnsi" w:hAnsiTheme="minorHAnsi" w:cstheme="minorHAnsi"/>
          <w:sz w:val="20"/>
          <w:szCs w:val="20"/>
        </w:rPr>
        <w:t xml:space="preserve"> </w:t>
      </w:r>
    </w:p>
    <w:p w14:paraId="48C2344A" w14:textId="49826918" w:rsidR="001F23B1" w:rsidRPr="001F23B1" w:rsidRDefault="001F23B1" w:rsidP="002E3B04">
      <w:pPr>
        <w:pStyle w:val="Default"/>
        <w:numPr>
          <w:ilvl w:val="0"/>
          <w:numId w:val="12"/>
        </w:numPr>
        <w:ind w:right="119"/>
        <w:rPr>
          <w:rFonts w:asciiTheme="minorHAnsi" w:hAnsiTheme="minorHAnsi" w:cstheme="minorHAnsi"/>
          <w:sz w:val="20"/>
          <w:szCs w:val="20"/>
        </w:rPr>
      </w:pPr>
      <w:r w:rsidRPr="001F23B1">
        <w:rPr>
          <w:rFonts w:asciiTheme="minorHAnsi" w:hAnsiTheme="minorHAnsi" w:cstheme="minorHAnsi"/>
          <w:sz w:val="20"/>
          <w:szCs w:val="20"/>
        </w:rPr>
        <w:t xml:space="preserve">the cost implications of complying or monitoring compliance with such a threshold  </w:t>
      </w:r>
    </w:p>
    <w:p w14:paraId="5D5CCAC1" w14:textId="77777777" w:rsidR="001F23B1" w:rsidRPr="001F23B1" w:rsidRDefault="001F23B1" w:rsidP="001F23B1">
      <w:pPr>
        <w:pStyle w:val="Default"/>
        <w:ind w:left="-425" w:right="119"/>
        <w:rPr>
          <w:rFonts w:asciiTheme="minorHAnsi" w:hAnsiTheme="minorHAnsi" w:cstheme="minorHAnsi"/>
          <w:sz w:val="20"/>
          <w:szCs w:val="20"/>
        </w:rPr>
      </w:pPr>
      <w:r w:rsidRPr="001F23B1">
        <w:rPr>
          <w:rFonts w:asciiTheme="minorHAnsi" w:hAnsiTheme="minorHAnsi" w:cstheme="minorHAnsi"/>
          <w:sz w:val="20"/>
          <w:szCs w:val="20"/>
        </w:rPr>
        <w:t xml:space="preserve"> </w:t>
      </w:r>
    </w:p>
    <w:p w14:paraId="4BDB4014" w14:textId="77777777" w:rsidR="001F23B1" w:rsidRPr="001F23B1" w:rsidRDefault="001F23B1" w:rsidP="001F23B1">
      <w:pPr>
        <w:pStyle w:val="Default"/>
        <w:ind w:left="-425" w:right="119"/>
        <w:rPr>
          <w:rFonts w:asciiTheme="minorHAnsi" w:hAnsiTheme="minorHAnsi" w:cstheme="minorHAnsi"/>
          <w:sz w:val="20"/>
          <w:szCs w:val="20"/>
        </w:rPr>
      </w:pPr>
      <w:r w:rsidRPr="001F23B1">
        <w:rPr>
          <w:rFonts w:asciiTheme="minorHAnsi" w:hAnsiTheme="minorHAnsi" w:cstheme="minorHAnsi"/>
          <w:sz w:val="20"/>
          <w:szCs w:val="20"/>
        </w:rPr>
        <w:t xml:space="preserve">If you answered "yes" to Question 16, please also consider whether such a threshold should be set at national level or at Union level.  </w:t>
      </w:r>
    </w:p>
    <w:p w14:paraId="28F884EB" w14:textId="77777777" w:rsidR="001F23B1" w:rsidRDefault="001F23B1" w:rsidP="00C519A6">
      <w:pPr>
        <w:pStyle w:val="Default"/>
        <w:ind w:left="-425" w:right="119"/>
        <w:rPr>
          <w:rFonts w:asciiTheme="minorHAnsi" w:hAnsiTheme="minorHAnsi" w:cstheme="minorHAnsi"/>
          <w:sz w:val="20"/>
          <w:szCs w:val="20"/>
        </w:rPr>
      </w:pPr>
    </w:p>
    <w:p w14:paraId="6BC5DB75" w14:textId="75A7B607" w:rsidR="00DE2ABE" w:rsidRDefault="00A06013" w:rsidP="00C519A6">
      <w:pPr>
        <w:pStyle w:val="Default"/>
        <w:ind w:left="-425" w:right="119"/>
        <w:rPr>
          <w:rFonts w:asciiTheme="minorHAnsi" w:hAnsiTheme="minorHAnsi" w:cstheme="minorHAnsi"/>
          <w:color w:val="006666"/>
          <w:sz w:val="20"/>
          <w:szCs w:val="20"/>
        </w:rPr>
      </w:pPr>
      <w:r w:rsidRPr="00EB430A">
        <w:rPr>
          <w:rFonts w:asciiTheme="minorHAnsi" w:hAnsiTheme="minorHAnsi" w:cstheme="minorHAnsi"/>
          <w:color w:val="006666"/>
          <w:sz w:val="20"/>
          <w:szCs w:val="20"/>
        </w:rPr>
        <w:t xml:space="preserve">ISLA members </w:t>
      </w:r>
      <w:r w:rsidRPr="006E0F1D">
        <w:rPr>
          <w:rFonts w:asciiTheme="minorHAnsi" w:hAnsiTheme="minorHAnsi" w:cstheme="minorHAnsi"/>
          <w:color w:val="006666"/>
          <w:sz w:val="20"/>
          <w:szCs w:val="20"/>
          <w:u w:val="single"/>
        </w:rPr>
        <w:t>do not</w:t>
      </w:r>
      <w:r w:rsidRPr="00EB430A">
        <w:rPr>
          <w:rFonts w:asciiTheme="minorHAnsi" w:hAnsiTheme="minorHAnsi" w:cstheme="minorHAnsi"/>
          <w:color w:val="006666"/>
          <w:sz w:val="20"/>
          <w:szCs w:val="20"/>
        </w:rPr>
        <w:t xml:space="preserve"> </w:t>
      </w:r>
      <w:r w:rsidR="004E36DD" w:rsidRPr="00EB430A">
        <w:rPr>
          <w:rFonts w:asciiTheme="minorHAnsi" w:hAnsiTheme="minorHAnsi" w:cstheme="minorHAnsi"/>
          <w:color w:val="006666"/>
          <w:sz w:val="20"/>
          <w:szCs w:val="20"/>
        </w:rPr>
        <w:t xml:space="preserve">consider </w:t>
      </w:r>
      <w:r w:rsidR="00507A3A" w:rsidRPr="00EB430A">
        <w:rPr>
          <w:rFonts w:asciiTheme="minorHAnsi" w:hAnsiTheme="minorHAnsi" w:cstheme="minorHAnsi"/>
          <w:color w:val="006666"/>
          <w:sz w:val="20"/>
          <w:szCs w:val="20"/>
        </w:rPr>
        <w:t xml:space="preserve">a threshold for a minimum level of settlement internalisation </w:t>
      </w:r>
      <w:r w:rsidR="005764AA" w:rsidRPr="00EB430A">
        <w:rPr>
          <w:rFonts w:asciiTheme="minorHAnsi" w:hAnsiTheme="minorHAnsi" w:cstheme="minorHAnsi"/>
          <w:color w:val="006666"/>
          <w:sz w:val="20"/>
          <w:szCs w:val="20"/>
        </w:rPr>
        <w:t>necessary</w:t>
      </w:r>
      <w:r w:rsidR="0054145C">
        <w:rPr>
          <w:rFonts w:asciiTheme="minorHAnsi" w:hAnsiTheme="minorHAnsi" w:cstheme="minorHAnsi"/>
          <w:color w:val="006666"/>
          <w:sz w:val="20"/>
          <w:szCs w:val="20"/>
        </w:rPr>
        <w:t>.</w:t>
      </w:r>
      <w:r w:rsidR="006E0F1D">
        <w:rPr>
          <w:rFonts w:asciiTheme="minorHAnsi" w:hAnsiTheme="minorHAnsi" w:cstheme="minorHAnsi"/>
          <w:color w:val="006666"/>
          <w:sz w:val="20"/>
          <w:szCs w:val="20"/>
        </w:rPr>
        <w:t xml:space="preserve"> At this stage, tri-party </w:t>
      </w:r>
      <w:r w:rsidR="00B113E9">
        <w:rPr>
          <w:rFonts w:asciiTheme="minorHAnsi" w:hAnsiTheme="minorHAnsi" w:cstheme="minorHAnsi"/>
          <w:color w:val="006666"/>
          <w:sz w:val="20"/>
          <w:szCs w:val="20"/>
        </w:rPr>
        <w:t xml:space="preserve">collateral managers </w:t>
      </w:r>
      <w:r w:rsidR="006E0F1D">
        <w:rPr>
          <w:rFonts w:asciiTheme="minorHAnsi" w:hAnsiTheme="minorHAnsi" w:cstheme="minorHAnsi"/>
          <w:color w:val="006666"/>
          <w:sz w:val="20"/>
          <w:szCs w:val="20"/>
        </w:rPr>
        <w:t>already have the necessary build in place to action this reporting</w:t>
      </w:r>
      <w:r w:rsidR="00461896">
        <w:rPr>
          <w:rFonts w:asciiTheme="minorHAnsi" w:hAnsiTheme="minorHAnsi" w:cstheme="minorHAnsi"/>
          <w:color w:val="006666"/>
          <w:sz w:val="20"/>
          <w:szCs w:val="20"/>
        </w:rPr>
        <w:t xml:space="preserve"> requirement</w:t>
      </w:r>
      <w:r w:rsidR="006E0F1D">
        <w:rPr>
          <w:rFonts w:asciiTheme="minorHAnsi" w:hAnsiTheme="minorHAnsi" w:cstheme="minorHAnsi"/>
          <w:color w:val="006666"/>
          <w:sz w:val="20"/>
          <w:szCs w:val="20"/>
        </w:rPr>
        <w:t xml:space="preserve"> and</w:t>
      </w:r>
      <w:r w:rsidR="0036742D">
        <w:rPr>
          <w:rFonts w:asciiTheme="minorHAnsi" w:hAnsiTheme="minorHAnsi" w:cstheme="minorHAnsi"/>
          <w:color w:val="006666"/>
          <w:sz w:val="20"/>
          <w:szCs w:val="20"/>
        </w:rPr>
        <w:t xml:space="preserve"> implementing a minimum threshold</w:t>
      </w:r>
      <w:r w:rsidR="00461896">
        <w:rPr>
          <w:rFonts w:asciiTheme="minorHAnsi" w:hAnsiTheme="minorHAnsi" w:cstheme="minorHAnsi"/>
          <w:color w:val="006666"/>
          <w:sz w:val="20"/>
          <w:szCs w:val="20"/>
        </w:rPr>
        <w:t xml:space="preserve"> would </w:t>
      </w:r>
      <w:r w:rsidR="00226D6F">
        <w:rPr>
          <w:rFonts w:asciiTheme="minorHAnsi" w:hAnsiTheme="minorHAnsi" w:cstheme="minorHAnsi"/>
          <w:color w:val="006666"/>
          <w:sz w:val="20"/>
          <w:szCs w:val="20"/>
        </w:rPr>
        <w:t xml:space="preserve">require the use of </w:t>
      </w:r>
      <w:r w:rsidR="00A20A78">
        <w:rPr>
          <w:rFonts w:asciiTheme="minorHAnsi" w:hAnsiTheme="minorHAnsi" w:cstheme="minorHAnsi"/>
          <w:color w:val="006666"/>
          <w:sz w:val="20"/>
          <w:szCs w:val="20"/>
        </w:rPr>
        <w:t xml:space="preserve">additional technology and operational resources. </w:t>
      </w:r>
    </w:p>
    <w:p w14:paraId="3DFF152B" w14:textId="7DDBD860" w:rsidR="00163A08" w:rsidRDefault="00163A08" w:rsidP="00C519A6">
      <w:pPr>
        <w:pStyle w:val="Default"/>
        <w:ind w:left="-425" w:right="119"/>
        <w:rPr>
          <w:rFonts w:asciiTheme="minorHAnsi" w:hAnsiTheme="minorHAnsi" w:cstheme="minorHAnsi"/>
          <w:color w:val="006666"/>
          <w:sz w:val="20"/>
          <w:szCs w:val="20"/>
        </w:rPr>
      </w:pPr>
    </w:p>
    <w:p w14:paraId="7608DF32" w14:textId="4D6778F9" w:rsidR="00163A08" w:rsidRDefault="00163A08" w:rsidP="00C519A6">
      <w:pPr>
        <w:pStyle w:val="Default"/>
        <w:ind w:left="-425" w:right="119"/>
        <w:rPr>
          <w:rFonts w:asciiTheme="minorHAnsi" w:hAnsiTheme="minorHAnsi" w:cstheme="minorHAnsi"/>
          <w:color w:val="006666"/>
          <w:sz w:val="20"/>
          <w:szCs w:val="20"/>
        </w:rPr>
      </w:pPr>
    </w:p>
    <w:p w14:paraId="1598D362" w14:textId="22F211CC" w:rsidR="00163A08" w:rsidRDefault="00163A08" w:rsidP="00C519A6">
      <w:pPr>
        <w:pStyle w:val="Default"/>
        <w:ind w:left="-425" w:right="119"/>
        <w:rPr>
          <w:rFonts w:asciiTheme="minorHAnsi" w:hAnsiTheme="minorHAnsi" w:cstheme="minorHAnsi"/>
          <w:color w:val="006666"/>
          <w:sz w:val="20"/>
          <w:szCs w:val="20"/>
        </w:rPr>
      </w:pPr>
    </w:p>
    <w:p w14:paraId="3BA1859E" w14:textId="3E8FD551" w:rsidR="00163A08" w:rsidRDefault="00163A08" w:rsidP="00C519A6">
      <w:pPr>
        <w:pStyle w:val="Default"/>
        <w:ind w:left="-425" w:right="119"/>
        <w:rPr>
          <w:rFonts w:asciiTheme="minorHAnsi" w:hAnsiTheme="minorHAnsi" w:cstheme="minorHAnsi"/>
          <w:color w:val="006666"/>
          <w:sz w:val="20"/>
          <w:szCs w:val="20"/>
        </w:rPr>
      </w:pPr>
    </w:p>
    <w:p w14:paraId="2EF752E1" w14:textId="61333C08" w:rsidR="00163A08" w:rsidRDefault="00163A08" w:rsidP="00C519A6">
      <w:pPr>
        <w:pStyle w:val="Default"/>
        <w:ind w:left="-425" w:right="119"/>
        <w:rPr>
          <w:rFonts w:asciiTheme="minorHAnsi" w:hAnsiTheme="minorHAnsi" w:cstheme="minorHAnsi"/>
          <w:color w:val="006666"/>
          <w:sz w:val="20"/>
          <w:szCs w:val="20"/>
        </w:rPr>
      </w:pPr>
    </w:p>
    <w:p w14:paraId="0592E4E3" w14:textId="6F63941B" w:rsidR="00163A08" w:rsidRDefault="00163A08" w:rsidP="00C519A6">
      <w:pPr>
        <w:pStyle w:val="Default"/>
        <w:ind w:left="-425" w:right="119"/>
        <w:rPr>
          <w:rFonts w:asciiTheme="minorHAnsi" w:hAnsiTheme="minorHAnsi" w:cstheme="minorHAnsi"/>
          <w:color w:val="006666"/>
          <w:sz w:val="20"/>
          <w:szCs w:val="20"/>
        </w:rPr>
      </w:pPr>
    </w:p>
    <w:p w14:paraId="5A35C020" w14:textId="5B187041" w:rsidR="00163A08" w:rsidRDefault="00163A08" w:rsidP="00C519A6">
      <w:pPr>
        <w:pStyle w:val="Default"/>
        <w:ind w:left="-425" w:right="119"/>
        <w:rPr>
          <w:rFonts w:asciiTheme="minorHAnsi" w:hAnsiTheme="minorHAnsi" w:cstheme="minorHAnsi"/>
          <w:color w:val="006666"/>
          <w:sz w:val="20"/>
          <w:szCs w:val="20"/>
        </w:rPr>
      </w:pPr>
    </w:p>
    <w:p w14:paraId="53974547" w14:textId="6D49A28F" w:rsidR="00163A08" w:rsidRDefault="00163A08" w:rsidP="00C519A6">
      <w:pPr>
        <w:pStyle w:val="Default"/>
        <w:ind w:left="-425" w:right="119"/>
        <w:rPr>
          <w:rFonts w:asciiTheme="minorHAnsi" w:hAnsiTheme="minorHAnsi" w:cstheme="minorHAnsi"/>
          <w:color w:val="006666"/>
          <w:sz w:val="20"/>
          <w:szCs w:val="20"/>
        </w:rPr>
      </w:pPr>
    </w:p>
    <w:p w14:paraId="3CEE4C20" w14:textId="62903632" w:rsidR="00163A08" w:rsidRDefault="00163A08" w:rsidP="00C519A6">
      <w:pPr>
        <w:pStyle w:val="Default"/>
        <w:ind w:left="-425" w:right="119"/>
        <w:rPr>
          <w:rFonts w:asciiTheme="minorHAnsi" w:hAnsiTheme="minorHAnsi" w:cstheme="minorHAnsi"/>
          <w:color w:val="006666"/>
          <w:sz w:val="20"/>
          <w:szCs w:val="20"/>
        </w:rPr>
      </w:pPr>
    </w:p>
    <w:p w14:paraId="517C0151" w14:textId="1D4B6282" w:rsidR="004C4C03" w:rsidRDefault="004C4C03" w:rsidP="00C519A6">
      <w:pPr>
        <w:pStyle w:val="Default"/>
        <w:ind w:left="-425" w:right="119"/>
        <w:rPr>
          <w:rFonts w:asciiTheme="minorHAnsi" w:hAnsiTheme="minorHAnsi" w:cstheme="minorHAnsi"/>
          <w:color w:val="006666"/>
          <w:sz w:val="20"/>
          <w:szCs w:val="20"/>
        </w:rPr>
      </w:pPr>
    </w:p>
    <w:p w14:paraId="700EE626" w14:textId="77777777" w:rsidR="004C4C03" w:rsidRDefault="004C4C03" w:rsidP="00C519A6">
      <w:pPr>
        <w:pStyle w:val="Default"/>
        <w:ind w:left="-425" w:right="119"/>
        <w:rPr>
          <w:rFonts w:asciiTheme="minorHAnsi" w:hAnsiTheme="minorHAnsi" w:cstheme="minorHAnsi"/>
          <w:color w:val="006666"/>
          <w:sz w:val="20"/>
          <w:szCs w:val="20"/>
        </w:rPr>
      </w:pPr>
    </w:p>
    <w:p w14:paraId="04DCEAB4" w14:textId="77777777" w:rsidR="00163A08" w:rsidRDefault="00163A08" w:rsidP="00C519A6">
      <w:pPr>
        <w:pStyle w:val="Default"/>
        <w:ind w:left="-425" w:right="119"/>
        <w:rPr>
          <w:rFonts w:asciiTheme="minorHAnsi" w:hAnsiTheme="minorHAnsi" w:cstheme="minorHAnsi"/>
          <w:color w:val="006666"/>
          <w:sz w:val="20"/>
          <w:szCs w:val="20"/>
        </w:rPr>
      </w:pPr>
    </w:p>
    <w:p w14:paraId="793513C8" w14:textId="77777777" w:rsidR="008C6F1A" w:rsidRDefault="008C6F1A" w:rsidP="00C519A6">
      <w:pPr>
        <w:pStyle w:val="Default"/>
        <w:ind w:left="-425" w:right="119"/>
        <w:rPr>
          <w:rFonts w:asciiTheme="minorHAnsi" w:hAnsiTheme="minorHAnsi" w:cstheme="minorHAnsi"/>
          <w:b/>
          <w:bCs/>
          <w:sz w:val="20"/>
          <w:szCs w:val="20"/>
        </w:rPr>
      </w:pPr>
    </w:p>
    <w:p w14:paraId="25BEE6C7" w14:textId="4B329C94" w:rsidR="00270848" w:rsidRDefault="00270848" w:rsidP="00FD1F97">
      <w:pPr>
        <w:pStyle w:val="Heading1"/>
        <w:ind w:left="-425"/>
        <w:rPr>
          <w:b w:val="0"/>
        </w:rPr>
      </w:pPr>
      <w:r w:rsidRPr="008C6F1A">
        <w:lastRenderedPageBreak/>
        <w:t xml:space="preserve">6. SCOPE </w:t>
      </w:r>
    </w:p>
    <w:p w14:paraId="6FADA7D7" w14:textId="77777777" w:rsidR="00700480" w:rsidRPr="008C6F1A" w:rsidRDefault="00700480" w:rsidP="00EA25FA">
      <w:pPr>
        <w:pStyle w:val="Default"/>
        <w:ind w:left="-426" w:right="119"/>
        <w:rPr>
          <w:rFonts w:asciiTheme="minorHAnsi" w:hAnsiTheme="minorHAnsi" w:cstheme="minorHAnsi"/>
          <w:sz w:val="20"/>
          <w:szCs w:val="20"/>
        </w:rPr>
      </w:pPr>
    </w:p>
    <w:p w14:paraId="27A8387C" w14:textId="13BD0201" w:rsidR="00270848" w:rsidRPr="008C6F1A" w:rsidRDefault="00270848" w:rsidP="00EA25FA">
      <w:pPr>
        <w:pStyle w:val="Default"/>
        <w:ind w:left="-426" w:right="119"/>
        <w:rPr>
          <w:rFonts w:asciiTheme="minorHAnsi" w:hAnsiTheme="minorHAnsi" w:cstheme="minorHAnsi"/>
          <w:sz w:val="20"/>
          <w:szCs w:val="20"/>
        </w:rPr>
      </w:pPr>
      <w:r w:rsidRPr="008C6F1A">
        <w:rPr>
          <w:rFonts w:asciiTheme="minorHAnsi" w:hAnsiTheme="minorHAnsi" w:cstheme="minorHAnsi"/>
          <w:sz w:val="20"/>
          <w:szCs w:val="20"/>
        </w:rPr>
        <w:t xml:space="preserve">CSDR lays down a series of requirements for the settlement of financial instruments in the Union and harmonised rules on the organisation and conduct of CSDs. While the scope of rules applicable to CSDs seems clear, the requirements applying to the settlement of financial instruments has given rise to numerous questions. A certain number of these questions has been addressed by ESMA, especially in relation to the scope of requirements on internalised settlement, relevant currencies or the substantial importance of a CSD. </w:t>
      </w:r>
    </w:p>
    <w:p w14:paraId="5502A333" w14:textId="77777777" w:rsidR="00270848" w:rsidRPr="008C6F1A" w:rsidRDefault="00270848" w:rsidP="00EA25FA">
      <w:pPr>
        <w:pStyle w:val="Default"/>
        <w:ind w:left="-426" w:right="119"/>
        <w:rPr>
          <w:rFonts w:asciiTheme="minorHAnsi" w:hAnsiTheme="minorHAnsi" w:cstheme="minorHAnsi"/>
          <w:sz w:val="20"/>
          <w:szCs w:val="20"/>
        </w:rPr>
      </w:pPr>
    </w:p>
    <w:p w14:paraId="1066B29E" w14:textId="21CA72C1" w:rsidR="00270848" w:rsidRDefault="00270848" w:rsidP="009D7AB9">
      <w:pPr>
        <w:pStyle w:val="Default"/>
        <w:ind w:left="-426" w:right="119"/>
        <w:rPr>
          <w:rFonts w:asciiTheme="minorHAnsi" w:hAnsiTheme="minorHAnsi" w:cstheme="minorHAnsi"/>
          <w:sz w:val="20"/>
          <w:szCs w:val="20"/>
        </w:rPr>
      </w:pPr>
      <w:r w:rsidRPr="008C6F1A">
        <w:rPr>
          <w:rFonts w:asciiTheme="minorHAnsi" w:hAnsiTheme="minorHAnsi" w:cstheme="minorHAnsi"/>
          <w:sz w:val="20"/>
          <w:szCs w:val="20"/>
        </w:rPr>
        <w:t xml:space="preserve">Article 2(1)(8) of CSDR defines financial instruments in accordance with the definition of financial instruments in </w:t>
      </w:r>
      <w:hyperlink r:id="rId14" w:history="1">
        <w:r w:rsidRPr="008C6F1A">
          <w:rPr>
            <w:rStyle w:val="Hyperlink"/>
            <w:rFonts w:asciiTheme="minorHAnsi" w:hAnsiTheme="minorHAnsi" w:cstheme="minorHAnsi"/>
            <w:sz w:val="20"/>
            <w:szCs w:val="20"/>
          </w:rPr>
          <w:t>Directive 2014/65/EU on markets in financial instruments (MiFID II)</w:t>
        </w:r>
      </w:hyperlink>
      <w:r w:rsidRPr="008C6F1A">
        <w:rPr>
          <w:rFonts w:asciiTheme="minorHAnsi" w:hAnsiTheme="minorHAnsi" w:cstheme="minorHAnsi"/>
          <w:sz w:val="20"/>
          <w:szCs w:val="20"/>
        </w:rPr>
        <w:t xml:space="preserve"> (i.e. transferable securities, money-market instruments, units in collective investment undertakings, various types of derivatives and emission allowances). Some CSDR provisions explicitly restrict the scope of their applicability to a subset of the above definition, </w:t>
      </w:r>
      <w:r w:rsidR="007B6801" w:rsidRPr="008C6F1A">
        <w:rPr>
          <w:rFonts w:asciiTheme="minorHAnsi" w:hAnsiTheme="minorHAnsi" w:cstheme="minorHAnsi"/>
          <w:sz w:val="20"/>
          <w:szCs w:val="20"/>
        </w:rPr>
        <w:t>e.g.,</w:t>
      </w:r>
      <w:r w:rsidRPr="008C6F1A">
        <w:rPr>
          <w:rFonts w:asciiTheme="minorHAnsi" w:hAnsiTheme="minorHAnsi" w:cstheme="minorHAnsi"/>
          <w:sz w:val="20"/>
          <w:szCs w:val="20"/>
        </w:rPr>
        <w:t xml:space="preserve"> Articles 3 on book entry-form (only transferable securities) and Article 5 on the intended settlement date. Other provisions are not explicit or refer generally to financial instruments or securities (</w:t>
      </w:r>
      <w:r w:rsidR="007B6801" w:rsidRPr="008C6F1A">
        <w:rPr>
          <w:rFonts w:asciiTheme="minorHAnsi" w:hAnsiTheme="minorHAnsi" w:cstheme="minorHAnsi"/>
          <w:sz w:val="20"/>
          <w:szCs w:val="20"/>
        </w:rPr>
        <w:t>e.g.,</w:t>
      </w:r>
      <w:r w:rsidRPr="008C6F1A">
        <w:rPr>
          <w:rFonts w:asciiTheme="minorHAnsi" w:hAnsiTheme="minorHAnsi" w:cstheme="minorHAnsi"/>
          <w:sz w:val="20"/>
          <w:szCs w:val="20"/>
        </w:rPr>
        <w:t xml:space="preserve"> Article 23 on the provision of services in another Member State). </w:t>
      </w:r>
    </w:p>
    <w:p w14:paraId="2848759D" w14:textId="77777777" w:rsidR="009D7AB9" w:rsidRPr="008C6F1A" w:rsidRDefault="009D7AB9" w:rsidP="009D7AB9">
      <w:pPr>
        <w:pStyle w:val="Default"/>
        <w:ind w:left="-426" w:right="119"/>
        <w:rPr>
          <w:rFonts w:asciiTheme="minorHAnsi" w:hAnsiTheme="minorHAnsi" w:cstheme="minorHAnsi"/>
          <w:sz w:val="20"/>
          <w:szCs w:val="20"/>
        </w:rPr>
      </w:pPr>
    </w:p>
    <w:p w14:paraId="3593FE2D" w14:textId="0A915757" w:rsidR="00270848" w:rsidRPr="008C6F1A" w:rsidRDefault="00270848" w:rsidP="00EA25FA">
      <w:pPr>
        <w:ind w:left="-426" w:right="119"/>
        <w:rPr>
          <w:rFonts w:cstheme="minorHAnsi"/>
          <w:sz w:val="20"/>
          <w:szCs w:val="20"/>
        </w:rPr>
      </w:pPr>
      <w:r w:rsidRPr="008C6F1A">
        <w:rPr>
          <w:rFonts w:cstheme="minorHAnsi"/>
          <w:sz w:val="20"/>
          <w:szCs w:val="20"/>
        </w:rPr>
        <w:t>In the case, for instance, of the settlement discipline, stakeholders have indicated that the different provisions of CSDR setting out the scope of the requirements such as settlement fails reporting, cash penalties or buy-ins are not always clear. This lack of legal certainty could potentially lead to reducing the efficiency in securities settlement. Furthermore, feedback from some stakeholders suggests that in some circumstances the drafting of CSDR in relation to the scope of the settlement discipline is clear, however, its application could bring unintended consequences.</w:t>
      </w:r>
    </w:p>
    <w:p w14:paraId="6CB6C7B5" w14:textId="740CC748" w:rsidR="00270848" w:rsidRDefault="00270848" w:rsidP="00EA25FA">
      <w:pPr>
        <w:pStyle w:val="Default"/>
        <w:ind w:left="-426" w:right="119"/>
        <w:rPr>
          <w:rFonts w:asciiTheme="minorHAnsi" w:hAnsiTheme="minorHAnsi" w:cstheme="minorHAnsi"/>
          <w:sz w:val="20"/>
          <w:szCs w:val="20"/>
        </w:rPr>
      </w:pPr>
      <w:r w:rsidRPr="005F03A2">
        <w:rPr>
          <w:rFonts w:asciiTheme="minorHAnsi" w:hAnsiTheme="minorHAnsi" w:cstheme="minorHAnsi"/>
          <w:b/>
          <w:bCs/>
          <w:sz w:val="20"/>
          <w:szCs w:val="20"/>
        </w:rPr>
        <w:t>Question 31</w:t>
      </w:r>
      <w:r w:rsidRPr="008C6F1A">
        <w:rPr>
          <w:rFonts w:asciiTheme="minorHAnsi" w:hAnsiTheme="minorHAnsi" w:cstheme="minorHAnsi"/>
          <w:sz w:val="20"/>
          <w:szCs w:val="20"/>
        </w:rPr>
        <w:t xml:space="preserve">. Do you consider that certain requirements in CSDR would benefit from targeted measures in order to provide further legal certainty on their scope of application? </w:t>
      </w:r>
    </w:p>
    <w:p w14:paraId="29460FD1" w14:textId="77777777" w:rsidR="00700480" w:rsidRPr="008C6F1A" w:rsidRDefault="00700480" w:rsidP="00EA25FA">
      <w:pPr>
        <w:pStyle w:val="Default"/>
        <w:ind w:left="-426" w:right="119"/>
        <w:rPr>
          <w:rFonts w:asciiTheme="minorHAnsi" w:hAnsiTheme="minorHAnsi" w:cstheme="minorHAnsi"/>
          <w:sz w:val="20"/>
          <w:szCs w:val="20"/>
        </w:rPr>
      </w:pPr>
    </w:p>
    <w:p w14:paraId="3B18560D" w14:textId="77777777" w:rsidR="00270848" w:rsidRPr="008C6F1A" w:rsidRDefault="00270848" w:rsidP="00EA25FA">
      <w:pPr>
        <w:pStyle w:val="Default"/>
        <w:ind w:left="-426" w:right="119"/>
        <w:rPr>
          <w:rFonts w:asciiTheme="minorHAnsi" w:hAnsiTheme="minorHAnsi" w:cstheme="minorHAnsi"/>
          <w:sz w:val="20"/>
          <w:szCs w:val="20"/>
        </w:rPr>
      </w:pPr>
      <w:r w:rsidRPr="00BE5BC2">
        <w:rPr>
          <w:rFonts w:asciiTheme="minorHAnsi" w:hAnsiTheme="minorHAnsi" w:cstheme="minorHAnsi"/>
          <w:sz w:val="20"/>
          <w:szCs w:val="20"/>
        </w:rPr>
        <w:t>-</w:t>
      </w:r>
      <w:r w:rsidRPr="00BA0E08">
        <w:rPr>
          <w:rFonts w:asciiTheme="minorHAnsi" w:hAnsiTheme="minorHAnsi" w:cstheme="minorHAnsi"/>
          <w:color w:val="006666"/>
          <w:sz w:val="20"/>
          <w:szCs w:val="20"/>
        </w:rPr>
        <w:t xml:space="preserve"> Yes </w:t>
      </w:r>
    </w:p>
    <w:p w14:paraId="2A0500BE" w14:textId="26C3B060" w:rsidR="00270848" w:rsidRPr="008C6F1A" w:rsidRDefault="00270848" w:rsidP="00EA25FA">
      <w:pPr>
        <w:pStyle w:val="Default"/>
        <w:ind w:left="-426" w:right="119"/>
        <w:rPr>
          <w:rFonts w:asciiTheme="minorHAnsi" w:hAnsiTheme="minorHAnsi" w:cstheme="minorHAnsi"/>
          <w:sz w:val="20"/>
          <w:szCs w:val="20"/>
        </w:rPr>
      </w:pPr>
    </w:p>
    <w:p w14:paraId="1CFA51D1" w14:textId="375945F4" w:rsidR="00270848" w:rsidRDefault="00270848" w:rsidP="00EA25FA">
      <w:pPr>
        <w:pStyle w:val="Default"/>
        <w:ind w:left="-426" w:right="119"/>
        <w:rPr>
          <w:rFonts w:asciiTheme="minorHAnsi" w:hAnsiTheme="minorHAnsi" w:cstheme="minorHAnsi"/>
          <w:sz w:val="20"/>
          <w:szCs w:val="20"/>
        </w:rPr>
      </w:pPr>
      <w:r w:rsidRPr="005F03A2">
        <w:rPr>
          <w:rFonts w:asciiTheme="minorHAnsi" w:hAnsiTheme="minorHAnsi" w:cstheme="minorHAnsi"/>
          <w:b/>
          <w:bCs/>
          <w:sz w:val="20"/>
          <w:szCs w:val="20"/>
        </w:rPr>
        <w:t>Question 31.1</w:t>
      </w:r>
      <w:r w:rsidRPr="008C6F1A">
        <w:rPr>
          <w:rFonts w:asciiTheme="minorHAnsi" w:hAnsiTheme="minorHAnsi" w:cstheme="minorHAnsi"/>
          <w:sz w:val="20"/>
          <w:szCs w:val="20"/>
        </w:rPr>
        <w:t xml:space="preserve"> If you answered "yes" to Question 31, please specify what clarifications/targeted measures could provide further legal certainty. </w:t>
      </w:r>
    </w:p>
    <w:p w14:paraId="4E3B8008" w14:textId="77777777" w:rsidR="00FD6C19" w:rsidRDefault="00FD6C19" w:rsidP="00EA25FA">
      <w:pPr>
        <w:pStyle w:val="Default"/>
        <w:ind w:left="-426" w:right="119"/>
        <w:rPr>
          <w:rFonts w:asciiTheme="minorHAnsi" w:hAnsiTheme="minorHAnsi" w:cstheme="minorHAnsi"/>
          <w:sz w:val="20"/>
          <w:szCs w:val="20"/>
        </w:rPr>
      </w:pPr>
    </w:p>
    <w:p w14:paraId="4649B587" w14:textId="26D2BAA3" w:rsidR="00A4558D" w:rsidRPr="00A4558D" w:rsidRDefault="00A4558D" w:rsidP="00A4558D">
      <w:pPr>
        <w:autoSpaceDE w:val="0"/>
        <w:autoSpaceDN w:val="0"/>
        <w:adjustRightInd w:val="0"/>
        <w:spacing w:after="0" w:line="240" w:lineRule="auto"/>
        <w:ind w:left="-426" w:right="119"/>
        <w:rPr>
          <w:rFonts w:eastAsia="Times New Roman" w:cs="Calibri"/>
          <w:color w:val="006666"/>
          <w:sz w:val="20"/>
          <w:szCs w:val="20"/>
        </w:rPr>
      </w:pPr>
      <w:r w:rsidRPr="00A4558D">
        <w:rPr>
          <w:rFonts w:eastAsia="Times New Roman" w:cs="Calibri"/>
          <w:color w:val="006666"/>
          <w:sz w:val="20"/>
          <w:szCs w:val="20"/>
        </w:rPr>
        <w:t xml:space="preserve">The following clarifications, most of which are the subject of previously submitted and yet unanswered </w:t>
      </w:r>
      <w:hyperlink r:id="rId15" w:history="1">
        <w:r w:rsidRPr="00A4558D">
          <w:rPr>
            <w:rStyle w:val="Hyperlink"/>
            <w:rFonts w:eastAsia="Times New Roman" w:cs="Calibri"/>
            <w:sz w:val="20"/>
            <w:szCs w:val="20"/>
          </w:rPr>
          <w:t>Q&amp;A submissions</w:t>
        </w:r>
      </w:hyperlink>
      <w:r w:rsidRPr="00A4558D">
        <w:rPr>
          <w:rFonts w:eastAsia="Times New Roman" w:cs="Calibri"/>
          <w:color w:val="006666"/>
          <w:sz w:val="20"/>
          <w:szCs w:val="20"/>
        </w:rPr>
        <w:t xml:space="preserve">, are required in order to provide further legal certainty as to </w:t>
      </w:r>
      <w:r w:rsidR="00702342">
        <w:rPr>
          <w:rFonts w:eastAsia="Times New Roman" w:cs="Calibri"/>
          <w:color w:val="006666"/>
          <w:sz w:val="20"/>
          <w:szCs w:val="20"/>
        </w:rPr>
        <w:t xml:space="preserve">the </w:t>
      </w:r>
      <w:r w:rsidRPr="00A4558D">
        <w:rPr>
          <w:rFonts w:eastAsia="Times New Roman" w:cs="Calibri"/>
          <w:color w:val="006666"/>
          <w:sz w:val="20"/>
          <w:szCs w:val="20"/>
        </w:rPr>
        <w:t>scope of the buy-in requirement:</w:t>
      </w:r>
    </w:p>
    <w:p w14:paraId="0E3BCB0E" w14:textId="2239FA99" w:rsidR="00F20C87" w:rsidRDefault="00F20C87" w:rsidP="00F20C87">
      <w:pPr>
        <w:autoSpaceDE w:val="0"/>
        <w:autoSpaceDN w:val="0"/>
        <w:adjustRightInd w:val="0"/>
        <w:spacing w:after="0" w:line="240" w:lineRule="auto"/>
        <w:ind w:left="-426"/>
        <w:rPr>
          <w:rFonts w:cstheme="minorHAnsi"/>
          <w:color w:val="006666"/>
          <w:sz w:val="20"/>
          <w:szCs w:val="20"/>
        </w:rPr>
      </w:pPr>
    </w:p>
    <w:p w14:paraId="1503C6B4" w14:textId="77777777" w:rsidR="00A4558D" w:rsidRPr="00A4558D" w:rsidRDefault="00A4558D" w:rsidP="00A4558D">
      <w:pPr>
        <w:autoSpaceDE w:val="0"/>
        <w:autoSpaceDN w:val="0"/>
        <w:adjustRightInd w:val="0"/>
        <w:spacing w:after="0" w:line="240" w:lineRule="auto"/>
        <w:ind w:left="-426" w:right="119"/>
        <w:rPr>
          <w:rFonts w:eastAsia="Times New Roman" w:cs="Calibri"/>
          <w:color w:val="000000"/>
          <w:sz w:val="20"/>
          <w:szCs w:val="20"/>
        </w:rPr>
      </w:pPr>
    </w:p>
    <w:p w14:paraId="4CEAB6D0" w14:textId="0E02C13D" w:rsidR="00A4558D" w:rsidRPr="00A4558D" w:rsidRDefault="00A4558D" w:rsidP="00A4558D">
      <w:pPr>
        <w:numPr>
          <w:ilvl w:val="0"/>
          <w:numId w:val="10"/>
        </w:numPr>
        <w:autoSpaceDE w:val="0"/>
        <w:autoSpaceDN w:val="0"/>
        <w:adjustRightInd w:val="0"/>
        <w:spacing w:after="0" w:line="240" w:lineRule="auto"/>
        <w:contextualSpacing/>
        <w:rPr>
          <w:rFonts w:eastAsia="Times New Roman" w:cs="Calibri"/>
          <w:color w:val="006666"/>
          <w:sz w:val="20"/>
          <w:szCs w:val="20"/>
        </w:rPr>
      </w:pPr>
      <w:r w:rsidRPr="00A4558D">
        <w:rPr>
          <w:rFonts w:eastAsia="Times New Roman" w:cs="Calibri"/>
          <w:b/>
          <w:color w:val="006666"/>
          <w:sz w:val="20"/>
          <w:szCs w:val="20"/>
        </w:rPr>
        <w:t>Operations composed of several transactions</w:t>
      </w:r>
      <w:r w:rsidRPr="00A4558D">
        <w:rPr>
          <w:rFonts w:eastAsia="Times New Roman" w:cs="Calibri"/>
          <w:color w:val="006666"/>
          <w:sz w:val="20"/>
          <w:szCs w:val="20"/>
        </w:rPr>
        <w:t>.  Art</w:t>
      </w:r>
      <w:r w:rsidR="004D5A35">
        <w:rPr>
          <w:rFonts w:eastAsia="Times New Roman" w:cs="Calibri"/>
          <w:color w:val="006666"/>
          <w:sz w:val="20"/>
          <w:szCs w:val="20"/>
        </w:rPr>
        <w:t>icle</w:t>
      </w:r>
      <w:r w:rsidRPr="00A4558D">
        <w:rPr>
          <w:rFonts w:eastAsia="Times New Roman" w:cs="Calibri"/>
          <w:color w:val="006666"/>
          <w:sz w:val="20"/>
          <w:szCs w:val="20"/>
        </w:rPr>
        <w:t xml:space="preserve"> 7(4) of Level 1 provides that mandatory buy-ins will not apply to securities lending transactions whose term is sufficiently short to render the buy-in process “ineffective”.  Art</w:t>
      </w:r>
      <w:r w:rsidR="004D5A35">
        <w:rPr>
          <w:rFonts w:eastAsia="Times New Roman" w:cs="Calibri"/>
          <w:color w:val="006666"/>
          <w:sz w:val="20"/>
          <w:szCs w:val="20"/>
        </w:rPr>
        <w:t>icle</w:t>
      </w:r>
      <w:r w:rsidRPr="00A4558D">
        <w:rPr>
          <w:rFonts w:eastAsia="Times New Roman" w:cs="Calibri"/>
          <w:color w:val="006666"/>
          <w:sz w:val="20"/>
          <w:szCs w:val="20"/>
        </w:rPr>
        <w:t xml:space="preserve"> 22(2) of Level 2 clarifies that the buy-in process shall be considered ineffective where the second leg of the securities lending transaction is set within 30 business days of intended settlement date of the first leg. However, </w:t>
      </w:r>
      <w:r w:rsidR="008D2A00">
        <w:rPr>
          <w:rFonts w:eastAsia="Times New Roman" w:cs="Calibri"/>
          <w:color w:val="006666"/>
          <w:sz w:val="20"/>
          <w:szCs w:val="20"/>
        </w:rPr>
        <w:t xml:space="preserve">as drafted, it is unclear how this test should be applied to various </w:t>
      </w:r>
      <w:r w:rsidRPr="00A4558D">
        <w:rPr>
          <w:rFonts w:eastAsia="Times New Roman" w:cs="Calibri"/>
          <w:color w:val="006666"/>
          <w:sz w:val="20"/>
          <w:szCs w:val="20"/>
        </w:rPr>
        <w:t>transaction types such as open trades or evergreen trades</w:t>
      </w:r>
      <w:r w:rsidR="00BB5F36">
        <w:rPr>
          <w:rFonts w:eastAsia="Times New Roman" w:cs="Calibri"/>
          <w:color w:val="006666"/>
          <w:sz w:val="20"/>
          <w:szCs w:val="20"/>
        </w:rPr>
        <w:t>,</w:t>
      </w:r>
      <w:r w:rsidRPr="00A4558D">
        <w:rPr>
          <w:rFonts w:eastAsia="Times New Roman" w:cs="Calibri"/>
          <w:color w:val="006666"/>
          <w:sz w:val="20"/>
          <w:szCs w:val="20"/>
        </w:rPr>
        <w:t xml:space="preserve"> whose initial term may be contemplated to be within the 30</w:t>
      </w:r>
      <w:r w:rsidR="00C62C9E">
        <w:rPr>
          <w:rFonts w:eastAsia="Times New Roman" w:cs="Calibri"/>
          <w:color w:val="006666"/>
          <w:sz w:val="20"/>
          <w:szCs w:val="20"/>
        </w:rPr>
        <w:t>-</w:t>
      </w:r>
      <w:r w:rsidRPr="00A4558D">
        <w:rPr>
          <w:rFonts w:eastAsia="Times New Roman" w:cs="Calibri"/>
          <w:color w:val="006666"/>
          <w:sz w:val="20"/>
          <w:szCs w:val="20"/>
        </w:rPr>
        <w:t>business day threshold</w:t>
      </w:r>
      <w:r w:rsidR="00BB5F36">
        <w:rPr>
          <w:rFonts w:eastAsia="Times New Roman" w:cs="Calibri"/>
          <w:color w:val="006666"/>
          <w:sz w:val="20"/>
          <w:szCs w:val="20"/>
        </w:rPr>
        <w:t>,</w:t>
      </w:r>
      <w:r w:rsidRPr="00A4558D">
        <w:rPr>
          <w:rFonts w:eastAsia="Times New Roman" w:cs="Calibri"/>
          <w:color w:val="006666"/>
          <w:sz w:val="20"/>
          <w:szCs w:val="20"/>
        </w:rPr>
        <w:t xml:space="preserve"> but that are automatically rolled such that they subsequently exceed it.</w:t>
      </w:r>
      <w:r w:rsidR="0028323C">
        <w:rPr>
          <w:rFonts w:eastAsia="Times New Roman" w:cs="Calibri"/>
          <w:color w:val="006666"/>
          <w:sz w:val="20"/>
          <w:szCs w:val="20"/>
        </w:rPr>
        <w:t xml:space="preserve"> As it is unclear on what </w:t>
      </w:r>
      <w:r w:rsidR="0028323C" w:rsidRPr="00A4558D">
        <w:rPr>
          <w:rFonts w:eastAsia="Times New Roman" w:cs="Calibri"/>
          <w:color w:val="006666"/>
          <w:sz w:val="20"/>
          <w:szCs w:val="20"/>
        </w:rPr>
        <w:t xml:space="preserve">basis </w:t>
      </w:r>
      <w:r w:rsidR="0028323C">
        <w:rPr>
          <w:rFonts w:eastAsia="Times New Roman" w:cs="Calibri"/>
          <w:color w:val="006666"/>
          <w:sz w:val="20"/>
          <w:szCs w:val="20"/>
        </w:rPr>
        <w:t xml:space="preserve">the </w:t>
      </w:r>
      <w:r w:rsidR="0028323C" w:rsidRPr="00A4558D">
        <w:rPr>
          <w:rFonts w:eastAsia="Times New Roman" w:cs="Calibri"/>
          <w:color w:val="006666"/>
          <w:sz w:val="20"/>
          <w:szCs w:val="20"/>
        </w:rPr>
        <w:t>30-business day threshold has been set</w:t>
      </w:r>
      <w:r w:rsidR="0028323C">
        <w:rPr>
          <w:rFonts w:eastAsia="Times New Roman" w:cs="Calibri"/>
          <w:color w:val="006666"/>
          <w:sz w:val="20"/>
          <w:szCs w:val="20"/>
        </w:rPr>
        <w:t>, it is difficult for firms to take a reasoned approach to determining how to apply this to these transaction types.</w:t>
      </w:r>
      <w:r w:rsidR="00D06484">
        <w:rPr>
          <w:rFonts w:eastAsia="Times New Roman" w:cs="Calibri"/>
          <w:color w:val="006666"/>
          <w:sz w:val="20"/>
          <w:szCs w:val="20"/>
        </w:rPr>
        <w:t xml:space="preserve"> </w:t>
      </w:r>
      <w:r w:rsidR="001738A1">
        <w:rPr>
          <w:rFonts w:eastAsia="Times New Roman" w:cs="Calibri"/>
          <w:color w:val="006666"/>
          <w:sz w:val="20"/>
          <w:szCs w:val="20"/>
        </w:rPr>
        <w:t xml:space="preserve">Please </w:t>
      </w:r>
      <w:r w:rsidR="008650B7">
        <w:rPr>
          <w:rFonts w:eastAsia="Times New Roman" w:cs="Calibri"/>
          <w:color w:val="006666"/>
          <w:sz w:val="20"/>
          <w:szCs w:val="20"/>
        </w:rPr>
        <w:t xml:space="preserve">see </w:t>
      </w:r>
      <w:r w:rsidR="001738A1">
        <w:rPr>
          <w:rFonts w:eastAsia="Times New Roman" w:cs="Calibri"/>
          <w:color w:val="006666"/>
          <w:sz w:val="20"/>
          <w:szCs w:val="20"/>
        </w:rPr>
        <w:t xml:space="preserve">results of a joint ISLA &amp; ICMA member </w:t>
      </w:r>
      <w:hyperlink r:id="rId16" w:history="1">
        <w:r w:rsidR="001738A1" w:rsidRPr="00BE2B50">
          <w:rPr>
            <w:rStyle w:val="Hyperlink"/>
            <w:rFonts w:eastAsia="Times New Roman" w:cs="Calibri"/>
            <w:sz w:val="20"/>
            <w:szCs w:val="20"/>
          </w:rPr>
          <w:t>survey</w:t>
        </w:r>
      </w:hyperlink>
      <w:r w:rsidR="00BE2B50">
        <w:rPr>
          <w:rFonts w:eastAsia="Times New Roman" w:cs="Calibri"/>
          <w:color w:val="006666"/>
          <w:sz w:val="20"/>
          <w:szCs w:val="20"/>
        </w:rPr>
        <w:t xml:space="preserve"> </w:t>
      </w:r>
      <w:r w:rsidR="0049152A">
        <w:rPr>
          <w:rFonts w:eastAsia="Times New Roman" w:cs="Calibri"/>
          <w:color w:val="006666"/>
          <w:sz w:val="20"/>
          <w:szCs w:val="20"/>
        </w:rPr>
        <w:t xml:space="preserve">in </w:t>
      </w:r>
      <w:r w:rsidR="003939C2">
        <w:rPr>
          <w:rFonts w:eastAsia="Times New Roman" w:cs="Calibri"/>
          <w:color w:val="006666"/>
          <w:sz w:val="20"/>
          <w:szCs w:val="20"/>
        </w:rPr>
        <w:t xml:space="preserve">February 2020 </w:t>
      </w:r>
      <w:r w:rsidR="001A4CD4">
        <w:rPr>
          <w:rFonts w:eastAsia="Times New Roman" w:cs="Calibri"/>
          <w:color w:val="006666"/>
          <w:sz w:val="20"/>
          <w:szCs w:val="20"/>
        </w:rPr>
        <w:t xml:space="preserve">with regards to member firms </w:t>
      </w:r>
      <w:r w:rsidR="00917F1B" w:rsidRPr="00917F1B">
        <w:rPr>
          <w:rFonts w:eastAsia="Times New Roman" w:cs="Calibri"/>
          <w:color w:val="006666"/>
          <w:sz w:val="20"/>
          <w:szCs w:val="20"/>
        </w:rPr>
        <w:t>treatment of open SFTs</w:t>
      </w:r>
      <w:r w:rsidR="001A4CD4">
        <w:rPr>
          <w:rFonts w:eastAsia="Times New Roman" w:cs="Calibri"/>
          <w:color w:val="006666"/>
          <w:sz w:val="20"/>
          <w:szCs w:val="20"/>
        </w:rPr>
        <w:t xml:space="preserve">. </w:t>
      </w:r>
      <w:r w:rsidR="00C62C9E">
        <w:rPr>
          <w:rFonts w:eastAsia="Times New Roman" w:cs="Calibri"/>
          <w:color w:val="006666"/>
          <w:sz w:val="20"/>
          <w:szCs w:val="20"/>
        </w:rPr>
        <w:t xml:space="preserve"> </w:t>
      </w:r>
    </w:p>
    <w:p w14:paraId="63743814" w14:textId="77777777" w:rsidR="00A4558D" w:rsidRPr="00A4558D" w:rsidRDefault="00A4558D" w:rsidP="00A4558D">
      <w:pPr>
        <w:autoSpaceDE w:val="0"/>
        <w:autoSpaceDN w:val="0"/>
        <w:adjustRightInd w:val="0"/>
        <w:spacing w:after="0" w:line="240" w:lineRule="auto"/>
        <w:ind w:left="-66"/>
        <w:contextualSpacing/>
        <w:rPr>
          <w:rFonts w:eastAsia="Times New Roman" w:cs="Calibri"/>
          <w:b/>
          <w:color w:val="006666"/>
          <w:sz w:val="20"/>
          <w:szCs w:val="20"/>
        </w:rPr>
      </w:pPr>
    </w:p>
    <w:p w14:paraId="7C985464" w14:textId="7C9A2652" w:rsidR="00A4558D" w:rsidRDefault="00A4558D" w:rsidP="00A4558D">
      <w:pPr>
        <w:autoSpaceDE w:val="0"/>
        <w:autoSpaceDN w:val="0"/>
        <w:adjustRightInd w:val="0"/>
        <w:spacing w:after="0" w:line="240" w:lineRule="auto"/>
        <w:ind w:left="-66"/>
        <w:contextualSpacing/>
        <w:rPr>
          <w:rFonts w:eastAsia="Times New Roman" w:cs="Calibri"/>
          <w:color w:val="006666"/>
          <w:sz w:val="20"/>
          <w:szCs w:val="20"/>
        </w:rPr>
      </w:pPr>
      <w:r w:rsidRPr="00A4558D">
        <w:rPr>
          <w:rFonts w:eastAsia="Times New Roman" w:cs="Calibri"/>
          <w:color w:val="006666"/>
          <w:sz w:val="20"/>
          <w:szCs w:val="20"/>
        </w:rPr>
        <w:t>Given that a primary function of securities lending is to improve liquidity by making securities available to facilitate market participants’ meeting delivery obligations, it is ISLA’s view that securities lending should not as a general matter – i.e., regardless of the tenor of the transaction</w:t>
      </w:r>
      <w:r w:rsidR="0095594F">
        <w:rPr>
          <w:rFonts w:eastAsia="Times New Roman" w:cs="Calibri"/>
          <w:color w:val="006666"/>
          <w:sz w:val="20"/>
          <w:szCs w:val="20"/>
        </w:rPr>
        <w:t xml:space="preserve">, </w:t>
      </w:r>
      <w:r w:rsidRPr="00A4558D">
        <w:rPr>
          <w:rFonts w:eastAsia="Times New Roman" w:cs="Calibri"/>
          <w:color w:val="006666"/>
          <w:sz w:val="20"/>
          <w:szCs w:val="20"/>
        </w:rPr>
        <w:t>be subject to the mandatory buy-in requirement</w:t>
      </w:r>
      <w:r w:rsidR="00334F02">
        <w:rPr>
          <w:rFonts w:eastAsia="Times New Roman" w:cs="Calibri"/>
          <w:color w:val="006666"/>
          <w:sz w:val="20"/>
          <w:szCs w:val="20"/>
        </w:rPr>
        <w:t>, as outlined in more detail</w:t>
      </w:r>
      <w:r w:rsidR="006A17DB">
        <w:rPr>
          <w:rFonts w:eastAsia="Times New Roman" w:cs="Calibri"/>
          <w:color w:val="006666"/>
          <w:sz w:val="20"/>
          <w:szCs w:val="20"/>
        </w:rPr>
        <w:t xml:space="preserve"> in</w:t>
      </w:r>
      <w:r w:rsidR="00334F02">
        <w:rPr>
          <w:rFonts w:eastAsia="Times New Roman" w:cs="Calibri"/>
          <w:color w:val="006666"/>
          <w:sz w:val="20"/>
          <w:szCs w:val="20"/>
        </w:rPr>
        <w:t xml:space="preserve"> the response</w:t>
      </w:r>
      <w:r w:rsidR="006A17DB">
        <w:rPr>
          <w:rFonts w:eastAsia="Times New Roman" w:cs="Calibri"/>
          <w:color w:val="006666"/>
          <w:sz w:val="20"/>
          <w:szCs w:val="20"/>
        </w:rPr>
        <w:t>s</w:t>
      </w:r>
      <w:r w:rsidR="00334F02">
        <w:rPr>
          <w:rFonts w:eastAsia="Times New Roman" w:cs="Calibri"/>
          <w:color w:val="006666"/>
          <w:sz w:val="20"/>
          <w:szCs w:val="20"/>
        </w:rPr>
        <w:t xml:space="preserve"> to question</w:t>
      </w:r>
      <w:r w:rsidR="006A17DB">
        <w:rPr>
          <w:rFonts w:eastAsia="Times New Roman" w:cs="Calibri"/>
          <w:color w:val="006666"/>
          <w:sz w:val="20"/>
          <w:szCs w:val="20"/>
        </w:rPr>
        <w:t>s</w:t>
      </w:r>
      <w:r w:rsidR="00334F02">
        <w:rPr>
          <w:rFonts w:eastAsia="Times New Roman" w:cs="Calibri"/>
          <w:color w:val="006666"/>
          <w:sz w:val="20"/>
          <w:szCs w:val="20"/>
        </w:rPr>
        <w:t xml:space="preserve"> 34.1 &amp; 35.1</w:t>
      </w:r>
      <w:r w:rsidRPr="00A4558D">
        <w:rPr>
          <w:rFonts w:eastAsia="Times New Roman" w:cs="Calibri"/>
          <w:color w:val="006666"/>
          <w:sz w:val="20"/>
          <w:szCs w:val="20"/>
        </w:rPr>
        <w:t xml:space="preserve">. However, if redefining the scope of the application is beyond the remit of this review, then a welcome clarification to the existing Level 2 exclusion (referred to above) would be that open trades, evergreen </w:t>
      </w:r>
      <w:r w:rsidR="008038AA" w:rsidRPr="00A4558D">
        <w:rPr>
          <w:rFonts w:eastAsia="Times New Roman" w:cs="Calibri"/>
          <w:color w:val="006666"/>
          <w:sz w:val="20"/>
          <w:szCs w:val="20"/>
        </w:rPr>
        <w:t>trades,</w:t>
      </w:r>
      <w:r w:rsidRPr="00A4558D">
        <w:rPr>
          <w:rFonts w:eastAsia="Times New Roman" w:cs="Calibri"/>
          <w:color w:val="006666"/>
          <w:sz w:val="20"/>
          <w:szCs w:val="20"/>
        </w:rPr>
        <w:t xml:space="preserve"> and similar trade types</w:t>
      </w:r>
      <w:r w:rsidR="0095594F">
        <w:rPr>
          <w:rFonts w:eastAsia="Times New Roman" w:cs="Calibri"/>
          <w:color w:val="006666"/>
          <w:sz w:val="20"/>
          <w:szCs w:val="20"/>
        </w:rPr>
        <w:t>,</w:t>
      </w:r>
      <w:r w:rsidRPr="00A4558D">
        <w:rPr>
          <w:rFonts w:eastAsia="Times New Roman" w:cs="Calibri"/>
          <w:color w:val="006666"/>
          <w:sz w:val="20"/>
          <w:szCs w:val="20"/>
        </w:rPr>
        <w:t xml:space="preserve"> are not subject to the mandatory buy-in requirement.</w:t>
      </w:r>
    </w:p>
    <w:p w14:paraId="333ECF10" w14:textId="0B9A562F" w:rsidR="00BD7E31" w:rsidRDefault="00BD7E31" w:rsidP="00A4558D">
      <w:pPr>
        <w:autoSpaceDE w:val="0"/>
        <w:autoSpaceDN w:val="0"/>
        <w:adjustRightInd w:val="0"/>
        <w:spacing w:after="0" w:line="240" w:lineRule="auto"/>
        <w:ind w:left="-66"/>
        <w:contextualSpacing/>
        <w:rPr>
          <w:rFonts w:eastAsia="Times New Roman" w:cs="Calibri"/>
          <w:color w:val="006666"/>
          <w:sz w:val="20"/>
          <w:szCs w:val="20"/>
        </w:rPr>
      </w:pPr>
    </w:p>
    <w:p w14:paraId="3AE8F37C" w14:textId="77777777" w:rsidR="00BD7E31" w:rsidRDefault="00BD7E31" w:rsidP="00A4558D">
      <w:pPr>
        <w:autoSpaceDE w:val="0"/>
        <w:autoSpaceDN w:val="0"/>
        <w:adjustRightInd w:val="0"/>
        <w:spacing w:after="0" w:line="240" w:lineRule="auto"/>
        <w:ind w:left="-66"/>
        <w:contextualSpacing/>
        <w:rPr>
          <w:rFonts w:eastAsia="Times New Roman" w:cs="Calibri"/>
          <w:color w:val="006666"/>
          <w:sz w:val="20"/>
          <w:szCs w:val="20"/>
        </w:rPr>
      </w:pPr>
    </w:p>
    <w:p w14:paraId="237121BA" w14:textId="3B9B2BC9" w:rsidR="00BD7E31" w:rsidRPr="00C460C8" w:rsidRDefault="00BD7E31" w:rsidP="00BD7E31">
      <w:pPr>
        <w:numPr>
          <w:ilvl w:val="0"/>
          <w:numId w:val="10"/>
        </w:numPr>
        <w:autoSpaceDE w:val="0"/>
        <w:autoSpaceDN w:val="0"/>
        <w:adjustRightInd w:val="0"/>
        <w:spacing w:after="0" w:line="240" w:lineRule="auto"/>
        <w:ind w:right="119"/>
        <w:rPr>
          <w:rFonts w:eastAsia="Times New Roman" w:cs="Calibri"/>
          <w:color w:val="006666"/>
          <w:sz w:val="20"/>
          <w:szCs w:val="20"/>
        </w:rPr>
      </w:pPr>
      <w:r w:rsidRPr="00A6262A">
        <w:rPr>
          <w:rFonts w:eastAsia="Times New Roman" w:cs="Calibri"/>
          <w:b/>
          <w:color w:val="006666"/>
          <w:sz w:val="20"/>
          <w:szCs w:val="20"/>
        </w:rPr>
        <w:t>Contractual arrangements</w:t>
      </w:r>
      <w:r w:rsidRPr="00A6262A">
        <w:rPr>
          <w:rFonts w:eastAsia="Times New Roman" w:cs="Calibri"/>
          <w:color w:val="006666"/>
          <w:sz w:val="20"/>
          <w:szCs w:val="20"/>
        </w:rPr>
        <w:t>.  It</w:t>
      </w:r>
      <w:r>
        <w:rPr>
          <w:rFonts w:eastAsia="Times New Roman" w:cs="Calibri"/>
          <w:color w:val="006666"/>
          <w:sz w:val="20"/>
          <w:szCs w:val="20"/>
        </w:rPr>
        <w:t xml:space="preserve"> is</w:t>
      </w:r>
      <w:r w:rsidRPr="00A6262A">
        <w:rPr>
          <w:rFonts w:eastAsia="Times New Roman" w:cs="Calibri"/>
          <w:color w:val="006666"/>
          <w:sz w:val="20"/>
          <w:szCs w:val="20"/>
        </w:rPr>
        <w:t xml:space="preserve"> unclear which parties in the settlement chain</w:t>
      </w:r>
      <w:r w:rsidR="006A17DB">
        <w:rPr>
          <w:rFonts w:eastAsia="Times New Roman" w:cs="Calibri"/>
          <w:color w:val="006666"/>
          <w:sz w:val="20"/>
          <w:szCs w:val="20"/>
        </w:rPr>
        <w:t xml:space="preserve"> are subject to </w:t>
      </w:r>
      <w:r w:rsidRPr="00A6262A">
        <w:rPr>
          <w:rFonts w:eastAsia="Times New Roman" w:cs="Calibri"/>
          <w:color w:val="006666"/>
          <w:sz w:val="20"/>
          <w:szCs w:val="20"/>
        </w:rPr>
        <w:t xml:space="preserve">the obligation to fully incorporate the buy-in mechanism into all applicable contractual arrangements </w:t>
      </w:r>
      <w:r w:rsidR="006A17DB">
        <w:rPr>
          <w:rFonts w:eastAsia="Times New Roman" w:cs="Calibri"/>
          <w:color w:val="006666"/>
          <w:sz w:val="20"/>
          <w:szCs w:val="20"/>
        </w:rPr>
        <w:t xml:space="preserve">pursuant to </w:t>
      </w:r>
      <w:r w:rsidR="006A17DB" w:rsidRPr="00A6262A">
        <w:rPr>
          <w:rFonts w:eastAsia="Times New Roman" w:cs="Calibri"/>
          <w:color w:val="006666"/>
          <w:sz w:val="20"/>
          <w:szCs w:val="20"/>
        </w:rPr>
        <w:t>Art</w:t>
      </w:r>
      <w:r w:rsidR="006A17DB">
        <w:rPr>
          <w:rFonts w:eastAsia="Times New Roman" w:cs="Calibri"/>
          <w:color w:val="006666"/>
          <w:sz w:val="20"/>
          <w:szCs w:val="20"/>
        </w:rPr>
        <w:t>icle</w:t>
      </w:r>
      <w:r w:rsidR="006A17DB" w:rsidRPr="00A6262A">
        <w:rPr>
          <w:rFonts w:eastAsia="Times New Roman" w:cs="Calibri"/>
          <w:color w:val="006666"/>
          <w:sz w:val="20"/>
          <w:szCs w:val="20"/>
        </w:rPr>
        <w:t xml:space="preserve"> 25 of Level 2</w:t>
      </w:r>
      <w:r w:rsidRPr="00A6262A">
        <w:rPr>
          <w:rFonts w:eastAsia="Times New Roman" w:cs="Calibri"/>
          <w:color w:val="006666"/>
          <w:sz w:val="20"/>
          <w:szCs w:val="20"/>
        </w:rPr>
        <w:t>.  It is unclear whether “parties in the settlement chain” refers to trading parties who have entered into an OTC master trading agreement</w:t>
      </w:r>
      <w:r>
        <w:rPr>
          <w:rFonts w:eastAsia="Times New Roman" w:cs="Calibri"/>
          <w:color w:val="006666"/>
          <w:sz w:val="20"/>
          <w:szCs w:val="20"/>
        </w:rPr>
        <w:t>,</w:t>
      </w:r>
      <w:r w:rsidRPr="00A6262A">
        <w:rPr>
          <w:rFonts w:eastAsia="Times New Roman" w:cs="Calibri"/>
          <w:color w:val="006666"/>
          <w:sz w:val="20"/>
          <w:szCs w:val="20"/>
        </w:rPr>
        <w:t xml:space="preserve"> such as the G</w:t>
      </w:r>
      <w:r>
        <w:rPr>
          <w:rFonts w:eastAsia="Times New Roman" w:cs="Calibri"/>
          <w:color w:val="006666"/>
          <w:sz w:val="20"/>
          <w:szCs w:val="20"/>
        </w:rPr>
        <w:t xml:space="preserve">lobal </w:t>
      </w:r>
      <w:r w:rsidRPr="00A6262A">
        <w:rPr>
          <w:rFonts w:eastAsia="Times New Roman" w:cs="Calibri"/>
          <w:color w:val="006666"/>
          <w:sz w:val="20"/>
          <w:szCs w:val="20"/>
        </w:rPr>
        <w:t>M</w:t>
      </w:r>
      <w:r>
        <w:rPr>
          <w:rFonts w:eastAsia="Times New Roman" w:cs="Calibri"/>
          <w:color w:val="006666"/>
          <w:sz w:val="20"/>
          <w:szCs w:val="20"/>
        </w:rPr>
        <w:t xml:space="preserve">aster </w:t>
      </w:r>
      <w:r w:rsidRPr="00A6262A">
        <w:rPr>
          <w:rFonts w:eastAsia="Times New Roman" w:cs="Calibri"/>
          <w:color w:val="006666"/>
          <w:sz w:val="20"/>
          <w:szCs w:val="20"/>
        </w:rPr>
        <w:t>S</w:t>
      </w:r>
      <w:r>
        <w:rPr>
          <w:rFonts w:eastAsia="Times New Roman" w:cs="Calibri"/>
          <w:color w:val="006666"/>
          <w:sz w:val="20"/>
          <w:szCs w:val="20"/>
        </w:rPr>
        <w:t xml:space="preserve">ecurities </w:t>
      </w:r>
      <w:r w:rsidRPr="00A6262A">
        <w:rPr>
          <w:rFonts w:eastAsia="Times New Roman" w:cs="Calibri"/>
          <w:color w:val="006666"/>
          <w:sz w:val="20"/>
          <w:szCs w:val="20"/>
        </w:rPr>
        <w:t>L</w:t>
      </w:r>
      <w:r>
        <w:rPr>
          <w:rFonts w:eastAsia="Times New Roman" w:cs="Calibri"/>
          <w:color w:val="006666"/>
          <w:sz w:val="20"/>
          <w:szCs w:val="20"/>
        </w:rPr>
        <w:t xml:space="preserve">ending </w:t>
      </w:r>
      <w:r w:rsidRPr="00A6262A">
        <w:rPr>
          <w:rFonts w:eastAsia="Times New Roman" w:cs="Calibri"/>
          <w:color w:val="006666"/>
          <w:sz w:val="20"/>
          <w:szCs w:val="20"/>
        </w:rPr>
        <w:t>A</w:t>
      </w:r>
      <w:r>
        <w:rPr>
          <w:rFonts w:eastAsia="Times New Roman" w:cs="Calibri"/>
          <w:color w:val="006666"/>
          <w:sz w:val="20"/>
          <w:szCs w:val="20"/>
        </w:rPr>
        <w:t>greement (GMSLA)</w:t>
      </w:r>
      <w:r w:rsidRPr="00A6262A">
        <w:rPr>
          <w:rFonts w:eastAsia="Times New Roman" w:cs="Calibri"/>
          <w:color w:val="006666"/>
          <w:sz w:val="20"/>
          <w:szCs w:val="20"/>
        </w:rPr>
        <w:t xml:space="preserve">. However, given </w:t>
      </w:r>
      <w:r w:rsidRPr="00A6262A">
        <w:rPr>
          <w:rFonts w:eastAsia="Times New Roman" w:cs="Calibri"/>
          <w:color w:val="006666"/>
          <w:sz w:val="20"/>
          <w:szCs w:val="20"/>
        </w:rPr>
        <w:lastRenderedPageBreak/>
        <w:t xml:space="preserve">that (1) the GMSLA already has mechanisms to address settlement failures, (2) that previous consultations don’t appear to have considered the potential impact of </w:t>
      </w:r>
      <w:r w:rsidR="006A17DB">
        <w:rPr>
          <w:rFonts w:eastAsia="Times New Roman" w:cs="Calibri"/>
          <w:color w:val="006666"/>
          <w:sz w:val="20"/>
          <w:szCs w:val="20"/>
        </w:rPr>
        <w:t xml:space="preserve">amending such agreements to </w:t>
      </w:r>
      <w:r w:rsidRPr="00A6262A">
        <w:rPr>
          <w:rFonts w:eastAsia="Times New Roman" w:cs="Calibri"/>
          <w:color w:val="006666"/>
          <w:sz w:val="20"/>
          <w:szCs w:val="20"/>
        </w:rPr>
        <w:t>includ</w:t>
      </w:r>
      <w:r w:rsidR="006A17DB">
        <w:rPr>
          <w:rFonts w:eastAsia="Times New Roman" w:cs="Calibri"/>
          <w:color w:val="006666"/>
          <w:sz w:val="20"/>
          <w:szCs w:val="20"/>
        </w:rPr>
        <w:t>e</w:t>
      </w:r>
      <w:r w:rsidRPr="00A6262A">
        <w:rPr>
          <w:rFonts w:eastAsia="Times New Roman" w:cs="Calibri"/>
          <w:color w:val="006666"/>
          <w:sz w:val="20"/>
          <w:szCs w:val="20"/>
        </w:rPr>
        <w:t xml:space="preserve"> buy-in provisions on </w:t>
      </w:r>
      <w:r w:rsidR="006A17DB">
        <w:rPr>
          <w:rFonts w:eastAsia="Times New Roman" w:cs="Calibri"/>
          <w:color w:val="006666"/>
          <w:sz w:val="20"/>
          <w:szCs w:val="20"/>
        </w:rPr>
        <w:t>exi</w:t>
      </w:r>
      <w:r w:rsidR="006B264B">
        <w:rPr>
          <w:rFonts w:eastAsia="Times New Roman" w:cs="Calibri"/>
          <w:color w:val="006666"/>
          <w:sz w:val="20"/>
          <w:szCs w:val="20"/>
        </w:rPr>
        <w:t>s</w:t>
      </w:r>
      <w:r w:rsidR="006A17DB">
        <w:rPr>
          <w:rFonts w:eastAsia="Times New Roman" w:cs="Calibri"/>
          <w:color w:val="006666"/>
          <w:sz w:val="20"/>
          <w:szCs w:val="20"/>
        </w:rPr>
        <w:t>ting</w:t>
      </w:r>
      <w:r w:rsidRPr="00A6262A">
        <w:rPr>
          <w:rFonts w:eastAsia="Times New Roman" w:cs="Calibri"/>
          <w:color w:val="006666"/>
          <w:sz w:val="20"/>
          <w:szCs w:val="20"/>
        </w:rPr>
        <w:t xml:space="preserve"> </w:t>
      </w:r>
      <w:r w:rsidR="006A17DB" w:rsidRPr="00A6262A">
        <w:rPr>
          <w:rFonts w:eastAsia="Times New Roman" w:cs="Calibri"/>
          <w:color w:val="006666"/>
          <w:sz w:val="20"/>
          <w:szCs w:val="20"/>
        </w:rPr>
        <w:t>opinion</w:t>
      </w:r>
      <w:r w:rsidR="006A17DB">
        <w:rPr>
          <w:rFonts w:eastAsia="Times New Roman" w:cs="Calibri"/>
          <w:color w:val="006666"/>
          <w:sz w:val="20"/>
          <w:szCs w:val="20"/>
        </w:rPr>
        <w:t xml:space="preserve"> coverage</w:t>
      </w:r>
      <w:r w:rsidRPr="00A6262A">
        <w:rPr>
          <w:rFonts w:eastAsia="Times New Roman" w:cs="Calibri"/>
          <w:color w:val="006666"/>
          <w:sz w:val="20"/>
          <w:szCs w:val="20"/>
        </w:rPr>
        <w:t>, and (3) amending all such master agreements would necessitate an enormous repapering exercise</w:t>
      </w:r>
      <w:r>
        <w:rPr>
          <w:rFonts w:eastAsia="Times New Roman" w:cs="Calibri"/>
          <w:color w:val="006666"/>
          <w:sz w:val="20"/>
          <w:szCs w:val="20"/>
        </w:rPr>
        <w:t>,</w:t>
      </w:r>
      <w:r w:rsidRPr="00A6262A">
        <w:rPr>
          <w:rFonts w:eastAsia="Times New Roman" w:cs="Calibri"/>
          <w:color w:val="006666"/>
          <w:sz w:val="20"/>
          <w:szCs w:val="20"/>
        </w:rPr>
        <w:t xml:space="preserve"> which would be virtually impossible without the multiple clarifications being sought from ESMA</w:t>
      </w:r>
      <w:r w:rsidR="00EA4EF3">
        <w:rPr>
          <w:rFonts w:eastAsia="Times New Roman" w:cs="Calibri"/>
          <w:color w:val="006666"/>
          <w:sz w:val="20"/>
          <w:szCs w:val="20"/>
        </w:rPr>
        <w:t>/ the Commission</w:t>
      </w:r>
      <w:r>
        <w:rPr>
          <w:rFonts w:eastAsia="Times New Roman" w:cs="Calibri"/>
          <w:color w:val="006666"/>
          <w:sz w:val="20"/>
          <w:szCs w:val="20"/>
        </w:rPr>
        <w:t>,</w:t>
      </w:r>
      <w:r w:rsidRPr="00A6262A">
        <w:rPr>
          <w:rFonts w:eastAsia="Times New Roman" w:cs="Calibri"/>
          <w:color w:val="006666"/>
          <w:sz w:val="20"/>
          <w:szCs w:val="20"/>
        </w:rPr>
        <w:t xml:space="preserve"> and a significant further delay to the go-live date</w:t>
      </w:r>
      <w:r w:rsidR="0091111F">
        <w:rPr>
          <w:rFonts w:eastAsia="Times New Roman" w:cs="Calibri"/>
          <w:color w:val="006666"/>
          <w:sz w:val="20"/>
          <w:szCs w:val="20"/>
        </w:rPr>
        <w:t>,</w:t>
      </w:r>
      <w:r>
        <w:rPr>
          <w:rFonts w:eastAsia="Times New Roman" w:cs="Calibri"/>
          <w:color w:val="006666"/>
          <w:sz w:val="20"/>
          <w:szCs w:val="20"/>
        </w:rPr>
        <w:t xml:space="preserve"> </w:t>
      </w:r>
      <w:r w:rsidRPr="00A6262A">
        <w:rPr>
          <w:rFonts w:eastAsia="Times New Roman" w:cs="Calibri"/>
          <w:color w:val="006666"/>
          <w:sz w:val="20"/>
          <w:szCs w:val="20"/>
        </w:rPr>
        <w:t>ISLA is of the view that the obligation</w:t>
      </w:r>
      <w:r>
        <w:rPr>
          <w:rFonts w:eastAsia="Times New Roman" w:cs="Calibri"/>
          <w:color w:val="006666"/>
          <w:sz w:val="20"/>
          <w:szCs w:val="20"/>
        </w:rPr>
        <w:t>s</w:t>
      </w:r>
      <w:r w:rsidRPr="00A6262A">
        <w:rPr>
          <w:rFonts w:eastAsia="Times New Roman" w:cs="Calibri"/>
          <w:color w:val="006666"/>
          <w:sz w:val="20"/>
          <w:szCs w:val="20"/>
        </w:rPr>
        <w:t xml:space="preserve"> under Art</w:t>
      </w:r>
      <w:r>
        <w:rPr>
          <w:rFonts w:eastAsia="Times New Roman" w:cs="Calibri"/>
          <w:color w:val="006666"/>
          <w:sz w:val="20"/>
          <w:szCs w:val="20"/>
        </w:rPr>
        <w:t>icle</w:t>
      </w:r>
      <w:r w:rsidRPr="00A6262A">
        <w:rPr>
          <w:rFonts w:eastAsia="Times New Roman" w:cs="Calibri"/>
          <w:color w:val="006666"/>
          <w:sz w:val="20"/>
          <w:szCs w:val="20"/>
        </w:rPr>
        <w:t xml:space="preserve"> 25 of Level 2</w:t>
      </w:r>
      <w:r>
        <w:rPr>
          <w:rFonts w:eastAsia="Times New Roman" w:cs="Calibri"/>
          <w:color w:val="006666"/>
          <w:sz w:val="20"/>
          <w:szCs w:val="20"/>
        </w:rPr>
        <w:t>,</w:t>
      </w:r>
      <w:r w:rsidRPr="00A6262A">
        <w:rPr>
          <w:rFonts w:eastAsia="Times New Roman" w:cs="Calibri"/>
          <w:color w:val="006666"/>
          <w:sz w:val="20"/>
          <w:szCs w:val="20"/>
        </w:rPr>
        <w:t xml:space="preserve"> could not reasonably apply to such trading master agreements. As such, clarification to this effect would be welcome.</w:t>
      </w:r>
    </w:p>
    <w:p w14:paraId="1345DCA7" w14:textId="77777777" w:rsidR="00A4558D" w:rsidRPr="00A4558D" w:rsidRDefault="00A4558D" w:rsidP="00BD7E31">
      <w:pPr>
        <w:autoSpaceDE w:val="0"/>
        <w:autoSpaceDN w:val="0"/>
        <w:adjustRightInd w:val="0"/>
        <w:spacing w:after="0" w:line="240" w:lineRule="auto"/>
        <w:rPr>
          <w:rFonts w:eastAsia="Times New Roman" w:cs="Calibri"/>
          <w:color w:val="006666"/>
          <w:sz w:val="20"/>
          <w:szCs w:val="20"/>
        </w:rPr>
      </w:pPr>
    </w:p>
    <w:p w14:paraId="5602F49C" w14:textId="05B0C8A1" w:rsidR="0095594F" w:rsidRPr="00D7278A" w:rsidRDefault="007C35B4" w:rsidP="0095594F">
      <w:pPr>
        <w:pStyle w:val="ListParagraph"/>
        <w:autoSpaceDE w:val="0"/>
        <w:autoSpaceDN w:val="0"/>
        <w:adjustRightInd w:val="0"/>
        <w:spacing w:after="0" w:line="240" w:lineRule="auto"/>
        <w:ind w:left="-66"/>
        <w:rPr>
          <w:rFonts w:cstheme="minorHAnsi"/>
          <w:i/>
          <w:iCs/>
          <w:color w:val="006666"/>
          <w:sz w:val="20"/>
          <w:szCs w:val="20"/>
        </w:rPr>
      </w:pPr>
      <w:r w:rsidRPr="00D7278A">
        <w:rPr>
          <w:rFonts w:cstheme="minorHAnsi"/>
          <w:i/>
          <w:iCs/>
          <w:color w:val="006666"/>
          <w:sz w:val="20"/>
          <w:szCs w:val="20"/>
        </w:rPr>
        <w:t xml:space="preserve">The following </w:t>
      </w:r>
      <w:r w:rsidR="00937638" w:rsidRPr="00D7278A">
        <w:rPr>
          <w:rFonts w:cstheme="minorHAnsi"/>
          <w:i/>
          <w:iCs/>
          <w:color w:val="006666"/>
          <w:sz w:val="20"/>
          <w:szCs w:val="20"/>
        </w:rPr>
        <w:t xml:space="preserve">are further examples of settlement types that should be deemed out of scope, as </w:t>
      </w:r>
      <w:r w:rsidR="00540412" w:rsidRPr="00D7278A">
        <w:rPr>
          <w:rFonts w:cstheme="minorHAnsi"/>
          <w:i/>
          <w:iCs/>
          <w:color w:val="006666"/>
          <w:sz w:val="20"/>
          <w:szCs w:val="20"/>
        </w:rPr>
        <w:t>they do not correspond directly to commercial transaction</w:t>
      </w:r>
      <w:r w:rsidR="00D7278A">
        <w:rPr>
          <w:rFonts w:cstheme="minorHAnsi"/>
          <w:i/>
          <w:iCs/>
          <w:color w:val="006666"/>
          <w:sz w:val="20"/>
          <w:szCs w:val="20"/>
        </w:rPr>
        <w:t>s</w:t>
      </w:r>
      <w:r w:rsidR="00540412" w:rsidRPr="00D7278A">
        <w:rPr>
          <w:rFonts w:cstheme="minorHAnsi"/>
          <w:i/>
          <w:iCs/>
          <w:color w:val="006666"/>
          <w:sz w:val="20"/>
          <w:szCs w:val="20"/>
        </w:rPr>
        <w:t>:</w:t>
      </w:r>
    </w:p>
    <w:p w14:paraId="1DF2EFE1" w14:textId="77777777" w:rsidR="0095594F" w:rsidRPr="0095594F" w:rsidRDefault="0095594F" w:rsidP="0095594F">
      <w:pPr>
        <w:pStyle w:val="ListParagraph"/>
        <w:autoSpaceDE w:val="0"/>
        <w:autoSpaceDN w:val="0"/>
        <w:adjustRightInd w:val="0"/>
        <w:spacing w:after="0" w:line="240" w:lineRule="auto"/>
        <w:ind w:left="-66"/>
        <w:rPr>
          <w:rFonts w:cstheme="minorHAnsi"/>
          <w:color w:val="006666"/>
          <w:sz w:val="20"/>
          <w:szCs w:val="20"/>
        </w:rPr>
      </w:pPr>
    </w:p>
    <w:p w14:paraId="254F78FB" w14:textId="7FD1D843" w:rsidR="00A4558D" w:rsidRPr="00435E04" w:rsidRDefault="00A4558D" w:rsidP="00435E04">
      <w:pPr>
        <w:pStyle w:val="ListParagraph"/>
        <w:numPr>
          <w:ilvl w:val="0"/>
          <w:numId w:val="10"/>
        </w:numPr>
        <w:autoSpaceDE w:val="0"/>
        <w:autoSpaceDN w:val="0"/>
        <w:adjustRightInd w:val="0"/>
        <w:spacing w:after="0" w:line="240" w:lineRule="auto"/>
        <w:rPr>
          <w:rFonts w:cstheme="minorHAnsi"/>
          <w:color w:val="006666"/>
          <w:sz w:val="20"/>
          <w:szCs w:val="20"/>
        </w:rPr>
      </w:pPr>
      <w:r w:rsidRPr="00A4558D">
        <w:rPr>
          <w:rFonts w:eastAsia="Times New Roman" w:cs="Calibri"/>
          <w:b/>
          <w:color w:val="006666"/>
          <w:sz w:val="20"/>
          <w:szCs w:val="20"/>
        </w:rPr>
        <w:t>Margin and collateral transfers</w:t>
      </w:r>
      <w:r w:rsidRPr="00A4558D">
        <w:rPr>
          <w:rFonts w:eastAsia="Times New Roman" w:cs="Calibri"/>
          <w:color w:val="006666"/>
          <w:sz w:val="20"/>
          <w:szCs w:val="20"/>
        </w:rPr>
        <w:t>.  It</w:t>
      </w:r>
      <w:r w:rsidR="0095594F">
        <w:rPr>
          <w:rFonts w:eastAsia="Times New Roman" w:cs="Calibri"/>
          <w:color w:val="006666"/>
          <w:sz w:val="20"/>
          <w:szCs w:val="20"/>
        </w:rPr>
        <w:t xml:space="preserve"> is</w:t>
      </w:r>
      <w:r w:rsidRPr="00A4558D">
        <w:rPr>
          <w:rFonts w:eastAsia="Times New Roman" w:cs="Calibri"/>
          <w:color w:val="006666"/>
          <w:sz w:val="20"/>
          <w:szCs w:val="20"/>
        </w:rPr>
        <w:t xml:space="preserve"> unclear whether the buy-in requirements are intended to apply to transfers of margin and/or collateral.  Given that margin and collateral is typically transferred as a credit risk mitigant rather than in order to obtain a specific security, and that margin requirements would commonly change on a </w:t>
      </w:r>
      <w:r w:rsidR="001A1DE5" w:rsidRPr="00A4558D">
        <w:rPr>
          <w:rFonts w:eastAsia="Times New Roman" w:cs="Calibri"/>
          <w:color w:val="006666"/>
          <w:sz w:val="20"/>
          <w:szCs w:val="20"/>
        </w:rPr>
        <w:t>day-to-day</w:t>
      </w:r>
      <w:r w:rsidRPr="00A4558D">
        <w:rPr>
          <w:rFonts w:eastAsia="Times New Roman" w:cs="Calibri"/>
          <w:color w:val="006666"/>
          <w:sz w:val="20"/>
          <w:szCs w:val="20"/>
        </w:rPr>
        <w:t xml:space="preserve"> basis in any event, it is ISLA’s view that they should apply to neither.</w:t>
      </w:r>
      <w:r w:rsidR="002B5AF1">
        <w:rPr>
          <w:rFonts w:eastAsia="Times New Roman" w:cs="Calibri"/>
          <w:color w:val="006666"/>
          <w:sz w:val="20"/>
          <w:szCs w:val="20"/>
        </w:rPr>
        <w:t xml:space="preserve"> Applying a buy-in to collateral would </w:t>
      </w:r>
      <w:r w:rsidR="00993122">
        <w:rPr>
          <w:rFonts w:eastAsia="Times New Roman" w:cs="Calibri"/>
          <w:color w:val="006666"/>
          <w:sz w:val="20"/>
          <w:szCs w:val="20"/>
        </w:rPr>
        <w:t xml:space="preserve">inevitably </w:t>
      </w:r>
      <w:r w:rsidR="00993122" w:rsidRPr="00435E04">
        <w:rPr>
          <w:rFonts w:eastAsia="Times New Roman" w:cs="Calibri"/>
          <w:color w:val="006666"/>
          <w:sz w:val="20"/>
          <w:szCs w:val="20"/>
        </w:rPr>
        <w:t xml:space="preserve">increase credit risk, as under the current regime, parties would be obligated to buy-in undelivered </w:t>
      </w:r>
      <w:r w:rsidR="00642BA9" w:rsidRPr="00435E04">
        <w:rPr>
          <w:rFonts w:eastAsia="Times New Roman" w:cs="Calibri"/>
          <w:color w:val="006666"/>
          <w:sz w:val="20"/>
          <w:szCs w:val="20"/>
        </w:rPr>
        <w:t>collateral,</w:t>
      </w:r>
      <w:r w:rsidR="006B264B" w:rsidRPr="00435E04">
        <w:rPr>
          <w:rFonts w:eastAsia="Times New Roman" w:cs="Calibri"/>
          <w:color w:val="006666"/>
          <w:sz w:val="20"/>
          <w:szCs w:val="20"/>
        </w:rPr>
        <w:t xml:space="preserve"> and this can increase their exposure to the non-delivering party</w:t>
      </w:r>
      <w:r w:rsidR="00993122" w:rsidRPr="00435E04">
        <w:rPr>
          <w:rFonts w:eastAsia="Times New Roman" w:cs="Calibri"/>
          <w:color w:val="006666"/>
          <w:sz w:val="20"/>
          <w:szCs w:val="20"/>
        </w:rPr>
        <w:t>.</w:t>
      </w:r>
    </w:p>
    <w:p w14:paraId="30871CBB" w14:textId="77777777" w:rsidR="001A1DE5" w:rsidRPr="00A4558D" w:rsidRDefault="001A1DE5" w:rsidP="001A1DE5">
      <w:pPr>
        <w:pStyle w:val="ListParagraph"/>
        <w:autoSpaceDE w:val="0"/>
        <w:autoSpaceDN w:val="0"/>
        <w:adjustRightInd w:val="0"/>
        <w:spacing w:after="0" w:line="240" w:lineRule="auto"/>
        <w:ind w:left="-66"/>
        <w:rPr>
          <w:rFonts w:cstheme="minorHAnsi"/>
          <w:color w:val="006666"/>
          <w:sz w:val="20"/>
          <w:szCs w:val="20"/>
        </w:rPr>
      </w:pPr>
    </w:p>
    <w:p w14:paraId="35E9B022" w14:textId="406C9525" w:rsidR="00A6262A" w:rsidRPr="00A6262A" w:rsidRDefault="00A6262A" w:rsidP="00A6262A">
      <w:pPr>
        <w:numPr>
          <w:ilvl w:val="0"/>
          <w:numId w:val="10"/>
        </w:numPr>
        <w:autoSpaceDE w:val="0"/>
        <w:autoSpaceDN w:val="0"/>
        <w:adjustRightInd w:val="0"/>
        <w:spacing w:after="0" w:line="240" w:lineRule="auto"/>
        <w:ind w:right="119"/>
        <w:rPr>
          <w:rFonts w:eastAsia="Times New Roman" w:cs="Calibri"/>
          <w:color w:val="006666"/>
          <w:sz w:val="20"/>
          <w:szCs w:val="20"/>
        </w:rPr>
      </w:pPr>
      <w:r w:rsidRPr="00A6262A">
        <w:rPr>
          <w:rFonts w:eastAsia="Times New Roman" w:cs="Calibri"/>
          <w:b/>
          <w:color w:val="006666"/>
          <w:sz w:val="20"/>
          <w:szCs w:val="20"/>
        </w:rPr>
        <w:t>Same entity transfers</w:t>
      </w:r>
      <w:r w:rsidRPr="00A6262A">
        <w:rPr>
          <w:rFonts w:eastAsia="Times New Roman" w:cs="Calibri"/>
          <w:color w:val="006666"/>
          <w:sz w:val="20"/>
          <w:szCs w:val="20"/>
        </w:rPr>
        <w:t>.  It</w:t>
      </w:r>
      <w:r w:rsidR="001A1DE5">
        <w:rPr>
          <w:rFonts w:eastAsia="Times New Roman" w:cs="Calibri"/>
          <w:color w:val="006666"/>
          <w:sz w:val="20"/>
          <w:szCs w:val="20"/>
        </w:rPr>
        <w:t xml:space="preserve"> is</w:t>
      </w:r>
      <w:r w:rsidRPr="00A6262A">
        <w:rPr>
          <w:rFonts w:eastAsia="Times New Roman" w:cs="Calibri"/>
          <w:color w:val="006666"/>
          <w:sz w:val="20"/>
          <w:szCs w:val="20"/>
        </w:rPr>
        <w:t xml:space="preserve"> unclear whether the buy-in requirements are intended to apply to movements between different accounts of the same entity (e.g., transfer of securities from one custodian to another).  In ISLA’s view,</w:t>
      </w:r>
      <w:r w:rsidR="00AA6B48" w:rsidRPr="00A6262A">
        <w:rPr>
          <w:rFonts w:eastAsia="Times New Roman" w:cs="Calibri"/>
          <w:color w:val="006666"/>
          <w:sz w:val="20"/>
          <w:szCs w:val="20"/>
        </w:rPr>
        <w:t xml:space="preserve"> </w:t>
      </w:r>
      <w:r w:rsidR="00AA6B48">
        <w:rPr>
          <w:rFonts w:eastAsia="Times New Roman" w:cs="Calibri"/>
          <w:color w:val="006666"/>
          <w:sz w:val="20"/>
          <w:szCs w:val="20"/>
        </w:rPr>
        <w:t>it would not make sense to expect a party to initiate a buy-in against itself, and on that basis the buy-in regime</w:t>
      </w:r>
      <w:r w:rsidRPr="00A6262A">
        <w:rPr>
          <w:rFonts w:eastAsia="Times New Roman" w:cs="Calibri"/>
          <w:color w:val="006666"/>
          <w:sz w:val="20"/>
          <w:szCs w:val="20"/>
        </w:rPr>
        <w:t xml:space="preserve"> should not apply to such transfers.</w:t>
      </w:r>
    </w:p>
    <w:p w14:paraId="6116E975" w14:textId="77777777" w:rsidR="00A6262A" w:rsidRPr="00A6262A" w:rsidRDefault="00A6262A" w:rsidP="00A6262A">
      <w:pPr>
        <w:autoSpaceDE w:val="0"/>
        <w:autoSpaceDN w:val="0"/>
        <w:adjustRightInd w:val="0"/>
        <w:spacing w:after="0" w:line="240" w:lineRule="auto"/>
        <w:ind w:left="-66" w:right="119"/>
        <w:rPr>
          <w:rFonts w:eastAsia="Times New Roman" w:cs="Calibri"/>
          <w:color w:val="006666"/>
          <w:sz w:val="20"/>
          <w:szCs w:val="20"/>
        </w:rPr>
      </w:pPr>
    </w:p>
    <w:p w14:paraId="470716EE" w14:textId="7369DCED" w:rsidR="00A6262A" w:rsidRPr="00A6262A" w:rsidRDefault="00A6262A" w:rsidP="00A6262A">
      <w:pPr>
        <w:numPr>
          <w:ilvl w:val="0"/>
          <w:numId w:val="10"/>
        </w:numPr>
        <w:autoSpaceDE w:val="0"/>
        <w:autoSpaceDN w:val="0"/>
        <w:adjustRightInd w:val="0"/>
        <w:spacing w:after="0" w:line="240" w:lineRule="auto"/>
        <w:ind w:right="119"/>
        <w:rPr>
          <w:rFonts w:eastAsia="Times New Roman" w:cs="Calibri"/>
          <w:color w:val="006666"/>
          <w:sz w:val="20"/>
          <w:szCs w:val="20"/>
        </w:rPr>
      </w:pPr>
      <w:r w:rsidRPr="00A6262A">
        <w:rPr>
          <w:rFonts w:eastAsia="Times New Roman" w:cs="Calibri"/>
          <w:b/>
          <w:color w:val="006666"/>
          <w:sz w:val="20"/>
          <w:szCs w:val="20"/>
        </w:rPr>
        <w:t>Corporate actions</w:t>
      </w:r>
      <w:r w:rsidRPr="00A6262A">
        <w:rPr>
          <w:rFonts w:eastAsia="Times New Roman" w:cs="Calibri"/>
          <w:color w:val="006666"/>
          <w:sz w:val="20"/>
          <w:szCs w:val="20"/>
        </w:rPr>
        <w:t>.  It</w:t>
      </w:r>
      <w:r w:rsidR="001A1DE5">
        <w:rPr>
          <w:rFonts w:eastAsia="Times New Roman" w:cs="Calibri"/>
          <w:color w:val="006666"/>
          <w:sz w:val="20"/>
          <w:szCs w:val="20"/>
        </w:rPr>
        <w:t xml:space="preserve"> is</w:t>
      </w:r>
      <w:r w:rsidRPr="00A6262A">
        <w:rPr>
          <w:rFonts w:eastAsia="Times New Roman" w:cs="Calibri"/>
          <w:color w:val="006666"/>
          <w:sz w:val="20"/>
          <w:szCs w:val="20"/>
        </w:rPr>
        <w:t xml:space="preserve"> unclear whether the buy-in requirements are intended to apply to transfers in relation to corporate actions</w:t>
      </w:r>
      <w:r w:rsidR="001A1DE5">
        <w:rPr>
          <w:rFonts w:eastAsia="Times New Roman" w:cs="Calibri"/>
          <w:color w:val="006666"/>
          <w:sz w:val="20"/>
          <w:szCs w:val="20"/>
        </w:rPr>
        <w:t>,</w:t>
      </w:r>
      <w:r w:rsidRPr="00A6262A">
        <w:rPr>
          <w:rFonts w:eastAsia="Times New Roman" w:cs="Calibri"/>
          <w:color w:val="006666"/>
          <w:sz w:val="20"/>
          <w:szCs w:val="20"/>
        </w:rPr>
        <w:t xml:space="preserve"> such as repurchase offers, takeover offers, and class actions. In ISLA’s view, they should not apply to such transfers</w:t>
      </w:r>
      <w:r w:rsidR="008935A1">
        <w:rPr>
          <w:rFonts w:eastAsia="Times New Roman" w:cs="Calibri"/>
          <w:color w:val="006666"/>
          <w:sz w:val="20"/>
          <w:szCs w:val="20"/>
        </w:rPr>
        <w:t xml:space="preserve">, in particular where </w:t>
      </w:r>
      <w:r w:rsidR="00F27B5C">
        <w:rPr>
          <w:rFonts w:eastAsia="Times New Roman" w:cs="Calibri"/>
          <w:color w:val="006666"/>
          <w:sz w:val="20"/>
          <w:szCs w:val="20"/>
        </w:rPr>
        <w:t>‘</w:t>
      </w:r>
      <w:r w:rsidR="00F27B5C" w:rsidRPr="00F27B5C">
        <w:rPr>
          <w:rFonts w:eastAsia="Times New Roman" w:cs="Calibri"/>
          <w:color w:val="006666"/>
          <w:sz w:val="20"/>
          <w:szCs w:val="20"/>
        </w:rPr>
        <w:t>the timeframe of those operations is sufficiently short and renders the buy-in process ineffective</w:t>
      </w:r>
      <w:r w:rsidR="00F27B5C">
        <w:rPr>
          <w:rFonts w:eastAsia="Times New Roman" w:cs="Calibri"/>
          <w:color w:val="006666"/>
          <w:sz w:val="20"/>
          <w:szCs w:val="20"/>
        </w:rPr>
        <w:t>’ as per Article 7 (</w:t>
      </w:r>
      <w:r w:rsidR="009C0BA5">
        <w:rPr>
          <w:rFonts w:eastAsia="Times New Roman" w:cs="Calibri"/>
          <w:color w:val="006666"/>
          <w:sz w:val="20"/>
          <w:szCs w:val="20"/>
        </w:rPr>
        <w:t xml:space="preserve">4)b of Regulation 09/2014 (EU). </w:t>
      </w:r>
    </w:p>
    <w:p w14:paraId="760771BD" w14:textId="264CC0C5" w:rsidR="00A6262A" w:rsidRPr="00A6262A" w:rsidRDefault="00A6262A" w:rsidP="00A6262A">
      <w:pPr>
        <w:autoSpaceDE w:val="0"/>
        <w:autoSpaceDN w:val="0"/>
        <w:adjustRightInd w:val="0"/>
        <w:spacing w:after="0" w:line="240" w:lineRule="auto"/>
        <w:ind w:right="119"/>
        <w:rPr>
          <w:rFonts w:eastAsia="Times New Roman" w:cs="Calibri"/>
          <w:color w:val="006666"/>
          <w:sz w:val="20"/>
          <w:szCs w:val="20"/>
        </w:rPr>
      </w:pPr>
    </w:p>
    <w:p w14:paraId="59D16660" w14:textId="77777777" w:rsidR="009D7AB9" w:rsidRPr="008C6F1A" w:rsidRDefault="009D7AB9" w:rsidP="00EA25FA">
      <w:pPr>
        <w:pStyle w:val="Default"/>
        <w:ind w:left="-426" w:right="119"/>
        <w:rPr>
          <w:rFonts w:asciiTheme="minorHAnsi" w:hAnsiTheme="minorHAnsi" w:cstheme="minorHAnsi"/>
          <w:sz w:val="20"/>
          <w:szCs w:val="20"/>
        </w:rPr>
      </w:pPr>
    </w:p>
    <w:p w14:paraId="4A217BC4" w14:textId="2955952D" w:rsidR="00270848" w:rsidRDefault="00270848" w:rsidP="00EA25FA">
      <w:pPr>
        <w:pStyle w:val="Default"/>
        <w:ind w:left="-426" w:right="119"/>
        <w:rPr>
          <w:rFonts w:asciiTheme="minorHAnsi" w:hAnsiTheme="minorHAnsi" w:cstheme="minorHAnsi"/>
          <w:sz w:val="20"/>
          <w:szCs w:val="20"/>
        </w:rPr>
      </w:pPr>
      <w:r w:rsidRPr="005F03A2">
        <w:rPr>
          <w:rFonts w:asciiTheme="minorHAnsi" w:hAnsiTheme="minorHAnsi" w:cstheme="minorHAnsi"/>
          <w:b/>
          <w:bCs/>
          <w:sz w:val="20"/>
          <w:szCs w:val="20"/>
        </w:rPr>
        <w:t>Question 31.2</w:t>
      </w:r>
      <w:r w:rsidRPr="008C6F1A">
        <w:rPr>
          <w:rFonts w:asciiTheme="minorHAnsi" w:hAnsiTheme="minorHAnsi" w:cstheme="minorHAnsi"/>
          <w:sz w:val="20"/>
          <w:szCs w:val="20"/>
        </w:rPr>
        <w:t xml:space="preserve"> If you answered "yes" to Question 31, please specify which provisions could benefit from such clarification and provide concrete examples. </w:t>
      </w:r>
    </w:p>
    <w:p w14:paraId="5348B271" w14:textId="77777777" w:rsidR="009D7AB9" w:rsidRPr="008C6F1A" w:rsidRDefault="009D7AB9" w:rsidP="00EA25FA">
      <w:pPr>
        <w:pStyle w:val="Default"/>
        <w:ind w:left="-426" w:right="119"/>
        <w:rPr>
          <w:rFonts w:asciiTheme="minorHAnsi" w:hAnsiTheme="minorHAnsi" w:cstheme="minorHAnsi"/>
          <w:sz w:val="20"/>
          <w:szCs w:val="20"/>
        </w:rPr>
      </w:pPr>
    </w:p>
    <w:p w14:paraId="4F6ECAAB" w14:textId="3B4E3890" w:rsidR="000C6ACC" w:rsidRDefault="000C6ACC" w:rsidP="000C6ACC">
      <w:pPr>
        <w:numPr>
          <w:ilvl w:val="0"/>
          <w:numId w:val="11"/>
        </w:numPr>
        <w:autoSpaceDE w:val="0"/>
        <w:autoSpaceDN w:val="0"/>
        <w:adjustRightInd w:val="0"/>
        <w:spacing w:after="0" w:line="240" w:lineRule="auto"/>
        <w:ind w:right="119"/>
        <w:rPr>
          <w:rFonts w:eastAsia="Times New Roman" w:cs="Calibri"/>
          <w:color w:val="006666"/>
          <w:sz w:val="20"/>
          <w:szCs w:val="20"/>
        </w:rPr>
      </w:pPr>
      <w:r w:rsidRPr="000C6ACC">
        <w:rPr>
          <w:rFonts w:eastAsia="Times New Roman" w:cs="Calibri"/>
          <w:b/>
          <w:color w:val="006666"/>
          <w:sz w:val="20"/>
          <w:szCs w:val="20"/>
        </w:rPr>
        <w:t>Operations composed of several transactions</w:t>
      </w:r>
      <w:r w:rsidRPr="000C6ACC">
        <w:rPr>
          <w:rFonts w:eastAsia="Times New Roman" w:cs="Calibri"/>
          <w:color w:val="006666"/>
          <w:sz w:val="20"/>
          <w:szCs w:val="20"/>
        </w:rPr>
        <w:t>. Art</w:t>
      </w:r>
      <w:r w:rsidR="004D5A35">
        <w:rPr>
          <w:rFonts w:eastAsia="Times New Roman" w:cs="Calibri"/>
          <w:color w:val="006666"/>
          <w:sz w:val="20"/>
          <w:szCs w:val="20"/>
        </w:rPr>
        <w:t>icle</w:t>
      </w:r>
      <w:r w:rsidRPr="000C6ACC">
        <w:rPr>
          <w:rFonts w:eastAsia="Times New Roman" w:cs="Calibri"/>
          <w:color w:val="006666"/>
          <w:sz w:val="20"/>
          <w:szCs w:val="20"/>
        </w:rPr>
        <w:t xml:space="preserve"> 22(2) of Level 2 – extension of the circumstances in which the buy-in process would be deemed ineffective to cover transactions which are of an open or evergreen nature.</w:t>
      </w:r>
    </w:p>
    <w:p w14:paraId="42DCD0B7" w14:textId="77777777" w:rsidR="00497592" w:rsidRDefault="00497592" w:rsidP="00497592">
      <w:pPr>
        <w:autoSpaceDE w:val="0"/>
        <w:autoSpaceDN w:val="0"/>
        <w:adjustRightInd w:val="0"/>
        <w:spacing w:after="0" w:line="240" w:lineRule="auto"/>
        <w:ind w:left="-66" w:right="119"/>
        <w:rPr>
          <w:rFonts w:eastAsia="Times New Roman" w:cs="Calibri"/>
          <w:color w:val="006666"/>
          <w:sz w:val="20"/>
          <w:szCs w:val="20"/>
        </w:rPr>
      </w:pPr>
    </w:p>
    <w:p w14:paraId="7C5AF72D" w14:textId="7C4BA528" w:rsidR="000449BE" w:rsidRPr="00497592" w:rsidRDefault="000449BE" w:rsidP="00497592">
      <w:pPr>
        <w:numPr>
          <w:ilvl w:val="0"/>
          <w:numId w:val="11"/>
        </w:numPr>
        <w:autoSpaceDE w:val="0"/>
        <w:autoSpaceDN w:val="0"/>
        <w:adjustRightInd w:val="0"/>
        <w:spacing w:after="0" w:line="240" w:lineRule="auto"/>
        <w:ind w:right="119"/>
        <w:rPr>
          <w:rFonts w:eastAsia="Times New Roman" w:cs="Calibri"/>
          <w:color w:val="006666"/>
          <w:sz w:val="20"/>
          <w:szCs w:val="20"/>
        </w:rPr>
      </w:pPr>
      <w:r w:rsidRPr="000C6ACC">
        <w:rPr>
          <w:rFonts w:eastAsia="Times New Roman" w:cs="Calibri"/>
          <w:b/>
          <w:color w:val="006666"/>
          <w:sz w:val="20"/>
          <w:szCs w:val="20"/>
        </w:rPr>
        <w:t>Contractual arrangements</w:t>
      </w:r>
      <w:r w:rsidRPr="000C6ACC">
        <w:rPr>
          <w:rFonts w:eastAsia="Times New Roman" w:cs="Calibri"/>
          <w:color w:val="006666"/>
          <w:sz w:val="20"/>
          <w:szCs w:val="20"/>
        </w:rPr>
        <w:t>.  Art</w:t>
      </w:r>
      <w:r>
        <w:rPr>
          <w:rFonts w:eastAsia="Times New Roman" w:cs="Calibri"/>
          <w:color w:val="006666"/>
          <w:sz w:val="20"/>
          <w:szCs w:val="20"/>
        </w:rPr>
        <w:t>icle</w:t>
      </w:r>
      <w:r w:rsidRPr="000C6ACC">
        <w:rPr>
          <w:rFonts w:eastAsia="Times New Roman" w:cs="Calibri"/>
          <w:color w:val="006666"/>
          <w:sz w:val="20"/>
          <w:szCs w:val="20"/>
        </w:rPr>
        <w:t xml:space="preserve"> 25 of Level 2 – clarification of who are the “parties in the settlement chain”</w:t>
      </w:r>
      <w:r w:rsidR="00804FDC">
        <w:rPr>
          <w:rFonts w:eastAsia="Times New Roman" w:cs="Calibri"/>
          <w:color w:val="006666"/>
          <w:sz w:val="20"/>
          <w:szCs w:val="20"/>
        </w:rPr>
        <w:t>.</w:t>
      </w:r>
    </w:p>
    <w:p w14:paraId="6861DCA2" w14:textId="77777777" w:rsidR="000C6ACC" w:rsidRPr="000C6ACC" w:rsidRDefault="000C6ACC" w:rsidP="000C6ACC">
      <w:pPr>
        <w:autoSpaceDE w:val="0"/>
        <w:autoSpaceDN w:val="0"/>
        <w:adjustRightInd w:val="0"/>
        <w:spacing w:after="0" w:line="240" w:lineRule="auto"/>
        <w:ind w:left="-66" w:right="119"/>
        <w:rPr>
          <w:rFonts w:eastAsia="Times New Roman" w:cs="Calibri"/>
          <w:color w:val="006666"/>
          <w:sz w:val="20"/>
          <w:szCs w:val="20"/>
        </w:rPr>
      </w:pPr>
    </w:p>
    <w:p w14:paraId="0D5A1CE1" w14:textId="4E54826F" w:rsidR="000C6ACC" w:rsidRPr="000C6ACC" w:rsidRDefault="000C6ACC" w:rsidP="000C6ACC">
      <w:pPr>
        <w:numPr>
          <w:ilvl w:val="0"/>
          <w:numId w:val="11"/>
        </w:numPr>
        <w:autoSpaceDE w:val="0"/>
        <w:autoSpaceDN w:val="0"/>
        <w:adjustRightInd w:val="0"/>
        <w:spacing w:after="0" w:line="240" w:lineRule="auto"/>
        <w:ind w:right="119"/>
        <w:rPr>
          <w:rFonts w:eastAsia="Times New Roman" w:cs="Calibri"/>
          <w:color w:val="006666"/>
          <w:sz w:val="20"/>
          <w:szCs w:val="20"/>
        </w:rPr>
      </w:pPr>
      <w:r w:rsidRPr="000C6ACC">
        <w:rPr>
          <w:rFonts w:eastAsia="Times New Roman" w:cs="Calibri"/>
          <w:b/>
          <w:color w:val="006666"/>
          <w:sz w:val="20"/>
          <w:szCs w:val="20"/>
        </w:rPr>
        <w:t>Margin and collateral transfers</w:t>
      </w:r>
      <w:r w:rsidRPr="000C6ACC">
        <w:rPr>
          <w:rFonts w:eastAsia="Times New Roman" w:cs="Calibri"/>
          <w:color w:val="006666"/>
          <w:sz w:val="20"/>
          <w:szCs w:val="20"/>
        </w:rPr>
        <w:t>.</w:t>
      </w:r>
      <w:r w:rsidRPr="000C6ACC">
        <w:rPr>
          <w:rFonts w:ascii="Times New Roman" w:eastAsia="Times New Roman" w:hAnsi="Times New Roman" w:cs="Times New Roman"/>
          <w:color w:val="006666"/>
          <w:sz w:val="24"/>
          <w:szCs w:val="24"/>
        </w:rPr>
        <w:t xml:space="preserve"> </w:t>
      </w:r>
      <w:r w:rsidRPr="000C6ACC">
        <w:rPr>
          <w:rFonts w:eastAsia="Times New Roman" w:cs="Calibri"/>
          <w:color w:val="006666"/>
          <w:sz w:val="20"/>
          <w:szCs w:val="20"/>
        </w:rPr>
        <w:t>Art</w:t>
      </w:r>
      <w:r w:rsidR="004D5A35">
        <w:rPr>
          <w:rFonts w:eastAsia="Times New Roman" w:cs="Calibri"/>
          <w:color w:val="006666"/>
          <w:sz w:val="20"/>
          <w:szCs w:val="20"/>
        </w:rPr>
        <w:t>icle</w:t>
      </w:r>
      <w:r w:rsidRPr="000C6ACC">
        <w:rPr>
          <w:rFonts w:eastAsia="Times New Roman" w:cs="Calibri"/>
          <w:color w:val="006666"/>
          <w:sz w:val="20"/>
          <w:szCs w:val="20"/>
        </w:rPr>
        <w:t xml:space="preserve"> 22(2) of Level 2 – extension of the circumstances in which the buy-in process would be deemed ineffective to cover transfers of margin and collateral.</w:t>
      </w:r>
    </w:p>
    <w:p w14:paraId="5512980A" w14:textId="77777777" w:rsidR="000C6ACC" w:rsidRPr="000C6ACC" w:rsidRDefault="000C6ACC" w:rsidP="000C6ACC">
      <w:pPr>
        <w:autoSpaceDE w:val="0"/>
        <w:autoSpaceDN w:val="0"/>
        <w:adjustRightInd w:val="0"/>
        <w:spacing w:after="0" w:line="240" w:lineRule="auto"/>
        <w:ind w:right="119"/>
        <w:rPr>
          <w:rFonts w:eastAsia="Times New Roman" w:cs="Calibri"/>
          <w:color w:val="006666"/>
          <w:sz w:val="20"/>
          <w:szCs w:val="20"/>
        </w:rPr>
      </w:pPr>
    </w:p>
    <w:p w14:paraId="1678BEF4" w14:textId="6490AA40" w:rsidR="00497592" w:rsidRDefault="000C6ACC" w:rsidP="00497592">
      <w:pPr>
        <w:numPr>
          <w:ilvl w:val="0"/>
          <w:numId w:val="11"/>
        </w:numPr>
        <w:autoSpaceDE w:val="0"/>
        <w:autoSpaceDN w:val="0"/>
        <w:adjustRightInd w:val="0"/>
        <w:spacing w:after="0" w:line="240" w:lineRule="auto"/>
        <w:ind w:right="119"/>
        <w:rPr>
          <w:rFonts w:eastAsia="Times New Roman" w:cs="Calibri"/>
          <w:color w:val="006666"/>
          <w:sz w:val="20"/>
          <w:szCs w:val="20"/>
        </w:rPr>
      </w:pPr>
      <w:r w:rsidRPr="000C6ACC">
        <w:rPr>
          <w:rFonts w:eastAsia="Times New Roman" w:cs="Calibri"/>
          <w:b/>
          <w:color w:val="006666"/>
          <w:sz w:val="20"/>
          <w:szCs w:val="20"/>
        </w:rPr>
        <w:t>Same entity transfers</w:t>
      </w:r>
      <w:r w:rsidRPr="000C6ACC">
        <w:rPr>
          <w:rFonts w:eastAsia="Times New Roman" w:cs="Calibri"/>
          <w:color w:val="006666"/>
          <w:sz w:val="20"/>
          <w:szCs w:val="20"/>
        </w:rPr>
        <w:t>. Art</w:t>
      </w:r>
      <w:r w:rsidR="004D5A35">
        <w:rPr>
          <w:rFonts w:eastAsia="Times New Roman" w:cs="Calibri"/>
          <w:color w:val="006666"/>
          <w:sz w:val="20"/>
          <w:szCs w:val="20"/>
        </w:rPr>
        <w:t>icle</w:t>
      </w:r>
      <w:r w:rsidRPr="000C6ACC">
        <w:rPr>
          <w:rFonts w:eastAsia="Times New Roman" w:cs="Calibri"/>
          <w:color w:val="006666"/>
          <w:sz w:val="20"/>
          <w:szCs w:val="20"/>
        </w:rPr>
        <w:t xml:space="preserve"> 21 of Level 2 – extension of the circumstances in which the buy-in process would be deemed not possible to include same entity transfers.</w:t>
      </w:r>
    </w:p>
    <w:p w14:paraId="1CE05868" w14:textId="77777777" w:rsidR="00497592" w:rsidRPr="00497592" w:rsidRDefault="00497592" w:rsidP="00497592">
      <w:pPr>
        <w:autoSpaceDE w:val="0"/>
        <w:autoSpaceDN w:val="0"/>
        <w:adjustRightInd w:val="0"/>
        <w:spacing w:after="0" w:line="240" w:lineRule="auto"/>
        <w:ind w:right="119"/>
        <w:rPr>
          <w:rFonts w:eastAsia="Times New Roman" w:cs="Calibri"/>
          <w:color w:val="006666"/>
          <w:sz w:val="20"/>
          <w:szCs w:val="20"/>
        </w:rPr>
      </w:pPr>
    </w:p>
    <w:p w14:paraId="2A583F14" w14:textId="6E9C2A59" w:rsidR="00497592" w:rsidRPr="000C6ACC" w:rsidRDefault="00497592" w:rsidP="000C6ACC">
      <w:pPr>
        <w:numPr>
          <w:ilvl w:val="0"/>
          <w:numId w:val="11"/>
        </w:numPr>
        <w:autoSpaceDE w:val="0"/>
        <w:autoSpaceDN w:val="0"/>
        <w:adjustRightInd w:val="0"/>
        <w:spacing w:after="0" w:line="240" w:lineRule="auto"/>
        <w:ind w:right="119"/>
        <w:rPr>
          <w:rFonts w:eastAsia="Times New Roman" w:cs="Calibri"/>
          <w:color w:val="006666"/>
          <w:sz w:val="20"/>
          <w:szCs w:val="20"/>
        </w:rPr>
      </w:pPr>
      <w:r w:rsidRPr="00497592">
        <w:rPr>
          <w:rFonts w:eastAsia="Times New Roman" w:cs="Calibri"/>
          <w:b/>
          <w:bCs/>
          <w:color w:val="006666"/>
          <w:sz w:val="20"/>
          <w:szCs w:val="20"/>
        </w:rPr>
        <w:t>Corporate Actions</w:t>
      </w:r>
      <w:r>
        <w:rPr>
          <w:rFonts w:eastAsia="Times New Roman" w:cs="Calibri"/>
          <w:color w:val="006666"/>
          <w:sz w:val="20"/>
          <w:szCs w:val="20"/>
        </w:rPr>
        <w:t xml:space="preserve">. </w:t>
      </w:r>
      <w:r w:rsidR="00DA7C97" w:rsidRPr="000C6ACC">
        <w:rPr>
          <w:rFonts w:eastAsia="Times New Roman" w:cs="Calibri"/>
          <w:color w:val="006666"/>
          <w:sz w:val="20"/>
          <w:szCs w:val="20"/>
        </w:rPr>
        <w:t>Art</w:t>
      </w:r>
      <w:r w:rsidR="00DA7C97">
        <w:rPr>
          <w:rFonts w:eastAsia="Times New Roman" w:cs="Calibri"/>
          <w:color w:val="006666"/>
          <w:sz w:val="20"/>
          <w:szCs w:val="20"/>
        </w:rPr>
        <w:t>icle</w:t>
      </w:r>
      <w:r w:rsidR="00DA7C97" w:rsidRPr="000C6ACC">
        <w:rPr>
          <w:rFonts w:eastAsia="Times New Roman" w:cs="Calibri"/>
          <w:color w:val="006666"/>
          <w:sz w:val="20"/>
          <w:szCs w:val="20"/>
        </w:rPr>
        <w:t xml:space="preserve"> 22(2) of Level 2 – extension of the circumstances in which the buy-in process would be deemed ineffective to cover</w:t>
      </w:r>
      <w:r w:rsidR="006046F0">
        <w:rPr>
          <w:rFonts w:eastAsia="Times New Roman" w:cs="Calibri"/>
          <w:color w:val="006666"/>
          <w:sz w:val="20"/>
          <w:szCs w:val="20"/>
        </w:rPr>
        <w:t xml:space="preserve"> corporate actions. </w:t>
      </w:r>
    </w:p>
    <w:p w14:paraId="313E2836" w14:textId="77777777" w:rsidR="000C6ACC" w:rsidRPr="000C6ACC" w:rsidRDefault="000C6ACC" w:rsidP="006046F0">
      <w:pPr>
        <w:autoSpaceDE w:val="0"/>
        <w:autoSpaceDN w:val="0"/>
        <w:adjustRightInd w:val="0"/>
        <w:spacing w:after="0" w:line="240" w:lineRule="auto"/>
        <w:ind w:right="119"/>
        <w:rPr>
          <w:rFonts w:eastAsia="Times New Roman" w:cs="Calibri"/>
          <w:color w:val="000000"/>
          <w:sz w:val="20"/>
          <w:szCs w:val="20"/>
        </w:rPr>
      </w:pPr>
    </w:p>
    <w:p w14:paraId="38996347" w14:textId="0C4463B8" w:rsidR="000C6ACC" w:rsidRPr="000C6ACC" w:rsidRDefault="000C6ACC" w:rsidP="000C6ACC">
      <w:pPr>
        <w:autoSpaceDE w:val="0"/>
        <w:autoSpaceDN w:val="0"/>
        <w:adjustRightInd w:val="0"/>
        <w:spacing w:after="0" w:line="240" w:lineRule="auto"/>
        <w:ind w:left="-426" w:right="119"/>
        <w:rPr>
          <w:rFonts w:eastAsia="Times New Roman" w:cs="Calibri"/>
          <w:color w:val="006666"/>
          <w:sz w:val="20"/>
          <w:szCs w:val="20"/>
        </w:rPr>
      </w:pPr>
      <w:r w:rsidRPr="000C6ACC">
        <w:rPr>
          <w:rFonts w:eastAsia="Times New Roman" w:cs="Calibri"/>
          <w:color w:val="006666"/>
          <w:sz w:val="20"/>
          <w:szCs w:val="20"/>
        </w:rPr>
        <w:t>Including a new definition of “transaction” in Level 1 may also assist in clarifying some of the scoping issues.</w:t>
      </w:r>
      <w:r w:rsidR="009A604E">
        <w:rPr>
          <w:rFonts w:eastAsia="Times New Roman" w:cs="Calibri"/>
          <w:color w:val="006666"/>
          <w:sz w:val="20"/>
          <w:szCs w:val="20"/>
        </w:rPr>
        <w:t xml:space="preserve"> There is a key difference between </w:t>
      </w:r>
      <w:r w:rsidR="00420799">
        <w:rPr>
          <w:rFonts w:eastAsia="Times New Roman" w:cs="Calibri"/>
          <w:color w:val="006666"/>
          <w:sz w:val="20"/>
          <w:szCs w:val="20"/>
        </w:rPr>
        <w:t>‘</w:t>
      </w:r>
      <w:r w:rsidR="009A604E">
        <w:rPr>
          <w:rFonts w:eastAsia="Times New Roman" w:cs="Calibri"/>
          <w:color w:val="006666"/>
          <w:sz w:val="20"/>
          <w:szCs w:val="20"/>
        </w:rPr>
        <w:t>transaction</w:t>
      </w:r>
      <w:r w:rsidR="00420799">
        <w:rPr>
          <w:rFonts w:eastAsia="Times New Roman" w:cs="Calibri"/>
          <w:color w:val="006666"/>
          <w:sz w:val="20"/>
          <w:szCs w:val="20"/>
        </w:rPr>
        <w:t>’</w:t>
      </w:r>
      <w:r w:rsidR="009A604E">
        <w:rPr>
          <w:rFonts w:eastAsia="Times New Roman" w:cs="Calibri"/>
          <w:color w:val="006666"/>
          <w:sz w:val="20"/>
          <w:szCs w:val="20"/>
        </w:rPr>
        <w:t xml:space="preserve"> and </w:t>
      </w:r>
      <w:r w:rsidR="00420799">
        <w:rPr>
          <w:rFonts w:eastAsia="Times New Roman" w:cs="Calibri"/>
          <w:color w:val="006666"/>
          <w:sz w:val="20"/>
          <w:szCs w:val="20"/>
        </w:rPr>
        <w:t>‘</w:t>
      </w:r>
      <w:r w:rsidR="009A604E">
        <w:rPr>
          <w:rFonts w:eastAsia="Times New Roman" w:cs="Calibri"/>
          <w:color w:val="006666"/>
          <w:sz w:val="20"/>
          <w:szCs w:val="20"/>
        </w:rPr>
        <w:t>settlement</w:t>
      </w:r>
      <w:r w:rsidR="00420799">
        <w:rPr>
          <w:rFonts w:eastAsia="Times New Roman" w:cs="Calibri"/>
          <w:color w:val="006666"/>
          <w:sz w:val="20"/>
          <w:szCs w:val="20"/>
        </w:rPr>
        <w:t xml:space="preserve">’, and these should be distinguished </w:t>
      </w:r>
      <w:r w:rsidR="00B254F1">
        <w:rPr>
          <w:rFonts w:eastAsia="Times New Roman" w:cs="Calibri"/>
          <w:color w:val="006666"/>
          <w:sz w:val="20"/>
          <w:szCs w:val="20"/>
        </w:rPr>
        <w:t xml:space="preserve">accordingly. </w:t>
      </w:r>
    </w:p>
    <w:p w14:paraId="540D018D" w14:textId="77777777" w:rsidR="00BD6645" w:rsidRPr="008C6F1A" w:rsidRDefault="00BD6645" w:rsidP="00EA25FA">
      <w:pPr>
        <w:pStyle w:val="Default"/>
        <w:ind w:left="-426" w:right="119"/>
        <w:rPr>
          <w:rFonts w:asciiTheme="minorHAnsi" w:hAnsiTheme="minorHAnsi" w:cstheme="minorHAnsi"/>
          <w:sz w:val="20"/>
          <w:szCs w:val="20"/>
        </w:rPr>
      </w:pPr>
    </w:p>
    <w:p w14:paraId="0195FAEE" w14:textId="7ED4D163" w:rsidR="00270848" w:rsidRDefault="00270848" w:rsidP="00EA25FA">
      <w:pPr>
        <w:pStyle w:val="Default"/>
        <w:ind w:left="-426" w:right="119"/>
        <w:rPr>
          <w:rFonts w:asciiTheme="minorHAnsi" w:hAnsiTheme="minorHAnsi" w:cstheme="minorHAnsi"/>
          <w:sz w:val="20"/>
          <w:szCs w:val="20"/>
        </w:rPr>
      </w:pPr>
      <w:r w:rsidRPr="005F03A2">
        <w:rPr>
          <w:rFonts w:asciiTheme="minorHAnsi" w:hAnsiTheme="minorHAnsi" w:cstheme="minorHAnsi"/>
          <w:b/>
          <w:bCs/>
          <w:sz w:val="20"/>
          <w:szCs w:val="20"/>
        </w:rPr>
        <w:t>Question 32</w:t>
      </w:r>
      <w:r w:rsidRPr="008C6F1A">
        <w:rPr>
          <w:rFonts w:asciiTheme="minorHAnsi" w:hAnsiTheme="minorHAnsi" w:cstheme="minorHAnsi"/>
          <w:sz w:val="20"/>
          <w:szCs w:val="20"/>
        </w:rPr>
        <w:t xml:space="preserve">. Do you consider that the scope of certain requirements, even where it is clear, could lead to unintended consequences on the efficiency of market operations? </w:t>
      </w:r>
    </w:p>
    <w:p w14:paraId="4571BC80" w14:textId="77777777" w:rsidR="009D7AB9" w:rsidRPr="008C6F1A" w:rsidRDefault="009D7AB9" w:rsidP="00EA25FA">
      <w:pPr>
        <w:pStyle w:val="Default"/>
        <w:ind w:left="-426" w:right="119"/>
        <w:rPr>
          <w:rFonts w:asciiTheme="minorHAnsi" w:hAnsiTheme="minorHAnsi" w:cstheme="minorHAnsi"/>
          <w:sz w:val="20"/>
          <w:szCs w:val="20"/>
        </w:rPr>
      </w:pPr>
    </w:p>
    <w:p w14:paraId="71C81F13" w14:textId="77777777" w:rsidR="00270848" w:rsidRPr="00282466" w:rsidRDefault="00270848" w:rsidP="00EA25FA">
      <w:pPr>
        <w:pStyle w:val="Default"/>
        <w:ind w:left="-426" w:right="119"/>
        <w:rPr>
          <w:rFonts w:asciiTheme="minorHAnsi" w:hAnsiTheme="minorHAnsi" w:cstheme="minorHAnsi"/>
          <w:color w:val="006666"/>
          <w:sz w:val="20"/>
          <w:szCs w:val="20"/>
        </w:rPr>
      </w:pPr>
      <w:r w:rsidRPr="00282466">
        <w:rPr>
          <w:rFonts w:asciiTheme="minorHAnsi" w:hAnsiTheme="minorHAnsi" w:cstheme="minorHAnsi"/>
          <w:color w:val="006666"/>
          <w:sz w:val="20"/>
          <w:szCs w:val="20"/>
        </w:rPr>
        <w:t xml:space="preserve">- Yes </w:t>
      </w:r>
    </w:p>
    <w:p w14:paraId="370A7555" w14:textId="77777777" w:rsidR="00D73205" w:rsidRDefault="00D73205" w:rsidP="00EA25FA">
      <w:pPr>
        <w:pStyle w:val="Default"/>
        <w:ind w:left="-426" w:right="119"/>
        <w:rPr>
          <w:rFonts w:asciiTheme="minorHAnsi" w:hAnsiTheme="minorHAnsi" w:cstheme="minorHAnsi"/>
          <w:b/>
          <w:bCs/>
          <w:sz w:val="20"/>
          <w:szCs w:val="20"/>
        </w:rPr>
      </w:pPr>
    </w:p>
    <w:p w14:paraId="12585F33" w14:textId="28122038" w:rsidR="00270848" w:rsidRDefault="00270848" w:rsidP="00EA25FA">
      <w:pPr>
        <w:pStyle w:val="Default"/>
        <w:ind w:left="-426" w:right="119"/>
        <w:rPr>
          <w:rFonts w:asciiTheme="minorHAnsi" w:hAnsiTheme="minorHAnsi" w:cstheme="minorHAnsi"/>
          <w:sz w:val="20"/>
          <w:szCs w:val="20"/>
        </w:rPr>
      </w:pPr>
      <w:r w:rsidRPr="005F03A2">
        <w:rPr>
          <w:rFonts w:asciiTheme="minorHAnsi" w:hAnsiTheme="minorHAnsi" w:cstheme="minorHAnsi"/>
          <w:b/>
          <w:bCs/>
          <w:sz w:val="20"/>
          <w:szCs w:val="20"/>
        </w:rPr>
        <w:t>Question 32.</w:t>
      </w:r>
      <w:r w:rsidR="00B6006E">
        <w:rPr>
          <w:rFonts w:asciiTheme="minorHAnsi" w:hAnsiTheme="minorHAnsi" w:cstheme="minorHAnsi"/>
          <w:b/>
          <w:bCs/>
          <w:sz w:val="20"/>
          <w:szCs w:val="20"/>
        </w:rPr>
        <w:t>1</w:t>
      </w:r>
      <w:r w:rsidRPr="008C6F1A">
        <w:rPr>
          <w:rFonts w:asciiTheme="minorHAnsi" w:hAnsiTheme="minorHAnsi" w:cstheme="minorHAnsi"/>
          <w:sz w:val="20"/>
          <w:szCs w:val="20"/>
        </w:rPr>
        <w:t xml:space="preserve"> If you answered "yes" to Question 32, please specify which provisions are concerned. </w:t>
      </w:r>
    </w:p>
    <w:p w14:paraId="40B52967" w14:textId="7BFF81DC" w:rsidR="009D7AB9" w:rsidRDefault="009D7AB9" w:rsidP="00EA25FA">
      <w:pPr>
        <w:pStyle w:val="Default"/>
        <w:ind w:left="-426" w:right="119"/>
        <w:rPr>
          <w:rFonts w:asciiTheme="minorHAnsi" w:hAnsiTheme="minorHAnsi" w:cstheme="minorHAnsi"/>
          <w:sz w:val="20"/>
          <w:szCs w:val="20"/>
        </w:rPr>
      </w:pPr>
    </w:p>
    <w:p w14:paraId="50B6A866" w14:textId="0B4FEE01" w:rsidR="00525E69" w:rsidRPr="000439F7" w:rsidRDefault="00525E69" w:rsidP="00525E69">
      <w:pPr>
        <w:autoSpaceDE w:val="0"/>
        <w:autoSpaceDN w:val="0"/>
        <w:adjustRightInd w:val="0"/>
        <w:spacing w:after="0" w:line="240" w:lineRule="auto"/>
        <w:ind w:left="-426" w:right="119"/>
        <w:rPr>
          <w:rFonts w:eastAsia="Times New Roman" w:cs="Calibri"/>
          <w:color w:val="006666"/>
          <w:sz w:val="20"/>
          <w:szCs w:val="20"/>
        </w:rPr>
      </w:pPr>
      <w:r>
        <w:rPr>
          <w:rFonts w:eastAsia="Times New Roman" w:cs="Calibri"/>
          <w:color w:val="006666"/>
          <w:sz w:val="20"/>
          <w:szCs w:val="20"/>
        </w:rPr>
        <w:t>A</w:t>
      </w:r>
      <w:r w:rsidRPr="000439F7">
        <w:rPr>
          <w:rFonts w:eastAsia="Times New Roman" w:cs="Calibri"/>
          <w:color w:val="006666"/>
          <w:sz w:val="20"/>
          <w:szCs w:val="20"/>
        </w:rPr>
        <w:t xml:space="preserve"> primary function of the securities lending market is to facilitate the sourcing of securities in order to cover delivery obligations (which may or may not have already become due) elsewhere, either in the cash market or under another </w:t>
      </w:r>
      <w:r w:rsidRPr="000439F7">
        <w:rPr>
          <w:rFonts w:eastAsia="Times New Roman" w:cs="Calibri"/>
          <w:color w:val="006666"/>
          <w:sz w:val="20"/>
          <w:szCs w:val="20"/>
        </w:rPr>
        <w:lastRenderedPageBreak/>
        <w:t>securities financing transaction – as such, applying mandatory buy-ins to the securities lending market could not only result in multiple buy-ins</w:t>
      </w:r>
      <w:r>
        <w:rPr>
          <w:rFonts w:eastAsia="Times New Roman" w:cs="Calibri"/>
          <w:color w:val="006666"/>
          <w:sz w:val="20"/>
          <w:szCs w:val="20"/>
        </w:rPr>
        <w:t>,</w:t>
      </w:r>
      <w:r w:rsidRPr="000439F7">
        <w:rPr>
          <w:rFonts w:eastAsia="Times New Roman" w:cs="Calibri"/>
          <w:color w:val="006666"/>
          <w:sz w:val="20"/>
          <w:szCs w:val="20"/>
        </w:rPr>
        <w:t xml:space="preserve"> in respect of the same delivery obligation</w:t>
      </w:r>
      <w:r>
        <w:rPr>
          <w:rFonts w:eastAsia="Times New Roman" w:cs="Calibri"/>
          <w:color w:val="006666"/>
          <w:sz w:val="20"/>
          <w:szCs w:val="20"/>
        </w:rPr>
        <w:t>,</w:t>
      </w:r>
      <w:r w:rsidRPr="000439F7">
        <w:rPr>
          <w:rFonts w:eastAsia="Times New Roman" w:cs="Calibri"/>
          <w:color w:val="006666"/>
          <w:sz w:val="20"/>
          <w:szCs w:val="20"/>
        </w:rPr>
        <w:t xml:space="preserve"> when in fact only one party in the chain was actually seeking delivery (thus disrupting the price at which the securities are bought and the likelihood of actual delivery), but it could also reduce liquidity</w:t>
      </w:r>
      <w:r>
        <w:rPr>
          <w:rFonts w:eastAsia="Times New Roman" w:cs="Calibri"/>
          <w:color w:val="006666"/>
          <w:sz w:val="20"/>
          <w:szCs w:val="20"/>
        </w:rPr>
        <w:t>,</w:t>
      </w:r>
      <w:r w:rsidRPr="000439F7">
        <w:rPr>
          <w:rFonts w:eastAsia="Times New Roman" w:cs="Calibri"/>
          <w:color w:val="006666"/>
          <w:sz w:val="20"/>
          <w:szCs w:val="20"/>
        </w:rPr>
        <w:t xml:space="preserve"> because of fewer market participants being prepared to operate in the securities lending market (thus worsening settlement rates).</w:t>
      </w:r>
    </w:p>
    <w:p w14:paraId="36A8598A" w14:textId="77777777" w:rsidR="00525E69" w:rsidRDefault="00525E69" w:rsidP="003E1AA3">
      <w:pPr>
        <w:autoSpaceDE w:val="0"/>
        <w:autoSpaceDN w:val="0"/>
        <w:adjustRightInd w:val="0"/>
        <w:spacing w:after="0" w:line="240" w:lineRule="auto"/>
        <w:ind w:left="-426" w:right="119"/>
        <w:rPr>
          <w:rFonts w:eastAsia="Times New Roman" w:cs="Calibri"/>
          <w:color w:val="006666"/>
          <w:sz w:val="20"/>
          <w:szCs w:val="20"/>
        </w:rPr>
      </w:pPr>
    </w:p>
    <w:p w14:paraId="4D846725" w14:textId="04EF4B33" w:rsidR="003E1AA3" w:rsidRDefault="000439F7" w:rsidP="00D73205">
      <w:pPr>
        <w:autoSpaceDE w:val="0"/>
        <w:autoSpaceDN w:val="0"/>
        <w:adjustRightInd w:val="0"/>
        <w:spacing w:after="0" w:line="240" w:lineRule="auto"/>
        <w:ind w:left="-426" w:right="119"/>
        <w:rPr>
          <w:rFonts w:eastAsia="Times New Roman" w:cs="Calibri"/>
          <w:color w:val="006666"/>
          <w:sz w:val="20"/>
          <w:szCs w:val="20"/>
        </w:rPr>
      </w:pPr>
      <w:r w:rsidRPr="000439F7">
        <w:rPr>
          <w:rFonts w:eastAsia="Times New Roman" w:cs="Calibri"/>
          <w:color w:val="006666"/>
          <w:sz w:val="20"/>
          <w:szCs w:val="20"/>
        </w:rPr>
        <w:t>Art</w:t>
      </w:r>
      <w:r w:rsidR="004D5A35">
        <w:rPr>
          <w:rFonts w:eastAsia="Times New Roman" w:cs="Calibri"/>
          <w:color w:val="006666"/>
          <w:sz w:val="20"/>
          <w:szCs w:val="20"/>
        </w:rPr>
        <w:t>icle</w:t>
      </w:r>
      <w:r w:rsidRPr="000439F7">
        <w:rPr>
          <w:rFonts w:eastAsia="Times New Roman" w:cs="Calibri"/>
          <w:color w:val="006666"/>
          <w:sz w:val="20"/>
          <w:szCs w:val="20"/>
        </w:rPr>
        <w:t xml:space="preserve"> 26 – 38 of Level 2 (buy-in process)</w:t>
      </w:r>
      <w:r w:rsidR="00614C85">
        <w:rPr>
          <w:rFonts w:eastAsia="Times New Roman" w:cs="Calibri"/>
          <w:color w:val="006666"/>
          <w:sz w:val="20"/>
          <w:szCs w:val="20"/>
        </w:rPr>
        <w:t xml:space="preserve"> - </w:t>
      </w:r>
      <w:r w:rsidRPr="000439F7">
        <w:rPr>
          <w:rFonts w:eastAsia="Times New Roman" w:cs="Calibri"/>
          <w:color w:val="006666"/>
          <w:sz w:val="20"/>
          <w:szCs w:val="20"/>
        </w:rPr>
        <w:t>Securities financing transactions (such as securities lending and repo transactions) are not simply operations composed of several transactions. There are a number of other features that are fundamental to these transaction types – such as funding components (i.e., loan fees and repo rates), daily margining and overcollateralization – which make the buying in of one transaction arbitrary and disruptive to the economic and commercial drivers to the transaction. The current buy-in process does not contemplate these features</w:t>
      </w:r>
      <w:r w:rsidR="00936E8F">
        <w:rPr>
          <w:rFonts w:eastAsia="Times New Roman" w:cs="Calibri"/>
          <w:color w:val="006666"/>
          <w:sz w:val="20"/>
          <w:szCs w:val="20"/>
        </w:rPr>
        <w:t>, and</w:t>
      </w:r>
      <w:r w:rsidRPr="000439F7">
        <w:rPr>
          <w:rFonts w:eastAsia="Times New Roman" w:cs="Calibri"/>
          <w:color w:val="006666"/>
          <w:sz w:val="20"/>
          <w:szCs w:val="20"/>
        </w:rPr>
        <w:t xml:space="preserve"> without guidance from regulators</w:t>
      </w:r>
      <w:r w:rsidR="00936E8F">
        <w:rPr>
          <w:rFonts w:eastAsia="Times New Roman" w:cs="Calibri"/>
          <w:color w:val="006666"/>
          <w:sz w:val="20"/>
          <w:szCs w:val="20"/>
        </w:rPr>
        <w:t>,</w:t>
      </w:r>
      <w:r w:rsidRPr="000439F7">
        <w:rPr>
          <w:rFonts w:eastAsia="Times New Roman" w:cs="Calibri"/>
          <w:color w:val="006666"/>
          <w:sz w:val="20"/>
          <w:szCs w:val="20"/>
        </w:rPr>
        <w:t xml:space="preserve"> as to exactly how they are impacted, it is difficult to see how the market will effectively introduce and exercise the buy-in mechanism</w:t>
      </w:r>
      <w:r w:rsidR="003E1AA3">
        <w:rPr>
          <w:rFonts w:eastAsia="Times New Roman" w:cs="Calibri"/>
          <w:color w:val="006666"/>
          <w:sz w:val="20"/>
          <w:szCs w:val="20"/>
        </w:rPr>
        <w:t xml:space="preserve"> in practice, even in circumstances where the current requirements do clearly impose a mandatory buy-in</w:t>
      </w:r>
      <w:r w:rsidR="003E1AA3" w:rsidRPr="000439F7">
        <w:rPr>
          <w:rFonts w:eastAsia="Times New Roman" w:cs="Calibri"/>
          <w:color w:val="006666"/>
          <w:sz w:val="20"/>
          <w:szCs w:val="20"/>
        </w:rPr>
        <w:t>.</w:t>
      </w:r>
    </w:p>
    <w:p w14:paraId="1425BD9A" w14:textId="77777777" w:rsidR="000439F7" w:rsidRPr="008C6F1A" w:rsidRDefault="000439F7" w:rsidP="00A75CE5">
      <w:pPr>
        <w:pStyle w:val="Default"/>
        <w:ind w:right="119"/>
        <w:rPr>
          <w:rFonts w:asciiTheme="minorHAnsi" w:hAnsiTheme="minorHAnsi" w:cstheme="minorHAnsi"/>
          <w:sz w:val="20"/>
          <w:szCs w:val="20"/>
        </w:rPr>
      </w:pPr>
    </w:p>
    <w:p w14:paraId="5588A260" w14:textId="5144046C" w:rsidR="008C6F1A" w:rsidRDefault="00270848" w:rsidP="005B0B27">
      <w:pPr>
        <w:ind w:left="-426" w:right="119"/>
        <w:rPr>
          <w:rFonts w:cstheme="minorHAnsi"/>
          <w:sz w:val="20"/>
          <w:szCs w:val="20"/>
        </w:rPr>
      </w:pPr>
      <w:r w:rsidRPr="005F03A2">
        <w:rPr>
          <w:rFonts w:cstheme="minorHAnsi"/>
          <w:b/>
          <w:bCs/>
          <w:sz w:val="20"/>
          <w:szCs w:val="20"/>
        </w:rPr>
        <w:t>Question 32.1</w:t>
      </w:r>
      <w:r w:rsidRPr="008C6F1A">
        <w:rPr>
          <w:rFonts w:cstheme="minorHAnsi"/>
          <w:sz w:val="20"/>
          <w:szCs w:val="20"/>
        </w:rPr>
        <w:t xml:space="preserve"> If you answered "yes" to Question 32, please specify what targeted measures could be implemented to avoid those unintended consequences while achieving the general objective of improving the efficiency of securities settlement in the Union?</w:t>
      </w:r>
    </w:p>
    <w:p w14:paraId="175552BE" w14:textId="1352E658" w:rsidR="00200F46" w:rsidRDefault="00200F46" w:rsidP="00B16993">
      <w:pPr>
        <w:ind w:left="-426" w:right="119"/>
        <w:rPr>
          <w:rFonts w:eastAsia="Times New Roman" w:cs="Calibri"/>
          <w:color w:val="006666"/>
          <w:sz w:val="20"/>
          <w:szCs w:val="20"/>
        </w:rPr>
      </w:pPr>
      <w:r w:rsidRPr="00200F46">
        <w:rPr>
          <w:rFonts w:eastAsia="Times New Roman" w:cs="Calibri"/>
          <w:color w:val="006666"/>
          <w:sz w:val="20"/>
          <w:szCs w:val="20"/>
        </w:rPr>
        <w:t>Securities financing transactions should be removed from the scope of the buy-in requirement given that a primary function of the securities lending market is to improve settlement efficiency. Introduction of penalties should be a sufficient incentive for market participants to manage settlement more effectively and without the arbitrary additional risk which would be introduced by applying buy-ins to the securities lending market</w:t>
      </w:r>
      <w:r w:rsidR="002C5B97">
        <w:rPr>
          <w:rFonts w:eastAsia="Times New Roman" w:cs="Calibri"/>
          <w:color w:val="006666"/>
          <w:sz w:val="20"/>
          <w:szCs w:val="20"/>
        </w:rPr>
        <w:t>,</w:t>
      </w:r>
      <w:r w:rsidRPr="00200F46">
        <w:rPr>
          <w:rFonts w:eastAsia="Times New Roman" w:cs="Calibri"/>
          <w:color w:val="006666"/>
          <w:sz w:val="20"/>
          <w:szCs w:val="20"/>
        </w:rPr>
        <w:t xml:space="preserve"> it can continue to support settlement discipline.</w:t>
      </w:r>
      <w:r w:rsidR="00D60281">
        <w:rPr>
          <w:rFonts w:eastAsia="Times New Roman" w:cs="Calibri"/>
          <w:color w:val="006666"/>
          <w:sz w:val="20"/>
          <w:szCs w:val="20"/>
        </w:rPr>
        <w:t xml:space="preserve"> </w:t>
      </w:r>
      <w:r w:rsidR="00B16993">
        <w:rPr>
          <w:rFonts w:eastAsia="Times New Roman" w:cs="Calibri"/>
          <w:color w:val="006666"/>
          <w:sz w:val="20"/>
          <w:szCs w:val="20"/>
        </w:rPr>
        <w:t xml:space="preserve">As a result of the Lehman Brothers collapse in 2008, </w:t>
      </w:r>
      <w:r w:rsidR="00D60281">
        <w:rPr>
          <w:rFonts w:eastAsia="Times New Roman" w:cs="Calibri"/>
          <w:color w:val="006666"/>
          <w:sz w:val="20"/>
          <w:szCs w:val="20"/>
        </w:rPr>
        <w:t>the</w:t>
      </w:r>
      <w:r w:rsidR="0087516D">
        <w:rPr>
          <w:rFonts w:eastAsia="Times New Roman" w:cs="Calibri"/>
          <w:color w:val="006666"/>
          <w:sz w:val="20"/>
          <w:szCs w:val="20"/>
        </w:rPr>
        <w:t xml:space="preserve"> US Treasury Market Practices Group</w:t>
      </w:r>
      <w:r w:rsidR="00F62AA2">
        <w:rPr>
          <w:rFonts w:eastAsia="Times New Roman" w:cs="Calibri"/>
          <w:color w:val="006666"/>
          <w:sz w:val="20"/>
          <w:szCs w:val="20"/>
        </w:rPr>
        <w:t xml:space="preserve"> (TMPG)</w:t>
      </w:r>
      <w:r w:rsidR="00D60281">
        <w:rPr>
          <w:rFonts w:eastAsia="Times New Roman" w:cs="Calibri"/>
          <w:color w:val="006666"/>
          <w:sz w:val="20"/>
          <w:szCs w:val="20"/>
        </w:rPr>
        <w:t xml:space="preserve">, </w:t>
      </w:r>
      <w:r w:rsidR="00155DF0">
        <w:rPr>
          <w:rFonts w:eastAsia="Times New Roman" w:cs="Calibri"/>
          <w:color w:val="006666"/>
          <w:sz w:val="20"/>
          <w:szCs w:val="20"/>
        </w:rPr>
        <w:t xml:space="preserve">introduced </w:t>
      </w:r>
      <w:r w:rsidR="00EE7C9E">
        <w:rPr>
          <w:rFonts w:eastAsia="Times New Roman" w:cs="Calibri"/>
          <w:color w:val="006666"/>
          <w:sz w:val="20"/>
          <w:szCs w:val="20"/>
        </w:rPr>
        <w:t>a best practice</w:t>
      </w:r>
      <w:r w:rsidR="00A25D3F">
        <w:rPr>
          <w:rFonts w:eastAsia="Times New Roman" w:cs="Calibri"/>
          <w:color w:val="006666"/>
          <w:sz w:val="20"/>
          <w:szCs w:val="20"/>
        </w:rPr>
        <w:t xml:space="preserve"> </w:t>
      </w:r>
      <w:r w:rsidR="009F3522">
        <w:rPr>
          <w:rFonts w:eastAsia="Times New Roman" w:cs="Calibri"/>
          <w:color w:val="006666"/>
          <w:sz w:val="20"/>
          <w:szCs w:val="20"/>
        </w:rPr>
        <w:t xml:space="preserve">for market participants, </w:t>
      </w:r>
      <w:r w:rsidR="00A25D3F">
        <w:rPr>
          <w:rFonts w:eastAsia="Times New Roman" w:cs="Calibri"/>
          <w:color w:val="006666"/>
          <w:sz w:val="20"/>
          <w:szCs w:val="20"/>
        </w:rPr>
        <w:t xml:space="preserve">of imposing </w:t>
      </w:r>
      <w:r w:rsidR="006D5C07">
        <w:rPr>
          <w:rFonts w:eastAsia="Times New Roman" w:cs="Calibri"/>
          <w:color w:val="006666"/>
          <w:sz w:val="20"/>
          <w:szCs w:val="20"/>
        </w:rPr>
        <w:t xml:space="preserve">daily </w:t>
      </w:r>
      <w:r w:rsidR="00A25D3F">
        <w:rPr>
          <w:rFonts w:eastAsia="Times New Roman" w:cs="Calibri"/>
          <w:color w:val="006666"/>
          <w:sz w:val="20"/>
          <w:szCs w:val="20"/>
        </w:rPr>
        <w:t xml:space="preserve">penalty </w:t>
      </w:r>
      <w:r w:rsidR="006D5C07">
        <w:rPr>
          <w:rFonts w:eastAsia="Times New Roman" w:cs="Calibri"/>
          <w:color w:val="006666"/>
          <w:sz w:val="20"/>
          <w:szCs w:val="20"/>
        </w:rPr>
        <w:t>charges</w:t>
      </w:r>
      <w:r w:rsidR="00A25D3F">
        <w:rPr>
          <w:rFonts w:eastAsia="Times New Roman" w:cs="Calibri"/>
          <w:color w:val="006666"/>
          <w:sz w:val="20"/>
          <w:szCs w:val="20"/>
        </w:rPr>
        <w:t xml:space="preserve"> for late delivery of securities</w:t>
      </w:r>
      <w:r w:rsidR="00EC51D2">
        <w:rPr>
          <w:rFonts w:eastAsia="Times New Roman" w:cs="Calibri"/>
          <w:color w:val="006666"/>
          <w:sz w:val="20"/>
          <w:szCs w:val="20"/>
        </w:rPr>
        <w:t>,</w:t>
      </w:r>
      <w:r w:rsidR="00A25D3F">
        <w:rPr>
          <w:rFonts w:eastAsia="Times New Roman" w:cs="Calibri"/>
          <w:color w:val="006666"/>
          <w:sz w:val="20"/>
          <w:szCs w:val="20"/>
        </w:rPr>
        <w:t xml:space="preserve"> as a means to promote settlement efficiency in the US treasury market.</w:t>
      </w:r>
      <w:r w:rsidR="00B23D0C">
        <w:rPr>
          <w:rFonts w:eastAsia="Times New Roman" w:cs="Calibri"/>
          <w:color w:val="006666"/>
          <w:sz w:val="20"/>
          <w:szCs w:val="20"/>
        </w:rPr>
        <w:t xml:space="preserve"> After a broad adoption of this, the settlement </w:t>
      </w:r>
      <w:r w:rsidR="00C40CE3">
        <w:rPr>
          <w:rFonts w:eastAsia="Times New Roman" w:cs="Calibri"/>
          <w:color w:val="006666"/>
          <w:sz w:val="20"/>
          <w:szCs w:val="20"/>
        </w:rPr>
        <w:t>fails</w:t>
      </w:r>
      <w:r w:rsidR="00B23D0C">
        <w:rPr>
          <w:rFonts w:eastAsia="Times New Roman" w:cs="Calibri"/>
          <w:color w:val="006666"/>
          <w:sz w:val="20"/>
          <w:szCs w:val="20"/>
        </w:rPr>
        <w:t xml:space="preserve"> in this market have significantly reduced over time</w:t>
      </w:r>
      <w:r w:rsidR="00C40CE3">
        <w:rPr>
          <w:rFonts w:eastAsia="Times New Roman" w:cs="Calibri"/>
          <w:color w:val="006666"/>
          <w:sz w:val="20"/>
          <w:szCs w:val="20"/>
        </w:rPr>
        <w:t xml:space="preserve">. </w:t>
      </w:r>
      <w:r w:rsidR="004C321B">
        <w:rPr>
          <w:rFonts w:eastAsia="Times New Roman" w:cs="Calibri"/>
          <w:color w:val="006666"/>
          <w:sz w:val="20"/>
          <w:szCs w:val="20"/>
        </w:rPr>
        <w:t xml:space="preserve">A similar adoption of the penalty regime under CSDR would likely </w:t>
      </w:r>
      <w:r w:rsidR="000935FC">
        <w:rPr>
          <w:rFonts w:eastAsia="Times New Roman" w:cs="Calibri"/>
          <w:color w:val="006666"/>
          <w:sz w:val="20"/>
          <w:szCs w:val="20"/>
        </w:rPr>
        <w:t>have similar effect</w:t>
      </w:r>
      <w:r w:rsidR="003E52C5">
        <w:rPr>
          <w:rFonts w:eastAsia="Times New Roman" w:cs="Calibri"/>
          <w:color w:val="006666"/>
          <w:sz w:val="20"/>
          <w:szCs w:val="20"/>
        </w:rPr>
        <w:t xml:space="preserve">s across the European capital markets, without impacting liquidity. </w:t>
      </w:r>
    </w:p>
    <w:p w14:paraId="6E5B6B86" w14:textId="4438DE4D" w:rsidR="007E6B77" w:rsidRDefault="007E6B77" w:rsidP="00B16993">
      <w:pPr>
        <w:ind w:left="-426" w:right="119"/>
        <w:rPr>
          <w:rFonts w:eastAsia="Times New Roman" w:cs="Calibri"/>
          <w:color w:val="006666"/>
          <w:sz w:val="20"/>
          <w:szCs w:val="20"/>
        </w:rPr>
      </w:pPr>
    </w:p>
    <w:p w14:paraId="54B51C18" w14:textId="4303A2AE" w:rsidR="007E6B77" w:rsidRDefault="007E6B77" w:rsidP="00B16993">
      <w:pPr>
        <w:ind w:left="-426" w:right="119"/>
        <w:rPr>
          <w:rFonts w:eastAsia="Times New Roman" w:cs="Calibri"/>
          <w:color w:val="006666"/>
          <w:sz w:val="20"/>
          <w:szCs w:val="20"/>
        </w:rPr>
      </w:pPr>
    </w:p>
    <w:p w14:paraId="7D84BE81" w14:textId="688D5E23" w:rsidR="007E6B77" w:rsidRDefault="007E6B77" w:rsidP="00B16993">
      <w:pPr>
        <w:ind w:left="-426" w:right="119"/>
        <w:rPr>
          <w:rFonts w:eastAsia="Times New Roman" w:cs="Calibri"/>
          <w:color w:val="006666"/>
          <w:sz w:val="20"/>
          <w:szCs w:val="20"/>
        </w:rPr>
      </w:pPr>
    </w:p>
    <w:p w14:paraId="1261478C" w14:textId="39028FBD" w:rsidR="007E6B77" w:rsidRDefault="007E6B77" w:rsidP="00B16993">
      <w:pPr>
        <w:ind w:left="-426" w:right="119"/>
        <w:rPr>
          <w:rFonts w:eastAsia="Times New Roman" w:cs="Calibri"/>
          <w:color w:val="006666"/>
          <w:sz w:val="20"/>
          <w:szCs w:val="20"/>
        </w:rPr>
      </w:pPr>
    </w:p>
    <w:p w14:paraId="3251233F" w14:textId="6DC1FCB4" w:rsidR="007E6B77" w:rsidRDefault="007E6B77" w:rsidP="00B16993">
      <w:pPr>
        <w:ind w:left="-426" w:right="119"/>
        <w:rPr>
          <w:rFonts w:eastAsia="Times New Roman" w:cs="Calibri"/>
          <w:color w:val="006666"/>
          <w:sz w:val="20"/>
          <w:szCs w:val="20"/>
        </w:rPr>
      </w:pPr>
    </w:p>
    <w:p w14:paraId="460876E8" w14:textId="4DC68350" w:rsidR="007E6B77" w:rsidRDefault="007E6B77" w:rsidP="00B16993">
      <w:pPr>
        <w:ind w:left="-426" w:right="119"/>
        <w:rPr>
          <w:rFonts w:eastAsia="Times New Roman" w:cs="Calibri"/>
          <w:color w:val="006666"/>
          <w:sz w:val="20"/>
          <w:szCs w:val="20"/>
        </w:rPr>
      </w:pPr>
    </w:p>
    <w:p w14:paraId="53A87684" w14:textId="00D799B9" w:rsidR="007E6B77" w:rsidRDefault="007E6B77" w:rsidP="00B16993">
      <w:pPr>
        <w:ind w:left="-426" w:right="119"/>
        <w:rPr>
          <w:rFonts w:eastAsia="Times New Roman" w:cs="Calibri"/>
          <w:color w:val="006666"/>
          <w:sz w:val="20"/>
          <w:szCs w:val="20"/>
        </w:rPr>
      </w:pPr>
    </w:p>
    <w:p w14:paraId="6A30F3AB" w14:textId="7300E06E" w:rsidR="007E6B77" w:rsidRDefault="007E6B77" w:rsidP="00B16993">
      <w:pPr>
        <w:ind w:left="-426" w:right="119"/>
        <w:rPr>
          <w:rFonts w:eastAsia="Times New Roman" w:cs="Calibri"/>
          <w:color w:val="006666"/>
          <w:sz w:val="20"/>
          <w:szCs w:val="20"/>
        </w:rPr>
      </w:pPr>
    </w:p>
    <w:p w14:paraId="03AEC431" w14:textId="62A93263" w:rsidR="007E6B77" w:rsidRDefault="007E6B77" w:rsidP="00B16993">
      <w:pPr>
        <w:ind w:left="-426" w:right="119"/>
        <w:rPr>
          <w:rFonts w:eastAsia="Times New Roman" w:cs="Calibri"/>
          <w:color w:val="006666"/>
          <w:sz w:val="20"/>
          <w:szCs w:val="20"/>
        </w:rPr>
      </w:pPr>
    </w:p>
    <w:p w14:paraId="0FFEEEB6" w14:textId="4218816D" w:rsidR="007E6B77" w:rsidRDefault="007E6B77" w:rsidP="00B16993">
      <w:pPr>
        <w:ind w:left="-426" w:right="119"/>
        <w:rPr>
          <w:rFonts w:eastAsia="Times New Roman" w:cs="Calibri"/>
          <w:color w:val="006666"/>
          <w:sz w:val="20"/>
          <w:szCs w:val="20"/>
        </w:rPr>
      </w:pPr>
    </w:p>
    <w:p w14:paraId="412A0D1C" w14:textId="0545D533" w:rsidR="007E6B77" w:rsidRDefault="007E6B77" w:rsidP="00B16993">
      <w:pPr>
        <w:ind w:left="-426" w:right="119"/>
        <w:rPr>
          <w:rFonts w:eastAsia="Times New Roman" w:cs="Calibri"/>
          <w:color w:val="006666"/>
          <w:sz w:val="20"/>
          <w:szCs w:val="20"/>
        </w:rPr>
      </w:pPr>
    </w:p>
    <w:p w14:paraId="6310B9D3" w14:textId="13B5CB9E" w:rsidR="007E6B77" w:rsidRDefault="007E6B77" w:rsidP="00B16993">
      <w:pPr>
        <w:ind w:left="-426" w:right="119"/>
        <w:rPr>
          <w:rFonts w:eastAsia="Times New Roman" w:cs="Calibri"/>
          <w:color w:val="006666"/>
          <w:sz w:val="20"/>
          <w:szCs w:val="20"/>
        </w:rPr>
      </w:pPr>
    </w:p>
    <w:p w14:paraId="40511875" w14:textId="022412DB" w:rsidR="007E6B77" w:rsidRDefault="007E6B77" w:rsidP="00B16993">
      <w:pPr>
        <w:ind w:left="-426" w:right="119"/>
        <w:rPr>
          <w:rFonts w:eastAsia="Times New Roman" w:cs="Calibri"/>
          <w:color w:val="006666"/>
          <w:sz w:val="20"/>
          <w:szCs w:val="20"/>
        </w:rPr>
      </w:pPr>
    </w:p>
    <w:p w14:paraId="3CF40093" w14:textId="77C6D6E7" w:rsidR="007E6B77" w:rsidRDefault="007E6B77" w:rsidP="00B16993">
      <w:pPr>
        <w:ind w:left="-426" w:right="119"/>
        <w:rPr>
          <w:rFonts w:eastAsia="Times New Roman" w:cs="Calibri"/>
          <w:color w:val="006666"/>
          <w:sz w:val="20"/>
          <w:szCs w:val="20"/>
        </w:rPr>
      </w:pPr>
    </w:p>
    <w:p w14:paraId="222F420C" w14:textId="0A059004" w:rsidR="007E6B77" w:rsidRDefault="007E6B77" w:rsidP="00B16993">
      <w:pPr>
        <w:ind w:left="-426" w:right="119"/>
        <w:rPr>
          <w:rFonts w:eastAsia="Times New Roman" w:cs="Calibri"/>
          <w:color w:val="006666"/>
          <w:sz w:val="20"/>
          <w:szCs w:val="20"/>
        </w:rPr>
      </w:pPr>
    </w:p>
    <w:p w14:paraId="1272B223" w14:textId="77777777" w:rsidR="007E6B77" w:rsidRPr="00200F46" w:rsidRDefault="007E6B77" w:rsidP="00B16993">
      <w:pPr>
        <w:ind w:left="-426" w:right="119"/>
        <w:rPr>
          <w:rFonts w:eastAsia="Times New Roman" w:cs="Calibri"/>
          <w:color w:val="006666"/>
          <w:sz w:val="20"/>
          <w:szCs w:val="20"/>
        </w:rPr>
      </w:pPr>
    </w:p>
    <w:p w14:paraId="4B9216B5" w14:textId="77777777" w:rsidR="0042582A" w:rsidRDefault="0042582A" w:rsidP="005B0B27">
      <w:pPr>
        <w:pStyle w:val="Default"/>
        <w:ind w:left="-426" w:right="119"/>
        <w:rPr>
          <w:rFonts w:asciiTheme="minorHAnsi" w:hAnsiTheme="minorHAnsi" w:cstheme="minorHAnsi"/>
          <w:color w:val="006666"/>
          <w:sz w:val="20"/>
          <w:szCs w:val="20"/>
        </w:rPr>
      </w:pPr>
    </w:p>
    <w:p w14:paraId="31373B29" w14:textId="00B4FDF1" w:rsidR="00270848" w:rsidRDefault="005E4D16" w:rsidP="00FD1F97">
      <w:pPr>
        <w:pStyle w:val="Heading1"/>
        <w:ind w:left="-425"/>
        <w:rPr>
          <w:b w:val="0"/>
        </w:rPr>
      </w:pPr>
      <w:r>
        <w:lastRenderedPageBreak/>
        <w:t xml:space="preserve">7. </w:t>
      </w:r>
      <w:r w:rsidRPr="008C6F1A">
        <w:t>SETTLEMENT DISCIPLINE</w:t>
      </w:r>
    </w:p>
    <w:p w14:paraId="5522D6AA" w14:textId="77777777" w:rsidR="005F03A2" w:rsidRPr="008C6F1A" w:rsidRDefault="005F03A2" w:rsidP="00EA25FA">
      <w:pPr>
        <w:pStyle w:val="Default"/>
        <w:ind w:left="-426" w:right="119"/>
        <w:rPr>
          <w:rFonts w:asciiTheme="minorHAnsi" w:hAnsiTheme="minorHAnsi" w:cstheme="minorHAnsi"/>
          <w:sz w:val="20"/>
          <w:szCs w:val="20"/>
        </w:rPr>
      </w:pPr>
    </w:p>
    <w:p w14:paraId="2EE56A70" w14:textId="6EA10983" w:rsidR="00270848" w:rsidRDefault="00270848" w:rsidP="00EA25FA">
      <w:pPr>
        <w:pStyle w:val="Default"/>
        <w:ind w:left="-426" w:right="119"/>
        <w:rPr>
          <w:rFonts w:asciiTheme="minorHAnsi" w:hAnsiTheme="minorHAnsi" w:cstheme="minorHAnsi"/>
          <w:sz w:val="20"/>
          <w:szCs w:val="20"/>
        </w:rPr>
      </w:pPr>
      <w:r w:rsidRPr="008C6F1A">
        <w:rPr>
          <w:rFonts w:asciiTheme="minorHAnsi" w:hAnsiTheme="minorHAnsi" w:cstheme="minorHAnsi"/>
          <w:sz w:val="20"/>
          <w:szCs w:val="20"/>
        </w:rPr>
        <w:t>CSDR includes a set of measures to prevent and address failures in the settlement of securities transactions (‘settlement fails’), commonly referred to as ‘settlement discipline’ measures. Application of the relevant rules in CSDR is dependent on the date of entry into force of Commission Delegated Regulation (EU) 2018/1229 on settlement discipline</w:t>
      </w:r>
      <w:r w:rsidRPr="008C6F1A">
        <w:rPr>
          <w:rFonts w:asciiTheme="minorHAnsi" w:hAnsiTheme="minorHAnsi" w:cstheme="minorHAnsi"/>
          <w:sz w:val="20"/>
          <w:szCs w:val="20"/>
          <w:vertAlign w:val="superscript"/>
        </w:rPr>
        <w:t>13</w:t>
      </w:r>
      <w:r w:rsidRPr="008C6F1A">
        <w:rPr>
          <w:rFonts w:asciiTheme="minorHAnsi" w:hAnsiTheme="minorHAnsi" w:cstheme="minorHAnsi"/>
          <w:sz w:val="20"/>
          <w:szCs w:val="20"/>
        </w:rPr>
        <w:t xml:space="preserve">, which specifies the following: </w:t>
      </w:r>
    </w:p>
    <w:p w14:paraId="32F6D7A8" w14:textId="77777777" w:rsidR="007B6801" w:rsidRPr="008C6F1A" w:rsidRDefault="007B6801" w:rsidP="00EA25FA">
      <w:pPr>
        <w:pStyle w:val="Default"/>
        <w:ind w:left="-426" w:right="119"/>
        <w:rPr>
          <w:rFonts w:asciiTheme="minorHAnsi" w:hAnsiTheme="minorHAnsi" w:cstheme="minorHAnsi"/>
          <w:sz w:val="20"/>
          <w:szCs w:val="20"/>
        </w:rPr>
      </w:pPr>
    </w:p>
    <w:p w14:paraId="32311CA9" w14:textId="31A04105" w:rsidR="00270848" w:rsidRPr="008C6F1A" w:rsidRDefault="00270848" w:rsidP="007B6801">
      <w:pPr>
        <w:pStyle w:val="Default"/>
        <w:numPr>
          <w:ilvl w:val="0"/>
          <w:numId w:val="1"/>
        </w:numPr>
        <w:ind w:left="0" w:right="119"/>
        <w:rPr>
          <w:rFonts w:asciiTheme="minorHAnsi" w:hAnsiTheme="minorHAnsi" w:cstheme="minorHAnsi"/>
          <w:sz w:val="20"/>
          <w:szCs w:val="20"/>
        </w:rPr>
      </w:pPr>
      <w:r w:rsidRPr="008C6F1A">
        <w:rPr>
          <w:rFonts w:asciiTheme="minorHAnsi" w:hAnsiTheme="minorHAnsi" w:cstheme="minorHAnsi"/>
          <w:sz w:val="20"/>
          <w:szCs w:val="20"/>
        </w:rPr>
        <w:t xml:space="preserve">measures to </w:t>
      </w:r>
      <w:r w:rsidRPr="008C6F1A">
        <w:rPr>
          <w:rFonts w:asciiTheme="minorHAnsi" w:hAnsiTheme="minorHAnsi" w:cstheme="minorHAnsi"/>
          <w:i/>
          <w:iCs/>
          <w:sz w:val="20"/>
          <w:szCs w:val="20"/>
        </w:rPr>
        <w:t>prevent settlement fails</w:t>
      </w:r>
      <w:r w:rsidRPr="008C6F1A">
        <w:rPr>
          <w:rFonts w:asciiTheme="minorHAnsi" w:hAnsiTheme="minorHAnsi" w:cstheme="minorHAnsi"/>
          <w:sz w:val="20"/>
          <w:szCs w:val="20"/>
        </w:rPr>
        <w:t xml:space="preserve">, including measures to be taken by financial institutions to limit the number of </w:t>
      </w:r>
      <w:r w:rsidR="001B2102" w:rsidRPr="008C6F1A">
        <w:rPr>
          <w:rFonts w:asciiTheme="minorHAnsi" w:hAnsiTheme="minorHAnsi" w:cstheme="minorHAnsi"/>
          <w:sz w:val="20"/>
          <w:szCs w:val="20"/>
        </w:rPr>
        <w:t>settlements</w:t>
      </w:r>
      <w:r w:rsidRPr="008C6F1A">
        <w:rPr>
          <w:rFonts w:asciiTheme="minorHAnsi" w:hAnsiTheme="minorHAnsi" w:cstheme="minorHAnsi"/>
          <w:sz w:val="20"/>
          <w:szCs w:val="20"/>
        </w:rPr>
        <w:t xml:space="preserve"> fails as well as procedures and measures to be put in place by CSDs to facilitate and incentivise timely settlement of securities </w:t>
      </w:r>
      <w:r w:rsidR="008B76C7" w:rsidRPr="008C6F1A">
        <w:rPr>
          <w:rFonts w:asciiTheme="minorHAnsi" w:hAnsiTheme="minorHAnsi" w:cstheme="minorHAnsi"/>
          <w:sz w:val="20"/>
          <w:szCs w:val="20"/>
        </w:rPr>
        <w:t>transactions.</w:t>
      </w:r>
      <w:r w:rsidRPr="008C6F1A">
        <w:rPr>
          <w:rFonts w:asciiTheme="minorHAnsi" w:hAnsiTheme="minorHAnsi" w:cstheme="minorHAnsi"/>
          <w:sz w:val="20"/>
          <w:szCs w:val="20"/>
        </w:rPr>
        <w:t xml:space="preserve"> </w:t>
      </w:r>
    </w:p>
    <w:p w14:paraId="6D9EF6AB" w14:textId="0CC01BB1" w:rsidR="00270848" w:rsidRPr="008C6F1A" w:rsidRDefault="00270848" w:rsidP="007B6801">
      <w:pPr>
        <w:pStyle w:val="Default"/>
        <w:numPr>
          <w:ilvl w:val="0"/>
          <w:numId w:val="1"/>
        </w:numPr>
        <w:ind w:left="0" w:right="119"/>
        <w:rPr>
          <w:rFonts w:asciiTheme="minorHAnsi" w:hAnsiTheme="minorHAnsi" w:cstheme="minorHAnsi"/>
          <w:sz w:val="20"/>
          <w:szCs w:val="20"/>
        </w:rPr>
      </w:pPr>
      <w:r w:rsidRPr="008C6F1A">
        <w:rPr>
          <w:rFonts w:asciiTheme="minorHAnsi" w:hAnsiTheme="minorHAnsi" w:cstheme="minorHAnsi"/>
          <w:sz w:val="20"/>
          <w:szCs w:val="20"/>
        </w:rPr>
        <w:t xml:space="preserve">measures to </w:t>
      </w:r>
      <w:r w:rsidRPr="008C6F1A">
        <w:rPr>
          <w:rFonts w:asciiTheme="minorHAnsi" w:hAnsiTheme="minorHAnsi" w:cstheme="minorHAnsi"/>
          <w:i/>
          <w:iCs/>
          <w:sz w:val="20"/>
          <w:szCs w:val="20"/>
        </w:rPr>
        <w:t>address settlement fails</w:t>
      </w:r>
      <w:r w:rsidRPr="008C6F1A">
        <w:rPr>
          <w:rFonts w:asciiTheme="minorHAnsi" w:hAnsiTheme="minorHAnsi" w:cstheme="minorHAnsi"/>
          <w:sz w:val="20"/>
          <w:szCs w:val="20"/>
        </w:rPr>
        <w:t>, including the requirements for monitoring and reporting of settlement fails by CSDs; the management by CSDs of cash penalties paid by their users causing settlement fails; the details of an appropriate buy-in process following settlement fails; the specific rules and exemptions concerning the buy-in process and the conditions under which a CSD may discontinue its services to users that cause settlement fails.</w:t>
      </w:r>
    </w:p>
    <w:p w14:paraId="32A111BD" w14:textId="2A9D319A" w:rsidR="00270848" w:rsidRPr="008C6F1A" w:rsidRDefault="00270848" w:rsidP="007B6801">
      <w:pPr>
        <w:pStyle w:val="Default"/>
        <w:ind w:right="119"/>
        <w:rPr>
          <w:rFonts w:asciiTheme="minorHAnsi" w:hAnsiTheme="minorHAnsi" w:cstheme="minorHAnsi"/>
          <w:sz w:val="20"/>
          <w:szCs w:val="20"/>
        </w:rPr>
      </w:pPr>
      <w:r w:rsidRPr="008C6F1A">
        <w:rPr>
          <w:rFonts w:asciiTheme="minorHAnsi" w:hAnsiTheme="minorHAnsi" w:cstheme="minorHAnsi"/>
          <w:sz w:val="20"/>
          <w:szCs w:val="20"/>
        </w:rPr>
        <w:t>Commission Delegated Regulation (EU) 2018/1229 was supposed to enter into force on 13 September 2020. However, in May 2020 the Commission adopted a Commission Delegated Regulation amending it, thereby postponing its date of entry into force from 13 September 2020 to 1 February 2021. This short delay was considered necessary to take into account the additional time needed for the establishment of some essential features for the functioning of the new framework (</w:t>
      </w:r>
      <w:r w:rsidR="007B6801" w:rsidRPr="008C6F1A">
        <w:rPr>
          <w:rFonts w:asciiTheme="minorHAnsi" w:hAnsiTheme="minorHAnsi" w:cstheme="minorHAnsi"/>
          <w:sz w:val="20"/>
          <w:szCs w:val="20"/>
        </w:rPr>
        <w:t>e.g.,</w:t>
      </w:r>
      <w:r w:rsidRPr="008C6F1A">
        <w:rPr>
          <w:rFonts w:asciiTheme="minorHAnsi" w:hAnsiTheme="minorHAnsi" w:cstheme="minorHAnsi"/>
          <w:sz w:val="20"/>
          <w:szCs w:val="20"/>
        </w:rPr>
        <w:t xml:space="preserve"> the necessary ISO messages, the joint penalty mechanism of CSDs that use a common settlement infrastructure and the need for proper testing of the new functionalities). </w:t>
      </w:r>
    </w:p>
    <w:p w14:paraId="1A6789FE" w14:textId="77777777" w:rsidR="00270848" w:rsidRPr="008C6F1A" w:rsidRDefault="00270848" w:rsidP="00EA25FA">
      <w:pPr>
        <w:pStyle w:val="Default"/>
        <w:ind w:left="-426" w:right="119"/>
        <w:rPr>
          <w:rFonts w:asciiTheme="minorHAnsi" w:hAnsiTheme="minorHAnsi" w:cstheme="minorHAnsi"/>
          <w:sz w:val="20"/>
          <w:szCs w:val="20"/>
        </w:rPr>
      </w:pPr>
    </w:p>
    <w:p w14:paraId="40F30F85" w14:textId="11259856" w:rsidR="00270848" w:rsidRPr="008C6F1A" w:rsidRDefault="00270848" w:rsidP="00EA25FA">
      <w:pPr>
        <w:pStyle w:val="Default"/>
        <w:ind w:left="-426" w:right="119"/>
        <w:rPr>
          <w:rFonts w:asciiTheme="minorHAnsi" w:hAnsiTheme="minorHAnsi" w:cstheme="minorHAnsi"/>
          <w:sz w:val="20"/>
          <w:szCs w:val="20"/>
        </w:rPr>
      </w:pPr>
      <w:r w:rsidRPr="008C6F1A">
        <w:rPr>
          <w:rFonts w:asciiTheme="minorHAnsi" w:hAnsiTheme="minorHAnsi" w:cstheme="minorHAnsi"/>
          <w:sz w:val="20"/>
          <w:szCs w:val="20"/>
        </w:rPr>
        <w:t>During the COVID-19 crisis, many stakeholders asked for a further postponement of the entry into force of Commission Delegated Regulation 2018/1229. Those stakeholders argued that the COVID-19 pandemic impacted the overall implementation of regulatory projects and IT deliveries by CSDs and their participants and that, as a result of that, they will not be able to comply with the requirements of the RTS on settlement discipline by 1 February 2021. On 23 October 2020, the Commission endorsed ESMA's proposal to postpone further the entry into force of the RTS on settlement discipline to 1 February 2022.</w:t>
      </w:r>
    </w:p>
    <w:p w14:paraId="6A51E485" w14:textId="62B8B4E1" w:rsidR="00270848" w:rsidRPr="008C6F1A" w:rsidRDefault="00270848" w:rsidP="00EA25FA">
      <w:pPr>
        <w:pStyle w:val="Default"/>
        <w:ind w:left="-426" w:right="119"/>
        <w:rPr>
          <w:rFonts w:asciiTheme="minorHAnsi" w:hAnsiTheme="minorHAnsi" w:cstheme="minorHAnsi"/>
          <w:sz w:val="20"/>
          <w:szCs w:val="20"/>
        </w:rPr>
      </w:pPr>
    </w:p>
    <w:p w14:paraId="3B617381" w14:textId="77777777" w:rsidR="00270848" w:rsidRPr="008C6F1A" w:rsidRDefault="00764276" w:rsidP="00EA25FA">
      <w:pPr>
        <w:pStyle w:val="Default"/>
        <w:ind w:left="-426" w:right="119"/>
        <w:rPr>
          <w:rFonts w:asciiTheme="minorHAnsi" w:hAnsiTheme="minorHAnsi" w:cstheme="minorHAnsi"/>
          <w:sz w:val="20"/>
          <w:szCs w:val="20"/>
          <w:vertAlign w:val="superscript"/>
        </w:rPr>
      </w:pPr>
      <w:hyperlink r:id="rId17" w:history="1">
        <w:r w:rsidR="00270848" w:rsidRPr="008C6F1A">
          <w:rPr>
            <w:rStyle w:val="Hyperlink"/>
            <w:rFonts w:asciiTheme="minorHAnsi" w:hAnsiTheme="minorHAnsi" w:cstheme="minorHAnsi"/>
            <w:sz w:val="20"/>
            <w:szCs w:val="20"/>
            <w:vertAlign w:val="superscript"/>
          </w:rPr>
          <w:t>13</w:t>
        </w:r>
        <w:r w:rsidR="00270848" w:rsidRPr="008C6F1A">
          <w:rPr>
            <w:rStyle w:val="Hyperlink"/>
            <w:rFonts w:asciiTheme="minorHAnsi" w:hAnsiTheme="minorHAnsi" w:cstheme="minorHAnsi"/>
            <w:sz w:val="20"/>
            <w:szCs w:val="20"/>
          </w:rPr>
          <w:t xml:space="preserve"> Commission Delegated Regulation (EU) 2018/1229 of 25 May 2018 supplementing Regulation (EU) 909/2014 of the European Parliament and of the Council with regard to regulatory technical standards on settlement discipline (OJ L 230, 13.9.2018, p. 1). </w:t>
        </w:r>
      </w:hyperlink>
    </w:p>
    <w:p w14:paraId="1B394A83" w14:textId="77777777" w:rsidR="00270848" w:rsidRPr="008C6F1A" w:rsidRDefault="00270848" w:rsidP="00EA25FA">
      <w:pPr>
        <w:pStyle w:val="Default"/>
        <w:ind w:left="-426" w:right="119"/>
        <w:rPr>
          <w:rFonts w:asciiTheme="minorHAnsi" w:hAnsiTheme="minorHAnsi" w:cstheme="minorHAnsi"/>
          <w:sz w:val="20"/>
          <w:szCs w:val="20"/>
          <w:vertAlign w:val="superscript"/>
        </w:rPr>
      </w:pPr>
    </w:p>
    <w:p w14:paraId="0746C6C6" w14:textId="77777777" w:rsidR="00270848" w:rsidRPr="008C6F1A" w:rsidRDefault="00270848" w:rsidP="00EA25FA">
      <w:pPr>
        <w:autoSpaceDE w:val="0"/>
        <w:autoSpaceDN w:val="0"/>
        <w:adjustRightInd w:val="0"/>
        <w:spacing w:after="0" w:line="240" w:lineRule="auto"/>
        <w:ind w:left="-426" w:right="119"/>
        <w:rPr>
          <w:rFonts w:cstheme="minorHAnsi"/>
          <w:color w:val="000000"/>
          <w:sz w:val="20"/>
          <w:szCs w:val="20"/>
        </w:rPr>
      </w:pPr>
      <w:r w:rsidRPr="00150B52">
        <w:rPr>
          <w:rFonts w:cstheme="minorHAnsi"/>
          <w:b/>
          <w:bCs/>
          <w:color w:val="000000"/>
          <w:sz w:val="20"/>
          <w:szCs w:val="20"/>
        </w:rPr>
        <w:t>Question 33:</w:t>
      </w:r>
      <w:r w:rsidRPr="008C6F1A">
        <w:rPr>
          <w:rFonts w:cstheme="minorHAnsi"/>
          <w:color w:val="000000"/>
          <w:sz w:val="20"/>
          <w:szCs w:val="20"/>
        </w:rPr>
        <w:t xml:space="preserve"> Do you consider that a revision of the settlement discipline regime of CSDR is necessary? </w:t>
      </w:r>
    </w:p>
    <w:p w14:paraId="3F9E1BFD" w14:textId="77777777" w:rsidR="00150B52" w:rsidRDefault="00150B52" w:rsidP="00EA25FA">
      <w:pPr>
        <w:autoSpaceDE w:val="0"/>
        <w:autoSpaceDN w:val="0"/>
        <w:adjustRightInd w:val="0"/>
        <w:spacing w:after="0" w:line="240" w:lineRule="auto"/>
        <w:ind w:left="-426" w:right="119"/>
        <w:rPr>
          <w:rFonts w:cstheme="minorHAnsi"/>
          <w:color w:val="000000"/>
          <w:sz w:val="20"/>
          <w:szCs w:val="20"/>
        </w:rPr>
      </w:pPr>
    </w:p>
    <w:p w14:paraId="0AA1A1DE" w14:textId="77777777" w:rsidR="00424A6B" w:rsidRPr="00310816" w:rsidRDefault="00270848" w:rsidP="00EA25FA">
      <w:pPr>
        <w:autoSpaceDE w:val="0"/>
        <w:autoSpaceDN w:val="0"/>
        <w:adjustRightInd w:val="0"/>
        <w:spacing w:after="0" w:line="240" w:lineRule="auto"/>
        <w:ind w:left="-426" w:right="119"/>
        <w:rPr>
          <w:rFonts w:cstheme="minorHAnsi"/>
          <w:color w:val="006666"/>
          <w:sz w:val="20"/>
          <w:szCs w:val="20"/>
        </w:rPr>
      </w:pPr>
      <w:r w:rsidRPr="00310816">
        <w:rPr>
          <w:rFonts w:cstheme="minorHAnsi"/>
          <w:color w:val="006666"/>
          <w:sz w:val="20"/>
          <w:szCs w:val="20"/>
        </w:rPr>
        <w:t>-Yes</w:t>
      </w:r>
    </w:p>
    <w:p w14:paraId="51267A33" w14:textId="77777777" w:rsidR="003C71FB" w:rsidRDefault="003C71FB" w:rsidP="007E6B77">
      <w:pPr>
        <w:pStyle w:val="Default"/>
        <w:ind w:right="119"/>
        <w:rPr>
          <w:rFonts w:asciiTheme="minorHAnsi" w:hAnsiTheme="minorHAnsi" w:cstheme="minorHAnsi"/>
          <w:b/>
          <w:bCs/>
          <w:sz w:val="20"/>
          <w:szCs w:val="20"/>
        </w:rPr>
      </w:pPr>
    </w:p>
    <w:p w14:paraId="4DF4CDC9" w14:textId="798DD4B7" w:rsidR="00270848" w:rsidRPr="006A3135" w:rsidRDefault="00270848" w:rsidP="006A3135">
      <w:pPr>
        <w:pStyle w:val="Default"/>
        <w:ind w:left="-426" w:right="119"/>
        <w:rPr>
          <w:rFonts w:asciiTheme="minorHAnsi" w:hAnsiTheme="minorHAnsi" w:cstheme="minorHAnsi"/>
          <w:sz w:val="20"/>
          <w:szCs w:val="20"/>
        </w:rPr>
      </w:pPr>
      <w:r w:rsidRPr="00150B52">
        <w:rPr>
          <w:rFonts w:asciiTheme="minorHAnsi" w:hAnsiTheme="minorHAnsi" w:cstheme="minorHAnsi"/>
          <w:b/>
          <w:bCs/>
          <w:sz w:val="20"/>
          <w:szCs w:val="20"/>
        </w:rPr>
        <w:t>Question 33.1</w:t>
      </w:r>
      <w:r w:rsidRPr="008C6F1A">
        <w:rPr>
          <w:rFonts w:asciiTheme="minorHAnsi" w:hAnsiTheme="minorHAnsi" w:cstheme="minorHAnsi"/>
          <w:sz w:val="20"/>
          <w:szCs w:val="20"/>
        </w:rPr>
        <w:t>: If you answered yes to Question 33, please indicate which elements of the settlement discipline</w:t>
      </w:r>
      <w:r w:rsidR="00F76EC2">
        <w:rPr>
          <w:rFonts w:asciiTheme="minorHAnsi" w:hAnsiTheme="minorHAnsi" w:cstheme="minorHAnsi"/>
          <w:sz w:val="20"/>
          <w:szCs w:val="20"/>
        </w:rPr>
        <w:t xml:space="preserve"> </w:t>
      </w:r>
      <w:r w:rsidRPr="008C6F1A">
        <w:rPr>
          <w:rFonts w:asciiTheme="minorHAnsi" w:hAnsiTheme="minorHAnsi" w:cstheme="minorHAnsi"/>
          <w:sz w:val="20"/>
          <w:szCs w:val="20"/>
        </w:rPr>
        <w:t xml:space="preserve">regime should be reviewed: (you may choose more than one option) </w:t>
      </w:r>
    </w:p>
    <w:p w14:paraId="5967ACDC" w14:textId="77777777" w:rsidR="00150B52" w:rsidRPr="008C6F1A" w:rsidRDefault="00150B52" w:rsidP="00EA25FA">
      <w:pPr>
        <w:autoSpaceDE w:val="0"/>
        <w:autoSpaceDN w:val="0"/>
        <w:adjustRightInd w:val="0"/>
        <w:spacing w:after="0" w:line="240" w:lineRule="auto"/>
        <w:ind w:left="-426" w:right="119"/>
        <w:rPr>
          <w:rFonts w:cstheme="minorHAnsi"/>
          <w:color w:val="000000"/>
          <w:sz w:val="20"/>
          <w:szCs w:val="20"/>
        </w:rPr>
      </w:pPr>
    </w:p>
    <w:p w14:paraId="438768B8" w14:textId="77777777" w:rsidR="00270848" w:rsidRPr="00310816" w:rsidRDefault="00270848" w:rsidP="00EA25FA">
      <w:pPr>
        <w:autoSpaceDE w:val="0"/>
        <w:autoSpaceDN w:val="0"/>
        <w:adjustRightInd w:val="0"/>
        <w:spacing w:after="0" w:line="240" w:lineRule="auto"/>
        <w:ind w:left="-426" w:right="119"/>
        <w:rPr>
          <w:rFonts w:cstheme="minorHAnsi"/>
          <w:color w:val="006666"/>
          <w:sz w:val="20"/>
          <w:szCs w:val="20"/>
        </w:rPr>
      </w:pPr>
      <w:r w:rsidRPr="00310816">
        <w:rPr>
          <w:rFonts w:cstheme="minorHAnsi"/>
          <w:color w:val="006666"/>
          <w:sz w:val="20"/>
          <w:szCs w:val="20"/>
        </w:rPr>
        <w:t xml:space="preserve">- Rules relating to the buy-in </w:t>
      </w:r>
    </w:p>
    <w:p w14:paraId="3093C957" w14:textId="77777777" w:rsidR="00B67284" w:rsidRPr="008C6F1A" w:rsidRDefault="00B67284" w:rsidP="00EA25FA">
      <w:pPr>
        <w:pStyle w:val="Default"/>
        <w:ind w:left="-426" w:right="119"/>
        <w:rPr>
          <w:rFonts w:asciiTheme="minorHAnsi" w:hAnsiTheme="minorHAnsi" w:cstheme="minorHAnsi"/>
          <w:sz w:val="20"/>
          <w:szCs w:val="20"/>
        </w:rPr>
      </w:pPr>
    </w:p>
    <w:p w14:paraId="57AFE997" w14:textId="77777777" w:rsidR="00150B52" w:rsidRDefault="00B67284" w:rsidP="00EA25FA">
      <w:pPr>
        <w:autoSpaceDE w:val="0"/>
        <w:autoSpaceDN w:val="0"/>
        <w:adjustRightInd w:val="0"/>
        <w:spacing w:after="0" w:line="240" w:lineRule="auto"/>
        <w:ind w:left="-426" w:right="119"/>
        <w:rPr>
          <w:rFonts w:cstheme="minorHAnsi"/>
          <w:color w:val="000000"/>
          <w:sz w:val="20"/>
          <w:szCs w:val="20"/>
        </w:rPr>
      </w:pPr>
      <w:r w:rsidRPr="00150B52">
        <w:rPr>
          <w:rFonts w:cstheme="minorHAnsi"/>
          <w:b/>
          <w:bCs/>
          <w:color w:val="000000"/>
          <w:sz w:val="20"/>
          <w:szCs w:val="20"/>
        </w:rPr>
        <w:t>Question 33.2:</w:t>
      </w:r>
      <w:r w:rsidRPr="008C6F1A">
        <w:rPr>
          <w:rFonts w:cstheme="minorHAnsi"/>
          <w:color w:val="000000"/>
          <w:sz w:val="20"/>
          <w:szCs w:val="20"/>
        </w:rPr>
        <w:t xml:space="preserve"> If you answered "Other" to Question 33.1, please specify to which elements you are referring.</w:t>
      </w:r>
    </w:p>
    <w:p w14:paraId="0A83D02E" w14:textId="52149AE1" w:rsidR="00B67284" w:rsidRPr="00310816" w:rsidRDefault="00B67284" w:rsidP="00EA25FA">
      <w:pPr>
        <w:autoSpaceDE w:val="0"/>
        <w:autoSpaceDN w:val="0"/>
        <w:adjustRightInd w:val="0"/>
        <w:spacing w:after="0" w:line="240" w:lineRule="auto"/>
        <w:ind w:left="-426" w:right="119"/>
        <w:rPr>
          <w:rFonts w:cstheme="minorHAnsi"/>
          <w:color w:val="006666"/>
          <w:sz w:val="20"/>
          <w:szCs w:val="20"/>
        </w:rPr>
      </w:pPr>
      <w:r w:rsidRPr="00310816">
        <w:rPr>
          <w:rFonts w:cstheme="minorHAnsi"/>
          <w:color w:val="006666"/>
          <w:sz w:val="20"/>
          <w:szCs w:val="20"/>
        </w:rPr>
        <w:t xml:space="preserve"> </w:t>
      </w:r>
    </w:p>
    <w:p w14:paraId="7B868F0A" w14:textId="6C1620E6" w:rsidR="00B42463" w:rsidRPr="00310816" w:rsidRDefault="00B42463" w:rsidP="00EA25FA">
      <w:pPr>
        <w:autoSpaceDE w:val="0"/>
        <w:autoSpaceDN w:val="0"/>
        <w:adjustRightInd w:val="0"/>
        <w:spacing w:after="0" w:line="240" w:lineRule="auto"/>
        <w:ind w:left="-426" w:right="119"/>
        <w:rPr>
          <w:rFonts w:cstheme="minorHAnsi"/>
          <w:color w:val="006666"/>
          <w:sz w:val="20"/>
          <w:szCs w:val="20"/>
        </w:rPr>
      </w:pPr>
      <w:r w:rsidRPr="00310816">
        <w:rPr>
          <w:rFonts w:cstheme="minorHAnsi"/>
          <w:color w:val="006666"/>
          <w:sz w:val="20"/>
          <w:szCs w:val="20"/>
        </w:rPr>
        <w:t>N/A</w:t>
      </w:r>
    </w:p>
    <w:p w14:paraId="4FD38C9F" w14:textId="77777777" w:rsidR="00EF2BD8" w:rsidRDefault="00EF2BD8" w:rsidP="00EA25FA">
      <w:pPr>
        <w:pStyle w:val="Default"/>
        <w:ind w:left="-426" w:right="119"/>
        <w:rPr>
          <w:rFonts w:asciiTheme="minorHAnsi" w:hAnsiTheme="minorHAnsi" w:cstheme="minorHAnsi"/>
          <w:b/>
          <w:bCs/>
          <w:sz w:val="20"/>
          <w:szCs w:val="20"/>
        </w:rPr>
      </w:pPr>
    </w:p>
    <w:p w14:paraId="0BF84EE5" w14:textId="77777777" w:rsidR="007E6B77" w:rsidRDefault="007E6B77" w:rsidP="003A4433">
      <w:pPr>
        <w:pStyle w:val="Default"/>
        <w:ind w:left="-426" w:right="119"/>
        <w:rPr>
          <w:rFonts w:asciiTheme="minorHAnsi" w:hAnsiTheme="minorHAnsi" w:cstheme="minorHAnsi"/>
          <w:b/>
          <w:bCs/>
          <w:sz w:val="20"/>
          <w:szCs w:val="20"/>
        </w:rPr>
      </w:pPr>
    </w:p>
    <w:p w14:paraId="5DAEF731" w14:textId="77777777" w:rsidR="007E6B77" w:rsidRDefault="007E6B77" w:rsidP="003A4433">
      <w:pPr>
        <w:pStyle w:val="Default"/>
        <w:ind w:left="-426" w:right="119"/>
        <w:rPr>
          <w:rFonts w:asciiTheme="minorHAnsi" w:hAnsiTheme="minorHAnsi" w:cstheme="minorHAnsi"/>
          <w:b/>
          <w:bCs/>
          <w:sz w:val="20"/>
          <w:szCs w:val="20"/>
        </w:rPr>
      </w:pPr>
    </w:p>
    <w:p w14:paraId="75119A86" w14:textId="77777777" w:rsidR="007E6B77" w:rsidRDefault="007E6B77" w:rsidP="003A4433">
      <w:pPr>
        <w:pStyle w:val="Default"/>
        <w:ind w:left="-426" w:right="119"/>
        <w:rPr>
          <w:rFonts w:asciiTheme="minorHAnsi" w:hAnsiTheme="minorHAnsi" w:cstheme="minorHAnsi"/>
          <w:b/>
          <w:bCs/>
          <w:sz w:val="20"/>
          <w:szCs w:val="20"/>
        </w:rPr>
      </w:pPr>
    </w:p>
    <w:p w14:paraId="2B3F456C" w14:textId="77777777" w:rsidR="007E6B77" w:rsidRDefault="007E6B77" w:rsidP="003A4433">
      <w:pPr>
        <w:pStyle w:val="Default"/>
        <w:ind w:left="-426" w:right="119"/>
        <w:rPr>
          <w:rFonts w:asciiTheme="minorHAnsi" w:hAnsiTheme="minorHAnsi" w:cstheme="minorHAnsi"/>
          <w:b/>
          <w:bCs/>
          <w:sz w:val="20"/>
          <w:szCs w:val="20"/>
        </w:rPr>
      </w:pPr>
    </w:p>
    <w:p w14:paraId="69CC79DB" w14:textId="77777777" w:rsidR="007E6B77" w:rsidRDefault="007E6B77" w:rsidP="003A4433">
      <w:pPr>
        <w:pStyle w:val="Default"/>
        <w:ind w:left="-426" w:right="119"/>
        <w:rPr>
          <w:rFonts w:asciiTheme="minorHAnsi" w:hAnsiTheme="minorHAnsi" w:cstheme="minorHAnsi"/>
          <w:b/>
          <w:bCs/>
          <w:sz w:val="20"/>
          <w:szCs w:val="20"/>
        </w:rPr>
      </w:pPr>
    </w:p>
    <w:p w14:paraId="142B2A3B" w14:textId="77777777" w:rsidR="007E6B77" w:rsidRDefault="007E6B77" w:rsidP="003A4433">
      <w:pPr>
        <w:pStyle w:val="Default"/>
        <w:ind w:left="-426" w:right="119"/>
        <w:rPr>
          <w:rFonts w:asciiTheme="minorHAnsi" w:hAnsiTheme="minorHAnsi" w:cstheme="minorHAnsi"/>
          <w:b/>
          <w:bCs/>
          <w:sz w:val="20"/>
          <w:szCs w:val="20"/>
        </w:rPr>
      </w:pPr>
    </w:p>
    <w:p w14:paraId="327289A2" w14:textId="77777777" w:rsidR="007E6B77" w:rsidRDefault="007E6B77" w:rsidP="003A4433">
      <w:pPr>
        <w:pStyle w:val="Default"/>
        <w:ind w:left="-426" w:right="119"/>
        <w:rPr>
          <w:rFonts w:asciiTheme="minorHAnsi" w:hAnsiTheme="minorHAnsi" w:cstheme="minorHAnsi"/>
          <w:b/>
          <w:bCs/>
          <w:sz w:val="20"/>
          <w:szCs w:val="20"/>
        </w:rPr>
      </w:pPr>
    </w:p>
    <w:p w14:paraId="57EA5D59" w14:textId="77777777" w:rsidR="007E6B77" w:rsidRDefault="007E6B77" w:rsidP="003A4433">
      <w:pPr>
        <w:pStyle w:val="Default"/>
        <w:ind w:left="-426" w:right="119"/>
        <w:rPr>
          <w:rFonts w:asciiTheme="minorHAnsi" w:hAnsiTheme="minorHAnsi" w:cstheme="minorHAnsi"/>
          <w:b/>
          <w:bCs/>
          <w:sz w:val="20"/>
          <w:szCs w:val="20"/>
        </w:rPr>
      </w:pPr>
    </w:p>
    <w:p w14:paraId="4A3CFDCF" w14:textId="77777777" w:rsidR="007E6B77" w:rsidRDefault="007E6B77" w:rsidP="003A4433">
      <w:pPr>
        <w:pStyle w:val="Default"/>
        <w:ind w:left="-426" w:right="119"/>
        <w:rPr>
          <w:rFonts w:asciiTheme="minorHAnsi" w:hAnsiTheme="minorHAnsi" w:cstheme="minorHAnsi"/>
          <w:b/>
          <w:bCs/>
          <w:sz w:val="20"/>
          <w:szCs w:val="20"/>
        </w:rPr>
      </w:pPr>
    </w:p>
    <w:p w14:paraId="0F0F0CF7" w14:textId="77777777" w:rsidR="007E6B77" w:rsidRDefault="007E6B77" w:rsidP="003A4433">
      <w:pPr>
        <w:pStyle w:val="Default"/>
        <w:ind w:left="-426" w:right="119"/>
        <w:rPr>
          <w:rFonts w:asciiTheme="minorHAnsi" w:hAnsiTheme="minorHAnsi" w:cstheme="minorHAnsi"/>
          <w:b/>
          <w:bCs/>
          <w:sz w:val="20"/>
          <w:szCs w:val="20"/>
        </w:rPr>
      </w:pPr>
    </w:p>
    <w:p w14:paraId="41CC54FA" w14:textId="77777777" w:rsidR="007E6B77" w:rsidRDefault="007E6B77" w:rsidP="003A4433">
      <w:pPr>
        <w:pStyle w:val="Default"/>
        <w:ind w:left="-426" w:right="119"/>
        <w:rPr>
          <w:rFonts w:asciiTheme="minorHAnsi" w:hAnsiTheme="minorHAnsi" w:cstheme="minorHAnsi"/>
          <w:b/>
          <w:bCs/>
          <w:sz w:val="20"/>
          <w:szCs w:val="20"/>
        </w:rPr>
      </w:pPr>
    </w:p>
    <w:p w14:paraId="1BC485AF" w14:textId="4F711F58" w:rsidR="00B67284" w:rsidRPr="008C6F1A" w:rsidRDefault="00B67284" w:rsidP="003A4433">
      <w:pPr>
        <w:pStyle w:val="Default"/>
        <w:ind w:left="-426" w:right="119"/>
        <w:rPr>
          <w:rFonts w:asciiTheme="minorHAnsi" w:hAnsiTheme="minorHAnsi" w:cstheme="minorHAnsi"/>
          <w:sz w:val="20"/>
          <w:szCs w:val="20"/>
        </w:rPr>
      </w:pPr>
      <w:r w:rsidRPr="00150B52">
        <w:rPr>
          <w:rFonts w:asciiTheme="minorHAnsi" w:hAnsiTheme="minorHAnsi" w:cstheme="minorHAnsi"/>
          <w:b/>
          <w:bCs/>
          <w:sz w:val="20"/>
          <w:szCs w:val="20"/>
        </w:rPr>
        <w:lastRenderedPageBreak/>
        <w:t>Question 34:</w:t>
      </w:r>
      <w:r w:rsidRPr="008C6F1A">
        <w:rPr>
          <w:rFonts w:asciiTheme="minorHAnsi" w:hAnsiTheme="minorHAnsi" w:cstheme="minorHAnsi"/>
          <w:sz w:val="20"/>
          <w:szCs w:val="20"/>
        </w:rPr>
        <w:t xml:space="preserve"> The Commission has received input from various stakeholders concerning the settlement discipline framework. Please indicate whether you agree (rating from 1 to 5) with the statements below: </w:t>
      </w:r>
    </w:p>
    <w:p w14:paraId="1BF1E0C8" w14:textId="77777777" w:rsidR="00B67284" w:rsidRPr="008C6F1A" w:rsidRDefault="00B67284" w:rsidP="00EA25FA">
      <w:pPr>
        <w:pStyle w:val="Default"/>
        <w:ind w:left="-426" w:right="119"/>
        <w:rPr>
          <w:rFonts w:asciiTheme="minorHAnsi" w:hAnsiTheme="minorHAnsi" w:cstheme="minorHAnsi"/>
          <w:sz w:val="20"/>
          <w:szCs w:val="20"/>
        </w:rPr>
      </w:pPr>
    </w:p>
    <w:tbl>
      <w:tblPr>
        <w:tblStyle w:val="TableGrid"/>
        <w:tblW w:w="9924" w:type="dxa"/>
        <w:tblInd w:w="-431" w:type="dxa"/>
        <w:tblLook w:val="04A0" w:firstRow="1" w:lastRow="0" w:firstColumn="1" w:lastColumn="0" w:noHBand="0" w:noVBand="1"/>
      </w:tblPr>
      <w:tblGrid>
        <w:gridCol w:w="2978"/>
        <w:gridCol w:w="1358"/>
        <w:gridCol w:w="1077"/>
        <w:gridCol w:w="1129"/>
        <w:gridCol w:w="1127"/>
        <w:gridCol w:w="1230"/>
        <w:gridCol w:w="1025"/>
      </w:tblGrid>
      <w:tr w:rsidR="002E5DE0" w:rsidRPr="008C6F1A" w14:paraId="455C43CD" w14:textId="77777777" w:rsidTr="00BA06DA">
        <w:tc>
          <w:tcPr>
            <w:tcW w:w="2978" w:type="dxa"/>
          </w:tcPr>
          <w:p w14:paraId="0EACEFC4" w14:textId="77777777" w:rsidR="00C20F13" w:rsidRPr="008C6F1A" w:rsidRDefault="00C20F13" w:rsidP="00EA25FA">
            <w:pPr>
              <w:pStyle w:val="Default"/>
              <w:ind w:left="-426" w:right="119"/>
              <w:rPr>
                <w:rFonts w:asciiTheme="minorHAnsi" w:hAnsiTheme="minorHAnsi" w:cstheme="minorHAnsi"/>
                <w:sz w:val="20"/>
                <w:szCs w:val="20"/>
              </w:rPr>
            </w:pPr>
          </w:p>
        </w:tc>
        <w:tc>
          <w:tcPr>
            <w:tcW w:w="1358" w:type="dxa"/>
          </w:tcPr>
          <w:p w14:paraId="5C4B3E1B" w14:textId="77777777" w:rsidR="00447106" w:rsidRDefault="006563F4" w:rsidP="006563F4">
            <w:pPr>
              <w:pStyle w:val="Default"/>
              <w:ind w:left="93" w:right="119"/>
              <w:jc w:val="center"/>
              <w:rPr>
                <w:rFonts w:asciiTheme="minorHAnsi" w:hAnsiTheme="minorHAnsi" w:cstheme="minorHAnsi"/>
                <w:b/>
                <w:bCs/>
                <w:sz w:val="18"/>
                <w:szCs w:val="18"/>
              </w:rPr>
            </w:pPr>
            <w:r w:rsidRPr="00447106">
              <w:rPr>
                <w:rFonts w:asciiTheme="minorHAnsi" w:hAnsiTheme="minorHAnsi" w:cstheme="minorHAnsi"/>
                <w:b/>
                <w:bCs/>
                <w:sz w:val="18"/>
                <w:szCs w:val="18"/>
              </w:rPr>
              <w:t xml:space="preserve">1 </w:t>
            </w:r>
          </w:p>
          <w:p w14:paraId="1B76FBC9" w14:textId="4A633DEB" w:rsidR="00C20F13" w:rsidRPr="00447106" w:rsidRDefault="00101E88" w:rsidP="006563F4">
            <w:pPr>
              <w:pStyle w:val="Default"/>
              <w:ind w:left="93" w:right="119"/>
              <w:jc w:val="center"/>
              <w:rPr>
                <w:rFonts w:asciiTheme="minorHAnsi" w:hAnsiTheme="minorHAnsi" w:cstheme="minorHAnsi"/>
                <w:b/>
                <w:bCs/>
                <w:sz w:val="18"/>
                <w:szCs w:val="18"/>
              </w:rPr>
            </w:pPr>
            <w:r w:rsidRPr="00447106">
              <w:rPr>
                <w:rFonts w:asciiTheme="minorHAnsi" w:hAnsiTheme="minorHAnsi" w:cstheme="minorHAnsi"/>
                <w:b/>
                <w:bCs/>
                <w:sz w:val="18"/>
                <w:szCs w:val="18"/>
              </w:rPr>
              <w:t>Disagree</w:t>
            </w:r>
          </w:p>
        </w:tc>
        <w:tc>
          <w:tcPr>
            <w:tcW w:w="1077" w:type="dxa"/>
          </w:tcPr>
          <w:p w14:paraId="1C004170" w14:textId="77777777" w:rsidR="006563F4" w:rsidRPr="00447106" w:rsidRDefault="006563F4" w:rsidP="006563F4">
            <w:pPr>
              <w:pStyle w:val="Default"/>
              <w:ind w:left="93" w:right="119"/>
              <w:jc w:val="center"/>
              <w:rPr>
                <w:rFonts w:asciiTheme="minorHAnsi" w:hAnsiTheme="minorHAnsi" w:cstheme="minorHAnsi"/>
                <w:b/>
                <w:bCs/>
                <w:sz w:val="18"/>
                <w:szCs w:val="18"/>
              </w:rPr>
            </w:pPr>
            <w:r w:rsidRPr="00447106">
              <w:rPr>
                <w:rFonts w:asciiTheme="minorHAnsi" w:hAnsiTheme="minorHAnsi" w:cstheme="minorHAnsi"/>
                <w:b/>
                <w:bCs/>
                <w:sz w:val="18"/>
                <w:szCs w:val="18"/>
              </w:rPr>
              <w:t xml:space="preserve">2 </w:t>
            </w:r>
          </w:p>
          <w:p w14:paraId="3EA60FBB" w14:textId="5236D117" w:rsidR="00C20F13" w:rsidRPr="00447106" w:rsidRDefault="00101E88" w:rsidP="006563F4">
            <w:pPr>
              <w:pStyle w:val="Default"/>
              <w:ind w:left="93" w:right="119"/>
              <w:jc w:val="center"/>
              <w:rPr>
                <w:rFonts w:asciiTheme="minorHAnsi" w:hAnsiTheme="minorHAnsi" w:cstheme="minorHAnsi"/>
                <w:b/>
                <w:bCs/>
                <w:sz w:val="18"/>
                <w:szCs w:val="18"/>
              </w:rPr>
            </w:pPr>
            <w:r w:rsidRPr="00447106">
              <w:rPr>
                <w:rFonts w:asciiTheme="minorHAnsi" w:hAnsiTheme="minorHAnsi" w:cstheme="minorHAnsi"/>
                <w:b/>
                <w:bCs/>
                <w:sz w:val="18"/>
                <w:szCs w:val="18"/>
              </w:rPr>
              <w:t>Rather Disagree</w:t>
            </w:r>
          </w:p>
        </w:tc>
        <w:tc>
          <w:tcPr>
            <w:tcW w:w="1129" w:type="dxa"/>
          </w:tcPr>
          <w:p w14:paraId="04CADF1C" w14:textId="75DDDFE1" w:rsidR="006563F4" w:rsidRPr="00447106" w:rsidRDefault="006563F4" w:rsidP="006563F4">
            <w:pPr>
              <w:pStyle w:val="Default"/>
              <w:ind w:left="93" w:right="119"/>
              <w:jc w:val="center"/>
              <w:rPr>
                <w:rFonts w:asciiTheme="minorHAnsi" w:hAnsiTheme="minorHAnsi" w:cstheme="minorHAnsi"/>
                <w:b/>
                <w:bCs/>
                <w:sz w:val="18"/>
                <w:szCs w:val="18"/>
              </w:rPr>
            </w:pPr>
            <w:r w:rsidRPr="00447106">
              <w:rPr>
                <w:rFonts w:asciiTheme="minorHAnsi" w:hAnsiTheme="minorHAnsi" w:cstheme="minorHAnsi"/>
                <w:b/>
                <w:bCs/>
                <w:sz w:val="18"/>
                <w:szCs w:val="18"/>
              </w:rPr>
              <w:t>3</w:t>
            </w:r>
          </w:p>
          <w:p w14:paraId="03B65E3E" w14:textId="50DB369C" w:rsidR="00C20F13" w:rsidRPr="00447106" w:rsidRDefault="00101E88" w:rsidP="006563F4">
            <w:pPr>
              <w:pStyle w:val="Default"/>
              <w:ind w:left="93" w:right="119"/>
              <w:jc w:val="center"/>
              <w:rPr>
                <w:rFonts w:asciiTheme="minorHAnsi" w:hAnsiTheme="minorHAnsi" w:cstheme="minorHAnsi"/>
                <w:b/>
                <w:bCs/>
                <w:sz w:val="18"/>
                <w:szCs w:val="18"/>
              </w:rPr>
            </w:pPr>
            <w:r w:rsidRPr="00447106">
              <w:rPr>
                <w:rFonts w:asciiTheme="minorHAnsi" w:hAnsiTheme="minorHAnsi" w:cstheme="minorHAnsi"/>
                <w:b/>
                <w:bCs/>
                <w:sz w:val="18"/>
                <w:szCs w:val="18"/>
              </w:rPr>
              <w:t>Neutral</w:t>
            </w:r>
          </w:p>
        </w:tc>
        <w:tc>
          <w:tcPr>
            <w:tcW w:w="1127" w:type="dxa"/>
          </w:tcPr>
          <w:p w14:paraId="217E6014" w14:textId="0838AEFE" w:rsidR="006563F4" w:rsidRPr="00447106" w:rsidRDefault="006563F4" w:rsidP="006563F4">
            <w:pPr>
              <w:pStyle w:val="Default"/>
              <w:ind w:left="93" w:right="119"/>
              <w:jc w:val="center"/>
              <w:rPr>
                <w:rFonts w:asciiTheme="minorHAnsi" w:hAnsiTheme="minorHAnsi" w:cstheme="minorHAnsi"/>
                <w:b/>
                <w:bCs/>
                <w:sz w:val="18"/>
                <w:szCs w:val="18"/>
              </w:rPr>
            </w:pPr>
            <w:r w:rsidRPr="00447106">
              <w:rPr>
                <w:rFonts w:asciiTheme="minorHAnsi" w:hAnsiTheme="minorHAnsi" w:cstheme="minorHAnsi"/>
                <w:b/>
                <w:bCs/>
                <w:sz w:val="18"/>
                <w:szCs w:val="18"/>
              </w:rPr>
              <w:t>4</w:t>
            </w:r>
          </w:p>
          <w:p w14:paraId="064A13D2" w14:textId="5BE2A91B" w:rsidR="00C20F13" w:rsidRPr="00447106" w:rsidRDefault="00101E88" w:rsidP="006563F4">
            <w:pPr>
              <w:pStyle w:val="Default"/>
              <w:ind w:left="93" w:right="119"/>
              <w:jc w:val="center"/>
              <w:rPr>
                <w:rFonts w:asciiTheme="minorHAnsi" w:hAnsiTheme="minorHAnsi" w:cstheme="minorHAnsi"/>
                <w:b/>
                <w:bCs/>
                <w:sz w:val="18"/>
                <w:szCs w:val="18"/>
              </w:rPr>
            </w:pPr>
            <w:r w:rsidRPr="00447106">
              <w:rPr>
                <w:rFonts w:asciiTheme="minorHAnsi" w:hAnsiTheme="minorHAnsi" w:cstheme="minorHAnsi"/>
                <w:b/>
                <w:bCs/>
                <w:sz w:val="18"/>
                <w:szCs w:val="18"/>
              </w:rPr>
              <w:t>Rather agree</w:t>
            </w:r>
          </w:p>
        </w:tc>
        <w:tc>
          <w:tcPr>
            <w:tcW w:w="1230" w:type="dxa"/>
          </w:tcPr>
          <w:p w14:paraId="2609FAD6" w14:textId="67E8A5C1" w:rsidR="006563F4" w:rsidRPr="00447106" w:rsidRDefault="006563F4" w:rsidP="006563F4">
            <w:pPr>
              <w:pStyle w:val="Default"/>
              <w:ind w:left="93" w:right="119"/>
              <w:jc w:val="center"/>
              <w:rPr>
                <w:rFonts w:asciiTheme="minorHAnsi" w:hAnsiTheme="minorHAnsi" w:cstheme="minorHAnsi"/>
                <w:b/>
                <w:bCs/>
                <w:sz w:val="18"/>
                <w:szCs w:val="18"/>
              </w:rPr>
            </w:pPr>
            <w:r w:rsidRPr="00447106">
              <w:rPr>
                <w:rFonts w:asciiTheme="minorHAnsi" w:hAnsiTheme="minorHAnsi" w:cstheme="minorHAnsi"/>
                <w:b/>
                <w:bCs/>
                <w:sz w:val="18"/>
                <w:szCs w:val="18"/>
              </w:rPr>
              <w:t>5</w:t>
            </w:r>
          </w:p>
          <w:p w14:paraId="62E7019B" w14:textId="019E03F2" w:rsidR="00C20F13" w:rsidRPr="00447106" w:rsidRDefault="00101E88" w:rsidP="006563F4">
            <w:pPr>
              <w:pStyle w:val="Default"/>
              <w:ind w:left="93" w:right="119"/>
              <w:jc w:val="center"/>
              <w:rPr>
                <w:rFonts w:asciiTheme="minorHAnsi" w:hAnsiTheme="minorHAnsi" w:cstheme="minorHAnsi"/>
                <w:b/>
                <w:bCs/>
                <w:sz w:val="18"/>
                <w:szCs w:val="18"/>
              </w:rPr>
            </w:pPr>
            <w:r w:rsidRPr="00447106">
              <w:rPr>
                <w:rFonts w:asciiTheme="minorHAnsi" w:hAnsiTheme="minorHAnsi" w:cstheme="minorHAnsi"/>
                <w:b/>
                <w:bCs/>
                <w:sz w:val="18"/>
                <w:szCs w:val="18"/>
              </w:rPr>
              <w:t>Fully agree</w:t>
            </w:r>
          </w:p>
        </w:tc>
        <w:tc>
          <w:tcPr>
            <w:tcW w:w="1025" w:type="dxa"/>
          </w:tcPr>
          <w:p w14:paraId="5335787D" w14:textId="718788C0" w:rsidR="00C20F13" w:rsidRPr="00447106" w:rsidRDefault="00101E88" w:rsidP="006563F4">
            <w:pPr>
              <w:pStyle w:val="Default"/>
              <w:ind w:left="93" w:right="119"/>
              <w:jc w:val="center"/>
              <w:rPr>
                <w:rFonts w:asciiTheme="minorHAnsi" w:hAnsiTheme="minorHAnsi" w:cstheme="minorHAnsi"/>
                <w:b/>
                <w:bCs/>
                <w:sz w:val="18"/>
                <w:szCs w:val="18"/>
              </w:rPr>
            </w:pPr>
            <w:r w:rsidRPr="00447106">
              <w:rPr>
                <w:rFonts w:asciiTheme="minorHAnsi" w:hAnsiTheme="minorHAnsi" w:cstheme="minorHAnsi"/>
                <w:b/>
                <w:bCs/>
                <w:sz w:val="18"/>
                <w:szCs w:val="18"/>
              </w:rPr>
              <w:t>No Opinion</w:t>
            </w:r>
          </w:p>
        </w:tc>
      </w:tr>
      <w:tr w:rsidR="002E5DE0" w:rsidRPr="008C6F1A" w14:paraId="0477F0A3" w14:textId="77777777" w:rsidTr="00BA06DA">
        <w:tc>
          <w:tcPr>
            <w:tcW w:w="2978" w:type="dxa"/>
          </w:tcPr>
          <w:p w14:paraId="7FA1FAFE" w14:textId="1F37DA13" w:rsidR="00C20F13" w:rsidRPr="00FE627B" w:rsidRDefault="001F5358" w:rsidP="00D53149">
            <w:pPr>
              <w:pStyle w:val="Default"/>
              <w:ind w:left="28" w:right="119"/>
              <w:rPr>
                <w:rFonts w:asciiTheme="minorHAnsi" w:hAnsiTheme="minorHAnsi" w:cstheme="minorHAnsi"/>
                <w:sz w:val="18"/>
                <w:szCs w:val="18"/>
              </w:rPr>
            </w:pPr>
            <w:r w:rsidRPr="00FE627B">
              <w:rPr>
                <w:rFonts w:asciiTheme="minorHAnsi" w:hAnsiTheme="minorHAnsi" w:cstheme="minorHAnsi"/>
                <w:sz w:val="18"/>
                <w:szCs w:val="18"/>
              </w:rPr>
              <w:t>Buy-ins should be mandatory</w:t>
            </w:r>
          </w:p>
        </w:tc>
        <w:tc>
          <w:tcPr>
            <w:tcW w:w="1358" w:type="dxa"/>
          </w:tcPr>
          <w:p w14:paraId="0426D538" w14:textId="534F81EC" w:rsidR="00C20F13" w:rsidRPr="0049314F" w:rsidRDefault="009801B2" w:rsidP="002E5DE0">
            <w:pPr>
              <w:pStyle w:val="Default"/>
              <w:ind w:right="119"/>
              <w:jc w:val="center"/>
              <w:rPr>
                <w:rFonts w:asciiTheme="minorHAnsi" w:hAnsiTheme="minorHAnsi" w:cstheme="minorHAnsi"/>
                <w:b/>
                <w:bCs/>
                <w:color w:val="006666"/>
                <w:sz w:val="20"/>
                <w:szCs w:val="20"/>
              </w:rPr>
            </w:pPr>
            <w:r>
              <w:rPr>
                <w:rFonts w:asciiTheme="minorHAnsi" w:hAnsiTheme="minorHAnsi" w:cstheme="minorHAnsi"/>
                <w:b/>
                <w:bCs/>
                <w:color w:val="006666"/>
                <w:sz w:val="20"/>
                <w:szCs w:val="20"/>
              </w:rPr>
              <w:t>X</w:t>
            </w:r>
          </w:p>
        </w:tc>
        <w:tc>
          <w:tcPr>
            <w:tcW w:w="1077" w:type="dxa"/>
          </w:tcPr>
          <w:p w14:paraId="60CE6B08" w14:textId="77777777" w:rsidR="00C20F13" w:rsidRPr="0049314F" w:rsidRDefault="00C20F13" w:rsidP="002E5DE0">
            <w:pPr>
              <w:pStyle w:val="Default"/>
              <w:ind w:right="119"/>
              <w:jc w:val="center"/>
              <w:rPr>
                <w:rFonts w:asciiTheme="minorHAnsi" w:hAnsiTheme="minorHAnsi" w:cstheme="minorHAnsi"/>
                <w:b/>
                <w:bCs/>
                <w:color w:val="006666"/>
                <w:sz w:val="20"/>
                <w:szCs w:val="20"/>
              </w:rPr>
            </w:pPr>
          </w:p>
        </w:tc>
        <w:tc>
          <w:tcPr>
            <w:tcW w:w="1129" w:type="dxa"/>
          </w:tcPr>
          <w:p w14:paraId="69ECF9C1" w14:textId="77777777" w:rsidR="00C20F13" w:rsidRPr="0049314F" w:rsidRDefault="00C20F13" w:rsidP="002E5DE0">
            <w:pPr>
              <w:pStyle w:val="Default"/>
              <w:ind w:left="93" w:right="119"/>
              <w:jc w:val="center"/>
              <w:rPr>
                <w:rFonts w:asciiTheme="minorHAnsi" w:hAnsiTheme="minorHAnsi" w:cstheme="minorHAnsi"/>
                <w:b/>
                <w:bCs/>
                <w:color w:val="006666"/>
                <w:sz w:val="20"/>
                <w:szCs w:val="20"/>
              </w:rPr>
            </w:pPr>
          </w:p>
        </w:tc>
        <w:tc>
          <w:tcPr>
            <w:tcW w:w="1127" w:type="dxa"/>
          </w:tcPr>
          <w:p w14:paraId="433657E0" w14:textId="77777777" w:rsidR="00C20F13" w:rsidRPr="0049314F" w:rsidRDefault="00C20F13" w:rsidP="002E5DE0">
            <w:pPr>
              <w:pStyle w:val="Default"/>
              <w:ind w:left="8" w:right="119"/>
              <w:jc w:val="center"/>
              <w:rPr>
                <w:rFonts w:asciiTheme="minorHAnsi" w:hAnsiTheme="minorHAnsi" w:cstheme="minorHAnsi"/>
                <w:b/>
                <w:bCs/>
                <w:color w:val="006666"/>
                <w:sz w:val="20"/>
                <w:szCs w:val="20"/>
              </w:rPr>
            </w:pPr>
          </w:p>
        </w:tc>
        <w:tc>
          <w:tcPr>
            <w:tcW w:w="1230" w:type="dxa"/>
          </w:tcPr>
          <w:p w14:paraId="16D60265" w14:textId="7F9506E7" w:rsidR="00C20F13" w:rsidRPr="0049314F" w:rsidRDefault="00C20F13" w:rsidP="002E5DE0">
            <w:pPr>
              <w:pStyle w:val="Default"/>
              <w:ind w:left="34" w:right="119"/>
              <w:jc w:val="center"/>
              <w:rPr>
                <w:rFonts w:asciiTheme="minorHAnsi" w:hAnsiTheme="minorHAnsi" w:cstheme="minorHAnsi"/>
                <w:b/>
                <w:bCs/>
                <w:color w:val="006666"/>
                <w:sz w:val="20"/>
                <w:szCs w:val="20"/>
              </w:rPr>
            </w:pPr>
          </w:p>
        </w:tc>
        <w:tc>
          <w:tcPr>
            <w:tcW w:w="1025" w:type="dxa"/>
          </w:tcPr>
          <w:p w14:paraId="2B26A440" w14:textId="77777777" w:rsidR="00C20F13" w:rsidRPr="008C6F1A" w:rsidRDefault="00C20F13" w:rsidP="002E5DE0">
            <w:pPr>
              <w:pStyle w:val="Default"/>
              <w:ind w:left="87" w:right="119"/>
              <w:jc w:val="center"/>
              <w:rPr>
                <w:rFonts w:asciiTheme="minorHAnsi" w:hAnsiTheme="minorHAnsi" w:cstheme="minorHAnsi"/>
                <w:sz w:val="20"/>
                <w:szCs w:val="20"/>
              </w:rPr>
            </w:pPr>
          </w:p>
        </w:tc>
      </w:tr>
      <w:tr w:rsidR="002E5DE0" w:rsidRPr="008C6F1A" w14:paraId="1B57F17D" w14:textId="77777777" w:rsidTr="00BA06DA">
        <w:tc>
          <w:tcPr>
            <w:tcW w:w="2978" w:type="dxa"/>
          </w:tcPr>
          <w:p w14:paraId="08575856" w14:textId="57AAA620" w:rsidR="00C20F13" w:rsidRPr="00FE627B" w:rsidRDefault="001F5358" w:rsidP="00D53149">
            <w:pPr>
              <w:pStyle w:val="Default"/>
              <w:ind w:left="28" w:right="119"/>
              <w:rPr>
                <w:rFonts w:asciiTheme="minorHAnsi" w:hAnsiTheme="minorHAnsi" w:cstheme="minorHAnsi"/>
                <w:sz w:val="18"/>
                <w:szCs w:val="18"/>
              </w:rPr>
            </w:pPr>
            <w:r w:rsidRPr="00FE627B">
              <w:rPr>
                <w:rFonts w:asciiTheme="minorHAnsi" w:hAnsiTheme="minorHAnsi" w:cstheme="minorHAnsi"/>
                <w:sz w:val="18"/>
                <w:szCs w:val="18"/>
              </w:rPr>
              <w:t>Buy-ins should be voluntary</w:t>
            </w:r>
          </w:p>
        </w:tc>
        <w:tc>
          <w:tcPr>
            <w:tcW w:w="1358" w:type="dxa"/>
          </w:tcPr>
          <w:p w14:paraId="19E49AC9" w14:textId="77777777" w:rsidR="00C20F13" w:rsidRPr="0049314F" w:rsidRDefault="00C20F13" w:rsidP="002E5DE0">
            <w:pPr>
              <w:pStyle w:val="Default"/>
              <w:ind w:left="-426" w:right="119"/>
              <w:jc w:val="center"/>
              <w:rPr>
                <w:rFonts w:asciiTheme="minorHAnsi" w:hAnsiTheme="minorHAnsi" w:cstheme="minorHAnsi"/>
                <w:b/>
                <w:bCs/>
                <w:color w:val="006666"/>
                <w:sz w:val="20"/>
                <w:szCs w:val="20"/>
              </w:rPr>
            </w:pPr>
          </w:p>
        </w:tc>
        <w:tc>
          <w:tcPr>
            <w:tcW w:w="1077" w:type="dxa"/>
          </w:tcPr>
          <w:p w14:paraId="7212C5B1" w14:textId="77777777" w:rsidR="00C20F13" w:rsidRPr="0049314F" w:rsidRDefault="00C20F13" w:rsidP="002E5DE0">
            <w:pPr>
              <w:pStyle w:val="Default"/>
              <w:ind w:left="-426" w:right="119"/>
              <w:jc w:val="center"/>
              <w:rPr>
                <w:rFonts w:asciiTheme="minorHAnsi" w:hAnsiTheme="minorHAnsi" w:cstheme="minorHAnsi"/>
                <w:b/>
                <w:bCs/>
                <w:color w:val="006666"/>
                <w:sz w:val="20"/>
                <w:szCs w:val="20"/>
              </w:rPr>
            </w:pPr>
          </w:p>
        </w:tc>
        <w:tc>
          <w:tcPr>
            <w:tcW w:w="1129" w:type="dxa"/>
          </w:tcPr>
          <w:p w14:paraId="55370BBD" w14:textId="77777777" w:rsidR="00C20F13" w:rsidRPr="0049314F" w:rsidRDefault="00C20F13" w:rsidP="002E5DE0">
            <w:pPr>
              <w:pStyle w:val="Default"/>
              <w:ind w:left="-426" w:right="119"/>
              <w:jc w:val="center"/>
              <w:rPr>
                <w:rFonts w:asciiTheme="minorHAnsi" w:hAnsiTheme="minorHAnsi" w:cstheme="minorHAnsi"/>
                <w:b/>
                <w:bCs/>
                <w:color w:val="006666"/>
                <w:sz w:val="20"/>
                <w:szCs w:val="20"/>
              </w:rPr>
            </w:pPr>
          </w:p>
        </w:tc>
        <w:tc>
          <w:tcPr>
            <w:tcW w:w="1127" w:type="dxa"/>
          </w:tcPr>
          <w:p w14:paraId="3BCA35FD" w14:textId="6D89E5FC" w:rsidR="00C20F13" w:rsidRPr="0049314F" w:rsidRDefault="00C20F13" w:rsidP="00653AC8">
            <w:pPr>
              <w:pStyle w:val="Default"/>
              <w:ind w:right="119"/>
              <w:jc w:val="center"/>
              <w:rPr>
                <w:rFonts w:asciiTheme="minorHAnsi" w:hAnsiTheme="minorHAnsi" w:cstheme="minorHAnsi"/>
                <w:b/>
                <w:bCs/>
                <w:color w:val="006666"/>
                <w:sz w:val="20"/>
                <w:szCs w:val="20"/>
              </w:rPr>
            </w:pPr>
          </w:p>
        </w:tc>
        <w:tc>
          <w:tcPr>
            <w:tcW w:w="1230" w:type="dxa"/>
          </w:tcPr>
          <w:p w14:paraId="57860D11" w14:textId="2D1C83A9" w:rsidR="00C20F13" w:rsidRPr="0049314F" w:rsidRDefault="009801B2" w:rsidP="00CB4CB9">
            <w:pPr>
              <w:pStyle w:val="Default"/>
              <w:ind w:right="119"/>
              <w:jc w:val="center"/>
              <w:rPr>
                <w:rFonts w:asciiTheme="minorHAnsi" w:hAnsiTheme="minorHAnsi" w:cstheme="minorHAnsi"/>
                <w:b/>
                <w:bCs/>
                <w:color w:val="006666"/>
                <w:sz w:val="20"/>
                <w:szCs w:val="20"/>
              </w:rPr>
            </w:pPr>
            <w:r>
              <w:rPr>
                <w:rFonts w:asciiTheme="minorHAnsi" w:hAnsiTheme="minorHAnsi" w:cstheme="minorHAnsi"/>
                <w:b/>
                <w:bCs/>
                <w:color w:val="006666"/>
                <w:sz w:val="20"/>
                <w:szCs w:val="20"/>
              </w:rPr>
              <w:t>X</w:t>
            </w:r>
          </w:p>
        </w:tc>
        <w:tc>
          <w:tcPr>
            <w:tcW w:w="1025" w:type="dxa"/>
          </w:tcPr>
          <w:p w14:paraId="4CB01D11" w14:textId="77777777" w:rsidR="00C20F13" w:rsidRPr="008C6F1A" w:rsidRDefault="00C20F13" w:rsidP="002E5DE0">
            <w:pPr>
              <w:pStyle w:val="Default"/>
              <w:ind w:left="-426" w:right="119"/>
              <w:jc w:val="center"/>
              <w:rPr>
                <w:rFonts w:asciiTheme="minorHAnsi" w:hAnsiTheme="minorHAnsi" w:cstheme="minorHAnsi"/>
                <w:sz w:val="20"/>
                <w:szCs w:val="20"/>
              </w:rPr>
            </w:pPr>
          </w:p>
        </w:tc>
      </w:tr>
      <w:tr w:rsidR="002E5DE0" w:rsidRPr="007E6B77" w14:paraId="78A77F28" w14:textId="77777777" w:rsidTr="00BA06DA">
        <w:tc>
          <w:tcPr>
            <w:tcW w:w="2978" w:type="dxa"/>
          </w:tcPr>
          <w:p w14:paraId="17D819DC" w14:textId="1721D934" w:rsidR="00C20F13" w:rsidRPr="007E6B77" w:rsidRDefault="001F5358" w:rsidP="00D53149">
            <w:pPr>
              <w:pStyle w:val="Default"/>
              <w:ind w:left="28" w:right="119"/>
              <w:rPr>
                <w:rFonts w:asciiTheme="minorHAnsi" w:hAnsiTheme="minorHAnsi" w:cstheme="minorHAnsi"/>
                <w:b/>
                <w:bCs/>
                <w:sz w:val="18"/>
                <w:szCs w:val="18"/>
              </w:rPr>
            </w:pPr>
            <w:r w:rsidRPr="007E6B77">
              <w:rPr>
                <w:rFonts w:asciiTheme="minorHAnsi" w:hAnsiTheme="minorHAnsi" w:cstheme="minorHAnsi"/>
                <w:b/>
                <w:bCs/>
                <w:sz w:val="18"/>
                <w:szCs w:val="18"/>
              </w:rPr>
              <w:t xml:space="preserve">Rules on buy-ins should be </w:t>
            </w:r>
            <w:r w:rsidR="006243F3" w:rsidRPr="007E6B77">
              <w:rPr>
                <w:rFonts w:asciiTheme="minorHAnsi" w:hAnsiTheme="minorHAnsi" w:cstheme="minorHAnsi"/>
                <w:b/>
                <w:bCs/>
                <w:sz w:val="18"/>
                <w:szCs w:val="18"/>
              </w:rPr>
              <w:t>differentiated</w:t>
            </w:r>
            <w:r w:rsidRPr="007E6B77">
              <w:rPr>
                <w:rFonts w:asciiTheme="minorHAnsi" w:hAnsiTheme="minorHAnsi" w:cstheme="minorHAnsi"/>
                <w:b/>
                <w:bCs/>
                <w:sz w:val="18"/>
                <w:szCs w:val="18"/>
              </w:rPr>
              <w:t>, taking into account different markets</w:t>
            </w:r>
            <w:r w:rsidR="006243F3" w:rsidRPr="007E6B77">
              <w:rPr>
                <w:rFonts w:asciiTheme="minorHAnsi" w:hAnsiTheme="minorHAnsi" w:cstheme="minorHAnsi"/>
                <w:b/>
                <w:bCs/>
                <w:sz w:val="18"/>
                <w:szCs w:val="18"/>
              </w:rPr>
              <w:t xml:space="preserve">, </w:t>
            </w:r>
            <w:r w:rsidR="00447106" w:rsidRPr="007E6B77">
              <w:rPr>
                <w:rFonts w:asciiTheme="minorHAnsi" w:hAnsiTheme="minorHAnsi" w:cstheme="minorHAnsi"/>
                <w:b/>
                <w:bCs/>
                <w:sz w:val="18"/>
                <w:szCs w:val="18"/>
              </w:rPr>
              <w:t>instruments,</w:t>
            </w:r>
            <w:r w:rsidR="006243F3" w:rsidRPr="007E6B77">
              <w:rPr>
                <w:rFonts w:asciiTheme="minorHAnsi" w:hAnsiTheme="minorHAnsi" w:cstheme="minorHAnsi"/>
                <w:b/>
                <w:bCs/>
                <w:sz w:val="18"/>
                <w:szCs w:val="18"/>
              </w:rPr>
              <w:t xml:space="preserve"> and transaction types.</w:t>
            </w:r>
          </w:p>
        </w:tc>
        <w:tc>
          <w:tcPr>
            <w:tcW w:w="1358" w:type="dxa"/>
          </w:tcPr>
          <w:p w14:paraId="5864D168" w14:textId="77777777" w:rsidR="00C20F13" w:rsidRPr="007E6B77" w:rsidRDefault="00C20F13" w:rsidP="00FE627B">
            <w:pPr>
              <w:pStyle w:val="Default"/>
              <w:ind w:right="119"/>
              <w:jc w:val="center"/>
              <w:rPr>
                <w:rFonts w:asciiTheme="minorHAnsi" w:hAnsiTheme="minorHAnsi" w:cstheme="minorHAnsi"/>
                <w:b/>
                <w:bCs/>
                <w:color w:val="006666"/>
                <w:sz w:val="20"/>
                <w:szCs w:val="20"/>
              </w:rPr>
            </w:pPr>
          </w:p>
        </w:tc>
        <w:tc>
          <w:tcPr>
            <w:tcW w:w="1077" w:type="dxa"/>
          </w:tcPr>
          <w:p w14:paraId="2EC25D5F" w14:textId="77777777" w:rsidR="00C20F13" w:rsidRPr="007E6B77" w:rsidRDefault="00C20F13" w:rsidP="00FE627B">
            <w:pPr>
              <w:pStyle w:val="Default"/>
              <w:ind w:right="119"/>
              <w:jc w:val="center"/>
              <w:rPr>
                <w:rFonts w:asciiTheme="minorHAnsi" w:hAnsiTheme="minorHAnsi" w:cstheme="minorHAnsi"/>
                <w:b/>
                <w:bCs/>
                <w:color w:val="006666"/>
                <w:sz w:val="20"/>
                <w:szCs w:val="20"/>
              </w:rPr>
            </w:pPr>
          </w:p>
        </w:tc>
        <w:tc>
          <w:tcPr>
            <w:tcW w:w="1129" w:type="dxa"/>
          </w:tcPr>
          <w:p w14:paraId="7184D023" w14:textId="77777777" w:rsidR="00C20F13" w:rsidRPr="007E6B77" w:rsidRDefault="00C20F13" w:rsidP="00FE627B">
            <w:pPr>
              <w:pStyle w:val="Default"/>
              <w:ind w:right="119"/>
              <w:jc w:val="center"/>
              <w:rPr>
                <w:rFonts w:asciiTheme="minorHAnsi" w:hAnsiTheme="minorHAnsi" w:cstheme="minorHAnsi"/>
                <w:b/>
                <w:bCs/>
                <w:color w:val="006666"/>
                <w:sz w:val="20"/>
                <w:szCs w:val="20"/>
              </w:rPr>
            </w:pPr>
          </w:p>
        </w:tc>
        <w:tc>
          <w:tcPr>
            <w:tcW w:w="1127" w:type="dxa"/>
          </w:tcPr>
          <w:p w14:paraId="0F31CBA0" w14:textId="77777777" w:rsidR="00C20F13" w:rsidRPr="007E6B77" w:rsidRDefault="00C20F13" w:rsidP="00FE627B">
            <w:pPr>
              <w:pStyle w:val="Default"/>
              <w:ind w:right="119"/>
              <w:jc w:val="center"/>
              <w:rPr>
                <w:rFonts w:asciiTheme="minorHAnsi" w:hAnsiTheme="minorHAnsi" w:cstheme="minorHAnsi"/>
                <w:b/>
                <w:bCs/>
                <w:color w:val="006666"/>
                <w:sz w:val="20"/>
                <w:szCs w:val="20"/>
              </w:rPr>
            </w:pPr>
          </w:p>
        </w:tc>
        <w:tc>
          <w:tcPr>
            <w:tcW w:w="1230" w:type="dxa"/>
          </w:tcPr>
          <w:p w14:paraId="045D64D0" w14:textId="22FDDF9F" w:rsidR="00C20F13" w:rsidRPr="007E6B77" w:rsidRDefault="009801B2" w:rsidP="00FE627B">
            <w:pPr>
              <w:pStyle w:val="Default"/>
              <w:ind w:right="119"/>
              <w:jc w:val="center"/>
              <w:rPr>
                <w:rFonts w:asciiTheme="minorHAnsi" w:hAnsiTheme="minorHAnsi" w:cstheme="minorHAnsi"/>
                <w:b/>
                <w:bCs/>
                <w:color w:val="006666"/>
                <w:sz w:val="20"/>
                <w:szCs w:val="20"/>
              </w:rPr>
            </w:pPr>
            <w:r w:rsidRPr="007E6B77">
              <w:rPr>
                <w:rFonts w:asciiTheme="minorHAnsi" w:hAnsiTheme="minorHAnsi" w:cstheme="minorHAnsi"/>
                <w:b/>
                <w:bCs/>
                <w:color w:val="006666"/>
                <w:sz w:val="20"/>
                <w:szCs w:val="20"/>
              </w:rPr>
              <w:t>X</w:t>
            </w:r>
          </w:p>
        </w:tc>
        <w:tc>
          <w:tcPr>
            <w:tcW w:w="1025" w:type="dxa"/>
          </w:tcPr>
          <w:p w14:paraId="0DF12F12" w14:textId="77777777" w:rsidR="00C20F13" w:rsidRPr="007E6B77" w:rsidRDefault="00C20F13" w:rsidP="00FE627B">
            <w:pPr>
              <w:pStyle w:val="Default"/>
              <w:ind w:right="119"/>
              <w:jc w:val="center"/>
              <w:rPr>
                <w:rFonts w:asciiTheme="minorHAnsi" w:hAnsiTheme="minorHAnsi" w:cstheme="minorHAnsi"/>
                <w:b/>
                <w:bCs/>
                <w:sz w:val="20"/>
                <w:szCs w:val="20"/>
              </w:rPr>
            </w:pPr>
          </w:p>
        </w:tc>
      </w:tr>
      <w:tr w:rsidR="002E5DE0" w:rsidRPr="008C6F1A" w14:paraId="799EF25B" w14:textId="77777777" w:rsidTr="00BA06DA">
        <w:tc>
          <w:tcPr>
            <w:tcW w:w="2978" w:type="dxa"/>
          </w:tcPr>
          <w:p w14:paraId="4CC61585" w14:textId="106B2654" w:rsidR="00C20F13" w:rsidRPr="00FE627B" w:rsidRDefault="006243F3" w:rsidP="00D53149">
            <w:pPr>
              <w:pStyle w:val="Default"/>
              <w:ind w:left="28" w:right="119"/>
              <w:rPr>
                <w:rFonts w:asciiTheme="minorHAnsi" w:hAnsiTheme="minorHAnsi" w:cstheme="minorHAnsi"/>
                <w:sz w:val="18"/>
                <w:szCs w:val="18"/>
              </w:rPr>
            </w:pPr>
            <w:r w:rsidRPr="00FE627B">
              <w:rPr>
                <w:rFonts w:asciiTheme="minorHAnsi" w:hAnsiTheme="minorHAnsi" w:cstheme="minorHAnsi"/>
                <w:sz w:val="18"/>
                <w:szCs w:val="18"/>
              </w:rPr>
              <w:t>A pass on mechanism should be introduced</w:t>
            </w:r>
            <w:r w:rsidR="00E942E4" w:rsidRPr="00FE627B">
              <w:rPr>
                <w:rFonts w:asciiTheme="minorHAnsi" w:hAnsiTheme="minorHAnsi" w:cstheme="minorHAnsi"/>
                <w:sz w:val="18"/>
                <w:szCs w:val="18"/>
              </w:rPr>
              <w:t xml:space="preserve"> </w:t>
            </w:r>
            <w:r w:rsidR="00E942E4" w:rsidRPr="00FE627B">
              <w:rPr>
                <w:rFonts w:asciiTheme="minorHAnsi" w:hAnsiTheme="minorHAnsi" w:cstheme="minorHAnsi"/>
                <w:sz w:val="18"/>
                <w:szCs w:val="18"/>
                <w:vertAlign w:val="superscript"/>
              </w:rPr>
              <w:t>14</w:t>
            </w:r>
          </w:p>
        </w:tc>
        <w:tc>
          <w:tcPr>
            <w:tcW w:w="1358" w:type="dxa"/>
          </w:tcPr>
          <w:p w14:paraId="6634700C" w14:textId="77777777" w:rsidR="00C20F13" w:rsidRPr="0049314F" w:rsidRDefault="00C20F13" w:rsidP="00FE627B">
            <w:pPr>
              <w:pStyle w:val="Default"/>
              <w:ind w:right="119"/>
              <w:jc w:val="center"/>
              <w:rPr>
                <w:rFonts w:asciiTheme="minorHAnsi" w:hAnsiTheme="minorHAnsi" w:cstheme="minorHAnsi"/>
                <w:b/>
                <w:bCs/>
                <w:color w:val="006666"/>
                <w:sz w:val="20"/>
                <w:szCs w:val="20"/>
              </w:rPr>
            </w:pPr>
          </w:p>
        </w:tc>
        <w:tc>
          <w:tcPr>
            <w:tcW w:w="1077" w:type="dxa"/>
          </w:tcPr>
          <w:p w14:paraId="04BB694F" w14:textId="77777777" w:rsidR="00C20F13" w:rsidRPr="0049314F" w:rsidRDefault="00C20F13" w:rsidP="00FE627B">
            <w:pPr>
              <w:pStyle w:val="Default"/>
              <w:ind w:right="119"/>
              <w:jc w:val="center"/>
              <w:rPr>
                <w:rFonts w:asciiTheme="minorHAnsi" w:hAnsiTheme="minorHAnsi" w:cstheme="minorHAnsi"/>
                <w:b/>
                <w:bCs/>
                <w:color w:val="006666"/>
                <w:sz w:val="20"/>
                <w:szCs w:val="20"/>
              </w:rPr>
            </w:pPr>
          </w:p>
        </w:tc>
        <w:tc>
          <w:tcPr>
            <w:tcW w:w="1129" w:type="dxa"/>
          </w:tcPr>
          <w:p w14:paraId="24C3B339" w14:textId="77777777" w:rsidR="00C20F13" w:rsidRPr="0049314F" w:rsidRDefault="00C20F13" w:rsidP="00FE627B">
            <w:pPr>
              <w:pStyle w:val="Default"/>
              <w:ind w:right="119"/>
              <w:jc w:val="center"/>
              <w:rPr>
                <w:rFonts w:asciiTheme="minorHAnsi" w:hAnsiTheme="minorHAnsi" w:cstheme="minorHAnsi"/>
                <w:b/>
                <w:bCs/>
                <w:color w:val="006666"/>
                <w:sz w:val="20"/>
                <w:szCs w:val="20"/>
              </w:rPr>
            </w:pPr>
          </w:p>
        </w:tc>
        <w:tc>
          <w:tcPr>
            <w:tcW w:w="1127" w:type="dxa"/>
          </w:tcPr>
          <w:p w14:paraId="02BF5C0A" w14:textId="77777777" w:rsidR="00C20F13" w:rsidRPr="0049314F" w:rsidRDefault="00C20F13" w:rsidP="00FE627B">
            <w:pPr>
              <w:pStyle w:val="Default"/>
              <w:ind w:right="119"/>
              <w:jc w:val="center"/>
              <w:rPr>
                <w:rFonts w:asciiTheme="minorHAnsi" w:hAnsiTheme="minorHAnsi" w:cstheme="minorHAnsi"/>
                <w:b/>
                <w:bCs/>
                <w:color w:val="006666"/>
                <w:sz w:val="20"/>
                <w:szCs w:val="20"/>
              </w:rPr>
            </w:pPr>
          </w:p>
        </w:tc>
        <w:tc>
          <w:tcPr>
            <w:tcW w:w="1230" w:type="dxa"/>
          </w:tcPr>
          <w:p w14:paraId="023AA64E" w14:textId="4B0C1E71" w:rsidR="00C20F13" w:rsidRPr="0049314F" w:rsidRDefault="009801B2" w:rsidP="00FE627B">
            <w:pPr>
              <w:pStyle w:val="Default"/>
              <w:ind w:right="119"/>
              <w:jc w:val="center"/>
              <w:rPr>
                <w:rFonts w:asciiTheme="minorHAnsi" w:hAnsiTheme="minorHAnsi" w:cstheme="minorHAnsi"/>
                <w:b/>
                <w:bCs/>
                <w:color w:val="006666"/>
                <w:sz w:val="20"/>
                <w:szCs w:val="20"/>
              </w:rPr>
            </w:pPr>
            <w:r>
              <w:rPr>
                <w:rFonts w:asciiTheme="minorHAnsi" w:hAnsiTheme="minorHAnsi" w:cstheme="minorHAnsi"/>
                <w:b/>
                <w:bCs/>
                <w:color w:val="006666"/>
                <w:sz w:val="20"/>
                <w:szCs w:val="20"/>
              </w:rPr>
              <w:t>X</w:t>
            </w:r>
          </w:p>
        </w:tc>
        <w:tc>
          <w:tcPr>
            <w:tcW w:w="1025" w:type="dxa"/>
          </w:tcPr>
          <w:p w14:paraId="1F0ABA6F" w14:textId="77777777" w:rsidR="00C20F13" w:rsidRPr="008C6F1A" w:rsidRDefault="00C20F13" w:rsidP="00FE627B">
            <w:pPr>
              <w:pStyle w:val="Default"/>
              <w:ind w:right="119"/>
              <w:jc w:val="center"/>
              <w:rPr>
                <w:rFonts w:asciiTheme="minorHAnsi" w:hAnsiTheme="minorHAnsi" w:cstheme="minorHAnsi"/>
                <w:sz w:val="20"/>
                <w:szCs w:val="20"/>
              </w:rPr>
            </w:pPr>
          </w:p>
        </w:tc>
      </w:tr>
      <w:tr w:rsidR="002E5DE0" w:rsidRPr="008C6F1A" w14:paraId="6AEAA722" w14:textId="77777777" w:rsidTr="00BA06DA">
        <w:tc>
          <w:tcPr>
            <w:tcW w:w="2978" w:type="dxa"/>
          </w:tcPr>
          <w:p w14:paraId="64D0C21B" w14:textId="07D53FAE" w:rsidR="009F65C5" w:rsidRPr="00FE627B" w:rsidRDefault="009F65C5" w:rsidP="00D53149">
            <w:pPr>
              <w:pStyle w:val="Default"/>
              <w:ind w:left="28" w:right="119"/>
              <w:rPr>
                <w:rFonts w:asciiTheme="minorHAnsi" w:hAnsiTheme="minorHAnsi" w:cstheme="minorHAnsi"/>
                <w:sz w:val="18"/>
                <w:szCs w:val="18"/>
              </w:rPr>
            </w:pPr>
            <w:r w:rsidRPr="00FE627B">
              <w:rPr>
                <w:rFonts w:asciiTheme="minorHAnsi" w:hAnsiTheme="minorHAnsi" w:cstheme="minorHAnsi"/>
                <w:sz w:val="18"/>
                <w:szCs w:val="18"/>
              </w:rPr>
              <w:t>The rules on the use of buy-in agents should be amended</w:t>
            </w:r>
          </w:p>
        </w:tc>
        <w:tc>
          <w:tcPr>
            <w:tcW w:w="1358" w:type="dxa"/>
          </w:tcPr>
          <w:p w14:paraId="37B36B0A"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077" w:type="dxa"/>
          </w:tcPr>
          <w:p w14:paraId="791E2151"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129" w:type="dxa"/>
          </w:tcPr>
          <w:p w14:paraId="13F11398" w14:textId="264B1194"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127" w:type="dxa"/>
          </w:tcPr>
          <w:p w14:paraId="228968BD"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230" w:type="dxa"/>
          </w:tcPr>
          <w:p w14:paraId="0C83EF2F" w14:textId="4E3CCD8E" w:rsidR="009F65C5" w:rsidRPr="0049314F" w:rsidRDefault="009801B2" w:rsidP="00FE627B">
            <w:pPr>
              <w:pStyle w:val="Default"/>
              <w:ind w:right="119"/>
              <w:jc w:val="center"/>
              <w:rPr>
                <w:rFonts w:asciiTheme="minorHAnsi" w:hAnsiTheme="minorHAnsi" w:cstheme="minorHAnsi"/>
                <w:b/>
                <w:bCs/>
                <w:color w:val="006666"/>
                <w:sz w:val="20"/>
                <w:szCs w:val="20"/>
              </w:rPr>
            </w:pPr>
            <w:r>
              <w:rPr>
                <w:rFonts w:asciiTheme="minorHAnsi" w:hAnsiTheme="minorHAnsi" w:cstheme="minorHAnsi"/>
                <w:b/>
                <w:bCs/>
                <w:color w:val="006666"/>
                <w:sz w:val="20"/>
                <w:szCs w:val="20"/>
              </w:rPr>
              <w:t>X</w:t>
            </w:r>
          </w:p>
        </w:tc>
        <w:tc>
          <w:tcPr>
            <w:tcW w:w="1025" w:type="dxa"/>
          </w:tcPr>
          <w:p w14:paraId="3C7B8D5B" w14:textId="03680FB4" w:rsidR="009F65C5" w:rsidRPr="008C6F1A" w:rsidRDefault="009F65C5" w:rsidP="00FE627B">
            <w:pPr>
              <w:pStyle w:val="Default"/>
              <w:ind w:right="119"/>
              <w:jc w:val="center"/>
              <w:rPr>
                <w:rFonts w:asciiTheme="minorHAnsi" w:hAnsiTheme="minorHAnsi" w:cstheme="minorHAnsi"/>
                <w:sz w:val="20"/>
                <w:szCs w:val="20"/>
              </w:rPr>
            </w:pPr>
          </w:p>
        </w:tc>
      </w:tr>
      <w:tr w:rsidR="002E5DE0" w:rsidRPr="008C6F1A" w14:paraId="6D778707" w14:textId="77777777" w:rsidTr="00BA06DA">
        <w:tc>
          <w:tcPr>
            <w:tcW w:w="2978" w:type="dxa"/>
          </w:tcPr>
          <w:p w14:paraId="7941DE25" w14:textId="125782DA" w:rsidR="009F65C5" w:rsidRPr="00FE627B" w:rsidRDefault="009F65C5" w:rsidP="00D53149">
            <w:pPr>
              <w:pStyle w:val="Default"/>
              <w:ind w:left="28" w:right="119"/>
              <w:rPr>
                <w:rFonts w:asciiTheme="minorHAnsi" w:hAnsiTheme="minorHAnsi" w:cstheme="minorHAnsi"/>
                <w:sz w:val="18"/>
                <w:szCs w:val="18"/>
              </w:rPr>
            </w:pPr>
            <w:r w:rsidRPr="00FE627B">
              <w:rPr>
                <w:rFonts w:asciiTheme="minorHAnsi" w:hAnsiTheme="minorHAnsi" w:cstheme="minorHAnsi"/>
                <w:sz w:val="18"/>
                <w:szCs w:val="18"/>
              </w:rPr>
              <w:t>The scope of the buy-in regime and the exemptions applicable should be clarified</w:t>
            </w:r>
          </w:p>
        </w:tc>
        <w:tc>
          <w:tcPr>
            <w:tcW w:w="1358" w:type="dxa"/>
          </w:tcPr>
          <w:p w14:paraId="6EF430D1"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077" w:type="dxa"/>
          </w:tcPr>
          <w:p w14:paraId="2901BA0A"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129" w:type="dxa"/>
          </w:tcPr>
          <w:p w14:paraId="424ACBB4"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127" w:type="dxa"/>
          </w:tcPr>
          <w:p w14:paraId="4A758976"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230" w:type="dxa"/>
          </w:tcPr>
          <w:p w14:paraId="1A27623D" w14:textId="4D4B865B" w:rsidR="009F65C5" w:rsidRPr="0049314F" w:rsidRDefault="009801B2" w:rsidP="00FE627B">
            <w:pPr>
              <w:pStyle w:val="Default"/>
              <w:ind w:right="119"/>
              <w:jc w:val="center"/>
              <w:rPr>
                <w:rFonts w:asciiTheme="minorHAnsi" w:hAnsiTheme="minorHAnsi" w:cstheme="minorHAnsi"/>
                <w:b/>
                <w:bCs/>
                <w:color w:val="006666"/>
                <w:sz w:val="20"/>
                <w:szCs w:val="20"/>
              </w:rPr>
            </w:pPr>
            <w:r>
              <w:rPr>
                <w:rFonts w:asciiTheme="minorHAnsi" w:hAnsiTheme="minorHAnsi" w:cstheme="minorHAnsi"/>
                <w:b/>
                <w:bCs/>
                <w:color w:val="006666"/>
                <w:sz w:val="20"/>
                <w:szCs w:val="20"/>
              </w:rPr>
              <w:t>X</w:t>
            </w:r>
          </w:p>
        </w:tc>
        <w:tc>
          <w:tcPr>
            <w:tcW w:w="1025" w:type="dxa"/>
          </w:tcPr>
          <w:p w14:paraId="73F086FD" w14:textId="77777777" w:rsidR="009F65C5" w:rsidRPr="008C6F1A" w:rsidRDefault="009F65C5" w:rsidP="00FE627B">
            <w:pPr>
              <w:pStyle w:val="Default"/>
              <w:ind w:right="119"/>
              <w:jc w:val="center"/>
              <w:rPr>
                <w:rFonts w:asciiTheme="minorHAnsi" w:hAnsiTheme="minorHAnsi" w:cstheme="minorHAnsi"/>
                <w:sz w:val="20"/>
                <w:szCs w:val="20"/>
              </w:rPr>
            </w:pPr>
          </w:p>
        </w:tc>
      </w:tr>
      <w:tr w:rsidR="002E5DE0" w:rsidRPr="008C6F1A" w14:paraId="0E776318" w14:textId="77777777" w:rsidTr="00BA06DA">
        <w:tc>
          <w:tcPr>
            <w:tcW w:w="2978" w:type="dxa"/>
          </w:tcPr>
          <w:p w14:paraId="10E52C5C" w14:textId="63C26CF3" w:rsidR="009F65C5" w:rsidRPr="00FE627B" w:rsidRDefault="009F65C5" w:rsidP="00D53149">
            <w:pPr>
              <w:pStyle w:val="Default"/>
              <w:ind w:left="28" w:right="119"/>
              <w:rPr>
                <w:rFonts w:asciiTheme="minorHAnsi" w:hAnsiTheme="minorHAnsi" w:cstheme="minorHAnsi"/>
                <w:sz w:val="18"/>
                <w:szCs w:val="18"/>
              </w:rPr>
            </w:pPr>
            <w:r w:rsidRPr="00FE627B">
              <w:rPr>
                <w:rFonts w:asciiTheme="minorHAnsi" w:hAnsiTheme="minorHAnsi" w:cstheme="minorHAnsi"/>
                <w:sz w:val="18"/>
                <w:szCs w:val="18"/>
              </w:rPr>
              <w:t xml:space="preserve">The asymmetry in the reimbursement </w:t>
            </w:r>
            <w:r w:rsidR="004367B6" w:rsidRPr="00FE627B">
              <w:rPr>
                <w:rFonts w:asciiTheme="minorHAnsi" w:hAnsiTheme="minorHAnsi" w:cstheme="minorHAnsi"/>
                <w:sz w:val="18"/>
                <w:szCs w:val="18"/>
              </w:rPr>
              <w:t>for changes in market prices should be eliminated</w:t>
            </w:r>
          </w:p>
        </w:tc>
        <w:tc>
          <w:tcPr>
            <w:tcW w:w="1358" w:type="dxa"/>
          </w:tcPr>
          <w:p w14:paraId="42E36F62"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077" w:type="dxa"/>
          </w:tcPr>
          <w:p w14:paraId="2A34D1A7"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129" w:type="dxa"/>
          </w:tcPr>
          <w:p w14:paraId="475BBF58"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127" w:type="dxa"/>
          </w:tcPr>
          <w:p w14:paraId="25C87E58"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230" w:type="dxa"/>
          </w:tcPr>
          <w:p w14:paraId="17A3B49D" w14:textId="0D9A75F4" w:rsidR="009F65C5" w:rsidRPr="0049314F" w:rsidRDefault="009801B2" w:rsidP="00FE627B">
            <w:pPr>
              <w:pStyle w:val="Default"/>
              <w:ind w:right="119"/>
              <w:jc w:val="center"/>
              <w:rPr>
                <w:rFonts w:asciiTheme="minorHAnsi" w:hAnsiTheme="minorHAnsi" w:cstheme="minorHAnsi"/>
                <w:b/>
                <w:bCs/>
                <w:color w:val="006666"/>
                <w:sz w:val="20"/>
                <w:szCs w:val="20"/>
              </w:rPr>
            </w:pPr>
            <w:r>
              <w:rPr>
                <w:rFonts w:asciiTheme="minorHAnsi" w:hAnsiTheme="minorHAnsi" w:cstheme="minorHAnsi"/>
                <w:b/>
                <w:bCs/>
                <w:color w:val="006666"/>
                <w:sz w:val="20"/>
                <w:szCs w:val="20"/>
              </w:rPr>
              <w:t>X</w:t>
            </w:r>
          </w:p>
        </w:tc>
        <w:tc>
          <w:tcPr>
            <w:tcW w:w="1025" w:type="dxa"/>
          </w:tcPr>
          <w:p w14:paraId="7E5498D0" w14:textId="77777777" w:rsidR="009F65C5" w:rsidRPr="008C6F1A" w:rsidRDefault="009F65C5" w:rsidP="00FE627B">
            <w:pPr>
              <w:pStyle w:val="Default"/>
              <w:ind w:right="119"/>
              <w:jc w:val="center"/>
              <w:rPr>
                <w:rFonts w:asciiTheme="minorHAnsi" w:hAnsiTheme="minorHAnsi" w:cstheme="minorHAnsi"/>
                <w:sz w:val="20"/>
                <w:szCs w:val="20"/>
              </w:rPr>
            </w:pPr>
          </w:p>
        </w:tc>
      </w:tr>
      <w:tr w:rsidR="002E5DE0" w:rsidRPr="008C6F1A" w14:paraId="1DF0F30C" w14:textId="77777777" w:rsidTr="00BA06DA">
        <w:tc>
          <w:tcPr>
            <w:tcW w:w="2978" w:type="dxa"/>
          </w:tcPr>
          <w:p w14:paraId="5793923F" w14:textId="1BA9EC19" w:rsidR="009F65C5" w:rsidRPr="00FE627B" w:rsidRDefault="004367B6" w:rsidP="00D53149">
            <w:pPr>
              <w:pStyle w:val="Default"/>
              <w:ind w:left="28" w:right="119"/>
              <w:rPr>
                <w:rFonts w:asciiTheme="minorHAnsi" w:hAnsiTheme="minorHAnsi" w:cstheme="minorHAnsi"/>
                <w:sz w:val="18"/>
                <w:szCs w:val="18"/>
              </w:rPr>
            </w:pPr>
            <w:r w:rsidRPr="00FE627B">
              <w:rPr>
                <w:rFonts w:asciiTheme="minorHAnsi" w:hAnsiTheme="minorHAnsi" w:cstheme="minorHAnsi"/>
                <w:sz w:val="18"/>
                <w:szCs w:val="18"/>
              </w:rPr>
              <w:t>The CSDR penalties framework can have procyc</w:t>
            </w:r>
            <w:r w:rsidR="00374024" w:rsidRPr="00FE627B">
              <w:rPr>
                <w:rFonts w:asciiTheme="minorHAnsi" w:hAnsiTheme="minorHAnsi" w:cstheme="minorHAnsi"/>
                <w:sz w:val="18"/>
                <w:szCs w:val="18"/>
              </w:rPr>
              <w:t>lical effects.</w:t>
            </w:r>
          </w:p>
        </w:tc>
        <w:tc>
          <w:tcPr>
            <w:tcW w:w="1358" w:type="dxa"/>
          </w:tcPr>
          <w:p w14:paraId="535E56F9"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077" w:type="dxa"/>
          </w:tcPr>
          <w:p w14:paraId="653B715C"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129" w:type="dxa"/>
          </w:tcPr>
          <w:p w14:paraId="3478CDA2"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127" w:type="dxa"/>
          </w:tcPr>
          <w:p w14:paraId="19759952"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230" w:type="dxa"/>
          </w:tcPr>
          <w:p w14:paraId="4F878D9E" w14:textId="10E9ED2E" w:rsidR="009F65C5" w:rsidRPr="0049314F" w:rsidRDefault="0059551D" w:rsidP="00FE627B">
            <w:pPr>
              <w:pStyle w:val="Default"/>
              <w:ind w:right="119"/>
              <w:jc w:val="center"/>
              <w:rPr>
                <w:rFonts w:asciiTheme="minorHAnsi" w:hAnsiTheme="minorHAnsi" w:cstheme="minorHAnsi"/>
                <w:b/>
                <w:bCs/>
                <w:color w:val="006666"/>
                <w:sz w:val="20"/>
                <w:szCs w:val="20"/>
              </w:rPr>
            </w:pPr>
            <w:r>
              <w:rPr>
                <w:rFonts w:asciiTheme="minorHAnsi" w:hAnsiTheme="minorHAnsi" w:cstheme="minorHAnsi"/>
                <w:b/>
                <w:bCs/>
                <w:color w:val="006666"/>
                <w:sz w:val="20"/>
                <w:szCs w:val="20"/>
              </w:rPr>
              <w:t>X</w:t>
            </w:r>
          </w:p>
        </w:tc>
        <w:tc>
          <w:tcPr>
            <w:tcW w:w="1025" w:type="dxa"/>
          </w:tcPr>
          <w:p w14:paraId="1E50D465" w14:textId="4C430A2F" w:rsidR="00401E38" w:rsidRPr="00A325F5" w:rsidRDefault="00401E38" w:rsidP="00FE627B">
            <w:pPr>
              <w:pStyle w:val="Default"/>
              <w:ind w:right="119"/>
              <w:jc w:val="center"/>
              <w:rPr>
                <w:rFonts w:asciiTheme="minorHAnsi" w:hAnsiTheme="minorHAnsi" w:cstheme="minorHAnsi"/>
                <w:b/>
                <w:color w:val="CC0099"/>
                <w:sz w:val="20"/>
                <w:szCs w:val="20"/>
              </w:rPr>
            </w:pPr>
          </w:p>
        </w:tc>
      </w:tr>
      <w:tr w:rsidR="002E5DE0" w:rsidRPr="008C6F1A" w14:paraId="4FE9FC73" w14:textId="77777777" w:rsidTr="00BA06DA">
        <w:tc>
          <w:tcPr>
            <w:tcW w:w="2978" w:type="dxa"/>
          </w:tcPr>
          <w:p w14:paraId="7D921A20" w14:textId="3E01B7D8" w:rsidR="009F65C5" w:rsidRPr="00FE627B" w:rsidRDefault="00374024" w:rsidP="00D53149">
            <w:pPr>
              <w:pStyle w:val="Default"/>
              <w:ind w:left="28" w:right="119"/>
              <w:rPr>
                <w:rFonts w:asciiTheme="minorHAnsi" w:hAnsiTheme="minorHAnsi" w:cstheme="minorHAnsi"/>
                <w:sz w:val="18"/>
                <w:szCs w:val="18"/>
              </w:rPr>
            </w:pPr>
            <w:r w:rsidRPr="00FE627B">
              <w:rPr>
                <w:rFonts w:asciiTheme="minorHAnsi" w:hAnsiTheme="minorHAnsi" w:cstheme="minorHAnsi"/>
                <w:sz w:val="18"/>
                <w:szCs w:val="18"/>
              </w:rPr>
              <w:t>The penalty rates should be revised</w:t>
            </w:r>
          </w:p>
        </w:tc>
        <w:tc>
          <w:tcPr>
            <w:tcW w:w="1358" w:type="dxa"/>
          </w:tcPr>
          <w:p w14:paraId="690131FD"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077" w:type="dxa"/>
          </w:tcPr>
          <w:p w14:paraId="6DE79432"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129" w:type="dxa"/>
          </w:tcPr>
          <w:p w14:paraId="682D2179" w14:textId="77777777"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127" w:type="dxa"/>
          </w:tcPr>
          <w:p w14:paraId="2669FA99" w14:textId="387D14FC" w:rsidR="009F65C5" w:rsidRPr="0049314F" w:rsidRDefault="009F65C5" w:rsidP="00FE627B">
            <w:pPr>
              <w:pStyle w:val="Default"/>
              <w:ind w:right="119"/>
              <w:jc w:val="center"/>
              <w:rPr>
                <w:rFonts w:asciiTheme="minorHAnsi" w:hAnsiTheme="minorHAnsi" w:cstheme="minorHAnsi"/>
                <w:b/>
                <w:bCs/>
                <w:color w:val="006666"/>
                <w:sz w:val="20"/>
                <w:szCs w:val="20"/>
              </w:rPr>
            </w:pPr>
          </w:p>
        </w:tc>
        <w:tc>
          <w:tcPr>
            <w:tcW w:w="1230" w:type="dxa"/>
          </w:tcPr>
          <w:p w14:paraId="4ABF78AD" w14:textId="3D01543F" w:rsidR="009F65C5" w:rsidRPr="0049314F" w:rsidRDefault="000C1B11" w:rsidP="00FE627B">
            <w:pPr>
              <w:pStyle w:val="Default"/>
              <w:ind w:right="119"/>
              <w:jc w:val="center"/>
              <w:rPr>
                <w:rFonts w:asciiTheme="minorHAnsi" w:hAnsiTheme="minorHAnsi" w:cstheme="minorHAnsi"/>
                <w:b/>
                <w:bCs/>
                <w:color w:val="006666"/>
                <w:sz w:val="20"/>
                <w:szCs w:val="20"/>
              </w:rPr>
            </w:pPr>
            <w:r>
              <w:rPr>
                <w:rFonts w:asciiTheme="minorHAnsi" w:hAnsiTheme="minorHAnsi" w:cstheme="minorHAnsi"/>
                <w:b/>
                <w:bCs/>
                <w:color w:val="006666"/>
                <w:sz w:val="20"/>
                <w:szCs w:val="20"/>
              </w:rPr>
              <w:t>X</w:t>
            </w:r>
          </w:p>
        </w:tc>
        <w:tc>
          <w:tcPr>
            <w:tcW w:w="1025" w:type="dxa"/>
          </w:tcPr>
          <w:p w14:paraId="2E856E6C" w14:textId="67448510" w:rsidR="00401E38" w:rsidRPr="008C6F1A" w:rsidRDefault="003447E1" w:rsidP="00FE627B">
            <w:pPr>
              <w:pStyle w:val="Default"/>
              <w:ind w:right="119"/>
              <w:jc w:val="center"/>
              <w:rPr>
                <w:rFonts w:asciiTheme="minorHAnsi" w:hAnsiTheme="minorHAnsi" w:cstheme="minorHAnsi"/>
                <w:sz w:val="20"/>
                <w:szCs w:val="20"/>
              </w:rPr>
            </w:pPr>
            <w:r>
              <w:rPr>
                <w:rFonts w:asciiTheme="minorHAnsi" w:hAnsiTheme="minorHAnsi" w:cstheme="minorHAnsi"/>
                <w:b/>
                <w:bCs/>
                <w:color w:val="006666"/>
                <w:sz w:val="20"/>
                <w:szCs w:val="20"/>
              </w:rPr>
              <w:t xml:space="preserve"> </w:t>
            </w:r>
          </w:p>
        </w:tc>
      </w:tr>
      <w:tr w:rsidR="002E5DE0" w:rsidRPr="008C6F1A" w14:paraId="3C0A538A" w14:textId="77777777" w:rsidTr="00BA06DA">
        <w:tc>
          <w:tcPr>
            <w:tcW w:w="2978" w:type="dxa"/>
          </w:tcPr>
          <w:p w14:paraId="55EFE0AD" w14:textId="40C8B4E7" w:rsidR="00374024" w:rsidRPr="00FE627B" w:rsidRDefault="00AC0F3B" w:rsidP="00D53149">
            <w:pPr>
              <w:pStyle w:val="Default"/>
              <w:ind w:left="28" w:right="119"/>
              <w:rPr>
                <w:rFonts w:asciiTheme="minorHAnsi" w:hAnsiTheme="minorHAnsi" w:cstheme="minorHAnsi"/>
                <w:sz w:val="18"/>
                <w:szCs w:val="18"/>
              </w:rPr>
            </w:pPr>
            <w:r w:rsidRPr="00FE627B">
              <w:rPr>
                <w:rFonts w:asciiTheme="minorHAnsi" w:hAnsiTheme="minorHAnsi" w:cstheme="minorHAnsi"/>
                <w:sz w:val="18"/>
                <w:szCs w:val="18"/>
              </w:rPr>
              <w:t>The penalty regime should not apply to certain types of transaction (</w:t>
            </w:r>
            <w:r w:rsidR="00D53149" w:rsidRPr="00FE627B">
              <w:rPr>
                <w:rFonts w:asciiTheme="minorHAnsi" w:hAnsiTheme="minorHAnsi" w:cstheme="minorHAnsi"/>
                <w:sz w:val="18"/>
                <w:szCs w:val="18"/>
              </w:rPr>
              <w:t>e.g.,</w:t>
            </w:r>
            <w:r w:rsidRPr="00FE627B">
              <w:rPr>
                <w:rFonts w:asciiTheme="minorHAnsi" w:hAnsiTheme="minorHAnsi" w:cstheme="minorHAnsi"/>
                <w:sz w:val="18"/>
                <w:szCs w:val="18"/>
              </w:rPr>
              <w:t xml:space="preserve"> market claims in cash)</w:t>
            </w:r>
          </w:p>
        </w:tc>
        <w:tc>
          <w:tcPr>
            <w:tcW w:w="1358" w:type="dxa"/>
          </w:tcPr>
          <w:p w14:paraId="6E8B2197" w14:textId="77777777" w:rsidR="00374024" w:rsidRPr="0049314F" w:rsidRDefault="00374024" w:rsidP="00FE627B">
            <w:pPr>
              <w:pStyle w:val="Default"/>
              <w:ind w:right="119"/>
              <w:jc w:val="center"/>
              <w:rPr>
                <w:rFonts w:asciiTheme="minorHAnsi" w:hAnsiTheme="minorHAnsi" w:cstheme="minorHAnsi"/>
                <w:b/>
                <w:bCs/>
                <w:color w:val="006666"/>
                <w:sz w:val="20"/>
                <w:szCs w:val="20"/>
              </w:rPr>
            </w:pPr>
          </w:p>
        </w:tc>
        <w:tc>
          <w:tcPr>
            <w:tcW w:w="1077" w:type="dxa"/>
          </w:tcPr>
          <w:p w14:paraId="6A948867" w14:textId="77777777" w:rsidR="00374024" w:rsidRPr="0049314F" w:rsidRDefault="00374024" w:rsidP="00FE627B">
            <w:pPr>
              <w:pStyle w:val="Default"/>
              <w:ind w:right="119"/>
              <w:jc w:val="center"/>
              <w:rPr>
                <w:rFonts w:asciiTheme="minorHAnsi" w:hAnsiTheme="minorHAnsi" w:cstheme="minorHAnsi"/>
                <w:b/>
                <w:bCs/>
                <w:color w:val="006666"/>
                <w:sz w:val="20"/>
                <w:szCs w:val="20"/>
              </w:rPr>
            </w:pPr>
          </w:p>
        </w:tc>
        <w:tc>
          <w:tcPr>
            <w:tcW w:w="1129" w:type="dxa"/>
          </w:tcPr>
          <w:p w14:paraId="5F41BCA5" w14:textId="34D77525" w:rsidR="00374024" w:rsidRPr="0049314F" w:rsidRDefault="00510478" w:rsidP="00FE627B">
            <w:pPr>
              <w:pStyle w:val="Default"/>
              <w:ind w:right="119"/>
              <w:jc w:val="center"/>
              <w:rPr>
                <w:rFonts w:asciiTheme="minorHAnsi" w:hAnsiTheme="minorHAnsi" w:cstheme="minorHAnsi"/>
                <w:b/>
                <w:bCs/>
                <w:color w:val="006666"/>
                <w:sz w:val="20"/>
                <w:szCs w:val="20"/>
              </w:rPr>
            </w:pPr>
            <w:r>
              <w:rPr>
                <w:rFonts w:asciiTheme="minorHAnsi" w:hAnsiTheme="minorHAnsi" w:cstheme="minorHAnsi"/>
                <w:b/>
                <w:bCs/>
                <w:color w:val="006666"/>
                <w:sz w:val="20"/>
                <w:szCs w:val="20"/>
              </w:rPr>
              <w:t>X</w:t>
            </w:r>
          </w:p>
        </w:tc>
        <w:tc>
          <w:tcPr>
            <w:tcW w:w="1127" w:type="dxa"/>
          </w:tcPr>
          <w:p w14:paraId="77EEEEFD" w14:textId="77777777" w:rsidR="00374024" w:rsidRPr="0049314F" w:rsidRDefault="00374024" w:rsidP="00FE627B">
            <w:pPr>
              <w:pStyle w:val="Default"/>
              <w:ind w:right="119"/>
              <w:jc w:val="center"/>
              <w:rPr>
                <w:rFonts w:asciiTheme="minorHAnsi" w:hAnsiTheme="minorHAnsi" w:cstheme="minorHAnsi"/>
                <w:b/>
                <w:bCs/>
                <w:color w:val="006666"/>
                <w:sz w:val="20"/>
                <w:szCs w:val="20"/>
              </w:rPr>
            </w:pPr>
          </w:p>
        </w:tc>
        <w:tc>
          <w:tcPr>
            <w:tcW w:w="1230" w:type="dxa"/>
          </w:tcPr>
          <w:p w14:paraId="24535314" w14:textId="08FD1181" w:rsidR="00374024" w:rsidRPr="0049314F" w:rsidRDefault="00374024" w:rsidP="00FE627B">
            <w:pPr>
              <w:pStyle w:val="Default"/>
              <w:ind w:right="119"/>
              <w:jc w:val="center"/>
              <w:rPr>
                <w:rFonts w:asciiTheme="minorHAnsi" w:hAnsiTheme="minorHAnsi" w:cstheme="minorHAnsi"/>
                <w:b/>
                <w:bCs/>
                <w:color w:val="006666"/>
                <w:sz w:val="20"/>
                <w:szCs w:val="20"/>
              </w:rPr>
            </w:pPr>
          </w:p>
        </w:tc>
        <w:tc>
          <w:tcPr>
            <w:tcW w:w="1025" w:type="dxa"/>
          </w:tcPr>
          <w:p w14:paraId="2BA6E0C9" w14:textId="57D423FF" w:rsidR="00374024" w:rsidRPr="008C6F1A" w:rsidRDefault="00374024" w:rsidP="00BF6884">
            <w:pPr>
              <w:pStyle w:val="Default"/>
              <w:ind w:right="119"/>
              <w:jc w:val="center"/>
              <w:rPr>
                <w:rFonts w:asciiTheme="minorHAnsi" w:hAnsiTheme="minorHAnsi" w:cstheme="minorHAnsi"/>
                <w:sz w:val="20"/>
                <w:szCs w:val="20"/>
              </w:rPr>
            </w:pPr>
          </w:p>
        </w:tc>
      </w:tr>
    </w:tbl>
    <w:p w14:paraId="63001186" w14:textId="4D3C7502" w:rsidR="00270848" w:rsidRPr="008C6F1A" w:rsidRDefault="00270848" w:rsidP="00EA25FA">
      <w:pPr>
        <w:pStyle w:val="Default"/>
        <w:ind w:left="-426" w:right="119"/>
        <w:rPr>
          <w:rFonts w:asciiTheme="minorHAnsi" w:hAnsiTheme="minorHAnsi" w:cstheme="minorHAnsi"/>
          <w:sz w:val="20"/>
          <w:szCs w:val="20"/>
        </w:rPr>
      </w:pPr>
      <w:r w:rsidRPr="008C6F1A">
        <w:rPr>
          <w:rFonts w:asciiTheme="minorHAnsi" w:hAnsiTheme="minorHAnsi" w:cstheme="minorHAnsi"/>
          <w:sz w:val="20"/>
          <w:szCs w:val="20"/>
        </w:rPr>
        <w:t xml:space="preserve"> </w:t>
      </w:r>
    </w:p>
    <w:p w14:paraId="2361B967" w14:textId="5FF6AE37" w:rsidR="00D578FD" w:rsidRPr="005D5D0A" w:rsidRDefault="00D578FD" w:rsidP="00EA25FA">
      <w:pPr>
        <w:pStyle w:val="Default"/>
        <w:ind w:left="-426" w:right="119"/>
        <w:rPr>
          <w:rFonts w:asciiTheme="minorHAnsi" w:hAnsiTheme="minorHAnsi" w:cstheme="minorHAnsi"/>
          <w:color w:val="auto"/>
          <w:sz w:val="20"/>
          <w:szCs w:val="20"/>
        </w:rPr>
      </w:pPr>
      <w:r w:rsidRPr="005D5D0A">
        <w:rPr>
          <w:rFonts w:asciiTheme="minorHAnsi" w:hAnsiTheme="minorHAnsi" w:cstheme="minorHAnsi"/>
          <w:color w:val="auto"/>
          <w:sz w:val="20"/>
          <w:szCs w:val="20"/>
          <w:vertAlign w:val="superscript"/>
        </w:rPr>
        <w:t>14</w:t>
      </w:r>
      <w:r w:rsidRPr="005D5D0A">
        <w:rPr>
          <w:rFonts w:asciiTheme="minorHAnsi" w:hAnsiTheme="minorHAnsi" w:cstheme="minorHAnsi"/>
          <w:color w:val="auto"/>
          <w:sz w:val="20"/>
          <w:szCs w:val="20"/>
        </w:rPr>
        <w:t xml:space="preserve"> </w:t>
      </w:r>
      <w:r w:rsidRPr="000044DC">
        <w:rPr>
          <w:rFonts w:asciiTheme="minorHAnsi" w:hAnsiTheme="minorHAnsi" w:cstheme="minorHAnsi"/>
          <w:i/>
          <w:iCs/>
          <w:color w:val="auto"/>
          <w:sz w:val="18"/>
          <w:szCs w:val="18"/>
        </w:rPr>
        <w:t>E.g. a mechanism providing that where a settlement fail is the cause of multiple settlement fails through a transaction chain, it should be possible for a single buy-in to be initiated with the intention to settle the entire chain of fails and to avoid multiple buy-ins being processed at the same time, and that where a receiving trading party in a transaction chain initiates the buy-in process, all other receiving trading parties in that transaction chain are relieved of any obligation to initiate a buy-in process .</w:t>
      </w:r>
    </w:p>
    <w:p w14:paraId="1586680C" w14:textId="605255B2" w:rsidR="001524B1" w:rsidRPr="008C6F1A" w:rsidRDefault="001524B1" w:rsidP="00EA25FA">
      <w:pPr>
        <w:pStyle w:val="Default"/>
        <w:ind w:left="-426" w:right="119"/>
        <w:rPr>
          <w:rFonts w:asciiTheme="minorHAnsi" w:hAnsiTheme="minorHAnsi" w:cstheme="minorHAnsi"/>
          <w:sz w:val="20"/>
          <w:szCs w:val="20"/>
        </w:rPr>
      </w:pPr>
    </w:p>
    <w:p w14:paraId="78044FFF" w14:textId="07B3B8BD" w:rsidR="001524B1" w:rsidRDefault="001524B1" w:rsidP="00EA25FA">
      <w:pPr>
        <w:autoSpaceDE w:val="0"/>
        <w:autoSpaceDN w:val="0"/>
        <w:adjustRightInd w:val="0"/>
        <w:spacing w:after="0" w:line="240" w:lineRule="auto"/>
        <w:ind w:left="-426" w:right="119"/>
        <w:rPr>
          <w:rFonts w:cstheme="minorHAnsi"/>
          <w:color w:val="000000"/>
          <w:sz w:val="20"/>
          <w:szCs w:val="20"/>
        </w:rPr>
      </w:pPr>
      <w:r w:rsidRPr="001524B1">
        <w:rPr>
          <w:rFonts w:cstheme="minorHAnsi"/>
          <w:b/>
          <w:bCs/>
          <w:color w:val="000000"/>
          <w:sz w:val="20"/>
          <w:szCs w:val="20"/>
        </w:rPr>
        <w:t>Question 34.1</w:t>
      </w:r>
      <w:r w:rsidRPr="001524B1">
        <w:rPr>
          <w:rFonts w:cstheme="minorHAnsi"/>
          <w:color w:val="000000"/>
          <w:sz w:val="20"/>
          <w:szCs w:val="20"/>
        </w:rPr>
        <w:t xml:space="preserve"> Please explain your answers to question 34, providing where possible quantitative evidence and concrete examples. </w:t>
      </w:r>
    </w:p>
    <w:p w14:paraId="14C2F0CC" w14:textId="6ADD8BCA" w:rsidR="005D5D0A" w:rsidRDefault="005D5D0A" w:rsidP="00EA25FA">
      <w:pPr>
        <w:autoSpaceDE w:val="0"/>
        <w:autoSpaceDN w:val="0"/>
        <w:adjustRightInd w:val="0"/>
        <w:spacing w:after="0" w:line="240" w:lineRule="auto"/>
        <w:ind w:left="-426" w:right="119"/>
        <w:rPr>
          <w:rFonts w:cstheme="minorHAnsi"/>
          <w:color w:val="000000"/>
          <w:sz w:val="20"/>
          <w:szCs w:val="20"/>
        </w:rPr>
      </w:pPr>
    </w:p>
    <w:p w14:paraId="66A60422" w14:textId="0D0CD056" w:rsidR="00F85D17" w:rsidRDefault="00F85D17" w:rsidP="00F85D17">
      <w:pPr>
        <w:autoSpaceDE w:val="0"/>
        <w:autoSpaceDN w:val="0"/>
        <w:adjustRightInd w:val="0"/>
        <w:spacing w:after="0" w:line="240" w:lineRule="auto"/>
        <w:ind w:left="-425" w:right="119"/>
        <w:contextualSpacing/>
        <w:rPr>
          <w:rFonts w:cstheme="minorHAnsi"/>
          <w:color w:val="006666"/>
          <w:sz w:val="20"/>
          <w:szCs w:val="20"/>
        </w:rPr>
      </w:pPr>
      <w:r w:rsidRPr="00BB398D">
        <w:rPr>
          <w:rFonts w:cstheme="minorHAnsi"/>
          <w:color w:val="006666"/>
          <w:sz w:val="20"/>
          <w:szCs w:val="20"/>
        </w:rPr>
        <w:t>ISLA and its members fully support the Capital Market Union</w:t>
      </w:r>
      <w:r w:rsidR="0016383A">
        <w:rPr>
          <w:rFonts w:cstheme="minorHAnsi"/>
          <w:color w:val="006666"/>
          <w:sz w:val="20"/>
          <w:szCs w:val="20"/>
        </w:rPr>
        <w:t>’</w:t>
      </w:r>
      <w:r w:rsidRPr="00BB398D">
        <w:rPr>
          <w:rFonts w:cstheme="minorHAnsi"/>
          <w:color w:val="006666"/>
          <w:sz w:val="20"/>
          <w:szCs w:val="20"/>
        </w:rPr>
        <w:t xml:space="preserve">s overall goal to develop </w:t>
      </w:r>
      <w:r>
        <w:rPr>
          <w:rFonts w:cstheme="minorHAnsi"/>
          <w:color w:val="006666"/>
          <w:sz w:val="20"/>
          <w:szCs w:val="20"/>
        </w:rPr>
        <w:t xml:space="preserve">and create a single </w:t>
      </w:r>
      <w:r w:rsidRPr="00BB398D">
        <w:rPr>
          <w:rFonts w:cstheme="minorHAnsi"/>
          <w:color w:val="006666"/>
          <w:sz w:val="20"/>
          <w:szCs w:val="20"/>
        </w:rPr>
        <w:t xml:space="preserve">EU capital </w:t>
      </w:r>
      <w:r>
        <w:rPr>
          <w:rFonts w:cstheme="minorHAnsi"/>
          <w:color w:val="006666"/>
          <w:sz w:val="20"/>
          <w:szCs w:val="20"/>
        </w:rPr>
        <w:t>m</w:t>
      </w:r>
      <w:r w:rsidRPr="00BB398D">
        <w:rPr>
          <w:rFonts w:cstheme="minorHAnsi"/>
          <w:color w:val="006666"/>
          <w:sz w:val="20"/>
          <w:szCs w:val="20"/>
        </w:rPr>
        <w:t>arket</w:t>
      </w:r>
      <w:r>
        <w:rPr>
          <w:rFonts w:cstheme="minorHAnsi"/>
          <w:color w:val="006666"/>
          <w:sz w:val="20"/>
          <w:szCs w:val="20"/>
        </w:rPr>
        <w:t>, and the core objective of CSDR, to increase settlement efficiency</w:t>
      </w:r>
      <w:r w:rsidR="00671F4D">
        <w:rPr>
          <w:rFonts w:cstheme="minorHAnsi"/>
          <w:color w:val="006666"/>
          <w:sz w:val="20"/>
          <w:szCs w:val="20"/>
        </w:rPr>
        <w:t>.</w:t>
      </w:r>
      <w:r>
        <w:rPr>
          <w:rFonts w:cstheme="minorHAnsi"/>
          <w:color w:val="006666"/>
          <w:sz w:val="20"/>
          <w:szCs w:val="20"/>
        </w:rPr>
        <w:t xml:space="preserve"> </w:t>
      </w:r>
    </w:p>
    <w:p w14:paraId="09F96BF7" w14:textId="77777777" w:rsidR="00F85D17" w:rsidRDefault="00F85D17" w:rsidP="00F85D17">
      <w:pPr>
        <w:autoSpaceDE w:val="0"/>
        <w:autoSpaceDN w:val="0"/>
        <w:adjustRightInd w:val="0"/>
        <w:spacing w:after="0" w:line="240" w:lineRule="auto"/>
        <w:ind w:left="-425" w:right="119"/>
        <w:contextualSpacing/>
        <w:rPr>
          <w:rFonts w:cstheme="minorHAnsi"/>
          <w:color w:val="006666"/>
          <w:sz w:val="20"/>
          <w:szCs w:val="20"/>
        </w:rPr>
      </w:pPr>
    </w:p>
    <w:p w14:paraId="40AF8D84" w14:textId="342C3B64" w:rsidR="00F85D17" w:rsidRDefault="00F85D17" w:rsidP="00F85D17">
      <w:pPr>
        <w:autoSpaceDE w:val="0"/>
        <w:autoSpaceDN w:val="0"/>
        <w:adjustRightInd w:val="0"/>
        <w:spacing w:after="0" w:line="240" w:lineRule="auto"/>
        <w:ind w:left="-425" w:right="119"/>
        <w:contextualSpacing/>
        <w:rPr>
          <w:rFonts w:cstheme="minorHAnsi"/>
          <w:color w:val="006666"/>
          <w:sz w:val="20"/>
          <w:szCs w:val="20"/>
        </w:rPr>
      </w:pPr>
      <w:r>
        <w:rPr>
          <w:rFonts w:cstheme="minorHAnsi"/>
          <w:color w:val="006666"/>
          <w:sz w:val="20"/>
          <w:szCs w:val="20"/>
        </w:rPr>
        <w:t xml:space="preserve">ISLA support the introduction of penalties </w:t>
      </w:r>
      <w:r w:rsidR="004F2309">
        <w:rPr>
          <w:rFonts w:cstheme="minorHAnsi"/>
          <w:color w:val="006666"/>
          <w:sz w:val="20"/>
          <w:szCs w:val="20"/>
        </w:rPr>
        <w:t xml:space="preserve">and </w:t>
      </w:r>
      <w:r>
        <w:rPr>
          <w:rFonts w:cstheme="minorHAnsi"/>
          <w:color w:val="006666"/>
          <w:sz w:val="20"/>
          <w:szCs w:val="20"/>
        </w:rPr>
        <w:t xml:space="preserve">recognise that </w:t>
      </w:r>
      <w:r w:rsidR="00284CD9">
        <w:rPr>
          <w:rFonts w:cstheme="minorHAnsi"/>
          <w:color w:val="006666"/>
          <w:sz w:val="20"/>
          <w:szCs w:val="20"/>
        </w:rPr>
        <w:t>they</w:t>
      </w:r>
      <w:r>
        <w:rPr>
          <w:rFonts w:cstheme="minorHAnsi"/>
          <w:color w:val="006666"/>
          <w:sz w:val="20"/>
          <w:szCs w:val="20"/>
        </w:rPr>
        <w:t xml:space="preserve"> are already widely utilised globally, as an effective mechanism to incentivize a more efficient settlement process. </w:t>
      </w:r>
      <w:r w:rsidR="00C25B3D">
        <w:rPr>
          <w:rFonts w:cstheme="minorHAnsi"/>
          <w:color w:val="006666"/>
          <w:sz w:val="20"/>
          <w:szCs w:val="20"/>
        </w:rPr>
        <w:t>However, w</w:t>
      </w:r>
      <w:r w:rsidR="00284CD9">
        <w:rPr>
          <w:rFonts w:cstheme="minorHAnsi"/>
          <w:color w:val="006666"/>
          <w:sz w:val="20"/>
          <w:szCs w:val="20"/>
        </w:rPr>
        <w:t>e</w:t>
      </w:r>
      <w:r>
        <w:rPr>
          <w:rFonts w:cstheme="minorHAnsi"/>
          <w:color w:val="006666"/>
          <w:sz w:val="20"/>
          <w:szCs w:val="20"/>
        </w:rPr>
        <w:t xml:space="preserve"> strongly advocate that this measure alone</w:t>
      </w:r>
      <w:r w:rsidR="00301705">
        <w:rPr>
          <w:rFonts w:cstheme="minorHAnsi"/>
          <w:color w:val="006666"/>
          <w:sz w:val="20"/>
          <w:szCs w:val="20"/>
        </w:rPr>
        <w:t xml:space="preserve"> </w:t>
      </w:r>
      <w:r w:rsidR="00F97477">
        <w:rPr>
          <w:rFonts w:cstheme="minorHAnsi"/>
          <w:color w:val="006666"/>
          <w:sz w:val="20"/>
          <w:szCs w:val="20"/>
        </w:rPr>
        <w:t xml:space="preserve">would be </w:t>
      </w:r>
      <w:r w:rsidR="001A172B">
        <w:rPr>
          <w:rFonts w:cstheme="minorHAnsi"/>
          <w:color w:val="006666"/>
          <w:sz w:val="20"/>
          <w:szCs w:val="20"/>
        </w:rPr>
        <w:t>sufficient</w:t>
      </w:r>
      <w:r>
        <w:rPr>
          <w:rFonts w:cstheme="minorHAnsi"/>
          <w:color w:val="006666"/>
          <w:sz w:val="20"/>
          <w:szCs w:val="20"/>
        </w:rPr>
        <w:t xml:space="preserve"> to achiev</w:t>
      </w:r>
      <w:r w:rsidR="001D706B">
        <w:rPr>
          <w:rFonts w:cstheme="minorHAnsi"/>
          <w:color w:val="006666"/>
          <w:sz w:val="20"/>
          <w:szCs w:val="20"/>
        </w:rPr>
        <w:t>e</w:t>
      </w:r>
      <w:r>
        <w:rPr>
          <w:rFonts w:cstheme="minorHAnsi"/>
          <w:color w:val="006666"/>
          <w:sz w:val="20"/>
          <w:szCs w:val="20"/>
        </w:rPr>
        <w:t xml:space="preserve"> the objective of the regulation, and that implementing a regulatory buy-in would be severely damaging to the smooth functioning of capital markets. As such</w:t>
      </w:r>
      <w:r w:rsidR="001E0099">
        <w:rPr>
          <w:rFonts w:cstheme="minorHAnsi"/>
          <w:color w:val="006666"/>
          <w:sz w:val="20"/>
          <w:szCs w:val="20"/>
        </w:rPr>
        <w:t>,</w:t>
      </w:r>
      <w:r>
        <w:rPr>
          <w:rFonts w:cstheme="minorHAnsi"/>
          <w:color w:val="006666"/>
          <w:sz w:val="20"/>
          <w:szCs w:val="20"/>
        </w:rPr>
        <w:t xml:space="preserve"> ISLA propose the following</w:t>
      </w:r>
      <w:r w:rsidR="00B10887">
        <w:rPr>
          <w:rFonts w:cstheme="minorHAnsi"/>
          <w:color w:val="006666"/>
          <w:sz w:val="20"/>
          <w:szCs w:val="20"/>
        </w:rPr>
        <w:t>:</w:t>
      </w:r>
    </w:p>
    <w:p w14:paraId="29D4CFEE" w14:textId="77777777" w:rsidR="00F85D17" w:rsidRDefault="00F85D17" w:rsidP="00F85D17">
      <w:pPr>
        <w:autoSpaceDE w:val="0"/>
        <w:autoSpaceDN w:val="0"/>
        <w:adjustRightInd w:val="0"/>
        <w:spacing w:after="0" w:line="240" w:lineRule="auto"/>
        <w:ind w:left="-425" w:right="119"/>
        <w:contextualSpacing/>
        <w:rPr>
          <w:rFonts w:cstheme="minorHAnsi"/>
          <w:color w:val="006666"/>
          <w:sz w:val="20"/>
          <w:szCs w:val="20"/>
        </w:rPr>
      </w:pPr>
    </w:p>
    <w:p w14:paraId="05920D64" w14:textId="50E40B74" w:rsidR="002E64E4" w:rsidRDefault="00F85D17" w:rsidP="006B2628">
      <w:pPr>
        <w:pStyle w:val="ListParagraph"/>
        <w:numPr>
          <w:ilvl w:val="0"/>
          <w:numId w:val="12"/>
        </w:numPr>
        <w:autoSpaceDE w:val="0"/>
        <w:autoSpaceDN w:val="0"/>
        <w:adjustRightInd w:val="0"/>
        <w:spacing w:after="0" w:line="240" w:lineRule="auto"/>
        <w:ind w:right="119"/>
        <w:rPr>
          <w:rFonts w:cstheme="minorHAnsi"/>
          <w:color w:val="006666"/>
          <w:sz w:val="20"/>
          <w:szCs w:val="20"/>
        </w:rPr>
      </w:pPr>
      <w:r w:rsidRPr="006B2628">
        <w:rPr>
          <w:rFonts w:cstheme="minorHAnsi"/>
          <w:color w:val="006666"/>
          <w:sz w:val="20"/>
          <w:szCs w:val="20"/>
        </w:rPr>
        <w:t xml:space="preserve">Implement penalties in February 2022 as </w:t>
      </w:r>
      <w:r w:rsidR="00B32603" w:rsidRPr="006B2628">
        <w:rPr>
          <w:rFonts w:cstheme="minorHAnsi"/>
          <w:color w:val="006666"/>
          <w:sz w:val="20"/>
          <w:szCs w:val="20"/>
        </w:rPr>
        <w:t xml:space="preserve">currently </w:t>
      </w:r>
      <w:r w:rsidRPr="006B2628">
        <w:rPr>
          <w:rFonts w:cstheme="minorHAnsi"/>
          <w:color w:val="006666"/>
          <w:sz w:val="20"/>
          <w:szCs w:val="20"/>
        </w:rPr>
        <w:t>planned</w:t>
      </w:r>
    </w:p>
    <w:p w14:paraId="577C643B" w14:textId="77777777" w:rsidR="00836513" w:rsidRDefault="002E64E4" w:rsidP="006B2628">
      <w:pPr>
        <w:pStyle w:val="ListParagraph"/>
        <w:numPr>
          <w:ilvl w:val="0"/>
          <w:numId w:val="12"/>
        </w:numPr>
        <w:autoSpaceDE w:val="0"/>
        <w:autoSpaceDN w:val="0"/>
        <w:adjustRightInd w:val="0"/>
        <w:spacing w:after="0" w:line="240" w:lineRule="auto"/>
        <w:ind w:right="119"/>
        <w:rPr>
          <w:rFonts w:cstheme="minorHAnsi"/>
          <w:color w:val="006666"/>
          <w:sz w:val="20"/>
          <w:szCs w:val="20"/>
        </w:rPr>
      </w:pPr>
      <w:r>
        <w:rPr>
          <w:rFonts w:cstheme="minorHAnsi"/>
          <w:color w:val="006666"/>
          <w:sz w:val="20"/>
          <w:szCs w:val="20"/>
        </w:rPr>
        <w:t>D</w:t>
      </w:r>
      <w:r w:rsidR="00F85D17" w:rsidRPr="006B2628">
        <w:rPr>
          <w:rFonts w:cstheme="minorHAnsi"/>
          <w:color w:val="006666"/>
          <w:sz w:val="20"/>
          <w:szCs w:val="20"/>
        </w:rPr>
        <w:t>ecouple the regulatory buy-in requirement</w:t>
      </w:r>
      <w:r w:rsidR="00836513">
        <w:rPr>
          <w:rFonts w:cstheme="minorHAnsi"/>
          <w:color w:val="006666"/>
          <w:sz w:val="20"/>
          <w:szCs w:val="20"/>
        </w:rPr>
        <w:t>; and</w:t>
      </w:r>
      <w:r w:rsidR="00F85D17" w:rsidRPr="006B2628">
        <w:rPr>
          <w:rFonts w:cstheme="minorHAnsi"/>
          <w:color w:val="006666"/>
          <w:sz w:val="20"/>
          <w:szCs w:val="20"/>
        </w:rPr>
        <w:t xml:space="preserve"> </w:t>
      </w:r>
    </w:p>
    <w:p w14:paraId="6439A22B" w14:textId="68C48DAF" w:rsidR="00F85D17" w:rsidRPr="006B2628" w:rsidRDefault="00F85D17" w:rsidP="006B2628">
      <w:pPr>
        <w:pStyle w:val="ListParagraph"/>
        <w:numPr>
          <w:ilvl w:val="0"/>
          <w:numId w:val="12"/>
        </w:numPr>
        <w:autoSpaceDE w:val="0"/>
        <w:autoSpaceDN w:val="0"/>
        <w:adjustRightInd w:val="0"/>
        <w:spacing w:after="0" w:line="240" w:lineRule="auto"/>
        <w:ind w:right="119"/>
        <w:rPr>
          <w:rFonts w:cstheme="minorHAnsi"/>
          <w:color w:val="006666"/>
          <w:sz w:val="20"/>
          <w:szCs w:val="20"/>
        </w:rPr>
      </w:pPr>
      <w:r w:rsidRPr="006B2628">
        <w:rPr>
          <w:rFonts w:cstheme="minorHAnsi"/>
          <w:color w:val="006666"/>
          <w:sz w:val="20"/>
          <w:szCs w:val="20"/>
        </w:rPr>
        <w:t xml:space="preserve">Allow a significant period of time for regulators and market participants to assess the impacts of penalties in reducing fails and re-calibrate rates where no significant improvement occurs. </w:t>
      </w:r>
    </w:p>
    <w:p w14:paraId="120F3B1E" w14:textId="77777777" w:rsidR="00F85D17" w:rsidRDefault="00F85D17" w:rsidP="00F85D17">
      <w:pPr>
        <w:autoSpaceDE w:val="0"/>
        <w:autoSpaceDN w:val="0"/>
        <w:adjustRightInd w:val="0"/>
        <w:spacing w:after="0" w:line="240" w:lineRule="auto"/>
        <w:ind w:left="-425" w:right="119"/>
        <w:contextualSpacing/>
        <w:rPr>
          <w:rFonts w:cstheme="minorHAnsi"/>
          <w:color w:val="006666"/>
          <w:sz w:val="20"/>
          <w:szCs w:val="20"/>
        </w:rPr>
      </w:pPr>
    </w:p>
    <w:p w14:paraId="20B98122" w14:textId="77777777" w:rsidR="003C71FB" w:rsidRDefault="003C71FB" w:rsidP="00F41D1D">
      <w:pPr>
        <w:autoSpaceDE w:val="0"/>
        <w:autoSpaceDN w:val="0"/>
        <w:adjustRightInd w:val="0"/>
        <w:spacing w:after="0" w:line="240" w:lineRule="auto"/>
        <w:ind w:left="-425" w:right="119"/>
        <w:contextualSpacing/>
        <w:rPr>
          <w:rFonts w:cstheme="minorHAnsi"/>
          <w:color w:val="006666"/>
          <w:sz w:val="20"/>
          <w:szCs w:val="20"/>
        </w:rPr>
      </w:pPr>
    </w:p>
    <w:p w14:paraId="2725B1A8" w14:textId="5B7DE942" w:rsidR="00F85D17" w:rsidRDefault="00F85D17" w:rsidP="009616CE">
      <w:pPr>
        <w:autoSpaceDE w:val="0"/>
        <w:autoSpaceDN w:val="0"/>
        <w:adjustRightInd w:val="0"/>
        <w:spacing w:after="0" w:line="240" w:lineRule="auto"/>
        <w:ind w:left="-425" w:right="119"/>
        <w:contextualSpacing/>
        <w:rPr>
          <w:rFonts w:cstheme="minorHAnsi"/>
          <w:color w:val="006666"/>
          <w:sz w:val="20"/>
          <w:szCs w:val="20"/>
        </w:rPr>
      </w:pPr>
      <w:r>
        <w:rPr>
          <w:rFonts w:cstheme="minorHAnsi"/>
          <w:color w:val="006666"/>
          <w:sz w:val="20"/>
          <w:szCs w:val="20"/>
        </w:rPr>
        <w:t xml:space="preserve">In its current form, the regulatory buy-in requirements would have </w:t>
      </w:r>
      <w:r w:rsidR="00343F33">
        <w:rPr>
          <w:rFonts w:cstheme="minorHAnsi"/>
          <w:color w:val="006666"/>
          <w:sz w:val="20"/>
          <w:szCs w:val="20"/>
        </w:rPr>
        <w:t xml:space="preserve">severe </w:t>
      </w:r>
      <w:r>
        <w:rPr>
          <w:rFonts w:cstheme="minorHAnsi"/>
          <w:color w:val="006666"/>
          <w:sz w:val="20"/>
          <w:szCs w:val="20"/>
        </w:rPr>
        <w:t xml:space="preserve">adverse effects on efficiency and liquidity </w:t>
      </w:r>
      <w:r w:rsidR="00EB1AD0">
        <w:rPr>
          <w:rFonts w:cstheme="minorHAnsi"/>
          <w:color w:val="006666"/>
          <w:sz w:val="20"/>
          <w:szCs w:val="20"/>
        </w:rPr>
        <w:t xml:space="preserve">of the market </w:t>
      </w:r>
      <w:r w:rsidR="00343F33">
        <w:rPr>
          <w:rFonts w:cstheme="minorHAnsi"/>
          <w:color w:val="006666"/>
          <w:sz w:val="20"/>
          <w:szCs w:val="20"/>
        </w:rPr>
        <w:t xml:space="preserve">(as discussed in </w:t>
      </w:r>
      <w:r w:rsidR="00BF1AA3">
        <w:rPr>
          <w:rFonts w:cstheme="minorHAnsi"/>
          <w:color w:val="006666"/>
          <w:sz w:val="20"/>
          <w:szCs w:val="20"/>
        </w:rPr>
        <w:t xml:space="preserve">more detail </w:t>
      </w:r>
      <w:r w:rsidR="00EB1AD0">
        <w:rPr>
          <w:rFonts w:cstheme="minorHAnsi"/>
          <w:color w:val="006666"/>
          <w:sz w:val="20"/>
          <w:szCs w:val="20"/>
        </w:rPr>
        <w:t>in the response to</w:t>
      </w:r>
      <w:r w:rsidR="008F2489">
        <w:rPr>
          <w:rFonts w:cstheme="minorHAnsi"/>
          <w:color w:val="006666"/>
          <w:sz w:val="20"/>
          <w:szCs w:val="20"/>
        </w:rPr>
        <w:t xml:space="preserve"> Question 35</w:t>
      </w:r>
      <w:r w:rsidR="00BF1AA3">
        <w:rPr>
          <w:rFonts w:cstheme="minorHAnsi"/>
          <w:color w:val="006666"/>
          <w:sz w:val="20"/>
          <w:szCs w:val="20"/>
        </w:rPr>
        <w:t xml:space="preserve">) </w:t>
      </w:r>
      <w:r>
        <w:rPr>
          <w:rFonts w:cstheme="minorHAnsi"/>
          <w:color w:val="006666"/>
          <w:sz w:val="20"/>
          <w:szCs w:val="20"/>
        </w:rPr>
        <w:t xml:space="preserve">and would require substantial revisions and further clarity from the Commission around the scope and outstanding issues, with regards to the asymmetry of buy-in payments and cash compensation differences, as well as the ability to pass on a buy-in request. </w:t>
      </w:r>
      <w:r w:rsidR="00203EDB">
        <w:rPr>
          <w:rFonts w:cstheme="minorHAnsi"/>
          <w:color w:val="006666"/>
          <w:sz w:val="20"/>
          <w:szCs w:val="20"/>
        </w:rPr>
        <w:t xml:space="preserve">If </w:t>
      </w:r>
      <w:r>
        <w:rPr>
          <w:rFonts w:cstheme="minorHAnsi"/>
          <w:color w:val="006666"/>
          <w:sz w:val="20"/>
          <w:szCs w:val="20"/>
        </w:rPr>
        <w:t>changes are to be made, this</w:t>
      </w:r>
      <w:r w:rsidR="00240E32">
        <w:rPr>
          <w:rFonts w:cstheme="minorHAnsi"/>
          <w:color w:val="006666"/>
          <w:sz w:val="20"/>
          <w:szCs w:val="20"/>
        </w:rPr>
        <w:t xml:space="preserve"> will</w:t>
      </w:r>
      <w:r>
        <w:rPr>
          <w:rFonts w:cstheme="minorHAnsi"/>
          <w:color w:val="006666"/>
          <w:sz w:val="20"/>
          <w:szCs w:val="20"/>
        </w:rPr>
        <w:t xml:space="preserve"> require extensive technology builds and trigger a further re-papering exercise to ensure the requirements of Article 25 of the RTS are met. Preparing from a technolog</w:t>
      </w:r>
      <w:r w:rsidR="00240E32">
        <w:rPr>
          <w:rFonts w:cstheme="minorHAnsi"/>
          <w:color w:val="006666"/>
          <w:sz w:val="20"/>
          <w:szCs w:val="20"/>
        </w:rPr>
        <w:t xml:space="preserve">ical </w:t>
      </w:r>
      <w:r w:rsidRPr="00C927BF">
        <w:rPr>
          <w:rFonts w:cstheme="minorHAnsi"/>
          <w:color w:val="006666"/>
          <w:sz w:val="20"/>
          <w:szCs w:val="20"/>
        </w:rPr>
        <w:t>or legal perspective for implementation in 2022, when the</w:t>
      </w:r>
      <w:r w:rsidR="006E0C2E" w:rsidRPr="00C927BF">
        <w:rPr>
          <w:rFonts w:cstheme="minorHAnsi"/>
          <w:color w:val="006666"/>
          <w:sz w:val="20"/>
          <w:szCs w:val="20"/>
        </w:rPr>
        <w:t>re</w:t>
      </w:r>
      <w:r w:rsidRPr="00C927BF">
        <w:rPr>
          <w:rFonts w:cstheme="minorHAnsi"/>
          <w:color w:val="006666"/>
          <w:sz w:val="20"/>
          <w:szCs w:val="20"/>
        </w:rPr>
        <w:t xml:space="preserve"> may be further amendments, is unfeasible and impractical</w:t>
      </w:r>
      <w:r w:rsidR="00240E32" w:rsidRPr="00C927BF">
        <w:rPr>
          <w:rFonts w:cstheme="minorHAnsi"/>
          <w:color w:val="006666"/>
          <w:sz w:val="20"/>
          <w:szCs w:val="20"/>
        </w:rPr>
        <w:t xml:space="preserve"> for the industry. </w:t>
      </w:r>
      <w:r w:rsidRPr="00C927BF">
        <w:rPr>
          <w:rFonts w:cstheme="minorHAnsi"/>
          <w:color w:val="006666"/>
          <w:sz w:val="20"/>
          <w:szCs w:val="20"/>
        </w:rPr>
        <w:t>Onc</w:t>
      </w:r>
      <w:r w:rsidR="009616CE">
        <w:rPr>
          <w:rFonts w:cstheme="minorHAnsi"/>
          <w:color w:val="006666"/>
          <w:sz w:val="20"/>
          <w:szCs w:val="20"/>
        </w:rPr>
        <w:t>e</w:t>
      </w:r>
      <w:r w:rsidRPr="00C927BF">
        <w:rPr>
          <w:rFonts w:cstheme="minorHAnsi"/>
          <w:color w:val="006666"/>
          <w:sz w:val="20"/>
          <w:szCs w:val="20"/>
        </w:rPr>
        <w:t xml:space="preserve"> an impact </w:t>
      </w:r>
      <w:r w:rsidRPr="00C927BF">
        <w:rPr>
          <w:rFonts w:cstheme="minorHAnsi"/>
          <w:color w:val="006666"/>
          <w:sz w:val="20"/>
          <w:szCs w:val="20"/>
        </w:rPr>
        <w:lastRenderedPageBreak/>
        <w:t>assessment has been performed on the effects of the penalty regime, ISLA support empowering ESMA</w:t>
      </w:r>
      <w:r>
        <w:rPr>
          <w:rFonts w:cstheme="minorHAnsi"/>
          <w:color w:val="006666"/>
          <w:sz w:val="20"/>
          <w:szCs w:val="20"/>
        </w:rPr>
        <w:t xml:space="preserve"> to recalibrate efficiency rates where necessary. </w:t>
      </w:r>
    </w:p>
    <w:p w14:paraId="6C1D3F7D" w14:textId="77777777" w:rsidR="00F85D17" w:rsidRDefault="00F85D17" w:rsidP="00F85D17">
      <w:pPr>
        <w:autoSpaceDE w:val="0"/>
        <w:autoSpaceDN w:val="0"/>
        <w:adjustRightInd w:val="0"/>
        <w:spacing w:after="0" w:line="240" w:lineRule="auto"/>
        <w:ind w:left="-425" w:right="119"/>
        <w:contextualSpacing/>
        <w:rPr>
          <w:rFonts w:cstheme="minorHAnsi"/>
          <w:color w:val="006666"/>
          <w:sz w:val="20"/>
          <w:szCs w:val="20"/>
        </w:rPr>
      </w:pPr>
    </w:p>
    <w:p w14:paraId="391986DC" w14:textId="2B190DE1" w:rsidR="00F85D17" w:rsidRPr="009110FD" w:rsidRDefault="00F85D17" w:rsidP="00F85D17">
      <w:pPr>
        <w:autoSpaceDE w:val="0"/>
        <w:autoSpaceDN w:val="0"/>
        <w:adjustRightInd w:val="0"/>
        <w:spacing w:after="0" w:line="240" w:lineRule="auto"/>
        <w:ind w:left="-425" w:right="119"/>
        <w:contextualSpacing/>
        <w:rPr>
          <w:rFonts w:cstheme="minorHAnsi"/>
          <w:color w:val="006666"/>
          <w:sz w:val="20"/>
          <w:szCs w:val="20"/>
        </w:rPr>
      </w:pPr>
      <w:r>
        <w:rPr>
          <w:rFonts w:cstheme="minorHAnsi"/>
          <w:color w:val="006666"/>
          <w:sz w:val="20"/>
          <w:szCs w:val="20"/>
        </w:rPr>
        <w:t>ISLA do not support the introduction of a regulatory buy-in for securities financing transactions</w:t>
      </w:r>
      <w:r w:rsidR="00794399">
        <w:rPr>
          <w:rFonts w:cstheme="minorHAnsi"/>
          <w:color w:val="006666"/>
          <w:sz w:val="20"/>
          <w:szCs w:val="20"/>
        </w:rPr>
        <w:t>,</w:t>
      </w:r>
      <w:r>
        <w:rPr>
          <w:rFonts w:cstheme="minorHAnsi"/>
          <w:color w:val="006666"/>
          <w:sz w:val="20"/>
          <w:szCs w:val="20"/>
        </w:rPr>
        <w:t xml:space="preserve"> as </w:t>
      </w:r>
      <w:r w:rsidR="00120027">
        <w:rPr>
          <w:rFonts w:cstheme="minorHAnsi"/>
          <w:color w:val="006666"/>
          <w:sz w:val="20"/>
          <w:szCs w:val="20"/>
        </w:rPr>
        <w:t>stock loan</w:t>
      </w:r>
      <w:r w:rsidR="00BE5DB0">
        <w:rPr>
          <w:rFonts w:cstheme="minorHAnsi"/>
          <w:color w:val="006666"/>
          <w:sz w:val="20"/>
          <w:szCs w:val="20"/>
        </w:rPr>
        <w:t xml:space="preserve"> activity</w:t>
      </w:r>
      <w:r w:rsidR="00E446FC">
        <w:rPr>
          <w:rFonts w:cstheme="minorHAnsi"/>
          <w:color w:val="006666"/>
          <w:sz w:val="20"/>
          <w:szCs w:val="20"/>
        </w:rPr>
        <w:t xml:space="preserve"> supports </w:t>
      </w:r>
      <w:r w:rsidR="00C439A4">
        <w:rPr>
          <w:rFonts w:cstheme="minorHAnsi"/>
          <w:color w:val="006666"/>
          <w:sz w:val="20"/>
          <w:szCs w:val="20"/>
        </w:rPr>
        <w:t xml:space="preserve">both an </w:t>
      </w:r>
      <w:r>
        <w:rPr>
          <w:rFonts w:cstheme="minorHAnsi"/>
          <w:color w:val="006666"/>
          <w:sz w:val="20"/>
          <w:szCs w:val="20"/>
        </w:rPr>
        <w:t>increase</w:t>
      </w:r>
      <w:r w:rsidR="00C439A4">
        <w:rPr>
          <w:rFonts w:cstheme="minorHAnsi"/>
          <w:color w:val="006666"/>
          <w:sz w:val="20"/>
          <w:szCs w:val="20"/>
        </w:rPr>
        <w:t xml:space="preserve"> in </w:t>
      </w:r>
      <w:r>
        <w:rPr>
          <w:rFonts w:cstheme="minorHAnsi"/>
          <w:color w:val="006666"/>
          <w:sz w:val="20"/>
          <w:szCs w:val="20"/>
        </w:rPr>
        <w:t xml:space="preserve">liquidity and </w:t>
      </w:r>
      <w:r w:rsidR="00C439A4">
        <w:rPr>
          <w:rFonts w:cstheme="minorHAnsi"/>
          <w:color w:val="006666"/>
          <w:sz w:val="20"/>
          <w:szCs w:val="20"/>
        </w:rPr>
        <w:t xml:space="preserve">a </w:t>
      </w:r>
      <w:r w:rsidR="00074731">
        <w:rPr>
          <w:rFonts w:cstheme="minorHAnsi"/>
          <w:color w:val="006666"/>
          <w:sz w:val="20"/>
          <w:szCs w:val="20"/>
        </w:rPr>
        <w:t>reduc</w:t>
      </w:r>
      <w:r w:rsidR="00C439A4">
        <w:rPr>
          <w:rFonts w:cstheme="minorHAnsi"/>
          <w:color w:val="006666"/>
          <w:sz w:val="20"/>
          <w:szCs w:val="20"/>
        </w:rPr>
        <w:t>tion</w:t>
      </w:r>
      <w:r w:rsidR="00074731">
        <w:rPr>
          <w:rFonts w:cstheme="minorHAnsi"/>
          <w:color w:val="006666"/>
          <w:sz w:val="20"/>
          <w:szCs w:val="20"/>
        </w:rPr>
        <w:t xml:space="preserve"> </w:t>
      </w:r>
      <w:r w:rsidR="00EF71E3">
        <w:rPr>
          <w:rFonts w:cstheme="minorHAnsi"/>
          <w:color w:val="006666"/>
          <w:sz w:val="20"/>
          <w:szCs w:val="20"/>
        </w:rPr>
        <w:t xml:space="preserve">of </w:t>
      </w:r>
      <w:r w:rsidR="00074731">
        <w:rPr>
          <w:rFonts w:cstheme="minorHAnsi"/>
          <w:color w:val="006666"/>
          <w:sz w:val="20"/>
          <w:szCs w:val="20"/>
        </w:rPr>
        <w:t>settlement fails in the primary market</w:t>
      </w:r>
      <w:r w:rsidR="00473E67">
        <w:rPr>
          <w:rFonts w:cstheme="minorHAnsi"/>
          <w:color w:val="006666"/>
          <w:sz w:val="20"/>
          <w:szCs w:val="20"/>
        </w:rPr>
        <w:t xml:space="preserve">. </w:t>
      </w:r>
      <w:r w:rsidR="00C374B3">
        <w:rPr>
          <w:rFonts w:cstheme="minorHAnsi"/>
          <w:color w:val="006666"/>
          <w:sz w:val="20"/>
          <w:szCs w:val="20"/>
        </w:rPr>
        <w:t xml:space="preserve">As such </w:t>
      </w:r>
      <w:r w:rsidR="002C17B2">
        <w:rPr>
          <w:rFonts w:cstheme="minorHAnsi"/>
          <w:color w:val="006666"/>
          <w:sz w:val="20"/>
          <w:szCs w:val="20"/>
        </w:rPr>
        <w:t>the</w:t>
      </w:r>
      <w:r w:rsidR="00C374B3">
        <w:rPr>
          <w:rFonts w:cstheme="minorHAnsi"/>
          <w:color w:val="006666"/>
          <w:sz w:val="20"/>
          <w:szCs w:val="20"/>
        </w:rPr>
        <w:t xml:space="preserve"> </w:t>
      </w:r>
      <w:r w:rsidR="00CB2EBA">
        <w:rPr>
          <w:rFonts w:cstheme="minorHAnsi"/>
          <w:color w:val="006666"/>
          <w:sz w:val="20"/>
          <w:szCs w:val="20"/>
        </w:rPr>
        <w:t>scope of</w:t>
      </w:r>
      <w:r w:rsidR="00286813">
        <w:rPr>
          <w:rFonts w:cstheme="minorHAnsi"/>
          <w:color w:val="006666"/>
          <w:sz w:val="20"/>
          <w:szCs w:val="20"/>
        </w:rPr>
        <w:t xml:space="preserve"> the</w:t>
      </w:r>
      <w:r w:rsidR="00CB2EBA">
        <w:rPr>
          <w:rFonts w:cstheme="minorHAnsi"/>
          <w:color w:val="006666"/>
          <w:sz w:val="20"/>
          <w:szCs w:val="20"/>
        </w:rPr>
        <w:t xml:space="preserve"> SDR</w:t>
      </w:r>
      <w:r>
        <w:rPr>
          <w:rFonts w:cstheme="minorHAnsi"/>
          <w:color w:val="006666"/>
          <w:sz w:val="20"/>
          <w:szCs w:val="20"/>
        </w:rPr>
        <w:t xml:space="preserve"> should </w:t>
      </w:r>
      <w:r w:rsidR="00C674D2">
        <w:rPr>
          <w:rFonts w:cstheme="minorHAnsi"/>
          <w:color w:val="006666"/>
          <w:sz w:val="20"/>
          <w:szCs w:val="20"/>
        </w:rPr>
        <w:t xml:space="preserve">distinguish </w:t>
      </w:r>
      <w:r>
        <w:rPr>
          <w:rFonts w:cstheme="minorHAnsi"/>
          <w:color w:val="006666"/>
          <w:sz w:val="20"/>
          <w:szCs w:val="20"/>
        </w:rPr>
        <w:t>between regular cash trades</w:t>
      </w:r>
      <w:r w:rsidR="00C674D2">
        <w:rPr>
          <w:rFonts w:cstheme="minorHAnsi"/>
          <w:color w:val="006666"/>
          <w:sz w:val="20"/>
          <w:szCs w:val="20"/>
        </w:rPr>
        <w:t xml:space="preserve"> and </w:t>
      </w:r>
      <w:r w:rsidR="00475511">
        <w:rPr>
          <w:rFonts w:cstheme="minorHAnsi"/>
          <w:color w:val="006666"/>
          <w:sz w:val="20"/>
          <w:szCs w:val="20"/>
        </w:rPr>
        <w:t xml:space="preserve">securities </w:t>
      </w:r>
      <w:r w:rsidR="00EB1AD0">
        <w:rPr>
          <w:rFonts w:cstheme="minorHAnsi"/>
          <w:color w:val="006666"/>
          <w:sz w:val="20"/>
          <w:szCs w:val="20"/>
        </w:rPr>
        <w:t xml:space="preserve">financing </w:t>
      </w:r>
      <w:r w:rsidR="00475511">
        <w:rPr>
          <w:rFonts w:cstheme="minorHAnsi"/>
          <w:color w:val="006666"/>
          <w:sz w:val="20"/>
          <w:szCs w:val="20"/>
        </w:rPr>
        <w:t>transactions</w:t>
      </w:r>
      <w:r>
        <w:rPr>
          <w:rFonts w:cstheme="minorHAnsi"/>
          <w:color w:val="006666"/>
          <w:sz w:val="20"/>
          <w:szCs w:val="20"/>
        </w:rPr>
        <w:t xml:space="preserve">. The </w:t>
      </w:r>
      <w:r w:rsidR="001702B8">
        <w:rPr>
          <w:rFonts w:cstheme="minorHAnsi"/>
          <w:color w:val="006666"/>
          <w:sz w:val="20"/>
          <w:szCs w:val="20"/>
        </w:rPr>
        <w:t>securities lending</w:t>
      </w:r>
      <w:r>
        <w:rPr>
          <w:rFonts w:cstheme="minorHAnsi"/>
          <w:color w:val="006666"/>
          <w:sz w:val="20"/>
          <w:szCs w:val="20"/>
        </w:rPr>
        <w:t xml:space="preserve"> market </w:t>
      </w:r>
      <w:r w:rsidR="00FD73CC">
        <w:rPr>
          <w:rFonts w:cstheme="minorHAnsi"/>
          <w:color w:val="006666"/>
          <w:sz w:val="20"/>
          <w:szCs w:val="20"/>
        </w:rPr>
        <w:t>has</w:t>
      </w:r>
      <w:r>
        <w:rPr>
          <w:rFonts w:cstheme="minorHAnsi"/>
          <w:color w:val="006666"/>
          <w:sz w:val="20"/>
          <w:szCs w:val="20"/>
        </w:rPr>
        <w:t xml:space="preserve"> contractual remedies in place </w:t>
      </w:r>
      <w:r w:rsidR="001702B8">
        <w:rPr>
          <w:rFonts w:cstheme="minorHAnsi"/>
          <w:color w:val="006666"/>
          <w:sz w:val="20"/>
          <w:szCs w:val="20"/>
        </w:rPr>
        <w:t>(</w:t>
      </w:r>
      <w:hyperlink r:id="rId18" w:history="1">
        <w:r w:rsidR="00EB1D2B" w:rsidRPr="00C53819">
          <w:rPr>
            <w:rStyle w:val="Hyperlink"/>
            <w:rFonts w:cstheme="minorHAnsi"/>
            <w:sz w:val="20"/>
            <w:szCs w:val="20"/>
          </w:rPr>
          <w:t>GMSLA</w:t>
        </w:r>
      </w:hyperlink>
      <w:r w:rsidR="001702B8">
        <w:rPr>
          <w:rFonts w:cstheme="minorHAnsi"/>
          <w:color w:val="006666"/>
          <w:sz w:val="20"/>
          <w:szCs w:val="20"/>
        </w:rPr>
        <w:t>)</w:t>
      </w:r>
      <w:r w:rsidR="00EB1D2B">
        <w:rPr>
          <w:rFonts w:cstheme="minorHAnsi"/>
          <w:color w:val="006666"/>
          <w:sz w:val="20"/>
          <w:szCs w:val="20"/>
        </w:rPr>
        <w:t xml:space="preserve"> </w:t>
      </w:r>
      <w:r>
        <w:rPr>
          <w:rFonts w:cstheme="minorHAnsi"/>
          <w:color w:val="006666"/>
          <w:sz w:val="20"/>
          <w:szCs w:val="20"/>
        </w:rPr>
        <w:t xml:space="preserve">that are designed to provide parties with the necessary </w:t>
      </w:r>
      <w:r w:rsidR="00BF62DD">
        <w:rPr>
          <w:rFonts w:cstheme="minorHAnsi"/>
          <w:color w:val="006666"/>
          <w:sz w:val="20"/>
          <w:szCs w:val="20"/>
        </w:rPr>
        <w:t>option</w:t>
      </w:r>
      <w:r w:rsidR="00775B4F">
        <w:rPr>
          <w:rFonts w:cstheme="minorHAnsi"/>
          <w:color w:val="006666"/>
          <w:sz w:val="20"/>
          <w:szCs w:val="20"/>
        </w:rPr>
        <w:t>ality</w:t>
      </w:r>
      <w:r w:rsidR="00794399">
        <w:rPr>
          <w:rFonts w:cstheme="minorHAnsi"/>
          <w:color w:val="006666"/>
          <w:sz w:val="20"/>
          <w:szCs w:val="20"/>
        </w:rPr>
        <w:t>,</w:t>
      </w:r>
      <w:r>
        <w:rPr>
          <w:rFonts w:cstheme="minorHAnsi"/>
          <w:color w:val="006666"/>
          <w:sz w:val="20"/>
          <w:szCs w:val="20"/>
        </w:rPr>
        <w:t xml:space="preserve"> in relation to failing transactions that occur</w:t>
      </w:r>
      <w:r w:rsidR="001702B8">
        <w:rPr>
          <w:rFonts w:cstheme="minorHAnsi"/>
          <w:color w:val="006666"/>
          <w:sz w:val="20"/>
          <w:szCs w:val="20"/>
        </w:rPr>
        <w:t>, as detailed further below</w:t>
      </w:r>
      <w:r>
        <w:rPr>
          <w:rFonts w:cstheme="minorHAnsi"/>
          <w:color w:val="006666"/>
          <w:sz w:val="20"/>
          <w:szCs w:val="20"/>
        </w:rPr>
        <w:t xml:space="preserve">. Furthermore, </w:t>
      </w:r>
      <w:r w:rsidR="00A51CE5">
        <w:rPr>
          <w:rFonts w:cstheme="minorHAnsi"/>
          <w:color w:val="006666"/>
          <w:sz w:val="20"/>
          <w:szCs w:val="20"/>
        </w:rPr>
        <w:t>the industry</w:t>
      </w:r>
      <w:r>
        <w:rPr>
          <w:rFonts w:cstheme="minorHAnsi"/>
          <w:color w:val="006666"/>
          <w:sz w:val="20"/>
          <w:szCs w:val="20"/>
        </w:rPr>
        <w:t xml:space="preserve"> </w:t>
      </w:r>
      <w:r w:rsidR="00C53819">
        <w:rPr>
          <w:rFonts w:cstheme="minorHAnsi"/>
          <w:color w:val="006666"/>
          <w:sz w:val="20"/>
          <w:szCs w:val="20"/>
        </w:rPr>
        <w:t>has</w:t>
      </w:r>
      <w:r>
        <w:rPr>
          <w:rFonts w:cstheme="minorHAnsi"/>
          <w:color w:val="006666"/>
          <w:sz w:val="20"/>
          <w:szCs w:val="20"/>
        </w:rPr>
        <w:t xml:space="preserve"> effective market practices in place and a sufficient framework that effectively aligns with the </w:t>
      </w:r>
      <w:r w:rsidR="00AF1334">
        <w:rPr>
          <w:rFonts w:cstheme="minorHAnsi"/>
          <w:color w:val="006666"/>
          <w:sz w:val="20"/>
          <w:szCs w:val="20"/>
        </w:rPr>
        <w:t>spirit of the SDR</w:t>
      </w:r>
      <w:r w:rsidR="00A51CE5">
        <w:rPr>
          <w:rFonts w:cstheme="minorHAnsi"/>
          <w:color w:val="006666"/>
          <w:sz w:val="20"/>
          <w:szCs w:val="20"/>
        </w:rPr>
        <w:t>,</w:t>
      </w:r>
      <w:r>
        <w:rPr>
          <w:rFonts w:cstheme="minorHAnsi"/>
          <w:color w:val="006666"/>
          <w:sz w:val="20"/>
          <w:szCs w:val="20"/>
        </w:rPr>
        <w:t xml:space="preserve"> to improve settlement efficiency.</w:t>
      </w:r>
    </w:p>
    <w:p w14:paraId="5048BF44" w14:textId="77777777" w:rsidR="00F85D17" w:rsidRDefault="00F85D17" w:rsidP="00EA25FA">
      <w:pPr>
        <w:autoSpaceDE w:val="0"/>
        <w:autoSpaceDN w:val="0"/>
        <w:adjustRightInd w:val="0"/>
        <w:spacing w:after="0" w:line="240" w:lineRule="auto"/>
        <w:ind w:left="-426" w:right="119"/>
        <w:rPr>
          <w:rFonts w:cstheme="minorHAnsi"/>
          <w:color w:val="000000"/>
          <w:sz w:val="20"/>
          <w:szCs w:val="20"/>
        </w:rPr>
      </w:pPr>
    </w:p>
    <w:p w14:paraId="2E6ECC21" w14:textId="29A00D8D" w:rsidR="005D5D0A" w:rsidRPr="00EC1EE2" w:rsidRDefault="005D5D0A" w:rsidP="00EA25FA">
      <w:pPr>
        <w:autoSpaceDE w:val="0"/>
        <w:autoSpaceDN w:val="0"/>
        <w:adjustRightInd w:val="0"/>
        <w:spacing w:after="0" w:line="240" w:lineRule="auto"/>
        <w:ind w:left="-426" w:right="119"/>
        <w:rPr>
          <w:rFonts w:cstheme="minorHAnsi"/>
          <w:b/>
          <w:color w:val="006666"/>
          <w:sz w:val="20"/>
          <w:szCs w:val="20"/>
          <w:u w:val="single"/>
        </w:rPr>
      </w:pPr>
      <w:r w:rsidRPr="00EC1EE2">
        <w:rPr>
          <w:rFonts w:cstheme="minorHAnsi"/>
          <w:b/>
          <w:color w:val="006666"/>
          <w:sz w:val="20"/>
          <w:szCs w:val="20"/>
          <w:u w:val="single"/>
        </w:rPr>
        <w:t>Buy-ins</w:t>
      </w:r>
      <w:r w:rsidR="003606F6">
        <w:rPr>
          <w:rFonts w:cstheme="minorHAnsi"/>
          <w:b/>
          <w:color w:val="006666"/>
          <w:sz w:val="20"/>
          <w:szCs w:val="20"/>
          <w:u w:val="single"/>
        </w:rPr>
        <w:t>:</w:t>
      </w:r>
    </w:p>
    <w:p w14:paraId="7C576D56" w14:textId="77777777" w:rsidR="0027217A" w:rsidRDefault="0027217A" w:rsidP="00F85D17">
      <w:pPr>
        <w:autoSpaceDE w:val="0"/>
        <w:autoSpaceDN w:val="0"/>
        <w:adjustRightInd w:val="0"/>
        <w:spacing w:after="0" w:line="240" w:lineRule="auto"/>
        <w:ind w:right="119"/>
        <w:contextualSpacing/>
        <w:rPr>
          <w:rFonts w:ascii="Calibri" w:eastAsia="Times New Roman" w:hAnsi="Calibri" w:cs="Calibri"/>
          <w:color w:val="006666"/>
          <w:sz w:val="20"/>
          <w:szCs w:val="20"/>
          <w:lang w:eastAsia="en-GB"/>
        </w:rPr>
      </w:pPr>
    </w:p>
    <w:p w14:paraId="4AA6C691" w14:textId="55C2B416" w:rsidR="009B79D9" w:rsidRDefault="009B79D9" w:rsidP="009C76F5">
      <w:pPr>
        <w:autoSpaceDE w:val="0"/>
        <w:autoSpaceDN w:val="0"/>
        <w:adjustRightInd w:val="0"/>
        <w:spacing w:after="0" w:line="240" w:lineRule="auto"/>
        <w:ind w:left="-425" w:right="119"/>
        <w:contextualSpacing/>
        <w:rPr>
          <w:rFonts w:cs="Calibri"/>
          <w:color w:val="006666"/>
          <w:sz w:val="20"/>
          <w:szCs w:val="20"/>
        </w:rPr>
      </w:pPr>
      <w:r>
        <w:rPr>
          <w:rFonts w:cs="Calibri"/>
          <w:color w:val="006666"/>
          <w:sz w:val="20"/>
          <w:szCs w:val="20"/>
        </w:rPr>
        <w:t xml:space="preserve">If a buy-in is introduced, and it is to apply to securities lending, ISLA </w:t>
      </w:r>
      <w:r w:rsidR="0069386F">
        <w:rPr>
          <w:rFonts w:cs="Calibri"/>
          <w:color w:val="006666"/>
          <w:sz w:val="20"/>
          <w:szCs w:val="20"/>
        </w:rPr>
        <w:t xml:space="preserve">would </w:t>
      </w:r>
      <w:r w:rsidR="005B16E7" w:rsidRPr="005B16E7">
        <w:rPr>
          <w:rFonts w:cs="Calibri"/>
          <w:color w:val="006666"/>
          <w:sz w:val="20"/>
          <w:szCs w:val="20"/>
        </w:rPr>
        <w:t>recommend</w:t>
      </w:r>
      <w:r w:rsidR="0069386F">
        <w:rPr>
          <w:rFonts w:cs="Calibri"/>
          <w:color w:val="006666"/>
          <w:sz w:val="20"/>
          <w:szCs w:val="20"/>
        </w:rPr>
        <w:t xml:space="preserve"> </w:t>
      </w:r>
      <w:r w:rsidR="00AA1988">
        <w:rPr>
          <w:rFonts w:cs="Calibri"/>
          <w:color w:val="006666"/>
          <w:sz w:val="20"/>
          <w:szCs w:val="20"/>
        </w:rPr>
        <w:t>that</w:t>
      </w:r>
      <w:r>
        <w:rPr>
          <w:rFonts w:cs="Calibri"/>
          <w:color w:val="006666"/>
          <w:sz w:val="20"/>
          <w:szCs w:val="20"/>
        </w:rPr>
        <w:t xml:space="preserve"> a voluntary mechanism </w:t>
      </w:r>
      <w:r w:rsidR="00AA1988">
        <w:rPr>
          <w:rFonts w:cs="Calibri"/>
          <w:color w:val="006666"/>
          <w:sz w:val="20"/>
          <w:szCs w:val="20"/>
        </w:rPr>
        <w:t>be</w:t>
      </w:r>
      <w:r w:rsidR="00434870">
        <w:rPr>
          <w:rFonts w:cs="Calibri"/>
          <w:color w:val="006666"/>
          <w:sz w:val="20"/>
          <w:szCs w:val="20"/>
        </w:rPr>
        <w:t xml:space="preserve"> </w:t>
      </w:r>
      <w:r w:rsidR="002F543E">
        <w:rPr>
          <w:rFonts w:cs="Calibri"/>
          <w:color w:val="006666"/>
          <w:sz w:val="20"/>
          <w:szCs w:val="20"/>
        </w:rPr>
        <w:t>implemented</w:t>
      </w:r>
      <w:r w:rsidR="008572AF">
        <w:rPr>
          <w:rFonts w:cs="Calibri"/>
          <w:color w:val="006666"/>
          <w:sz w:val="20"/>
          <w:szCs w:val="20"/>
        </w:rPr>
        <w:t xml:space="preserve"> that is </w:t>
      </w:r>
      <w:r w:rsidR="005D636B">
        <w:rPr>
          <w:rFonts w:cs="Calibri"/>
          <w:color w:val="006666"/>
          <w:sz w:val="20"/>
          <w:szCs w:val="20"/>
        </w:rPr>
        <w:t>equivalent</w:t>
      </w:r>
      <w:r w:rsidR="008B4ADE">
        <w:rPr>
          <w:rFonts w:cs="Calibri"/>
          <w:color w:val="006666"/>
          <w:sz w:val="20"/>
          <w:szCs w:val="20"/>
        </w:rPr>
        <w:t xml:space="preserve"> </w:t>
      </w:r>
      <w:r w:rsidR="005D636B">
        <w:rPr>
          <w:rFonts w:cs="Calibri"/>
          <w:color w:val="006666"/>
          <w:sz w:val="20"/>
          <w:szCs w:val="20"/>
        </w:rPr>
        <w:t xml:space="preserve">to </w:t>
      </w:r>
      <w:r w:rsidR="00D10455">
        <w:rPr>
          <w:rFonts w:cs="Calibri"/>
          <w:color w:val="006666"/>
          <w:sz w:val="20"/>
          <w:szCs w:val="20"/>
        </w:rPr>
        <w:t xml:space="preserve">current </w:t>
      </w:r>
      <w:r w:rsidR="005D636B">
        <w:rPr>
          <w:rFonts w:cs="Calibri"/>
          <w:color w:val="006666"/>
          <w:sz w:val="20"/>
          <w:szCs w:val="20"/>
        </w:rPr>
        <w:t xml:space="preserve">standard market </w:t>
      </w:r>
      <w:r w:rsidR="00D10455">
        <w:rPr>
          <w:rFonts w:cs="Calibri"/>
          <w:color w:val="006666"/>
          <w:sz w:val="20"/>
          <w:szCs w:val="20"/>
        </w:rPr>
        <w:t>practice</w:t>
      </w:r>
      <w:r w:rsidR="00C63F76">
        <w:rPr>
          <w:rFonts w:cs="Calibri"/>
          <w:color w:val="006666"/>
          <w:sz w:val="20"/>
          <w:szCs w:val="20"/>
        </w:rPr>
        <w:t xml:space="preserve"> </w:t>
      </w:r>
      <w:r w:rsidR="00C812CD">
        <w:rPr>
          <w:rFonts w:cs="Calibri"/>
          <w:color w:val="006666"/>
          <w:sz w:val="20"/>
          <w:szCs w:val="20"/>
        </w:rPr>
        <w:t>as opposed to a mandatory buy-in</w:t>
      </w:r>
      <w:r>
        <w:rPr>
          <w:rFonts w:cs="Calibri"/>
          <w:color w:val="006666"/>
          <w:sz w:val="20"/>
          <w:szCs w:val="20"/>
        </w:rPr>
        <w:t>.</w:t>
      </w:r>
      <w:r w:rsidR="004C4A94">
        <w:rPr>
          <w:rFonts w:cs="Calibri"/>
          <w:color w:val="006666"/>
          <w:sz w:val="20"/>
          <w:szCs w:val="20"/>
        </w:rPr>
        <w:t xml:space="preserve"> As </w:t>
      </w:r>
      <w:r w:rsidR="00B05BBB">
        <w:rPr>
          <w:rFonts w:cs="Calibri"/>
          <w:color w:val="006666"/>
          <w:sz w:val="20"/>
          <w:szCs w:val="20"/>
        </w:rPr>
        <w:t xml:space="preserve">noted elsewhere in </w:t>
      </w:r>
      <w:r w:rsidR="005268DD">
        <w:rPr>
          <w:rFonts w:cs="Calibri"/>
          <w:color w:val="006666"/>
          <w:sz w:val="20"/>
          <w:szCs w:val="20"/>
        </w:rPr>
        <w:t>our response</w:t>
      </w:r>
      <w:r w:rsidR="004C4A94">
        <w:rPr>
          <w:rFonts w:cs="Calibri"/>
          <w:color w:val="006666"/>
          <w:sz w:val="20"/>
          <w:szCs w:val="20"/>
        </w:rPr>
        <w:t>, a primary function of the securities lending market is to improve settlement efficiency</w:t>
      </w:r>
      <w:r w:rsidR="00B70547">
        <w:rPr>
          <w:rFonts w:cs="Calibri"/>
          <w:color w:val="006666"/>
          <w:sz w:val="20"/>
          <w:szCs w:val="20"/>
        </w:rPr>
        <w:t>. For this reason</w:t>
      </w:r>
      <w:r w:rsidR="004C4A94">
        <w:rPr>
          <w:rFonts w:cs="Calibri"/>
          <w:color w:val="006666"/>
          <w:sz w:val="20"/>
          <w:szCs w:val="20"/>
        </w:rPr>
        <w:t>, securities lending transaction</w:t>
      </w:r>
      <w:r w:rsidR="001C2661">
        <w:rPr>
          <w:rFonts w:cs="Calibri"/>
          <w:color w:val="006666"/>
          <w:sz w:val="20"/>
          <w:szCs w:val="20"/>
        </w:rPr>
        <w:t xml:space="preserve">s </w:t>
      </w:r>
      <w:r w:rsidR="0006516A">
        <w:rPr>
          <w:rFonts w:cs="Calibri"/>
          <w:color w:val="006666"/>
          <w:sz w:val="20"/>
          <w:szCs w:val="20"/>
        </w:rPr>
        <w:t>commonly</w:t>
      </w:r>
      <w:r w:rsidR="004C4A94">
        <w:rPr>
          <w:rFonts w:cs="Calibri"/>
          <w:color w:val="006666"/>
          <w:sz w:val="20"/>
          <w:szCs w:val="20"/>
        </w:rPr>
        <w:t xml:space="preserve"> </w:t>
      </w:r>
      <w:r w:rsidR="008D26E7">
        <w:rPr>
          <w:rFonts w:cs="Calibri"/>
          <w:color w:val="006666"/>
          <w:sz w:val="20"/>
          <w:szCs w:val="20"/>
        </w:rPr>
        <w:t xml:space="preserve">form </w:t>
      </w:r>
      <w:r w:rsidR="0006516A">
        <w:rPr>
          <w:rFonts w:cs="Calibri"/>
          <w:color w:val="006666"/>
          <w:sz w:val="20"/>
          <w:szCs w:val="20"/>
        </w:rPr>
        <w:t>a link in</w:t>
      </w:r>
      <w:r w:rsidR="004C4A94">
        <w:rPr>
          <w:rFonts w:cs="Calibri"/>
          <w:color w:val="006666"/>
          <w:sz w:val="20"/>
          <w:szCs w:val="20"/>
        </w:rPr>
        <w:t xml:space="preserve"> longer </w:t>
      </w:r>
      <w:r w:rsidR="002236D4">
        <w:rPr>
          <w:rFonts w:cs="Calibri"/>
          <w:color w:val="006666"/>
          <w:sz w:val="20"/>
          <w:szCs w:val="20"/>
        </w:rPr>
        <w:t xml:space="preserve">settlement </w:t>
      </w:r>
      <w:r w:rsidR="004C4A94">
        <w:rPr>
          <w:rFonts w:cs="Calibri"/>
          <w:color w:val="006666"/>
          <w:sz w:val="20"/>
          <w:szCs w:val="20"/>
        </w:rPr>
        <w:t>chain</w:t>
      </w:r>
      <w:r w:rsidR="003A5054">
        <w:rPr>
          <w:rFonts w:cs="Calibri"/>
          <w:color w:val="006666"/>
          <w:sz w:val="20"/>
          <w:szCs w:val="20"/>
        </w:rPr>
        <w:t>s</w:t>
      </w:r>
      <w:r w:rsidR="00BB00EC">
        <w:rPr>
          <w:rFonts w:cs="Calibri"/>
          <w:color w:val="006666"/>
          <w:sz w:val="20"/>
          <w:szCs w:val="20"/>
        </w:rPr>
        <w:t xml:space="preserve">. This </w:t>
      </w:r>
      <w:r w:rsidR="00A32B80">
        <w:rPr>
          <w:rFonts w:cs="Calibri"/>
          <w:color w:val="006666"/>
          <w:sz w:val="20"/>
          <w:szCs w:val="20"/>
        </w:rPr>
        <w:t>may</w:t>
      </w:r>
      <w:r w:rsidR="00BB00EC">
        <w:rPr>
          <w:rFonts w:cs="Calibri"/>
          <w:color w:val="006666"/>
          <w:sz w:val="20"/>
          <w:szCs w:val="20"/>
        </w:rPr>
        <w:t xml:space="preserve"> </w:t>
      </w:r>
      <w:r w:rsidR="000735F3">
        <w:rPr>
          <w:rFonts w:cs="Calibri"/>
          <w:color w:val="006666"/>
          <w:sz w:val="20"/>
          <w:szCs w:val="20"/>
        </w:rPr>
        <w:t xml:space="preserve">then </w:t>
      </w:r>
      <w:r w:rsidR="00771E61">
        <w:rPr>
          <w:rFonts w:cs="Calibri"/>
          <w:color w:val="006666"/>
          <w:sz w:val="20"/>
          <w:szCs w:val="20"/>
        </w:rPr>
        <w:t>introduce</w:t>
      </w:r>
      <w:r w:rsidR="004C4A94">
        <w:rPr>
          <w:rFonts w:cs="Calibri"/>
          <w:color w:val="006666"/>
          <w:sz w:val="20"/>
          <w:szCs w:val="20"/>
        </w:rPr>
        <w:t xml:space="preserve"> </w:t>
      </w:r>
      <w:r w:rsidR="000735F3">
        <w:rPr>
          <w:rFonts w:cs="Calibri"/>
          <w:color w:val="006666"/>
          <w:sz w:val="20"/>
          <w:szCs w:val="20"/>
        </w:rPr>
        <w:t xml:space="preserve">a degree of </w:t>
      </w:r>
      <w:r w:rsidR="009E25F1">
        <w:rPr>
          <w:rFonts w:cs="Calibri"/>
          <w:color w:val="006666"/>
          <w:sz w:val="20"/>
          <w:szCs w:val="20"/>
        </w:rPr>
        <w:t>settlement exposure to counterparts</w:t>
      </w:r>
      <w:r w:rsidR="004C4A94">
        <w:rPr>
          <w:rFonts w:cs="Calibri"/>
          <w:color w:val="006666"/>
          <w:sz w:val="20"/>
          <w:szCs w:val="20"/>
        </w:rPr>
        <w:t xml:space="preserve"> that </w:t>
      </w:r>
      <w:r w:rsidR="001E17FC">
        <w:rPr>
          <w:rFonts w:cs="Calibri"/>
          <w:color w:val="006666"/>
          <w:sz w:val="20"/>
          <w:szCs w:val="20"/>
        </w:rPr>
        <w:t>would otherwise</w:t>
      </w:r>
      <w:r w:rsidR="004C4A94">
        <w:rPr>
          <w:rFonts w:cs="Calibri"/>
          <w:color w:val="006666"/>
          <w:sz w:val="20"/>
          <w:szCs w:val="20"/>
        </w:rPr>
        <w:t xml:space="preserve"> not </w:t>
      </w:r>
      <w:r w:rsidR="001E17FC">
        <w:rPr>
          <w:rFonts w:cs="Calibri"/>
          <w:color w:val="006666"/>
          <w:sz w:val="20"/>
          <w:szCs w:val="20"/>
        </w:rPr>
        <w:t>exist</w:t>
      </w:r>
      <w:r w:rsidR="004C4A94">
        <w:rPr>
          <w:rFonts w:cs="Calibri"/>
          <w:color w:val="006666"/>
          <w:sz w:val="20"/>
          <w:szCs w:val="20"/>
        </w:rPr>
        <w:t xml:space="preserve">.  As such, having </w:t>
      </w:r>
      <w:r w:rsidR="00B91D1A">
        <w:rPr>
          <w:rFonts w:cs="Calibri"/>
          <w:color w:val="006666"/>
          <w:sz w:val="20"/>
          <w:szCs w:val="20"/>
        </w:rPr>
        <w:t xml:space="preserve">a </w:t>
      </w:r>
      <w:r w:rsidR="004C4A94">
        <w:rPr>
          <w:rFonts w:cs="Calibri"/>
          <w:color w:val="006666"/>
          <w:sz w:val="20"/>
          <w:szCs w:val="20"/>
        </w:rPr>
        <w:t xml:space="preserve">voluntary mechanism </w:t>
      </w:r>
      <w:r w:rsidR="00CD1B4F">
        <w:rPr>
          <w:rFonts w:cs="Calibri"/>
          <w:color w:val="006666"/>
          <w:sz w:val="20"/>
          <w:szCs w:val="20"/>
        </w:rPr>
        <w:t>offers</w:t>
      </w:r>
      <w:r w:rsidR="004C4A94">
        <w:rPr>
          <w:rFonts w:cs="Calibri"/>
          <w:color w:val="006666"/>
          <w:sz w:val="20"/>
          <w:szCs w:val="20"/>
        </w:rPr>
        <w:t xml:space="preserve"> parties</w:t>
      </w:r>
      <w:r w:rsidR="008E3858">
        <w:rPr>
          <w:rFonts w:cs="Calibri"/>
          <w:color w:val="006666"/>
          <w:sz w:val="20"/>
          <w:szCs w:val="20"/>
        </w:rPr>
        <w:t>,</w:t>
      </w:r>
      <w:r w:rsidR="004C4A94">
        <w:rPr>
          <w:rFonts w:cs="Calibri"/>
          <w:color w:val="006666"/>
          <w:sz w:val="20"/>
          <w:szCs w:val="20"/>
        </w:rPr>
        <w:t xml:space="preserve"> </w:t>
      </w:r>
      <w:r w:rsidR="0041796E">
        <w:rPr>
          <w:rFonts w:cs="Calibri"/>
          <w:color w:val="006666"/>
          <w:sz w:val="20"/>
          <w:szCs w:val="20"/>
        </w:rPr>
        <w:t>caught in a</w:t>
      </w:r>
      <w:r w:rsidR="004C4A94">
        <w:rPr>
          <w:rFonts w:cs="Calibri"/>
          <w:color w:val="006666"/>
          <w:sz w:val="20"/>
          <w:szCs w:val="20"/>
        </w:rPr>
        <w:t xml:space="preserve"> </w:t>
      </w:r>
      <w:r w:rsidR="00CD1B4F">
        <w:rPr>
          <w:rFonts w:cs="Calibri"/>
          <w:color w:val="006666"/>
          <w:sz w:val="20"/>
          <w:szCs w:val="20"/>
        </w:rPr>
        <w:t xml:space="preserve">settlement </w:t>
      </w:r>
      <w:r w:rsidR="004C4A94">
        <w:rPr>
          <w:rFonts w:cs="Calibri"/>
          <w:color w:val="006666"/>
          <w:sz w:val="20"/>
          <w:szCs w:val="20"/>
        </w:rPr>
        <w:t>chain</w:t>
      </w:r>
      <w:r w:rsidR="008E3858">
        <w:rPr>
          <w:rFonts w:cs="Calibri"/>
          <w:color w:val="006666"/>
          <w:sz w:val="20"/>
          <w:szCs w:val="20"/>
        </w:rPr>
        <w:t>,</w:t>
      </w:r>
      <w:r w:rsidR="006F70F9">
        <w:rPr>
          <w:rFonts w:cs="Calibri"/>
          <w:color w:val="006666"/>
          <w:sz w:val="20"/>
          <w:szCs w:val="20"/>
        </w:rPr>
        <w:t xml:space="preserve"> the</w:t>
      </w:r>
      <w:r w:rsidR="004C4A94">
        <w:rPr>
          <w:rFonts w:cs="Calibri"/>
          <w:color w:val="006666"/>
          <w:sz w:val="20"/>
          <w:szCs w:val="20"/>
        </w:rPr>
        <w:t xml:space="preserve"> discretion to </w:t>
      </w:r>
      <w:r w:rsidR="00C82FF7">
        <w:rPr>
          <w:rFonts w:cs="Calibri"/>
          <w:color w:val="006666"/>
          <w:sz w:val="20"/>
          <w:szCs w:val="20"/>
        </w:rPr>
        <w:t>measure</w:t>
      </w:r>
      <w:r w:rsidR="00B87865">
        <w:rPr>
          <w:rFonts w:cs="Calibri"/>
          <w:color w:val="006666"/>
          <w:sz w:val="20"/>
          <w:szCs w:val="20"/>
        </w:rPr>
        <w:t xml:space="preserve"> and</w:t>
      </w:r>
      <w:r w:rsidR="00C82FF7">
        <w:rPr>
          <w:rFonts w:cs="Calibri"/>
          <w:color w:val="006666"/>
          <w:sz w:val="20"/>
          <w:szCs w:val="20"/>
        </w:rPr>
        <w:t xml:space="preserve"> </w:t>
      </w:r>
      <w:r w:rsidR="004C4A94">
        <w:rPr>
          <w:rFonts w:cs="Calibri"/>
          <w:color w:val="006666"/>
          <w:sz w:val="20"/>
          <w:szCs w:val="20"/>
        </w:rPr>
        <w:t xml:space="preserve">assess </w:t>
      </w:r>
      <w:r w:rsidR="00855638">
        <w:rPr>
          <w:rFonts w:cs="Calibri"/>
          <w:color w:val="006666"/>
          <w:sz w:val="20"/>
          <w:szCs w:val="20"/>
        </w:rPr>
        <w:t xml:space="preserve">the impacts, </w:t>
      </w:r>
      <w:r w:rsidR="00880584">
        <w:rPr>
          <w:rFonts w:cs="Calibri"/>
          <w:color w:val="006666"/>
          <w:sz w:val="20"/>
          <w:szCs w:val="20"/>
        </w:rPr>
        <w:t xml:space="preserve">and </w:t>
      </w:r>
      <w:r w:rsidR="00481679">
        <w:rPr>
          <w:rFonts w:cs="Calibri"/>
          <w:color w:val="006666"/>
          <w:sz w:val="20"/>
          <w:szCs w:val="20"/>
        </w:rPr>
        <w:t>on doing so</w:t>
      </w:r>
      <w:r w:rsidR="00DE6889">
        <w:rPr>
          <w:rFonts w:cs="Calibri"/>
          <w:color w:val="006666"/>
          <w:sz w:val="20"/>
          <w:szCs w:val="20"/>
        </w:rPr>
        <w:t xml:space="preserve"> </w:t>
      </w:r>
      <w:r w:rsidR="00215FFF">
        <w:rPr>
          <w:rFonts w:cs="Calibri"/>
          <w:color w:val="006666"/>
          <w:sz w:val="20"/>
          <w:szCs w:val="20"/>
        </w:rPr>
        <w:t xml:space="preserve">determine the </w:t>
      </w:r>
      <w:r w:rsidR="00952D26">
        <w:rPr>
          <w:rFonts w:cs="Calibri"/>
          <w:color w:val="006666"/>
          <w:sz w:val="20"/>
          <w:szCs w:val="20"/>
        </w:rPr>
        <w:t>most appropriate course of action</w:t>
      </w:r>
      <w:r w:rsidR="004C4A94">
        <w:rPr>
          <w:rFonts w:cs="Calibri"/>
          <w:color w:val="006666"/>
          <w:sz w:val="20"/>
          <w:szCs w:val="20"/>
        </w:rPr>
        <w:t>.</w:t>
      </w:r>
      <w:r w:rsidR="00AD6EAA" w:rsidRPr="00AD6EAA">
        <w:rPr>
          <w:rFonts w:cs="Calibri"/>
          <w:color w:val="006666"/>
          <w:sz w:val="20"/>
          <w:szCs w:val="20"/>
        </w:rPr>
        <w:t xml:space="preserve"> </w:t>
      </w:r>
      <w:r w:rsidR="00AD6EAA">
        <w:rPr>
          <w:rFonts w:cs="Calibri"/>
          <w:color w:val="006666"/>
          <w:sz w:val="20"/>
          <w:szCs w:val="20"/>
        </w:rPr>
        <w:t xml:space="preserve">The voluntary mechanism should be exercisable </w:t>
      </w:r>
      <w:r w:rsidR="00A62D14">
        <w:rPr>
          <w:rFonts w:cs="Calibri"/>
          <w:color w:val="006666"/>
          <w:sz w:val="20"/>
          <w:szCs w:val="20"/>
        </w:rPr>
        <w:t>in</w:t>
      </w:r>
      <w:r w:rsidR="00AD6EAA">
        <w:rPr>
          <w:rFonts w:cs="Calibri"/>
          <w:color w:val="006666"/>
          <w:sz w:val="20"/>
          <w:szCs w:val="20"/>
        </w:rPr>
        <w:t xml:space="preserve"> the </w:t>
      </w:r>
      <w:r w:rsidR="00A62D14">
        <w:rPr>
          <w:rFonts w:cs="Calibri"/>
          <w:color w:val="006666"/>
          <w:sz w:val="20"/>
          <w:szCs w:val="20"/>
        </w:rPr>
        <w:t>event</w:t>
      </w:r>
      <w:r w:rsidR="00AD6EAA">
        <w:rPr>
          <w:rFonts w:cs="Calibri"/>
          <w:color w:val="006666"/>
          <w:sz w:val="20"/>
          <w:szCs w:val="20"/>
        </w:rPr>
        <w:t xml:space="preserve"> of a settlement fail, rather than subject to a</w:t>
      </w:r>
      <w:r w:rsidR="008F390D">
        <w:rPr>
          <w:rFonts w:cs="Calibri"/>
          <w:color w:val="006666"/>
          <w:sz w:val="20"/>
          <w:szCs w:val="20"/>
        </w:rPr>
        <w:t>n</w:t>
      </w:r>
      <w:r w:rsidR="00AD6EAA">
        <w:rPr>
          <w:rFonts w:cs="Calibri"/>
          <w:color w:val="006666"/>
          <w:sz w:val="20"/>
          <w:szCs w:val="20"/>
        </w:rPr>
        <w:t xml:space="preserve"> </w:t>
      </w:r>
      <w:r w:rsidR="008F390D">
        <w:rPr>
          <w:rFonts w:cs="Calibri"/>
          <w:color w:val="006666"/>
          <w:sz w:val="20"/>
          <w:szCs w:val="20"/>
        </w:rPr>
        <w:t>explicit</w:t>
      </w:r>
      <w:r w:rsidR="00AD6EAA">
        <w:rPr>
          <w:rFonts w:cs="Calibri"/>
          <w:color w:val="006666"/>
          <w:sz w:val="20"/>
          <w:szCs w:val="20"/>
        </w:rPr>
        <w:t xml:space="preserve"> 4</w:t>
      </w:r>
      <w:r w:rsidR="00041486">
        <w:rPr>
          <w:rFonts w:cs="Calibri"/>
          <w:color w:val="006666"/>
          <w:sz w:val="20"/>
          <w:szCs w:val="20"/>
        </w:rPr>
        <w:t>-,</w:t>
      </w:r>
      <w:r w:rsidR="00AD6EAA">
        <w:rPr>
          <w:rFonts w:cs="Calibri"/>
          <w:color w:val="006666"/>
          <w:sz w:val="20"/>
          <w:szCs w:val="20"/>
        </w:rPr>
        <w:t xml:space="preserve"> 7</w:t>
      </w:r>
      <w:r w:rsidR="00041486">
        <w:rPr>
          <w:rFonts w:cs="Calibri"/>
          <w:color w:val="006666"/>
          <w:sz w:val="20"/>
          <w:szCs w:val="20"/>
        </w:rPr>
        <w:t>-</w:t>
      </w:r>
      <w:r w:rsidR="00AD6EAA">
        <w:rPr>
          <w:rFonts w:cs="Calibri"/>
          <w:color w:val="006666"/>
          <w:sz w:val="20"/>
          <w:szCs w:val="20"/>
        </w:rPr>
        <w:t xml:space="preserve"> or 15</w:t>
      </w:r>
      <w:r w:rsidR="00041486">
        <w:rPr>
          <w:rFonts w:cs="Calibri"/>
          <w:color w:val="006666"/>
          <w:sz w:val="20"/>
          <w:szCs w:val="20"/>
        </w:rPr>
        <w:t>-</w:t>
      </w:r>
      <w:r w:rsidR="00AD6EAA">
        <w:rPr>
          <w:rFonts w:cs="Calibri"/>
          <w:color w:val="006666"/>
          <w:sz w:val="20"/>
          <w:szCs w:val="20"/>
        </w:rPr>
        <w:t>day delay period</w:t>
      </w:r>
      <w:r w:rsidR="001320EC">
        <w:rPr>
          <w:rFonts w:cs="Calibri"/>
          <w:color w:val="006666"/>
          <w:sz w:val="20"/>
          <w:szCs w:val="20"/>
        </w:rPr>
        <w:t xml:space="preserve"> as outlined in the current regulation</w:t>
      </w:r>
      <w:r w:rsidR="008F390D">
        <w:rPr>
          <w:rFonts w:cs="Calibri"/>
          <w:color w:val="006666"/>
          <w:sz w:val="20"/>
          <w:szCs w:val="20"/>
        </w:rPr>
        <w:t>. This</w:t>
      </w:r>
      <w:r w:rsidR="00D2121C">
        <w:rPr>
          <w:rFonts w:cs="Calibri"/>
          <w:color w:val="006666"/>
          <w:sz w:val="20"/>
          <w:szCs w:val="20"/>
        </w:rPr>
        <w:t xml:space="preserve"> would </w:t>
      </w:r>
      <w:r w:rsidR="009011D6">
        <w:rPr>
          <w:rFonts w:cs="Calibri"/>
          <w:color w:val="006666"/>
          <w:sz w:val="20"/>
          <w:szCs w:val="20"/>
        </w:rPr>
        <w:t>increase the</w:t>
      </w:r>
      <w:r w:rsidR="00AD6EAA">
        <w:rPr>
          <w:rFonts w:cs="Calibri"/>
          <w:color w:val="006666"/>
          <w:sz w:val="20"/>
          <w:szCs w:val="20"/>
        </w:rPr>
        <w:t xml:space="preserve"> flexibility </w:t>
      </w:r>
      <w:r w:rsidR="009011D6">
        <w:rPr>
          <w:rFonts w:cs="Calibri"/>
          <w:color w:val="006666"/>
          <w:sz w:val="20"/>
          <w:szCs w:val="20"/>
        </w:rPr>
        <w:t>with which</w:t>
      </w:r>
      <w:r w:rsidR="00AD6EAA">
        <w:rPr>
          <w:rFonts w:cs="Calibri"/>
          <w:color w:val="006666"/>
          <w:sz w:val="20"/>
          <w:szCs w:val="20"/>
        </w:rPr>
        <w:t xml:space="preserve"> market participants manag</w:t>
      </w:r>
      <w:r w:rsidR="009011D6">
        <w:rPr>
          <w:rFonts w:cs="Calibri"/>
          <w:color w:val="006666"/>
          <w:sz w:val="20"/>
          <w:szCs w:val="20"/>
        </w:rPr>
        <w:t>e</w:t>
      </w:r>
      <w:r w:rsidR="00AD6EAA">
        <w:rPr>
          <w:rFonts w:cs="Calibri"/>
          <w:color w:val="006666"/>
          <w:sz w:val="20"/>
          <w:szCs w:val="20"/>
        </w:rPr>
        <w:t xml:space="preserve"> their settlement and market </w:t>
      </w:r>
      <w:r w:rsidR="00A73790">
        <w:rPr>
          <w:rFonts w:cs="Calibri"/>
          <w:color w:val="006666"/>
          <w:sz w:val="20"/>
          <w:szCs w:val="20"/>
        </w:rPr>
        <w:t>exposure</w:t>
      </w:r>
      <w:r w:rsidR="00AD6EAA">
        <w:rPr>
          <w:rFonts w:cs="Calibri"/>
          <w:color w:val="006666"/>
          <w:sz w:val="20"/>
          <w:szCs w:val="20"/>
        </w:rPr>
        <w:t>.</w:t>
      </w:r>
    </w:p>
    <w:p w14:paraId="651DE4E3" w14:textId="46E2B440" w:rsidR="001702B8" w:rsidRDefault="001702B8" w:rsidP="009C76F5">
      <w:pPr>
        <w:autoSpaceDE w:val="0"/>
        <w:autoSpaceDN w:val="0"/>
        <w:adjustRightInd w:val="0"/>
        <w:spacing w:after="0" w:line="240" w:lineRule="auto"/>
        <w:ind w:left="-425" w:right="119"/>
        <w:contextualSpacing/>
        <w:rPr>
          <w:rFonts w:cs="Calibri"/>
          <w:color w:val="006666"/>
          <w:sz w:val="20"/>
          <w:szCs w:val="20"/>
        </w:rPr>
      </w:pPr>
    </w:p>
    <w:p w14:paraId="51E85250" w14:textId="15ED6520" w:rsidR="001702B8" w:rsidRPr="001702B8" w:rsidRDefault="001702B8" w:rsidP="00A725A1">
      <w:pPr>
        <w:autoSpaceDE w:val="0"/>
        <w:autoSpaceDN w:val="0"/>
        <w:adjustRightInd w:val="0"/>
        <w:spacing w:after="0" w:line="240" w:lineRule="auto"/>
        <w:ind w:left="-425" w:right="119"/>
        <w:contextualSpacing/>
        <w:rPr>
          <w:rFonts w:eastAsia="Times New Roman" w:cs="Calibri"/>
          <w:color w:val="006666"/>
          <w:sz w:val="20"/>
          <w:szCs w:val="20"/>
        </w:rPr>
      </w:pPr>
      <w:r w:rsidRPr="001702B8">
        <w:rPr>
          <w:rFonts w:eastAsia="Times New Roman" w:cs="Calibri"/>
          <w:color w:val="006666"/>
          <w:sz w:val="20"/>
          <w:szCs w:val="20"/>
        </w:rPr>
        <w:t xml:space="preserve">ISLA </w:t>
      </w:r>
      <w:r w:rsidR="00FB7207">
        <w:rPr>
          <w:rFonts w:eastAsia="Times New Roman" w:cs="Calibri"/>
          <w:color w:val="006666"/>
          <w:sz w:val="20"/>
          <w:szCs w:val="20"/>
        </w:rPr>
        <w:t xml:space="preserve">also </w:t>
      </w:r>
      <w:r w:rsidRPr="001702B8">
        <w:rPr>
          <w:rFonts w:eastAsia="Times New Roman" w:cs="Calibri"/>
          <w:color w:val="006666"/>
          <w:sz w:val="20"/>
          <w:szCs w:val="20"/>
        </w:rPr>
        <w:t>recognise</w:t>
      </w:r>
      <w:r w:rsidR="00FB7207">
        <w:rPr>
          <w:rFonts w:eastAsia="Times New Roman" w:cs="Calibri"/>
          <w:color w:val="006666"/>
          <w:sz w:val="20"/>
          <w:szCs w:val="20"/>
        </w:rPr>
        <w:t>s</w:t>
      </w:r>
      <w:r w:rsidRPr="001702B8">
        <w:rPr>
          <w:rFonts w:eastAsia="Times New Roman" w:cs="Calibri"/>
          <w:color w:val="006666"/>
          <w:sz w:val="20"/>
          <w:szCs w:val="20"/>
        </w:rPr>
        <w:t xml:space="preserve"> the benefit of contractual </w:t>
      </w:r>
      <w:r w:rsidR="00EE410C">
        <w:rPr>
          <w:rFonts w:eastAsia="Times New Roman" w:cs="Calibri"/>
          <w:color w:val="006666"/>
          <w:sz w:val="20"/>
          <w:szCs w:val="20"/>
        </w:rPr>
        <w:t xml:space="preserve">buy-in </w:t>
      </w:r>
      <w:r w:rsidRPr="001702B8">
        <w:rPr>
          <w:rFonts w:eastAsia="Times New Roman" w:cs="Calibri"/>
          <w:color w:val="006666"/>
          <w:sz w:val="20"/>
          <w:szCs w:val="20"/>
        </w:rPr>
        <w:t>mechanism</w:t>
      </w:r>
      <w:r w:rsidR="00073C65">
        <w:rPr>
          <w:rFonts w:eastAsia="Times New Roman" w:cs="Calibri"/>
          <w:color w:val="006666"/>
          <w:sz w:val="20"/>
          <w:szCs w:val="20"/>
        </w:rPr>
        <w:t>s</w:t>
      </w:r>
      <w:r w:rsidR="00DB4C0B">
        <w:rPr>
          <w:rFonts w:eastAsia="Times New Roman" w:cs="Calibri"/>
          <w:color w:val="006666"/>
          <w:sz w:val="20"/>
          <w:szCs w:val="20"/>
        </w:rPr>
        <w:t xml:space="preserve"> that </w:t>
      </w:r>
      <w:r w:rsidR="008F3842">
        <w:rPr>
          <w:rFonts w:eastAsia="Times New Roman" w:cs="Calibri"/>
          <w:color w:val="006666"/>
          <w:sz w:val="20"/>
          <w:szCs w:val="20"/>
        </w:rPr>
        <w:t>provid</w:t>
      </w:r>
      <w:r w:rsidR="00DB4C0B">
        <w:rPr>
          <w:rFonts w:eastAsia="Times New Roman" w:cs="Calibri"/>
          <w:color w:val="006666"/>
          <w:sz w:val="20"/>
          <w:szCs w:val="20"/>
        </w:rPr>
        <w:t>e</w:t>
      </w:r>
      <w:r w:rsidR="008F3842">
        <w:rPr>
          <w:rFonts w:eastAsia="Times New Roman" w:cs="Calibri"/>
          <w:color w:val="006666"/>
          <w:sz w:val="20"/>
          <w:szCs w:val="20"/>
        </w:rPr>
        <w:t xml:space="preserve"> </w:t>
      </w:r>
      <w:r w:rsidR="00A13045">
        <w:rPr>
          <w:rFonts w:eastAsia="Times New Roman" w:cs="Calibri"/>
          <w:color w:val="006666"/>
          <w:sz w:val="20"/>
          <w:szCs w:val="20"/>
        </w:rPr>
        <w:t xml:space="preserve">a </w:t>
      </w:r>
      <w:r w:rsidR="003C3F32">
        <w:rPr>
          <w:rFonts w:eastAsia="Times New Roman" w:cs="Calibri"/>
          <w:color w:val="006666"/>
          <w:sz w:val="20"/>
          <w:szCs w:val="20"/>
        </w:rPr>
        <w:t xml:space="preserve">bilaterally agreed </w:t>
      </w:r>
      <w:r w:rsidR="00A13045">
        <w:rPr>
          <w:rFonts w:eastAsia="Times New Roman" w:cs="Calibri"/>
          <w:color w:val="006666"/>
          <w:sz w:val="20"/>
          <w:szCs w:val="20"/>
        </w:rPr>
        <w:t xml:space="preserve">resolution </w:t>
      </w:r>
      <w:r w:rsidRPr="001702B8">
        <w:rPr>
          <w:rFonts w:eastAsia="Times New Roman" w:cs="Calibri"/>
          <w:color w:val="006666"/>
          <w:sz w:val="20"/>
          <w:szCs w:val="20"/>
        </w:rPr>
        <w:t xml:space="preserve">to </w:t>
      </w:r>
      <w:r w:rsidR="00A13045">
        <w:rPr>
          <w:rFonts w:eastAsia="Times New Roman" w:cs="Calibri"/>
          <w:color w:val="006666"/>
          <w:sz w:val="20"/>
          <w:szCs w:val="20"/>
        </w:rPr>
        <w:t xml:space="preserve">settlement failure. </w:t>
      </w:r>
      <w:r w:rsidR="007B2C05">
        <w:rPr>
          <w:rFonts w:eastAsia="Times New Roman" w:cs="Calibri"/>
          <w:color w:val="006666"/>
          <w:sz w:val="20"/>
          <w:szCs w:val="20"/>
        </w:rPr>
        <w:t>It is for this reason</w:t>
      </w:r>
      <w:r w:rsidRPr="001702B8">
        <w:rPr>
          <w:rFonts w:eastAsia="Times New Roman" w:cs="Calibri"/>
          <w:color w:val="006666"/>
          <w:sz w:val="20"/>
          <w:szCs w:val="20"/>
        </w:rPr>
        <w:t xml:space="preserve"> the industry standard master agreement for securities lending</w:t>
      </w:r>
      <w:r w:rsidR="00D24052">
        <w:rPr>
          <w:rFonts w:eastAsia="Times New Roman" w:cs="Calibri"/>
          <w:color w:val="006666"/>
          <w:sz w:val="20"/>
          <w:szCs w:val="20"/>
        </w:rPr>
        <w:t xml:space="preserve"> (GMSLA</w:t>
      </w:r>
      <w:r w:rsidRPr="001702B8">
        <w:rPr>
          <w:rFonts w:eastAsia="Times New Roman" w:cs="Calibri"/>
          <w:color w:val="006666"/>
          <w:sz w:val="20"/>
          <w:szCs w:val="20"/>
        </w:rPr>
        <w:t xml:space="preserve">) includes </w:t>
      </w:r>
      <w:r w:rsidR="007B2C05">
        <w:rPr>
          <w:rFonts w:eastAsia="Times New Roman" w:cs="Calibri"/>
          <w:color w:val="006666"/>
          <w:sz w:val="20"/>
          <w:szCs w:val="20"/>
        </w:rPr>
        <w:t>such</w:t>
      </w:r>
      <w:r w:rsidRPr="001702B8">
        <w:rPr>
          <w:rFonts w:eastAsia="Times New Roman" w:cs="Calibri"/>
          <w:color w:val="006666"/>
          <w:sz w:val="20"/>
          <w:szCs w:val="20"/>
        </w:rPr>
        <w:t xml:space="preserve"> a mechanism</w:t>
      </w:r>
      <w:r w:rsidR="00767A3C">
        <w:rPr>
          <w:rFonts w:eastAsia="Times New Roman" w:cs="Calibri"/>
          <w:color w:val="006666"/>
          <w:sz w:val="20"/>
          <w:szCs w:val="20"/>
        </w:rPr>
        <w:t>, allowing</w:t>
      </w:r>
      <w:r w:rsidRPr="001702B8">
        <w:rPr>
          <w:rFonts w:eastAsia="Times New Roman" w:cs="Calibri"/>
          <w:color w:val="006666"/>
          <w:sz w:val="20"/>
          <w:szCs w:val="20"/>
        </w:rPr>
        <w:t xml:space="preserve"> loan </w:t>
      </w:r>
      <w:r w:rsidR="00767A3C">
        <w:rPr>
          <w:rFonts w:eastAsia="Times New Roman" w:cs="Calibri"/>
          <w:color w:val="006666"/>
          <w:sz w:val="20"/>
          <w:szCs w:val="20"/>
        </w:rPr>
        <w:t>termination</w:t>
      </w:r>
      <w:r w:rsidRPr="001702B8">
        <w:rPr>
          <w:rFonts w:eastAsia="Times New Roman" w:cs="Calibri"/>
          <w:color w:val="006666"/>
          <w:sz w:val="20"/>
          <w:szCs w:val="20"/>
        </w:rPr>
        <w:t xml:space="preserve"> and </w:t>
      </w:r>
      <w:r w:rsidR="002A7E94">
        <w:rPr>
          <w:rFonts w:eastAsia="Times New Roman" w:cs="Calibri"/>
          <w:color w:val="006666"/>
          <w:sz w:val="20"/>
          <w:szCs w:val="20"/>
        </w:rPr>
        <w:t>replacing</w:t>
      </w:r>
      <w:r w:rsidR="002A7E94" w:rsidRPr="001702B8">
        <w:rPr>
          <w:rFonts w:eastAsia="Times New Roman" w:cs="Calibri"/>
          <w:color w:val="006666"/>
          <w:sz w:val="20"/>
          <w:szCs w:val="20"/>
        </w:rPr>
        <w:t xml:space="preserve"> </w:t>
      </w:r>
      <w:r w:rsidRPr="001702B8">
        <w:rPr>
          <w:rFonts w:eastAsia="Times New Roman" w:cs="Calibri"/>
          <w:color w:val="006666"/>
          <w:sz w:val="20"/>
          <w:szCs w:val="20"/>
        </w:rPr>
        <w:t>delivery obligation</w:t>
      </w:r>
      <w:r w:rsidR="00941A57">
        <w:rPr>
          <w:rFonts w:eastAsia="Times New Roman" w:cs="Calibri"/>
          <w:color w:val="006666"/>
          <w:sz w:val="20"/>
          <w:szCs w:val="20"/>
        </w:rPr>
        <w:t>s</w:t>
      </w:r>
      <w:r w:rsidRPr="001702B8">
        <w:rPr>
          <w:rFonts w:eastAsia="Times New Roman" w:cs="Calibri"/>
          <w:color w:val="006666"/>
          <w:sz w:val="20"/>
          <w:szCs w:val="20"/>
        </w:rPr>
        <w:t xml:space="preserve"> </w:t>
      </w:r>
      <w:r w:rsidR="002A7E94">
        <w:rPr>
          <w:rFonts w:eastAsia="Times New Roman" w:cs="Calibri"/>
          <w:color w:val="006666"/>
          <w:sz w:val="20"/>
          <w:szCs w:val="20"/>
        </w:rPr>
        <w:t>with payment obligations</w:t>
      </w:r>
      <w:r w:rsidRPr="001702B8">
        <w:rPr>
          <w:rFonts w:eastAsia="Times New Roman" w:cs="Calibri"/>
          <w:color w:val="006666"/>
          <w:sz w:val="20"/>
          <w:szCs w:val="20"/>
        </w:rPr>
        <w:t xml:space="preserve"> (commonly referred to as a “mini close-out”). Given the existence of </w:t>
      </w:r>
      <w:r w:rsidRPr="001702B8">
        <w:rPr>
          <w:rFonts w:ascii="Calibri" w:eastAsia="Times New Roman" w:hAnsi="Calibri" w:cs="Calibri"/>
          <w:color w:val="006666"/>
          <w:sz w:val="20"/>
          <w:szCs w:val="20"/>
          <w:lang w:eastAsia="en-GB"/>
        </w:rPr>
        <w:t>this contractual remedy</w:t>
      </w:r>
      <w:r w:rsidR="007D352F">
        <w:rPr>
          <w:rFonts w:ascii="Calibri" w:eastAsia="Times New Roman" w:hAnsi="Calibri" w:cs="Calibri"/>
          <w:color w:val="006666"/>
          <w:sz w:val="20"/>
          <w:szCs w:val="20"/>
          <w:lang w:eastAsia="en-GB"/>
        </w:rPr>
        <w:t xml:space="preserve"> within the</w:t>
      </w:r>
      <w:r w:rsidRPr="001702B8">
        <w:rPr>
          <w:rFonts w:ascii="Calibri" w:eastAsia="Times New Roman" w:hAnsi="Calibri" w:cs="Calibri"/>
          <w:color w:val="006666"/>
          <w:sz w:val="20"/>
          <w:szCs w:val="20"/>
          <w:lang w:eastAsia="en-GB"/>
        </w:rPr>
        <w:t xml:space="preserve"> securities lending </w:t>
      </w:r>
      <w:r w:rsidR="007D352F">
        <w:rPr>
          <w:rFonts w:ascii="Calibri" w:eastAsia="Times New Roman" w:hAnsi="Calibri" w:cs="Calibri"/>
          <w:color w:val="006666"/>
          <w:sz w:val="20"/>
          <w:szCs w:val="20"/>
          <w:lang w:eastAsia="en-GB"/>
        </w:rPr>
        <w:t>master</w:t>
      </w:r>
      <w:r w:rsidRPr="001702B8">
        <w:rPr>
          <w:rFonts w:ascii="Calibri" w:eastAsia="Times New Roman" w:hAnsi="Calibri" w:cs="Calibri"/>
          <w:color w:val="006666"/>
          <w:sz w:val="20"/>
          <w:szCs w:val="20"/>
          <w:lang w:eastAsia="en-GB"/>
        </w:rPr>
        <w:t xml:space="preserve"> </w:t>
      </w:r>
      <w:r w:rsidR="0047244B">
        <w:rPr>
          <w:rFonts w:ascii="Calibri" w:eastAsia="Times New Roman" w:hAnsi="Calibri" w:cs="Calibri"/>
          <w:color w:val="006666"/>
          <w:sz w:val="20"/>
          <w:szCs w:val="20"/>
          <w:lang w:eastAsia="en-GB"/>
        </w:rPr>
        <w:t>agreement</w:t>
      </w:r>
      <w:r w:rsidRPr="001702B8">
        <w:rPr>
          <w:rFonts w:ascii="Calibri" w:eastAsia="Times New Roman" w:hAnsi="Calibri" w:cs="Calibri"/>
          <w:color w:val="006666"/>
          <w:sz w:val="20"/>
          <w:szCs w:val="20"/>
          <w:lang w:eastAsia="en-GB"/>
        </w:rPr>
        <w:t xml:space="preserve">, ISLA’s view is that the requirement to </w:t>
      </w:r>
      <w:r w:rsidR="004E531A">
        <w:rPr>
          <w:rFonts w:ascii="Calibri" w:eastAsia="Times New Roman" w:hAnsi="Calibri" w:cs="Calibri"/>
          <w:color w:val="006666"/>
          <w:sz w:val="20"/>
          <w:szCs w:val="20"/>
          <w:lang w:eastAsia="en-GB"/>
        </w:rPr>
        <w:t xml:space="preserve">impose </w:t>
      </w:r>
      <w:r w:rsidR="00AB55DE">
        <w:rPr>
          <w:rFonts w:ascii="Calibri" w:eastAsia="Times New Roman" w:hAnsi="Calibri" w:cs="Calibri"/>
          <w:color w:val="006666"/>
          <w:sz w:val="20"/>
          <w:szCs w:val="20"/>
          <w:lang w:eastAsia="en-GB"/>
        </w:rPr>
        <w:t xml:space="preserve">a </w:t>
      </w:r>
      <w:r w:rsidR="00256529">
        <w:rPr>
          <w:rFonts w:ascii="Calibri" w:eastAsia="Times New Roman" w:hAnsi="Calibri" w:cs="Calibri"/>
          <w:color w:val="006666"/>
          <w:sz w:val="20"/>
          <w:szCs w:val="20"/>
          <w:lang w:eastAsia="en-GB"/>
        </w:rPr>
        <w:t xml:space="preserve">mandatory </w:t>
      </w:r>
      <w:r w:rsidRPr="001702B8">
        <w:rPr>
          <w:rFonts w:ascii="Calibri" w:eastAsia="Times New Roman" w:hAnsi="Calibri" w:cs="Calibri"/>
          <w:color w:val="006666"/>
          <w:sz w:val="20"/>
          <w:szCs w:val="20"/>
          <w:lang w:eastAsia="en-GB"/>
        </w:rPr>
        <w:t>buy-in</w:t>
      </w:r>
      <w:r w:rsidR="00860AFF">
        <w:rPr>
          <w:rFonts w:ascii="Calibri" w:eastAsia="Times New Roman" w:hAnsi="Calibri" w:cs="Calibri"/>
          <w:color w:val="006666"/>
          <w:sz w:val="20"/>
          <w:szCs w:val="20"/>
          <w:lang w:eastAsia="en-GB"/>
        </w:rPr>
        <w:t xml:space="preserve"> </w:t>
      </w:r>
      <w:r w:rsidR="00D30AB6">
        <w:rPr>
          <w:rFonts w:ascii="Calibri" w:eastAsia="Times New Roman" w:hAnsi="Calibri" w:cs="Calibri"/>
          <w:color w:val="006666"/>
          <w:sz w:val="20"/>
          <w:szCs w:val="20"/>
          <w:lang w:eastAsia="en-GB"/>
        </w:rPr>
        <w:t>mechanism</w:t>
      </w:r>
      <w:r w:rsidRPr="001702B8">
        <w:rPr>
          <w:rFonts w:ascii="Calibri" w:eastAsia="Times New Roman" w:hAnsi="Calibri" w:cs="Calibri"/>
          <w:color w:val="006666"/>
          <w:sz w:val="20"/>
          <w:szCs w:val="20"/>
          <w:lang w:eastAsia="en-GB"/>
        </w:rPr>
        <w:t xml:space="preserve"> would be redundant.</w:t>
      </w:r>
      <w:r w:rsidR="002C5BC3" w:rsidRPr="002C5BC3">
        <w:rPr>
          <w:rFonts w:cs="Calibri"/>
          <w:color w:val="006666"/>
          <w:sz w:val="20"/>
          <w:szCs w:val="20"/>
        </w:rPr>
        <w:t xml:space="preserve"> </w:t>
      </w:r>
      <w:r w:rsidR="002C5BC3" w:rsidRPr="002C5BC3">
        <w:rPr>
          <w:rFonts w:eastAsia="Times New Roman" w:cs="Calibri"/>
          <w:color w:val="006666"/>
          <w:sz w:val="20"/>
          <w:szCs w:val="20"/>
        </w:rPr>
        <w:t xml:space="preserve">ISLA therefore recommend that details of a prescriptive mandatory buy-in mechanism should not be mandated, but rather </w:t>
      </w:r>
      <w:r w:rsidR="002C5BC3" w:rsidRPr="002C5BC3" w:rsidDel="00E17735">
        <w:rPr>
          <w:rFonts w:eastAsia="Times New Roman" w:cs="Calibri"/>
          <w:color w:val="006666"/>
          <w:sz w:val="20"/>
          <w:szCs w:val="20"/>
        </w:rPr>
        <w:t xml:space="preserve">the regulation </w:t>
      </w:r>
      <w:r w:rsidR="002C5BC3" w:rsidRPr="002C5BC3">
        <w:rPr>
          <w:rFonts w:eastAsia="Times New Roman" w:cs="Calibri"/>
          <w:color w:val="006666"/>
          <w:sz w:val="20"/>
          <w:szCs w:val="20"/>
        </w:rPr>
        <w:t>should require that trading parties have contractual provisions in place (buy-ins, mini close out or similar) to remedy and resolve settlement failures</w:t>
      </w:r>
      <w:r w:rsidR="00BA29E5">
        <w:rPr>
          <w:rFonts w:eastAsia="Times New Roman" w:cs="Calibri"/>
          <w:color w:val="006666"/>
          <w:sz w:val="20"/>
          <w:szCs w:val="20"/>
        </w:rPr>
        <w:t xml:space="preserve"> which </w:t>
      </w:r>
      <w:r w:rsidR="00BA20A7">
        <w:rPr>
          <w:rFonts w:eastAsia="Times New Roman" w:cs="Calibri"/>
          <w:color w:val="006666"/>
          <w:sz w:val="20"/>
          <w:szCs w:val="20"/>
        </w:rPr>
        <w:t>market participants</w:t>
      </w:r>
      <w:r w:rsidR="00BA29E5">
        <w:rPr>
          <w:rFonts w:eastAsia="Times New Roman" w:cs="Calibri"/>
          <w:color w:val="006666"/>
          <w:sz w:val="20"/>
          <w:szCs w:val="20"/>
        </w:rPr>
        <w:t xml:space="preserve"> </w:t>
      </w:r>
      <w:r w:rsidR="009D46E9">
        <w:rPr>
          <w:rFonts w:eastAsia="Times New Roman" w:cs="Calibri"/>
          <w:color w:val="006666"/>
          <w:sz w:val="20"/>
          <w:szCs w:val="20"/>
        </w:rPr>
        <w:t xml:space="preserve">can chose to </w:t>
      </w:r>
      <w:r w:rsidR="00166CD5">
        <w:rPr>
          <w:rFonts w:eastAsia="Times New Roman" w:cs="Calibri"/>
          <w:color w:val="006666"/>
          <w:sz w:val="20"/>
          <w:szCs w:val="20"/>
        </w:rPr>
        <w:t>initiate</w:t>
      </w:r>
      <w:r w:rsidR="00BA20A7">
        <w:rPr>
          <w:rFonts w:eastAsia="Times New Roman" w:cs="Calibri"/>
          <w:color w:val="006666"/>
          <w:sz w:val="20"/>
          <w:szCs w:val="20"/>
        </w:rPr>
        <w:t xml:space="preserve">, when it is within their </w:t>
      </w:r>
      <w:r w:rsidR="00397AA0">
        <w:rPr>
          <w:rFonts w:eastAsia="Times New Roman" w:cs="Calibri"/>
          <w:color w:val="006666"/>
          <w:sz w:val="20"/>
          <w:szCs w:val="20"/>
        </w:rPr>
        <w:t xml:space="preserve">economic </w:t>
      </w:r>
      <w:r w:rsidR="00BA20A7">
        <w:rPr>
          <w:rFonts w:eastAsia="Times New Roman" w:cs="Calibri"/>
          <w:color w:val="006666"/>
          <w:sz w:val="20"/>
          <w:szCs w:val="20"/>
        </w:rPr>
        <w:t xml:space="preserve">interest to do so. </w:t>
      </w:r>
    </w:p>
    <w:p w14:paraId="352033FA" w14:textId="77777777" w:rsidR="009B79D9" w:rsidRDefault="009B79D9" w:rsidP="009C76F5">
      <w:pPr>
        <w:autoSpaceDE w:val="0"/>
        <w:autoSpaceDN w:val="0"/>
        <w:adjustRightInd w:val="0"/>
        <w:spacing w:after="0" w:line="240" w:lineRule="auto"/>
        <w:ind w:left="-425" w:right="119"/>
        <w:contextualSpacing/>
        <w:rPr>
          <w:rFonts w:ascii="Calibri" w:eastAsia="Times New Roman" w:hAnsi="Calibri" w:cs="Calibri"/>
          <w:color w:val="006666"/>
          <w:sz w:val="20"/>
          <w:szCs w:val="20"/>
          <w:lang w:eastAsia="en-GB"/>
        </w:rPr>
      </w:pPr>
    </w:p>
    <w:p w14:paraId="522C629A" w14:textId="3E1FBEA9" w:rsidR="00DD1DC3" w:rsidRDefault="0027217A" w:rsidP="009C76F5">
      <w:pPr>
        <w:autoSpaceDE w:val="0"/>
        <w:autoSpaceDN w:val="0"/>
        <w:adjustRightInd w:val="0"/>
        <w:spacing w:after="0" w:line="240" w:lineRule="auto"/>
        <w:ind w:left="-425" w:right="119"/>
        <w:contextualSpacing/>
        <w:rPr>
          <w:rFonts w:ascii="Calibri" w:eastAsia="Times New Roman" w:hAnsi="Calibri" w:cs="Calibri"/>
          <w:color w:val="006666"/>
          <w:sz w:val="20"/>
          <w:szCs w:val="20"/>
          <w:lang w:eastAsia="en-GB"/>
        </w:rPr>
      </w:pPr>
      <w:r w:rsidRPr="0027217A">
        <w:rPr>
          <w:rFonts w:ascii="Calibri" w:eastAsia="Times New Roman" w:hAnsi="Calibri" w:cs="Calibri"/>
          <w:color w:val="006666"/>
          <w:sz w:val="20"/>
          <w:szCs w:val="20"/>
          <w:lang w:eastAsia="en-GB"/>
        </w:rPr>
        <w:t xml:space="preserve">To further improve settlement efficiency, ISLA advocates the use of other industry-led </w:t>
      </w:r>
      <w:r w:rsidR="00A06F1E">
        <w:rPr>
          <w:rFonts w:ascii="Calibri" w:eastAsia="Times New Roman" w:hAnsi="Calibri" w:cs="Calibri"/>
          <w:color w:val="006666"/>
          <w:sz w:val="20"/>
          <w:szCs w:val="20"/>
          <w:lang w:eastAsia="en-GB"/>
        </w:rPr>
        <w:t>practices</w:t>
      </w:r>
      <w:r w:rsidR="00C338C1">
        <w:rPr>
          <w:rFonts w:ascii="Calibri" w:eastAsia="Times New Roman" w:hAnsi="Calibri" w:cs="Calibri"/>
          <w:color w:val="006666"/>
          <w:sz w:val="20"/>
          <w:szCs w:val="20"/>
          <w:lang w:eastAsia="en-GB"/>
        </w:rPr>
        <w:t xml:space="preserve">. </w:t>
      </w:r>
      <w:r w:rsidR="00141268">
        <w:rPr>
          <w:rFonts w:ascii="Calibri" w:eastAsia="Times New Roman" w:hAnsi="Calibri" w:cs="Calibri"/>
          <w:color w:val="006666"/>
          <w:sz w:val="20"/>
          <w:szCs w:val="20"/>
          <w:lang w:eastAsia="en-GB"/>
        </w:rPr>
        <w:t xml:space="preserve">For example, </w:t>
      </w:r>
      <w:r w:rsidR="00681E4A">
        <w:rPr>
          <w:rFonts w:ascii="Calibri" w:eastAsia="Times New Roman" w:hAnsi="Calibri" w:cs="Calibri"/>
          <w:color w:val="006666"/>
          <w:sz w:val="20"/>
          <w:szCs w:val="20"/>
          <w:lang w:eastAsia="en-GB"/>
        </w:rPr>
        <w:t>the</w:t>
      </w:r>
      <w:r w:rsidR="00F4091C">
        <w:rPr>
          <w:rFonts w:ascii="Calibri" w:eastAsia="Times New Roman" w:hAnsi="Calibri" w:cs="Calibri"/>
          <w:color w:val="006666"/>
          <w:sz w:val="20"/>
          <w:szCs w:val="20"/>
          <w:lang w:eastAsia="en-GB"/>
        </w:rPr>
        <w:t xml:space="preserve"> </w:t>
      </w:r>
      <w:r w:rsidRPr="0027217A">
        <w:rPr>
          <w:rFonts w:ascii="Calibri" w:eastAsia="Times New Roman" w:hAnsi="Calibri" w:cs="Calibri"/>
          <w:color w:val="006666"/>
          <w:sz w:val="20"/>
          <w:szCs w:val="20"/>
          <w:lang w:eastAsia="en-GB"/>
        </w:rPr>
        <w:t xml:space="preserve">use of T + 0 </w:t>
      </w:r>
      <w:r w:rsidR="005103B4" w:rsidRPr="0027217A">
        <w:rPr>
          <w:rFonts w:ascii="Calibri" w:eastAsia="Times New Roman" w:hAnsi="Calibri" w:cs="Calibri"/>
          <w:color w:val="006666"/>
          <w:sz w:val="20"/>
          <w:szCs w:val="20"/>
          <w:lang w:eastAsia="en-GB"/>
        </w:rPr>
        <w:t>returns</w:t>
      </w:r>
      <w:r w:rsidR="00731FAC">
        <w:rPr>
          <w:rFonts w:ascii="Calibri" w:eastAsia="Times New Roman" w:hAnsi="Calibri" w:cs="Calibri"/>
          <w:color w:val="006666"/>
          <w:sz w:val="20"/>
          <w:szCs w:val="20"/>
          <w:lang w:eastAsia="en-GB"/>
        </w:rPr>
        <w:t xml:space="preserve">, </w:t>
      </w:r>
      <w:r w:rsidR="000C05BA">
        <w:rPr>
          <w:rFonts w:ascii="Calibri" w:eastAsia="Times New Roman" w:hAnsi="Calibri" w:cs="Calibri"/>
          <w:color w:val="006666"/>
          <w:sz w:val="20"/>
          <w:szCs w:val="20"/>
          <w:lang w:eastAsia="en-GB"/>
        </w:rPr>
        <w:t xml:space="preserve">improvements in </w:t>
      </w:r>
      <w:r w:rsidRPr="0027217A">
        <w:rPr>
          <w:rFonts w:ascii="Calibri" w:eastAsia="Times New Roman" w:hAnsi="Calibri" w:cs="Calibri"/>
          <w:color w:val="006666"/>
          <w:sz w:val="20"/>
          <w:szCs w:val="20"/>
          <w:lang w:eastAsia="en-GB"/>
        </w:rPr>
        <w:t xml:space="preserve">inventory management, </w:t>
      </w:r>
      <w:r w:rsidR="0076263E">
        <w:rPr>
          <w:rFonts w:ascii="Calibri" w:eastAsia="Times New Roman" w:hAnsi="Calibri" w:cs="Calibri"/>
          <w:color w:val="006666"/>
          <w:sz w:val="20"/>
          <w:szCs w:val="20"/>
          <w:lang w:eastAsia="en-GB"/>
        </w:rPr>
        <w:t xml:space="preserve">standardisation </w:t>
      </w:r>
      <w:r w:rsidR="00CB2E19">
        <w:rPr>
          <w:rFonts w:ascii="Calibri" w:eastAsia="Times New Roman" w:hAnsi="Calibri" w:cs="Calibri"/>
          <w:color w:val="006666"/>
          <w:sz w:val="20"/>
          <w:szCs w:val="20"/>
          <w:lang w:eastAsia="en-GB"/>
        </w:rPr>
        <w:t>of</w:t>
      </w:r>
      <w:r w:rsidR="009E515F">
        <w:rPr>
          <w:rFonts w:ascii="Calibri" w:eastAsia="Times New Roman" w:hAnsi="Calibri" w:cs="Calibri"/>
          <w:color w:val="006666"/>
          <w:sz w:val="20"/>
          <w:szCs w:val="20"/>
          <w:lang w:eastAsia="en-GB"/>
        </w:rPr>
        <w:t xml:space="preserve"> automatic </w:t>
      </w:r>
      <w:r w:rsidRPr="0027217A">
        <w:rPr>
          <w:rFonts w:ascii="Calibri" w:eastAsia="Times New Roman" w:hAnsi="Calibri" w:cs="Calibri"/>
          <w:color w:val="006666"/>
          <w:sz w:val="20"/>
          <w:szCs w:val="20"/>
          <w:lang w:eastAsia="en-GB"/>
        </w:rPr>
        <w:t xml:space="preserve">partial settlement and </w:t>
      </w:r>
      <w:r w:rsidR="009E515F">
        <w:rPr>
          <w:rFonts w:ascii="Calibri" w:eastAsia="Times New Roman" w:hAnsi="Calibri" w:cs="Calibri"/>
          <w:color w:val="006666"/>
          <w:sz w:val="20"/>
          <w:szCs w:val="20"/>
          <w:lang w:eastAsia="en-GB"/>
        </w:rPr>
        <w:t xml:space="preserve">the </w:t>
      </w:r>
      <w:r w:rsidR="0047275C">
        <w:rPr>
          <w:rFonts w:ascii="Calibri" w:eastAsia="Times New Roman" w:hAnsi="Calibri" w:cs="Calibri"/>
          <w:color w:val="006666"/>
          <w:sz w:val="20"/>
          <w:szCs w:val="20"/>
          <w:lang w:eastAsia="en-GB"/>
        </w:rPr>
        <w:t xml:space="preserve">use </w:t>
      </w:r>
      <w:r w:rsidR="00295D36">
        <w:rPr>
          <w:rFonts w:ascii="Calibri" w:eastAsia="Times New Roman" w:hAnsi="Calibri" w:cs="Calibri"/>
          <w:color w:val="006666"/>
          <w:sz w:val="20"/>
          <w:szCs w:val="20"/>
          <w:lang w:eastAsia="en-GB"/>
        </w:rPr>
        <w:t xml:space="preserve">of </w:t>
      </w:r>
      <w:r w:rsidRPr="0027217A">
        <w:rPr>
          <w:rFonts w:ascii="Calibri" w:eastAsia="Times New Roman" w:hAnsi="Calibri" w:cs="Calibri"/>
          <w:color w:val="006666"/>
          <w:sz w:val="20"/>
          <w:szCs w:val="20"/>
          <w:lang w:eastAsia="en-GB"/>
        </w:rPr>
        <w:t>hold and release functions</w:t>
      </w:r>
      <w:r w:rsidR="0047275C">
        <w:rPr>
          <w:rFonts w:ascii="Calibri" w:eastAsia="Times New Roman" w:hAnsi="Calibri" w:cs="Calibri"/>
          <w:color w:val="006666"/>
          <w:sz w:val="20"/>
          <w:szCs w:val="20"/>
          <w:lang w:eastAsia="en-GB"/>
        </w:rPr>
        <w:t xml:space="preserve"> where settlement is tied to collateral </w:t>
      </w:r>
      <w:r w:rsidR="0092648B">
        <w:rPr>
          <w:rFonts w:ascii="Calibri" w:eastAsia="Times New Roman" w:hAnsi="Calibri" w:cs="Calibri"/>
          <w:color w:val="006666"/>
          <w:sz w:val="20"/>
          <w:szCs w:val="20"/>
          <w:lang w:eastAsia="en-GB"/>
        </w:rPr>
        <w:t>receipts.</w:t>
      </w:r>
      <w:r w:rsidR="009C76F5">
        <w:rPr>
          <w:rFonts w:ascii="Calibri" w:eastAsia="Times New Roman" w:hAnsi="Calibri" w:cs="Calibri"/>
          <w:color w:val="006666"/>
          <w:sz w:val="20"/>
          <w:szCs w:val="20"/>
          <w:lang w:eastAsia="en-GB"/>
        </w:rPr>
        <w:t xml:space="preserve"> </w:t>
      </w:r>
      <w:r w:rsidR="00DD1DC3">
        <w:rPr>
          <w:rFonts w:ascii="Calibri" w:eastAsia="Times New Roman" w:hAnsi="Calibri" w:cs="Calibri"/>
          <w:color w:val="006666"/>
          <w:sz w:val="20"/>
          <w:szCs w:val="20"/>
          <w:lang w:eastAsia="en-GB"/>
        </w:rPr>
        <w:t>ISLA have</w:t>
      </w:r>
      <w:r w:rsidR="004239E9">
        <w:rPr>
          <w:rFonts w:ascii="Calibri" w:eastAsia="Times New Roman" w:hAnsi="Calibri" w:cs="Calibri"/>
          <w:color w:val="006666"/>
          <w:sz w:val="20"/>
          <w:szCs w:val="20"/>
          <w:lang w:eastAsia="en-GB"/>
        </w:rPr>
        <w:t xml:space="preserve">, with </w:t>
      </w:r>
      <w:r w:rsidR="003A40A3">
        <w:rPr>
          <w:rFonts w:ascii="Calibri" w:eastAsia="Times New Roman" w:hAnsi="Calibri" w:cs="Calibri"/>
          <w:color w:val="006666"/>
          <w:sz w:val="20"/>
          <w:szCs w:val="20"/>
          <w:lang w:eastAsia="en-GB"/>
        </w:rPr>
        <w:t>market consensus, introduced</w:t>
      </w:r>
      <w:r w:rsidR="00DD1DC3">
        <w:rPr>
          <w:rFonts w:ascii="Calibri" w:eastAsia="Times New Roman" w:hAnsi="Calibri" w:cs="Calibri"/>
          <w:color w:val="006666"/>
          <w:sz w:val="20"/>
          <w:szCs w:val="20"/>
          <w:lang w:eastAsia="en-GB"/>
        </w:rPr>
        <w:t xml:space="preserve"> best practices</w:t>
      </w:r>
      <w:r w:rsidR="00295D36">
        <w:rPr>
          <w:rFonts w:ascii="Calibri" w:eastAsia="Times New Roman" w:hAnsi="Calibri" w:cs="Calibri"/>
          <w:color w:val="006666"/>
          <w:sz w:val="20"/>
          <w:szCs w:val="20"/>
          <w:lang w:eastAsia="en-GB"/>
        </w:rPr>
        <w:t xml:space="preserve"> </w:t>
      </w:r>
      <w:r w:rsidR="00DD1DC3">
        <w:rPr>
          <w:rFonts w:ascii="Calibri" w:eastAsia="Times New Roman" w:hAnsi="Calibri" w:cs="Calibri"/>
          <w:color w:val="006666"/>
          <w:sz w:val="20"/>
          <w:szCs w:val="20"/>
          <w:lang w:eastAsia="en-GB"/>
        </w:rPr>
        <w:t xml:space="preserve">for </w:t>
      </w:r>
      <w:r w:rsidR="00955DC9">
        <w:rPr>
          <w:rFonts w:ascii="Calibri" w:eastAsia="Times New Roman" w:hAnsi="Calibri" w:cs="Calibri"/>
          <w:color w:val="006666"/>
          <w:sz w:val="20"/>
          <w:szCs w:val="20"/>
          <w:lang w:eastAsia="en-GB"/>
        </w:rPr>
        <w:t>the following:</w:t>
      </w:r>
    </w:p>
    <w:p w14:paraId="6FCBC8F7" w14:textId="77777777" w:rsidR="009C76F5" w:rsidRDefault="009C76F5" w:rsidP="009C76F5">
      <w:pPr>
        <w:autoSpaceDE w:val="0"/>
        <w:autoSpaceDN w:val="0"/>
        <w:adjustRightInd w:val="0"/>
        <w:spacing w:after="0" w:line="240" w:lineRule="auto"/>
        <w:ind w:left="-425" w:right="119"/>
        <w:contextualSpacing/>
        <w:rPr>
          <w:rFonts w:ascii="Calibri" w:eastAsia="Times New Roman" w:hAnsi="Calibri" w:cs="Calibri"/>
          <w:color w:val="006666"/>
          <w:sz w:val="20"/>
          <w:szCs w:val="20"/>
          <w:lang w:eastAsia="en-GB"/>
        </w:rPr>
      </w:pPr>
    </w:p>
    <w:p w14:paraId="3D4D1392" w14:textId="03B4982D" w:rsidR="00E331F8" w:rsidRPr="003A4433" w:rsidRDefault="00955DC9" w:rsidP="001E6674">
      <w:pPr>
        <w:pStyle w:val="ListParagraph"/>
        <w:numPr>
          <w:ilvl w:val="0"/>
          <w:numId w:val="8"/>
        </w:numPr>
        <w:autoSpaceDE w:val="0"/>
        <w:autoSpaceDN w:val="0"/>
        <w:adjustRightInd w:val="0"/>
        <w:spacing w:after="0" w:line="240" w:lineRule="auto"/>
        <w:ind w:right="119"/>
        <w:rPr>
          <w:rFonts w:ascii="Calibri" w:eastAsia="Times New Roman" w:hAnsi="Calibri" w:cs="Calibri"/>
          <w:i/>
          <w:iCs/>
          <w:color w:val="CC0099"/>
          <w:sz w:val="20"/>
          <w:szCs w:val="20"/>
          <w:lang w:eastAsia="en-GB"/>
        </w:rPr>
      </w:pPr>
      <w:r w:rsidRPr="00446D1B">
        <w:rPr>
          <w:rFonts w:ascii="Calibri" w:eastAsia="Times New Roman" w:hAnsi="Calibri" w:cs="Calibri"/>
          <w:b/>
          <w:bCs/>
          <w:color w:val="006666"/>
          <w:sz w:val="20"/>
          <w:szCs w:val="20"/>
          <w:lang w:eastAsia="en-GB"/>
        </w:rPr>
        <w:t>Failure to deliver on a new loan</w:t>
      </w:r>
      <w:r w:rsidRPr="00A57863">
        <w:rPr>
          <w:rFonts w:ascii="Calibri" w:eastAsia="Times New Roman" w:hAnsi="Calibri" w:cs="Calibri"/>
          <w:color w:val="006666"/>
          <w:sz w:val="20"/>
          <w:szCs w:val="20"/>
          <w:lang w:eastAsia="en-GB"/>
        </w:rPr>
        <w:t xml:space="preserve"> </w:t>
      </w:r>
      <w:r w:rsidR="009C76F5" w:rsidRPr="00A57863">
        <w:rPr>
          <w:rFonts w:ascii="Calibri" w:eastAsia="Times New Roman" w:hAnsi="Calibri" w:cs="Calibri"/>
          <w:color w:val="006666"/>
          <w:sz w:val="20"/>
          <w:szCs w:val="20"/>
          <w:lang w:eastAsia="en-GB"/>
        </w:rPr>
        <w:t>–</w:t>
      </w:r>
      <w:r w:rsidRPr="00A57863">
        <w:rPr>
          <w:rFonts w:ascii="Calibri" w:eastAsia="Times New Roman" w:hAnsi="Calibri" w:cs="Calibri"/>
          <w:color w:val="006666"/>
          <w:sz w:val="20"/>
          <w:szCs w:val="20"/>
          <w:lang w:eastAsia="en-GB"/>
        </w:rPr>
        <w:t xml:space="preserve"> </w:t>
      </w:r>
      <w:r w:rsidR="004A1666" w:rsidRPr="00A57863">
        <w:rPr>
          <w:rFonts w:ascii="Calibri" w:eastAsia="Times New Roman" w:hAnsi="Calibri" w:cs="Calibri"/>
          <w:color w:val="006666"/>
          <w:sz w:val="20"/>
          <w:szCs w:val="20"/>
          <w:lang w:eastAsia="en-GB"/>
        </w:rPr>
        <w:t xml:space="preserve">Settlement rates </w:t>
      </w:r>
      <w:r w:rsidR="00873569" w:rsidRPr="00A57863">
        <w:rPr>
          <w:rFonts w:ascii="Calibri" w:eastAsia="Times New Roman" w:hAnsi="Calibri" w:cs="Calibri"/>
          <w:color w:val="006666"/>
          <w:sz w:val="20"/>
          <w:szCs w:val="20"/>
          <w:lang w:eastAsia="en-GB"/>
        </w:rPr>
        <w:t>for</w:t>
      </w:r>
      <w:r w:rsidR="004A1666" w:rsidRPr="00A57863">
        <w:rPr>
          <w:rFonts w:ascii="Calibri" w:eastAsia="Times New Roman" w:hAnsi="Calibri" w:cs="Calibri"/>
          <w:color w:val="006666"/>
          <w:sz w:val="20"/>
          <w:szCs w:val="20"/>
          <w:lang w:eastAsia="en-GB"/>
        </w:rPr>
        <w:t xml:space="preserve"> new loans are generally high, </w:t>
      </w:r>
      <w:r w:rsidR="00E40DE7" w:rsidRPr="00A57863">
        <w:rPr>
          <w:rFonts w:ascii="Calibri" w:eastAsia="Times New Roman" w:hAnsi="Calibri" w:cs="Calibri"/>
          <w:color w:val="006666"/>
          <w:sz w:val="20"/>
          <w:szCs w:val="20"/>
          <w:lang w:eastAsia="en-GB"/>
        </w:rPr>
        <w:t>as</w:t>
      </w:r>
      <w:r w:rsidR="00A217DF" w:rsidRPr="00A57863">
        <w:rPr>
          <w:rFonts w:ascii="Calibri" w:eastAsia="Times New Roman" w:hAnsi="Calibri" w:cs="Calibri"/>
          <w:color w:val="006666"/>
          <w:sz w:val="20"/>
          <w:szCs w:val="20"/>
          <w:lang w:eastAsia="en-GB"/>
        </w:rPr>
        <w:t xml:space="preserve"> lenders </w:t>
      </w:r>
      <w:r w:rsidR="000E444A">
        <w:rPr>
          <w:rFonts w:ascii="Calibri" w:eastAsia="Times New Roman" w:hAnsi="Calibri" w:cs="Calibri"/>
          <w:color w:val="006666"/>
          <w:sz w:val="20"/>
          <w:szCs w:val="20"/>
          <w:lang w:eastAsia="en-GB"/>
        </w:rPr>
        <w:t>should</w:t>
      </w:r>
      <w:r w:rsidR="00873569" w:rsidRPr="00A57863">
        <w:rPr>
          <w:rFonts w:ascii="Calibri" w:eastAsia="Times New Roman" w:hAnsi="Calibri" w:cs="Calibri"/>
          <w:color w:val="006666"/>
          <w:sz w:val="20"/>
          <w:szCs w:val="20"/>
          <w:lang w:eastAsia="en-GB"/>
        </w:rPr>
        <w:t xml:space="preserve"> only consider</w:t>
      </w:r>
      <w:r w:rsidR="00A217DF" w:rsidRPr="00A57863">
        <w:rPr>
          <w:rFonts w:ascii="Calibri" w:eastAsia="Times New Roman" w:hAnsi="Calibri" w:cs="Calibri"/>
          <w:color w:val="006666"/>
          <w:sz w:val="20"/>
          <w:szCs w:val="20"/>
          <w:lang w:eastAsia="en-GB"/>
        </w:rPr>
        <w:t xml:space="preserve"> </w:t>
      </w:r>
      <w:r w:rsidR="004F68D6">
        <w:rPr>
          <w:rFonts w:ascii="Calibri" w:eastAsia="Times New Roman" w:hAnsi="Calibri" w:cs="Calibri"/>
          <w:color w:val="006666"/>
          <w:sz w:val="20"/>
          <w:szCs w:val="20"/>
          <w:lang w:eastAsia="en-GB"/>
        </w:rPr>
        <w:t xml:space="preserve">concluding and issuing </w:t>
      </w:r>
      <w:r w:rsidR="000E444A">
        <w:rPr>
          <w:rFonts w:ascii="Calibri" w:eastAsia="Times New Roman" w:hAnsi="Calibri" w:cs="Calibri"/>
          <w:color w:val="006666"/>
          <w:sz w:val="20"/>
          <w:szCs w:val="20"/>
          <w:lang w:eastAsia="en-GB"/>
        </w:rPr>
        <w:t>instructi</w:t>
      </w:r>
      <w:r w:rsidR="002F1372">
        <w:rPr>
          <w:rFonts w:ascii="Calibri" w:eastAsia="Times New Roman" w:hAnsi="Calibri" w:cs="Calibri"/>
          <w:color w:val="006666"/>
          <w:sz w:val="20"/>
          <w:szCs w:val="20"/>
          <w:lang w:eastAsia="en-GB"/>
        </w:rPr>
        <w:t xml:space="preserve">on where </w:t>
      </w:r>
      <w:r w:rsidR="00E40DE7" w:rsidRPr="00A57863">
        <w:rPr>
          <w:rFonts w:ascii="Calibri" w:eastAsia="Times New Roman" w:hAnsi="Calibri" w:cs="Calibri"/>
          <w:color w:val="006666"/>
          <w:sz w:val="20"/>
          <w:szCs w:val="20"/>
          <w:lang w:eastAsia="en-GB"/>
        </w:rPr>
        <w:t xml:space="preserve">the inventory </w:t>
      </w:r>
      <w:r w:rsidR="005B00EE">
        <w:rPr>
          <w:rFonts w:ascii="Calibri" w:eastAsia="Times New Roman" w:hAnsi="Calibri" w:cs="Calibri"/>
          <w:color w:val="006666"/>
          <w:sz w:val="20"/>
          <w:szCs w:val="20"/>
          <w:lang w:eastAsia="en-GB"/>
        </w:rPr>
        <w:t xml:space="preserve">has fully settled </w:t>
      </w:r>
      <w:r w:rsidR="00E40DE7" w:rsidRPr="00A57863">
        <w:rPr>
          <w:rFonts w:ascii="Calibri" w:eastAsia="Times New Roman" w:hAnsi="Calibri" w:cs="Calibri"/>
          <w:color w:val="006666"/>
          <w:sz w:val="20"/>
          <w:szCs w:val="20"/>
          <w:lang w:eastAsia="en-GB"/>
        </w:rPr>
        <w:t>in</w:t>
      </w:r>
      <w:r w:rsidR="005B00EE">
        <w:rPr>
          <w:rFonts w:ascii="Calibri" w:eastAsia="Times New Roman" w:hAnsi="Calibri" w:cs="Calibri"/>
          <w:color w:val="006666"/>
          <w:sz w:val="20"/>
          <w:szCs w:val="20"/>
          <w:lang w:eastAsia="en-GB"/>
        </w:rPr>
        <w:t>to</w:t>
      </w:r>
      <w:r w:rsidR="00E40DE7" w:rsidRPr="00A57863">
        <w:rPr>
          <w:rFonts w:ascii="Calibri" w:eastAsia="Times New Roman" w:hAnsi="Calibri" w:cs="Calibri"/>
          <w:color w:val="006666"/>
          <w:sz w:val="20"/>
          <w:szCs w:val="20"/>
          <w:lang w:eastAsia="en-GB"/>
        </w:rPr>
        <w:t xml:space="preserve"> their custody</w:t>
      </w:r>
      <w:r w:rsidR="005B00EE">
        <w:rPr>
          <w:rFonts w:ascii="Calibri" w:eastAsia="Times New Roman" w:hAnsi="Calibri" w:cs="Calibri"/>
          <w:color w:val="006666"/>
          <w:sz w:val="20"/>
          <w:szCs w:val="20"/>
          <w:lang w:eastAsia="en-GB"/>
        </w:rPr>
        <w:t>.</w:t>
      </w:r>
      <w:r w:rsidR="00E40DE7" w:rsidRPr="00A57863">
        <w:rPr>
          <w:rFonts w:ascii="Calibri" w:eastAsia="Times New Roman" w:hAnsi="Calibri" w:cs="Calibri"/>
          <w:color w:val="006666"/>
          <w:sz w:val="20"/>
          <w:szCs w:val="20"/>
          <w:lang w:eastAsia="en-GB"/>
        </w:rPr>
        <w:t xml:space="preserve"> As such</w:t>
      </w:r>
      <w:r w:rsidR="003454A4" w:rsidRPr="00A57863">
        <w:rPr>
          <w:rFonts w:ascii="Calibri" w:eastAsia="Times New Roman" w:hAnsi="Calibri" w:cs="Calibri"/>
          <w:color w:val="006666"/>
          <w:sz w:val="20"/>
          <w:szCs w:val="20"/>
          <w:lang w:eastAsia="en-GB"/>
        </w:rPr>
        <w:t>,</w:t>
      </w:r>
      <w:r w:rsidR="00E40DE7" w:rsidRPr="00A57863">
        <w:rPr>
          <w:rFonts w:ascii="Calibri" w:eastAsia="Times New Roman" w:hAnsi="Calibri" w:cs="Calibri"/>
          <w:color w:val="006666"/>
          <w:sz w:val="20"/>
          <w:szCs w:val="20"/>
          <w:lang w:eastAsia="en-GB"/>
        </w:rPr>
        <w:t xml:space="preserve"> the </w:t>
      </w:r>
      <w:r w:rsidR="005B00EE">
        <w:rPr>
          <w:rFonts w:ascii="Calibri" w:eastAsia="Times New Roman" w:hAnsi="Calibri" w:cs="Calibri"/>
          <w:color w:val="006666"/>
          <w:sz w:val="20"/>
          <w:szCs w:val="20"/>
          <w:lang w:eastAsia="en-GB"/>
        </w:rPr>
        <w:t>frequency</w:t>
      </w:r>
      <w:r w:rsidR="00E40DE7" w:rsidRPr="00A57863">
        <w:rPr>
          <w:rFonts w:ascii="Calibri" w:eastAsia="Times New Roman" w:hAnsi="Calibri" w:cs="Calibri"/>
          <w:color w:val="006666"/>
          <w:sz w:val="20"/>
          <w:szCs w:val="20"/>
          <w:lang w:eastAsia="en-GB"/>
        </w:rPr>
        <w:t xml:space="preserve"> of match</w:t>
      </w:r>
      <w:r w:rsidR="005B00EE">
        <w:rPr>
          <w:rFonts w:ascii="Calibri" w:eastAsia="Times New Roman" w:hAnsi="Calibri" w:cs="Calibri"/>
          <w:color w:val="006666"/>
          <w:sz w:val="20"/>
          <w:szCs w:val="20"/>
          <w:lang w:eastAsia="en-GB"/>
        </w:rPr>
        <w:t>ing instructions</w:t>
      </w:r>
      <w:r w:rsidR="00E331F8" w:rsidRPr="00A57863">
        <w:rPr>
          <w:rFonts w:ascii="Calibri" w:eastAsia="Times New Roman" w:hAnsi="Calibri" w:cs="Calibri"/>
          <w:color w:val="006666"/>
          <w:sz w:val="20"/>
          <w:szCs w:val="20"/>
          <w:lang w:eastAsia="en-GB"/>
        </w:rPr>
        <w:t xml:space="preserve">, </w:t>
      </w:r>
      <w:r w:rsidR="003454A4" w:rsidRPr="00A57863">
        <w:rPr>
          <w:rFonts w:ascii="Calibri" w:eastAsia="Times New Roman" w:hAnsi="Calibri" w:cs="Calibri"/>
          <w:color w:val="006666"/>
          <w:sz w:val="20"/>
          <w:szCs w:val="20"/>
          <w:lang w:eastAsia="en-GB"/>
        </w:rPr>
        <w:t xml:space="preserve">where the lender is </w:t>
      </w:r>
      <w:r w:rsidR="002A7E94">
        <w:rPr>
          <w:rFonts w:ascii="Calibri" w:eastAsia="Times New Roman" w:hAnsi="Calibri" w:cs="Calibri"/>
          <w:color w:val="006666"/>
          <w:sz w:val="20"/>
          <w:szCs w:val="20"/>
          <w:lang w:eastAsia="en-GB"/>
        </w:rPr>
        <w:t>unable</w:t>
      </w:r>
      <w:r w:rsidR="003454A4" w:rsidRPr="00A57863">
        <w:rPr>
          <w:rFonts w:ascii="Calibri" w:eastAsia="Times New Roman" w:hAnsi="Calibri" w:cs="Calibri"/>
          <w:color w:val="006666"/>
          <w:sz w:val="20"/>
          <w:szCs w:val="20"/>
          <w:lang w:eastAsia="en-GB"/>
        </w:rPr>
        <w:t xml:space="preserve"> to deliver </w:t>
      </w:r>
      <w:r w:rsidR="00E331F8" w:rsidRPr="00A57863">
        <w:rPr>
          <w:rFonts w:ascii="Calibri" w:eastAsia="Times New Roman" w:hAnsi="Calibri" w:cs="Calibri"/>
          <w:color w:val="006666"/>
          <w:sz w:val="20"/>
          <w:szCs w:val="20"/>
          <w:lang w:eastAsia="en-GB"/>
        </w:rPr>
        <w:t xml:space="preserve">on a new loan is low. </w:t>
      </w:r>
      <w:r w:rsidR="00CD5BA8">
        <w:rPr>
          <w:rFonts w:ascii="Calibri" w:eastAsia="Times New Roman" w:hAnsi="Calibri" w:cs="Calibri"/>
          <w:color w:val="006666"/>
          <w:sz w:val="20"/>
          <w:szCs w:val="20"/>
          <w:lang w:eastAsia="en-GB"/>
        </w:rPr>
        <w:t>Where</w:t>
      </w:r>
      <w:r w:rsidR="00063E26" w:rsidRPr="00A57863">
        <w:rPr>
          <w:rFonts w:ascii="Calibri" w:eastAsia="Times New Roman" w:hAnsi="Calibri" w:cs="Calibri"/>
          <w:color w:val="006666"/>
          <w:sz w:val="20"/>
          <w:szCs w:val="20"/>
          <w:lang w:eastAsia="en-GB"/>
        </w:rPr>
        <w:t xml:space="preserve"> a lender is unable to satisfy</w:t>
      </w:r>
      <w:r w:rsidR="006B70DB" w:rsidRPr="00A57863">
        <w:rPr>
          <w:rFonts w:ascii="Calibri" w:eastAsia="Times New Roman" w:hAnsi="Calibri" w:cs="Calibri"/>
          <w:color w:val="006666"/>
          <w:sz w:val="20"/>
          <w:szCs w:val="20"/>
          <w:lang w:eastAsia="en-GB"/>
        </w:rPr>
        <w:t xml:space="preserve"> an</w:t>
      </w:r>
      <w:r w:rsidR="00063E26" w:rsidRPr="00A57863">
        <w:rPr>
          <w:rFonts w:ascii="Calibri" w:eastAsia="Times New Roman" w:hAnsi="Calibri" w:cs="Calibri"/>
          <w:color w:val="006666"/>
          <w:sz w:val="20"/>
          <w:szCs w:val="20"/>
          <w:lang w:eastAsia="en-GB"/>
        </w:rPr>
        <w:t xml:space="preserve"> order, both parties </w:t>
      </w:r>
      <w:r w:rsidR="00CD5BA8">
        <w:rPr>
          <w:rFonts w:ascii="Calibri" w:eastAsia="Times New Roman" w:hAnsi="Calibri" w:cs="Calibri"/>
          <w:color w:val="006666"/>
          <w:sz w:val="20"/>
          <w:szCs w:val="20"/>
          <w:lang w:eastAsia="en-GB"/>
        </w:rPr>
        <w:t>retain</w:t>
      </w:r>
      <w:r w:rsidR="00063E26" w:rsidRPr="00A57863">
        <w:rPr>
          <w:rFonts w:ascii="Calibri" w:eastAsia="Times New Roman" w:hAnsi="Calibri" w:cs="Calibri"/>
          <w:color w:val="006666"/>
          <w:sz w:val="20"/>
          <w:szCs w:val="20"/>
          <w:lang w:eastAsia="en-GB"/>
        </w:rPr>
        <w:t xml:space="preserve"> the right to bi-</w:t>
      </w:r>
      <w:r w:rsidR="000B3BFE" w:rsidRPr="00A57863">
        <w:rPr>
          <w:rFonts w:ascii="Calibri" w:eastAsia="Times New Roman" w:hAnsi="Calibri" w:cs="Calibri"/>
          <w:color w:val="006666"/>
          <w:sz w:val="20"/>
          <w:szCs w:val="20"/>
          <w:lang w:eastAsia="en-GB"/>
        </w:rPr>
        <w:t>laterall</w:t>
      </w:r>
      <w:r w:rsidR="000B3BFE">
        <w:rPr>
          <w:rFonts w:ascii="Calibri" w:eastAsia="Times New Roman" w:hAnsi="Calibri" w:cs="Calibri"/>
          <w:color w:val="006666"/>
          <w:sz w:val="20"/>
          <w:szCs w:val="20"/>
          <w:lang w:eastAsia="en-GB"/>
        </w:rPr>
        <w:t>y</w:t>
      </w:r>
      <w:r w:rsidR="00063E26" w:rsidRPr="00A57863">
        <w:rPr>
          <w:rFonts w:ascii="Calibri" w:eastAsia="Times New Roman" w:hAnsi="Calibri" w:cs="Calibri"/>
          <w:color w:val="006666"/>
          <w:sz w:val="20"/>
          <w:szCs w:val="20"/>
          <w:lang w:eastAsia="en-GB"/>
        </w:rPr>
        <w:t xml:space="preserve"> cancel </w:t>
      </w:r>
      <w:r w:rsidR="00622157">
        <w:rPr>
          <w:rFonts w:ascii="Calibri" w:eastAsia="Times New Roman" w:hAnsi="Calibri" w:cs="Calibri"/>
          <w:color w:val="006666"/>
          <w:sz w:val="20"/>
          <w:szCs w:val="20"/>
          <w:lang w:eastAsia="en-GB"/>
        </w:rPr>
        <w:t>the agree</w:t>
      </w:r>
      <w:r w:rsidR="00840F32">
        <w:rPr>
          <w:rFonts w:ascii="Calibri" w:eastAsia="Times New Roman" w:hAnsi="Calibri" w:cs="Calibri"/>
          <w:color w:val="006666"/>
          <w:sz w:val="20"/>
          <w:szCs w:val="20"/>
          <w:lang w:eastAsia="en-GB"/>
        </w:rPr>
        <w:t>d</w:t>
      </w:r>
      <w:r w:rsidR="00622157">
        <w:rPr>
          <w:rFonts w:ascii="Calibri" w:eastAsia="Times New Roman" w:hAnsi="Calibri" w:cs="Calibri"/>
          <w:color w:val="006666"/>
          <w:sz w:val="20"/>
          <w:szCs w:val="20"/>
          <w:lang w:eastAsia="en-GB"/>
        </w:rPr>
        <w:t xml:space="preserve"> transaction</w:t>
      </w:r>
      <w:r w:rsidR="00EB6523">
        <w:rPr>
          <w:rFonts w:ascii="Calibri" w:eastAsia="Times New Roman" w:hAnsi="Calibri" w:cs="Calibri"/>
          <w:color w:val="006666"/>
          <w:sz w:val="20"/>
          <w:szCs w:val="20"/>
          <w:lang w:eastAsia="en-GB"/>
        </w:rPr>
        <w:t>, as standard market practice</w:t>
      </w:r>
      <w:r w:rsidR="00DD516E">
        <w:rPr>
          <w:rFonts w:ascii="Calibri" w:eastAsia="Times New Roman" w:hAnsi="Calibri" w:cs="Calibri"/>
          <w:color w:val="006666"/>
          <w:sz w:val="20"/>
          <w:szCs w:val="20"/>
          <w:lang w:eastAsia="en-GB"/>
        </w:rPr>
        <w:t xml:space="preserve">. </w:t>
      </w:r>
      <w:r w:rsidR="00063E26" w:rsidRPr="00A57863">
        <w:rPr>
          <w:rFonts w:ascii="Calibri" w:eastAsia="Times New Roman" w:hAnsi="Calibri" w:cs="Calibri"/>
          <w:color w:val="006666"/>
          <w:sz w:val="20"/>
          <w:szCs w:val="20"/>
          <w:lang w:eastAsia="en-GB"/>
        </w:rPr>
        <w:t xml:space="preserve"> </w:t>
      </w:r>
      <w:r w:rsidR="00840F32">
        <w:rPr>
          <w:rFonts w:ascii="Calibri" w:eastAsia="Times New Roman" w:hAnsi="Calibri" w:cs="Calibri"/>
          <w:color w:val="006666"/>
          <w:sz w:val="20"/>
          <w:szCs w:val="20"/>
          <w:lang w:eastAsia="en-GB"/>
        </w:rPr>
        <w:t>As a consequence,</w:t>
      </w:r>
      <w:r w:rsidR="00063E26" w:rsidRPr="00A57863">
        <w:rPr>
          <w:rFonts w:ascii="Calibri" w:eastAsia="Times New Roman" w:hAnsi="Calibri" w:cs="Calibri"/>
          <w:color w:val="006666"/>
          <w:sz w:val="20"/>
          <w:szCs w:val="20"/>
          <w:lang w:eastAsia="en-GB"/>
        </w:rPr>
        <w:t xml:space="preserve"> the borrower </w:t>
      </w:r>
      <w:r w:rsidR="00840F32">
        <w:rPr>
          <w:rFonts w:ascii="Calibri" w:eastAsia="Times New Roman" w:hAnsi="Calibri" w:cs="Calibri"/>
          <w:color w:val="006666"/>
          <w:sz w:val="20"/>
          <w:szCs w:val="20"/>
          <w:lang w:eastAsia="en-GB"/>
        </w:rPr>
        <w:t>may then</w:t>
      </w:r>
      <w:r w:rsidR="00446D1B">
        <w:rPr>
          <w:rFonts w:ascii="Calibri" w:eastAsia="Times New Roman" w:hAnsi="Calibri" w:cs="Calibri"/>
          <w:color w:val="006666"/>
          <w:sz w:val="20"/>
          <w:szCs w:val="20"/>
          <w:lang w:eastAsia="en-GB"/>
        </w:rPr>
        <w:t xml:space="preserve"> consider</w:t>
      </w:r>
      <w:r w:rsidR="00063E26" w:rsidRPr="00A57863">
        <w:rPr>
          <w:rFonts w:ascii="Calibri" w:eastAsia="Times New Roman" w:hAnsi="Calibri" w:cs="Calibri"/>
          <w:color w:val="006666"/>
          <w:sz w:val="20"/>
          <w:szCs w:val="20"/>
          <w:lang w:eastAsia="en-GB"/>
        </w:rPr>
        <w:t xml:space="preserve"> sourc</w:t>
      </w:r>
      <w:r w:rsidR="00446D1B">
        <w:rPr>
          <w:rFonts w:ascii="Calibri" w:eastAsia="Times New Roman" w:hAnsi="Calibri" w:cs="Calibri"/>
          <w:color w:val="006666"/>
          <w:sz w:val="20"/>
          <w:szCs w:val="20"/>
          <w:lang w:eastAsia="en-GB"/>
        </w:rPr>
        <w:t>ing</w:t>
      </w:r>
      <w:r w:rsidR="00063E26" w:rsidRPr="00A57863">
        <w:rPr>
          <w:rFonts w:ascii="Calibri" w:eastAsia="Times New Roman" w:hAnsi="Calibri" w:cs="Calibri"/>
          <w:color w:val="006666"/>
          <w:sz w:val="20"/>
          <w:szCs w:val="20"/>
          <w:lang w:eastAsia="en-GB"/>
        </w:rPr>
        <w:t xml:space="preserve"> </w:t>
      </w:r>
      <w:r w:rsidR="007B593C">
        <w:rPr>
          <w:rFonts w:ascii="Calibri" w:eastAsia="Times New Roman" w:hAnsi="Calibri" w:cs="Calibri"/>
          <w:color w:val="006666"/>
          <w:sz w:val="20"/>
          <w:szCs w:val="20"/>
          <w:lang w:eastAsia="en-GB"/>
        </w:rPr>
        <w:t>the securities</w:t>
      </w:r>
      <w:r w:rsidR="00063E26" w:rsidRPr="00A57863">
        <w:rPr>
          <w:rFonts w:ascii="Calibri" w:eastAsia="Times New Roman" w:hAnsi="Calibri" w:cs="Calibri"/>
          <w:color w:val="006666"/>
          <w:sz w:val="20"/>
          <w:szCs w:val="20"/>
          <w:lang w:eastAsia="en-GB"/>
        </w:rPr>
        <w:t xml:space="preserve"> from </w:t>
      </w:r>
      <w:r w:rsidR="007B593C">
        <w:rPr>
          <w:rFonts w:ascii="Calibri" w:eastAsia="Times New Roman" w:hAnsi="Calibri" w:cs="Calibri"/>
          <w:color w:val="006666"/>
          <w:sz w:val="20"/>
          <w:szCs w:val="20"/>
          <w:lang w:eastAsia="en-GB"/>
        </w:rPr>
        <w:t>another lender</w:t>
      </w:r>
      <w:r w:rsidR="00A57863">
        <w:rPr>
          <w:rFonts w:ascii="Calibri" w:eastAsia="Times New Roman" w:hAnsi="Calibri" w:cs="Calibri"/>
          <w:color w:val="006666"/>
          <w:sz w:val="20"/>
          <w:szCs w:val="20"/>
          <w:lang w:eastAsia="en-GB"/>
        </w:rPr>
        <w:t xml:space="preserve"> to cover </w:t>
      </w:r>
      <w:r w:rsidR="00A60FA2">
        <w:rPr>
          <w:rFonts w:ascii="Calibri" w:eastAsia="Times New Roman" w:hAnsi="Calibri" w:cs="Calibri"/>
          <w:color w:val="006666"/>
          <w:sz w:val="20"/>
          <w:szCs w:val="20"/>
          <w:lang w:eastAsia="en-GB"/>
        </w:rPr>
        <w:t>any other</w:t>
      </w:r>
      <w:r w:rsidR="00A57863">
        <w:rPr>
          <w:rFonts w:ascii="Calibri" w:eastAsia="Times New Roman" w:hAnsi="Calibri" w:cs="Calibri"/>
          <w:color w:val="006666"/>
          <w:sz w:val="20"/>
          <w:szCs w:val="20"/>
          <w:lang w:eastAsia="en-GB"/>
        </w:rPr>
        <w:t xml:space="preserve"> obligation</w:t>
      </w:r>
      <w:r w:rsidR="00A60FA2">
        <w:rPr>
          <w:rFonts w:ascii="Calibri" w:eastAsia="Times New Roman" w:hAnsi="Calibri" w:cs="Calibri"/>
          <w:color w:val="006666"/>
          <w:sz w:val="20"/>
          <w:szCs w:val="20"/>
          <w:lang w:eastAsia="en-GB"/>
        </w:rPr>
        <w:t>(s)</w:t>
      </w:r>
      <w:r w:rsidR="00063E26" w:rsidRPr="00A57863">
        <w:rPr>
          <w:rFonts w:ascii="Calibri" w:eastAsia="Times New Roman" w:hAnsi="Calibri" w:cs="Calibri"/>
          <w:color w:val="006666"/>
          <w:sz w:val="20"/>
          <w:szCs w:val="20"/>
          <w:lang w:eastAsia="en-GB"/>
        </w:rPr>
        <w:t>.</w:t>
      </w:r>
      <w:r w:rsidR="00A57E91">
        <w:rPr>
          <w:rFonts w:ascii="Calibri" w:eastAsia="Times New Roman" w:hAnsi="Calibri" w:cs="Calibri"/>
          <w:color w:val="006666"/>
          <w:sz w:val="20"/>
          <w:szCs w:val="20"/>
          <w:lang w:eastAsia="en-GB"/>
        </w:rPr>
        <w:t xml:space="preserve"> </w:t>
      </w:r>
    </w:p>
    <w:p w14:paraId="423E9D9C" w14:textId="77777777" w:rsidR="003A4433" w:rsidRPr="00A57863" w:rsidRDefault="003A4433" w:rsidP="003A4433">
      <w:pPr>
        <w:pStyle w:val="ListParagraph"/>
        <w:autoSpaceDE w:val="0"/>
        <w:autoSpaceDN w:val="0"/>
        <w:adjustRightInd w:val="0"/>
        <w:spacing w:after="0" w:line="240" w:lineRule="auto"/>
        <w:ind w:left="295" w:right="119"/>
        <w:rPr>
          <w:rFonts w:ascii="Calibri" w:eastAsia="Times New Roman" w:hAnsi="Calibri" w:cs="Calibri"/>
          <w:i/>
          <w:iCs/>
          <w:color w:val="CC0099"/>
          <w:sz w:val="20"/>
          <w:szCs w:val="20"/>
          <w:lang w:eastAsia="en-GB"/>
        </w:rPr>
      </w:pPr>
    </w:p>
    <w:p w14:paraId="291AF9BA" w14:textId="521D6FED" w:rsidR="00063E26" w:rsidRPr="009616CE" w:rsidRDefault="00063E26" w:rsidP="009616CE">
      <w:pPr>
        <w:pStyle w:val="ListParagraph"/>
        <w:numPr>
          <w:ilvl w:val="0"/>
          <w:numId w:val="8"/>
        </w:numPr>
        <w:autoSpaceDE w:val="0"/>
        <w:autoSpaceDN w:val="0"/>
        <w:adjustRightInd w:val="0"/>
        <w:spacing w:after="0" w:line="240" w:lineRule="auto"/>
        <w:ind w:right="119"/>
        <w:rPr>
          <w:rFonts w:ascii="Calibri" w:eastAsia="Times New Roman" w:hAnsi="Calibri" w:cs="Calibri"/>
          <w:color w:val="006666"/>
          <w:sz w:val="20"/>
          <w:szCs w:val="20"/>
          <w:lang w:eastAsia="en-GB"/>
        </w:rPr>
      </w:pPr>
      <w:r w:rsidRPr="00446D1B">
        <w:rPr>
          <w:rFonts w:ascii="Calibri" w:eastAsia="Times New Roman" w:hAnsi="Calibri" w:cs="Calibri"/>
          <w:b/>
          <w:bCs/>
          <w:color w:val="006666"/>
          <w:sz w:val="20"/>
          <w:szCs w:val="20"/>
          <w:lang w:eastAsia="en-GB"/>
        </w:rPr>
        <w:t>Failure to deliver</w:t>
      </w:r>
      <w:r w:rsidR="00EF23DF" w:rsidRPr="00446D1B">
        <w:rPr>
          <w:rFonts w:ascii="Calibri" w:eastAsia="Times New Roman" w:hAnsi="Calibri" w:cs="Calibri"/>
          <w:b/>
          <w:bCs/>
          <w:color w:val="006666"/>
          <w:sz w:val="20"/>
          <w:szCs w:val="20"/>
          <w:lang w:eastAsia="en-GB"/>
        </w:rPr>
        <w:t xml:space="preserve"> on a</w:t>
      </w:r>
      <w:r w:rsidRPr="00446D1B">
        <w:rPr>
          <w:rFonts w:ascii="Calibri" w:eastAsia="Times New Roman" w:hAnsi="Calibri" w:cs="Calibri"/>
          <w:b/>
          <w:bCs/>
          <w:color w:val="006666"/>
          <w:sz w:val="20"/>
          <w:szCs w:val="20"/>
          <w:lang w:eastAsia="en-GB"/>
        </w:rPr>
        <w:t xml:space="preserve"> </w:t>
      </w:r>
      <w:r w:rsidR="005C516F" w:rsidRPr="00446D1B">
        <w:rPr>
          <w:rFonts w:ascii="Calibri" w:eastAsia="Times New Roman" w:hAnsi="Calibri" w:cs="Calibri"/>
          <w:b/>
          <w:bCs/>
          <w:color w:val="006666"/>
          <w:sz w:val="20"/>
          <w:szCs w:val="20"/>
          <w:lang w:eastAsia="en-GB"/>
        </w:rPr>
        <w:t>recall</w:t>
      </w:r>
      <w:r w:rsidR="00A66ED2">
        <w:rPr>
          <w:rFonts w:ascii="Calibri" w:eastAsia="Times New Roman" w:hAnsi="Calibri" w:cs="Calibri"/>
          <w:color w:val="006666"/>
          <w:sz w:val="20"/>
          <w:szCs w:val="20"/>
          <w:lang w:eastAsia="en-GB"/>
        </w:rPr>
        <w:t xml:space="preserve"> </w:t>
      </w:r>
      <w:r w:rsidR="00856E10">
        <w:rPr>
          <w:rFonts w:ascii="Calibri" w:eastAsia="Times New Roman" w:hAnsi="Calibri" w:cs="Calibri"/>
          <w:color w:val="006666"/>
          <w:sz w:val="20"/>
          <w:szCs w:val="20"/>
          <w:lang w:eastAsia="en-GB"/>
        </w:rPr>
        <w:t>–</w:t>
      </w:r>
      <w:r w:rsidR="00D842EC">
        <w:rPr>
          <w:rFonts w:ascii="Calibri" w:eastAsia="Times New Roman" w:hAnsi="Calibri" w:cs="Calibri"/>
          <w:color w:val="006666"/>
          <w:sz w:val="20"/>
          <w:szCs w:val="20"/>
          <w:lang w:eastAsia="en-GB"/>
        </w:rPr>
        <w:t xml:space="preserve"> </w:t>
      </w:r>
      <w:r w:rsidR="008A189E">
        <w:rPr>
          <w:rFonts w:ascii="Calibri" w:eastAsia="Times New Roman" w:hAnsi="Calibri" w:cs="Calibri"/>
          <w:color w:val="006666"/>
          <w:sz w:val="20"/>
          <w:szCs w:val="20"/>
          <w:lang w:eastAsia="en-GB"/>
        </w:rPr>
        <w:t>Whe</w:t>
      </w:r>
      <w:r w:rsidR="001236B2">
        <w:rPr>
          <w:rFonts w:ascii="Calibri" w:eastAsia="Times New Roman" w:hAnsi="Calibri" w:cs="Calibri"/>
          <w:color w:val="006666"/>
          <w:sz w:val="20"/>
          <w:szCs w:val="20"/>
          <w:lang w:eastAsia="en-GB"/>
        </w:rPr>
        <w:t>n</w:t>
      </w:r>
      <w:r w:rsidR="008A189E">
        <w:rPr>
          <w:rFonts w:ascii="Calibri" w:eastAsia="Times New Roman" w:hAnsi="Calibri" w:cs="Calibri"/>
          <w:color w:val="006666"/>
          <w:sz w:val="20"/>
          <w:szCs w:val="20"/>
          <w:lang w:eastAsia="en-GB"/>
        </w:rPr>
        <w:t xml:space="preserve"> </w:t>
      </w:r>
      <w:r w:rsidR="00A45250">
        <w:rPr>
          <w:rFonts w:ascii="Calibri" w:eastAsia="Times New Roman" w:hAnsi="Calibri" w:cs="Calibri"/>
          <w:color w:val="006666"/>
          <w:sz w:val="20"/>
          <w:szCs w:val="20"/>
          <w:lang w:eastAsia="en-GB"/>
        </w:rPr>
        <w:t>a</w:t>
      </w:r>
      <w:r w:rsidR="00103045">
        <w:rPr>
          <w:rFonts w:ascii="Calibri" w:eastAsia="Times New Roman" w:hAnsi="Calibri" w:cs="Calibri"/>
          <w:color w:val="006666"/>
          <w:sz w:val="20"/>
          <w:szCs w:val="20"/>
          <w:lang w:eastAsia="en-GB"/>
        </w:rPr>
        <w:t xml:space="preserve"> lender</w:t>
      </w:r>
      <w:r w:rsidR="00A45250">
        <w:rPr>
          <w:rFonts w:ascii="Calibri" w:eastAsia="Times New Roman" w:hAnsi="Calibri" w:cs="Calibri"/>
          <w:color w:val="006666"/>
          <w:sz w:val="20"/>
          <w:szCs w:val="20"/>
          <w:lang w:eastAsia="en-GB"/>
        </w:rPr>
        <w:t xml:space="preserve"> of securities</w:t>
      </w:r>
      <w:r w:rsidR="00103045">
        <w:rPr>
          <w:rFonts w:ascii="Calibri" w:eastAsia="Times New Roman" w:hAnsi="Calibri" w:cs="Calibri"/>
          <w:color w:val="006666"/>
          <w:sz w:val="20"/>
          <w:szCs w:val="20"/>
          <w:lang w:eastAsia="en-GB"/>
        </w:rPr>
        <w:t xml:space="preserve"> </w:t>
      </w:r>
      <w:r w:rsidR="00AA7C79">
        <w:rPr>
          <w:rFonts w:ascii="Calibri" w:eastAsia="Times New Roman" w:hAnsi="Calibri" w:cs="Calibri"/>
          <w:color w:val="006666"/>
          <w:sz w:val="20"/>
          <w:szCs w:val="20"/>
          <w:lang w:eastAsia="en-GB"/>
        </w:rPr>
        <w:t xml:space="preserve">issues a recall </w:t>
      </w:r>
      <w:r w:rsidR="002F758F">
        <w:rPr>
          <w:rFonts w:ascii="Calibri" w:eastAsia="Times New Roman" w:hAnsi="Calibri" w:cs="Calibri"/>
          <w:color w:val="006666"/>
          <w:sz w:val="20"/>
          <w:szCs w:val="20"/>
          <w:lang w:eastAsia="en-GB"/>
        </w:rPr>
        <w:t>notice</w:t>
      </w:r>
      <w:r w:rsidR="00AA7C79">
        <w:rPr>
          <w:rFonts w:ascii="Calibri" w:eastAsia="Times New Roman" w:hAnsi="Calibri" w:cs="Calibri"/>
          <w:color w:val="006666"/>
          <w:sz w:val="20"/>
          <w:szCs w:val="20"/>
          <w:lang w:eastAsia="en-GB"/>
        </w:rPr>
        <w:t xml:space="preserve"> to</w:t>
      </w:r>
      <w:r w:rsidR="00A30470">
        <w:rPr>
          <w:rFonts w:ascii="Calibri" w:eastAsia="Times New Roman" w:hAnsi="Calibri" w:cs="Calibri"/>
          <w:color w:val="006666"/>
          <w:sz w:val="20"/>
          <w:szCs w:val="20"/>
          <w:lang w:eastAsia="en-GB"/>
        </w:rPr>
        <w:t xml:space="preserve"> the borrower</w:t>
      </w:r>
      <w:r w:rsidR="005F3000">
        <w:rPr>
          <w:rFonts w:ascii="Calibri" w:eastAsia="Times New Roman" w:hAnsi="Calibri" w:cs="Calibri"/>
          <w:color w:val="006666"/>
          <w:sz w:val="20"/>
          <w:szCs w:val="20"/>
          <w:lang w:eastAsia="en-GB"/>
        </w:rPr>
        <w:t>,</w:t>
      </w:r>
      <w:r w:rsidR="00A30470">
        <w:rPr>
          <w:rFonts w:ascii="Calibri" w:eastAsia="Times New Roman" w:hAnsi="Calibri" w:cs="Calibri"/>
          <w:color w:val="006666"/>
          <w:sz w:val="20"/>
          <w:szCs w:val="20"/>
          <w:lang w:eastAsia="en-GB"/>
        </w:rPr>
        <w:t xml:space="preserve"> </w:t>
      </w:r>
      <w:r w:rsidR="007A1557">
        <w:rPr>
          <w:rFonts w:ascii="Calibri" w:eastAsia="Times New Roman" w:hAnsi="Calibri" w:cs="Calibri"/>
          <w:color w:val="006666"/>
          <w:sz w:val="20"/>
          <w:szCs w:val="20"/>
          <w:lang w:eastAsia="en-GB"/>
        </w:rPr>
        <w:t xml:space="preserve">and that </w:t>
      </w:r>
      <w:r w:rsidR="00906FE3">
        <w:rPr>
          <w:rFonts w:ascii="Calibri" w:eastAsia="Times New Roman" w:hAnsi="Calibri" w:cs="Calibri"/>
          <w:color w:val="006666"/>
          <w:sz w:val="20"/>
          <w:szCs w:val="20"/>
          <w:lang w:eastAsia="en-GB"/>
        </w:rPr>
        <w:t xml:space="preserve">recall return </w:t>
      </w:r>
      <w:r w:rsidR="00EE0932">
        <w:rPr>
          <w:rFonts w:ascii="Calibri" w:eastAsia="Times New Roman" w:hAnsi="Calibri" w:cs="Calibri"/>
          <w:color w:val="006666"/>
          <w:sz w:val="20"/>
          <w:szCs w:val="20"/>
          <w:lang w:eastAsia="en-GB"/>
        </w:rPr>
        <w:t xml:space="preserve">instruction </w:t>
      </w:r>
      <w:r w:rsidR="00906FE3">
        <w:rPr>
          <w:rFonts w:ascii="Calibri" w:eastAsia="Times New Roman" w:hAnsi="Calibri" w:cs="Calibri"/>
          <w:color w:val="006666"/>
          <w:sz w:val="20"/>
          <w:szCs w:val="20"/>
          <w:lang w:eastAsia="en-GB"/>
        </w:rPr>
        <w:t>fails</w:t>
      </w:r>
      <w:r w:rsidR="007B1BE2">
        <w:rPr>
          <w:rFonts w:ascii="Calibri" w:eastAsia="Times New Roman" w:hAnsi="Calibri" w:cs="Calibri"/>
          <w:color w:val="006666"/>
          <w:sz w:val="20"/>
          <w:szCs w:val="20"/>
          <w:lang w:eastAsia="en-GB"/>
        </w:rPr>
        <w:t xml:space="preserve">, </w:t>
      </w:r>
      <w:r w:rsidR="002A7E94">
        <w:rPr>
          <w:rFonts w:ascii="Calibri" w:eastAsia="Times New Roman" w:hAnsi="Calibri" w:cs="Calibri"/>
          <w:color w:val="006666"/>
          <w:sz w:val="20"/>
          <w:szCs w:val="20"/>
          <w:lang w:eastAsia="en-GB"/>
        </w:rPr>
        <w:t xml:space="preserve">the </w:t>
      </w:r>
      <w:r w:rsidR="00325ACA">
        <w:rPr>
          <w:rFonts w:ascii="Calibri" w:eastAsia="Times New Roman" w:hAnsi="Calibri" w:cs="Calibri"/>
          <w:color w:val="006666"/>
          <w:sz w:val="20"/>
          <w:szCs w:val="20"/>
          <w:lang w:eastAsia="en-GB"/>
        </w:rPr>
        <w:t>receiving</w:t>
      </w:r>
      <w:r w:rsidR="00FB1BA0">
        <w:rPr>
          <w:rFonts w:ascii="Calibri" w:eastAsia="Times New Roman" w:hAnsi="Calibri" w:cs="Calibri"/>
          <w:color w:val="006666"/>
          <w:sz w:val="20"/>
          <w:szCs w:val="20"/>
          <w:lang w:eastAsia="en-GB"/>
        </w:rPr>
        <w:t xml:space="preserve"> </w:t>
      </w:r>
      <w:r w:rsidR="00856E10">
        <w:rPr>
          <w:rFonts w:ascii="Calibri" w:eastAsia="Times New Roman" w:hAnsi="Calibri" w:cs="Calibri"/>
          <w:color w:val="006666"/>
          <w:sz w:val="20"/>
          <w:szCs w:val="20"/>
          <w:lang w:eastAsia="en-GB"/>
        </w:rPr>
        <w:t>part</w:t>
      </w:r>
      <w:r w:rsidR="00FB1BA0">
        <w:rPr>
          <w:rFonts w:ascii="Calibri" w:eastAsia="Times New Roman" w:hAnsi="Calibri" w:cs="Calibri"/>
          <w:color w:val="006666"/>
          <w:sz w:val="20"/>
          <w:szCs w:val="20"/>
          <w:lang w:eastAsia="en-GB"/>
        </w:rPr>
        <w:t>y is</w:t>
      </w:r>
      <w:r w:rsidR="00856E10">
        <w:rPr>
          <w:rFonts w:ascii="Calibri" w:eastAsia="Times New Roman" w:hAnsi="Calibri" w:cs="Calibri"/>
          <w:color w:val="006666"/>
          <w:sz w:val="20"/>
          <w:szCs w:val="20"/>
          <w:lang w:eastAsia="en-GB"/>
        </w:rPr>
        <w:t xml:space="preserve"> able to </w:t>
      </w:r>
      <w:r w:rsidR="00325ACA">
        <w:rPr>
          <w:rFonts w:ascii="Calibri" w:eastAsia="Times New Roman" w:hAnsi="Calibri" w:cs="Calibri"/>
          <w:color w:val="006666"/>
          <w:sz w:val="20"/>
          <w:szCs w:val="20"/>
          <w:lang w:eastAsia="en-GB"/>
        </w:rPr>
        <w:t>elect to terminate</w:t>
      </w:r>
      <w:r w:rsidR="008C517D">
        <w:rPr>
          <w:rFonts w:ascii="Calibri" w:eastAsia="Times New Roman" w:hAnsi="Calibri" w:cs="Calibri"/>
          <w:color w:val="006666"/>
          <w:sz w:val="20"/>
          <w:szCs w:val="20"/>
          <w:lang w:eastAsia="en-GB"/>
        </w:rPr>
        <w:t xml:space="preserve"> the failing transaction </w:t>
      </w:r>
      <w:r w:rsidR="00745B1D">
        <w:rPr>
          <w:rFonts w:ascii="Calibri" w:eastAsia="Times New Roman" w:hAnsi="Calibri" w:cs="Calibri"/>
          <w:color w:val="006666"/>
          <w:sz w:val="20"/>
          <w:szCs w:val="20"/>
          <w:lang w:eastAsia="en-GB"/>
        </w:rPr>
        <w:t>using the</w:t>
      </w:r>
      <w:r w:rsidR="00AB1778">
        <w:rPr>
          <w:rFonts w:ascii="Calibri" w:eastAsia="Times New Roman" w:hAnsi="Calibri" w:cs="Calibri"/>
          <w:color w:val="006666"/>
          <w:sz w:val="20"/>
          <w:szCs w:val="20"/>
          <w:lang w:eastAsia="en-GB"/>
        </w:rPr>
        <w:t xml:space="preserve"> </w:t>
      </w:r>
      <w:r w:rsidR="00856E10">
        <w:rPr>
          <w:rFonts w:ascii="Calibri" w:eastAsia="Times New Roman" w:hAnsi="Calibri" w:cs="Calibri"/>
          <w:color w:val="006666"/>
          <w:sz w:val="20"/>
          <w:szCs w:val="20"/>
          <w:lang w:eastAsia="en-GB"/>
        </w:rPr>
        <w:t>contractual remedies</w:t>
      </w:r>
      <w:r w:rsidR="00403113">
        <w:rPr>
          <w:rFonts w:ascii="Calibri" w:eastAsia="Times New Roman" w:hAnsi="Calibri" w:cs="Calibri"/>
          <w:color w:val="006666"/>
          <w:sz w:val="20"/>
          <w:szCs w:val="20"/>
          <w:lang w:eastAsia="en-GB"/>
        </w:rPr>
        <w:t xml:space="preserve"> contained within</w:t>
      </w:r>
      <w:r w:rsidR="00856E10">
        <w:rPr>
          <w:rFonts w:ascii="Calibri" w:eastAsia="Times New Roman" w:hAnsi="Calibri" w:cs="Calibri"/>
          <w:color w:val="006666"/>
          <w:sz w:val="20"/>
          <w:szCs w:val="20"/>
          <w:lang w:eastAsia="en-GB"/>
        </w:rPr>
        <w:t xml:space="preserve"> th</w:t>
      </w:r>
      <w:r w:rsidR="006E53A1">
        <w:rPr>
          <w:rFonts w:ascii="Calibri" w:eastAsia="Times New Roman" w:hAnsi="Calibri" w:cs="Calibri"/>
          <w:color w:val="006666"/>
          <w:sz w:val="20"/>
          <w:szCs w:val="20"/>
          <w:lang w:eastAsia="en-GB"/>
        </w:rPr>
        <w:t>e GMSLA</w:t>
      </w:r>
      <w:r w:rsidR="004F70B9">
        <w:rPr>
          <w:rFonts w:ascii="Calibri" w:eastAsia="Times New Roman" w:hAnsi="Calibri" w:cs="Calibri"/>
          <w:color w:val="006666"/>
          <w:sz w:val="20"/>
          <w:szCs w:val="20"/>
          <w:lang w:eastAsia="en-GB"/>
        </w:rPr>
        <w:t xml:space="preserve"> suc</w:t>
      </w:r>
      <w:r w:rsidR="003A6D19">
        <w:rPr>
          <w:rFonts w:ascii="Calibri" w:eastAsia="Times New Roman" w:hAnsi="Calibri" w:cs="Calibri"/>
          <w:color w:val="006666"/>
          <w:sz w:val="20"/>
          <w:szCs w:val="20"/>
          <w:lang w:eastAsia="en-GB"/>
        </w:rPr>
        <w:t>h as c</w:t>
      </w:r>
      <w:r w:rsidR="00E24827">
        <w:rPr>
          <w:rFonts w:ascii="Calibri" w:eastAsia="Times New Roman" w:hAnsi="Calibri" w:cs="Calibri"/>
          <w:color w:val="006666"/>
          <w:sz w:val="20"/>
          <w:szCs w:val="20"/>
          <w:lang w:eastAsia="en-GB"/>
        </w:rPr>
        <w:t>lause</w:t>
      </w:r>
      <w:r w:rsidR="00240D1A">
        <w:rPr>
          <w:rFonts w:ascii="Calibri" w:eastAsia="Times New Roman" w:hAnsi="Calibri" w:cs="Calibri"/>
          <w:color w:val="006666"/>
          <w:sz w:val="20"/>
          <w:szCs w:val="20"/>
          <w:lang w:eastAsia="en-GB"/>
        </w:rPr>
        <w:t xml:space="preserve"> </w:t>
      </w:r>
      <w:r w:rsidR="00D747BB">
        <w:rPr>
          <w:rFonts w:ascii="Calibri" w:eastAsia="Times New Roman" w:hAnsi="Calibri" w:cs="Calibri"/>
          <w:color w:val="006666"/>
          <w:sz w:val="20"/>
          <w:szCs w:val="20"/>
          <w:lang w:eastAsia="en-GB"/>
        </w:rPr>
        <w:t xml:space="preserve">9.1 </w:t>
      </w:r>
      <w:r w:rsidR="009D3835">
        <w:rPr>
          <w:rFonts w:ascii="Calibri" w:eastAsia="Times New Roman" w:hAnsi="Calibri" w:cs="Calibri"/>
          <w:color w:val="006666"/>
          <w:sz w:val="20"/>
          <w:szCs w:val="20"/>
          <w:lang w:eastAsia="en-GB"/>
        </w:rPr>
        <w:t>‘</w:t>
      </w:r>
      <w:r w:rsidR="00D747BB" w:rsidRPr="00D747BB">
        <w:rPr>
          <w:rFonts w:ascii="Calibri" w:eastAsia="Times New Roman" w:hAnsi="Calibri" w:cs="Calibri"/>
          <w:color w:val="006666"/>
          <w:sz w:val="20"/>
          <w:szCs w:val="20"/>
          <w:lang w:eastAsia="en-GB"/>
        </w:rPr>
        <w:t>Borrower’s failure to deliver Equivalent Securities</w:t>
      </w:r>
      <w:r w:rsidR="009D3835">
        <w:rPr>
          <w:rFonts w:ascii="Calibri" w:eastAsia="Times New Roman" w:hAnsi="Calibri" w:cs="Calibri"/>
          <w:color w:val="006666"/>
          <w:sz w:val="20"/>
          <w:szCs w:val="20"/>
          <w:lang w:eastAsia="en-GB"/>
        </w:rPr>
        <w:t>’</w:t>
      </w:r>
      <w:r w:rsidR="00435378">
        <w:rPr>
          <w:rFonts w:ascii="Calibri" w:eastAsia="Times New Roman" w:hAnsi="Calibri" w:cs="Calibri"/>
          <w:color w:val="006666"/>
          <w:sz w:val="20"/>
          <w:szCs w:val="20"/>
          <w:lang w:eastAsia="en-GB"/>
        </w:rPr>
        <w:t xml:space="preserve"> and </w:t>
      </w:r>
      <w:r w:rsidR="00150CE8">
        <w:rPr>
          <w:rFonts w:ascii="Calibri" w:eastAsia="Times New Roman" w:hAnsi="Calibri" w:cs="Calibri"/>
          <w:color w:val="006666"/>
          <w:sz w:val="20"/>
          <w:szCs w:val="20"/>
          <w:lang w:eastAsia="en-GB"/>
        </w:rPr>
        <w:t xml:space="preserve">9.2 </w:t>
      </w:r>
      <w:r w:rsidR="009D3835">
        <w:rPr>
          <w:rFonts w:ascii="Calibri" w:eastAsia="Times New Roman" w:hAnsi="Calibri" w:cs="Calibri"/>
          <w:color w:val="006666"/>
          <w:sz w:val="20"/>
          <w:szCs w:val="20"/>
          <w:lang w:eastAsia="en-GB"/>
        </w:rPr>
        <w:t>‘</w:t>
      </w:r>
      <w:r w:rsidR="00150CE8" w:rsidRPr="00150CE8">
        <w:rPr>
          <w:rFonts w:ascii="Calibri" w:eastAsia="Times New Roman" w:hAnsi="Calibri" w:cs="Calibri"/>
          <w:color w:val="006666"/>
          <w:sz w:val="20"/>
          <w:szCs w:val="20"/>
          <w:lang w:eastAsia="en-GB"/>
        </w:rPr>
        <w:t>Lender’s failure to deliver Equivalent Collateral</w:t>
      </w:r>
      <w:r w:rsidR="009D3835">
        <w:rPr>
          <w:rFonts w:ascii="Calibri" w:eastAsia="Times New Roman" w:hAnsi="Calibri" w:cs="Calibri"/>
          <w:color w:val="006666"/>
          <w:sz w:val="20"/>
          <w:szCs w:val="20"/>
          <w:lang w:eastAsia="en-GB"/>
        </w:rPr>
        <w:t>’</w:t>
      </w:r>
      <w:r w:rsidR="00191D29">
        <w:rPr>
          <w:rFonts w:ascii="Calibri" w:eastAsia="Times New Roman" w:hAnsi="Calibri" w:cs="Calibri"/>
          <w:color w:val="006666"/>
          <w:sz w:val="20"/>
          <w:szCs w:val="20"/>
          <w:lang w:eastAsia="en-GB"/>
        </w:rPr>
        <w:t xml:space="preserve">. </w:t>
      </w:r>
      <w:r w:rsidR="00051BEF">
        <w:rPr>
          <w:rFonts w:ascii="Calibri" w:eastAsia="Times New Roman" w:hAnsi="Calibri" w:cs="Calibri"/>
          <w:color w:val="006666"/>
          <w:sz w:val="20"/>
          <w:szCs w:val="20"/>
          <w:lang w:eastAsia="en-GB"/>
        </w:rPr>
        <w:t>T</w:t>
      </w:r>
      <w:r w:rsidR="000B72EC">
        <w:rPr>
          <w:rFonts w:ascii="Calibri" w:eastAsia="Times New Roman" w:hAnsi="Calibri" w:cs="Calibri"/>
          <w:color w:val="006666"/>
          <w:sz w:val="20"/>
          <w:szCs w:val="20"/>
          <w:lang w:eastAsia="en-GB"/>
        </w:rPr>
        <w:t xml:space="preserve">he </w:t>
      </w:r>
      <w:r w:rsidR="00051BEF">
        <w:rPr>
          <w:rFonts w:ascii="Calibri" w:eastAsia="Times New Roman" w:hAnsi="Calibri" w:cs="Calibri"/>
          <w:color w:val="006666"/>
          <w:sz w:val="20"/>
          <w:szCs w:val="20"/>
          <w:lang w:eastAsia="en-GB"/>
        </w:rPr>
        <w:t xml:space="preserve">receiving </w:t>
      </w:r>
      <w:r w:rsidR="00822ACB">
        <w:rPr>
          <w:rFonts w:ascii="Calibri" w:eastAsia="Times New Roman" w:hAnsi="Calibri" w:cs="Calibri"/>
          <w:color w:val="006666"/>
          <w:sz w:val="20"/>
          <w:szCs w:val="20"/>
          <w:lang w:eastAsia="en-GB"/>
        </w:rPr>
        <w:t xml:space="preserve">party </w:t>
      </w:r>
      <w:r w:rsidR="00051BEF">
        <w:rPr>
          <w:rFonts w:ascii="Calibri" w:eastAsia="Times New Roman" w:hAnsi="Calibri" w:cs="Calibri"/>
          <w:color w:val="006666"/>
          <w:sz w:val="20"/>
          <w:szCs w:val="20"/>
          <w:lang w:eastAsia="en-GB"/>
        </w:rPr>
        <w:t>may</w:t>
      </w:r>
      <w:r w:rsidR="00822ACB">
        <w:rPr>
          <w:rFonts w:ascii="Calibri" w:eastAsia="Times New Roman" w:hAnsi="Calibri" w:cs="Calibri"/>
          <w:color w:val="006666"/>
          <w:sz w:val="20"/>
          <w:szCs w:val="20"/>
          <w:lang w:eastAsia="en-GB"/>
        </w:rPr>
        <w:t xml:space="preserve"> </w:t>
      </w:r>
      <w:r w:rsidR="00AF54A6">
        <w:rPr>
          <w:rFonts w:ascii="Calibri" w:eastAsia="Times New Roman" w:hAnsi="Calibri" w:cs="Calibri"/>
          <w:color w:val="006666"/>
          <w:sz w:val="20"/>
          <w:szCs w:val="20"/>
          <w:lang w:eastAsia="en-GB"/>
        </w:rPr>
        <w:t xml:space="preserve">terminate the </w:t>
      </w:r>
      <w:r w:rsidR="00FB33AF" w:rsidRPr="009616CE">
        <w:rPr>
          <w:rFonts w:ascii="Calibri" w:eastAsia="Times New Roman" w:hAnsi="Calibri" w:cs="Calibri"/>
          <w:color w:val="006666"/>
          <w:sz w:val="20"/>
          <w:szCs w:val="20"/>
          <w:lang w:eastAsia="en-GB"/>
        </w:rPr>
        <w:t>outstanding</w:t>
      </w:r>
      <w:r w:rsidR="008A2C7A" w:rsidRPr="009616CE">
        <w:rPr>
          <w:rFonts w:ascii="Calibri" w:eastAsia="Times New Roman" w:hAnsi="Calibri" w:cs="Calibri"/>
          <w:color w:val="006666"/>
          <w:sz w:val="20"/>
          <w:szCs w:val="20"/>
          <w:lang w:eastAsia="en-GB"/>
        </w:rPr>
        <w:t xml:space="preserve"> </w:t>
      </w:r>
      <w:r w:rsidR="0002152A" w:rsidRPr="009616CE">
        <w:rPr>
          <w:rFonts w:ascii="Calibri" w:eastAsia="Times New Roman" w:hAnsi="Calibri" w:cs="Calibri"/>
          <w:color w:val="006666"/>
          <w:sz w:val="20"/>
          <w:szCs w:val="20"/>
          <w:lang w:eastAsia="en-GB"/>
        </w:rPr>
        <w:t>loan</w:t>
      </w:r>
      <w:r w:rsidR="00AF54A6" w:rsidRPr="009616CE">
        <w:rPr>
          <w:rFonts w:ascii="Calibri" w:eastAsia="Times New Roman" w:hAnsi="Calibri" w:cs="Calibri"/>
          <w:color w:val="006666"/>
          <w:sz w:val="20"/>
          <w:szCs w:val="20"/>
          <w:lang w:eastAsia="en-GB"/>
        </w:rPr>
        <w:t xml:space="preserve"> and determine the value</w:t>
      </w:r>
      <w:r w:rsidR="00A966DD" w:rsidRPr="009616CE">
        <w:rPr>
          <w:rFonts w:ascii="Calibri" w:eastAsia="Times New Roman" w:hAnsi="Calibri" w:cs="Calibri"/>
          <w:color w:val="006666"/>
          <w:sz w:val="20"/>
          <w:szCs w:val="20"/>
          <w:lang w:eastAsia="en-GB"/>
        </w:rPr>
        <w:t xml:space="preserve"> of the relevant securities. The receiving party has the right to purchase equivalent securities in the market and use</w:t>
      </w:r>
      <w:r w:rsidR="00B04A2B" w:rsidRPr="009616CE">
        <w:rPr>
          <w:rFonts w:ascii="Calibri" w:eastAsia="Times New Roman" w:hAnsi="Calibri" w:cs="Calibri"/>
          <w:color w:val="006666"/>
          <w:sz w:val="20"/>
          <w:szCs w:val="20"/>
          <w:lang w:eastAsia="en-GB"/>
        </w:rPr>
        <w:t xml:space="preserve"> the current purchase price to establish the value of the outstanding loan</w:t>
      </w:r>
      <w:r w:rsidR="003E45AB" w:rsidRPr="009616CE">
        <w:rPr>
          <w:rFonts w:ascii="Calibri" w:eastAsia="Times New Roman" w:hAnsi="Calibri" w:cs="Calibri"/>
          <w:color w:val="006666"/>
          <w:sz w:val="20"/>
          <w:szCs w:val="20"/>
          <w:lang w:eastAsia="en-GB"/>
        </w:rPr>
        <w:t xml:space="preserve">. Clause 9.3 </w:t>
      </w:r>
      <w:r w:rsidR="009D3835" w:rsidRPr="009616CE">
        <w:rPr>
          <w:rFonts w:ascii="Calibri" w:eastAsia="Times New Roman" w:hAnsi="Calibri" w:cs="Calibri"/>
          <w:color w:val="006666"/>
          <w:sz w:val="20"/>
          <w:szCs w:val="20"/>
          <w:lang w:eastAsia="en-GB"/>
        </w:rPr>
        <w:t>‘</w:t>
      </w:r>
      <w:r w:rsidR="003E45AB" w:rsidRPr="009616CE">
        <w:rPr>
          <w:rFonts w:ascii="Calibri" w:eastAsia="Times New Roman" w:hAnsi="Calibri" w:cs="Calibri"/>
          <w:color w:val="006666"/>
          <w:sz w:val="20"/>
          <w:szCs w:val="20"/>
          <w:lang w:eastAsia="en-GB"/>
        </w:rPr>
        <w:t>Failure by either Party to deliver</w:t>
      </w:r>
      <w:r w:rsidR="009D3835" w:rsidRPr="009616CE">
        <w:rPr>
          <w:rFonts w:ascii="Calibri" w:eastAsia="Times New Roman" w:hAnsi="Calibri" w:cs="Calibri"/>
          <w:color w:val="006666"/>
          <w:sz w:val="20"/>
          <w:szCs w:val="20"/>
          <w:lang w:eastAsia="en-GB"/>
        </w:rPr>
        <w:t>’</w:t>
      </w:r>
      <w:r w:rsidR="003E45AB" w:rsidRPr="009616CE">
        <w:rPr>
          <w:rFonts w:ascii="Calibri" w:eastAsia="Times New Roman" w:hAnsi="Calibri" w:cs="Calibri"/>
          <w:color w:val="006666"/>
          <w:sz w:val="20"/>
          <w:szCs w:val="20"/>
          <w:lang w:eastAsia="en-GB"/>
        </w:rPr>
        <w:t xml:space="preserve"> </w:t>
      </w:r>
      <w:r w:rsidR="00B11D71" w:rsidRPr="009616CE">
        <w:rPr>
          <w:rFonts w:ascii="Calibri" w:eastAsia="Times New Roman" w:hAnsi="Calibri" w:cs="Calibri"/>
          <w:color w:val="006666"/>
          <w:sz w:val="20"/>
          <w:szCs w:val="20"/>
          <w:lang w:eastAsia="en-GB"/>
        </w:rPr>
        <w:t>then</w:t>
      </w:r>
      <w:r w:rsidR="003E45AB" w:rsidRPr="009616CE">
        <w:rPr>
          <w:rFonts w:ascii="Calibri" w:eastAsia="Times New Roman" w:hAnsi="Calibri" w:cs="Calibri"/>
          <w:color w:val="006666"/>
          <w:sz w:val="20"/>
          <w:szCs w:val="20"/>
          <w:lang w:eastAsia="en-GB"/>
        </w:rPr>
        <w:t xml:space="preserve"> </w:t>
      </w:r>
      <w:r w:rsidR="00782213" w:rsidRPr="009616CE">
        <w:rPr>
          <w:rFonts w:ascii="Calibri" w:eastAsia="Times New Roman" w:hAnsi="Calibri" w:cs="Calibri"/>
          <w:color w:val="006666"/>
          <w:sz w:val="20"/>
          <w:szCs w:val="20"/>
          <w:lang w:eastAsia="en-GB"/>
        </w:rPr>
        <w:t>provides</w:t>
      </w:r>
      <w:r w:rsidR="003E45AB" w:rsidRPr="009616CE">
        <w:rPr>
          <w:rFonts w:ascii="Calibri" w:eastAsia="Times New Roman" w:hAnsi="Calibri" w:cs="Calibri"/>
          <w:color w:val="006666"/>
          <w:sz w:val="20"/>
          <w:szCs w:val="20"/>
          <w:lang w:eastAsia="en-GB"/>
        </w:rPr>
        <w:t xml:space="preserve"> </w:t>
      </w:r>
      <w:r w:rsidR="00782213" w:rsidRPr="009616CE">
        <w:rPr>
          <w:rFonts w:ascii="Calibri" w:eastAsia="Times New Roman" w:hAnsi="Calibri" w:cs="Calibri"/>
          <w:color w:val="006666"/>
          <w:sz w:val="20"/>
          <w:szCs w:val="20"/>
          <w:lang w:eastAsia="en-GB"/>
        </w:rPr>
        <w:t xml:space="preserve">a mechanism </w:t>
      </w:r>
      <w:r w:rsidR="00EA6023" w:rsidRPr="009616CE">
        <w:rPr>
          <w:rFonts w:ascii="Calibri" w:eastAsia="Times New Roman" w:hAnsi="Calibri" w:cs="Calibri"/>
          <w:color w:val="006666"/>
          <w:sz w:val="20"/>
          <w:szCs w:val="20"/>
          <w:lang w:eastAsia="en-GB"/>
        </w:rPr>
        <w:t xml:space="preserve">to </w:t>
      </w:r>
      <w:r w:rsidR="00844D70" w:rsidRPr="009616CE">
        <w:rPr>
          <w:rFonts w:ascii="Calibri" w:eastAsia="Times New Roman" w:hAnsi="Calibri" w:cs="Calibri"/>
          <w:color w:val="006666"/>
          <w:sz w:val="20"/>
          <w:szCs w:val="20"/>
          <w:lang w:eastAsia="en-GB"/>
        </w:rPr>
        <w:t>recover</w:t>
      </w:r>
      <w:r w:rsidR="00EA6023" w:rsidRPr="009616CE">
        <w:rPr>
          <w:rFonts w:ascii="Calibri" w:eastAsia="Times New Roman" w:hAnsi="Calibri" w:cs="Calibri"/>
          <w:color w:val="006666"/>
          <w:sz w:val="20"/>
          <w:szCs w:val="20"/>
          <w:lang w:eastAsia="en-GB"/>
        </w:rPr>
        <w:t xml:space="preserve"> </w:t>
      </w:r>
      <w:r w:rsidR="000743D6" w:rsidRPr="009616CE">
        <w:rPr>
          <w:rFonts w:ascii="Calibri" w:eastAsia="Times New Roman" w:hAnsi="Calibri" w:cs="Calibri"/>
          <w:color w:val="006666"/>
          <w:sz w:val="20"/>
          <w:szCs w:val="20"/>
          <w:lang w:eastAsia="en-GB"/>
        </w:rPr>
        <w:t xml:space="preserve">associated </w:t>
      </w:r>
      <w:r w:rsidR="00EA6023" w:rsidRPr="009616CE">
        <w:rPr>
          <w:rFonts w:ascii="Calibri" w:eastAsia="Times New Roman" w:hAnsi="Calibri" w:cs="Calibri"/>
          <w:color w:val="006666"/>
          <w:sz w:val="20"/>
          <w:szCs w:val="20"/>
          <w:lang w:eastAsia="en-GB"/>
        </w:rPr>
        <w:t>costs</w:t>
      </w:r>
      <w:r w:rsidR="000743D6" w:rsidRPr="009616CE">
        <w:rPr>
          <w:rFonts w:ascii="Calibri" w:eastAsia="Times New Roman" w:hAnsi="Calibri" w:cs="Calibri"/>
          <w:color w:val="006666"/>
          <w:sz w:val="20"/>
          <w:szCs w:val="20"/>
          <w:lang w:eastAsia="en-GB"/>
        </w:rPr>
        <w:t xml:space="preserve">, </w:t>
      </w:r>
      <w:r w:rsidR="00EA6023" w:rsidRPr="009616CE">
        <w:rPr>
          <w:rFonts w:ascii="Calibri" w:eastAsia="Times New Roman" w:hAnsi="Calibri" w:cs="Calibri"/>
          <w:color w:val="006666"/>
          <w:sz w:val="20"/>
          <w:szCs w:val="20"/>
          <w:lang w:eastAsia="en-GB"/>
        </w:rPr>
        <w:t xml:space="preserve">including </w:t>
      </w:r>
      <w:r w:rsidR="00A07412" w:rsidRPr="009616CE">
        <w:rPr>
          <w:rFonts w:ascii="Calibri" w:eastAsia="Times New Roman" w:hAnsi="Calibri" w:cs="Calibri"/>
          <w:color w:val="006666"/>
          <w:sz w:val="20"/>
          <w:szCs w:val="20"/>
          <w:lang w:eastAsia="en-GB"/>
        </w:rPr>
        <w:t xml:space="preserve">any </w:t>
      </w:r>
      <w:r w:rsidR="00EA6023" w:rsidRPr="009616CE">
        <w:rPr>
          <w:rFonts w:ascii="Calibri" w:eastAsia="Times New Roman" w:hAnsi="Calibri" w:cs="Calibri"/>
          <w:color w:val="006666"/>
          <w:sz w:val="20"/>
          <w:szCs w:val="20"/>
          <w:lang w:eastAsia="en-GB"/>
        </w:rPr>
        <w:t xml:space="preserve">costs </w:t>
      </w:r>
      <w:r w:rsidR="00B03EAC" w:rsidRPr="009616CE">
        <w:rPr>
          <w:rFonts w:ascii="Calibri" w:eastAsia="Times New Roman" w:hAnsi="Calibri" w:cs="Calibri"/>
          <w:color w:val="006666"/>
          <w:sz w:val="20"/>
          <w:szCs w:val="20"/>
          <w:lang w:eastAsia="en-GB"/>
        </w:rPr>
        <w:t xml:space="preserve">received </w:t>
      </w:r>
      <w:r w:rsidR="009C02C4" w:rsidRPr="009616CE">
        <w:rPr>
          <w:rFonts w:ascii="Calibri" w:eastAsia="Times New Roman" w:hAnsi="Calibri" w:cs="Calibri"/>
          <w:color w:val="006666"/>
          <w:sz w:val="20"/>
          <w:szCs w:val="20"/>
          <w:lang w:eastAsia="en-GB"/>
        </w:rPr>
        <w:t>along a failing settlement chain.</w:t>
      </w:r>
    </w:p>
    <w:p w14:paraId="64B4B5F0" w14:textId="77777777" w:rsidR="003A4433" w:rsidRDefault="003A4433" w:rsidP="003A4433">
      <w:pPr>
        <w:pStyle w:val="ListParagraph"/>
        <w:autoSpaceDE w:val="0"/>
        <w:autoSpaceDN w:val="0"/>
        <w:adjustRightInd w:val="0"/>
        <w:spacing w:after="0" w:line="240" w:lineRule="auto"/>
        <w:ind w:left="295" w:right="119"/>
        <w:rPr>
          <w:rFonts w:ascii="Calibri" w:eastAsia="Times New Roman" w:hAnsi="Calibri" w:cs="Calibri"/>
          <w:color w:val="006666"/>
          <w:sz w:val="20"/>
          <w:szCs w:val="20"/>
          <w:lang w:eastAsia="en-GB"/>
        </w:rPr>
      </w:pPr>
    </w:p>
    <w:p w14:paraId="33DC4A84" w14:textId="77777777" w:rsidR="003A4433" w:rsidRDefault="00DB0CA3" w:rsidP="00EE5B5C">
      <w:pPr>
        <w:pStyle w:val="Default"/>
        <w:numPr>
          <w:ilvl w:val="0"/>
          <w:numId w:val="8"/>
        </w:numPr>
        <w:rPr>
          <w:rFonts w:ascii="Calibri" w:eastAsia="Times New Roman" w:hAnsi="Calibri" w:cs="Calibri"/>
          <w:color w:val="006666"/>
          <w:sz w:val="20"/>
          <w:szCs w:val="20"/>
          <w:lang w:eastAsia="en-GB"/>
        </w:rPr>
      </w:pPr>
      <w:r w:rsidRPr="00446D1B">
        <w:rPr>
          <w:rFonts w:ascii="Calibri" w:eastAsia="Times New Roman" w:hAnsi="Calibri" w:cs="Calibri"/>
          <w:b/>
          <w:bCs/>
          <w:color w:val="006666"/>
          <w:sz w:val="20"/>
          <w:szCs w:val="20"/>
          <w:lang w:eastAsia="en-GB"/>
        </w:rPr>
        <w:t>Failure to deliver on a return leg</w:t>
      </w:r>
      <w:r>
        <w:rPr>
          <w:rFonts w:ascii="Calibri" w:eastAsia="Times New Roman" w:hAnsi="Calibri" w:cs="Calibri"/>
          <w:color w:val="006666"/>
          <w:sz w:val="20"/>
          <w:szCs w:val="20"/>
          <w:lang w:eastAsia="en-GB"/>
        </w:rPr>
        <w:t xml:space="preserve"> – Trading parties </w:t>
      </w:r>
      <w:r w:rsidR="00244C52">
        <w:rPr>
          <w:rFonts w:ascii="Calibri" w:eastAsia="Times New Roman" w:hAnsi="Calibri" w:cs="Calibri"/>
          <w:color w:val="006666"/>
          <w:sz w:val="20"/>
          <w:szCs w:val="20"/>
          <w:lang w:eastAsia="en-GB"/>
        </w:rPr>
        <w:t>rarely, if ever,</w:t>
      </w:r>
      <w:r>
        <w:rPr>
          <w:rFonts w:ascii="Calibri" w:eastAsia="Times New Roman" w:hAnsi="Calibri" w:cs="Calibri"/>
          <w:color w:val="006666"/>
          <w:sz w:val="20"/>
          <w:szCs w:val="20"/>
          <w:lang w:eastAsia="en-GB"/>
        </w:rPr>
        <w:t xml:space="preserve"> </w:t>
      </w:r>
      <w:r w:rsidR="005F3283">
        <w:rPr>
          <w:rFonts w:ascii="Calibri" w:eastAsia="Times New Roman" w:hAnsi="Calibri" w:cs="Calibri"/>
          <w:color w:val="006666"/>
          <w:sz w:val="20"/>
          <w:szCs w:val="20"/>
          <w:lang w:eastAsia="en-GB"/>
        </w:rPr>
        <w:t xml:space="preserve">exercise </w:t>
      </w:r>
      <w:r w:rsidR="00584F15">
        <w:rPr>
          <w:rFonts w:ascii="Calibri" w:eastAsia="Times New Roman" w:hAnsi="Calibri" w:cs="Calibri"/>
          <w:color w:val="006666"/>
          <w:sz w:val="20"/>
          <w:szCs w:val="20"/>
          <w:lang w:eastAsia="en-GB"/>
        </w:rPr>
        <w:t>a</w:t>
      </w:r>
      <w:r>
        <w:rPr>
          <w:rFonts w:ascii="Calibri" w:eastAsia="Times New Roman" w:hAnsi="Calibri" w:cs="Calibri"/>
          <w:color w:val="006666"/>
          <w:sz w:val="20"/>
          <w:szCs w:val="20"/>
          <w:lang w:eastAsia="en-GB"/>
        </w:rPr>
        <w:t xml:space="preserve"> </w:t>
      </w:r>
      <w:r w:rsidR="009241C7">
        <w:rPr>
          <w:rFonts w:ascii="Calibri" w:eastAsia="Times New Roman" w:hAnsi="Calibri" w:cs="Calibri"/>
          <w:color w:val="006666"/>
          <w:sz w:val="20"/>
          <w:szCs w:val="20"/>
          <w:lang w:eastAsia="en-GB"/>
        </w:rPr>
        <w:t xml:space="preserve">buy-in </w:t>
      </w:r>
      <w:r w:rsidR="00584F15">
        <w:rPr>
          <w:rFonts w:ascii="Calibri" w:eastAsia="Times New Roman" w:hAnsi="Calibri" w:cs="Calibri"/>
          <w:color w:val="006666"/>
          <w:sz w:val="20"/>
          <w:szCs w:val="20"/>
          <w:lang w:eastAsia="en-GB"/>
        </w:rPr>
        <w:t xml:space="preserve">against </w:t>
      </w:r>
      <w:r w:rsidR="009241C7">
        <w:rPr>
          <w:rFonts w:ascii="Calibri" w:eastAsia="Times New Roman" w:hAnsi="Calibri" w:cs="Calibri"/>
          <w:color w:val="006666"/>
          <w:sz w:val="20"/>
          <w:szCs w:val="20"/>
          <w:lang w:eastAsia="en-GB"/>
        </w:rPr>
        <w:t xml:space="preserve">parties </w:t>
      </w:r>
      <w:r w:rsidR="00584F15">
        <w:rPr>
          <w:rFonts w:ascii="Calibri" w:eastAsia="Times New Roman" w:hAnsi="Calibri" w:cs="Calibri"/>
          <w:color w:val="006666"/>
          <w:sz w:val="20"/>
          <w:szCs w:val="20"/>
          <w:lang w:eastAsia="en-GB"/>
        </w:rPr>
        <w:t xml:space="preserve">that </w:t>
      </w:r>
      <w:r w:rsidR="009241C7">
        <w:rPr>
          <w:rFonts w:ascii="Calibri" w:eastAsia="Times New Roman" w:hAnsi="Calibri" w:cs="Calibri"/>
          <w:color w:val="006666"/>
          <w:sz w:val="20"/>
          <w:szCs w:val="20"/>
          <w:lang w:eastAsia="en-GB"/>
        </w:rPr>
        <w:t xml:space="preserve">fail to deliver </w:t>
      </w:r>
      <w:r w:rsidR="008278B4">
        <w:rPr>
          <w:rFonts w:ascii="Calibri" w:eastAsia="Times New Roman" w:hAnsi="Calibri" w:cs="Calibri"/>
          <w:color w:val="006666"/>
          <w:sz w:val="20"/>
          <w:szCs w:val="20"/>
          <w:lang w:eastAsia="en-GB"/>
        </w:rPr>
        <w:t xml:space="preserve">against </w:t>
      </w:r>
      <w:r w:rsidR="009241C7">
        <w:rPr>
          <w:rFonts w:ascii="Calibri" w:eastAsia="Times New Roman" w:hAnsi="Calibri" w:cs="Calibri"/>
          <w:color w:val="006666"/>
          <w:sz w:val="20"/>
          <w:szCs w:val="20"/>
          <w:lang w:eastAsia="en-GB"/>
        </w:rPr>
        <w:t xml:space="preserve">a standard return as these pose </w:t>
      </w:r>
      <w:r w:rsidR="005B2A34">
        <w:rPr>
          <w:rFonts w:ascii="Calibri" w:eastAsia="Times New Roman" w:hAnsi="Calibri" w:cs="Calibri"/>
          <w:color w:val="006666"/>
          <w:sz w:val="20"/>
          <w:szCs w:val="20"/>
          <w:lang w:eastAsia="en-GB"/>
        </w:rPr>
        <w:t xml:space="preserve">no </w:t>
      </w:r>
      <w:r w:rsidR="00B05111">
        <w:rPr>
          <w:rFonts w:ascii="Calibri" w:eastAsia="Times New Roman" w:hAnsi="Calibri" w:cs="Calibri"/>
          <w:color w:val="006666"/>
          <w:sz w:val="20"/>
          <w:szCs w:val="20"/>
          <w:lang w:eastAsia="en-GB"/>
        </w:rPr>
        <w:t xml:space="preserve">real </w:t>
      </w:r>
      <w:r w:rsidR="009241C7">
        <w:rPr>
          <w:rFonts w:ascii="Calibri" w:eastAsia="Times New Roman" w:hAnsi="Calibri" w:cs="Calibri"/>
          <w:color w:val="006666"/>
          <w:sz w:val="20"/>
          <w:szCs w:val="20"/>
          <w:lang w:eastAsia="en-GB"/>
        </w:rPr>
        <w:t>market risk</w:t>
      </w:r>
      <w:r w:rsidR="00152D85">
        <w:rPr>
          <w:rFonts w:ascii="Calibri" w:eastAsia="Times New Roman" w:hAnsi="Calibri" w:cs="Calibri"/>
          <w:color w:val="006666"/>
          <w:sz w:val="20"/>
          <w:szCs w:val="20"/>
          <w:lang w:eastAsia="en-GB"/>
        </w:rPr>
        <w:t xml:space="preserve">. Where </w:t>
      </w:r>
      <w:r w:rsidR="00152D85" w:rsidRPr="00152D85">
        <w:rPr>
          <w:rFonts w:ascii="Calibri" w:eastAsia="Times New Roman" w:hAnsi="Calibri" w:cs="Calibri"/>
          <w:color w:val="006666"/>
          <w:sz w:val="20"/>
          <w:szCs w:val="20"/>
          <w:lang w:eastAsia="en-GB"/>
        </w:rPr>
        <w:t xml:space="preserve">appropriate, parties may agree to </w:t>
      </w:r>
    </w:p>
    <w:p w14:paraId="5D981F05" w14:textId="77777777" w:rsidR="003A4433" w:rsidRDefault="003A4433" w:rsidP="003A4433">
      <w:pPr>
        <w:pStyle w:val="Default"/>
        <w:ind w:left="295"/>
        <w:rPr>
          <w:rFonts w:ascii="Calibri" w:eastAsia="Times New Roman" w:hAnsi="Calibri" w:cs="Calibri"/>
          <w:color w:val="006666"/>
          <w:sz w:val="20"/>
          <w:szCs w:val="20"/>
          <w:lang w:eastAsia="en-GB"/>
        </w:rPr>
      </w:pPr>
    </w:p>
    <w:p w14:paraId="3F60BB65" w14:textId="7D1DB3D4" w:rsidR="00DE6178" w:rsidRPr="00447F8C" w:rsidRDefault="00152D85" w:rsidP="00447F8C">
      <w:pPr>
        <w:pStyle w:val="Default"/>
        <w:ind w:left="295"/>
        <w:rPr>
          <w:rFonts w:ascii="Calibri" w:eastAsia="Times New Roman" w:hAnsi="Calibri" w:cs="Calibri"/>
          <w:color w:val="006666"/>
          <w:sz w:val="20"/>
          <w:szCs w:val="20"/>
          <w:lang w:eastAsia="en-GB"/>
        </w:rPr>
      </w:pPr>
      <w:r w:rsidRPr="00152D85">
        <w:rPr>
          <w:rFonts w:ascii="Calibri" w:eastAsia="Times New Roman" w:hAnsi="Calibri" w:cs="Calibri"/>
          <w:color w:val="006666"/>
          <w:sz w:val="20"/>
          <w:szCs w:val="20"/>
          <w:lang w:eastAsia="en-GB"/>
        </w:rPr>
        <w:lastRenderedPageBreak/>
        <w:t xml:space="preserve">cancel </w:t>
      </w:r>
      <w:r w:rsidR="005C0C18">
        <w:rPr>
          <w:rFonts w:ascii="Calibri" w:eastAsia="Times New Roman" w:hAnsi="Calibri" w:cs="Calibri"/>
          <w:color w:val="006666"/>
          <w:sz w:val="20"/>
          <w:szCs w:val="20"/>
          <w:lang w:eastAsia="en-GB"/>
        </w:rPr>
        <w:t>a</w:t>
      </w:r>
      <w:r w:rsidRPr="00152D85">
        <w:rPr>
          <w:rFonts w:ascii="Calibri" w:eastAsia="Times New Roman" w:hAnsi="Calibri" w:cs="Calibri"/>
          <w:color w:val="006666"/>
          <w:sz w:val="20"/>
          <w:szCs w:val="20"/>
          <w:lang w:eastAsia="en-GB"/>
        </w:rPr>
        <w:t xml:space="preserve"> return bilaterally</w:t>
      </w:r>
      <w:r>
        <w:rPr>
          <w:rFonts w:ascii="Calibri" w:eastAsia="Times New Roman" w:hAnsi="Calibri" w:cs="Calibri"/>
          <w:color w:val="006666"/>
          <w:sz w:val="20"/>
          <w:szCs w:val="20"/>
          <w:lang w:eastAsia="en-GB"/>
        </w:rPr>
        <w:t xml:space="preserve"> </w:t>
      </w:r>
      <w:r w:rsidR="006B7947">
        <w:rPr>
          <w:rFonts w:ascii="Calibri" w:eastAsia="Times New Roman" w:hAnsi="Calibri" w:cs="Calibri"/>
          <w:color w:val="006666"/>
          <w:sz w:val="20"/>
          <w:szCs w:val="20"/>
          <w:lang w:eastAsia="en-GB"/>
        </w:rPr>
        <w:t>if unable to deliver</w:t>
      </w:r>
      <w:r w:rsidRPr="00152D85">
        <w:rPr>
          <w:rFonts w:ascii="Calibri" w:eastAsia="Times New Roman" w:hAnsi="Calibri" w:cs="Calibri"/>
          <w:color w:val="006666"/>
          <w:sz w:val="20"/>
          <w:szCs w:val="20"/>
          <w:lang w:eastAsia="en-GB"/>
        </w:rPr>
        <w:t xml:space="preserve">. </w:t>
      </w:r>
      <w:r w:rsidR="00DA27C2">
        <w:rPr>
          <w:rFonts w:ascii="Calibri" w:eastAsia="Times New Roman" w:hAnsi="Calibri" w:cs="Calibri"/>
          <w:color w:val="006666"/>
          <w:sz w:val="20"/>
          <w:szCs w:val="20"/>
          <w:lang w:eastAsia="en-GB"/>
        </w:rPr>
        <w:t>In many cases</w:t>
      </w:r>
      <w:r w:rsidR="006B7947" w:rsidRPr="006B7947">
        <w:rPr>
          <w:rFonts w:ascii="Calibri" w:eastAsia="Times New Roman" w:hAnsi="Calibri" w:cs="Calibri"/>
          <w:color w:val="006666"/>
          <w:sz w:val="20"/>
          <w:szCs w:val="20"/>
          <w:lang w:eastAsia="en-GB"/>
        </w:rPr>
        <w:t>,</w:t>
      </w:r>
      <w:r w:rsidR="00DA27C2">
        <w:rPr>
          <w:rFonts w:ascii="Calibri" w:eastAsia="Times New Roman" w:hAnsi="Calibri" w:cs="Calibri"/>
          <w:color w:val="006666"/>
          <w:sz w:val="20"/>
          <w:szCs w:val="20"/>
          <w:lang w:eastAsia="en-GB"/>
        </w:rPr>
        <w:t xml:space="preserve"> </w:t>
      </w:r>
      <w:r w:rsidR="00200401">
        <w:rPr>
          <w:rFonts w:ascii="Calibri" w:eastAsia="Times New Roman" w:hAnsi="Calibri" w:cs="Calibri"/>
          <w:color w:val="006666"/>
          <w:sz w:val="20"/>
          <w:szCs w:val="20"/>
          <w:lang w:eastAsia="en-GB"/>
        </w:rPr>
        <w:t>parties may</w:t>
      </w:r>
      <w:r w:rsidR="006B7947" w:rsidRPr="006B7947">
        <w:rPr>
          <w:rFonts w:ascii="Calibri" w:eastAsia="Times New Roman" w:hAnsi="Calibri" w:cs="Calibri"/>
          <w:color w:val="006666"/>
          <w:sz w:val="20"/>
          <w:szCs w:val="20"/>
          <w:lang w:eastAsia="en-GB"/>
        </w:rPr>
        <w:t xml:space="preserve"> </w:t>
      </w:r>
      <w:r w:rsidR="002B0E87">
        <w:rPr>
          <w:rFonts w:ascii="Calibri" w:eastAsia="Times New Roman" w:hAnsi="Calibri" w:cs="Calibri"/>
          <w:color w:val="006666"/>
          <w:sz w:val="20"/>
          <w:szCs w:val="20"/>
          <w:lang w:eastAsia="en-GB"/>
        </w:rPr>
        <w:t xml:space="preserve">prefer to </w:t>
      </w:r>
      <w:r w:rsidR="0080095C">
        <w:rPr>
          <w:rFonts w:ascii="Calibri" w:eastAsia="Times New Roman" w:hAnsi="Calibri" w:cs="Calibri"/>
          <w:color w:val="006666"/>
          <w:sz w:val="20"/>
          <w:szCs w:val="20"/>
          <w:lang w:eastAsia="en-GB"/>
        </w:rPr>
        <w:t>agree and instruct</w:t>
      </w:r>
      <w:r w:rsidR="002B0E87">
        <w:rPr>
          <w:rFonts w:ascii="Calibri" w:eastAsia="Times New Roman" w:hAnsi="Calibri" w:cs="Calibri"/>
          <w:color w:val="006666"/>
          <w:sz w:val="20"/>
          <w:szCs w:val="20"/>
          <w:lang w:eastAsia="en-GB"/>
        </w:rPr>
        <w:t xml:space="preserve"> </w:t>
      </w:r>
      <w:r w:rsidR="004073DA">
        <w:rPr>
          <w:rFonts w:ascii="Calibri" w:eastAsia="Times New Roman" w:hAnsi="Calibri" w:cs="Calibri"/>
          <w:color w:val="006666"/>
          <w:sz w:val="20"/>
          <w:szCs w:val="20"/>
          <w:lang w:eastAsia="en-GB"/>
        </w:rPr>
        <w:t xml:space="preserve">a loan </w:t>
      </w:r>
      <w:r w:rsidR="00B30D0C">
        <w:rPr>
          <w:rFonts w:ascii="Calibri" w:eastAsia="Times New Roman" w:hAnsi="Calibri" w:cs="Calibri"/>
          <w:color w:val="006666"/>
          <w:sz w:val="20"/>
          <w:szCs w:val="20"/>
          <w:lang w:eastAsia="en-GB"/>
        </w:rPr>
        <w:t xml:space="preserve">return </w:t>
      </w:r>
      <w:r w:rsidR="009E0614">
        <w:rPr>
          <w:rFonts w:ascii="Calibri" w:eastAsia="Times New Roman" w:hAnsi="Calibri" w:cs="Calibri"/>
          <w:color w:val="006666"/>
          <w:sz w:val="20"/>
          <w:szCs w:val="20"/>
          <w:lang w:eastAsia="en-GB"/>
        </w:rPr>
        <w:t>on a same day basis</w:t>
      </w:r>
      <w:r w:rsidR="006B7947" w:rsidRPr="006B7947">
        <w:rPr>
          <w:rFonts w:ascii="Calibri" w:eastAsia="Times New Roman" w:hAnsi="Calibri" w:cs="Calibri"/>
          <w:color w:val="006666"/>
          <w:sz w:val="20"/>
          <w:szCs w:val="20"/>
          <w:lang w:eastAsia="en-GB"/>
        </w:rPr>
        <w:t>,</w:t>
      </w:r>
      <w:r w:rsidR="00F009E2">
        <w:rPr>
          <w:rFonts w:ascii="Calibri" w:eastAsia="Times New Roman" w:hAnsi="Calibri" w:cs="Calibri"/>
          <w:color w:val="006666"/>
          <w:sz w:val="20"/>
          <w:szCs w:val="20"/>
          <w:lang w:eastAsia="en-GB"/>
        </w:rPr>
        <w:t xml:space="preserve"> </w:t>
      </w:r>
      <w:r w:rsidR="00F2749B">
        <w:rPr>
          <w:rFonts w:ascii="Calibri" w:eastAsia="Times New Roman" w:hAnsi="Calibri" w:cs="Calibri"/>
          <w:color w:val="006666"/>
          <w:sz w:val="20"/>
          <w:szCs w:val="20"/>
          <w:lang w:eastAsia="en-GB"/>
        </w:rPr>
        <w:t>typically</w:t>
      </w:r>
      <w:r w:rsidR="006B7947">
        <w:rPr>
          <w:rFonts w:ascii="Calibri" w:eastAsia="Times New Roman" w:hAnsi="Calibri" w:cs="Calibri"/>
          <w:color w:val="006666"/>
          <w:sz w:val="20"/>
          <w:szCs w:val="20"/>
          <w:lang w:eastAsia="en-GB"/>
        </w:rPr>
        <w:t xml:space="preserve"> reduc</w:t>
      </w:r>
      <w:r w:rsidR="009E0614">
        <w:rPr>
          <w:rFonts w:ascii="Calibri" w:eastAsia="Times New Roman" w:hAnsi="Calibri" w:cs="Calibri"/>
          <w:color w:val="006666"/>
          <w:sz w:val="20"/>
          <w:szCs w:val="20"/>
          <w:lang w:eastAsia="en-GB"/>
        </w:rPr>
        <w:t>ing</w:t>
      </w:r>
      <w:r w:rsidR="006B7947">
        <w:rPr>
          <w:rFonts w:ascii="Calibri" w:eastAsia="Times New Roman" w:hAnsi="Calibri" w:cs="Calibri"/>
          <w:color w:val="006666"/>
          <w:sz w:val="20"/>
          <w:szCs w:val="20"/>
          <w:lang w:eastAsia="en-GB"/>
        </w:rPr>
        <w:t xml:space="preserve"> fail</w:t>
      </w:r>
      <w:r w:rsidR="0005297A">
        <w:rPr>
          <w:rFonts w:ascii="Calibri" w:eastAsia="Times New Roman" w:hAnsi="Calibri" w:cs="Calibri"/>
          <w:color w:val="006666"/>
          <w:sz w:val="20"/>
          <w:szCs w:val="20"/>
          <w:lang w:eastAsia="en-GB"/>
        </w:rPr>
        <w:t xml:space="preserve"> occurrence</w:t>
      </w:r>
      <w:r w:rsidR="009E0614">
        <w:rPr>
          <w:rFonts w:ascii="Calibri" w:eastAsia="Times New Roman" w:hAnsi="Calibri" w:cs="Calibri"/>
          <w:color w:val="006666"/>
          <w:sz w:val="20"/>
          <w:szCs w:val="20"/>
          <w:lang w:eastAsia="en-GB"/>
        </w:rPr>
        <w:t>s</w:t>
      </w:r>
      <w:r w:rsidR="0005297A">
        <w:rPr>
          <w:rFonts w:ascii="Calibri" w:eastAsia="Times New Roman" w:hAnsi="Calibri" w:cs="Calibri"/>
          <w:color w:val="006666"/>
          <w:sz w:val="20"/>
          <w:szCs w:val="20"/>
          <w:lang w:eastAsia="en-GB"/>
        </w:rPr>
        <w:t xml:space="preserve">. </w:t>
      </w:r>
      <w:r w:rsidR="00701988">
        <w:rPr>
          <w:rFonts w:ascii="Calibri" w:eastAsia="Times New Roman" w:hAnsi="Calibri" w:cs="Calibri"/>
          <w:color w:val="006666"/>
          <w:sz w:val="20"/>
          <w:szCs w:val="20"/>
          <w:lang w:eastAsia="en-GB"/>
        </w:rPr>
        <w:t>This</w:t>
      </w:r>
      <w:r w:rsidR="003C32B4">
        <w:rPr>
          <w:rFonts w:ascii="Calibri" w:eastAsia="Times New Roman" w:hAnsi="Calibri" w:cs="Calibri"/>
          <w:color w:val="006666"/>
          <w:sz w:val="20"/>
          <w:szCs w:val="20"/>
          <w:lang w:eastAsia="en-GB"/>
        </w:rPr>
        <w:t xml:space="preserve"> improved efficien</w:t>
      </w:r>
      <w:r w:rsidR="00721A98">
        <w:rPr>
          <w:rFonts w:ascii="Calibri" w:eastAsia="Times New Roman" w:hAnsi="Calibri" w:cs="Calibri"/>
          <w:color w:val="006666"/>
          <w:sz w:val="20"/>
          <w:szCs w:val="20"/>
          <w:lang w:eastAsia="en-GB"/>
        </w:rPr>
        <w:t>cy</w:t>
      </w:r>
      <w:r w:rsidR="003C32B4">
        <w:rPr>
          <w:rFonts w:ascii="Calibri" w:eastAsia="Times New Roman" w:hAnsi="Calibri" w:cs="Calibri"/>
          <w:color w:val="006666"/>
          <w:sz w:val="20"/>
          <w:szCs w:val="20"/>
          <w:lang w:eastAsia="en-GB"/>
        </w:rPr>
        <w:t xml:space="preserve"> </w:t>
      </w:r>
      <w:r w:rsidR="00A31099">
        <w:rPr>
          <w:rFonts w:ascii="Calibri" w:eastAsia="Times New Roman" w:hAnsi="Calibri" w:cs="Calibri"/>
          <w:color w:val="006666"/>
          <w:sz w:val="20"/>
          <w:szCs w:val="20"/>
          <w:lang w:eastAsia="en-GB"/>
        </w:rPr>
        <w:t xml:space="preserve">is a </w:t>
      </w:r>
      <w:r w:rsidR="00BF3E26">
        <w:rPr>
          <w:rFonts w:ascii="Calibri" w:eastAsia="Times New Roman" w:hAnsi="Calibri" w:cs="Calibri"/>
          <w:color w:val="006666"/>
          <w:sz w:val="20"/>
          <w:szCs w:val="20"/>
          <w:lang w:eastAsia="en-GB"/>
        </w:rPr>
        <w:t>result</w:t>
      </w:r>
      <w:r w:rsidR="00A31099">
        <w:rPr>
          <w:rFonts w:ascii="Calibri" w:eastAsia="Times New Roman" w:hAnsi="Calibri" w:cs="Calibri"/>
          <w:color w:val="006666"/>
          <w:sz w:val="20"/>
          <w:szCs w:val="20"/>
          <w:lang w:eastAsia="en-GB"/>
        </w:rPr>
        <w:t xml:space="preserve"> of </w:t>
      </w:r>
      <w:r w:rsidR="009960C3">
        <w:rPr>
          <w:rFonts w:ascii="Calibri" w:eastAsia="Times New Roman" w:hAnsi="Calibri" w:cs="Calibri"/>
          <w:color w:val="006666"/>
          <w:sz w:val="20"/>
          <w:szCs w:val="20"/>
          <w:lang w:eastAsia="en-GB"/>
        </w:rPr>
        <w:t>the deliver</w:t>
      </w:r>
      <w:r w:rsidR="00F9490E">
        <w:rPr>
          <w:rFonts w:ascii="Calibri" w:eastAsia="Times New Roman" w:hAnsi="Calibri" w:cs="Calibri"/>
          <w:color w:val="006666"/>
          <w:sz w:val="20"/>
          <w:szCs w:val="20"/>
          <w:lang w:eastAsia="en-GB"/>
        </w:rPr>
        <w:t xml:space="preserve">ing party </w:t>
      </w:r>
      <w:r w:rsidR="006767D2">
        <w:rPr>
          <w:rFonts w:ascii="Calibri" w:eastAsia="Times New Roman" w:hAnsi="Calibri" w:cs="Calibri"/>
          <w:color w:val="006666"/>
          <w:sz w:val="20"/>
          <w:szCs w:val="20"/>
          <w:lang w:eastAsia="en-GB"/>
        </w:rPr>
        <w:t>havin</w:t>
      </w:r>
      <w:r w:rsidR="00CD557D">
        <w:rPr>
          <w:rFonts w:ascii="Calibri" w:eastAsia="Times New Roman" w:hAnsi="Calibri" w:cs="Calibri"/>
          <w:color w:val="006666"/>
          <w:sz w:val="20"/>
          <w:szCs w:val="20"/>
          <w:lang w:eastAsia="en-GB"/>
        </w:rPr>
        <w:t xml:space="preserve">g the required securities </w:t>
      </w:r>
      <w:r w:rsidR="00DA1472">
        <w:rPr>
          <w:rFonts w:ascii="Calibri" w:eastAsia="Times New Roman" w:hAnsi="Calibri" w:cs="Calibri"/>
          <w:color w:val="006666"/>
          <w:sz w:val="20"/>
          <w:szCs w:val="20"/>
          <w:lang w:eastAsia="en-GB"/>
        </w:rPr>
        <w:t xml:space="preserve">physically </w:t>
      </w:r>
      <w:r w:rsidR="009E738F">
        <w:rPr>
          <w:rFonts w:ascii="Calibri" w:eastAsia="Times New Roman" w:hAnsi="Calibri" w:cs="Calibri"/>
          <w:color w:val="006666"/>
          <w:sz w:val="20"/>
          <w:szCs w:val="20"/>
          <w:lang w:eastAsia="en-GB"/>
        </w:rPr>
        <w:t>in their account</w:t>
      </w:r>
      <w:r w:rsidR="006B7947">
        <w:rPr>
          <w:rFonts w:ascii="Calibri" w:eastAsia="Times New Roman" w:hAnsi="Calibri" w:cs="Calibri"/>
          <w:color w:val="006666"/>
          <w:sz w:val="20"/>
          <w:szCs w:val="20"/>
          <w:lang w:eastAsia="en-GB"/>
        </w:rPr>
        <w:t>.</w:t>
      </w:r>
      <w:r w:rsidR="00DA1472">
        <w:rPr>
          <w:rFonts w:ascii="Calibri" w:eastAsia="Times New Roman" w:hAnsi="Calibri" w:cs="Calibri"/>
          <w:color w:val="006666"/>
          <w:sz w:val="20"/>
          <w:szCs w:val="20"/>
          <w:lang w:eastAsia="en-GB"/>
        </w:rPr>
        <w:t xml:space="preserve"> </w:t>
      </w:r>
      <w:r w:rsidR="00390499">
        <w:rPr>
          <w:rFonts w:ascii="Calibri" w:eastAsia="Times New Roman" w:hAnsi="Calibri" w:cs="Calibri"/>
          <w:color w:val="006666"/>
          <w:sz w:val="20"/>
          <w:szCs w:val="20"/>
          <w:lang w:eastAsia="en-GB"/>
        </w:rPr>
        <w:t xml:space="preserve">Failure </w:t>
      </w:r>
      <w:r w:rsidR="001E1709">
        <w:rPr>
          <w:rFonts w:ascii="Calibri" w:eastAsia="Times New Roman" w:hAnsi="Calibri" w:cs="Calibri"/>
          <w:color w:val="006666"/>
          <w:sz w:val="20"/>
          <w:szCs w:val="20"/>
          <w:lang w:eastAsia="en-GB"/>
        </w:rPr>
        <w:t xml:space="preserve">of </w:t>
      </w:r>
      <w:r w:rsidR="00390499">
        <w:rPr>
          <w:rFonts w:ascii="Calibri" w:eastAsia="Times New Roman" w:hAnsi="Calibri" w:cs="Calibri"/>
          <w:color w:val="006666"/>
          <w:sz w:val="20"/>
          <w:szCs w:val="20"/>
          <w:lang w:eastAsia="en-GB"/>
        </w:rPr>
        <w:t xml:space="preserve">a return leg </w:t>
      </w:r>
      <w:r w:rsidR="00811F01">
        <w:rPr>
          <w:rFonts w:ascii="Calibri" w:eastAsia="Times New Roman" w:hAnsi="Calibri" w:cs="Calibri"/>
          <w:color w:val="006666"/>
          <w:sz w:val="20"/>
          <w:szCs w:val="20"/>
          <w:lang w:eastAsia="en-GB"/>
        </w:rPr>
        <w:t xml:space="preserve">does not </w:t>
      </w:r>
      <w:r w:rsidR="00390499">
        <w:rPr>
          <w:rFonts w:ascii="Calibri" w:eastAsia="Times New Roman" w:hAnsi="Calibri" w:cs="Calibri"/>
          <w:color w:val="006666"/>
          <w:sz w:val="20"/>
          <w:szCs w:val="20"/>
          <w:lang w:eastAsia="en-GB"/>
        </w:rPr>
        <w:t>impact on market liquidity</w:t>
      </w:r>
      <w:r w:rsidR="00811F01">
        <w:rPr>
          <w:rFonts w:ascii="Calibri" w:eastAsia="Times New Roman" w:hAnsi="Calibri" w:cs="Calibri"/>
          <w:color w:val="006666"/>
          <w:sz w:val="20"/>
          <w:szCs w:val="20"/>
          <w:lang w:eastAsia="en-GB"/>
        </w:rPr>
        <w:t xml:space="preserve"> and may indeed </w:t>
      </w:r>
      <w:r w:rsidR="00233F68">
        <w:rPr>
          <w:rFonts w:ascii="Calibri" w:eastAsia="Times New Roman" w:hAnsi="Calibri" w:cs="Calibri"/>
          <w:color w:val="006666"/>
          <w:sz w:val="20"/>
          <w:szCs w:val="20"/>
          <w:lang w:eastAsia="en-GB"/>
        </w:rPr>
        <w:t>be beneficial</w:t>
      </w:r>
      <w:r w:rsidR="00811F01">
        <w:rPr>
          <w:rFonts w:ascii="Calibri" w:eastAsia="Times New Roman" w:hAnsi="Calibri" w:cs="Calibri"/>
          <w:color w:val="006666"/>
          <w:sz w:val="20"/>
          <w:szCs w:val="20"/>
          <w:lang w:eastAsia="en-GB"/>
        </w:rPr>
        <w:t xml:space="preserve"> to the failed to party</w:t>
      </w:r>
      <w:r w:rsidR="00CF7792">
        <w:rPr>
          <w:rFonts w:ascii="Calibri" w:eastAsia="Times New Roman" w:hAnsi="Calibri" w:cs="Calibri"/>
          <w:color w:val="006666"/>
          <w:sz w:val="20"/>
          <w:szCs w:val="20"/>
          <w:lang w:eastAsia="en-GB"/>
        </w:rPr>
        <w:t>,</w:t>
      </w:r>
      <w:r w:rsidR="00811F01">
        <w:rPr>
          <w:rFonts w:ascii="Calibri" w:eastAsia="Times New Roman" w:hAnsi="Calibri" w:cs="Calibri"/>
          <w:color w:val="006666"/>
          <w:sz w:val="20"/>
          <w:szCs w:val="20"/>
          <w:lang w:eastAsia="en-GB"/>
        </w:rPr>
        <w:t xml:space="preserve"> </w:t>
      </w:r>
      <w:r w:rsidR="00233F68">
        <w:rPr>
          <w:rFonts w:ascii="Calibri" w:eastAsia="Times New Roman" w:hAnsi="Calibri" w:cs="Calibri"/>
          <w:color w:val="006666"/>
          <w:sz w:val="20"/>
          <w:szCs w:val="20"/>
          <w:lang w:eastAsia="en-GB"/>
        </w:rPr>
        <w:t>as fees may still be accrued throughout</w:t>
      </w:r>
      <w:r w:rsidR="006B7947">
        <w:rPr>
          <w:rFonts w:ascii="Calibri" w:eastAsia="Times New Roman" w:hAnsi="Calibri" w:cs="Calibri"/>
          <w:color w:val="006666"/>
          <w:sz w:val="20"/>
          <w:szCs w:val="20"/>
          <w:lang w:eastAsia="en-GB"/>
        </w:rPr>
        <w:t xml:space="preserve"> </w:t>
      </w:r>
      <w:r w:rsidR="009A59A0">
        <w:rPr>
          <w:rFonts w:ascii="Calibri" w:eastAsia="Times New Roman" w:hAnsi="Calibri" w:cs="Calibri"/>
          <w:color w:val="006666"/>
          <w:sz w:val="20"/>
          <w:szCs w:val="20"/>
          <w:lang w:eastAsia="en-GB"/>
        </w:rPr>
        <w:t>the period of settlement failure.</w:t>
      </w:r>
    </w:p>
    <w:p w14:paraId="756D82DB" w14:textId="77777777" w:rsidR="00CF7792" w:rsidRDefault="00CF7792" w:rsidP="003A4433">
      <w:pPr>
        <w:autoSpaceDE w:val="0"/>
        <w:autoSpaceDN w:val="0"/>
        <w:adjustRightInd w:val="0"/>
        <w:spacing w:after="0" w:line="240" w:lineRule="auto"/>
        <w:ind w:right="119"/>
        <w:contextualSpacing/>
        <w:rPr>
          <w:rFonts w:cstheme="minorHAnsi"/>
          <w:b/>
          <w:color w:val="006666"/>
          <w:sz w:val="20"/>
          <w:szCs w:val="20"/>
          <w:u w:val="single"/>
        </w:rPr>
      </w:pPr>
    </w:p>
    <w:p w14:paraId="0B8157D7" w14:textId="333AE4EF" w:rsidR="00DE6178" w:rsidRPr="00EC1EE2" w:rsidRDefault="006F6B71" w:rsidP="00BB398D">
      <w:pPr>
        <w:autoSpaceDE w:val="0"/>
        <w:autoSpaceDN w:val="0"/>
        <w:adjustRightInd w:val="0"/>
        <w:spacing w:after="0" w:line="240" w:lineRule="auto"/>
        <w:ind w:left="-425" w:right="119"/>
        <w:contextualSpacing/>
        <w:rPr>
          <w:rFonts w:cstheme="minorHAnsi"/>
          <w:color w:val="006666"/>
          <w:sz w:val="20"/>
          <w:szCs w:val="20"/>
          <w:u w:val="single"/>
        </w:rPr>
      </w:pPr>
      <w:r w:rsidRPr="00EC1EE2">
        <w:rPr>
          <w:rFonts w:cstheme="minorHAnsi"/>
          <w:b/>
          <w:color w:val="006666"/>
          <w:sz w:val="20"/>
          <w:szCs w:val="20"/>
          <w:u w:val="single"/>
        </w:rPr>
        <w:t xml:space="preserve">Rules on buy-ins should be differentiated, </w:t>
      </w:r>
      <w:r w:rsidR="00221C4C" w:rsidRPr="00EC1EE2">
        <w:rPr>
          <w:rFonts w:cstheme="minorHAnsi"/>
          <w:b/>
          <w:bCs/>
          <w:color w:val="006666"/>
          <w:sz w:val="20"/>
          <w:szCs w:val="20"/>
          <w:u w:val="single"/>
        </w:rPr>
        <w:t>considering</w:t>
      </w:r>
      <w:r w:rsidRPr="00EC1EE2">
        <w:rPr>
          <w:rFonts w:cstheme="minorHAnsi"/>
          <w:b/>
          <w:color w:val="006666"/>
          <w:sz w:val="20"/>
          <w:szCs w:val="20"/>
          <w:u w:val="single"/>
        </w:rPr>
        <w:t xml:space="preserve"> different markets, instruments, and transaction types</w:t>
      </w:r>
      <w:r w:rsidR="002E1441">
        <w:rPr>
          <w:rFonts w:cstheme="minorHAnsi"/>
          <w:sz w:val="18"/>
          <w:szCs w:val="18"/>
          <w:u w:val="single"/>
        </w:rPr>
        <w:t>:</w:t>
      </w:r>
    </w:p>
    <w:p w14:paraId="48CDA5D5" w14:textId="2E3E1A8A" w:rsidR="001524B1" w:rsidRDefault="001524B1" w:rsidP="00EA25FA">
      <w:pPr>
        <w:autoSpaceDE w:val="0"/>
        <w:autoSpaceDN w:val="0"/>
        <w:adjustRightInd w:val="0"/>
        <w:spacing w:after="0" w:line="240" w:lineRule="auto"/>
        <w:ind w:left="-426" w:right="119"/>
        <w:rPr>
          <w:rFonts w:cstheme="minorHAnsi"/>
          <w:color w:val="000000"/>
          <w:sz w:val="20"/>
          <w:szCs w:val="20"/>
        </w:rPr>
      </w:pPr>
    </w:p>
    <w:p w14:paraId="397AB1E3" w14:textId="09F2DD4D" w:rsidR="00D214A7" w:rsidRDefault="009C55A8" w:rsidP="00D214A7">
      <w:pPr>
        <w:autoSpaceDE w:val="0"/>
        <w:autoSpaceDN w:val="0"/>
        <w:adjustRightInd w:val="0"/>
        <w:spacing w:after="0" w:line="240" w:lineRule="auto"/>
        <w:ind w:left="-426" w:right="119"/>
        <w:rPr>
          <w:rFonts w:ascii="Calibri" w:eastAsia="Times New Roman" w:hAnsi="Calibri" w:cs="Calibri"/>
          <w:color w:val="006666"/>
          <w:sz w:val="20"/>
          <w:szCs w:val="20"/>
          <w:lang w:eastAsia="en-GB"/>
        </w:rPr>
      </w:pPr>
      <w:r w:rsidRPr="00B25991">
        <w:rPr>
          <w:rFonts w:cstheme="minorHAnsi"/>
          <w:color w:val="006666"/>
          <w:sz w:val="20"/>
          <w:szCs w:val="20"/>
        </w:rPr>
        <w:t>ISLA</w:t>
      </w:r>
      <w:r w:rsidR="00B96D93" w:rsidRPr="00B25991">
        <w:rPr>
          <w:rFonts w:cstheme="minorHAnsi"/>
          <w:color w:val="006666"/>
          <w:sz w:val="20"/>
          <w:szCs w:val="20"/>
        </w:rPr>
        <w:t xml:space="preserve"> strongly advocate</w:t>
      </w:r>
      <w:r w:rsidR="00373921">
        <w:rPr>
          <w:rFonts w:cstheme="minorHAnsi"/>
          <w:color w:val="006666"/>
          <w:sz w:val="20"/>
          <w:szCs w:val="20"/>
        </w:rPr>
        <w:t>s</w:t>
      </w:r>
      <w:r w:rsidR="00B96D93" w:rsidRPr="00B25991">
        <w:rPr>
          <w:rFonts w:cstheme="minorHAnsi"/>
          <w:color w:val="006666"/>
          <w:sz w:val="20"/>
          <w:szCs w:val="20"/>
        </w:rPr>
        <w:t xml:space="preserve"> t</w:t>
      </w:r>
      <w:r w:rsidR="006D6B3A" w:rsidRPr="00B25991">
        <w:rPr>
          <w:rFonts w:cstheme="minorHAnsi"/>
          <w:color w:val="006666"/>
          <w:sz w:val="20"/>
          <w:szCs w:val="20"/>
        </w:rPr>
        <w:t xml:space="preserve">hat </w:t>
      </w:r>
      <w:r w:rsidR="0083522A">
        <w:rPr>
          <w:rFonts w:cstheme="minorHAnsi"/>
          <w:color w:val="006666"/>
          <w:sz w:val="20"/>
          <w:szCs w:val="20"/>
        </w:rPr>
        <w:t xml:space="preserve">the </w:t>
      </w:r>
      <w:r w:rsidR="00805890">
        <w:rPr>
          <w:rFonts w:cstheme="minorHAnsi"/>
          <w:color w:val="006666"/>
          <w:sz w:val="20"/>
          <w:szCs w:val="20"/>
        </w:rPr>
        <w:t>s</w:t>
      </w:r>
      <w:r w:rsidR="0083522A">
        <w:rPr>
          <w:rFonts w:cstheme="minorHAnsi"/>
          <w:color w:val="006666"/>
          <w:sz w:val="20"/>
          <w:szCs w:val="20"/>
        </w:rPr>
        <w:t xml:space="preserve">ecurities </w:t>
      </w:r>
      <w:r w:rsidR="00805890">
        <w:rPr>
          <w:rFonts w:cstheme="minorHAnsi"/>
          <w:color w:val="006666"/>
          <w:sz w:val="20"/>
          <w:szCs w:val="20"/>
        </w:rPr>
        <w:t>f</w:t>
      </w:r>
      <w:r w:rsidR="0083522A">
        <w:rPr>
          <w:rFonts w:cstheme="minorHAnsi"/>
          <w:color w:val="006666"/>
          <w:sz w:val="20"/>
          <w:szCs w:val="20"/>
        </w:rPr>
        <w:t>inancing market,</w:t>
      </w:r>
      <w:r w:rsidR="006D6B3A" w:rsidRPr="00B25991">
        <w:rPr>
          <w:rFonts w:cstheme="minorHAnsi"/>
          <w:color w:val="006666"/>
          <w:sz w:val="20"/>
          <w:szCs w:val="20"/>
        </w:rPr>
        <w:t xml:space="preserve"> </w:t>
      </w:r>
      <w:r w:rsidR="0083522A">
        <w:rPr>
          <w:rFonts w:cstheme="minorHAnsi"/>
          <w:color w:val="006666"/>
          <w:sz w:val="20"/>
          <w:szCs w:val="20"/>
        </w:rPr>
        <w:t>including</w:t>
      </w:r>
      <w:r w:rsidR="006D6B3A" w:rsidRPr="00B25991">
        <w:rPr>
          <w:rFonts w:cstheme="minorHAnsi"/>
          <w:color w:val="006666"/>
          <w:sz w:val="20"/>
          <w:szCs w:val="20"/>
        </w:rPr>
        <w:t xml:space="preserve"> securities lending</w:t>
      </w:r>
      <w:r w:rsidR="0083522A">
        <w:rPr>
          <w:rFonts w:cstheme="minorHAnsi"/>
          <w:color w:val="006666"/>
          <w:sz w:val="20"/>
          <w:szCs w:val="20"/>
        </w:rPr>
        <w:t xml:space="preserve">, </w:t>
      </w:r>
      <w:r w:rsidR="006D6B3A" w:rsidRPr="00B25991">
        <w:rPr>
          <w:rFonts w:cstheme="minorHAnsi"/>
          <w:color w:val="006666"/>
          <w:sz w:val="20"/>
          <w:szCs w:val="20"/>
        </w:rPr>
        <w:t>be deemed out of scope for</w:t>
      </w:r>
      <w:r w:rsidR="0033787B" w:rsidRPr="00B25991">
        <w:rPr>
          <w:rFonts w:cstheme="minorHAnsi"/>
          <w:color w:val="006666"/>
          <w:sz w:val="20"/>
          <w:szCs w:val="20"/>
        </w:rPr>
        <w:t xml:space="preserve"> any </w:t>
      </w:r>
      <w:r w:rsidR="00603007">
        <w:rPr>
          <w:rFonts w:cstheme="minorHAnsi"/>
          <w:color w:val="006666"/>
          <w:sz w:val="20"/>
          <w:szCs w:val="20"/>
        </w:rPr>
        <w:t xml:space="preserve">regulatory </w:t>
      </w:r>
      <w:r w:rsidR="0033787B" w:rsidRPr="00B25991">
        <w:rPr>
          <w:rFonts w:cstheme="minorHAnsi"/>
          <w:color w:val="006666"/>
          <w:sz w:val="20"/>
          <w:szCs w:val="20"/>
        </w:rPr>
        <w:t xml:space="preserve">buy-in requirement </w:t>
      </w:r>
      <w:r w:rsidR="0033787B" w:rsidRPr="00373921">
        <w:rPr>
          <w:rFonts w:cstheme="minorHAnsi"/>
          <w:color w:val="006666"/>
          <w:sz w:val="20"/>
          <w:szCs w:val="20"/>
        </w:rPr>
        <w:t>implemented</w:t>
      </w:r>
      <w:r w:rsidR="000A0A4A" w:rsidRPr="00373921">
        <w:rPr>
          <w:rFonts w:cstheme="minorHAnsi"/>
          <w:color w:val="006666"/>
          <w:sz w:val="20"/>
          <w:szCs w:val="20"/>
        </w:rPr>
        <w:t xml:space="preserve">. </w:t>
      </w:r>
      <w:r w:rsidR="00D214A7" w:rsidRPr="00373921">
        <w:rPr>
          <w:rFonts w:cstheme="minorHAnsi"/>
          <w:color w:val="006666"/>
          <w:sz w:val="20"/>
          <w:szCs w:val="20"/>
        </w:rPr>
        <w:t xml:space="preserve">These </w:t>
      </w:r>
      <w:r w:rsidR="00A76BBE" w:rsidRPr="00373921">
        <w:rPr>
          <w:rFonts w:cstheme="minorHAnsi"/>
          <w:color w:val="006666"/>
          <w:sz w:val="20"/>
          <w:szCs w:val="20"/>
        </w:rPr>
        <w:t xml:space="preserve">transaction types should be </w:t>
      </w:r>
      <w:r w:rsidR="00D214A7" w:rsidRPr="00373921">
        <w:rPr>
          <w:rFonts w:ascii="Calibri" w:eastAsia="Times New Roman" w:hAnsi="Calibri" w:cs="Calibri"/>
          <w:color w:val="006666"/>
          <w:sz w:val="20"/>
          <w:szCs w:val="20"/>
          <w:lang w:eastAsia="en-GB"/>
        </w:rPr>
        <w:t xml:space="preserve">excluded on the basis that </w:t>
      </w:r>
      <w:r w:rsidR="00503229">
        <w:rPr>
          <w:rFonts w:ascii="Calibri" w:eastAsia="Times New Roman" w:hAnsi="Calibri" w:cs="Calibri"/>
          <w:color w:val="006666"/>
          <w:sz w:val="20"/>
          <w:szCs w:val="20"/>
          <w:lang w:eastAsia="en-GB"/>
        </w:rPr>
        <w:t xml:space="preserve">SFTs </w:t>
      </w:r>
      <w:r w:rsidR="00A76BBE" w:rsidRPr="00373921">
        <w:rPr>
          <w:rFonts w:ascii="Calibri" w:eastAsia="Times New Roman" w:hAnsi="Calibri" w:cs="Calibri"/>
          <w:color w:val="006666"/>
          <w:sz w:val="20"/>
          <w:szCs w:val="20"/>
          <w:lang w:eastAsia="en-GB"/>
        </w:rPr>
        <w:t>are</w:t>
      </w:r>
      <w:r w:rsidR="00D214A7" w:rsidRPr="00373921">
        <w:rPr>
          <w:rFonts w:ascii="Calibri" w:eastAsia="Times New Roman" w:hAnsi="Calibri" w:cs="Calibri"/>
          <w:color w:val="006666"/>
          <w:sz w:val="20"/>
          <w:szCs w:val="20"/>
          <w:lang w:eastAsia="en-GB"/>
        </w:rPr>
        <w:t xml:space="preserve"> already widely utilised as an </w:t>
      </w:r>
      <w:r w:rsidR="009C1C09">
        <w:rPr>
          <w:rFonts w:ascii="Calibri" w:eastAsia="Times New Roman" w:hAnsi="Calibri" w:cs="Calibri"/>
          <w:color w:val="006666"/>
          <w:sz w:val="20"/>
          <w:szCs w:val="20"/>
          <w:lang w:eastAsia="en-GB"/>
        </w:rPr>
        <w:t>efficient mechanism</w:t>
      </w:r>
      <w:r w:rsidR="00D214A7" w:rsidRPr="00373921">
        <w:rPr>
          <w:rFonts w:ascii="Calibri" w:eastAsia="Times New Roman" w:hAnsi="Calibri" w:cs="Calibri"/>
          <w:color w:val="006666"/>
          <w:sz w:val="20"/>
          <w:szCs w:val="20"/>
          <w:lang w:eastAsia="en-GB"/>
        </w:rPr>
        <w:t xml:space="preserve"> to reduce settlement fail</w:t>
      </w:r>
      <w:r w:rsidR="004A41C1">
        <w:rPr>
          <w:rFonts w:ascii="Calibri" w:eastAsia="Times New Roman" w:hAnsi="Calibri" w:cs="Calibri"/>
          <w:color w:val="006666"/>
          <w:sz w:val="20"/>
          <w:szCs w:val="20"/>
          <w:lang w:eastAsia="en-GB"/>
        </w:rPr>
        <w:t>ure</w:t>
      </w:r>
      <w:r w:rsidR="00D214A7" w:rsidRPr="00373921">
        <w:rPr>
          <w:rFonts w:ascii="Calibri" w:eastAsia="Times New Roman" w:hAnsi="Calibri" w:cs="Calibri"/>
          <w:color w:val="006666"/>
          <w:sz w:val="20"/>
          <w:szCs w:val="20"/>
          <w:lang w:eastAsia="en-GB"/>
        </w:rPr>
        <w:t>s in the cash market</w:t>
      </w:r>
      <w:r w:rsidR="00146A2F">
        <w:rPr>
          <w:rFonts w:ascii="Calibri" w:eastAsia="Times New Roman" w:hAnsi="Calibri" w:cs="Calibri"/>
          <w:color w:val="006666"/>
          <w:sz w:val="20"/>
          <w:szCs w:val="20"/>
          <w:lang w:eastAsia="en-GB"/>
        </w:rPr>
        <w:t xml:space="preserve">. </w:t>
      </w:r>
      <w:r w:rsidR="002F3DAC">
        <w:rPr>
          <w:rFonts w:ascii="Calibri" w:eastAsia="Times New Roman" w:hAnsi="Calibri" w:cs="Calibri"/>
          <w:color w:val="006666"/>
          <w:sz w:val="20"/>
          <w:szCs w:val="20"/>
          <w:lang w:eastAsia="en-GB"/>
        </w:rPr>
        <w:t>In addition to this benefit</w:t>
      </w:r>
      <w:r w:rsidR="00513413">
        <w:rPr>
          <w:rFonts w:ascii="Calibri" w:eastAsia="Times New Roman" w:hAnsi="Calibri" w:cs="Calibri"/>
          <w:color w:val="006666"/>
          <w:sz w:val="20"/>
          <w:szCs w:val="20"/>
          <w:lang w:eastAsia="en-GB"/>
        </w:rPr>
        <w:t>,</w:t>
      </w:r>
      <w:r w:rsidR="002F3DAC">
        <w:rPr>
          <w:rFonts w:ascii="Calibri" w:eastAsia="Times New Roman" w:hAnsi="Calibri" w:cs="Calibri"/>
          <w:color w:val="006666"/>
          <w:sz w:val="20"/>
          <w:szCs w:val="20"/>
          <w:lang w:eastAsia="en-GB"/>
        </w:rPr>
        <w:t xml:space="preserve"> </w:t>
      </w:r>
      <w:r w:rsidR="00B4202D">
        <w:rPr>
          <w:rFonts w:ascii="Calibri" w:eastAsia="Times New Roman" w:hAnsi="Calibri" w:cs="Calibri"/>
          <w:color w:val="006666"/>
          <w:sz w:val="20"/>
          <w:szCs w:val="20"/>
          <w:lang w:eastAsia="en-GB"/>
        </w:rPr>
        <w:t>SFT</w:t>
      </w:r>
      <w:r w:rsidR="00D62ABF">
        <w:rPr>
          <w:rFonts w:ascii="Calibri" w:eastAsia="Times New Roman" w:hAnsi="Calibri" w:cs="Calibri"/>
          <w:color w:val="006666"/>
          <w:sz w:val="20"/>
          <w:szCs w:val="20"/>
          <w:lang w:eastAsia="en-GB"/>
        </w:rPr>
        <w:t>s</w:t>
      </w:r>
      <w:r w:rsidR="00D214A7" w:rsidRPr="00373921">
        <w:rPr>
          <w:rFonts w:ascii="Calibri" w:eastAsia="Times New Roman" w:hAnsi="Calibri" w:cs="Calibri"/>
          <w:color w:val="006666"/>
          <w:sz w:val="20"/>
          <w:szCs w:val="20"/>
          <w:lang w:eastAsia="en-GB"/>
        </w:rPr>
        <w:t xml:space="preserve"> </w:t>
      </w:r>
      <w:r w:rsidR="00877A8F" w:rsidRPr="00373921">
        <w:rPr>
          <w:rFonts w:ascii="Calibri" w:eastAsia="Times New Roman" w:hAnsi="Calibri" w:cs="Calibri"/>
          <w:color w:val="006666"/>
          <w:sz w:val="20"/>
          <w:szCs w:val="20"/>
          <w:lang w:eastAsia="en-GB"/>
        </w:rPr>
        <w:t xml:space="preserve">are </w:t>
      </w:r>
      <w:r w:rsidR="001603C2">
        <w:rPr>
          <w:rFonts w:ascii="Calibri" w:eastAsia="Times New Roman" w:hAnsi="Calibri" w:cs="Calibri"/>
          <w:color w:val="006666"/>
          <w:sz w:val="20"/>
          <w:szCs w:val="20"/>
          <w:lang w:eastAsia="en-GB"/>
        </w:rPr>
        <w:t xml:space="preserve">an </w:t>
      </w:r>
      <w:r w:rsidR="00877A8F" w:rsidRPr="00373921">
        <w:rPr>
          <w:rFonts w:ascii="Calibri" w:eastAsia="Times New Roman" w:hAnsi="Calibri" w:cs="Calibri"/>
          <w:color w:val="006666"/>
          <w:sz w:val="20"/>
          <w:szCs w:val="20"/>
          <w:lang w:eastAsia="en-GB"/>
        </w:rPr>
        <w:t xml:space="preserve">essential </w:t>
      </w:r>
      <w:r w:rsidR="00D63957">
        <w:rPr>
          <w:rFonts w:ascii="Calibri" w:eastAsia="Times New Roman" w:hAnsi="Calibri" w:cs="Calibri"/>
          <w:color w:val="006666"/>
          <w:sz w:val="20"/>
          <w:szCs w:val="20"/>
          <w:lang w:eastAsia="en-GB"/>
        </w:rPr>
        <w:t xml:space="preserve">element in </w:t>
      </w:r>
      <w:r w:rsidR="00D214A7" w:rsidRPr="00373921">
        <w:rPr>
          <w:rFonts w:ascii="Calibri" w:eastAsia="Times New Roman" w:hAnsi="Calibri" w:cs="Calibri"/>
          <w:color w:val="006666"/>
          <w:sz w:val="20"/>
          <w:szCs w:val="20"/>
          <w:lang w:eastAsia="en-GB"/>
        </w:rPr>
        <w:t>liquidity</w:t>
      </w:r>
      <w:r w:rsidR="00D63957">
        <w:rPr>
          <w:rFonts w:ascii="Calibri" w:eastAsia="Times New Roman" w:hAnsi="Calibri" w:cs="Calibri"/>
          <w:color w:val="006666"/>
          <w:sz w:val="20"/>
          <w:szCs w:val="20"/>
          <w:lang w:eastAsia="en-GB"/>
        </w:rPr>
        <w:t xml:space="preserve"> generation</w:t>
      </w:r>
      <w:r w:rsidR="00E4058B">
        <w:rPr>
          <w:rFonts w:ascii="Calibri" w:eastAsia="Times New Roman" w:hAnsi="Calibri" w:cs="Calibri"/>
          <w:color w:val="006666"/>
          <w:sz w:val="20"/>
          <w:szCs w:val="20"/>
          <w:lang w:eastAsia="en-GB"/>
        </w:rPr>
        <w:t xml:space="preserve">. Any </w:t>
      </w:r>
      <w:r w:rsidR="00E41099">
        <w:rPr>
          <w:rFonts w:ascii="Calibri" w:eastAsia="Times New Roman" w:hAnsi="Calibri" w:cs="Calibri"/>
          <w:color w:val="006666"/>
          <w:sz w:val="20"/>
          <w:szCs w:val="20"/>
          <w:lang w:eastAsia="en-GB"/>
        </w:rPr>
        <w:t>limit</w:t>
      </w:r>
      <w:r w:rsidR="00E4058B">
        <w:rPr>
          <w:rFonts w:ascii="Calibri" w:eastAsia="Times New Roman" w:hAnsi="Calibri" w:cs="Calibri"/>
          <w:color w:val="006666"/>
          <w:sz w:val="20"/>
          <w:szCs w:val="20"/>
          <w:lang w:eastAsia="en-GB"/>
        </w:rPr>
        <w:t xml:space="preserve">ation </w:t>
      </w:r>
      <w:r w:rsidR="00D95984">
        <w:rPr>
          <w:rFonts w:ascii="Calibri" w:eastAsia="Times New Roman" w:hAnsi="Calibri" w:cs="Calibri"/>
          <w:color w:val="006666"/>
          <w:sz w:val="20"/>
          <w:szCs w:val="20"/>
          <w:lang w:eastAsia="en-GB"/>
        </w:rPr>
        <w:t>introduced</w:t>
      </w:r>
      <w:r w:rsidR="00E41099">
        <w:rPr>
          <w:rFonts w:ascii="Calibri" w:eastAsia="Times New Roman" w:hAnsi="Calibri" w:cs="Calibri"/>
          <w:color w:val="006666"/>
          <w:sz w:val="20"/>
          <w:szCs w:val="20"/>
          <w:lang w:eastAsia="en-GB"/>
        </w:rPr>
        <w:t xml:space="preserve"> by </w:t>
      </w:r>
      <w:r w:rsidR="006C0676">
        <w:rPr>
          <w:rFonts w:ascii="Calibri" w:eastAsia="Times New Roman" w:hAnsi="Calibri" w:cs="Calibri"/>
          <w:color w:val="006666"/>
          <w:sz w:val="20"/>
          <w:szCs w:val="20"/>
          <w:lang w:eastAsia="en-GB"/>
        </w:rPr>
        <w:t>a</w:t>
      </w:r>
      <w:r w:rsidR="00D214A7" w:rsidRPr="00373921">
        <w:rPr>
          <w:rFonts w:ascii="Calibri" w:eastAsia="Times New Roman" w:hAnsi="Calibri" w:cs="Calibri"/>
          <w:color w:val="006666"/>
          <w:sz w:val="20"/>
          <w:szCs w:val="20"/>
          <w:lang w:eastAsia="en-GB"/>
        </w:rPr>
        <w:t xml:space="preserve"> buy-in regime would adversely impact </w:t>
      </w:r>
      <w:r w:rsidR="00D214A7" w:rsidRPr="00373921" w:rsidDel="004A42F2">
        <w:rPr>
          <w:rFonts w:ascii="Calibri" w:eastAsia="Times New Roman" w:hAnsi="Calibri" w:cs="Calibri"/>
          <w:color w:val="006666"/>
          <w:sz w:val="20"/>
          <w:szCs w:val="20"/>
          <w:lang w:eastAsia="en-GB"/>
        </w:rPr>
        <w:t>this</w:t>
      </w:r>
      <w:r w:rsidR="00FD2C77">
        <w:rPr>
          <w:rFonts w:ascii="Calibri" w:eastAsia="Times New Roman" w:hAnsi="Calibri" w:cs="Calibri"/>
          <w:color w:val="006666"/>
          <w:sz w:val="20"/>
          <w:szCs w:val="20"/>
          <w:lang w:eastAsia="en-GB"/>
        </w:rPr>
        <w:t xml:space="preserve"> market benefit</w:t>
      </w:r>
      <w:r w:rsidR="00D214A7" w:rsidRPr="00373921" w:rsidDel="004A42F2">
        <w:rPr>
          <w:rFonts w:ascii="Calibri" w:eastAsia="Times New Roman" w:hAnsi="Calibri" w:cs="Calibri"/>
          <w:color w:val="006666"/>
          <w:sz w:val="20"/>
          <w:szCs w:val="20"/>
          <w:lang w:eastAsia="en-GB"/>
        </w:rPr>
        <w:t xml:space="preserve"> and </w:t>
      </w:r>
      <w:r w:rsidR="00877A8F" w:rsidRPr="00373921">
        <w:rPr>
          <w:rFonts w:ascii="Calibri" w:eastAsia="Times New Roman" w:hAnsi="Calibri" w:cs="Calibri"/>
          <w:color w:val="006666"/>
          <w:sz w:val="20"/>
          <w:szCs w:val="20"/>
          <w:lang w:eastAsia="en-GB"/>
        </w:rPr>
        <w:t xml:space="preserve">the </w:t>
      </w:r>
      <w:r w:rsidR="00D214A7" w:rsidRPr="00373921">
        <w:rPr>
          <w:rFonts w:ascii="Calibri" w:eastAsia="Times New Roman" w:hAnsi="Calibri" w:cs="Calibri"/>
          <w:color w:val="006666"/>
          <w:sz w:val="20"/>
          <w:szCs w:val="20"/>
          <w:lang w:eastAsia="en-GB"/>
        </w:rPr>
        <w:t xml:space="preserve">overall efficiency of </w:t>
      </w:r>
      <w:r w:rsidR="00503229">
        <w:rPr>
          <w:rFonts w:ascii="Calibri" w:eastAsia="Times New Roman" w:hAnsi="Calibri" w:cs="Calibri"/>
          <w:color w:val="006666"/>
          <w:sz w:val="20"/>
          <w:szCs w:val="20"/>
          <w:lang w:eastAsia="en-GB"/>
        </w:rPr>
        <w:t xml:space="preserve">EU </w:t>
      </w:r>
      <w:r w:rsidR="00D214A7" w:rsidRPr="00373921">
        <w:rPr>
          <w:rFonts w:ascii="Calibri" w:eastAsia="Times New Roman" w:hAnsi="Calibri" w:cs="Calibri"/>
          <w:color w:val="006666"/>
          <w:sz w:val="20"/>
          <w:szCs w:val="20"/>
          <w:lang w:eastAsia="en-GB"/>
        </w:rPr>
        <w:t>securities markets</w:t>
      </w:r>
      <w:r w:rsidR="00877A8F" w:rsidRPr="00373921">
        <w:rPr>
          <w:rFonts w:ascii="Calibri" w:eastAsia="Times New Roman" w:hAnsi="Calibri" w:cs="Calibri"/>
          <w:color w:val="006666"/>
          <w:sz w:val="20"/>
          <w:szCs w:val="20"/>
          <w:lang w:eastAsia="en-GB"/>
        </w:rPr>
        <w:t>.</w:t>
      </w:r>
      <w:r w:rsidR="00D214A7" w:rsidRPr="00373921">
        <w:rPr>
          <w:rFonts w:ascii="Calibri" w:eastAsia="Times New Roman" w:hAnsi="Calibri" w:cs="Calibri"/>
          <w:color w:val="006666"/>
          <w:sz w:val="20"/>
          <w:szCs w:val="20"/>
          <w:lang w:eastAsia="en-GB"/>
        </w:rPr>
        <w:t xml:space="preserve"> </w:t>
      </w:r>
    </w:p>
    <w:p w14:paraId="27354953" w14:textId="77777777" w:rsidR="007319A1" w:rsidRDefault="007319A1" w:rsidP="00D214A7">
      <w:pPr>
        <w:autoSpaceDE w:val="0"/>
        <w:autoSpaceDN w:val="0"/>
        <w:adjustRightInd w:val="0"/>
        <w:spacing w:after="0" w:line="240" w:lineRule="auto"/>
        <w:ind w:left="-426" w:right="119"/>
        <w:rPr>
          <w:rFonts w:ascii="Calibri" w:eastAsia="Times New Roman" w:hAnsi="Calibri" w:cs="Calibri"/>
          <w:color w:val="006666"/>
          <w:sz w:val="20"/>
          <w:szCs w:val="20"/>
          <w:lang w:eastAsia="en-GB"/>
        </w:rPr>
      </w:pPr>
    </w:p>
    <w:p w14:paraId="56333062" w14:textId="788BE1F4" w:rsidR="000C2A93" w:rsidRDefault="000702B3" w:rsidP="00D214A7">
      <w:pPr>
        <w:autoSpaceDE w:val="0"/>
        <w:autoSpaceDN w:val="0"/>
        <w:adjustRightInd w:val="0"/>
        <w:spacing w:after="0" w:line="240" w:lineRule="auto"/>
        <w:ind w:left="-426" w:right="119"/>
        <w:rPr>
          <w:rFonts w:cstheme="minorHAnsi"/>
          <w:color w:val="006666"/>
          <w:sz w:val="20"/>
          <w:szCs w:val="20"/>
        </w:rPr>
      </w:pPr>
      <w:r>
        <w:rPr>
          <w:rFonts w:ascii="Calibri" w:eastAsia="Times New Roman" w:hAnsi="Calibri" w:cs="Calibri"/>
          <w:color w:val="006666"/>
          <w:sz w:val="20"/>
          <w:szCs w:val="20"/>
          <w:lang w:eastAsia="en-GB"/>
        </w:rPr>
        <w:t xml:space="preserve">In </w:t>
      </w:r>
      <w:r w:rsidR="0007536E">
        <w:rPr>
          <w:rFonts w:ascii="Calibri" w:eastAsia="Times New Roman" w:hAnsi="Calibri" w:cs="Calibri"/>
          <w:color w:val="006666"/>
          <w:sz w:val="20"/>
          <w:szCs w:val="20"/>
          <w:lang w:eastAsia="en-GB"/>
        </w:rPr>
        <w:t>January 2021</w:t>
      </w:r>
      <w:r w:rsidR="000356E4">
        <w:rPr>
          <w:rFonts w:ascii="Calibri" w:eastAsia="Times New Roman" w:hAnsi="Calibri" w:cs="Calibri"/>
          <w:color w:val="006666"/>
          <w:sz w:val="20"/>
          <w:szCs w:val="20"/>
          <w:lang w:eastAsia="en-GB"/>
        </w:rPr>
        <w:t>,</w:t>
      </w:r>
      <w:r w:rsidR="00521A48">
        <w:rPr>
          <w:rFonts w:ascii="Calibri" w:eastAsia="Times New Roman" w:hAnsi="Calibri" w:cs="Calibri"/>
          <w:color w:val="006666"/>
          <w:sz w:val="20"/>
          <w:szCs w:val="20"/>
          <w:lang w:eastAsia="en-GB"/>
        </w:rPr>
        <w:t xml:space="preserve"> produced in partnership with Finadium, ISLA published the</w:t>
      </w:r>
      <w:r w:rsidR="00654E8C">
        <w:rPr>
          <w:rFonts w:ascii="Calibri" w:eastAsia="Times New Roman" w:hAnsi="Calibri" w:cs="Calibri"/>
          <w:color w:val="006666"/>
          <w:sz w:val="20"/>
          <w:szCs w:val="20"/>
          <w:lang w:eastAsia="en-GB"/>
        </w:rPr>
        <w:t xml:space="preserve"> updated</w:t>
      </w:r>
      <w:r w:rsidR="00521A48">
        <w:rPr>
          <w:rFonts w:ascii="Calibri" w:eastAsia="Times New Roman" w:hAnsi="Calibri" w:cs="Calibri"/>
          <w:color w:val="006666"/>
          <w:sz w:val="20"/>
          <w:szCs w:val="20"/>
          <w:lang w:eastAsia="en-GB"/>
        </w:rPr>
        <w:t xml:space="preserve"> </w:t>
      </w:r>
      <w:hyperlink r:id="rId19" w:history="1">
        <w:r w:rsidR="00521A48" w:rsidRPr="0007536E">
          <w:rPr>
            <w:rStyle w:val="Hyperlink"/>
            <w:rFonts w:ascii="Calibri" w:eastAsia="Times New Roman" w:hAnsi="Calibri" w:cs="Calibri"/>
            <w:sz w:val="20"/>
            <w:szCs w:val="20"/>
            <w:lang w:eastAsia="en-GB"/>
          </w:rPr>
          <w:t>Regulator &amp; Policy maker Guide to Securities Lending</w:t>
        </w:r>
      </w:hyperlink>
      <w:r w:rsidR="00521A48" w:rsidRPr="00981901">
        <w:rPr>
          <w:rFonts w:ascii="Calibri" w:eastAsia="Times New Roman" w:hAnsi="Calibri" w:cs="Calibri"/>
          <w:sz w:val="20"/>
          <w:szCs w:val="20"/>
          <w:lang w:eastAsia="en-GB"/>
        </w:rPr>
        <w:t xml:space="preserve">. </w:t>
      </w:r>
      <w:r w:rsidR="00837C52" w:rsidRPr="00837C52">
        <w:rPr>
          <w:rFonts w:ascii="Calibri" w:eastAsia="Times New Roman" w:hAnsi="Calibri" w:cs="Calibri"/>
          <w:color w:val="006666"/>
          <w:sz w:val="20"/>
          <w:szCs w:val="20"/>
          <w:lang w:eastAsia="en-GB"/>
        </w:rPr>
        <w:t>Th</w:t>
      </w:r>
      <w:r w:rsidR="00837C52">
        <w:rPr>
          <w:rFonts w:ascii="Calibri" w:eastAsia="Times New Roman" w:hAnsi="Calibri" w:cs="Calibri"/>
          <w:color w:val="006666"/>
          <w:sz w:val="20"/>
          <w:szCs w:val="20"/>
          <w:lang w:eastAsia="en-GB"/>
        </w:rPr>
        <w:t>e</w:t>
      </w:r>
      <w:r w:rsidR="00837C52" w:rsidRPr="00837C52">
        <w:rPr>
          <w:rFonts w:ascii="Calibri" w:eastAsia="Times New Roman" w:hAnsi="Calibri" w:cs="Calibri"/>
          <w:color w:val="006666"/>
          <w:sz w:val="20"/>
          <w:szCs w:val="20"/>
          <w:lang w:eastAsia="en-GB"/>
        </w:rPr>
        <w:t xml:space="preserve"> guide </w:t>
      </w:r>
      <w:r w:rsidR="00367A89">
        <w:rPr>
          <w:rFonts w:ascii="Calibri" w:eastAsia="Times New Roman" w:hAnsi="Calibri" w:cs="Calibri"/>
          <w:color w:val="006666"/>
          <w:sz w:val="20"/>
          <w:szCs w:val="20"/>
          <w:lang w:eastAsia="en-GB"/>
        </w:rPr>
        <w:t>describes</w:t>
      </w:r>
      <w:r w:rsidR="00837C52" w:rsidRPr="00837C52">
        <w:rPr>
          <w:rFonts w:ascii="Calibri" w:eastAsia="Times New Roman" w:hAnsi="Calibri" w:cs="Calibri"/>
          <w:color w:val="006666"/>
          <w:sz w:val="20"/>
          <w:szCs w:val="20"/>
          <w:lang w:eastAsia="en-GB"/>
        </w:rPr>
        <w:t xml:space="preserve"> </w:t>
      </w:r>
      <w:r w:rsidR="00367A89">
        <w:rPr>
          <w:rFonts w:ascii="Calibri" w:eastAsia="Times New Roman" w:hAnsi="Calibri" w:cs="Calibri"/>
          <w:color w:val="006666"/>
          <w:sz w:val="20"/>
          <w:szCs w:val="20"/>
          <w:lang w:eastAsia="en-GB"/>
        </w:rPr>
        <w:t xml:space="preserve">securities lending as a </w:t>
      </w:r>
      <w:r w:rsidR="00367A89" w:rsidRPr="00367A89">
        <w:rPr>
          <w:rFonts w:eastAsia="Times New Roman" w:cstheme="minorHAnsi"/>
          <w:color w:val="006666"/>
          <w:sz w:val="18"/>
          <w:szCs w:val="18"/>
          <w:lang w:eastAsia="en-GB"/>
        </w:rPr>
        <w:t>‘</w:t>
      </w:r>
      <w:r w:rsidR="00367A89" w:rsidRPr="00367A89">
        <w:rPr>
          <w:rFonts w:cstheme="minorHAnsi"/>
          <w:color w:val="006666"/>
          <w:sz w:val="20"/>
          <w:szCs w:val="20"/>
        </w:rPr>
        <w:t>fundamental component of financial markets</w:t>
      </w:r>
      <w:r w:rsidR="00A90E22">
        <w:rPr>
          <w:rFonts w:cstheme="minorHAnsi"/>
          <w:color w:val="006666"/>
          <w:sz w:val="20"/>
          <w:szCs w:val="20"/>
        </w:rPr>
        <w:t>,</w:t>
      </w:r>
      <w:r w:rsidR="00367A89" w:rsidRPr="00367A89">
        <w:rPr>
          <w:rFonts w:cstheme="minorHAnsi"/>
          <w:color w:val="006666"/>
          <w:sz w:val="20"/>
          <w:szCs w:val="20"/>
        </w:rPr>
        <w:t xml:space="preserve"> as a means of meeting settlement and collateral requirements, as well as providing vital liquidity to secondary markets.</w:t>
      </w:r>
      <w:r w:rsidR="00284F79">
        <w:rPr>
          <w:rFonts w:cstheme="minorHAnsi"/>
          <w:color w:val="006666"/>
          <w:sz w:val="20"/>
          <w:szCs w:val="20"/>
        </w:rPr>
        <w:t>’</w:t>
      </w:r>
      <w:r w:rsidR="00081E85">
        <w:rPr>
          <w:rFonts w:cstheme="minorHAnsi"/>
          <w:color w:val="006666"/>
          <w:sz w:val="20"/>
          <w:szCs w:val="20"/>
        </w:rPr>
        <w:t xml:space="preserve"> As </w:t>
      </w:r>
      <w:r w:rsidR="0068575C">
        <w:rPr>
          <w:rFonts w:cstheme="minorHAnsi"/>
          <w:color w:val="006666"/>
          <w:sz w:val="20"/>
          <w:szCs w:val="20"/>
        </w:rPr>
        <w:t>of</w:t>
      </w:r>
      <w:r w:rsidR="00081E85">
        <w:rPr>
          <w:rFonts w:cstheme="minorHAnsi"/>
          <w:color w:val="006666"/>
          <w:sz w:val="20"/>
          <w:szCs w:val="20"/>
        </w:rPr>
        <w:t xml:space="preserve"> June </w:t>
      </w:r>
      <w:r w:rsidR="0068575C">
        <w:rPr>
          <w:rFonts w:cstheme="minorHAnsi"/>
          <w:color w:val="006666"/>
          <w:sz w:val="20"/>
          <w:szCs w:val="20"/>
        </w:rPr>
        <w:t>2020, Total Securities on-loan was approximately €2.2Tn</w:t>
      </w:r>
      <w:r w:rsidR="00357F9B">
        <w:rPr>
          <w:rFonts w:cstheme="minorHAnsi"/>
          <w:color w:val="006666"/>
          <w:sz w:val="20"/>
          <w:szCs w:val="20"/>
        </w:rPr>
        <w:t xml:space="preserve"> </w:t>
      </w:r>
      <w:r w:rsidR="00763B83">
        <w:rPr>
          <w:rFonts w:cstheme="minorHAnsi"/>
          <w:color w:val="006666"/>
          <w:sz w:val="20"/>
          <w:szCs w:val="20"/>
        </w:rPr>
        <w:t xml:space="preserve">with total lendable assets at €20Tn </w:t>
      </w:r>
      <w:r w:rsidR="00357F9B" w:rsidRPr="009F58BA">
        <w:rPr>
          <w:rFonts w:cstheme="minorHAnsi"/>
          <w:color w:val="006666"/>
          <w:sz w:val="20"/>
          <w:szCs w:val="20"/>
        </w:rPr>
        <w:t xml:space="preserve">(Source: Data provided </w:t>
      </w:r>
      <w:r w:rsidR="00AD4E91" w:rsidRPr="009F58BA">
        <w:rPr>
          <w:rFonts w:cstheme="minorHAnsi"/>
          <w:color w:val="006666"/>
          <w:sz w:val="20"/>
          <w:szCs w:val="20"/>
        </w:rPr>
        <w:t xml:space="preserve">by </w:t>
      </w:r>
      <w:r w:rsidR="00AD4E91" w:rsidRPr="009F58BA">
        <w:rPr>
          <w:color w:val="006666"/>
          <w:sz w:val="20"/>
          <w:szCs w:val="20"/>
        </w:rPr>
        <w:t xml:space="preserve">DataLend, IHS Markit and FIS Global for the </w:t>
      </w:r>
      <w:hyperlink r:id="rId20" w:history="1">
        <w:r w:rsidR="00AD4E91" w:rsidRPr="001630F5">
          <w:rPr>
            <w:rStyle w:val="Hyperlink"/>
            <w:rFonts w:cstheme="minorHAnsi"/>
            <w:sz w:val="20"/>
            <w:szCs w:val="20"/>
          </w:rPr>
          <w:t>ISLA Securities Lending Market Report</w:t>
        </w:r>
        <w:r w:rsidR="00F96D91" w:rsidRPr="001630F5">
          <w:rPr>
            <w:rStyle w:val="Hyperlink"/>
            <w:rFonts w:cstheme="minorHAnsi"/>
            <w:sz w:val="20"/>
            <w:szCs w:val="20"/>
          </w:rPr>
          <w:t>, 13th Edition</w:t>
        </w:r>
      </w:hyperlink>
      <w:r w:rsidR="004452B2">
        <w:rPr>
          <w:rStyle w:val="Hyperlink"/>
          <w:rFonts w:cstheme="minorHAnsi"/>
        </w:rPr>
        <w:t>).</w:t>
      </w:r>
    </w:p>
    <w:p w14:paraId="47841AC8" w14:textId="320450C9" w:rsidR="00852B27" w:rsidRDefault="00852B27" w:rsidP="00D214A7">
      <w:pPr>
        <w:autoSpaceDE w:val="0"/>
        <w:autoSpaceDN w:val="0"/>
        <w:adjustRightInd w:val="0"/>
        <w:spacing w:after="0" w:line="240" w:lineRule="auto"/>
        <w:ind w:left="-426" w:right="119"/>
        <w:rPr>
          <w:rFonts w:cstheme="minorHAnsi"/>
          <w:color w:val="006666"/>
          <w:sz w:val="20"/>
          <w:szCs w:val="20"/>
        </w:rPr>
      </w:pPr>
    </w:p>
    <w:p w14:paraId="6A9BF899" w14:textId="5564911C" w:rsidR="00852B27" w:rsidRDefault="00852B27" w:rsidP="00D214A7">
      <w:pPr>
        <w:autoSpaceDE w:val="0"/>
        <w:autoSpaceDN w:val="0"/>
        <w:adjustRightInd w:val="0"/>
        <w:spacing w:after="0" w:line="240" w:lineRule="auto"/>
        <w:ind w:left="-426" w:right="119"/>
        <w:rPr>
          <w:rFonts w:cstheme="minorHAnsi"/>
          <w:color w:val="006666"/>
          <w:sz w:val="20"/>
          <w:szCs w:val="20"/>
        </w:rPr>
      </w:pPr>
      <w:r>
        <w:rPr>
          <w:rFonts w:cstheme="minorHAnsi"/>
          <w:color w:val="006666"/>
          <w:sz w:val="20"/>
          <w:szCs w:val="20"/>
        </w:rPr>
        <w:t xml:space="preserve">There </w:t>
      </w:r>
      <w:r w:rsidR="00EE69EB">
        <w:rPr>
          <w:rFonts w:cstheme="minorHAnsi"/>
          <w:color w:val="006666"/>
          <w:sz w:val="20"/>
          <w:szCs w:val="20"/>
        </w:rPr>
        <w:t>are</w:t>
      </w:r>
      <w:r>
        <w:rPr>
          <w:rFonts w:cstheme="minorHAnsi"/>
          <w:color w:val="006666"/>
          <w:sz w:val="20"/>
          <w:szCs w:val="20"/>
        </w:rPr>
        <w:t xml:space="preserve"> numerous studies </w:t>
      </w:r>
      <w:r w:rsidR="003E0854">
        <w:rPr>
          <w:rFonts w:cstheme="minorHAnsi"/>
          <w:color w:val="006666"/>
          <w:sz w:val="20"/>
          <w:szCs w:val="20"/>
        </w:rPr>
        <w:t>demonstrat</w:t>
      </w:r>
      <w:r w:rsidR="000056EF">
        <w:rPr>
          <w:rFonts w:cstheme="minorHAnsi"/>
          <w:color w:val="006666"/>
          <w:sz w:val="20"/>
          <w:szCs w:val="20"/>
        </w:rPr>
        <w:t>ing</w:t>
      </w:r>
      <w:r w:rsidR="003E0854">
        <w:rPr>
          <w:rFonts w:cstheme="minorHAnsi"/>
          <w:color w:val="006666"/>
          <w:sz w:val="20"/>
          <w:szCs w:val="20"/>
        </w:rPr>
        <w:t xml:space="preserve"> the link between </w:t>
      </w:r>
      <w:r w:rsidR="00313C26">
        <w:rPr>
          <w:rFonts w:cstheme="minorHAnsi"/>
          <w:color w:val="006666"/>
          <w:sz w:val="20"/>
          <w:szCs w:val="20"/>
        </w:rPr>
        <w:t xml:space="preserve">total </w:t>
      </w:r>
      <w:r w:rsidR="003E0854">
        <w:rPr>
          <w:rFonts w:cstheme="minorHAnsi"/>
          <w:color w:val="006666"/>
          <w:sz w:val="20"/>
          <w:szCs w:val="20"/>
        </w:rPr>
        <w:t>assets on loan</w:t>
      </w:r>
      <w:r w:rsidR="007D27DC">
        <w:rPr>
          <w:rFonts w:cstheme="minorHAnsi"/>
          <w:color w:val="006666"/>
          <w:sz w:val="20"/>
          <w:szCs w:val="20"/>
        </w:rPr>
        <w:t>,</w:t>
      </w:r>
      <w:r w:rsidR="003E0854">
        <w:rPr>
          <w:rFonts w:cstheme="minorHAnsi"/>
          <w:color w:val="006666"/>
          <w:sz w:val="20"/>
          <w:szCs w:val="20"/>
        </w:rPr>
        <w:t xml:space="preserve"> </w:t>
      </w:r>
      <w:r w:rsidR="00DD0C14">
        <w:rPr>
          <w:rFonts w:cstheme="minorHAnsi"/>
          <w:color w:val="006666"/>
          <w:sz w:val="20"/>
          <w:szCs w:val="20"/>
        </w:rPr>
        <w:t xml:space="preserve">the </w:t>
      </w:r>
      <w:r w:rsidR="000D358D">
        <w:rPr>
          <w:rFonts w:cstheme="minorHAnsi"/>
          <w:color w:val="006666"/>
          <w:sz w:val="20"/>
          <w:szCs w:val="20"/>
        </w:rPr>
        <w:t>resulting</w:t>
      </w:r>
      <w:r w:rsidR="003D6AB0">
        <w:rPr>
          <w:rFonts w:cstheme="minorHAnsi"/>
          <w:color w:val="006666"/>
          <w:sz w:val="20"/>
          <w:szCs w:val="20"/>
        </w:rPr>
        <w:t xml:space="preserve"> </w:t>
      </w:r>
      <w:r w:rsidR="007D78D4">
        <w:rPr>
          <w:rFonts w:cstheme="minorHAnsi"/>
          <w:color w:val="006666"/>
          <w:sz w:val="20"/>
          <w:szCs w:val="20"/>
        </w:rPr>
        <w:t>improved</w:t>
      </w:r>
      <w:r w:rsidR="003E0854">
        <w:rPr>
          <w:rFonts w:cstheme="minorHAnsi"/>
          <w:color w:val="006666"/>
          <w:sz w:val="20"/>
          <w:szCs w:val="20"/>
        </w:rPr>
        <w:t xml:space="preserve"> bid offer spreads</w:t>
      </w:r>
      <w:r w:rsidR="00476223">
        <w:rPr>
          <w:rFonts w:cstheme="minorHAnsi"/>
          <w:color w:val="006666"/>
          <w:sz w:val="20"/>
          <w:szCs w:val="20"/>
        </w:rPr>
        <w:t xml:space="preserve"> </w:t>
      </w:r>
      <w:r w:rsidR="003E0854">
        <w:rPr>
          <w:rFonts w:cstheme="minorHAnsi"/>
          <w:color w:val="006666"/>
          <w:sz w:val="20"/>
          <w:szCs w:val="20"/>
        </w:rPr>
        <w:t>and increased market liquidity</w:t>
      </w:r>
      <w:r w:rsidR="002F6F0E">
        <w:rPr>
          <w:rFonts w:cstheme="minorHAnsi"/>
          <w:color w:val="006666"/>
          <w:sz w:val="20"/>
          <w:szCs w:val="20"/>
        </w:rPr>
        <w:t>, f</w:t>
      </w:r>
      <w:r w:rsidR="009303E8">
        <w:rPr>
          <w:rFonts w:cstheme="minorHAnsi"/>
          <w:color w:val="006666"/>
          <w:sz w:val="20"/>
          <w:szCs w:val="20"/>
        </w:rPr>
        <w:t xml:space="preserve">or example through studies from </w:t>
      </w:r>
      <w:hyperlink r:id="rId21" w:history="1">
        <w:r w:rsidR="00664686" w:rsidRPr="009F58BA">
          <w:rPr>
            <w:rStyle w:val="Hyperlink"/>
            <w:rFonts w:cstheme="minorHAnsi"/>
            <w:sz w:val="20"/>
            <w:szCs w:val="20"/>
          </w:rPr>
          <w:t xml:space="preserve">The International organization of Securities </w:t>
        </w:r>
        <w:r w:rsidR="002E3D58" w:rsidRPr="009F58BA">
          <w:rPr>
            <w:rStyle w:val="Hyperlink"/>
            <w:rFonts w:cstheme="minorHAnsi"/>
            <w:sz w:val="20"/>
            <w:szCs w:val="20"/>
          </w:rPr>
          <w:t>Commissions</w:t>
        </w:r>
      </w:hyperlink>
      <w:r w:rsidR="009303E8">
        <w:rPr>
          <w:rFonts w:cstheme="minorHAnsi"/>
          <w:color w:val="006666"/>
          <w:sz w:val="20"/>
          <w:szCs w:val="20"/>
        </w:rPr>
        <w:t>,</w:t>
      </w:r>
      <w:r w:rsidR="009F58BA">
        <w:rPr>
          <w:rFonts w:cstheme="minorHAnsi"/>
          <w:color w:val="006666"/>
          <w:sz w:val="20"/>
          <w:szCs w:val="20"/>
        </w:rPr>
        <w:t xml:space="preserve"> (IOSCO</w:t>
      </w:r>
      <w:r w:rsidR="009303E8">
        <w:rPr>
          <w:rFonts w:cstheme="minorHAnsi"/>
          <w:color w:val="006666"/>
          <w:sz w:val="20"/>
          <w:szCs w:val="20"/>
        </w:rPr>
        <w:t>)</w:t>
      </w:r>
      <w:r w:rsidR="00287568">
        <w:rPr>
          <w:rFonts w:cstheme="minorHAnsi"/>
          <w:color w:val="006666"/>
          <w:sz w:val="20"/>
          <w:szCs w:val="20"/>
        </w:rPr>
        <w:t xml:space="preserve"> </w:t>
      </w:r>
      <w:r w:rsidR="00664686">
        <w:rPr>
          <w:rFonts w:cstheme="minorHAnsi"/>
          <w:color w:val="006666"/>
          <w:sz w:val="20"/>
          <w:szCs w:val="20"/>
        </w:rPr>
        <w:t xml:space="preserve">&amp;  </w:t>
      </w:r>
      <w:hyperlink r:id="rId22" w:history="1">
        <w:r w:rsidR="002E3D58" w:rsidRPr="009F58BA">
          <w:rPr>
            <w:rStyle w:val="Hyperlink"/>
            <w:rFonts w:cstheme="minorHAnsi"/>
            <w:sz w:val="20"/>
            <w:szCs w:val="20"/>
          </w:rPr>
          <w:t>The Bank of International Settlem</w:t>
        </w:r>
        <w:r w:rsidR="009303E8" w:rsidRPr="009F58BA">
          <w:rPr>
            <w:rStyle w:val="Hyperlink"/>
            <w:rFonts w:cstheme="minorHAnsi"/>
            <w:sz w:val="20"/>
            <w:szCs w:val="20"/>
          </w:rPr>
          <w:t>e</w:t>
        </w:r>
        <w:r w:rsidR="002E3D58" w:rsidRPr="009F58BA">
          <w:rPr>
            <w:rStyle w:val="Hyperlink"/>
            <w:rFonts w:cstheme="minorHAnsi"/>
            <w:sz w:val="20"/>
            <w:szCs w:val="20"/>
          </w:rPr>
          <w:t>nts</w:t>
        </w:r>
      </w:hyperlink>
      <w:r w:rsidR="00F05972">
        <w:rPr>
          <w:rFonts w:cstheme="minorHAnsi"/>
          <w:color w:val="006666"/>
          <w:sz w:val="20"/>
          <w:szCs w:val="20"/>
        </w:rPr>
        <w:t xml:space="preserve">. </w:t>
      </w:r>
    </w:p>
    <w:p w14:paraId="2FD8CE47" w14:textId="77777777" w:rsidR="0097324B" w:rsidRDefault="0097324B" w:rsidP="00916970">
      <w:pPr>
        <w:autoSpaceDE w:val="0"/>
        <w:autoSpaceDN w:val="0"/>
        <w:adjustRightInd w:val="0"/>
        <w:spacing w:after="0" w:line="240" w:lineRule="auto"/>
        <w:ind w:right="119"/>
        <w:rPr>
          <w:rFonts w:cstheme="minorHAnsi"/>
          <w:i/>
          <w:iCs/>
          <w:color w:val="006666"/>
          <w:sz w:val="20"/>
          <w:szCs w:val="20"/>
        </w:rPr>
      </w:pPr>
    </w:p>
    <w:p w14:paraId="1FC5DC5D" w14:textId="1DD96D91" w:rsidR="00CD7A4F" w:rsidRPr="009A1457" w:rsidRDefault="00142A15" w:rsidP="0030182F">
      <w:pPr>
        <w:autoSpaceDE w:val="0"/>
        <w:autoSpaceDN w:val="0"/>
        <w:adjustRightInd w:val="0"/>
        <w:spacing w:after="0" w:line="240" w:lineRule="auto"/>
        <w:ind w:left="-426" w:right="119"/>
        <w:rPr>
          <w:rFonts w:cstheme="minorHAnsi"/>
          <w:b/>
          <w:color w:val="006666"/>
          <w:sz w:val="20"/>
          <w:szCs w:val="20"/>
          <w:u w:val="single"/>
        </w:rPr>
      </w:pPr>
      <w:r w:rsidRPr="009A1457">
        <w:rPr>
          <w:rFonts w:cstheme="minorHAnsi"/>
          <w:b/>
          <w:color w:val="006666"/>
          <w:sz w:val="20"/>
          <w:szCs w:val="20"/>
          <w:u w:val="single"/>
        </w:rPr>
        <w:t xml:space="preserve">Pass on </w:t>
      </w:r>
      <w:r w:rsidR="009A1457" w:rsidRPr="009A1457">
        <w:rPr>
          <w:rFonts w:cstheme="minorHAnsi"/>
          <w:b/>
          <w:color w:val="006666"/>
          <w:sz w:val="20"/>
          <w:szCs w:val="20"/>
          <w:u w:val="single"/>
        </w:rPr>
        <w:t>Mechanisms:</w:t>
      </w:r>
    </w:p>
    <w:p w14:paraId="3633CB97" w14:textId="7C162131" w:rsidR="00142A15" w:rsidRDefault="00142A15" w:rsidP="00EA25FA">
      <w:pPr>
        <w:autoSpaceDE w:val="0"/>
        <w:autoSpaceDN w:val="0"/>
        <w:adjustRightInd w:val="0"/>
        <w:spacing w:after="0" w:line="240" w:lineRule="auto"/>
        <w:ind w:left="-426" w:right="119"/>
        <w:rPr>
          <w:rFonts w:cstheme="minorHAnsi"/>
          <w:b/>
          <w:bCs/>
          <w:color w:val="006666"/>
          <w:sz w:val="20"/>
          <w:szCs w:val="20"/>
        </w:rPr>
      </w:pPr>
    </w:p>
    <w:p w14:paraId="2B6B4EBF" w14:textId="69F0BFA2" w:rsidR="00EC153D" w:rsidRDefault="00766659" w:rsidP="005F20AB">
      <w:pPr>
        <w:autoSpaceDE w:val="0"/>
        <w:autoSpaceDN w:val="0"/>
        <w:adjustRightInd w:val="0"/>
        <w:spacing w:after="0" w:line="240" w:lineRule="auto"/>
        <w:ind w:left="-426" w:right="119"/>
        <w:rPr>
          <w:rFonts w:cstheme="minorHAnsi"/>
          <w:color w:val="006666"/>
          <w:sz w:val="20"/>
          <w:szCs w:val="20"/>
        </w:rPr>
      </w:pPr>
      <w:r w:rsidRPr="00D71D8B">
        <w:rPr>
          <w:rFonts w:cstheme="minorHAnsi"/>
          <w:color w:val="006666"/>
          <w:sz w:val="20"/>
          <w:szCs w:val="20"/>
        </w:rPr>
        <w:t>ISLA support industry proposals</w:t>
      </w:r>
      <w:r w:rsidR="00E60635">
        <w:rPr>
          <w:rFonts w:cstheme="minorHAnsi"/>
          <w:color w:val="006666"/>
          <w:sz w:val="20"/>
          <w:szCs w:val="20"/>
        </w:rPr>
        <w:t>, in conjunction with other trade associations</w:t>
      </w:r>
      <w:r w:rsidRPr="00D71D8B" w:rsidDel="00E60635">
        <w:rPr>
          <w:rFonts w:cstheme="minorHAnsi"/>
          <w:color w:val="006666"/>
          <w:sz w:val="20"/>
          <w:szCs w:val="20"/>
        </w:rPr>
        <w:t xml:space="preserve"> </w:t>
      </w:r>
      <w:r w:rsidR="00DF6FDE">
        <w:rPr>
          <w:rFonts w:cstheme="minorHAnsi"/>
          <w:color w:val="006666"/>
          <w:sz w:val="20"/>
          <w:szCs w:val="20"/>
        </w:rPr>
        <w:t>such as</w:t>
      </w:r>
      <w:r w:rsidR="00243667" w:rsidDel="00E60635">
        <w:rPr>
          <w:rFonts w:cstheme="minorHAnsi"/>
          <w:color w:val="006666"/>
          <w:sz w:val="20"/>
          <w:szCs w:val="20"/>
        </w:rPr>
        <w:t xml:space="preserve"> AFME &amp; ICMA</w:t>
      </w:r>
      <w:r w:rsidR="00E60635">
        <w:rPr>
          <w:rFonts w:cstheme="minorHAnsi"/>
          <w:color w:val="006666"/>
          <w:sz w:val="20"/>
          <w:szCs w:val="20"/>
        </w:rPr>
        <w:t xml:space="preserve">, </w:t>
      </w:r>
      <w:r w:rsidR="00D4489D">
        <w:rPr>
          <w:rFonts w:cstheme="minorHAnsi"/>
          <w:color w:val="006666"/>
          <w:sz w:val="20"/>
          <w:szCs w:val="20"/>
        </w:rPr>
        <w:t>that</w:t>
      </w:r>
      <w:r w:rsidRPr="00D71D8B" w:rsidDel="00D4489D">
        <w:rPr>
          <w:rFonts w:cstheme="minorHAnsi"/>
          <w:color w:val="006666"/>
          <w:sz w:val="20"/>
          <w:szCs w:val="20"/>
        </w:rPr>
        <w:t xml:space="preserve"> </w:t>
      </w:r>
      <w:r w:rsidRPr="00D71D8B">
        <w:rPr>
          <w:rFonts w:cstheme="minorHAnsi"/>
          <w:color w:val="006666"/>
          <w:sz w:val="20"/>
          <w:szCs w:val="20"/>
        </w:rPr>
        <w:t>allow for an effective pass on mechanism</w:t>
      </w:r>
      <w:r w:rsidR="008905CF">
        <w:rPr>
          <w:rFonts w:cstheme="minorHAnsi"/>
          <w:color w:val="006666"/>
          <w:sz w:val="20"/>
          <w:szCs w:val="20"/>
        </w:rPr>
        <w:t xml:space="preserve"> in the regulation</w:t>
      </w:r>
      <w:r w:rsidR="00E56E15">
        <w:rPr>
          <w:rFonts w:cstheme="minorHAnsi"/>
          <w:color w:val="006666"/>
          <w:sz w:val="20"/>
          <w:szCs w:val="20"/>
        </w:rPr>
        <w:t>,</w:t>
      </w:r>
      <w:r w:rsidR="00C62EA3" w:rsidRPr="00D71D8B">
        <w:rPr>
          <w:rFonts w:cstheme="minorHAnsi"/>
          <w:color w:val="006666"/>
          <w:sz w:val="20"/>
          <w:szCs w:val="20"/>
        </w:rPr>
        <w:t xml:space="preserve"> </w:t>
      </w:r>
      <w:r w:rsidR="00C62EA3" w:rsidRPr="00D71D8B" w:rsidDel="00D4489D">
        <w:rPr>
          <w:rFonts w:cstheme="minorHAnsi"/>
          <w:color w:val="006666"/>
          <w:sz w:val="20"/>
          <w:szCs w:val="20"/>
        </w:rPr>
        <w:t xml:space="preserve">in order </w:t>
      </w:r>
      <w:r w:rsidR="00C62EA3" w:rsidRPr="00D71D8B">
        <w:rPr>
          <w:rFonts w:cstheme="minorHAnsi"/>
          <w:color w:val="006666"/>
          <w:sz w:val="20"/>
          <w:szCs w:val="20"/>
        </w:rPr>
        <w:t>to reduce the number of buy-ins in a settlement chain</w:t>
      </w:r>
      <w:r w:rsidR="00B439BD">
        <w:rPr>
          <w:rFonts w:cstheme="minorHAnsi"/>
          <w:color w:val="006666"/>
          <w:sz w:val="20"/>
          <w:szCs w:val="20"/>
        </w:rPr>
        <w:t xml:space="preserve">. </w:t>
      </w:r>
      <w:r w:rsidR="0019497D">
        <w:rPr>
          <w:rFonts w:cstheme="minorHAnsi"/>
          <w:color w:val="006666"/>
          <w:sz w:val="20"/>
          <w:szCs w:val="20"/>
        </w:rPr>
        <w:t xml:space="preserve">However, implementing a pass on as part of the current regime, without also addressing the </w:t>
      </w:r>
      <w:r w:rsidR="003C31C1">
        <w:rPr>
          <w:rFonts w:cstheme="minorHAnsi"/>
          <w:color w:val="006666"/>
          <w:sz w:val="20"/>
          <w:szCs w:val="20"/>
        </w:rPr>
        <w:t xml:space="preserve">rigidness in </w:t>
      </w:r>
      <w:r w:rsidR="00713439">
        <w:rPr>
          <w:rFonts w:cstheme="minorHAnsi"/>
          <w:color w:val="006666"/>
          <w:sz w:val="20"/>
          <w:szCs w:val="20"/>
        </w:rPr>
        <w:t xml:space="preserve">timing of when a buy-in is </w:t>
      </w:r>
      <w:r w:rsidR="009043E7">
        <w:rPr>
          <w:rFonts w:cstheme="minorHAnsi"/>
          <w:color w:val="006666"/>
          <w:sz w:val="20"/>
          <w:szCs w:val="20"/>
        </w:rPr>
        <w:t>initiated</w:t>
      </w:r>
      <w:r w:rsidR="00AB2B19">
        <w:rPr>
          <w:rFonts w:cstheme="minorHAnsi"/>
          <w:color w:val="006666"/>
          <w:sz w:val="20"/>
          <w:szCs w:val="20"/>
        </w:rPr>
        <w:t xml:space="preserve"> and the</w:t>
      </w:r>
      <w:r w:rsidR="009043E7">
        <w:rPr>
          <w:rFonts w:cstheme="minorHAnsi"/>
          <w:color w:val="006666"/>
          <w:sz w:val="20"/>
          <w:szCs w:val="20"/>
        </w:rPr>
        <w:t xml:space="preserve"> </w:t>
      </w:r>
      <w:r w:rsidR="00733124">
        <w:rPr>
          <w:rFonts w:cstheme="minorHAnsi"/>
          <w:color w:val="006666"/>
          <w:sz w:val="20"/>
          <w:szCs w:val="20"/>
        </w:rPr>
        <w:t>asymmetry</w:t>
      </w:r>
      <w:r w:rsidR="00511A8D">
        <w:rPr>
          <w:rFonts w:cstheme="minorHAnsi"/>
          <w:color w:val="006666"/>
          <w:sz w:val="20"/>
          <w:szCs w:val="20"/>
        </w:rPr>
        <w:t xml:space="preserve"> </w:t>
      </w:r>
      <w:r w:rsidR="00AB2B19">
        <w:rPr>
          <w:rFonts w:cstheme="minorHAnsi"/>
          <w:color w:val="006666"/>
          <w:sz w:val="20"/>
          <w:szCs w:val="20"/>
        </w:rPr>
        <w:t xml:space="preserve">in price </w:t>
      </w:r>
      <w:r w:rsidR="00AB5352">
        <w:rPr>
          <w:rFonts w:cstheme="minorHAnsi"/>
          <w:color w:val="006666"/>
          <w:sz w:val="20"/>
          <w:szCs w:val="20"/>
        </w:rPr>
        <w:t xml:space="preserve">differentials, </w:t>
      </w:r>
      <w:r w:rsidR="00511A8D">
        <w:rPr>
          <w:rFonts w:cstheme="minorHAnsi"/>
          <w:color w:val="006666"/>
          <w:sz w:val="20"/>
          <w:szCs w:val="20"/>
        </w:rPr>
        <w:t>would be unattainable</w:t>
      </w:r>
      <w:r w:rsidR="00462DD1">
        <w:rPr>
          <w:rFonts w:cstheme="minorHAnsi"/>
          <w:color w:val="006666"/>
          <w:sz w:val="20"/>
          <w:szCs w:val="20"/>
        </w:rPr>
        <w:t xml:space="preserve"> and </w:t>
      </w:r>
      <w:r w:rsidR="00C82383">
        <w:rPr>
          <w:rFonts w:cstheme="minorHAnsi"/>
          <w:color w:val="006666"/>
          <w:sz w:val="20"/>
          <w:szCs w:val="20"/>
        </w:rPr>
        <w:t>ineffective</w:t>
      </w:r>
      <w:r w:rsidR="00511A8D">
        <w:rPr>
          <w:rFonts w:cstheme="minorHAnsi"/>
          <w:color w:val="006666"/>
          <w:sz w:val="20"/>
          <w:szCs w:val="20"/>
        </w:rPr>
        <w:t>.</w:t>
      </w:r>
      <w:r w:rsidR="00FA0B52">
        <w:rPr>
          <w:rFonts w:cstheme="minorHAnsi"/>
          <w:color w:val="006666"/>
          <w:sz w:val="20"/>
          <w:szCs w:val="20"/>
        </w:rPr>
        <w:t xml:space="preserve"> </w:t>
      </w:r>
      <w:r w:rsidR="000B530A">
        <w:rPr>
          <w:rFonts w:cstheme="minorHAnsi"/>
          <w:color w:val="006666"/>
          <w:sz w:val="20"/>
          <w:szCs w:val="20"/>
        </w:rPr>
        <w:t>ISLA consider pass on mechanism</w:t>
      </w:r>
      <w:r w:rsidR="009451AD">
        <w:rPr>
          <w:rFonts w:cstheme="minorHAnsi"/>
          <w:color w:val="006666"/>
          <w:sz w:val="20"/>
          <w:szCs w:val="20"/>
        </w:rPr>
        <w:t>s</w:t>
      </w:r>
      <w:r w:rsidR="000B530A">
        <w:rPr>
          <w:rFonts w:cstheme="minorHAnsi"/>
          <w:color w:val="006666"/>
          <w:sz w:val="20"/>
          <w:szCs w:val="20"/>
        </w:rPr>
        <w:t xml:space="preserve"> </w:t>
      </w:r>
      <w:r w:rsidR="00E539EF">
        <w:rPr>
          <w:rFonts w:cstheme="minorHAnsi"/>
          <w:color w:val="006666"/>
          <w:sz w:val="20"/>
          <w:szCs w:val="20"/>
        </w:rPr>
        <w:t>an</w:t>
      </w:r>
      <w:r w:rsidR="000B530A">
        <w:rPr>
          <w:rFonts w:cstheme="minorHAnsi"/>
          <w:color w:val="006666"/>
          <w:sz w:val="20"/>
          <w:szCs w:val="20"/>
        </w:rPr>
        <w:t xml:space="preserve"> essential </w:t>
      </w:r>
      <w:r w:rsidR="00FF52D8">
        <w:rPr>
          <w:rFonts w:cstheme="minorHAnsi"/>
          <w:color w:val="006666"/>
          <w:sz w:val="20"/>
          <w:szCs w:val="20"/>
        </w:rPr>
        <w:t xml:space="preserve">feature </w:t>
      </w:r>
      <w:r w:rsidR="000B530A">
        <w:rPr>
          <w:rFonts w:cstheme="minorHAnsi"/>
          <w:color w:val="006666"/>
          <w:sz w:val="20"/>
          <w:szCs w:val="20"/>
        </w:rPr>
        <w:t>for maintaining functional market stability</w:t>
      </w:r>
      <w:r w:rsidR="001024BB">
        <w:rPr>
          <w:rFonts w:cstheme="minorHAnsi"/>
          <w:color w:val="006666"/>
          <w:sz w:val="20"/>
          <w:szCs w:val="20"/>
        </w:rPr>
        <w:t>. H</w:t>
      </w:r>
      <w:r w:rsidR="00132E82">
        <w:rPr>
          <w:rFonts w:cstheme="minorHAnsi"/>
          <w:color w:val="006666"/>
          <w:sz w:val="20"/>
          <w:szCs w:val="20"/>
        </w:rPr>
        <w:t xml:space="preserve">owever, such provisions should be detailed within existing contractual arrangements </w:t>
      </w:r>
      <w:r w:rsidR="004215EF">
        <w:rPr>
          <w:rFonts w:cstheme="minorHAnsi"/>
          <w:color w:val="006666"/>
          <w:sz w:val="20"/>
          <w:szCs w:val="20"/>
        </w:rPr>
        <w:t xml:space="preserve">specific to the underlying instrument type </w:t>
      </w:r>
      <w:r w:rsidR="00AB5260">
        <w:rPr>
          <w:rFonts w:cstheme="minorHAnsi"/>
          <w:color w:val="006666"/>
          <w:sz w:val="20"/>
          <w:szCs w:val="20"/>
        </w:rPr>
        <w:t xml:space="preserve">and </w:t>
      </w:r>
      <w:r w:rsidR="004215EF" w:rsidRPr="004851EE">
        <w:rPr>
          <w:rFonts w:cstheme="minorHAnsi"/>
          <w:color w:val="006666"/>
          <w:sz w:val="20"/>
          <w:szCs w:val="20"/>
          <w:u w:val="single"/>
        </w:rPr>
        <w:t xml:space="preserve">should </w:t>
      </w:r>
      <w:r w:rsidR="00AB5260" w:rsidRPr="004851EE">
        <w:rPr>
          <w:rFonts w:cstheme="minorHAnsi"/>
          <w:color w:val="006666"/>
          <w:sz w:val="20"/>
          <w:szCs w:val="20"/>
          <w:u w:val="single"/>
        </w:rPr>
        <w:t>not</w:t>
      </w:r>
      <w:r w:rsidR="00AB5260">
        <w:rPr>
          <w:rFonts w:cstheme="minorHAnsi"/>
          <w:color w:val="006666"/>
          <w:sz w:val="20"/>
          <w:szCs w:val="20"/>
        </w:rPr>
        <w:t xml:space="preserve"> </w:t>
      </w:r>
      <w:r w:rsidR="004851EE">
        <w:rPr>
          <w:rFonts w:cstheme="minorHAnsi"/>
          <w:color w:val="006666"/>
          <w:sz w:val="20"/>
          <w:szCs w:val="20"/>
        </w:rPr>
        <w:t xml:space="preserve">be </w:t>
      </w:r>
      <w:r w:rsidR="00AB5260">
        <w:rPr>
          <w:rFonts w:cstheme="minorHAnsi"/>
          <w:color w:val="006666"/>
          <w:sz w:val="20"/>
          <w:szCs w:val="20"/>
        </w:rPr>
        <w:t xml:space="preserve">detailed within the regulation itself. </w:t>
      </w:r>
      <w:r w:rsidR="004851EE">
        <w:rPr>
          <w:rFonts w:cstheme="minorHAnsi"/>
          <w:color w:val="006666"/>
          <w:sz w:val="20"/>
          <w:szCs w:val="20"/>
        </w:rPr>
        <w:t xml:space="preserve">The level 1 should merely allow for such a mechanism to be in place. </w:t>
      </w:r>
    </w:p>
    <w:p w14:paraId="6621C0AD" w14:textId="77777777" w:rsidR="0096344D" w:rsidRDefault="0096344D" w:rsidP="005F20AB">
      <w:pPr>
        <w:autoSpaceDE w:val="0"/>
        <w:autoSpaceDN w:val="0"/>
        <w:adjustRightInd w:val="0"/>
        <w:spacing w:after="0" w:line="240" w:lineRule="auto"/>
        <w:ind w:left="-426" w:right="119"/>
        <w:rPr>
          <w:rFonts w:cstheme="minorHAnsi"/>
          <w:color w:val="006666"/>
          <w:sz w:val="20"/>
          <w:szCs w:val="20"/>
        </w:rPr>
      </w:pPr>
    </w:p>
    <w:p w14:paraId="2658FFED" w14:textId="4C565240" w:rsidR="000B530A" w:rsidRDefault="00DC761B" w:rsidP="005F20AB">
      <w:pPr>
        <w:autoSpaceDE w:val="0"/>
        <w:autoSpaceDN w:val="0"/>
        <w:adjustRightInd w:val="0"/>
        <w:spacing w:after="0" w:line="240" w:lineRule="auto"/>
        <w:ind w:left="-426" w:right="119"/>
        <w:rPr>
          <w:rFonts w:cstheme="minorHAnsi"/>
          <w:color w:val="006666"/>
          <w:sz w:val="20"/>
          <w:szCs w:val="20"/>
        </w:rPr>
      </w:pPr>
      <w:r>
        <w:rPr>
          <w:rFonts w:cstheme="minorHAnsi"/>
          <w:color w:val="006666"/>
          <w:sz w:val="20"/>
          <w:szCs w:val="20"/>
        </w:rPr>
        <w:t>In order to allow the industry sufficient time to</w:t>
      </w:r>
      <w:r w:rsidR="00EC153D">
        <w:rPr>
          <w:rFonts w:cstheme="minorHAnsi"/>
          <w:color w:val="006666"/>
          <w:sz w:val="20"/>
          <w:szCs w:val="20"/>
        </w:rPr>
        <w:t xml:space="preserve"> develop a pass-on</w:t>
      </w:r>
      <w:r w:rsidR="0096344D">
        <w:rPr>
          <w:rFonts w:cstheme="minorHAnsi"/>
          <w:color w:val="006666"/>
          <w:sz w:val="20"/>
          <w:szCs w:val="20"/>
        </w:rPr>
        <w:t xml:space="preserve"> m</w:t>
      </w:r>
      <w:r w:rsidR="00EC153D">
        <w:rPr>
          <w:rFonts w:cstheme="minorHAnsi"/>
          <w:color w:val="006666"/>
          <w:sz w:val="20"/>
          <w:szCs w:val="20"/>
        </w:rPr>
        <w:t>echanism</w:t>
      </w:r>
      <w:r w:rsidR="000554E2">
        <w:rPr>
          <w:rFonts w:cstheme="minorHAnsi"/>
          <w:color w:val="006666"/>
          <w:sz w:val="20"/>
          <w:szCs w:val="20"/>
        </w:rPr>
        <w:t xml:space="preserve"> </w:t>
      </w:r>
      <w:r w:rsidR="00527CB6">
        <w:rPr>
          <w:rFonts w:cstheme="minorHAnsi"/>
          <w:color w:val="006666"/>
          <w:sz w:val="20"/>
          <w:szCs w:val="20"/>
        </w:rPr>
        <w:t xml:space="preserve">that is </w:t>
      </w:r>
      <w:r w:rsidR="000554E2">
        <w:rPr>
          <w:rFonts w:cstheme="minorHAnsi"/>
          <w:color w:val="006666"/>
          <w:sz w:val="20"/>
          <w:szCs w:val="20"/>
        </w:rPr>
        <w:t xml:space="preserve">based on the </w:t>
      </w:r>
      <w:r w:rsidR="00540F90">
        <w:rPr>
          <w:rFonts w:cstheme="minorHAnsi"/>
          <w:color w:val="006666"/>
          <w:sz w:val="20"/>
          <w:szCs w:val="20"/>
        </w:rPr>
        <w:t>underlying market type</w:t>
      </w:r>
      <w:r w:rsidR="00EC153D">
        <w:rPr>
          <w:rFonts w:cstheme="minorHAnsi"/>
          <w:color w:val="006666"/>
          <w:sz w:val="20"/>
          <w:szCs w:val="20"/>
        </w:rPr>
        <w:t xml:space="preserve">, the </w:t>
      </w:r>
      <w:r w:rsidR="00F90691">
        <w:rPr>
          <w:rFonts w:cstheme="minorHAnsi"/>
          <w:color w:val="006666"/>
          <w:sz w:val="20"/>
          <w:szCs w:val="20"/>
        </w:rPr>
        <w:t xml:space="preserve">regulatory </w:t>
      </w:r>
      <w:r w:rsidR="00EC153D">
        <w:rPr>
          <w:rFonts w:cstheme="minorHAnsi"/>
          <w:color w:val="006666"/>
          <w:sz w:val="20"/>
          <w:szCs w:val="20"/>
        </w:rPr>
        <w:t>buy-in requirement should be removed from the SDR in its current form</w:t>
      </w:r>
      <w:r w:rsidR="0096344D">
        <w:rPr>
          <w:rFonts w:cstheme="minorHAnsi"/>
          <w:color w:val="006666"/>
          <w:sz w:val="20"/>
          <w:szCs w:val="20"/>
        </w:rPr>
        <w:t xml:space="preserve"> until </w:t>
      </w:r>
      <w:r w:rsidR="00F8485F">
        <w:rPr>
          <w:rFonts w:cstheme="minorHAnsi"/>
          <w:color w:val="006666"/>
          <w:sz w:val="20"/>
          <w:szCs w:val="20"/>
        </w:rPr>
        <w:t>outstanding</w:t>
      </w:r>
      <w:r w:rsidR="0096344D">
        <w:rPr>
          <w:rFonts w:cstheme="minorHAnsi"/>
          <w:color w:val="006666"/>
          <w:sz w:val="20"/>
          <w:szCs w:val="20"/>
        </w:rPr>
        <w:t xml:space="preserve"> issue</w:t>
      </w:r>
      <w:r w:rsidR="00F8485F">
        <w:rPr>
          <w:rFonts w:cstheme="minorHAnsi"/>
          <w:color w:val="006666"/>
          <w:sz w:val="20"/>
          <w:szCs w:val="20"/>
        </w:rPr>
        <w:t xml:space="preserve">s </w:t>
      </w:r>
      <w:r w:rsidR="009D0FD1">
        <w:rPr>
          <w:rFonts w:cstheme="minorHAnsi"/>
          <w:color w:val="006666"/>
          <w:sz w:val="20"/>
          <w:szCs w:val="20"/>
        </w:rPr>
        <w:t>are</w:t>
      </w:r>
      <w:r w:rsidR="0096344D">
        <w:rPr>
          <w:rFonts w:cstheme="minorHAnsi"/>
          <w:color w:val="006666"/>
          <w:sz w:val="20"/>
          <w:szCs w:val="20"/>
        </w:rPr>
        <w:t xml:space="preserve"> addressed by policy makers. </w:t>
      </w:r>
    </w:p>
    <w:p w14:paraId="12E74AEB" w14:textId="77777777" w:rsidR="005F3B59" w:rsidRDefault="005F3B59" w:rsidP="00D45E08">
      <w:pPr>
        <w:autoSpaceDE w:val="0"/>
        <w:autoSpaceDN w:val="0"/>
        <w:adjustRightInd w:val="0"/>
        <w:spacing w:after="0" w:line="240" w:lineRule="auto"/>
        <w:ind w:right="119"/>
        <w:rPr>
          <w:rFonts w:cstheme="minorHAnsi"/>
          <w:color w:val="000000"/>
          <w:sz w:val="20"/>
          <w:szCs w:val="20"/>
        </w:rPr>
      </w:pPr>
    </w:p>
    <w:p w14:paraId="7DD920B1" w14:textId="2A8564A2" w:rsidR="0036268A" w:rsidRPr="00EC1EE2" w:rsidRDefault="0036268A" w:rsidP="00EA25FA">
      <w:pPr>
        <w:autoSpaceDE w:val="0"/>
        <w:autoSpaceDN w:val="0"/>
        <w:adjustRightInd w:val="0"/>
        <w:spacing w:after="0" w:line="240" w:lineRule="auto"/>
        <w:ind w:left="-426" w:right="119"/>
        <w:rPr>
          <w:rFonts w:cstheme="minorHAnsi"/>
          <w:b/>
          <w:color w:val="006666"/>
          <w:sz w:val="20"/>
          <w:szCs w:val="20"/>
          <w:u w:val="single"/>
        </w:rPr>
      </w:pPr>
      <w:r w:rsidRPr="00EC1EE2">
        <w:rPr>
          <w:rFonts w:cstheme="minorHAnsi"/>
          <w:b/>
          <w:color w:val="006666"/>
          <w:sz w:val="20"/>
          <w:szCs w:val="20"/>
          <w:u w:val="single"/>
        </w:rPr>
        <w:t>Buy-in agents</w:t>
      </w:r>
      <w:r w:rsidR="00695A3D">
        <w:rPr>
          <w:rFonts w:cstheme="minorHAnsi"/>
          <w:b/>
          <w:color w:val="006666"/>
          <w:sz w:val="20"/>
          <w:szCs w:val="20"/>
          <w:u w:val="single"/>
        </w:rPr>
        <w:t>:</w:t>
      </w:r>
    </w:p>
    <w:p w14:paraId="6A7A7376" w14:textId="6E27A8D5" w:rsidR="005F3B59" w:rsidRDefault="005F3B59" w:rsidP="00EA25FA">
      <w:pPr>
        <w:autoSpaceDE w:val="0"/>
        <w:autoSpaceDN w:val="0"/>
        <w:adjustRightInd w:val="0"/>
        <w:spacing w:after="0" w:line="240" w:lineRule="auto"/>
        <w:ind w:left="-426" w:right="119"/>
        <w:rPr>
          <w:rFonts w:cstheme="minorHAnsi"/>
          <w:color w:val="000000"/>
          <w:sz w:val="20"/>
          <w:szCs w:val="20"/>
        </w:rPr>
      </w:pPr>
    </w:p>
    <w:p w14:paraId="45412E2E" w14:textId="3E52FB8A" w:rsidR="002211DB" w:rsidRPr="00927C91" w:rsidRDefault="002211DB" w:rsidP="002211DB">
      <w:pPr>
        <w:autoSpaceDE w:val="0"/>
        <w:autoSpaceDN w:val="0"/>
        <w:adjustRightInd w:val="0"/>
        <w:spacing w:after="0" w:line="240" w:lineRule="auto"/>
        <w:ind w:left="-426" w:right="119"/>
        <w:rPr>
          <w:rFonts w:cstheme="minorHAnsi"/>
          <w:color w:val="006666"/>
          <w:sz w:val="20"/>
          <w:szCs w:val="20"/>
        </w:rPr>
      </w:pPr>
      <w:r>
        <w:rPr>
          <w:rFonts w:ascii="Calibri" w:eastAsia="Times New Roman" w:hAnsi="Calibri" w:cs="Calibri"/>
          <w:color w:val="006666"/>
          <w:sz w:val="20"/>
          <w:szCs w:val="20"/>
          <w:lang w:eastAsia="en-GB"/>
        </w:rPr>
        <w:t xml:space="preserve">ISLA members fully support </w:t>
      </w:r>
      <w:r w:rsidR="008A03EB">
        <w:rPr>
          <w:rFonts w:ascii="Calibri" w:eastAsia="Times New Roman" w:hAnsi="Calibri" w:cs="Calibri"/>
          <w:color w:val="006666"/>
          <w:sz w:val="20"/>
          <w:szCs w:val="20"/>
          <w:lang w:eastAsia="en-GB"/>
        </w:rPr>
        <w:t>the</w:t>
      </w:r>
      <w:r>
        <w:rPr>
          <w:rFonts w:ascii="Calibri" w:eastAsia="Times New Roman" w:hAnsi="Calibri" w:cs="Calibri"/>
          <w:color w:val="006666"/>
          <w:sz w:val="20"/>
          <w:szCs w:val="20"/>
          <w:lang w:eastAsia="en-GB"/>
        </w:rPr>
        <w:t xml:space="preserve"> conclusions </w:t>
      </w:r>
      <w:r w:rsidR="008A03EB">
        <w:rPr>
          <w:rFonts w:ascii="Calibri" w:eastAsia="Times New Roman" w:hAnsi="Calibri" w:cs="Calibri"/>
          <w:color w:val="006666"/>
          <w:sz w:val="20"/>
          <w:szCs w:val="20"/>
          <w:lang w:eastAsia="en-GB"/>
        </w:rPr>
        <w:t xml:space="preserve">of </w:t>
      </w:r>
      <w:r>
        <w:rPr>
          <w:rFonts w:ascii="Calibri" w:eastAsia="Times New Roman" w:hAnsi="Calibri" w:cs="Calibri"/>
          <w:color w:val="006666"/>
          <w:sz w:val="20"/>
          <w:szCs w:val="20"/>
          <w:lang w:eastAsia="en-GB"/>
        </w:rPr>
        <w:t xml:space="preserve">ICMA’s paper </w:t>
      </w:r>
      <w:hyperlink r:id="rId23" w:history="1">
        <w:r w:rsidRPr="00002099">
          <w:rPr>
            <w:rStyle w:val="Hyperlink"/>
            <w:rFonts w:ascii="Calibri" w:eastAsia="Times New Roman" w:hAnsi="Calibri" w:cs="Calibri"/>
            <w:sz w:val="20"/>
            <w:szCs w:val="20"/>
            <w:lang w:eastAsia="en-GB"/>
          </w:rPr>
          <w:t>CSDR Mandatory Buy-ins &amp; the requirement for a buy-in agent</w:t>
        </w:r>
      </w:hyperlink>
      <w:r w:rsidR="000A3C11">
        <w:rPr>
          <w:rStyle w:val="Hyperlink"/>
          <w:rFonts w:ascii="Calibri" w:eastAsia="Times New Roman" w:hAnsi="Calibri" w:cs="Calibri"/>
          <w:sz w:val="20"/>
          <w:szCs w:val="20"/>
          <w:lang w:eastAsia="en-GB"/>
        </w:rPr>
        <w:t xml:space="preserve"> (September 2020).</w:t>
      </w:r>
      <w:r>
        <w:rPr>
          <w:rFonts w:ascii="Calibri" w:eastAsia="Times New Roman" w:hAnsi="Calibri" w:cs="Calibri"/>
          <w:color w:val="006666"/>
          <w:sz w:val="20"/>
          <w:szCs w:val="20"/>
          <w:lang w:eastAsia="en-GB"/>
        </w:rPr>
        <w:t xml:space="preserve"> </w:t>
      </w:r>
    </w:p>
    <w:p w14:paraId="242F4A46" w14:textId="77777777" w:rsidR="002211DB" w:rsidRDefault="002211DB" w:rsidP="00927C91">
      <w:pPr>
        <w:autoSpaceDE w:val="0"/>
        <w:autoSpaceDN w:val="0"/>
        <w:adjustRightInd w:val="0"/>
        <w:spacing w:after="0" w:line="240" w:lineRule="auto"/>
        <w:ind w:left="-426" w:right="119"/>
        <w:rPr>
          <w:rFonts w:cstheme="minorHAnsi"/>
          <w:color w:val="006666"/>
          <w:sz w:val="20"/>
          <w:szCs w:val="20"/>
        </w:rPr>
      </w:pPr>
    </w:p>
    <w:p w14:paraId="44CFAAEE" w14:textId="77777777" w:rsidR="003C71FB" w:rsidRDefault="00B63A57" w:rsidP="009F49E5">
      <w:pPr>
        <w:autoSpaceDE w:val="0"/>
        <w:autoSpaceDN w:val="0"/>
        <w:adjustRightInd w:val="0"/>
        <w:spacing w:after="0" w:line="240" w:lineRule="auto"/>
        <w:ind w:left="-426" w:right="119"/>
        <w:rPr>
          <w:rFonts w:ascii="Calibri" w:eastAsia="Times New Roman" w:hAnsi="Calibri" w:cs="Calibri"/>
          <w:color w:val="006666"/>
          <w:sz w:val="20"/>
          <w:szCs w:val="20"/>
          <w:lang w:eastAsia="en-GB"/>
        </w:rPr>
      </w:pPr>
      <w:r>
        <w:rPr>
          <w:rFonts w:ascii="Calibri" w:eastAsia="Times New Roman" w:hAnsi="Calibri" w:cs="Calibri"/>
          <w:color w:val="006666"/>
          <w:sz w:val="20"/>
          <w:szCs w:val="20"/>
          <w:lang w:eastAsia="en-GB"/>
        </w:rPr>
        <w:t xml:space="preserve">Securities lending activity is supported by a bilaterally agreed master contract providing optional </w:t>
      </w:r>
      <w:r w:rsidR="002A7E94">
        <w:rPr>
          <w:rFonts w:ascii="Calibri" w:eastAsia="Times New Roman" w:hAnsi="Calibri" w:cs="Calibri"/>
          <w:color w:val="006666"/>
          <w:sz w:val="20"/>
          <w:szCs w:val="20"/>
          <w:lang w:eastAsia="en-GB"/>
        </w:rPr>
        <w:t>contractual remedies to resolve a settlement failure</w:t>
      </w:r>
      <w:r w:rsidR="00BC35EF">
        <w:rPr>
          <w:rFonts w:ascii="Calibri" w:eastAsia="Times New Roman" w:hAnsi="Calibri" w:cs="Calibri"/>
          <w:color w:val="006666"/>
          <w:sz w:val="20"/>
          <w:szCs w:val="20"/>
          <w:lang w:eastAsia="en-GB"/>
        </w:rPr>
        <w:t>.</w:t>
      </w:r>
      <w:r w:rsidR="009F49E5">
        <w:rPr>
          <w:rFonts w:ascii="Calibri" w:eastAsia="Times New Roman" w:hAnsi="Calibri" w:cs="Calibri"/>
          <w:color w:val="006666"/>
          <w:sz w:val="20"/>
          <w:szCs w:val="20"/>
          <w:lang w:eastAsia="en-GB"/>
        </w:rPr>
        <w:t xml:space="preserve"> </w:t>
      </w:r>
      <w:r>
        <w:rPr>
          <w:rFonts w:ascii="Calibri" w:eastAsia="Times New Roman" w:hAnsi="Calibri" w:cs="Calibri"/>
          <w:color w:val="006666"/>
          <w:sz w:val="20"/>
          <w:szCs w:val="20"/>
          <w:lang w:eastAsia="en-GB"/>
        </w:rPr>
        <w:t>CSDR SDR by contrast, mandates an alternative process undertaken by a third party. However, a</w:t>
      </w:r>
      <w:r w:rsidRPr="008B3F38">
        <w:rPr>
          <w:rFonts w:ascii="Calibri" w:eastAsia="Times New Roman" w:hAnsi="Calibri" w:cs="Calibri"/>
          <w:color w:val="006666"/>
          <w:sz w:val="20"/>
          <w:szCs w:val="20"/>
          <w:lang w:eastAsia="en-GB"/>
        </w:rPr>
        <w:t>s of January 2021, only one agent exists that might offer this service</w:t>
      </w:r>
      <w:r>
        <w:rPr>
          <w:rFonts w:ascii="Calibri" w:eastAsia="Times New Roman" w:hAnsi="Calibri" w:cs="Calibri"/>
          <w:color w:val="006666"/>
          <w:sz w:val="20"/>
          <w:szCs w:val="20"/>
          <w:lang w:eastAsia="en-GB"/>
        </w:rPr>
        <w:t xml:space="preserve"> which may introduce monopolistic hallmarks</w:t>
      </w:r>
      <w:r w:rsidR="00916B55">
        <w:rPr>
          <w:rFonts w:ascii="Calibri" w:eastAsia="Times New Roman" w:hAnsi="Calibri" w:cs="Calibri"/>
          <w:color w:val="006666"/>
          <w:sz w:val="20"/>
          <w:szCs w:val="20"/>
          <w:lang w:eastAsia="en-GB"/>
        </w:rPr>
        <w:t xml:space="preserve">, </w:t>
      </w:r>
      <w:r w:rsidR="00916B55" w:rsidRPr="00182984">
        <w:rPr>
          <w:rFonts w:ascii="Calibri" w:eastAsia="Times New Roman" w:hAnsi="Calibri" w:cs="Calibri"/>
          <w:color w:val="006666"/>
          <w:sz w:val="20"/>
          <w:szCs w:val="20"/>
          <w:lang w:eastAsia="en-GB"/>
        </w:rPr>
        <w:t xml:space="preserve">further reducing liquidity and leading to </w:t>
      </w:r>
      <w:r w:rsidR="008415C5">
        <w:rPr>
          <w:rFonts w:ascii="Calibri" w:eastAsia="Times New Roman" w:hAnsi="Calibri" w:cs="Calibri"/>
          <w:color w:val="006666"/>
          <w:sz w:val="20"/>
          <w:szCs w:val="20"/>
          <w:lang w:eastAsia="en-GB"/>
        </w:rPr>
        <w:t xml:space="preserve">additional </w:t>
      </w:r>
      <w:r w:rsidR="00916B55" w:rsidRPr="00182984">
        <w:rPr>
          <w:rFonts w:ascii="Calibri" w:eastAsia="Times New Roman" w:hAnsi="Calibri" w:cs="Calibri"/>
          <w:color w:val="006666"/>
          <w:sz w:val="20"/>
          <w:szCs w:val="20"/>
          <w:lang w:eastAsia="en-GB"/>
        </w:rPr>
        <w:t>costs being built in for a</w:t>
      </w:r>
      <w:r w:rsidR="00916B55">
        <w:rPr>
          <w:rFonts w:ascii="Calibri" w:eastAsia="Times New Roman" w:hAnsi="Calibri" w:cs="Calibri"/>
          <w:color w:val="006666"/>
          <w:sz w:val="20"/>
          <w:szCs w:val="20"/>
          <w:lang w:eastAsia="en-GB"/>
        </w:rPr>
        <w:t xml:space="preserve"> typical </w:t>
      </w:r>
      <w:r w:rsidR="00916B55" w:rsidRPr="00182984">
        <w:rPr>
          <w:rFonts w:ascii="Calibri" w:eastAsia="Times New Roman" w:hAnsi="Calibri" w:cs="Calibri"/>
          <w:color w:val="006666"/>
          <w:sz w:val="20"/>
          <w:szCs w:val="20"/>
          <w:lang w:eastAsia="en-GB"/>
        </w:rPr>
        <w:t>transaction</w:t>
      </w:r>
      <w:r>
        <w:rPr>
          <w:rFonts w:ascii="Calibri" w:eastAsia="Times New Roman" w:hAnsi="Calibri" w:cs="Calibri"/>
          <w:color w:val="006666"/>
          <w:sz w:val="20"/>
          <w:szCs w:val="20"/>
          <w:lang w:eastAsia="en-GB"/>
        </w:rPr>
        <w:t xml:space="preserve">. </w:t>
      </w:r>
    </w:p>
    <w:p w14:paraId="5D1E06CC" w14:textId="77777777" w:rsidR="003C71FB" w:rsidRDefault="003C71FB" w:rsidP="009F49E5">
      <w:pPr>
        <w:autoSpaceDE w:val="0"/>
        <w:autoSpaceDN w:val="0"/>
        <w:adjustRightInd w:val="0"/>
        <w:spacing w:after="0" w:line="240" w:lineRule="auto"/>
        <w:ind w:left="-426" w:right="119"/>
        <w:rPr>
          <w:rFonts w:ascii="Calibri" w:eastAsia="Times New Roman" w:hAnsi="Calibri" w:cs="Calibri"/>
          <w:color w:val="006666"/>
          <w:sz w:val="20"/>
          <w:szCs w:val="20"/>
          <w:lang w:eastAsia="en-GB"/>
        </w:rPr>
      </w:pPr>
    </w:p>
    <w:p w14:paraId="2766CCD8" w14:textId="6DDD47F2" w:rsidR="00B63A57" w:rsidRDefault="00B63A57" w:rsidP="009F49E5">
      <w:pPr>
        <w:autoSpaceDE w:val="0"/>
        <w:autoSpaceDN w:val="0"/>
        <w:adjustRightInd w:val="0"/>
        <w:spacing w:after="0" w:line="240" w:lineRule="auto"/>
        <w:ind w:left="-426" w:right="119"/>
        <w:rPr>
          <w:rFonts w:ascii="Calibri" w:eastAsia="Times New Roman" w:hAnsi="Calibri" w:cs="Calibri"/>
          <w:color w:val="006666"/>
          <w:sz w:val="20"/>
          <w:szCs w:val="20"/>
          <w:lang w:eastAsia="en-GB"/>
        </w:rPr>
      </w:pPr>
      <w:r>
        <w:rPr>
          <w:rFonts w:ascii="Calibri" w:eastAsia="Times New Roman" w:hAnsi="Calibri" w:cs="Calibri"/>
          <w:color w:val="006666"/>
          <w:sz w:val="20"/>
          <w:szCs w:val="20"/>
          <w:lang w:eastAsia="en-GB"/>
        </w:rPr>
        <w:t xml:space="preserve">Consideration should also be given to the inclusion of a third party between the lender and borrower, extending associated compliance and exposure considerations on parties operating in global jurisdictions. ISLA members have noted this limitation and raised concerns about the ability of a single agent and their </w:t>
      </w:r>
      <w:r w:rsidR="00E266BA">
        <w:rPr>
          <w:rFonts w:ascii="Calibri" w:eastAsia="Times New Roman" w:hAnsi="Calibri" w:cs="Calibri"/>
          <w:color w:val="006666"/>
          <w:sz w:val="20"/>
          <w:szCs w:val="20"/>
          <w:lang w:eastAsia="en-GB"/>
        </w:rPr>
        <w:t>capacity</w:t>
      </w:r>
      <w:r>
        <w:rPr>
          <w:rFonts w:ascii="Calibri" w:eastAsia="Times New Roman" w:hAnsi="Calibri" w:cs="Calibri"/>
          <w:color w:val="006666"/>
          <w:sz w:val="20"/>
          <w:szCs w:val="20"/>
          <w:lang w:eastAsia="en-GB"/>
        </w:rPr>
        <w:t xml:space="preserve"> to ensure adequate coverage</w:t>
      </w:r>
      <w:r w:rsidR="00280B84">
        <w:rPr>
          <w:rFonts w:ascii="Calibri" w:eastAsia="Times New Roman" w:hAnsi="Calibri" w:cs="Calibri"/>
          <w:color w:val="006666"/>
          <w:sz w:val="20"/>
          <w:szCs w:val="20"/>
          <w:lang w:eastAsia="en-GB"/>
        </w:rPr>
        <w:t>,</w:t>
      </w:r>
      <w:r w:rsidR="00FC6E64">
        <w:rPr>
          <w:rFonts w:ascii="Calibri" w:eastAsia="Times New Roman" w:hAnsi="Calibri" w:cs="Calibri"/>
          <w:color w:val="006666"/>
          <w:sz w:val="20"/>
          <w:szCs w:val="20"/>
          <w:lang w:eastAsia="en-GB"/>
        </w:rPr>
        <w:t xml:space="preserve"> with regards to </w:t>
      </w:r>
      <w:r w:rsidR="00A365C7">
        <w:rPr>
          <w:rFonts w:ascii="Calibri" w:eastAsia="Times New Roman" w:hAnsi="Calibri" w:cs="Calibri"/>
          <w:color w:val="006666"/>
          <w:sz w:val="20"/>
          <w:szCs w:val="20"/>
          <w:lang w:eastAsia="en-GB"/>
        </w:rPr>
        <w:t>cross</w:t>
      </w:r>
      <w:r w:rsidR="004E6E11">
        <w:rPr>
          <w:rFonts w:ascii="Calibri" w:eastAsia="Times New Roman" w:hAnsi="Calibri" w:cs="Calibri"/>
          <w:color w:val="006666"/>
          <w:sz w:val="20"/>
          <w:szCs w:val="20"/>
          <w:lang w:eastAsia="en-GB"/>
        </w:rPr>
        <w:t>-</w:t>
      </w:r>
      <w:r w:rsidR="00A365C7">
        <w:rPr>
          <w:rFonts w:ascii="Calibri" w:eastAsia="Times New Roman" w:hAnsi="Calibri" w:cs="Calibri"/>
          <w:color w:val="006666"/>
          <w:sz w:val="20"/>
          <w:szCs w:val="20"/>
          <w:lang w:eastAsia="en-GB"/>
        </w:rPr>
        <w:t>border licensing</w:t>
      </w:r>
      <w:r w:rsidR="0047403D">
        <w:rPr>
          <w:rFonts w:ascii="Calibri" w:eastAsia="Times New Roman" w:hAnsi="Calibri" w:cs="Calibri"/>
          <w:color w:val="006666"/>
          <w:sz w:val="20"/>
          <w:szCs w:val="20"/>
          <w:lang w:eastAsia="en-GB"/>
        </w:rPr>
        <w:t>,</w:t>
      </w:r>
      <w:r w:rsidR="004E6E11">
        <w:rPr>
          <w:rFonts w:ascii="Calibri" w:eastAsia="Times New Roman" w:hAnsi="Calibri" w:cs="Calibri"/>
          <w:color w:val="006666"/>
          <w:sz w:val="20"/>
          <w:szCs w:val="20"/>
          <w:lang w:eastAsia="en-GB"/>
        </w:rPr>
        <w:t xml:space="preserve"> as well as</w:t>
      </w:r>
      <w:r w:rsidR="00A82311">
        <w:rPr>
          <w:rFonts w:ascii="Calibri" w:eastAsia="Times New Roman" w:hAnsi="Calibri" w:cs="Calibri"/>
          <w:color w:val="006666"/>
          <w:sz w:val="20"/>
          <w:szCs w:val="20"/>
          <w:lang w:eastAsia="en-GB"/>
        </w:rPr>
        <w:t xml:space="preserve"> concerns as to whether they will be able</w:t>
      </w:r>
      <w:r w:rsidR="00E16CCF">
        <w:rPr>
          <w:rFonts w:ascii="Calibri" w:eastAsia="Times New Roman" w:hAnsi="Calibri" w:cs="Calibri"/>
          <w:color w:val="006666"/>
          <w:sz w:val="20"/>
          <w:szCs w:val="20"/>
          <w:lang w:eastAsia="en-GB"/>
        </w:rPr>
        <w:t xml:space="preserve"> to service all in-scope</w:t>
      </w:r>
      <w:r w:rsidR="004E6E11">
        <w:rPr>
          <w:rFonts w:ascii="Calibri" w:eastAsia="Times New Roman" w:hAnsi="Calibri" w:cs="Calibri"/>
          <w:color w:val="006666"/>
          <w:sz w:val="20"/>
          <w:szCs w:val="20"/>
          <w:lang w:eastAsia="en-GB"/>
        </w:rPr>
        <w:t xml:space="preserve"> </w:t>
      </w:r>
      <w:r w:rsidR="00280B84">
        <w:rPr>
          <w:rFonts w:ascii="Calibri" w:eastAsia="Times New Roman" w:hAnsi="Calibri" w:cs="Calibri"/>
          <w:color w:val="006666"/>
          <w:sz w:val="20"/>
          <w:szCs w:val="20"/>
          <w:lang w:eastAsia="en-GB"/>
        </w:rPr>
        <w:t xml:space="preserve">instruments. </w:t>
      </w:r>
    </w:p>
    <w:p w14:paraId="4498EE02" w14:textId="77777777" w:rsidR="00470009" w:rsidRDefault="00470009" w:rsidP="006854D2">
      <w:pPr>
        <w:autoSpaceDE w:val="0"/>
        <w:autoSpaceDN w:val="0"/>
        <w:adjustRightInd w:val="0"/>
        <w:spacing w:after="0" w:line="240" w:lineRule="auto"/>
        <w:ind w:left="-426" w:right="119"/>
        <w:rPr>
          <w:rFonts w:ascii="Calibri" w:eastAsia="Times New Roman" w:hAnsi="Calibri" w:cs="Calibri"/>
          <w:color w:val="006666"/>
          <w:sz w:val="20"/>
          <w:szCs w:val="20"/>
          <w:lang w:eastAsia="en-GB"/>
        </w:rPr>
      </w:pPr>
    </w:p>
    <w:p w14:paraId="54298805" w14:textId="77777777" w:rsidR="00447F8C" w:rsidRDefault="00447F8C" w:rsidP="003A4433">
      <w:pPr>
        <w:autoSpaceDE w:val="0"/>
        <w:autoSpaceDN w:val="0"/>
        <w:adjustRightInd w:val="0"/>
        <w:spacing w:after="0" w:line="240" w:lineRule="auto"/>
        <w:ind w:left="-426" w:right="119"/>
        <w:rPr>
          <w:rFonts w:cstheme="minorHAnsi"/>
          <w:b/>
          <w:color w:val="006666"/>
          <w:sz w:val="20"/>
          <w:szCs w:val="20"/>
          <w:u w:val="single"/>
        </w:rPr>
      </w:pPr>
    </w:p>
    <w:p w14:paraId="2CBBBA14" w14:textId="77777777" w:rsidR="00447F8C" w:rsidRDefault="00447F8C" w:rsidP="003A4433">
      <w:pPr>
        <w:autoSpaceDE w:val="0"/>
        <w:autoSpaceDN w:val="0"/>
        <w:adjustRightInd w:val="0"/>
        <w:spacing w:after="0" w:line="240" w:lineRule="auto"/>
        <w:ind w:left="-426" w:right="119"/>
        <w:rPr>
          <w:rFonts w:cstheme="minorHAnsi"/>
          <w:b/>
          <w:color w:val="006666"/>
          <w:sz w:val="20"/>
          <w:szCs w:val="20"/>
          <w:u w:val="single"/>
        </w:rPr>
      </w:pPr>
    </w:p>
    <w:p w14:paraId="4815F89A" w14:textId="77777777" w:rsidR="00447F8C" w:rsidRDefault="00447F8C" w:rsidP="003A4433">
      <w:pPr>
        <w:autoSpaceDE w:val="0"/>
        <w:autoSpaceDN w:val="0"/>
        <w:adjustRightInd w:val="0"/>
        <w:spacing w:after="0" w:line="240" w:lineRule="auto"/>
        <w:ind w:left="-426" w:right="119"/>
        <w:rPr>
          <w:rFonts w:cstheme="minorHAnsi"/>
          <w:b/>
          <w:color w:val="006666"/>
          <w:sz w:val="20"/>
          <w:szCs w:val="20"/>
          <w:u w:val="single"/>
        </w:rPr>
      </w:pPr>
    </w:p>
    <w:p w14:paraId="0019AE94" w14:textId="38DE6D5A" w:rsidR="002E36EA" w:rsidRPr="003A4433" w:rsidRDefault="002E36EA" w:rsidP="003A4433">
      <w:pPr>
        <w:autoSpaceDE w:val="0"/>
        <w:autoSpaceDN w:val="0"/>
        <w:adjustRightInd w:val="0"/>
        <w:spacing w:after="0" w:line="240" w:lineRule="auto"/>
        <w:ind w:left="-426" w:right="119"/>
        <w:rPr>
          <w:rFonts w:ascii="Calibri" w:eastAsia="Times New Roman" w:hAnsi="Calibri" w:cs="Calibri"/>
          <w:color w:val="006666"/>
          <w:sz w:val="20"/>
          <w:szCs w:val="20"/>
          <w:lang w:eastAsia="en-GB"/>
        </w:rPr>
      </w:pPr>
      <w:r w:rsidRPr="00EC1EE2">
        <w:rPr>
          <w:rFonts w:cstheme="minorHAnsi"/>
          <w:b/>
          <w:color w:val="006666"/>
          <w:sz w:val="20"/>
          <w:szCs w:val="20"/>
          <w:u w:val="single"/>
        </w:rPr>
        <w:lastRenderedPageBreak/>
        <w:t>Scope of Buy-in regime</w:t>
      </w:r>
      <w:r w:rsidR="00695A3D">
        <w:rPr>
          <w:rFonts w:cstheme="minorHAnsi"/>
          <w:b/>
          <w:color w:val="006666"/>
          <w:sz w:val="20"/>
          <w:szCs w:val="20"/>
          <w:u w:val="single"/>
        </w:rPr>
        <w:t>:</w:t>
      </w:r>
    </w:p>
    <w:p w14:paraId="691355CF" w14:textId="25CFCFB3" w:rsidR="001058BB" w:rsidRDefault="001058BB" w:rsidP="00EA25FA">
      <w:pPr>
        <w:autoSpaceDE w:val="0"/>
        <w:autoSpaceDN w:val="0"/>
        <w:adjustRightInd w:val="0"/>
        <w:spacing w:after="0" w:line="240" w:lineRule="auto"/>
        <w:ind w:left="-426" w:right="119"/>
        <w:rPr>
          <w:rFonts w:cstheme="minorHAnsi"/>
          <w:b/>
          <w:bCs/>
          <w:color w:val="006666"/>
          <w:sz w:val="20"/>
          <w:szCs w:val="20"/>
        </w:rPr>
      </w:pPr>
    </w:p>
    <w:p w14:paraId="0875C2B0" w14:textId="4C2DDE0C" w:rsidR="0076249A" w:rsidRDefault="00790374" w:rsidP="0003391C">
      <w:pPr>
        <w:autoSpaceDE w:val="0"/>
        <w:autoSpaceDN w:val="0"/>
        <w:adjustRightInd w:val="0"/>
        <w:spacing w:after="0" w:line="240" w:lineRule="auto"/>
        <w:ind w:left="-426" w:right="119"/>
        <w:rPr>
          <w:rFonts w:cstheme="minorHAnsi"/>
          <w:color w:val="006666"/>
          <w:sz w:val="20"/>
          <w:szCs w:val="20"/>
        </w:rPr>
      </w:pPr>
      <w:r>
        <w:rPr>
          <w:rFonts w:cstheme="minorHAnsi"/>
          <w:color w:val="006666"/>
          <w:sz w:val="20"/>
          <w:szCs w:val="20"/>
        </w:rPr>
        <w:t xml:space="preserve">ISLA </w:t>
      </w:r>
      <w:r w:rsidR="006E738B">
        <w:rPr>
          <w:rFonts w:cstheme="minorHAnsi"/>
          <w:color w:val="006666"/>
          <w:sz w:val="20"/>
          <w:szCs w:val="20"/>
        </w:rPr>
        <w:t xml:space="preserve">support </w:t>
      </w:r>
      <w:r w:rsidR="00BD2AD4">
        <w:rPr>
          <w:rFonts w:cstheme="minorHAnsi"/>
          <w:color w:val="006666"/>
          <w:sz w:val="20"/>
          <w:szCs w:val="20"/>
        </w:rPr>
        <w:t xml:space="preserve">a </w:t>
      </w:r>
      <w:r>
        <w:rPr>
          <w:rFonts w:cstheme="minorHAnsi"/>
          <w:color w:val="006666"/>
          <w:sz w:val="20"/>
          <w:szCs w:val="20"/>
        </w:rPr>
        <w:t xml:space="preserve">review </w:t>
      </w:r>
      <w:r w:rsidR="00AF78F2">
        <w:rPr>
          <w:rFonts w:cstheme="minorHAnsi"/>
          <w:color w:val="006666"/>
          <w:sz w:val="20"/>
          <w:szCs w:val="20"/>
        </w:rPr>
        <w:t xml:space="preserve">of </w:t>
      </w:r>
      <w:r w:rsidR="00381E0E">
        <w:rPr>
          <w:rFonts w:cstheme="minorHAnsi"/>
          <w:color w:val="006666"/>
          <w:sz w:val="20"/>
          <w:szCs w:val="20"/>
        </w:rPr>
        <w:t xml:space="preserve">the </w:t>
      </w:r>
      <w:r w:rsidR="00AF78F2">
        <w:rPr>
          <w:rFonts w:cstheme="minorHAnsi"/>
          <w:color w:val="006666"/>
          <w:sz w:val="20"/>
          <w:szCs w:val="20"/>
        </w:rPr>
        <w:t xml:space="preserve">buy-in </w:t>
      </w:r>
      <w:r w:rsidR="00F769D7">
        <w:rPr>
          <w:rFonts w:cstheme="minorHAnsi"/>
          <w:color w:val="006666"/>
          <w:sz w:val="20"/>
          <w:szCs w:val="20"/>
        </w:rPr>
        <w:t xml:space="preserve">scope </w:t>
      </w:r>
      <w:r w:rsidR="00FC2630">
        <w:rPr>
          <w:rFonts w:cstheme="minorHAnsi"/>
          <w:color w:val="006666"/>
          <w:sz w:val="20"/>
          <w:szCs w:val="20"/>
        </w:rPr>
        <w:t xml:space="preserve">to </w:t>
      </w:r>
      <w:r w:rsidR="00162B63">
        <w:rPr>
          <w:rFonts w:cstheme="minorHAnsi"/>
          <w:color w:val="006666"/>
          <w:sz w:val="20"/>
          <w:szCs w:val="20"/>
        </w:rPr>
        <w:t>limit the</w:t>
      </w:r>
      <w:r w:rsidR="004D4A8B">
        <w:rPr>
          <w:rFonts w:cstheme="minorHAnsi"/>
          <w:color w:val="006666"/>
          <w:sz w:val="20"/>
          <w:szCs w:val="20"/>
        </w:rPr>
        <w:t xml:space="preserve"> </w:t>
      </w:r>
      <w:r w:rsidR="00E563FB">
        <w:rPr>
          <w:rFonts w:cstheme="minorHAnsi"/>
          <w:color w:val="006666"/>
          <w:sz w:val="20"/>
          <w:szCs w:val="20"/>
        </w:rPr>
        <w:t>regime to</w:t>
      </w:r>
      <w:r w:rsidR="00C92D51">
        <w:rPr>
          <w:rFonts w:cstheme="minorHAnsi"/>
          <w:color w:val="006666"/>
          <w:sz w:val="20"/>
          <w:szCs w:val="20"/>
        </w:rPr>
        <w:t xml:space="preserve"> </w:t>
      </w:r>
      <w:r w:rsidR="00C31F38">
        <w:rPr>
          <w:rFonts w:cstheme="minorHAnsi"/>
          <w:color w:val="006666"/>
          <w:sz w:val="20"/>
          <w:szCs w:val="20"/>
        </w:rPr>
        <w:t>those</w:t>
      </w:r>
      <w:r w:rsidR="0018584B">
        <w:rPr>
          <w:rFonts w:cstheme="minorHAnsi"/>
          <w:color w:val="006666"/>
          <w:sz w:val="20"/>
          <w:szCs w:val="20"/>
        </w:rPr>
        <w:t xml:space="preserve"> transaction types that pose real market risk</w:t>
      </w:r>
      <w:r w:rsidR="00E563FB">
        <w:rPr>
          <w:rFonts w:cstheme="minorHAnsi"/>
          <w:color w:val="006666"/>
          <w:sz w:val="20"/>
          <w:szCs w:val="20"/>
        </w:rPr>
        <w:t>.</w:t>
      </w:r>
      <w:r w:rsidR="0018584B">
        <w:rPr>
          <w:rFonts w:cstheme="minorHAnsi"/>
          <w:color w:val="006666"/>
          <w:sz w:val="20"/>
          <w:szCs w:val="20"/>
        </w:rPr>
        <w:t xml:space="preserve"> </w:t>
      </w:r>
      <w:r w:rsidR="00851C3E">
        <w:rPr>
          <w:rFonts w:cstheme="minorHAnsi"/>
          <w:color w:val="006666"/>
          <w:sz w:val="20"/>
          <w:szCs w:val="20"/>
        </w:rPr>
        <w:t>F</w:t>
      </w:r>
      <w:r w:rsidR="0018584B">
        <w:rPr>
          <w:rFonts w:cstheme="minorHAnsi"/>
          <w:color w:val="006666"/>
          <w:sz w:val="20"/>
          <w:szCs w:val="20"/>
        </w:rPr>
        <w:t>or example</w:t>
      </w:r>
      <w:r w:rsidR="00E563FB">
        <w:rPr>
          <w:rFonts w:cstheme="minorHAnsi"/>
          <w:color w:val="006666"/>
          <w:sz w:val="20"/>
          <w:szCs w:val="20"/>
        </w:rPr>
        <w:t>,</w:t>
      </w:r>
      <w:r w:rsidR="0018584B">
        <w:rPr>
          <w:rFonts w:cstheme="minorHAnsi"/>
          <w:color w:val="006666"/>
          <w:sz w:val="20"/>
          <w:szCs w:val="20"/>
        </w:rPr>
        <w:t xml:space="preserve"> </w:t>
      </w:r>
      <w:r w:rsidR="004A1971">
        <w:rPr>
          <w:rFonts w:cstheme="minorHAnsi"/>
          <w:color w:val="006666"/>
          <w:sz w:val="20"/>
          <w:szCs w:val="20"/>
        </w:rPr>
        <w:t xml:space="preserve">cash </w:t>
      </w:r>
      <w:r w:rsidR="00F470C1">
        <w:rPr>
          <w:rFonts w:cstheme="minorHAnsi"/>
          <w:color w:val="006666"/>
          <w:sz w:val="20"/>
          <w:szCs w:val="20"/>
        </w:rPr>
        <w:t>market sales or purchases</w:t>
      </w:r>
      <w:r w:rsidR="004A1971">
        <w:rPr>
          <w:rFonts w:cstheme="minorHAnsi"/>
          <w:color w:val="006666"/>
          <w:sz w:val="20"/>
          <w:szCs w:val="20"/>
        </w:rPr>
        <w:t xml:space="preserve"> </w:t>
      </w:r>
      <w:r w:rsidR="0076249A">
        <w:rPr>
          <w:rFonts w:cstheme="minorHAnsi"/>
          <w:color w:val="006666"/>
          <w:sz w:val="20"/>
          <w:szCs w:val="20"/>
        </w:rPr>
        <w:t>to be included</w:t>
      </w:r>
      <w:r w:rsidR="004A1971">
        <w:rPr>
          <w:rFonts w:cstheme="minorHAnsi"/>
          <w:color w:val="006666"/>
          <w:sz w:val="20"/>
          <w:szCs w:val="20"/>
        </w:rPr>
        <w:t xml:space="preserve"> and securities financing transactions</w:t>
      </w:r>
      <w:r w:rsidR="0076249A">
        <w:rPr>
          <w:rFonts w:cstheme="minorHAnsi"/>
          <w:color w:val="006666"/>
          <w:sz w:val="20"/>
          <w:szCs w:val="20"/>
        </w:rPr>
        <w:t xml:space="preserve"> excluded</w:t>
      </w:r>
      <w:r w:rsidR="002B2E34">
        <w:rPr>
          <w:rFonts w:cstheme="minorHAnsi"/>
          <w:color w:val="006666"/>
          <w:sz w:val="20"/>
          <w:szCs w:val="20"/>
        </w:rPr>
        <w:t xml:space="preserve">. </w:t>
      </w:r>
      <w:r w:rsidR="007C50A4">
        <w:rPr>
          <w:rFonts w:cstheme="minorHAnsi"/>
          <w:color w:val="006666"/>
          <w:sz w:val="20"/>
          <w:szCs w:val="20"/>
        </w:rPr>
        <w:t xml:space="preserve">As noted in response to question 31.2, </w:t>
      </w:r>
      <w:r w:rsidR="00093936">
        <w:rPr>
          <w:rFonts w:cstheme="minorHAnsi"/>
          <w:color w:val="006666"/>
          <w:sz w:val="20"/>
          <w:szCs w:val="20"/>
        </w:rPr>
        <w:t>further clarity must be provided o</w:t>
      </w:r>
      <w:r w:rsidR="00B11DA6">
        <w:rPr>
          <w:rFonts w:cstheme="minorHAnsi"/>
          <w:color w:val="006666"/>
          <w:sz w:val="20"/>
          <w:szCs w:val="20"/>
        </w:rPr>
        <w:t xml:space="preserve">n the differences between ‘transactions’ and ‘settlements’, whereby buy-ins only apply </w:t>
      </w:r>
      <w:r w:rsidR="00381E0E">
        <w:rPr>
          <w:rFonts w:cstheme="minorHAnsi"/>
          <w:color w:val="006666"/>
          <w:sz w:val="20"/>
          <w:szCs w:val="20"/>
        </w:rPr>
        <w:t xml:space="preserve">(on an optional basis) </w:t>
      </w:r>
      <w:r w:rsidR="00B11DA6">
        <w:rPr>
          <w:rFonts w:cstheme="minorHAnsi"/>
          <w:color w:val="006666"/>
          <w:sz w:val="20"/>
          <w:szCs w:val="20"/>
        </w:rPr>
        <w:t xml:space="preserve">to </w:t>
      </w:r>
      <w:r w:rsidR="00381E0E">
        <w:rPr>
          <w:rFonts w:cstheme="minorHAnsi"/>
          <w:color w:val="006666"/>
          <w:sz w:val="20"/>
          <w:szCs w:val="20"/>
        </w:rPr>
        <w:t>c</w:t>
      </w:r>
      <w:r w:rsidR="002A2008">
        <w:rPr>
          <w:rFonts w:cstheme="minorHAnsi"/>
          <w:color w:val="006666"/>
          <w:sz w:val="20"/>
          <w:szCs w:val="20"/>
        </w:rPr>
        <w:t>ash</w:t>
      </w:r>
      <w:r w:rsidR="00381E0E">
        <w:rPr>
          <w:rFonts w:cstheme="minorHAnsi"/>
          <w:color w:val="006666"/>
          <w:sz w:val="20"/>
          <w:szCs w:val="20"/>
        </w:rPr>
        <w:t xml:space="preserve"> transactions (</w:t>
      </w:r>
      <w:r w:rsidR="000C0CAA">
        <w:rPr>
          <w:rFonts w:cstheme="minorHAnsi"/>
          <w:color w:val="006666"/>
          <w:sz w:val="20"/>
          <w:szCs w:val="20"/>
        </w:rPr>
        <w:t>out</w:t>
      </w:r>
      <w:r w:rsidR="002A2008">
        <w:rPr>
          <w:rFonts w:cstheme="minorHAnsi"/>
          <w:color w:val="006666"/>
          <w:sz w:val="20"/>
          <w:szCs w:val="20"/>
        </w:rPr>
        <w:t xml:space="preserve">right </w:t>
      </w:r>
      <w:r w:rsidR="00381E0E">
        <w:rPr>
          <w:rFonts w:cstheme="minorHAnsi"/>
          <w:color w:val="006666"/>
          <w:sz w:val="20"/>
          <w:szCs w:val="20"/>
        </w:rPr>
        <w:t xml:space="preserve">sales or purchases). </w:t>
      </w:r>
    </w:p>
    <w:p w14:paraId="305EEE86" w14:textId="1F418DFB" w:rsidR="00BD2AD4" w:rsidRDefault="00BD2AD4" w:rsidP="0003391C">
      <w:pPr>
        <w:autoSpaceDE w:val="0"/>
        <w:autoSpaceDN w:val="0"/>
        <w:adjustRightInd w:val="0"/>
        <w:spacing w:after="0" w:line="240" w:lineRule="auto"/>
        <w:ind w:left="-426" w:right="119"/>
        <w:rPr>
          <w:rFonts w:cstheme="minorHAnsi"/>
          <w:color w:val="006666"/>
          <w:sz w:val="20"/>
          <w:szCs w:val="20"/>
        </w:rPr>
      </w:pPr>
      <w:r>
        <w:rPr>
          <w:rFonts w:cstheme="minorHAnsi"/>
          <w:color w:val="006666"/>
          <w:sz w:val="20"/>
          <w:szCs w:val="20"/>
        </w:rPr>
        <w:t xml:space="preserve">ISLA </w:t>
      </w:r>
      <w:r w:rsidR="004508C9">
        <w:rPr>
          <w:rFonts w:cstheme="minorHAnsi"/>
          <w:color w:val="006666"/>
          <w:sz w:val="20"/>
          <w:szCs w:val="20"/>
        </w:rPr>
        <w:t>understand</w:t>
      </w:r>
      <w:r>
        <w:rPr>
          <w:rFonts w:cstheme="minorHAnsi"/>
          <w:color w:val="006666"/>
          <w:sz w:val="20"/>
          <w:szCs w:val="20"/>
        </w:rPr>
        <w:t xml:space="preserve"> that the objective of the buy-in</w:t>
      </w:r>
      <w:r w:rsidR="00E44CCE">
        <w:rPr>
          <w:rFonts w:cstheme="minorHAnsi"/>
          <w:color w:val="006666"/>
          <w:sz w:val="20"/>
          <w:szCs w:val="20"/>
        </w:rPr>
        <w:t xml:space="preserve"> is</w:t>
      </w:r>
      <w:r>
        <w:rPr>
          <w:rFonts w:cstheme="minorHAnsi"/>
          <w:color w:val="006666"/>
          <w:sz w:val="20"/>
          <w:szCs w:val="20"/>
        </w:rPr>
        <w:t xml:space="preserve"> to ensure </w:t>
      </w:r>
      <w:r w:rsidR="00A965A4">
        <w:rPr>
          <w:rFonts w:cstheme="minorHAnsi"/>
          <w:color w:val="006666"/>
          <w:sz w:val="20"/>
          <w:szCs w:val="20"/>
        </w:rPr>
        <w:t xml:space="preserve">original trading </w:t>
      </w:r>
      <w:r w:rsidR="0071038A">
        <w:rPr>
          <w:rFonts w:cstheme="minorHAnsi"/>
          <w:color w:val="006666"/>
          <w:sz w:val="20"/>
          <w:szCs w:val="20"/>
        </w:rPr>
        <w:t>obligations</w:t>
      </w:r>
      <w:r w:rsidR="00A965A4">
        <w:rPr>
          <w:rFonts w:cstheme="minorHAnsi"/>
          <w:color w:val="006666"/>
          <w:sz w:val="20"/>
          <w:szCs w:val="20"/>
        </w:rPr>
        <w:t xml:space="preserve"> are met</w:t>
      </w:r>
      <w:r w:rsidR="00813909">
        <w:rPr>
          <w:rFonts w:cstheme="minorHAnsi"/>
          <w:color w:val="006666"/>
          <w:sz w:val="20"/>
          <w:szCs w:val="20"/>
        </w:rPr>
        <w:t>,</w:t>
      </w:r>
      <w:r w:rsidR="00A965A4">
        <w:rPr>
          <w:rFonts w:cstheme="minorHAnsi"/>
          <w:color w:val="006666"/>
          <w:sz w:val="20"/>
          <w:szCs w:val="20"/>
        </w:rPr>
        <w:t xml:space="preserve"> and where </w:t>
      </w:r>
      <w:r w:rsidR="00566BB6">
        <w:rPr>
          <w:rFonts w:cstheme="minorHAnsi"/>
          <w:color w:val="006666"/>
          <w:sz w:val="20"/>
          <w:szCs w:val="20"/>
        </w:rPr>
        <w:t xml:space="preserve">those </w:t>
      </w:r>
      <w:r w:rsidR="00A965A4">
        <w:rPr>
          <w:rFonts w:cstheme="minorHAnsi"/>
          <w:color w:val="006666"/>
          <w:sz w:val="20"/>
          <w:szCs w:val="20"/>
        </w:rPr>
        <w:t>obligations are not fulfilled</w:t>
      </w:r>
      <w:r w:rsidR="00650E3B">
        <w:rPr>
          <w:rFonts w:cstheme="minorHAnsi"/>
          <w:color w:val="006666"/>
          <w:sz w:val="20"/>
          <w:szCs w:val="20"/>
        </w:rPr>
        <w:t>,</w:t>
      </w:r>
      <w:r w:rsidR="00A965A4">
        <w:rPr>
          <w:rFonts w:cstheme="minorHAnsi"/>
          <w:color w:val="006666"/>
          <w:sz w:val="20"/>
          <w:szCs w:val="20"/>
        </w:rPr>
        <w:t xml:space="preserve"> there is a </w:t>
      </w:r>
      <w:r w:rsidR="00BD52F5">
        <w:rPr>
          <w:rFonts w:cstheme="minorHAnsi"/>
          <w:color w:val="006666"/>
          <w:sz w:val="20"/>
          <w:szCs w:val="20"/>
        </w:rPr>
        <w:t xml:space="preserve">structured </w:t>
      </w:r>
      <w:r w:rsidR="004C5F76">
        <w:rPr>
          <w:rFonts w:cstheme="minorHAnsi"/>
          <w:color w:val="006666"/>
          <w:sz w:val="20"/>
          <w:szCs w:val="20"/>
        </w:rPr>
        <w:t xml:space="preserve">legal </w:t>
      </w:r>
      <w:r w:rsidR="00BD52F5">
        <w:rPr>
          <w:rFonts w:cstheme="minorHAnsi"/>
          <w:color w:val="006666"/>
          <w:sz w:val="20"/>
          <w:szCs w:val="20"/>
        </w:rPr>
        <w:t xml:space="preserve">mechanism to </w:t>
      </w:r>
      <w:r w:rsidR="00813909">
        <w:rPr>
          <w:rFonts w:cstheme="minorHAnsi"/>
          <w:color w:val="006666"/>
          <w:sz w:val="20"/>
          <w:szCs w:val="20"/>
        </w:rPr>
        <w:t>enforce</w:t>
      </w:r>
      <w:r w:rsidR="00BC55BD">
        <w:rPr>
          <w:rFonts w:cstheme="minorHAnsi"/>
          <w:color w:val="006666"/>
          <w:sz w:val="20"/>
          <w:szCs w:val="20"/>
        </w:rPr>
        <w:t xml:space="preserve"> that</w:t>
      </w:r>
      <w:r w:rsidR="00813909">
        <w:rPr>
          <w:rFonts w:cstheme="minorHAnsi"/>
          <w:color w:val="006666"/>
          <w:sz w:val="20"/>
          <w:szCs w:val="20"/>
        </w:rPr>
        <w:t xml:space="preserve"> </w:t>
      </w:r>
      <w:r w:rsidR="004C5F76">
        <w:rPr>
          <w:rFonts w:cstheme="minorHAnsi"/>
          <w:color w:val="006666"/>
          <w:sz w:val="20"/>
          <w:szCs w:val="20"/>
        </w:rPr>
        <w:t xml:space="preserve">any </w:t>
      </w:r>
      <w:r w:rsidR="00A82C80">
        <w:rPr>
          <w:rFonts w:cstheme="minorHAnsi"/>
          <w:color w:val="006666"/>
          <w:sz w:val="20"/>
          <w:szCs w:val="20"/>
        </w:rPr>
        <w:t xml:space="preserve">loss is </w:t>
      </w:r>
      <w:r w:rsidR="00C435CB">
        <w:rPr>
          <w:rFonts w:cstheme="minorHAnsi"/>
          <w:color w:val="006666"/>
          <w:sz w:val="20"/>
          <w:szCs w:val="20"/>
        </w:rPr>
        <w:t xml:space="preserve">correctly </w:t>
      </w:r>
      <w:r w:rsidR="00A82C80">
        <w:rPr>
          <w:rFonts w:cstheme="minorHAnsi"/>
          <w:color w:val="006666"/>
          <w:sz w:val="20"/>
          <w:szCs w:val="20"/>
        </w:rPr>
        <w:t>compensated</w:t>
      </w:r>
      <w:r w:rsidR="00C435CB">
        <w:rPr>
          <w:rFonts w:cstheme="minorHAnsi"/>
          <w:color w:val="006666"/>
          <w:sz w:val="20"/>
          <w:szCs w:val="20"/>
        </w:rPr>
        <w:t>.</w:t>
      </w:r>
      <w:r w:rsidR="00A82C80">
        <w:rPr>
          <w:rFonts w:cstheme="minorHAnsi"/>
          <w:color w:val="006666"/>
          <w:sz w:val="20"/>
          <w:szCs w:val="20"/>
        </w:rPr>
        <w:t xml:space="preserve"> </w:t>
      </w:r>
      <w:r w:rsidR="00D67F45">
        <w:rPr>
          <w:rFonts w:cstheme="minorHAnsi"/>
          <w:color w:val="006666"/>
          <w:sz w:val="20"/>
          <w:szCs w:val="20"/>
        </w:rPr>
        <w:t>A</w:t>
      </w:r>
      <w:r w:rsidR="00A71140">
        <w:rPr>
          <w:rFonts w:cstheme="minorHAnsi"/>
          <w:color w:val="006666"/>
          <w:sz w:val="20"/>
          <w:szCs w:val="20"/>
        </w:rPr>
        <w:t>s</w:t>
      </w:r>
      <w:r w:rsidR="00D67F45">
        <w:rPr>
          <w:rFonts w:cstheme="minorHAnsi"/>
          <w:color w:val="006666"/>
          <w:sz w:val="20"/>
          <w:szCs w:val="20"/>
        </w:rPr>
        <w:t xml:space="preserve"> such, contractual remedies provided for in the GMSLA </w:t>
      </w:r>
      <w:r w:rsidR="00EB674D">
        <w:rPr>
          <w:rFonts w:cstheme="minorHAnsi"/>
          <w:color w:val="006666"/>
          <w:sz w:val="20"/>
          <w:szCs w:val="20"/>
        </w:rPr>
        <w:t xml:space="preserve">should be </w:t>
      </w:r>
      <w:r w:rsidR="008109DC">
        <w:rPr>
          <w:rFonts w:cstheme="minorHAnsi"/>
          <w:color w:val="006666"/>
          <w:sz w:val="20"/>
          <w:szCs w:val="20"/>
        </w:rPr>
        <w:t xml:space="preserve">considered </w:t>
      </w:r>
      <w:r w:rsidR="00EB674D">
        <w:rPr>
          <w:rFonts w:cstheme="minorHAnsi"/>
          <w:color w:val="006666"/>
          <w:sz w:val="20"/>
          <w:szCs w:val="20"/>
        </w:rPr>
        <w:t>sufficient for the SFT market</w:t>
      </w:r>
      <w:r w:rsidR="0003391C">
        <w:rPr>
          <w:rFonts w:cstheme="minorHAnsi"/>
          <w:color w:val="006666"/>
          <w:sz w:val="20"/>
          <w:szCs w:val="20"/>
        </w:rPr>
        <w:t xml:space="preserve">, as they </w:t>
      </w:r>
      <w:r w:rsidR="0003391C">
        <w:rPr>
          <w:rFonts w:ascii="Calibri" w:eastAsia="Times New Roman" w:hAnsi="Calibri" w:cs="Calibri"/>
          <w:color w:val="006666"/>
          <w:sz w:val="20"/>
          <w:szCs w:val="20"/>
          <w:lang w:eastAsia="en-GB"/>
        </w:rPr>
        <w:t>fulfil the objective of the regulation</w:t>
      </w:r>
      <w:r w:rsidR="00EB674D">
        <w:rPr>
          <w:rFonts w:cstheme="minorHAnsi"/>
          <w:color w:val="006666"/>
          <w:sz w:val="20"/>
          <w:szCs w:val="20"/>
        </w:rPr>
        <w:t xml:space="preserve">. </w:t>
      </w:r>
      <w:r w:rsidR="00B119EF">
        <w:rPr>
          <w:rFonts w:cstheme="minorHAnsi"/>
          <w:color w:val="006666"/>
          <w:sz w:val="20"/>
          <w:szCs w:val="20"/>
        </w:rPr>
        <w:t>The</w:t>
      </w:r>
      <w:r w:rsidR="0075267F">
        <w:rPr>
          <w:rFonts w:cstheme="minorHAnsi"/>
          <w:color w:val="006666"/>
          <w:sz w:val="20"/>
          <w:szCs w:val="20"/>
        </w:rPr>
        <w:t xml:space="preserve">re should </w:t>
      </w:r>
      <w:r w:rsidR="001E5896">
        <w:rPr>
          <w:rFonts w:cstheme="minorHAnsi"/>
          <w:color w:val="006666"/>
          <w:sz w:val="20"/>
          <w:szCs w:val="20"/>
        </w:rPr>
        <w:t xml:space="preserve">also </w:t>
      </w:r>
      <w:r w:rsidR="000F34B7">
        <w:rPr>
          <w:rFonts w:cstheme="minorHAnsi"/>
          <w:color w:val="006666"/>
          <w:sz w:val="20"/>
          <w:szCs w:val="20"/>
        </w:rPr>
        <w:t xml:space="preserve">be an </w:t>
      </w:r>
      <w:r w:rsidR="00B119EF">
        <w:rPr>
          <w:rFonts w:cstheme="minorHAnsi"/>
          <w:color w:val="006666"/>
          <w:sz w:val="20"/>
          <w:szCs w:val="20"/>
        </w:rPr>
        <w:t>exclusion</w:t>
      </w:r>
      <w:r w:rsidR="000F34B7">
        <w:rPr>
          <w:rFonts w:cstheme="minorHAnsi"/>
          <w:color w:val="006666"/>
          <w:sz w:val="20"/>
          <w:szCs w:val="20"/>
        </w:rPr>
        <w:t xml:space="preserve"> to </w:t>
      </w:r>
      <w:r w:rsidR="001F212F">
        <w:rPr>
          <w:rFonts w:cstheme="minorHAnsi"/>
          <w:color w:val="006666"/>
          <w:sz w:val="20"/>
          <w:szCs w:val="20"/>
        </w:rPr>
        <w:t xml:space="preserve">cover </w:t>
      </w:r>
      <w:r w:rsidR="005A1F4A">
        <w:rPr>
          <w:rFonts w:cstheme="minorHAnsi"/>
          <w:color w:val="006666"/>
          <w:sz w:val="20"/>
          <w:szCs w:val="20"/>
        </w:rPr>
        <w:t>c</w:t>
      </w:r>
      <w:r w:rsidR="00ED78FE">
        <w:rPr>
          <w:rFonts w:cstheme="minorHAnsi"/>
          <w:color w:val="006666"/>
          <w:sz w:val="20"/>
          <w:szCs w:val="20"/>
        </w:rPr>
        <w:t xml:space="preserve">ollateral </w:t>
      </w:r>
      <w:r w:rsidR="005A1F4A">
        <w:rPr>
          <w:rFonts w:cstheme="minorHAnsi"/>
          <w:color w:val="006666"/>
          <w:sz w:val="20"/>
          <w:szCs w:val="20"/>
        </w:rPr>
        <w:t>movements, m</w:t>
      </w:r>
      <w:r w:rsidR="00280B0A">
        <w:rPr>
          <w:rFonts w:cstheme="minorHAnsi"/>
          <w:color w:val="006666"/>
          <w:sz w:val="20"/>
          <w:szCs w:val="20"/>
        </w:rPr>
        <w:t xml:space="preserve">argin </w:t>
      </w:r>
      <w:r w:rsidR="005A1F4A">
        <w:rPr>
          <w:rFonts w:cstheme="minorHAnsi"/>
          <w:color w:val="006666"/>
          <w:sz w:val="20"/>
          <w:szCs w:val="20"/>
        </w:rPr>
        <w:t>trade</w:t>
      </w:r>
      <w:r w:rsidR="008F6C87">
        <w:rPr>
          <w:rFonts w:cstheme="minorHAnsi"/>
          <w:color w:val="006666"/>
          <w:sz w:val="20"/>
          <w:szCs w:val="20"/>
        </w:rPr>
        <w:t>s</w:t>
      </w:r>
      <w:r w:rsidR="00ED78FE">
        <w:rPr>
          <w:rFonts w:cstheme="minorHAnsi"/>
          <w:color w:val="006666"/>
          <w:sz w:val="20"/>
          <w:szCs w:val="20"/>
        </w:rPr>
        <w:t xml:space="preserve"> </w:t>
      </w:r>
      <w:r w:rsidR="00280B0A">
        <w:rPr>
          <w:rFonts w:cstheme="minorHAnsi"/>
          <w:color w:val="006666"/>
          <w:sz w:val="20"/>
          <w:szCs w:val="20"/>
        </w:rPr>
        <w:t>and intra-entity movement</w:t>
      </w:r>
      <w:r w:rsidR="00F34311">
        <w:rPr>
          <w:rFonts w:cstheme="minorHAnsi"/>
          <w:color w:val="006666"/>
          <w:sz w:val="20"/>
          <w:szCs w:val="20"/>
        </w:rPr>
        <w:t>s</w:t>
      </w:r>
      <w:r w:rsidR="008F6C87">
        <w:rPr>
          <w:rFonts w:cstheme="minorHAnsi"/>
          <w:color w:val="006666"/>
          <w:sz w:val="20"/>
          <w:szCs w:val="20"/>
        </w:rPr>
        <w:t>,</w:t>
      </w:r>
      <w:r w:rsidR="00CA1566">
        <w:rPr>
          <w:rFonts w:cstheme="minorHAnsi"/>
          <w:color w:val="006666"/>
          <w:sz w:val="20"/>
          <w:szCs w:val="20"/>
        </w:rPr>
        <w:t xml:space="preserve"> which pose no systemic </w:t>
      </w:r>
      <w:r w:rsidR="00823416">
        <w:rPr>
          <w:rFonts w:cstheme="minorHAnsi"/>
          <w:color w:val="006666"/>
          <w:sz w:val="20"/>
          <w:szCs w:val="20"/>
        </w:rPr>
        <w:t>market risk</w:t>
      </w:r>
      <w:r w:rsidR="00FC14AD">
        <w:rPr>
          <w:rFonts w:cstheme="minorHAnsi"/>
          <w:color w:val="006666"/>
          <w:sz w:val="20"/>
          <w:szCs w:val="20"/>
        </w:rPr>
        <w:t xml:space="preserve">. </w:t>
      </w:r>
    </w:p>
    <w:p w14:paraId="277A3339" w14:textId="77777777" w:rsidR="0044283F" w:rsidRDefault="0044283F" w:rsidP="0006331C">
      <w:pPr>
        <w:autoSpaceDE w:val="0"/>
        <w:autoSpaceDN w:val="0"/>
        <w:adjustRightInd w:val="0"/>
        <w:spacing w:after="0" w:line="240" w:lineRule="auto"/>
        <w:ind w:right="119"/>
        <w:rPr>
          <w:rFonts w:cstheme="minorHAnsi"/>
          <w:color w:val="006666"/>
          <w:sz w:val="20"/>
          <w:szCs w:val="20"/>
        </w:rPr>
      </w:pPr>
    </w:p>
    <w:p w14:paraId="616F76F1" w14:textId="343673B2" w:rsidR="0095308D" w:rsidRPr="00EC1EE2" w:rsidRDefault="0095308D" w:rsidP="00F179C0">
      <w:pPr>
        <w:autoSpaceDE w:val="0"/>
        <w:autoSpaceDN w:val="0"/>
        <w:adjustRightInd w:val="0"/>
        <w:spacing w:after="0" w:line="240" w:lineRule="auto"/>
        <w:ind w:left="-426" w:right="119"/>
        <w:rPr>
          <w:rFonts w:ascii="Calibri" w:eastAsia="Times New Roman" w:hAnsi="Calibri" w:cs="Calibri"/>
          <w:b/>
          <w:color w:val="006666"/>
          <w:sz w:val="20"/>
          <w:szCs w:val="20"/>
          <w:u w:val="single"/>
          <w:lang w:eastAsia="en-GB"/>
        </w:rPr>
      </w:pPr>
      <w:r w:rsidRPr="00EC1EE2">
        <w:rPr>
          <w:rFonts w:ascii="Calibri" w:eastAsia="Times New Roman" w:hAnsi="Calibri" w:cs="Calibri"/>
          <w:b/>
          <w:color w:val="006666"/>
          <w:sz w:val="20"/>
          <w:szCs w:val="20"/>
          <w:u w:val="single"/>
          <w:lang w:eastAsia="en-GB"/>
        </w:rPr>
        <w:t>Asymmetry</w:t>
      </w:r>
      <w:r w:rsidR="00695A3D">
        <w:rPr>
          <w:rFonts w:ascii="Calibri" w:eastAsia="Times New Roman" w:hAnsi="Calibri" w:cs="Calibri"/>
          <w:b/>
          <w:color w:val="006666"/>
          <w:sz w:val="20"/>
          <w:szCs w:val="20"/>
          <w:u w:val="single"/>
          <w:lang w:eastAsia="en-GB"/>
        </w:rPr>
        <w:t>:</w:t>
      </w:r>
    </w:p>
    <w:p w14:paraId="048B1A78" w14:textId="10CD0708" w:rsidR="0095308D" w:rsidRDefault="0095308D" w:rsidP="00F179C0">
      <w:pPr>
        <w:autoSpaceDE w:val="0"/>
        <w:autoSpaceDN w:val="0"/>
        <w:adjustRightInd w:val="0"/>
        <w:spacing w:after="0" w:line="240" w:lineRule="auto"/>
        <w:ind w:left="-426" w:right="119"/>
        <w:rPr>
          <w:rFonts w:ascii="Calibri" w:eastAsia="Times New Roman" w:hAnsi="Calibri" w:cs="Calibri"/>
          <w:color w:val="006666"/>
          <w:sz w:val="20"/>
          <w:szCs w:val="20"/>
          <w:lang w:eastAsia="en-GB"/>
        </w:rPr>
      </w:pPr>
    </w:p>
    <w:p w14:paraId="24936745" w14:textId="2E0B0375" w:rsidR="0095308D" w:rsidRDefault="004306C0" w:rsidP="006024D0">
      <w:pPr>
        <w:autoSpaceDE w:val="0"/>
        <w:autoSpaceDN w:val="0"/>
        <w:adjustRightInd w:val="0"/>
        <w:spacing w:after="0" w:line="240" w:lineRule="auto"/>
        <w:ind w:left="-426" w:right="119"/>
        <w:rPr>
          <w:rFonts w:ascii="Calibri" w:eastAsia="Times New Roman" w:hAnsi="Calibri" w:cs="Calibri"/>
          <w:color w:val="006666"/>
          <w:sz w:val="20"/>
          <w:szCs w:val="20"/>
          <w:lang w:eastAsia="en-GB"/>
        </w:rPr>
      </w:pPr>
      <w:r>
        <w:rPr>
          <w:rFonts w:ascii="Calibri" w:eastAsia="Times New Roman" w:hAnsi="Calibri" w:cs="Calibri"/>
          <w:color w:val="006666"/>
          <w:sz w:val="20"/>
          <w:szCs w:val="20"/>
          <w:lang w:eastAsia="en-GB"/>
        </w:rPr>
        <w:t xml:space="preserve">ISLA </w:t>
      </w:r>
      <w:r w:rsidR="009409C9">
        <w:rPr>
          <w:rFonts w:ascii="Calibri" w:eastAsia="Times New Roman" w:hAnsi="Calibri" w:cs="Calibri"/>
          <w:color w:val="006666"/>
          <w:sz w:val="20"/>
          <w:szCs w:val="20"/>
          <w:lang w:eastAsia="en-GB"/>
        </w:rPr>
        <w:t xml:space="preserve">support both ICMA &amp; AFME’s </w:t>
      </w:r>
      <w:r w:rsidR="00974298">
        <w:rPr>
          <w:rFonts w:ascii="Calibri" w:eastAsia="Times New Roman" w:hAnsi="Calibri" w:cs="Calibri"/>
          <w:color w:val="006666"/>
          <w:sz w:val="20"/>
          <w:szCs w:val="20"/>
          <w:lang w:eastAsia="en-GB"/>
        </w:rPr>
        <w:t>request</w:t>
      </w:r>
      <w:r w:rsidR="00D3376B">
        <w:rPr>
          <w:rFonts w:ascii="Calibri" w:eastAsia="Times New Roman" w:hAnsi="Calibri" w:cs="Calibri"/>
          <w:color w:val="006666"/>
          <w:sz w:val="20"/>
          <w:szCs w:val="20"/>
          <w:lang w:eastAsia="en-GB"/>
        </w:rPr>
        <w:t>s for</w:t>
      </w:r>
      <w:r w:rsidR="00974298">
        <w:rPr>
          <w:rFonts w:ascii="Calibri" w:eastAsia="Times New Roman" w:hAnsi="Calibri" w:cs="Calibri"/>
          <w:color w:val="006666"/>
          <w:sz w:val="20"/>
          <w:szCs w:val="20"/>
          <w:lang w:eastAsia="en-GB"/>
        </w:rPr>
        <w:t xml:space="preserve"> the</w:t>
      </w:r>
      <w:r>
        <w:rPr>
          <w:rFonts w:ascii="Calibri" w:eastAsia="Times New Roman" w:hAnsi="Calibri" w:cs="Calibri"/>
          <w:color w:val="006666"/>
          <w:sz w:val="20"/>
          <w:szCs w:val="20"/>
          <w:lang w:eastAsia="en-GB"/>
        </w:rPr>
        <w:t xml:space="preserve"> removal of asymmetry </w:t>
      </w:r>
      <w:r w:rsidR="00F34D5C">
        <w:rPr>
          <w:rFonts w:ascii="Calibri" w:eastAsia="Times New Roman" w:hAnsi="Calibri" w:cs="Calibri"/>
          <w:color w:val="006666"/>
          <w:sz w:val="20"/>
          <w:szCs w:val="20"/>
          <w:lang w:eastAsia="en-GB"/>
        </w:rPr>
        <w:t xml:space="preserve">for the price differentials and </w:t>
      </w:r>
      <w:r w:rsidR="006024D0">
        <w:rPr>
          <w:rFonts w:ascii="Calibri" w:eastAsia="Times New Roman" w:hAnsi="Calibri" w:cs="Calibri"/>
          <w:color w:val="006666"/>
          <w:sz w:val="20"/>
          <w:szCs w:val="20"/>
          <w:lang w:eastAsia="en-GB"/>
        </w:rPr>
        <w:t xml:space="preserve">cash compensation </w:t>
      </w:r>
      <w:r w:rsidR="00D3200E">
        <w:rPr>
          <w:rFonts w:ascii="Calibri" w:eastAsia="Times New Roman" w:hAnsi="Calibri" w:cs="Calibri"/>
          <w:color w:val="006666"/>
          <w:sz w:val="20"/>
          <w:szCs w:val="20"/>
          <w:lang w:eastAsia="en-GB"/>
        </w:rPr>
        <w:t xml:space="preserve">(cash out) </w:t>
      </w:r>
      <w:r w:rsidR="003342EB">
        <w:rPr>
          <w:rFonts w:ascii="Calibri" w:eastAsia="Times New Roman" w:hAnsi="Calibri" w:cs="Calibri"/>
          <w:color w:val="006666"/>
          <w:sz w:val="20"/>
          <w:szCs w:val="20"/>
          <w:lang w:eastAsia="en-GB"/>
        </w:rPr>
        <w:t xml:space="preserve">to reflect the </w:t>
      </w:r>
      <w:r w:rsidR="00544919">
        <w:rPr>
          <w:rFonts w:ascii="Calibri" w:eastAsia="Times New Roman" w:hAnsi="Calibri" w:cs="Calibri"/>
          <w:color w:val="006666"/>
          <w:sz w:val="20"/>
          <w:szCs w:val="20"/>
          <w:lang w:eastAsia="en-GB"/>
        </w:rPr>
        <w:t>intersection</w:t>
      </w:r>
      <w:r w:rsidR="003342EB">
        <w:rPr>
          <w:rFonts w:ascii="Calibri" w:eastAsia="Times New Roman" w:hAnsi="Calibri" w:cs="Calibri"/>
          <w:color w:val="006666"/>
          <w:sz w:val="20"/>
          <w:szCs w:val="20"/>
          <w:lang w:eastAsia="en-GB"/>
        </w:rPr>
        <w:t xml:space="preserve"> of the cash and SFT market</w:t>
      </w:r>
      <w:r w:rsidR="006024D0">
        <w:rPr>
          <w:rFonts w:ascii="Calibri" w:eastAsia="Times New Roman" w:hAnsi="Calibri" w:cs="Calibri"/>
          <w:color w:val="006666"/>
          <w:sz w:val="20"/>
          <w:szCs w:val="20"/>
          <w:lang w:eastAsia="en-GB"/>
        </w:rPr>
        <w:t xml:space="preserve">, </w:t>
      </w:r>
      <w:r w:rsidR="004870F3">
        <w:rPr>
          <w:rFonts w:ascii="Calibri" w:eastAsia="Times New Roman" w:hAnsi="Calibri" w:cs="Calibri"/>
          <w:color w:val="006666"/>
          <w:sz w:val="20"/>
          <w:szCs w:val="20"/>
          <w:lang w:eastAsia="en-GB"/>
        </w:rPr>
        <w:t xml:space="preserve">by an amendment to </w:t>
      </w:r>
      <w:r w:rsidR="00324BC1">
        <w:rPr>
          <w:rFonts w:ascii="Calibri" w:eastAsia="Times New Roman" w:hAnsi="Calibri" w:cs="Calibri"/>
          <w:color w:val="006666"/>
          <w:sz w:val="20"/>
          <w:szCs w:val="20"/>
          <w:lang w:eastAsia="en-GB"/>
        </w:rPr>
        <w:t xml:space="preserve">the Level 1 Text, </w:t>
      </w:r>
      <w:r w:rsidR="004870F3">
        <w:rPr>
          <w:rFonts w:ascii="Calibri" w:eastAsia="Times New Roman" w:hAnsi="Calibri" w:cs="Calibri"/>
          <w:color w:val="006666"/>
          <w:sz w:val="20"/>
          <w:szCs w:val="20"/>
          <w:lang w:eastAsia="en-GB"/>
        </w:rPr>
        <w:t>Article 7 (</w:t>
      </w:r>
      <w:r w:rsidR="000C0FBF">
        <w:rPr>
          <w:rFonts w:ascii="Calibri" w:eastAsia="Times New Roman" w:hAnsi="Calibri" w:cs="Calibri"/>
          <w:color w:val="006666"/>
          <w:sz w:val="20"/>
          <w:szCs w:val="20"/>
          <w:lang w:eastAsia="en-GB"/>
        </w:rPr>
        <w:t>6)</w:t>
      </w:r>
      <w:r w:rsidR="00324BC1">
        <w:rPr>
          <w:rFonts w:ascii="Calibri" w:eastAsia="Times New Roman" w:hAnsi="Calibri" w:cs="Calibri"/>
          <w:color w:val="006666"/>
          <w:sz w:val="20"/>
          <w:szCs w:val="20"/>
          <w:lang w:eastAsia="en-GB"/>
        </w:rPr>
        <w:t xml:space="preserve"> &amp; </w:t>
      </w:r>
      <w:r w:rsidR="00E63EEA">
        <w:rPr>
          <w:rFonts w:ascii="Calibri" w:eastAsia="Times New Roman" w:hAnsi="Calibri" w:cs="Calibri"/>
          <w:color w:val="006666"/>
          <w:sz w:val="20"/>
          <w:szCs w:val="20"/>
          <w:lang w:eastAsia="en-GB"/>
        </w:rPr>
        <w:t>Articles 32 &amp; 35 of the RTS</w:t>
      </w:r>
      <w:r w:rsidR="00CB326E">
        <w:rPr>
          <w:rFonts w:ascii="Calibri" w:eastAsia="Times New Roman" w:hAnsi="Calibri" w:cs="Calibri"/>
          <w:color w:val="006666"/>
          <w:sz w:val="20"/>
          <w:szCs w:val="20"/>
          <w:lang w:eastAsia="en-GB"/>
        </w:rPr>
        <w:t>.</w:t>
      </w:r>
    </w:p>
    <w:p w14:paraId="00E6E0DD" w14:textId="77777777" w:rsidR="00CB326E" w:rsidRDefault="00CB326E" w:rsidP="00F179C0">
      <w:pPr>
        <w:autoSpaceDE w:val="0"/>
        <w:autoSpaceDN w:val="0"/>
        <w:adjustRightInd w:val="0"/>
        <w:spacing w:after="0" w:line="240" w:lineRule="auto"/>
        <w:ind w:left="-426" w:right="119"/>
        <w:rPr>
          <w:rFonts w:cstheme="minorHAnsi"/>
          <w:color w:val="006666"/>
          <w:sz w:val="20"/>
          <w:szCs w:val="20"/>
        </w:rPr>
      </w:pPr>
    </w:p>
    <w:p w14:paraId="2EAF2928" w14:textId="11C13D53" w:rsidR="0095308D" w:rsidRPr="001058BB" w:rsidRDefault="00E005B6" w:rsidP="00F179C0">
      <w:pPr>
        <w:autoSpaceDE w:val="0"/>
        <w:autoSpaceDN w:val="0"/>
        <w:adjustRightInd w:val="0"/>
        <w:spacing w:after="0" w:line="240" w:lineRule="auto"/>
        <w:ind w:left="-426" w:right="119"/>
        <w:rPr>
          <w:rFonts w:cstheme="minorHAnsi"/>
          <w:color w:val="006666"/>
          <w:sz w:val="20"/>
          <w:szCs w:val="20"/>
        </w:rPr>
      </w:pPr>
      <w:r>
        <w:rPr>
          <w:rFonts w:cstheme="minorHAnsi"/>
          <w:color w:val="006666"/>
          <w:sz w:val="20"/>
          <w:szCs w:val="20"/>
        </w:rPr>
        <w:t>The traditional buy-in process a</w:t>
      </w:r>
      <w:r w:rsidR="0098466B">
        <w:rPr>
          <w:rFonts w:cstheme="minorHAnsi"/>
          <w:color w:val="006666"/>
          <w:sz w:val="20"/>
          <w:szCs w:val="20"/>
        </w:rPr>
        <w:t xml:space="preserve">llows for payment to be made for the difference of the buy-in price and the original </w:t>
      </w:r>
      <w:r w:rsidR="009C6FF6">
        <w:rPr>
          <w:rFonts w:cstheme="minorHAnsi"/>
          <w:color w:val="006666"/>
          <w:sz w:val="20"/>
          <w:szCs w:val="20"/>
        </w:rPr>
        <w:t xml:space="preserve">trade </w:t>
      </w:r>
      <w:r w:rsidR="0098466B">
        <w:rPr>
          <w:rFonts w:cstheme="minorHAnsi"/>
          <w:color w:val="006666"/>
          <w:sz w:val="20"/>
          <w:szCs w:val="20"/>
        </w:rPr>
        <w:t>price</w:t>
      </w:r>
      <w:r w:rsidR="007B3BD4">
        <w:rPr>
          <w:rFonts w:cstheme="minorHAnsi"/>
          <w:color w:val="006666"/>
          <w:sz w:val="20"/>
          <w:szCs w:val="20"/>
        </w:rPr>
        <w:t xml:space="preserve"> – this </w:t>
      </w:r>
      <w:r w:rsidR="00A44238">
        <w:rPr>
          <w:rFonts w:cstheme="minorHAnsi"/>
          <w:color w:val="006666"/>
          <w:sz w:val="20"/>
          <w:szCs w:val="20"/>
        </w:rPr>
        <w:t>should</w:t>
      </w:r>
      <w:r w:rsidR="007B3BD4">
        <w:rPr>
          <w:rFonts w:cstheme="minorHAnsi"/>
          <w:color w:val="006666"/>
          <w:sz w:val="20"/>
          <w:szCs w:val="20"/>
        </w:rPr>
        <w:t xml:space="preserve"> be made in either direction </w:t>
      </w:r>
      <w:r w:rsidR="005C08EA">
        <w:rPr>
          <w:rFonts w:cstheme="minorHAnsi"/>
          <w:color w:val="006666"/>
          <w:sz w:val="20"/>
          <w:szCs w:val="20"/>
        </w:rPr>
        <w:t>between trading parties</w:t>
      </w:r>
      <w:r w:rsidR="00E66782">
        <w:rPr>
          <w:rFonts w:cstheme="minorHAnsi"/>
          <w:color w:val="006666"/>
          <w:sz w:val="20"/>
          <w:szCs w:val="20"/>
        </w:rPr>
        <w:t>,</w:t>
      </w:r>
      <w:r w:rsidR="005C08EA">
        <w:rPr>
          <w:rFonts w:cstheme="minorHAnsi"/>
          <w:color w:val="006666"/>
          <w:sz w:val="20"/>
          <w:szCs w:val="20"/>
        </w:rPr>
        <w:t xml:space="preserve"> dependent on whether the buy-in price is higher or lower than the original</w:t>
      </w:r>
      <w:r w:rsidR="000C0FBF">
        <w:rPr>
          <w:rFonts w:cstheme="minorHAnsi"/>
          <w:color w:val="006666"/>
          <w:sz w:val="20"/>
          <w:szCs w:val="20"/>
        </w:rPr>
        <w:t xml:space="preserve"> trade price</w:t>
      </w:r>
      <w:r w:rsidR="00A435C2">
        <w:rPr>
          <w:rFonts w:cstheme="minorHAnsi"/>
          <w:color w:val="006666"/>
          <w:sz w:val="20"/>
          <w:szCs w:val="20"/>
        </w:rPr>
        <w:t>.</w:t>
      </w:r>
    </w:p>
    <w:p w14:paraId="0148A5DF" w14:textId="73A6D62A" w:rsidR="002E36EA" w:rsidRDefault="002E36EA" w:rsidP="00EA25FA">
      <w:pPr>
        <w:autoSpaceDE w:val="0"/>
        <w:autoSpaceDN w:val="0"/>
        <w:adjustRightInd w:val="0"/>
        <w:spacing w:after="0" w:line="240" w:lineRule="auto"/>
        <w:ind w:left="-426" w:right="119"/>
        <w:rPr>
          <w:rFonts w:cstheme="minorHAnsi"/>
          <w:color w:val="000000"/>
          <w:sz w:val="20"/>
          <w:szCs w:val="20"/>
        </w:rPr>
      </w:pPr>
    </w:p>
    <w:p w14:paraId="1F21D198" w14:textId="60BBCF35" w:rsidR="00F73891" w:rsidRDefault="00677BCC" w:rsidP="00F73891">
      <w:pPr>
        <w:autoSpaceDE w:val="0"/>
        <w:autoSpaceDN w:val="0"/>
        <w:adjustRightInd w:val="0"/>
        <w:spacing w:after="0" w:line="240" w:lineRule="auto"/>
        <w:ind w:left="-426" w:right="119"/>
        <w:rPr>
          <w:rFonts w:cstheme="minorHAnsi"/>
          <w:color w:val="006666"/>
          <w:sz w:val="20"/>
          <w:szCs w:val="20"/>
        </w:rPr>
      </w:pPr>
      <w:r>
        <w:rPr>
          <w:rFonts w:cstheme="minorHAnsi"/>
          <w:color w:val="006666"/>
          <w:sz w:val="20"/>
          <w:szCs w:val="20"/>
        </w:rPr>
        <w:t>Buy-ins</w:t>
      </w:r>
      <w:r w:rsidR="00E66782" w:rsidRPr="00D22F68">
        <w:rPr>
          <w:rFonts w:cstheme="minorHAnsi"/>
          <w:color w:val="006666"/>
          <w:sz w:val="20"/>
          <w:szCs w:val="20"/>
        </w:rPr>
        <w:t xml:space="preserve"> must be symmetrical in order for a </w:t>
      </w:r>
      <w:r w:rsidR="000C0FBF" w:rsidRPr="00D22F68">
        <w:rPr>
          <w:rFonts w:cstheme="minorHAnsi"/>
          <w:color w:val="006666"/>
          <w:sz w:val="20"/>
          <w:szCs w:val="20"/>
        </w:rPr>
        <w:t xml:space="preserve">suitable </w:t>
      </w:r>
      <w:r w:rsidR="00E66782" w:rsidRPr="00D22F68">
        <w:rPr>
          <w:rFonts w:cstheme="minorHAnsi"/>
          <w:color w:val="006666"/>
          <w:sz w:val="20"/>
          <w:szCs w:val="20"/>
        </w:rPr>
        <w:t>pass on mechanism to be developed by the industry</w:t>
      </w:r>
      <w:r w:rsidR="00B86525">
        <w:rPr>
          <w:rFonts w:cstheme="minorHAnsi"/>
          <w:color w:val="006666"/>
          <w:sz w:val="20"/>
          <w:szCs w:val="20"/>
        </w:rPr>
        <w:t>.</w:t>
      </w:r>
    </w:p>
    <w:p w14:paraId="3EBD924A" w14:textId="14657B28" w:rsidR="00106BC1" w:rsidRDefault="00106BC1" w:rsidP="00EA25FA">
      <w:pPr>
        <w:autoSpaceDE w:val="0"/>
        <w:autoSpaceDN w:val="0"/>
        <w:adjustRightInd w:val="0"/>
        <w:spacing w:after="0" w:line="240" w:lineRule="auto"/>
        <w:ind w:left="-426" w:right="119"/>
        <w:rPr>
          <w:rFonts w:cstheme="minorHAnsi"/>
          <w:b/>
          <w:bCs/>
          <w:color w:val="000000"/>
          <w:sz w:val="20"/>
          <w:szCs w:val="20"/>
        </w:rPr>
      </w:pPr>
    </w:p>
    <w:p w14:paraId="14325CBE" w14:textId="394D1E74" w:rsidR="00F6235A" w:rsidRDefault="00F6235A" w:rsidP="00EA25FA">
      <w:pPr>
        <w:autoSpaceDE w:val="0"/>
        <w:autoSpaceDN w:val="0"/>
        <w:adjustRightInd w:val="0"/>
        <w:spacing w:after="0" w:line="240" w:lineRule="auto"/>
        <w:ind w:left="-426" w:right="119"/>
        <w:rPr>
          <w:rFonts w:cstheme="minorHAnsi"/>
          <w:b/>
          <w:color w:val="006666"/>
          <w:sz w:val="20"/>
          <w:szCs w:val="20"/>
          <w:u w:val="single"/>
        </w:rPr>
      </w:pPr>
      <w:r w:rsidRPr="00F6235A">
        <w:rPr>
          <w:rFonts w:cstheme="minorHAnsi"/>
          <w:b/>
          <w:color w:val="006666"/>
          <w:sz w:val="20"/>
          <w:szCs w:val="20"/>
          <w:u w:val="single"/>
        </w:rPr>
        <w:t>CSDR penalties framework can have procyclical effects</w:t>
      </w:r>
      <w:r w:rsidR="009A1457">
        <w:rPr>
          <w:rFonts w:cstheme="minorHAnsi"/>
          <w:b/>
          <w:color w:val="006666"/>
          <w:sz w:val="20"/>
          <w:szCs w:val="20"/>
          <w:u w:val="single"/>
        </w:rPr>
        <w:t>:</w:t>
      </w:r>
    </w:p>
    <w:p w14:paraId="3380D5E0" w14:textId="7099D1FC" w:rsidR="00F6235A" w:rsidRDefault="00F6235A" w:rsidP="00EA25FA">
      <w:pPr>
        <w:autoSpaceDE w:val="0"/>
        <w:autoSpaceDN w:val="0"/>
        <w:adjustRightInd w:val="0"/>
        <w:spacing w:after="0" w:line="240" w:lineRule="auto"/>
        <w:ind w:left="-426" w:right="119"/>
        <w:rPr>
          <w:rFonts w:cstheme="minorHAnsi"/>
          <w:b/>
          <w:color w:val="006666"/>
          <w:sz w:val="20"/>
          <w:szCs w:val="20"/>
          <w:u w:val="single"/>
        </w:rPr>
      </w:pPr>
    </w:p>
    <w:p w14:paraId="6F61E3E0" w14:textId="77777777" w:rsidR="00BF7595" w:rsidRDefault="00BF7595" w:rsidP="00BF7595">
      <w:pPr>
        <w:autoSpaceDE w:val="0"/>
        <w:autoSpaceDN w:val="0"/>
        <w:adjustRightInd w:val="0"/>
        <w:spacing w:after="0" w:line="240" w:lineRule="auto"/>
        <w:ind w:left="-426" w:right="119"/>
        <w:rPr>
          <w:rFonts w:cstheme="minorHAnsi"/>
          <w:bCs/>
          <w:color w:val="006666"/>
          <w:sz w:val="20"/>
          <w:szCs w:val="20"/>
        </w:rPr>
      </w:pPr>
      <w:r>
        <w:rPr>
          <w:rFonts w:cstheme="minorHAnsi"/>
          <w:bCs/>
          <w:color w:val="006666"/>
          <w:sz w:val="20"/>
          <w:szCs w:val="20"/>
        </w:rPr>
        <w:t xml:space="preserve">ISLA consider buy-ins, and to a lesser degree penalties, to have pro-cyclical effects on market liquidity. This may be identified by the high level of fails throughout the initial stages of the pandemic in 2020, referenced in the ESMA Trends, Risks and Vulnerabilities </w:t>
      </w:r>
      <w:hyperlink r:id="rId24" w:history="1">
        <w:r w:rsidR="002F78D3" w:rsidRPr="00366D2B">
          <w:rPr>
            <w:rStyle w:val="Hyperlink"/>
            <w:rFonts w:cstheme="minorHAnsi"/>
            <w:bCs/>
            <w:sz w:val="20"/>
            <w:szCs w:val="20"/>
          </w:rPr>
          <w:t>report</w:t>
        </w:r>
      </w:hyperlink>
      <w:r>
        <w:rPr>
          <w:rFonts w:cstheme="minorHAnsi"/>
          <w:bCs/>
          <w:color w:val="006666"/>
          <w:sz w:val="20"/>
          <w:szCs w:val="20"/>
        </w:rPr>
        <w:t xml:space="preserve">. These may also be portrayed in more detail, in response to question 35. </w:t>
      </w:r>
    </w:p>
    <w:p w14:paraId="1268AE47" w14:textId="77777777" w:rsidR="00F6235A" w:rsidRDefault="00F6235A" w:rsidP="00EA25FA">
      <w:pPr>
        <w:autoSpaceDE w:val="0"/>
        <w:autoSpaceDN w:val="0"/>
        <w:adjustRightInd w:val="0"/>
        <w:spacing w:after="0" w:line="240" w:lineRule="auto"/>
        <w:ind w:left="-426" w:right="119"/>
        <w:rPr>
          <w:rFonts w:cstheme="minorHAnsi"/>
          <w:b/>
          <w:color w:val="006666"/>
          <w:sz w:val="20"/>
          <w:szCs w:val="20"/>
          <w:u w:val="single"/>
        </w:rPr>
      </w:pPr>
    </w:p>
    <w:p w14:paraId="0590954C" w14:textId="702AC78E" w:rsidR="00035713" w:rsidRPr="00EC1EE2" w:rsidRDefault="00035713" w:rsidP="00EA25FA">
      <w:pPr>
        <w:autoSpaceDE w:val="0"/>
        <w:autoSpaceDN w:val="0"/>
        <w:adjustRightInd w:val="0"/>
        <w:spacing w:after="0" w:line="240" w:lineRule="auto"/>
        <w:ind w:left="-426" w:right="119"/>
        <w:rPr>
          <w:rFonts w:cstheme="minorHAnsi"/>
          <w:b/>
          <w:color w:val="006666"/>
          <w:sz w:val="20"/>
          <w:szCs w:val="20"/>
          <w:u w:val="single"/>
        </w:rPr>
      </w:pPr>
      <w:r w:rsidRPr="00EC1EE2">
        <w:rPr>
          <w:rFonts w:cstheme="minorHAnsi"/>
          <w:b/>
          <w:color w:val="006666"/>
          <w:sz w:val="20"/>
          <w:szCs w:val="20"/>
          <w:u w:val="single"/>
        </w:rPr>
        <w:t xml:space="preserve">Revise </w:t>
      </w:r>
      <w:r w:rsidR="00511493">
        <w:rPr>
          <w:rFonts w:cstheme="minorHAnsi"/>
          <w:b/>
          <w:color w:val="006666"/>
          <w:sz w:val="20"/>
          <w:szCs w:val="20"/>
          <w:u w:val="single"/>
        </w:rPr>
        <w:t>Penalty</w:t>
      </w:r>
      <w:r w:rsidRPr="00EC1EE2">
        <w:rPr>
          <w:rFonts w:cstheme="minorHAnsi"/>
          <w:b/>
          <w:color w:val="006666"/>
          <w:sz w:val="20"/>
          <w:szCs w:val="20"/>
          <w:u w:val="single"/>
        </w:rPr>
        <w:t xml:space="preserve"> Rates</w:t>
      </w:r>
      <w:r w:rsidR="00695A3D">
        <w:rPr>
          <w:rFonts w:cstheme="minorHAnsi"/>
          <w:b/>
          <w:color w:val="006666"/>
          <w:sz w:val="20"/>
          <w:szCs w:val="20"/>
          <w:u w:val="single"/>
        </w:rPr>
        <w:t>:</w:t>
      </w:r>
      <w:r w:rsidRPr="00EC1EE2">
        <w:rPr>
          <w:rFonts w:cstheme="minorHAnsi"/>
          <w:b/>
          <w:color w:val="006666"/>
          <w:sz w:val="20"/>
          <w:szCs w:val="20"/>
          <w:u w:val="single"/>
        </w:rPr>
        <w:t xml:space="preserve"> </w:t>
      </w:r>
    </w:p>
    <w:p w14:paraId="00773F2F" w14:textId="79BF921D" w:rsidR="006F5AAC" w:rsidRDefault="006F5AAC" w:rsidP="00EA25FA">
      <w:pPr>
        <w:autoSpaceDE w:val="0"/>
        <w:autoSpaceDN w:val="0"/>
        <w:adjustRightInd w:val="0"/>
        <w:spacing w:after="0" w:line="240" w:lineRule="auto"/>
        <w:ind w:left="-426" w:right="119"/>
        <w:rPr>
          <w:rFonts w:cstheme="minorHAnsi"/>
          <w:b/>
          <w:bCs/>
          <w:color w:val="006666"/>
          <w:sz w:val="20"/>
          <w:szCs w:val="20"/>
        </w:rPr>
      </w:pPr>
    </w:p>
    <w:p w14:paraId="7DFB3D34" w14:textId="77777777" w:rsidR="00E6662C" w:rsidRDefault="007A0130" w:rsidP="00EA25FA">
      <w:pPr>
        <w:autoSpaceDE w:val="0"/>
        <w:autoSpaceDN w:val="0"/>
        <w:adjustRightInd w:val="0"/>
        <w:spacing w:after="0" w:line="240" w:lineRule="auto"/>
        <w:ind w:left="-426" w:right="119"/>
        <w:rPr>
          <w:rFonts w:ascii="Calibri" w:eastAsia="Times New Roman" w:hAnsi="Calibri" w:cs="Calibri"/>
          <w:color w:val="006666"/>
          <w:sz w:val="20"/>
          <w:szCs w:val="20"/>
          <w:lang w:eastAsia="en-GB"/>
        </w:rPr>
      </w:pPr>
      <w:r w:rsidRPr="0075366C">
        <w:rPr>
          <w:rFonts w:ascii="Calibri" w:eastAsia="Times New Roman" w:hAnsi="Calibri" w:cs="Calibri"/>
          <w:color w:val="006666"/>
          <w:sz w:val="20"/>
          <w:szCs w:val="20"/>
          <w:lang w:eastAsia="en-GB"/>
        </w:rPr>
        <w:t xml:space="preserve">ISLA </w:t>
      </w:r>
      <w:r w:rsidR="00B0761E">
        <w:rPr>
          <w:rFonts w:ascii="Calibri" w:eastAsia="Times New Roman" w:hAnsi="Calibri" w:cs="Calibri"/>
          <w:color w:val="006666"/>
          <w:sz w:val="20"/>
          <w:szCs w:val="20"/>
          <w:lang w:eastAsia="en-GB"/>
        </w:rPr>
        <w:t xml:space="preserve">members consider the current </w:t>
      </w:r>
      <w:r w:rsidR="00496649">
        <w:rPr>
          <w:rFonts w:ascii="Calibri" w:eastAsia="Times New Roman" w:hAnsi="Calibri" w:cs="Calibri"/>
          <w:color w:val="006666"/>
          <w:sz w:val="20"/>
          <w:szCs w:val="20"/>
          <w:lang w:eastAsia="en-GB"/>
        </w:rPr>
        <w:t>rates to be sufficient</w:t>
      </w:r>
      <w:r w:rsidR="005F5F22">
        <w:rPr>
          <w:rFonts w:ascii="Calibri" w:eastAsia="Times New Roman" w:hAnsi="Calibri" w:cs="Calibri"/>
          <w:color w:val="006666"/>
          <w:sz w:val="20"/>
          <w:szCs w:val="20"/>
          <w:lang w:eastAsia="en-GB"/>
        </w:rPr>
        <w:t xml:space="preserve">, however would </w:t>
      </w:r>
      <w:r w:rsidR="0072388B">
        <w:rPr>
          <w:rFonts w:ascii="Calibri" w:eastAsia="Times New Roman" w:hAnsi="Calibri" w:cs="Calibri"/>
          <w:color w:val="006666"/>
          <w:sz w:val="20"/>
          <w:szCs w:val="20"/>
          <w:lang w:eastAsia="en-GB"/>
        </w:rPr>
        <w:t xml:space="preserve">request that </w:t>
      </w:r>
      <w:r w:rsidR="008025B7">
        <w:rPr>
          <w:rFonts w:ascii="Calibri" w:eastAsia="Times New Roman" w:hAnsi="Calibri" w:cs="Calibri"/>
          <w:color w:val="006666"/>
          <w:sz w:val="20"/>
          <w:szCs w:val="20"/>
          <w:lang w:eastAsia="en-GB"/>
        </w:rPr>
        <w:t xml:space="preserve">policy makers </w:t>
      </w:r>
      <w:r w:rsidR="009421B3">
        <w:rPr>
          <w:rFonts w:ascii="Calibri" w:eastAsia="Times New Roman" w:hAnsi="Calibri" w:cs="Calibri"/>
          <w:color w:val="006666"/>
          <w:sz w:val="20"/>
          <w:szCs w:val="20"/>
          <w:lang w:eastAsia="en-GB"/>
        </w:rPr>
        <w:t xml:space="preserve">clearly </w:t>
      </w:r>
      <w:r w:rsidR="008025B7">
        <w:rPr>
          <w:rFonts w:ascii="Calibri" w:eastAsia="Times New Roman" w:hAnsi="Calibri" w:cs="Calibri"/>
          <w:color w:val="006666"/>
          <w:sz w:val="20"/>
          <w:szCs w:val="20"/>
          <w:lang w:eastAsia="en-GB"/>
        </w:rPr>
        <w:t xml:space="preserve">advise what </w:t>
      </w:r>
      <w:r w:rsidR="00F3389C">
        <w:rPr>
          <w:rFonts w:ascii="Calibri" w:eastAsia="Times New Roman" w:hAnsi="Calibri" w:cs="Calibri"/>
          <w:color w:val="006666"/>
          <w:sz w:val="20"/>
          <w:szCs w:val="20"/>
          <w:lang w:eastAsia="en-GB"/>
        </w:rPr>
        <w:t xml:space="preserve">level of settlement </w:t>
      </w:r>
      <w:r w:rsidR="00E6662C">
        <w:rPr>
          <w:rFonts w:ascii="Calibri" w:eastAsia="Times New Roman" w:hAnsi="Calibri" w:cs="Calibri"/>
          <w:color w:val="006666"/>
          <w:sz w:val="20"/>
          <w:szCs w:val="20"/>
          <w:lang w:eastAsia="en-GB"/>
        </w:rPr>
        <w:t>success</w:t>
      </w:r>
      <w:r w:rsidR="00F3389C">
        <w:rPr>
          <w:rFonts w:ascii="Calibri" w:eastAsia="Times New Roman" w:hAnsi="Calibri" w:cs="Calibri"/>
          <w:color w:val="006666"/>
          <w:sz w:val="20"/>
          <w:szCs w:val="20"/>
          <w:lang w:eastAsia="en-GB"/>
        </w:rPr>
        <w:t xml:space="preserve"> would </w:t>
      </w:r>
      <w:r w:rsidR="00EF54D7">
        <w:rPr>
          <w:rFonts w:ascii="Calibri" w:eastAsia="Times New Roman" w:hAnsi="Calibri" w:cs="Calibri"/>
          <w:color w:val="006666"/>
          <w:sz w:val="20"/>
          <w:szCs w:val="20"/>
          <w:lang w:eastAsia="en-GB"/>
        </w:rPr>
        <w:t xml:space="preserve">constitute </w:t>
      </w:r>
      <w:r w:rsidR="008025B7">
        <w:rPr>
          <w:rFonts w:ascii="Calibri" w:eastAsia="Times New Roman" w:hAnsi="Calibri" w:cs="Calibri"/>
          <w:color w:val="006666"/>
          <w:sz w:val="20"/>
          <w:szCs w:val="20"/>
          <w:lang w:eastAsia="en-GB"/>
        </w:rPr>
        <w:t xml:space="preserve">a </w:t>
      </w:r>
      <w:r w:rsidR="00774D41">
        <w:rPr>
          <w:rFonts w:ascii="Calibri" w:eastAsia="Times New Roman" w:hAnsi="Calibri" w:cs="Calibri"/>
          <w:color w:val="006666"/>
          <w:sz w:val="20"/>
          <w:szCs w:val="20"/>
          <w:lang w:eastAsia="en-GB"/>
        </w:rPr>
        <w:t>‘</w:t>
      </w:r>
      <w:r w:rsidR="008025B7">
        <w:rPr>
          <w:rFonts w:ascii="Calibri" w:eastAsia="Times New Roman" w:hAnsi="Calibri" w:cs="Calibri"/>
          <w:color w:val="006666"/>
          <w:sz w:val="20"/>
          <w:szCs w:val="20"/>
          <w:lang w:eastAsia="en-GB"/>
        </w:rPr>
        <w:t>target</w:t>
      </w:r>
      <w:r w:rsidR="00774D41">
        <w:rPr>
          <w:rFonts w:ascii="Calibri" w:eastAsia="Times New Roman" w:hAnsi="Calibri" w:cs="Calibri"/>
          <w:color w:val="006666"/>
          <w:sz w:val="20"/>
          <w:szCs w:val="20"/>
          <w:lang w:eastAsia="en-GB"/>
        </w:rPr>
        <w:t>’</w:t>
      </w:r>
      <w:r w:rsidR="008025B7">
        <w:rPr>
          <w:rFonts w:ascii="Calibri" w:eastAsia="Times New Roman" w:hAnsi="Calibri" w:cs="Calibri"/>
          <w:color w:val="006666"/>
          <w:sz w:val="20"/>
          <w:szCs w:val="20"/>
          <w:lang w:eastAsia="en-GB"/>
        </w:rPr>
        <w:t xml:space="preserve"> efficiency rate</w:t>
      </w:r>
      <w:r w:rsidR="00774D41">
        <w:rPr>
          <w:rFonts w:ascii="Calibri" w:eastAsia="Times New Roman" w:hAnsi="Calibri" w:cs="Calibri"/>
          <w:color w:val="006666"/>
          <w:sz w:val="20"/>
          <w:szCs w:val="20"/>
          <w:lang w:eastAsia="en-GB"/>
        </w:rPr>
        <w:t xml:space="preserve">. </w:t>
      </w:r>
    </w:p>
    <w:p w14:paraId="45554A89" w14:textId="522CE210" w:rsidR="006F5AAC" w:rsidRPr="00485176" w:rsidRDefault="00774D41" w:rsidP="00485176">
      <w:pPr>
        <w:autoSpaceDE w:val="0"/>
        <w:autoSpaceDN w:val="0"/>
        <w:adjustRightInd w:val="0"/>
        <w:spacing w:after="0" w:line="240" w:lineRule="auto"/>
        <w:ind w:left="-426" w:right="119"/>
        <w:rPr>
          <w:rFonts w:ascii="Calibri" w:eastAsia="Times New Roman" w:hAnsi="Calibri" w:cs="Calibri"/>
          <w:color w:val="006666"/>
          <w:sz w:val="20"/>
          <w:szCs w:val="20"/>
          <w:lang w:eastAsia="en-GB"/>
        </w:rPr>
      </w:pPr>
      <w:r>
        <w:rPr>
          <w:rFonts w:ascii="Calibri" w:eastAsia="Times New Roman" w:hAnsi="Calibri" w:cs="Calibri"/>
          <w:color w:val="006666"/>
          <w:sz w:val="20"/>
          <w:szCs w:val="20"/>
          <w:lang w:eastAsia="en-GB"/>
        </w:rPr>
        <w:t xml:space="preserve">ISLA </w:t>
      </w:r>
      <w:r w:rsidR="00504F08">
        <w:rPr>
          <w:rFonts w:ascii="Calibri" w:eastAsia="Times New Roman" w:hAnsi="Calibri" w:cs="Calibri"/>
          <w:color w:val="006666"/>
          <w:sz w:val="20"/>
          <w:szCs w:val="20"/>
          <w:lang w:eastAsia="en-GB"/>
        </w:rPr>
        <w:t>note</w:t>
      </w:r>
      <w:r w:rsidR="00F429B2" w:rsidRPr="0075366C">
        <w:rPr>
          <w:rFonts w:ascii="Calibri" w:eastAsia="Times New Roman" w:hAnsi="Calibri" w:cs="Calibri"/>
          <w:color w:val="006666"/>
          <w:sz w:val="20"/>
          <w:szCs w:val="20"/>
          <w:lang w:eastAsia="en-GB"/>
        </w:rPr>
        <w:t xml:space="preserve"> that the </w:t>
      </w:r>
      <w:r w:rsidR="00B94648">
        <w:rPr>
          <w:rFonts w:ascii="Calibri" w:eastAsia="Times New Roman" w:hAnsi="Calibri" w:cs="Calibri"/>
          <w:color w:val="006666"/>
          <w:sz w:val="20"/>
          <w:szCs w:val="20"/>
          <w:lang w:eastAsia="en-GB"/>
        </w:rPr>
        <w:t xml:space="preserve">CSDR </w:t>
      </w:r>
      <w:r w:rsidR="00F429B2" w:rsidRPr="0075366C">
        <w:rPr>
          <w:rFonts w:ascii="Calibri" w:eastAsia="Times New Roman" w:hAnsi="Calibri" w:cs="Calibri"/>
          <w:color w:val="006666"/>
          <w:sz w:val="20"/>
          <w:szCs w:val="20"/>
          <w:lang w:eastAsia="en-GB"/>
        </w:rPr>
        <w:t>penalty mechanism</w:t>
      </w:r>
      <w:r w:rsidR="00311578">
        <w:rPr>
          <w:rFonts w:ascii="Calibri" w:eastAsia="Times New Roman" w:hAnsi="Calibri" w:cs="Calibri"/>
          <w:color w:val="006666"/>
          <w:sz w:val="20"/>
          <w:szCs w:val="20"/>
          <w:lang w:eastAsia="en-GB"/>
        </w:rPr>
        <w:t xml:space="preserve"> </w:t>
      </w:r>
      <w:r w:rsidR="001454FE">
        <w:rPr>
          <w:rFonts w:ascii="Calibri" w:eastAsia="Times New Roman" w:hAnsi="Calibri" w:cs="Calibri"/>
          <w:color w:val="006666"/>
          <w:sz w:val="20"/>
          <w:szCs w:val="20"/>
          <w:lang w:eastAsia="en-GB"/>
        </w:rPr>
        <w:t xml:space="preserve">alone </w:t>
      </w:r>
      <w:r w:rsidR="00F429B2" w:rsidRPr="0075366C">
        <w:rPr>
          <w:rFonts w:ascii="Calibri" w:eastAsia="Times New Roman" w:hAnsi="Calibri" w:cs="Calibri"/>
          <w:color w:val="006666"/>
          <w:sz w:val="20"/>
          <w:szCs w:val="20"/>
          <w:lang w:eastAsia="en-GB"/>
        </w:rPr>
        <w:t>should be sufficient to establish increased settlement efficiency across EU Capital markets</w:t>
      </w:r>
      <w:r w:rsidR="00BF41E4">
        <w:rPr>
          <w:rFonts w:ascii="Calibri" w:eastAsia="Times New Roman" w:hAnsi="Calibri" w:cs="Calibri"/>
          <w:color w:val="006666"/>
          <w:sz w:val="20"/>
          <w:szCs w:val="20"/>
          <w:lang w:eastAsia="en-GB"/>
        </w:rPr>
        <w:t xml:space="preserve">. As mentioned in other sections of this consultation, </w:t>
      </w:r>
      <w:r w:rsidR="006C3547">
        <w:rPr>
          <w:rFonts w:ascii="Calibri" w:eastAsia="Times New Roman" w:hAnsi="Calibri" w:cs="Calibri"/>
          <w:color w:val="006666"/>
          <w:sz w:val="20"/>
          <w:szCs w:val="20"/>
          <w:lang w:eastAsia="en-GB"/>
        </w:rPr>
        <w:t>ISLA propose that</w:t>
      </w:r>
      <w:r w:rsidR="007A0130" w:rsidRPr="0075366C">
        <w:rPr>
          <w:rFonts w:ascii="Calibri" w:eastAsia="Times New Roman" w:hAnsi="Calibri" w:cs="Calibri"/>
          <w:color w:val="006666"/>
          <w:sz w:val="20"/>
          <w:szCs w:val="20"/>
          <w:lang w:eastAsia="en-GB"/>
        </w:rPr>
        <w:t xml:space="preserve"> </w:t>
      </w:r>
      <w:r w:rsidR="00D64E5D">
        <w:rPr>
          <w:rFonts w:ascii="Calibri" w:eastAsia="Times New Roman" w:hAnsi="Calibri" w:cs="Calibri"/>
          <w:color w:val="006666"/>
          <w:sz w:val="20"/>
          <w:szCs w:val="20"/>
          <w:lang w:eastAsia="en-GB"/>
        </w:rPr>
        <w:t>policy makers</w:t>
      </w:r>
      <w:r w:rsidR="0075366C" w:rsidRPr="0075366C">
        <w:rPr>
          <w:rFonts w:ascii="Calibri" w:eastAsia="Times New Roman" w:hAnsi="Calibri" w:cs="Calibri"/>
          <w:color w:val="006666"/>
          <w:sz w:val="20"/>
          <w:szCs w:val="20"/>
          <w:lang w:eastAsia="en-GB"/>
        </w:rPr>
        <w:t xml:space="preserve"> </w:t>
      </w:r>
      <w:r w:rsidR="007A0130" w:rsidRPr="0075366C">
        <w:rPr>
          <w:rFonts w:ascii="Calibri" w:eastAsia="Times New Roman" w:hAnsi="Calibri" w:cs="Calibri"/>
          <w:color w:val="006666"/>
          <w:sz w:val="20"/>
          <w:szCs w:val="20"/>
          <w:lang w:eastAsia="en-GB"/>
        </w:rPr>
        <w:t>conduct a thorough impact assessment of the penalty structure</w:t>
      </w:r>
      <w:r w:rsidR="007025AF">
        <w:rPr>
          <w:rFonts w:ascii="Calibri" w:eastAsia="Times New Roman" w:hAnsi="Calibri" w:cs="Calibri"/>
          <w:color w:val="006666"/>
          <w:sz w:val="20"/>
          <w:szCs w:val="20"/>
          <w:lang w:eastAsia="en-GB"/>
        </w:rPr>
        <w:t>,</w:t>
      </w:r>
      <w:r w:rsidR="00000E09">
        <w:rPr>
          <w:rFonts w:ascii="Calibri" w:eastAsia="Times New Roman" w:hAnsi="Calibri" w:cs="Calibri"/>
          <w:color w:val="006666"/>
          <w:sz w:val="20"/>
          <w:szCs w:val="20"/>
          <w:lang w:eastAsia="en-GB"/>
        </w:rPr>
        <w:t xml:space="preserve"> post go</w:t>
      </w:r>
      <w:r w:rsidR="00096F59">
        <w:rPr>
          <w:rFonts w:ascii="Calibri" w:eastAsia="Times New Roman" w:hAnsi="Calibri" w:cs="Calibri"/>
          <w:color w:val="006666"/>
          <w:sz w:val="20"/>
          <w:szCs w:val="20"/>
          <w:lang w:eastAsia="en-GB"/>
        </w:rPr>
        <w:t>-</w:t>
      </w:r>
      <w:r w:rsidR="00000E09">
        <w:rPr>
          <w:rFonts w:ascii="Calibri" w:eastAsia="Times New Roman" w:hAnsi="Calibri" w:cs="Calibri"/>
          <w:color w:val="006666"/>
          <w:sz w:val="20"/>
          <w:szCs w:val="20"/>
          <w:lang w:eastAsia="en-GB"/>
        </w:rPr>
        <w:t>live</w:t>
      </w:r>
      <w:r w:rsidR="00BF41E4">
        <w:rPr>
          <w:rFonts w:ascii="Calibri" w:eastAsia="Times New Roman" w:hAnsi="Calibri" w:cs="Calibri"/>
          <w:color w:val="006666"/>
          <w:sz w:val="20"/>
          <w:szCs w:val="20"/>
          <w:lang w:eastAsia="en-GB"/>
        </w:rPr>
        <w:t xml:space="preserve"> </w:t>
      </w:r>
      <w:r w:rsidR="00096F59">
        <w:rPr>
          <w:rFonts w:ascii="Calibri" w:eastAsia="Times New Roman" w:hAnsi="Calibri" w:cs="Calibri"/>
          <w:color w:val="006666"/>
          <w:sz w:val="20"/>
          <w:szCs w:val="20"/>
          <w:lang w:eastAsia="en-GB"/>
        </w:rPr>
        <w:t>(</w:t>
      </w:r>
      <w:r w:rsidR="00BF41E4">
        <w:rPr>
          <w:rFonts w:ascii="Calibri" w:eastAsia="Times New Roman" w:hAnsi="Calibri" w:cs="Calibri"/>
          <w:color w:val="006666"/>
          <w:sz w:val="20"/>
          <w:szCs w:val="20"/>
          <w:lang w:eastAsia="en-GB"/>
        </w:rPr>
        <w:t>February 2022</w:t>
      </w:r>
      <w:r w:rsidR="00096F59">
        <w:rPr>
          <w:rFonts w:ascii="Calibri" w:eastAsia="Times New Roman" w:hAnsi="Calibri" w:cs="Calibri"/>
          <w:color w:val="006666"/>
          <w:sz w:val="20"/>
          <w:szCs w:val="20"/>
          <w:lang w:eastAsia="en-GB"/>
        </w:rPr>
        <w:t>)</w:t>
      </w:r>
      <w:r w:rsidR="007A0130" w:rsidRPr="0075366C">
        <w:rPr>
          <w:rFonts w:ascii="Calibri" w:eastAsia="Times New Roman" w:hAnsi="Calibri" w:cs="Calibri"/>
          <w:color w:val="006666"/>
          <w:sz w:val="20"/>
          <w:szCs w:val="20"/>
          <w:lang w:eastAsia="en-GB"/>
        </w:rPr>
        <w:t xml:space="preserve">, and </w:t>
      </w:r>
      <w:r w:rsidR="00696DDD">
        <w:rPr>
          <w:rFonts w:ascii="Calibri" w:eastAsia="Times New Roman" w:hAnsi="Calibri" w:cs="Calibri"/>
          <w:color w:val="006666"/>
          <w:sz w:val="20"/>
          <w:szCs w:val="20"/>
          <w:lang w:eastAsia="en-GB"/>
        </w:rPr>
        <w:t xml:space="preserve">continue to </w:t>
      </w:r>
      <w:r w:rsidR="00156DB6">
        <w:rPr>
          <w:rFonts w:ascii="Calibri" w:eastAsia="Times New Roman" w:hAnsi="Calibri" w:cs="Calibri"/>
          <w:color w:val="006666"/>
          <w:sz w:val="20"/>
          <w:szCs w:val="20"/>
          <w:lang w:eastAsia="en-GB"/>
        </w:rPr>
        <w:t xml:space="preserve">periodically </w:t>
      </w:r>
      <w:r w:rsidR="00DE095F">
        <w:rPr>
          <w:rFonts w:ascii="Calibri" w:eastAsia="Times New Roman" w:hAnsi="Calibri" w:cs="Calibri"/>
          <w:color w:val="006666"/>
          <w:sz w:val="20"/>
          <w:szCs w:val="20"/>
          <w:lang w:eastAsia="en-GB"/>
        </w:rPr>
        <w:t>m</w:t>
      </w:r>
      <w:r w:rsidR="00F63DB7">
        <w:rPr>
          <w:rFonts w:ascii="Calibri" w:eastAsia="Times New Roman" w:hAnsi="Calibri" w:cs="Calibri"/>
          <w:color w:val="006666"/>
          <w:sz w:val="20"/>
          <w:szCs w:val="20"/>
          <w:lang w:eastAsia="en-GB"/>
        </w:rPr>
        <w:t>onitor</w:t>
      </w:r>
      <w:r w:rsidR="00DE095F">
        <w:rPr>
          <w:rFonts w:ascii="Calibri" w:eastAsia="Times New Roman" w:hAnsi="Calibri" w:cs="Calibri"/>
          <w:color w:val="006666"/>
          <w:sz w:val="20"/>
          <w:szCs w:val="20"/>
          <w:lang w:eastAsia="en-GB"/>
        </w:rPr>
        <w:t xml:space="preserve"> </w:t>
      </w:r>
      <w:r w:rsidR="00156DB6">
        <w:rPr>
          <w:rFonts w:ascii="Calibri" w:eastAsia="Times New Roman" w:hAnsi="Calibri" w:cs="Calibri"/>
          <w:color w:val="006666"/>
          <w:sz w:val="20"/>
          <w:szCs w:val="20"/>
          <w:lang w:eastAsia="en-GB"/>
        </w:rPr>
        <w:t xml:space="preserve">that </w:t>
      </w:r>
      <w:r w:rsidR="007A0130" w:rsidRPr="0075366C">
        <w:rPr>
          <w:rFonts w:ascii="Calibri" w:eastAsia="Times New Roman" w:hAnsi="Calibri" w:cs="Calibri"/>
          <w:color w:val="006666"/>
          <w:sz w:val="20"/>
          <w:szCs w:val="20"/>
          <w:lang w:eastAsia="en-GB"/>
        </w:rPr>
        <w:t>efficiency</w:t>
      </w:r>
      <w:r w:rsidR="00F64594">
        <w:rPr>
          <w:rFonts w:ascii="Calibri" w:eastAsia="Times New Roman" w:hAnsi="Calibri" w:cs="Calibri"/>
          <w:color w:val="006666"/>
          <w:sz w:val="20"/>
          <w:szCs w:val="20"/>
          <w:lang w:eastAsia="en-GB"/>
        </w:rPr>
        <w:t>. W</w:t>
      </w:r>
      <w:r w:rsidR="007A0130" w:rsidRPr="0075366C">
        <w:rPr>
          <w:rFonts w:ascii="Calibri" w:eastAsia="Times New Roman" w:hAnsi="Calibri" w:cs="Calibri"/>
          <w:color w:val="006666"/>
          <w:sz w:val="20"/>
          <w:szCs w:val="20"/>
          <w:lang w:eastAsia="en-GB"/>
        </w:rPr>
        <w:t>here there is no significant improvement</w:t>
      </w:r>
      <w:r w:rsidR="00486D02">
        <w:rPr>
          <w:rFonts w:ascii="Calibri" w:eastAsia="Times New Roman" w:hAnsi="Calibri" w:cs="Calibri"/>
          <w:color w:val="006666"/>
          <w:sz w:val="20"/>
          <w:szCs w:val="20"/>
          <w:lang w:eastAsia="en-GB"/>
        </w:rPr>
        <w:t xml:space="preserve">, ESMA </w:t>
      </w:r>
      <w:r w:rsidR="007F62EF">
        <w:rPr>
          <w:rFonts w:ascii="Calibri" w:eastAsia="Times New Roman" w:hAnsi="Calibri" w:cs="Calibri"/>
          <w:color w:val="006666"/>
          <w:sz w:val="20"/>
          <w:szCs w:val="20"/>
          <w:lang w:eastAsia="en-GB"/>
        </w:rPr>
        <w:t xml:space="preserve">should be </w:t>
      </w:r>
      <w:r w:rsidR="00DD5893">
        <w:rPr>
          <w:rFonts w:ascii="Calibri" w:eastAsia="Times New Roman" w:hAnsi="Calibri" w:cs="Calibri"/>
          <w:color w:val="006666"/>
          <w:sz w:val="20"/>
          <w:szCs w:val="20"/>
          <w:lang w:eastAsia="en-GB"/>
        </w:rPr>
        <w:t>given</w:t>
      </w:r>
      <w:r w:rsidR="007F62EF">
        <w:rPr>
          <w:rFonts w:ascii="Calibri" w:eastAsia="Times New Roman" w:hAnsi="Calibri" w:cs="Calibri"/>
          <w:color w:val="006666"/>
          <w:sz w:val="20"/>
          <w:szCs w:val="20"/>
          <w:lang w:eastAsia="en-GB"/>
        </w:rPr>
        <w:t xml:space="preserve"> authority to set target efficiency rates </w:t>
      </w:r>
      <w:r w:rsidR="007819B0">
        <w:rPr>
          <w:rFonts w:ascii="Calibri" w:eastAsia="Times New Roman" w:hAnsi="Calibri" w:cs="Calibri"/>
          <w:color w:val="006666"/>
          <w:sz w:val="20"/>
          <w:szCs w:val="20"/>
          <w:lang w:eastAsia="en-GB"/>
        </w:rPr>
        <w:t xml:space="preserve">based on </w:t>
      </w:r>
      <w:r w:rsidR="00B862BA">
        <w:rPr>
          <w:rFonts w:ascii="Calibri" w:eastAsia="Times New Roman" w:hAnsi="Calibri" w:cs="Calibri"/>
          <w:color w:val="006666"/>
          <w:sz w:val="20"/>
          <w:szCs w:val="20"/>
          <w:lang w:eastAsia="en-GB"/>
        </w:rPr>
        <w:t xml:space="preserve">a finer measure of </w:t>
      </w:r>
      <w:r w:rsidR="007819B0">
        <w:rPr>
          <w:rFonts w:ascii="Calibri" w:eastAsia="Times New Roman" w:hAnsi="Calibri" w:cs="Calibri"/>
          <w:color w:val="006666"/>
          <w:sz w:val="20"/>
          <w:szCs w:val="20"/>
          <w:lang w:eastAsia="en-GB"/>
        </w:rPr>
        <w:t>instrument type</w:t>
      </w:r>
      <w:r w:rsidR="00537719">
        <w:rPr>
          <w:rFonts w:ascii="Calibri" w:eastAsia="Times New Roman" w:hAnsi="Calibri" w:cs="Calibri"/>
          <w:color w:val="006666"/>
          <w:sz w:val="20"/>
          <w:szCs w:val="20"/>
          <w:lang w:eastAsia="en-GB"/>
        </w:rPr>
        <w:t>/</w:t>
      </w:r>
      <w:r w:rsidR="007819B0">
        <w:rPr>
          <w:rFonts w:ascii="Calibri" w:eastAsia="Times New Roman" w:hAnsi="Calibri" w:cs="Calibri"/>
          <w:color w:val="006666"/>
          <w:sz w:val="20"/>
          <w:szCs w:val="20"/>
          <w:lang w:eastAsia="en-GB"/>
        </w:rPr>
        <w:t>liquidity</w:t>
      </w:r>
      <w:r w:rsidR="005D2AC1">
        <w:rPr>
          <w:rFonts w:ascii="Calibri" w:eastAsia="Times New Roman" w:hAnsi="Calibri" w:cs="Calibri"/>
          <w:color w:val="006666"/>
          <w:sz w:val="20"/>
          <w:szCs w:val="20"/>
          <w:lang w:eastAsia="en-GB"/>
        </w:rPr>
        <w:t xml:space="preserve"> </w:t>
      </w:r>
      <w:r w:rsidR="00000E09">
        <w:rPr>
          <w:rFonts w:ascii="Calibri" w:eastAsia="Times New Roman" w:hAnsi="Calibri" w:cs="Calibri"/>
          <w:color w:val="006666"/>
          <w:sz w:val="20"/>
          <w:szCs w:val="20"/>
          <w:lang w:eastAsia="en-GB"/>
        </w:rPr>
        <w:t>type</w:t>
      </w:r>
      <w:r w:rsidR="00537719">
        <w:rPr>
          <w:rFonts w:ascii="Calibri" w:eastAsia="Times New Roman" w:hAnsi="Calibri" w:cs="Calibri"/>
          <w:color w:val="006666"/>
          <w:sz w:val="20"/>
          <w:szCs w:val="20"/>
          <w:lang w:eastAsia="en-GB"/>
        </w:rPr>
        <w:t xml:space="preserve"> and not just asset class</w:t>
      </w:r>
      <w:r w:rsidR="00486D02">
        <w:rPr>
          <w:rFonts w:ascii="Calibri" w:eastAsia="Times New Roman" w:hAnsi="Calibri" w:cs="Calibri"/>
          <w:color w:val="006666"/>
          <w:sz w:val="20"/>
          <w:szCs w:val="20"/>
          <w:lang w:eastAsia="en-GB"/>
        </w:rPr>
        <w:t>,</w:t>
      </w:r>
      <w:r w:rsidR="005D2AC1">
        <w:rPr>
          <w:rFonts w:ascii="Calibri" w:eastAsia="Times New Roman" w:hAnsi="Calibri" w:cs="Calibri"/>
          <w:color w:val="006666"/>
          <w:sz w:val="20"/>
          <w:szCs w:val="20"/>
          <w:lang w:eastAsia="en-GB"/>
        </w:rPr>
        <w:t xml:space="preserve"> </w:t>
      </w:r>
      <w:r w:rsidR="00486D02">
        <w:rPr>
          <w:rFonts w:ascii="Calibri" w:eastAsia="Times New Roman" w:hAnsi="Calibri" w:cs="Calibri"/>
          <w:color w:val="006666"/>
          <w:sz w:val="20"/>
          <w:szCs w:val="20"/>
          <w:lang w:eastAsia="en-GB"/>
        </w:rPr>
        <w:t>which</w:t>
      </w:r>
      <w:r w:rsidR="005D2AC1">
        <w:rPr>
          <w:rFonts w:ascii="Calibri" w:eastAsia="Times New Roman" w:hAnsi="Calibri" w:cs="Calibri"/>
          <w:color w:val="006666"/>
          <w:sz w:val="20"/>
          <w:szCs w:val="20"/>
          <w:lang w:eastAsia="en-GB"/>
        </w:rPr>
        <w:t xml:space="preserve"> should be publicly maintained. </w:t>
      </w:r>
      <w:r w:rsidR="00706DD6">
        <w:rPr>
          <w:rFonts w:ascii="Calibri" w:eastAsia="Times New Roman" w:hAnsi="Calibri" w:cs="Calibri"/>
          <w:color w:val="006666"/>
          <w:sz w:val="20"/>
          <w:szCs w:val="20"/>
          <w:lang w:eastAsia="en-GB"/>
        </w:rPr>
        <w:t xml:space="preserve">There should also be a review process to </w:t>
      </w:r>
      <w:r w:rsidR="00485176">
        <w:rPr>
          <w:rFonts w:ascii="Calibri" w:eastAsia="Times New Roman" w:hAnsi="Calibri" w:cs="Calibri"/>
          <w:color w:val="006666"/>
          <w:sz w:val="20"/>
          <w:szCs w:val="20"/>
          <w:lang w:eastAsia="en-GB"/>
        </w:rPr>
        <w:t>determine; a,</w:t>
      </w:r>
      <w:r w:rsidR="00706DD6">
        <w:rPr>
          <w:rFonts w:ascii="Calibri" w:eastAsia="Times New Roman" w:hAnsi="Calibri" w:cs="Calibri"/>
          <w:color w:val="006666"/>
          <w:sz w:val="20"/>
          <w:szCs w:val="20"/>
          <w:lang w:eastAsia="en-GB"/>
        </w:rPr>
        <w:t xml:space="preserve"> </w:t>
      </w:r>
      <w:r w:rsidR="009B6004">
        <w:rPr>
          <w:rFonts w:ascii="Calibri" w:eastAsia="Times New Roman" w:hAnsi="Calibri" w:cs="Calibri"/>
          <w:color w:val="006666"/>
          <w:sz w:val="20"/>
          <w:szCs w:val="20"/>
          <w:lang w:eastAsia="en-GB"/>
        </w:rPr>
        <w:t>i</w:t>
      </w:r>
      <w:r w:rsidR="00706DD6">
        <w:rPr>
          <w:rFonts w:ascii="Calibri" w:eastAsia="Times New Roman" w:hAnsi="Calibri" w:cs="Calibri"/>
          <w:color w:val="006666"/>
          <w:sz w:val="20"/>
          <w:szCs w:val="20"/>
          <w:lang w:eastAsia="en-GB"/>
        </w:rPr>
        <w:t xml:space="preserve">f the rates </w:t>
      </w:r>
      <w:r w:rsidR="003D1A39">
        <w:rPr>
          <w:rFonts w:ascii="Calibri" w:eastAsia="Times New Roman" w:hAnsi="Calibri" w:cs="Calibri"/>
          <w:color w:val="006666"/>
          <w:sz w:val="20"/>
          <w:szCs w:val="20"/>
          <w:lang w:eastAsia="en-GB"/>
        </w:rPr>
        <w:t xml:space="preserve">introduce </w:t>
      </w:r>
      <w:r w:rsidR="00B830CA">
        <w:rPr>
          <w:rFonts w:ascii="Calibri" w:eastAsia="Times New Roman" w:hAnsi="Calibri" w:cs="Calibri"/>
          <w:color w:val="006666"/>
          <w:sz w:val="20"/>
          <w:szCs w:val="20"/>
          <w:lang w:eastAsia="en-GB"/>
        </w:rPr>
        <w:t xml:space="preserve">a </w:t>
      </w:r>
      <w:r w:rsidR="00706DD6">
        <w:rPr>
          <w:rFonts w:ascii="Calibri" w:eastAsia="Times New Roman" w:hAnsi="Calibri" w:cs="Calibri"/>
          <w:color w:val="006666"/>
          <w:sz w:val="20"/>
          <w:szCs w:val="20"/>
          <w:lang w:eastAsia="en-GB"/>
        </w:rPr>
        <w:t>negative</w:t>
      </w:r>
      <w:r w:rsidR="00B830CA">
        <w:rPr>
          <w:rFonts w:ascii="Calibri" w:eastAsia="Times New Roman" w:hAnsi="Calibri" w:cs="Calibri"/>
          <w:color w:val="006666"/>
          <w:sz w:val="20"/>
          <w:szCs w:val="20"/>
          <w:lang w:eastAsia="en-GB"/>
        </w:rPr>
        <w:t xml:space="preserve"> </w:t>
      </w:r>
      <w:r w:rsidR="00706DD6">
        <w:rPr>
          <w:rFonts w:ascii="Calibri" w:eastAsia="Times New Roman" w:hAnsi="Calibri" w:cs="Calibri"/>
          <w:color w:val="006666"/>
          <w:sz w:val="20"/>
          <w:szCs w:val="20"/>
          <w:lang w:eastAsia="en-GB"/>
        </w:rPr>
        <w:t>impact</w:t>
      </w:r>
      <w:r w:rsidR="00B830CA">
        <w:rPr>
          <w:rFonts w:ascii="Calibri" w:eastAsia="Times New Roman" w:hAnsi="Calibri" w:cs="Calibri"/>
          <w:color w:val="006666"/>
          <w:sz w:val="20"/>
          <w:szCs w:val="20"/>
          <w:lang w:eastAsia="en-GB"/>
        </w:rPr>
        <w:t xml:space="preserve"> to</w:t>
      </w:r>
      <w:r w:rsidR="00706DD6">
        <w:rPr>
          <w:rFonts w:ascii="Calibri" w:eastAsia="Times New Roman" w:hAnsi="Calibri" w:cs="Calibri"/>
          <w:color w:val="006666"/>
          <w:sz w:val="20"/>
          <w:szCs w:val="20"/>
          <w:lang w:eastAsia="en-GB"/>
        </w:rPr>
        <w:t xml:space="preserve"> </w:t>
      </w:r>
      <w:r w:rsidR="009B6004">
        <w:rPr>
          <w:rFonts w:ascii="Calibri" w:eastAsia="Times New Roman" w:hAnsi="Calibri" w:cs="Calibri"/>
          <w:color w:val="006666"/>
          <w:sz w:val="20"/>
          <w:szCs w:val="20"/>
          <w:lang w:eastAsia="en-GB"/>
        </w:rPr>
        <w:t>market liquidity</w:t>
      </w:r>
      <w:r w:rsidR="00B830CA">
        <w:rPr>
          <w:rFonts w:ascii="Calibri" w:eastAsia="Times New Roman" w:hAnsi="Calibri" w:cs="Calibri"/>
          <w:color w:val="006666"/>
          <w:sz w:val="20"/>
          <w:szCs w:val="20"/>
          <w:lang w:eastAsia="en-GB"/>
        </w:rPr>
        <w:t xml:space="preserve">, </w:t>
      </w:r>
      <w:r w:rsidR="00751C6E">
        <w:rPr>
          <w:rFonts w:ascii="Calibri" w:eastAsia="Times New Roman" w:hAnsi="Calibri" w:cs="Calibri"/>
          <w:color w:val="006666"/>
          <w:sz w:val="20"/>
          <w:szCs w:val="20"/>
          <w:lang w:eastAsia="en-GB"/>
        </w:rPr>
        <w:t>then penalties would be adjusted and b, the need for a buy-in mechanism at all</w:t>
      </w:r>
      <w:r w:rsidR="00DF5603">
        <w:rPr>
          <w:rFonts w:ascii="Calibri" w:eastAsia="Times New Roman" w:hAnsi="Calibri" w:cs="Calibri"/>
          <w:color w:val="006666"/>
          <w:sz w:val="20"/>
          <w:szCs w:val="20"/>
          <w:lang w:eastAsia="en-GB"/>
        </w:rPr>
        <w:t xml:space="preserve">, where </w:t>
      </w:r>
      <w:r w:rsidR="0021718E">
        <w:rPr>
          <w:rFonts w:ascii="Calibri" w:eastAsia="Times New Roman" w:hAnsi="Calibri" w:cs="Calibri"/>
          <w:color w:val="006666"/>
          <w:sz w:val="20"/>
          <w:szCs w:val="20"/>
          <w:lang w:eastAsia="en-GB"/>
        </w:rPr>
        <w:t xml:space="preserve">certain </w:t>
      </w:r>
      <w:r w:rsidR="00DF5603">
        <w:rPr>
          <w:rFonts w:ascii="Calibri" w:eastAsia="Times New Roman" w:hAnsi="Calibri" w:cs="Calibri"/>
          <w:color w:val="006666"/>
          <w:sz w:val="20"/>
          <w:szCs w:val="20"/>
          <w:lang w:eastAsia="en-GB"/>
        </w:rPr>
        <w:t>instrument types</w:t>
      </w:r>
      <w:r w:rsidR="0021718E">
        <w:rPr>
          <w:rFonts w:ascii="Calibri" w:eastAsia="Times New Roman" w:hAnsi="Calibri" w:cs="Calibri"/>
          <w:color w:val="006666"/>
          <w:sz w:val="20"/>
          <w:szCs w:val="20"/>
          <w:lang w:eastAsia="en-GB"/>
        </w:rPr>
        <w:t>/</w:t>
      </w:r>
      <w:r w:rsidR="00261CCB">
        <w:rPr>
          <w:rFonts w:ascii="Calibri" w:eastAsia="Times New Roman" w:hAnsi="Calibri" w:cs="Calibri"/>
          <w:color w:val="006666"/>
          <w:sz w:val="20"/>
          <w:szCs w:val="20"/>
          <w:lang w:eastAsia="en-GB"/>
        </w:rPr>
        <w:t xml:space="preserve"> market</w:t>
      </w:r>
      <w:r w:rsidR="0021718E">
        <w:rPr>
          <w:rFonts w:ascii="Calibri" w:eastAsia="Times New Roman" w:hAnsi="Calibri" w:cs="Calibri"/>
          <w:color w:val="006666"/>
          <w:sz w:val="20"/>
          <w:szCs w:val="20"/>
          <w:lang w:eastAsia="en-GB"/>
        </w:rPr>
        <w:t>s</w:t>
      </w:r>
      <w:r w:rsidR="00261CCB">
        <w:rPr>
          <w:rFonts w:ascii="Calibri" w:eastAsia="Times New Roman" w:hAnsi="Calibri" w:cs="Calibri"/>
          <w:color w:val="006666"/>
          <w:sz w:val="20"/>
          <w:szCs w:val="20"/>
          <w:lang w:eastAsia="en-GB"/>
        </w:rPr>
        <w:t xml:space="preserve"> maintain target efficiency rates</w:t>
      </w:r>
      <w:r w:rsidR="0021718E">
        <w:rPr>
          <w:rFonts w:ascii="Calibri" w:eastAsia="Times New Roman" w:hAnsi="Calibri" w:cs="Calibri"/>
          <w:color w:val="006666"/>
          <w:sz w:val="20"/>
          <w:szCs w:val="20"/>
          <w:lang w:eastAsia="en-GB"/>
        </w:rPr>
        <w:t xml:space="preserve">. </w:t>
      </w:r>
    </w:p>
    <w:p w14:paraId="30ECEF6E" w14:textId="60362EFF" w:rsidR="005D2AC1" w:rsidRDefault="005D2AC1" w:rsidP="00FF6CD7">
      <w:pPr>
        <w:autoSpaceDE w:val="0"/>
        <w:autoSpaceDN w:val="0"/>
        <w:adjustRightInd w:val="0"/>
        <w:spacing w:after="0" w:line="240" w:lineRule="auto"/>
        <w:ind w:right="119"/>
        <w:rPr>
          <w:rFonts w:cstheme="minorHAnsi"/>
          <w:b/>
          <w:bCs/>
          <w:color w:val="000000"/>
          <w:sz w:val="20"/>
          <w:szCs w:val="20"/>
        </w:rPr>
      </w:pPr>
    </w:p>
    <w:p w14:paraId="587DD0F6" w14:textId="09A1E90B" w:rsidR="001524B1" w:rsidRPr="001524B1" w:rsidRDefault="001524B1" w:rsidP="00EA25FA">
      <w:pPr>
        <w:autoSpaceDE w:val="0"/>
        <w:autoSpaceDN w:val="0"/>
        <w:adjustRightInd w:val="0"/>
        <w:spacing w:after="0" w:line="240" w:lineRule="auto"/>
        <w:ind w:left="-426" w:right="119"/>
        <w:rPr>
          <w:rFonts w:cstheme="minorHAnsi"/>
          <w:color w:val="000000"/>
          <w:sz w:val="20"/>
          <w:szCs w:val="20"/>
        </w:rPr>
      </w:pPr>
      <w:r w:rsidRPr="001524B1">
        <w:rPr>
          <w:rFonts w:cstheme="minorHAnsi"/>
          <w:b/>
          <w:bCs/>
          <w:color w:val="000000"/>
          <w:sz w:val="20"/>
          <w:szCs w:val="20"/>
        </w:rPr>
        <w:t>Question 35:</w:t>
      </w:r>
      <w:r w:rsidRPr="001524B1">
        <w:rPr>
          <w:rFonts w:cstheme="minorHAnsi"/>
          <w:color w:val="000000"/>
          <w:sz w:val="20"/>
          <w:szCs w:val="20"/>
        </w:rPr>
        <w:t xml:space="preserve"> Would the application of the settlement discipline regime during the market turmoil provoked by COVID-19 in March and April 2020 have had a significant impact on the market? </w:t>
      </w:r>
    </w:p>
    <w:p w14:paraId="683B0BA0" w14:textId="77777777" w:rsidR="005F20AB" w:rsidRDefault="005F20AB" w:rsidP="00EA25FA">
      <w:pPr>
        <w:autoSpaceDE w:val="0"/>
        <w:autoSpaceDN w:val="0"/>
        <w:adjustRightInd w:val="0"/>
        <w:spacing w:after="0" w:line="240" w:lineRule="auto"/>
        <w:ind w:left="-426" w:right="119"/>
        <w:rPr>
          <w:rFonts w:cstheme="minorHAnsi"/>
          <w:color w:val="000000"/>
          <w:sz w:val="20"/>
          <w:szCs w:val="20"/>
          <w:highlight w:val="cyan"/>
        </w:rPr>
      </w:pPr>
    </w:p>
    <w:p w14:paraId="6DC659C9" w14:textId="5E75CCB4" w:rsidR="001524B1" w:rsidRPr="00695A3D" w:rsidRDefault="001524B1" w:rsidP="00EA25FA">
      <w:pPr>
        <w:autoSpaceDE w:val="0"/>
        <w:autoSpaceDN w:val="0"/>
        <w:adjustRightInd w:val="0"/>
        <w:spacing w:after="0" w:line="240" w:lineRule="auto"/>
        <w:ind w:left="-426" w:right="119"/>
        <w:rPr>
          <w:rFonts w:cstheme="minorHAnsi"/>
          <w:color w:val="006666"/>
          <w:sz w:val="20"/>
          <w:szCs w:val="20"/>
        </w:rPr>
      </w:pPr>
      <w:r w:rsidRPr="00695A3D">
        <w:rPr>
          <w:rFonts w:cstheme="minorHAnsi"/>
          <w:color w:val="006666"/>
          <w:sz w:val="20"/>
          <w:szCs w:val="20"/>
        </w:rPr>
        <w:t xml:space="preserve">-Yes </w:t>
      </w:r>
    </w:p>
    <w:p w14:paraId="21BF4B82" w14:textId="77777777" w:rsidR="00BE45AC" w:rsidRPr="001524B1" w:rsidRDefault="00BE45AC" w:rsidP="00EA25FA">
      <w:pPr>
        <w:autoSpaceDE w:val="0"/>
        <w:autoSpaceDN w:val="0"/>
        <w:adjustRightInd w:val="0"/>
        <w:spacing w:after="0" w:line="240" w:lineRule="auto"/>
        <w:ind w:left="-426" w:right="119"/>
        <w:rPr>
          <w:rFonts w:cstheme="minorHAnsi"/>
          <w:color w:val="000000"/>
          <w:sz w:val="20"/>
          <w:szCs w:val="20"/>
        </w:rPr>
      </w:pPr>
    </w:p>
    <w:p w14:paraId="7275CE53" w14:textId="4327F13E" w:rsidR="001524B1" w:rsidRDefault="001524B1" w:rsidP="00EA25FA">
      <w:pPr>
        <w:autoSpaceDE w:val="0"/>
        <w:autoSpaceDN w:val="0"/>
        <w:adjustRightInd w:val="0"/>
        <w:spacing w:after="0" w:line="240" w:lineRule="auto"/>
        <w:ind w:left="-426" w:right="119"/>
        <w:rPr>
          <w:rFonts w:cstheme="minorHAnsi"/>
          <w:color w:val="000000"/>
          <w:sz w:val="20"/>
          <w:szCs w:val="20"/>
        </w:rPr>
      </w:pPr>
      <w:r w:rsidRPr="001524B1">
        <w:rPr>
          <w:rFonts w:cstheme="minorHAnsi"/>
          <w:b/>
          <w:bCs/>
          <w:color w:val="000000"/>
          <w:sz w:val="20"/>
          <w:szCs w:val="20"/>
        </w:rPr>
        <w:t>Question 35.1</w:t>
      </w:r>
      <w:r w:rsidRPr="001524B1">
        <w:rPr>
          <w:rFonts w:cstheme="minorHAnsi"/>
          <w:color w:val="000000"/>
          <w:sz w:val="20"/>
          <w:szCs w:val="20"/>
        </w:rPr>
        <w:t xml:space="preserve">: Please explain your answer to Question 35, describing all the potential impacts (e.g. liquidity, financial stability, etc.) and providing quantitative evidence and/ or examples where possible. </w:t>
      </w:r>
    </w:p>
    <w:p w14:paraId="57AFB829" w14:textId="77777777" w:rsidR="003C71FB" w:rsidRDefault="003C71FB" w:rsidP="00EA25FA">
      <w:pPr>
        <w:pStyle w:val="Default"/>
        <w:ind w:left="-426" w:right="119"/>
        <w:rPr>
          <w:rFonts w:asciiTheme="minorHAnsi" w:hAnsiTheme="minorHAnsi" w:cstheme="minorHAnsi"/>
          <w:color w:val="006666"/>
          <w:sz w:val="20"/>
          <w:szCs w:val="20"/>
        </w:rPr>
      </w:pPr>
    </w:p>
    <w:p w14:paraId="466EE501" w14:textId="1D802247" w:rsidR="00856537" w:rsidRDefault="000C02EB" w:rsidP="00EA25FA">
      <w:pPr>
        <w:pStyle w:val="Default"/>
        <w:ind w:left="-426" w:right="119"/>
        <w:rPr>
          <w:rFonts w:asciiTheme="minorHAnsi" w:hAnsiTheme="minorHAnsi" w:cstheme="minorHAnsi"/>
          <w:color w:val="006666"/>
          <w:sz w:val="20"/>
          <w:szCs w:val="20"/>
        </w:rPr>
      </w:pPr>
      <w:r w:rsidRPr="000C02EB">
        <w:rPr>
          <w:rFonts w:asciiTheme="minorHAnsi" w:hAnsiTheme="minorHAnsi" w:cstheme="minorHAnsi"/>
          <w:color w:val="006666"/>
          <w:sz w:val="20"/>
          <w:szCs w:val="20"/>
        </w:rPr>
        <w:t xml:space="preserve">ISLA </w:t>
      </w:r>
      <w:r w:rsidR="00810F9B">
        <w:rPr>
          <w:rFonts w:asciiTheme="minorHAnsi" w:hAnsiTheme="minorHAnsi" w:cstheme="minorHAnsi"/>
          <w:color w:val="006666"/>
          <w:sz w:val="20"/>
          <w:szCs w:val="20"/>
        </w:rPr>
        <w:t>agrees with findings</w:t>
      </w:r>
      <w:r w:rsidR="002B7BC9">
        <w:rPr>
          <w:rFonts w:asciiTheme="minorHAnsi" w:hAnsiTheme="minorHAnsi" w:cstheme="minorHAnsi"/>
          <w:color w:val="006666"/>
          <w:sz w:val="20"/>
          <w:szCs w:val="20"/>
        </w:rPr>
        <w:t>,</w:t>
      </w:r>
      <w:r w:rsidR="00810F9B">
        <w:rPr>
          <w:rFonts w:asciiTheme="minorHAnsi" w:hAnsiTheme="minorHAnsi" w:cstheme="minorHAnsi"/>
          <w:color w:val="006666"/>
          <w:sz w:val="20"/>
          <w:szCs w:val="20"/>
        </w:rPr>
        <w:t xml:space="preserve"> that </w:t>
      </w:r>
      <w:r w:rsidR="00F55D32">
        <w:rPr>
          <w:rFonts w:asciiTheme="minorHAnsi" w:hAnsiTheme="minorHAnsi" w:cstheme="minorHAnsi"/>
          <w:color w:val="006666"/>
          <w:sz w:val="20"/>
          <w:szCs w:val="20"/>
        </w:rPr>
        <w:t xml:space="preserve">had </w:t>
      </w:r>
      <w:r>
        <w:rPr>
          <w:rFonts w:asciiTheme="minorHAnsi" w:hAnsiTheme="minorHAnsi" w:cstheme="minorHAnsi"/>
          <w:color w:val="006666"/>
          <w:sz w:val="20"/>
          <w:szCs w:val="20"/>
        </w:rPr>
        <w:t xml:space="preserve">the </w:t>
      </w:r>
      <w:r w:rsidR="00727B4D">
        <w:rPr>
          <w:rFonts w:asciiTheme="minorHAnsi" w:hAnsiTheme="minorHAnsi" w:cstheme="minorHAnsi"/>
          <w:color w:val="006666"/>
          <w:sz w:val="20"/>
          <w:szCs w:val="20"/>
        </w:rPr>
        <w:t>s</w:t>
      </w:r>
      <w:r w:rsidR="002351C6">
        <w:rPr>
          <w:rFonts w:asciiTheme="minorHAnsi" w:hAnsiTheme="minorHAnsi" w:cstheme="minorHAnsi"/>
          <w:color w:val="006666"/>
          <w:sz w:val="20"/>
          <w:szCs w:val="20"/>
        </w:rPr>
        <w:t xml:space="preserve">ettlement </w:t>
      </w:r>
      <w:r w:rsidR="00727B4D">
        <w:rPr>
          <w:rFonts w:asciiTheme="minorHAnsi" w:hAnsiTheme="minorHAnsi" w:cstheme="minorHAnsi"/>
          <w:color w:val="006666"/>
          <w:sz w:val="20"/>
          <w:szCs w:val="20"/>
        </w:rPr>
        <w:t>d</w:t>
      </w:r>
      <w:r w:rsidR="002351C6">
        <w:rPr>
          <w:rFonts w:asciiTheme="minorHAnsi" w:hAnsiTheme="minorHAnsi" w:cstheme="minorHAnsi"/>
          <w:color w:val="006666"/>
          <w:sz w:val="20"/>
          <w:szCs w:val="20"/>
        </w:rPr>
        <w:t>iscipline regime</w:t>
      </w:r>
      <w:r w:rsidR="00F1171C">
        <w:rPr>
          <w:rFonts w:asciiTheme="minorHAnsi" w:hAnsiTheme="minorHAnsi" w:cstheme="minorHAnsi"/>
          <w:color w:val="006666"/>
          <w:sz w:val="20"/>
          <w:szCs w:val="20"/>
        </w:rPr>
        <w:t xml:space="preserve"> </w:t>
      </w:r>
      <w:r w:rsidR="002351C6">
        <w:rPr>
          <w:rFonts w:asciiTheme="minorHAnsi" w:hAnsiTheme="minorHAnsi" w:cstheme="minorHAnsi"/>
          <w:color w:val="006666"/>
          <w:sz w:val="20"/>
          <w:szCs w:val="20"/>
        </w:rPr>
        <w:t xml:space="preserve">been in place throughout the </w:t>
      </w:r>
      <w:r w:rsidR="005E2518">
        <w:rPr>
          <w:rFonts w:asciiTheme="minorHAnsi" w:hAnsiTheme="minorHAnsi" w:cstheme="minorHAnsi"/>
          <w:color w:val="006666"/>
          <w:sz w:val="20"/>
          <w:szCs w:val="20"/>
        </w:rPr>
        <w:t xml:space="preserve">initial </w:t>
      </w:r>
      <w:r w:rsidR="002351C6">
        <w:rPr>
          <w:rFonts w:asciiTheme="minorHAnsi" w:hAnsiTheme="minorHAnsi" w:cstheme="minorHAnsi"/>
          <w:color w:val="006666"/>
          <w:sz w:val="20"/>
          <w:szCs w:val="20"/>
        </w:rPr>
        <w:t>COVID-19 crisis</w:t>
      </w:r>
      <w:r w:rsidR="00F1171C">
        <w:rPr>
          <w:rFonts w:asciiTheme="minorHAnsi" w:hAnsiTheme="minorHAnsi" w:cstheme="minorHAnsi"/>
          <w:color w:val="006666"/>
          <w:sz w:val="20"/>
          <w:szCs w:val="20"/>
        </w:rPr>
        <w:t xml:space="preserve">, </w:t>
      </w:r>
      <w:r w:rsidR="005E2518">
        <w:rPr>
          <w:rFonts w:asciiTheme="minorHAnsi" w:hAnsiTheme="minorHAnsi" w:cstheme="minorHAnsi"/>
          <w:color w:val="006666"/>
          <w:sz w:val="20"/>
          <w:szCs w:val="20"/>
        </w:rPr>
        <w:t xml:space="preserve">there </w:t>
      </w:r>
      <w:r w:rsidR="00F1171C">
        <w:rPr>
          <w:rFonts w:asciiTheme="minorHAnsi" w:hAnsiTheme="minorHAnsi" w:cstheme="minorHAnsi"/>
          <w:color w:val="006666"/>
          <w:sz w:val="20"/>
          <w:szCs w:val="20"/>
        </w:rPr>
        <w:t xml:space="preserve">would have </w:t>
      </w:r>
      <w:r w:rsidR="005E2518">
        <w:rPr>
          <w:rFonts w:asciiTheme="minorHAnsi" w:hAnsiTheme="minorHAnsi" w:cstheme="minorHAnsi"/>
          <w:color w:val="006666"/>
          <w:sz w:val="20"/>
          <w:szCs w:val="20"/>
        </w:rPr>
        <w:t xml:space="preserve">been </w:t>
      </w:r>
      <w:r w:rsidR="00F1171C">
        <w:rPr>
          <w:rFonts w:asciiTheme="minorHAnsi" w:hAnsiTheme="minorHAnsi" w:cstheme="minorHAnsi"/>
          <w:color w:val="006666"/>
          <w:sz w:val="20"/>
          <w:szCs w:val="20"/>
        </w:rPr>
        <w:t xml:space="preserve">significant negative </w:t>
      </w:r>
      <w:r w:rsidR="00BD030D">
        <w:rPr>
          <w:rFonts w:asciiTheme="minorHAnsi" w:hAnsiTheme="minorHAnsi" w:cstheme="minorHAnsi"/>
          <w:color w:val="006666"/>
          <w:sz w:val="20"/>
          <w:szCs w:val="20"/>
        </w:rPr>
        <w:t xml:space="preserve">and procyclical </w:t>
      </w:r>
      <w:r w:rsidR="00F1171C">
        <w:rPr>
          <w:rFonts w:asciiTheme="minorHAnsi" w:hAnsiTheme="minorHAnsi" w:cstheme="minorHAnsi"/>
          <w:color w:val="006666"/>
          <w:sz w:val="20"/>
          <w:szCs w:val="20"/>
        </w:rPr>
        <w:t>impact to liquidity</w:t>
      </w:r>
      <w:r w:rsidR="00856537">
        <w:rPr>
          <w:rFonts w:asciiTheme="minorHAnsi" w:hAnsiTheme="minorHAnsi" w:cstheme="minorHAnsi"/>
          <w:color w:val="006666"/>
          <w:sz w:val="20"/>
          <w:szCs w:val="20"/>
        </w:rPr>
        <w:t xml:space="preserve"> and volatility</w:t>
      </w:r>
      <w:r w:rsidR="00BF1937">
        <w:rPr>
          <w:rFonts w:asciiTheme="minorHAnsi" w:hAnsiTheme="minorHAnsi" w:cstheme="minorHAnsi"/>
          <w:color w:val="006666"/>
          <w:sz w:val="20"/>
          <w:szCs w:val="20"/>
        </w:rPr>
        <w:t>,</w:t>
      </w:r>
      <w:r w:rsidR="007B42F7">
        <w:rPr>
          <w:rFonts w:asciiTheme="minorHAnsi" w:hAnsiTheme="minorHAnsi" w:cstheme="minorHAnsi"/>
          <w:color w:val="006666"/>
          <w:sz w:val="20"/>
          <w:szCs w:val="20"/>
        </w:rPr>
        <w:t xml:space="preserve"> </w:t>
      </w:r>
      <w:r w:rsidR="00D014FB">
        <w:rPr>
          <w:rFonts w:asciiTheme="minorHAnsi" w:hAnsiTheme="minorHAnsi" w:cstheme="minorHAnsi"/>
          <w:color w:val="006666"/>
          <w:sz w:val="20"/>
          <w:szCs w:val="20"/>
        </w:rPr>
        <w:t xml:space="preserve">as </w:t>
      </w:r>
      <w:r w:rsidR="00727B4D">
        <w:rPr>
          <w:rFonts w:asciiTheme="minorHAnsi" w:hAnsiTheme="minorHAnsi" w:cstheme="minorHAnsi"/>
          <w:color w:val="006666"/>
          <w:sz w:val="20"/>
          <w:szCs w:val="20"/>
        </w:rPr>
        <w:t>conveyed</w:t>
      </w:r>
      <w:r w:rsidR="00D014FB">
        <w:rPr>
          <w:rFonts w:asciiTheme="minorHAnsi" w:hAnsiTheme="minorHAnsi" w:cstheme="minorHAnsi"/>
          <w:color w:val="006666"/>
          <w:sz w:val="20"/>
          <w:szCs w:val="20"/>
        </w:rPr>
        <w:t xml:space="preserve"> in AFME’s </w:t>
      </w:r>
      <w:hyperlink r:id="rId25" w:history="1">
        <w:r w:rsidR="00D014FB" w:rsidRPr="00813E8F">
          <w:rPr>
            <w:rStyle w:val="Hyperlink"/>
            <w:rFonts w:asciiTheme="minorHAnsi" w:hAnsiTheme="minorHAnsi" w:cstheme="minorHAnsi"/>
            <w:sz w:val="20"/>
            <w:szCs w:val="20"/>
          </w:rPr>
          <w:t>report</w:t>
        </w:r>
      </w:hyperlink>
      <w:r w:rsidR="00D014FB">
        <w:rPr>
          <w:rFonts w:asciiTheme="minorHAnsi" w:hAnsiTheme="minorHAnsi" w:cstheme="minorHAnsi"/>
          <w:color w:val="006666"/>
          <w:sz w:val="20"/>
          <w:szCs w:val="20"/>
        </w:rPr>
        <w:t xml:space="preserve"> on the Impact of COVID 19 on European Capital markets. </w:t>
      </w:r>
    </w:p>
    <w:p w14:paraId="182C58DB" w14:textId="77777777" w:rsidR="007B42F7" w:rsidRDefault="007B42F7" w:rsidP="00EA25FA">
      <w:pPr>
        <w:pStyle w:val="Default"/>
        <w:ind w:left="-426" w:right="119"/>
        <w:rPr>
          <w:rFonts w:asciiTheme="minorHAnsi" w:hAnsiTheme="minorHAnsi" w:cstheme="minorHAnsi"/>
          <w:color w:val="006666"/>
          <w:sz w:val="20"/>
          <w:szCs w:val="20"/>
        </w:rPr>
      </w:pPr>
    </w:p>
    <w:p w14:paraId="2361FAC9" w14:textId="56656C9A" w:rsidR="003A4433" w:rsidRDefault="004871E4" w:rsidP="003C71FB">
      <w:pPr>
        <w:pStyle w:val="Default"/>
        <w:ind w:left="-426" w:right="119"/>
        <w:rPr>
          <w:rFonts w:asciiTheme="minorHAnsi" w:hAnsiTheme="minorHAnsi" w:cstheme="minorHAnsi"/>
          <w:color w:val="006666"/>
          <w:sz w:val="20"/>
          <w:szCs w:val="20"/>
        </w:rPr>
      </w:pPr>
      <w:r>
        <w:rPr>
          <w:rFonts w:asciiTheme="minorHAnsi" w:hAnsiTheme="minorHAnsi" w:cstheme="minorHAnsi"/>
          <w:color w:val="006666"/>
          <w:sz w:val="20"/>
          <w:szCs w:val="20"/>
        </w:rPr>
        <w:t xml:space="preserve">In the early parts of 2020, </w:t>
      </w:r>
      <w:r w:rsidR="00F55133">
        <w:rPr>
          <w:rFonts w:asciiTheme="minorHAnsi" w:hAnsiTheme="minorHAnsi" w:cstheme="minorHAnsi"/>
          <w:color w:val="006666"/>
          <w:sz w:val="20"/>
          <w:szCs w:val="20"/>
        </w:rPr>
        <w:t xml:space="preserve">there </w:t>
      </w:r>
      <w:r w:rsidR="00357D45">
        <w:rPr>
          <w:rFonts w:asciiTheme="minorHAnsi" w:hAnsiTheme="minorHAnsi" w:cstheme="minorHAnsi"/>
          <w:color w:val="006666"/>
          <w:sz w:val="20"/>
          <w:szCs w:val="20"/>
        </w:rPr>
        <w:t xml:space="preserve">were </w:t>
      </w:r>
      <w:r w:rsidR="008C55F1">
        <w:rPr>
          <w:rFonts w:asciiTheme="minorHAnsi" w:hAnsiTheme="minorHAnsi" w:cstheme="minorHAnsi"/>
          <w:color w:val="006666"/>
          <w:sz w:val="20"/>
          <w:szCs w:val="20"/>
        </w:rPr>
        <w:t xml:space="preserve">periods of unprecedented market volatility that lead to direct intervention from central banks and governments globally. </w:t>
      </w:r>
      <w:r w:rsidR="004266FB">
        <w:rPr>
          <w:rFonts w:asciiTheme="minorHAnsi" w:hAnsiTheme="minorHAnsi" w:cstheme="minorHAnsi"/>
          <w:color w:val="006666"/>
          <w:sz w:val="20"/>
          <w:szCs w:val="20"/>
        </w:rPr>
        <w:t>In</w:t>
      </w:r>
      <w:r w:rsidR="001D61DA">
        <w:rPr>
          <w:rFonts w:asciiTheme="minorHAnsi" w:hAnsiTheme="minorHAnsi" w:cstheme="minorHAnsi"/>
          <w:color w:val="006666"/>
          <w:sz w:val="20"/>
          <w:szCs w:val="20"/>
        </w:rPr>
        <w:t xml:space="preserve"> March, the </w:t>
      </w:r>
      <w:r w:rsidR="004266FB">
        <w:rPr>
          <w:rFonts w:asciiTheme="minorHAnsi" w:hAnsiTheme="minorHAnsi" w:cstheme="minorHAnsi"/>
          <w:color w:val="006666"/>
          <w:sz w:val="20"/>
          <w:szCs w:val="20"/>
        </w:rPr>
        <w:t>CBOE</w:t>
      </w:r>
      <w:r w:rsidR="00F129CE">
        <w:rPr>
          <w:rFonts w:asciiTheme="minorHAnsi" w:hAnsiTheme="minorHAnsi" w:cstheme="minorHAnsi"/>
          <w:color w:val="006666"/>
          <w:sz w:val="20"/>
          <w:szCs w:val="20"/>
        </w:rPr>
        <w:t xml:space="preserve"> </w:t>
      </w:r>
      <w:r w:rsidR="001D61DA">
        <w:rPr>
          <w:rFonts w:asciiTheme="minorHAnsi" w:hAnsiTheme="minorHAnsi" w:cstheme="minorHAnsi"/>
          <w:color w:val="006666"/>
          <w:sz w:val="20"/>
          <w:szCs w:val="20"/>
        </w:rPr>
        <w:t>VIX</w:t>
      </w:r>
      <w:r w:rsidR="004D4D58">
        <w:rPr>
          <w:rFonts w:asciiTheme="minorHAnsi" w:hAnsiTheme="minorHAnsi" w:cstheme="minorHAnsi"/>
          <w:color w:val="006666"/>
          <w:sz w:val="20"/>
          <w:szCs w:val="20"/>
        </w:rPr>
        <w:t xml:space="preserve">, </w:t>
      </w:r>
      <w:r w:rsidR="00F129CE">
        <w:rPr>
          <w:rFonts w:asciiTheme="minorHAnsi" w:hAnsiTheme="minorHAnsi" w:cstheme="minorHAnsi"/>
          <w:color w:val="006666"/>
          <w:sz w:val="20"/>
          <w:szCs w:val="20"/>
        </w:rPr>
        <w:t xml:space="preserve">a measure of expected volatility </w:t>
      </w:r>
      <w:r w:rsidR="00FD409A">
        <w:rPr>
          <w:rFonts w:asciiTheme="minorHAnsi" w:hAnsiTheme="minorHAnsi" w:cstheme="minorHAnsi"/>
          <w:color w:val="006666"/>
          <w:sz w:val="20"/>
          <w:szCs w:val="20"/>
        </w:rPr>
        <w:t>on the S&amp;P 500</w:t>
      </w:r>
      <w:r w:rsidR="00357D45">
        <w:rPr>
          <w:rFonts w:asciiTheme="minorHAnsi" w:hAnsiTheme="minorHAnsi" w:cstheme="minorHAnsi"/>
          <w:color w:val="006666"/>
          <w:sz w:val="20"/>
          <w:szCs w:val="20"/>
        </w:rPr>
        <w:t>,</w:t>
      </w:r>
      <w:r w:rsidR="00792903">
        <w:rPr>
          <w:rFonts w:asciiTheme="minorHAnsi" w:hAnsiTheme="minorHAnsi" w:cstheme="minorHAnsi"/>
          <w:color w:val="006666"/>
          <w:sz w:val="20"/>
          <w:szCs w:val="20"/>
        </w:rPr>
        <w:t xml:space="preserve"> </w:t>
      </w:r>
    </w:p>
    <w:p w14:paraId="792584A0" w14:textId="77777777" w:rsidR="003A4433" w:rsidRDefault="003A4433" w:rsidP="00EA25FA">
      <w:pPr>
        <w:pStyle w:val="Default"/>
        <w:ind w:left="-426" w:right="119"/>
        <w:rPr>
          <w:rFonts w:asciiTheme="minorHAnsi" w:hAnsiTheme="minorHAnsi" w:cstheme="minorHAnsi"/>
          <w:color w:val="006666"/>
          <w:sz w:val="20"/>
          <w:szCs w:val="20"/>
        </w:rPr>
      </w:pPr>
    </w:p>
    <w:p w14:paraId="1B669C39" w14:textId="00DEA9D2" w:rsidR="007B42F7" w:rsidRDefault="00792903" w:rsidP="00EA25FA">
      <w:pPr>
        <w:pStyle w:val="Default"/>
        <w:ind w:left="-426" w:right="119"/>
        <w:rPr>
          <w:rFonts w:asciiTheme="minorHAnsi" w:hAnsiTheme="minorHAnsi" w:cstheme="minorHAnsi"/>
          <w:color w:val="006666"/>
          <w:sz w:val="20"/>
          <w:szCs w:val="20"/>
        </w:rPr>
      </w:pPr>
      <w:r>
        <w:rPr>
          <w:rFonts w:asciiTheme="minorHAnsi" w:hAnsiTheme="minorHAnsi" w:cstheme="minorHAnsi"/>
          <w:color w:val="006666"/>
          <w:sz w:val="20"/>
          <w:szCs w:val="20"/>
        </w:rPr>
        <w:lastRenderedPageBreak/>
        <w:t>that investors use t</w:t>
      </w:r>
      <w:r w:rsidR="00425331">
        <w:rPr>
          <w:rFonts w:asciiTheme="minorHAnsi" w:hAnsiTheme="minorHAnsi" w:cstheme="minorHAnsi"/>
          <w:color w:val="006666"/>
          <w:sz w:val="20"/>
          <w:szCs w:val="20"/>
        </w:rPr>
        <w:t>o measure the level of stress in financial markets</w:t>
      </w:r>
      <w:r w:rsidR="00B23B3B">
        <w:rPr>
          <w:rFonts w:asciiTheme="minorHAnsi" w:hAnsiTheme="minorHAnsi" w:cstheme="minorHAnsi"/>
          <w:color w:val="006666"/>
          <w:sz w:val="20"/>
          <w:szCs w:val="20"/>
        </w:rPr>
        <w:t>, reached</w:t>
      </w:r>
      <w:r w:rsidR="00F20E79">
        <w:rPr>
          <w:rFonts w:asciiTheme="minorHAnsi" w:hAnsiTheme="minorHAnsi" w:cstheme="minorHAnsi"/>
          <w:color w:val="006666"/>
          <w:sz w:val="20"/>
          <w:szCs w:val="20"/>
        </w:rPr>
        <w:t xml:space="preserve"> over 80, higher than levels </w:t>
      </w:r>
      <w:r w:rsidR="00871922">
        <w:rPr>
          <w:rFonts w:asciiTheme="minorHAnsi" w:hAnsiTheme="minorHAnsi" w:cstheme="minorHAnsi"/>
          <w:color w:val="006666"/>
          <w:sz w:val="20"/>
          <w:szCs w:val="20"/>
        </w:rPr>
        <w:t xml:space="preserve">seen </w:t>
      </w:r>
      <w:r w:rsidR="00F20E79">
        <w:rPr>
          <w:rFonts w:asciiTheme="minorHAnsi" w:hAnsiTheme="minorHAnsi" w:cstheme="minorHAnsi"/>
          <w:color w:val="006666"/>
          <w:sz w:val="20"/>
          <w:szCs w:val="20"/>
        </w:rPr>
        <w:t>since in the 2008 financial crisis</w:t>
      </w:r>
      <w:r w:rsidR="00636652">
        <w:rPr>
          <w:rFonts w:asciiTheme="minorHAnsi" w:hAnsiTheme="minorHAnsi" w:cstheme="minorHAnsi"/>
          <w:color w:val="006666"/>
          <w:sz w:val="20"/>
          <w:szCs w:val="20"/>
        </w:rPr>
        <w:t xml:space="preserve"> </w:t>
      </w:r>
      <w:hyperlink r:id="rId26" w:history="1">
        <w:r w:rsidR="00667BFA" w:rsidRPr="00F43CEE">
          <w:rPr>
            <w:rStyle w:val="Hyperlink"/>
            <w:rFonts w:asciiTheme="minorHAnsi" w:hAnsiTheme="minorHAnsi" w:cstheme="minorHAnsi"/>
            <w:sz w:val="20"/>
            <w:szCs w:val="20"/>
          </w:rPr>
          <w:t>(Source: CBOE</w:t>
        </w:r>
        <w:r w:rsidR="00F9451B" w:rsidRPr="00F43CEE">
          <w:rPr>
            <w:rStyle w:val="Hyperlink"/>
            <w:rFonts w:asciiTheme="minorHAnsi" w:hAnsiTheme="minorHAnsi" w:cstheme="minorHAnsi"/>
            <w:sz w:val="20"/>
            <w:szCs w:val="20"/>
          </w:rPr>
          <w:t xml:space="preserve"> Charts &amp; Data)</w:t>
        </w:r>
        <w:r w:rsidR="00F20E79" w:rsidRPr="00F43CEE">
          <w:rPr>
            <w:rStyle w:val="Hyperlink"/>
            <w:rFonts w:asciiTheme="minorHAnsi" w:hAnsiTheme="minorHAnsi" w:cstheme="minorHAnsi"/>
            <w:sz w:val="20"/>
            <w:szCs w:val="20"/>
          </w:rPr>
          <w:t>.</w:t>
        </w:r>
      </w:hyperlink>
      <w:r w:rsidR="00F20E79">
        <w:rPr>
          <w:rFonts w:asciiTheme="minorHAnsi" w:hAnsiTheme="minorHAnsi" w:cstheme="minorHAnsi"/>
          <w:color w:val="006666"/>
          <w:sz w:val="20"/>
          <w:szCs w:val="20"/>
        </w:rPr>
        <w:t xml:space="preserve"> </w:t>
      </w:r>
    </w:p>
    <w:p w14:paraId="16F2A113" w14:textId="77777777" w:rsidR="006D4913" w:rsidRDefault="006D4913" w:rsidP="00EA25FA">
      <w:pPr>
        <w:pStyle w:val="Default"/>
        <w:ind w:left="-426" w:right="119"/>
        <w:rPr>
          <w:rFonts w:asciiTheme="minorHAnsi" w:hAnsiTheme="minorHAnsi" w:cstheme="minorHAnsi"/>
          <w:color w:val="006666"/>
          <w:sz w:val="20"/>
          <w:szCs w:val="20"/>
        </w:rPr>
      </w:pPr>
    </w:p>
    <w:p w14:paraId="023467EF" w14:textId="7DB837D6" w:rsidR="006D4913" w:rsidRDefault="006D4913" w:rsidP="004F20FD">
      <w:pPr>
        <w:pStyle w:val="Default"/>
        <w:ind w:left="-426" w:right="119"/>
        <w:jc w:val="center"/>
        <w:rPr>
          <w:rFonts w:asciiTheme="minorHAnsi" w:hAnsiTheme="minorHAnsi" w:cstheme="minorHAnsi"/>
          <w:color w:val="006666"/>
          <w:sz w:val="20"/>
          <w:szCs w:val="20"/>
        </w:rPr>
      </w:pPr>
      <w:r w:rsidRPr="006D4913">
        <w:rPr>
          <w:rFonts w:asciiTheme="minorHAnsi" w:hAnsiTheme="minorHAnsi" w:cstheme="minorHAnsi"/>
          <w:noProof/>
          <w:color w:val="006666"/>
          <w:sz w:val="20"/>
          <w:szCs w:val="20"/>
        </w:rPr>
        <w:drawing>
          <wp:inline distT="0" distB="0" distL="0" distR="0" wp14:anchorId="1F4317A9" wp14:editId="09E3D3D8">
            <wp:extent cx="4904671" cy="263968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916366" cy="2645977"/>
                    </a:xfrm>
                    <a:prstGeom prst="rect">
                      <a:avLst/>
                    </a:prstGeom>
                  </pic:spPr>
                </pic:pic>
              </a:graphicData>
            </a:graphic>
          </wp:inline>
        </w:drawing>
      </w:r>
    </w:p>
    <w:p w14:paraId="65381AD1" w14:textId="77777777" w:rsidR="00856537" w:rsidRDefault="00856537" w:rsidP="00EA25FA">
      <w:pPr>
        <w:pStyle w:val="Default"/>
        <w:ind w:left="-426" w:right="119"/>
        <w:rPr>
          <w:rFonts w:asciiTheme="minorHAnsi" w:hAnsiTheme="minorHAnsi" w:cstheme="minorHAnsi"/>
          <w:color w:val="006666"/>
          <w:sz w:val="20"/>
          <w:szCs w:val="20"/>
        </w:rPr>
      </w:pPr>
    </w:p>
    <w:p w14:paraId="224F9085" w14:textId="77777777" w:rsidR="00555F40" w:rsidRDefault="00555F40" w:rsidP="00EA25FA">
      <w:pPr>
        <w:pStyle w:val="Default"/>
        <w:ind w:left="-426" w:right="119"/>
        <w:rPr>
          <w:rFonts w:asciiTheme="minorHAnsi" w:hAnsiTheme="minorHAnsi" w:cstheme="minorHAnsi"/>
          <w:color w:val="006666"/>
          <w:sz w:val="20"/>
          <w:szCs w:val="20"/>
        </w:rPr>
      </w:pPr>
    </w:p>
    <w:p w14:paraId="46CAB79C" w14:textId="36FB647D" w:rsidR="00AA0281" w:rsidRPr="00EF52D4" w:rsidRDefault="005D5C90" w:rsidP="00C36951">
      <w:pPr>
        <w:pStyle w:val="Default"/>
        <w:ind w:left="-426" w:right="119"/>
        <w:rPr>
          <w:rFonts w:asciiTheme="minorHAnsi" w:hAnsiTheme="minorHAnsi" w:cstheme="minorHAnsi"/>
          <w:i/>
          <w:iCs/>
          <w:color w:val="006666"/>
          <w:sz w:val="20"/>
          <w:szCs w:val="20"/>
        </w:rPr>
      </w:pPr>
      <w:r>
        <w:rPr>
          <w:rFonts w:asciiTheme="minorHAnsi" w:hAnsiTheme="minorHAnsi" w:cstheme="minorHAnsi"/>
          <w:color w:val="006666"/>
          <w:sz w:val="20"/>
          <w:szCs w:val="20"/>
        </w:rPr>
        <w:t xml:space="preserve">In September 2020, ESMA released its report on </w:t>
      </w:r>
      <w:hyperlink r:id="rId28" w:history="1">
        <w:r w:rsidRPr="000C1845">
          <w:rPr>
            <w:rStyle w:val="Hyperlink"/>
            <w:rFonts w:asciiTheme="minorHAnsi" w:hAnsiTheme="minorHAnsi" w:cstheme="minorHAnsi"/>
            <w:sz w:val="20"/>
            <w:szCs w:val="20"/>
          </w:rPr>
          <w:t xml:space="preserve">Trends, Risks and Vulnerabilities </w:t>
        </w:r>
      </w:hyperlink>
      <w:r w:rsidR="00856537">
        <w:rPr>
          <w:rFonts w:asciiTheme="minorHAnsi" w:hAnsiTheme="minorHAnsi" w:cstheme="minorHAnsi"/>
          <w:color w:val="006666"/>
          <w:sz w:val="20"/>
          <w:szCs w:val="20"/>
        </w:rPr>
        <w:t xml:space="preserve"> </w:t>
      </w:r>
      <w:r w:rsidR="009F273E">
        <w:rPr>
          <w:rFonts w:asciiTheme="minorHAnsi" w:hAnsiTheme="minorHAnsi" w:cstheme="minorHAnsi"/>
          <w:color w:val="006666"/>
          <w:sz w:val="20"/>
          <w:szCs w:val="20"/>
        </w:rPr>
        <w:t>throughout the pandemic</w:t>
      </w:r>
      <w:r w:rsidR="005D2E3B">
        <w:rPr>
          <w:rFonts w:asciiTheme="minorHAnsi" w:hAnsiTheme="minorHAnsi" w:cstheme="minorHAnsi"/>
          <w:color w:val="006666"/>
          <w:sz w:val="20"/>
          <w:szCs w:val="20"/>
        </w:rPr>
        <w:t xml:space="preserve"> period</w:t>
      </w:r>
      <w:r w:rsidR="003375BB">
        <w:rPr>
          <w:rFonts w:asciiTheme="minorHAnsi" w:hAnsiTheme="minorHAnsi" w:cstheme="minorHAnsi"/>
          <w:color w:val="006666"/>
          <w:sz w:val="20"/>
          <w:szCs w:val="20"/>
        </w:rPr>
        <w:t xml:space="preserve">, </w:t>
      </w:r>
      <w:r w:rsidR="00122DAE">
        <w:rPr>
          <w:rFonts w:asciiTheme="minorHAnsi" w:hAnsiTheme="minorHAnsi" w:cstheme="minorHAnsi"/>
          <w:color w:val="006666"/>
          <w:sz w:val="20"/>
          <w:szCs w:val="20"/>
        </w:rPr>
        <w:t>a</w:t>
      </w:r>
      <w:r w:rsidR="005D2E3B">
        <w:rPr>
          <w:rFonts w:asciiTheme="minorHAnsi" w:hAnsiTheme="minorHAnsi" w:cstheme="minorHAnsi"/>
          <w:color w:val="006666"/>
          <w:sz w:val="20"/>
          <w:szCs w:val="20"/>
        </w:rPr>
        <w:t xml:space="preserve">nd as </w:t>
      </w:r>
      <w:r w:rsidR="00122DAE">
        <w:rPr>
          <w:rFonts w:asciiTheme="minorHAnsi" w:hAnsiTheme="minorHAnsi" w:cstheme="minorHAnsi"/>
          <w:color w:val="006666"/>
          <w:sz w:val="20"/>
          <w:szCs w:val="20"/>
        </w:rPr>
        <w:t xml:space="preserve">shown in </w:t>
      </w:r>
      <w:r w:rsidR="005D2E3B">
        <w:rPr>
          <w:rFonts w:asciiTheme="minorHAnsi" w:hAnsiTheme="minorHAnsi" w:cstheme="minorHAnsi"/>
          <w:color w:val="006666"/>
          <w:sz w:val="20"/>
          <w:szCs w:val="20"/>
        </w:rPr>
        <w:t xml:space="preserve">figure </w:t>
      </w:r>
      <w:r w:rsidR="00122DAE" w:rsidRPr="005623E9">
        <w:rPr>
          <w:rFonts w:asciiTheme="minorHAnsi" w:hAnsiTheme="minorHAnsi" w:cstheme="minorHAnsi"/>
          <w:b/>
          <w:bCs/>
          <w:color w:val="006666"/>
          <w:sz w:val="20"/>
          <w:szCs w:val="20"/>
        </w:rPr>
        <w:t>T.27</w:t>
      </w:r>
      <w:r w:rsidR="005D2E3B">
        <w:rPr>
          <w:rFonts w:asciiTheme="minorHAnsi" w:hAnsiTheme="minorHAnsi" w:cstheme="minorHAnsi"/>
          <w:color w:val="006666"/>
          <w:sz w:val="20"/>
          <w:szCs w:val="20"/>
        </w:rPr>
        <w:t>,</w:t>
      </w:r>
      <w:r w:rsidR="00122DAE">
        <w:rPr>
          <w:rFonts w:asciiTheme="minorHAnsi" w:hAnsiTheme="minorHAnsi" w:cstheme="minorHAnsi"/>
          <w:color w:val="006666"/>
          <w:sz w:val="20"/>
          <w:szCs w:val="20"/>
        </w:rPr>
        <w:t xml:space="preserve"> </w:t>
      </w:r>
      <w:r w:rsidR="00C25587">
        <w:rPr>
          <w:rFonts w:asciiTheme="minorHAnsi" w:hAnsiTheme="minorHAnsi" w:cstheme="minorHAnsi"/>
          <w:color w:val="006666"/>
          <w:sz w:val="20"/>
          <w:szCs w:val="20"/>
        </w:rPr>
        <w:t>a bout of illiquidity in March 2020</w:t>
      </w:r>
      <w:r w:rsidR="002B4B35">
        <w:rPr>
          <w:rFonts w:asciiTheme="minorHAnsi" w:hAnsiTheme="minorHAnsi" w:cstheme="minorHAnsi"/>
          <w:color w:val="006666"/>
          <w:sz w:val="20"/>
          <w:szCs w:val="20"/>
        </w:rPr>
        <w:t>.</w:t>
      </w:r>
    </w:p>
    <w:p w14:paraId="22ABA462" w14:textId="0E41C63A" w:rsidR="00856537" w:rsidRDefault="00856537" w:rsidP="00EA25FA">
      <w:pPr>
        <w:pStyle w:val="Default"/>
        <w:ind w:left="-426" w:right="119"/>
        <w:rPr>
          <w:rFonts w:asciiTheme="minorHAnsi" w:hAnsiTheme="minorHAnsi" w:cstheme="minorHAnsi"/>
          <w:color w:val="006666"/>
          <w:sz w:val="20"/>
          <w:szCs w:val="20"/>
        </w:rPr>
      </w:pPr>
    </w:p>
    <w:p w14:paraId="232BABFC" w14:textId="32C7AB19" w:rsidR="00E9053E" w:rsidRPr="000C02EB" w:rsidRDefault="00A45AA0" w:rsidP="00EA25FA">
      <w:pPr>
        <w:pStyle w:val="Default"/>
        <w:ind w:left="-426" w:right="119"/>
        <w:rPr>
          <w:rFonts w:asciiTheme="minorHAnsi" w:hAnsiTheme="minorHAnsi" w:cstheme="minorHAnsi"/>
          <w:color w:val="006666"/>
          <w:sz w:val="20"/>
          <w:szCs w:val="20"/>
        </w:rPr>
      </w:pPr>
      <w:r w:rsidRPr="00EA621B">
        <w:rPr>
          <w:rFonts w:asciiTheme="minorHAnsi" w:hAnsiTheme="minorHAnsi" w:cstheme="minorHAnsi"/>
          <w:b/>
          <w:bCs/>
          <w:noProof/>
          <w:sz w:val="20"/>
          <w:szCs w:val="20"/>
        </w:rPr>
        <w:drawing>
          <wp:anchor distT="0" distB="0" distL="114300" distR="114300" simplePos="0" relativeHeight="251658241" behindDoc="1" locked="0" layoutInCell="1" allowOverlap="1" wp14:anchorId="69C7CB1C" wp14:editId="5A8F9CCB">
            <wp:simplePos x="0" y="0"/>
            <wp:positionH relativeFrom="column">
              <wp:posOffset>-233045</wp:posOffset>
            </wp:positionH>
            <wp:positionV relativeFrom="paragraph">
              <wp:posOffset>166370</wp:posOffset>
            </wp:positionV>
            <wp:extent cx="3174365" cy="3261360"/>
            <wp:effectExtent l="0" t="0" r="6985" b="0"/>
            <wp:wrapTight wrapText="bothSides">
              <wp:wrapPolygon edited="0">
                <wp:start x="0" y="0"/>
                <wp:lineTo x="0" y="21449"/>
                <wp:lineTo x="21518" y="21449"/>
                <wp:lineTo x="21518"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extLst>
                        <a:ext uri="{28A0092B-C50C-407E-A947-70E740481C1C}">
                          <a14:useLocalDpi xmlns:a14="http://schemas.microsoft.com/office/drawing/2010/main" val="0"/>
                        </a:ext>
                      </a:extLst>
                    </a:blip>
                    <a:stretch>
                      <a:fillRect/>
                    </a:stretch>
                  </pic:blipFill>
                  <pic:spPr>
                    <a:xfrm>
                      <a:off x="0" y="0"/>
                      <a:ext cx="3174365" cy="3261360"/>
                    </a:xfrm>
                    <a:prstGeom prst="rect">
                      <a:avLst/>
                    </a:prstGeom>
                  </pic:spPr>
                </pic:pic>
              </a:graphicData>
            </a:graphic>
            <wp14:sizeRelH relativeFrom="margin">
              <wp14:pctWidth>0</wp14:pctWidth>
            </wp14:sizeRelH>
            <wp14:sizeRelV relativeFrom="margin">
              <wp14:pctHeight>0</wp14:pctHeight>
            </wp14:sizeRelV>
          </wp:anchor>
        </w:drawing>
      </w:r>
      <w:r w:rsidR="002727D4" w:rsidRPr="00112930">
        <w:rPr>
          <w:rFonts w:asciiTheme="minorHAnsi" w:hAnsiTheme="minorHAnsi" w:cstheme="minorHAnsi"/>
          <w:noProof/>
          <w:color w:val="006666"/>
          <w:sz w:val="20"/>
          <w:szCs w:val="20"/>
        </w:rPr>
        <w:drawing>
          <wp:anchor distT="0" distB="0" distL="114300" distR="114300" simplePos="0" relativeHeight="251658240" behindDoc="1" locked="0" layoutInCell="1" allowOverlap="1" wp14:anchorId="46D05335" wp14:editId="129F43AC">
            <wp:simplePos x="0" y="0"/>
            <wp:positionH relativeFrom="column">
              <wp:posOffset>2941320</wp:posOffset>
            </wp:positionH>
            <wp:positionV relativeFrom="paragraph">
              <wp:posOffset>140335</wp:posOffset>
            </wp:positionV>
            <wp:extent cx="3086100" cy="3216910"/>
            <wp:effectExtent l="0" t="0" r="0" b="2540"/>
            <wp:wrapTight wrapText="bothSides">
              <wp:wrapPolygon edited="0">
                <wp:start x="0" y="0"/>
                <wp:lineTo x="0" y="21489"/>
                <wp:lineTo x="21467" y="21489"/>
                <wp:lineTo x="21467"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extLst>
                        <a:ext uri="{28A0092B-C50C-407E-A947-70E740481C1C}">
                          <a14:useLocalDpi xmlns:a14="http://schemas.microsoft.com/office/drawing/2010/main" val="0"/>
                        </a:ext>
                      </a:extLst>
                    </a:blip>
                    <a:stretch>
                      <a:fillRect/>
                    </a:stretch>
                  </pic:blipFill>
                  <pic:spPr>
                    <a:xfrm>
                      <a:off x="0" y="0"/>
                      <a:ext cx="3086100" cy="3216910"/>
                    </a:xfrm>
                    <a:prstGeom prst="rect">
                      <a:avLst/>
                    </a:prstGeom>
                  </pic:spPr>
                </pic:pic>
              </a:graphicData>
            </a:graphic>
            <wp14:sizeRelH relativeFrom="margin">
              <wp14:pctWidth>0</wp14:pctWidth>
            </wp14:sizeRelH>
            <wp14:sizeRelV relativeFrom="margin">
              <wp14:pctHeight>0</wp14:pctHeight>
            </wp14:sizeRelV>
          </wp:anchor>
        </w:drawing>
      </w:r>
      <w:r w:rsidR="00F1171C">
        <w:rPr>
          <w:rFonts w:asciiTheme="minorHAnsi" w:hAnsiTheme="minorHAnsi" w:cstheme="minorHAnsi"/>
          <w:color w:val="006666"/>
          <w:sz w:val="20"/>
          <w:szCs w:val="20"/>
        </w:rPr>
        <w:t xml:space="preserve"> </w:t>
      </w:r>
    </w:p>
    <w:p w14:paraId="6E551F25" w14:textId="38263174" w:rsidR="00E9053E" w:rsidRDefault="00E9053E" w:rsidP="00EA25FA">
      <w:pPr>
        <w:pStyle w:val="Default"/>
        <w:ind w:left="-426" w:right="119"/>
        <w:rPr>
          <w:rFonts w:asciiTheme="minorHAnsi" w:hAnsiTheme="minorHAnsi" w:cstheme="minorHAnsi"/>
          <w:sz w:val="20"/>
          <w:szCs w:val="20"/>
        </w:rPr>
      </w:pPr>
    </w:p>
    <w:p w14:paraId="026DC139" w14:textId="77777777" w:rsidR="005D2E3B" w:rsidRDefault="005D2E3B" w:rsidP="00FB2035">
      <w:pPr>
        <w:pStyle w:val="Default"/>
        <w:ind w:left="-426" w:right="119"/>
        <w:rPr>
          <w:rFonts w:asciiTheme="minorHAnsi" w:hAnsiTheme="minorHAnsi" w:cstheme="minorHAnsi"/>
          <w:color w:val="006666"/>
          <w:sz w:val="20"/>
          <w:szCs w:val="20"/>
        </w:rPr>
      </w:pPr>
    </w:p>
    <w:p w14:paraId="3DE0F404" w14:textId="2D608833" w:rsidR="003A4433" w:rsidRDefault="00FB2035" w:rsidP="00D6344F">
      <w:pPr>
        <w:pStyle w:val="Default"/>
        <w:ind w:left="-426" w:right="119"/>
        <w:rPr>
          <w:rFonts w:asciiTheme="minorHAnsi" w:hAnsiTheme="minorHAnsi" w:cstheme="minorHAnsi"/>
          <w:color w:val="006666"/>
          <w:sz w:val="20"/>
          <w:szCs w:val="20"/>
        </w:rPr>
      </w:pPr>
      <w:r>
        <w:rPr>
          <w:rFonts w:asciiTheme="minorHAnsi" w:hAnsiTheme="minorHAnsi" w:cstheme="minorHAnsi"/>
          <w:color w:val="006666"/>
          <w:sz w:val="20"/>
          <w:szCs w:val="20"/>
        </w:rPr>
        <w:t xml:space="preserve">Referring to the increase in net short positions, </w:t>
      </w:r>
      <w:r w:rsidR="009430D2">
        <w:rPr>
          <w:rFonts w:asciiTheme="minorHAnsi" w:hAnsiTheme="minorHAnsi" w:cstheme="minorHAnsi"/>
          <w:color w:val="006666"/>
          <w:sz w:val="20"/>
          <w:szCs w:val="20"/>
        </w:rPr>
        <w:t>the report</w:t>
      </w:r>
      <w:r w:rsidR="00B06F42">
        <w:rPr>
          <w:rFonts w:asciiTheme="minorHAnsi" w:hAnsiTheme="minorHAnsi" w:cstheme="minorHAnsi"/>
          <w:color w:val="006666"/>
          <w:sz w:val="20"/>
          <w:szCs w:val="20"/>
        </w:rPr>
        <w:t xml:space="preserve"> states that there was</w:t>
      </w:r>
      <w:r>
        <w:rPr>
          <w:rFonts w:asciiTheme="minorHAnsi" w:hAnsiTheme="minorHAnsi" w:cstheme="minorHAnsi"/>
          <w:color w:val="006666"/>
          <w:sz w:val="20"/>
          <w:szCs w:val="20"/>
        </w:rPr>
        <w:t xml:space="preserve"> </w:t>
      </w:r>
      <w:r w:rsidRPr="00F935E3">
        <w:rPr>
          <w:rFonts w:asciiTheme="minorHAnsi" w:hAnsiTheme="minorHAnsi" w:cstheme="minorHAnsi"/>
          <w:i/>
          <w:iCs/>
          <w:color w:val="006666"/>
          <w:sz w:val="20"/>
          <w:szCs w:val="20"/>
        </w:rPr>
        <w:t>‘</w:t>
      </w:r>
      <w:r w:rsidR="00B06F42" w:rsidRPr="00F935E3">
        <w:rPr>
          <w:rFonts w:asciiTheme="minorHAnsi" w:hAnsiTheme="minorHAnsi" w:cstheme="minorHAnsi"/>
          <w:i/>
          <w:iCs/>
          <w:color w:val="006666"/>
          <w:sz w:val="20"/>
          <w:szCs w:val="20"/>
        </w:rPr>
        <w:t>a</w:t>
      </w:r>
      <w:r w:rsidRPr="00F935E3">
        <w:rPr>
          <w:rFonts w:asciiTheme="minorHAnsi" w:hAnsiTheme="minorHAnsi" w:cstheme="minorHAnsi"/>
          <w:i/>
          <w:iCs/>
          <w:color w:val="006666"/>
          <w:sz w:val="20"/>
          <w:szCs w:val="20"/>
        </w:rPr>
        <w:t>n increase in securities lending …The utilisation rate measures security lent over those available</w:t>
      </w:r>
      <w:r w:rsidR="00E86B70" w:rsidRPr="00F935E3">
        <w:rPr>
          <w:rFonts w:asciiTheme="minorHAnsi" w:hAnsiTheme="minorHAnsi" w:cstheme="minorHAnsi"/>
          <w:i/>
          <w:iCs/>
          <w:color w:val="006666"/>
          <w:sz w:val="20"/>
          <w:szCs w:val="20"/>
        </w:rPr>
        <w:t xml:space="preserve"> (The utilisation rate is a reliable proxy to measure short selling. It is the ratio between of the value of securities lent to the value of all securities available in the market. Utilisation is generally intended as a measure of demand against the supply of instrument to borrow)</w:t>
      </w:r>
      <w:r w:rsidRPr="00F935E3">
        <w:rPr>
          <w:rFonts w:asciiTheme="minorHAnsi" w:hAnsiTheme="minorHAnsi" w:cstheme="minorHAnsi"/>
          <w:i/>
          <w:iCs/>
          <w:color w:val="006666"/>
          <w:sz w:val="20"/>
          <w:szCs w:val="20"/>
        </w:rPr>
        <w:t xml:space="preserve">. Since the end of February, the utilisation rate jumped sharply from 4% to almost 7% for equities, signalling increased demand </w:t>
      </w:r>
      <w:r w:rsidRPr="00F935E3">
        <w:rPr>
          <w:rFonts w:asciiTheme="minorHAnsi" w:hAnsiTheme="minorHAnsi" w:cstheme="minorHAnsi"/>
          <w:b/>
          <w:bCs/>
          <w:i/>
          <w:iCs/>
          <w:color w:val="006666"/>
          <w:sz w:val="20"/>
          <w:szCs w:val="20"/>
        </w:rPr>
        <w:t>(T.35)</w:t>
      </w:r>
      <w:r w:rsidRPr="00F935E3">
        <w:rPr>
          <w:rFonts w:asciiTheme="minorHAnsi" w:hAnsiTheme="minorHAnsi" w:cstheme="minorHAnsi"/>
          <w:i/>
          <w:iCs/>
          <w:color w:val="006666"/>
          <w:sz w:val="20"/>
          <w:szCs w:val="20"/>
        </w:rPr>
        <w:t>’</w:t>
      </w:r>
      <w:r w:rsidR="00160E4A" w:rsidRPr="00F935E3">
        <w:rPr>
          <w:rFonts w:asciiTheme="minorHAnsi" w:hAnsiTheme="minorHAnsi" w:cstheme="minorHAnsi"/>
          <w:i/>
          <w:iCs/>
          <w:color w:val="006666"/>
          <w:sz w:val="20"/>
          <w:szCs w:val="20"/>
        </w:rPr>
        <w:t>.</w:t>
      </w:r>
      <w:r w:rsidR="00335813" w:rsidRPr="00335813">
        <w:rPr>
          <w:rFonts w:asciiTheme="minorHAnsi" w:hAnsiTheme="minorHAnsi" w:cstheme="minorHAnsi"/>
          <w:color w:val="006666"/>
          <w:sz w:val="20"/>
          <w:szCs w:val="20"/>
        </w:rPr>
        <w:t xml:space="preserve"> </w:t>
      </w:r>
      <w:r w:rsidR="00335813">
        <w:rPr>
          <w:rFonts w:asciiTheme="minorHAnsi" w:hAnsiTheme="minorHAnsi" w:cstheme="minorHAnsi"/>
          <w:color w:val="006666"/>
          <w:sz w:val="20"/>
          <w:szCs w:val="20"/>
        </w:rPr>
        <w:t xml:space="preserve">COVID 19’s impact on capital markets drove a drastic decrease in market liquidity, highlighted in </w:t>
      </w:r>
      <w:r w:rsidR="00335813" w:rsidRPr="009057EF">
        <w:rPr>
          <w:rFonts w:asciiTheme="minorHAnsi" w:hAnsiTheme="minorHAnsi" w:cstheme="minorHAnsi"/>
          <w:b/>
          <w:bCs/>
          <w:color w:val="006666"/>
          <w:sz w:val="20"/>
          <w:szCs w:val="20"/>
        </w:rPr>
        <w:t>T.27</w:t>
      </w:r>
      <w:r w:rsidR="00335813">
        <w:rPr>
          <w:rFonts w:asciiTheme="minorHAnsi" w:hAnsiTheme="minorHAnsi" w:cstheme="minorHAnsi"/>
          <w:color w:val="006666"/>
          <w:sz w:val="20"/>
          <w:szCs w:val="20"/>
        </w:rPr>
        <w:t xml:space="preserve"> of the ESMA report, by the sudden increases in bid-ask spreads in March 2020 for the EURO STOXX 200 index.</w:t>
      </w:r>
    </w:p>
    <w:p w14:paraId="2451C41A" w14:textId="77777777" w:rsidR="003A4433" w:rsidRDefault="003A4433" w:rsidP="006A1C08">
      <w:pPr>
        <w:pStyle w:val="Default"/>
        <w:ind w:left="-426" w:right="119"/>
        <w:rPr>
          <w:rFonts w:asciiTheme="minorHAnsi" w:hAnsiTheme="minorHAnsi" w:cstheme="minorHAnsi"/>
          <w:color w:val="006666"/>
          <w:sz w:val="20"/>
          <w:szCs w:val="20"/>
        </w:rPr>
      </w:pPr>
    </w:p>
    <w:p w14:paraId="3BEBD144" w14:textId="79FE1AA9" w:rsidR="004B6828" w:rsidRDefault="00BF4689" w:rsidP="006A1C08">
      <w:pPr>
        <w:pStyle w:val="Default"/>
        <w:ind w:left="-426" w:right="119"/>
        <w:rPr>
          <w:rFonts w:asciiTheme="minorHAnsi" w:hAnsiTheme="minorHAnsi" w:cstheme="minorHAnsi"/>
          <w:color w:val="006666"/>
          <w:sz w:val="20"/>
          <w:szCs w:val="20"/>
        </w:rPr>
      </w:pPr>
      <w:r w:rsidRPr="003E3A9F">
        <w:rPr>
          <w:rFonts w:asciiTheme="minorHAnsi" w:hAnsiTheme="minorHAnsi" w:cstheme="minorHAnsi"/>
          <w:color w:val="006666"/>
          <w:sz w:val="20"/>
          <w:szCs w:val="20"/>
        </w:rPr>
        <w:lastRenderedPageBreak/>
        <w:t xml:space="preserve">Data Collected as part of the </w:t>
      </w:r>
      <w:hyperlink r:id="rId31" w:history="1">
        <w:r w:rsidRPr="00F47517">
          <w:rPr>
            <w:rStyle w:val="Hyperlink"/>
            <w:rFonts w:asciiTheme="minorHAnsi" w:hAnsiTheme="minorHAnsi" w:cstheme="minorHAnsi"/>
            <w:sz w:val="20"/>
            <w:szCs w:val="20"/>
          </w:rPr>
          <w:t xml:space="preserve">ISLA Securities Lending </w:t>
        </w:r>
        <w:r w:rsidR="002012BE" w:rsidRPr="00F47517">
          <w:rPr>
            <w:rStyle w:val="Hyperlink"/>
            <w:rFonts w:asciiTheme="minorHAnsi" w:hAnsiTheme="minorHAnsi" w:cstheme="minorHAnsi"/>
            <w:sz w:val="20"/>
            <w:szCs w:val="20"/>
          </w:rPr>
          <w:t>Market Report, 13</w:t>
        </w:r>
        <w:r w:rsidR="002012BE" w:rsidRPr="00F47517">
          <w:rPr>
            <w:rStyle w:val="Hyperlink"/>
            <w:rFonts w:asciiTheme="minorHAnsi" w:hAnsiTheme="minorHAnsi" w:cstheme="minorHAnsi"/>
            <w:sz w:val="20"/>
            <w:szCs w:val="20"/>
            <w:vertAlign w:val="superscript"/>
          </w:rPr>
          <w:t>th</w:t>
        </w:r>
        <w:r w:rsidR="002012BE" w:rsidRPr="00F47517">
          <w:rPr>
            <w:rStyle w:val="Hyperlink"/>
            <w:rFonts w:asciiTheme="minorHAnsi" w:hAnsiTheme="minorHAnsi" w:cstheme="minorHAnsi"/>
            <w:sz w:val="20"/>
            <w:szCs w:val="20"/>
          </w:rPr>
          <w:t xml:space="preserve"> Edition</w:t>
        </w:r>
      </w:hyperlink>
      <w:r w:rsidR="00E1106A">
        <w:rPr>
          <w:rFonts w:asciiTheme="minorHAnsi" w:hAnsiTheme="minorHAnsi" w:cstheme="minorHAnsi"/>
          <w:color w:val="006666"/>
          <w:sz w:val="20"/>
          <w:szCs w:val="20"/>
        </w:rPr>
        <w:t xml:space="preserve"> 2020,</w:t>
      </w:r>
      <w:r w:rsidR="002012BE" w:rsidRPr="003E3A9F">
        <w:rPr>
          <w:rFonts w:asciiTheme="minorHAnsi" w:hAnsiTheme="minorHAnsi" w:cstheme="minorHAnsi"/>
          <w:color w:val="006666"/>
          <w:sz w:val="20"/>
          <w:szCs w:val="20"/>
        </w:rPr>
        <w:t xml:space="preserve"> also showed an increase in the utilisation </w:t>
      </w:r>
      <w:r w:rsidR="00BD2BD0" w:rsidRPr="003E3A9F">
        <w:rPr>
          <w:rFonts w:asciiTheme="minorHAnsi" w:hAnsiTheme="minorHAnsi" w:cstheme="minorHAnsi"/>
          <w:color w:val="006666"/>
          <w:sz w:val="20"/>
          <w:szCs w:val="20"/>
        </w:rPr>
        <w:t>rate over the initial COVID period</w:t>
      </w:r>
      <w:r w:rsidR="00B976BA">
        <w:rPr>
          <w:rFonts w:asciiTheme="minorHAnsi" w:hAnsiTheme="minorHAnsi" w:cstheme="minorHAnsi"/>
          <w:color w:val="006666"/>
          <w:sz w:val="20"/>
          <w:szCs w:val="20"/>
        </w:rPr>
        <w:t>,</w:t>
      </w:r>
      <w:r w:rsidR="003E3A9F" w:rsidRPr="003E3A9F">
        <w:rPr>
          <w:rFonts w:asciiTheme="minorHAnsi" w:hAnsiTheme="minorHAnsi" w:cstheme="minorHAnsi"/>
          <w:color w:val="006666"/>
          <w:sz w:val="20"/>
          <w:szCs w:val="20"/>
        </w:rPr>
        <w:t xml:space="preserve"> in Europe over March &amp; April (Data Provided by IHS Markit)</w:t>
      </w:r>
      <w:r w:rsidR="00B976BA">
        <w:rPr>
          <w:rFonts w:asciiTheme="minorHAnsi" w:hAnsiTheme="minorHAnsi" w:cstheme="minorHAnsi"/>
          <w:color w:val="006666"/>
          <w:sz w:val="20"/>
          <w:szCs w:val="20"/>
        </w:rPr>
        <w:t>.</w:t>
      </w:r>
      <w:r w:rsidR="003E3A9F" w:rsidRPr="003E3A9F">
        <w:rPr>
          <w:rFonts w:asciiTheme="minorHAnsi" w:hAnsiTheme="minorHAnsi" w:cstheme="minorHAnsi"/>
          <w:color w:val="006666"/>
          <w:sz w:val="20"/>
          <w:szCs w:val="20"/>
        </w:rPr>
        <w:t xml:space="preserve"> </w:t>
      </w:r>
    </w:p>
    <w:p w14:paraId="6C959E73" w14:textId="77777777" w:rsidR="003769CF" w:rsidRDefault="003769CF" w:rsidP="00EA25FA">
      <w:pPr>
        <w:pStyle w:val="Default"/>
        <w:ind w:left="-426" w:right="119"/>
        <w:rPr>
          <w:rFonts w:asciiTheme="minorHAnsi" w:hAnsiTheme="minorHAnsi" w:cstheme="minorHAnsi"/>
          <w:color w:val="006666"/>
          <w:sz w:val="20"/>
          <w:szCs w:val="20"/>
        </w:rPr>
      </w:pPr>
    </w:p>
    <w:p w14:paraId="1D840B32" w14:textId="77777777" w:rsidR="005A5A56" w:rsidRDefault="005A5A56" w:rsidP="00EA25FA">
      <w:pPr>
        <w:pStyle w:val="Default"/>
        <w:ind w:left="-426" w:right="119"/>
        <w:rPr>
          <w:rFonts w:asciiTheme="minorHAnsi" w:hAnsiTheme="minorHAnsi" w:cstheme="minorHAnsi"/>
          <w:sz w:val="20"/>
          <w:szCs w:val="20"/>
        </w:rPr>
      </w:pPr>
    </w:p>
    <w:p w14:paraId="5155B52D" w14:textId="1226E494" w:rsidR="005A5A56" w:rsidRDefault="005A5A56" w:rsidP="003E3A9F">
      <w:pPr>
        <w:pStyle w:val="Default"/>
        <w:ind w:left="-426" w:right="119"/>
        <w:jc w:val="center"/>
        <w:rPr>
          <w:rFonts w:asciiTheme="minorHAnsi" w:hAnsiTheme="minorHAnsi" w:cstheme="minorHAnsi"/>
          <w:sz w:val="20"/>
          <w:szCs w:val="20"/>
        </w:rPr>
      </w:pPr>
      <w:r>
        <w:rPr>
          <w:noProof/>
        </w:rPr>
        <w:drawing>
          <wp:inline distT="0" distB="0" distL="0" distR="0" wp14:anchorId="791BCF17" wp14:editId="3AE49094">
            <wp:extent cx="4572000" cy="2743200"/>
            <wp:effectExtent l="0" t="0" r="0" b="0"/>
            <wp:docPr id="15" name="Chart 15">
              <a:extLst xmlns:a="http://schemas.openxmlformats.org/drawingml/2006/main">
                <a:ext uri="{FF2B5EF4-FFF2-40B4-BE49-F238E27FC236}">
                  <a16:creationId xmlns:a16="http://schemas.microsoft.com/office/drawing/2014/main" id="{A1B5F331-121A-469C-89CB-BDA441FFC69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70F4F23C" w14:textId="69747AA8" w:rsidR="004B6828" w:rsidRDefault="004B6828" w:rsidP="00EA25FA">
      <w:pPr>
        <w:pStyle w:val="Default"/>
        <w:ind w:left="-426" w:right="119"/>
        <w:rPr>
          <w:rFonts w:asciiTheme="minorHAnsi" w:hAnsiTheme="minorHAnsi" w:cstheme="minorHAnsi"/>
          <w:sz w:val="20"/>
          <w:szCs w:val="20"/>
        </w:rPr>
      </w:pPr>
    </w:p>
    <w:p w14:paraId="4BB14EA0" w14:textId="3E7880A8" w:rsidR="004B6828" w:rsidRDefault="004B6828" w:rsidP="00EA25FA">
      <w:pPr>
        <w:pStyle w:val="Default"/>
        <w:ind w:left="-426" w:right="119"/>
        <w:rPr>
          <w:rFonts w:asciiTheme="minorHAnsi" w:hAnsiTheme="minorHAnsi" w:cstheme="minorHAnsi"/>
          <w:sz w:val="20"/>
          <w:szCs w:val="20"/>
        </w:rPr>
      </w:pPr>
    </w:p>
    <w:p w14:paraId="6C6A15F6" w14:textId="77777777" w:rsidR="00761417" w:rsidRDefault="00761417" w:rsidP="00EA25FA">
      <w:pPr>
        <w:pStyle w:val="Default"/>
        <w:ind w:left="-426" w:right="119"/>
        <w:rPr>
          <w:rFonts w:asciiTheme="minorHAnsi" w:hAnsiTheme="minorHAnsi" w:cstheme="minorHAnsi"/>
          <w:color w:val="006666"/>
          <w:sz w:val="20"/>
          <w:szCs w:val="20"/>
        </w:rPr>
      </w:pPr>
    </w:p>
    <w:p w14:paraId="29DB5A6A" w14:textId="77777777" w:rsidR="001A17EE" w:rsidRDefault="001A17EE" w:rsidP="00EA25FA">
      <w:pPr>
        <w:pStyle w:val="Default"/>
        <w:ind w:left="-426" w:right="119"/>
        <w:rPr>
          <w:rFonts w:asciiTheme="minorHAnsi" w:hAnsiTheme="minorHAnsi" w:cstheme="minorHAnsi"/>
          <w:color w:val="006666"/>
          <w:sz w:val="20"/>
          <w:szCs w:val="20"/>
        </w:rPr>
      </w:pPr>
    </w:p>
    <w:p w14:paraId="48A45F7D" w14:textId="3C732EE8" w:rsidR="00E9053E" w:rsidRDefault="006D1927" w:rsidP="00EA25FA">
      <w:pPr>
        <w:pStyle w:val="Default"/>
        <w:ind w:left="-426" w:right="119"/>
        <w:rPr>
          <w:rFonts w:asciiTheme="minorHAnsi" w:hAnsiTheme="minorHAnsi" w:cstheme="minorHAnsi"/>
          <w:color w:val="006666"/>
          <w:sz w:val="20"/>
          <w:szCs w:val="20"/>
        </w:rPr>
      </w:pPr>
      <w:r w:rsidRPr="006D1927">
        <w:rPr>
          <w:rFonts w:asciiTheme="minorHAnsi" w:hAnsiTheme="minorHAnsi" w:cstheme="minorHAnsi"/>
          <w:color w:val="006666"/>
          <w:sz w:val="20"/>
          <w:szCs w:val="20"/>
        </w:rPr>
        <w:t xml:space="preserve">Statistics provided by Euroclear </w:t>
      </w:r>
      <w:r w:rsidR="009C7AFD">
        <w:rPr>
          <w:rFonts w:asciiTheme="minorHAnsi" w:hAnsiTheme="minorHAnsi" w:cstheme="minorHAnsi"/>
          <w:color w:val="006666"/>
          <w:sz w:val="20"/>
          <w:szCs w:val="20"/>
        </w:rPr>
        <w:t xml:space="preserve">show the percentage of volume increase </w:t>
      </w:r>
      <w:r w:rsidR="00F95A9B">
        <w:rPr>
          <w:rFonts w:asciiTheme="minorHAnsi" w:hAnsiTheme="minorHAnsi" w:cstheme="minorHAnsi"/>
          <w:color w:val="006666"/>
          <w:sz w:val="20"/>
          <w:szCs w:val="20"/>
        </w:rPr>
        <w:t xml:space="preserve">for securities lending, </w:t>
      </w:r>
      <w:r w:rsidR="00E268DA">
        <w:rPr>
          <w:rFonts w:asciiTheme="minorHAnsi" w:hAnsiTheme="minorHAnsi" w:cstheme="minorHAnsi"/>
          <w:color w:val="006666"/>
          <w:sz w:val="20"/>
          <w:szCs w:val="20"/>
        </w:rPr>
        <w:t xml:space="preserve">throughout </w:t>
      </w:r>
      <w:r w:rsidR="00EA06EF">
        <w:rPr>
          <w:rFonts w:asciiTheme="minorHAnsi" w:hAnsiTheme="minorHAnsi" w:cstheme="minorHAnsi"/>
          <w:color w:val="006666"/>
          <w:sz w:val="20"/>
          <w:szCs w:val="20"/>
        </w:rPr>
        <w:t>March &amp; April</w:t>
      </w:r>
      <w:r w:rsidR="00E268DA">
        <w:rPr>
          <w:rFonts w:asciiTheme="minorHAnsi" w:hAnsiTheme="minorHAnsi" w:cstheme="minorHAnsi"/>
          <w:color w:val="006666"/>
          <w:sz w:val="20"/>
          <w:szCs w:val="20"/>
        </w:rPr>
        <w:t xml:space="preserve"> 2020</w:t>
      </w:r>
      <w:r w:rsidR="004B28B5">
        <w:rPr>
          <w:rFonts w:asciiTheme="minorHAnsi" w:hAnsiTheme="minorHAnsi" w:cstheme="minorHAnsi"/>
          <w:color w:val="006666"/>
          <w:sz w:val="20"/>
          <w:szCs w:val="20"/>
        </w:rPr>
        <w:t xml:space="preserve"> (where highest level of volatility occurred) </w:t>
      </w:r>
      <w:r w:rsidR="00E268DA">
        <w:rPr>
          <w:rFonts w:asciiTheme="minorHAnsi" w:hAnsiTheme="minorHAnsi" w:cstheme="minorHAnsi"/>
          <w:color w:val="006666"/>
          <w:sz w:val="20"/>
          <w:szCs w:val="20"/>
        </w:rPr>
        <w:t>vs the re</w:t>
      </w:r>
      <w:r w:rsidR="00C23D3E">
        <w:rPr>
          <w:rFonts w:asciiTheme="minorHAnsi" w:hAnsiTheme="minorHAnsi" w:cstheme="minorHAnsi"/>
          <w:color w:val="006666"/>
          <w:sz w:val="20"/>
          <w:szCs w:val="20"/>
        </w:rPr>
        <w:t xml:space="preserve">mainder </w:t>
      </w:r>
      <w:r w:rsidR="00E268DA">
        <w:rPr>
          <w:rFonts w:asciiTheme="minorHAnsi" w:hAnsiTheme="minorHAnsi" w:cstheme="minorHAnsi"/>
          <w:color w:val="006666"/>
          <w:sz w:val="20"/>
          <w:szCs w:val="20"/>
        </w:rPr>
        <w:t xml:space="preserve">of the year. </w:t>
      </w:r>
      <w:r w:rsidR="005E65FE">
        <w:rPr>
          <w:rFonts w:asciiTheme="minorHAnsi" w:hAnsiTheme="minorHAnsi" w:cstheme="minorHAnsi"/>
          <w:color w:val="006666"/>
          <w:sz w:val="20"/>
          <w:szCs w:val="20"/>
        </w:rPr>
        <w:t>All volumes grew</w:t>
      </w:r>
      <w:r w:rsidR="0097571A">
        <w:rPr>
          <w:rFonts w:asciiTheme="minorHAnsi" w:hAnsiTheme="minorHAnsi" w:cstheme="minorHAnsi"/>
          <w:color w:val="006666"/>
          <w:sz w:val="20"/>
          <w:szCs w:val="20"/>
        </w:rPr>
        <w:t xml:space="preserve"> </w:t>
      </w:r>
      <w:r w:rsidR="005E65FE">
        <w:rPr>
          <w:rFonts w:asciiTheme="minorHAnsi" w:hAnsiTheme="minorHAnsi" w:cstheme="minorHAnsi"/>
          <w:color w:val="006666"/>
          <w:sz w:val="20"/>
          <w:szCs w:val="20"/>
        </w:rPr>
        <w:t>substantially</w:t>
      </w:r>
      <w:r w:rsidR="00590703">
        <w:rPr>
          <w:rFonts w:asciiTheme="minorHAnsi" w:hAnsiTheme="minorHAnsi" w:cstheme="minorHAnsi"/>
          <w:color w:val="006666"/>
          <w:sz w:val="20"/>
          <w:szCs w:val="20"/>
        </w:rPr>
        <w:t xml:space="preserve">, </w:t>
      </w:r>
      <w:r w:rsidR="00590703" w:rsidRPr="00590703">
        <w:rPr>
          <w:rFonts w:asciiTheme="minorHAnsi" w:hAnsiTheme="minorHAnsi" w:cstheme="minorHAnsi"/>
          <w:color w:val="006666"/>
          <w:sz w:val="20"/>
          <w:szCs w:val="20"/>
        </w:rPr>
        <w:t xml:space="preserve">with the highest increase in </w:t>
      </w:r>
      <w:r w:rsidR="00590703">
        <w:rPr>
          <w:rFonts w:asciiTheme="minorHAnsi" w:hAnsiTheme="minorHAnsi" w:cstheme="minorHAnsi"/>
          <w:color w:val="006666"/>
          <w:sz w:val="20"/>
          <w:szCs w:val="20"/>
        </w:rPr>
        <w:t>g</w:t>
      </w:r>
      <w:r w:rsidR="00590703" w:rsidRPr="00590703">
        <w:rPr>
          <w:rFonts w:asciiTheme="minorHAnsi" w:hAnsiTheme="minorHAnsi" w:cstheme="minorHAnsi"/>
          <w:color w:val="006666"/>
          <w:sz w:val="20"/>
          <w:szCs w:val="20"/>
        </w:rPr>
        <w:t>ov</w:t>
      </w:r>
      <w:r w:rsidR="00590703">
        <w:rPr>
          <w:rFonts w:asciiTheme="minorHAnsi" w:hAnsiTheme="minorHAnsi" w:cstheme="minorHAnsi"/>
          <w:color w:val="006666"/>
          <w:sz w:val="20"/>
          <w:szCs w:val="20"/>
        </w:rPr>
        <w:t>ernment</w:t>
      </w:r>
      <w:r w:rsidR="00590703" w:rsidRPr="00590703">
        <w:rPr>
          <w:rFonts w:asciiTheme="minorHAnsi" w:hAnsiTheme="minorHAnsi" w:cstheme="minorHAnsi"/>
          <w:color w:val="006666"/>
          <w:sz w:val="20"/>
          <w:szCs w:val="20"/>
        </w:rPr>
        <w:t>/</w:t>
      </w:r>
      <w:r w:rsidR="00335813">
        <w:rPr>
          <w:rFonts w:asciiTheme="minorHAnsi" w:hAnsiTheme="minorHAnsi" w:cstheme="minorHAnsi"/>
          <w:color w:val="006666"/>
          <w:sz w:val="20"/>
          <w:szCs w:val="20"/>
        </w:rPr>
        <w:t>s</w:t>
      </w:r>
      <w:r w:rsidR="00590703" w:rsidRPr="00590703">
        <w:rPr>
          <w:rFonts w:asciiTheme="minorHAnsi" w:hAnsiTheme="minorHAnsi" w:cstheme="minorHAnsi"/>
          <w:color w:val="006666"/>
          <w:sz w:val="20"/>
          <w:szCs w:val="20"/>
        </w:rPr>
        <w:t>overeign</w:t>
      </w:r>
      <w:r w:rsidR="00590703">
        <w:rPr>
          <w:rFonts w:asciiTheme="minorHAnsi" w:hAnsiTheme="minorHAnsi" w:cstheme="minorHAnsi"/>
          <w:color w:val="006666"/>
          <w:sz w:val="20"/>
          <w:szCs w:val="20"/>
        </w:rPr>
        <w:t xml:space="preserve"> issued securities. </w:t>
      </w:r>
    </w:p>
    <w:p w14:paraId="66B839F6" w14:textId="6FDB0E38" w:rsidR="00C23D3E" w:rsidRDefault="00C23D3E" w:rsidP="00EA25FA">
      <w:pPr>
        <w:pStyle w:val="Default"/>
        <w:ind w:left="-426" w:right="119"/>
        <w:rPr>
          <w:rFonts w:asciiTheme="minorHAnsi" w:hAnsiTheme="minorHAnsi" w:cstheme="minorHAnsi"/>
          <w:color w:val="006666"/>
          <w:sz w:val="20"/>
          <w:szCs w:val="20"/>
        </w:rPr>
      </w:pPr>
    </w:p>
    <w:p w14:paraId="41BD7959" w14:textId="17C0EAF1" w:rsidR="006842EE" w:rsidRPr="006D1927" w:rsidRDefault="006842EE" w:rsidP="006842EE">
      <w:pPr>
        <w:pStyle w:val="Default"/>
        <w:ind w:left="-426" w:right="119"/>
        <w:jc w:val="center"/>
        <w:rPr>
          <w:rFonts w:asciiTheme="minorHAnsi" w:hAnsiTheme="minorHAnsi" w:cstheme="minorHAnsi"/>
          <w:color w:val="006666"/>
          <w:sz w:val="20"/>
          <w:szCs w:val="20"/>
        </w:rPr>
      </w:pPr>
      <w:r>
        <w:rPr>
          <w:noProof/>
        </w:rPr>
        <w:drawing>
          <wp:inline distT="0" distB="0" distL="0" distR="0" wp14:anchorId="753F9493" wp14:editId="72D12D52">
            <wp:extent cx="4511615" cy="2231052"/>
            <wp:effectExtent l="19050" t="19050" r="22860" b="171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4520367" cy="2235380"/>
                    </a:xfrm>
                    <a:prstGeom prst="rect">
                      <a:avLst/>
                    </a:prstGeom>
                    <a:noFill/>
                    <a:ln>
                      <a:solidFill>
                        <a:srgbClr val="006666"/>
                      </a:solidFill>
                    </a:ln>
                  </pic:spPr>
                </pic:pic>
              </a:graphicData>
            </a:graphic>
          </wp:inline>
        </w:drawing>
      </w:r>
    </w:p>
    <w:p w14:paraId="0D67045F" w14:textId="77777777" w:rsidR="002626F5" w:rsidRDefault="002626F5" w:rsidP="005C47B9">
      <w:pPr>
        <w:pStyle w:val="Default"/>
        <w:ind w:right="119"/>
        <w:rPr>
          <w:rFonts w:asciiTheme="minorHAnsi" w:hAnsiTheme="minorHAnsi" w:cstheme="minorHAnsi"/>
          <w:color w:val="006666"/>
          <w:sz w:val="20"/>
          <w:szCs w:val="20"/>
        </w:rPr>
      </w:pPr>
    </w:p>
    <w:p w14:paraId="7F0776B7" w14:textId="77777777" w:rsidR="00761417" w:rsidRDefault="00761417" w:rsidP="00CA46F6">
      <w:pPr>
        <w:pStyle w:val="Default"/>
        <w:ind w:left="-426" w:right="119"/>
        <w:rPr>
          <w:rFonts w:asciiTheme="minorHAnsi" w:hAnsiTheme="minorHAnsi" w:cstheme="minorHAnsi"/>
          <w:color w:val="006666"/>
          <w:sz w:val="20"/>
          <w:szCs w:val="20"/>
        </w:rPr>
      </w:pPr>
    </w:p>
    <w:p w14:paraId="0311A4C7" w14:textId="3CD97FC5" w:rsidR="006023EE" w:rsidRDefault="00A830D8" w:rsidP="00CA46F6">
      <w:pPr>
        <w:pStyle w:val="Default"/>
        <w:ind w:left="-426" w:right="119"/>
        <w:rPr>
          <w:rFonts w:asciiTheme="minorHAnsi" w:hAnsiTheme="minorHAnsi" w:cstheme="minorHAnsi"/>
          <w:color w:val="006666"/>
          <w:sz w:val="20"/>
          <w:szCs w:val="20"/>
        </w:rPr>
      </w:pPr>
      <w:r>
        <w:rPr>
          <w:rFonts w:asciiTheme="minorHAnsi" w:hAnsiTheme="minorHAnsi" w:cstheme="minorHAnsi"/>
          <w:color w:val="006666"/>
          <w:sz w:val="20"/>
          <w:szCs w:val="20"/>
        </w:rPr>
        <w:t>T</w:t>
      </w:r>
      <w:r w:rsidR="00EF6B30">
        <w:rPr>
          <w:rFonts w:asciiTheme="minorHAnsi" w:hAnsiTheme="minorHAnsi" w:cstheme="minorHAnsi"/>
          <w:color w:val="006666"/>
          <w:sz w:val="20"/>
          <w:szCs w:val="20"/>
        </w:rPr>
        <w:t>he</w:t>
      </w:r>
      <w:r w:rsidR="000C41D7">
        <w:rPr>
          <w:rFonts w:asciiTheme="minorHAnsi" w:hAnsiTheme="minorHAnsi" w:cstheme="minorHAnsi"/>
          <w:color w:val="006666"/>
          <w:sz w:val="20"/>
          <w:szCs w:val="20"/>
        </w:rPr>
        <w:t xml:space="preserve">re is a clear link between </w:t>
      </w:r>
      <w:r w:rsidR="007D05D6">
        <w:rPr>
          <w:rFonts w:asciiTheme="minorHAnsi" w:hAnsiTheme="minorHAnsi" w:cstheme="minorHAnsi"/>
          <w:color w:val="006666"/>
          <w:sz w:val="20"/>
          <w:szCs w:val="20"/>
        </w:rPr>
        <w:t xml:space="preserve">the increased securities lending </w:t>
      </w:r>
      <w:r w:rsidR="0004351F">
        <w:rPr>
          <w:rFonts w:asciiTheme="minorHAnsi" w:hAnsiTheme="minorHAnsi" w:cstheme="minorHAnsi"/>
          <w:color w:val="006666"/>
          <w:sz w:val="20"/>
          <w:szCs w:val="20"/>
        </w:rPr>
        <w:t xml:space="preserve">utilisation </w:t>
      </w:r>
      <w:r w:rsidR="007D05D6">
        <w:rPr>
          <w:rFonts w:asciiTheme="minorHAnsi" w:hAnsiTheme="minorHAnsi" w:cstheme="minorHAnsi"/>
          <w:color w:val="006666"/>
          <w:sz w:val="20"/>
          <w:szCs w:val="20"/>
        </w:rPr>
        <w:t>(% of lent assets from a lendable portfolio)</w:t>
      </w:r>
      <w:r w:rsidR="006A0FC0">
        <w:rPr>
          <w:rFonts w:asciiTheme="minorHAnsi" w:hAnsiTheme="minorHAnsi" w:cstheme="minorHAnsi"/>
          <w:color w:val="006666"/>
          <w:sz w:val="20"/>
          <w:szCs w:val="20"/>
        </w:rPr>
        <w:t xml:space="preserve"> </w:t>
      </w:r>
      <w:r w:rsidR="003A2D74">
        <w:rPr>
          <w:rFonts w:asciiTheme="minorHAnsi" w:hAnsiTheme="minorHAnsi" w:cstheme="minorHAnsi"/>
          <w:color w:val="006666"/>
          <w:sz w:val="20"/>
          <w:szCs w:val="20"/>
        </w:rPr>
        <w:t xml:space="preserve">and </w:t>
      </w:r>
      <w:r w:rsidR="003F3EAE">
        <w:rPr>
          <w:rFonts w:asciiTheme="minorHAnsi" w:hAnsiTheme="minorHAnsi" w:cstheme="minorHAnsi"/>
          <w:color w:val="006666"/>
          <w:sz w:val="20"/>
          <w:szCs w:val="20"/>
        </w:rPr>
        <w:t xml:space="preserve">the corresponding </w:t>
      </w:r>
      <w:r w:rsidR="003A2D74">
        <w:rPr>
          <w:rFonts w:asciiTheme="minorHAnsi" w:hAnsiTheme="minorHAnsi" w:cstheme="minorHAnsi"/>
          <w:color w:val="006666"/>
          <w:sz w:val="20"/>
          <w:szCs w:val="20"/>
        </w:rPr>
        <w:t>decrease in market liquidity</w:t>
      </w:r>
      <w:r w:rsidR="00087145">
        <w:rPr>
          <w:rFonts w:asciiTheme="minorHAnsi" w:hAnsiTheme="minorHAnsi" w:cstheme="minorHAnsi"/>
          <w:color w:val="006666"/>
          <w:sz w:val="20"/>
          <w:szCs w:val="20"/>
        </w:rPr>
        <w:t>,</w:t>
      </w:r>
      <w:r w:rsidR="003A2D74">
        <w:rPr>
          <w:rFonts w:asciiTheme="minorHAnsi" w:hAnsiTheme="minorHAnsi" w:cstheme="minorHAnsi"/>
          <w:color w:val="006666"/>
          <w:sz w:val="20"/>
          <w:szCs w:val="20"/>
        </w:rPr>
        <w:t xml:space="preserve"> </w:t>
      </w:r>
      <w:r w:rsidR="003F3EAE">
        <w:rPr>
          <w:rFonts w:asciiTheme="minorHAnsi" w:hAnsiTheme="minorHAnsi" w:cstheme="minorHAnsi"/>
          <w:color w:val="006666"/>
          <w:sz w:val="20"/>
          <w:szCs w:val="20"/>
        </w:rPr>
        <w:t xml:space="preserve">which illustrates the </w:t>
      </w:r>
      <w:r w:rsidR="00CA46F6">
        <w:rPr>
          <w:rFonts w:asciiTheme="minorHAnsi" w:hAnsiTheme="minorHAnsi" w:cstheme="minorHAnsi"/>
          <w:color w:val="006666"/>
          <w:sz w:val="20"/>
          <w:szCs w:val="20"/>
        </w:rPr>
        <w:t xml:space="preserve">vital </w:t>
      </w:r>
      <w:r w:rsidR="003F3EAE">
        <w:rPr>
          <w:rFonts w:asciiTheme="minorHAnsi" w:hAnsiTheme="minorHAnsi" w:cstheme="minorHAnsi"/>
          <w:color w:val="006666"/>
          <w:sz w:val="20"/>
          <w:szCs w:val="20"/>
        </w:rPr>
        <w:t xml:space="preserve">relationship securities lending </w:t>
      </w:r>
      <w:r w:rsidR="00BC1E07">
        <w:rPr>
          <w:rFonts w:asciiTheme="minorHAnsi" w:hAnsiTheme="minorHAnsi" w:cstheme="minorHAnsi"/>
          <w:color w:val="006666"/>
          <w:sz w:val="20"/>
          <w:szCs w:val="20"/>
        </w:rPr>
        <w:t xml:space="preserve">has in </w:t>
      </w:r>
      <w:r w:rsidR="00EA702D">
        <w:rPr>
          <w:rFonts w:asciiTheme="minorHAnsi" w:hAnsiTheme="minorHAnsi" w:cstheme="minorHAnsi"/>
          <w:color w:val="006666"/>
          <w:sz w:val="20"/>
          <w:szCs w:val="20"/>
        </w:rPr>
        <w:t>maintaining a stable market</w:t>
      </w:r>
      <w:r w:rsidR="00CA46F6">
        <w:rPr>
          <w:rFonts w:asciiTheme="minorHAnsi" w:hAnsiTheme="minorHAnsi" w:cstheme="minorHAnsi"/>
          <w:color w:val="006666"/>
          <w:sz w:val="20"/>
          <w:szCs w:val="20"/>
        </w:rPr>
        <w:t xml:space="preserve"> and thus i</w:t>
      </w:r>
      <w:r w:rsidR="00EA702D">
        <w:rPr>
          <w:rFonts w:asciiTheme="minorHAnsi" w:hAnsiTheme="minorHAnsi" w:cstheme="minorHAnsi"/>
          <w:color w:val="006666"/>
          <w:sz w:val="20"/>
          <w:szCs w:val="20"/>
        </w:rPr>
        <w:t xml:space="preserve">mposing a ‘regulatory buy in’ </w:t>
      </w:r>
      <w:r w:rsidR="00DF58FD">
        <w:rPr>
          <w:rFonts w:asciiTheme="minorHAnsi" w:hAnsiTheme="minorHAnsi" w:cstheme="minorHAnsi"/>
          <w:color w:val="006666"/>
          <w:sz w:val="20"/>
          <w:szCs w:val="20"/>
        </w:rPr>
        <w:t xml:space="preserve">via the CSDR settlement Discipline regime </w:t>
      </w:r>
      <w:r w:rsidR="00EA702D">
        <w:rPr>
          <w:rFonts w:asciiTheme="minorHAnsi" w:hAnsiTheme="minorHAnsi" w:cstheme="minorHAnsi"/>
          <w:color w:val="006666"/>
          <w:sz w:val="20"/>
          <w:szCs w:val="20"/>
        </w:rPr>
        <w:t xml:space="preserve">on </w:t>
      </w:r>
      <w:r w:rsidR="00DA6270">
        <w:rPr>
          <w:rFonts w:asciiTheme="minorHAnsi" w:hAnsiTheme="minorHAnsi" w:cstheme="minorHAnsi"/>
          <w:color w:val="006666"/>
          <w:sz w:val="20"/>
          <w:szCs w:val="20"/>
        </w:rPr>
        <w:t>this securities financing transaction type</w:t>
      </w:r>
      <w:r w:rsidR="00A460E9">
        <w:rPr>
          <w:rFonts w:asciiTheme="minorHAnsi" w:hAnsiTheme="minorHAnsi" w:cstheme="minorHAnsi"/>
          <w:color w:val="006666"/>
          <w:sz w:val="20"/>
          <w:szCs w:val="20"/>
        </w:rPr>
        <w:t xml:space="preserve"> amongst others</w:t>
      </w:r>
      <w:r w:rsidR="002F2AB0">
        <w:rPr>
          <w:rFonts w:asciiTheme="minorHAnsi" w:hAnsiTheme="minorHAnsi" w:cstheme="minorHAnsi"/>
          <w:color w:val="006666"/>
          <w:sz w:val="20"/>
          <w:szCs w:val="20"/>
        </w:rPr>
        <w:t>,</w:t>
      </w:r>
      <w:r w:rsidR="00DF58FD">
        <w:rPr>
          <w:rFonts w:asciiTheme="minorHAnsi" w:hAnsiTheme="minorHAnsi" w:cstheme="minorHAnsi"/>
          <w:color w:val="006666"/>
          <w:sz w:val="20"/>
          <w:szCs w:val="20"/>
        </w:rPr>
        <w:t xml:space="preserve"> would be detrimental to </w:t>
      </w:r>
      <w:r w:rsidR="002F2AB0">
        <w:rPr>
          <w:rFonts w:asciiTheme="minorHAnsi" w:hAnsiTheme="minorHAnsi" w:cstheme="minorHAnsi"/>
          <w:color w:val="006666"/>
          <w:sz w:val="20"/>
          <w:szCs w:val="20"/>
        </w:rPr>
        <w:t xml:space="preserve">the effective </w:t>
      </w:r>
      <w:r w:rsidR="00DF58FD">
        <w:rPr>
          <w:rFonts w:asciiTheme="minorHAnsi" w:hAnsiTheme="minorHAnsi" w:cstheme="minorHAnsi"/>
          <w:color w:val="006666"/>
          <w:sz w:val="20"/>
          <w:szCs w:val="20"/>
        </w:rPr>
        <w:t xml:space="preserve">functioning of global capital markets. </w:t>
      </w:r>
    </w:p>
    <w:p w14:paraId="3B23E337" w14:textId="7E4DE264" w:rsidR="00DF58FD" w:rsidRDefault="00032D9C" w:rsidP="00EA25FA">
      <w:pPr>
        <w:pStyle w:val="Default"/>
        <w:ind w:left="-426" w:right="119"/>
        <w:rPr>
          <w:rFonts w:asciiTheme="minorHAnsi" w:hAnsiTheme="minorHAnsi" w:cstheme="minorHAnsi"/>
          <w:color w:val="006666"/>
          <w:sz w:val="20"/>
          <w:szCs w:val="20"/>
        </w:rPr>
      </w:pPr>
      <w:r w:rsidRPr="00527D4B">
        <w:rPr>
          <w:rFonts w:cstheme="minorHAnsi"/>
          <w:b/>
          <w:bCs/>
          <w:noProof/>
          <w:sz w:val="20"/>
          <w:szCs w:val="20"/>
        </w:rPr>
        <w:lastRenderedPageBreak/>
        <w:drawing>
          <wp:anchor distT="0" distB="0" distL="114300" distR="114300" simplePos="0" relativeHeight="251658242" behindDoc="1" locked="0" layoutInCell="1" allowOverlap="1" wp14:anchorId="56B1C402" wp14:editId="0BDA293E">
            <wp:simplePos x="0" y="0"/>
            <wp:positionH relativeFrom="column">
              <wp:posOffset>2915285</wp:posOffset>
            </wp:positionH>
            <wp:positionV relativeFrom="paragraph">
              <wp:posOffset>156845</wp:posOffset>
            </wp:positionV>
            <wp:extent cx="2964815" cy="3174365"/>
            <wp:effectExtent l="0" t="0" r="6985" b="6985"/>
            <wp:wrapTight wrapText="bothSides">
              <wp:wrapPolygon edited="0">
                <wp:start x="0" y="0"/>
                <wp:lineTo x="0" y="21518"/>
                <wp:lineTo x="21512" y="21518"/>
                <wp:lineTo x="21512"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64815" cy="31743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B96221" w14:textId="2B60265E" w:rsidR="00527D4B" w:rsidRPr="00261628" w:rsidRDefault="005A55D1" w:rsidP="00261628">
      <w:pPr>
        <w:pStyle w:val="Default"/>
        <w:ind w:left="-426" w:right="119"/>
        <w:rPr>
          <w:rFonts w:asciiTheme="minorHAnsi" w:hAnsiTheme="minorHAnsi" w:cstheme="minorHAnsi"/>
          <w:color w:val="006666"/>
          <w:sz w:val="20"/>
          <w:szCs w:val="20"/>
        </w:rPr>
      </w:pPr>
      <w:r>
        <w:rPr>
          <w:rFonts w:asciiTheme="minorHAnsi" w:hAnsiTheme="minorHAnsi" w:cstheme="minorHAnsi"/>
          <w:color w:val="006666"/>
          <w:sz w:val="20"/>
          <w:szCs w:val="20"/>
        </w:rPr>
        <w:t xml:space="preserve">In a </w:t>
      </w:r>
      <w:hyperlink r:id="rId36" w:history="1">
        <w:r w:rsidRPr="005A55D1">
          <w:rPr>
            <w:rStyle w:val="Hyperlink"/>
            <w:rFonts w:asciiTheme="minorHAnsi" w:hAnsiTheme="minorHAnsi" w:cstheme="minorHAnsi"/>
            <w:sz w:val="20"/>
            <w:szCs w:val="20"/>
          </w:rPr>
          <w:t>paper</w:t>
        </w:r>
      </w:hyperlink>
      <w:r>
        <w:rPr>
          <w:rFonts w:asciiTheme="minorHAnsi" w:hAnsiTheme="minorHAnsi" w:cstheme="minorHAnsi"/>
          <w:color w:val="006666"/>
          <w:sz w:val="20"/>
          <w:szCs w:val="20"/>
        </w:rPr>
        <w:t xml:space="preserve"> published by the Bank of Canada in 2010</w:t>
      </w:r>
      <w:r w:rsidR="006A017B">
        <w:rPr>
          <w:rFonts w:asciiTheme="minorHAnsi" w:hAnsiTheme="minorHAnsi" w:cstheme="minorHAnsi"/>
          <w:color w:val="006666"/>
          <w:sz w:val="20"/>
          <w:szCs w:val="20"/>
        </w:rPr>
        <w:t>, titled</w:t>
      </w:r>
      <w:r w:rsidR="002F2AB0">
        <w:rPr>
          <w:rFonts w:asciiTheme="minorHAnsi" w:hAnsiTheme="minorHAnsi" w:cstheme="minorHAnsi"/>
          <w:color w:val="006666"/>
          <w:sz w:val="20"/>
          <w:szCs w:val="20"/>
        </w:rPr>
        <w:t>;</w:t>
      </w:r>
      <w:r w:rsidR="006A017B">
        <w:rPr>
          <w:rFonts w:asciiTheme="minorHAnsi" w:hAnsiTheme="minorHAnsi" w:cstheme="minorHAnsi"/>
          <w:color w:val="006666"/>
          <w:sz w:val="20"/>
          <w:szCs w:val="20"/>
        </w:rPr>
        <w:t xml:space="preserve"> </w:t>
      </w:r>
      <w:r w:rsidR="006A017B" w:rsidRPr="006A017B">
        <w:rPr>
          <w:rFonts w:asciiTheme="minorHAnsi" w:hAnsiTheme="minorHAnsi" w:cstheme="minorHAnsi"/>
          <w:color w:val="006666"/>
          <w:sz w:val="20"/>
          <w:szCs w:val="20"/>
        </w:rPr>
        <w:t>The Role of Securities Lending in Market Liquidity</w:t>
      </w:r>
      <w:r>
        <w:rPr>
          <w:rFonts w:asciiTheme="minorHAnsi" w:hAnsiTheme="minorHAnsi" w:cstheme="minorHAnsi"/>
          <w:color w:val="006666"/>
          <w:sz w:val="20"/>
          <w:szCs w:val="20"/>
        </w:rPr>
        <w:t xml:space="preserve"> </w:t>
      </w:r>
      <w:r w:rsidR="00023577">
        <w:rPr>
          <w:rFonts w:asciiTheme="minorHAnsi" w:hAnsiTheme="minorHAnsi" w:cstheme="minorHAnsi"/>
          <w:color w:val="006666"/>
          <w:sz w:val="20"/>
          <w:szCs w:val="20"/>
        </w:rPr>
        <w:t>–</w:t>
      </w:r>
      <w:r>
        <w:rPr>
          <w:rFonts w:asciiTheme="minorHAnsi" w:hAnsiTheme="minorHAnsi" w:cstheme="minorHAnsi"/>
          <w:color w:val="006666"/>
          <w:sz w:val="20"/>
          <w:szCs w:val="20"/>
        </w:rPr>
        <w:t xml:space="preserve"> </w:t>
      </w:r>
      <w:r w:rsidR="00023577">
        <w:rPr>
          <w:rFonts w:asciiTheme="minorHAnsi" w:hAnsiTheme="minorHAnsi" w:cstheme="minorHAnsi"/>
          <w:color w:val="006666"/>
          <w:sz w:val="20"/>
          <w:szCs w:val="20"/>
        </w:rPr>
        <w:t>they cite ‘ the securities lending</w:t>
      </w:r>
      <w:r w:rsidR="00B7131A">
        <w:rPr>
          <w:rFonts w:asciiTheme="minorHAnsi" w:hAnsiTheme="minorHAnsi" w:cstheme="minorHAnsi"/>
          <w:color w:val="006666"/>
          <w:sz w:val="20"/>
          <w:szCs w:val="20"/>
        </w:rPr>
        <w:t xml:space="preserve"> market</w:t>
      </w:r>
      <w:r w:rsidR="00023577">
        <w:rPr>
          <w:rFonts w:asciiTheme="minorHAnsi" w:hAnsiTheme="minorHAnsi" w:cstheme="minorHAnsi"/>
          <w:color w:val="006666"/>
          <w:sz w:val="20"/>
          <w:szCs w:val="20"/>
        </w:rPr>
        <w:t xml:space="preserve"> </w:t>
      </w:r>
      <w:r w:rsidR="00B369C1" w:rsidRPr="00B369C1">
        <w:rPr>
          <w:rFonts w:asciiTheme="minorHAnsi" w:hAnsiTheme="minorHAnsi" w:cstheme="minorHAnsi"/>
          <w:color w:val="006666"/>
          <w:sz w:val="20"/>
          <w:szCs w:val="20"/>
        </w:rPr>
        <w:t>may be a potential source of contagion during times of stress</w:t>
      </w:r>
      <w:r w:rsidR="00B369C1">
        <w:rPr>
          <w:rFonts w:asciiTheme="minorHAnsi" w:hAnsiTheme="minorHAnsi" w:cstheme="minorHAnsi"/>
          <w:color w:val="006666"/>
          <w:sz w:val="20"/>
          <w:szCs w:val="20"/>
        </w:rPr>
        <w:t>’</w:t>
      </w:r>
      <w:r w:rsidR="00571C8F">
        <w:rPr>
          <w:rFonts w:asciiTheme="minorHAnsi" w:hAnsiTheme="minorHAnsi" w:cstheme="minorHAnsi"/>
          <w:color w:val="006666"/>
          <w:sz w:val="20"/>
          <w:szCs w:val="20"/>
        </w:rPr>
        <w:t xml:space="preserve">. </w:t>
      </w:r>
      <w:r w:rsidR="00A800AF">
        <w:rPr>
          <w:rFonts w:asciiTheme="minorHAnsi" w:hAnsiTheme="minorHAnsi" w:cstheme="minorHAnsi"/>
          <w:color w:val="006666"/>
          <w:sz w:val="20"/>
          <w:szCs w:val="20"/>
        </w:rPr>
        <w:t xml:space="preserve">ISLA </w:t>
      </w:r>
      <w:r w:rsidR="00B2557A">
        <w:rPr>
          <w:rFonts w:asciiTheme="minorHAnsi" w:hAnsiTheme="minorHAnsi" w:cstheme="minorHAnsi"/>
          <w:color w:val="006666"/>
          <w:sz w:val="20"/>
          <w:szCs w:val="20"/>
        </w:rPr>
        <w:t xml:space="preserve">would argue that implementing a mandatory buy-in regime </w:t>
      </w:r>
      <w:r w:rsidR="00F5209A">
        <w:rPr>
          <w:rFonts w:asciiTheme="minorHAnsi" w:hAnsiTheme="minorHAnsi" w:cstheme="minorHAnsi"/>
          <w:color w:val="006666"/>
          <w:sz w:val="20"/>
          <w:szCs w:val="20"/>
        </w:rPr>
        <w:t xml:space="preserve">as part of CSDR would most certainly lead to increased </w:t>
      </w:r>
      <w:r w:rsidR="00267E09">
        <w:rPr>
          <w:rFonts w:asciiTheme="minorHAnsi" w:hAnsiTheme="minorHAnsi" w:cstheme="minorHAnsi"/>
          <w:color w:val="006666"/>
          <w:sz w:val="20"/>
          <w:szCs w:val="20"/>
        </w:rPr>
        <w:t xml:space="preserve">pricing of </w:t>
      </w:r>
      <w:r w:rsidR="00820DF5">
        <w:rPr>
          <w:rFonts w:asciiTheme="minorHAnsi" w:hAnsiTheme="minorHAnsi" w:cstheme="minorHAnsi"/>
          <w:color w:val="006666"/>
          <w:sz w:val="20"/>
          <w:szCs w:val="20"/>
        </w:rPr>
        <w:t xml:space="preserve">cash </w:t>
      </w:r>
      <w:r w:rsidR="00267E09">
        <w:rPr>
          <w:rFonts w:asciiTheme="minorHAnsi" w:hAnsiTheme="minorHAnsi" w:cstheme="minorHAnsi"/>
          <w:color w:val="006666"/>
          <w:sz w:val="20"/>
          <w:szCs w:val="20"/>
        </w:rPr>
        <w:t>trades</w:t>
      </w:r>
      <w:r w:rsidR="00C50CE0">
        <w:rPr>
          <w:rFonts w:asciiTheme="minorHAnsi" w:hAnsiTheme="minorHAnsi" w:cstheme="minorHAnsi"/>
          <w:color w:val="006666"/>
          <w:sz w:val="20"/>
          <w:szCs w:val="20"/>
        </w:rPr>
        <w:t xml:space="preserve"> (primary market),</w:t>
      </w:r>
      <w:r w:rsidR="00267E09">
        <w:rPr>
          <w:rFonts w:asciiTheme="minorHAnsi" w:hAnsiTheme="minorHAnsi" w:cstheme="minorHAnsi"/>
          <w:color w:val="006666"/>
          <w:sz w:val="20"/>
          <w:szCs w:val="20"/>
        </w:rPr>
        <w:t xml:space="preserve"> to take into account additional risk &amp; cost if settlement failure should occur</w:t>
      </w:r>
      <w:r w:rsidR="0056173C">
        <w:rPr>
          <w:rFonts w:asciiTheme="minorHAnsi" w:hAnsiTheme="minorHAnsi" w:cstheme="minorHAnsi"/>
          <w:color w:val="006666"/>
          <w:sz w:val="20"/>
          <w:szCs w:val="20"/>
        </w:rPr>
        <w:t xml:space="preserve"> (See T.9</w:t>
      </w:r>
      <w:r w:rsidR="00A83046">
        <w:rPr>
          <w:rFonts w:asciiTheme="minorHAnsi" w:hAnsiTheme="minorHAnsi" w:cstheme="minorHAnsi"/>
          <w:color w:val="006666"/>
          <w:sz w:val="20"/>
          <w:szCs w:val="20"/>
        </w:rPr>
        <w:t xml:space="preserve"> showing a sharp rise in fails for equities throughout the initial stages of the pandemic</w:t>
      </w:r>
      <w:r w:rsidR="004B0D95">
        <w:rPr>
          <w:rFonts w:asciiTheme="minorHAnsi" w:hAnsiTheme="minorHAnsi" w:cstheme="minorHAnsi"/>
          <w:color w:val="006666"/>
          <w:sz w:val="20"/>
          <w:szCs w:val="20"/>
        </w:rPr>
        <w:t xml:space="preserve"> adding substantial </w:t>
      </w:r>
      <w:r w:rsidR="002A700A">
        <w:rPr>
          <w:rFonts w:asciiTheme="minorHAnsi" w:hAnsiTheme="minorHAnsi" w:cstheme="minorHAnsi"/>
          <w:color w:val="006666"/>
          <w:sz w:val="20"/>
          <w:szCs w:val="20"/>
        </w:rPr>
        <w:t xml:space="preserve">further </w:t>
      </w:r>
      <w:r w:rsidR="004B0D95">
        <w:rPr>
          <w:rFonts w:asciiTheme="minorHAnsi" w:hAnsiTheme="minorHAnsi" w:cstheme="minorHAnsi"/>
          <w:color w:val="006666"/>
          <w:sz w:val="20"/>
          <w:szCs w:val="20"/>
        </w:rPr>
        <w:t>transactional</w:t>
      </w:r>
      <w:r w:rsidR="002A700A">
        <w:rPr>
          <w:rFonts w:asciiTheme="minorHAnsi" w:hAnsiTheme="minorHAnsi" w:cstheme="minorHAnsi"/>
          <w:color w:val="006666"/>
          <w:sz w:val="20"/>
          <w:szCs w:val="20"/>
        </w:rPr>
        <w:t xml:space="preserve"> costs in times of market stress</w:t>
      </w:r>
      <w:r w:rsidR="00A83046">
        <w:rPr>
          <w:rFonts w:asciiTheme="minorHAnsi" w:hAnsiTheme="minorHAnsi" w:cstheme="minorHAnsi"/>
          <w:color w:val="006666"/>
          <w:sz w:val="20"/>
          <w:szCs w:val="20"/>
        </w:rPr>
        <w:t>)</w:t>
      </w:r>
      <w:r w:rsidR="00267E09">
        <w:rPr>
          <w:rFonts w:asciiTheme="minorHAnsi" w:hAnsiTheme="minorHAnsi" w:cstheme="minorHAnsi"/>
          <w:color w:val="006666"/>
          <w:sz w:val="20"/>
          <w:szCs w:val="20"/>
        </w:rPr>
        <w:t xml:space="preserve">. This increase in pricing </w:t>
      </w:r>
      <w:r w:rsidR="004476EC">
        <w:rPr>
          <w:rFonts w:asciiTheme="minorHAnsi" w:hAnsiTheme="minorHAnsi" w:cstheme="minorHAnsi"/>
          <w:color w:val="006666"/>
          <w:sz w:val="20"/>
          <w:szCs w:val="20"/>
        </w:rPr>
        <w:t xml:space="preserve">may act as a deterrent for investors </w:t>
      </w:r>
      <w:r w:rsidR="00745C5F">
        <w:rPr>
          <w:rFonts w:asciiTheme="minorHAnsi" w:hAnsiTheme="minorHAnsi" w:cstheme="minorHAnsi"/>
          <w:color w:val="006666"/>
          <w:sz w:val="20"/>
          <w:szCs w:val="20"/>
        </w:rPr>
        <w:t>in European Securities</w:t>
      </w:r>
      <w:r w:rsidR="00F30F17">
        <w:rPr>
          <w:rFonts w:asciiTheme="minorHAnsi" w:hAnsiTheme="minorHAnsi" w:cstheme="minorHAnsi"/>
          <w:color w:val="006666"/>
          <w:sz w:val="20"/>
          <w:szCs w:val="20"/>
        </w:rPr>
        <w:t>,</w:t>
      </w:r>
      <w:r w:rsidR="00745C5F">
        <w:rPr>
          <w:rFonts w:asciiTheme="minorHAnsi" w:hAnsiTheme="minorHAnsi" w:cstheme="minorHAnsi"/>
          <w:color w:val="006666"/>
          <w:sz w:val="20"/>
          <w:szCs w:val="20"/>
        </w:rPr>
        <w:t xml:space="preserve"> </w:t>
      </w:r>
      <w:r w:rsidR="00800279">
        <w:rPr>
          <w:rFonts w:asciiTheme="minorHAnsi" w:hAnsiTheme="minorHAnsi" w:cstheme="minorHAnsi"/>
          <w:color w:val="006666"/>
          <w:sz w:val="20"/>
          <w:szCs w:val="20"/>
        </w:rPr>
        <w:t xml:space="preserve">as well as </w:t>
      </w:r>
      <w:r w:rsidR="00CD388D">
        <w:rPr>
          <w:rFonts w:asciiTheme="minorHAnsi" w:hAnsiTheme="minorHAnsi" w:cstheme="minorHAnsi"/>
          <w:color w:val="006666"/>
          <w:sz w:val="20"/>
          <w:szCs w:val="20"/>
        </w:rPr>
        <w:t>cause</w:t>
      </w:r>
      <w:r w:rsidR="00800279">
        <w:rPr>
          <w:rFonts w:asciiTheme="minorHAnsi" w:hAnsiTheme="minorHAnsi" w:cstheme="minorHAnsi"/>
          <w:color w:val="006666"/>
          <w:sz w:val="20"/>
          <w:szCs w:val="20"/>
        </w:rPr>
        <w:t xml:space="preserve"> reduced liquidity</w:t>
      </w:r>
      <w:r w:rsidR="002F7AE1">
        <w:rPr>
          <w:rFonts w:asciiTheme="minorHAnsi" w:hAnsiTheme="minorHAnsi" w:cstheme="minorHAnsi"/>
          <w:color w:val="006666"/>
          <w:sz w:val="20"/>
          <w:szCs w:val="20"/>
        </w:rPr>
        <w:t>,</w:t>
      </w:r>
      <w:r w:rsidR="00800279">
        <w:rPr>
          <w:rFonts w:asciiTheme="minorHAnsi" w:hAnsiTheme="minorHAnsi" w:cstheme="minorHAnsi"/>
          <w:color w:val="006666"/>
          <w:sz w:val="20"/>
          <w:szCs w:val="20"/>
        </w:rPr>
        <w:t xml:space="preserve"> especially for instruments that are less liquid</w:t>
      </w:r>
      <w:r w:rsidR="00CD388D">
        <w:rPr>
          <w:rFonts w:asciiTheme="minorHAnsi" w:hAnsiTheme="minorHAnsi" w:cstheme="minorHAnsi"/>
          <w:color w:val="006666"/>
          <w:sz w:val="20"/>
          <w:szCs w:val="20"/>
        </w:rPr>
        <w:t>.</w:t>
      </w:r>
      <w:r w:rsidR="002F7AE1">
        <w:rPr>
          <w:rFonts w:asciiTheme="minorHAnsi" w:hAnsiTheme="minorHAnsi" w:cstheme="minorHAnsi"/>
          <w:color w:val="006666"/>
          <w:sz w:val="20"/>
          <w:szCs w:val="20"/>
        </w:rPr>
        <w:t xml:space="preserve"> </w:t>
      </w:r>
      <w:r w:rsidR="00000F20">
        <w:rPr>
          <w:rFonts w:asciiTheme="minorHAnsi" w:hAnsiTheme="minorHAnsi" w:cstheme="minorHAnsi"/>
          <w:color w:val="006666"/>
          <w:sz w:val="20"/>
          <w:szCs w:val="20"/>
        </w:rPr>
        <w:t xml:space="preserve">This can be averted by freely allowing the SFT market to operate in its current </w:t>
      </w:r>
      <w:r w:rsidR="005960B2">
        <w:rPr>
          <w:rFonts w:asciiTheme="minorHAnsi" w:hAnsiTheme="minorHAnsi" w:cstheme="minorHAnsi"/>
          <w:color w:val="006666"/>
          <w:sz w:val="20"/>
          <w:szCs w:val="20"/>
        </w:rPr>
        <w:t>form and</w:t>
      </w:r>
      <w:r w:rsidR="0052123D">
        <w:rPr>
          <w:rFonts w:asciiTheme="minorHAnsi" w:hAnsiTheme="minorHAnsi" w:cstheme="minorHAnsi"/>
          <w:color w:val="006666"/>
          <w:sz w:val="20"/>
          <w:szCs w:val="20"/>
        </w:rPr>
        <w:t xml:space="preserve"> utilise its existing contractual remedies to initiate buy</w:t>
      </w:r>
      <w:r w:rsidR="003B7E3B">
        <w:rPr>
          <w:rFonts w:asciiTheme="minorHAnsi" w:hAnsiTheme="minorHAnsi" w:cstheme="minorHAnsi"/>
          <w:color w:val="006666"/>
          <w:sz w:val="20"/>
          <w:szCs w:val="20"/>
        </w:rPr>
        <w:t>-</w:t>
      </w:r>
      <w:r w:rsidR="0052123D">
        <w:rPr>
          <w:rFonts w:asciiTheme="minorHAnsi" w:hAnsiTheme="minorHAnsi" w:cstheme="minorHAnsi"/>
          <w:color w:val="006666"/>
          <w:sz w:val="20"/>
          <w:szCs w:val="20"/>
        </w:rPr>
        <w:t>ins where necessary</w:t>
      </w:r>
      <w:r w:rsidR="00BE2BF2">
        <w:rPr>
          <w:rFonts w:asciiTheme="minorHAnsi" w:hAnsiTheme="minorHAnsi" w:cstheme="minorHAnsi"/>
          <w:color w:val="006666"/>
          <w:sz w:val="20"/>
          <w:szCs w:val="20"/>
        </w:rPr>
        <w:t>,</w:t>
      </w:r>
      <w:r w:rsidR="0052123D">
        <w:rPr>
          <w:rFonts w:asciiTheme="minorHAnsi" w:hAnsiTheme="minorHAnsi" w:cstheme="minorHAnsi"/>
          <w:color w:val="006666"/>
          <w:sz w:val="20"/>
          <w:szCs w:val="20"/>
        </w:rPr>
        <w:t xml:space="preserve"> as done today.</w:t>
      </w:r>
      <w:r w:rsidR="007703FF">
        <w:rPr>
          <w:rFonts w:asciiTheme="minorHAnsi" w:hAnsiTheme="minorHAnsi" w:cstheme="minorHAnsi"/>
          <w:color w:val="006666"/>
          <w:sz w:val="20"/>
          <w:szCs w:val="20"/>
        </w:rPr>
        <w:t xml:space="preserve"> </w:t>
      </w:r>
      <w:r w:rsidR="0056173C">
        <w:rPr>
          <w:rFonts w:asciiTheme="minorHAnsi" w:hAnsiTheme="minorHAnsi" w:cstheme="minorHAnsi"/>
          <w:color w:val="006666"/>
          <w:sz w:val="20"/>
          <w:szCs w:val="20"/>
        </w:rPr>
        <w:t>Furthermore,</w:t>
      </w:r>
      <w:r w:rsidR="007703FF">
        <w:rPr>
          <w:rFonts w:asciiTheme="minorHAnsi" w:hAnsiTheme="minorHAnsi" w:cstheme="minorHAnsi"/>
          <w:color w:val="006666"/>
          <w:sz w:val="20"/>
          <w:szCs w:val="20"/>
        </w:rPr>
        <w:t xml:space="preserve"> the Bank of Canada advises that </w:t>
      </w:r>
      <w:r w:rsidR="003B7E3B">
        <w:rPr>
          <w:rFonts w:asciiTheme="minorHAnsi" w:hAnsiTheme="minorHAnsi" w:cstheme="minorHAnsi"/>
          <w:color w:val="006666"/>
          <w:sz w:val="20"/>
          <w:szCs w:val="20"/>
        </w:rPr>
        <w:t xml:space="preserve">Securities Lending </w:t>
      </w:r>
      <w:r w:rsidR="00220BAF">
        <w:rPr>
          <w:rFonts w:asciiTheme="minorHAnsi" w:hAnsiTheme="minorHAnsi" w:cstheme="minorHAnsi"/>
          <w:color w:val="006666"/>
          <w:sz w:val="20"/>
          <w:szCs w:val="20"/>
        </w:rPr>
        <w:t>programmes are</w:t>
      </w:r>
      <w:r w:rsidR="003B7E3B">
        <w:rPr>
          <w:rFonts w:asciiTheme="minorHAnsi" w:hAnsiTheme="minorHAnsi" w:cstheme="minorHAnsi"/>
          <w:color w:val="006666"/>
          <w:sz w:val="20"/>
          <w:szCs w:val="20"/>
        </w:rPr>
        <w:t xml:space="preserve"> </w:t>
      </w:r>
      <w:r w:rsidR="007703FF">
        <w:rPr>
          <w:rFonts w:asciiTheme="minorHAnsi" w:hAnsiTheme="minorHAnsi" w:cstheme="minorHAnsi"/>
          <w:color w:val="006666"/>
          <w:sz w:val="20"/>
          <w:szCs w:val="20"/>
        </w:rPr>
        <w:t xml:space="preserve">generally </w:t>
      </w:r>
      <w:r w:rsidR="003B7E3B">
        <w:rPr>
          <w:rFonts w:asciiTheme="minorHAnsi" w:hAnsiTheme="minorHAnsi" w:cstheme="minorHAnsi"/>
          <w:color w:val="006666"/>
          <w:sz w:val="20"/>
          <w:szCs w:val="20"/>
        </w:rPr>
        <w:t>perceived to be low risk</w:t>
      </w:r>
      <w:r w:rsidR="006D58D6">
        <w:rPr>
          <w:rFonts w:asciiTheme="minorHAnsi" w:hAnsiTheme="minorHAnsi" w:cstheme="minorHAnsi"/>
          <w:color w:val="006666"/>
          <w:sz w:val="20"/>
          <w:szCs w:val="20"/>
        </w:rPr>
        <w:t xml:space="preserve"> </w:t>
      </w:r>
      <w:r w:rsidR="00A36F1D">
        <w:rPr>
          <w:rFonts w:asciiTheme="minorHAnsi" w:hAnsiTheme="minorHAnsi" w:cstheme="minorHAnsi"/>
          <w:color w:val="006666"/>
          <w:sz w:val="20"/>
          <w:szCs w:val="20"/>
        </w:rPr>
        <w:t>as they are a discretionary activity for investors</w:t>
      </w:r>
      <w:r w:rsidR="00862ED7">
        <w:rPr>
          <w:rFonts w:asciiTheme="minorHAnsi" w:hAnsiTheme="minorHAnsi" w:cstheme="minorHAnsi"/>
          <w:color w:val="006666"/>
          <w:sz w:val="20"/>
          <w:szCs w:val="20"/>
        </w:rPr>
        <w:t xml:space="preserve"> to earn additional revenue. Buy-in’s that </w:t>
      </w:r>
      <w:r w:rsidR="00386B77">
        <w:rPr>
          <w:rFonts w:asciiTheme="minorHAnsi" w:hAnsiTheme="minorHAnsi" w:cstheme="minorHAnsi"/>
          <w:color w:val="006666"/>
          <w:sz w:val="20"/>
          <w:szCs w:val="20"/>
        </w:rPr>
        <w:t xml:space="preserve">ultimately transfer additional risk onto the end </w:t>
      </w:r>
      <w:r w:rsidR="003913BC">
        <w:rPr>
          <w:rFonts w:asciiTheme="minorHAnsi" w:hAnsiTheme="minorHAnsi" w:cstheme="minorHAnsi"/>
          <w:color w:val="006666"/>
          <w:sz w:val="20"/>
          <w:szCs w:val="20"/>
        </w:rPr>
        <w:t xml:space="preserve">investor/ beneficial owner, </w:t>
      </w:r>
      <w:r w:rsidR="00F75C2D">
        <w:rPr>
          <w:rFonts w:asciiTheme="minorHAnsi" w:hAnsiTheme="minorHAnsi" w:cstheme="minorHAnsi"/>
          <w:color w:val="006666"/>
          <w:sz w:val="20"/>
          <w:szCs w:val="20"/>
        </w:rPr>
        <w:t>may</w:t>
      </w:r>
      <w:r w:rsidR="003913BC">
        <w:rPr>
          <w:rFonts w:asciiTheme="minorHAnsi" w:hAnsiTheme="minorHAnsi" w:cstheme="minorHAnsi"/>
          <w:color w:val="006666"/>
          <w:sz w:val="20"/>
          <w:szCs w:val="20"/>
        </w:rPr>
        <w:t xml:space="preserve"> deter investors from lending their securities</w:t>
      </w:r>
      <w:r w:rsidR="00F75C2D">
        <w:rPr>
          <w:rFonts w:asciiTheme="minorHAnsi" w:hAnsiTheme="minorHAnsi" w:cstheme="minorHAnsi"/>
          <w:color w:val="006666"/>
          <w:sz w:val="20"/>
          <w:szCs w:val="20"/>
        </w:rPr>
        <w:t xml:space="preserve"> altogether, as the perceived risk of lending increases</w:t>
      </w:r>
      <w:r w:rsidR="00483494">
        <w:rPr>
          <w:rFonts w:asciiTheme="minorHAnsi" w:hAnsiTheme="minorHAnsi" w:cstheme="minorHAnsi"/>
          <w:color w:val="006666"/>
          <w:sz w:val="20"/>
          <w:szCs w:val="20"/>
        </w:rPr>
        <w:t>. T</w:t>
      </w:r>
      <w:r w:rsidR="00F75C2D">
        <w:rPr>
          <w:rFonts w:asciiTheme="minorHAnsi" w:hAnsiTheme="minorHAnsi" w:cstheme="minorHAnsi"/>
          <w:color w:val="006666"/>
          <w:sz w:val="20"/>
          <w:szCs w:val="20"/>
        </w:rPr>
        <w:t>his will thus</w:t>
      </w:r>
      <w:r w:rsidR="00F3770C">
        <w:rPr>
          <w:rFonts w:asciiTheme="minorHAnsi" w:hAnsiTheme="minorHAnsi" w:cstheme="minorHAnsi"/>
          <w:color w:val="006666"/>
          <w:sz w:val="20"/>
          <w:szCs w:val="20"/>
        </w:rPr>
        <w:t xml:space="preserve"> reduce the lendable pool of assets</w:t>
      </w:r>
      <w:r w:rsidR="00C940AC">
        <w:rPr>
          <w:rFonts w:asciiTheme="minorHAnsi" w:hAnsiTheme="minorHAnsi" w:cstheme="minorHAnsi"/>
          <w:color w:val="006666"/>
          <w:sz w:val="20"/>
          <w:szCs w:val="20"/>
        </w:rPr>
        <w:t>,</w:t>
      </w:r>
      <w:r w:rsidR="00F3770C">
        <w:rPr>
          <w:rFonts w:asciiTheme="minorHAnsi" w:hAnsiTheme="minorHAnsi" w:cstheme="minorHAnsi"/>
          <w:color w:val="006666"/>
          <w:sz w:val="20"/>
          <w:szCs w:val="20"/>
        </w:rPr>
        <w:t xml:space="preserve"> decreasing liquidity in EU capital markets further. </w:t>
      </w:r>
      <w:r w:rsidR="00261628">
        <w:rPr>
          <w:rFonts w:asciiTheme="minorHAnsi" w:hAnsiTheme="minorHAnsi" w:cstheme="minorHAnsi"/>
          <w:color w:val="006666"/>
          <w:sz w:val="20"/>
          <w:szCs w:val="20"/>
        </w:rPr>
        <w:t>ISLA and its members believe that this</w:t>
      </w:r>
      <w:r w:rsidR="002F7AE1">
        <w:rPr>
          <w:rFonts w:asciiTheme="minorHAnsi" w:hAnsiTheme="minorHAnsi" w:cstheme="minorHAnsi"/>
          <w:color w:val="006666"/>
          <w:sz w:val="20"/>
          <w:szCs w:val="20"/>
        </w:rPr>
        <w:t xml:space="preserve"> ultimately defeat</w:t>
      </w:r>
      <w:r w:rsidR="00261628">
        <w:rPr>
          <w:rFonts w:asciiTheme="minorHAnsi" w:hAnsiTheme="minorHAnsi" w:cstheme="minorHAnsi"/>
          <w:color w:val="006666"/>
          <w:sz w:val="20"/>
          <w:szCs w:val="20"/>
        </w:rPr>
        <w:t>s</w:t>
      </w:r>
      <w:r w:rsidR="002F7AE1">
        <w:rPr>
          <w:rFonts w:asciiTheme="minorHAnsi" w:hAnsiTheme="minorHAnsi" w:cstheme="minorHAnsi"/>
          <w:color w:val="006666"/>
          <w:sz w:val="20"/>
          <w:szCs w:val="20"/>
        </w:rPr>
        <w:t xml:space="preserve"> the aim of CSDR</w:t>
      </w:r>
      <w:r w:rsidR="00261628">
        <w:rPr>
          <w:rFonts w:asciiTheme="minorHAnsi" w:hAnsiTheme="minorHAnsi" w:cstheme="minorHAnsi"/>
          <w:color w:val="006666"/>
          <w:sz w:val="20"/>
          <w:szCs w:val="20"/>
        </w:rPr>
        <w:t xml:space="preserve">. </w:t>
      </w:r>
    </w:p>
    <w:p w14:paraId="2574497B" w14:textId="77777777" w:rsidR="00695A3D" w:rsidRDefault="00695A3D" w:rsidP="00EA25FA">
      <w:pPr>
        <w:pStyle w:val="Default"/>
        <w:ind w:left="-426" w:right="119"/>
        <w:rPr>
          <w:rFonts w:asciiTheme="minorHAnsi" w:hAnsiTheme="minorHAnsi" w:cstheme="minorHAnsi"/>
          <w:b/>
          <w:bCs/>
          <w:sz w:val="20"/>
          <w:szCs w:val="20"/>
        </w:rPr>
      </w:pPr>
    </w:p>
    <w:p w14:paraId="47DF2984" w14:textId="19B3E566" w:rsidR="001524B1" w:rsidRPr="008C6F1A" w:rsidRDefault="001524B1" w:rsidP="00EA25FA">
      <w:pPr>
        <w:pStyle w:val="Default"/>
        <w:ind w:left="-426" w:right="119"/>
        <w:rPr>
          <w:rFonts w:asciiTheme="minorHAnsi" w:hAnsiTheme="minorHAnsi" w:cstheme="minorHAnsi"/>
          <w:sz w:val="20"/>
          <w:szCs w:val="20"/>
        </w:rPr>
      </w:pPr>
      <w:r w:rsidRPr="001524B1">
        <w:rPr>
          <w:rFonts w:asciiTheme="minorHAnsi" w:hAnsiTheme="minorHAnsi" w:cstheme="minorHAnsi"/>
          <w:b/>
          <w:bCs/>
          <w:sz w:val="20"/>
          <w:szCs w:val="20"/>
        </w:rPr>
        <w:t>Question 36.</w:t>
      </w:r>
      <w:r w:rsidRPr="001524B1">
        <w:rPr>
          <w:rFonts w:asciiTheme="minorHAnsi" w:hAnsiTheme="minorHAnsi" w:cstheme="minorHAnsi"/>
          <w:sz w:val="20"/>
          <w:szCs w:val="20"/>
        </w:rPr>
        <w:t xml:space="preserve"> Which suggestions do you have for the improvement of the settlement discipline framework in CSDR? Where possible, for each suggestion indicate which costs and benefits you and other market participants would incur. </w:t>
      </w:r>
    </w:p>
    <w:p w14:paraId="44376E52" w14:textId="77777777" w:rsidR="00102301" w:rsidRPr="000A7B0C" w:rsidRDefault="00102301" w:rsidP="00EA25FA">
      <w:pPr>
        <w:pStyle w:val="Default"/>
        <w:ind w:left="-426" w:right="119"/>
        <w:rPr>
          <w:rFonts w:asciiTheme="minorHAnsi" w:hAnsiTheme="minorHAnsi" w:cstheme="minorHAnsi"/>
          <w:color w:val="006666"/>
          <w:sz w:val="20"/>
          <w:szCs w:val="20"/>
        </w:rPr>
      </w:pPr>
    </w:p>
    <w:p w14:paraId="751C4A6B" w14:textId="3A4E7740" w:rsidR="008005E5" w:rsidRPr="00011528" w:rsidRDefault="00913B89" w:rsidP="00011528">
      <w:pPr>
        <w:pStyle w:val="Default"/>
        <w:numPr>
          <w:ilvl w:val="0"/>
          <w:numId w:val="6"/>
        </w:numPr>
        <w:ind w:right="119"/>
        <w:rPr>
          <w:rFonts w:asciiTheme="minorHAnsi" w:hAnsiTheme="minorHAnsi" w:cstheme="minorHAnsi"/>
          <w:color w:val="006666"/>
          <w:sz w:val="20"/>
          <w:szCs w:val="20"/>
        </w:rPr>
      </w:pPr>
      <w:r>
        <w:rPr>
          <w:rFonts w:asciiTheme="minorHAnsi" w:hAnsiTheme="minorHAnsi" w:cstheme="minorHAnsi"/>
          <w:color w:val="006666"/>
          <w:sz w:val="20"/>
          <w:szCs w:val="20"/>
        </w:rPr>
        <w:t xml:space="preserve">Decouple the two elements of the SDR </w:t>
      </w:r>
      <w:r w:rsidR="00A54870">
        <w:rPr>
          <w:rFonts w:asciiTheme="minorHAnsi" w:hAnsiTheme="minorHAnsi" w:cstheme="minorHAnsi"/>
          <w:color w:val="006666"/>
          <w:sz w:val="20"/>
          <w:szCs w:val="20"/>
        </w:rPr>
        <w:t xml:space="preserve">(penalties and buy-ins) </w:t>
      </w:r>
      <w:r>
        <w:rPr>
          <w:rFonts w:asciiTheme="minorHAnsi" w:hAnsiTheme="minorHAnsi" w:cstheme="minorHAnsi"/>
          <w:color w:val="006666"/>
          <w:sz w:val="20"/>
          <w:szCs w:val="20"/>
        </w:rPr>
        <w:t xml:space="preserve">by an amendment to </w:t>
      </w:r>
      <w:r w:rsidR="003A1146">
        <w:rPr>
          <w:rFonts w:asciiTheme="minorHAnsi" w:hAnsiTheme="minorHAnsi" w:cstheme="minorHAnsi"/>
          <w:color w:val="006666"/>
          <w:sz w:val="20"/>
          <w:szCs w:val="20"/>
        </w:rPr>
        <w:t xml:space="preserve">the </w:t>
      </w:r>
      <w:r w:rsidR="00D36A18">
        <w:rPr>
          <w:rFonts w:asciiTheme="minorHAnsi" w:hAnsiTheme="minorHAnsi" w:cstheme="minorHAnsi"/>
          <w:color w:val="006666"/>
          <w:sz w:val="20"/>
          <w:szCs w:val="20"/>
        </w:rPr>
        <w:t>entry into force of Article 7</w:t>
      </w:r>
      <w:r w:rsidR="003A1146">
        <w:rPr>
          <w:rFonts w:asciiTheme="minorHAnsi" w:hAnsiTheme="minorHAnsi" w:cstheme="minorHAnsi"/>
          <w:color w:val="006666"/>
          <w:sz w:val="20"/>
          <w:szCs w:val="20"/>
        </w:rPr>
        <w:t xml:space="preserve"> (1-13). Implement penalties </w:t>
      </w:r>
      <w:r w:rsidR="000A205C">
        <w:rPr>
          <w:rFonts w:asciiTheme="minorHAnsi" w:hAnsiTheme="minorHAnsi" w:cstheme="minorHAnsi"/>
          <w:color w:val="006666"/>
          <w:sz w:val="20"/>
          <w:szCs w:val="20"/>
        </w:rPr>
        <w:t>in February 2022</w:t>
      </w:r>
      <w:r w:rsidR="00523303">
        <w:rPr>
          <w:rFonts w:asciiTheme="minorHAnsi" w:hAnsiTheme="minorHAnsi" w:cstheme="minorHAnsi"/>
          <w:color w:val="006666"/>
          <w:sz w:val="20"/>
          <w:szCs w:val="20"/>
        </w:rPr>
        <w:t xml:space="preserve"> as planned</w:t>
      </w:r>
      <w:r w:rsidR="000A205C">
        <w:rPr>
          <w:rFonts w:asciiTheme="minorHAnsi" w:hAnsiTheme="minorHAnsi" w:cstheme="minorHAnsi"/>
          <w:color w:val="006666"/>
          <w:sz w:val="20"/>
          <w:szCs w:val="20"/>
        </w:rPr>
        <w:t xml:space="preserve"> and allow time for regulators to perform an impact assessment</w:t>
      </w:r>
      <w:r w:rsidR="003A1146">
        <w:rPr>
          <w:rFonts w:asciiTheme="minorHAnsi" w:hAnsiTheme="minorHAnsi" w:cstheme="minorHAnsi"/>
          <w:color w:val="006666"/>
          <w:sz w:val="20"/>
          <w:szCs w:val="20"/>
        </w:rPr>
        <w:t xml:space="preserve"> </w:t>
      </w:r>
      <w:r w:rsidR="007A1FFE">
        <w:rPr>
          <w:rFonts w:asciiTheme="minorHAnsi" w:hAnsiTheme="minorHAnsi" w:cstheme="minorHAnsi"/>
          <w:color w:val="006666"/>
          <w:sz w:val="20"/>
          <w:szCs w:val="20"/>
        </w:rPr>
        <w:t>on settlement efficiency</w:t>
      </w:r>
      <w:r w:rsidR="004144C9">
        <w:rPr>
          <w:rFonts w:asciiTheme="minorHAnsi" w:hAnsiTheme="minorHAnsi" w:cstheme="minorHAnsi"/>
          <w:color w:val="006666"/>
          <w:sz w:val="20"/>
          <w:szCs w:val="20"/>
        </w:rPr>
        <w:t xml:space="preserve"> </w:t>
      </w:r>
      <w:r w:rsidR="004144C9" w:rsidRPr="00916424">
        <w:rPr>
          <w:rFonts w:asciiTheme="minorHAnsi" w:hAnsiTheme="minorHAnsi" w:cstheme="minorHAnsi"/>
          <w:color w:val="006666"/>
          <w:sz w:val="20"/>
          <w:szCs w:val="20"/>
          <w:u w:val="single"/>
        </w:rPr>
        <w:t>before</w:t>
      </w:r>
      <w:r w:rsidR="004144C9">
        <w:rPr>
          <w:rFonts w:asciiTheme="minorHAnsi" w:hAnsiTheme="minorHAnsi" w:cstheme="minorHAnsi"/>
          <w:color w:val="006666"/>
          <w:sz w:val="20"/>
          <w:szCs w:val="20"/>
        </w:rPr>
        <w:t xml:space="preserve"> the buy-in element of </w:t>
      </w:r>
      <w:r w:rsidR="00916424">
        <w:rPr>
          <w:rFonts w:asciiTheme="minorHAnsi" w:hAnsiTheme="minorHAnsi" w:cstheme="minorHAnsi"/>
          <w:color w:val="006666"/>
          <w:sz w:val="20"/>
          <w:szCs w:val="20"/>
        </w:rPr>
        <w:t xml:space="preserve">the </w:t>
      </w:r>
      <w:r w:rsidR="004144C9">
        <w:rPr>
          <w:rFonts w:asciiTheme="minorHAnsi" w:hAnsiTheme="minorHAnsi" w:cstheme="minorHAnsi"/>
          <w:color w:val="006666"/>
          <w:sz w:val="20"/>
          <w:szCs w:val="20"/>
        </w:rPr>
        <w:t xml:space="preserve">SDR enters into force. </w:t>
      </w:r>
    </w:p>
    <w:p w14:paraId="0E09F800" w14:textId="77777777" w:rsidR="001843DD" w:rsidRDefault="001843DD" w:rsidP="00D90C3D">
      <w:pPr>
        <w:pStyle w:val="Default"/>
        <w:ind w:left="-66" w:right="119"/>
        <w:rPr>
          <w:rFonts w:asciiTheme="minorHAnsi" w:hAnsiTheme="minorHAnsi" w:cstheme="minorHAnsi"/>
          <w:b/>
          <w:bCs/>
          <w:color w:val="CC0099"/>
          <w:sz w:val="20"/>
          <w:szCs w:val="20"/>
        </w:rPr>
      </w:pPr>
    </w:p>
    <w:p w14:paraId="13672BD7" w14:textId="69B99694" w:rsidR="00A1326F" w:rsidRDefault="00D90C3D" w:rsidP="003B5C01">
      <w:pPr>
        <w:pStyle w:val="Default"/>
        <w:ind w:left="-66" w:right="119"/>
        <w:rPr>
          <w:rFonts w:asciiTheme="minorHAnsi" w:hAnsiTheme="minorHAnsi" w:cstheme="minorHAnsi"/>
          <w:color w:val="006666"/>
          <w:sz w:val="20"/>
          <w:szCs w:val="20"/>
        </w:rPr>
      </w:pPr>
      <w:r w:rsidRPr="00F90B0C">
        <w:rPr>
          <w:rFonts w:asciiTheme="minorHAnsi" w:hAnsiTheme="minorHAnsi" w:cstheme="minorHAnsi"/>
          <w:b/>
          <w:bCs/>
          <w:color w:val="CC0099"/>
          <w:sz w:val="20"/>
          <w:szCs w:val="20"/>
        </w:rPr>
        <w:t>Benefits:</w:t>
      </w:r>
      <w:r w:rsidR="00AB00C0">
        <w:rPr>
          <w:rFonts w:asciiTheme="minorHAnsi" w:hAnsiTheme="minorHAnsi" w:cstheme="minorHAnsi"/>
          <w:b/>
          <w:bCs/>
          <w:color w:val="CC0099"/>
          <w:sz w:val="20"/>
          <w:szCs w:val="20"/>
        </w:rPr>
        <w:t xml:space="preserve"> </w:t>
      </w:r>
      <w:r w:rsidR="00916424">
        <w:rPr>
          <w:rFonts w:asciiTheme="minorHAnsi" w:hAnsiTheme="minorHAnsi" w:cstheme="minorHAnsi"/>
          <w:color w:val="006666"/>
          <w:sz w:val="20"/>
          <w:szCs w:val="20"/>
        </w:rPr>
        <w:t>Overall s</w:t>
      </w:r>
      <w:r w:rsidR="00AB00C0" w:rsidRPr="00AB00C0">
        <w:rPr>
          <w:rFonts w:asciiTheme="minorHAnsi" w:hAnsiTheme="minorHAnsi" w:cstheme="minorHAnsi"/>
          <w:color w:val="006666"/>
          <w:sz w:val="20"/>
          <w:szCs w:val="20"/>
        </w:rPr>
        <w:t>ettlement efficiency</w:t>
      </w:r>
      <w:r w:rsidR="00916424">
        <w:rPr>
          <w:rFonts w:asciiTheme="minorHAnsi" w:hAnsiTheme="minorHAnsi" w:cstheme="minorHAnsi"/>
          <w:color w:val="006666"/>
          <w:sz w:val="20"/>
          <w:szCs w:val="20"/>
        </w:rPr>
        <w:t xml:space="preserve"> </w:t>
      </w:r>
      <w:r w:rsidR="00AB00C0" w:rsidRPr="00AB00C0">
        <w:rPr>
          <w:rFonts w:asciiTheme="minorHAnsi" w:hAnsiTheme="minorHAnsi" w:cstheme="minorHAnsi"/>
          <w:color w:val="006666"/>
          <w:sz w:val="20"/>
          <w:szCs w:val="20"/>
        </w:rPr>
        <w:t>would increase</w:t>
      </w:r>
      <w:r w:rsidR="00CD7EB2">
        <w:rPr>
          <w:rFonts w:asciiTheme="minorHAnsi" w:hAnsiTheme="minorHAnsi" w:cstheme="minorHAnsi"/>
          <w:color w:val="006666"/>
          <w:sz w:val="20"/>
          <w:szCs w:val="20"/>
        </w:rPr>
        <w:t>,</w:t>
      </w:r>
      <w:r w:rsidR="00AB00C0" w:rsidRPr="00AB00C0">
        <w:rPr>
          <w:rFonts w:asciiTheme="minorHAnsi" w:hAnsiTheme="minorHAnsi" w:cstheme="minorHAnsi"/>
          <w:color w:val="006666"/>
          <w:sz w:val="20"/>
          <w:szCs w:val="20"/>
        </w:rPr>
        <w:t xml:space="preserve"> </w:t>
      </w:r>
      <w:r w:rsidR="001D1BEF">
        <w:rPr>
          <w:rFonts w:asciiTheme="minorHAnsi" w:hAnsiTheme="minorHAnsi" w:cstheme="minorHAnsi"/>
          <w:color w:val="006666"/>
          <w:sz w:val="20"/>
          <w:szCs w:val="20"/>
        </w:rPr>
        <w:t xml:space="preserve">with penalties acting as a sufficient deterrent for fails, </w:t>
      </w:r>
      <w:r w:rsidR="00AB00C0" w:rsidRPr="00AB00C0">
        <w:rPr>
          <w:rFonts w:asciiTheme="minorHAnsi" w:hAnsiTheme="minorHAnsi" w:cstheme="minorHAnsi"/>
          <w:color w:val="006666"/>
          <w:sz w:val="20"/>
          <w:szCs w:val="20"/>
        </w:rPr>
        <w:t>withou</w:t>
      </w:r>
      <w:r w:rsidR="00AB00C0" w:rsidRPr="001D1BEF">
        <w:rPr>
          <w:rFonts w:asciiTheme="minorHAnsi" w:hAnsiTheme="minorHAnsi" w:cstheme="minorHAnsi"/>
          <w:color w:val="006666"/>
          <w:sz w:val="20"/>
          <w:szCs w:val="20"/>
        </w:rPr>
        <w:t xml:space="preserve">t the </w:t>
      </w:r>
      <w:r w:rsidR="001D1BEF" w:rsidRPr="001D1BEF">
        <w:rPr>
          <w:rFonts w:asciiTheme="minorHAnsi" w:hAnsiTheme="minorHAnsi" w:cstheme="minorHAnsi"/>
          <w:color w:val="006666"/>
          <w:sz w:val="20"/>
          <w:szCs w:val="20"/>
        </w:rPr>
        <w:t>impact on market li</w:t>
      </w:r>
      <w:r w:rsidR="001D1BEF">
        <w:rPr>
          <w:rFonts w:asciiTheme="minorHAnsi" w:hAnsiTheme="minorHAnsi" w:cstheme="minorHAnsi"/>
          <w:color w:val="006666"/>
          <w:sz w:val="20"/>
          <w:szCs w:val="20"/>
        </w:rPr>
        <w:t>q</w:t>
      </w:r>
      <w:r w:rsidR="001D1BEF" w:rsidRPr="001D1BEF">
        <w:rPr>
          <w:rFonts w:asciiTheme="minorHAnsi" w:hAnsiTheme="minorHAnsi" w:cstheme="minorHAnsi"/>
          <w:color w:val="006666"/>
          <w:sz w:val="20"/>
          <w:szCs w:val="20"/>
        </w:rPr>
        <w:t>uidity of a mandatory buy-in</w:t>
      </w:r>
      <w:r w:rsidR="00A17C84">
        <w:rPr>
          <w:rFonts w:asciiTheme="minorHAnsi" w:hAnsiTheme="minorHAnsi" w:cstheme="minorHAnsi"/>
          <w:color w:val="006666"/>
          <w:sz w:val="20"/>
          <w:szCs w:val="20"/>
        </w:rPr>
        <w:t xml:space="preserve"> on SFTs</w:t>
      </w:r>
      <w:r w:rsidR="0075076F">
        <w:rPr>
          <w:rFonts w:asciiTheme="minorHAnsi" w:hAnsiTheme="minorHAnsi" w:cstheme="minorHAnsi"/>
          <w:color w:val="006666"/>
          <w:sz w:val="20"/>
          <w:szCs w:val="20"/>
        </w:rPr>
        <w:t>, disrupting a smooth capital flow</w:t>
      </w:r>
      <w:r w:rsidR="001D1BEF" w:rsidRPr="001D1BEF">
        <w:rPr>
          <w:rFonts w:asciiTheme="minorHAnsi" w:hAnsiTheme="minorHAnsi" w:cstheme="minorHAnsi"/>
          <w:color w:val="006666"/>
          <w:sz w:val="20"/>
          <w:szCs w:val="20"/>
        </w:rPr>
        <w:t>.</w:t>
      </w:r>
      <w:r w:rsidR="00F05995" w:rsidRPr="00F05995">
        <w:rPr>
          <w:rFonts w:asciiTheme="minorHAnsi" w:hAnsiTheme="minorHAnsi" w:cstheme="minorHAnsi"/>
          <w:color w:val="006666"/>
          <w:sz w:val="20"/>
          <w:szCs w:val="20"/>
        </w:rPr>
        <w:t xml:space="preserve"> </w:t>
      </w:r>
      <w:r w:rsidR="00F05995">
        <w:rPr>
          <w:rFonts w:asciiTheme="minorHAnsi" w:hAnsiTheme="minorHAnsi" w:cstheme="minorHAnsi"/>
          <w:color w:val="006666"/>
          <w:sz w:val="20"/>
          <w:szCs w:val="20"/>
        </w:rPr>
        <w:t>The industry will require significant time to apply the new framework into legal contracts</w:t>
      </w:r>
      <w:r w:rsidR="003B5C01">
        <w:rPr>
          <w:rFonts w:asciiTheme="minorHAnsi" w:hAnsiTheme="minorHAnsi" w:cstheme="minorHAnsi"/>
          <w:color w:val="006666"/>
          <w:sz w:val="20"/>
          <w:szCs w:val="20"/>
        </w:rPr>
        <w:t>,</w:t>
      </w:r>
      <w:r w:rsidR="00F05995">
        <w:rPr>
          <w:rFonts w:asciiTheme="minorHAnsi" w:hAnsiTheme="minorHAnsi" w:cstheme="minorHAnsi"/>
          <w:color w:val="006666"/>
          <w:sz w:val="20"/>
          <w:szCs w:val="20"/>
        </w:rPr>
        <w:t xml:space="preserve"> </w:t>
      </w:r>
      <w:r w:rsidR="00F14126">
        <w:rPr>
          <w:rFonts w:asciiTheme="minorHAnsi" w:hAnsiTheme="minorHAnsi" w:cstheme="minorHAnsi"/>
          <w:color w:val="006666"/>
          <w:sz w:val="20"/>
          <w:szCs w:val="20"/>
        </w:rPr>
        <w:t>if</w:t>
      </w:r>
      <w:r w:rsidR="00F05995">
        <w:rPr>
          <w:rFonts w:asciiTheme="minorHAnsi" w:hAnsiTheme="minorHAnsi" w:cstheme="minorHAnsi"/>
          <w:color w:val="006666"/>
          <w:sz w:val="20"/>
          <w:szCs w:val="20"/>
        </w:rPr>
        <w:t xml:space="preserve"> the requirements of</w:t>
      </w:r>
      <w:r w:rsidR="003B5C01">
        <w:rPr>
          <w:rFonts w:asciiTheme="minorHAnsi" w:hAnsiTheme="minorHAnsi" w:cstheme="minorHAnsi"/>
          <w:color w:val="006666"/>
          <w:sz w:val="20"/>
          <w:szCs w:val="20"/>
        </w:rPr>
        <w:t xml:space="preserve"> </w:t>
      </w:r>
      <w:r w:rsidR="00F05995">
        <w:rPr>
          <w:rFonts w:asciiTheme="minorHAnsi" w:hAnsiTheme="minorHAnsi" w:cstheme="minorHAnsi"/>
          <w:color w:val="006666"/>
          <w:sz w:val="20"/>
          <w:szCs w:val="20"/>
        </w:rPr>
        <w:t>Article 25 of the RTS</w:t>
      </w:r>
      <w:r w:rsidR="004B4760" w:rsidRPr="004B4760">
        <w:rPr>
          <w:rFonts w:asciiTheme="minorHAnsi" w:hAnsiTheme="minorHAnsi" w:cstheme="minorHAnsi"/>
          <w:color w:val="006666"/>
          <w:sz w:val="20"/>
          <w:szCs w:val="20"/>
        </w:rPr>
        <w:t xml:space="preserve"> </w:t>
      </w:r>
      <w:r w:rsidR="004B4760">
        <w:rPr>
          <w:rFonts w:asciiTheme="minorHAnsi" w:hAnsiTheme="minorHAnsi" w:cstheme="minorHAnsi"/>
          <w:color w:val="006666"/>
          <w:sz w:val="20"/>
          <w:szCs w:val="20"/>
        </w:rPr>
        <w:t>are introduced as currently drafted</w:t>
      </w:r>
      <w:r w:rsidR="003B5C01">
        <w:rPr>
          <w:rFonts w:asciiTheme="minorHAnsi" w:hAnsiTheme="minorHAnsi" w:cstheme="minorHAnsi"/>
          <w:color w:val="006666"/>
          <w:sz w:val="20"/>
          <w:szCs w:val="20"/>
        </w:rPr>
        <w:t>,</w:t>
      </w:r>
      <w:r w:rsidR="002D6F4A">
        <w:rPr>
          <w:rFonts w:asciiTheme="minorHAnsi" w:hAnsiTheme="minorHAnsi" w:cstheme="minorHAnsi"/>
          <w:color w:val="006666"/>
          <w:sz w:val="20"/>
          <w:szCs w:val="20"/>
        </w:rPr>
        <w:t xml:space="preserve"> as well as undertake significant technology builds</w:t>
      </w:r>
      <w:r w:rsidR="00F05995">
        <w:rPr>
          <w:rFonts w:asciiTheme="minorHAnsi" w:hAnsiTheme="minorHAnsi" w:cstheme="minorHAnsi"/>
          <w:color w:val="006666"/>
          <w:sz w:val="20"/>
          <w:szCs w:val="20"/>
        </w:rPr>
        <w:t>. If an approved legislative proposal from the Commission is not expected until approximately Q4 in 2021, this does not leave an appropriate timeframe until February 2022</w:t>
      </w:r>
      <w:r w:rsidR="003B5C01">
        <w:rPr>
          <w:rFonts w:asciiTheme="minorHAnsi" w:hAnsiTheme="minorHAnsi" w:cstheme="minorHAnsi"/>
          <w:color w:val="006666"/>
          <w:sz w:val="20"/>
          <w:szCs w:val="20"/>
        </w:rPr>
        <w:t>,</w:t>
      </w:r>
      <w:r w:rsidR="00F05995">
        <w:rPr>
          <w:rFonts w:asciiTheme="minorHAnsi" w:hAnsiTheme="minorHAnsi" w:cstheme="minorHAnsi"/>
          <w:color w:val="006666"/>
          <w:sz w:val="20"/>
          <w:szCs w:val="20"/>
        </w:rPr>
        <w:t xml:space="preserve"> to incorporate the outcome.</w:t>
      </w:r>
      <w:r w:rsidR="00CC0F39">
        <w:rPr>
          <w:rFonts w:asciiTheme="minorHAnsi" w:hAnsiTheme="minorHAnsi" w:cstheme="minorHAnsi"/>
          <w:color w:val="006666"/>
          <w:sz w:val="20"/>
          <w:szCs w:val="20"/>
        </w:rPr>
        <w:t xml:space="preserve"> If penalties and buy-ins were decoupled to enter into force at different stages, this would allow the a</w:t>
      </w:r>
      <w:r w:rsidR="00742D5C">
        <w:rPr>
          <w:rFonts w:asciiTheme="minorHAnsi" w:hAnsiTheme="minorHAnsi" w:cstheme="minorHAnsi"/>
          <w:color w:val="006666"/>
          <w:sz w:val="20"/>
          <w:szCs w:val="20"/>
        </w:rPr>
        <w:t xml:space="preserve">ppropriate time for the market to adjust </w:t>
      </w:r>
      <w:r w:rsidR="00FE4A8D">
        <w:rPr>
          <w:rFonts w:asciiTheme="minorHAnsi" w:hAnsiTheme="minorHAnsi" w:cstheme="minorHAnsi"/>
          <w:color w:val="006666"/>
          <w:sz w:val="20"/>
          <w:szCs w:val="20"/>
        </w:rPr>
        <w:t xml:space="preserve">and build </w:t>
      </w:r>
      <w:r w:rsidR="00742D5C">
        <w:rPr>
          <w:rFonts w:asciiTheme="minorHAnsi" w:hAnsiTheme="minorHAnsi" w:cstheme="minorHAnsi"/>
          <w:color w:val="006666"/>
          <w:sz w:val="20"/>
          <w:szCs w:val="20"/>
        </w:rPr>
        <w:t>accordingly.</w:t>
      </w:r>
    </w:p>
    <w:p w14:paraId="7AC59A1E" w14:textId="77777777" w:rsidR="008A7B79" w:rsidRDefault="008A7B79" w:rsidP="00D90C3D">
      <w:pPr>
        <w:pStyle w:val="Default"/>
        <w:ind w:left="-66" w:right="119"/>
        <w:rPr>
          <w:rFonts w:asciiTheme="minorHAnsi" w:hAnsiTheme="minorHAnsi" w:cstheme="minorHAnsi"/>
          <w:b/>
          <w:bCs/>
          <w:color w:val="CC0099"/>
          <w:sz w:val="20"/>
          <w:szCs w:val="20"/>
        </w:rPr>
      </w:pPr>
    </w:p>
    <w:p w14:paraId="4C705869" w14:textId="015C1387" w:rsidR="00713C92" w:rsidRDefault="00713C92" w:rsidP="00D90C3D">
      <w:pPr>
        <w:pStyle w:val="Default"/>
        <w:ind w:left="-66" w:right="119"/>
        <w:rPr>
          <w:rFonts w:asciiTheme="minorHAnsi" w:hAnsiTheme="minorHAnsi" w:cstheme="minorHAnsi"/>
          <w:color w:val="006666"/>
          <w:sz w:val="20"/>
          <w:szCs w:val="20"/>
        </w:rPr>
      </w:pPr>
      <w:r w:rsidRPr="00652D70">
        <w:rPr>
          <w:rFonts w:asciiTheme="minorHAnsi" w:hAnsiTheme="minorHAnsi" w:cstheme="minorHAnsi"/>
          <w:b/>
          <w:bCs/>
          <w:color w:val="CC0099"/>
          <w:sz w:val="20"/>
          <w:szCs w:val="20"/>
        </w:rPr>
        <w:t>Costs:</w:t>
      </w:r>
      <w:r>
        <w:rPr>
          <w:rFonts w:asciiTheme="minorHAnsi" w:hAnsiTheme="minorHAnsi" w:cstheme="minorHAnsi"/>
          <w:b/>
          <w:bCs/>
          <w:color w:val="CC0099"/>
          <w:sz w:val="20"/>
          <w:szCs w:val="20"/>
        </w:rPr>
        <w:t xml:space="preserve"> </w:t>
      </w:r>
      <w:r w:rsidRPr="00C90DF8">
        <w:rPr>
          <w:rFonts w:asciiTheme="minorHAnsi" w:hAnsiTheme="minorHAnsi" w:cstheme="minorHAnsi"/>
          <w:color w:val="006666"/>
          <w:sz w:val="20"/>
          <w:szCs w:val="20"/>
        </w:rPr>
        <w:t>As outlined in the response to Question 35</w:t>
      </w:r>
      <w:r w:rsidR="009152C3" w:rsidRPr="00C90DF8">
        <w:rPr>
          <w:rFonts w:asciiTheme="minorHAnsi" w:hAnsiTheme="minorHAnsi" w:cstheme="minorHAnsi"/>
          <w:color w:val="006666"/>
          <w:sz w:val="20"/>
          <w:szCs w:val="20"/>
        </w:rPr>
        <w:t>.1, introduc</w:t>
      </w:r>
      <w:r w:rsidR="003B0B2C" w:rsidRPr="00C90DF8">
        <w:rPr>
          <w:rFonts w:asciiTheme="minorHAnsi" w:hAnsiTheme="minorHAnsi" w:cstheme="minorHAnsi"/>
          <w:color w:val="006666"/>
          <w:sz w:val="20"/>
          <w:szCs w:val="20"/>
        </w:rPr>
        <w:t>ing</w:t>
      </w:r>
      <w:r w:rsidR="009152C3" w:rsidRPr="00C90DF8">
        <w:rPr>
          <w:rFonts w:asciiTheme="minorHAnsi" w:hAnsiTheme="minorHAnsi" w:cstheme="minorHAnsi"/>
          <w:color w:val="006666"/>
          <w:sz w:val="20"/>
          <w:szCs w:val="20"/>
        </w:rPr>
        <w:t xml:space="preserve"> a ‘mandatory’ buy-in regime </w:t>
      </w:r>
      <w:r w:rsidR="004E0946">
        <w:rPr>
          <w:rFonts w:asciiTheme="minorHAnsi" w:hAnsiTheme="minorHAnsi" w:cstheme="minorHAnsi"/>
          <w:color w:val="006666"/>
          <w:sz w:val="20"/>
          <w:szCs w:val="20"/>
        </w:rPr>
        <w:t xml:space="preserve">on SFTs </w:t>
      </w:r>
      <w:r w:rsidR="009152C3" w:rsidRPr="00C90DF8">
        <w:rPr>
          <w:rFonts w:asciiTheme="minorHAnsi" w:hAnsiTheme="minorHAnsi" w:cstheme="minorHAnsi"/>
          <w:color w:val="006666"/>
          <w:sz w:val="20"/>
          <w:szCs w:val="20"/>
        </w:rPr>
        <w:t>would lead to</w:t>
      </w:r>
      <w:r w:rsidR="003B0B2C" w:rsidRPr="00C90DF8">
        <w:rPr>
          <w:rFonts w:asciiTheme="minorHAnsi" w:hAnsiTheme="minorHAnsi" w:cstheme="minorHAnsi"/>
          <w:color w:val="006666"/>
          <w:sz w:val="20"/>
          <w:szCs w:val="20"/>
        </w:rPr>
        <w:t xml:space="preserve"> reduced</w:t>
      </w:r>
      <w:r w:rsidR="004E0946">
        <w:rPr>
          <w:rFonts w:asciiTheme="minorHAnsi" w:hAnsiTheme="minorHAnsi" w:cstheme="minorHAnsi"/>
          <w:color w:val="006666"/>
          <w:sz w:val="20"/>
          <w:szCs w:val="20"/>
        </w:rPr>
        <w:t xml:space="preserve"> market liquidity</w:t>
      </w:r>
      <w:r w:rsidR="004F5C80">
        <w:rPr>
          <w:rFonts w:asciiTheme="minorHAnsi" w:hAnsiTheme="minorHAnsi" w:cstheme="minorHAnsi"/>
          <w:color w:val="006666"/>
          <w:sz w:val="20"/>
          <w:szCs w:val="20"/>
        </w:rPr>
        <w:t>, as securities lending is already used a</w:t>
      </w:r>
      <w:r w:rsidR="002161E0">
        <w:rPr>
          <w:rFonts w:asciiTheme="minorHAnsi" w:hAnsiTheme="minorHAnsi" w:cstheme="minorHAnsi"/>
          <w:color w:val="006666"/>
          <w:sz w:val="20"/>
          <w:szCs w:val="20"/>
        </w:rPr>
        <w:t>s a</w:t>
      </w:r>
      <w:r w:rsidR="004F5C80">
        <w:rPr>
          <w:rFonts w:asciiTheme="minorHAnsi" w:hAnsiTheme="minorHAnsi" w:cstheme="minorHAnsi"/>
          <w:color w:val="006666"/>
          <w:sz w:val="20"/>
          <w:szCs w:val="20"/>
        </w:rPr>
        <w:t xml:space="preserve"> means </w:t>
      </w:r>
      <w:r w:rsidR="002161E0">
        <w:rPr>
          <w:rFonts w:asciiTheme="minorHAnsi" w:hAnsiTheme="minorHAnsi" w:cstheme="minorHAnsi"/>
          <w:color w:val="006666"/>
          <w:sz w:val="20"/>
          <w:szCs w:val="20"/>
        </w:rPr>
        <w:t xml:space="preserve">to </w:t>
      </w:r>
      <w:r w:rsidR="004F5C80">
        <w:rPr>
          <w:rFonts w:asciiTheme="minorHAnsi" w:hAnsiTheme="minorHAnsi" w:cstheme="minorHAnsi"/>
          <w:color w:val="006666"/>
          <w:sz w:val="20"/>
          <w:szCs w:val="20"/>
        </w:rPr>
        <w:t xml:space="preserve">reduce settlement failures in the </w:t>
      </w:r>
      <w:r w:rsidR="00CD6095">
        <w:rPr>
          <w:rFonts w:asciiTheme="minorHAnsi" w:hAnsiTheme="minorHAnsi" w:cstheme="minorHAnsi"/>
          <w:color w:val="006666"/>
          <w:sz w:val="20"/>
          <w:szCs w:val="20"/>
        </w:rPr>
        <w:t>secondary</w:t>
      </w:r>
      <w:r w:rsidR="004F5C80">
        <w:rPr>
          <w:rFonts w:asciiTheme="minorHAnsi" w:hAnsiTheme="minorHAnsi" w:cstheme="minorHAnsi"/>
          <w:color w:val="006666"/>
          <w:sz w:val="20"/>
          <w:szCs w:val="20"/>
        </w:rPr>
        <w:t xml:space="preserve"> market.</w:t>
      </w:r>
      <w:r w:rsidR="00C53AFB">
        <w:rPr>
          <w:rFonts w:asciiTheme="minorHAnsi" w:hAnsiTheme="minorHAnsi" w:cstheme="minorHAnsi"/>
          <w:color w:val="006666"/>
          <w:sz w:val="20"/>
          <w:szCs w:val="20"/>
        </w:rPr>
        <w:t xml:space="preserve"> Increased risk on the asset owners </w:t>
      </w:r>
      <w:r w:rsidR="00745507">
        <w:rPr>
          <w:rFonts w:asciiTheme="minorHAnsi" w:hAnsiTheme="minorHAnsi" w:cstheme="minorHAnsi"/>
          <w:color w:val="006666"/>
          <w:sz w:val="20"/>
          <w:szCs w:val="20"/>
        </w:rPr>
        <w:t>could also lead to a reduced pool of lendable assets</w:t>
      </w:r>
      <w:r w:rsidR="00BF72E2">
        <w:rPr>
          <w:rFonts w:asciiTheme="minorHAnsi" w:hAnsiTheme="minorHAnsi" w:cstheme="minorHAnsi"/>
          <w:color w:val="006666"/>
          <w:sz w:val="20"/>
          <w:szCs w:val="20"/>
        </w:rPr>
        <w:t xml:space="preserve"> and an </w:t>
      </w:r>
      <w:r w:rsidR="00BF72E2" w:rsidRPr="00D01F62">
        <w:rPr>
          <w:rFonts w:asciiTheme="minorHAnsi" w:hAnsiTheme="minorHAnsi" w:cstheme="minorHAnsi"/>
          <w:color w:val="006666"/>
          <w:sz w:val="20"/>
          <w:szCs w:val="20"/>
        </w:rPr>
        <w:t xml:space="preserve">increase in demand for securities in times of </w:t>
      </w:r>
      <w:r w:rsidR="00BF72E2">
        <w:rPr>
          <w:rFonts w:asciiTheme="minorHAnsi" w:hAnsiTheme="minorHAnsi" w:cstheme="minorHAnsi"/>
          <w:color w:val="006666"/>
          <w:sz w:val="20"/>
          <w:szCs w:val="20"/>
        </w:rPr>
        <w:t xml:space="preserve">market </w:t>
      </w:r>
      <w:r w:rsidR="00BF72E2" w:rsidRPr="00D01F62">
        <w:rPr>
          <w:rFonts w:asciiTheme="minorHAnsi" w:hAnsiTheme="minorHAnsi" w:cstheme="minorHAnsi"/>
          <w:color w:val="006666"/>
          <w:sz w:val="20"/>
          <w:szCs w:val="20"/>
        </w:rPr>
        <w:t>stress</w:t>
      </w:r>
      <w:r w:rsidR="00BF72E2">
        <w:rPr>
          <w:rFonts w:asciiTheme="minorHAnsi" w:hAnsiTheme="minorHAnsi" w:cstheme="minorHAnsi"/>
          <w:color w:val="006666"/>
          <w:sz w:val="20"/>
          <w:szCs w:val="20"/>
        </w:rPr>
        <w:t>, such as the pandemic</w:t>
      </w:r>
      <w:r w:rsidR="00AD4D4E">
        <w:rPr>
          <w:rFonts w:asciiTheme="minorHAnsi" w:hAnsiTheme="minorHAnsi" w:cstheme="minorHAnsi"/>
          <w:color w:val="006666"/>
          <w:sz w:val="20"/>
          <w:szCs w:val="20"/>
        </w:rPr>
        <w:t>,</w:t>
      </w:r>
      <w:r w:rsidR="00BF72E2" w:rsidRPr="00D01F62">
        <w:rPr>
          <w:rFonts w:asciiTheme="minorHAnsi" w:hAnsiTheme="minorHAnsi" w:cstheme="minorHAnsi"/>
          <w:color w:val="006666"/>
          <w:sz w:val="20"/>
          <w:szCs w:val="20"/>
        </w:rPr>
        <w:t xml:space="preserve"> coupled with a decrease in supply</w:t>
      </w:r>
      <w:r w:rsidR="00AD4D4E">
        <w:rPr>
          <w:rFonts w:asciiTheme="minorHAnsi" w:hAnsiTheme="minorHAnsi" w:cstheme="minorHAnsi"/>
          <w:color w:val="006666"/>
          <w:sz w:val="20"/>
          <w:szCs w:val="20"/>
        </w:rPr>
        <w:t>,</w:t>
      </w:r>
      <w:r w:rsidR="00BF72E2">
        <w:rPr>
          <w:rFonts w:asciiTheme="minorHAnsi" w:hAnsiTheme="minorHAnsi" w:cstheme="minorHAnsi"/>
          <w:color w:val="006666"/>
          <w:sz w:val="20"/>
          <w:szCs w:val="20"/>
        </w:rPr>
        <w:t xml:space="preserve"> </w:t>
      </w:r>
      <w:r w:rsidR="00AD4D4E">
        <w:rPr>
          <w:rFonts w:asciiTheme="minorHAnsi" w:hAnsiTheme="minorHAnsi" w:cstheme="minorHAnsi"/>
          <w:color w:val="006666"/>
          <w:sz w:val="20"/>
          <w:szCs w:val="20"/>
        </w:rPr>
        <w:t>would reduce</w:t>
      </w:r>
      <w:r w:rsidR="00745507">
        <w:rPr>
          <w:rFonts w:asciiTheme="minorHAnsi" w:hAnsiTheme="minorHAnsi" w:cstheme="minorHAnsi"/>
          <w:color w:val="006666"/>
          <w:sz w:val="20"/>
          <w:szCs w:val="20"/>
        </w:rPr>
        <w:t xml:space="preserve"> liquidity further.</w:t>
      </w:r>
      <w:r w:rsidR="004C3AFB">
        <w:rPr>
          <w:rFonts w:asciiTheme="minorHAnsi" w:hAnsiTheme="minorHAnsi" w:cstheme="minorHAnsi"/>
          <w:color w:val="006666"/>
          <w:sz w:val="20"/>
          <w:szCs w:val="20"/>
        </w:rPr>
        <w:t xml:space="preserve"> </w:t>
      </w:r>
    </w:p>
    <w:p w14:paraId="3FA6209B" w14:textId="5AAE9BB3" w:rsidR="00D90C3D" w:rsidRDefault="001D1BEF" w:rsidP="00D90C3D">
      <w:pPr>
        <w:pStyle w:val="Default"/>
        <w:ind w:left="-66" w:right="119"/>
        <w:rPr>
          <w:rFonts w:asciiTheme="minorHAnsi" w:hAnsiTheme="minorHAnsi" w:cstheme="minorHAnsi"/>
          <w:b/>
          <w:bCs/>
          <w:color w:val="CC0099"/>
          <w:sz w:val="20"/>
          <w:szCs w:val="20"/>
        </w:rPr>
      </w:pPr>
      <w:r w:rsidRPr="001D1BEF">
        <w:rPr>
          <w:rFonts w:asciiTheme="minorHAnsi" w:hAnsiTheme="minorHAnsi" w:cstheme="minorHAnsi"/>
          <w:color w:val="006666"/>
          <w:sz w:val="20"/>
          <w:szCs w:val="20"/>
        </w:rPr>
        <w:t xml:space="preserve"> </w:t>
      </w:r>
    </w:p>
    <w:p w14:paraId="78899C18" w14:textId="7D4962EB" w:rsidR="00EE1458" w:rsidRDefault="00EB1992" w:rsidP="007E43F0">
      <w:pPr>
        <w:pStyle w:val="Default"/>
        <w:numPr>
          <w:ilvl w:val="0"/>
          <w:numId w:val="6"/>
        </w:numPr>
        <w:ind w:right="119"/>
        <w:rPr>
          <w:rFonts w:asciiTheme="minorHAnsi" w:hAnsiTheme="minorHAnsi" w:cstheme="minorHAnsi"/>
          <w:color w:val="006666"/>
          <w:sz w:val="20"/>
          <w:szCs w:val="20"/>
        </w:rPr>
      </w:pPr>
      <w:r w:rsidRPr="00EC2097">
        <w:rPr>
          <w:rFonts w:asciiTheme="minorHAnsi" w:hAnsiTheme="minorHAnsi" w:cstheme="minorHAnsi"/>
          <w:color w:val="006666"/>
          <w:sz w:val="20"/>
          <w:szCs w:val="20"/>
        </w:rPr>
        <w:t>Replace m</w:t>
      </w:r>
      <w:r w:rsidR="00312601" w:rsidRPr="00EC2097">
        <w:rPr>
          <w:rFonts w:asciiTheme="minorHAnsi" w:hAnsiTheme="minorHAnsi" w:cstheme="minorHAnsi"/>
          <w:color w:val="006666"/>
          <w:sz w:val="20"/>
          <w:szCs w:val="20"/>
        </w:rPr>
        <w:t xml:space="preserve">andatory </w:t>
      </w:r>
      <w:r w:rsidR="003C4DCA" w:rsidRPr="00EC2097">
        <w:rPr>
          <w:rFonts w:asciiTheme="minorHAnsi" w:hAnsiTheme="minorHAnsi" w:cstheme="minorHAnsi"/>
          <w:color w:val="006666"/>
          <w:sz w:val="20"/>
          <w:szCs w:val="20"/>
        </w:rPr>
        <w:t xml:space="preserve">buy-ins with </w:t>
      </w:r>
      <w:r w:rsidR="00CF4FF9">
        <w:rPr>
          <w:rFonts w:asciiTheme="minorHAnsi" w:hAnsiTheme="minorHAnsi" w:cstheme="minorHAnsi"/>
          <w:color w:val="006666"/>
          <w:sz w:val="20"/>
          <w:szCs w:val="20"/>
        </w:rPr>
        <w:t xml:space="preserve">an </w:t>
      </w:r>
      <w:r w:rsidR="003C4DCA" w:rsidRPr="00EC2097">
        <w:rPr>
          <w:rFonts w:asciiTheme="minorHAnsi" w:hAnsiTheme="minorHAnsi" w:cstheme="minorHAnsi"/>
          <w:color w:val="006666"/>
          <w:sz w:val="20"/>
          <w:szCs w:val="20"/>
        </w:rPr>
        <w:t xml:space="preserve">optional </w:t>
      </w:r>
      <w:r w:rsidR="0073206B">
        <w:rPr>
          <w:rFonts w:asciiTheme="minorHAnsi" w:hAnsiTheme="minorHAnsi" w:cstheme="minorHAnsi"/>
          <w:color w:val="006666"/>
          <w:sz w:val="20"/>
          <w:szCs w:val="20"/>
        </w:rPr>
        <w:t xml:space="preserve">buy-in </w:t>
      </w:r>
      <w:r w:rsidR="00D14B97">
        <w:rPr>
          <w:rFonts w:asciiTheme="minorHAnsi" w:hAnsiTheme="minorHAnsi" w:cstheme="minorHAnsi"/>
          <w:color w:val="006666"/>
          <w:sz w:val="20"/>
          <w:szCs w:val="20"/>
        </w:rPr>
        <w:t>‘type</w:t>
      </w:r>
      <w:r w:rsidR="0073206B">
        <w:rPr>
          <w:rFonts w:asciiTheme="minorHAnsi" w:hAnsiTheme="minorHAnsi" w:cstheme="minorHAnsi"/>
          <w:color w:val="006666"/>
          <w:sz w:val="20"/>
          <w:szCs w:val="20"/>
        </w:rPr>
        <w:t xml:space="preserve">’ </w:t>
      </w:r>
      <w:r w:rsidR="00CF4FF9">
        <w:rPr>
          <w:rFonts w:asciiTheme="minorHAnsi" w:hAnsiTheme="minorHAnsi" w:cstheme="minorHAnsi"/>
          <w:color w:val="006666"/>
          <w:sz w:val="20"/>
          <w:szCs w:val="20"/>
        </w:rPr>
        <w:t xml:space="preserve">mechanism </w:t>
      </w:r>
      <w:r w:rsidR="0001181A" w:rsidRPr="0001181A">
        <w:rPr>
          <w:rFonts w:asciiTheme="minorHAnsi" w:hAnsiTheme="minorHAnsi" w:cstheme="minorHAnsi"/>
          <w:color w:val="006666"/>
          <w:sz w:val="20"/>
          <w:szCs w:val="20"/>
        </w:rPr>
        <w:t>(for in-scope transactions)</w:t>
      </w:r>
      <w:r w:rsidR="0001181A">
        <w:rPr>
          <w:rFonts w:asciiTheme="minorHAnsi" w:hAnsiTheme="minorHAnsi" w:cstheme="minorHAnsi"/>
          <w:b/>
          <w:bCs/>
          <w:color w:val="006666"/>
          <w:sz w:val="20"/>
          <w:szCs w:val="20"/>
        </w:rPr>
        <w:t xml:space="preserve"> </w:t>
      </w:r>
      <w:r w:rsidR="00F4526B">
        <w:rPr>
          <w:rFonts w:asciiTheme="minorHAnsi" w:hAnsiTheme="minorHAnsi" w:cstheme="minorHAnsi"/>
          <w:color w:val="006666"/>
          <w:sz w:val="20"/>
          <w:szCs w:val="20"/>
        </w:rPr>
        <w:t xml:space="preserve">- </w:t>
      </w:r>
      <w:r w:rsidR="00992243" w:rsidRPr="000A7B0C">
        <w:rPr>
          <w:rFonts w:asciiTheme="minorHAnsi" w:hAnsiTheme="minorHAnsi" w:cstheme="minorHAnsi"/>
          <w:color w:val="006666"/>
          <w:sz w:val="20"/>
          <w:szCs w:val="20"/>
        </w:rPr>
        <w:t xml:space="preserve">It is essential that the mandatory obligation </w:t>
      </w:r>
      <w:r w:rsidR="00A31907" w:rsidRPr="000A7B0C">
        <w:rPr>
          <w:rFonts w:asciiTheme="minorHAnsi" w:hAnsiTheme="minorHAnsi" w:cstheme="minorHAnsi"/>
          <w:color w:val="006666"/>
          <w:sz w:val="20"/>
          <w:szCs w:val="20"/>
        </w:rPr>
        <w:t>to enforce a buy-in be removed from the regulatory text</w:t>
      </w:r>
      <w:r w:rsidR="0039185B">
        <w:rPr>
          <w:rFonts w:asciiTheme="minorHAnsi" w:hAnsiTheme="minorHAnsi" w:cstheme="minorHAnsi"/>
          <w:color w:val="006666"/>
          <w:sz w:val="20"/>
          <w:szCs w:val="20"/>
        </w:rPr>
        <w:t xml:space="preserve">, </w:t>
      </w:r>
      <w:r w:rsidR="003F0FED">
        <w:rPr>
          <w:rFonts w:asciiTheme="minorHAnsi" w:hAnsiTheme="minorHAnsi" w:cstheme="minorHAnsi"/>
          <w:color w:val="006666"/>
          <w:sz w:val="20"/>
          <w:szCs w:val="20"/>
        </w:rPr>
        <w:t>(</w:t>
      </w:r>
      <w:r w:rsidR="0039185B">
        <w:rPr>
          <w:rFonts w:asciiTheme="minorHAnsi" w:hAnsiTheme="minorHAnsi" w:cstheme="minorHAnsi"/>
          <w:color w:val="006666"/>
          <w:sz w:val="20"/>
          <w:szCs w:val="20"/>
        </w:rPr>
        <w:t xml:space="preserve">in particular </w:t>
      </w:r>
      <w:r w:rsidR="00AC6B32">
        <w:rPr>
          <w:rFonts w:asciiTheme="minorHAnsi" w:hAnsiTheme="minorHAnsi" w:cstheme="minorHAnsi"/>
          <w:color w:val="006666"/>
          <w:sz w:val="20"/>
          <w:szCs w:val="20"/>
        </w:rPr>
        <w:t xml:space="preserve">for instrument types that have </w:t>
      </w:r>
      <w:r w:rsidR="00D14B97">
        <w:rPr>
          <w:rFonts w:asciiTheme="minorHAnsi" w:hAnsiTheme="minorHAnsi" w:cstheme="minorHAnsi"/>
          <w:color w:val="006666"/>
          <w:sz w:val="20"/>
          <w:szCs w:val="20"/>
        </w:rPr>
        <w:t>simila</w:t>
      </w:r>
      <w:r w:rsidR="00D13D20">
        <w:rPr>
          <w:rFonts w:asciiTheme="minorHAnsi" w:hAnsiTheme="minorHAnsi" w:cstheme="minorHAnsi"/>
          <w:color w:val="006666"/>
          <w:sz w:val="20"/>
          <w:szCs w:val="20"/>
        </w:rPr>
        <w:t>r</w:t>
      </w:r>
      <w:r w:rsidR="00AC6B32">
        <w:rPr>
          <w:rFonts w:asciiTheme="minorHAnsi" w:hAnsiTheme="minorHAnsi" w:cstheme="minorHAnsi"/>
          <w:color w:val="006666"/>
          <w:sz w:val="20"/>
          <w:szCs w:val="20"/>
        </w:rPr>
        <w:t xml:space="preserve"> remedies </w:t>
      </w:r>
      <w:r w:rsidR="00D13D20">
        <w:rPr>
          <w:rFonts w:asciiTheme="minorHAnsi" w:hAnsiTheme="minorHAnsi" w:cstheme="minorHAnsi"/>
          <w:color w:val="006666"/>
          <w:sz w:val="20"/>
          <w:szCs w:val="20"/>
        </w:rPr>
        <w:t>outlined in their legal documentation</w:t>
      </w:r>
      <w:r w:rsidR="003F0FED">
        <w:rPr>
          <w:rFonts w:asciiTheme="minorHAnsi" w:hAnsiTheme="minorHAnsi" w:cstheme="minorHAnsi"/>
          <w:color w:val="006666"/>
          <w:sz w:val="20"/>
          <w:szCs w:val="20"/>
        </w:rPr>
        <w:t>,</w:t>
      </w:r>
      <w:r w:rsidR="00D13D20">
        <w:rPr>
          <w:rFonts w:asciiTheme="minorHAnsi" w:hAnsiTheme="minorHAnsi" w:cstheme="minorHAnsi"/>
          <w:color w:val="006666"/>
          <w:sz w:val="20"/>
          <w:szCs w:val="20"/>
        </w:rPr>
        <w:t xml:space="preserve"> that fulfil the same objective as </w:t>
      </w:r>
      <w:r w:rsidR="00653702">
        <w:rPr>
          <w:rFonts w:asciiTheme="minorHAnsi" w:hAnsiTheme="minorHAnsi" w:cstheme="minorHAnsi"/>
          <w:color w:val="006666"/>
          <w:sz w:val="20"/>
          <w:szCs w:val="20"/>
        </w:rPr>
        <w:t>a CSDR buy-in</w:t>
      </w:r>
      <w:r w:rsidR="00D558E6">
        <w:rPr>
          <w:rFonts w:asciiTheme="minorHAnsi" w:hAnsiTheme="minorHAnsi" w:cstheme="minorHAnsi"/>
          <w:color w:val="006666"/>
          <w:sz w:val="20"/>
          <w:szCs w:val="20"/>
        </w:rPr>
        <w:t>, f</w:t>
      </w:r>
      <w:r w:rsidR="00653702">
        <w:rPr>
          <w:rFonts w:asciiTheme="minorHAnsi" w:hAnsiTheme="minorHAnsi" w:cstheme="minorHAnsi"/>
          <w:color w:val="006666"/>
          <w:sz w:val="20"/>
          <w:szCs w:val="20"/>
        </w:rPr>
        <w:t xml:space="preserve">or instance </w:t>
      </w:r>
      <w:r w:rsidR="00227857">
        <w:rPr>
          <w:rFonts w:asciiTheme="minorHAnsi" w:hAnsiTheme="minorHAnsi" w:cstheme="minorHAnsi"/>
          <w:color w:val="006666"/>
          <w:sz w:val="20"/>
          <w:szCs w:val="20"/>
        </w:rPr>
        <w:t>clauses 9.1-9.3 of the</w:t>
      </w:r>
      <w:r w:rsidR="0019193A">
        <w:rPr>
          <w:rFonts w:asciiTheme="minorHAnsi" w:hAnsiTheme="minorHAnsi" w:cstheme="minorHAnsi"/>
          <w:color w:val="006666"/>
          <w:sz w:val="20"/>
          <w:szCs w:val="20"/>
        </w:rPr>
        <w:t xml:space="preserve"> </w:t>
      </w:r>
      <w:r w:rsidR="00D558E6">
        <w:rPr>
          <w:rFonts w:asciiTheme="minorHAnsi" w:hAnsiTheme="minorHAnsi" w:cstheme="minorHAnsi"/>
          <w:color w:val="006666"/>
          <w:sz w:val="20"/>
          <w:szCs w:val="20"/>
        </w:rPr>
        <w:t>GMSLA</w:t>
      </w:r>
      <w:r w:rsidR="003F0FED">
        <w:rPr>
          <w:rFonts w:asciiTheme="minorHAnsi" w:hAnsiTheme="minorHAnsi" w:cstheme="minorHAnsi"/>
          <w:color w:val="006666"/>
          <w:sz w:val="20"/>
          <w:szCs w:val="20"/>
        </w:rPr>
        <w:t>)</w:t>
      </w:r>
      <w:r w:rsidR="00D558E6">
        <w:rPr>
          <w:rFonts w:asciiTheme="minorHAnsi" w:hAnsiTheme="minorHAnsi" w:cstheme="minorHAnsi"/>
          <w:color w:val="006666"/>
          <w:sz w:val="20"/>
          <w:szCs w:val="20"/>
        </w:rPr>
        <w:t xml:space="preserve">. </w:t>
      </w:r>
    </w:p>
    <w:p w14:paraId="5AF16D39" w14:textId="03760DC3" w:rsidR="00F90B0C" w:rsidRPr="00F90B0C" w:rsidRDefault="00F90B0C" w:rsidP="005F1147">
      <w:pPr>
        <w:pStyle w:val="Default"/>
        <w:ind w:right="119"/>
        <w:rPr>
          <w:rFonts w:asciiTheme="minorHAnsi" w:hAnsiTheme="minorHAnsi" w:cstheme="minorHAnsi"/>
          <w:b/>
          <w:bCs/>
          <w:color w:val="CC0099"/>
          <w:sz w:val="20"/>
          <w:szCs w:val="20"/>
        </w:rPr>
      </w:pPr>
    </w:p>
    <w:p w14:paraId="4544CE41" w14:textId="440B38D0" w:rsidR="00B10F03" w:rsidRDefault="00F90B0C" w:rsidP="00884E39">
      <w:pPr>
        <w:pStyle w:val="Default"/>
        <w:ind w:left="-66" w:right="119"/>
        <w:rPr>
          <w:rFonts w:asciiTheme="minorHAnsi" w:hAnsiTheme="minorHAnsi" w:cstheme="minorHAnsi"/>
          <w:color w:val="006666"/>
          <w:sz w:val="20"/>
          <w:szCs w:val="20"/>
        </w:rPr>
      </w:pPr>
      <w:r w:rsidRPr="00F90B0C">
        <w:rPr>
          <w:rFonts w:asciiTheme="minorHAnsi" w:hAnsiTheme="minorHAnsi" w:cstheme="minorHAnsi"/>
          <w:b/>
          <w:bCs/>
          <w:color w:val="CC0099"/>
          <w:sz w:val="20"/>
          <w:szCs w:val="20"/>
        </w:rPr>
        <w:t>Benefits:</w:t>
      </w:r>
      <w:r w:rsidR="005960B2">
        <w:rPr>
          <w:rFonts w:asciiTheme="minorHAnsi" w:hAnsiTheme="minorHAnsi" w:cstheme="minorHAnsi"/>
          <w:b/>
          <w:bCs/>
          <w:color w:val="CC0099"/>
          <w:sz w:val="20"/>
          <w:szCs w:val="20"/>
        </w:rPr>
        <w:t xml:space="preserve"> </w:t>
      </w:r>
      <w:r w:rsidR="005F1147">
        <w:rPr>
          <w:rFonts w:asciiTheme="minorHAnsi" w:hAnsiTheme="minorHAnsi" w:cstheme="minorHAnsi"/>
          <w:color w:val="006666"/>
          <w:sz w:val="20"/>
          <w:szCs w:val="20"/>
        </w:rPr>
        <w:t>ISLA and its members advise that the regulation should not provide details of how a buy-in is exercised and instead, mandate that there must be sufficient contractual remedies in place</w:t>
      </w:r>
      <w:r w:rsidR="00462C26">
        <w:rPr>
          <w:rFonts w:asciiTheme="minorHAnsi" w:hAnsiTheme="minorHAnsi" w:cstheme="minorHAnsi"/>
          <w:color w:val="006666"/>
          <w:sz w:val="20"/>
          <w:szCs w:val="20"/>
        </w:rPr>
        <w:t xml:space="preserve"> (dependent on instrument type)</w:t>
      </w:r>
      <w:r w:rsidR="005F1147">
        <w:rPr>
          <w:rFonts w:asciiTheme="minorHAnsi" w:hAnsiTheme="minorHAnsi" w:cstheme="minorHAnsi"/>
          <w:color w:val="006666"/>
          <w:sz w:val="20"/>
          <w:szCs w:val="20"/>
        </w:rPr>
        <w:t>, between trading parties that allow the</w:t>
      </w:r>
      <w:r w:rsidR="00462C26">
        <w:rPr>
          <w:rFonts w:asciiTheme="minorHAnsi" w:hAnsiTheme="minorHAnsi" w:cstheme="minorHAnsi"/>
          <w:color w:val="006666"/>
          <w:sz w:val="20"/>
          <w:szCs w:val="20"/>
        </w:rPr>
        <w:t xml:space="preserve"> non-</w:t>
      </w:r>
      <w:r w:rsidR="005F1147">
        <w:rPr>
          <w:rFonts w:asciiTheme="minorHAnsi" w:hAnsiTheme="minorHAnsi" w:cstheme="minorHAnsi"/>
          <w:color w:val="006666"/>
          <w:sz w:val="20"/>
          <w:szCs w:val="20"/>
        </w:rPr>
        <w:t>receiving party, to resolve a settlement fail with a buy-in type mechanism, at their discretion, where it is in their economic interest to do so.</w:t>
      </w:r>
    </w:p>
    <w:p w14:paraId="6DDBFFF1" w14:textId="706C516D" w:rsidR="00014696" w:rsidRDefault="00434BF8" w:rsidP="00014696">
      <w:pPr>
        <w:pStyle w:val="Default"/>
        <w:numPr>
          <w:ilvl w:val="0"/>
          <w:numId w:val="6"/>
        </w:numPr>
        <w:ind w:right="119"/>
        <w:rPr>
          <w:rFonts w:asciiTheme="minorHAnsi" w:hAnsiTheme="minorHAnsi" w:cstheme="minorHAnsi"/>
          <w:color w:val="006666"/>
          <w:sz w:val="20"/>
          <w:szCs w:val="20"/>
        </w:rPr>
      </w:pPr>
      <w:r w:rsidRPr="00E9646D">
        <w:rPr>
          <w:rFonts w:asciiTheme="minorHAnsi" w:hAnsiTheme="minorHAnsi" w:cstheme="minorHAnsi"/>
          <w:color w:val="006666"/>
          <w:sz w:val="20"/>
          <w:szCs w:val="20"/>
        </w:rPr>
        <w:lastRenderedPageBreak/>
        <w:t>Allow for a pass on mechanism</w:t>
      </w:r>
      <w:r w:rsidR="004877A7" w:rsidRPr="00E9646D">
        <w:rPr>
          <w:rFonts w:asciiTheme="minorHAnsi" w:hAnsiTheme="minorHAnsi" w:cstheme="minorHAnsi"/>
          <w:color w:val="006666"/>
          <w:sz w:val="20"/>
          <w:szCs w:val="20"/>
        </w:rPr>
        <w:t xml:space="preserve"> (buy-ins only)</w:t>
      </w:r>
    </w:p>
    <w:p w14:paraId="2F7228AA" w14:textId="77777777" w:rsidR="002A75DA" w:rsidRPr="00D30DB1" w:rsidRDefault="002A75DA" w:rsidP="004F3D27">
      <w:pPr>
        <w:pStyle w:val="Default"/>
        <w:ind w:right="119"/>
        <w:rPr>
          <w:rFonts w:asciiTheme="minorHAnsi" w:hAnsiTheme="minorHAnsi" w:cstheme="minorHAnsi"/>
          <w:color w:val="006666"/>
          <w:sz w:val="20"/>
          <w:szCs w:val="20"/>
        </w:rPr>
      </w:pPr>
    </w:p>
    <w:p w14:paraId="693034DC" w14:textId="350202D7" w:rsidR="00D74611" w:rsidRDefault="00F90B0C" w:rsidP="00A66ADF">
      <w:pPr>
        <w:pStyle w:val="Default"/>
        <w:ind w:left="-66" w:right="119"/>
        <w:rPr>
          <w:rFonts w:asciiTheme="minorHAnsi" w:hAnsiTheme="minorHAnsi" w:cstheme="minorHAnsi"/>
          <w:color w:val="006666"/>
          <w:sz w:val="20"/>
          <w:szCs w:val="20"/>
        </w:rPr>
      </w:pPr>
      <w:r w:rsidRPr="00F90B0C">
        <w:rPr>
          <w:rFonts w:asciiTheme="minorHAnsi" w:hAnsiTheme="minorHAnsi" w:cstheme="minorHAnsi"/>
          <w:b/>
          <w:bCs/>
          <w:color w:val="CC0099"/>
          <w:sz w:val="20"/>
          <w:szCs w:val="20"/>
        </w:rPr>
        <w:t>Benefits:</w:t>
      </w:r>
      <w:r w:rsidR="00984263">
        <w:rPr>
          <w:rFonts w:asciiTheme="minorHAnsi" w:hAnsiTheme="minorHAnsi" w:cstheme="minorHAnsi"/>
          <w:b/>
          <w:bCs/>
          <w:color w:val="CC0099"/>
          <w:sz w:val="20"/>
          <w:szCs w:val="20"/>
        </w:rPr>
        <w:t xml:space="preserve"> </w:t>
      </w:r>
      <w:r w:rsidR="00C364E8">
        <w:rPr>
          <w:rFonts w:asciiTheme="minorHAnsi" w:hAnsiTheme="minorHAnsi" w:cstheme="minorHAnsi"/>
          <w:color w:val="006666"/>
          <w:sz w:val="20"/>
          <w:szCs w:val="20"/>
        </w:rPr>
        <w:t xml:space="preserve">In order to reduce multiple buy-ins in a settlement chain, the </w:t>
      </w:r>
      <w:r w:rsidR="002A75DA">
        <w:rPr>
          <w:rFonts w:asciiTheme="minorHAnsi" w:hAnsiTheme="minorHAnsi" w:cstheme="minorHAnsi"/>
          <w:color w:val="006666"/>
          <w:sz w:val="20"/>
          <w:szCs w:val="20"/>
        </w:rPr>
        <w:t>regulation</w:t>
      </w:r>
      <w:r w:rsidR="00C364E8">
        <w:rPr>
          <w:rFonts w:asciiTheme="minorHAnsi" w:hAnsiTheme="minorHAnsi" w:cstheme="minorHAnsi"/>
          <w:color w:val="006666"/>
          <w:sz w:val="20"/>
          <w:szCs w:val="20"/>
        </w:rPr>
        <w:t xml:space="preserve"> must allow for the ability to reject a buy-in notice</w:t>
      </w:r>
      <w:r w:rsidR="00C46D55">
        <w:rPr>
          <w:rFonts w:asciiTheme="minorHAnsi" w:hAnsiTheme="minorHAnsi" w:cstheme="minorHAnsi"/>
          <w:color w:val="006666"/>
          <w:sz w:val="20"/>
          <w:szCs w:val="20"/>
        </w:rPr>
        <w:t>,</w:t>
      </w:r>
      <w:r w:rsidR="00C364E8">
        <w:rPr>
          <w:rFonts w:asciiTheme="minorHAnsi" w:hAnsiTheme="minorHAnsi" w:cstheme="minorHAnsi"/>
          <w:color w:val="006666"/>
          <w:sz w:val="20"/>
          <w:szCs w:val="20"/>
        </w:rPr>
        <w:t xml:space="preserve"> if one has already been initiated in a settlement chain and a</w:t>
      </w:r>
      <w:r w:rsidR="004F3D27">
        <w:rPr>
          <w:rFonts w:asciiTheme="minorHAnsi" w:hAnsiTheme="minorHAnsi" w:cstheme="minorHAnsi"/>
          <w:color w:val="006666"/>
          <w:sz w:val="20"/>
          <w:szCs w:val="20"/>
        </w:rPr>
        <w:t>n ability to</w:t>
      </w:r>
      <w:r w:rsidR="00C364E8">
        <w:rPr>
          <w:rFonts w:asciiTheme="minorHAnsi" w:hAnsiTheme="minorHAnsi" w:cstheme="minorHAnsi"/>
          <w:color w:val="006666"/>
          <w:sz w:val="20"/>
          <w:szCs w:val="20"/>
        </w:rPr>
        <w:t xml:space="preserve"> pass on </w:t>
      </w:r>
      <w:r w:rsidR="004F3D27">
        <w:rPr>
          <w:rFonts w:asciiTheme="minorHAnsi" w:hAnsiTheme="minorHAnsi" w:cstheme="minorHAnsi"/>
          <w:color w:val="006666"/>
          <w:sz w:val="20"/>
          <w:szCs w:val="20"/>
        </w:rPr>
        <w:t>a buy-in</w:t>
      </w:r>
      <w:r w:rsidR="000E78F1">
        <w:rPr>
          <w:rFonts w:asciiTheme="minorHAnsi" w:hAnsiTheme="minorHAnsi" w:cstheme="minorHAnsi"/>
          <w:color w:val="006666"/>
          <w:sz w:val="20"/>
          <w:szCs w:val="20"/>
        </w:rPr>
        <w:t>,</w:t>
      </w:r>
      <w:r w:rsidR="00D4534F">
        <w:rPr>
          <w:rFonts w:asciiTheme="minorHAnsi" w:hAnsiTheme="minorHAnsi" w:cstheme="minorHAnsi"/>
          <w:color w:val="006666"/>
          <w:sz w:val="20"/>
          <w:szCs w:val="20"/>
        </w:rPr>
        <w:t xml:space="preserve"> for in scope tra</w:t>
      </w:r>
      <w:r w:rsidR="00C848ED">
        <w:rPr>
          <w:rFonts w:asciiTheme="minorHAnsi" w:hAnsiTheme="minorHAnsi" w:cstheme="minorHAnsi"/>
          <w:color w:val="006666"/>
          <w:sz w:val="20"/>
          <w:szCs w:val="20"/>
        </w:rPr>
        <w:t xml:space="preserve">nsactions. </w:t>
      </w:r>
      <w:r w:rsidR="00F96FF0">
        <w:rPr>
          <w:rFonts w:asciiTheme="minorHAnsi" w:hAnsiTheme="minorHAnsi" w:cstheme="minorHAnsi"/>
          <w:color w:val="006666"/>
          <w:sz w:val="20"/>
          <w:szCs w:val="20"/>
        </w:rPr>
        <w:t xml:space="preserve">This will reduce </w:t>
      </w:r>
      <w:r w:rsidR="007D32A8">
        <w:rPr>
          <w:rFonts w:asciiTheme="minorHAnsi" w:hAnsiTheme="minorHAnsi" w:cstheme="minorHAnsi"/>
          <w:color w:val="006666"/>
          <w:sz w:val="20"/>
          <w:szCs w:val="20"/>
        </w:rPr>
        <w:t xml:space="preserve">any impacts to liquidity. </w:t>
      </w:r>
    </w:p>
    <w:p w14:paraId="6A00FBC0" w14:textId="77777777" w:rsidR="00B22F74" w:rsidRDefault="00B22F74" w:rsidP="00C364E8">
      <w:pPr>
        <w:pStyle w:val="Default"/>
        <w:ind w:left="-66" w:right="119"/>
        <w:rPr>
          <w:rFonts w:asciiTheme="minorHAnsi" w:hAnsiTheme="minorHAnsi" w:cstheme="minorHAnsi"/>
          <w:color w:val="006666"/>
          <w:sz w:val="20"/>
          <w:szCs w:val="20"/>
        </w:rPr>
      </w:pPr>
    </w:p>
    <w:p w14:paraId="7480363D" w14:textId="61D37824" w:rsidR="008359C4" w:rsidRPr="0011409C" w:rsidRDefault="00D7633D" w:rsidP="00384449">
      <w:pPr>
        <w:pStyle w:val="ListParagraph"/>
        <w:numPr>
          <w:ilvl w:val="0"/>
          <w:numId w:val="6"/>
        </w:numPr>
        <w:autoSpaceDE w:val="0"/>
        <w:autoSpaceDN w:val="0"/>
        <w:adjustRightInd w:val="0"/>
        <w:spacing w:after="0" w:line="240" w:lineRule="auto"/>
        <w:rPr>
          <w:rFonts w:ascii="FreeSans" w:hAnsi="FreeSans" w:cs="FreeSans"/>
          <w:color w:val="006666"/>
          <w:sz w:val="20"/>
          <w:szCs w:val="20"/>
        </w:rPr>
      </w:pPr>
      <w:r w:rsidRPr="009320B6">
        <w:rPr>
          <w:rFonts w:cstheme="minorHAnsi"/>
          <w:color w:val="006666"/>
          <w:sz w:val="20"/>
          <w:szCs w:val="20"/>
        </w:rPr>
        <w:t xml:space="preserve">Create symmetry </w:t>
      </w:r>
      <w:r w:rsidR="005E343F" w:rsidRPr="009320B6">
        <w:rPr>
          <w:rFonts w:cstheme="minorHAnsi"/>
          <w:color w:val="006666"/>
          <w:sz w:val="20"/>
          <w:szCs w:val="20"/>
        </w:rPr>
        <w:t xml:space="preserve">for </w:t>
      </w:r>
      <w:r w:rsidR="006415C7" w:rsidRPr="009320B6">
        <w:rPr>
          <w:rFonts w:cstheme="minorHAnsi"/>
          <w:color w:val="006666"/>
          <w:sz w:val="20"/>
          <w:szCs w:val="20"/>
        </w:rPr>
        <w:t xml:space="preserve">price differences &amp; </w:t>
      </w:r>
      <w:r w:rsidRPr="009320B6">
        <w:rPr>
          <w:rFonts w:cstheme="minorHAnsi"/>
          <w:color w:val="006666"/>
          <w:sz w:val="20"/>
          <w:szCs w:val="20"/>
        </w:rPr>
        <w:t>cash compensation</w:t>
      </w:r>
      <w:r w:rsidR="00E73897" w:rsidRPr="00595738">
        <w:rPr>
          <w:rFonts w:cstheme="minorHAnsi"/>
          <w:b/>
          <w:bCs/>
          <w:color w:val="006666"/>
          <w:sz w:val="20"/>
          <w:szCs w:val="20"/>
        </w:rPr>
        <w:t xml:space="preserve"> </w:t>
      </w:r>
      <w:r w:rsidR="005C7389" w:rsidRPr="00595738">
        <w:rPr>
          <w:rFonts w:cstheme="minorHAnsi"/>
          <w:b/>
          <w:bCs/>
          <w:color w:val="006666"/>
          <w:sz w:val="20"/>
          <w:szCs w:val="20"/>
        </w:rPr>
        <w:t xml:space="preserve">– </w:t>
      </w:r>
      <w:r w:rsidR="008C1C4C" w:rsidRPr="0011409C">
        <w:rPr>
          <w:rFonts w:ascii="FreeSans" w:hAnsi="FreeSans" w:cs="FreeSans"/>
          <w:color w:val="006666"/>
          <w:sz w:val="20"/>
          <w:szCs w:val="20"/>
        </w:rPr>
        <w:t>ISLA consider</w:t>
      </w:r>
      <w:r w:rsidR="008359C4" w:rsidRPr="0011409C">
        <w:rPr>
          <w:rFonts w:ascii="FreeSans" w:hAnsi="FreeSans" w:cs="FreeSans"/>
          <w:color w:val="006666"/>
          <w:sz w:val="20"/>
          <w:szCs w:val="20"/>
        </w:rPr>
        <w:t xml:space="preserve"> it is important</w:t>
      </w:r>
      <w:r w:rsidR="00A95090">
        <w:rPr>
          <w:rFonts w:ascii="FreeSans" w:hAnsi="FreeSans" w:cs="FreeSans"/>
          <w:color w:val="006666"/>
          <w:sz w:val="20"/>
          <w:szCs w:val="20"/>
        </w:rPr>
        <w:t>,</w:t>
      </w:r>
      <w:r w:rsidR="008359C4" w:rsidRPr="0011409C">
        <w:rPr>
          <w:rFonts w:ascii="FreeSans" w:hAnsi="FreeSans" w:cs="FreeSans"/>
          <w:color w:val="006666"/>
          <w:sz w:val="20"/>
          <w:szCs w:val="20"/>
        </w:rPr>
        <w:t xml:space="preserve"> that the price</w:t>
      </w:r>
    </w:p>
    <w:p w14:paraId="4D69CD47" w14:textId="071584E3" w:rsidR="00F90B0C" w:rsidRPr="00384449" w:rsidRDefault="008359C4" w:rsidP="00384449">
      <w:pPr>
        <w:autoSpaceDE w:val="0"/>
        <w:autoSpaceDN w:val="0"/>
        <w:adjustRightInd w:val="0"/>
        <w:spacing w:after="0" w:line="240" w:lineRule="auto"/>
        <w:ind w:left="-66"/>
        <w:rPr>
          <w:rFonts w:cstheme="minorHAnsi"/>
          <w:b/>
          <w:bCs/>
          <w:color w:val="006666"/>
          <w:sz w:val="20"/>
          <w:szCs w:val="20"/>
        </w:rPr>
      </w:pPr>
      <w:r w:rsidRPr="0011409C">
        <w:rPr>
          <w:rFonts w:ascii="FreeSans" w:hAnsi="FreeSans" w:cs="FreeSans"/>
          <w:color w:val="006666"/>
          <w:sz w:val="20"/>
          <w:szCs w:val="20"/>
        </w:rPr>
        <w:t>difference</w:t>
      </w:r>
      <w:r w:rsidR="00656205">
        <w:rPr>
          <w:rFonts w:ascii="FreeSans" w:hAnsi="FreeSans" w:cs="FreeSans"/>
          <w:color w:val="006666"/>
          <w:sz w:val="20"/>
          <w:szCs w:val="20"/>
        </w:rPr>
        <w:t>s</w:t>
      </w:r>
      <w:r w:rsidRPr="0011409C">
        <w:rPr>
          <w:rFonts w:ascii="FreeSans" w:hAnsi="FreeSans" w:cs="FreeSans"/>
          <w:color w:val="006666"/>
          <w:sz w:val="20"/>
          <w:szCs w:val="20"/>
        </w:rPr>
        <w:t xml:space="preserve"> can be settled symmetrically between parties with respect to a buy-in or in the case of cash compensation. </w:t>
      </w:r>
      <w:r w:rsidR="00364CE4">
        <w:rPr>
          <w:rFonts w:ascii="FreeSans" w:hAnsi="FreeSans" w:cs="FreeSans"/>
          <w:color w:val="006666"/>
          <w:sz w:val="20"/>
          <w:szCs w:val="20"/>
        </w:rPr>
        <w:t xml:space="preserve"> </w:t>
      </w:r>
    </w:p>
    <w:p w14:paraId="15746F88" w14:textId="77777777" w:rsidR="00BF5B95" w:rsidRDefault="00BF5B95" w:rsidP="00652D70">
      <w:pPr>
        <w:pStyle w:val="Default"/>
        <w:ind w:left="-66" w:right="119"/>
        <w:rPr>
          <w:rFonts w:asciiTheme="minorHAnsi" w:hAnsiTheme="minorHAnsi" w:cstheme="minorHAnsi"/>
          <w:b/>
          <w:bCs/>
          <w:color w:val="CC0099"/>
          <w:sz w:val="20"/>
          <w:szCs w:val="20"/>
        </w:rPr>
      </w:pPr>
    </w:p>
    <w:p w14:paraId="10604C13" w14:textId="1C31B680" w:rsidR="00384449" w:rsidRPr="000D6F6E" w:rsidRDefault="00D83AEA" w:rsidP="00652D70">
      <w:pPr>
        <w:pStyle w:val="Default"/>
        <w:ind w:left="-66" w:right="119"/>
        <w:rPr>
          <w:rFonts w:asciiTheme="minorHAnsi" w:hAnsiTheme="minorHAnsi" w:cstheme="minorHAnsi"/>
          <w:color w:val="006666"/>
          <w:sz w:val="20"/>
          <w:szCs w:val="20"/>
        </w:rPr>
      </w:pPr>
      <w:r>
        <w:rPr>
          <w:rFonts w:asciiTheme="minorHAnsi" w:hAnsiTheme="minorHAnsi" w:cstheme="minorHAnsi"/>
          <w:b/>
          <w:bCs/>
          <w:color w:val="CC0099"/>
          <w:sz w:val="20"/>
          <w:szCs w:val="20"/>
        </w:rPr>
        <w:t xml:space="preserve">Benefits: </w:t>
      </w:r>
      <w:r w:rsidR="00262CCF">
        <w:rPr>
          <w:rFonts w:asciiTheme="minorHAnsi" w:hAnsiTheme="minorHAnsi" w:cstheme="minorHAnsi"/>
          <w:b/>
          <w:bCs/>
          <w:color w:val="CC0099"/>
          <w:sz w:val="20"/>
          <w:szCs w:val="20"/>
        </w:rPr>
        <w:t xml:space="preserve"> </w:t>
      </w:r>
      <w:r w:rsidR="007F25CE" w:rsidRPr="000D6F6E">
        <w:rPr>
          <w:rFonts w:asciiTheme="minorHAnsi" w:hAnsiTheme="minorHAnsi" w:cstheme="minorHAnsi"/>
          <w:color w:val="006666"/>
          <w:sz w:val="20"/>
          <w:szCs w:val="20"/>
        </w:rPr>
        <w:t>Symmetr</w:t>
      </w:r>
      <w:r w:rsidR="00D37368" w:rsidRPr="000D6F6E">
        <w:rPr>
          <w:rFonts w:asciiTheme="minorHAnsi" w:hAnsiTheme="minorHAnsi" w:cstheme="minorHAnsi"/>
          <w:color w:val="006666"/>
          <w:sz w:val="20"/>
          <w:szCs w:val="20"/>
        </w:rPr>
        <w:t xml:space="preserve">y is required to ensure all </w:t>
      </w:r>
      <w:r w:rsidR="009A0255" w:rsidRPr="000D6F6E">
        <w:rPr>
          <w:rFonts w:asciiTheme="minorHAnsi" w:hAnsiTheme="minorHAnsi" w:cstheme="minorHAnsi"/>
          <w:color w:val="006666"/>
          <w:sz w:val="20"/>
          <w:szCs w:val="20"/>
        </w:rPr>
        <w:t xml:space="preserve">non-receiving parties are returned </w:t>
      </w:r>
      <w:r w:rsidR="000D6F6E" w:rsidRPr="000D6F6E">
        <w:rPr>
          <w:rFonts w:asciiTheme="minorHAnsi" w:hAnsiTheme="minorHAnsi" w:cstheme="minorHAnsi"/>
          <w:color w:val="006666"/>
          <w:sz w:val="20"/>
          <w:szCs w:val="20"/>
        </w:rPr>
        <w:t>to their original economic position</w:t>
      </w:r>
      <w:r w:rsidR="0058143D">
        <w:rPr>
          <w:rFonts w:asciiTheme="minorHAnsi" w:hAnsiTheme="minorHAnsi" w:cstheme="minorHAnsi"/>
          <w:color w:val="006666"/>
          <w:sz w:val="20"/>
          <w:szCs w:val="20"/>
        </w:rPr>
        <w:t>, regardless of where they sit, in the settlement chain</w:t>
      </w:r>
      <w:r w:rsidR="009D6C07">
        <w:rPr>
          <w:rFonts w:asciiTheme="minorHAnsi" w:hAnsiTheme="minorHAnsi" w:cstheme="minorHAnsi"/>
          <w:color w:val="006666"/>
          <w:sz w:val="20"/>
          <w:szCs w:val="20"/>
        </w:rPr>
        <w:t>. This will ultimately reduce market risk to intermediaries</w:t>
      </w:r>
      <w:r w:rsidR="001E4554">
        <w:rPr>
          <w:rFonts w:asciiTheme="minorHAnsi" w:hAnsiTheme="minorHAnsi" w:cstheme="minorHAnsi"/>
          <w:color w:val="006666"/>
          <w:sz w:val="20"/>
          <w:szCs w:val="20"/>
        </w:rPr>
        <w:t xml:space="preserve"> in a settlement chain</w:t>
      </w:r>
      <w:r w:rsidR="008A7B79">
        <w:rPr>
          <w:rFonts w:asciiTheme="minorHAnsi" w:hAnsiTheme="minorHAnsi" w:cstheme="minorHAnsi"/>
          <w:color w:val="006666"/>
          <w:sz w:val="20"/>
          <w:szCs w:val="20"/>
        </w:rPr>
        <w:t xml:space="preserve"> </w:t>
      </w:r>
      <w:r w:rsidR="001E4554">
        <w:rPr>
          <w:rFonts w:asciiTheme="minorHAnsi" w:hAnsiTheme="minorHAnsi" w:cstheme="minorHAnsi"/>
          <w:color w:val="006666"/>
          <w:sz w:val="20"/>
          <w:szCs w:val="20"/>
        </w:rPr>
        <w:t>(which are currently adversely impacted)</w:t>
      </w:r>
      <w:r w:rsidR="009D6C07">
        <w:rPr>
          <w:rFonts w:asciiTheme="minorHAnsi" w:hAnsiTheme="minorHAnsi" w:cstheme="minorHAnsi"/>
          <w:color w:val="006666"/>
          <w:sz w:val="20"/>
          <w:szCs w:val="20"/>
        </w:rPr>
        <w:t xml:space="preserve"> </w:t>
      </w:r>
      <w:r w:rsidR="001E4554">
        <w:rPr>
          <w:rFonts w:asciiTheme="minorHAnsi" w:hAnsiTheme="minorHAnsi" w:cstheme="minorHAnsi"/>
          <w:color w:val="006666"/>
          <w:sz w:val="20"/>
          <w:szCs w:val="20"/>
        </w:rPr>
        <w:t xml:space="preserve">and </w:t>
      </w:r>
      <w:r w:rsidR="00A039CA">
        <w:rPr>
          <w:rFonts w:asciiTheme="minorHAnsi" w:hAnsiTheme="minorHAnsi" w:cstheme="minorHAnsi"/>
          <w:color w:val="006666"/>
          <w:sz w:val="20"/>
          <w:szCs w:val="20"/>
        </w:rPr>
        <w:t xml:space="preserve">allows for a pass on mechanism to be effective. </w:t>
      </w:r>
    </w:p>
    <w:p w14:paraId="6B4A6C8A" w14:textId="77777777" w:rsidR="00652D70" w:rsidRDefault="00652D70" w:rsidP="001E4554">
      <w:pPr>
        <w:pStyle w:val="Default"/>
        <w:ind w:right="119"/>
        <w:rPr>
          <w:rFonts w:asciiTheme="minorHAnsi" w:hAnsiTheme="minorHAnsi" w:cstheme="minorHAnsi"/>
          <w:color w:val="CC0099"/>
          <w:sz w:val="20"/>
          <w:szCs w:val="20"/>
        </w:rPr>
      </w:pPr>
    </w:p>
    <w:p w14:paraId="48A8AB8E" w14:textId="3596C19A" w:rsidR="00B2077D" w:rsidRPr="00F524CD" w:rsidRDefault="00B2077D" w:rsidP="00B2077D">
      <w:pPr>
        <w:pStyle w:val="Default"/>
        <w:numPr>
          <w:ilvl w:val="0"/>
          <w:numId w:val="6"/>
        </w:numPr>
        <w:ind w:right="119"/>
        <w:rPr>
          <w:rFonts w:asciiTheme="minorHAnsi" w:hAnsiTheme="minorHAnsi" w:cstheme="minorHAnsi"/>
          <w:color w:val="CC0099"/>
          <w:sz w:val="20"/>
          <w:szCs w:val="20"/>
        </w:rPr>
      </w:pPr>
      <w:r w:rsidRPr="004B74B3">
        <w:rPr>
          <w:rFonts w:asciiTheme="minorHAnsi" w:hAnsiTheme="minorHAnsi" w:cstheme="minorHAnsi"/>
          <w:color w:val="006666"/>
          <w:sz w:val="20"/>
          <w:szCs w:val="20"/>
        </w:rPr>
        <w:t>Remove the requirement to appoint a buy-in agent</w:t>
      </w:r>
    </w:p>
    <w:p w14:paraId="5C1F6737" w14:textId="77777777" w:rsidR="008A7B79" w:rsidRDefault="008A7B79" w:rsidP="00C2751D">
      <w:pPr>
        <w:pStyle w:val="Default"/>
        <w:ind w:right="119"/>
        <w:rPr>
          <w:rFonts w:asciiTheme="minorHAnsi" w:hAnsiTheme="minorHAnsi" w:cstheme="minorHAnsi"/>
          <w:b/>
          <w:bCs/>
          <w:color w:val="CC0099"/>
          <w:sz w:val="20"/>
          <w:szCs w:val="20"/>
        </w:rPr>
      </w:pPr>
    </w:p>
    <w:p w14:paraId="77B8A56C" w14:textId="3C7FC24E" w:rsidR="00F26AE3" w:rsidRPr="00F26AE3" w:rsidRDefault="00F26AE3" w:rsidP="00F26AE3">
      <w:pPr>
        <w:pStyle w:val="Default"/>
        <w:ind w:left="-66" w:right="119"/>
        <w:rPr>
          <w:rFonts w:asciiTheme="minorHAnsi" w:hAnsiTheme="minorHAnsi" w:cstheme="minorHAnsi"/>
          <w:color w:val="006666"/>
          <w:sz w:val="20"/>
          <w:szCs w:val="20"/>
        </w:rPr>
      </w:pPr>
      <w:r>
        <w:rPr>
          <w:rFonts w:asciiTheme="minorHAnsi" w:hAnsiTheme="minorHAnsi" w:cstheme="minorHAnsi"/>
          <w:b/>
          <w:bCs/>
          <w:color w:val="CC0099"/>
          <w:sz w:val="20"/>
          <w:szCs w:val="20"/>
        </w:rPr>
        <w:t>Costs:</w:t>
      </w:r>
      <w:r w:rsidRPr="00F26AE3">
        <w:rPr>
          <w:rFonts w:asciiTheme="minorHAnsi" w:hAnsiTheme="minorHAnsi" w:cstheme="minorHAnsi"/>
          <w:color w:val="006666"/>
          <w:sz w:val="20"/>
          <w:szCs w:val="20"/>
        </w:rPr>
        <w:t xml:space="preserve"> </w:t>
      </w:r>
      <w:r>
        <w:rPr>
          <w:rFonts w:asciiTheme="minorHAnsi" w:hAnsiTheme="minorHAnsi" w:cstheme="minorHAnsi"/>
          <w:color w:val="006666"/>
          <w:sz w:val="20"/>
          <w:szCs w:val="20"/>
        </w:rPr>
        <w:t xml:space="preserve">Having a monopoly with just one available buy-in agent across the market, will </w:t>
      </w:r>
      <w:r w:rsidR="00BC44A1">
        <w:rPr>
          <w:rFonts w:asciiTheme="minorHAnsi" w:hAnsiTheme="minorHAnsi" w:cstheme="minorHAnsi"/>
          <w:color w:val="006666"/>
          <w:sz w:val="20"/>
          <w:szCs w:val="20"/>
        </w:rPr>
        <w:t>cause increased costs to trading parties</w:t>
      </w:r>
      <w:r w:rsidR="00FE6BB9">
        <w:rPr>
          <w:rFonts w:asciiTheme="minorHAnsi" w:hAnsiTheme="minorHAnsi" w:cstheme="minorHAnsi"/>
          <w:color w:val="006666"/>
          <w:sz w:val="20"/>
          <w:szCs w:val="20"/>
        </w:rPr>
        <w:t>,</w:t>
      </w:r>
      <w:r w:rsidR="00BC44A1">
        <w:rPr>
          <w:rFonts w:asciiTheme="minorHAnsi" w:hAnsiTheme="minorHAnsi" w:cstheme="minorHAnsi"/>
          <w:color w:val="006666"/>
          <w:sz w:val="20"/>
          <w:szCs w:val="20"/>
        </w:rPr>
        <w:t xml:space="preserve"> due to the lack </w:t>
      </w:r>
      <w:r w:rsidR="00FE6BB9">
        <w:rPr>
          <w:rFonts w:asciiTheme="minorHAnsi" w:hAnsiTheme="minorHAnsi" w:cstheme="minorHAnsi"/>
          <w:color w:val="006666"/>
          <w:sz w:val="20"/>
          <w:szCs w:val="20"/>
        </w:rPr>
        <w:t>of competitive pricing</w:t>
      </w:r>
      <w:r w:rsidR="00C766DB">
        <w:rPr>
          <w:rFonts w:asciiTheme="minorHAnsi" w:hAnsiTheme="minorHAnsi" w:cstheme="minorHAnsi"/>
          <w:color w:val="006666"/>
          <w:sz w:val="20"/>
          <w:szCs w:val="20"/>
        </w:rPr>
        <w:t xml:space="preserve"> of the service</w:t>
      </w:r>
      <w:r w:rsidR="00FE6BB9">
        <w:rPr>
          <w:rFonts w:asciiTheme="minorHAnsi" w:hAnsiTheme="minorHAnsi" w:cstheme="minorHAnsi"/>
          <w:color w:val="006666"/>
          <w:sz w:val="20"/>
          <w:szCs w:val="20"/>
        </w:rPr>
        <w:t xml:space="preserve">. </w:t>
      </w:r>
      <w:r w:rsidR="00B71E4F">
        <w:rPr>
          <w:rFonts w:asciiTheme="minorHAnsi" w:hAnsiTheme="minorHAnsi" w:cstheme="minorHAnsi"/>
          <w:color w:val="006666"/>
          <w:sz w:val="20"/>
          <w:szCs w:val="20"/>
        </w:rPr>
        <w:t>In addition</w:t>
      </w:r>
      <w:r w:rsidR="009846A4">
        <w:rPr>
          <w:rFonts w:asciiTheme="minorHAnsi" w:hAnsiTheme="minorHAnsi" w:cstheme="minorHAnsi"/>
          <w:color w:val="006666"/>
          <w:sz w:val="20"/>
          <w:szCs w:val="20"/>
        </w:rPr>
        <w:t xml:space="preserve">, CSDR does not only impact European trading parties, </w:t>
      </w:r>
      <w:r w:rsidR="00C766DB">
        <w:rPr>
          <w:rFonts w:asciiTheme="minorHAnsi" w:hAnsiTheme="minorHAnsi" w:cstheme="minorHAnsi"/>
          <w:color w:val="006666"/>
          <w:sz w:val="20"/>
          <w:szCs w:val="20"/>
        </w:rPr>
        <w:t>and touches</w:t>
      </w:r>
      <w:r w:rsidR="009846A4">
        <w:rPr>
          <w:rFonts w:asciiTheme="minorHAnsi" w:hAnsiTheme="minorHAnsi" w:cstheme="minorHAnsi"/>
          <w:color w:val="006666"/>
          <w:sz w:val="20"/>
          <w:szCs w:val="20"/>
        </w:rPr>
        <w:t xml:space="preserve"> any </w:t>
      </w:r>
      <w:r w:rsidR="00256C33">
        <w:rPr>
          <w:rFonts w:asciiTheme="minorHAnsi" w:hAnsiTheme="minorHAnsi" w:cstheme="minorHAnsi"/>
          <w:color w:val="006666"/>
          <w:sz w:val="20"/>
          <w:szCs w:val="20"/>
        </w:rPr>
        <w:t>transactions that settle</w:t>
      </w:r>
      <w:r w:rsidR="00E65AC6">
        <w:rPr>
          <w:rFonts w:asciiTheme="minorHAnsi" w:hAnsiTheme="minorHAnsi" w:cstheme="minorHAnsi"/>
          <w:color w:val="006666"/>
          <w:sz w:val="20"/>
          <w:szCs w:val="20"/>
        </w:rPr>
        <w:t>s</w:t>
      </w:r>
      <w:r w:rsidR="00256C33">
        <w:rPr>
          <w:rFonts w:asciiTheme="minorHAnsi" w:hAnsiTheme="minorHAnsi" w:cstheme="minorHAnsi"/>
          <w:color w:val="006666"/>
          <w:sz w:val="20"/>
          <w:szCs w:val="20"/>
        </w:rPr>
        <w:t xml:space="preserve"> on an EU CSD</w:t>
      </w:r>
      <w:r w:rsidR="00806B07">
        <w:rPr>
          <w:rFonts w:asciiTheme="minorHAnsi" w:hAnsiTheme="minorHAnsi" w:cstheme="minorHAnsi"/>
          <w:color w:val="006666"/>
          <w:sz w:val="20"/>
          <w:szCs w:val="20"/>
        </w:rPr>
        <w:t>, regardless of whether the trading party is European or not</w:t>
      </w:r>
      <w:r w:rsidR="00714902">
        <w:rPr>
          <w:rFonts w:asciiTheme="minorHAnsi" w:hAnsiTheme="minorHAnsi" w:cstheme="minorHAnsi"/>
          <w:color w:val="006666"/>
          <w:sz w:val="20"/>
          <w:szCs w:val="20"/>
        </w:rPr>
        <w:t>, so</w:t>
      </w:r>
      <w:r w:rsidR="00806B07">
        <w:rPr>
          <w:rFonts w:asciiTheme="minorHAnsi" w:hAnsiTheme="minorHAnsi" w:cstheme="minorHAnsi"/>
          <w:color w:val="006666"/>
          <w:sz w:val="20"/>
          <w:szCs w:val="20"/>
        </w:rPr>
        <w:t xml:space="preserve"> this </w:t>
      </w:r>
      <w:r w:rsidR="00B30C34">
        <w:rPr>
          <w:rFonts w:asciiTheme="minorHAnsi" w:hAnsiTheme="minorHAnsi" w:cstheme="minorHAnsi"/>
          <w:color w:val="006666"/>
          <w:sz w:val="20"/>
          <w:szCs w:val="20"/>
        </w:rPr>
        <w:t>may give rise to</w:t>
      </w:r>
      <w:r w:rsidR="00806B07">
        <w:rPr>
          <w:rFonts w:asciiTheme="minorHAnsi" w:hAnsiTheme="minorHAnsi" w:cstheme="minorHAnsi"/>
          <w:color w:val="006666"/>
          <w:sz w:val="20"/>
          <w:szCs w:val="20"/>
        </w:rPr>
        <w:t xml:space="preserve"> cross border </w:t>
      </w:r>
      <w:r w:rsidR="00B30C34">
        <w:rPr>
          <w:rFonts w:asciiTheme="minorHAnsi" w:hAnsiTheme="minorHAnsi" w:cstheme="minorHAnsi"/>
          <w:color w:val="006666"/>
          <w:sz w:val="20"/>
          <w:szCs w:val="20"/>
        </w:rPr>
        <w:t xml:space="preserve">licensing </w:t>
      </w:r>
      <w:r w:rsidR="00806B07">
        <w:rPr>
          <w:rFonts w:asciiTheme="minorHAnsi" w:hAnsiTheme="minorHAnsi" w:cstheme="minorHAnsi"/>
          <w:color w:val="006666"/>
          <w:sz w:val="20"/>
          <w:szCs w:val="20"/>
        </w:rPr>
        <w:t xml:space="preserve">issues </w:t>
      </w:r>
      <w:r w:rsidR="00FF2BA8">
        <w:rPr>
          <w:rFonts w:asciiTheme="minorHAnsi" w:hAnsiTheme="minorHAnsi" w:cstheme="minorHAnsi"/>
          <w:color w:val="006666"/>
          <w:sz w:val="20"/>
          <w:szCs w:val="20"/>
        </w:rPr>
        <w:t>(i.e.,</w:t>
      </w:r>
      <w:r w:rsidR="00B30C34">
        <w:rPr>
          <w:rFonts w:asciiTheme="minorHAnsi" w:hAnsiTheme="minorHAnsi" w:cstheme="minorHAnsi"/>
          <w:color w:val="006666"/>
          <w:sz w:val="20"/>
          <w:szCs w:val="20"/>
        </w:rPr>
        <w:t xml:space="preserve"> inability and/or reluctance of the sole buy-in </w:t>
      </w:r>
      <w:r w:rsidR="00FF2BA8">
        <w:rPr>
          <w:rFonts w:asciiTheme="minorHAnsi" w:hAnsiTheme="minorHAnsi" w:cstheme="minorHAnsi"/>
          <w:color w:val="006666"/>
          <w:sz w:val="20"/>
          <w:szCs w:val="20"/>
        </w:rPr>
        <w:t>in agent to provide its services to entities established outside of the EU)</w:t>
      </w:r>
      <w:r w:rsidR="00FD31C0">
        <w:rPr>
          <w:rFonts w:asciiTheme="minorHAnsi" w:hAnsiTheme="minorHAnsi" w:cstheme="minorHAnsi"/>
          <w:color w:val="006666"/>
          <w:sz w:val="20"/>
          <w:szCs w:val="20"/>
        </w:rPr>
        <w:t xml:space="preserve"> as well as capacity constraints to cater for all market participants. </w:t>
      </w:r>
    </w:p>
    <w:p w14:paraId="4695EA5F" w14:textId="77777777" w:rsidR="00F26AE3" w:rsidRDefault="00F26AE3" w:rsidP="00E73897">
      <w:pPr>
        <w:pStyle w:val="Default"/>
        <w:ind w:left="-66" w:right="119"/>
        <w:rPr>
          <w:rFonts w:asciiTheme="minorHAnsi" w:hAnsiTheme="minorHAnsi" w:cstheme="minorHAnsi"/>
          <w:b/>
          <w:bCs/>
          <w:color w:val="CC0099"/>
          <w:sz w:val="20"/>
          <w:szCs w:val="20"/>
        </w:rPr>
      </w:pPr>
    </w:p>
    <w:p w14:paraId="6E14B89E" w14:textId="602E7091" w:rsidR="00E73897" w:rsidRPr="006D76DA" w:rsidRDefault="00E73897" w:rsidP="00E73897">
      <w:pPr>
        <w:pStyle w:val="Default"/>
        <w:ind w:left="-66" w:right="119"/>
        <w:rPr>
          <w:rFonts w:asciiTheme="minorHAnsi" w:hAnsiTheme="minorHAnsi" w:cstheme="minorHAnsi"/>
          <w:color w:val="006666"/>
          <w:sz w:val="20"/>
          <w:szCs w:val="20"/>
        </w:rPr>
      </w:pPr>
      <w:r w:rsidRPr="00F90B0C">
        <w:rPr>
          <w:rFonts w:asciiTheme="minorHAnsi" w:hAnsiTheme="minorHAnsi" w:cstheme="minorHAnsi"/>
          <w:b/>
          <w:bCs/>
          <w:color w:val="CC0099"/>
          <w:sz w:val="20"/>
          <w:szCs w:val="20"/>
        </w:rPr>
        <w:t>Benefits:</w:t>
      </w:r>
      <w:r w:rsidR="005B17A9">
        <w:rPr>
          <w:rFonts w:asciiTheme="minorHAnsi" w:hAnsiTheme="minorHAnsi" w:cstheme="minorHAnsi"/>
          <w:b/>
          <w:bCs/>
          <w:color w:val="CC0099"/>
          <w:sz w:val="20"/>
          <w:szCs w:val="20"/>
        </w:rPr>
        <w:t xml:space="preserve"> </w:t>
      </w:r>
      <w:r w:rsidR="006D76DA" w:rsidRPr="006D76DA">
        <w:rPr>
          <w:rFonts w:asciiTheme="minorHAnsi" w:hAnsiTheme="minorHAnsi" w:cstheme="minorHAnsi"/>
          <w:color w:val="006666"/>
          <w:sz w:val="20"/>
          <w:szCs w:val="20"/>
        </w:rPr>
        <w:t>Allowing</w:t>
      </w:r>
      <w:r w:rsidR="005B17A9" w:rsidRPr="006D76DA">
        <w:rPr>
          <w:rFonts w:asciiTheme="minorHAnsi" w:hAnsiTheme="minorHAnsi" w:cstheme="minorHAnsi"/>
          <w:color w:val="006666"/>
          <w:sz w:val="20"/>
          <w:szCs w:val="20"/>
        </w:rPr>
        <w:t xml:space="preserve"> trading part</w:t>
      </w:r>
      <w:r w:rsidR="00C746F6">
        <w:rPr>
          <w:rFonts w:asciiTheme="minorHAnsi" w:hAnsiTheme="minorHAnsi" w:cstheme="minorHAnsi"/>
          <w:color w:val="006666"/>
          <w:sz w:val="20"/>
          <w:szCs w:val="20"/>
        </w:rPr>
        <w:t>ies</w:t>
      </w:r>
      <w:r w:rsidR="005B17A9" w:rsidRPr="006D76DA">
        <w:rPr>
          <w:rFonts w:asciiTheme="minorHAnsi" w:hAnsiTheme="minorHAnsi" w:cstheme="minorHAnsi"/>
          <w:color w:val="006666"/>
          <w:sz w:val="20"/>
          <w:szCs w:val="20"/>
        </w:rPr>
        <w:t xml:space="preserve"> to execute </w:t>
      </w:r>
      <w:r w:rsidR="00C746F6">
        <w:rPr>
          <w:rFonts w:asciiTheme="minorHAnsi" w:hAnsiTheme="minorHAnsi" w:cstheme="minorHAnsi"/>
          <w:color w:val="006666"/>
          <w:sz w:val="20"/>
          <w:szCs w:val="20"/>
        </w:rPr>
        <w:t xml:space="preserve">their own </w:t>
      </w:r>
      <w:r w:rsidR="005B17A9" w:rsidRPr="006D76DA">
        <w:rPr>
          <w:rFonts w:asciiTheme="minorHAnsi" w:hAnsiTheme="minorHAnsi" w:cstheme="minorHAnsi"/>
          <w:color w:val="006666"/>
          <w:sz w:val="20"/>
          <w:szCs w:val="20"/>
        </w:rPr>
        <w:t>buy-ins</w:t>
      </w:r>
      <w:r w:rsidR="004D07A1">
        <w:rPr>
          <w:rFonts w:asciiTheme="minorHAnsi" w:hAnsiTheme="minorHAnsi" w:cstheme="minorHAnsi"/>
          <w:color w:val="006666"/>
          <w:sz w:val="20"/>
          <w:szCs w:val="20"/>
        </w:rPr>
        <w:t xml:space="preserve"> based on their </w:t>
      </w:r>
      <w:r w:rsidR="00A70A5D">
        <w:rPr>
          <w:rFonts w:asciiTheme="minorHAnsi" w:hAnsiTheme="minorHAnsi" w:cstheme="minorHAnsi"/>
          <w:color w:val="006666"/>
          <w:sz w:val="20"/>
          <w:szCs w:val="20"/>
        </w:rPr>
        <w:t>underlying contractual</w:t>
      </w:r>
      <w:r w:rsidR="004D07A1">
        <w:rPr>
          <w:rFonts w:asciiTheme="minorHAnsi" w:hAnsiTheme="minorHAnsi" w:cstheme="minorHAnsi"/>
          <w:color w:val="006666"/>
          <w:sz w:val="20"/>
          <w:szCs w:val="20"/>
        </w:rPr>
        <w:t xml:space="preserve"> requirements</w:t>
      </w:r>
      <w:r w:rsidR="009F1B47">
        <w:rPr>
          <w:rFonts w:asciiTheme="minorHAnsi" w:hAnsiTheme="minorHAnsi" w:cstheme="minorHAnsi"/>
          <w:color w:val="006666"/>
          <w:sz w:val="20"/>
          <w:szCs w:val="20"/>
        </w:rPr>
        <w:t xml:space="preserve">, </w:t>
      </w:r>
      <w:r w:rsidR="004D07A1">
        <w:rPr>
          <w:rFonts w:asciiTheme="minorHAnsi" w:hAnsiTheme="minorHAnsi" w:cstheme="minorHAnsi"/>
          <w:color w:val="006666"/>
          <w:sz w:val="20"/>
          <w:szCs w:val="20"/>
        </w:rPr>
        <w:t xml:space="preserve">will allow </w:t>
      </w:r>
      <w:r w:rsidR="0079350F">
        <w:rPr>
          <w:rFonts w:asciiTheme="minorHAnsi" w:hAnsiTheme="minorHAnsi" w:cstheme="minorHAnsi"/>
          <w:color w:val="006666"/>
          <w:sz w:val="20"/>
          <w:szCs w:val="20"/>
        </w:rPr>
        <w:t>flexibility to act in the best economic interest of</w:t>
      </w:r>
      <w:r w:rsidR="00260F4A">
        <w:rPr>
          <w:rFonts w:asciiTheme="minorHAnsi" w:hAnsiTheme="minorHAnsi" w:cstheme="minorHAnsi"/>
          <w:color w:val="006666"/>
          <w:sz w:val="20"/>
          <w:szCs w:val="20"/>
        </w:rPr>
        <w:t xml:space="preserve"> the</w:t>
      </w:r>
      <w:r w:rsidR="0079350F">
        <w:rPr>
          <w:rFonts w:asciiTheme="minorHAnsi" w:hAnsiTheme="minorHAnsi" w:cstheme="minorHAnsi"/>
          <w:color w:val="006666"/>
          <w:sz w:val="20"/>
          <w:szCs w:val="20"/>
        </w:rPr>
        <w:t xml:space="preserve"> </w:t>
      </w:r>
      <w:r w:rsidR="00E02197">
        <w:rPr>
          <w:rFonts w:asciiTheme="minorHAnsi" w:hAnsiTheme="minorHAnsi" w:cstheme="minorHAnsi"/>
          <w:color w:val="006666"/>
          <w:sz w:val="20"/>
          <w:szCs w:val="20"/>
        </w:rPr>
        <w:t>non-receiving</w:t>
      </w:r>
      <w:r w:rsidR="0079350F">
        <w:rPr>
          <w:rFonts w:asciiTheme="minorHAnsi" w:hAnsiTheme="minorHAnsi" w:cstheme="minorHAnsi"/>
          <w:color w:val="006666"/>
          <w:sz w:val="20"/>
          <w:szCs w:val="20"/>
        </w:rPr>
        <w:t xml:space="preserve"> party</w:t>
      </w:r>
      <w:r w:rsidR="00A70A5D">
        <w:rPr>
          <w:rFonts w:asciiTheme="minorHAnsi" w:hAnsiTheme="minorHAnsi" w:cstheme="minorHAnsi"/>
          <w:color w:val="006666"/>
          <w:sz w:val="20"/>
          <w:szCs w:val="20"/>
        </w:rPr>
        <w:t xml:space="preserve"> and catered </w:t>
      </w:r>
      <w:r w:rsidR="00317178">
        <w:rPr>
          <w:rFonts w:asciiTheme="minorHAnsi" w:hAnsiTheme="minorHAnsi" w:cstheme="minorHAnsi"/>
          <w:color w:val="006666"/>
          <w:sz w:val="20"/>
          <w:szCs w:val="20"/>
        </w:rPr>
        <w:t>to</w:t>
      </w:r>
      <w:r w:rsidR="00A70A5D">
        <w:rPr>
          <w:rFonts w:asciiTheme="minorHAnsi" w:hAnsiTheme="minorHAnsi" w:cstheme="minorHAnsi"/>
          <w:color w:val="006666"/>
          <w:sz w:val="20"/>
          <w:szCs w:val="20"/>
        </w:rPr>
        <w:t xml:space="preserve"> relevant instrument types</w:t>
      </w:r>
      <w:r w:rsidR="008F1EB5">
        <w:rPr>
          <w:rFonts w:asciiTheme="minorHAnsi" w:hAnsiTheme="minorHAnsi" w:cstheme="minorHAnsi"/>
          <w:color w:val="006666"/>
          <w:sz w:val="20"/>
          <w:szCs w:val="20"/>
        </w:rPr>
        <w:t>, and avoid over reliance and concentration of operational risk on a single market infrastructure entity</w:t>
      </w:r>
      <w:r w:rsidR="0079350F">
        <w:rPr>
          <w:rFonts w:asciiTheme="minorHAnsi" w:hAnsiTheme="minorHAnsi" w:cstheme="minorHAnsi"/>
          <w:color w:val="006666"/>
          <w:sz w:val="20"/>
          <w:szCs w:val="20"/>
        </w:rPr>
        <w:t xml:space="preserve">. </w:t>
      </w:r>
      <w:r w:rsidR="00BF7DEE">
        <w:rPr>
          <w:rFonts w:asciiTheme="minorHAnsi" w:hAnsiTheme="minorHAnsi" w:cstheme="minorHAnsi"/>
          <w:color w:val="006666"/>
          <w:sz w:val="20"/>
          <w:szCs w:val="20"/>
        </w:rPr>
        <w:t>It also removes issues of cross border usage</w:t>
      </w:r>
      <w:r w:rsidR="00E61A3D">
        <w:rPr>
          <w:rFonts w:asciiTheme="minorHAnsi" w:hAnsiTheme="minorHAnsi" w:cstheme="minorHAnsi"/>
          <w:color w:val="006666"/>
          <w:sz w:val="20"/>
          <w:szCs w:val="20"/>
        </w:rPr>
        <w:t xml:space="preserve"> between EU and Non- EU participants. </w:t>
      </w:r>
      <w:r w:rsidR="00F26AE3">
        <w:rPr>
          <w:rFonts w:asciiTheme="minorHAnsi" w:hAnsiTheme="minorHAnsi" w:cstheme="minorHAnsi"/>
          <w:color w:val="006666"/>
          <w:sz w:val="20"/>
          <w:szCs w:val="20"/>
        </w:rPr>
        <w:t xml:space="preserve"> </w:t>
      </w:r>
      <w:r w:rsidR="00260F4A">
        <w:rPr>
          <w:rFonts w:asciiTheme="minorHAnsi" w:hAnsiTheme="minorHAnsi" w:cstheme="minorHAnsi"/>
          <w:color w:val="006666"/>
          <w:sz w:val="20"/>
          <w:szCs w:val="20"/>
        </w:rPr>
        <w:t xml:space="preserve"> </w:t>
      </w:r>
    </w:p>
    <w:p w14:paraId="15F37848" w14:textId="77777777" w:rsidR="00B2077D" w:rsidRPr="00652D70" w:rsidRDefault="00B2077D" w:rsidP="00652D70">
      <w:pPr>
        <w:pStyle w:val="Default"/>
        <w:ind w:left="-66" w:right="119"/>
        <w:rPr>
          <w:rFonts w:asciiTheme="minorHAnsi" w:hAnsiTheme="minorHAnsi" w:cstheme="minorHAnsi"/>
          <w:color w:val="CC0099"/>
          <w:sz w:val="20"/>
          <w:szCs w:val="20"/>
        </w:rPr>
      </w:pPr>
    </w:p>
    <w:p w14:paraId="7E6F8FA3" w14:textId="1CBE8CBA" w:rsidR="00B77BE6" w:rsidRDefault="00B77BE6">
      <w:pPr>
        <w:rPr>
          <w:rFonts w:cstheme="minorHAnsi"/>
          <w:color w:val="000000"/>
          <w:sz w:val="20"/>
          <w:szCs w:val="20"/>
        </w:rPr>
      </w:pPr>
    </w:p>
    <w:sectPr w:rsidR="00B77BE6" w:rsidSect="008122DF">
      <w:headerReference w:type="default" r:id="rId37"/>
      <w:footerReference w:type="default" r:id="rId38"/>
      <w:pgSz w:w="11906" w:h="16838"/>
      <w:pgMar w:top="1701" w:right="1133" w:bottom="709" w:left="1440"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AB9D22" w14:textId="77777777" w:rsidR="00764276" w:rsidRDefault="00764276" w:rsidP="00270848">
      <w:pPr>
        <w:spacing w:after="0" w:line="240" w:lineRule="auto"/>
      </w:pPr>
      <w:r>
        <w:separator/>
      </w:r>
    </w:p>
  </w:endnote>
  <w:endnote w:type="continuationSeparator" w:id="0">
    <w:p w14:paraId="6EAD5BA1" w14:textId="77777777" w:rsidR="00764276" w:rsidRDefault="00764276" w:rsidP="00270848">
      <w:pPr>
        <w:spacing w:after="0" w:line="240" w:lineRule="auto"/>
      </w:pPr>
      <w:r>
        <w:continuationSeparator/>
      </w:r>
    </w:p>
  </w:endnote>
  <w:endnote w:type="continuationNotice" w:id="1">
    <w:p w14:paraId="41E048C6" w14:textId="77777777" w:rsidR="00764276" w:rsidRDefault="007642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FreeSans">
    <w:altName w:val="Calibri"/>
    <w:panose1 w:val="00000000000000000000"/>
    <w:charset w:val="00"/>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6653571"/>
      <w:docPartObj>
        <w:docPartGallery w:val="Page Numbers (Bottom of Page)"/>
        <w:docPartUnique/>
      </w:docPartObj>
    </w:sdtPr>
    <w:sdtEndPr>
      <w:rPr>
        <w:b/>
        <w:bCs/>
        <w:noProof/>
        <w:color w:val="006666"/>
      </w:rPr>
    </w:sdtEndPr>
    <w:sdtContent>
      <w:p w14:paraId="30E8985A" w14:textId="5EA7E4FB" w:rsidR="00C82809" w:rsidRPr="00C82809" w:rsidRDefault="00C82809" w:rsidP="00C82809">
        <w:pPr>
          <w:pStyle w:val="Footer"/>
          <w:ind w:right="-732"/>
          <w:jc w:val="right"/>
          <w:rPr>
            <w:b/>
            <w:bCs/>
            <w:color w:val="006666"/>
          </w:rPr>
        </w:pPr>
        <w:r w:rsidRPr="00C82809">
          <w:rPr>
            <w:b/>
            <w:bCs/>
            <w:color w:val="006666"/>
          </w:rPr>
          <w:fldChar w:fldCharType="begin"/>
        </w:r>
        <w:r w:rsidRPr="00C82809">
          <w:rPr>
            <w:b/>
            <w:bCs/>
            <w:color w:val="006666"/>
          </w:rPr>
          <w:instrText xml:space="preserve"> PAGE   \* MERGEFORMAT </w:instrText>
        </w:r>
        <w:r w:rsidRPr="00C82809">
          <w:rPr>
            <w:b/>
            <w:bCs/>
            <w:color w:val="006666"/>
          </w:rPr>
          <w:fldChar w:fldCharType="separate"/>
        </w:r>
        <w:r w:rsidRPr="00C82809">
          <w:rPr>
            <w:b/>
            <w:bCs/>
            <w:noProof/>
            <w:color w:val="006666"/>
          </w:rPr>
          <w:t>2</w:t>
        </w:r>
        <w:r w:rsidRPr="00C82809">
          <w:rPr>
            <w:b/>
            <w:bCs/>
            <w:noProof/>
            <w:color w:val="006666"/>
          </w:rPr>
          <w:fldChar w:fldCharType="end"/>
        </w:r>
      </w:p>
    </w:sdtContent>
  </w:sdt>
  <w:p w14:paraId="7AC49577" w14:textId="77777777" w:rsidR="00C82809" w:rsidRDefault="00C82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2097F4" w14:textId="77777777" w:rsidR="00764276" w:rsidRDefault="00764276" w:rsidP="00270848">
      <w:pPr>
        <w:spacing w:after="0" w:line="240" w:lineRule="auto"/>
      </w:pPr>
      <w:r>
        <w:separator/>
      </w:r>
    </w:p>
  </w:footnote>
  <w:footnote w:type="continuationSeparator" w:id="0">
    <w:p w14:paraId="7178D602" w14:textId="77777777" w:rsidR="00764276" w:rsidRDefault="00764276" w:rsidP="00270848">
      <w:pPr>
        <w:spacing w:after="0" w:line="240" w:lineRule="auto"/>
      </w:pPr>
      <w:r>
        <w:continuationSeparator/>
      </w:r>
    </w:p>
  </w:footnote>
  <w:footnote w:type="continuationNotice" w:id="1">
    <w:p w14:paraId="5F5667C7" w14:textId="77777777" w:rsidR="00764276" w:rsidRDefault="007642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B23F7" w14:textId="04D5715A" w:rsidR="00BE5244" w:rsidRDefault="005E07A3">
    <w:pPr>
      <w:pStyle w:val="Header"/>
    </w:pPr>
    <w:r>
      <w:rPr>
        <w:noProof/>
      </w:rPr>
      <mc:AlternateContent>
        <mc:Choice Requires="wps">
          <w:drawing>
            <wp:anchor distT="0" distB="0" distL="114300" distR="114300" simplePos="0" relativeHeight="251658240" behindDoc="0" locked="0" layoutInCell="1" allowOverlap="1" wp14:anchorId="3A436FA9" wp14:editId="75EB2AB9">
              <wp:simplePos x="0" y="0"/>
              <wp:positionH relativeFrom="column">
                <wp:posOffset>-905774</wp:posOffset>
              </wp:positionH>
              <wp:positionV relativeFrom="paragraph">
                <wp:posOffset>-440954</wp:posOffset>
              </wp:positionV>
              <wp:extent cx="7591246" cy="853440"/>
              <wp:effectExtent l="0" t="0" r="0" b="3810"/>
              <wp:wrapNone/>
              <wp:docPr id="1" name="Rectangle 1"/>
              <wp:cNvGraphicFramePr/>
              <a:graphic xmlns:a="http://schemas.openxmlformats.org/drawingml/2006/main">
                <a:graphicData uri="http://schemas.microsoft.com/office/word/2010/wordprocessingShape">
                  <wps:wsp>
                    <wps:cNvSpPr/>
                    <wps:spPr>
                      <a:xfrm>
                        <a:off x="0" y="0"/>
                        <a:ext cx="7591246" cy="853440"/>
                      </a:xfrm>
                      <a:prstGeom prst="rect">
                        <a:avLst/>
                      </a:prstGeom>
                      <a:solidFill>
                        <a:srgbClr val="009999"/>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C5A68D" id="Rectangle 1" o:spid="_x0000_s1026" style="position:absolute;margin-left:-71.3pt;margin-top:-34.7pt;width:597.75pt;height:6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" fillcolor="#099" stroked="f" strokeweight="1pt"/>
          </w:pict>
        </mc:Fallback>
      </mc:AlternateContent>
    </w:r>
    <w:r>
      <w:rPr>
        <w:noProof/>
      </w:rPr>
      <mc:AlternateContent>
        <mc:Choice Requires="wps">
          <w:drawing>
            <wp:anchor distT="45720" distB="45720" distL="114300" distR="114300" simplePos="0" relativeHeight="251658242" behindDoc="0" locked="0" layoutInCell="1" allowOverlap="1" wp14:anchorId="7EDCC74B" wp14:editId="7A0C20AF">
              <wp:simplePos x="0" y="0"/>
              <wp:positionH relativeFrom="column">
                <wp:posOffset>3718081</wp:posOffset>
              </wp:positionH>
              <wp:positionV relativeFrom="paragraph">
                <wp:posOffset>-155622</wp:posOffset>
              </wp:positionV>
              <wp:extent cx="3683000" cy="1404620"/>
              <wp:effectExtent l="0" t="0" r="0" b="63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0" cy="1404620"/>
                      </a:xfrm>
                      <a:prstGeom prst="rect">
                        <a:avLst/>
                      </a:prstGeom>
                      <a:noFill/>
                      <a:ln w="9525">
                        <a:noFill/>
                        <a:miter lim="800000"/>
                        <a:headEnd/>
                        <a:tailEnd/>
                      </a:ln>
                    </wps:spPr>
                    <wps:txbx>
                      <w:txbxContent>
                        <w:p w14:paraId="48895493" w14:textId="2E0C7E5D" w:rsidR="005E07A3" w:rsidRDefault="005E07A3" w:rsidP="005E07A3">
                          <w:pPr>
                            <w:rPr>
                              <w:rFonts w:cstheme="minorHAnsi"/>
                              <w:color w:val="FFFFFF" w:themeColor="background1"/>
                              <w:sz w:val="24"/>
                              <w:szCs w:val="24"/>
                            </w:rPr>
                          </w:pPr>
                        </w:p>
                        <w:p w14:paraId="686DDD0F" w14:textId="77777777" w:rsidR="0041070A" w:rsidRPr="005E07A3" w:rsidRDefault="0041070A" w:rsidP="005E07A3">
                          <w:pPr>
                            <w:rPr>
                              <w:rFonts w:cstheme="minorHAnsi"/>
                              <w:color w:val="FFFFFF" w:themeColor="background1"/>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EDCC74B" id="_x0000_t202" coordsize="21600,21600" o:spt="202" path="m,l,21600r21600,l21600,xe">
              <v:stroke joinstyle="miter"/>
              <v:path gradientshapeok="t" o:connecttype="rect"/>
            </v:shapetype>
            <v:shape id="Text Box 2" o:spid="_x0000_s1026" type="#_x0000_t202" style="position:absolute;margin-left:292.75pt;margin-top:-12.25pt;width:290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" filled="f" stroked="f">
              <v:textbox style="mso-fit-shape-to-text:t">
                <w:txbxContent>
                  <w:p w14:paraId="48895493" w14:textId="2E0C7E5D" w:rsidR="005E07A3" w:rsidRDefault="005E07A3" w:rsidP="005E07A3">
                    <w:pPr>
                      <w:rPr>
                        <w:rFonts w:cstheme="minorHAnsi"/>
                        <w:color w:val="FFFFFF" w:themeColor="background1"/>
                        <w:sz w:val="24"/>
                        <w:szCs w:val="24"/>
                      </w:rPr>
                    </w:pPr>
                  </w:p>
                  <w:p w14:paraId="686DDD0F" w14:textId="77777777" w:rsidR="0041070A" w:rsidRPr="005E07A3" w:rsidRDefault="0041070A" w:rsidP="005E07A3">
                    <w:pPr>
                      <w:rPr>
                        <w:rFonts w:cstheme="minorHAnsi"/>
                        <w:color w:val="FFFFFF" w:themeColor="background1"/>
                        <w:sz w:val="24"/>
                        <w:szCs w:val="24"/>
                      </w:rPr>
                    </w:pPr>
                  </w:p>
                </w:txbxContent>
              </v:textbox>
              <w10:wrap type="square"/>
            </v:shape>
          </w:pict>
        </mc:Fallback>
      </mc:AlternateContent>
    </w:r>
    <w:r w:rsidR="00214244">
      <w:rPr>
        <w:noProof/>
      </w:rPr>
      <w:drawing>
        <wp:anchor distT="0" distB="0" distL="114300" distR="114300" simplePos="0" relativeHeight="251658241" behindDoc="0" locked="0" layoutInCell="1" allowOverlap="1" wp14:anchorId="3180F6AF" wp14:editId="2B58DF2E">
          <wp:simplePos x="0" y="0"/>
          <wp:positionH relativeFrom="column">
            <wp:posOffset>-586333</wp:posOffset>
          </wp:positionH>
          <wp:positionV relativeFrom="paragraph">
            <wp:posOffset>-259536</wp:posOffset>
          </wp:positionV>
          <wp:extent cx="1387764" cy="457200"/>
          <wp:effectExtent l="0" t="0" r="3175" b="0"/>
          <wp:wrapNone/>
          <wp:docPr id="4" name="Picture 4" descr="D:\BreakTheGrid_Elliot\ISLA minutes\1957_19_March ISLA minutes design Folder\1957_19_March ISLA minutes design Folder\Links\logo-no-strap-rever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reakTheGrid_Elliot\ISLA minutes\1957_19_March ISLA minutes design Folder\1957_19_March ISLA minutes design Folder\Links\logo-no-strap-revers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764" cy="45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99E9F6" w14:textId="77777777" w:rsidR="003D5135" w:rsidRDefault="003D51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F2826"/>
    <w:multiLevelType w:val="multilevel"/>
    <w:tmpl w:val="FEFCC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682333"/>
    <w:multiLevelType w:val="hybridMultilevel"/>
    <w:tmpl w:val="201C284C"/>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2" w15:restartNumberingAfterBreak="0">
    <w:nsid w:val="15BF66D5"/>
    <w:multiLevelType w:val="hybridMultilevel"/>
    <w:tmpl w:val="0E7E4C52"/>
    <w:lvl w:ilvl="0" w:tplc="3782F258">
      <w:start w:val="1"/>
      <w:numFmt w:val="bullet"/>
      <w:lvlText w:val=""/>
      <w:lvlJc w:val="left"/>
      <w:pPr>
        <w:ind w:left="295" w:hanging="360"/>
      </w:pPr>
      <w:rPr>
        <w:rFonts w:ascii="Symbol" w:hAnsi="Symbol" w:hint="default"/>
        <w:color w:val="006666"/>
      </w:rPr>
    </w:lvl>
    <w:lvl w:ilvl="1" w:tplc="08090003" w:tentative="1">
      <w:start w:val="1"/>
      <w:numFmt w:val="bullet"/>
      <w:lvlText w:val="o"/>
      <w:lvlJc w:val="left"/>
      <w:pPr>
        <w:ind w:left="1015" w:hanging="360"/>
      </w:pPr>
      <w:rPr>
        <w:rFonts w:ascii="Courier New" w:hAnsi="Courier New" w:cs="Courier New" w:hint="default"/>
      </w:rPr>
    </w:lvl>
    <w:lvl w:ilvl="2" w:tplc="08090005" w:tentative="1">
      <w:start w:val="1"/>
      <w:numFmt w:val="bullet"/>
      <w:lvlText w:val=""/>
      <w:lvlJc w:val="left"/>
      <w:pPr>
        <w:ind w:left="1735" w:hanging="360"/>
      </w:pPr>
      <w:rPr>
        <w:rFonts w:ascii="Wingdings" w:hAnsi="Wingdings" w:hint="default"/>
      </w:rPr>
    </w:lvl>
    <w:lvl w:ilvl="3" w:tplc="08090001" w:tentative="1">
      <w:start w:val="1"/>
      <w:numFmt w:val="bullet"/>
      <w:lvlText w:val=""/>
      <w:lvlJc w:val="left"/>
      <w:pPr>
        <w:ind w:left="2455" w:hanging="360"/>
      </w:pPr>
      <w:rPr>
        <w:rFonts w:ascii="Symbol" w:hAnsi="Symbol" w:hint="default"/>
      </w:rPr>
    </w:lvl>
    <w:lvl w:ilvl="4" w:tplc="08090003" w:tentative="1">
      <w:start w:val="1"/>
      <w:numFmt w:val="bullet"/>
      <w:lvlText w:val="o"/>
      <w:lvlJc w:val="left"/>
      <w:pPr>
        <w:ind w:left="3175" w:hanging="360"/>
      </w:pPr>
      <w:rPr>
        <w:rFonts w:ascii="Courier New" w:hAnsi="Courier New" w:cs="Courier New" w:hint="default"/>
      </w:rPr>
    </w:lvl>
    <w:lvl w:ilvl="5" w:tplc="08090005" w:tentative="1">
      <w:start w:val="1"/>
      <w:numFmt w:val="bullet"/>
      <w:lvlText w:val=""/>
      <w:lvlJc w:val="left"/>
      <w:pPr>
        <w:ind w:left="3895" w:hanging="360"/>
      </w:pPr>
      <w:rPr>
        <w:rFonts w:ascii="Wingdings" w:hAnsi="Wingdings" w:hint="default"/>
      </w:rPr>
    </w:lvl>
    <w:lvl w:ilvl="6" w:tplc="08090001" w:tentative="1">
      <w:start w:val="1"/>
      <w:numFmt w:val="bullet"/>
      <w:lvlText w:val=""/>
      <w:lvlJc w:val="left"/>
      <w:pPr>
        <w:ind w:left="4615" w:hanging="360"/>
      </w:pPr>
      <w:rPr>
        <w:rFonts w:ascii="Symbol" w:hAnsi="Symbol" w:hint="default"/>
      </w:rPr>
    </w:lvl>
    <w:lvl w:ilvl="7" w:tplc="08090003" w:tentative="1">
      <w:start w:val="1"/>
      <w:numFmt w:val="bullet"/>
      <w:lvlText w:val="o"/>
      <w:lvlJc w:val="left"/>
      <w:pPr>
        <w:ind w:left="5335" w:hanging="360"/>
      </w:pPr>
      <w:rPr>
        <w:rFonts w:ascii="Courier New" w:hAnsi="Courier New" w:cs="Courier New" w:hint="default"/>
      </w:rPr>
    </w:lvl>
    <w:lvl w:ilvl="8" w:tplc="08090005" w:tentative="1">
      <w:start w:val="1"/>
      <w:numFmt w:val="bullet"/>
      <w:lvlText w:val=""/>
      <w:lvlJc w:val="left"/>
      <w:pPr>
        <w:ind w:left="6055" w:hanging="360"/>
      </w:pPr>
      <w:rPr>
        <w:rFonts w:ascii="Wingdings" w:hAnsi="Wingdings" w:hint="default"/>
      </w:rPr>
    </w:lvl>
  </w:abstractNum>
  <w:abstractNum w:abstractNumId="3" w15:restartNumberingAfterBreak="0">
    <w:nsid w:val="29E440BC"/>
    <w:multiLevelType w:val="hybridMultilevel"/>
    <w:tmpl w:val="4B962CE8"/>
    <w:lvl w:ilvl="0" w:tplc="3F5877E2">
      <w:start w:val="1"/>
      <w:numFmt w:val="bullet"/>
      <w:lvlText w:val="-"/>
      <w:lvlJc w:val="left"/>
      <w:pPr>
        <w:ind w:left="139"/>
      </w:pPr>
      <w:rPr>
        <w:rFonts w:ascii="Times New Roman" w:eastAsia="Times New Roman" w:hAnsi="Times New Roman"/>
        <w:b w:val="0"/>
        <w:i w:val="0"/>
        <w:strike w:val="0"/>
        <w:dstrike w:val="0"/>
        <w:color w:val="000000"/>
        <w:sz w:val="24"/>
        <w:u w:val="none" w:color="000000"/>
        <w:vertAlign w:val="baseline"/>
      </w:rPr>
    </w:lvl>
    <w:lvl w:ilvl="1" w:tplc="B7E0966A">
      <w:start w:val="1"/>
      <w:numFmt w:val="bullet"/>
      <w:lvlText w:val="o"/>
      <w:lvlJc w:val="left"/>
      <w:pPr>
        <w:ind w:left="1080"/>
      </w:pPr>
      <w:rPr>
        <w:rFonts w:ascii="Times New Roman" w:eastAsia="Times New Roman" w:hAnsi="Times New Roman"/>
        <w:b w:val="0"/>
        <w:i w:val="0"/>
        <w:strike w:val="0"/>
        <w:dstrike w:val="0"/>
        <w:color w:val="000000"/>
        <w:sz w:val="24"/>
        <w:u w:val="none" w:color="000000"/>
        <w:vertAlign w:val="baseline"/>
      </w:rPr>
    </w:lvl>
    <w:lvl w:ilvl="2" w:tplc="06F2E0F0">
      <w:start w:val="1"/>
      <w:numFmt w:val="bullet"/>
      <w:lvlText w:val="▪"/>
      <w:lvlJc w:val="left"/>
      <w:pPr>
        <w:ind w:left="1800"/>
      </w:pPr>
      <w:rPr>
        <w:rFonts w:ascii="Times New Roman" w:eastAsia="Times New Roman" w:hAnsi="Times New Roman"/>
        <w:b w:val="0"/>
        <w:i w:val="0"/>
        <w:strike w:val="0"/>
        <w:dstrike w:val="0"/>
        <w:color w:val="000000"/>
        <w:sz w:val="24"/>
        <w:u w:val="none" w:color="000000"/>
        <w:vertAlign w:val="baseline"/>
      </w:rPr>
    </w:lvl>
    <w:lvl w:ilvl="3" w:tplc="099E5F48">
      <w:start w:val="1"/>
      <w:numFmt w:val="bullet"/>
      <w:lvlText w:val="•"/>
      <w:lvlJc w:val="left"/>
      <w:pPr>
        <w:ind w:left="2520"/>
      </w:pPr>
      <w:rPr>
        <w:rFonts w:ascii="Times New Roman" w:eastAsia="Times New Roman" w:hAnsi="Times New Roman"/>
        <w:b w:val="0"/>
        <w:i w:val="0"/>
        <w:strike w:val="0"/>
        <w:dstrike w:val="0"/>
        <w:color w:val="000000"/>
        <w:sz w:val="24"/>
        <w:u w:val="none" w:color="000000"/>
        <w:vertAlign w:val="baseline"/>
      </w:rPr>
    </w:lvl>
    <w:lvl w:ilvl="4" w:tplc="D13EC818">
      <w:start w:val="1"/>
      <w:numFmt w:val="bullet"/>
      <w:lvlText w:val="o"/>
      <w:lvlJc w:val="left"/>
      <w:pPr>
        <w:ind w:left="3240"/>
      </w:pPr>
      <w:rPr>
        <w:rFonts w:ascii="Times New Roman" w:eastAsia="Times New Roman" w:hAnsi="Times New Roman"/>
        <w:b w:val="0"/>
        <w:i w:val="0"/>
        <w:strike w:val="0"/>
        <w:dstrike w:val="0"/>
        <w:color w:val="000000"/>
        <w:sz w:val="24"/>
        <w:u w:val="none" w:color="000000"/>
        <w:vertAlign w:val="baseline"/>
      </w:rPr>
    </w:lvl>
    <w:lvl w:ilvl="5" w:tplc="DBE2F4CA">
      <w:start w:val="1"/>
      <w:numFmt w:val="bullet"/>
      <w:lvlText w:val="▪"/>
      <w:lvlJc w:val="left"/>
      <w:pPr>
        <w:ind w:left="3960"/>
      </w:pPr>
      <w:rPr>
        <w:rFonts w:ascii="Times New Roman" w:eastAsia="Times New Roman" w:hAnsi="Times New Roman"/>
        <w:b w:val="0"/>
        <w:i w:val="0"/>
        <w:strike w:val="0"/>
        <w:dstrike w:val="0"/>
        <w:color w:val="000000"/>
        <w:sz w:val="24"/>
        <w:u w:val="none" w:color="000000"/>
        <w:vertAlign w:val="baseline"/>
      </w:rPr>
    </w:lvl>
    <w:lvl w:ilvl="6" w:tplc="A024ED06">
      <w:start w:val="1"/>
      <w:numFmt w:val="bullet"/>
      <w:lvlText w:val="•"/>
      <w:lvlJc w:val="left"/>
      <w:pPr>
        <w:ind w:left="4680"/>
      </w:pPr>
      <w:rPr>
        <w:rFonts w:ascii="Times New Roman" w:eastAsia="Times New Roman" w:hAnsi="Times New Roman"/>
        <w:b w:val="0"/>
        <w:i w:val="0"/>
        <w:strike w:val="0"/>
        <w:dstrike w:val="0"/>
        <w:color w:val="000000"/>
        <w:sz w:val="24"/>
        <w:u w:val="none" w:color="000000"/>
        <w:vertAlign w:val="baseline"/>
      </w:rPr>
    </w:lvl>
    <w:lvl w:ilvl="7" w:tplc="BF70BA60">
      <w:start w:val="1"/>
      <w:numFmt w:val="bullet"/>
      <w:lvlText w:val="o"/>
      <w:lvlJc w:val="left"/>
      <w:pPr>
        <w:ind w:left="5400"/>
      </w:pPr>
      <w:rPr>
        <w:rFonts w:ascii="Times New Roman" w:eastAsia="Times New Roman" w:hAnsi="Times New Roman"/>
        <w:b w:val="0"/>
        <w:i w:val="0"/>
        <w:strike w:val="0"/>
        <w:dstrike w:val="0"/>
        <w:color w:val="000000"/>
        <w:sz w:val="24"/>
        <w:u w:val="none" w:color="000000"/>
        <w:vertAlign w:val="baseline"/>
      </w:rPr>
    </w:lvl>
    <w:lvl w:ilvl="8" w:tplc="8A708C88">
      <w:start w:val="1"/>
      <w:numFmt w:val="bullet"/>
      <w:lvlText w:val="▪"/>
      <w:lvlJc w:val="left"/>
      <w:pPr>
        <w:ind w:left="6120"/>
      </w:pPr>
      <w:rPr>
        <w:rFonts w:ascii="Times New Roman" w:eastAsia="Times New Roman" w:hAnsi="Times New Roman"/>
        <w:b w:val="0"/>
        <w:i w:val="0"/>
        <w:strike w:val="0"/>
        <w:dstrike w:val="0"/>
        <w:color w:val="000000"/>
        <w:sz w:val="24"/>
        <w:u w:val="none" w:color="000000"/>
        <w:vertAlign w:val="baseline"/>
      </w:rPr>
    </w:lvl>
  </w:abstractNum>
  <w:abstractNum w:abstractNumId="4" w15:restartNumberingAfterBreak="0">
    <w:nsid w:val="2D0C71D9"/>
    <w:multiLevelType w:val="hybridMultilevel"/>
    <w:tmpl w:val="9DB0DE14"/>
    <w:lvl w:ilvl="0" w:tplc="8042EDE8">
      <w:start w:val="1"/>
      <w:numFmt w:val="decimal"/>
      <w:lvlText w:val="%1."/>
      <w:lvlJc w:val="left"/>
      <w:pPr>
        <w:ind w:left="-66" w:hanging="360"/>
      </w:pPr>
      <w:rPr>
        <w:rFonts w:cs="Times New Roman" w:hint="default"/>
      </w:rPr>
    </w:lvl>
    <w:lvl w:ilvl="1" w:tplc="08090019" w:tentative="1">
      <w:start w:val="1"/>
      <w:numFmt w:val="lowerLetter"/>
      <w:lvlText w:val="%2."/>
      <w:lvlJc w:val="left"/>
      <w:pPr>
        <w:ind w:left="654" w:hanging="360"/>
      </w:pPr>
      <w:rPr>
        <w:rFonts w:cs="Times New Roman"/>
      </w:rPr>
    </w:lvl>
    <w:lvl w:ilvl="2" w:tplc="0809001B" w:tentative="1">
      <w:start w:val="1"/>
      <w:numFmt w:val="lowerRoman"/>
      <w:lvlText w:val="%3."/>
      <w:lvlJc w:val="right"/>
      <w:pPr>
        <w:ind w:left="1374" w:hanging="180"/>
      </w:pPr>
      <w:rPr>
        <w:rFonts w:cs="Times New Roman"/>
      </w:rPr>
    </w:lvl>
    <w:lvl w:ilvl="3" w:tplc="0809000F" w:tentative="1">
      <w:start w:val="1"/>
      <w:numFmt w:val="decimal"/>
      <w:lvlText w:val="%4."/>
      <w:lvlJc w:val="left"/>
      <w:pPr>
        <w:ind w:left="2094" w:hanging="360"/>
      </w:pPr>
      <w:rPr>
        <w:rFonts w:cs="Times New Roman"/>
      </w:rPr>
    </w:lvl>
    <w:lvl w:ilvl="4" w:tplc="08090019" w:tentative="1">
      <w:start w:val="1"/>
      <w:numFmt w:val="lowerLetter"/>
      <w:lvlText w:val="%5."/>
      <w:lvlJc w:val="left"/>
      <w:pPr>
        <w:ind w:left="2814" w:hanging="360"/>
      </w:pPr>
      <w:rPr>
        <w:rFonts w:cs="Times New Roman"/>
      </w:rPr>
    </w:lvl>
    <w:lvl w:ilvl="5" w:tplc="0809001B" w:tentative="1">
      <w:start w:val="1"/>
      <w:numFmt w:val="lowerRoman"/>
      <w:lvlText w:val="%6."/>
      <w:lvlJc w:val="right"/>
      <w:pPr>
        <w:ind w:left="3534" w:hanging="180"/>
      </w:pPr>
      <w:rPr>
        <w:rFonts w:cs="Times New Roman"/>
      </w:rPr>
    </w:lvl>
    <w:lvl w:ilvl="6" w:tplc="0809000F" w:tentative="1">
      <w:start w:val="1"/>
      <w:numFmt w:val="decimal"/>
      <w:lvlText w:val="%7."/>
      <w:lvlJc w:val="left"/>
      <w:pPr>
        <w:ind w:left="4254" w:hanging="360"/>
      </w:pPr>
      <w:rPr>
        <w:rFonts w:cs="Times New Roman"/>
      </w:rPr>
    </w:lvl>
    <w:lvl w:ilvl="7" w:tplc="08090019" w:tentative="1">
      <w:start w:val="1"/>
      <w:numFmt w:val="lowerLetter"/>
      <w:lvlText w:val="%8."/>
      <w:lvlJc w:val="left"/>
      <w:pPr>
        <w:ind w:left="4974" w:hanging="360"/>
      </w:pPr>
      <w:rPr>
        <w:rFonts w:cs="Times New Roman"/>
      </w:rPr>
    </w:lvl>
    <w:lvl w:ilvl="8" w:tplc="0809001B" w:tentative="1">
      <w:start w:val="1"/>
      <w:numFmt w:val="lowerRoman"/>
      <w:lvlText w:val="%9."/>
      <w:lvlJc w:val="right"/>
      <w:pPr>
        <w:ind w:left="5694" w:hanging="180"/>
      </w:pPr>
      <w:rPr>
        <w:rFonts w:cs="Times New Roman"/>
      </w:rPr>
    </w:lvl>
  </w:abstractNum>
  <w:abstractNum w:abstractNumId="5" w15:restartNumberingAfterBreak="0">
    <w:nsid w:val="38C17F84"/>
    <w:multiLevelType w:val="hybridMultilevel"/>
    <w:tmpl w:val="D3948EA8"/>
    <w:lvl w:ilvl="0" w:tplc="F934CE38">
      <w:start w:val="1"/>
      <w:numFmt w:val="lowerRoman"/>
      <w:lvlText w:val="(%1)"/>
      <w:lvlJc w:val="left"/>
      <w:pPr>
        <w:ind w:left="294" w:hanging="720"/>
      </w:pPr>
      <w:rPr>
        <w:rFonts w:hint="default"/>
      </w:rPr>
    </w:lvl>
    <w:lvl w:ilvl="1" w:tplc="08090019" w:tentative="1">
      <w:start w:val="1"/>
      <w:numFmt w:val="lowerLetter"/>
      <w:lvlText w:val="%2."/>
      <w:lvlJc w:val="left"/>
      <w:pPr>
        <w:ind w:left="654" w:hanging="360"/>
      </w:pPr>
    </w:lvl>
    <w:lvl w:ilvl="2" w:tplc="0809001B" w:tentative="1">
      <w:start w:val="1"/>
      <w:numFmt w:val="lowerRoman"/>
      <w:lvlText w:val="%3."/>
      <w:lvlJc w:val="right"/>
      <w:pPr>
        <w:ind w:left="1374" w:hanging="180"/>
      </w:pPr>
    </w:lvl>
    <w:lvl w:ilvl="3" w:tplc="0809000F" w:tentative="1">
      <w:start w:val="1"/>
      <w:numFmt w:val="decimal"/>
      <w:lvlText w:val="%4."/>
      <w:lvlJc w:val="left"/>
      <w:pPr>
        <w:ind w:left="2094" w:hanging="360"/>
      </w:pPr>
    </w:lvl>
    <w:lvl w:ilvl="4" w:tplc="08090019" w:tentative="1">
      <w:start w:val="1"/>
      <w:numFmt w:val="lowerLetter"/>
      <w:lvlText w:val="%5."/>
      <w:lvlJc w:val="left"/>
      <w:pPr>
        <w:ind w:left="2814" w:hanging="360"/>
      </w:pPr>
    </w:lvl>
    <w:lvl w:ilvl="5" w:tplc="0809001B" w:tentative="1">
      <w:start w:val="1"/>
      <w:numFmt w:val="lowerRoman"/>
      <w:lvlText w:val="%6."/>
      <w:lvlJc w:val="right"/>
      <w:pPr>
        <w:ind w:left="3534" w:hanging="180"/>
      </w:pPr>
    </w:lvl>
    <w:lvl w:ilvl="6" w:tplc="0809000F" w:tentative="1">
      <w:start w:val="1"/>
      <w:numFmt w:val="decimal"/>
      <w:lvlText w:val="%7."/>
      <w:lvlJc w:val="left"/>
      <w:pPr>
        <w:ind w:left="4254" w:hanging="360"/>
      </w:pPr>
    </w:lvl>
    <w:lvl w:ilvl="7" w:tplc="08090019" w:tentative="1">
      <w:start w:val="1"/>
      <w:numFmt w:val="lowerLetter"/>
      <w:lvlText w:val="%8."/>
      <w:lvlJc w:val="left"/>
      <w:pPr>
        <w:ind w:left="4974" w:hanging="360"/>
      </w:pPr>
    </w:lvl>
    <w:lvl w:ilvl="8" w:tplc="0809001B" w:tentative="1">
      <w:start w:val="1"/>
      <w:numFmt w:val="lowerRoman"/>
      <w:lvlText w:val="%9."/>
      <w:lvlJc w:val="right"/>
      <w:pPr>
        <w:ind w:left="5694" w:hanging="180"/>
      </w:pPr>
    </w:lvl>
  </w:abstractNum>
  <w:abstractNum w:abstractNumId="6" w15:restartNumberingAfterBreak="0">
    <w:nsid w:val="3AF1733E"/>
    <w:multiLevelType w:val="hybridMultilevel"/>
    <w:tmpl w:val="DAEAD876"/>
    <w:lvl w:ilvl="0" w:tplc="D58AAEF2">
      <w:start w:val="1"/>
      <w:numFmt w:val="decimal"/>
      <w:lvlText w:val="%1)"/>
      <w:lvlJc w:val="left"/>
      <w:pPr>
        <w:ind w:left="-66" w:hanging="360"/>
      </w:pPr>
      <w:rPr>
        <w:rFonts w:hint="default"/>
        <w:color w:val="006666"/>
      </w:rPr>
    </w:lvl>
    <w:lvl w:ilvl="1" w:tplc="08090019" w:tentative="1">
      <w:start w:val="1"/>
      <w:numFmt w:val="lowerLetter"/>
      <w:lvlText w:val="%2."/>
      <w:lvlJc w:val="left"/>
      <w:pPr>
        <w:ind w:left="654" w:hanging="360"/>
      </w:pPr>
    </w:lvl>
    <w:lvl w:ilvl="2" w:tplc="0809001B" w:tentative="1">
      <w:start w:val="1"/>
      <w:numFmt w:val="lowerRoman"/>
      <w:lvlText w:val="%3."/>
      <w:lvlJc w:val="right"/>
      <w:pPr>
        <w:ind w:left="1374" w:hanging="180"/>
      </w:pPr>
    </w:lvl>
    <w:lvl w:ilvl="3" w:tplc="0809000F" w:tentative="1">
      <w:start w:val="1"/>
      <w:numFmt w:val="decimal"/>
      <w:lvlText w:val="%4."/>
      <w:lvlJc w:val="left"/>
      <w:pPr>
        <w:ind w:left="2094" w:hanging="360"/>
      </w:pPr>
    </w:lvl>
    <w:lvl w:ilvl="4" w:tplc="08090019" w:tentative="1">
      <w:start w:val="1"/>
      <w:numFmt w:val="lowerLetter"/>
      <w:lvlText w:val="%5."/>
      <w:lvlJc w:val="left"/>
      <w:pPr>
        <w:ind w:left="2814" w:hanging="360"/>
      </w:pPr>
    </w:lvl>
    <w:lvl w:ilvl="5" w:tplc="0809001B" w:tentative="1">
      <w:start w:val="1"/>
      <w:numFmt w:val="lowerRoman"/>
      <w:lvlText w:val="%6."/>
      <w:lvlJc w:val="right"/>
      <w:pPr>
        <w:ind w:left="3534" w:hanging="180"/>
      </w:pPr>
    </w:lvl>
    <w:lvl w:ilvl="6" w:tplc="0809000F" w:tentative="1">
      <w:start w:val="1"/>
      <w:numFmt w:val="decimal"/>
      <w:lvlText w:val="%7."/>
      <w:lvlJc w:val="left"/>
      <w:pPr>
        <w:ind w:left="4254" w:hanging="360"/>
      </w:pPr>
    </w:lvl>
    <w:lvl w:ilvl="7" w:tplc="08090019" w:tentative="1">
      <w:start w:val="1"/>
      <w:numFmt w:val="lowerLetter"/>
      <w:lvlText w:val="%8."/>
      <w:lvlJc w:val="left"/>
      <w:pPr>
        <w:ind w:left="4974" w:hanging="360"/>
      </w:pPr>
    </w:lvl>
    <w:lvl w:ilvl="8" w:tplc="0809001B" w:tentative="1">
      <w:start w:val="1"/>
      <w:numFmt w:val="lowerRoman"/>
      <w:lvlText w:val="%9."/>
      <w:lvlJc w:val="right"/>
      <w:pPr>
        <w:ind w:left="5694" w:hanging="180"/>
      </w:pPr>
    </w:lvl>
  </w:abstractNum>
  <w:abstractNum w:abstractNumId="7" w15:restartNumberingAfterBreak="0">
    <w:nsid w:val="3B4F0399"/>
    <w:multiLevelType w:val="hybridMultilevel"/>
    <w:tmpl w:val="9DDA19B0"/>
    <w:lvl w:ilvl="0" w:tplc="D9FE6E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4272B8"/>
    <w:multiLevelType w:val="hybridMultilevel"/>
    <w:tmpl w:val="B8D8E4B8"/>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9" w15:restartNumberingAfterBreak="0">
    <w:nsid w:val="461E414C"/>
    <w:multiLevelType w:val="multilevel"/>
    <w:tmpl w:val="A3323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83622E"/>
    <w:multiLevelType w:val="hybridMultilevel"/>
    <w:tmpl w:val="3FEA6F5A"/>
    <w:lvl w:ilvl="0" w:tplc="9CE8D808">
      <w:start w:val="1"/>
      <w:numFmt w:val="decimal"/>
      <w:lvlText w:val="%1."/>
      <w:lvlJc w:val="left"/>
      <w:pPr>
        <w:ind w:left="-66" w:hanging="360"/>
      </w:pPr>
      <w:rPr>
        <w:rFonts w:cs="Times New Roman" w:hint="default"/>
      </w:rPr>
    </w:lvl>
    <w:lvl w:ilvl="1" w:tplc="08090019" w:tentative="1">
      <w:start w:val="1"/>
      <w:numFmt w:val="lowerLetter"/>
      <w:lvlText w:val="%2."/>
      <w:lvlJc w:val="left"/>
      <w:pPr>
        <w:ind w:left="654" w:hanging="360"/>
      </w:pPr>
      <w:rPr>
        <w:rFonts w:cs="Times New Roman"/>
      </w:rPr>
    </w:lvl>
    <w:lvl w:ilvl="2" w:tplc="0809001B" w:tentative="1">
      <w:start w:val="1"/>
      <w:numFmt w:val="lowerRoman"/>
      <w:lvlText w:val="%3."/>
      <w:lvlJc w:val="right"/>
      <w:pPr>
        <w:ind w:left="1374" w:hanging="180"/>
      </w:pPr>
      <w:rPr>
        <w:rFonts w:cs="Times New Roman"/>
      </w:rPr>
    </w:lvl>
    <w:lvl w:ilvl="3" w:tplc="0809000F" w:tentative="1">
      <w:start w:val="1"/>
      <w:numFmt w:val="decimal"/>
      <w:lvlText w:val="%4."/>
      <w:lvlJc w:val="left"/>
      <w:pPr>
        <w:ind w:left="2094" w:hanging="360"/>
      </w:pPr>
      <w:rPr>
        <w:rFonts w:cs="Times New Roman"/>
      </w:rPr>
    </w:lvl>
    <w:lvl w:ilvl="4" w:tplc="08090019" w:tentative="1">
      <w:start w:val="1"/>
      <w:numFmt w:val="lowerLetter"/>
      <w:lvlText w:val="%5."/>
      <w:lvlJc w:val="left"/>
      <w:pPr>
        <w:ind w:left="2814" w:hanging="360"/>
      </w:pPr>
      <w:rPr>
        <w:rFonts w:cs="Times New Roman"/>
      </w:rPr>
    </w:lvl>
    <w:lvl w:ilvl="5" w:tplc="0809001B" w:tentative="1">
      <w:start w:val="1"/>
      <w:numFmt w:val="lowerRoman"/>
      <w:lvlText w:val="%6."/>
      <w:lvlJc w:val="right"/>
      <w:pPr>
        <w:ind w:left="3534" w:hanging="180"/>
      </w:pPr>
      <w:rPr>
        <w:rFonts w:cs="Times New Roman"/>
      </w:rPr>
    </w:lvl>
    <w:lvl w:ilvl="6" w:tplc="0809000F" w:tentative="1">
      <w:start w:val="1"/>
      <w:numFmt w:val="decimal"/>
      <w:lvlText w:val="%7."/>
      <w:lvlJc w:val="left"/>
      <w:pPr>
        <w:ind w:left="4254" w:hanging="360"/>
      </w:pPr>
      <w:rPr>
        <w:rFonts w:cs="Times New Roman"/>
      </w:rPr>
    </w:lvl>
    <w:lvl w:ilvl="7" w:tplc="08090019" w:tentative="1">
      <w:start w:val="1"/>
      <w:numFmt w:val="lowerLetter"/>
      <w:lvlText w:val="%8."/>
      <w:lvlJc w:val="left"/>
      <w:pPr>
        <w:ind w:left="4974" w:hanging="360"/>
      </w:pPr>
      <w:rPr>
        <w:rFonts w:cs="Times New Roman"/>
      </w:rPr>
    </w:lvl>
    <w:lvl w:ilvl="8" w:tplc="0809001B" w:tentative="1">
      <w:start w:val="1"/>
      <w:numFmt w:val="lowerRoman"/>
      <w:lvlText w:val="%9."/>
      <w:lvlJc w:val="right"/>
      <w:pPr>
        <w:ind w:left="5694" w:hanging="180"/>
      </w:pPr>
      <w:rPr>
        <w:rFonts w:cs="Times New Roman"/>
      </w:rPr>
    </w:lvl>
  </w:abstractNum>
  <w:abstractNum w:abstractNumId="11" w15:restartNumberingAfterBreak="0">
    <w:nsid w:val="496D3015"/>
    <w:multiLevelType w:val="hybridMultilevel"/>
    <w:tmpl w:val="56EACBC2"/>
    <w:lvl w:ilvl="0" w:tplc="725EE41A">
      <w:start w:val="2"/>
      <w:numFmt w:val="bullet"/>
      <w:lvlText w:val="-"/>
      <w:lvlJc w:val="left"/>
      <w:pPr>
        <w:ind w:left="-66" w:hanging="360"/>
      </w:pPr>
      <w:rPr>
        <w:rFonts w:ascii="Calibri" w:eastAsia="Times New Roman" w:hAnsi="Calibri" w:cs="Calibri" w:hint="default"/>
      </w:rPr>
    </w:lvl>
    <w:lvl w:ilvl="1" w:tplc="08090003" w:tentative="1">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1374" w:hanging="360"/>
      </w:pPr>
      <w:rPr>
        <w:rFonts w:ascii="Wingdings" w:hAnsi="Wingdings" w:hint="default"/>
      </w:rPr>
    </w:lvl>
    <w:lvl w:ilvl="3" w:tplc="08090001" w:tentative="1">
      <w:start w:val="1"/>
      <w:numFmt w:val="bullet"/>
      <w:lvlText w:val=""/>
      <w:lvlJc w:val="left"/>
      <w:pPr>
        <w:ind w:left="2094" w:hanging="360"/>
      </w:pPr>
      <w:rPr>
        <w:rFonts w:ascii="Symbol" w:hAnsi="Symbol" w:hint="default"/>
      </w:rPr>
    </w:lvl>
    <w:lvl w:ilvl="4" w:tplc="08090003" w:tentative="1">
      <w:start w:val="1"/>
      <w:numFmt w:val="bullet"/>
      <w:lvlText w:val="o"/>
      <w:lvlJc w:val="left"/>
      <w:pPr>
        <w:ind w:left="2814" w:hanging="360"/>
      </w:pPr>
      <w:rPr>
        <w:rFonts w:ascii="Courier New" w:hAnsi="Courier New" w:cs="Courier New" w:hint="default"/>
      </w:rPr>
    </w:lvl>
    <w:lvl w:ilvl="5" w:tplc="08090005" w:tentative="1">
      <w:start w:val="1"/>
      <w:numFmt w:val="bullet"/>
      <w:lvlText w:val=""/>
      <w:lvlJc w:val="left"/>
      <w:pPr>
        <w:ind w:left="3534" w:hanging="360"/>
      </w:pPr>
      <w:rPr>
        <w:rFonts w:ascii="Wingdings" w:hAnsi="Wingdings" w:hint="default"/>
      </w:rPr>
    </w:lvl>
    <w:lvl w:ilvl="6" w:tplc="08090001" w:tentative="1">
      <w:start w:val="1"/>
      <w:numFmt w:val="bullet"/>
      <w:lvlText w:val=""/>
      <w:lvlJc w:val="left"/>
      <w:pPr>
        <w:ind w:left="4254" w:hanging="360"/>
      </w:pPr>
      <w:rPr>
        <w:rFonts w:ascii="Symbol" w:hAnsi="Symbol" w:hint="default"/>
      </w:rPr>
    </w:lvl>
    <w:lvl w:ilvl="7" w:tplc="08090003" w:tentative="1">
      <w:start w:val="1"/>
      <w:numFmt w:val="bullet"/>
      <w:lvlText w:val="o"/>
      <w:lvlJc w:val="left"/>
      <w:pPr>
        <w:ind w:left="4974" w:hanging="360"/>
      </w:pPr>
      <w:rPr>
        <w:rFonts w:ascii="Courier New" w:hAnsi="Courier New" w:cs="Courier New" w:hint="default"/>
      </w:rPr>
    </w:lvl>
    <w:lvl w:ilvl="8" w:tplc="08090005" w:tentative="1">
      <w:start w:val="1"/>
      <w:numFmt w:val="bullet"/>
      <w:lvlText w:val=""/>
      <w:lvlJc w:val="left"/>
      <w:pPr>
        <w:ind w:left="5694" w:hanging="360"/>
      </w:pPr>
      <w:rPr>
        <w:rFonts w:ascii="Wingdings" w:hAnsi="Wingdings" w:hint="default"/>
      </w:rPr>
    </w:lvl>
  </w:abstractNum>
  <w:abstractNum w:abstractNumId="12" w15:restartNumberingAfterBreak="0">
    <w:nsid w:val="5E2333F6"/>
    <w:multiLevelType w:val="hybridMultilevel"/>
    <w:tmpl w:val="45682B96"/>
    <w:lvl w:ilvl="0" w:tplc="08090001">
      <w:start w:val="1"/>
      <w:numFmt w:val="bullet"/>
      <w:lvlText w:val=""/>
      <w:lvlJc w:val="left"/>
      <w:pPr>
        <w:ind w:left="340" w:hanging="360"/>
      </w:pPr>
      <w:rPr>
        <w:rFonts w:ascii="Symbol" w:hAnsi="Symbol" w:hint="default"/>
      </w:rPr>
    </w:lvl>
    <w:lvl w:ilvl="1" w:tplc="08090003" w:tentative="1">
      <w:start w:val="1"/>
      <w:numFmt w:val="bullet"/>
      <w:lvlText w:val="o"/>
      <w:lvlJc w:val="left"/>
      <w:pPr>
        <w:ind w:left="1060" w:hanging="360"/>
      </w:pPr>
      <w:rPr>
        <w:rFonts w:ascii="Courier New" w:hAnsi="Courier New" w:cs="Courier New" w:hint="default"/>
      </w:rPr>
    </w:lvl>
    <w:lvl w:ilvl="2" w:tplc="08090005" w:tentative="1">
      <w:start w:val="1"/>
      <w:numFmt w:val="bullet"/>
      <w:lvlText w:val=""/>
      <w:lvlJc w:val="left"/>
      <w:pPr>
        <w:ind w:left="1780" w:hanging="360"/>
      </w:pPr>
      <w:rPr>
        <w:rFonts w:ascii="Wingdings" w:hAnsi="Wingdings" w:hint="default"/>
      </w:rPr>
    </w:lvl>
    <w:lvl w:ilvl="3" w:tplc="08090001" w:tentative="1">
      <w:start w:val="1"/>
      <w:numFmt w:val="bullet"/>
      <w:lvlText w:val=""/>
      <w:lvlJc w:val="left"/>
      <w:pPr>
        <w:ind w:left="2500" w:hanging="360"/>
      </w:pPr>
      <w:rPr>
        <w:rFonts w:ascii="Symbol" w:hAnsi="Symbol" w:hint="default"/>
      </w:rPr>
    </w:lvl>
    <w:lvl w:ilvl="4" w:tplc="08090003" w:tentative="1">
      <w:start w:val="1"/>
      <w:numFmt w:val="bullet"/>
      <w:lvlText w:val="o"/>
      <w:lvlJc w:val="left"/>
      <w:pPr>
        <w:ind w:left="3220" w:hanging="360"/>
      </w:pPr>
      <w:rPr>
        <w:rFonts w:ascii="Courier New" w:hAnsi="Courier New" w:cs="Courier New" w:hint="default"/>
      </w:rPr>
    </w:lvl>
    <w:lvl w:ilvl="5" w:tplc="08090005" w:tentative="1">
      <w:start w:val="1"/>
      <w:numFmt w:val="bullet"/>
      <w:lvlText w:val=""/>
      <w:lvlJc w:val="left"/>
      <w:pPr>
        <w:ind w:left="3940" w:hanging="360"/>
      </w:pPr>
      <w:rPr>
        <w:rFonts w:ascii="Wingdings" w:hAnsi="Wingdings" w:hint="default"/>
      </w:rPr>
    </w:lvl>
    <w:lvl w:ilvl="6" w:tplc="08090001" w:tentative="1">
      <w:start w:val="1"/>
      <w:numFmt w:val="bullet"/>
      <w:lvlText w:val=""/>
      <w:lvlJc w:val="left"/>
      <w:pPr>
        <w:ind w:left="4660" w:hanging="360"/>
      </w:pPr>
      <w:rPr>
        <w:rFonts w:ascii="Symbol" w:hAnsi="Symbol" w:hint="default"/>
      </w:rPr>
    </w:lvl>
    <w:lvl w:ilvl="7" w:tplc="08090003" w:tentative="1">
      <w:start w:val="1"/>
      <w:numFmt w:val="bullet"/>
      <w:lvlText w:val="o"/>
      <w:lvlJc w:val="left"/>
      <w:pPr>
        <w:ind w:left="5380" w:hanging="360"/>
      </w:pPr>
      <w:rPr>
        <w:rFonts w:ascii="Courier New" w:hAnsi="Courier New" w:cs="Courier New" w:hint="default"/>
      </w:rPr>
    </w:lvl>
    <w:lvl w:ilvl="8" w:tplc="08090005" w:tentative="1">
      <w:start w:val="1"/>
      <w:numFmt w:val="bullet"/>
      <w:lvlText w:val=""/>
      <w:lvlJc w:val="left"/>
      <w:pPr>
        <w:ind w:left="6100" w:hanging="360"/>
      </w:pPr>
      <w:rPr>
        <w:rFonts w:ascii="Wingdings" w:hAnsi="Wingdings" w:hint="default"/>
      </w:rPr>
    </w:lvl>
  </w:abstractNum>
  <w:abstractNum w:abstractNumId="13" w15:restartNumberingAfterBreak="0">
    <w:nsid w:val="702052D2"/>
    <w:multiLevelType w:val="hybridMultilevel"/>
    <w:tmpl w:val="07CEEB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0"/>
    <w:lvlOverride w:ilvl="0">
      <w:startOverride w:val="1"/>
    </w:lvlOverride>
  </w:num>
  <w:num w:numId="3">
    <w:abstractNumId w:val="9"/>
    <w:lvlOverride w:ilvl="0">
      <w:startOverride w:val="2"/>
    </w:lvlOverride>
  </w:num>
  <w:num w:numId="4">
    <w:abstractNumId w:val="5"/>
  </w:num>
  <w:num w:numId="5">
    <w:abstractNumId w:val="1"/>
  </w:num>
  <w:num w:numId="6">
    <w:abstractNumId w:val="6"/>
  </w:num>
  <w:num w:numId="7">
    <w:abstractNumId w:val="12"/>
  </w:num>
  <w:num w:numId="8">
    <w:abstractNumId w:val="2"/>
  </w:num>
  <w:num w:numId="9">
    <w:abstractNumId w:val="13"/>
  </w:num>
  <w:num w:numId="10">
    <w:abstractNumId w:val="10"/>
  </w:num>
  <w:num w:numId="11">
    <w:abstractNumId w:val="4"/>
  </w:num>
  <w:num w:numId="12">
    <w:abstractNumId w:val="11"/>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848"/>
    <w:rsid w:val="00000664"/>
    <w:rsid w:val="00000942"/>
    <w:rsid w:val="00000E09"/>
    <w:rsid w:val="00000F20"/>
    <w:rsid w:val="0000188E"/>
    <w:rsid w:val="00002099"/>
    <w:rsid w:val="000044DC"/>
    <w:rsid w:val="000056EF"/>
    <w:rsid w:val="00005B06"/>
    <w:rsid w:val="00005B74"/>
    <w:rsid w:val="0000637A"/>
    <w:rsid w:val="00006C8C"/>
    <w:rsid w:val="00006E4E"/>
    <w:rsid w:val="00006FA1"/>
    <w:rsid w:val="00007171"/>
    <w:rsid w:val="00007387"/>
    <w:rsid w:val="0000770B"/>
    <w:rsid w:val="00007A1C"/>
    <w:rsid w:val="00007D1E"/>
    <w:rsid w:val="00010DD7"/>
    <w:rsid w:val="00010FFD"/>
    <w:rsid w:val="00011528"/>
    <w:rsid w:val="0001181A"/>
    <w:rsid w:val="00011A76"/>
    <w:rsid w:val="00011BD5"/>
    <w:rsid w:val="00012445"/>
    <w:rsid w:val="00014696"/>
    <w:rsid w:val="00016A5A"/>
    <w:rsid w:val="00017034"/>
    <w:rsid w:val="00020994"/>
    <w:rsid w:val="000214AE"/>
    <w:rsid w:val="0002152A"/>
    <w:rsid w:val="00022A11"/>
    <w:rsid w:val="00023577"/>
    <w:rsid w:val="00023982"/>
    <w:rsid w:val="00024A5C"/>
    <w:rsid w:val="00024CAC"/>
    <w:rsid w:val="00025A23"/>
    <w:rsid w:val="00025CB8"/>
    <w:rsid w:val="00027021"/>
    <w:rsid w:val="00031255"/>
    <w:rsid w:val="000320EB"/>
    <w:rsid w:val="00032D9C"/>
    <w:rsid w:val="0003391C"/>
    <w:rsid w:val="000346DC"/>
    <w:rsid w:val="000356E4"/>
    <w:rsid w:val="00035713"/>
    <w:rsid w:val="000361E4"/>
    <w:rsid w:val="00037E4F"/>
    <w:rsid w:val="000401A4"/>
    <w:rsid w:val="00040C7A"/>
    <w:rsid w:val="00041486"/>
    <w:rsid w:val="00042706"/>
    <w:rsid w:val="0004351F"/>
    <w:rsid w:val="0004379B"/>
    <w:rsid w:val="000439F7"/>
    <w:rsid w:val="000442D7"/>
    <w:rsid w:val="000449BE"/>
    <w:rsid w:val="000450C2"/>
    <w:rsid w:val="00045338"/>
    <w:rsid w:val="0004575C"/>
    <w:rsid w:val="00046AB4"/>
    <w:rsid w:val="00047B91"/>
    <w:rsid w:val="00051959"/>
    <w:rsid w:val="00051BEF"/>
    <w:rsid w:val="0005297A"/>
    <w:rsid w:val="00053AEB"/>
    <w:rsid w:val="00054589"/>
    <w:rsid w:val="00054C0E"/>
    <w:rsid w:val="000554E2"/>
    <w:rsid w:val="00055F1E"/>
    <w:rsid w:val="00056751"/>
    <w:rsid w:val="00060FE0"/>
    <w:rsid w:val="000614BE"/>
    <w:rsid w:val="000618D0"/>
    <w:rsid w:val="00061EBF"/>
    <w:rsid w:val="00062876"/>
    <w:rsid w:val="00062BF2"/>
    <w:rsid w:val="0006331C"/>
    <w:rsid w:val="00063E26"/>
    <w:rsid w:val="00064CEA"/>
    <w:rsid w:val="0006516A"/>
    <w:rsid w:val="0006652A"/>
    <w:rsid w:val="0006741E"/>
    <w:rsid w:val="000702B3"/>
    <w:rsid w:val="00071B81"/>
    <w:rsid w:val="00072595"/>
    <w:rsid w:val="000735F3"/>
    <w:rsid w:val="00073A4D"/>
    <w:rsid w:val="00073B9D"/>
    <w:rsid w:val="00073C65"/>
    <w:rsid w:val="000743D6"/>
    <w:rsid w:val="00074731"/>
    <w:rsid w:val="0007536E"/>
    <w:rsid w:val="0007697E"/>
    <w:rsid w:val="000770E5"/>
    <w:rsid w:val="00081054"/>
    <w:rsid w:val="0008135D"/>
    <w:rsid w:val="00081C6F"/>
    <w:rsid w:val="00081E48"/>
    <w:rsid w:val="00081E85"/>
    <w:rsid w:val="0008389C"/>
    <w:rsid w:val="00084EE4"/>
    <w:rsid w:val="0008539D"/>
    <w:rsid w:val="00085A04"/>
    <w:rsid w:val="00085E94"/>
    <w:rsid w:val="00086188"/>
    <w:rsid w:val="00086A49"/>
    <w:rsid w:val="00087145"/>
    <w:rsid w:val="00087ACC"/>
    <w:rsid w:val="00091CFE"/>
    <w:rsid w:val="00091F34"/>
    <w:rsid w:val="000932BC"/>
    <w:rsid w:val="00093322"/>
    <w:rsid w:val="000935FC"/>
    <w:rsid w:val="00093873"/>
    <w:rsid w:val="00093936"/>
    <w:rsid w:val="00094C49"/>
    <w:rsid w:val="000961C8"/>
    <w:rsid w:val="00096976"/>
    <w:rsid w:val="00096BFE"/>
    <w:rsid w:val="00096E3F"/>
    <w:rsid w:val="00096F59"/>
    <w:rsid w:val="000A0368"/>
    <w:rsid w:val="000A0A4A"/>
    <w:rsid w:val="000A1962"/>
    <w:rsid w:val="000A205C"/>
    <w:rsid w:val="000A336A"/>
    <w:rsid w:val="000A3C11"/>
    <w:rsid w:val="000A433A"/>
    <w:rsid w:val="000A51C4"/>
    <w:rsid w:val="000A5B6D"/>
    <w:rsid w:val="000A7996"/>
    <w:rsid w:val="000A7B0C"/>
    <w:rsid w:val="000A7BCD"/>
    <w:rsid w:val="000A7CEB"/>
    <w:rsid w:val="000B0149"/>
    <w:rsid w:val="000B0315"/>
    <w:rsid w:val="000B1369"/>
    <w:rsid w:val="000B2094"/>
    <w:rsid w:val="000B21C3"/>
    <w:rsid w:val="000B2894"/>
    <w:rsid w:val="000B365F"/>
    <w:rsid w:val="000B39FC"/>
    <w:rsid w:val="000B3BFE"/>
    <w:rsid w:val="000B480C"/>
    <w:rsid w:val="000B4EE8"/>
    <w:rsid w:val="000B530A"/>
    <w:rsid w:val="000B5630"/>
    <w:rsid w:val="000B6AB3"/>
    <w:rsid w:val="000B72EC"/>
    <w:rsid w:val="000C02EB"/>
    <w:rsid w:val="000C05BA"/>
    <w:rsid w:val="000C0A53"/>
    <w:rsid w:val="000C0CAA"/>
    <w:rsid w:val="000C0FBF"/>
    <w:rsid w:val="000C1845"/>
    <w:rsid w:val="000C1B11"/>
    <w:rsid w:val="000C2A93"/>
    <w:rsid w:val="000C3A36"/>
    <w:rsid w:val="000C3D20"/>
    <w:rsid w:val="000C41D7"/>
    <w:rsid w:val="000C4460"/>
    <w:rsid w:val="000C48E3"/>
    <w:rsid w:val="000C6ACC"/>
    <w:rsid w:val="000D0F99"/>
    <w:rsid w:val="000D13E1"/>
    <w:rsid w:val="000D1637"/>
    <w:rsid w:val="000D1C4D"/>
    <w:rsid w:val="000D299E"/>
    <w:rsid w:val="000D358D"/>
    <w:rsid w:val="000D3641"/>
    <w:rsid w:val="000D3942"/>
    <w:rsid w:val="000D41FE"/>
    <w:rsid w:val="000D4C97"/>
    <w:rsid w:val="000D53D8"/>
    <w:rsid w:val="000D58E5"/>
    <w:rsid w:val="000D6430"/>
    <w:rsid w:val="000D6EA1"/>
    <w:rsid w:val="000D6F6E"/>
    <w:rsid w:val="000D7A29"/>
    <w:rsid w:val="000E2151"/>
    <w:rsid w:val="000E21DD"/>
    <w:rsid w:val="000E23DC"/>
    <w:rsid w:val="000E444A"/>
    <w:rsid w:val="000E6630"/>
    <w:rsid w:val="000E7137"/>
    <w:rsid w:val="000E78F1"/>
    <w:rsid w:val="000F05A4"/>
    <w:rsid w:val="000F1C7C"/>
    <w:rsid w:val="000F1E89"/>
    <w:rsid w:val="000F26A4"/>
    <w:rsid w:val="000F34B7"/>
    <w:rsid w:val="000F4A66"/>
    <w:rsid w:val="000F50F6"/>
    <w:rsid w:val="000F549F"/>
    <w:rsid w:val="000F61EA"/>
    <w:rsid w:val="000F692E"/>
    <w:rsid w:val="000F6B13"/>
    <w:rsid w:val="000F6E35"/>
    <w:rsid w:val="000F7F9E"/>
    <w:rsid w:val="001003B7"/>
    <w:rsid w:val="00101650"/>
    <w:rsid w:val="00101E88"/>
    <w:rsid w:val="00102301"/>
    <w:rsid w:val="001024BB"/>
    <w:rsid w:val="00102580"/>
    <w:rsid w:val="00103045"/>
    <w:rsid w:val="001034B9"/>
    <w:rsid w:val="00104A79"/>
    <w:rsid w:val="001058AE"/>
    <w:rsid w:val="001058BB"/>
    <w:rsid w:val="00105936"/>
    <w:rsid w:val="00105FD0"/>
    <w:rsid w:val="00106294"/>
    <w:rsid w:val="00106BC1"/>
    <w:rsid w:val="00107BCF"/>
    <w:rsid w:val="00107F7E"/>
    <w:rsid w:val="00110B94"/>
    <w:rsid w:val="00112930"/>
    <w:rsid w:val="001133B2"/>
    <w:rsid w:val="001134A4"/>
    <w:rsid w:val="0011409C"/>
    <w:rsid w:val="001147C5"/>
    <w:rsid w:val="0011642B"/>
    <w:rsid w:val="001164D2"/>
    <w:rsid w:val="001164DB"/>
    <w:rsid w:val="00120027"/>
    <w:rsid w:val="00120096"/>
    <w:rsid w:val="0012017E"/>
    <w:rsid w:val="001210E1"/>
    <w:rsid w:val="001216C8"/>
    <w:rsid w:val="00122DAE"/>
    <w:rsid w:val="001236B2"/>
    <w:rsid w:val="0012478D"/>
    <w:rsid w:val="00125466"/>
    <w:rsid w:val="0012548C"/>
    <w:rsid w:val="0012580B"/>
    <w:rsid w:val="00125D6E"/>
    <w:rsid w:val="00125D7F"/>
    <w:rsid w:val="00126998"/>
    <w:rsid w:val="001279C3"/>
    <w:rsid w:val="00127AC4"/>
    <w:rsid w:val="0013021F"/>
    <w:rsid w:val="00130A15"/>
    <w:rsid w:val="00131572"/>
    <w:rsid w:val="001320EC"/>
    <w:rsid w:val="00132E82"/>
    <w:rsid w:val="00135979"/>
    <w:rsid w:val="00135D5D"/>
    <w:rsid w:val="00135E24"/>
    <w:rsid w:val="0013663D"/>
    <w:rsid w:val="001403EE"/>
    <w:rsid w:val="00141268"/>
    <w:rsid w:val="00141E2D"/>
    <w:rsid w:val="00142A15"/>
    <w:rsid w:val="00142B36"/>
    <w:rsid w:val="00143324"/>
    <w:rsid w:val="00143852"/>
    <w:rsid w:val="00143E90"/>
    <w:rsid w:val="0014465C"/>
    <w:rsid w:val="001454FE"/>
    <w:rsid w:val="00145A41"/>
    <w:rsid w:val="001463C9"/>
    <w:rsid w:val="00146A2F"/>
    <w:rsid w:val="00147488"/>
    <w:rsid w:val="001500EA"/>
    <w:rsid w:val="00150B52"/>
    <w:rsid w:val="00150CE8"/>
    <w:rsid w:val="00150FD0"/>
    <w:rsid w:val="00151C11"/>
    <w:rsid w:val="001524B1"/>
    <w:rsid w:val="00152880"/>
    <w:rsid w:val="00152906"/>
    <w:rsid w:val="00152D85"/>
    <w:rsid w:val="00153493"/>
    <w:rsid w:val="00153507"/>
    <w:rsid w:val="001543D2"/>
    <w:rsid w:val="0015470E"/>
    <w:rsid w:val="00154C35"/>
    <w:rsid w:val="00155037"/>
    <w:rsid w:val="00155DF0"/>
    <w:rsid w:val="00156524"/>
    <w:rsid w:val="00156D25"/>
    <w:rsid w:val="00156DB6"/>
    <w:rsid w:val="0015767F"/>
    <w:rsid w:val="00157F7D"/>
    <w:rsid w:val="001603C2"/>
    <w:rsid w:val="0016070B"/>
    <w:rsid w:val="00160A6F"/>
    <w:rsid w:val="00160E4A"/>
    <w:rsid w:val="00161D43"/>
    <w:rsid w:val="00162518"/>
    <w:rsid w:val="00162805"/>
    <w:rsid w:val="00162B63"/>
    <w:rsid w:val="00162D89"/>
    <w:rsid w:val="00162DD2"/>
    <w:rsid w:val="001630F5"/>
    <w:rsid w:val="00163676"/>
    <w:rsid w:val="0016383A"/>
    <w:rsid w:val="00163967"/>
    <w:rsid w:val="001639C9"/>
    <w:rsid w:val="00163A08"/>
    <w:rsid w:val="00163C8F"/>
    <w:rsid w:val="00163F09"/>
    <w:rsid w:val="0016424B"/>
    <w:rsid w:val="001645DA"/>
    <w:rsid w:val="00164BA0"/>
    <w:rsid w:val="001654FB"/>
    <w:rsid w:val="00165D2F"/>
    <w:rsid w:val="00166C15"/>
    <w:rsid w:val="00166CD5"/>
    <w:rsid w:val="00167259"/>
    <w:rsid w:val="001702B8"/>
    <w:rsid w:val="001702C5"/>
    <w:rsid w:val="00171441"/>
    <w:rsid w:val="0017159B"/>
    <w:rsid w:val="0017338C"/>
    <w:rsid w:val="001738A1"/>
    <w:rsid w:val="00174ADF"/>
    <w:rsid w:val="00175ED4"/>
    <w:rsid w:val="001765B6"/>
    <w:rsid w:val="00177906"/>
    <w:rsid w:val="0018071C"/>
    <w:rsid w:val="00180A46"/>
    <w:rsid w:val="00181125"/>
    <w:rsid w:val="0018177D"/>
    <w:rsid w:val="001818A6"/>
    <w:rsid w:val="00182112"/>
    <w:rsid w:val="00182920"/>
    <w:rsid w:val="00183223"/>
    <w:rsid w:val="001843DD"/>
    <w:rsid w:val="001853F3"/>
    <w:rsid w:val="0018583A"/>
    <w:rsid w:val="0018584B"/>
    <w:rsid w:val="00190284"/>
    <w:rsid w:val="00191935"/>
    <w:rsid w:val="0019193A"/>
    <w:rsid w:val="00191D29"/>
    <w:rsid w:val="00192BA5"/>
    <w:rsid w:val="001933FA"/>
    <w:rsid w:val="0019497D"/>
    <w:rsid w:val="001956D0"/>
    <w:rsid w:val="00195B27"/>
    <w:rsid w:val="00196A48"/>
    <w:rsid w:val="0019704B"/>
    <w:rsid w:val="00197C3F"/>
    <w:rsid w:val="00197C6E"/>
    <w:rsid w:val="001A0173"/>
    <w:rsid w:val="001A04BE"/>
    <w:rsid w:val="001A08EC"/>
    <w:rsid w:val="001A0B8F"/>
    <w:rsid w:val="001A128D"/>
    <w:rsid w:val="001A172B"/>
    <w:rsid w:val="001A17EE"/>
    <w:rsid w:val="001A1DE5"/>
    <w:rsid w:val="001A35DD"/>
    <w:rsid w:val="001A38BE"/>
    <w:rsid w:val="001A3C8E"/>
    <w:rsid w:val="001A483C"/>
    <w:rsid w:val="001A4CD4"/>
    <w:rsid w:val="001A67E1"/>
    <w:rsid w:val="001A6A9B"/>
    <w:rsid w:val="001A7420"/>
    <w:rsid w:val="001A7B7D"/>
    <w:rsid w:val="001B0138"/>
    <w:rsid w:val="001B0276"/>
    <w:rsid w:val="001B085D"/>
    <w:rsid w:val="001B1029"/>
    <w:rsid w:val="001B1182"/>
    <w:rsid w:val="001B2102"/>
    <w:rsid w:val="001B2999"/>
    <w:rsid w:val="001B2F16"/>
    <w:rsid w:val="001B343B"/>
    <w:rsid w:val="001B4334"/>
    <w:rsid w:val="001B5A42"/>
    <w:rsid w:val="001B6436"/>
    <w:rsid w:val="001B7373"/>
    <w:rsid w:val="001C04DA"/>
    <w:rsid w:val="001C1118"/>
    <w:rsid w:val="001C2661"/>
    <w:rsid w:val="001C2C13"/>
    <w:rsid w:val="001C30FF"/>
    <w:rsid w:val="001C5C2B"/>
    <w:rsid w:val="001C7ABB"/>
    <w:rsid w:val="001D166E"/>
    <w:rsid w:val="001D1BEF"/>
    <w:rsid w:val="001D1D5A"/>
    <w:rsid w:val="001D345A"/>
    <w:rsid w:val="001D35D3"/>
    <w:rsid w:val="001D3F3A"/>
    <w:rsid w:val="001D5453"/>
    <w:rsid w:val="001D5F42"/>
    <w:rsid w:val="001D61DA"/>
    <w:rsid w:val="001D6832"/>
    <w:rsid w:val="001D706B"/>
    <w:rsid w:val="001D72A5"/>
    <w:rsid w:val="001D7482"/>
    <w:rsid w:val="001E0099"/>
    <w:rsid w:val="001E0722"/>
    <w:rsid w:val="001E1709"/>
    <w:rsid w:val="001E17F8"/>
    <w:rsid w:val="001E17FC"/>
    <w:rsid w:val="001E24F7"/>
    <w:rsid w:val="001E27C8"/>
    <w:rsid w:val="001E4554"/>
    <w:rsid w:val="001E4716"/>
    <w:rsid w:val="001E4AC1"/>
    <w:rsid w:val="001E4C37"/>
    <w:rsid w:val="001E4D94"/>
    <w:rsid w:val="001E5896"/>
    <w:rsid w:val="001E6409"/>
    <w:rsid w:val="001E6B9A"/>
    <w:rsid w:val="001E73CB"/>
    <w:rsid w:val="001E780B"/>
    <w:rsid w:val="001F02F1"/>
    <w:rsid w:val="001F034F"/>
    <w:rsid w:val="001F05D0"/>
    <w:rsid w:val="001F0649"/>
    <w:rsid w:val="001F1B9B"/>
    <w:rsid w:val="001F212F"/>
    <w:rsid w:val="001F23B1"/>
    <w:rsid w:val="001F3742"/>
    <w:rsid w:val="001F5358"/>
    <w:rsid w:val="001F5D13"/>
    <w:rsid w:val="001F7A85"/>
    <w:rsid w:val="001F7F0C"/>
    <w:rsid w:val="00200401"/>
    <w:rsid w:val="00200AC5"/>
    <w:rsid w:val="00200F46"/>
    <w:rsid w:val="002012BE"/>
    <w:rsid w:val="002028A6"/>
    <w:rsid w:val="00202F6F"/>
    <w:rsid w:val="00203EDB"/>
    <w:rsid w:val="002056C0"/>
    <w:rsid w:val="00207350"/>
    <w:rsid w:val="00207529"/>
    <w:rsid w:val="002121FD"/>
    <w:rsid w:val="00212D24"/>
    <w:rsid w:val="00212F69"/>
    <w:rsid w:val="002131B1"/>
    <w:rsid w:val="00213C2E"/>
    <w:rsid w:val="00214244"/>
    <w:rsid w:val="00215764"/>
    <w:rsid w:val="00215989"/>
    <w:rsid w:val="00215FFF"/>
    <w:rsid w:val="002161E0"/>
    <w:rsid w:val="002169D5"/>
    <w:rsid w:val="0021718E"/>
    <w:rsid w:val="00217281"/>
    <w:rsid w:val="002177D7"/>
    <w:rsid w:val="002201A3"/>
    <w:rsid w:val="002201AC"/>
    <w:rsid w:val="00220327"/>
    <w:rsid w:val="00220BAF"/>
    <w:rsid w:val="002211DB"/>
    <w:rsid w:val="00221C4C"/>
    <w:rsid w:val="00221EEC"/>
    <w:rsid w:val="00223561"/>
    <w:rsid w:val="002236D4"/>
    <w:rsid w:val="00224BFB"/>
    <w:rsid w:val="00226394"/>
    <w:rsid w:val="00226D6F"/>
    <w:rsid w:val="002273BD"/>
    <w:rsid w:val="00227857"/>
    <w:rsid w:val="0022799A"/>
    <w:rsid w:val="00227EF3"/>
    <w:rsid w:val="00231132"/>
    <w:rsid w:val="00231153"/>
    <w:rsid w:val="002317BE"/>
    <w:rsid w:val="0023292C"/>
    <w:rsid w:val="0023380B"/>
    <w:rsid w:val="00233974"/>
    <w:rsid w:val="00233F33"/>
    <w:rsid w:val="00233F68"/>
    <w:rsid w:val="00233F79"/>
    <w:rsid w:val="00234ACE"/>
    <w:rsid w:val="00234EB7"/>
    <w:rsid w:val="002351C6"/>
    <w:rsid w:val="002356B0"/>
    <w:rsid w:val="002359D2"/>
    <w:rsid w:val="00240D1A"/>
    <w:rsid w:val="00240E32"/>
    <w:rsid w:val="00241A49"/>
    <w:rsid w:val="00243667"/>
    <w:rsid w:val="00243A90"/>
    <w:rsid w:val="00244C52"/>
    <w:rsid w:val="00244E6E"/>
    <w:rsid w:val="002452B4"/>
    <w:rsid w:val="00246CBC"/>
    <w:rsid w:val="00250425"/>
    <w:rsid w:val="00250A24"/>
    <w:rsid w:val="00250C5E"/>
    <w:rsid w:val="002511EE"/>
    <w:rsid w:val="00251BE5"/>
    <w:rsid w:val="00252EC6"/>
    <w:rsid w:val="00253149"/>
    <w:rsid w:val="002542CF"/>
    <w:rsid w:val="00255B60"/>
    <w:rsid w:val="00255F09"/>
    <w:rsid w:val="00256529"/>
    <w:rsid w:val="00256C33"/>
    <w:rsid w:val="00256C49"/>
    <w:rsid w:val="00256D65"/>
    <w:rsid w:val="002573DC"/>
    <w:rsid w:val="0025752C"/>
    <w:rsid w:val="00257C69"/>
    <w:rsid w:val="00260F4A"/>
    <w:rsid w:val="00261628"/>
    <w:rsid w:val="00261850"/>
    <w:rsid w:val="00261CCB"/>
    <w:rsid w:val="002626F5"/>
    <w:rsid w:val="00262C26"/>
    <w:rsid w:val="00262CCF"/>
    <w:rsid w:val="0026324D"/>
    <w:rsid w:val="00263C95"/>
    <w:rsid w:val="00264A12"/>
    <w:rsid w:val="00265DB0"/>
    <w:rsid w:val="002660A3"/>
    <w:rsid w:val="00266274"/>
    <w:rsid w:val="002666C4"/>
    <w:rsid w:val="00267E09"/>
    <w:rsid w:val="00267F3C"/>
    <w:rsid w:val="00270265"/>
    <w:rsid w:val="0027051A"/>
    <w:rsid w:val="00270848"/>
    <w:rsid w:val="00271741"/>
    <w:rsid w:val="00271835"/>
    <w:rsid w:val="00271985"/>
    <w:rsid w:val="0027217A"/>
    <w:rsid w:val="002721CD"/>
    <w:rsid w:val="002727D4"/>
    <w:rsid w:val="00272E90"/>
    <w:rsid w:val="002738E7"/>
    <w:rsid w:val="00273F66"/>
    <w:rsid w:val="002747B1"/>
    <w:rsid w:val="002747BF"/>
    <w:rsid w:val="0027484D"/>
    <w:rsid w:val="002765ED"/>
    <w:rsid w:val="002778E6"/>
    <w:rsid w:val="00277A0B"/>
    <w:rsid w:val="00280B0A"/>
    <w:rsid w:val="00280B84"/>
    <w:rsid w:val="00280D4F"/>
    <w:rsid w:val="0028123B"/>
    <w:rsid w:val="002820EE"/>
    <w:rsid w:val="00282466"/>
    <w:rsid w:val="0028323C"/>
    <w:rsid w:val="00283256"/>
    <w:rsid w:val="0028366D"/>
    <w:rsid w:val="00284CD9"/>
    <w:rsid w:val="00284CFF"/>
    <w:rsid w:val="00284F79"/>
    <w:rsid w:val="002855B3"/>
    <w:rsid w:val="00286813"/>
    <w:rsid w:val="00287568"/>
    <w:rsid w:val="00287E19"/>
    <w:rsid w:val="00290CE0"/>
    <w:rsid w:val="00292353"/>
    <w:rsid w:val="00293588"/>
    <w:rsid w:val="0029368D"/>
    <w:rsid w:val="002959C2"/>
    <w:rsid w:val="00295D36"/>
    <w:rsid w:val="00295E7E"/>
    <w:rsid w:val="00295F63"/>
    <w:rsid w:val="0029611B"/>
    <w:rsid w:val="00296E2A"/>
    <w:rsid w:val="00297834"/>
    <w:rsid w:val="00297D57"/>
    <w:rsid w:val="002A08F4"/>
    <w:rsid w:val="002A1910"/>
    <w:rsid w:val="002A1B78"/>
    <w:rsid w:val="002A2008"/>
    <w:rsid w:val="002A2026"/>
    <w:rsid w:val="002A3E05"/>
    <w:rsid w:val="002A4686"/>
    <w:rsid w:val="002A5BEF"/>
    <w:rsid w:val="002A6DE2"/>
    <w:rsid w:val="002A700A"/>
    <w:rsid w:val="002A75DA"/>
    <w:rsid w:val="002A78A4"/>
    <w:rsid w:val="002A7E6B"/>
    <w:rsid w:val="002A7E94"/>
    <w:rsid w:val="002B030E"/>
    <w:rsid w:val="002B0E87"/>
    <w:rsid w:val="002B1BF2"/>
    <w:rsid w:val="002B21F0"/>
    <w:rsid w:val="002B2E34"/>
    <w:rsid w:val="002B398F"/>
    <w:rsid w:val="002B3C49"/>
    <w:rsid w:val="002B4149"/>
    <w:rsid w:val="002B4151"/>
    <w:rsid w:val="002B4B35"/>
    <w:rsid w:val="002B4DA8"/>
    <w:rsid w:val="002B51B1"/>
    <w:rsid w:val="002B5AF1"/>
    <w:rsid w:val="002B7BC9"/>
    <w:rsid w:val="002C00DF"/>
    <w:rsid w:val="002C0838"/>
    <w:rsid w:val="002C112F"/>
    <w:rsid w:val="002C1398"/>
    <w:rsid w:val="002C17B2"/>
    <w:rsid w:val="002C3C7F"/>
    <w:rsid w:val="002C565C"/>
    <w:rsid w:val="002C5B97"/>
    <w:rsid w:val="002C5BC3"/>
    <w:rsid w:val="002C5CAC"/>
    <w:rsid w:val="002C6C6F"/>
    <w:rsid w:val="002C71C4"/>
    <w:rsid w:val="002C7A19"/>
    <w:rsid w:val="002D1310"/>
    <w:rsid w:val="002D24BC"/>
    <w:rsid w:val="002D266D"/>
    <w:rsid w:val="002D34D6"/>
    <w:rsid w:val="002D461E"/>
    <w:rsid w:val="002D5CCB"/>
    <w:rsid w:val="002D6E61"/>
    <w:rsid w:val="002D6F48"/>
    <w:rsid w:val="002D6F4A"/>
    <w:rsid w:val="002E1441"/>
    <w:rsid w:val="002E18FE"/>
    <w:rsid w:val="002E1907"/>
    <w:rsid w:val="002E1B26"/>
    <w:rsid w:val="002E2AFF"/>
    <w:rsid w:val="002E36EA"/>
    <w:rsid w:val="002E3B04"/>
    <w:rsid w:val="002E3D58"/>
    <w:rsid w:val="002E4F84"/>
    <w:rsid w:val="002E522A"/>
    <w:rsid w:val="002E5DE0"/>
    <w:rsid w:val="002E64E4"/>
    <w:rsid w:val="002E787D"/>
    <w:rsid w:val="002E7B9E"/>
    <w:rsid w:val="002F1372"/>
    <w:rsid w:val="002F194E"/>
    <w:rsid w:val="002F1BE7"/>
    <w:rsid w:val="002F1C31"/>
    <w:rsid w:val="002F2AB0"/>
    <w:rsid w:val="002F3025"/>
    <w:rsid w:val="002F3DAC"/>
    <w:rsid w:val="002F4244"/>
    <w:rsid w:val="002F47D1"/>
    <w:rsid w:val="002F4A84"/>
    <w:rsid w:val="002F543E"/>
    <w:rsid w:val="002F6F0E"/>
    <w:rsid w:val="002F7033"/>
    <w:rsid w:val="002F7066"/>
    <w:rsid w:val="002F758F"/>
    <w:rsid w:val="002F78D3"/>
    <w:rsid w:val="002F7926"/>
    <w:rsid w:val="002F7934"/>
    <w:rsid w:val="002F7943"/>
    <w:rsid w:val="002F7AE1"/>
    <w:rsid w:val="002F7DF7"/>
    <w:rsid w:val="003000EA"/>
    <w:rsid w:val="00301705"/>
    <w:rsid w:val="00301805"/>
    <w:rsid w:val="0030182F"/>
    <w:rsid w:val="00301C53"/>
    <w:rsid w:val="003030EC"/>
    <w:rsid w:val="00304C4D"/>
    <w:rsid w:val="00305992"/>
    <w:rsid w:val="003062E2"/>
    <w:rsid w:val="00306516"/>
    <w:rsid w:val="0030758C"/>
    <w:rsid w:val="00310816"/>
    <w:rsid w:val="00310B64"/>
    <w:rsid w:val="00311578"/>
    <w:rsid w:val="00312601"/>
    <w:rsid w:val="00312737"/>
    <w:rsid w:val="003132AA"/>
    <w:rsid w:val="0031331B"/>
    <w:rsid w:val="00313C26"/>
    <w:rsid w:val="003148DD"/>
    <w:rsid w:val="00315642"/>
    <w:rsid w:val="00315A0E"/>
    <w:rsid w:val="0031611B"/>
    <w:rsid w:val="00316BC8"/>
    <w:rsid w:val="00317178"/>
    <w:rsid w:val="003172D4"/>
    <w:rsid w:val="0032086C"/>
    <w:rsid w:val="00321E2F"/>
    <w:rsid w:val="003239DC"/>
    <w:rsid w:val="00324BC1"/>
    <w:rsid w:val="00324CA3"/>
    <w:rsid w:val="003254FE"/>
    <w:rsid w:val="00325892"/>
    <w:rsid w:val="00325ACA"/>
    <w:rsid w:val="00327C8A"/>
    <w:rsid w:val="00330095"/>
    <w:rsid w:val="00333D16"/>
    <w:rsid w:val="003342EB"/>
    <w:rsid w:val="00334816"/>
    <w:rsid w:val="00334F02"/>
    <w:rsid w:val="00335813"/>
    <w:rsid w:val="00335BE4"/>
    <w:rsid w:val="003360AA"/>
    <w:rsid w:val="003375BB"/>
    <w:rsid w:val="0033787B"/>
    <w:rsid w:val="00337B79"/>
    <w:rsid w:val="003400F2"/>
    <w:rsid w:val="003415CD"/>
    <w:rsid w:val="00341937"/>
    <w:rsid w:val="00341BEA"/>
    <w:rsid w:val="00341F1A"/>
    <w:rsid w:val="00342CA8"/>
    <w:rsid w:val="00343F33"/>
    <w:rsid w:val="003447E1"/>
    <w:rsid w:val="003454A4"/>
    <w:rsid w:val="0034560A"/>
    <w:rsid w:val="00350C5C"/>
    <w:rsid w:val="0035160E"/>
    <w:rsid w:val="00353216"/>
    <w:rsid w:val="0035669C"/>
    <w:rsid w:val="00357D45"/>
    <w:rsid w:val="00357F9B"/>
    <w:rsid w:val="00360341"/>
    <w:rsid w:val="003606F6"/>
    <w:rsid w:val="0036268A"/>
    <w:rsid w:val="0036379A"/>
    <w:rsid w:val="00364CE4"/>
    <w:rsid w:val="00364EFC"/>
    <w:rsid w:val="00366A7F"/>
    <w:rsid w:val="00366D2B"/>
    <w:rsid w:val="0036742D"/>
    <w:rsid w:val="00367A89"/>
    <w:rsid w:val="00367C1D"/>
    <w:rsid w:val="00367D62"/>
    <w:rsid w:val="003700D1"/>
    <w:rsid w:val="00373921"/>
    <w:rsid w:val="00374024"/>
    <w:rsid w:val="003769CF"/>
    <w:rsid w:val="00376BDD"/>
    <w:rsid w:val="003805BA"/>
    <w:rsid w:val="00380779"/>
    <w:rsid w:val="00380782"/>
    <w:rsid w:val="003815E6"/>
    <w:rsid w:val="00381E0E"/>
    <w:rsid w:val="00382B58"/>
    <w:rsid w:val="00382CC3"/>
    <w:rsid w:val="003835EF"/>
    <w:rsid w:val="00384449"/>
    <w:rsid w:val="003845BF"/>
    <w:rsid w:val="003846D7"/>
    <w:rsid w:val="003849D0"/>
    <w:rsid w:val="00385007"/>
    <w:rsid w:val="003850F8"/>
    <w:rsid w:val="00385788"/>
    <w:rsid w:val="00386150"/>
    <w:rsid w:val="00386210"/>
    <w:rsid w:val="0038657B"/>
    <w:rsid w:val="0038691E"/>
    <w:rsid w:val="00386B77"/>
    <w:rsid w:val="00386C3F"/>
    <w:rsid w:val="00387A63"/>
    <w:rsid w:val="003902AE"/>
    <w:rsid w:val="00390499"/>
    <w:rsid w:val="0039137A"/>
    <w:rsid w:val="003913AB"/>
    <w:rsid w:val="003913AC"/>
    <w:rsid w:val="003913BC"/>
    <w:rsid w:val="0039185B"/>
    <w:rsid w:val="00393170"/>
    <w:rsid w:val="003939C2"/>
    <w:rsid w:val="003947D6"/>
    <w:rsid w:val="0039489D"/>
    <w:rsid w:val="00394D59"/>
    <w:rsid w:val="00396682"/>
    <w:rsid w:val="0039719A"/>
    <w:rsid w:val="003979E2"/>
    <w:rsid w:val="00397AA0"/>
    <w:rsid w:val="00397FA4"/>
    <w:rsid w:val="003A1146"/>
    <w:rsid w:val="003A14A1"/>
    <w:rsid w:val="003A1F5B"/>
    <w:rsid w:val="003A2206"/>
    <w:rsid w:val="003A221C"/>
    <w:rsid w:val="003A2D74"/>
    <w:rsid w:val="003A369B"/>
    <w:rsid w:val="003A40A3"/>
    <w:rsid w:val="003A4433"/>
    <w:rsid w:val="003A44B9"/>
    <w:rsid w:val="003A4A57"/>
    <w:rsid w:val="003A5054"/>
    <w:rsid w:val="003A521E"/>
    <w:rsid w:val="003A5E79"/>
    <w:rsid w:val="003A5F71"/>
    <w:rsid w:val="003A6D19"/>
    <w:rsid w:val="003A6D91"/>
    <w:rsid w:val="003A77F1"/>
    <w:rsid w:val="003A7E86"/>
    <w:rsid w:val="003B0B2C"/>
    <w:rsid w:val="003B2150"/>
    <w:rsid w:val="003B2B53"/>
    <w:rsid w:val="003B3A46"/>
    <w:rsid w:val="003B5C01"/>
    <w:rsid w:val="003B5D15"/>
    <w:rsid w:val="003B72D4"/>
    <w:rsid w:val="003B7D90"/>
    <w:rsid w:val="003B7E3B"/>
    <w:rsid w:val="003C0638"/>
    <w:rsid w:val="003C0A53"/>
    <w:rsid w:val="003C0B48"/>
    <w:rsid w:val="003C1697"/>
    <w:rsid w:val="003C217C"/>
    <w:rsid w:val="003C2398"/>
    <w:rsid w:val="003C31C1"/>
    <w:rsid w:val="003C32B4"/>
    <w:rsid w:val="003C37A6"/>
    <w:rsid w:val="003C3F32"/>
    <w:rsid w:val="003C4255"/>
    <w:rsid w:val="003C4A26"/>
    <w:rsid w:val="003C4C17"/>
    <w:rsid w:val="003C4DCA"/>
    <w:rsid w:val="003C4E5B"/>
    <w:rsid w:val="003C71FB"/>
    <w:rsid w:val="003C76B4"/>
    <w:rsid w:val="003D016B"/>
    <w:rsid w:val="003D09A0"/>
    <w:rsid w:val="003D1303"/>
    <w:rsid w:val="003D1699"/>
    <w:rsid w:val="003D1A39"/>
    <w:rsid w:val="003D260D"/>
    <w:rsid w:val="003D2BEE"/>
    <w:rsid w:val="003D454C"/>
    <w:rsid w:val="003D4E9C"/>
    <w:rsid w:val="003D5135"/>
    <w:rsid w:val="003D56F7"/>
    <w:rsid w:val="003D66F8"/>
    <w:rsid w:val="003D6AB0"/>
    <w:rsid w:val="003D6FDC"/>
    <w:rsid w:val="003E0083"/>
    <w:rsid w:val="003E00B2"/>
    <w:rsid w:val="003E0854"/>
    <w:rsid w:val="003E19B8"/>
    <w:rsid w:val="003E1AA3"/>
    <w:rsid w:val="003E2188"/>
    <w:rsid w:val="003E3A9F"/>
    <w:rsid w:val="003E3D78"/>
    <w:rsid w:val="003E4560"/>
    <w:rsid w:val="003E458C"/>
    <w:rsid w:val="003E45AB"/>
    <w:rsid w:val="003E52C5"/>
    <w:rsid w:val="003E6096"/>
    <w:rsid w:val="003E69E9"/>
    <w:rsid w:val="003F0401"/>
    <w:rsid w:val="003F0497"/>
    <w:rsid w:val="003F049B"/>
    <w:rsid w:val="003F08FA"/>
    <w:rsid w:val="003F0D03"/>
    <w:rsid w:val="003F0FED"/>
    <w:rsid w:val="003F101D"/>
    <w:rsid w:val="003F16C2"/>
    <w:rsid w:val="003F338C"/>
    <w:rsid w:val="003F3E26"/>
    <w:rsid w:val="003F3EAE"/>
    <w:rsid w:val="003F42F3"/>
    <w:rsid w:val="003F53A3"/>
    <w:rsid w:val="003F612D"/>
    <w:rsid w:val="00400141"/>
    <w:rsid w:val="00400581"/>
    <w:rsid w:val="00400F25"/>
    <w:rsid w:val="00401590"/>
    <w:rsid w:val="004017AE"/>
    <w:rsid w:val="00401E38"/>
    <w:rsid w:val="00403113"/>
    <w:rsid w:val="00405EEC"/>
    <w:rsid w:val="0040624D"/>
    <w:rsid w:val="004073DA"/>
    <w:rsid w:val="0040766C"/>
    <w:rsid w:val="0041070A"/>
    <w:rsid w:val="00410A6E"/>
    <w:rsid w:val="00411564"/>
    <w:rsid w:val="00414302"/>
    <w:rsid w:val="004144C9"/>
    <w:rsid w:val="0041464E"/>
    <w:rsid w:val="00417853"/>
    <w:rsid w:val="0041796E"/>
    <w:rsid w:val="00420112"/>
    <w:rsid w:val="00420565"/>
    <w:rsid w:val="00420799"/>
    <w:rsid w:val="00421348"/>
    <w:rsid w:val="004215EF"/>
    <w:rsid w:val="00422658"/>
    <w:rsid w:val="00422756"/>
    <w:rsid w:val="004228AB"/>
    <w:rsid w:val="004239E9"/>
    <w:rsid w:val="00424A6B"/>
    <w:rsid w:val="00425331"/>
    <w:rsid w:val="0042582A"/>
    <w:rsid w:val="00425AF3"/>
    <w:rsid w:val="00425E88"/>
    <w:rsid w:val="004266FB"/>
    <w:rsid w:val="0042779B"/>
    <w:rsid w:val="0042796E"/>
    <w:rsid w:val="00427D25"/>
    <w:rsid w:val="004306C0"/>
    <w:rsid w:val="00430AF8"/>
    <w:rsid w:val="004312F3"/>
    <w:rsid w:val="004327CA"/>
    <w:rsid w:val="004331FD"/>
    <w:rsid w:val="00433582"/>
    <w:rsid w:val="0043448E"/>
    <w:rsid w:val="00434870"/>
    <w:rsid w:val="00434BF7"/>
    <w:rsid w:val="00434BF8"/>
    <w:rsid w:val="00434D09"/>
    <w:rsid w:val="00435285"/>
    <w:rsid w:val="00435378"/>
    <w:rsid w:val="004359F2"/>
    <w:rsid w:val="00435BA6"/>
    <w:rsid w:val="00435E04"/>
    <w:rsid w:val="00435E7D"/>
    <w:rsid w:val="004365EE"/>
    <w:rsid w:val="004367B6"/>
    <w:rsid w:val="0043689D"/>
    <w:rsid w:val="00436AFA"/>
    <w:rsid w:val="00437390"/>
    <w:rsid w:val="00437CA3"/>
    <w:rsid w:val="00442070"/>
    <w:rsid w:val="004421D1"/>
    <w:rsid w:val="0044283F"/>
    <w:rsid w:val="00442D3F"/>
    <w:rsid w:val="0044372A"/>
    <w:rsid w:val="00444B1E"/>
    <w:rsid w:val="004452B2"/>
    <w:rsid w:val="00445377"/>
    <w:rsid w:val="00446B46"/>
    <w:rsid w:val="00446D1B"/>
    <w:rsid w:val="00446E9A"/>
    <w:rsid w:val="00447106"/>
    <w:rsid w:val="004476EC"/>
    <w:rsid w:val="00447795"/>
    <w:rsid w:val="00447804"/>
    <w:rsid w:val="00447F8C"/>
    <w:rsid w:val="00450139"/>
    <w:rsid w:val="004508C9"/>
    <w:rsid w:val="004511F9"/>
    <w:rsid w:val="0045283A"/>
    <w:rsid w:val="00456F51"/>
    <w:rsid w:val="00460C58"/>
    <w:rsid w:val="00461896"/>
    <w:rsid w:val="00462C26"/>
    <w:rsid w:val="00462DD1"/>
    <w:rsid w:val="00463659"/>
    <w:rsid w:val="00463D8E"/>
    <w:rsid w:val="00464549"/>
    <w:rsid w:val="00465034"/>
    <w:rsid w:val="00465232"/>
    <w:rsid w:val="00470009"/>
    <w:rsid w:val="00470942"/>
    <w:rsid w:val="0047244B"/>
    <w:rsid w:val="0047275C"/>
    <w:rsid w:val="00472F12"/>
    <w:rsid w:val="00473016"/>
    <w:rsid w:val="004730AC"/>
    <w:rsid w:val="004731CC"/>
    <w:rsid w:val="00473352"/>
    <w:rsid w:val="00473E67"/>
    <w:rsid w:val="0047403D"/>
    <w:rsid w:val="004741E2"/>
    <w:rsid w:val="00474344"/>
    <w:rsid w:val="00474628"/>
    <w:rsid w:val="00475511"/>
    <w:rsid w:val="00475F65"/>
    <w:rsid w:val="00476223"/>
    <w:rsid w:val="0048121F"/>
    <w:rsid w:val="00481679"/>
    <w:rsid w:val="004816A2"/>
    <w:rsid w:val="0048288F"/>
    <w:rsid w:val="00482D27"/>
    <w:rsid w:val="00483494"/>
    <w:rsid w:val="0048362A"/>
    <w:rsid w:val="004842AE"/>
    <w:rsid w:val="0048464E"/>
    <w:rsid w:val="00485176"/>
    <w:rsid w:val="004851EE"/>
    <w:rsid w:val="004851F0"/>
    <w:rsid w:val="00485EDE"/>
    <w:rsid w:val="00485F2D"/>
    <w:rsid w:val="00486D02"/>
    <w:rsid w:val="004870F3"/>
    <w:rsid w:val="004871E4"/>
    <w:rsid w:val="004877A7"/>
    <w:rsid w:val="004877BF"/>
    <w:rsid w:val="0049040F"/>
    <w:rsid w:val="00490B1D"/>
    <w:rsid w:val="0049112A"/>
    <w:rsid w:val="0049152A"/>
    <w:rsid w:val="00491F5E"/>
    <w:rsid w:val="0049314F"/>
    <w:rsid w:val="00496649"/>
    <w:rsid w:val="00496D48"/>
    <w:rsid w:val="00496D7E"/>
    <w:rsid w:val="00496F82"/>
    <w:rsid w:val="00497592"/>
    <w:rsid w:val="004A00DF"/>
    <w:rsid w:val="004A1666"/>
    <w:rsid w:val="004A1971"/>
    <w:rsid w:val="004A285D"/>
    <w:rsid w:val="004A41C1"/>
    <w:rsid w:val="004A42F2"/>
    <w:rsid w:val="004A4C1E"/>
    <w:rsid w:val="004A5EC7"/>
    <w:rsid w:val="004A7392"/>
    <w:rsid w:val="004A785A"/>
    <w:rsid w:val="004B018D"/>
    <w:rsid w:val="004B0B39"/>
    <w:rsid w:val="004B0D95"/>
    <w:rsid w:val="004B0F93"/>
    <w:rsid w:val="004B1F7F"/>
    <w:rsid w:val="004B28B5"/>
    <w:rsid w:val="004B40B4"/>
    <w:rsid w:val="004B40D6"/>
    <w:rsid w:val="004B4760"/>
    <w:rsid w:val="004B4F20"/>
    <w:rsid w:val="004B5D5E"/>
    <w:rsid w:val="004B60AC"/>
    <w:rsid w:val="004B6364"/>
    <w:rsid w:val="004B6828"/>
    <w:rsid w:val="004B702D"/>
    <w:rsid w:val="004B703F"/>
    <w:rsid w:val="004B74B3"/>
    <w:rsid w:val="004C0A18"/>
    <w:rsid w:val="004C321B"/>
    <w:rsid w:val="004C3AFB"/>
    <w:rsid w:val="004C4A94"/>
    <w:rsid w:val="004C4C03"/>
    <w:rsid w:val="004C596C"/>
    <w:rsid w:val="004C5F76"/>
    <w:rsid w:val="004C737B"/>
    <w:rsid w:val="004C7385"/>
    <w:rsid w:val="004C7D0E"/>
    <w:rsid w:val="004D07A1"/>
    <w:rsid w:val="004D0A9C"/>
    <w:rsid w:val="004D0CB8"/>
    <w:rsid w:val="004D150F"/>
    <w:rsid w:val="004D155F"/>
    <w:rsid w:val="004D22F4"/>
    <w:rsid w:val="004D27CC"/>
    <w:rsid w:val="004D368E"/>
    <w:rsid w:val="004D4352"/>
    <w:rsid w:val="004D4A8B"/>
    <w:rsid w:val="004D4D58"/>
    <w:rsid w:val="004D5178"/>
    <w:rsid w:val="004D5244"/>
    <w:rsid w:val="004D52C8"/>
    <w:rsid w:val="004D5A35"/>
    <w:rsid w:val="004D67EF"/>
    <w:rsid w:val="004E0946"/>
    <w:rsid w:val="004E097E"/>
    <w:rsid w:val="004E0B28"/>
    <w:rsid w:val="004E0D2F"/>
    <w:rsid w:val="004E1FAA"/>
    <w:rsid w:val="004E36DD"/>
    <w:rsid w:val="004E475D"/>
    <w:rsid w:val="004E4A39"/>
    <w:rsid w:val="004E5129"/>
    <w:rsid w:val="004E531A"/>
    <w:rsid w:val="004E563A"/>
    <w:rsid w:val="004E6E11"/>
    <w:rsid w:val="004E7A53"/>
    <w:rsid w:val="004F0277"/>
    <w:rsid w:val="004F1610"/>
    <w:rsid w:val="004F20FD"/>
    <w:rsid w:val="004F2309"/>
    <w:rsid w:val="004F26D3"/>
    <w:rsid w:val="004F31BF"/>
    <w:rsid w:val="004F3479"/>
    <w:rsid w:val="004F35F3"/>
    <w:rsid w:val="004F3B1B"/>
    <w:rsid w:val="004F3D27"/>
    <w:rsid w:val="004F4D71"/>
    <w:rsid w:val="004F4E22"/>
    <w:rsid w:val="004F597E"/>
    <w:rsid w:val="004F5C80"/>
    <w:rsid w:val="004F60CE"/>
    <w:rsid w:val="004F6692"/>
    <w:rsid w:val="004F68D6"/>
    <w:rsid w:val="004F70B9"/>
    <w:rsid w:val="004F7A50"/>
    <w:rsid w:val="00501439"/>
    <w:rsid w:val="00503229"/>
    <w:rsid w:val="005032F3"/>
    <w:rsid w:val="005044F4"/>
    <w:rsid w:val="00504F08"/>
    <w:rsid w:val="0050636C"/>
    <w:rsid w:val="005065B0"/>
    <w:rsid w:val="00506A84"/>
    <w:rsid w:val="005070AD"/>
    <w:rsid w:val="00507141"/>
    <w:rsid w:val="0050752F"/>
    <w:rsid w:val="00507567"/>
    <w:rsid w:val="00507A3A"/>
    <w:rsid w:val="005103B4"/>
    <w:rsid w:val="00510478"/>
    <w:rsid w:val="00510963"/>
    <w:rsid w:val="00510CE4"/>
    <w:rsid w:val="00510EF8"/>
    <w:rsid w:val="005111A3"/>
    <w:rsid w:val="005111CF"/>
    <w:rsid w:val="00511493"/>
    <w:rsid w:val="00511A8D"/>
    <w:rsid w:val="00511FA6"/>
    <w:rsid w:val="00511FE0"/>
    <w:rsid w:val="005124A4"/>
    <w:rsid w:val="00513413"/>
    <w:rsid w:val="00514875"/>
    <w:rsid w:val="00514F50"/>
    <w:rsid w:val="005153AF"/>
    <w:rsid w:val="0051667B"/>
    <w:rsid w:val="00517189"/>
    <w:rsid w:val="00520226"/>
    <w:rsid w:val="00520DEB"/>
    <w:rsid w:val="00520FED"/>
    <w:rsid w:val="0052123D"/>
    <w:rsid w:val="00521357"/>
    <w:rsid w:val="00521A48"/>
    <w:rsid w:val="00521CC2"/>
    <w:rsid w:val="00523303"/>
    <w:rsid w:val="005234AE"/>
    <w:rsid w:val="005235F4"/>
    <w:rsid w:val="005239CD"/>
    <w:rsid w:val="0052404C"/>
    <w:rsid w:val="0052430B"/>
    <w:rsid w:val="00525E69"/>
    <w:rsid w:val="005268DD"/>
    <w:rsid w:val="00526B40"/>
    <w:rsid w:val="00527CB6"/>
    <w:rsid w:val="00527D4B"/>
    <w:rsid w:val="00527E53"/>
    <w:rsid w:val="0053131A"/>
    <w:rsid w:val="00531F0C"/>
    <w:rsid w:val="0053234E"/>
    <w:rsid w:val="00532A0F"/>
    <w:rsid w:val="00535318"/>
    <w:rsid w:val="00536555"/>
    <w:rsid w:val="005369A3"/>
    <w:rsid w:val="00536AEB"/>
    <w:rsid w:val="00537719"/>
    <w:rsid w:val="00537B49"/>
    <w:rsid w:val="005402B0"/>
    <w:rsid w:val="00540412"/>
    <w:rsid w:val="00540F90"/>
    <w:rsid w:val="0054145C"/>
    <w:rsid w:val="00541C8E"/>
    <w:rsid w:val="0054268A"/>
    <w:rsid w:val="00542E5F"/>
    <w:rsid w:val="00543572"/>
    <w:rsid w:val="00543AE2"/>
    <w:rsid w:val="00544919"/>
    <w:rsid w:val="00544B3E"/>
    <w:rsid w:val="00545169"/>
    <w:rsid w:val="00546154"/>
    <w:rsid w:val="00546162"/>
    <w:rsid w:val="00547A83"/>
    <w:rsid w:val="00547A97"/>
    <w:rsid w:val="00547F3A"/>
    <w:rsid w:val="005506E1"/>
    <w:rsid w:val="00550DCB"/>
    <w:rsid w:val="00551262"/>
    <w:rsid w:val="0055165A"/>
    <w:rsid w:val="00552450"/>
    <w:rsid w:val="00552759"/>
    <w:rsid w:val="005530AF"/>
    <w:rsid w:val="005535E0"/>
    <w:rsid w:val="00553C2F"/>
    <w:rsid w:val="00553C72"/>
    <w:rsid w:val="005541FA"/>
    <w:rsid w:val="00554AC5"/>
    <w:rsid w:val="00555BD2"/>
    <w:rsid w:val="00555F40"/>
    <w:rsid w:val="00557D31"/>
    <w:rsid w:val="0056035B"/>
    <w:rsid w:val="00560D62"/>
    <w:rsid w:val="0056173C"/>
    <w:rsid w:val="005618BA"/>
    <w:rsid w:val="005623E9"/>
    <w:rsid w:val="00564BD8"/>
    <w:rsid w:val="00566BB6"/>
    <w:rsid w:val="00567C22"/>
    <w:rsid w:val="00570AB0"/>
    <w:rsid w:val="00571C8F"/>
    <w:rsid w:val="00572220"/>
    <w:rsid w:val="00572ECE"/>
    <w:rsid w:val="00573ADF"/>
    <w:rsid w:val="00575F33"/>
    <w:rsid w:val="005764AA"/>
    <w:rsid w:val="0057748C"/>
    <w:rsid w:val="0057759E"/>
    <w:rsid w:val="00577BA5"/>
    <w:rsid w:val="00580753"/>
    <w:rsid w:val="00580B7D"/>
    <w:rsid w:val="00580E4B"/>
    <w:rsid w:val="0058142B"/>
    <w:rsid w:val="0058143D"/>
    <w:rsid w:val="00583EBE"/>
    <w:rsid w:val="0058447B"/>
    <w:rsid w:val="00584F15"/>
    <w:rsid w:val="00586548"/>
    <w:rsid w:val="00586B9B"/>
    <w:rsid w:val="00586E88"/>
    <w:rsid w:val="005872C1"/>
    <w:rsid w:val="005878DB"/>
    <w:rsid w:val="005879FC"/>
    <w:rsid w:val="00590703"/>
    <w:rsid w:val="0059295C"/>
    <w:rsid w:val="005931AA"/>
    <w:rsid w:val="00593660"/>
    <w:rsid w:val="0059501E"/>
    <w:rsid w:val="0059551D"/>
    <w:rsid w:val="00595738"/>
    <w:rsid w:val="005960B2"/>
    <w:rsid w:val="00596108"/>
    <w:rsid w:val="005972E1"/>
    <w:rsid w:val="005A07CF"/>
    <w:rsid w:val="005A0A33"/>
    <w:rsid w:val="005A0A75"/>
    <w:rsid w:val="005A1F4A"/>
    <w:rsid w:val="005A210B"/>
    <w:rsid w:val="005A2D2D"/>
    <w:rsid w:val="005A33ED"/>
    <w:rsid w:val="005A385D"/>
    <w:rsid w:val="005A4FF1"/>
    <w:rsid w:val="005A508F"/>
    <w:rsid w:val="005A54C0"/>
    <w:rsid w:val="005A55D1"/>
    <w:rsid w:val="005A566C"/>
    <w:rsid w:val="005A5A56"/>
    <w:rsid w:val="005A72D8"/>
    <w:rsid w:val="005A7965"/>
    <w:rsid w:val="005A7D20"/>
    <w:rsid w:val="005B00EE"/>
    <w:rsid w:val="005B0234"/>
    <w:rsid w:val="005B0986"/>
    <w:rsid w:val="005B0B27"/>
    <w:rsid w:val="005B16E7"/>
    <w:rsid w:val="005B17A9"/>
    <w:rsid w:val="005B1FE6"/>
    <w:rsid w:val="005B2054"/>
    <w:rsid w:val="005B291E"/>
    <w:rsid w:val="005B2980"/>
    <w:rsid w:val="005B2A34"/>
    <w:rsid w:val="005B554F"/>
    <w:rsid w:val="005B5811"/>
    <w:rsid w:val="005B5CA7"/>
    <w:rsid w:val="005B6576"/>
    <w:rsid w:val="005B6C43"/>
    <w:rsid w:val="005B718B"/>
    <w:rsid w:val="005B7A35"/>
    <w:rsid w:val="005C08EA"/>
    <w:rsid w:val="005C0C18"/>
    <w:rsid w:val="005C39F9"/>
    <w:rsid w:val="005C4427"/>
    <w:rsid w:val="005C47B9"/>
    <w:rsid w:val="005C503E"/>
    <w:rsid w:val="005C516F"/>
    <w:rsid w:val="005C5465"/>
    <w:rsid w:val="005C6167"/>
    <w:rsid w:val="005C7389"/>
    <w:rsid w:val="005D0125"/>
    <w:rsid w:val="005D032E"/>
    <w:rsid w:val="005D076C"/>
    <w:rsid w:val="005D0EEE"/>
    <w:rsid w:val="005D0F10"/>
    <w:rsid w:val="005D15AB"/>
    <w:rsid w:val="005D2AC1"/>
    <w:rsid w:val="005D2E3B"/>
    <w:rsid w:val="005D2EB8"/>
    <w:rsid w:val="005D30E1"/>
    <w:rsid w:val="005D472D"/>
    <w:rsid w:val="005D5644"/>
    <w:rsid w:val="005D5652"/>
    <w:rsid w:val="005D5C90"/>
    <w:rsid w:val="005D5D0A"/>
    <w:rsid w:val="005D636B"/>
    <w:rsid w:val="005D6E1C"/>
    <w:rsid w:val="005E03DE"/>
    <w:rsid w:val="005E07A3"/>
    <w:rsid w:val="005E09FB"/>
    <w:rsid w:val="005E10DB"/>
    <w:rsid w:val="005E1D57"/>
    <w:rsid w:val="005E2518"/>
    <w:rsid w:val="005E343F"/>
    <w:rsid w:val="005E34D0"/>
    <w:rsid w:val="005E4D16"/>
    <w:rsid w:val="005E53B3"/>
    <w:rsid w:val="005E5D66"/>
    <w:rsid w:val="005E60D2"/>
    <w:rsid w:val="005E65FE"/>
    <w:rsid w:val="005E779D"/>
    <w:rsid w:val="005F00D0"/>
    <w:rsid w:val="005F03A2"/>
    <w:rsid w:val="005F05F4"/>
    <w:rsid w:val="005F0751"/>
    <w:rsid w:val="005F0E19"/>
    <w:rsid w:val="005F1147"/>
    <w:rsid w:val="005F20AB"/>
    <w:rsid w:val="005F2879"/>
    <w:rsid w:val="005F2F6C"/>
    <w:rsid w:val="005F3000"/>
    <w:rsid w:val="005F321B"/>
    <w:rsid w:val="005F3283"/>
    <w:rsid w:val="005F3AF6"/>
    <w:rsid w:val="005F3B59"/>
    <w:rsid w:val="005F4C9D"/>
    <w:rsid w:val="005F521A"/>
    <w:rsid w:val="005F52DB"/>
    <w:rsid w:val="005F545B"/>
    <w:rsid w:val="005F56F2"/>
    <w:rsid w:val="005F5F22"/>
    <w:rsid w:val="005F611F"/>
    <w:rsid w:val="005F6DF0"/>
    <w:rsid w:val="005F71E4"/>
    <w:rsid w:val="005F7738"/>
    <w:rsid w:val="00600DD7"/>
    <w:rsid w:val="006014EF"/>
    <w:rsid w:val="00601A85"/>
    <w:rsid w:val="00601D85"/>
    <w:rsid w:val="006023EE"/>
    <w:rsid w:val="006024D0"/>
    <w:rsid w:val="00603007"/>
    <w:rsid w:val="00603027"/>
    <w:rsid w:val="00603B06"/>
    <w:rsid w:val="006040E1"/>
    <w:rsid w:val="006045C6"/>
    <w:rsid w:val="006046F0"/>
    <w:rsid w:val="006057B5"/>
    <w:rsid w:val="006058DE"/>
    <w:rsid w:val="00607596"/>
    <w:rsid w:val="006078FA"/>
    <w:rsid w:val="00607BD5"/>
    <w:rsid w:val="006104B1"/>
    <w:rsid w:val="00610998"/>
    <w:rsid w:val="006117DA"/>
    <w:rsid w:val="00612530"/>
    <w:rsid w:val="0061321B"/>
    <w:rsid w:val="00613666"/>
    <w:rsid w:val="00614917"/>
    <w:rsid w:val="00614C85"/>
    <w:rsid w:val="006160DD"/>
    <w:rsid w:val="0061647B"/>
    <w:rsid w:val="00620594"/>
    <w:rsid w:val="00622068"/>
    <w:rsid w:val="00622157"/>
    <w:rsid w:val="00622CA5"/>
    <w:rsid w:val="00623313"/>
    <w:rsid w:val="00623582"/>
    <w:rsid w:val="006243F3"/>
    <w:rsid w:val="00624756"/>
    <w:rsid w:val="006249C4"/>
    <w:rsid w:val="00624E7E"/>
    <w:rsid w:val="00625A57"/>
    <w:rsid w:val="00626109"/>
    <w:rsid w:val="0062645D"/>
    <w:rsid w:val="00626FB7"/>
    <w:rsid w:val="006320B7"/>
    <w:rsid w:val="00632801"/>
    <w:rsid w:val="00634667"/>
    <w:rsid w:val="00634905"/>
    <w:rsid w:val="00634FA0"/>
    <w:rsid w:val="006359F7"/>
    <w:rsid w:val="00635D1F"/>
    <w:rsid w:val="006360AE"/>
    <w:rsid w:val="00636652"/>
    <w:rsid w:val="006415C7"/>
    <w:rsid w:val="00642BA9"/>
    <w:rsid w:val="006440B2"/>
    <w:rsid w:val="00644A27"/>
    <w:rsid w:val="00644D30"/>
    <w:rsid w:val="00645196"/>
    <w:rsid w:val="00645535"/>
    <w:rsid w:val="006460A3"/>
    <w:rsid w:val="00646211"/>
    <w:rsid w:val="00646428"/>
    <w:rsid w:val="0064646B"/>
    <w:rsid w:val="006464BE"/>
    <w:rsid w:val="006467F8"/>
    <w:rsid w:val="0064766E"/>
    <w:rsid w:val="006478DF"/>
    <w:rsid w:val="00647B9A"/>
    <w:rsid w:val="00650E3B"/>
    <w:rsid w:val="00652C47"/>
    <w:rsid w:val="00652D70"/>
    <w:rsid w:val="00652E6A"/>
    <w:rsid w:val="00653374"/>
    <w:rsid w:val="00653702"/>
    <w:rsid w:val="00653936"/>
    <w:rsid w:val="00653AC8"/>
    <w:rsid w:val="00653B3C"/>
    <w:rsid w:val="00654E8C"/>
    <w:rsid w:val="00656205"/>
    <w:rsid w:val="006563F4"/>
    <w:rsid w:val="0065651D"/>
    <w:rsid w:val="00656AB1"/>
    <w:rsid w:val="00657851"/>
    <w:rsid w:val="00657C3C"/>
    <w:rsid w:val="0066018C"/>
    <w:rsid w:val="00660204"/>
    <w:rsid w:val="00661402"/>
    <w:rsid w:val="00662436"/>
    <w:rsid w:val="0066360D"/>
    <w:rsid w:val="006639CA"/>
    <w:rsid w:val="00664531"/>
    <w:rsid w:val="00664686"/>
    <w:rsid w:val="006646D2"/>
    <w:rsid w:val="006663E4"/>
    <w:rsid w:val="006668D7"/>
    <w:rsid w:val="00666939"/>
    <w:rsid w:val="006669EE"/>
    <w:rsid w:val="00666C9D"/>
    <w:rsid w:val="00666F7E"/>
    <w:rsid w:val="00667BFA"/>
    <w:rsid w:val="00667FA6"/>
    <w:rsid w:val="006704C9"/>
    <w:rsid w:val="00671F4D"/>
    <w:rsid w:val="0067283C"/>
    <w:rsid w:val="006736F1"/>
    <w:rsid w:val="0067381D"/>
    <w:rsid w:val="006751F2"/>
    <w:rsid w:val="006767D2"/>
    <w:rsid w:val="00677BCC"/>
    <w:rsid w:val="00680A44"/>
    <w:rsid w:val="00680F28"/>
    <w:rsid w:val="00680FC6"/>
    <w:rsid w:val="00681D10"/>
    <w:rsid w:val="00681E4A"/>
    <w:rsid w:val="00682067"/>
    <w:rsid w:val="0068328D"/>
    <w:rsid w:val="0068418B"/>
    <w:rsid w:val="006842EE"/>
    <w:rsid w:val="006854D2"/>
    <w:rsid w:val="0068575C"/>
    <w:rsid w:val="00685802"/>
    <w:rsid w:val="00685958"/>
    <w:rsid w:val="00685E97"/>
    <w:rsid w:val="006864D3"/>
    <w:rsid w:val="00687667"/>
    <w:rsid w:val="00690003"/>
    <w:rsid w:val="006906C5"/>
    <w:rsid w:val="00691253"/>
    <w:rsid w:val="0069299D"/>
    <w:rsid w:val="00692F6A"/>
    <w:rsid w:val="0069386F"/>
    <w:rsid w:val="00695A3D"/>
    <w:rsid w:val="006960B0"/>
    <w:rsid w:val="0069660D"/>
    <w:rsid w:val="0069661C"/>
    <w:rsid w:val="00696641"/>
    <w:rsid w:val="00696DDD"/>
    <w:rsid w:val="006977E9"/>
    <w:rsid w:val="006A017B"/>
    <w:rsid w:val="006A040A"/>
    <w:rsid w:val="006A0FC0"/>
    <w:rsid w:val="006A17DB"/>
    <w:rsid w:val="006A1C08"/>
    <w:rsid w:val="006A3135"/>
    <w:rsid w:val="006A3DD8"/>
    <w:rsid w:val="006A4957"/>
    <w:rsid w:val="006A54EB"/>
    <w:rsid w:val="006A5AD5"/>
    <w:rsid w:val="006A68AD"/>
    <w:rsid w:val="006A6A00"/>
    <w:rsid w:val="006A7000"/>
    <w:rsid w:val="006A71AF"/>
    <w:rsid w:val="006A779B"/>
    <w:rsid w:val="006B07FC"/>
    <w:rsid w:val="006B111D"/>
    <w:rsid w:val="006B1AE1"/>
    <w:rsid w:val="006B2405"/>
    <w:rsid w:val="006B2628"/>
    <w:rsid w:val="006B264B"/>
    <w:rsid w:val="006B2EC2"/>
    <w:rsid w:val="006B4847"/>
    <w:rsid w:val="006B4E4B"/>
    <w:rsid w:val="006B70C5"/>
    <w:rsid w:val="006B70DB"/>
    <w:rsid w:val="006B75C9"/>
    <w:rsid w:val="006B7947"/>
    <w:rsid w:val="006B7DAD"/>
    <w:rsid w:val="006C0676"/>
    <w:rsid w:val="006C1118"/>
    <w:rsid w:val="006C1825"/>
    <w:rsid w:val="006C341F"/>
    <w:rsid w:val="006C3547"/>
    <w:rsid w:val="006C4023"/>
    <w:rsid w:val="006C516B"/>
    <w:rsid w:val="006C5769"/>
    <w:rsid w:val="006C72C2"/>
    <w:rsid w:val="006C79CF"/>
    <w:rsid w:val="006C7BAD"/>
    <w:rsid w:val="006D1898"/>
    <w:rsid w:val="006D1927"/>
    <w:rsid w:val="006D1D1D"/>
    <w:rsid w:val="006D3F3C"/>
    <w:rsid w:val="006D4294"/>
    <w:rsid w:val="006D4870"/>
    <w:rsid w:val="006D48D6"/>
    <w:rsid w:val="006D4913"/>
    <w:rsid w:val="006D4D5B"/>
    <w:rsid w:val="006D51A0"/>
    <w:rsid w:val="006D58D6"/>
    <w:rsid w:val="006D5AC2"/>
    <w:rsid w:val="006D5C07"/>
    <w:rsid w:val="006D6B3A"/>
    <w:rsid w:val="006D76DA"/>
    <w:rsid w:val="006D7BC0"/>
    <w:rsid w:val="006D7D1F"/>
    <w:rsid w:val="006D7EB4"/>
    <w:rsid w:val="006E0172"/>
    <w:rsid w:val="006E0B92"/>
    <w:rsid w:val="006E0C2E"/>
    <w:rsid w:val="006E0F1D"/>
    <w:rsid w:val="006E16EF"/>
    <w:rsid w:val="006E23F7"/>
    <w:rsid w:val="006E24D6"/>
    <w:rsid w:val="006E3336"/>
    <w:rsid w:val="006E3797"/>
    <w:rsid w:val="006E3DF7"/>
    <w:rsid w:val="006E452D"/>
    <w:rsid w:val="006E510A"/>
    <w:rsid w:val="006E53A1"/>
    <w:rsid w:val="006E6394"/>
    <w:rsid w:val="006E737C"/>
    <w:rsid w:val="006E738B"/>
    <w:rsid w:val="006E765B"/>
    <w:rsid w:val="006E7FE0"/>
    <w:rsid w:val="006F058B"/>
    <w:rsid w:val="006F0CE0"/>
    <w:rsid w:val="006F5AAC"/>
    <w:rsid w:val="006F5D00"/>
    <w:rsid w:val="006F6B71"/>
    <w:rsid w:val="006F70BE"/>
    <w:rsid w:val="006F70F9"/>
    <w:rsid w:val="006F779E"/>
    <w:rsid w:val="006F7B2E"/>
    <w:rsid w:val="006F7DCA"/>
    <w:rsid w:val="00700480"/>
    <w:rsid w:val="00700A6E"/>
    <w:rsid w:val="00701317"/>
    <w:rsid w:val="00701988"/>
    <w:rsid w:val="007019A9"/>
    <w:rsid w:val="007020DC"/>
    <w:rsid w:val="0070229B"/>
    <w:rsid w:val="00702342"/>
    <w:rsid w:val="007025AF"/>
    <w:rsid w:val="00703881"/>
    <w:rsid w:val="007052C4"/>
    <w:rsid w:val="007062B2"/>
    <w:rsid w:val="007067C8"/>
    <w:rsid w:val="00706DD6"/>
    <w:rsid w:val="0071038A"/>
    <w:rsid w:val="007110B9"/>
    <w:rsid w:val="00711C56"/>
    <w:rsid w:val="00711DF0"/>
    <w:rsid w:val="00713439"/>
    <w:rsid w:val="00713C92"/>
    <w:rsid w:val="0071452F"/>
    <w:rsid w:val="0071480F"/>
    <w:rsid w:val="00714902"/>
    <w:rsid w:val="00716234"/>
    <w:rsid w:val="00716344"/>
    <w:rsid w:val="00716CE5"/>
    <w:rsid w:val="00720509"/>
    <w:rsid w:val="007205FD"/>
    <w:rsid w:val="00720957"/>
    <w:rsid w:val="00721A98"/>
    <w:rsid w:val="00721F1F"/>
    <w:rsid w:val="00723342"/>
    <w:rsid w:val="0072388B"/>
    <w:rsid w:val="007238A6"/>
    <w:rsid w:val="00723D88"/>
    <w:rsid w:val="00724066"/>
    <w:rsid w:val="007246F8"/>
    <w:rsid w:val="007259CB"/>
    <w:rsid w:val="0072611B"/>
    <w:rsid w:val="00726145"/>
    <w:rsid w:val="00726574"/>
    <w:rsid w:val="00726747"/>
    <w:rsid w:val="00727622"/>
    <w:rsid w:val="00727961"/>
    <w:rsid w:val="00727B4D"/>
    <w:rsid w:val="00730378"/>
    <w:rsid w:val="007312A2"/>
    <w:rsid w:val="00731433"/>
    <w:rsid w:val="007319A1"/>
    <w:rsid w:val="00731FAC"/>
    <w:rsid w:val="0073206B"/>
    <w:rsid w:val="00733124"/>
    <w:rsid w:val="00733285"/>
    <w:rsid w:val="007356F1"/>
    <w:rsid w:val="00735EFD"/>
    <w:rsid w:val="00740A95"/>
    <w:rsid w:val="00740BA9"/>
    <w:rsid w:val="00740CDA"/>
    <w:rsid w:val="00740D10"/>
    <w:rsid w:val="00741F94"/>
    <w:rsid w:val="00742039"/>
    <w:rsid w:val="00742188"/>
    <w:rsid w:val="007426AD"/>
    <w:rsid w:val="00742D5C"/>
    <w:rsid w:val="00743255"/>
    <w:rsid w:val="00743462"/>
    <w:rsid w:val="00743CD1"/>
    <w:rsid w:val="00744CD0"/>
    <w:rsid w:val="0074514C"/>
    <w:rsid w:val="00745507"/>
    <w:rsid w:val="00745B1D"/>
    <w:rsid w:val="00745C5F"/>
    <w:rsid w:val="00745D59"/>
    <w:rsid w:val="00745F1D"/>
    <w:rsid w:val="00747298"/>
    <w:rsid w:val="0074766E"/>
    <w:rsid w:val="0075025C"/>
    <w:rsid w:val="0075076F"/>
    <w:rsid w:val="00750FDB"/>
    <w:rsid w:val="007514B7"/>
    <w:rsid w:val="00751C10"/>
    <w:rsid w:val="00751C6E"/>
    <w:rsid w:val="007524D9"/>
    <w:rsid w:val="0075267F"/>
    <w:rsid w:val="007530A3"/>
    <w:rsid w:val="0075366C"/>
    <w:rsid w:val="00754F94"/>
    <w:rsid w:val="00755773"/>
    <w:rsid w:val="00755DD9"/>
    <w:rsid w:val="00756403"/>
    <w:rsid w:val="00761417"/>
    <w:rsid w:val="00761743"/>
    <w:rsid w:val="0076249A"/>
    <w:rsid w:val="0076263E"/>
    <w:rsid w:val="00763988"/>
    <w:rsid w:val="00763B83"/>
    <w:rsid w:val="00763CA0"/>
    <w:rsid w:val="00764276"/>
    <w:rsid w:val="00764EF6"/>
    <w:rsid w:val="00765F0B"/>
    <w:rsid w:val="00765FC0"/>
    <w:rsid w:val="00766659"/>
    <w:rsid w:val="00767A3C"/>
    <w:rsid w:val="0077032B"/>
    <w:rsid w:val="007703FF"/>
    <w:rsid w:val="00770582"/>
    <w:rsid w:val="00771E61"/>
    <w:rsid w:val="007722DE"/>
    <w:rsid w:val="007725D9"/>
    <w:rsid w:val="00772C7A"/>
    <w:rsid w:val="00773237"/>
    <w:rsid w:val="00773459"/>
    <w:rsid w:val="00774D41"/>
    <w:rsid w:val="00774E1A"/>
    <w:rsid w:val="0077513D"/>
    <w:rsid w:val="007758DC"/>
    <w:rsid w:val="00775B4F"/>
    <w:rsid w:val="00776E29"/>
    <w:rsid w:val="007777F8"/>
    <w:rsid w:val="007819B0"/>
    <w:rsid w:val="007820A0"/>
    <w:rsid w:val="00782213"/>
    <w:rsid w:val="00784292"/>
    <w:rsid w:val="00785B0F"/>
    <w:rsid w:val="00786253"/>
    <w:rsid w:val="00786379"/>
    <w:rsid w:val="00786F7A"/>
    <w:rsid w:val="00787B92"/>
    <w:rsid w:val="00787E75"/>
    <w:rsid w:val="00790374"/>
    <w:rsid w:val="007903A9"/>
    <w:rsid w:val="0079114D"/>
    <w:rsid w:val="00792903"/>
    <w:rsid w:val="00793061"/>
    <w:rsid w:val="0079350F"/>
    <w:rsid w:val="00794399"/>
    <w:rsid w:val="00794463"/>
    <w:rsid w:val="007952DC"/>
    <w:rsid w:val="00795D2C"/>
    <w:rsid w:val="00795F5E"/>
    <w:rsid w:val="0079783C"/>
    <w:rsid w:val="00797C17"/>
    <w:rsid w:val="007A0130"/>
    <w:rsid w:val="007A06BA"/>
    <w:rsid w:val="007A06D8"/>
    <w:rsid w:val="007A1557"/>
    <w:rsid w:val="007A1AFB"/>
    <w:rsid w:val="007A1FFE"/>
    <w:rsid w:val="007A2035"/>
    <w:rsid w:val="007A2EFF"/>
    <w:rsid w:val="007A44E5"/>
    <w:rsid w:val="007A5196"/>
    <w:rsid w:val="007A5B86"/>
    <w:rsid w:val="007A673A"/>
    <w:rsid w:val="007A6773"/>
    <w:rsid w:val="007A7CE5"/>
    <w:rsid w:val="007A7DF0"/>
    <w:rsid w:val="007A7F56"/>
    <w:rsid w:val="007B0263"/>
    <w:rsid w:val="007B1BE2"/>
    <w:rsid w:val="007B2C05"/>
    <w:rsid w:val="007B35A0"/>
    <w:rsid w:val="007B3800"/>
    <w:rsid w:val="007B3BD4"/>
    <w:rsid w:val="007B42F7"/>
    <w:rsid w:val="007B49D0"/>
    <w:rsid w:val="007B4B74"/>
    <w:rsid w:val="007B593C"/>
    <w:rsid w:val="007B63F3"/>
    <w:rsid w:val="007B6801"/>
    <w:rsid w:val="007B682A"/>
    <w:rsid w:val="007B70CD"/>
    <w:rsid w:val="007C21CF"/>
    <w:rsid w:val="007C2BBA"/>
    <w:rsid w:val="007C2CD2"/>
    <w:rsid w:val="007C35B4"/>
    <w:rsid w:val="007C37FF"/>
    <w:rsid w:val="007C50A4"/>
    <w:rsid w:val="007C5BF5"/>
    <w:rsid w:val="007C662F"/>
    <w:rsid w:val="007C7930"/>
    <w:rsid w:val="007D05D6"/>
    <w:rsid w:val="007D0C1C"/>
    <w:rsid w:val="007D1C56"/>
    <w:rsid w:val="007D2560"/>
    <w:rsid w:val="007D27DC"/>
    <w:rsid w:val="007D32A8"/>
    <w:rsid w:val="007D352F"/>
    <w:rsid w:val="007D4D3D"/>
    <w:rsid w:val="007D56D6"/>
    <w:rsid w:val="007D65D0"/>
    <w:rsid w:val="007D72A2"/>
    <w:rsid w:val="007D78D4"/>
    <w:rsid w:val="007E044F"/>
    <w:rsid w:val="007E12B5"/>
    <w:rsid w:val="007E43F0"/>
    <w:rsid w:val="007E45CC"/>
    <w:rsid w:val="007E4723"/>
    <w:rsid w:val="007E5800"/>
    <w:rsid w:val="007E6B77"/>
    <w:rsid w:val="007E7608"/>
    <w:rsid w:val="007E7A11"/>
    <w:rsid w:val="007F0153"/>
    <w:rsid w:val="007F04BC"/>
    <w:rsid w:val="007F1074"/>
    <w:rsid w:val="007F1328"/>
    <w:rsid w:val="007F1623"/>
    <w:rsid w:val="007F25CE"/>
    <w:rsid w:val="007F2C42"/>
    <w:rsid w:val="007F2EB7"/>
    <w:rsid w:val="007F5F74"/>
    <w:rsid w:val="007F62EF"/>
    <w:rsid w:val="007F6F24"/>
    <w:rsid w:val="00800279"/>
    <w:rsid w:val="008005E5"/>
    <w:rsid w:val="0080095C"/>
    <w:rsid w:val="008025B7"/>
    <w:rsid w:val="0080290E"/>
    <w:rsid w:val="0080333B"/>
    <w:rsid w:val="008038AA"/>
    <w:rsid w:val="00804690"/>
    <w:rsid w:val="00804FDC"/>
    <w:rsid w:val="00805698"/>
    <w:rsid w:val="00805890"/>
    <w:rsid w:val="00806B07"/>
    <w:rsid w:val="008071D7"/>
    <w:rsid w:val="00807A8F"/>
    <w:rsid w:val="00807C84"/>
    <w:rsid w:val="008109DC"/>
    <w:rsid w:val="00810BEC"/>
    <w:rsid w:val="00810F9B"/>
    <w:rsid w:val="008119CA"/>
    <w:rsid w:val="00811F01"/>
    <w:rsid w:val="0081211F"/>
    <w:rsid w:val="008122DF"/>
    <w:rsid w:val="00812F5B"/>
    <w:rsid w:val="00813909"/>
    <w:rsid w:val="00813E8F"/>
    <w:rsid w:val="00815968"/>
    <w:rsid w:val="00815E4B"/>
    <w:rsid w:val="0081656E"/>
    <w:rsid w:val="008171FA"/>
    <w:rsid w:val="008177B3"/>
    <w:rsid w:val="00820250"/>
    <w:rsid w:val="008204A3"/>
    <w:rsid w:val="00820DF5"/>
    <w:rsid w:val="00822ACB"/>
    <w:rsid w:val="00822E38"/>
    <w:rsid w:val="00823416"/>
    <w:rsid w:val="00823DD6"/>
    <w:rsid w:val="00824702"/>
    <w:rsid w:val="00825099"/>
    <w:rsid w:val="008272C4"/>
    <w:rsid w:val="008276A8"/>
    <w:rsid w:val="0082775C"/>
    <w:rsid w:val="008278B4"/>
    <w:rsid w:val="00832560"/>
    <w:rsid w:val="00832611"/>
    <w:rsid w:val="0083522A"/>
    <w:rsid w:val="00835643"/>
    <w:rsid w:val="008359C4"/>
    <w:rsid w:val="00835BD1"/>
    <w:rsid w:val="00835CAE"/>
    <w:rsid w:val="0083624D"/>
    <w:rsid w:val="00836513"/>
    <w:rsid w:val="00836FA9"/>
    <w:rsid w:val="00837AD4"/>
    <w:rsid w:val="00837C52"/>
    <w:rsid w:val="00840F1F"/>
    <w:rsid w:val="00840F32"/>
    <w:rsid w:val="008415C5"/>
    <w:rsid w:val="00841660"/>
    <w:rsid w:val="0084311A"/>
    <w:rsid w:val="00843224"/>
    <w:rsid w:val="00843418"/>
    <w:rsid w:val="00843FC1"/>
    <w:rsid w:val="00844D70"/>
    <w:rsid w:val="00845026"/>
    <w:rsid w:val="0084509F"/>
    <w:rsid w:val="008478AD"/>
    <w:rsid w:val="0084792A"/>
    <w:rsid w:val="00851968"/>
    <w:rsid w:val="00851BEA"/>
    <w:rsid w:val="00851C3E"/>
    <w:rsid w:val="00852511"/>
    <w:rsid w:val="00852B27"/>
    <w:rsid w:val="00854377"/>
    <w:rsid w:val="00854678"/>
    <w:rsid w:val="00854BD2"/>
    <w:rsid w:val="008550AC"/>
    <w:rsid w:val="00855638"/>
    <w:rsid w:val="008556BF"/>
    <w:rsid w:val="00856537"/>
    <w:rsid w:val="00856E10"/>
    <w:rsid w:val="008572AF"/>
    <w:rsid w:val="00857723"/>
    <w:rsid w:val="00857935"/>
    <w:rsid w:val="00860AFF"/>
    <w:rsid w:val="00860F34"/>
    <w:rsid w:val="0086141F"/>
    <w:rsid w:val="008627A8"/>
    <w:rsid w:val="00862ED7"/>
    <w:rsid w:val="00863C95"/>
    <w:rsid w:val="00864243"/>
    <w:rsid w:val="008650B7"/>
    <w:rsid w:val="00866276"/>
    <w:rsid w:val="00870792"/>
    <w:rsid w:val="00871922"/>
    <w:rsid w:val="008723DE"/>
    <w:rsid w:val="0087278E"/>
    <w:rsid w:val="00872A74"/>
    <w:rsid w:val="00872B0F"/>
    <w:rsid w:val="00873569"/>
    <w:rsid w:val="00873987"/>
    <w:rsid w:val="00873B98"/>
    <w:rsid w:val="0087516D"/>
    <w:rsid w:val="008754B7"/>
    <w:rsid w:val="0087619A"/>
    <w:rsid w:val="008768F0"/>
    <w:rsid w:val="00877A8F"/>
    <w:rsid w:val="00877F55"/>
    <w:rsid w:val="00880209"/>
    <w:rsid w:val="00880262"/>
    <w:rsid w:val="00880584"/>
    <w:rsid w:val="00881D93"/>
    <w:rsid w:val="00882CAE"/>
    <w:rsid w:val="00883660"/>
    <w:rsid w:val="00884E39"/>
    <w:rsid w:val="00885827"/>
    <w:rsid w:val="00885AA8"/>
    <w:rsid w:val="00886589"/>
    <w:rsid w:val="00886C8F"/>
    <w:rsid w:val="00886CEF"/>
    <w:rsid w:val="00886D49"/>
    <w:rsid w:val="008905CF"/>
    <w:rsid w:val="008909FF"/>
    <w:rsid w:val="00891578"/>
    <w:rsid w:val="008935A1"/>
    <w:rsid w:val="00893645"/>
    <w:rsid w:val="00893CD3"/>
    <w:rsid w:val="00896065"/>
    <w:rsid w:val="00896C71"/>
    <w:rsid w:val="00897704"/>
    <w:rsid w:val="008978B7"/>
    <w:rsid w:val="00897D63"/>
    <w:rsid w:val="008A03EB"/>
    <w:rsid w:val="008A088F"/>
    <w:rsid w:val="008A0AB5"/>
    <w:rsid w:val="008A0C20"/>
    <w:rsid w:val="008A0E96"/>
    <w:rsid w:val="008A0ED8"/>
    <w:rsid w:val="008A189E"/>
    <w:rsid w:val="008A2377"/>
    <w:rsid w:val="008A2C7A"/>
    <w:rsid w:val="008A466A"/>
    <w:rsid w:val="008A49CC"/>
    <w:rsid w:val="008A4FFD"/>
    <w:rsid w:val="008A62CF"/>
    <w:rsid w:val="008A6B4D"/>
    <w:rsid w:val="008A715B"/>
    <w:rsid w:val="008A7318"/>
    <w:rsid w:val="008A7B79"/>
    <w:rsid w:val="008B057A"/>
    <w:rsid w:val="008B152F"/>
    <w:rsid w:val="008B1CC8"/>
    <w:rsid w:val="008B1D1B"/>
    <w:rsid w:val="008B4ADE"/>
    <w:rsid w:val="008B5A86"/>
    <w:rsid w:val="008B5E13"/>
    <w:rsid w:val="008B5EC7"/>
    <w:rsid w:val="008B6218"/>
    <w:rsid w:val="008B67E3"/>
    <w:rsid w:val="008B75BB"/>
    <w:rsid w:val="008B76C7"/>
    <w:rsid w:val="008C017B"/>
    <w:rsid w:val="008C068F"/>
    <w:rsid w:val="008C0856"/>
    <w:rsid w:val="008C10F9"/>
    <w:rsid w:val="008C1212"/>
    <w:rsid w:val="008C1C4C"/>
    <w:rsid w:val="008C2870"/>
    <w:rsid w:val="008C2F65"/>
    <w:rsid w:val="008C3F03"/>
    <w:rsid w:val="008C3FF9"/>
    <w:rsid w:val="008C4732"/>
    <w:rsid w:val="008C5016"/>
    <w:rsid w:val="008C517D"/>
    <w:rsid w:val="008C55F1"/>
    <w:rsid w:val="008C5C8F"/>
    <w:rsid w:val="008C6420"/>
    <w:rsid w:val="008C6B3A"/>
    <w:rsid w:val="008C6F1A"/>
    <w:rsid w:val="008C7BC1"/>
    <w:rsid w:val="008D0C9B"/>
    <w:rsid w:val="008D1FDF"/>
    <w:rsid w:val="008D26E7"/>
    <w:rsid w:val="008D2A00"/>
    <w:rsid w:val="008D42EE"/>
    <w:rsid w:val="008D6A77"/>
    <w:rsid w:val="008D78F0"/>
    <w:rsid w:val="008D7E93"/>
    <w:rsid w:val="008E0641"/>
    <w:rsid w:val="008E0AF6"/>
    <w:rsid w:val="008E0E17"/>
    <w:rsid w:val="008E21D5"/>
    <w:rsid w:val="008E2E77"/>
    <w:rsid w:val="008E3286"/>
    <w:rsid w:val="008E3858"/>
    <w:rsid w:val="008E4AFB"/>
    <w:rsid w:val="008E56C0"/>
    <w:rsid w:val="008E5CA9"/>
    <w:rsid w:val="008E62AC"/>
    <w:rsid w:val="008F0471"/>
    <w:rsid w:val="008F1EB5"/>
    <w:rsid w:val="008F2489"/>
    <w:rsid w:val="008F2D08"/>
    <w:rsid w:val="008F3842"/>
    <w:rsid w:val="008F390D"/>
    <w:rsid w:val="008F40AA"/>
    <w:rsid w:val="008F50FB"/>
    <w:rsid w:val="008F534C"/>
    <w:rsid w:val="008F57C4"/>
    <w:rsid w:val="008F6236"/>
    <w:rsid w:val="008F6C87"/>
    <w:rsid w:val="0090017E"/>
    <w:rsid w:val="009002B4"/>
    <w:rsid w:val="009011D6"/>
    <w:rsid w:val="00902B03"/>
    <w:rsid w:val="00903885"/>
    <w:rsid w:val="009043E7"/>
    <w:rsid w:val="009057EF"/>
    <w:rsid w:val="00906FE3"/>
    <w:rsid w:val="009100F8"/>
    <w:rsid w:val="00911079"/>
    <w:rsid w:val="009110FD"/>
    <w:rsid w:val="0091111F"/>
    <w:rsid w:val="00911A9D"/>
    <w:rsid w:val="00912AC3"/>
    <w:rsid w:val="00913B89"/>
    <w:rsid w:val="00913BB6"/>
    <w:rsid w:val="00914840"/>
    <w:rsid w:val="00914A23"/>
    <w:rsid w:val="0091505E"/>
    <w:rsid w:val="009152B1"/>
    <w:rsid w:val="009152C3"/>
    <w:rsid w:val="00915977"/>
    <w:rsid w:val="00915DBB"/>
    <w:rsid w:val="00916092"/>
    <w:rsid w:val="00916284"/>
    <w:rsid w:val="00916424"/>
    <w:rsid w:val="00916970"/>
    <w:rsid w:val="00916B55"/>
    <w:rsid w:val="009175EE"/>
    <w:rsid w:val="00917D4D"/>
    <w:rsid w:val="00917F1B"/>
    <w:rsid w:val="0092289D"/>
    <w:rsid w:val="009229B9"/>
    <w:rsid w:val="009241C7"/>
    <w:rsid w:val="009250DA"/>
    <w:rsid w:val="0092526E"/>
    <w:rsid w:val="00925A83"/>
    <w:rsid w:val="00926265"/>
    <w:rsid w:val="0092648B"/>
    <w:rsid w:val="00926E34"/>
    <w:rsid w:val="00927877"/>
    <w:rsid w:val="00927C91"/>
    <w:rsid w:val="009303E8"/>
    <w:rsid w:val="00931282"/>
    <w:rsid w:val="009320B6"/>
    <w:rsid w:val="00933042"/>
    <w:rsid w:val="009331A2"/>
    <w:rsid w:val="00933DEF"/>
    <w:rsid w:val="00934485"/>
    <w:rsid w:val="00936449"/>
    <w:rsid w:val="00936C1C"/>
    <w:rsid w:val="00936E8F"/>
    <w:rsid w:val="00936EF0"/>
    <w:rsid w:val="00937638"/>
    <w:rsid w:val="00937DCA"/>
    <w:rsid w:val="009403C7"/>
    <w:rsid w:val="009409C9"/>
    <w:rsid w:val="00941A57"/>
    <w:rsid w:val="009421B3"/>
    <w:rsid w:val="009430D2"/>
    <w:rsid w:val="00943451"/>
    <w:rsid w:val="00944F12"/>
    <w:rsid w:val="00945052"/>
    <w:rsid w:val="009451AD"/>
    <w:rsid w:val="00945292"/>
    <w:rsid w:val="00946B6E"/>
    <w:rsid w:val="0095080F"/>
    <w:rsid w:val="00950CF0"/>
    <w:rsid w:val="009511F4"/>
    <w:rsid w:val="00952A88"/>
    <w:rsid w:val="00952D26"/>
    <w:rsid w:val="0095308D"/>
    <w:rsid w:val="0095343C"/>
    <w:rsid w:val="00953729"/>
    <w:rsid w:val="00954209"/>
    <w:rsid w:val="00954E6B"/>
    <w:rsid w:val="0095594F"/>
    <w:rsid w:val="00955950"/>
    <w:rsid w:val="00955C92"/>
    <w:rsid w:val="00955DC9"/>
    <w:rsid w:val="0095682D"/>
    <w:rsid w:val="009616CE"/>
    <w:rsid w:val="0096194C"/>
    <w:rsid w:val="0096198A"/>
    <w:rsid w:val="00961EC8"/>
    <w:rsid w:val="0096344D"/>
    <w:rsid w:val="00963BB3"/>
    <w:rsid w:val="00965277"/>
    <w:rsid w:val="0096713D"/>
    <w:rsid w:val="00970293"/>
    <w:rsid w:val="009712DE"/>
    <w:rsid w:val="0097139A"/>
    <w:rsid w:val="0097324B"/>
    <w:rsid w:val="00973943"/>
    <w:rsid w:val="00974298"/>
    <w:rsid w:val="009750C2"/>
    <w:rsid w:val="0097571A"/>
    <w:rsid w:val="00975A5E"/>
    <w:rsid w:val="0097738B"/>
    <w:rsid w:val="00977D70"/>
    <w:rsid w:val="009801B2"/>
    <w:rsid w:val="00980888"/>
    <w:rsid w:val="00981901"/>
    <w:rsid w:val="00984263"/>
    <w:rsid w:val="0098460A"/>
    <w:rsid w:val="0098466B"/>
    <w:rsid w:val="009846A4"/>
    <w:rsid w:val="0098558E"/>
    <w:rsid w:val="009855B9"/>
    <w:rsid w:val="00986A29"/>
    <w:rsid w:val="009872A3"/>
    <w:rsid w:val="00987BD0"/>
    <w:rsid w:val="00990761"/>
    <w:rsid w:val="00990F3E"/>
    <w:rsid w:val="009912B9"/>
    <w:rsid w:val="0099143C"/>
    <w:rsid w:val="00992243"/>
    <w:rsid w:val="00992261"/>
    <w:rsid w:val="00993122"/>
    <w:rsid w:val="0099463F"/>
    <w:rsid w:val="0099467F"/>
    <w:rsid w:val="00994A6A"/>
    <w:rsid w:val="009951C7"/>
    <w:rsid w:val="009954D9"/>
    <w:rsid w:val="0099559D"/>
    <w:rsid w:val="009960C3"/>
    <w:rsid w:val="009961C0"/>
    <w:rsid w:val="009A018E"/>
    <w:rsid w:val="009A0255"/>
    <w:rsid w:val="009A0705"/>
    <w:rsid w:val="009A1195"/>
    <w:rsid w:val="009A1457"/>
    <w:rsid w:val="009A1668"/>
    <w:rsid w:val="009A1979"/>
    <w:rsid w:val="009A27B3"/>
    <w:rsid w:val="009A455D"/>
    <w:rsid w:val="009A52F3"/>
    <w:rsid w:val="009A59A0"/>
    <w:rsid w:val="009A604E"/>
    <w:rsid w:val="009A6565"/>
    <w:rsid w:val="009A6967"/>
    <w:rsid w:val="009A7873"/>
    <w:rsid w:val="009B0C64"/>
    <w:rsid w:val="009B0E0A"/>
    <w:rsid w:val="009B2299"/>
    <w:rsid w:val="009B26FF"/>
    <w:rsid w:val="009B3032"/>
    <w:rsid w:val="009B3868"/>
    <w:rsid w:val="009B397D"/>
    <w:rsid w:val="009B3E7E"/>
    <w:rsid w:val="009B4593"/>
    <w:rsid w:val="009B6004"/>
    <w:rsid w:val="009B6BB7"/>
    <w:rsid w:val="009B7347"/>
    <w:rsid w:val="009B738B"/>
    <w:rsid w:val="009B79D9"/>
    <w:rsid w:val="009B7DDB"/>
    <w:rsid w:val="009C02C4"/>
    <w:rsid w:val="009C0A60"/>
    <w:rsid w:val="009C0BA5"/>
    <w:rsid w:val="009C1C09"/>
    <w:rsid w:val="009C2B3F"/>
    <w:rsid w:val="009C3F93"/>
    <w:rsid w:val="009C47B6"/>
    <w:rsid w:val="009C55A8"/>
    <w:rsid w:val="009C6165"/>
    <w:rsid w:val="009C69A5"/>
    <w:rsid w:val="009C6BDF"/>
    <w:rsid w:val="009C6FF6"/>
    <w:rsid w:val="009C721C"/>
    <w:rsid w:val="009C76F5"/>
    <w:rsid w:val="009C796B"/>
    <w:rsid w:val="009C7AFD"/>
    <w:rsid w:val="009D0FD1"/>
    <w:rsid w:val="009D1AC5"/>
    <w:rsid w:val="009D1B07"/>
    <w:rsid w:val="009D3835"/>
    <w:rsid w:val="009D3989"/>
    <w:rsid w:val="009D3C9E"/>
    <w:rsid w:val="009D46E9"/>
    <w:rsid w:val="009D6380"/>
    <w:rsid w:val="009D6C07"/>
    <w:rsid w:val="009D7117"/>
    <w:rsid w:val="009D7AB9"/>
    <w:rsid w:val="009D7FE3"/>
    <w:rsid w:val="009E0614"/>
    <w:rsid w:val="009E0644"/>
    <w:rsid w:val="009E1090"/>
    <w:rsid w:val="009E1AD1"/>
    <w:rsid w:val="009E25F1"/>
    <w:rsid w:val="009E353C"/>
    <w:rsid w:val="009E4859"/>
    <w:rsid w:val="009E515F"/>
    <w:rsid w:val="009E54FD"/>
    <w:rsid w:val="009E738F"/>
    <w:rsid w:val="009E7699"/>
    <w:rsid w:val="009E784B"/>
    <w:rsid w:val="009F0B10"/>
    <w:rsid w:val="009F1B47"/>
    <w:rsid w:val="009F2491"/>
    <w:rsid w:val="009F273E"/>
    <w:rsid w:val="009F2850"/>
    <w:rsid w:val="009F2EA3"/>
    <w:rsid w:val="009F3522"/>
    <w:rsid w:val="009F3C1B"/>
    <w:rsid w:val="009F4588"/>
    <w:rsid w:val="009F49E5"/>
    <w:rsid w:val="009F4E57"/>
    <w:rsid w:val="009F516F"/>
    <w:rsid w:val="009F52A1"/>
    <w:rsid w:val="009F58BA"/>
    <w:rsid w:val="009F5CF7"/>
    <w:rsid w:val="009F64A9"/>
    <w:rsid w:val="009F65C5"/>
    <w:rsid w:val="00A006FF"/>
    <w:rsid w:val="00A02044"/>
    <w:rsid w:val="00A02BEE"/>
    <w:rsid w:val="00A034F8"/>
    <w:rsid w:val="00A036C0"/>
    <w:rsid w:val="00A0370F"/>
    <w:rsid w:val="00A039CA"/>
    <w:rsid w:val="00A03A3C"/>
    <w:rsid w:val="00A03E7E"/>
    <w:rsid w:val="00A040DC"/>
    <w:rsid w:val="00A04679"/>
    <w:rsid w:val="00A05318"/>
    <w:rsid w:val="00A06013"/>
    <w:rsid w:val="00A0612F"/>
    <w:rsid w:val="00A06178"/>
    <w:rsid w:val="00A06670"/>
    <w:rsid w:val="00A06A46"/>
    <w:rsid w:val="00A06F1E"/>
    <w:rsid w:val="00A07282"/>
    <w:rsid w:val="00A07412"/>
    <w:rsid w:val="00A10909"/>
    <w:rsid w:val="00A13045"/>
    <w:rsid w:val="00A1326F"/>
    <w:rsid w:val="00A15894"/>
    <w:rsid w:val="00A1725C"/>
    <w:rsid w:val="00A175A0"/>
    <w:rsid w:val="00A17C84"/>
    <w:rsid w:val="00A17D25"/>
    <w:rsid w:val="00A20816"/>
    <w:rsid w:val="00A20A78"/>
    <w:rsid w:val="00A217DF"/>
    <w:rsid w:val="00A21D87"/>
    <w:rsid w:val="00A2205A"/>
    <w:rsid w:val="00A236EC"/>
    <w:rsid w:val="00A23D5D"/>
    <w:rsid w:val="00A25A91"/>
    <w:rsid w:val="00A25D3F"/>
    <w:rsid w:val="00A25F5A"/>
    <w:rsid w:val="00A26B18"/>
    <w:rsid w:val="00A26D88"/>
    <w:rsid w:val="00A27B71"/>
    <w:rsid w:val="00A30470"/>
    <w:rsid w:val="00A30829"/>
    <w:rsid w:val="00A31099"/>
    <w:rsid w:val="00A311EE"/>
    <w:rsid w:val="00A31907"/>
    <w:rsid w:val="00A31DD0"/>
    <w:rsid w:val="00A325F5"/>
    <w:rsid w:val="00A32B80"/>
    <w:rsid w:val="00A349A2"/>
    <w:rsid w:val="00A34C42"/>
    <w:rsid w:val="00A35329"/>
    <w:rsid w:val="00A365C7"/>
    <w:rsid w:val="00A369D4"/>
    <w:rsid w:val="00A36F1D"/>
    <w:rsid w:val="00A41648"/>
    <w:rsid w:val="00A4204D"/>
    <w:rsid w:val="00A4224D"/>
    <w:rsid w:val="00A42F69"/>
    <w:rsid w:val="00A435C2"/>
    <w:rsid w:val="00A43F73"/>
    <w:rsid w:val="00A440B9"/>
    <w:rsid w:val="00A44238"/>
    <w:rsid w:val="00A45250"/>
    <w:rsid w:val="00A45565"/>
    <w:rsid w:val="00A4558D"/>
    <w:rsid w:val="00A45AA0"/>
    <w:rsid w:val="00A460E9"/>
    <w:rsid w:val="00A46311"/>
    <w:rsid w:val="00A469DF"/>
    <w:rsid w:val="00A46A84"/>
    <w:rsid w:val="00A47EBA"/>
    <w:rsid w:val="00A50770"/>
    <w:rsid w:val="00A50D25"/>
    <w:rsid w:val="00A50E19"/>
    <w:rsid w:val="00A511AC"/>
    <w:rsid w:val="00A51CBE"/>
    <w:rsid w:val="00A51CE5"/>
    <w:rsid w:val="00A53E61"/>
    <w:rsid w:val="00A54870"/>
    <w:rsid w:val="00A55379"/>
    <w:rsid w:val="00A55759"/>
    <w:rsid w:val="00A560ED"/>
    <w:rsid w:val="00A56FC0"/>
    <w:rsid w:val="00A57863"/>
    <w:rsid w:val="00A57E91"/>
    <w:rsid w:val="00A60FA2"/>
    <w:rsid w:val="00A61C18"/>
    <w:rsid w:val="00A61C6B"/>
    <w:rsid w:val="00A6262A"/>
    <w:rsid w:val="00A62A94"/>
    <w:rsid w:val="00A62CB5"/>
    <w:rsid w:val="00A62D14"/>
    <w:rsid w:val="00A63333"/>
    <w:rsid w:val="00A63688"/>
    <w:rsid w:val="00A63CC0"/>
    <w:rsid w:val="00A64680"/>
    <w:rsid w:val="00A6536F"/>
    <w:rsid w:val="00A66ADF"/>
    <w:rsid w:val="00A66ED2"/>
    <w:rsid w:val="00A674E3"/>
    <w:rsid w:val="00A67AC8"/>
    <w:rsid w:val="00A70A5D"/>
    <w:rsid w:val="00A70E7A"/>
    <w:rsid w:val="00A71140"/>
    <w:rsid w:val="00A7248C"/>
    <w:rsid w:val="00A725A1"/>
    <w:rsid w:val="00A72B6C"/>
    <w:rsid w:val="00A7370A"/>
    <w:rsid w:val="00A73790"/>
    <w:rsid w:val="00A737F3"/>
    <w:rsid w:val="00A73DAC"/>
    <w:rsid w:val="00A75541"/>
    <w:rsid w:val="00A75CE5"/>
    <w:rsid w:val="00A76BBE"/>
    <w:rsid w:val="00A773EB"/>
    <w:rsid w:val="00A800AF"/>
    <w:rsid w:val="00A82311"/>
    <w:rsid w:val="00A82C80"/>
    <w:rsid w:val="00A83046"/>
    <w:rsid w:val="00A830A5"/>
    <w:rsid w:val="00A830D8"/>
    <w:rsid w:val="00A8353C"/>
    <w:rsid w:val="00A83C14"/>
    <w:rsid w:val="00A84C64"/>
    <w:rsid w:val="00A85668"/>
    <w:rsid w:val="00A85790"/>
    <w:rsid w:val="00A87D33"/>
    <w:rsid w:val="00A90028"/>
    <w:rsid w:val="00A900E7"/>
    <w:rsid w:val="00A904CF"/>
    <w:rsid w:val="00A90E22"/>
    <w:rsid w:val="00A911E2"/>
    <w:rsid w:val="00A91247"/>
    <w:rsid w:val="00A922D1"/>
    <w:rsid w:val="00A93B70"/>
    <w:rsid w:val="00A95025"/>
    <w:rsid w:val="00A95090"/>
    <w:rsid w:val="00A958EE"/>
    <w:rsid w:val="00A95B6F"/>
    <w:rsid w:val="00A965A4"/>
    <w:rsid w:val="00A966DD"/>
    <w:rsid w:val="00A97323"/>
    <w:rsid w:val="00AA000A"/>
    <w:rsid w:val="00AA0281"/>
    <w:rsid w:val="00AA0BD9"/>
    <w:rsid w:val="00AA0FEB"/>
    <w:rsid w:val="00AA1988"/>
    <w:rsid w:val="00AA1F41"/>
    <w:rsid w:val="00AA2F41"/>
    <w:rsid w:val="00AA377E"/>
    <w:rsid w:val="00AA39F7"/>
    <w:rsid w:val="00AA3EC9"/>
    <w:rsid w:val="00AA4E66"/>
    <w:rsid w:val="00AA4EBE"/>
    <w:rsid w:val="00AA4F0D"/>
    <w:rsid w:val="00AA514A"/>
    <w:rsid w:val="00AA67F4"/>
    <w:rsid w:val="00AA6B48"/>
    <w:rsid w:val="00AA749D"/>
    <w:rsid w:val="00AA78FE"/>
    <w:rsid w:val="00AA7939"/>
    <w:rsid w:val="00AA7C79"/>
    <w:rsid w:val="00AB00C0"/>
    <w:rsid w:val="00AB06AE"/>
    <w:rsid w:val="00AB0ACA"/>
    <w:rsid w:val="00AB1778"/>
    <w:rsid w:val="00AB204D"/>
    <w:rsid w:val="00AB24C1"/>
    <w:rsid w:val="00AB2B19"/>
    <w:rsid w:val="00AB37C7"/>
    <w:rsid w:val="00AB39AD"/>
    <w:rsid w:val="00AB4832"/>
    <w:rsid w:val="00AB5260"/>
    <w:rsid w:val="00AB5352"/>
    <w:rsid w:val="00AB55DE"/>
    <w:rsid w:val="00AB5ADB"/>
    <w:rsid w:val="00AB6995"/>
    <w:rsid w:val="00AB7E6D"/>
    <w:rsid w:val="00AC0F3B"/>
    <w:rsid w:val="00AC135D"/>
    <w:rsid w:val="00AC1CB2"/>
    <w:rsid w:val="00AC1D1A"/>
    <w:rsid w:val="00AC6B32"/>
    <w:rsid w:val="00AC79EE"/>
    <w:rsid w:val="00AC7E0C"/>
    <w:rsid w:val="00AC7E30"/>
    <w:rsid w:val="00AD0605"/>
    <w:rsid w:val="00AD15A0"/>
    <w:rsid w:val="00AD1E46"/>
    <w:rsid w:val="00AD2DC7"/>
    <w:rsid w:val="00AD2E29"/>
    <w:rsid w:val="00AD394A"/>
    <w:rsid w:val="00AD4095"/>
    <w:rsid w:val="00AD4D4E"/>
    <w:rsid w:val="00AD4E74"/>
    <w:rsid w:val="00AD4E91"/>
    <w:rsid w:val="00AD5784"/>
    <w:rsid w:val="00AD6114"/>
    <w:rsid w:val="00AD6EAA"/>
    <w:rsid w:val="00AD73DE"/>
    <w:rsid w:val="00AE08B6"/>
    <w:rsid w:val="00AE0C4A"/>
    <w:rsid w:val="00AE255B"/>
    <w:rsid w:val="00AE2736"/>
    <w:rsid w:val="00AE3608"/>
    <w:rsid w:val="00AE4997"/>
    <w:rsid w:val="00AE49F6"/>
    <w:rsid w:val="00AE54DA"/>
    <w:rsid w:val="00AE561B"/>
    <w:rsid w:val="00AE6386"/>
    <w:rsid w:val="00AF09FB"/>
    <w:rsid w:val="00AF1334"/>
    <w:rsid w:val="00AF3768"/>
    <w:rsid w:val="00AF3CB6"/>
    <w:rsid w:val="00AF4A08"/>
    <w:rsid w:val="00AF54A6"/>
    <w:rsid w:val="00AF5620"/>
    <w:rsid w:val="00AF720A"/>
    <w:rsid w:val="00AF78F2"/>
    <w:rsid w:val="00B02486"/>
    <w:rsid w:val="00B02ABD"/>
    <w:rsid w:val="00B02E80"/>
    <w:rsid w:val="00B03BE8"/>
    <w:rsid w:val="00B03EAC"/>
    <w:rsid w:val="00B044D5"/>
    <w:rsid w:val="00B04A2B"/>
    <w:rsid w:val="00B05111"/>
    <w:rsid w:val="00B054D6"/>
    <w:rsid w:val="00B05791"/>
    <w:rsid w:val="00B05BBB"/>
    <w:rsid w:val="00B06F38"/>
    <w:rsid w:val="00B06F42"/>
    <w:rsid w:val="00B072FA"/>
    <w:rsid w:val="00B0761E"/>
    <w:rsid w:val="00B100ED"/>
    <w:rsid w:val="00B105F8"/>
    <w:rsid w:val="00B10887"/>
    <w:rsid w:val="00B10F03"/>
    <w:rsid w:val="00B113E9"/>
    <w:rsid w:val="00B119EF"/>
    <w:rsid w:val="00B11D71"/>
    <w:rsid w:val="00B11DA6"/>
    <w:rsid w:val="00B11F5B"/>
    <w:rsid w:val="00B13784"/>
    <w:rsid w:val="00B14537"/>
    <w:rsid w:val="00B147A9"/>
    <w:rsid w:val="00B14BDA"/>
    <w:rsid w:val="00B16706"/>
    <w:rsid w:val="00B16993"/>
    <w:rsid w:val="00B203EF"/>
    <w:rsid w:val="00B2077D"/>
    <w:rsid w:val="00B20E94"/>
    <w:rsid w:val="00B215A5"/>
    <w:rsid w:val="00B2253D"/>
    <w:rsid w:val="00B22F6B"/>
    <w:rsid w:val="00B22F74"/>
    <w:rsid w:val="00B23561"/>
    <w:rsid w:val="00B235DB"/>
    <w:rsid w:val="00B2385E"/>
    <w:rsid w:val="00B23B3B"/>
    <w:rsid w:val="00B23D0C"/>
    <w:rsid w:val="00B254F1"/>
    <w:rsid w:val="00B2557A"/>
    <w:rsid w:val="00B25991"/>
    <w:rsid w:val="00B26425"/>
    <w:rsid w:val="00B269F2"/>
    <w:rsid w:val="00B2746B"/>
    <w:rsid w:val="00B303CD"/>
    <w:rsid w:val="00B30C34"/>
    <w:rsid w:val="00B30D0C"/>
    <w:rsid w:val="00B31F19"/>
    <w:rsid w:val="00B32603"/>
    <w:rsid w:val="00B32963"/>
    <w:rsid w:val="00B33352"/>
    <w:rsid w:val="00B33B7F"/>
    <w:rsid w:val="00B33DDD"/>
    <w:rsid w:val="00B34987"/>
    <w:rsid w:val="00B351B7"/>
    <w:rsid w:val="00B35CC8"/>
    <w:rsid w:val="00B369C1"/>
    <w:rsid w:val="00B36B72"/>
    <w:rsid w:val="00B37159"/>
    <w:rsid w:val="00B37175"/>
    <w:rsid w:val="00B40B53"/>
    <w:rsid w:val="00B41491"/>
    <w:rsid w:val="00B4202D"/>
    <w:rsid w:val="00B42463"/>
    <w:rsid w:val="00B42AAC"/>
    <w:rsid w:val="00B438AE"/>
    <w:rsid w:val="00B439BD"/>
    <w:rsid w:val="00B4468A"/>
    <w:rsid w:val="00B44954"/>
    <w:rsid w:val="00B456BB"/>
    <w:rsid w:val="00B4761B"/>
    <w:rsid w:val="00B4778A"/>
    <w:rsid w:val="00B503DE"/>
    <w:rsid w:val="00B518A0"/>
    <w:rsid w:val="00B522F8"/>
    <w:rsid w:val="00B54C02"/>
    <w:rsid w:val="00B54C82"/>
    <w:rsid w:val="00B557ED"/>
    <w:rsid w:val="00B560E0"/>
    <w:rsid w:val="00B56E5C"/>
    <w:rsid w:val="00B57216"/>
    <w:rsid w:val="00B577C2"/>
    <w:rsid w:val="00B57AE3"/>
    <w:rsid w:val="00B57F1E"/>
    <w:rsid w:val="00B6006E"/>
    <w:rsid w:val="00B60101"/>
    <w:rsid w:val="00B605D0"/>
    <w:rsid w:val="00B6069D"/>
    <w:rsid w:val="00B616F5"/>
    <w:rsid w:val="00B6185F"/>
    <w:rsid w:val="00B63A57"/>
    <w:rsid w:val="00B6537A"/>
    <w:rsid w:val="00B65862"/>
    <w:rsid w:val="00B65981"/>
    <w:rsid w:val="00B6693C"/>
    <w:rsid w:val="00B67284"/>
    <w:rsid w:val="00B67C29"/>
    <w:rsid w:val="00B67E4D"/>
    <w:rsid w:val="00B70547"/>
    <w:rsid w:val="00B71218"/>
    <w:rsid w:val="00B7131A"/>
    <w:rsid w:val="00B71E4F"/>
    <w:rsid w:val="00B731E9"/>
    <w:rsid w:val="00B7347B"/>
    <w:rsid w:val="00B74572"/>
    <w:rsid w:val="00B7480C"/>
    <w:rsid w:val="00B75E9F"/>
    <w:rsid w:val="00B7712B"/>
    <w:rsid w:val="00B773D9"/>
    <w:rsid w:val="00B77BE6"/>
    <w:rsid w:val="00B804AD"/>
    <w:rsid w:val="00B830CA"/>
    <w:rsid w:val="00B848AC"/>
    <w:rsid w:val="00B85F3D"/>
    <w:rsid w:val="00B8622C"/>
    <w:rsid w:val="00B862BA"/>
    <w:rsid w:val="00B86525"/>
    <w:rsid w:val="00B86A65"/>
    <w:rsid w:val="00B87865"/>
    <w:rsid w:val="00B87FB4"/>
    <w:rsid w:val="00B906EA"/>
    <w:rsid w:val="00B91C71"/>
    <w:rsid w:val="00B91D1A"/>
    <w:rsid w:val="00B91DCE"/>
    <w:rsid w:val="00B92799"/>
    <w:rsid w:val="00B93929"/>
    <w:rsid w:val="00B93998"/>
    <w:rsid w:val="00B93AFC"/>
    <w:rsid w:val="00B94648"/>
    <w:rsid w:val="00B94FAD"/>
    <w:rsid w:val="00B95B6E"/>
    <w:rsid w:val="00B966F0"/>
    <w:rsid w:val="00B96D93"/>
    <w:rsid w:val="00B97422"/>
    <w:rsid w:val="00B976BA"/>
    <w:rsid w:val="00BA06DA"/>
    <w:rsid w:val="00BA0E08"/>
    <w:rsid w:val="00BA138C"/>
    <w:rsid w:val="00BA20A7"/>
    <w:rsid w:val="00BA29E5"/>
    <w:rsid w:val="00BA2D9F"/>
    <w:rsid w:val="00BA391B"/>
    <w:rsid w:val="00BB00EC"/>
    <w:rsid w:val="00BB0DE4"/>
    <w:rsid w:val="00BB11B0"/>
    <w:rsid w:val="00BB1865"/>
    <w:rsid w:val="00BB18AE"/>
    <w:rsid w:val="00BB2188"/>
    <w:rsid w:val="00BB2F09"/>
    <w:rsid w:val="00BB3595"/>
    <w:rsid w:val="00BB398D"/>
    <w:rsid w:val="00BB3CD5"/>
    <w:rsid w:val="00BB42A1"/>
    <w:rsid w:val="00BB4354"/>
    <w:rsid w:val="00BB5417"/>
    <w:rsid w:val="00BB5727"/>
    <w:rsid w:val="00BB5F36"/>
    <w:rsid w:val="00BB7000"/>
    <w:rsid w:val="00BB7B02"/>
    <w:rsid w:val="00BB7CC0"/>
    <w:rsid w:val="00BC1E07"/>
    <w:rsid w:val="00BC2D1C"/>
    <w:rsid w:val="00BC2F35"/>
    <w:rsid w:val="00BC35EF"/>
    <w:rsid w:val="00BC44A1"/>
    <w:rsid w:val="00BC4535"/>
    <w:rsid w:val="00BC55BD"/>
    <w:rsid w:val="00BC5BFC"/>
    <w:rsid w:val="00BC5CF1"/>
    <w:rsid w:val="00BC6B7E"/>
    <w:rsid w:val="00BC7B64"/>
    <w:rsid w:val="00BD030D"/>
    <w:rsid w:val="00BD04BB"/>
    <w:rsid w:val="00BD068B"/>
    <w:rsid w:val="00BD12EF"/>
    <w:rsid w:val="00BD2AD4"/>
    <w:rsid w:val="00BD2BD0"/>
    <w:rsid w:val="00BD498C"/>
    <w:rsid w:val="00BD52F5"/>
    <w:rsid w:val="00BD6310"/>
    <w:rsid w:val="00BD6413"/>
    <w:rsid w:val="00BD6645"/>
    <w:rsid w:val="00BD7E31"/>
    <w:rsid w:val="00BE1B2A"/>
    <w:rsid w:val="00BE27E0"/>
    <w:rsid w:val="00BE2B50"/>
    <w:rsid w:val="00BE2BF2"/>
    <w:rsid w:val="00BE2CB7"/>
    <w:rsid w:val="00BE2CF3"/>
    <w:rsid w:val="00BE31E0"/>
    <w:rsid w:val="00BE33EB"/>
    <w:rsid w:val="00BE45AC"/>
    <w:rsid w:val="00BE5244"/>
    <w:rsid w:val="00BE5379"/>
    <w:rsid w:val="00BE5BC2"/>
    <w:rsid w:val="00BE5C59"/>
    <w:rsid w:val="00BE5DB0"/>
    <w:rsid w:val="00BF082E"/>
    <w:rsid w:val="00BF1937"/>
    <w:rsid w:val="00BF1AA3"/>
    <w:rsid w:val="00BF1E34"/>
    <w:rsid w:val="00BF26FD"/>
    <w:rsid w:val="00BF2914"/>
    <w:rsid w:val="00BF2EC8"/>
    <w:rsid w:val="00BF3059"/>
    <w:rsid w:val="00BF3E26"/>
    <w:rsid w:val="00BF41E4"/>
    <w:rsid w:val="00BF421E"/>
    <w:rsid w:val="00BF4689"/>
    <w:rsid w:val="00BF5016"/>
    <w:rsid w:val="00BF5865"/>
    <w:rsid w:val="00BF5B95"/>
    <w:rsid w:val="00BF62DD"/>
    <w:rsid w:val="00BF6884"/>
    <w:rsid w:val="00BF72E2"/>
    <w:rsid w:val="00BF7595"/>
    <w:rsid w:val="00BF7DEE"/>
    <w:rsid w:val="00C0067C"/>
    <w:rsid w:val="00C00F8E"/>
    <w:rsid w:val="00C01B5B"/>
    <w:rsid w:val="00C01F95"/>
    <w:rsid w:val="00C0316F"/>
    <w:rsid w:val="00C0387C"/>
    <w:rsid w:val="00C04ED3"/>
    <w:rsid w:val="00C060F6"/>
    <w:rsid w:val="00C06967"/>
    <w:rsid w:val="00C07A26"/>
    <w:rsid w:val="00C10527"/>
    <w:rsid w:val="00C11440"/>
    <w:rsid w:val="00C14278"/>
    <w:rsid w:val="00C150E8"/>
    <w:rsid w:val="00C156EA"/>
    <w:rsid w:val="00C15984"/>
    <w:rsid w:val="00C20107"/>
    <w:rsid w:val="00C209C7"/>
    <w:rsid w:val="00C20F13"/>
    <w:rsid w:val="00C22825"/>
    <w:rsid w:val="00C23D3E"/>
    <w:rsid w:val="00C2490C"/>
    <w:rsid w:val="00C24EF9"/>
    <w:rsid w:val="00C2553D"/>
    <w:rsid w:val="00C25587"/>
    <w:rsid w:val="00C25B3D"/>
    <w:rsid w:val="00C2751D"/>
    <w:rsid w:val="00C2780A"/>
    <w:rsid w:val="00C30BC3"/>
    <w:rsid w:val="00C31F38"/>
    <w:rsid w:val="00C338C1"/>
    <w:rsid w:val="00C35EA2"/>
    <w:rsid w:val="00C36031"/>
    <w:rsid w:val="00C364E8"/>
    <w:rsid w:val="00C36951"/>
    <w:rsid w:val="00C370E1"/>
    <w:rsid w:val="00C37250"/>
    <w:rsid w:val="00C374B3"/>
    <w:rsid w:val="00C37E35"/>
    <w:rsid w:val="00C40A2C"/>
    <w:rsid w:val="00C40C49"/>
    <w:rsid w:val="00C40CE3"/>
    <w:rsid w:val="00C420C0"/>
    <w:rsid w:val="00C435CB"/>
    <w:rsid w:val="00C439A4"/>
    <w:rsid w:val="00C45653"/>
    <w:rsid w:val="00C45A35"/>
    <w:rsid w:val="00C45F52"/>
    <w:rsid w:val="00C460C8"/>
    <w:rsid w:val="00C46D55"/>
    <w:rsid w:val="00C475E8"/>
    <w:rsid w:val="00C47B0C"/>
    <w:rsid w:val="00C50CE0"/>
    <w:rsid w:val="00C50DE7"/>
    <w:rsid w:val="00C5158D"/>
    <w:rsid w:val="00C519A6"/>
    <w:rsid w:val="00C52D28"/>
    <w:rsid w:val="00C53819"/>
    <w:rsid w:val="00C53A08"/>
    <w:rsid w:val="00C53AFB"/>
    <w:rsid w:val="00C53B39"/>
    <w:rsid w:val="00C53BA9"/>
    <w:rsid w:val="00C53F9D"/>
    <w:rsid w:val="00C54478"/>
    <w:rsid w:val="00C547C6"/>
    <w:rsid w:val="00C555D0"/>
    <w:rsid w:val="00C55A8B"/>
    <w:rsid w:val="00C5659D"/>
    <w:rsid w:val="00C56DBB"/>
    <w:rsid w:val="00C57024"/>
    <w:rsid w:val="00C57BF6"/>
    <w:rsid w:val="00C60849"/>
    <w:rsid w:val="00C608C3"/>
    <w:rsid w:val="00C6091D"/>
    <w:rsid w:val="00C60997"/>
    <w:rsid w:val="00C61856"/>
    <w:rsid w:val="00C61C56"/>
    <w:rsid w:val="00C61C5F"/>
    <w:rsid w:val="00C61E2A"/>
    <w:rsid w:val="00C62C9E"/>
    <w:rsid w:val="00C62EA3"/>
    <w:rsid w:val="00C63F76"/>
    <w:rsid w:val="00C64004"/>
    <w:rsid w:val="00C641B3"/>
    <w:rsid w:val="00C65435"/>
    <w:rsid w:val="00C67082"/>
    <w:rsid w:val="00C674D2"/>
    <w:rsid w:val="00C70594"/>
    <w:rsid w:val="00C7156A"/>
    <w:rsid w:val="00C7165C"/>
    <w:rsid w:val="00C72ABC"/>
    <w:rsid w:val="00C730FA"/>
    <w:rsid w:val="00C734F5"/>
    <w:rsid w:val="00C73A94"/>
    <w:rsid w:val="00C746F6"/>
    <w:rsid w:val="00C75CFE"/>
    <w:rsid w:val="00C766DB"/>
    <w:rsid w:val="00C773DB"/>
    <w:rsid w:val="00C77579"/>
    <w:rsid w:val="00C81215"/>
    <w:rsid w:val="00C812CD"/>
    <w:rsid w:val="00C81B27"/>
    <w:rsid w:val="00C82383"/>
    <w:rsid w:val="00C82809"/>
    <w:rsid w:val="00C82941"/>
    <w:rsid w:val="00C82FF7"/>
    <w:rsid w:val="00C835F6"/>
    <w:rsid w:val="00C838B2"/>
    <w:rsid w:val="00C848ED"/>
    <w:rsid w:val="00C85D86"/>
    <w:rsid w:val="00C86374"/>
    <w:rsid w:val="00C8668A"/>
    <w:rsid w:val="00C879C4"/>
    <w:rsid w:val="00C87D22"/>
    <w:rsid w:val="00C90DF8"/>
    <w:rsid w:val="00C90F94"/>
    <w:rsid w:val="00C927BF"/>
    <w:rsid w:val="00C92D51"/>
    <w:rsid w:val="00C92E57"/>
    <w:rsid w:val="00C93C6E"/>
    <w:rsid w:val="00C940AC"/>
    <w:rsid w:val="00C968FA"/>
    <w:rsid w:val="00C96C73"/>
    <w:rsid w:val="00C97172"/>
    <w:rsid w:val="00CA1566"/>
    <w:rsid w:val="00CA2B2F"/>
    <w:rsid w:val="00CA3701"/>
    <w:rsid w:val="00CA3C2A"/>
    <w:rsid w:val="00CA3E69"/>
    <w:rsid w:val="00CA46F6"/>
    <w:rsid w:val="00CA4C50"/>
    <w:rsid w:val="00CA4D2F"/>
    <w:rsid w:val="00CA5321"/>
    <w:rsid w:val="00CA663A"/>
    <w:rsid w:val="00CA690E"/>
    <w:rsid w:val="00CB00D4"/>
    <w:rsid w:val="00CB1F8F"/>
    <w:rsid w:val="00CB239A"/>
    <w:rsid w:val="00CB2C03"/>
    <w:rsid w:val="00CB2E11"/>
    <w:rsid w:val="00CB2E19"/>
    <w:rsid w:val="00CB2E69"/>
    <w:rsid w:val="00CB2EBA"/>
    <w:rsid w:val="00CB30D8"/>
    <w:rsid w:val="00CB326E"/>
    <w:rsid w:val="00CB354A"/>
    <w:rsid w:val="00CB4CB9"/>
    <w:rsid w:val="00CB5B9C"/>
    <w:rsid w:val="00CB713A"/>
    <w:rsid w:val="00CB719A"/>
    <w:rsid w:val="00CB7B65"/>
    <w:rsid w:val="00CB7C41"/>
    <w:rsid w:val="00CC0725"/>
    <w:rsid w:val="00CC09A9"/>
    <w:rsid w:val="00CC0EEB"/>
    <w:rsid w:val="00CC0F39"/>
    <w:rsid w:val="00CC1608"/>
    <w:rsid w:val="00CC1695"/>
    <w:rsid w:val="00CC1D56"/>
    <w:rsid w:val="00CC1D73"/>
    <w:rsid w:val="00CC3F6E"/>
    <w:rsid w:val="00CC4ACD"/>
    <w:rsid w:val="00CC4CD2"/>
    <w:rsid w:val="00CC5AB7"/>
    <w:rsid w:val="00CC5F4D"/>
    <w:rsid w:val="00CC621E"/>
    <w:rsid w:val="00CC6A94"/>
    <w:rsid w:val="00CC6B76"/>
    <w:rsid w:val="00CC78F8"/>
    <w:rsid w:val="00CC7AA6"/>
    <w:rsid w:val="00CD01C6"/>
    <w:rsid w:val="00CD0DDE"/>
    <w:rsid w:val="00CD1596"/>
    <w:rsid w:val="00CD1886"/>
    <w:rsid w:val="00CD1B4F"/>
    <w:rsid w:val="00CD2767"/>
    <w:rsid w:val="00CD2D8B"/>
    <w:rsid w:val="00CD388D"/>
    <w:rsid w:val="00CD5128"/>
    <w:rsid w:val="00CD557D"/>
    <w:rsid w:val="00CD58BA"/>
    <w:rsid w:val="00CD5BA8"/>
    <w:rsid w:val="00CD6095"/>
    <w:rsid w:val="00CD65AE"/>
    <w:rsid w:val="00CD6908"/>
    <w:rsid w:val="00CD792A"/>
    <w:rsid w:val="00CD7A4F"/>
    <w:rsid w:val="00CD7EB2"/>
    <w:rsid w:val="00CE3D04"/>
    <w:rsid w:val="00CE48D2"/>
    <w:rsid w:val="00CE4B93"/>
    <w:rsid w:val="00CE7533"/>
    <w:rsid w:val="00CF2D32"/>
    <w:rsid w:val="00CF357C"/>
    <w:rsid w:val="00CF3582"/>
    <w:rsid w:val="00CF3C4C"/>
    <w:rsid w:val="00CF4187"/>
    <w:rsid w:val="00CF4B0D"/>
    <w:rsid w:val="00CF4FF9"/>
    <w:rsid w:val="00CF58AB"/>
    <w:rsid w:val="00CF58B8"/>
    <w:rsid w:val="00CF682E"/>
    <w:rsid w:val="00CF6960"/>
    <w:rsid w:val="00CF6AB8"/>
    <w:rsid w:val="00CF7792"/>
    <w:rsid w:val="00D000DC"/>
    <w:rsid w:val="00D00EA4"/>
    <w:rsid w:val="00D014FB"/>
    <w:rsid w:val="00D01F62"/>
    <w:rsid w:val="00D02C9F"/>
    <w:rsid w:val="00D03814"/>
    <w:rsid w:val="00D03B8A"/>
    <w:rsid w:val="00D03E1D"/>
    <w:rsid w:val="00D04B40"/>
    <w:rsid w:val="00D04FA0"/>
    <w:rsid w:val="00D05445"/>
    <w:rsid w:val="00D05912"/>
    <w:rsid w:val="00D05A10"/>
    <w:rsid w:val="00D05AD6"/>
    <w:rsid w:val="00D06484"/>
    <w:rsid w:val="00D0696F"/>
    <w:rsid w:val="00D06BD4"/>
    <w:rsid w:val="00D073D8"/>
    <w:rsid w:val="00D10455"/>
    <w:rsid w:val="00D11658"/>
    <w:rsid w:val="00D1291C"/>
    <w:rsid w:val="00D12FE2"/>
    <w:rsid w:val="00D13BEA"/>
    <w:rsid w:val="00D13D20"/>
    <w:rsid w:val="00D14254"/>
    <w:rsid w:val="00D142C8"/>
    <w:rsid w:val="00D14B97"/>
    <w:rsid w:val="00D1566C"/>
    <w:rsid w:val="00D1608E"/>
    <w:rsid w:val="00D173A9"/>
    <w:rsid w:val="00D1789D"/>
    <w:rsid w:val="00D20CDE"/>
    <w:rsid w:val="00D20F75"/>
    <w:rsid w:val="00D2121C"/>
    <w:rsid w:val="00D214A7"/>
    <w:rsid w:val="00D21B43"/>
    <w:rsid w:val="00D22F68"/>
    <w:rsid w:val="00D24052"/>
    <w:rsid w:val="00D25693"/>
    <w:rsid w:val="00D26ED1"/>
    <w:rsid w:val="00D2742A"/>
    <w:rsid w:val="00D30AB6"/>
    <w:rsid w:val="00D30DB1"/>
    <w:rsid w:val="00D31592"/>
    <w:rsid w:val="00D31F6C"/>
    <w:rsid w:val="00D3200E"/>
    <w:rsid w:val="00D32948"/>
    <w:rsid w:val="00D3376B"/>
    <w:rsid w:val="00D36A18"/>
    <w:rsid w:val="00D37144"/>
    <w:rsid w:val="00D37368"/>
    <w:rsid w:val="00D40F6D"/>
    <w:rsid w:val="00D417E3"/>
    <w:rsid w:val="00D42662"/>
    <w:rsid w:val="00D42A3B"/>
    <w:rsid w:val="00D436A4"/>
    <w:rsid w:val="00D437E4"/>
    <w:rsid w:val="00D4489D"/>
    <w:rsid w:val="00D4534F"/>
    <w:rsid w:val="00D45E08"/>
    <w:rsid w:val="00D5042E"/>
    <w:rsid w:val="00D51058"/>
    <w:rsid w:val="00D5110D"/>
    <w:rsid w:val="00D5257C"/>
    <w:rsid w:val="00D52FD0"/>
    <w:rsid w:val="00D53149"/>
    <w:rsid w:val="00D534D1"/>
    <w:rsid w:val="00D53988"/>
    <w:rsid w:val="00D5509D"/>
    <w:rsid w:val="00D55827"/>
    <w:rsid w:val="00D558E6"/>
    <w:rsid w:val="00D566A6"/>
    <w:rsid w:val="00D566CE"/>
    <w:rsid w:val="00D5701E"/>
    <w:rsid w:val="00D57497"/>
    <w:rsid w:val="00D578FD"/>
    <w:rsid w:val="00D60281"/>
    <w:rsid w:val="00D60B9C"/>
    <w:rsid w:val="00D616AE"/>
    <w:rsid w:val="00D62ABF"/>
    <w:rsid w:val="00D62D1A"/>
    <w:rsid w:val="00D62ECF"/>
    <w:rsid w:val="00D62FA2"/>
    <w:rsid w:val="00D6344F"/>
    <w:rsid w:val="00D63455"/>
    <w:rsid w:val="00D63957"/>
    <w:rsid w:val="00D641D6"/>
    <w:rsid w:val="00D641E5"/>
    <w:rsid w:val="00D6433E"/>
    <w:rsid w:val="00D646C3"/>
    <w:rsid w:val="00D64E5D"/>
    <w:rsid w:val="00D65309"/>
    <w:rsid w:val="00D659BC"/>
    <w:rsid w:val="00D65BC8"/>
    <w:rsid w:val="00D65CAB"/>
    <w:rsid w:val="00D66437"/>
    <w:rsid w:val="00D67F45"/>
    <w:rsid w:val="00D7052F"/>
    <w:rsid w:val="00D7077C"/>
    <w:rsid w:val="00D70A60"/>
    <w:rsid w:val="00D71CA8"/>
    <w:rsid w:val="00D71D8B"/>
    <w:rsid w:val="00D7278A"/>
    <w:rsid w:val="00D72D1A"/>
    <w:rsid w:val="00D73205"/>
    <w:rsid w:val="00D74611"/>
    <w:rsid w:val="00D747BB"/>
    <w:rsid w:val="00D7483E"/>
    <w:rsid w:val="00D76261"/>
    <w:rsid w:val="00D7633D"/>
    <w:rsid w:val="00D76DCA"/>
    <w:rsid w:val="00D772CD"/>
    <w:rsid w:val="00D80183"/>
    <w:rsid w:val="00D80A1D"/>
    <w:rsid w:val="00D81A9F"/>
    <w:rsid w:val="00D82368"/>
    <w:rsid w:val="00D82C29"/>
    <w:rsid w:val="00D82DFC"/>
    <w:rsid w:val="00D834C6"/>
    <w:rsid w:val="00D83AEA"/>
    <w:rsid w:val="00D842EC"/>
    <w:rsid w:val="00D8463C"/>
    <w:rsid w:val="00D84949"/>
    <w:rsid w:val="00D84C15"/>
    <w:rsid w:val="00D85A9D"/>
    <w:rsid w:val="00D86A4A"/>
    <w:rsid w:val="00D8744F"/>
    <w:rsid w:val="00D903FF"/>
    <w:rsid w:val="00D90A5F"/>
    <w:rsid w:val="00D90C3D"/>
    <w:rsid w:val="00D9177B"/>
    <w:rsid w:val="00D934FD"/>
    <w:rsid w:val="00D93CDC"/>
    <w:rsid w:val="00D95984"/>
    <w:rsid w:val="00D95F3E"/>
    <w:rsid w:val="00D96692"/>
    <w:rsid w:val="00D96B00"/>
    <w:rsid w:val="00DA0D5C"/>
    <w:rsid w:val="00DA1092"/>
    <w:rsid w:val="00DA1472"/>
    <w:rsid w:val="00DA247B"/>
    <w:rsid w:val="00DA273C"/>
    <w:rsid w:val="00DA27C2"/>
    <w:rsid w:val="00DA45E0"/>
    <w:rsid w:val="00DA4B35"/>
    <w:rsid w:val="00DA4E91"/>
    <w:rsid w:val="00DA60E0"/>
    <w:rsid w:val="00DA6270"/>
    <w:rsid w:val="00DA6367"/>
    <w:rsid w:val="00DA66C8"/>
    <w:rsid w:val="00DA7C97"/>
    <w:rsid w:val="00DA7D63"/>
    <w:rsid w:val="00DA7E2A"/>
    <w:rsid w:val="00DB03BE"/>
    <w:rsid w:val="00DB0CA3"/>
    <w:rsid w:val="00DB10FE"/>
    <w:rsid w:val="00DB12FF"/>
    <w:rsid w:val="00DB3181"/>
    <w:rsid w:val="00DB3C11"/>
    <w:rsid w:val="00DB4C0B"/>
    <w:rsid w:val="00DB55E1"/>
    <w:rsid w:val="00DB5CFC"/>
    <w:rsid w:val="00DB61FB"/>
    <w:rsid w:val="00DB734E"/>
    <w:rsid w:val="00DB7933"/>
    <w:rsid w:val="00DB7AC9"/>
    <w:rsid w:val="00DC1066"/>
    <w:rsid w:val="00DC17FE"/>
    <w:rsid w:val="00DC1AEE"/>
    <w:rsid w:val="00DC2B93"/>
    <w:rsid w:val="00DC3B65"/>
    <w:rsid w:val="00DC3B6E"/>
    <w:rsid w:val="00DC3D88"/>
    <w:rsid w:val="00DC41EE"/>
    <w:rsid w:val="00DC44D6"/>
    <w:rsid w:val="00DC4FE6"/>
    <w:rsid w:val="00DC6245"/>
    <w:rsid w:val="00DC6A96"/>
    <w:rsid w:val="00DC6FC9"/>
    <w:rsid w:val="00DC761B"/>
    <w:rsid w:val="00DC7630"/>
    <w:rsid w:val="00DD0C14"/>
    <w:rsid w:val="00DD1B34"/>
    <w:rsid w:val="00DD1DC3"/>
    <w:rsid w:val="00DD30C3"/>
    <w:rsid w:val="00DD368D"/>
    <w:rsid w:val="00DD3D24"/>
    <w:rsid w:val="00DD4736"/>
    <w:rsid w:val="00DD4DA8"/>
    <w:rsid w:val="00DD516E"/>
    <w:rsid w:val="00DD5287"/>
    <w:rsid w:val="00DD56C5"/>
    <w:rsid w:val="00DD5893"/>
    <w:rsid w:val="00DD5ED4"/>
    <w:rsid w:val="00DD6E5F"/>
    <w:rsid w:val="00DD7C1B"/>
    <w:rsid w:val="00DE095F"/>
    <w:rsid w:val="00DE0E05"/>
    <w:rsid w:val="00DE1BF7"/>
    <w:rsid w:val="00DE23A8"/>
    <w:rsid w:val="00DE256F"/>
    <w:rsid w:val="00DE2ABE"/>
    <w:rsid w:val="00DE4BF7"/>
    <w:rsid w:val="00DE5EC6"/>
    <w:rsid w:val="00DE6178"/>
    <w:rsid w:val="00DE63FA"/>
    <w:rsid w:val="00DE6889"/>
    <w:rsid w:val="00DF14B4"/>
    <w:rsid w:val="00DF16B7"/>
    <w:rsid w:val="00DF2C77"/>
    <w:rsid w:val="00DF4703"/>
    <w:rsid w:val="00DF5603"/>
    <w:rsid w:val="00DF58FD"/>
    <w:rsid w:val="00DF6FDE"/>
    <w:rsid w:val="00E00202"/>
    <w:rsid w:val="00E005B6"/>
    <w:rsid w:val="00E01838"/>
    <w:rsid w:val="00E02197"/>
    <w:rsid w:val="00E043B0"/>
    <w:rsid w:val="00E055A6"/>
    <w:rsid w:val="00E0715B"/>
    <w:rsid w:val="00E10395"/>
    <w:rsid w:val="00E106F2"/>
    <w:rsid w:val="00E1106A"/>
    <w:rsid w:val="00E1347E"/>
    <w:rsid w:val="00E147D4"/>
    <w:rsid w:val="00E15BFC"/>
    <w:rsid w:val="00E16CCF"/>
    <w:rsid w:val="00E17735"/>
    <w:rsid w:val="00E20903"/>
    <w:rsid w:val="00E22309"/>
    <w:rsid w:val="00E23629"/>
    <w:rsid w:val="00E24827"/>
    <w:rsid w:val="00E24947"/>
    <w:rsid w:val="00E24D41"/>
    <w:rsid w:val="00E25370"/>
    <w:rsid w:val="00E2579E"/>
    <w:rsid w:val="00E266BA"/>
    <w:rsid w:val="00E268DA"/>
    <w:rsid w:val="00E26C6C"/>
    <w:rsid w:val="00E27752"/>
    <w:rsid w:val="00E3025C"/>
    <w:rsid w:val="00E309E3"/>
    <w:rsid w:val="00E310B9"/>
    <w:rsid w:val="00E311DC"/>
    <w:rsid w:val="00E31FBB"/>
    <w:rsid w:val="00E32C09"/>
    <w:rsid w:val="00E331F8"/>
    <w:rsid w:val="00E33756"/>
    <w:rsid w:val="00E35702"/>
    <w:rsid w:val="00E35B91"/>
    <w:rsid w:val="00E35FE6"/>
    <w:rsid w:val="00E36052"/>
    <w:rsid w:val="00E37B42"/>
    <w:rsid w:val="00E37E3D"/>
    <w:rsid w:val="00E4047C"/>
    <w:rsid w:val="00E4058B"/>
    <w:rsid w:val="00E40DE7"/>
    <w:rsid w:val="00E40EF6"/>
    <w:rsid w:val="00E40F52"/>
    <w:rsid w:val="00E41099"/>
    <w:rsid w:val="00E43B73"/>
    <w:rsid w:val="00E4456A"/>
    <w:rsid w:val="00E446FC"/>
    <w:rsid w:val="00E449BE"/>
    <w:rsid w:val="00E44A74"/>
    <w:rsid w:val="00E44CCE"/>
    <w:rsid w:val="00E46753"/>
    <w:rsid w:val="00E51408"/>
    <w:rsid w:val="00E51534"/>
    <w:rsid w:val="00E51561"/>
    <w:rsid w:val="00E53096"/>
    <w:rsid w:val="00E538A6"/>
    <w:rsid w:val="00E539EF"/>
    <w:rsid w:val="00E54307"/>
    <w:rsid w:val="00E56047"/>
    <w:rsid w:val="00E563FB"/>
    <w:rsid w:val="00E56E15"/>
    <w:rsid w:val="00E57CA3"/>
    <w:rsid w:val="00E602F5"/>
    <w:rsid w:val="00E60635"/>
    <w:rsid w:val="00E61A3D"/>
    <w:rsid w:val="00E62810"/>
    <w:rsid w:val="00E63EEA"/>
    <w:rsid w:val="00E63FBA"/>
    <w:rsid w:val="00E6419B"/>
    <w:rsid w:val="00E6450B"/>
    <w:rsid w:val="00E64DE5"/>
    <w:rsid w:val="00E64F77"/>
    <w:rsid w:val="00E658E2"/>
    <w:rsid w:val="00E65AC6"/>
    <w:rsid w:val="00E6662C"/>
    <w:rsid w:val="00E66782"/>
    <w:rsid w:val="00E7027C"/>
    <w:rsid w:val="00E705CD"/>
    <w:rsid w:val="00E706B4"/>
    <w:rsid w:val="00E708D8"/>
    <w:rsid w:val="00E711A5"/>
    <w:rsid w:val="00E71864"/>
    <w:rsid w:val="00E72840"/>
    <w:rsid w:val="00E7296A"/>
    <w:rsid w:val="00E73897"/>
    <w:rsid w:val="00E74404"/>
    <w:rsid w:val="00E7690E"/>
    <w:rsid w:val="00E77FB6"/>
    <w:rsid w:val="00E81E1F"/>
    <w:rsid w:val="00E82902"/>
    <w:rsid w:val="00E844E8"/>
    <w:rsid w:val="00E8471F"/>
    <w:rsid w:val="00E84EBC"/>
    <w:rsid w:val="00E85953"/>
    <w:rsid w:val="00E86B70"/>
    <w:rsid w:val="00E8759E"/>
    <w:rsid w:val="00E9053E"/>
    <w:rsid w:val="00E9054D"/>
    <w:rsid w:val="00E91A94"/>
    <w:rsid w:val="00E92317"/>
    <w:rsid w:val="00E94231"/>
    <w:rsid w:val="00E942E4"/>
    <w:rsid w:val="00E958D9"/>
    <w:rsid w:val="00E9646D"/>
    <w:rsid w:val="00E968DD"/>
    <w:rsid w:val="00E97E7C"/>
    <w:rsid w:val="00EA06EF"/>
    <w:rsid w:val="00EA0F30"/>
    <w:rsid w:val="00EA2037"/>
    <w:rsid w:val="00EA25FA"/>
    <w:rsid w:val="00EA2BE3"/>
    <w:rsid w:val="00EA35D0"/>
    <w:rsid w:val="00EA35E3"/>
    <w:rsid w:val="00EA42F9"/>
    <w:rsid w:val="00EA4C57"/>
    <w:rsid w:val="00EA4E83"/>
    <w:rsid w:val="00EA4EF3"/>
    <w:rsid w:val="00EA5DE6"/>
    <w:rsid w:val="00EA6023"/>
    <w:rsid w:val="00EA621B"/>
    <w:rsid w:val="00EA6735"/>
    <w:rsid w:val="00EA6CBD"/>
    <w:rsid w:val="00EA6FBB"/>
    <w:rsid w:val="00EA702D"/>
    <w:rsid w:val="00EA7435"/>
    <w:rsid w:val="00EA7981"/>
    <w:rsid w:val="00EB1681"/>
    <w:rsid w:val="00EB1992"/>
    <w:rsid w:val="00EB1AD0"/>
    <w:rsid w:val="00EB1D2B"/>
    <w:rsid w:val="00EB2177"/>
    <w:rsid w:val="00EB3820"/>
    <w:rsid w:val="00EB38C8"/>
    <w:rsid w:val="00EB3CB3"/>
    <w:rsid w:val="00EB430A"/>
    <w:rsid w:val="00EB4841"/>
    <w:rsid w:val="00EB5DCE"/>
    <w:rsid w:val="00EB650E"/>
    <w:rsid w:val="00EB6523"/>
    <w:rsid w:val="00EB674D"/>
    <w:rsid w:val="00EB6F92"/>
    <w:rsid w:val="00EB77B8"/>
    <w:rsid w:val="00EB790C"/>
    <w:rsid w:val="00EC0827"/>
    <w:rsid w:val="00EC0A1B"/>
    <w:rsid w:val="00EC153D"/>
    <w:rsid w:val="00EC1EE2"/>
    <w:rsid w:val="00EC2097"/>
    <w:rsid w:val="00EC3AD8"/>
    <w:rsid w:val="00EC4543"/>
    <w:rsid w:val="00EC4C25"/>
    <w:rsid w:val="00EC51D2"/>
    <w:rsid w:val="00EC7213"/>
    <w:rsid w:val="00EC7461"/>
    <w:rsid w:val="00EC78C9"/>
    <w:rsid w:val="00EC7C3C"/>
    <w:rsid w:val="00ED0461"/>
    <w:rsid w:val="00ED1F30"/>
    <w:rsid w:val="00ED24CA"/>
    <w:rsid w:val="00ED6141"/>
    <w:rsid w:val="00ED6FCE"/>
    <w:rsid w:val="00ED78FE"/>
    <w:rsid w:val="00ED7C5E"/>
    <w:rsid w:val="00ED7D8A"/>
    <w:rsid w:val="00EE0356"/>
    <w:rsid w:val="00EE0932"/>
    <w:rsid w:val="00EE1458"/>
    <w:rsid w:val="00EE270F"/>
    <w:rsid w:val="00EE32C7"/>
    <w:rsid w:val="00EE410C"/>
    <w:rsid w:val="00EE54A8"/>
    <w:rsid w:val="00EE5B5C"/>
    <w:rsid w:val="00EE69EB"/>
    <w:rsid w:val="00EE7C9E"/>
    <w:rsid w:val="00EF0623"/>
    <w:rsid w:val="00EF17E2"/>
    <w:rsid w:val="00EF22B2"/>
    <w:rsid w:val="00EF23DF"/>
    <w:rsid w:val="00EF2BD8"/>
    <w:rsid w:val="00EF307F"/>
    <w:rsid w:val="00EF3C03"/>
    <w:rsid w:val="00EF4853"/>
    <w:rsid w:val="00EF4B15"/>
    <w:rsid w:val="00EF52D4"/>
    <w:rsid w:val="00EF54D7"/>
    <w:rsid w:val="00EF566E"/>
    <w:rsid w:val="00EF5E17"/>
    <w:rsid w:val="00EF6B30"/>
    <w:rsid w:val="00EF71E3"/>
    <w:rsid w:val="00F0007F"/>
    <w:rsid w:val="00F009E2"/>
    <w:rsid w:val="00F00F54"/>
    <w:rsid w:val="00F02D3E"/>
    <w:rsid w:val="00F0319A"/>
    <w:rsid w:val="00F05972"/>
    <w:rsid w:val="00F05995"/>
    <w:rsid w:val="00F06597"/>
    <w:rsid w:val="00F06948"/>
    <w:rsid w:val="00F10CB3"/>
    <w:rsid w:val="00F10E2C"/>
    <w:rsid w:val="00F1171C"/>
    <w:rsid w:val="00F121AE"/>
    <w:rsid w:val="00F127D5"/>
    <w:rsid w:val="00F129CE"/>
    <w:rsid w:val="00F14126"/>
    <w:rsid w:val="00F14A85"/>
    <w:rsid w:val="00F156DC"/>
    <w:rsid w:val="00F1571D"/>
    <w:rsid w:val="00F15BD9"/>
    <w:rsid w:val="00F1609D"/>
    <w:rsid w:val="00F179C0"/>
    <w:rsid w:val="00F20C76"/>
    <w:rsid w:val="00F20C87"/>
    <w:rsid w:val="00F20E79"/>
    <w:rsid w:val="00F22C11"/>
    <w:rsid w:val="00F235BD"/>
    <w:rsid w:val="00F24067"/>
    <w:rsid w:val="00F25133"/>
    <w:rsid w:val="00F255A7"/>
    <w:rsid w:val="00F26AE3"/>
    <w:rsid w:val="00F26FA0"/>
    <w:rsid w:val="00F27085"/>
    <w:rsid w:val="00F2749B"/>
    <w:rsid w:val="00F27B5C"/>
    <w:rsid w:val="00F30412"/>
    <w:rsid w:val="00F304AA"/>
    <w:rsid w:val="00F308F7"/>
    <w:rsid w:val="00F30F17"/>
    <w:rsid w:val="00F31431"/>
    <w:rsid w:val="00F33407"/>
    <w:rsid w:val="00F3389C"/>
    <w:rsid w:val="00F33CDC"/>
    <w:rsid w:val="00F33D56"/>
    <w:rsid w:val="00F34311"/>
    <w:rsid w:val="00F34D5C"/>
    <w:rsid w:val="00F34E04"/>
    <w:rsid w:val="00F3585B"/>
    <w:rsid w:val="00F35B8C"/>
    <w:rsid w:val="00F35EB9"/>
    <w:rsid w:val="00F3770C"/>
    <w:rsid w:val="00F37C2A"/>
    <w:rsid w:val="00F405E3"/>
    <w:rsid w:val="00F40659"/>
    <w:rsid w:val="00F408C6"/>
    <w:rsid w:val="00F4091C"/>
    <w:rsid w:val="00F41D1D"/>
    <w:rsid w:val="00F429B2"/>
    <w:rsid w:val="00F42D43"/>
    <w:rsid w:val="00F43CEE"/>
    <w:rsid w:val="00F44257"/>
    <w:rsid w:val="00F4526B"/>
    <w:rsid w:val="00F45368"/>
    <w:rsid w:val="00F45DA0"/>
    <w:rsid w:val="00F45DA4"/>
    <w:rsid w:val="00F46B4F"/>
    <w:rsid w:val="00F470C1"/>
    <w:rsid w:val="00F47517"/>
    <w:rsid w:val="00F50EE2"/>
    <w:rsid w:val="00F51B0F"/>
    <w:rsid w:val="00F5209A"/>
    <w:rsid w:val="00F524CD"/>
    <w:rsid w:val="00F53CBF"/>
    <w:rsid w:val="00F54767"/>
    <w:rsid w:val="00F54A72"/>
    <w:rsid w:val="00F55133"/>
    <w:rsid w:val="00F55D32"/>
    <w:rsid w:val="00F5609B"/>
    <w:rsid w:val="00F6048C"/>
    <w:rsid w:val="00F6235A"/>
    <w:rsid w:val="00F625DA"/>
    <w:rsid w:val="00F62AA2"/>
    <w:rsid w:val="00F63C41"/>
    <w:rsid w:val="00F63DB7"/>
    <w:rsid w:val="00F64594"/>
    <w:rsid w:val="00F64E13"/>
    <w:rsid w:val="00F6615A"/>
    <w:rsid w:val="00F66449"/>
    <w:rsid w:val="00F67964"/>
    <w:rsid w:val="00F67A13"/>
    <w:rsid w:val="00F67DCE"/>
    <w:rsid w:val="00F702CE"/>
    <w:rsid w:val="00F70C2D"/>
    <w:rsid w:val="00F7139A"/>
    <w:rsid w:val="00F73891"/>
    <w:rsid w:val="00F73FFE"/>
    <w:rsid w:val="00F74469"/>
    <w:rsid w:val="00F74982"/>
    <w:rsid w:val="00F75C2D"/>
    <w:rsid w:val="00F762C1"/>
    <w:rsid w:val="00F769D7"/>
    <w:rsid w:val="00F76EC2"/>
    <w:rsid w:val="00F771A4"/>
    <w:rsid w:val="00F77F16"/>
    <w:rsid w:val="00F80EAE"/>
    <w:rsid w:val="00F83427"/>
    <w:rsid w:val="00F83602"/>
    <w:rsid w:val="00F8485F"/>
    <w:rsid w:val="00F84AD1"/>
    <w:rsid w:val="00F8530A"/>
    <w:rsid w:val="00F85CEE"/>
    <w:rsid w:val="00F85D17"/>
    <w:rsid w:val="00F86EA4"/>
    <w:rsid w:val="00F9029D"/>
    <w:rsid w:val="00F903D0"/>
    <w:rsid w:val="00F90691"/>
    <w:rsid w:val="00F9072B"/>
    <w:rsid w:val="00F90B0C"/>
    <w:rsid w:val="00F90C98"/>
    <w:rsid w:val="00F92C0C"/>
    <w:rsid w:val="00F92D55"/>
    <w:rsid w:val="00F92F24"/>
    <w:rsid w:val="00F93149"/>
    <w:rsid w:val="00F932BB"/>
    <w:rsid w:val="00F935E3"/>
    <w:rsid w:val="00F941B1"/>
    <w:rsid w:val="00F9438E"/>
    <w:rsid w:val="00F9451B"/>
    <w:rsid w:val="00F9490E"/>
    <w:rsid w:val="00F94987"/>
    <w:rsid w:val="00F949C6"/>
    <w:rsid w:val="00F95A9B"/>
    <w:rsid w:val="00F96D91"/>
    <w:rsid w:val="00F96FF0"/>
    <w:rsid w:val="00F96FF9"/>
    <w:rsid w:val="00F97477"/>
    <w:rsid w:val="00FA0202"/>
    <w:rsid w:val="00FA0B52"/>
    <w:rsid w:val="00FA36ED"/>
    <w:rsid w:val="00FA3D21"/>
    <w:rsid w:val="00FA3E82"/>
    <w:rsid w:val="00FA5138"/>
    <w:rsid w:val="00FA5C47"/>
    <w:rsid w:val="00FA5FAF"/>
    <w:rsid w:val="00FA60D3"/>
    <w:rsid w:val="00FA62E9"/>
    <w:rsid w:val="00FA673A"/>
    <w:rsid w:val="00FB1BA0"/>
    <w:rsid w:val="00FB2035"/>
    <w:rsid w:val="00FB24C7"/>
    <w:rsid w:val="00FB2B2D"/>
    <w:rsid w:val="00FB2BEA"/>
    <w:rsid w:val="00FB33AF"/>
    <w:rsid w:val="00FB3420"/>
    <w:rsid w:val="00FB38B9"/>
    <w:rsid w:val="00FB4958"/>
    <w:rsid w:val="00FB584A"/>
    <w:rsid w:val="00FB6078"/>
    <w:rsid w:val="00FB6C68"/>
    <w:rsid w:val="00FB7207"/>
    <w:rsid w:val="00FB7A7C"/>
    <w:rsid w:val="00FB7CF7"/>
    <w:rsid w:val="00FC00E3"/>
    <w:rsid w:val="00FC14AD"/>
    <w:rsid w:val="00FC19B1"/>
    <w:rsid w:val="00FC1BE6"/>
    <w:rsid w:val="00FC224D"/>
    <w:rsid w:val="00FC2630"/>
    <w:rsid w:val="00FC267F"/>
    <w:rsid w:val="00FC425D"/>
    <w:rsid w:val="00FC443A"/>
    <w:rsid w:val="00FC4F1A"/>
    <w:rsid w:val="00FC558A"/>
    <w:rsid w:val="00FC6E64"/>
    <w:rsid w:val="00FC6F5D"/>
    <w:rsid w:val="00FC7ED0"/>
    <w:rsid w:val="00FD1339"/>
    <w:rsid w:val="00FD142C"/>
    <w:rsid w:val="00FD1658"/>
    <w:rsid w:val="00FD17F8"/>
    <w:rsid w:val="00FD1AA1"/>
    <w:rsid w:val="00FD1F97"/>
    <w:rsid w:val="00FD2C77"/>
    <w:rsid w:val="00FD31C0"/>
    <w:rsid w:val="00FD3E6F"/>
    <w:rsid w:val="00FD409A"/>
    <w:rsid w:val="00FD584B"/>
    <w:rsid w:val="00FD5A4A"/>
    <w:rsid w:val="00FD6C19"/>
    <w:rsid w:val="00FD730D"/>
    <w:rsid w:val="00FD73CC"/>
    <w:rsid w:val="00FD76BA"/>
    <w:rsid w:val="00FE02EA"/>
    <w:rsid w:val="00FE041A"/>
    <w:rsid w:val="00FE2367"/>
    <w:rsid w:val="00FE3A55"/>
    <w:rsid w:val="00FE3A9A"/>
    <w:rsid w:val="00FE4A8D"/>
    <w:rsid w:val="00FE4BA4"/>
    <w:rsid w:val="00FE627B"/>
    <w:rsid w:val="00FE6BB9"/>
    <w:rsid w:val="00FF02BD"/>
    <w:rsid w:val="00FF2BA8"/>
    <w:rsid w:val="00FF52D8"/>
    <w:rsid w:val="00FF5A9F"/>
    <w:rsid w:val="00FF6CD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6D170"/>
  <w15:chartTrackingRefBased/>
  <w15:docId w15:val="{D4C36A9D-6300-4942-8E19-44914BBA4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Default"/>
    <w:next w:val="Normal"/>
    <w:link w:val="Heading1Char"/>
    <w:uiPriority w:val="9"/>
    <w:qFormat/>
    <w:rsid w:val="008A0E96"/>
    <w:pPr>
      <w:ind w:left="-426" w:right="119"/>
      <w:outlineLvl w:val="0"/>
    </w:pPr>
    <w:rPr>
      <w:rFonts w:asciiTheme="minorHAnsi" w:hAnsiTheme="minorHAnsi" w:cstheme="minorHAnsi"/>
      <w:b/>
      <w:bCs/>
      <w:sz w:val="20"/>
      <w:szCs w:val="20"/>
    </w:rPr>
  </w:style>
  <w:style w:type="paragraph" w:styleId="Heading2">
    <w:name w:val="heading 2"/>
    <w:basedOn w:val="Normal"/>
    <w:next w:val="Normal"/>
    <w:link w:val="Heading2Char"/>
    <w:uiPriority w:val="9"/>
    <w:semiHidden/>
    <w:unhideWhenUsed/>
    <w:qFormat/>
    <w:rsid w:val="001F23B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70848"/>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708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848"/>
  </w:style>
  <w:style w:type="paragraph" w:styleId="Footer">
    <w:name w:val="footer"/>
    <w:basedOn w:val="Normal"/>
    <w:link w:val="FooterChar"/>
    <w:uiPriority w:val="99"/>
    <w:unhideWhenUsed/>
    <w:rsid w:val="002708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848"/>
  </w:style>
  <w:style w:type="character" w:styleId="Hyperlink">
    <w:name w:val="Hyperlink"/>
    <w:basedOn w:val="DefaultParagraphFont"/>
    <w:uiPriority w:val="99"/>
    <w:unhideWhenUsed/>
    <w:rsid w:val="00270848"/>
    <w:rPr>
      <w:color w:val="0563C1" w:themeColor="hyperlink"/>
      <w:u w:val="single"/>
    </w:rPr>
  </w:style>
  <w:style w:type="character" w:styleId="UnresolvedMention">
    <w:name w:val="Unresolved Mention"/>
    <w:basedOn w:val="DefaultParagraphFont"/>
    <w:uiPriority w:val="99"/>
    <w:semiHidden/>
    <w:unhideWhenUsed/>
    <w:rsid w:val="00270848"/>
    <w:rPr>
      <w:color w:val="605E5C"/>
      <w:shd w:val="clear" w:color="auto" w:fill="E1DFDD"/>
    </w:rPr>
  </w:style>
  <w:style w:type="table" w:styleId="TableGrid">
    <w:name w:val="Table Grid"/>
    <w:basedOn w:val="TableNormal"/>
    <w:uiPriority w:val="39"/>
    <w:rsid w:val="00C20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B3820"/>
    <w:rPr>
      <w:color w:val="954F72" w:themeColor="followedHyperlink"/>
      <w:u w:val="single"/>
    </w:rPr>
  </w:style>
  <w:style w:type="paragraph" w:styleId="ListParagraph">
    <w:name w:val="List Paragraph"/>
    <w:basedOn w:val="Normal"/>
    <w:uiPriority w:val="34"/>
    <w:qFormat/>
    <w:rsid w:val="00106BC1"/>
    <w:pPr>
      <w:ind w:left="720"/>
      <w:contextualSpacing/>
    </w:pPr>
  </w:style>
  <w:style w:type="paragraph" w:styleId="BalloonText">
    <w:name w:val="Balloon Text"/>
    <w:basedOn w:val="Normal"/>
    <w:link w:val="BalloonTextChar"/>
    <w:uiPriority w:val="99"/>
    <w:semiHidden/>
    <w:unhideWhenUsed/>
    <w:rsid w:val="007421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188"/>
    <w:rPr>
      <w:rFonts w:ascii="Segoe UI" w:hAnsi="Segoe UI" w:cs="Segoe UI"/>
      <w:sz w:val="18"/>
      <w:szCs w:val="18"/>
    </w:rPr>
  </w:style>
  <w:style w:type="character" w:styleId="Emphasis">
    <w:name w:val="Emphasis"/>
    <w:basedOn w:val="DefaultParagraphFont"/>
    <w:uiPriority w:val="20"/>
    <w:qFormat/>
    <w:rsid w:val="00742188"/>
    <w:rPr>
      <w:i/>
      <w:iCs/>
    </w:rPr>
  </w:style>
  <w:style w:type="paragraph" w:styleId="NoSpacing">
    <w:name w:val="No Spacing"/>
    <w:uiPriority w:val="1"/>
    <w:qFormat/>
    <w:rsid w:val="00BE5379"/>
    <w:pPr>
      <w:spacing w:after="0" w:line="240" w:lineRule="auto"/>
    </w:pPr>
  </w:style>
  <w:style w:type="character" w:customStyle="1" w:styleId="Heading1Char">
    <w:name w:val="Heading 1 Char"/>
    <w:basedOn w:val="DefaultParagraphFont"/>
    <w:link w:val="Heading1"/>
    <w:uiPriority w:val="9"/>
    <w:rsid w:val="008A0E96"/>
    <w:rPr>
      <w:rFonts w:cstheme="minorHAnsi"/>
      <w:b/>
      <w:bCs/>
      <w:color w:val="000000"/>
      <w:sz w:val="20"/>
      <w:szCs w:val="20"/>
    </w:rPr>
  </w:style>
  <w:style w:type="character" w:styleId="CommentReference">
    <w:name w:val="annotation reference"/>
    <w:basedOn w:val="DefaultParagraphFont"/>
    <w:uiPriority w:val="99"/>
    <w:semiHidden/>
    <w:unhideWhenUsed/>
    <w:rsid w:val="00C01F95"/>
    <w:rPr>
      <w:sz w:val="16"/>
      <w:szCs w:val="16"/>
    </w:rPr>
  </w:style>
  <w:style w:type="paragraph" w:styleId="CommentText">
    <w:name w:val="annotation text"/>
    <w:basedOn w:val="Normal"/>
    <w:link w:val="CommentTextChar"/>
    <w:uiPriority w:val="99"/>
    <w:semiHidden/>
    <w:unhideWhenUsed/>
    <w:rsid w:val="00C01F95"/>
    <w:pPr>
      <w:spacing w:line="240" w:lineRule="auto"/>
    </w:pPr>
    <w:rPr>
      <w:sz w:val="20"/>
      <w:szCs w:val="20"/>
    </w:rPr>
  </w:style>
  <w:style w:type="character" w:customStyle="1" w:styleId="CommentTextChar">
    <w:name w:val="Comment Text Char"/>
    <w:basedOn w:val="DefaultParagraphFont"/>
    <w:link w:val="CommentText"/>
    <w:uiPriority w:val="99"/>
    <w:semiHidden/>
    <w:rsid w:val="00C01F95"/>
    <w:rPr>
      <w:sz w:val="20"/>
      <w:szCs w:val="20"/>
    </w:rPr>
  </w:style>
  <w:style w:type="paragraph" w:styleId="CommentSubject">
    <w:name w:val="annotation subject"/>
    <w:basedOn w:val="CommentText"/>
    <w:next w:val="CommentText"/>
    <w:link w:val="CommentSubjectChar"/>
    <w:uiPriority w:val="99"/>
    <w:semiHidden/>
    <w:unhideWhenUsed/>
    <w:rsid w:val="00C01F95"/>
    <w:rPr>
      <w:b/>
      <w:bCs/>
    </w:rPr>
  </w:style>
  <w:style w:type="character" w:customStyle="1" w:styleId="CommentSubjectChar">
    <w:name w:val="Comment Subject Char"/>
    <w:basedOn w:val="CommentTextChar"/>
    <w:link w:val="CommentSubject"/>
    <w:uiPriority w:val="99"/>
    <w:semiHidden/>
    <w:rsid w:val="00C01F95"/>
    <w:rPr>
      <w:b/>
      <w:bCs/>
      <w:sz w:val="20"/>
      <w:szCs w:val="20"/>
    </w:rPr>
  </w:style>
  <w:style w:type="paragraph" w:styleId="Revision">
    <w:name w:val="Revision"/>
    <w:hidden/>
    <w:uiPriority w:val="99"/>
    <w:semiHidden/>
    <w:rsid w:val="00460C58"/>
    <w:pPr>
      <w:spacing w:after="0" w:line="240" w:lineRule="auto"/>
    </w:pPr>
  </w:style>
  <w:style w:type="character" w:customStyle="1" w:styleId="Heading2Char">
    <w:name w:val="Heading 2 Char"/>
    <w:basedOn w:val="DefaultParagraphFont"/>
    <w:link w:val="Heading2"/>
    <w:uiPriority w:val="9"/>
    <w:semiHidden/>
    <w:rsid w:val="001F23B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012960">
      <w:bodyDiv w:val="1"/>
      <w:marLeft w:val="0"/>
      <w:marRight w:val="0"/>
      <w:marTop w:val="0"/>
      <w:marBottom w:val="0"/>
      <w:divBdr>
        <w:top w:val="none" w:sz="0" w:space="0" w:color="auto"/>
        <w:left w:val="none" w:sz="0" w:space="0" w:color="auto"/>
        <w:bottom w:val="none" w:sz="0" w:space="0" w:color="auto"/>
        <w:right w:val="none" w:sz="0" w:space="0" w:color="auto"/>
      </w:divBdr>
    </w:div>
    <w:div w:id="1334794349">
      <w:bodyDiv w:val="1"/>
      <w:marLeft w:val="0"/>
      <w:marRight w:val="0"/>
      <w:marTop w:val="0"/>
      <w:marBottom w:val="0"/>
      <w:divBdr>
        <w:top w:val="none" w:sz="0" w:space="0" w:color="auto"/>
        <w:left w:val="none" w:sz="0" w:space="0" w:color="auto"/>
        <w:bottom w:val="none" w:sz="0" w:space="0" w:color="auto"/>
        <w:right w:val="none" w:sz="0" w:space="0" w:color="auto"/>
      </w:divBdr>
    </w:div>
    <w:div w:id="1690793047">
      <w:bodyDiv w:val="1"/>
      <w:marLeft w:val="0"/>
      <w:marRight w:val="0"/>
      <w:marTop w:val="0"/>
      <w:marBottom w:val="0"/>
      <w:divBdr>
        <w:top w:val="none" w:sz="0" w:space="0" w:color="auto"/>
        <w:left w:val="none" w:sz="0" w:space="0" w:color="auto"/>
        <w:bottom w:val="none" w:sz="0" w:space="0" w:color="auto"/>
        <w:right w:val="none" w:sz="0" w:space="0" w:color="auto"/>
      </w:divBdr>
    </w:div>
    <w:div w:id="1946305124">
      <w:bodyDiv w:val="1"/>
      <w:marLeft w:val="0"/>
      <w:marRight w:val="0"/>
      <w:marTop w:val="0"/>
      <w:marBottom w:val="0"/>
      <w:divBdr>
        <w:top w:val="none" w:sz="0" w:space="0" w:color="auto"/>
        <w:left w:val="none" w:sz="0" w:space="0" w:color="auto"/>
        <w:bottom w:val="none" w:sz="0" w:space="0" w:color="auto"/>
        <w:right w:val="none" w:sz="0" w:space="0" w:color="auto"/>
      </w:divBdr>
      <w:divsChild>
        <w:div w:id="1229149116">
          <w:marLeft w:val="0"/>
          <w:marRight w:val="0"/>
          <w:marTop w:val="0"/>
          <w:marBottom w:val="0"/>
          <w:divBdr>
            <w:top w:val="none" w:sz="0" w:space="0" w:color="auto"/>
            <w:left w:val="none" w:sz="0" w:space="0" w:color="auto"/>
            <w:bottom w:val="none" w:sz="0" w:space="0" w:color="auto"/>
            <w:right w:val="none" w:sz="0" w:space="0" w:color="auto"/>
          </w:divBdr>
          <w:divsChild>
            <w:div w:id="869953038">
              <w:marLeft w:val="0"/>
              <w:marRight w:val="0"/>
              <w:marTop w:val="0"/>
              <w:marBottom w:val="0"/>
              <w:divBdr>
                <w:top w:val="none" w:sz="0" w:space="0" w:color="auto"/>
                <w:left w:val="none" w:sz="0" w:space="0" w:color="auto"/>
                <w:bottom w:val="none" w:sz="0" w:space="0" w:color="auto"/>
                <w:right w:val="none" w:sz="0" w:space="0" w:color="auto"/>
              </w:divBdr>
              <w:divsChild>
                <w:div w:id="692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ma.europa.eu/sites/default/files/library/esma70-156-3729_csdr_report_to_ec_-_internalised_settlement.pdf" TargetMode="External"/><Relationship Id="rId18" Type="http://schemas.openxmlformats.org/officeDocument/2006/relationships/hyperlink" Target="https://www.islaemea.org/wp-content/uploads/2019/03/GMSLA_2010_amendments_July_2012-1.pdf" TargetMode="External"/><Relationship Id="rId26" Type="http://schemas.openxmlformats.org/officeDocument/2006/relationships/hyperlink" Target="https://www.cboe.com/tradable_products/vix/?gclid=CjwKCAiA8ov_BRAoEiwAOZogwd7OIcZBL-5BTX_ylrofJldRdPJ3v3fVCvabomR4ap6YeqqZM6yahRoCVmUQAvD_BwE" TargetMode="External"/><Relationship Id="rId39" Type="http://schemas.openxmlformats.org/officeDocument/2006/relationships/fontTable" Target="fontTable.xml"/><Relationship Id="rId21" Type="http://schemas.openxmlformats.org/officeDocument/2006/relationships/hyperlink" Target="https://www.iosco.org/library/pubdocs/pdf/IOSCOPD96.pdf" TargetMode="External"/><Relationship Id="rId34" Type="http://schemas.openxmlformats.org/officeDocument/2006/relationships/image" Target="cid:image005.png@01D6F307.811891C0" TargetMode="External"/><Relationship Id="rId7" Type="http://schemas.openxmlformats.org/officeDocument/2006/relationships/webSettings" Target="webSettings.xml"/><Relationship Id="rId12" Type="http://schemas.openxmlformats.org/officeDocument/2006/relationships/hyperlink" Target="https://eur-lex.europa.eu/legal-content/EN/TXT/?uri=CELEX:32017R0393" TargetMode="External"/><Relationship Id="rId17" Type="http://schemas.openxmlformats.org/officeDocument/2006/relationships/hyperlink" Target="https://eur-lex.europa.eu/legal-content/EN/TXT/?uri=CELEX:32018R1229" TargetMode="External"/><Relationship Id="rId25" Type="http://schemas.openxmlformats.org/officeDocument/2006/relationships/hyperlink" Target="https://www.afme.eu/Portals/0/DispatchFeaturedImages/AFME-%20Impact%20of%20COVID-19%20on%20European%20Capital%20Markets-2.pdf" TargetMode="External"/><Relationship Id="rId33" Type="http://schemas.openxmlformats.org/officeDocument/2006/relationships/image" Target="media/image4.png"/><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cmagroup.org/assets/documents/Regulatory/Secondary-markets/CSDR-Buy-ins-treatment-of-open-SFTs-ICMA-ISLA-survey-Jan-2020-Final-180220.pdf" TargetMode="External"/><Relationship Id="rId20" Type="http://schemas.openxmlformats.org/officeDocument/2006/relationships/hyperlink" Target="https://www.isla.co.uk/wp-content/uploads/2019/03/ISLA_SLReport_Aug2020_double.pdf"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uri=CELEX:32017R0391" TargetMode="External"/><Relationship Id="rId24" Type="http://schemas.openxmlformats.org/officeDocument/2006/relationships/hyperlink" Target="https://www.esma.europa.eu/sites/default/files/library/esma_50-165-1287_report_on_trends_risks_and_vulnerabilities_no.2_2020.pdf" TargetMode="External"/><Relationship Id="rId32" Type="http://schemas.openxmlformats.org/officeDocument/2006/relationships/chart" Target="charts/chart1.xm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esma.europa.eu/document/esma-qas-list-questions-currently-under-development" TargetMode="External"/><Relationship Id="rId23" Type="http://schemas.openxmlformats.org/officeDocument/2006/relationships/hyperlink" Target="https://www.icmagroup.org/assets/documents/Regulatory/Secondary-markets/CSDR-Settlement-Regulation/ICMACSDRbuyinagentsBriefing-note070920v2.pdf" TargetMode="External"/><Relationship Id="rId28" Type="http://schemas.openxmlformats.org/officeDocument/2006/relationships/hyperlink" Target="https://www.esma.europa.eu/sites/default/files/library/esma_50-165-1287_report_on_trends_risks_and_vulnerabilities_no.2_2020.pdf" TargetMode="External"/><Relationship Id="rId36" Type="http://schemas.openxmlformats.org/officeDocument/2006/relationships/hyperlink" Target="https://www.bankofcanada.ca/wp-content/uploads/2011/12/fsr-0610-dreff.pdf" TargetMode="External"/><Relationship Id="rId10" Type="http://schemas.openxmlformats.org/officeDocument/2006/relationships/hyperlink" Target="https://ec.europa.eu/info/consultations/finance-2020-csdr-review_en" TargetMode="External"/><Relationship Id="rId19" Type="http://schemas.openxmlformats.org/officeDocument/2006/relationships/hyperlink" Target="https://www.islaemea.org/wp-content/uploads/2019/03/ISLA_Industry_Guide_Regulator_Policymaker_January2021.pdf" TargetMode="External"/><Relationship Id="rId31" Type="http://schemas.openxmlformats.org/officeDocument/2006/relationships/hyperlink" Target="https://www.isla.co.uk/wp-content/uploads/2019/03/ISLA_SLReport_Aug2020_double.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ur-lex.europa.eu/legal-content/EN/TXT/?uri=CELEX:32014L0065" TargetMode="External"/><Relationship Id="rId22" Type="http://schemas.openxmlformats.org/officeDocument/2006/relationships/hyperlink" Target="https://www.bis.org/publ/work768.pdf" TargetMode="External"/><Relationship Id="rId27" Type="http://schemas.openxmlformats.org/officeDocument/2006/relationships/image" Target="media/image1.png"/><Relationship Id="rId30" Type="http://schemas.openxmlformats.org/officeDocument/2006/relationships/image" Target="media/image3.png"/><Relationship Id="rId35" Type="http://schemas.openxmlformats.org/officeDocument/2006/relationships/image" Target="media/image5.png"/><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charts/_rels/chart1.xml.rels><?xml version="1.0" encoding="UTF-8" standalone="yes"?>
<Relationships xmlns="http://schemas.openxmlformats.org/package/2006/relationships"><Relationship Id="rId3" Type="http://schemas.openxmlformats.org/officeDocument/2006/relationships/oleObject" Target="https://isla365.sharepoint.com/sites/MembershipEventsComms/Shared%20Documents/General/Communications/ISLA%20Publications/SL%20Reports/2020/June%202020/Copy%20of%20Combined%20July%202020%20Graph%20Collection%20AD%20edit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cked"/>
        <c:varyColors val="0"/>
        <c:ser>
          <c:idx val="0"/>
          <c:order val="0"/>
          <c:tx>
            <c:strRef>
              <c:f>'15. Europe Equities'!$D$2</c:f>
              <c:strCache>
                <c:ptCount val="1"/>
                <c:pt idx="0">
                  <c:v>Utilisation</c:v>
                </c:pt>
              </c:strCache>
            </c:strRef>
          </c:tx>
          <c:spPr>
            <a:ln w="28575" cap="rnd">
              <a:solidFill>
                <a:schemeClr val="accent1"/>
              </a:solidFill>
              <a:round/>
            </a:ln>
            <a:effectLst/>
          </c:spPr>
          <c:marker>
            <c:symbol val="none"/>
          </c:marker>
          <c:cat>
            <c:numRef>
              <c:f>'15. Europe Equities'!$A$3:$A$134</c:f>
              <c:numCache>
                <c:formatCode>m/d/yyyy</c:formatCode>
                <c:ptCount val="132"/>
                <c:pt idx="0">
                  <c:v>43831</c:v>
                </c:pt>
                <c:pt idx="1">
                  <c:v>43832</c:v>
                </c:pt>
                <c:pt idx="2">
                  <c:v>43833</c:v>
                </c:pt>
                <c:pt idx="3">
                  <c:v>43836</c:v>
                </c:pt>
                <c:pt idx="4">
                  <c:v>43837</c:v>
                </c:pt>
                <c:pt idx="5">
                  <c:v>43838</c:v>
                </c:pt>
                <c:pt idx="6">
                  <c:v>43839</c:v>
                </c:pt>
                <c:pt idx="7">
                  <c:v>43840</c:v>
                </c:pt>
                <c:pt idx="8">
                  <c:v>43843</c:v>
                </c:pt>
                <c:pt idx="9">
                  <c:v>43844</c:v>
                </c:pt>
                <c:pt idx="10">
                  <c:v>43845</c:v>
                </c:pt>
                <c:pt idx="11">
                  <c:v>43846</c:v>
                </c:pt>
                <c:pt idx="12">
                  <c:v>43847</c:v>
                </c:pt>
                <c:pt idx="13">
                  <c:v>43850</c:v>
                </c:pt>
                <c:pt idx="14">
                  <c:v>43851</c:v>
                </c:pt>
                <c:pt idx="15">
                  <c:v>43852</c:v>
                </c:pt>
                <c:pt idx="16">
                  <c:v>43853</c:v>
                </c:pt>
                <c:pt idx="17">
                  <c:v>43854</c:v>
                </c:pt>
                <c:pt idx="18">
                  <c:v>43857</c:v>
                </c:pt>
                <c:pt idx="19">
                  <c:v>43858</c:v>
                </c:pt>
                <c:pt idx="20">
                  <c:v>43859</c:v>
                </c:pt>
                <c:pt idx="21">
                  <c:v>43860</c:v>
                </c:pt>
                <c:pt idx="22">
                  <c:v>43861</c:v>
                </c:pt>
                <c:pt idx="23">
                  <c:v>43864</c:v>
                </c:pt>
                <c:pt idx="24">
                  <c:v>43865</c:v>
                </c:pt>
                <c:pt idx="25">
                  <c:v>43866</c:v>
                </c:pt>
                <c:pt idx="26">
                  <c:v>43867</c:v>
                </c:pt>
                <c:pt idx="27">
                  <c:v>43868</c:v>
                </c:pt>
                <c:pt idx="28">
                  <c:v>43871</c:v>
                </c:pt>
                <c:pt idx="29">
                  <c:v>43872</c:v>
                </c:pt>
                <c:pt idx="30">
                  <c:v>43873</c:v>
                </c:pt>
                <c:pt idx="31">
                  <c:v>43874</c:v>
                </c:pt>
                <c:pt idx="32">
                  <c:v>43875</c:v>
                </c:pt>
                <c:pt idx="33">
                  <c:v>43878</c:v>
                </c:pt>
                <c:pt idx="34">
                  <c:v>43879</c:v>
                </c:pt>
                <c:pt idx="35">
                  <c:v>43880</c:v>
                </c:pt>
                <c:pt idx="36">
                  <c:v>43881</c:v>
                </c:pt>
                <c:pt idx="37">
                  <c:v>43882</c:v>
                </c:pt>
                <c:pt idx="38">
                  <c:v>43885</c:v>
                </c:pt>
                <c:pt idx="39">
                  <c:v>43886</c:v>
                </c:pt>
                <c:pt idx="40">
                  <c:v>43887</c:v>
                </c:pt>
                <c:pt idx="41">
                  <c:v>43888</c:v>
                </c:pt>
                <c:pt idx="42">
                  <c:v>43889</c:v>
                </c:pt>
                <c:pt idx="43">
                  <c:v>43892</c:v>
                </c:pt>
                <c:pt idx="44">
                  <c:v>43893</c:v>
                </c:pt>
                <c:pt idx="45">
                  <c:v>43894</c:v>
                </c:pt>
                <c:pt idx="46">
                  <c:v>43895</c:v>
                </c:pt>
                <c:pt idx="47">
                  <c:v>43896</c:v>
                </c:pt>
                <c:pt idx="48">
                  <c:v>43899</c:v>
                </c:pt>
                <c:pt idx="49">
                  <c:v>43900</c:v>
                </c:pt>
                <c:pt idx="50">
                  <c:v>43901</c:v>
                </c:pt>
                <c:pt idx="51">
                  <c:v>43902</c:v>
                </c:pt>
                <c:pt idx="52">
                  <c:v>43903</c:v>
                </c:pt>
                <c:pt idx="53">
                  <c:v>43906</c:v>
                </c:pt>
                <c:pt idx="54">
                  <c:v>43907</c:v>
                </c:pt>
                <c:pt idx="55">
                  <c:v>43908</c:v>
                </c:pt>
                <c:pt idx="56">
                  <c:v>43909</c:v>
                </c:pt>
                <c:pt idx="57">
                  <c:v>43910</c:v>
                </c:pt>
                <c:pt idx="58">
                  <c:v>43913</c:v>
                </c:pt>
                <c:pt idx="59">
                  <c:v>43914</c:v>
                </c:pt>
                <c:pt idx="60">
                  <c:v>43915</c:v>
                </c:pt>
                <c:pt idx="61">
                  <c:v>43916</c:v>
                </c:pt>
                <c:pt idx="62">
                  <c:v>43917</c:v>
                </c:pt>
                <c:pt idx="63">
                  <c:v>43920</c:v>
                </c:pt>
                <c:pt idx="64">
                  <c:v>43921</c:v>
                </c:pt>
                <c:pt idx="65">
                  <c:v>43922</c:v>
                </c:pt>
                <c:pt idx="66">
                  <c:v>43923</c:v>
                </c:pt>
                <c:pt idx="67">
                  <c:v>43924</c:v>
                </c:pt>
                <c:pt idx="68">
                  <c:v>43927</c:v>
                </c:pt>
                <c:pt idx="69">
                  <c:v>43928</c:v>
                </c:pt>
                <c:pt idx="70">
                  <c:v>43929</c:v>
                </c:pt>
                <c:pt idx="71">
                  <c:v>43930</c:v>
                </c:pt>
                <c:pt idx="72">
                  <c:v>43931</c:v>
                </c:pt>
                <c:pt idx="73">
                  <c:v>43934</c:v>
                </c:pt>
                <c:pt idx="74">
                  <c:v>43935</c:v>
                </c:pt>
                <c:pt idx="75">
                  <c:v>43936</c:v>
                </c:pt>
                <c:pt idx="76">
                  <c:v>43937</c:v>
                </c:pt>
                <c:pt idx="77">
                  <c:v>43938</c:v>
                </c:pt>
                <c:pt idx="78">
                  <c:v>43941</c:v>
                </c:pt>
                <c:pt idx="79">
                  <c:v>43942</c:v>
                </c:pt>
                <c:pt idx="80">
                  <c:v>43943</c:v>
                </c:pt>
                <c:pt idx="81">
                  <c:v>43944</c:v>
                </c:pt>
                <c:pt idx="82">
                  <c:v>43945</c:v>
                </c:pt>
                <c:pt idx="83">
                  <c:v>43948</c:v>
                </c:pt>
                <c:pt idx="84">
                  <c:v>43949</c:v>
                </c:pt>
                <c:pt idx="85">
                  <c:v>43950</c:v>
                </c:pt>
                <c:pt idx="86">
                  <c:v>43951</c:v>
                </c:pt>
                <c:pt idx="87">
                  <c:v>43952</c:v>
                </c:pt>
                <c:pt idx="88">
                  <c:v>43955</c:v>
                </c:pt>
                <c:pt idx="89">
                  <c:v>43956</c:v>
                </c:pt>
                <c:pt idx="90">
                  <c:v>43957</c:v>
                </c:pt>
                <c:pt idx="91">
                  <c:v>43958</c:v>
                </c:pt>
                <c:pt idx="92">
                  <c:v>43959</c:v>
                </c:pt>
                <c:pt idx="93">
                  <c:v>43962</c:v>
                </c:pt>
                <c:pt idx="94">
                  <c:v>43963</c:v>
                </c:pt>
                <c:pt idx="95">
                  <c:v>43964</c:v>
                </c:pt>
                <c:pt idx="96">
                  <c:v>43965</c:v>
                </c:pt>
                <c:pt idx="97">
                  <c:v>43966</c:v>
                </c:pt>
                <c:pt idx="98">
                  <c:v>43969</c:v>
                </c:pt>
                <c:pt idx="99">
                  <c:v>43970</c:v>
                </c:pt>
                <c:pt idx="100">
                  <c:v>43971</c:v>
                </c:pt>
                <c:pt idx="101">
                  <c:v>43972</c:v>
                </c:pt>
                <c:pt idx="102">
                  <c:v>43973</c:v>
                </c:pt>
                <c:pt idx="103">
                  <c:v>43976</c:v>
                </c:pt>
                <c:pt idx="104">
                  <c:v>43977</c:v>
                </c:pt>
                <c:pt idx="105">
                  <c:v>43978</c:v>
                </c:pt>
                <c:pt idx="106">
                  <c:v>43979</c:v>
                </c:pt>
                <c:pt idx="107">
                  <c:v>43980</c:v>
                </c:pt>
                <c:pt idx="108">
                  <c:v>43983</c:v>
                </c:pt>
                <c:pt idx="109">
                  <c:v>43984</c:v>
                </c:pt>
                <c:pt idx="110">
                  <c:v>43985</c:v>
                </c:pt>
                <c:pt idx="111">
                  <c:v>43986</c:v>
                </c:pt>
                <c:pt idx="112">
                  <c:v>43987</c:v>
                </c:pt>
                <c:pt idx="113">
                  <c:v>43990</c:v>
                </c:pt>
                <c:pt idx="114">
                  <c:v>43991</c:v>
                </c:pt>
                <c:pt idx="115">
                  <c:v>43992</c:v>
                </c:pt>
                <c:pt idx="116">
                  <c:v>43993</c:v>
                </c:pt>
                <c:pt idx="117">
                  <c:v>43994</c:v>
                </c:pt>
                <c:pt idx="118">
                  <c:v>43997</c:v>
                </c:pt>
                <c:pt idx="119">
                  <c:v>43998</c:v>
                </c:pt>
                <c:pt idx="120">
                  <c:v>43999</c:v>
                </c:pt>
                <c:pt idx="121">
                  <c:v>44000</c:v>
                </c:pt>
                <c:pt idx="122">
                  <c:v>44001</c:v>
                </c:pt>
                <c:pt idx="123">
                  <c:v>44004</c:v>
                </c:pt>
                <c:pt idx="124">
                  <c:v>44005</c:v>
                </c:pt>
                <c:pt idx="125">
                  <c:v>44006</c:v>
                </c:pt>
                <c:pt idx="126">
                  <c:v>44007</c:v>
                </c:pt>
                <c:pt idx="127">
                  <c:v>44008</c:v>
                </c:pt>
                <c:pt idx="128">
                  <c:v>44011</c:v>
                </c:pt>
                <c:pt idx="129">
                  <c:v>44012</c:v>
                </c:pt>
                <c:pt idx="130">
                  <c:v>44013</c:v>
                </c:pt>
                <c:pt idx="131">
                  <c:v>44014</c:v>
                </c:pt>
              </c:numCache>
            </c:numRef>
          </c:cat>
          <c:val>
            <c:numRef>
              <c:f>'15. Europe Equities'!$D$3:$D$134</c:f>
              <c:numCache>
                <c:formatCode>0%</c:formatCode>
                <c:ptCount val="132"/>
                <c:pt idx="0">
                  <c:v>6.1907591125149992E-2</c:v>
                </c:pt>
                <c:pt idx="1">
                  <c:v>5.9621151680333606E-2</c:v>
                </c:pt>
                <c:pt idx="2">
                  <c:v>5.8951051534700795E-2</c:v>
                </c:pt>
                <c:pt idx="3">
                  <c:v>5.9425960532458688E-2</c:v>
                </c:pt>
                <c:pt idx="4">
                  <c:v>5.9198627665627154E-2</c:v>
                </c:pt>
                <c:pt idx="5">
                  <c:v>5.9251908176070907E-2</c:v>
                </c:pt>
                <c:pt idx="6">
                  <c:v>5.9311235508124567E-2</c:v>
                </c:pt>
                <c:pt idx="7">
                  <c:v>5.9828956996723824E-2</c:v>
                </c:pt>
                <c:pt idx="8">
                  <c:v>5.9570944118554355E-2</c:v>
                </c:pt>
                <c:pt idx="9">
                  <c:v>6.004292819228392E-2</c:v>
                </c:pt>
                <c:pt idx="10">
                  <c:v>6.0222803531891585E-2</c:v>
                </c:pt>
                <c:pt idx="11">
                  <c:v>6.1267008700438753E-2</c:v>
                </c:pt>
                <c:pt idx="12">
                  <c:v>6.2785223148381974E-2</c:v>
                </c:pt>
                <c:pt idx="13">
                  <c:v>6.2244746595203265E-2</c:v>
                </c:pt>
                <c:pt idx="14">
                  <c:v>6.2178760095374333E-2</c:v>
                </c:pt>
                <c:pt idx="15">
                  <c:v>6.1868206332907259E-2</c:v>
                </c:pt>
                <c:pt idx="16">
                  <c:v>6.1874372557171049E-2</c:v>
                </c:pt>
                <c:pt idx="17">
                  <c:v>6.1601394798134368E-2</c:v>
                </c:pt>
                <c:pt idx="18">
                  <c:v>6.1237338108730076E-2</c:v>
                </c:pt>
                <c:pt idx="19">
                  <c:v>6.1512125856079722E-2</c:v>
                </c:pt>
                <c:pt idx="20">
                  <c:v>6.1409604439404172E-2</c:v>
                </c:pt>
                <c:pt idx="21">
                  <c:v>6.1798503780561273E-2</c:v>
                </c:pt>
                <c:pt idx="22">
                  <c:v>6.2154094720288613E-2</c:v>
                </c:pt>
                <c:pt idx="23">
                  <c:v>6.2358308240911271E-2</c:v>
                </c:pt>
                <c:pt idx="24">
                  <c:v>6.3202446283837047E-2</c:v>
                </c:pt>
                <c:pt idx="25">
                  <c:v>6.4012700185121743E-2</c:v>
                </c:pt>
                <c:pt idx="26">
                  <c:v>6.4541155055043667E-2</c:v>
                </c:pt>
                <c:pt idx="27">
                  <c:v>6.4432214230851048E-2</c:v>
                </c:pt>
                <c:pt idx="28">
                  <c:v>6.4611980957821266E-2</c:v>
                </c:pt>
                <c:pt idx="29">
                  <c:v>6.4981749657131119E-2</c:v>
                </c:pt>
                <c:pt idx="30">
                  <c:v>6.5758487666628396E-2</c:v>
                </c:pt>
                <c:pt idx="31">
                  <c:v>6.6746639116895268E-2</c:v>
                </c:pt>
                <c:pt idx="32">
                  <c:v>6.7161670949918054E-2</c:v>
                </c:pt>
                <c:pt idx="33">
                  <c:v>6.7321176900436139E-2</c:v>
                </c:pt>
                <c:pt idx="34">
                  <c:v>6.7290346006488935E-2</c:v>
                </c:pt>
                <c:pt idx="35">
                  <c:v>6.7653585370002434E-2</c:v>
                </c:pt>
                <c:pt idx="36">
                  <c:v>6.8207152728375367E-2</c:v>
                </c:pt>
                <c:pt idx="37">
                  <c:v>6.8771585997506268E-2</c:v>
                </c:pt>
                <c:pt idx="38">
                  <c:v>6.8859889954798303E-2</c:v>
                </c:pt>
                <c:pt idx="39">
                  <c:v>7.0747324113815485E-2</c:v>
                </c:pt>
                <c:pt idx="40">
                  <c:v>7.2089788445443212E-2</c:v>
                </c:pt>
                <c:pt idx="41">
                  <c:v>7.6125561837641229E-2</c:v>
                </c:pt>
                <c:pt idx="42">
                  <c:v>8.3705189584364209E-2</c:v>
                </c:pt>
                <c:pt idx="43">
                  <c:v>7.5182521057665999E-2</c:v>
                </c:pt>
                <c:pt idx="44">
                  <c:v>7.6553548719947434E-2</c:v>
                </c:pt>
                <c:pt idx="45">
                  <c:v>7.7836724481331221E-2</c:v>
                </c:pt>
                <c:pt idx="46">
                  <c:v>7.8674089308515993E-2</c:v>
                </c:pt>
                <c:pt idx="47">
                  <c:v>7.8453010882452823E-2</c:v>
                </c:pt>
                <c:pt idx="48">
                  <c:v>8.0248928773700268E-2</c:v>
                </c:pt>
                <c:pt idx="49">
                  <c:v>8.082767301521053E-2</c:v>
                </c:pt>
                <c:pt idx="50">
                  <c:v>8.2755304376450886E-2</c:v>
                </c:pt>
                <c:pt idx="51">
                  <c:v>8.6384775890667787E-2</c:v>
                </c:pt>
                <c:pt idx="52">
                  <c:v>8.9592750335012697E-2</c:v>
                </c:pt>
                <c:pt idx="53">
                  <c:v>9.5287828479983003E-2</c:v>
                </c:pt>
                <c:pt idx="54">
                  <c:v>0.10047500393031003</c:v>
                </c:pt>
                <c:pt idx="55">
                  <c:v>0.10298299405390499</c:v>
                </c:pt>
                <c:pt idx="56">
                  <c:v>0.10547771044121949</c:v>
                </c:pt>
                <c:pt idx="57">
                  <c:v>0.10746417269328115</c:v>
                </c:pt>
                <c:pt idx="58">
                  <c:v>0.11050293973082739</c:v>
                </c:pt>
                <c:pt idx="59">
                  <c:v>0.11441986495203052</c:v>
                </c:pt>
                <c:pt idx="60">
                  <c:v>0.11331168040563409</c:v>
                </c:pt>
                <c:pt idx="61">
                  <c:v>0.11177413729914479</c:v>
                </c:pt>
                <c:pt idx="62">
                  <c:v>0.10860463983854224</c:v>
                </c:pt>
                <c:pt idx="63">
                  <c:v>0.10659753680584295</c:v>
                </c:pt>
                <c:pt idx="64">
                  <c:v>0.10356296992875177</c:v>
                </c:pt>
                <c:pt idx="65">
                  <c:v>0.10058734885757689</c:v>
                </c:pt>
                <c:pt idx="66">
                  <c:v>0.10063107801326364</c:v>
                </c:pt>
                <c:pt idx="67">
                  <c:v>0.10099819387369056</c:v>
                </c:pt>
                <c:pt idx="68">
                  <c:v>9.9911949214160176E-2</c:v>
                </c:pt>
                <c:pt idx="69">
                  <c:v>0.10244949575277387</c:v>
                </c:pt>
                <c:pt idx="70">
                  <c:v>0.1031016921903536</c:v>
                </c:pt>
                <c:pt idx="71">
                  <c:v>0.10231566845322207</c:v>
                </c:pt>
                <c:pt idx="72">
                  <c:v>0.10147318470488115</c:v>
                </c:pt>
                <c:pt idx="73">
                  <c:v>0.10184094973120238</c:v>
                </c:pt>
                <c:pt idx="74">
                  <c:v>0.10264790646082431</c:v>
                </c:pt>
                <c:pt idx="75">
                  <c:v>0.10177166962367727</c:v>
                </c:pt>
                <c:pt idx="76">
                  <c:v>0.10030489450337594</c:v>
                </c:pt>
                <c:pt idx="77">
                  <c:v>9.9876977574170342E-2</c:v>
                </c:pt>
                <c:pt idx="78">
                  <c:v>0.10196491452556675</c:v>
                </c:pt>
                <c:pt idx="79">
                  <c:v>0.10313282649911931</c:v>
                </c:pt>
                <c:pt idx="80">
                  <c:v>0.10418498487325925</c:v>
                </c:pt>
                <c:pt idx="81">
                  <c:v>0.10584492584786982</c:v>
                </c:pt>
                <c:pt idx="82">
                  <c:v>0.10560876783425585</c:v>
                </c:pt>
                <c:pt idx="83">
                  <c:v>0.10566788029937278</c:v>
                </c:pt>
                <c:pt idx="84">
                  <c:v>0.10566188722887321</c:v>
                </c:pt>
                <c:pt idx="85">
                  <c:v>0.10443142075584193</c:v>
                </c:pt>
                <c:pt idx="86">
                  <c:v>0.10375187546313037</c:v>
                </c:pt>
                <c:pt idx="87">
                  <c:v>0.10345208674295771</c:v>
                </c:pt>
                <c:pt idx="88">
                  <c:v>0.10232111730428581</c:v>
                </c:pt>
                <c:pt idx="89">
                  <c:v>0.10182120053511082</c:v>
                </c:pt>
                <c:pt idx="90">
                  <c:v>9.9811817673163938E-2</c:v>
                </c:pt>
                <c:pt idx="91">
                  <c:v>0.10007587929026163</c:v>
                </c:pt>
                <c:pt idx="92">
                  <c:v>9.9589221996089855E-2</c:v>
                </c:pt>
                <c:pt idx="93">
                  <c:v>0.10270074721783916</c:v>
                </c:pt>
                <c:pt idx="94">
                  <c:v>0.10224404842353459</c:v>
                </c:pt>
                <c:pt idx="95">
                  <c:v>0.10160681156775928</c:v>
                </c:pt>
                <c:pt idx="96">
                  <c:v>0.10230745579266286</c:v>
                </c:pt>
                <c:pt idx="97">
                  <c:v>0.10234941750175035</c:v>
                </c:pt>
                <c:pt idx="98">
                  <c:v>0.10309516119218211</c:v>
                </c:pt>
                <c:pt idx="99">
                  <c:v>9.9685854268195886E-2</c:v>
                </c:pt>
                <c:pt idx="100">
                  <c:v>9.9060254620830887E-2</c:v>
                </c:pt>
                <c:pt idx="101">
                  <c:v>9.8378038910328314E-2</c:v>
                </c:pt>
                <c:pt idx="102">
                  <c:v>9.5952128693998259E-2</c:v>
                </c:pt>
                <c:pt idx="103">
                  <c:v>9.5221050597848647E-2</c:v>
                </c:pt>
                <c:pt idx="104">
                  <c:v>9.3496867848694459E-2</c:v>
                </c:pt>
                <c:pt idx="105">
                  <c:v>9.3092271402691065E-2</c:v>
                </c:pt>
                <c:pt idx="106">
                  <c:v>9.214172629399299E-2</c:v>
                </c:pt>
                <c:pt idx="107">
                  <c:v>9.2224747438438531E-2</c:v>
                </c:pt>
                <c:pt idx="108">
                  <c:v>9.2721557291510409E-2</c:v>
                </c:pt>
                <c:pt idx="109">
                  <c:v>9.350622315282528E-2</c:v>
                </c:pt>
                <c:pt idx="110">
                  <c:v>9.3945932776341806E-2</c:v>
                </c:pt>
                <c:pt idx="111">
                  <c:v>9.3989911138648435E-2</c:v>
                </c:pt>
                <c:pt idx="112">
                  <c:v>9.2635105905204851E-2</c:v>
                </c:pt>
                <c:pt idx="113">
                  <c:v>9.143512946238605E-2</c:v>
                </c:pt>
                <c:pt idx="114">
                  <c:v>9.1845576917072111E-2</c:v>
                </c:pt>
                <c:pt idx="115">
                  <c:v>9.0167599879992941E-2</c:v>
                </c:pt>
                <c:pt idx="116">
                  <c:v>8.9543022255117385E-2</c:v>
                </c:pt>
                <c:pt idx="117">
                  <c:v>8.8950869790066861E-2</c:v>
                </c:pt>
                <c:pt idx="118">
                  <c:v>8.9463418161170233E-2</c:v>
                </c:pt>
                <c:pt idx="119">
                  <c:v>9.0156690484349308E-2</c:v>
                </c:pt>
                <c:pt idx="120">
                  <c:v>8.958721790408819E-2</c:v>
                </c:pt>
                <c:pt idx="121">
                  <c:v>9.0000499437711698E-2</c:v>
                </c:pt>
                <c:pt idx="122">
                  <c:v>9.0829482134081457E-2</c:v>
                </c:pt>
                <c:pt idx="123">
                  <c:v>9.146157412948118E-2</c:v>
                </c:pt>
                <c:pt idx="124">
                  <c:v>9.3540330438693239E-2</c:v>
                </c:pt>
                <c:pt idx="125">
                  <c:v>9.2230708147726756E-2</c:v>
                </c:pt>
                <c:pt idx="126">
                  <c:v>9.2506295327289031E-2</c:v>
                </c:pt>
                <c:pt idx="127">
                  <c:v>9.2179735990309236E-2</c:v>
                </c:pt>
                <c:pt idx="128">
                  <c:v>9.0818980144362418E-2</c:v>
                </c:pt>
                <c:pt idx="129">
                  <c:v>8.9366523567895262E-2</c:v>
                </c:pt>
                <c:pt idx="130">
                  <c:v>8.8434645025147834E-2</c:v>
                </c:pt>
                <c:pt idx="131">
                  <c:v>8.8561833993037714E-2</c:v>
                </c:pt>
              </c:numCache>
            </c:numRef>
          </c:val>
          <c:smooth val="0"/>
          <c:extLst>
            <c:ext xmlns:c16="http://schemas.microsoft.com/office/drawing/2014/chart" uri="{C3380CC4-5D6E-409C-BE32-E72D297353CC}">
              <c16:uniqueId val="{00000000-D6A1-4C16-810C-B9474C0D65C9}"/>
            </c:ext>
          </c:extLst>
        </c:ser>
        <c:dLbls>
          <c:showLegendKey val="0"/>
          <c:showVal val="0"/>
          <c:showCatName val="0"/>
          <c:showSerName val="0"/>
          <c:showPercent val="0"/>
          <c:showBubbleSize val="0"/>
        </c:dLbls>
        <c:smooth val="0"/>
        <c:axId val="1940389472"/>
        <c:axId val="1940389888"/>
      </c:lineChart>
      <c:dateAx>
        <c:axId val="1940389472"/>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0389888"/>
        <c:crosses val="autoZero"/>
        <c:auto val="1"/>
        <c:lblOffset val="100"/>
        <c:baseTimeUnit val="days"/>
      </c:dateAx>
      <c:valAx>
        <c:axId val="19403898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0389472"/>
        <c:crosses val="autoZero"/>
        <c:crossBetween val="between"/>
      </c:valAx>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5448B2187A3C4E82B143AC0F07903F" ma:contentTypeVersion="12" ma:contentTypeDescription="Create a new document." ma:contentTypeScope="" ma:versionID="60d0a30e178a4585e929857dfc93611d">
  <xsd:schema xmlns:xsd="http://www.w3.org/2001/XMLSchema" xmlns:xs="http://www.w3.org/2001/XMLSchema" xmlns:p="http://schemas.microsoft.com/office/2006/metadata/properties" xmlns:ns2="d64c42e7-81ce-41a0-b6c1-57d6e2805238" xmlns:ns3="3ecf9566-b028-45c4-a091-e1d15b972bf0" targetNamespace="http://schemas.microsoft.com/office/2006/metadata/properties" ma:root="true" ma:fieldsID="5a3ef5b96f4ce46fa82922f56d2f2e8e" ns2:_="" ns3:_="">
    <xsd:import namespace="d64c42e7-81ce-41a0-b6c1-57d6e2805238"/>
    <xsd:import namespace="3ecf9566-b028-45c4-a091-e1d15b972b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c42e7-81ce-41a0-b6c1-57d6e28052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cf9566-b028-45c4-a091-e1d15b972bf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7F54AD-83FC-47A3-B3D9-F57C6040A245}">
  <ds:schemaRefs>
    <ds:schemaRef ds:uri="http://schemas.microsoft.com/sharepoint/v3/contenttype/forms"/>
  </ds:schemaRefs>
</ds:datastoreItem>
</file>

<file path=customXml/itemProps2.xml><?xml version="1.0" encoding="utf-8"?>
<ds:datastoreItem xmlns:ds="http://schemas.openxmlformats.org/officeDocument/2006/customXml" ds:itemID="{1115B622-03A4-4D2A-ABAC-BFCD4C4F0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4c42e7-81ce-41a0-b6c1-57d6e2805238"/>
    <ds:schemaRef ds:uri="3ecf9566-b028-45c4-a091-e1d15b972b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1AA0E3-C241-4AA1-BA97-519758CF21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7389</Words>
  <Characters>42118</Characters>
  <Application>Microsoft Office Word</Application>
  <DocSecurity>0</DocSecurity>
  <Lines>350</Lines>
  <Paragraphs>98</Paragraphs>
  <ScaleCrop>false</ScaleCrop>
  <Company/>
  <LinksUpToDate>false</LinksUpToDate>
  <CharactersWithSpaces>49409</CharactersWithSpaces>
  <SharedDoc>false</SharedDoc>
  <HLinks>
    <vt:vector size="120" baseType="variant">
      <vt:variant>
        <vt:i4>1441793</vt:i4>
      </vt:variant>
      <vt:variant>
        <vt:i4>57</vt:i4>
      </vt:variant>
      <vt:variant>
        <vt:i4>0</vt:i4>
      </vt:variant>
      <vt:variant>
        <vt:i4>5</vt:i4>
      </vt:variant>
      <vt:variant>
        <vt:lpwstr>https://www.bankofcanada.ca/wp-content/uploads/2011/12/fsr-0610-dreff.pdf</vt:lpwstr>
      </vt:variant>
      <vt:variant>
        <vt:lpwstr/>
      </vt:variant>
      <vt:variant>
        <vt:i4>2359391</vt:i4>
      </vt:variant>
      <vt:variant>
        <vt:i4>54</vt:i4>
      </vt:variant>
      <vt:variant>
        <vt:i4>0</vt:i4>
      </vt:variant>
      <vt:variant>
        <vt:i4>5</vt:i4>
      </vt:variant>
      <vt:variant>
        <vt:lpwstr>https://www.isla.co.uk/wp-content/uploads/2019/03/ISLA_SLReport_Aug2020_double.pdf</vt:lpwstr>
      </vt:variant>
      <vt:variant>
        <vt:lpwstr/>
      </vt:variant>
      <vt:variant>
        <vt:i4>1048699</vt:i4>
      </vt:variant>
      <vt:variant>
        <vt:i4>51</vt:i4>
      </vt:variant>
      <vt:variant>
        <vt:i4>0</vt:i4>
      </vt:variant>
      <vt:variant>
        <vt:i4>5</vt:i4>
      </vt:variant>
      <vt:variant>
        <vt:lpwstr>https://www.esma.europa.eu/sites/default/files/library/esma_50-165-1287_report_on_trends_risks_and_vulnerabilities_no.2_2020.pdf</vt:lpwstr>
      </vt:variant>
      <vt:variant>
        <vt:lpwstr/>
      </vt:variant>
      <vt:variant>
        <vt:i4>3932275</vt:i4>
      </vt:variant>
      <vt:variant>
        <vt:i4>48</vt:i4>
      </vt:variant>
      <vt:variant>
        <vt:i4>0</vt:i4>
      </vt:variant>
      <vt:variant>
        <vt:i4>5</vt:i4>
      </vt:variant>
      <vt:variant>
        <vt:lpwstr>https://www.cboe.com/tradable_products/vix/?gclid=CjwKCAiA8ov_BRAoEiwAOZogwd7OIcZBL-5BTX_ylrofJldRdPJ3v3fVCvabomR4ap6YeqqZM6yahRoCVmUQAvD_BwE</vt:lpwstr>
      </vt:variant>
      <vt:variant>
        <vt:lpwstr/>
      </vt:variant>
      <vt:variant>
        <vt:i4>6815855</vt:i4>
      </vt:variant>
      <vt:variant>
        <vt:i4>45</vt:i4>
      </vt:variant>
      <vt:variant>
        <vt:i4>0</vt:i4>
      </vt:variant>
      <vt:variant>
        <vt:i4>5</vt:i4>
      </vt:variant>
      <vt:variant>
        <vt:lpwstr>https://www.afme.eu/Portals/0/DispatchFeaturedImages/AFME- Impact of COVID-19 on European Capital Markets-2.pdf</vt:lpwstr>
      </vt:variant>
      <vt:variant>
        <vt:lpwstr/>
      </vt:variant>
      <vt:variant>
        <vt:i4>1048699</vt:i4>
      </vt:variant>
      <vt:variant>
        <vt:i4>42</vt:i4>
      </vt:variant>
      <vt:variant>
        <vt:i4>0</vt:i4>
      </vt:variant>
      <vt:variant>
        <vt:i4>5</vt:i4>
      </vt:variant>
      <vt:variant>
        <vt:lpwstr>https://www.esma.europa.eu/sites/default/files/library/esma_50-165-1287_report_on_trends_risks_and_vulnerabilities_no.2_2020.pdf</vt:lpwstr>
      </vt:variant>
      <vt:variant>
        <vt:lpwstr/>
      </vt:variant>
      <vt:variant>
        <vt:i4>3080292</vt:i4>
      </vt:variant>
      <vt:variant>
        <vt:i4>39</vt:i4>
      </vt:variant>
      <vt:variant>
        <vt:i4>0</vt:i4>
      </vt:variant>
      <vt:variant>
        <vt:i4>5</vt:i4>
      </vt:variant>
      <vt:variant>
        <vt:lpwstr>https://www.icmagroup.org/assets/documents/Regulatory/Secondary-markets/CSDR-Settlement-Regulation/ICMACSDRbuyinagentsBriefing-note070920v2.pdf</vt:lpwstr>
      </vt:variant>
      <vt:variant>
        <vt:lpwstr/>
      </vt:variant>
      <vt:variant>
        <vt:i4>5701660</vt:i4>
      </vt:variant>
      <vt:variant>
        <vt:i4>36</vt:i4>
      </vt:variant>
      <vt:variant>
        <vt:i4>0</vt:i4>
      </vt:variant>
      <vt:variant>
        <vt:i4>5</vt:i4>
      </vt:variant>
      <vt:variant>
        <vt:lpwstr>https://www.bis.org/publ/work768.pdf</vt:lpwstr>
      </vt:variant>
      <vt:variant>
        <vt:lpwstr/>
      </vt:variant>
      <vt:variant>
        <vt:i4>6815844</vt:i4>
      </vt:variant>
      <vt:variant>
        <vt:i4>33</vt:i4>
      </vt:variant>
      <vt:variant>
        <vt:i4>0</vt:i4>
      </vt:variant>
      <vt:variant>
        <vt:i4>5</vt:i4>
      </vt:variant>
      <vt:variant>
        <vt:lpwstr>https://www.iosco.org/library/pubdocs/pdf/IOSCOPD96.pdf</vt:lpwstr>
      </vt:variant>
      <vt:variant>
        <vt:lpwstr/>
      </vt:variant>
      <vt:variant>
        <vt:i4>2359391</vt:i4>
      </vt:variant>
      <vt:variant>
        <vt:i4>30</vt:i4>
      </vt:variant>
      <vt:variant>
        <vt:i4>0</vt:i4>
      </vt:variant>
      <vt:variant>
        <vt:i4>5</vt:i4>
      </vt:variant>
      <vt:variant>
        <vt:lpwstr>https://www.isla.co.uk/wp-content/uploads/2019/03/ISLA_SLReport_Aug2020_double.pdf</vt:lpwstr>
      </vt:variant>
      <vt:variant>
        <vt:lpwstr/>
      </vt:variant>
      <vt:variant>
        <vt:i4>5898352</vt:i4>
      </vt:variant>
      <vt:variant>
        <vt:i4>27</vt:i4>
      </vt:variant>
      <vt:variant>
        <vt:i4>0</vt:i4>
      </vt:variant>
      <vt:variant>
        <vt:i4>5</vt:i4>
      </vt:variant>
      <vt:variant>
        <vt:lpwstr>https://www.islaemea.org/wp-content/uploads/2019/03/ISLA_Industry_Guide_Regulator_Policymaker_January2021.pdf</vt:lpwstr>
      </vt:variant>
      <vt:variant>
        <vt:lpwstr/>
      </vt:variant>
      <vt:variant>
        <vt:i4>262158</vt:i4>
      </vt:variant>
      <vt:variant>
        <vt:i4>24</vt:i4>
      </vt:variant>
      <vt:variant>
        <vt:i4>0</vt:i4>
      </vt:variant>
      <vt:variant>
        <vt:i4>5</vt:i4>
      </vt:variant>
      <vt:variant>
        <vt:lpwstr>https://www.islaemea.org/wp-content/uploads/2019/03/GMSLA_2010_amendments_July_2012-1.pdf</vt:lpwstr>
      </vt:variant>
      <vt:variant>
        <vt:lpwstr/>
      </vt:variant>
      <vt:variant>
        <vt:i4>1966154</vt:i4>
      </vt:variant>
      <vt:variant>
        <vt:i4>21</vt:i4>
      </vt:variant>
      <vt:variant>
        <vt:i4>0</vt:i4>
      </vt:variant>
      <vt:variant>
        <vt:i4>5</vt:i4>
      </vt:variant>
      <vt:variant>
        <vt:lpwstr>https://eur-lex.europa.eu/legal-content/EN/TXT/?uri=CELEX:32018R1229</vt:lpwstr>
      </vt:variant>
      <vt:variant>
        <vt:lpwstr/>
      </vt:variant>
      <vt:variant>
        <vt:i4>7209002</vt:i4>
      </vt:variant>
      <vt:variant>
        <vt:i4>18</vt:i4>
      </vt:variant>
      <vt:variant>
        <vt:i4>0</vt:i4>
      </vt:variant>
      <vt:variant>
        <vt:i4>5</vt:i4>
      </vt:variant>
      <vt:variant>
        <vt:lpwstr>https://www.icmagroup.org/assets/documents/Regulatory/Secondary-markets/CSDR-Buy-ins-treatment-of-open-SFTs-ICMA-ISLA-survey-Jan-2020-Final-180220.pdf</vt:lpwstr>
      </vt:variant>
      <vt:variant>
        <vt:lpwstr/>
      </vt:variant>
      <vt:variant>
        <vt:i4>2162725</vt:i4>
      </vt:variant>
      <vt:variant>
        <vt:i4>15</vt:i4>
      </vt:variant>
      <vt:variant>
        <vt:i4>0</vt:i4>
      </vt:variant>
      <vt:variant>
        <vt:i4>5</vt:i4>
      </vt:variant>
      <vt:variant>
        <vt:lpwstr>https://www.esma.europa.eu/document/esma-qas-list-questions-currently-under-development</vt:lpwstr>
      </vt:variant>
      <vt:variant>
        <vt:lpwstr/>
      </vt:variant>
      <vt:variant>
        <vt:i4>917571</vt:i4>
      </vt:variant>
      <vt:variant>
        <vt:i4>12</vt:i4>
      </vt:variant>
      <vt:variant>
        <vt:i4>0</vt:i4>
      </vt:variant>
      <vt:variant>
        <vt:i4>5</vt:i4>
      </vt:variant>
      <vt:variant>
        <vt:lpwstr>https://eur-lex.europa.eu/legal-content/EN/TXT/?uri=CELEX:32014L0065</vt:lpwstr>
      </vt:variant>
      <vt:variant>
        <vt:lpwstr/>
      </vt:variant>
      <vt:variant>
        <vt:i4>1507381</vt:i4>
      </vt:variant>
      <vt:variant>
        <vt:i4>9</vt:i4>
      </vt:variant>
      <vt:variant>
        <vt:i4>0</vt:i4>
      </vt:variant>
      <vt:variant>
        <vt:i4>5</vt:i4>
      </vt:variant>
      <vt:variant>
        <vt:lpwstr>https://www.esma.europa.eu/sites/default/files/library/esma70-156-3729_csdr_report_to_ec_-_internalised_settlement.pdf</vt:lpwstr>
      </vt:variant>
      <vt:variant>
        <vt:lpwstr/>
      </vt:variant>
      <vt:variant>
        <vt:i4>1376335</vt:i4>
      </vt:variant>
      <vt:variant>
        <vt:i4>6</vt:i4>
      </vt:variant>
      <vt:variant>
        <vt:i4>0</vt:i4>
      </vt:variant>
      <vt:variant>
        <vt:i4>5</vt:i4>
      </vt:variant>
      <vt:variant>
        <vt:lpwstr>https://eur-lex.europa.eu/legal-content/EN/TXT/?uri=CELEX:32017R0393</vt:lpwstr>
      </vt:variant>
      <vt:variant>
        <vt:lpwstr/>
      </vt:variant>
      <vt:variant>
        <vt:i4>1507407</vt:i4>
      </vt:variant>
      <vt:variant>
        <vt:i4>3</vt:i4>
      </vt:variant>
      <vt:variant>
        <vt:i4>0</vt:i4>
      </vt:variant>
      <vt:variant>
        <vt:i4>5</vt:i4>
      </vt:variant>
      <vt:variant>
        <vt:lpwstr>https://eur-lex.europa.eu/legal-content/EN/TXT/?uri=CELEX:32017R0391</vt:lpwstr>
      </vt:variant>
      <vt:variant>
        <vt:lpwstr/>
      </vt:variant>
      <vt:variant>
        <vt:i4>1245308</vt:i4>
      </vt:variant>
      <vt:variant>
        <vt:i4>0</vt:i4>
      </vt:variant>
      <vt:variant>
        <vt:i4>0</vt:i4>
      </vt:variant>
      <vt:variant>
        <vt:i4>5</vt:i4>
      </vt:variant>
      <vt:variant>
        <vt:lpwstr>https://ec.europa.eu/info/consultations/finance-2020-csdr-review_en</vt:lpwstr>
      </vt:variant>
      <vt:variant>
        <vt:lpwstr>about-this-consultation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Farrah Mahmood</dc:creator>
  <cp:keywords/>
  <cp:lastModifiedBy>Farrah Mahmood</cp:lastModifiedBy>
  <cp:revision>25</cp:revision>
  <dcterms:created xsi:type="dcterms:W3CDTF">2021-02-01T22:15:00Z</dcterms:created>
  <dcterms:modified xsi:type="dcterms:W3CDTF">2021-02-02T16:02:00Z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0x0101005D5448B2187A3C4E82B143AC0F07903F</vt:lpwstr>
  </property>
</Properties>
</file>