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8EDD24" w14:textId="77777777" w:rsidR="00684610" w:rsidRPr="000644FA" w:rsidRDefault="00684610" w:rsidP="00E71006">
      <w:pPr>
        <w:jc w:val="both"/>
        <w:rPr>
          <w:rFonts w:cstheme="minorHAnsi"/>
          <w:sz w:val="20"/>
          <w:szCs w:val="20"/>
        </w:rPr>
      </w:pPr>
    </w:p>
    <w:p w14:paraId="0DC673EA" w14:textId="1F244D99" w:rsidR="00684610" w:rsidRPr="000644FA" w:rsidRDefault="00D6417A" w:rsidP="00E71006">
      <w:pPr>
        <w:pBdr>
          <w:top w:val="single" w:sz="4" w:space="1" w:color="auto"/>
          <w:left w:val="single" w:sz="4" w:space="4" w:color="auto"/>
          <w:bottom w:val="single" w:sz="4" w:space="1" w:color="auto"/>
          <w:right w:val="single" w:sz="4" w:space="4" w:color="auto"/>
        </w:pBdr>
        <w:jc w:val="both"/>
        <w:rPr>
          <w:rFonts w:cstheme="minorHAnsi"/>
          <w:b/>
          <w:bCs/>
          <w:sz w:val="20"/>
          <w:szCs w:val="20"/>
        </w:rPr>
      </w:pPr>
      <w:r>
        <w:rPr>
          <w:rFonts w:cstheme="minorHAnsi"/>
          <w:b/>
          <w:bCs/>
          <w:sz w:val="20"/>
          <w:szCs w:val="20"/>
        </w:rPr>
        <w:t xml:space="preserve">Detailed response to Q34.1 and </w:t>
      </w:r>
      <w:r w:rsidR="006C58F9">
        <w:rPr>
          <w:rFonts w:cstheme="minorHAnsi"/>
          <w:b/>
          <w:bCs/>
          <w:sz w:val="20"/>
          <w:szCs w:val="20"/>
        </w:rPr>
        <w:t>Q</w:t>
      </w:r>
      <w:r>
        <w:rPr>
          <w:rFonts w:cstheme="minorHAnsi"/>
          <w:b/>
          <w:bCs/>
          <w:sz w:val="20"/>
          <w:szCs w:val="20"/>
        </w:rPr>
        <w:t xml:space="preserve">35.1 - </w:t>
      </w:r>
      <w:r w:rsidR="00684610" w:rsidRPr="000644FA">
        <w:rPr>
          <w:rFonts w:cstheme="minorHAnsi"/>
          <w:b/>
          <w:bCs/>
          <w:sz w:val="20"/>
          <w:szCs w:val="20"/>
        </w:rPr>
        <w:t xml:space="preserve">EC Consultation on CSDR Review </w:t>
      </w:r>
    </w:p>
    <w:p w14:paraId="4F56D50D" w14:textId="2003F8CE" w:rsidR="00684610" w:rsidRDefault="00684610" w:rsidP="00E71006">
      <w:pPr>
        <w:jc w:val="both"/>
        <w:rPr>
          <w:rFonts w:cstheme="minorHAnsi"/>
          <w:b/>
          <w:bCs/>
          <w:sz w:val="20"/>
          <w:szCs w:val="20"/>
          <w:u w:val="single"/>
        </w:rPr>
      </w:pPr>
      <w:r w:rsidRPr="000644FA">
        <w:rPr>
          <w:rFonts w:cstheme="minorHAnsi"/>
          <w:b/>
          <w:bCs/>
          <w:sz w:val="20"/>
          <w:szCs w:val="20"/>
          <w:u w:val="single"/>
        </w:rPr>
        <w:t>Section 7: SETTLEMENT DISCIPLINE</w:t>
      </w:r>
    </w:p>
    <w:p w14:paraId="536CB853" w14:textId="77777777" w:rsidR="002D31B1" w:rsidRPr="000644FA" w:rsidRDefault="002D31B1" w:rsidP="00E71006">
      <w:pPr>
        <w:jc w:val="both"/>
        <w:rPr>
          <w:rFonts w:cstheme="minorHAnsi"/>
          <w:b/>
          <w:bCs/>
          <w:sz w:val="20"/>
          <w:szCs w:val="20"/>
          <w:u w:val="single"/>
        </w:rPr>
      </w:pPr>
    </w:p>
    <w:p w14:paraId="29E948FA" w14:textId="0F55D1F9" w:rsidR="00684610" w:rsidRPr="000644FA" w:rsidRDefault="00684610" w:rsidP="00E71006">
      <w:pPr>
        <w:pBdr>
          <w:top w:val="single" w:sz="4" w:space="1" w:color="auto"/>
          <w:left w:val="single" w:sz="4" w:space="4" w:color="auto"/>
          <w:bottom w:val="single" w:sz="4" w:space="1" w:color="auto"/>
          <w:right w:val="single" w:sz="4" w:space="4" w:color="auto"/>
        </w:pBdr>
        <w:jc w:val="both"/>
        <w:rPr>
          <w:rFonts w:cstheme="minorHAnsi"/>
          <w:b/>
          <w:bCs/>
          <w:sz w:val="20"/>
          <w:szCs w:val="20"/>
        </w:rPr>
      </w:pPr>
      <w:r w:rsidRPr="000644FA">
        <w:rPr>
          <w:rFonts w:cstheme="minorHAnsi"/>
          <w:b/>
          <w:bCs/>
          <w:sz w:val="20"/>
          <w:szCs w:val="20"/>
        </w:rPr>
        <w:t>Question 34.1 Please explain your answers to question 34, providing where possible quantitative evidence and concrete examples.</w:t>
      </w:r>
    </w:p>
    <w:p w14:paraId="4A436F3F" w14:textId="77777777" w:rsidR="00684610" w:rsidRPr="000644FA" w:rsidRDefault="00684610" w:rsidP="00E71006">
      <w:pPr>
        <w:jc w:val="both"/>
        <w:rPr>
          <w:rFonts w:cstheme="minorHAnsi"/>
          <w:b/>
          <w:bCs/>
          <w:i/>
          <w:iCs/>
          <w:sz w:val="20"/>
          <w:szCs w:val="20"/>
          <w:u w:val="single"/>
        </w:rPr>
      </w:pPr>
      <w:bookmarkStart w:id="0" w:name="_Hlk63157777"/>
      <w:r w:rsidRPr="000644FA">
        <w:rPr>
          <w:rFonts w:cstheme="minorHAnsi"/>
          <w:b/>
          <w:bCs/>
          <w:i/>
          <w:iCs/>
          <w:sz w:val="20"/>
          <w:szCs w:val="20"/>
          <w:u w:val="single"/>
        </w:rPr>
        <w:t>Buy-ins should NOT be mandatory</w:t>
      </w:r>
    </w:p>
    <w:p w14:paraId="62A9A142" w14:textId="639DADFA" w:rsidR="001652A9" w:rsidRPr="000644FA" w:rsidRDefault="00DA4783" w:rsidP="00E71006">
      <w:pPr>
        <w:pStyle w:val="Default"/>
        <w:numPr>
          <w:ilvl w:val="0"/>
          <w:numId w:val="12"/>
        </w:numPr>
        <w:ind w:left="284"/>
        <w:jc w:val="both"/>
        <w:rPr>
          <w:rFonts w:asciiTheme="minorHAnsi" w:hAnsiTheme="minorHAnsi" w:cstheme="minorHAnsi"/>
          <w:color w:val="auto"/>
          <w:sz w:val="20"/>
          <w:szCs w:val="20"/>
        </w:rPr>
      </w:pPr>
      <w:r>
        <w:rPr>
          <w:rFonts w:asciiTheme="minorHAnsi" w:hAnsiTheme="minorHAnsi" w:cstheme="minorHAnsi"/>
          <w:color w:val="auto"/>
          <w:sz w:val="20"/>
          <w:szCs w:val="20"/>
        </w:rPr>
        <w:t>Our institution</w:t>
      </w:r>
      <w:r w:rsidR="00684610" w:rsidRPr="000644FA">
        <w:rPr>
          <w:rFonts w:asciiTheme="minorHAnsi" w:hAnsiTheme="minorHAnsi" w:cstheme="minorHAnsi"/>
          <w:color w:val="auto"/>
          <w:sz w:val="20"/>
          <w:szCs w:val="20"/>
        </w:rPr>
        <w:t xml:space="preserve"> fully support</w:t>
      </w:r>
      <w:r w:rsidR="0081232B" w:rsidRPr="000644FA">
        <w:rPr>
          <w:rFonts w:asciiTheme="minorHAnsi" w:hAnsiTheme="minorHAnsi" w:cstheme="minorHAnsi"/>
          <w:color w:val="auto"/>
          <w:sz w:val="20"/>
          <w:szCs w:val="20"/>
        </w:rPr>
        <w:t>s</w:t>
      </w:r>
      <w:r w:rsidR="00684610" w:rsidRPr="000644FA">
        <w:rPr>
          <w:rFonts w:asciiTheme="minorHAnsi" w:hAnsiTheme="minorHAnsi" w:cstheme="minorHAnsi"/>
          <w:color w:val="auto"/>
          <w:sz w:val="20"/>
          <w:szCs w:val="20"/>
        </w:rPr>
        <w:t xml:space="preserve"> the objective of the CSDR Settlement Discipline Regime </w:t>
      </w:r>
      <w:r w:rsidR="002D7167" w:rsidRPr="000644FA">
        <w:rPr>
          <w:rFonts w:asciiTheme="minorHAnsi" w:hAnsiTheme="minorHAnsi" w:cstheme="minorHAnsi"/>
          <w:color w:val="auto"/>
          <w:sz w:val="20"/>
          <w:szCs w:val="20"/>
        </w:rPr>
        <w:t xml:space="preserve">(SDR) </w:t>
      </w:r>
      <w:r w:rsidR="00684610" w:rsidRPr="000644FA">
        <w:rPr>
          <w:rFonts w:asciiTheme="minorHAnsi" w:hAnsiTheme="minorHAnsi" w:cstheme="minorHAnsi"/>
          <w:color w:val="auto"/>
          <w:sz w:val="20"/>
          <w:szCs w:val="20"/>
        </w:rPr>
        <w:t xml:space="preserve">to increase settlement efficiency in the market and decrease settlement fails. </w:t>
      </w:r>
    </w:p>
    <w:p w14:paraId="7DB98FCB" w14:textId="4DAF9133" w:rsidR="0081232B" w:rsidRPr="002D31B1" w:rsidRDefault="00E75343" w:rsidP="00E71006">
      <w:pPr>
        <w:pStyle w:val="Default"/>
        <w:numPr>
          <w:ilvl w:val="0"/>
          <w:numId w:val="12"/>
        </w:numPr>
        <w:ind w:left="284"/>
        <w:jc w:val="both"/>
        <w:rPr>
          <w:rFonts w:asciiTheme="minorHAnsi" w:hAnsiTheme="minorHAnsi" w:cstheme="minorHAnsi"/>
          <w:color w:val="auto"/>
          <w:sz w:val="20"/>
          <w:szCs w:val="20"/>
        </w:rPr>
      </w:pPr>
      <w:r w:rsidRPr="002D31B1">
        <w:rPr>
          <w:rFonts w:asciiTheme="minorHAnsi" w:hAnsiTheme="minorHAnsi" w:cstheme="minorHAnsi"/>
          <w:color w:val="auto"/>
          <w:sz w:val="20"/>
          <w:szCs w:val="20"/>
        </w:rPr>
        <w:t xml:space="preserve">However, </w:t>
      </w:r>
      <w:r w:rsidR="00684610" w:rsidRPr="002D31B1">
        <w:rPr>
          <w:rFonts w:asciiTheme="minorHAnsi" w:hAnsiTheme="minorHAnsi" w:cstheme="minorHAnsi"/>
          <w:color w:val="auto"/>
          <w:sz w:val="20"/>
          <w:szCs w:val="20"/>
        </w:rPr>
        <w:t xml:space="preserve">we are concerned that the </w:t>
      </w:r>
      <w:r w:rsidR="0081232B" w:rsidRPr="002D31B1">
        <w:rPr>
          <w:rFonts w:asciiTheme="minorHAnsi" w:hAnsiTheme="minorHAnsi" w:cstheme="minorHAnsi"/>
          <w:color w:val="auto"/>
          <w:sz w:val="20"/>
          <w:szCs w:val="20"/>
        </w:rPr>
        <w:t xml:space="preserve">introduction of the </w:t>
      </w:r>
      <w:r w:rsidR="00684610" w:rsidRPr="002D31B1">
        <w:rPr>
          <w:rFonts w:asciiTheme="minorHAnsi" w:hAnsiTheme="minorHAnsi" w:cstheme="minorHAnsi"/>
          <w:color w:val="auto"/>
          <w:sz w:val="20"/>
          <w:szCs w:val="20"/>
        </w:rPr>
        <w:t xml:space="preserve">mandatory buy-in regime </w:t>
      </w:r>
      <w:r w:rsidR="0081232B" w:rsidRPr="002D31B1">
        <w:rPr>
          <w:rFonts w:asciiTheme="minorHAnsi" w:hAnsiTheme="minorHAnsi" w:cstheme="minorHAnsi"/>
          <w:color w:val="auto"/>
          <w:sz w:val="20"/>
          <w:szCs w:val="20"/>
        </w:rPr>
        <w:t>risks reducing the efficiency and liquidity of European capital markets, leading to greater costs to investing in European securities.</w:t>
      </w:r>
    </w:p>
    <w:p w14:paraId="02D533B7" w14:textId="5FF7A93F" w:rsidR="0081232B" w:rsidRPr="002D31B1" w:rsidRDefault="0081232B" w:rsidP="00E71006">
      <w:pPr>
        <w:pStyle w:val="Default"/>
        <w:numPr>
          <w:ilvl w:val="0"/>
          <w:numId w:val="12"/>
        </w:numPr>
        <w:ind w:left="284"/>
        <w:jc w:val="both"/>
        <w:rPr>
          <w:rFonts w:asciiTheme="minorHAnsi" w:hAnsiTheme="minorHAnsi" w:cstheme="minorHAnsi"/>
          <w:color w:val="auto"/>
          <w:sz w:val="20"/>
          <w:szCs w:val="20"/>
        </w:rPr>
      </w:pPr>
      <w:bookmarkStart w:id="1" w:name="_Hlk62629053"/>
      <w:r w:rsidRPr="002D31B1">
        <w:rPr>
          <w:rFonts w:asciiTheme="minorHAnsi" w:hAnsiTheme="minorHAnsi" w:cstheme="minorHAnsi"/>
          <w:color w:val="auto"/>
          <w:sz w:val="20"/>
          <w:szCs w:val="20"/>
        </w:rPr>
        <w:t>This regime is expected to wide</w:t>
      </w:r>
      <w:r w:rsidR="00E57D0C" w:rsidRPr="002D31B1">
        <w:rPr>
          <w:rFonts w:asciiTheme="minorHAnsi" w:hAnsiTheme="minorHAnsi" w:cstheme="minorHAnsi"/>
          <w:color w:val="auto"/>
          <w:sz w:val="20"/>
          <w:szCs w:val="20"/>
        </w:rPr>
        <w:t>n</w:t>
      </w:r>
      <w:r w:rsidRPr="002D31B1">
        <w:rPr>
          <w:rFonts w:asciiTheme="minorHAnsi" w:hAnsiTheme="minorHAnsi" w:cstheme="minorHAnsi"/>
          <w:color w:val="auto"/>
          <w:sz w:val="20"/>
          <w:szCs w:val="20"/>
        </w:rPr>
        <w:t xml:space="preserve"> bid-offer spreads </w:t>
      </w:r>
      <w:r w:rsidR="00167676" w:rsidRPr="002D31B1">
        <w:rPr>
          <w:rFonts w:asciiTheme="minorHAnsi" w:hAnsiTheme="minorHAnsi" w:cstheme="minorHAnsi"/>
          <w:color w:val="auto"/>
          <w:sz w:val="20"/>
          <w:szCs w:val="20"/>
        </w:rPr>
        <w:t xml:space="preserve">and </w:t>
      </w:r>
      <w:r w:rsidRPr="002D31B1">
        <w:rPr>
          <w:rFonts w:asciiTheme="minorHAnsi" w:hAnsiTheme="minorHAnsi" w:cstheme="minorHAnsi"/>
          <w:color w:val="auto"/>
          <w:sz w:val="20"/>
          <w:szCs w:val="20"/>
        </w:rPr>
        <w:t>negatively impact market</w:t>
      </w:r>
      <w:r w:rsidR="00432236" w:rsidRPr="002D31B1">
        <w:rPr>
          <w:rFonts w:asciiTheme="minorHAnsi" w:hAnsiTheme="minorHAnsi" w:cstheme="minorHAnsi"/>
          <w:color w:val="auto"/>
          <w:sz w:val="20"/>
          <w:szCs w:val="20"/>
        </w:rPr>
        <w:t xml:space="preserve"> </w:t>
      </w:r>
      <w:r w:rsidRPr="002D31B1">
        <w:rPr>
          <w:rFonts w:asciiTheme="minorHAnsi" w:hAnsiTheme="minorHAnsi" w:cstheme="minorHAnsi"/>
          <w:color w:val="auto"/>
          <w:sz w:val="20"/>
          <w:szCs w:val="20"/>
        </w:rPr>
        <w:t>liquidity, particularly for less liquid securitie</w:t>
      </w:r>
      <w:r w:rsidR="00D62924" w:rsidRPr="002D31B1">
        <w:rPr>
          <w:rFonts w:asciiTheme="minorHAnsi" w:hAnsiTheme="minorHAnsi" w:cstheme="minorHAnsi"/>
          <w:color w:val="auto"/>
          <w:sz w:val="20"/>
          <w:szCs w:val="20"/>
        </w:rPr>
        <w:t xml:space="preserve">s, and will ultimately lead to </w:t>
      </w:r>
      <w:r w:rsidRPr="002D31B1">
        <w:rPr>
          <w:rFonts w:asciiTheme="minorHAnsi" w:hAnsiTheme="minorHAnsi" w:cstheme="minorHAnsi"/>
          <w:color w:val="auto"/>
          <w:sz w:val="20"/>
          <w:szCs w:val="20"/>
        </w:rPr>
        <w:t>increase</w:t>
      </w:r>
      <w:r w:rsidR="00432236" w:rsidRPr="002D31B1">
        <w:rPr>
          <w:rFonts w:asciiTheme="minorHAnsi" w:hAnsiTheme="minorHAnsi" w:cstheme="minorHAnsi"/>
          <w:color w:val="auto"/>
          <w:sz w:val="20"/>
          <w:szCs w:val="20"/>
        </w:rPr>
        <w:t>d</w:t>
      </w:r>
      <w:r w:rsidRPr="002D31B1">
        <w:rPr>
          <w:rFonts w:asciiTheme="minorHAnsi" w:hAnsiTheme="minorHAnsi" w:cstheme="minorHAnsi"/>
          <w:color w:val="auto"/>
          <w:sz w:val="20"/>
          <w:szCs w:val="20"/>
        </w:rPr>
        <w:t xml:space="preserve"> costs</w:t>
      </w:r>
      <w:r w:rsidR="00432236" w:rsidRPr="002D31B1">
        <w:rPr>
          <w:rFonts w:asciiTheme="minorHAnsi" w:hAnsiTheme="minorHAnsi" w:cstheme="minorHAnsi"/>
          <w:color w:val="auto"/>
          <w:sz w:val="20"/>
          <w:szCs w:val="20"/>
        </w:rPr>
        <w:t xml:space="preserve"> f</w:t>
      </w:r>
      <w:r w:rsidRPr="002D31B1">
        <w:rPr>
          <w:rFonts w:asciiTheme="minorHAnsi" w:hAnsiTheme="minorHAnsi" w:cstheme="minorHAnsi"/>
          <w:color w:val="auto"/>
          <w:sz w:val="20"/>
          <w:szCs w:val="20"/>
        </w:rPr>
        <w:t>o</w:t>
      </w:r>
      <w:r w:rsidR="00432236" w:rsidRPr="002D31B1">
        <w:rPr>
          <w:rFonts w:asciiTheme="minorHAnsi" w:hAnsiTheme="minorHAnsi" w:cstheme="minorHAnsi"/>
          <w:color w:val="auto"/>
          <w:sz w:val="20"/>
          <w:szCs w:val="20"/>
        </w:rPr>
        <w:t>r</w:t>
      </w:r>
      <w:r w:rsidRPr="002D31B1">
        <w:rPr>
          <w:rFonts w:asciiTheme="minorHAnsi" w:hAnsiTheme="minorHAnsi" w:cstheme="minorHAnsi"/>
          <w:color w:val="auto"/>
          <w:sz w:val="20"/>
          <w:szCs w:val="20"/>
        </w:rPr>
        <w:t xml:space="preserve"> end investors</w:t>
      </w:r>
      <w:r w:rsidR="006D156C" w:rsidRPr="002D31B1">
        <w:rPr>
          <w:rFonts w:asciiTheme="minorHAnsi" w:hAnsiTheme="minorHAnsi" w:cstheme="minorHAnsi"/>
          <w:color w:val="auto"/>
          <w:sz w:val="20"/>
          <w:szCs w:val="20"/>
        </w:rPr>
        <w:t xml:space="preserve"> and increased borrowing costs for issuers. </w:t>
      </w:r>
      <w:r w:rsidR="002D7320" w:rsidRPr="002D31B1">
        <w:rPr>
          <w:rFonts w:asciiTheme="minorHAnsi" w:hAnsiTheme="minorHAnsi" w:cstheme="minorHAnsi"/>
          <w:color w:val="auto"/>
          <w:sz w:val="20"/>
          <w:szCs w:val="20"/>
        </w:rPr>
        <w:t>These increased costs negatively impact investors’ returns and their ability to save</w:t>
      </w:r>
      <w:r w:rsidR="00256A94" w:rsidRPr="002D31B1">
        <w:rPr>
          <w:rFonts w:asciiTheme="minorHAnsi" w:hAnsiTheme="minorHAnsi" w:cstheme="minorHAnsi"/>
          <w:color w:val="auto"/>
          <w:sz w:val="20"/>
          <w:szCs w:val="20"/>
        </w:rPr>
        <w:t>, and companies</w:t>
      </w:r>
      <w:r w:rsidR="006371EF" w:rsidRPr="002D31B1">
        <w:rPr>
          <w:rFonts w:asciiTheme="minorHAnsi" w:hAnsiTheme="minorHAnsi" w:cstheme="minorHAnsi"/>
          <w:color w:val="auto"/>
          <w:sz w:val="20"/>
          <w:szCs w:val="20"/>
        </w:rPr>
        <w:t>’</w:t>
      </w:r>
      <w:r w:rsidR="00256A94" w:rsidRPr="002D31B1">
        <w:rPr>
          <w:rFonts w:asciiTheme="minorHAnsi" w:hAnsiTheme="minorHAnsi" w:cstheme="minorHAnsi"/>
          <w:color w:val="auto"/>
          <w:sz w:val="20"/>
          <w:szCs w:val="20"/>
        </w:rPr>
        <w:t xml:space="preserve"> access to capital market funding, especially in times of market stress</w:t>
      </w:r>
      <w:r w:rsidR="002D7320" w:rsidRPr="002D31B1">
        <w:rPr>
          <w:rFonts w:asciiTheme="minorHAnsi" w:hAnsiTheme="minorHAnsi" w:cstheme="minorHAnsi"/>
          <w:color w:val="auto"/>
          <w:sz w:val="20"/>
          <w:szCs w:val="20"/>
        </w:rPr>
        <w:t>.</w:t>
      </w:r>
    </w:p>
    <w:bookmarkEnd w:id="1"/>
    <w:p w14:paraId="1895418F" w14:textId="22F7ABA4" w:rsidR="009534DE" w:rsidRDefault="00684610" w:rsidP="00E71006">
      <w:pPr>
        <w:pStyle w:val="Default"/>
        <w:numPr>
          <w:ilvl w:val="0"/>
          <w:numId w:val="12"/>
        </w:numPr>
        <w:ind w:left="284"/>
        <w:jc w:val="both"/>
        <w:rPr>
          <w:rFonts w:asciiTheme="minorHAnsi" w:hAnsiTheme="minorHAnsi" w:cstheme="minorHAnsi"/>
          <w:color w:val="auto"/>
          <w:sz w:val="20"/>
          <w:szCs w:val="20"/>
        </w:rPr>
      </w:pPr>
      <w:r w:rsidRPr="002D31B1">
        <w:rPr>
          <w:rFonts w:asciiTheme="minorHAnsi" w:hAnsiTheme="minorHAnsi" w:cstheme="minorHAnsi"/>
          <w:color w:val="auto"/>
          <w:sz w:val="20"/>
          <w:szCs w:val="20"/>
        </w:rPr>
        <w:t>While this regime is expected to negatively</w:t>
      </w:r>
      <w:r w:rsidRPr="000644FA">
        <w:rPr>
          <w:rFonts w:asciiTheme="minorHAnsi" w:hAnsiTheme="minorHAnsi" w:cstheme="minorHAnsi"/>
          <w:color w:val="auto"/>
          <w:sz w:val="20"/>
          <w:szCs w:val="20"/>
        </w:rPr>
        <w:t xml:space="preserve"> impact all asset classes, the impact will be most detrimental </w:t>
      </w:r>
      <w:r w:rsidR="008B186C" w:rsidRPr="000644FA">
        <w:rPr>
          <w:rFonts w:asciiTheme="minorHAnsi" w:hAnsiTheme="minorHAnsi" w:cstheme="minorHAnsi"/>
          <w:color w:val="auto"/>
          <w:sz w:val="20"/>
          <w:szCs w:val="20"/>
        </w:rPr>
        <w:t xml:space="preserve">for </w:t>
      </w:r>
      <w:r w:rsidRPr="000644FA">
        <w:rPr>
          <w:rFonts w:asciiTheme="minorHAnsi" w:hAnsiTheme="minorHAnsi" w:cstheme="minorHAnsi"/>
          <w:color w:val="auto"/>
          <w:sz w:val="20"/>
          <w:szCs w:val="20"/>
        </w:rPr>
        <w:t>less actively traded</w:t>
      </w:r>
      <w:r w:rsidR="00001644" w:rsidRPr="000644FA">
        <w:rPr>
          <w:rFonts w:asciiTheme="minorHAnsi" w:hAnsiTheme="minorHAnsi" w:cstheme="minorHAnsi"/>
          <w:color w:val="auto"/>
          <w:sz w:val="20"/>
          <w:szCs w:val="20"/>
        </w:rPr>
        <w:t>/illiquid</w:t>
      </w:r>
      <w:r w:rsidRPr="000644FA">
        <w:rPr>
          <w:rFonts w:asciiTheme="minorHAnsi" w:hAnsiTheme="minorHAnsi" w:cstheme="minorHAnsi"/>
          <w:color w:val="auto"/>
          <w:sz w:val="20"/>
          <w:szCs w:val="20"/>
        </w:rPr>
        <w:t xml:space="preserve"> securities, including </w:t>
      </w:r>
      <w:r w:rsidR="00001644" w:rsidRPr="000644FA">
        <w:rPr>
          <w:rFonts w:asciiTheme="minorHAnsi" w:hAnsiTheme="minorHAnsi" w:cstheme="minorHAnsi"/>
          <w:color w:val="auto"/>
          <w:sz w:val="20"/>
          <w:szCs w:val="20"/>
        </w:rPr>
        <w:t xml:space="preserve">instruments issued by </w:t>
      </w:r>
      <w:r w:rsidRPr="000644FA">
        <w:rPr>
          <w:rFonts w:asciiTheme="minorHAnsi" w:hAnsiTheme="minorHAnsi" w:cstheme="minorHAnsi"/>
          <w:color w:val="auto"/>
          <w:sz w:val="20"/>
          <w:szCs w:val="20"/>
        </w:rPr>
        <w:t>SMEs, high yield and emerging markets</w:t>
      </w:r>
      <w:r w:rsidR="006371EF" w:rsidRPr="000644FA">
        <w:rPr>
          <w:rFonts w:asciiTheme="minorHAnsi" w:hAnsiTheme="minorHAnsi" w:cstheme="minorHAnsi"/>
          <w:color w:val="auto"/>
          <w:sz w:val="20"/>
          <w:szCs w:val="20"/>
        </w:rPr>
        <w:t xml:space="preserve"> securities</w:t>
      </w:r>
      <w:r w:rsidRPr="000644FA">
        <w:rPr>
          <w:rFonts w:asciiTheme="minorHAnsi" w:hAnsiTheme="minorHAnsi" w:cstheme="minorHAnsi"/>
          <w:color w:val="auto"/>
          <w:sz w:val="20"/>
          <w:szCs w:val="20"/>
        </w:rPr>
        <w:t>.</w:t>
      </w:r>
      <w:r w:rsidR="0081232B" w:rsidRPr="000644FA">
        <w:rPr>
          <w:rFonts w:asciiTheme="minorHAnsi" w:hAnsiTheme="minorHAnsi" w:cstheme="minorHAnsi"/>
          <w:color w:val="auto"/>
          <w:sz w:val="20"/>
          <w:szCs w:val="20"/>
        </w:rPr>
        <w:t xml:space="preserve"> </w:t>
      </w:r>
      <w:r w:rsidRPr="000644FA">
        <w:rPr>
          <w:rFonts w:asciiTheme="minorHAnsi" w:hAnsiTheme="minorHAnsi" w:cstheme="minorHAnsi"/>
          <w:color w:val="auto"/>
          <w:sz w:val="20"/>
          <w:szCs w:val="20"/>
        </w:rPr>
        <w:t>Th</w:t>
      </w:r>
      <w:r w:rsidR="008B186C" w:rsidRPr="000644FA">
        <w:rPr>
          <w:rFonts w:asciiTheme="minorHAnsi" w:hAnsiTheme="minorHAnsi" w:cstheme="minorHAnsi"/>
          <w:color w:val="auto"/>
          <w:sz w:val="20"/>
          <w:szCs w:val="20"/>
        </w:rPr>
        <w:t xml:space="preserve">e </w:t>
      </w:r>
      <w:r w:rsidR="00E75343">
        <w:rPr>
          <w:rFonts w:asciiTheme="minorHAnsi" w:hAnsiTheme="minorHAnsi" w:cstheme="minorHAnsi"/>
          <w:color w:val="auto"/>
          <w:sz w:val="20"/>
          <w:szCs w:val="20"/>
        </w:rPr>
        <w:t xml:space="preserve">mandatory </w:t>
      </w:r>
      <w:r w:rsidR="008B186C" w:rsidRPr="000644FA">
        <w:rPr>
          <w:rFonts w:asciiTheme="minorHAnsi" w:hAnsiTheme="minorHAnsi" w:cstheme="minorHAnsi"/>
          <w:color w:val="auto"/>
          <w:sz w:val="20"/>
          <w:szCs w:val="20"/>
        </w:rPr>
        <w:t>buy-in</w:t>
      </w:r>
      <w:r w:rsidRPr="000644FA">
        <w:rPr>
          <w:rFonts w:asciiTheme="minorHAnsi" w:hAnsiTheme="minorHAnsi" w:cstheme="minorHAnsi"/>
          <w:color w:val="auto"/>
          <w:sz w:val="20"/>
          <w:szCs w:val="20"/>
        </w:rPr>
        <w:t xml:space="preserve"> regime is therefore in direct conflict with the wider C</w:t>
      </w:r>
      <w:r w:rsidR="00B565A9" w:rsidRPr="000644FA">
        <w:rPr>
          <w:rFonts w:asciiTheme="minorHAnsi" w:hAnsiTheme="minorHAnsi" w:cstheme="minorHAnsi"/>
          <w:color w:val="auto"/>
          <w:sz w:val="20"/>
          <w:szCs w:val="20"/>
        </w:rPr>
        <w:t xml:space="preserve">apital </w:t>
      </w:r>
      <w:r w:rsidRPr="000644FA">
        <w:rPr>
          <w:rFonts w:asciiTheme="minorHAnsi" w:hAnsiTheme="minorHAnsi" w:cstheme="minorHAnsi"/>
          <w:color w:val="auto"/>
          <w:sz w:val="20"/>
          <w:szCs w:val="20"/>
        </w:rPr>
        <w:t>M</w:t>
      </w:r>
      <w:r w:rsidR="00B565A9" w:rsidRPr="000644FA">
        <w:rPr>
          <w:rFonts w:asciiTheme="minorHAnsi" w:hAnsiTheme="minorHAnsi" w:cstheme="minorHAnsi"/>
          <w:color w:val="auto"/>
          <w:sz w:val="20"/>
          <w:szCs w:val="20"/>
        </w:rPr>
        <w:t xml:space="preserve">arket </w:t>
      </w:r>
      <w:r w:rsidRPr="000644FA">
        <w:rPr>
          <w:rFonts w:asciiTheme="minorHAnsi" w:hAnsiTheme="minorHAnsi" w:cstheme="minorHAnsi"/>
          <w:color w:val="auto"/>
          <w:sz w:val="20"/>
          <w:szCs w:val="20"/>
        </w:rPr>
        <w:t>U</w:t>
      </w:r>
      <w:r w:rsidR="00B565A9" w:rsidRPr="000644FA">
        <w:rPr>
          <w:rFonts w:asciiTheme="minorHAnsi" w:hAnsiTheme="minorHAnsi" w:cstheme="minorHAnsi"/>
          <w:color w:val="auto"/>
          <w:sz w:val="20"/>
          <w:szCs w:val="20"/>
        </w:rPr>
        <w:t>nion (CMU)</w:t>
      </w:r>
      <w:r w:rsidRPr="000644FA">
        <w:rPr>
          <w:rFonts w:asciiTheme="minorHAnsi" w:hAnsiTheme="minorHAnsi" w:cstheme="minorHAnsi"/>
          <w:color w:val="auto"/>
          <w:sz w:val="20"/>
          <w:szCs w:val="20"/>
        </w:rPr>
        <w:t xml:space="preserve"> objectives of developing EU capital markets, especially when aiming to provide efficient financing to smaller corporate clients and SMEs, whose securities will have lower inherent liquidity and therefore would be disproportionately affected by </w:t>
      </w:r>
      <w:r w:rsidR="008B186C" w:rsidRPr="000644FA">
        <w:rPr>
          <w:rFonts w:asciiTheme="minorHAnsi" w:hAnsiTheme="minorHAnsi" w:cstheme="minorHAnsi"/>
          <w:color w:val="auto"/>
          <w:sz w:val="20"/>
          <w:szCs w:val="20"/>
        </w:rPr>
        <w:t xml:space="preserve">this </w:t>
      </w:r>
      <w:r w:rsidRPr="000644FA">
        <w:rPr>
          <w:rFonts w:asciiTheme="minorHAnsi" w:hAnsiTheme="minorHAnsi" w:cstheme="minorHAnsi"/>
          <w:color w:val="auto"/>
          <w:sz w:val="20"/>
          <w:szCs w:val="20"/>
        </w:rPr>
        <w:t xml:space="preserve">regime. </w:t>
      </w:r>
    </w:p>
    <w:p w14:paraId="331A3848" w14:textId="4CDEF31E" w:rsidR="00684610" w:rsidRPr="000644FA" w:rsidRDefault="00684610" w:rsidP="00E71006">
      <w:pPr>
        <w:pStyle w:val="Default"/>
        <w:numPr>
          <w:ilvl w:val="0"/>
          <w:numId w:val="12"/>
        </w:numPr>
        <w:ind w:left="284"/>
        <w:jc w:val="both"/>
        <w:rPr>
          <w:rFonts w:asciiTheme="minorHAnsi" w:hAnsiTheme="minorHAnsi" w:cstheme="minorHAnsi"/>
          <w:color w:val="auto"/>
          <w:sz w:val="20"/>
          <w:szCs w:val="20"/>
        </w:rPr>
      </w:pPr>
      <w:r w:rsidRPr="000644FA">
        <w:rPr>
          <w:rFonts w:asciiTheme="minorHAnsi" w:hAnsiTheme="minorHAnsi" w:cstheme="minorHAnsi"/>
          <w:color w:val="auto"/>
          <w:sz w:val="20"/>
          <w:szCs w:val="20"/>
        </w:rPr>
        <w:t xml:space="preserve">In addition, this regime </w:t>
      </w:r>
      <w:r w:rsidR="00582754" w:rsidRPr="000644FA">
        <w:rPr>
          <w:rFonts w:asciiTheme="minorHAnsi" w:hAnsiTheme="minorHAnsi" w:cstheme="minorHAnsi"/>
          <w:color w:val="auto"/>
          <w:sz w:val="20"/>
          <w:szCs w:val="20"/>
        </w:rPr>
        <w:t>could lead to reduc</w:t>
      </w:r>
      <w:r w:rsidR="006371EF" w:rsidRPr="000644FA">
        <w:rPr>
          <w:rFonts w:asciiTheme="minorHAnsi" w:hAnsiTheme="minorHAnsi" w:cstheme="minorHAnsi"/>
          <w:color w:val="auto"/>
          <w:sz w:val="20"/>
          <w:szCs w:val="20"/>
        </w:rPr>
        <w:t>ed</w:t>
      </w:r>
      <w:r w:rsidR="00582754" w:rsidRPr="000644FA">
        <w:rPr>
          <w:rFonts w:asciiTheme="minorHAnsi" w:hAnsiTheme="minorHAnsi" w:cstheme="minorHAnsi"/>
          <w:color w:val="auto"/>
          <w:sz w:val="20"/>
          <w:szCs w:val="20"/>
        </w:rPr>
        <w:t xml:space="preserve"> </w:t>
      </w:r>
      <w:r w:rsidR="00256A94" w:rsidRPr="000644FA">
        <w:rPr>
          <w:rFonts w:asciiTheme="minorHAnsi" w:hAnsiTheme="minorHAnsi" w:cstheme="minorHAnsi"/>
          <w:color w:val="auto"/>
          <w:sz w:val="20"/>
          <w:szCs w:val="20"/>
        </w:rPr>
        <w:t xml:space="preserve">liquidity in repo and securities lending markets, thereby </w:t>
      </w:r>
      <w:r w:rsidR="00582754" w:rsidRPr="000644FA">
        <w:rPr>
          <w:rFonts w:asciiTheme="minorHAnsi" w:hAnsiTheme="minorHAnsi" w:cstheme="minorHAnsi"/>
          <w:color w:val="auto"/>
          <w:sz w:val="20"/>
          <w:szCs w:val="20"/>
        </w:rPr>
        <w:t>limiting firms’</w:t>
      </w:r>
      <w:r w:rsidR="00256A94" w:rsidRPr="000644FA">
        <w:rPr>
          <w:rFonts w:asciiTheme="minorHAnsi" w:hAnsiTheme="minorHAnsi" w:cstheme="minorHAnsi"/>
          <w:color w:val="auto"/>
          <w:sz w:val="20"/>
          <w:szCs w:val="20"/>
        </w:rPr>
        <w:t xml:space="preserve"> ability to cover settlement fails</w:t>
      </w:r>
      <w:r w:rsidR="006371EF" w:rsidRPr="000644FA">
        <w:rPr>
          <w:rFonts w:asciiTheme="minorHAnsi" w:hAnsiTheme="minorHAnsi" w:cstheme="minorHAnsi"/>
          <w:color w:val="auto"/>
          <w:sz w:val="20"/>
          <w:szCs w:val="20"/>
        </w:rPr>
        <w:t>, and increasing</w:t>
      </w:r>
      <w:r w:rsidR="00E57D0C">
        <w:rPr>
          <w:rFonts w:asciiTheme="minorHAnsi" w:hAnsiTheme="minorHAnsi" w:cstheme="minorHAnsi"/>
          <w:color w:val="auto"/>
          <w:sz w:val="20"/>
          <w:szCs w:val="20"/>
        </w:rPr>
        <w:t xml:space="preserve"> the</w:t>
      </w:r>
      <w:r w:rsidR="006371EF" w:rsidRPr="000644FA">
        <w:rPr>
          <w:rFonts w:asciiTheme="minorHAnsi" w:hAnsiTheme="minorHAnsi" w:cstheme="minorHAnsi"/>
          <w:color w:val="auto"/>
          <w:sz w:val="20"/>
          <w:szCs w:val="20"/>
        </w:rPr>
        <w:t xml:space="preserve"> frequency and cost of settlement failures</w:t>
      </w:r>
      <w:r w:rsidRPr="000644FA">
        <w:rPr>
          <w:rFonts w:asciiTheme="minorHAnsi" w:hAnsiTheme="minorHAnsi" w:cstheme="minorHAnsi"/>
          <w:color w:val="auto"/>
          <w:sz w:val="20"/>
          <w:szCs w:val="20"/>
        </w:rPr>
        <w:t xml:space="preserve">. </w:t>
      </w:r>
    </w:p>
    <w:bookmarkEnd w:id="0"/>
    <w:p w14:paraId="0FEDFE2C" w14:textId="77777777" w:rsidR="00684610" w:rsidRPr="000644FA" w:rsidRDefault="00684610" w:rsidP="00E71006">
      <w:pPr>
        <w:autoSpaceDE w:val="0"/>
        <w:autoSpaceDN w:val="0"/>
        <w:adjustRightInd w:val="0"/>
        <w:spacing w:after="0" w:line="240" w:lineRule="auto"/>
        <w:contextualSpacing/>
        <w:jc w:val="both"/>
        <w:rPr>
          <w:rFonts w:cstheme="minorHAnsi"/>
          <w:sz w:val="20"/>
          <w:szCs w:val="20"/>
        </w:rPr>
      </w:pPr>
    </w:p>
    <w:p w14:paraId="383C938F" w14:textId="7D51B52D" w:rsidR="00684610" w:rsidRPr="000644FA" w:rsidRDefault="00684610" w:rsidP="00E71006">
      <w:pPr>
        <w:autoSpaceDE w:val="0"/>
        <w:autoSpaceDN w:val="0"/>
        <w:adjustRightInd w:val="0"/>
        <w:spacing w:after="0" w:line="240" w:lineRule="auto"/>
        <w:contextualSpacing/>
        <w:jc w:val="both"/>
        <w:rPr>
          <w:rFonts w:cstheme="minorHAnsi"/>
          <w:sz w:val="20"/>
          <w:szCs w:val="20"/>
        </w:rPr>
      </w:pPr>
      <w:r w:rsidRPr="000644FA">
        <w:rPr>
          <w:rFonts w:cstheme="minorHAnsi"/>
          <w:b/>
          <w:bCs/>
          <w:i/>
          <w:iCs/>
          <w:sz w:val="20"/>
          <w:szCs w:val="20"/>
          <w:u w:val="single"/>
        </w:rPr>
        <w:t>Why/how a mandatory buy-in regime can negatively impact the market</w:t>
      </w:r>
      <w:r w:rsidR="00A23B3C" w:rsidRPr="000644FA">
        <w:rPr>
          <w:rFonts w:cstheme="minorHAnsi"/>
          <w:b/>
          <w:bCs/>
          <w:i/>
          <w:iCs/>
          <w:sz w:val="20"/>
          <w:szCs w:val="20"/>
          <w:u w:val="single"/>
        </w:rPr>
        <w:t xml:space="preserve"> – how is liquidity created in the market and the role of </w:t>
      </w:r>
      <w:r w:rsidR="00E75343">
        <w:rPr>
          <w:rFonts w:cstheme="minorHAnsi"/>
          <w:b/>
          <w:bCs/>
          <w:i/>
          <w:iCs/>
          <w:sz w:val="20"/>
          <w:szCs w:val="20"/>
          <w:u w:val="single"/>
        </w:rPr>
        <w:t>market makers.</w:t>
      </w:r>
    </w:p>
    <w:p w14:paraId="06F5A9EC" w14:textId="77777777" w:rsidR="00684610" w:rsidRPr="000644FA" w:rsidRDefault="00684610" w:rsidP="00E71006">
      <w:pPr>
        <w:autoSpaceDE w:val="0"/>
        <w:autoSpaceDN w:val="0"/>
        <w:adjustRightInd w:val="0"/>
        <w:spacing w:after="0" w:line="240" w:lineRule="auto"/>
        <w:contextualSpacing/>
        <w:jc w:val="both"/>
        <w:rPr>
          <w:rFonts w:cstheme="minorHAnsi"/>
          <w:sz w:val="20"/>
          <w:szCs w:val="20"/>
        </w:rPr>
      </w:pPr>
    </w:p>
    <w:p w14:paraId="29518A31" w14:textId="2EC75EEF" w:rsidR="00DC6BCA" w:rsidRPr="000644FA" w:rsidRDefault="00684610" w:rsidP="00E71006">
      <w:pPr>
        <w:numPr>
          <w:ilvl w:val="0"/>
          <w:numId w:val="1"/>
        </w:numPr>
        <w:spacing w:after="0" w:line="240" w:lineRule="auto"/>
        <w:ind w:left="360"/>
        <w:jc w:val="both"/>
        <w:rPr>
          <w:rFonts w:cstheme="minorHAnsi"/>
          <w:sz w:val="20"/>
          <w:szCs w:val="20"/>
        </w:rPr>
      </w:pPr>
      <w:r w:rsidRPr="000644FA">
        <w:rPr>
          <w:rFonts w:cstheme="minorHAnsi"/>
          <w:sz w:val="20"/>
          <w:szCs w:val="20"/>
        </w:rPr>
        <w:t>Th</w:t>
      </w:r>
      <w:r w:rsidR="00B642FC" w:rsidRPr="000644FA">
        <w:rPr>
          <w:rFonts w:cstheme="minorHAnsi"/>
          <w:sz w:val="20"/>
          <w:szCs w:val="20"/>
        </w:rPr>
        <w:t>e</w:t>
      </w:r>
      <w:r w:rsidRPr="000644FA">
        <w:rPr>
          <w:rFonts w:cstheme="minorHAnsi"/>
          <w:sz w:val="20"/>
          <w:szCs w:val="20"/>
        </w:rPr>
        <w:t xml:space="preserve"> mandatory buy-in regime </w:t>
      </w:r>
      <w:r w:rsidR="00B642FC" w:rsidRPr="000644FA">
        <w:rPr>
          <w:rFonts w:cstheme="minorHAnsi"/>
          <w:sz w:val="20"/>
          <w:szCs w:val="20"/>
        </w:rPr>
        <w:t xml:space="preserve">under CSDR </w:t>
      </w:r>
      <w:r w:rsidRPr="000644FA">
        <w:rPr>
          <w:rFonts w:cstheme="minorHAnsi"/>
          <w:sz w:val="20"/>
          <w:szCs w:val="20"/>
        </w:rPr>
        <w:t xml:space="preserve">is </w:t>
      </w:r>
      <w:r w:rsidR="00001644" w:rsidRPr="000644FA">
        <w:rPr>
          <w:rFonts w:cstheme="minorHAnsi"/>
          <w:sz w:val="20"/>
          <w:szCs w:val="20"/>
        </w:rPr>
        <w:t>not sufficiently flexible</w:t>
      </w:r>
      <w:r w:rsidR="00256A94" w:rsidRPr="000644FA">
        <w:rPr>
          <w:rFonts w:cstheme="minorHAnsi"/>
          <w:sz w:val="20"/>
          <w:szCs w:val="20"/>
        </w:rPr>
        <w:t>, does not provide any choice to investors,</w:t>
      </w:r>
      <w:r w:rsidR="00001644" w:rsidRPr="000644FA">
        <w:rPr>
          <w:rFonts w:cstheme="minorHAnsi"/>
          <w:sz w:val="20"/>
          <w:szCs w:val="20"/>
        </w:rPr>
        <w:t xml:space="preserve"> </w:t>
      </w:r>
      <w:r w:rsidRPr="000644FA">
        <w:rPr>
          <w:rFonts w:cstheme="minorHAnsi"/>
          <w:sz w:val="20"/>
          <w:szCs w:val="20"/>
        </w:rPr>
        <w:t xml:space="preserve">and does not </w:t>
      </w:r>
      <w:r w:rsidR="00851C2E" w:rsidRPr="000644FA">
        <w:rPr>
          <w:rFonts w:cstheme="minorHAnsi"/>
          <w:sz w:val="20"/>
          <w:szCs w:val="20"/>
        </w:rPr>
        <w:t>take into account</w:t>
      </w:r>
      <w:r w:rsidRPr="000644FA">
        <w:rPr>
          <w:rFonts w:cstheme="minorHAnsi"/>
          <w:sz w:val="20"/>
          <w:szCs w:val="20"/>
        </w:rPr>
        <w:t xml:space="preserve"> the </w:t>
      </w:r>
      <w:r w:rsidR="006371EF" w:rsidRPr="000644FA">
        <w:rPr>
          <w:rFonts w:cstheme="minorHAnsi"/>
          <w:sz w:val="20"/>
          <w:szCs w:val="20"/>
        </w:rPr>
        <w:t xml:space="preserve">particular </w:t>
      </w:r>
      <w:r w:rsidRPr="000644FA">
        <w:rPr>
          <w:rFonts w:cstheme="minorHAnsi"/>
          <w:sz w:val="20"/>
          <w:szCs w:val="20"/>
        </w:rPr>
        <w:t xml:space="preserve">liquidity profile of the securities. </w:t>
      </w:r>
    </w:p>
    <w:p w14:paraId="19847577" w14:textId="43986699" w:rsidR="00684610" w:rsidRPr="000644FA" w:rsidRDefault="00684610" w:rsidP="00E71006">
      <w:pPr>
        <w:numPr>
          <w:ilvl w:val="0"/>
          <w:numId w:val="1"/>
        </w:numPr>
        <w:spacing w:after="0" w:line="240" w:lineRule="auto"/>
        <w:ind w:left="360"/>
        <w:jc w:val="both"/>
        <w:rPr>
          <w:rFonts w:cstheme="minorHAnsi"/>
          <w:sz w:val="20"/>
          <w:szCs w:val="20"/>
        </w:rPr>
      </w:pPr>
      <w:r w:rsidRPr="000644FA">
        <w:rPr>
          <w:rFonts w:cstheme="minorHAnsi"/>
          <w:sz w:val="20"/>
          <w:szCs w:val="20"/>
        </w:rPr>
        <w:t>For instruments where there are fewer readily available buyers and seller</w:t>
      </w:r>
      <w:r w:rsidR="00432236" w:rsidRPr="000644FA">
        <w:rPr>
          <w:rFonts w:cstheme="minorHAnsi"/>
          <w:sz w:val="20"/>
          <w:szCs w:val="20"/>
        </w:rPr>
        <w:t>s</w:t>
      </w:r>
      <w:r w:rsidRPr="000644FA">
        <w:rPr>
          <w:rFonts w:cstheme="minorHAnsi"/>
          <w:sz w:val="20"/>
          <w:szCs w:val="20"/>
        </w:rPr>
        <w:t xml:space="preserve"> in the market (absence of continuous two-way prices), </w:t>
      </w:r>
      <w:r w:rsidR="00E75343" w:rsidRPr="00E75343">
        <w:rPr>
          <w:rFonts w:cstheme="minorHAnsi"/>
          <w:sz w:val="20"/>
          <w:szCs w:val="20"/>
        </w:rPr>
        <w:t>market makers</w:t>
      </w:r>
      <w:r w:rsidR="00E75343" w:rsidRPr="000644FA">
        <w:rPr>
          <w:rFonts w:cstheme="minorHAnsi"/>
          <w:sz w:val="20"/>
          <w:szCs w:val="20"/>
        </w:rPr>
        <w:t xml:space="preserve"> </w:t>
      </w:r>
      <w:r w:rsidRPr="000644FA">
        <w:rPr>
          <w:rFonts w:cstheme="minorHAnsi"/>
          <w:sz w:val="20"/>
          <w:szCs w:val="20"/>
        </w:rPr>
        <w:t>play a key role by taking risk on</w:t>
      </w:r>
      <w:r w:rsidR="00A404F4">
        <w:rPr>
          <w:rFonts w:cstheme="minorHAnsi"/>
          <w:sz w:val="20"/>
          <w:szCs w:val="20"/>
        </w:rPr>
        <w:t>to</w:t>
      </w:r>
      <w:r w:rsidRPr="000644FA">
        <w:rPr>
          <w:rFonts w:cstheme="minorHAnsi"/>
          <w:sz w:val="20"/>
          <w:szCs w:val="20"/>
        </w:rPr>
        <w:t xml:space="preserve"> </w:t>
      </w:r>
      <w:r w:rsidR="00001644" w:rsidRPr="000644FA">
        <w:rPr>
          <w:rFonts w:cstheme="minorHAnsi"/>
          <w:sz w:val="20"/>
          <w:szCs w:val="20"/>
        </w:rPr>
        <w:t xml:space="preserve">their </w:t>
      </w:r>
      <w:r w:rsidRPr="000644FA">
        <w:rPr>
          <w:rFonts w:cstheme="minorHAnsi"/>
          <w:sz w:val="20"/>
          <w:szCs w:val="20"/>
        </w:rPr>
        <w:t xml:space="preserve">balance sheet </w:t>
      </w:r>
      <w:r w:rsidR="00001644" w:rsidRPr="000644FA">
        <w:rPr>
          <w:rFonts w:cstheme="minorHAnsi"/>
          <w:sz w:val="20"/>
          <w:szCs w:val="20"/>
        </w:rPr>
        <w:t xml:space="preserve">to </w:t>
      </w:r>
      <w:r w:rsidRPr="000644FA">
        <w:rPr>
          <w:rFonts w:cstheme="minorHAnsi"/>
          <w:sz w:val="20"/>
          <w:szCs w:val="20"/>
        </w:rPr>
        <w:t>provid</w:t>
      </w:r>
      <w:r w:rsidR="00001644" w:rsidRPr="000644FA">
        <w:rPr>
          <w:rFonts w:cstheme="minorHAnsi"/>
          <w:sz w:val="20"/>
          <w:szCs w:val="20"/>
        </w:rPr>
        <w:t>e</w:t>
      </w:r>
      <w:r w:rsidRPr="000644FA">
        <w:rPr>
          <w:rFonts w:cstheme="minorHAnsi"/>
          <w:sz w:val="20"/>
          <w:szCs w:val="20"/>
        </w:rPr>
        <w:t xml:space="preserve"> immediacy of execution to their clients. </w:t>
      </w:r>
      <w:r w:rsidR="00E75343">
        <w:rPr>
          <w:rFonts w:cstheme="minorHAnsi"/>
          <w:sz w:val="20"/>
          <w:szCs w:val="20"/>
        </w:rPr>
        <w:t>M</w:t>
      </w:r>
      <w:r w:rsidR="00E75343" w:rsidRPr="00E75343">
        <w:rPr>
          <w:rFonts w:cstheme="minorHAnsi"/>
          <w:sz w:val="20"/>
          <w:szCs w:val="20"/>
        </w:rPr>
        <w:t>arket makers</w:t>
      </w:r>
      <w:r w:rsidR="00E75343" w:rsidRPr="000644FA">
        <w:rPr>
          <w:rFonts w:cstheme="minorHAnsi"/>
          <w:sz w:val="20"/>
          <w:szCs w:val="20"/>
        </w:rPr>
        <w:t xml:space="preserve"> </w:t>
      </w:r>
      <w:r w:rsidRPr="000644FA">
        <w:rPr>
          <w:rFonts w:cstheme="minorHAnsi"/>
          <w:sz w:val="20"/>
          <w:szCs w:val="20"/>
        </w:rPr>
        <w:t>will hold the risk until they are able to trade out of those positions (find the other side to the trade) or hedge their positions</w:t>
      </w:r>
      <w:r w:rsidR="00582754" w:rsidRPr="000644FA">
        <w:rPr>
          <w:rFonts w:cstheme="minorHAnsi"/>
          <w:sz w:val="20"/>
          <w:szCs w:val="20"/>
        </w:rPr>
        <w:t>,</w:t>
      </w:r>
      <w:r w:rsidRPr="000644FA">
        <w:rPr>
          <w:rFonts w:cstheme="minorHAnsi"/>
          <w:sz w:val="20"/>
          <w:szCs w:val="20"/>
        </w:rPr>
        <w:t xml:space="preserve"> </w:t>
      </w:r>
      <w:r w:rsidR="00B642FC" w:rsidRPr="000644FA">
        <w:rPr>
          <w:rFonts w:cstheme="minorHAnsi"/>
          <w:sz w:val="20"/>
          <w:szCs w:val="20"/>
        </w:rPr>
        <w:t xml:space="preserve">which happens </w:t>
      </w:r>
      <w:r w:rsidRPr="000644FA">
        <w:rPr>
          <w:rFonts w:cstheme="minorHAnsi"/>
          <w:sz w:val="20"/>
          <w:szCs w:val="20"/>
        </w:rPr>
        <w:t xml:space="preserve">over time. </w:t>
      </w:r>
    </w:p>
    <w:p w14:paraId="099B0896" w14:textId="250FE9D8" w:rsidR="00684610" w:rsidRPr="000644FA" w:rsidRDefault="00001644" w:rsidP="00E71006">
      <w:pPr>
        <w:numPr>
          <w:ilvl w:val="0"/>
          <w:numId w:val="1"/>
        </w:numPr>
        <w:spacing w:after="0" w:line="240" w:lineRule="auto"/>
        <w:ind w:left="360"/>
        <w:jc w:val="both"/>
        <w:rPr>
          <w:rFonts w:cstheme="minorHAnsi"/>
          <w:sz w:val="20"/>
          <w:szCs w:val="20"/>
        </w:rPr>
      </w:pPr>
      <w:r w:rsidRPr="000644FA">
        <w:rPr>
          <w:rFonts w:cstheme="minorHAnsi"/>
          <w:sz w:val="20"/>
          <w:szCs w:val="20"/>
        </w:rPr>
        <w:t>For these securities</w:t>
      </w:r>
      <w:r w:rsidR="00684610" w:rsidRPr="000644FA">
        <w:rPr>
          <w:rFonts w:cstheme="minorHAnsi"/>
          <w:sz w:val="20"/>
          <w:szCs w:val="20"/>
        </w:rPr>
        <w:t xml:space="preserve">, </w:t>
      </w:r>
      <w:r w:rsidR="00E75343" w:rsidRPr="00E75343">
        <w:rPr>
          <w:rFonts w:cstheme="minorHAnsi"/>
          <w:sz w:val="20"/>
          <w:szCs w:val="20"/>
        </w:rPr>
        <w:t>market makers</w:t>
      </w:r>
      <w:r w:rsidR="00E75343" w:rsidRPr="000644FA">
        <w:rPr>
          <w:rFonts w:cstheme="minorHAnsi"/>
          <w:sz w:val="20"/>
          <w:szCs w:val="20"/>
        </w:rPr>
        <w:t xml:space="preserve"> </w:t>
      </w:r>
      <w:r w:rsidR="006371EF" w:rsidRPr="000644FA">
        <w:rPr>
          <w:rFonts w:cstheme="minorHAnsi"/>
          <w:sz w:val="20"/>
          <w:szCs w:val="20"/>
        </w:rPr>
        <w:t xml:space="preserve">are an important source of liquidity. They </w:t>
      </w:r>
      <w:r w:rsidR="00684610" w:rsidRPr="000644FA">
        <w:rPr>
          <w:rFonts w:cstheme="minorHAnsi"/>
          <w:sz w:val="20"/>
          <w:szCs w:val="20"/>
        </w:rPr>
        <w:t>provide certainty of execution</w:t>
      </w:r>
      <w:r w:rsidR="00256A94" w:rsidRPr="000644FA">
        <w:rPr>
          <w:rFonts w:cstheme="minorHAnsi"/>
          <w:sz w:val="20"/>
          <w:szCs w:val="20"/>
        </w:rPr>
        <w:t>, help to establish liquidity and pricing</w:t>
      </w:r>
      <w:r w:rsidR="00A77245">
        <w:rPr>
          <w:rFonts w:cstheme="minorHAnsi"/>
          <w:sz w:val="20"/>
          <w:szCs w:val="20"/>
        </w:rPr>
        <w:t>,</w:t>
      </w:r>
      <w:r w:rsidR="00684610" w:rsidRPr="000644FA">
        <w:rPr>
          <w:rFonts w:cstheme="minorHAnsi"/>
          <w:sz w:val="20"/>
          <w:szCs w:val="20"/>
        </w:rPr>
        <w:t xml:space="preserve"> and help end-investors to redeem funds or transact in a timely fashion </w:t>
      </w:r>
      <w:r w:rsidRPr="000644FA">
        <w:rPr>
          <w:rFonts w:cstheme="minorHAnsi"/>
          <w:sz w:val="20"/>
          <w:szCs w:val="20"/>
        </w:rPr>
        <w:t>in</w:t>
      </w:r>
      <w:r w:rsidR="00684610" w:rsidRPr="000644FA">
        <w:rPr>
          <w:rFonts w:cstheme="minorHAnsi"/>
          <w:sz w:val="20"/>
          <w:szCs w:val="20"/>
        </w:rPr>
        <w:t xml:space="preserve"> instruments for which there may not be a counterparty with an immediate opposite intention.</w:t>
      </w:r>
    </w:p>
    <w:p w14:paraId="5FF87312" w14:textId="77777777" w:rsidR="002F1C2C" w:rsidRDefault="00E75343" w:rsidP="002F1C2C">
      <w:pPr>
        <w:numPr>
          <w:ilvl w:val="0"/>
          <w:numId w:val="1"/>
        </w:numPr>
        <w:spacing w:after="0" w:line="240" w:lineRule="auto"/>
        <w:ind w:left="360"/>
        <w:jc w:val="both"/>
        <w:rPr>
          <w:rFonts w:cstheme="minorHAnsi"/>
          <w:sz w:val="20"/>
          <w:szCs w:val="20"/>
        </w:rPr>
      </w:pPr>
      <w:r>
        <w:rPr>
          <w:rFonts w:cstheme="minorHAnsi"/>
          <w:sz w:val="20"/>
          <w:szCs w:val="20"/>
        </w:rPr>
        <w:t>M</w:t>
      </w:r>
      <w:r w:rsidRPr="00E75343">
        <w:rPr>
          <w:rFonts w:cstheme="minorHAnsi"/>
          <w:sz w:val="20"/>
          <w:szCs w:val="20"/>
        </w:rPr>
        <w:t>arket makers</w:t>
      </w:r>
      <w:r w:rsidRPr="000644FA">
        <w:rPr>
          <w:rFonts w:cstheme="minorHAnsi"/>
          <w:sz w:val="20"/>
          <w:szCs w:val="20"/>
        </w:rPr>
        <w:t xml:space="preserve"> </w:t>
      </w:r>
      <w:r w:rsidR="00684610" w:rsidRPr="000644FA">
        <w:rPr>
          <w:rFonts w:cstheme="minorHAnsi"/>
          <w:sz w:val="20"/>
          <w:szCs w:val="20"/>
        </w:rPr>
        <w:t xml:space="preserve">aim to run low levels of inventory </w:t>
      </w:r>
      <w:r w:rsidR="006371EF" w:rsidRPr="000644FA">
        <w:rPr>
          <w:rFonts w:cstheme="minorHAnsi"/>
          <w:sz w:val="20"/>
          <w:szCs w:val="20"/>
        </w:rPr>
        <w:t xml:space="preserve">since </w:t>
      </w:r>
      <w:r w:rsidR="00684610" w:rsidRPr="000644FA">
        <w:rPr>
          <w:rFonts w:cstheme="minorHAnsi"/>
          <w:sz w:val="20"/>
          <w:szCs w:val="20"/>
        </w:rPr>
        <w:t>high level</w:t>
      </w:r>
      <w:r w:rsidR="006371EF" w:rsidRPr="000644FA">
        <w:rPr>
          <w:rFonts w:cstheme="minorHAnsi"/>
          <w:sz w:val="20"/>
          <w:szCs w:val="20"/>
        </w:rPr>
        <w:t>s</w:t>
      </w:r>
      <w:r w:rsidR="00684610" w:rsidRPr="000644FA">
        <w:rPr>
          <w:rFonts w:cstheme="minorHAnsi"/>
          <w:sz w:val="20"/>
          <w:szCs w:val="20"/>
        </w:rPr>
        <w:t xml:space="preserve"> of inventories </w:t>
      </w:r>
      <w:r w:rsidR="006371EF" w:rsidRPr="000644FA">
        <w:rPr>
          <w:rFonts w:cstheme="minorHAnsi"/>
          <w:sz w:val="20"/>
          <w:szCs w:val="20"/>
        </w:rPr>
        <w:t xml:space="preserve">have high risk, capital and funding costs. </w:t>
      </w:r>
      <w:r w:rsidR="00BA3A7F" w:rsidRPr="000644FA">
        <w:rPr>
          <w:rFonts w:cstheme="minorHAnsi"/>
          <w:sz w:val="20"/>
          <w:szCs w:val="20"/>
        </w:rPr>
        <w:t xml:space="preserve"> </w:t>
      </w:r>
      <w:r w:rsidR="006371EF" w:rsidRPr="000644FA">
        <w:rPr>
          <w:rFonts w:cstheme="minorHAnsi"/>
          <w:sz w:val="20"/>
          <w:szCs w:val="20"/>
        </w:rPr>
        <w:t>At the point of trading, l</w:t>
      </w:r>
      <w:r w:rsidR="00684610" w:rsidRPr="000644FA">
        <w:rPr>
          <w:rFonts w:cstheme="minorHAnsi"/>
          <w:sz w:val="20"/>
          <w:szCs w:val="20"/>
        </w:rPr>
        <w:t xml:space="preserve">iquidity providers </w:t>
      </w:r>
      <w:r w:rsidR="006371EF" w:rsidRPr="000644FA">
        <w:rPr>
          <w:rFonts w:cstheme="minorHAnsi"/>
          <w:sz w:val="20"/>
          <w:szCs w:val="20"/>
        </w:rPr>
        <w:t xml:space="preserve">regularly </w:t>
      </w:r>
      <w:r w:rsidR="00684610" w:rsidRPr="000644FA">
        <w:rPr>
          <w:rFonts w:cstheme="minorHAnsi"/>
          <w:sz w:val="20"/>
          <w:szCs w:val="20"/>
        </w:rPr>
        <w:t>offer securities that they do not</w:t>
      </w:r>
      <w:r w:rsidR="00851C2E" w:rsidRPr="000644FA">
        <w:rPr>
          <w:rFonts w:cstheme="minorHAnsi"/>
          <w:sz w:val="20"/>
          <w:szCs w:val="20"/>
        </w:rPr>
        <w:t xml:space="preserve"> </w:t>
      </w:r>
      <w:r w:rsidR="00684610" w:rsidRPr="000644FA">
        <w:rPr>
          <w:rFonts w:cstheme="minorHAnsi"/>
          <w:sz w:val="20"/>
          <w:szCs w:val="20"/>
        </w:rPr>
        <w:t>hold on balance sheet</w:t>
      </w:r>
      <w:r w:rsidR="006371EF" w:rsidRPr="000644FA">
        <w:rPr>
          <w:rFonts w:cstheme="minorHAnsi"/>
          <w:sz w:val="20"/>
          <w:szCs w:val="20"/>
        </w:rPr>
        <w:t xml:space="preserve">, </w:t>
      </w:r>
      <w:r w:rsidR="00684610" w:rsidRPr="000644FA">
        <w:rPr>
          <w:rFonts w:cstheme="minorHAnsi"/>
          <w:sz w:val="20"/>
          <w:szCs w:val="20"/>
        </w:rPr>
        <w:t>based on their reasonable expectation of sourcing such securities</w:t>
      </w:r>
      <w:r w:rsidR="00BA3A7F" w:rsidRPr="000644FA">
        <w:rPr>
          <w:rFonts w:cstheme="minorHAnsi"/>
          <w:sz w:val="20"/>
          <w:szCs w:val="20"/>
        </w:rPr>
        <w:t xml:space="preserve"> in the near future</w:t>
      </w:r>
      <w:r w:rsidR="00684610" w:rsidRPr="000644FA">
        <w:rPr>
          <w:rFonts w:cstheme="minorHAnsi"/>
          <w:sz w:val="20"/>
          <w:szCs w:val="20"/>
        </w:rPr>
        <w:t xml:space="preserve">. </w:t>
      </w:r>
      <w:r w:rsidR="00FA4F09" w:rsidRPr="000644FA">
        <w:rPr>
          <w:rFonts w:cstheme="minorHAnsi"/>
          <w:sz w:val="20"/>
          <w:szCs w:val="20"/>
        </w:rPr>
        <w:t>For securities not held</w:t>
      </w:r>
      <w:r w:rsidR="00851C2E" w:rsidRPr="000644FA">
        <w:rPr>
          <w:rFonts w:cstheme="minorHAnsi"/>
          <w:sz w:val="20"/>
          <w:szCs w:val="20"/>
        </w:rPr>
        <w:t xml:space="preserve"> on their balance sheet</w:t>
      </w:r>
      <w:r w:rsidR="00FA4F09" w:rsidRPr="000644FA">
        <w:rPr>
          <w:rFonts w:cstheme="minorHAnsi"/>
          <w:sz w:val="20"/>
          <w:szCs w:val="20"/>
        </w:rPr>
        <w:t>, or which cannot be readily sourced, the introduction of a mandatory buy-in regime under CSDR would fundamentally</w:t>
      </w:r>
      <w:r w:rsidR="00001644" w:rsidRPr="000644FA">
        <w:rPr>
          <w:rFonts w:cstheme="minorHAnsi"/>
          <w:sz w:val="20"/>
          <w:szCs w:val="20"/>
        </w:rPr>
        <w:t xml:space="preserve"> impact </w:t>
      </w:r>
      <w:r w:rsidR="00A77245">
        <w:rPr>
          <w:rFonts w:cstheme="minorHAnsi"/>
          <w:sz w:val="20"/>
          <w:szCs w:val="20"/>
        </w:rPr>
        <w:t>the</w:t>
      </w:r>
      <w:r w:rsidR="00A77245" w:rsidRPr="000644FA">
        <w:rPr>
          <w:rFonts w:cstheme="minorHAnsi"/>
          <w:sz w:val="20"/>
          <w:szCs w:val="20"/>
        </w:rPr>
        <w:t xml:space="preserve"> </w:t>
      </w:r>
      <w:r w:rsidR="006371EF" w:rsidRPr="000644FA">
        <w:rPr>
          <w:rFonts w:cstheme="minorHAnsi"/>
          <w:sz w:val="20"/>
          <w:szCs w:val="20"/>
        </w:rPr>
        <w:t>ability</w:t>
      </w:r>
      <w:r w:rsidR="00A77245">
        <w:rPr>
          <w:rFonts w:cstheme="minorHAnsi"/>
          <w:sz w:val="20"/>
          <w:szCs w:val="20"/>
        </w:rPr>
        <w:t xml:space="preserve"> of </w:t>
      </w:r>
      <w:r w:rsidRPr="00E75343">
        <w:rPr>
          <w:rFonts w:cstheme="minorHAnsi"/>
          <w:sz w:val="20"/>
          <w:szCs w:val="20"/>
        </w:rPr>
        <w:t>market makers</w:t>
      </w:r>
      <w:r w:rsidRPr="000644FA">
        <w:rPr>
          <w:rFonts w:cstheme="minorHAnsi"/>
          <w:sz w:val="20"/>
          <w:szCs w:val="20"/>
        </w:rPr>
        <w:t xml:space="preserve"> </w:t>
      </w:r>
      <w:r w:rsidR="00A77245">
        <w:rPr>
          <w:rFonts w:cstheme="minorHAnsi"/>
          <w:sz w:val="20"/>
          <w:szCs w:val="20"/>
        </w:rPr>
        <w:t>to</w:t>
      </w:r>
      <w:r w:rsidR="00F84FB2">
        <w:rPr>
          <w:rFonts w:cstheme="minorHAnsi"/>
          <w:sz w:val="20"/>
          <w:szCs w:val="20"/>
        </w:rPr>
        <w:t xml:space="preserve"> make </w:t>
      </w:r>
      <w:r w:rsidR="00F84FB2" w:rsidRPr="002F1C2C">
        <w:rPr>
          <w:rFonts w:cstheme="minorHAnsi"/>
          <w:sz w:val="20"/>
          <w:szCs w:val="20"/>
        </w:rPr>
        <w:t>markets</w:t>
      </w:r>
      <w:r w:rsidR="006371EF" w:rsidRPr="002F1C2C">
        <w:rPr>
          <w:rFonts w:cstheme="minorHAnsi"/>
          <w:sz w:val="20"/>
          <w:szCs w:val="20"/>
        </w:rPr>
        <w:t>.</w:t>
      </w:r>
    </w:p>
    <w:p w14:paraId="40F47714" w14:textId="77777777" w:rsidR="002F1C2C" w:rsidRDefault="00684610" w:rsidP="002F1C2C">
      <w:pPr>
        <w:numPr>
          <w:ilvl w:val="0"/>
          <w:numId w:val="1"/>
        </w:numPr>
        <w:spacing w:after="0" w:line="240" w:lineRule="auto"/>
        <w:ind w:left="360"/>
        <w:jc w:val="both"/>
        <w:rPr>
          <w:rFonts w:cstheme="minorHAnsi"/>
          <w:sz w:val="20"/>
          <w:szCs w:val="20"/>
        </w:rPr>
      </w:pPr>
      <w:r w:rsidRPr="002F1C2C">
        <w:rPr>
          <w:rFonts w:cstheme="minorHAnsi"/>
          <w:sz w:val="20"/>
          <w:szCs w:val="20"/>
        </w:rPr>
        <w:t xml:space="preserve">To adjust for </w:t>
      </w:r>
      <w:r w:rsidR="00FD6275" w:rsidRPr="002F1C2C">
        <w:rPr>
          <w:rFonts w:cstheme="minorHAnsi"/>
          <w:sz w:val="20"/>
          <w:szCs w:val="20"/>
        </w:rPr>
        <w:t>th</w:t>
      </w:r>
      <w:r w:rsidR="006371EF" w:rsidRPr="002F1C2C">
        <w:rPr>
          <w:rFonts w:cstheme="minorHAnsi"/>
          <w:sz w:val="20"/>
          <w:szCs w:val="20"/>
        </w:rPr>
        <w:t xml:space="preserve">e expected cost </w:t>
      </w:r>
      <w:r w:rsidR="002D7320" w:rsidRPr="002F1C2C">
        <w:rPr>
          <w:rFonts w:cstheme="minorHAnsi"/>
          <w:sz w:val="20"/>
          <w:szCs w:val="20"/>
        </w:rPr>
        <w:t>of being bought-in</w:t>
      </w:r>
      <w:r w:rsidRPr="002F1C2C">
        <w:rPr>
          <w:rFonts w:cstheme="minorHAnsi"/>
          <w:sz w:val="20"/>
          <w:szCs w:val="20"/>
        </w:rPr>
        <w:t xml:space="preserve">, </w:t>
      </w:r>
      <w:r w:rsidR="00F84FB2" w:rsidRPr="002F1C2C">
        <w:rPr>
          <w:rFonts w:cstheme="minorHAnsi"/>
          <w:sz w:val="20"/>
          <w:szCs w:val="20"/>
        </w:rPr>
        <w:t>market maker</w:t>
      </w:r>
      <w:r w:rsidR="004A5434" w:rsidRPr="002F1C2C">
        <w:rPr>
          <w:rFonts w:cstheme="minorHAnsi"/>
          <w:sz w:val="20"/>
          <w:szCs w:val="20"/>
        </w:rPr>
        <w:t xml:space="preserve">s </w:t>
      </w:r>
      <w:r w:rsidRPr="002F1C2C">
        <w:rPr>
          <w:rFonts w:cstheme="minorHAnsi"/>
          <w:sz w:val="20"/>
          <w:szCs w:val="20"/>
        </w:rPr>
        <w:t xml:space="preserve">will </w:t>
      </w:r>
      <w:r w:rsidR="00A77245" w:rsidRPr="002F1C2C">
        <w:rPr>
          <w:rFonts w:cstheme="minorHAnsi"/>
          <w:sz w:val="20"/>
          <w:szCs w:val="20"/>
        </w:rPr>
        <w:t>have</w:t>
      </w:r>
      <w:r w:rsidRPr="002F1C2C">
        <w:rPr>
          <w:rFonts w:cstheme="minorHAnsi"/>
          <w:sz w:val="20"/>
          <w:szCs w:val="20"/>
        </w:rPr>
        <w:t xml:space="preserve"> to add a premium</w:t>
      </w:r>
      <w:r w:rsidR="00851C2E" w:rsidRPr="002F1C2C">
        <w:rPr>
          <w:rFonts w:cstheme="minorHAnsi"/>
          <w:sz w:val="20"/>
          <w:szCs w:val="20"/>
        </w:rPr>
        <w:t xml:space="preserve"> to their prices</w:t>
      </w:r>
      <w:r w:rsidR="00A77245" w:rsidRPr="002F1C2C">
        <w:rPr>
          <w:rFonts w:cstheme="minorHAnsi"/>
          <w:sz w:val="20"/>
          <w:szCs w:val="20"/>
        </w:rPr>
        <w:t xml:space="preserve"> </w:t>
      </w:r>
      <w:r w:rsidR="006A6FE4" w:rsidRPr="002F1C2C">
        <w:rPr>
          <w:rFonts w:cstheme="minorHAnsi"/>
          <w:sz w:val="20"/>
          <w:szCs w:val="20"/>
        </w:rPr>
        <w:t>– this will widen the bid-offer spread</w:t>
      </w:r>
      <w:r w:rsidR="004A5434" w:rsidRPr="002F1C2C">
        <w:rPr>
          <w:rFonts w:cstheme="minorHAnsi"/>
          <w:sz w:val="20"/>
          <w:szCs w:val="20"/>
        </w:rPr>
        <w:t xml:space="preserve"> (which will </w:t>
      </w:r>
      <w:r w:rsidR="006A6FE4" w:rsidRPr="002F1C2C">
        <w:rPr>
          <w:rFonts w:cstheme="minorHAnsi"/>
          <w:sz w:val="20"/>
          <w:szCs w:val="20"/>
        </w:rPr>
        <w:t xml:space="preserve">in turn </w:t>
      </w:r>
      <w:r w:rsidR="004A5434" w:rsidRPr="002F1C2C">
        <w:rPr>
          <w:rFonts w:cstheme="minorHAnsi"/>
          <w:sz w:val="20"/>
          <w:szCs w:val="20"/>
        </w:rPr>
        <w:t>increase costs to end-investors)</w:t>
      </w:r>
      <w:r w:rsidR="00A77245" w:rsidRPr="002F1C2C">
        <w:rPr>
          <w:rFonts w:cstheme="minorHAnsi"/>
          <w:sz w:val="20"/>
          <w:szCs w:val="20"/>
        </w:rPr>
        <w:t xml:space="preserve"> –</w:t>
      </w:r>
      <w:r w:rsidRPr="002F1C2C">
        <w:rPr>
          <w:rFonts w:cstheme="minorHAnsi"/>
          <w:sz w:val="20"/>
          <w:szCs w:val="20"/>
        </w:rPr>
        <w:t xml:space="preserve"> or </w:t>
      </w:r>
      <w:r w:rsidR="00851C2E" w:rsidRPr="002F1C2C">
        <w:rPr>
          <w:rFonts w:cstheme="minorHAnsi"/>
          <w:sz w:val="20"/>
          <w:szCs w:val="20"/>
        </w:rPr>
        <w:t xml:space="preserve">they </w:t>
      </w:r>
      <w:r w:rsidRPr="002F1C2C">
        <w:rPr>
          <w:rFonts w:cstheme="minorHAnsi"/>
          <w:sz w:val="20"/>
          <w:szCs w:val="20"/>
        </w:rPr>
        <w:t xml:space="preserve">may simply </w:t>
      </w:r>
      <w:r w:rsidR="006371EF" w:rsidRPr="002F1C2C">
        <w:rPr>
          <w:rFonts w:cstheme="minorHAnsi"/>
          <w:sz w:val="20"/>
          <w:szCs w:val="20"/>
        </w:rPr>
        <w:t xml:space="preserve">not make an offer price on an enquiry </w:t>
      </w:r>
      <w:r w:rsidR="004A5434" w:rsidRPr="002F1C2C">
        <w:rPr>
          <w:rFonts w:cstheme="minorHAnsi"/>
          <w:sz w:val="20"/>
          <w:szCs w:val="20"/>
        </w:rPr>
        <w:t>there</w:t>
      </w:r>
      <w:r w:rsidR="00432236" w:rsidRPr="002F1C2C">
        <w:rPr>
          <w:rFonts w:cstheme="minorHAnsi"/>
          <w:sz w:val="20"/>
          <w:szCs w:val="20"/>
        </w:rPr>
        <w:t>by</w:t>
      </w:r>
      <w:r w:rsidR="004A5434" w:rsidRPr="002F1C2C">
        <w:rPr>
          <w:rFonts w:cstheme="minorHAnsi"/>
          <w:sz w:val="20"/>
          <w:szCs w:val="20"/>
        </w:rPr>
        <w:t xml:space="preserve"> negatively affecting market liquidity</w:t>
      </w:r>
      <w:r w:rsidR="006371EF" w:rsidRPr="002F1C2C">
        <w:rPr>
          <w:rFonts w:cstheme="minorHAnsi"/>
          <w:sz w:val="20"/>
          <w:szCs w:val="20"/>
        </w:rPr>
        <w:t>.</w:t>
      </w:r>
    </w:p>
    <w:p w14:paraId="4ABD7C5E" w14:textId="400FD731" w:rsidR="002F1C2C" w:rsidRDefault="00A77245" w:rsidP="002F1C2C">
      <w:pPr>
        <w:numPr>
          <w:ilvl w:val="0"/>
          <w:numId w:val="1"/>
        </w:numPr>
        <w:spacing w:after="0" w:line="240" w:lineRule="auto"/>
        <w:ind w:left="360"/>
        <w:jc w:val="both"/>
        <w:rPr>
          <w:rFonts w:cstheme="minorHAnsi"/>
          <w:sz w:val="20"/>
          <w:szCs w:val="20"/>
        </w:rPr>
      </w:pPr>
      <w:r w:rsidRPr="002F1C2C">
        <w:rPr>
          <w:rFonts w:cstheme="minorHAnsi"/>
          <w:sz w:val="20"/>
          <w:szCs w:val="20"/>
        </w:rPr>
        <w:t>A</w:t>
      </w:r>
      <w:r w:rsidR="00263DE1" w:rsidRPr="002F1C2C">
        <w:rPr>
          <w:rFonts w:cstheme="minorHAnsi"/>
          <w:sz w:val="20"/>
          <w:szCs w:val="20"/>
        </w:rPr>
        <w:t xml:space="preserve">sset managers </w:t>
      </w:r>
      <w:r w:rsidR="009C757A" w:rsidRPr="002F1C2C">
        <w:rPr>
          <w:rFonts w:cstheme="minorHAnsi"/>
          <w:sz w:val="20"/>
          <w:szCs w:val="20"/>
        </w:rPr>
        <w:t>may not be able to obtain the securities they want on behalf of investors, and thus may have to make sub-optimal investment decisions or may have to pay a liquidity premium.</w:t>
      </w:r>
    </w:p>
    <w:p w14:paraId="0D4F2088" w14:textId="56ACEF9B" w:rsidR="002F1C2C" w:rsidRDefault="008A6FFC" w:rsidP="002F1C2C">
      <w:pPr>
        <w:numPr>
          <w:ilvl w:val="0"/>
          <w:numId w:val="1"/>
        </w:numPr>
        <w:spacing w:after="0" w:line="240" w:lineRule="auto"/>
        <w:ind w:left="360"/>
        <w:jc w:val="both"/>
        <w:rPr>
          <w:rFonts w:cstheme="minorHAnsi"/>
          <w:sz w:val="20"/>
          <w:szCs w:val="20"/>
        </w:rPr>
      </w:pPr>
      <w:r w:rsidRPr="002F1C2C">
        <w:rPr>
          <w:rFonts w:cstheme="minorHAnsi"/>
          <w:sz w:val="20"/>
          <w:szCs w:val="20"/>
        </w:rPr>
        <w:t>A mandatory buy-in regime will also negatively affect issuers. Issuance ability and pricing is related to the expected liquidity of the instrument. A decrease in liquidity</w:t>
      </w:r>
      <w:r w:rsidR="006C58F9">
        <w:rPr>
          <w:rFonts w:cstheme="minorHAnsi"/>
          <w:sz w:val="20"/>
          <w:szCs w:val="20"/>
        </w:rPr>
        <w:t>,</w:t>
      </w:r>
      <w:r w:rsidRPr="002F1C2C">
        <w:rPr>
          <w:rFonts w:cstheme="minorHAnsi"/>
          <w:sz w:val="20"/>
          <w:szCs w:val="20"/>
        </w:rPr>
        <w:t xml:space="preserve"> from the knock on effects of the mandatory buy-in regime</w:t>
      </w:r>
      <w:r w:rsidR="006C58F9">
        <w:rPr>
          <w:rFonts w:cstheme="minorHAnsi"/>
          <w:sz w:val="20"/>
          <w:szCs w:val="20"/>
        </w:rPr>
        <w:t>,</w:t>
      </w:r>
      <w:r w:rsidRPr="002F1C2C">
        <w:rPr>
          <w:rFonts w:cstheme="minorHAnsi"/>
          <w:sz w:val="20"/>
          <w:szCs w:val="20"/>
        </w:rPr>
        <w:t xml:space="preserve"> will cause borrowing costs to increase for issuers, with the greatest  impact likely to fall on smaller and lower credit rated companies, especially in times of stress where access to a wide range of </w:t>
      </w:r>
      <w:r w:rsidRPr="002F1C2C">
        <w:rPr>
          <w:rFonts w:cstheme="minorHAnsi"/>
          <w:sz w:val="20"/>
          <w:szCs w:val="20"/>
        </w:rPr>
        <w:lastRenderedPageBreak/>
        <w:t>financing channels is needed (please see the analysis in the AFME submission on increasing new issue premiums during covid-19)</w:t>
      </w:r>
      <w:r w:rsidR="002F1C2C">
        <w:rPr>
          <w:rFonts w:cstheme="minorHAnsi"/>
          <w:sz w:val="20"/>
          <w:szCs w:val="20"/>
        </w:rPr>
        <w:t>.</w:t>
      </w:r>
    </w:p>
    <w:p w14:paraId="10075537" w14:textId="79FB7330" w:rsidR="002F1C2C" w:rsidRDefault="00961885" w:rsidP="002F1C2C">
      <w:pPr>
        <w:numPr>
          <w:ilvl w:val="0"/>
          <w:numId w:val="1"/>
        </w:numPr>
        <w:spacing w:after="0" w:line="240" w:lineRule="auto"/>
        <w:ind w:left="360"/>
        <w:jc w:val="both"/>
        <w:rPr>
          <w:rFonts w:cstheme="minorHAnsi"/>
          <w:sz w:val="20"/>
          <w:szCs w:val="20"/>
        </w:rPr>
      </w:pPr>
      <w:r w:rsidRPr="002F1C2C">
        <w:rPr>
          <w:rFonts w:cstheme="minorHAnsi"/>
          <w:sz w:val="20"/>
          <w:szCs w:val="20"/>
          <w:lang w:val="en-US"/>
        </w:rPr>
        <w:t>Another impact is the negative feedback liquidity loop</w:t>
      </w:r>
      <w:r w:rsidR="002D7167" w:rsidRPr="002F1C2C">
        <w:rPr>
          <w:rFonts w:cstheme="minorHAnsi"/>
          <w:sz w:val="20"/>
          <w:szCs w:val="20"/>
          <w:lang w:val="en-US"/>
        </w:rPr>
        <w:t xml:space="preserve">, which is the </w:t>
      </w:r>
      <w:r w:rsidRPr="002F1C2C">
        <w:rPr>
          <w:rFonts w:cstheme="minorHAnsi"/>
          <w:sz w:val="20"/>
          <w:szCs w:val="20"/>
          <w:lang w:val="en-US"/>
        </w:rPr>
        <w:t xml:space="preserve">multiplicative impact of one trade not happening, since if a sale is not made, then the subsequently required purchase </w:t>
      </w:r>
      <w:r w:rsidR="00FE3F2C" w:rsidRPr="002F1C2C">
        <w:rPr>
          <w:rFonts w:cstheme="minorHAnsi"/>
          <w:sz w:val="20"/>
          <w:szCs w:val="20"/>
          <w:lang w:val="en-US"/>
        </w:rPr>
        <w:t xml:space="preserve">will </w:t>
      </w:r>
      <w:r w:rsidR="006C58F9">
        <w:rPr>
          <w:rFonts w:cstheme="minorHAnsi"/>
          <w:sz w:val="20"/>
          <w:szCs w:val="20"/>
          <w:lang w:val="en-US"/>
        </w:rPr>
        <w:t xml:space="preserve">not </w:t>
      </w:r>
      <w:r w:rsidR="00FE3F2C" w:rsidRPr="002F1C2C">
        <w:rPr>
          <w:rFonts w:cstheme="minorHAnsi"/>
          <w:sz w:val="20"/>
          <w:szCs w:val="20"/>
          <w:lang w:val="en-US"/>
        </w:rPr>
        <w:t>happen</w:t>
      </w:r>
      <w:r w:rsidR="00A801D1" w:rsidRPr="002F1C2C">
        <w:rPr>
          <w:rFonts w:cstheme="minorHAnsi"/>
          <w:sz w:val="20"/>
          <w:szCs w:val="20"/>
          <w:lang w:val="en-US"/>
        </w:rPr>
        <w:t xml:space="preserve">. </w:t>
      </w:r>
      <w:r w:rsidRPr="002F1C2C">
        <w:rPr>
          <w:rFonts w:cstheme="minorHAnsi"/>
          <w:sz w:val="20"/>
          <w:szCs w:val="20"/>
          <w:lang w:val="en-US"/>
        </w:rPr>
        <w:t>This liquidity feedback loop is already observed every time there is a minor bank holiday or a slow Monday/Friday morning trading session. The impact of a mandatory buy-in would amplify this, where liquidity would quickly evaporate for less traded instruments as a result of mandatory buy-ins and increase fails and costs</w:t>
      </w:r>
      <w:r w:rsidR="00D64E41" w:rsidRPr="002F1C2C">
        <w:rPr>
          <w:rFonts w:cstheme="minorHAnsi"/>
          <w:sz w:val="20"/>
          <w:szCs w:val="20"/>
          <w:lang w:val="en-US"/>
        </w:rPr>
        <w:t>.</w:t>
      </w:r>
    </w:p>
    <w:p w14:paraId="6EB83079" w14:textId="3E3AF50A" w:rsidR="002F1C2C" w:rsidRDefault="004A5434" w:rsidP="002F1C2C">
      <w:pPr>
        <w:numPr>
          <w:ilvl w:val="0"/>
          <w:numId w:val="1"/>
        </w:numPr>
        <w:spacing w:after="0" w:line="240" w:lineRule="auto"/>
        <w:ind w:left="360"/>
        <w:jc w:val="both"/>
        <w:rPr>
          <w:rFonts w:cstheme="minorHAnsi"/>
          <w:sz w:val="20"/>
          <w:szCs w:val="20"/>
        </w:rPr>
      </w:pPr>
      <w:r w:rsidRPr="002F1C2C">
        <w:rPr>
          <w:rFonts w:cstheme="minorHAnsi"/>
          <w:sz w:val="20"/>
          <w:szCs w:val="20"/>
        </w:rPr>
        <w:t xml:space="preserve">These effects would be </w:t>
      </w:r>
      <w:r w:rsidR="00CB3DDD" w:rsidRPr="002F1C2C">
        <w:rPr>
          <w:rFonts w:cstheme="minorHAnsi"/>
          <w:sz w:val="20"/>
          <w:szCs w:val="20"/>
        </w:rPr>
        <w:t xml:space="preserve">amplified </w:t>
      </w:r>
      <w:r w:rsidRPr="002F1C2C">
        <w:rPr>
          <w:rFonts w:cstheme="minorHAnsi"/>
          <w:sz w:val="20"/>
          <w:szCs w:val="20"/>
        </w:rPr>
        <w:t xml:space="preserve">in time of stress </w:t>
      </w:r>
      <w:r w:rsidR="009E2D3D" w:rsidRPr="002F1C2C">
        <w:rPr>
          <w:rFonts w:cstheme="minorHAnsi"/>
          <w:sz w:val="20"/>
          <w:szCs w:val="20"/>
        </w:rPr>
        <w:t xml:space="preserve">when </w:t>
      </w:r>
      <w:r w:rsidRPr="002F1C2C">
        <w:rPr>
          <w:rFonts w:cstheme="minorHAnsi"/>
          <w:sz w:val="20"/>
          <w:szCs w:val="20"/>
        </w:rPr>
        <w:t>markets become more volatile</w:t>
      </w:r>
      <w:r w:rsidR="00CB3DDD" w:rsidRPr="002F1C2C">
        <w:rPr>
          <w:rFonts w:cstheme="minorHAnsi"/>
          <w:sz w:val="20"/>
          <w:szCs w:val="20"/>
        </w:rPr>
        <w:t xml:space="preserve">, </w:t>
      </w:r>
      <w:r w:rsidR="008A6FFC" w:rsidRPr="002F1C2C">
        <w:rPr>
          <w:rFonts w:cstheme="minorHAnsi"/>
          <w:sz w:val="20"/>
          <w:szCs w:val="20"/>
        </w:rPr>
        <w:t xml:space="preserve">bid-offers increase </w:t>
      </w:r>
      <w:r w:rsidRPr="002F1C2C">
        <w:rPr>
          <w:rFonts w:cstheme="minorHAnsi"/>
          <w:sz w:val="20"/>
          <w:szCs w:val="20"/>
        </w:rPr>
        <w:t xml:space="preserve">and </w:t>
      </w:r>
      <w:r w:rsidR="008A6FFC" w:rsidRPr="002F1C2C">
        <w:rPr>
          <w:rFonts w:cstheme="minorHAnsi"/>
          <w:sz w:val="20"/>
          <w:szCs w:val="20"/>
        </w:rPr>
        <w:t xml:space="preserve">settlement </w:t>
      </w:r>
      <w:r w:rsidRPr="002F1C2C">
        <w:rPr>
          <w:rFonts w:cstheme="minorHAnsi"/>
          <w:sz w:val="20"/>
          <w:szCs w:val="20"/>
        </w:rPr>
        <w:t>fail</w:t>
      </w:r>
      <w:r w:rsidR="008A6FFC" w:rsidRPr="002F1C2C">
        <w:rPr>
          <w:rFonts w:cstheme="minorHAnsi"/>
          <w:sz w:val="20"/>
          <w:szCs w:val="20"/>
        </w:rPr>
        <w:t>ures</w:t>
      </w:r>
      <w:r w:rsidRPr="002F1C2C">
        <w:rPr>
          <w:rFonts w:cstheme="minorHAnsi"/>
          <w:sz w:val="20"/>
          <w:szCs w:val="20"/>
        </w:rPr>
        <w:t xml:space="preserve"> increase. </w:t>
      </w:r>
      <w:r w:rsidR="006F6325" w:rsidRPr="002F1C2C">
        <w:rPr>
          <w:rFonts w:cstheme="minorHAnsi"/>
          <w:sz w:val="20"/>
          <w:szCs w:val="20"/>
        </w:rPr>
        <w:t>D</w:t>
      </w:r>
      <w:r w:rsidR="00475F7B" w:rsidRPr="002F1C2C">
        <w:rPr>
          <w:rFonts w:cstheme="minorHAnsi"/>
          <w:sz w:val="20"/>
          <w:szCs w:val="20"/>
        </w:rPr>
        <w:t xml:space="preserve">ata from Euroclear shows that </w:t>
      </w:r>
      <w:r w:rsidR="00475F7B" w:rsidRPr="002F1C2C">
        <w:rPr>
          <w:rFonts w:eastAsia="Times New Roman" w:cstheme="minorHAnsi"/>
          <w:sz w:val="20"/>
          <w:szCs w:val="20"/>
        </w:rPr>
        <w:t xml:space="preserve">settlement fails increased during March 2020 </w:t>
      </w:r>
      <w:r w:rsidR="006F6325" w:rsidRPr="002F1C2C">
        <w:rPr>
          <w:rFonts w:eastAsia="Times New Roman" w:cstheme="minorHAnsi"/>
          <w:sz w:val="20"/>
          <w:szCs w:val="20"/>
        </w:rPr>
        <w:t>particularly for less liquid securities</w:t>
      </w:r>
      <w:r w:rsidR="00182C23">
        <w:rPr>
          <w:rFonts w:eastAsia="Times New Roman" w:cstheme="minorHAnsi"/>
          <w:sz w:val="20"/>
          <w:szCs w:val="20"/>
        </w:rPr>
        <w:t xml:space="preserve"> </w:t>
      </w:r>
      <w:r w:rsidR="00AA01E4" w:rsidRPr="002F1C2C">
        <w:rPr>
          <w:rFonts w:eastAsia="Times New Roman" w:cstheme="minorHAnsi"/>
          <w:sz w:val="20"/>
          <w:szCs w:val="20"/>
        </w:rPr>
        <w:t>– please see</w:t>
      </w:r>
      <w:r w:rsidR="004302ED" w:rsidRPr="002F1C2C">
        <w:rPr>
          <w:rFonts w:eastAsia="Times New Roman" w:cstheme="minorHAnsi"/>
          <w:sz w:val="20"/>
          <w:szCs w:val="20"/>
        </w:rPr>
        <w:t xml:space="preserve"> graph 2 below</w:t>
      </w:r>
      <w:r w:rsidR="00824D19" w:rsidRPr="002F1C2C">
        <w:rPr>
          <w:rFonts w:eastAsia="Times New Roman" w:cstheme="minorHAnsi"/>
          <w:sz w:val="20"/>
          <w:szCs w:val="20"/>
        </w:rPr>
        <w:t xml:space="preserve"> under question 35.1</w:t>
      </w:r>
      <w:r w:rsidR="00AA01E4" w:rsidRPr="002F1C2C">
        <w:rPr>
          <w:rFonts w:eastAsia="Times New Roman" w:cstheme="minorHAnsi"/>
          <w:sz w:val="20"/>
          <w:szCs w:val="20"/>
        </w:rPr>
        <w:t xml:space="preserve">. </w:t>
      </w:r>
      <w:bookmarkStart w:id="2" w:name="_Hlk62629588"/>
    </w:p>
    <w:p w14:paraId="24ABC8AE" w14:textId="64EC92A0" w:rsidR="00684610" w:rsidRDefault="008A6FFC" w:rsidP="002F1C2C">
      <w:pPr>
        <w:numPr>
          <w:ilvl w:val="0"/>
          <w:numId w:val="1"/>
        </w:numPr>
        <w:spacing w:after="0" w:line="240" w:lineRule="auto"/>
        <w:ind w:left="360"/>
        <w:jc w:val="both"/>
        <w:rPr>
          <w:rFonts w:cstheme="minorHAnsi"/>
          <w:sz w:val="20"/>
          <w:szCs w:val="20"/>
        </w:rPr>
      </w:pPr>
      <w:r w:rsidRPr="002F1C2C">
        <w:rPr>
          <w:rFonts w:cstheme="minorHAnsi"/>
          <w:sz w:val="20"/>
          <w:szCs w:val="20"/>
        </w:rPr>
        <w:t>This is likely to disproportionately impact those instruments which already suffer from lower liquidity and higher costs of trading. For these reasons</w:t>
      </w:r>
      <w:r w:rsidR="00E477D9" w:rsidRPr="002F1C2C">
        <w:rPr>
          <w:rFonts w:cstheme="minorHAnsi"/>
          <w:sz w:val="20"/>
          <w:szCs w:val="20"/>
        </w:rPr>
        <w:t>,</w:t>
      </w:r>
      <w:r w:rsidRPr="002F1C2C">
        <w:rPr>
          <w:rFonts w:cstheme="minorHAnsi"/>
          <w:sz w:val="20"/>
          <w:szCs w:val="20"/>
        </w:rPr>
        <w:t xml:space="preserve"> our view is that mandating a </w:t>
      </w:r>
      <w:r w:rsidR="00A801D1" w:rsidRPr="002F1C2C">
        <w:rPr>
          <w:rFonts w:cstheme="minorHAnsi"/>
          <w:sz w:val="20"/>
          <w:szCs w:val="20"/>
        </w:rPr>
        <w:t xml:space="preserve">mandatory </w:t>
      </w:r>
      <w:r w:rsidRPr="002F1C2C">
        <w:rPr>
          <w:rFonts w:cstheme="minorHAnsi"/>
          <w:sz w:val="20"/>
          <w:szCs w:val="20"/>
        </w:rPr>
        <w:t>buy-in will have serious negative impacts on liquidity and on pricing of debt financing for borrowers</w:t>
      </w:r>
      <w:r w:rsidR="00E477D9" w:rsidRPr="002F1C2C">
        <w:rPr>
          <w:rFonts w:cstheme="minorHAnsi"/>
          <w:sz w:val="20"/>
          <w:szCs w:val="20"/>
        </w:rPr>
        <w:t>,</w:t>
      </w:r>
      <w:r w:rsidRPr="002F1C2C">
        <w:rPr>
          <w:rFonts w:cstheme="minorHAnsi"/>
          <w:sz w:val="20"/>
          <w:szCs w:val="20"/>
        </w:rPr>
        <w:t xml:space="preserve"> and that these impacts will be pro-cyclical and </w:t>
      </w:r>
      <w:r w:rsidR="00182C23">
        <w:rPr>
          <w:rFonts w:cstheme="minorHAnsi"/>
          <w:sz w:val="20"/>
          <w:szCs w:val="20"/>
        </w:rPr>
        <w:t>will</w:t>
      </w:r>
      <w:r w:rsidRPr="002F1C2C">
        <w:rPr>
          <w:rFonts w:cstheme="minorHAnsi"/>
          <w:sz w:val="20"/>
          <w:szCs w:val="20"/>
        </w:rPr>
        <w:t xml:space="preserve"> increase significantly at times of market stress. The end result is that a measure which was meant to improve settlement efficiency and stimulate European capital markets is likely to come at an extremely high cost.</w:t>
      </w:r>
      <w:bookmarkEnd w:id="2"/>
    </w:p>
    <w:p w14:paraId="4AC1AB94" w14:textId="77777777" w:rsidR="002F1C2C" w:rsidRPr="002F1C2C" w:rsidRDefault="002F1C2C" w:rsidP="002F1C2C">
      <w:pPr>
        <w:spacing w:after="0" w:line="240" w:lineRule="auto"/>
        <w:ind w:left="360"/>
        <w:jc w:val="both"/>
        <w:rPr>
          <w:rFonts w:cstheme="minorHAnsi"/>
          <w:sz w:val="20"/>
          <w:szCs w:val="20"/>
        </w:rPr>
      </w:pPr>
    </w:p>
    <w:p w14:paraId="44F063CB" w14:textId="644AE144" w:rsidR="00263DE1" w:rsidRPr="000644FA" w:rsidRDefault="00263DE1" w:rsidP="00E71006">
      <w:pPr>
        <w:jc w:val="both"/>
        <w:rPr>
          <w:rFonts w:cstheme="minorHAnsi"/>
          <w:b/>
          <w:bCs/>
          <w:i/>
          <w:iCs/>
          <w:sz w:val="20"/>
          <w:szCs w:val="20"/>
          <w:u w:val="single"/>
        </w:rPr>
      </w:pPr>
      <w:bookmarkStart w:id="3" w:name="_Hlk63158589"/>
      <w:r w:rsidRPr="000644FA">
        <w:rPr>
          <w:rFonts w:cstheme="minorHAnsi"/>
          <w:b/>
          <w:bCs/>
          <w:i/>
          <w:iCs/>
          <w:sz w:val="20"/>
          <w:szCs w:val="20"/>
          <w:u w:val="single"/>
        </w:rPr>
        <w:t>The negative impacts of mandatory buy-in</w:t>
      </w:r>
      <w:r w:rsidR="00E0321E" w:rsidRPr="000644FA">
        <w:rPr>
          <w:rFonts w:cstheme="minorHAnsi"/>
          <w:b/>
          <w:bCs/>
          <w:i/>
          <w:iCs/>
          <w:sz w:val="20"/>
          <w:szCs w:val="20"/>
          <w:u w:val="single"/>
        </w:rPr>
        <w:t>s</w:t>
      </w:r>
      <w:r w:rsidRPr="000644FA">
        <w:rPr>
          <w:rFonts w:cstheme="minorHAnsi"/>
          <w:b/>
          <w:bCs/>
          <w:i/>
          <w:iCs/>
          <w:sz w:val="20"/>
          <w:szCs w:val="20"/>
          <w:u w:val="single"/>
        </w:rPr>
        <w:t xml:space="preserve"> on saving and investing</w:t>
      </w:r>
    </w:p>
    <w:bookmarkEnd w:id="3"/>
    <w:p w14:paraId="5AA3B28C" w14:textId="6D3016D2" w:rsidR="00263DE1" w:rsidRPr="000644FA" w:rsidRDefault="00926894" w:rsidP="00E71006">
      <w:pPr>
        <w:numPr>
          <w:ilvl w:val="0"/>
          <w:numId w:val="1"/>
        </w:numPr>
        <w:spacing w:after="0" w:line="240" w:lineRule="auto"/>
        <w:ind w:left="360"/>
        <w:jc w:val="both"/>
        <w:rPr>
          <w:rFonts w:cstheme="minorHAnsi"/>
          <w:sz w:val="20"/>
          <w:szCs w:val="20"/>
        </w:rPr>
      </w:pPr>
      <w:r w:rsidRPr="000644FA">
        <w:rPr>
          <w:rFonts w:cstheme="minorHAnsi"/>
          <w:sz w:val="20"/>
          <w:szCs w:val="20"/>
        </w:rPr>
        <w:t>The current m</w:t>
      </w:r>
      <w:r w:rsidR="00263DE1" w:rsidRPr="000644FA">
        <w:rPr>
          <w:rFonts w:cstheme="minorHAnsi"/>
          <w:sz w:val="20"/>
          <w:szCs w:val="20"/>
        </w:rPr>
        <w:t xml:space="preserve">andatory buy-in </w:t>
      </w:r>
      <w:r w:rsidRPr="000644FA">
        <w:rPr>
          <w:rFonts w:cstheme="minorHAnsi"/>
          <w:sz w:val="20"/>
          <w:szCs w:val="20"/>
        </w:rPr>
        <w:t xml:space="preserve">regime under CSDR </w:t>
      </w:r>
      <w:r w:rsidR="00263DE1" w:rsidRPr="000644FA">
        <w:rPr>
          <w:rFonts w:cstheme="minorHAnsi"/>
          <w:sz w:val="20"/>
          <w:szCs w:val="20"/>
        </w:rPr>
        <w:t xml:space="preserve">is intended to apply across all asset classes and across all markets in the EU. A few basis points added to the price of each and every trade </w:t>
      </w:r>
      <w:r w:rsidRPr="000644FA">
        <w:rPr>
          <w:rFonts w:cstheme="minorHAnsi"/>
          <w:sz w:val="20"/>
          <w:szCs w:val="20"/>
        </w:rPr>
        <w:t>can have</w:t>
      </w:r>
      <w:r w:rsidR="00263DE1" w:rsidRPr="000644FA">
        <w:rPr>
          <w:rFonts w:cstheme="minorHAnsi"/>
          <w:sz w:val="20"/>
          <w:szCs w:val="20"/>
        </w:rPr>
        <w:t xml:space="preserve"> a profound compound</w:t>
      </w:r>
      <w:r w:rsidR="007E222C" w:rsidRPr="000644FA">
        <w:rPr>
          <w:rFonts w:cstheme="minorHAnsi"/>
          <w:sz w:val="20"/>
          <w:szCs w:val="20"/>
        </w:rPr>
        <w:t>ed</w:t>
      </w:r>
      <w:r w:rsidR="00263DE1" w:rsidRPr="000644FA">
        <w:rPr>
          <w:rFonts w:cstheme="minorHAnsi"/>
          <w:sz w:val="20"/>
          <w:szCs w:val="20"/>
        </w:rPr>
        <w:t xml:space="preserve"> effect on capital markets activity. </w:t>
      </w:r>
    </w:p>
    <w:p w14:paraId="55057AF3" w14:textId="77777777" w:rsidR="00263DE1" w:rsidRPr="000644FA" w:rsidRDefault="00263DE1" w:rsidP="00E71006">
      <w:pPr>
        <w:numPr>
          <w:ilvl w:val="0"/>
          <w:numId w:val="1"/>
        </w:numPr>
        <w:spacing w:after="0" w:line="240" w:lineRule="auto"/>
        <w:ind w:left="360"/>
        <w:jc w:val="both"/>
        <w:rPr>
          <w:rFonts w:cstheme="minorHAnsi"/>
          <w:sz w:val="20"/>
          <w:szCs w:val="20"/>
        </w:rPr>
      </w:pPr>
      <w:r w:rsidRPr="000644FA">
        <w:rPr>
          <w:rFonts w:cstheme="minorHAnsi"/>
          <w:sz w:val="20"/>
          <w:szCs w:val="20"/>
        </w:rPr>
        <w:t xml:space="preserve">For example, end investors seeking to save for their retirement might incur these fees across all of their trades and over a number of years. The result is that mandatory buy-in acts as a drag on investors’ returns, and for example, a lower retirement income. </w:t>
      </w:r>
    </w:p>
    <w:p w14:paraId="4E4AB12A" w14:textId="2E7E963B" w:rsidR="00263DE1" w:rsidRPr="000644FA" w:rsidRDefault="00263DE1" w:rsidP="00E71006">
      <w:pPr>
        <w:numPr>
          <w:ilvl w:val="0"/>
          <w:numId w:val="1"/>
        </w:numPr>
        <w:spacing w:after="0" w:line="240" w:lineRule="auto"/>
        <w:ind w:left="360"/>
        <w:jc w:val="both"/>
        <w:rPr>
          <w:rFonts w:cstheme="minorHAnsi"/>
          <w:sz w:val="20"/>
          <w:szCs w:val="20"/>
        </w:rPr>
      </w:pPr>
      <w:r w:rsidRPr="000644FA">
        <w:rPr>
          <w:rFonts w:cstheme="minorHAnsi"/>
          <w:sz w:val="20"/>
          <w:szCs w:val="20"/>
        </w:rPr>
        <w:t xml:space="preserve">A further consequence is that the higher cost of trading </w:t>
      </w:r>
      <w:r w:rsidR="00E0321E" w:rsidRPr="000644FA">
        <w:rPr>
          <w:rFonts w:cstheme="minorHAnsi"/>
          <w:sz w:val="20"/>
          <w:szCs w:val="20"/>
        </w:rPr>
        <w:t xml:space="preserve">may </w:t>
      </w:r>
      <w:r w:rsidRPr="000644FA">
        <w:rPr>
          <w:rFonts w:cstheme="minorHAnsi"/>
          <w:sz w:val="20"/>
          <w:szCs w:val="20"/>
        </w:rPr>
        <w:t>act as a disincentive on saving and investing. End investors might therefore decline to invest or choose to invest in strategies that preclude more frequent trading</w:t>
      </w:r>
      <w:r w:rsidR="00A21938" w:rsidRPr="000644FA">
        <w:rPr>
          <w:rFonts w:cstheme="minorHAnsi"/>
          <w:sz w:val="20"/>
          <w:szCs w:val="20"/>
        </w:rPr>
        <w:t>, or invest in markets outside of the EU where they do not incur such costs.</w:t>
      </w:r>
      <w:r w:rsidRPr="000644FA">
        <w:rPr>
          <w:rFonts w:cstheme="minorHAnsi"/>
          <w:sz w:val="20"/>
          <w:szCs w:val="20"/>
        </w:rPr>
        <w:t xml:space="preserve"> </w:t>
      </w:r>
    </w:p>
    <w:p w14:paraId="227B7FE3" w14:textId="0A58F2B7" w:rsidR="00263DE1" w:rsidRPr="002F1C2C" w:rsidRDefault="009C757A" w:rsidP="00E71006">
      <w:pPr>
        <w:numPr>
          <w:ilvl w:val="0"/>
          <w:numId w:val="1"/>
        </w:numPr>
        <w:spacing w:after="0" w:line="240" w:lineRule="auto"/>
        <w:ind w:left="360"/>
        <w:jc w:val="both"/>
        <w:rPr>
          <w:rFonts w:cstheme="minorHAnsi"/>
          <w:sz w:val="20"/>
          <w:szCs w:val="20"/>
        </w:rPr>
      </w:pPr>
      <w:r w:rsidRPr="000644FA">
        <w:rPr>
          <w:rFonts w:cstheme="minorHAnsi"/>
          <w:sz w:val="20"/>
          <w:szCs w:val="20"/>
        </w:rPr>
        <w:t xml:space="preserve">Finally, some studies have indicated that in jurisdictions where there is a heavy emphasis on cost disclosure for retail products, investors focus on the costs to the detriment of performance, </w:t>
      </w:r>
      <w:r w:rsidRPr="002F1C2C">
        <w:rPr>
          <w:rFonts w:cstheme="minorHAnsi"/>
          <w:sz w:val="20"/>
          <w:szCs w:val="20"/>
        </w:rPr>
        <w:t>i.e.,</w:t>
      </w:r>
      <w:r w:rsidRPr="000644FA">
        <w:rPr>
          <w:rFonts w:cstheme="minorHAnsi"/>
          <w:sz w:val="20"/>
          <w:szCs w:val="20"/>
        </w:rPr>
        <w:t xml:space="preserve"> they choose products with lower costs even when those products have lower net performance. To the extent that mandatory buy-in causes spreads to widen, and these implicit costs are captured and disclosed under the PRIIPs and MIFID II regulations, </w:t>
      </w:r>
      <w:r w:rsidRPr="002F1C2C">
        <w:rPr>
          <w:rFonts w:cstheme="minorHAnsi"/>
          <w:sz w:val="20"/>
          <w:szCs w:val="20"/>
        </w:rPr>
        <w:t xml:space="preserve">this could drive investment behaviour toward </w:t>
      </w:r>
      <w:r w:rsidR="00263DE1" w:rsidRPr="002F1C2C">
        <w:rPr>
          <w:rFonts w:cstheme="minorHAnsi"/>
          <w:sz w:val="20"/>
          <w:szCs w:val="20"/>
        </w:rPr>
        <w:t>a narrower and more concentrated set of investment strategies that might not be right for all investors’ objectives</w:t>
      </w:r>
      <w:r w:rsidR="00F45F47" w:rsidRPr="002F1C2C">
        <w:rPr>
          <w:rFonts w:cstheme="minorHAnsi"/>
          <w:sz w:val="20"/>
          <w:szCs w:val="20"/>
        </w:rPr>
        <w:t xml:space="preserve"> and lead to further concentration in large-cap instruments</w:t>
      </w:r>
      <w:r w:rsidR="00263DE1" w:rsidRPr="002F1C2C">
        <w:rPr>
          <w:rFonts w:cstheme="minorHAnsi"/>
          <w:sz w:val="20"/>
          <w:szCs w:val="20"/>
        </w:rPr>
        <w:t>.</w:t>
      </w:r>
    </w:p>
    <w:p w14:paraId="76E5E2F4" w14:textId="5B73D95B" w:rsidR="00263DE1" w:rsidRPr="002F1C2C" w:rsidRDefault="00263DE1" w:rsidP="00E71006">
      <w:pPr>
        <w:numPr>
          <w:ilvl w:val="0"/>
          <w:numId w:val="1"/>
        </w:numPr>
        <w:spacing w:after="0" w:line="240" w:lineRule="auto"/>
        <w:ind w:left="360"/>
        <w:jc w:val="both"/>
        <w:rPr>
          <w:rFonts w:cstheme="minorHAnsi"/>
          <w:sz w:val="20"/>
          <w:szCs w:val="20"/>
        </w:rPr>
      </w:pPr>
      <w:r w:rsidRPr="002F1C2C">
        <w:rPr>
          <w:rFonts w:cstheme="minorHAnsi"/>
          <w:sz w:val="20"/>
          <w:szCs w:val="20"/>
        </w:rPr>
        <w:t>Taken in aggregate, mandatory buy-in</w:t>
      </w:r>
      <w:r w:rsidR="00E0321E" w:rsidRPr="002F1C2C">
        <w:rPr>
          <w:rFonts w:cstheme="minorHAnsi"/>
          <w:sz w:val="20"/>
          <w:szCs w:val="20"/>
        </w:rPr>
        <w:t>s</w:t>
      </w:r>
      <w:r w:rsidRPr="002F1C2C">
        <w:rPr>
          <w:rFonts w:cstheme="minorHAnsi"/>
          <w:sz w:val="20"/>
          <w:szCs w:val="20"/>
        </w:rPr>
        <w:t xml:space="preserve"> </w:t>
      </w:r>
      <w:r w:rsidR="00B676F9" w:rsidRPr="002F1C2C">
        <w:rPr>
          <w:rFonts w:cstheme="minorHAnsi"/>
          <w:sz w:val="20"/>
          <w:szCs w:val="20"/>
        </w:rPr>
        <w:t xml:space="preserve">will not benefit </w:t>
      </w:r>
      <w:r w:rsidR="00F45F47" w:rsidRPr="002F1C2C">
        <w:rPr>
          <w:rFonts w:cstheme="minorHAnsi"/>
          <w:sz w:val="20"/>
          <w:szCs w:val="20"/>
        </w:rPr>
        <w:t xml:space="preserve">end investors </w:t>
      </w:r>
      <w:r w:rsidR="00B676F9" w:rsidRPr="002F1C2C">
        <w:rPr>
          <w:rFonts w:cstheme="minorHAnsi"/>
          <w:sz w:val="20"/>
          <w:szCs w:val="20"/>
        </w:rPr>
        <w:t xml:space="preserve">and </w:t>
      </w:r>
      <w:r w:rsidR="00656E7D" w:rsidRPr="002F1C2C">
        <w:rPr>
          <w:rFonts w:cstheme="minorHAnsi"/>
          <w:sz w:val="20"/>
          <w:szCs w:val="20"/>
        </w:rPr>
        <w:t xml:space="preserve">are </w:t>
      </w:r>
      <w:r w:rsidRPr="002F1C2C">
        <w:rPr>
          <w:rFonts w:cstheme="minorHAnsi"/>
          <w:sz w:val="20"/>
          <w:szCs w:val="20"/>
        </w:rPr>
        <w:t xml:space="preserve">likely to </w:t>
      </w:r>
      <w:r w:rsidR="00B676F9" w:rsidRPr="002F1C2C">
        <w:rPr>
          <w:rFonts w:cstheme="minorHAnsi"/>
          <w:sz w:val="20"/>
          <w:szCs w:val="20"/>
        </w:rPr>
        <w:t xml:space="preserve">lead to inefficient </w:t>
      </w:r>
      <w:r w:rsidRPr="002F1C2C">
        <w:rPr>
          <w:rFonts w:cstheme="minorHAnsi"/>
          <w:sz w:val="20"/>
          <w:szCs w:val="20"/>
        </w:rPr>
        <w:t xml:space="preserve">capital markets activity at precisely the time in which EU policymakers are </w:t>
      </w:r>
      <w:r w:rsidR="00E0321E" w:rsidRPr="002F1C2C">
        <w:rPr>
          <w:rFonts w:cstheme="minorHAnsi"/>
          <w:sz w:val="20"/>
          <w:szCs w:val="20"/>
        </w:rPr>
        <w:t xml:space="preserve">seeking to further support and </w:t>
      </w:r>
      <w:r w:rsidR="005856C4" w:rsidRPr="002F1C2C">
        <w:rPr>
          <w:rFonts w:cstheme="minorHAnsi"/>
          <w:sz w:val="20"/>
          <w:szCs w:val="20"/>
        </w:rPr>
        <w:t>integrate these markets</w:t>
      </w:r>
      <w:r w:rsidR="00E0321E" w:rsidRPr="002F1C2C">
        <w:rPr>
          <w:rFonts w:cstheme="minorHAnsi"/>
          <w:sz w:val="20"/>
          <w:szCs w:val="20"/>
        </w:rPr>
        <w:t xml:space="preserve"> via the</w:t>
      </w:r>
      <w:r w:rsidR="00B565A9" w:rsidRPr="002F1C2C">
        <w:rPr>
          <w:rFonts w:cstheme="minorHAnsi"/>
          <w:sz w:val="20"/>
          <w:szCs w:val="20"/>
        </w:rPr>
        <w:t xml:space="preserve"> CMU</w:t>
      </w:r>
      <w:r w:rsidRPr="002F1C2C">
        <w:rPr>
          <w:rFonts w:cstheme="minorHAnsi"/>
          <w:sz w:val="20"/>
          <w:szCs w:val="20"/>
        </w:rPr>
        <w:t>.</w:t>
      </w:r>
    </w:p>
    <w:p w14:paraId="6D3E925A" w14:textId="77777777" w:rsidR="00684610" w:rsidRPr="000644FA" w:rsidRDefault="00684610" w:rsidP="00E71006">
      <w:pPr>
        <w:spacing w:after="0" w:line="239" w:lineRule="auto"/>
        <w:ind w:left="-5"/>
        <w:jc w:val="both"/>
        <w:rPr>
          <w:rFonts w:cstheme="minorHAnsi"/>
          <w:sz w:val="20"/>
          <w:szCs w:val="20"/>
        </w:rPr>
      </w:pPr>
    </w:p>
    <w:p w14:paraId="14816A0E" w14:textId="4CD5C97C" w:rsidR="00684610" w:rsidRPr="000644FA" w:rsidRDefault="00A9681D" w:rsidP="00E71006">
      <w:pPr>
        <w:autoSpaceDE w:val="0"/>
        <w:autoSpaceDN w:val="0"/>
        <w:adjustRightInd w:val="0"/>
        <w:spacing w:after="0" w:line="240" w:lineRule="auto"/>
        <w:contextualSpacing/>
        <w:jc w:val="both"/>
        <w:rPr>
          <w:rFonts w:cstheme="minorHAnsi"/>
          <w:b/>
          <w:bCs/>
          <w:i/>
          <w:iCs/>
          <w:sz w:val="20"/>
          <w:szCs w:val="20"/>
          <w:u w:val="single"/>
        </w:rPr>
      </w:pPr>
      <w:bookmarkStart w:id="4" w:name="_Hlk63158851"/>
      <w:r w:rsidRPr="000644FA">
        <w:rPr>
          <w:rFonts w:cstheme="minorHAnsi"/>
          <w:b/>
          <w:bCs/>
          <w:i/>
          <w:iCs/>
          <w:sz w:val="20"/>
          <w:szCs w:val="20"/>
          <w:u w:val="single"/>
        </w:rPr>
        <w:t>The mandatory b</w:t>
      </w:r>
      <w:r w:rsidR="00684610" w:rsidRPr="000644FA">
        <w:rPr>
          <w:rFonts w:cstheme="minorHAnsi"/>
          <w:b/>
          <w:bCs/>
          <w:i/>
          <w:iCs/>
          <w:sz w:val="20"/>
          <w:szCs w:val="20"/>
          <w:u w:val="single"/>
        </w:rPr>
        <w:t>uy-in</w:t>
      </w:r>
      <w:r w:rsidRPr="000644FA">
        <w:rPr>
          <w:rFonts w:cstheme="minorHAnsi"/>
          <w:b/>
          <w:bCs/>
          <w:i/>
          <w:iCs/>
          <w:sz w:val="20"/>
          <w:szCs w:val="20"/>
          <w:u w:val="single"/>
        </w:rPr>
        <w:t xml:space="preserve"> regime</w:t>
      </w:r>
      <w:r w:rsidR="00684610" w:rsidRPr="000644FA">
        <w:rPr>
          <w:rFonts w:cstheme="minorHAnsi"/>
          <w:b/>
          <w:bCs/>
          <w:i/>
          <w:iCs/>
          <w:sz w:val="20"/>
          <w:szCs w:val="20"/>
          <w:u w:val="single"/>
        </w:rPr>
        <w:t xml:space="preserve"> should be </w:t>
      </w:r>
      <w:r w:rsidRPr="000644FA">
        <w:rPr>
          <w:rFonts w:cstheme="minorHAnsi"/>
          <w:b/>
          <w:bCs/>
          <w:i/>
          <w:iCs/>
          <w:sz w:val="20"/>
          <w:szCs w:val="20"/>
          <w:u w:val="single"/>
        </w:rPr>
        <w:t xml:space="preserve">replaced by a </w:t>
      </w:r>
      <w:r w:rsidR="00DC6BCA" w:rsidRPr="000644FA">
        <w:rPr>
          <w:rFonts w:cstheme="minorHAnsi"/>
          <w:b/>
          <w:bCs/>
          <w:i/>
          <w:iCs/>
          <w:sz w:val="20"/>
          <w:szCs w:val="20"/>
          <w:u w:val="single"/>
        </w:rPr>
        <w:t xml:space="preserve">discretionary </w:t>
      </w:r>
      <w:r w:rsidRPr="000644FA">
        <w:rPr>
          <w:rFonts w:cstheme="minorHAnsi"/>
          <w:b/>
          <w:bCs/>
          <w:i/>
          <w:iCs/>
          <w:sz w:val="20"/>
          <w:szCs w:val="20"/>
          <w:u w:val="single"/>
        </w:rPr>
        <w:t>regime</w:t>
      </w:r>
    </w:p>
    <w:bookmarkEnd w:id="4"/>
    <w:p w14:paraId="43CE492B" w14:textId="77777777" w:rsidR="00684610" w:rsidRPr="000644FA" w:rsidRDefault="00684610" w:rsidP="00E71006">
      <w:pPr>
        <w:autoSpaceDE w:val="0"/>
        <w:autoSpaceDN w:val="0"/>
        <w:adjustRightInd w:val="0"/>
        <w:spacing w:after="0" w:line="240" w:lineRule="auto"/>
        <w:contextualSpacing/>
        <w:jc w:val="both"/>
        <w:rPr>
          <w:rFonts w:cstheme="minorHAnsi"/>
          <w:sz w:val="20"/>
          <w:szCs w:val="20"/>
        </w:rPr>
      </w:pPr>
    </w:p>
    <w:p w14:paraId="25762B03" w14:textId="7200A289" w:rsidR="00882DB9" w:rsidRPr="002D31B1" w:rsidRDefault="00C96FC8" w:rsidP="00E71006">
      <w:pPr>
        <w:spacing w:after="0" w:line="239" w:lineRule="auto"/>
        <w:ind w:left="-5"/>
        <w:jc w:val="both"/>
        <w:rPr>
          <w:rFonts w:cstheme="minorHAnsi"/>
          <w:sz w:val="20"/>
          <w:szCs w:val="20"/>
        </w:rPr>
      </w:pPr>
      <w:r w:rsidRPr="002D31B1">
        <w:rPr>
          <w:rFonts w:cstheme="minorHAnsi"/>
          <w:sz w:val="20"/>
          <w:szCs w:val="20"/>
        </w:rPr>
        <w:t xml:space="preserve">For the above reasons, </w:t>
      </w:r>
      <w:r w:rsidR="00DA4783">
        <w:rPr>
          <w:rFonts w:cstheme="minorHAnsi"/>
          <w:sz w:val="20"/>
          <w:szCs w:val="20"/>
        </w:rPr>
        <w:t>we</w:t>
      </w:r>
      <w:r w:rsidRPr="002D31B1">
        <w:rPr>
          <w:rFonts w:cstheme="minorHAnsi"/>
          <w:sz w:val="20"/>
          <w:szCs w:val="20"/>
        </w:rPr>
        <w:t xml:space="preserve"> strongly believe that policy</w:t>
      </w:r>
      <w:r w:rsidR="00247B83" w:rsidRPr="002D31B1">
        <w:rPr>
          <w:rFonts w:cstheme="minorHAnsi"/>
          <w:sz w:val="20"/>
          <w:szCs w:val="20"/>
        </w:rPr>
        <w:t xml:space="preserve"> </w:t>
      </w:r>
      <w:r w:rsidRPr="002D31B1">
        <w:rPr>
          <w:rFonts w:cstheme="minorHAnsi"/>
          <w:sz w:val="20"/>
          <w:szCs w:val="20"/>
        </w:rPr>
        <w:t xml:space="preserve">makers should remove the mandatory buy-in </w:t>
      </w:r>
      <w:r w:rsidR="00247B83" w:rsidRPr="002D31B1">
        <w:rPr>
          <w:rFonts w:cstheme="minorHAnsi"/>
          <w:sz w:val="20"/>
          <w:szCs w:val="20"/>
        </w:rPr>
        <w:t>regime under CSDR</w:t>
      </w:r>
      <w:r w:rsidR="00F45F47" w:rsidRPr="002D31B1">
        <w:rPr>
          <w:rFonts w:cstheme="minorHAnsi"/>
          <w:sz w:val="20"/>
          <w:szCs w:val="20"/>
        </w:rPr>
        <w:t xml:space="preserve"> for non CCP cleared transactions</w:t>
      </w:r>
      <w:r w:rsidR="00B05063" w:rsidRPr="002D31B1">
        <w:rPr>
          <w:rFonts w:cstheme="minorHAnsi"/>
          <w:sz w:val="20"/>
          <w:szCs w:val="20"/>
        </w:rPr>
        <w:t xml:space="preserve">. </w:t>
      </w:r>
      <w:r w:rsidR="00882DB9" w:rsidRPr="002D31B1">
        <w:rPr>
          <w:rFonts w:cstheme="minorHAnsi"/>
          <w:sz w:val="20"/>
          <w:szCs w:val="20"/>
        </w:rPr>
        <w:t xml:space="preserve">Under a </w:t>
      </w:r>
      <w:r w:rsidR="00A05464" w:rsidRPr="002D31B1">
        <w:rPr>
          <w:rFonts w:cstheme="minorHAnsi"/>
          <w:sz w:val="20"/>
          <w:szCs w:val="20"/>
        </w:rPr>
        <w:t xml:space="preserve">blanket </w:t>
      </w:r>
      <w:r w:rsidR="00882DB9" w:rsidRPr="002D31B1">
        <w:rPr>
          <w:rFonts w:cstheme="minorHAnsi"/>
          <w:sz w:val="20"/>
          <w:szCs w:val="20"/>
        </w:rPr>
        <w:t xml:space="preserve">mandatory regime, the buyer would be forced to initiate a buy-in even when </w:t>
      </w:r>
      <w:r w:rsidR="00247B83" w:rsidRPr="002D31B1">
        <w:rPr>
          <w:rFonts w:cstheme="minorHAnsi"/>
          <w:sz w:val="20"/>
          <w:szCs w:val="20"/>
        </w:rPr>
        <w:t xml:space="preserve">it is against </w:t>
      </w:r>
      <w:r w:rsidR="00A05464" w:rsidRPr="002D31B1">
        <w:rPr>
          <w:rFonts w:cstheme="minorHAnsi"/>
          <w:sz w:val="20"/>
          <w:szCs w:val="20"/>
        </w:rPr>
        <w:t>their</w:t>
      </w:r>
      <w:r w:rsidR="00A9681D" w:rsidRPr="002D31B1">
        <w:rPr>
          <w:rFonts w:cstheme="minorHAnsi"/>
          <w:sz w:val="20"/>
          <w:szCs w:val="20"/>
        </w:rPr>
        <w:t xml:space="preserve"> </w:t>
      </w:r>
      <w:r w:rsidR="00247B83" w:rsidRPr="002D31B1">
        <w:rPr>
          <w:rFonts w:cstheme="minorHAnsi"/>
          <w:sz w:val="20"/>
          <w:szCs w:val="20"/>
        </w:rPr>
        <w:t xml:space="preserve">economic interest </w:t>
      </w:r>
      <w:r w:rsidR="00882DB9" w:rsidRPr="002D31B1">
        <w:rPr>
          <w:rFonts w:cstheme="minorHAnsi"/>
          <w:sz w:val="20"/>
          <w:szCs w:val="20"/>
        </w:rPr>
        <w:t>and the market maker w</w:t>
      </w:r>
      <w:r w:rsidR="00A05464" w:rsidRPr="002D31B1">
        <w:rPr>
          <w:rFonts w:cstheme="minorHAnsi"/>
          <w:sz w:val="20"/>
          <w:szCs w:val="20"/>
        </w:rPr>
        <w:t xml:space="preserve">ould </w:t>
      </w:r>
      <w:r w:rsidR="00882DB9" w:rsidRPr="002D31B1">
        <w:rPr>
          <w:rFonts w:cstheme="minorHAnsi"/>
          <w:sz w:val="20"/>
          <w:szCs w:val="20"/>
        </w:rPr>
        <w:t>be forced to price in a possible buy-in</w:t>
      </w:r>
      <w:r w:rsidR="00E0321E" w:rsidRPr="002D31B1">
        <w:rPr>
          <w:rFonts w:cstheme="minorHAnsi"/>
          <w:sz w:val="20"/>
          <w:szCs w:val="20"/>
        </w:rPr>
        <w:t>,</w:t>
      </w:r>
      <w:r w:rsidR="00882DB9" w:rsidRPr="002D31B1">
        <w:rPr>
          <w:rFonts w:cstheme="minorHAnsi"/>
          <w:sz w:val="20"/>
          <w:szCs w:val="20"/>
        </w:rPr>
        <w:t xml:space="preserve"> </w:t>
      </w:r>
      <w:r w:rsidR="00E0321E" w:rsidRPr="002D31B1">
        <w:rPr>
          <w:rFonts w:cstheme="minorHAnsi"/>
          <w:sz w:val="20"/>
          <w:szCs w:val="20"/>
        </w:rPr>
        <w:t xml:space="preserve"> increasing the costs associated with the transaction.</w:t>
      </w:r>
      <w:r w:rsidR="00DC6BCA" w:rsidRPr="002D31B1">
        <w:rPr>
          <w:rFonts w:cstheme="minorHAnsi"/>
          <w:sz w:val="20"/>
          <w:szCs w:val="20"/>
        </w:rPr>
        <w:t xml:space="preserve"> In addition</w:t>
      </w:r>
      <w:r w:rsidR="00882DB9" w:rsidRPr="002D31B1">
        <w:rPr>
          <w:rFonts w:cstheme="minorHAnsi"/>
          <w:sz w:val="20"/>
          <w:szCs w:val="20"/>
        </w:rPr>
        <w:t xml:space="preserve">, if the securities cannot be sourced by the buy-in agent, the original transaction </w:t>
      </w:r>
      <w:r w:rsidR="00432236" w:rsidRPr="002D31B1">
        <w:rPr>
          <w:rFonts w:cstheme="minorHAnsi"/>
          <w:sz w:val="20"/>
          <w:szCs w:val="20"/>
        </w:rPr>
        <w:t>will be</w:t>
      </w:r>
      <w:r w:rsidR="00882DB9" w:rsidRPr="002D31B1">
        <w:rPr>
          <w:rFonts w:cstheme="minorHAnsi"/>
          <w:sz w:val="20"/>
          <w:szCs w:val="20"/>
        </w:rPr>
        <w:t xml:space="preserve"> replaced by a cash </w:t>
      </w:r>
      <w:r w:rsidR="00F45F47" w:rsidRPr="002D31B1">
        <w:rPr>
          <w:rFonts w:cstheme="minorHAnsi"/>
          <w:sz w:val="20"/>
          <w:szCs w:val="20"/>
        </w:rPr>
        <w:t>compensation</w:t>
      </w:r>
      <w:r w:rsidR="00882DB9" w:rsidRPr="002D31B1">
        <w:rPr>
          <w:rFonts w:cstheme="minorHAnsi"/>
          <w:sz w:val="20"/>
          <w:szCs w:val="20"/>
        </w:rPr>
        <w:t xml:space="preserve">, </w:t>
      </w:r>
      <w:r w:rsidR="00F45F47" w:rsidRPr="002D31B1">
        <w:rPr>
          <w:rFonts w:cstheme="minorHAnsi"/>
          <w:sz w:val="20"/>
          <w:szCs w:val="20"/>
        </w:rPr>
        <w:t>which do</w:t>
      </w:r>
      <w:r w:rsidR="00E0321E" w:rsidRPr="002D31B1">
        <w:rPr>
          <w:rFonts w:cstheme="minorHAnsi"/>
          <w:sz w:val="20"/>
          <w:szCs w:val="20"/>
        </w:rPr>
        <w:t>es</w:t>
      </w:r>
      <w:r w:rsidR="00F45F47" w:rsidRPr="002D31B1">
        <w:rPr>
          <w:rFonts w:cstheme="minorHAnsi"/>
          <w:sz w:val="20"/>
          <w:szCs w:val="20"/>
        </w:rPr>
        <w:t xml:space="preserve"> not allow the buyer to </w:t>
      </w:r>
      <w:r w:rsidR="00E0321E" w:rsidRPr="002D31B1">
        <w:rPr>
          <w:rFonts w:cstheme="minorHAnsi"/>
          <w:sz w:val="20"/>
          <w:szCs w:val="20"/>
        </w:rPr>
        <w:t xml:space="preserve">meet </w:t>
      </w:r>
      <w:r w:rsidR="002678EA" w:rsidRPr="002D31B1">
        <w:rPr>
          <w:rFonts w:cstheme="minorHAnsi"/>
          <w:sz w:val="20"/>
          <w:szCs w:val="20"/>
        </w:rPr>
        <w:t>its</w:t>
      </w:r>
      <w:r w:rsidR="00E0321E" w:rsidRPr="002D31B1">
        <w:rPr>
          <w:rFonts w:cstheme="minorHAnsi"/>
          <w:sz w:val="20"/>
          <w:szCs w:val="20"/>
        </w:rPr>
        <w:t xml:space="preserve"> </w:t>
      </w:r>
      <w:r w:rsidR="00F45F47" w:rsidRPr="002D31B1">
        <w:rPr>
          <w:rFonts w:cstheme="minorHAnsi"/>
          <w:sz w:val="20"/>
          <w:szCs w:val="20"/>
        </w:rPr>
        <w:t xml:space="preserve">investment objectives as </w:t>
      </w:r>
      <w:r w:rsidR="002678EA" w:rsidRPr="002D31B1">
        <w:rPr>
          <w:rFonts w:cstheme="minorHAnsi"/>
          <w:sz w:val="20"/>
          <w:szCs w:val="20"/>
        </w:rPr>
        <w:t>it</w:t>
      </w:r>
      <w:r w:rsidR="00E87B40" w:rsidRPr="002D31B1">
        <w:rPr>
          <w:rFonts w:cstheme="minorHAnsi"/>
          <w:sz w:val="20"/>
          <w:szCs w:val="20"/>
        </w:rPr>
        <w:t xml:space="preserve"> </w:t>
      </w:r>
      <w:r w:rsidR="00F45F47" w:rsidRPr="002D31B1">
        <w:rPr>
          <w:rFonts w:cstheme="minorHAnsi"/>
          <w:sz w:val="20"/>
          <w:szCs w:val="20"/>
        </w:rPr>
        <w:t>will not</w:t>
      </w:r>
      <w:r w:rsidR="00882DB9" w:rsidRPr="002D31B1">
        <w:rPr>
          <w:rFonts w:cstheme="minorHAnsi"/>
          <w:sz w:val="20"/>
          <w:szCs w:val="20"/>
        </w:rPr>
        <w:t xml:space="preserve"> receive the contractually agreed securities. The </w:t>
      </w:r>
      <w:r w:rsidR="00247B83" w:rsidRPr="002D31B1">
        <w:rPr>
          <w:rFonts w:cstheme="minorHAnsi"/>
          <w:sz w:val="20"/>
          <w:szCs w:val="20"/>
        </w:rPr>
        <w:t>buyer</w:t>
      </w:r>
      <w:r w:rsidR="00882DB9" w:rsidRPr="002D31B1">
        <w:rPr>
          <w:rFonts w:cstheme="minorHAnsi"/>
          <w:sz w:val="20"/>
          <w:szCs w:val="20"/>
        </w:rPr>
        <w:t xml:space="preserve"> may wish to allow the seller additional time to make </w:t>
      </w:r>
      <w:r w:rsidR="00432236" w:rsidRPr="002D31B1">
        <w:rPr>
          <w:rFonts w:cstheme="minorHAnsi"/>
          <w:sz w:val="20"/>
          <w:szCs w:val="20"/>
        </w:rPr>
        <w:t xml:space="preserve">the </w:t>
      </w:r>
      <w:r w:rsidR="00882DB9" w:rsidRPr="002D31B1">
        <w:rPr>
          <w:rFonts w:cstheme="minorHAnsi"/>
          <w:sz w:val="20"/>
          <w:szCs w:val="20"/>
        </w:rPr>
        <w:t xml:space="preserve">delivery, rather than accept cash compensation which </w:t>
      </w:r>
      <w:r w:rsidR="00E0321E" w:rsidRPr="002D31B1">
        <w:rPr>
          <w:rFonts w:cstheme="minorHAnsi"/>
          <w:sz w:val="20"/>
          <w:szCs w:val="20"/>
        </w:rPr>
        <w:t xml:space="preserve">does not contribute to the overall </w:t>
      </w:r>
      <w:r w:rsidR="00882DB9" w:rsidRPr="002D31B1">
        <w:rPr>
          <w:rFonts w:cstheme="minorHAnsi"/>
          <w:sz w:val="20"/>
          <w:szCs w:val="20"/>
        </w:rPr>
        <w:t>investment objective.</w:t>
      </w:r>
    </w:p>
    <w:p w14:paraId="20F707A0" w14:textId="77777777" w:rsidR="00882DB9" w:rsidRPr="002D31B1" w:rsidRDefault="00882DB9" w:rsidP="00E71006">
      <w:pPr>
        <w:spacing w:after="0" w:line="239" w:lineRule="auto"/>
        <w:ind w:left="-5"/>
        <w:jc w:val="both"/>
        <w:rPr>
          <w:rFonts w:cstheme="minorHAnsi"/>
          <w:sz w:val="20"/>
          <w:szCs w:val="20"/>
        </w:rPr>
      </w:pPr>
    </w:p>
    <w:p w14:paraId="5153C8E3" w14:textId="5279F30D" w:rsidR="00432236" w:rsidRPr="002D31B1" w:rsidRDefault="00DA4783" w:rsidP="00E71006">
      <w:pPr>
        <w:spacing w:after="0" w:line="239" w:lineRule="auto"/>
        <w:ind w:left="-5"/>
        <w:jc w:val="both"/>
        <w:rPr>
          <w:rFonts w:cstheme="minorHAnsi"/>
          <w:sz w:val="20"/>
          <w:szCs w:val="20"/>
        </w:rPr>
      </w:pPr>
      <w:bookmarkStart w:id="5" w:name="_Hlk63158837"/>
      <w:r>
        <w:rPr>
          <w:rFonts w:cstheme="minorHAnsi"/>
          <w:sz w:val="20"/>
          <w:szCs w:val="20"/>
        </w:rPr>
        <w:t>We</w:t>
      </w:r>
      <w:r w:rsidR="00882DB9" w:rsidRPr="002D31B1">
        <w:rPr>
          <w:rFonts w:cstheme="minorHAnsi"/>
          <w:sz w:val="20"/>
          <w:szCs w:val="20"/>
        </w:rPr>
        <w:t xml:space="preserve"> </w:t>
      </w:r>
      <w:r w:rsidR="00247B83" w:rsidRPr="002D31B1">
        <w:rPr>
          <w:rFonts w:cstheme="minorHAnsi"/>
          <w:sz w:val="20"/>
          <w:szCs w:val="20"/>
        </w:rPr>
        <w:t xml:space="preserve">therefore </w:t>
      </w:r>
      <w:r w:rsidR="00882DB9" w:rsidRPr="002D31B1">
        <w:rPr>
          <w:rFonts w:cstheme="minorHAnsi"/>
          <w:sz w:val="20"/>
          <w:szCs w:val="20"/>
        </w:rPr>
        <w:t>strongly believe that t</w:t>
      </w:r>
      <w:r w:rsidR="00B05063" w:rsidRPr="002D31B1">
        <w:rPr>
          <w:rFonts w:cstheme="minorHAnsi"/>
          <w:sz w:val="20"/>
          <w:szCs w:val="20"/>
        </w:rPr>
        <w:t xml:space="preserve">he mandatory buy-in regime should be replaced by a </w:t>
      </w:r>
      <w:r w:rsidR="00021BDD" w:rsidRPr="002D31B1">
        <w:rPr>
          <w:rFonts w:cstheme="minorHAnsi"/>
          <w:sz w:val="20"/>
          <w:szCs w:val="20"/>
        </w:rPr>
        <w:t xml:space="preserve">discretionary </w:t>
      </w:r>
      <w:r w:rsidR="00945A51" w:rsidRPr="002D31B1">
        <w:rPr>
          <w:rFonts w:cstheme="minorHAnsi"/>
          <w:sz w:val="20"/>
          <w:szCs w:val="20"/>
        </w:rPr>
        <w:t>buy-in</w:t>
      </w:r>
      <w:r w:rsidR="00B05063" w:rsidRPr="002D31B1">
        <w:rPr>
          <w:rFonts w:cstheme="minorHAnsi"/>
          <w:sz w:val="20"/>
          <w:szCs w:val="20"/>
        </w:rPr>
        <w:t xml:space="preserve"> regime</w:t>
      </w:r>
      <w:r w:rsidR="00945A51" w:rsidRPr="002D31B1">
        <w:rPr>
          <w:rFonts w:cstheme="minorHAnsi"/>
          <w:sz w:val="20"/>
          <w:szCs w:val="20"/>
        </w:rPr>
        <w:t xml:space="preserve"> </w:t>
      </w:r>
      <w:r w:rsidR="00021BDD" w:rsidRPr="002D31B1">
        <w:rPr>
          <w:rFonts w:cstheme="minorHAnsi"/>
          <w:sz w:val="20"/>
          <w:szCs w:val="20"/>
        </w:rPr>
        <w:t xml:space="preserve">- </w:t>
      </w:r>
      <w:r w:rsidR="00945A51" w:rsidRPr="002D31B1">
        <w:rPr>
          <w:rFonts w:cstheme="minorHAnsi"/>
          <w:sz w:val="20"/>
          <w:szCs w:val="20"/>
        </w:rPr>
        <w:t>at the discretion</w:t>
      </w:r>
      <w:r w:rsidR="00B05063" w:rsidRPr="002D31B1">
        <w:rPr>
          <w:rFonts w:cstheme="minorHAnsi"/>
          <w:sz w:val="20"/>
          <w:szCs w:val="20"/>
        </w:rPr>
        <w:t xml:space="preserve"> of the </w:t>
      </w:r>
      <w:r w:rsidR="00247B83" w:rsidRPr="002D31B1">
        <w:rPr>
          <w:rFonts w:cstheme="minorHAnsi"/>
          <w:sz w:val="20"/>
          <w:szCs w:val="20"/>
        </w:rPr>
        <w:t>buyer</w:t>
      </w:r>
      <w:r w:rsidR="00945A51" w:rsidRPr="002D31B1">
        <w:rPr>
          <w:rFonts w:cstheme="minorHAnsi"/>
          <w:sz w:val="20"/>
          <w:szCs w:val="20"/>
        </w:rPr>
        <w:t xml:space="preserve">. </w:t>
      </w:r>
      <w:r w:rsidR="000B5F23" w:rsidRPr="002D31B1">
        <w:rPr>
          <w:rFonts w:cstheme="minorHAnsi"/>
          <w:sz w:val="20"/>
          <w:szCs w:val="20"/>
        </w:rPr>
        <w:t xml:space="preserve">Moving to a </w:t>
      </w:r>
      <w:r w:rsidR="006042F6" w:rsidRPr="002D31B1">
        <w:rPr>
          <w:rFonts w:cstheme="minorHAnsi"/>
          <w:sz w:val="20"/>
          <w:szCs w:val="20"/>
        </w:rPr>
        <w:t>discretionary</w:t>
      </w:r>
      <w:r w:rsidR="000B5F23" w:rsidRPr="002D31B1">
        <w:rPr>
          <w:rFonts w:cstheme="minorHAnsi"/>
          <w:sz w:val="20"/>
          <w:szCs w:val="20"/>
        </w:rPr>
        <w:t xml:space="preserve"> regime would provide the buyer </w:t>
      </w:r>
      <w:r w:rsidR="000B5F23" w:rsidRPr="002D31B1">
        <w:rPr>
          <w:rFonts w:cstheme="minorHAnsi"/>
          <w:sz w:val="20"/>
          <w:szCs w:val="20"/>
          <w:shd w:val="clear" w:color="auto" w:fill="FFFFFF" w:themeFill="background1"/>
        </w:rPr>
        <w:t xml:space="preserve">with more flexibility to decide whether </w:t>
      </w:r>
      <w:r w:rsidR="0011330E" w:rsidRPr="002D31B1">
        <w:rPr>
          <w:rFonts w:cstheme="minorHAnsi"/>
          <w:sz w:val="20"/>
          <w:szCs w:val="20"/>
          <w:shd w:val="clear" w:color="auto" w:fill="FFFFFF" w:themeFill="background1"/>
        </w:rPr>
        <w:t xml:space="preserve">or not </w:t>
      </w:r>
      <w:r w:rsidR="00474D77" w:rsidRPr="002D31B1">
        <w:rPr>
          <w:rFonts w:cstheme="minorHAnsi"/>
          <w:sz w:val="20"/>
          <w:szCs w:val="20"/>
          <w:shd w:val="clear" w:color="auto" w:fill="FFFFFF" w:themeFill="background1"/>
        </w:rPr>
        <w:t xml:space="preserve">to initiate a buy-in based on market conditions and the market </w:t>
      </w:r>
      <w:r w:rsidR="00A05464" w:rsidRPr="002D31B1">
        <w:rPr>
          <w:rFonts w:cstheme="minorHAnsi"/>
          <w:sz w:val="20"/>
          <w:szCs w:val="20"/>
          <w:shd w:val="clear" w:color="auto" w:fill="FFFFFF" w:themeFill="background1"/>
        </w:rPr>
        <w:t xml:space="preserve">they are </w:t>
      </w:r>
      <w:r w:rsidR="00474D77" w:rsidRPr="002D31B1">
        <w:rPr>
          <w:rFonts w:cstheme="minorHAnsi"/>
          <w:sz w:val="20"/>
          <w:szCs w:val="20"/>
          <w:shd w:val="clear" w:color="auto" w:fill="FFFFFF" w:themeFill="background1"/>
        </w:rPr>
        <w:t xml:space="preserve">operating in. </w:t>
      </w:r>
      <w:bookmarkStart w:id="6" w:name="_Hlk62629883"/>
      <w:r w:rsidR="00882DB9" w:rsidRPr="002D31B1">
        <w:rPr>
          <w:rFonts w:cstheme="minorHAnsi"/>
          <w:sz w:val="20"/>
          <w:szCs w:val="20"/>
          <w:shd w:val="clear" w:color="auto" w:fill="FFFFFF" w:themeFill="background1"/>
        </w:rPr>
        <w:t xml:space="preserve">Allowing the </w:t>
      </w:r>
      <w:r w:rsidR="00247B83" w:rsidRPr="002D31B1">
        <w:rPr>
          <w:rFonts w:cstheme="minorHAnsi"/>
          <w:sz w:val="20"/>
          <w:szCs w:val="20"/>
          <w:shd w:val="clear" w:color="auto" w:fill="FFFFFF" w:themeFill="background1"/>
        </w:rPr>
        <w:t>buyer</w:t>
      </w:r>
      <w:r w:rsidR="00882DB9" w:rsidRPr="002D31B1">
        <w:rPr>
          <w:rFonts w:cstheme="minorHAnsi"/>
          <w:sz w:val="20"/>
          <w:szCs w:val="20"/>
          <w:shd w:val="clear" w:color="auto" w:fill="FFFFFF" w:themeFill="background1"/>
        </w:rPr>
        <w:t xml:space="preserve"> discretion to initiate a buy-in when it is commercially and economically rational to do so would </w:t>
      </w:r>
      <w:r w:rsidR="00A05464" w:rsidRPr="002D31B1">
        <w:rPr>
          <w:rFonts w:cstheme="minorHAnsi"/>
          <w:sz w:val="20"/>
          <w:szCs w:val="20"/>
          <w:shd w:val="clear" w:color="auto" w:fill="FFFFFF" w:themeFill="background1"/>
        </w:rPr>
        <w:t xml:space="preserve">mitigate </w:t>
      </w:r>
      <w:r w:rsidR="00882DB9" w:rsidRPr="002D31B1">
        <w:rPr>
          <w:rFonts w:cstheme="minorHAnsi"/>
          <w:sz w:val="20"/>
          <w:szCs w:val="20"/>
          <w:shd w:val="clear" w:color="auto" w:fill="FFFFFF" w:themeFill="background1"/>
        </w:rPr>
        <w:t xml:space="preserve">the </w:t>
      </w:r>
      <w:r w:rsidR="00A9681D" w:rsidRPr="002D31B1">
        <w:rPr>
          <w:rFonts w:cstheme="minorHAnsi"/>
          <w:sz w:val="20"/>
          <w:szCs w:val="20"/>
          <w:shd w:val="clear" w:color="auto" w:fill="FFFFFF" w:themeFill="background1"/>
        </w:rPr>
        <w:t xml:space="preserve">negative </w:t>
      </w:r>
      <w:r w:rsidR="00882DB9" w:rsidRPr="002D31B1">
        <w:rPr>
          <w:rFonts w:cstheme="minorHAnsi"/>
          <w:sz w:val="20"/>
          <w:szCs w:val="20"/>
          <w:shd w:val="clear" w:color="auto" w:fill="FFFFFF" w:themeFill="background1"/>
        </w:rPr>
        <w:t>impact on pricing and liquidity.</w:t>
      </w:r>
      <w:bookmarkEnd w:id="6"/>
      <w:r w:rsidR="00882DB9" w:rsidRPr="002D31B1">
        <w:rPr>
          <w:rFonts w:cstheme="minorHAnsi"/>
          <w:sz w:val="20"/>
          <w:szCs w:val="20"/>
          <w:shd w:val="clear" w:color="auto" w:fill="FFFFFF" w:themeFill="background1"/>
        </w:rPr>
        <w:t xml:space="preserve"> This will also make the regime more consistent as </w:t>
      </w:r>
      <w:r w:rsidR="006042F6" w:rsidRPr="002D31B1">
        <w:rPr>
          <w:rFonts w:cstheme="minorHAnsi"/>
          <w:sz w:val="20"/>
          <w:szCs w:val="20"/>
          <w:shd w:val="clear" w:color="auto" w:fill="FFFFFF" w:themeFill="background1"/>
        </w:rPr>
        <w:t>discretionary</w:t>
      </w:r>
      <w:r w:rsidR="00882DB9" w:rsidRPr="002D31B1">
        <w:rPr>
          <w:rFonts w:cstheme="minorHAnsi"/>
          <w:sz w:val="20"/>
          <w:szCs w:val="20"/>
          <w:shd w:val="clear" w:color="auto" w:fill="FFFFFF" w:themeFill="background1"/>
        </w:rPr>
        <w:t xml:space="preserve"> buy-ins </w:t>
      </w:r>
      <w:r w:rsidR="00F45F47" w:rsidRPr="002D31B1">
        <w:rPr>
          <w:rFonts w:cstheme="minorHAnsi"/>
          <w:sz w:val="20"/>
          <w:szCs w:val="20"/>
          <w:shd w:val="clear" w:color="auto" w:fill="FFFFFF" w:themeFill="background1"/>
        </w:rPr>
        <w:t>c</w:t>
      </w:r>
      <w:r w:rsidR="00882DB9" w:rsidRPr="002D31B1">
        <w:rPr>
          <w:rFonts w:cstheme="minorHAnsi"/>
          <w:sz w:val="20"/>
          <w:szCs w:val="20"/>
          <w:shd w:val="clear" w:color="auto" w:fill="FFFFFF" w:themeFill="background1"/>
        </w:rPr>
        <w:t>ould</w:t>
      </w:r>
      <w:r w:rsidR="00247B83" w:rsidRPr="002D31B1">
        <w:rPr>
          <w:rFonts w:cstheme="minorHAnsi"/>
          <w:sz w:val="20"/>
          <w:szCs w:val="20"/>
          <w:shd w:val="clear" w:color="auto" w:fill="FFFFFF" w:themeFill="background1"/>
        </w:rPr>
        <w:t xml:space="preserve"> </w:t>
      </w:r>
      <w:r w:rsidR="00882DB9" w:rsidRPr="002D31B1">
        <w:rPr>
          <w:rFonts w:cstheme="minorHAnsi"/>
          <w:sz w:val="20"/>
          <w:szCs w:val="20"/>
          <w:shd w:val="clear" w:color="auto" w:fill="FFFFFF" w:themeFill="background1"/>
        </w:rPr>
        <w:t>apply to all financial instruments</w:t>
      </w:r>
      <w:r w:rsidR="00F45F47" w:rsidRPr="002D31B1">
        <w:rPr>
          <w:rFonts w:cstheme="minorHAnsi"/>
          <w:sz w:val="20"/>
          <w:szCs w:val="20"/>
          <w:shd w:val="clear" w:color="auto" w:fill="FFFFFF" w:themeFill="background1"/>
        </w:rPr>
        <w:t>,</w:t>
      </w:r>
      <w:r w:rsidR="00DC6BCA" w:rsidRPr="002D31B1">
        <w:rPr>
          <w:rFonts w:cstheme="minorHAnsi"/>
          <w:sz w:val="20"/>
          <w:szCs w:val="20"/>
          <w:shd w:val="clear" w:color="auto" w:fill="FFFFFF" w:themeFill="background1"/>
        </w:rPr>
        <w:t xml:space="preserve"> </w:t>
      </w:r>
      <w:r w:rsidR="00432236" w:rsidRPr="002D31B1">
        <w:rPr>
          <w:rFonts w:cstheme="minorHAnsi"/>
          <w:sz w:val="20"/>
          <w:szCs w:val="20"/>
          <w:shd w:val="clear" w:color="auto" w:fill="FFFFFF" w:themeFill="background1"/>
        </w:rPr>
        <w:t xml:space="preserve">avoid the need </w:t>
      </w:r>
      <w:r w:rsidR="0011330E" w:rsidRPr="002D31B1">
        <w:rPr>
          <w:rFonts w:cstheme="minorHAnsi"/>
          <w:sz w:val="20"/>
          <w:szCs w:val="20"/>
          <w:shd w:val="clear" w:color="auto" w:fill="FFFFFF" w:themeFill="background1"/>
        </w:rPr>
        <w:t>for carve-outs</w:t>
      </w:r>
      <w:r w:rsidR="00432236" w:rsidRPr="002D31B1">
        <w:rPr>
          <w:rFonts w:cstheme="minorHAnsi"/>
          <w:sz w:val="20"/>
          <w:szCs w:val="20"/>
          <w:shd w:val="clear" w:color="auto" w:fill="FFFFFF" w:themeFill="background1"/>
        </w:rPr>
        <w:t xml:space="preserve"> to the regime (please see section below on the scope of the current buy-in regime)</w:t>
      </w:r>
      <w:r w:rsidR="00F45F47" w:rsidRPr="002D31B1">
        <w:rPr>
          <w:rFonts w:cstheme="minorHAnsi"/>
          <w:sz w:val="20"/>
          <w:szCs w:val="20"/>
          <w:shd w:val="clear" w:color="auto" w:fill="FFFFFF" w:themeFill="background1"/>
        </w:rPr>
        <w:t>, and allow parties to decide on the most optimal recourse to resolve outstanding fails</w:t>
      </w:r>
      <w:r w:rsidR="00432236" w:rsidRPr="002D31B1">
        <w:rPr>
          <w:rFonts w:cstheme="minorHAnsi"/>
          <w:sz w:val="20"/>
          <w:szCs w:val="20"/>
          <w:shd w:val="clear" w:color="auto" w:fill="FFFFFF" w:themeFill="background1"/>
        </w:rPr>
        <w:t>.</w:t>
      </w:r>
    </w:p>
    <w:bookmarkEnd w:id="5"/>
    <w:p w14:paraId="453D5B6E" w14:textId="5DE9524B" w:rsidR="00882DB9" w:rsidRPr="002D31B1" w:rsidRDefault="00882DB9" w:rsidP="00E71006">
      <w:pPr>
        <w:spacing w:after="0" w:line="239" w:lineRule="auto"/>
        <w:jc w:val="both"/>
        <w:rPr>
          <w:rFonts w:cstheme="minorHAnsi"/>
          <w:sz w:val="20"/>
          <w:szCs w:val="20"/>
        </w:rPr>
      </w:pPr>
    </w:p>
    <w:p w14:paraId="60FEF5E9" w14:textId="34D8F94F" w:rsidR="00432236" w:rsidRPr="000644FA" w:rsidRDefault="00C82E9D" w:rsidP="00E71006">
      <w:pPr>
        <w:pStyle w:val="CommentText"/>
        <w:jc w:val="both"/>
        <w:rPr>
          <w:rFonts w:cstheme="minorHAnsi"/>
        </w:rPr>
      </w:pPr>
      <w:bookmarkStart w:id="7" w:name="_Hlk63158914"/>
      <w:r w:rsidRPr="002D31B1">
        <w:rPr>
          <w:rFonts w:cstheme="minorHAnsi"/>
        </w:rPr>
        <w:t>Such a</w:t>
      </w:r>
      <w:r w:rsidR="006042F6" w:rsidRPr="002D31B1">
        <w:rPr>
          <w:rFonts w:cstheme="minorHAnsi"/>
        </w:rPr>
        <w:t xml:space="preserve"> discretionary </w:t>
      </w:r>
      <w:r w:rsidR="00247B83" w:rsidRPr="002D31B1">
        <w:rPr>
          <w:rFonts w:cstheme="minorHAnsi"/>
        </w:rPr>
        <w:t>buy-in</w:t>
      </w:r>
      <w:r w:rsidRPr="002D31B1">
        <w:rPr>
          <w:rFonts w:cstheme="minorHAnsi"/>
        </w:rPr>
        <w:t xml:space="preserve"> regime </w:t>
      </w:r>
      <w:r w:rsidR="0066268C" w:rsidRPr="002D31B1">
        <w:rPr>
          <w:rFonts w:cstheme="minorHAnsi"/>
        </w:rPr>
        <w:t>sh</w:t>
      </w:r>
      <w:r w:rsidR="00961885" w:rsidRPr="002D31B1">
        <w:rPr>
          <w:rFonts w:cstheme="minorHAnsi"/>
        </w:rPr>
        <w:t xml:space="preserve">ould </w:t>
      </w:r>
      <w:r w:rsidRPr="002D31B1">
        <w:rPr>
          <w:rFonts w:cstheme="minorHAnsi"/>
        </w:rPr>
        <w:t xml:space="preserve">be enshrined into EU law and harmonised across all EU Member States. </w:t>
      </w:r>
      <w:r w:rsidR="00B05063" w:rsidRPr="002D31B1">
        <w:rPr>
          <w:rFonts w:cstheme="minorHAnsi"/>
        </w:rPr>
        <w:t xml:space="preserve">With regards to cleared transactions, we believe </w:t>
      </w:r>
      <w:r w:rsidR="00C96FC8" w:rsidRPr="002D31B1">
        <w:rPr>
          <w:rFonts w:cstheme="minorHAnsi"/>
        </w:rPr>
        <w:t xml:space="preserve">that existing CCP buy-in rules should remain in place. </w:t>
      </w:r>
      <w:bookmarkEnd w:id="7"/>
      <w:r w:rsidR="00432236" w:rsidRPr="002D31B1">
        <w:rPr>
          <w:rFonts w:cstheme="minorHAnsi"/>
        </w:rPr>
        <w:t>Generally, it is our view that in the cleared space</w:t>
      </w:r>
      <w:r w:rsidR="0011330E" w:rsidRPr="002D31B1">
        <w:rPr>
          <w:rFonts w:cstheme="minorHAnsi"/>
        </w:rPr>
        <w:t>,</w:t>
      </w:r>
      <w:r w:rsidR="002678EA" w:rsidRPr="002D31B1">
        <w:rPr>
          <w:rFonts w:cstheme="minorHAnsi"/>
        </w:rPr>
        <w:t xml:space="preserve"> </w:t>
      </w:r>
      <w:r w:rsidR="00432236" w:rsidRPr="002D31B1">
        <w:rPr>
          <w:rFonts w:cstheme="minorHAnsi"/>
        </w:rPr>
        <w:t xml:space="preserve">settlement </w:t>
      </w:r>
      <w:r w:rsidR="00432236" w:rsidRPr="000644FA">
        <w:rPr>
          <w:rFonts w:cstheme="minorHAnsi"/>
        </w:rPr>
        <w:t xml:space="preserve">arrangements are already sufficiently disciplined and </w:t>
      </w:r>
      <w:r w:rsidR="0011330E" w:rsidRPr="000644FA">
        <w:rPr>
          <w:rFonts w:cstheme="minorHAnsi"/>
        </w:rPr>
        <w:t xml:space="preserve">that </w:t>
      </w:r>
      <w:r w:rsidR="00432236" w:rsidRPr="000644FA">
        <w:rPr>
          <w:rFonts w:cstheme="minorHAnsi"/>
        </w:rPr>
        <w:t>appropriate deterrents are in place</w:t>
      </w:r>
      <w:r w:rsidR="002678EA" w:rsidRPr="000644FA">
        <w:rPr>
          <w:rFonts w:cstheme="minorHAnsi"/>
        </w:rPr>
        <w:t xml:space="preserve"> </w:t>
      </w:r>
      <w:r w:rsidR="004952D5" w:rsidRPr="000644FA">
        <w:rPr>
          <w:rFonts w:cstheme="minorHAnsi"/>
        </w:rPr>
        <w:t xml:space="preserve">which </w:t>
      </w:r>
      <w:r w:rsidR="002678EA" w:rsidRPr="000644FA">
        <w:rPr>
          <w:rFonts w:cstheme="minorHAnsi"/>
        </w:rPr>
        <w:t>do not require the implementation of a mandatory buy-in.</w:t>
      </w:r>
    </w:p>
    <w:p w14:paraId="01D037DD" w14:textId="77777777" w:rsidR="00465D03" w:rsidRPr="000644FA" w:rsidRDefault="00465D03" w:rsidP="00E71006">
      <w:pPr>
        <w:autoSpaceDE w:val="0"/>
        <w:autoSpaceDN w:val="0"/>
        <w:adjustRightInd w:val="0"/>
        <w:spacing w:after="0" w:line="240" w:lineRule="auto"/>
        <w:contextualSpacing/>
        <w:jc w:val="both"/>
        <w:rPr>
          <w:rFonts w:cstheme="minorHAnsi"/>
          <w:b/>
          <w:bCs/>
          <w:i/>
          <w:iCs/>
          <w:sz w:val="20"/>
          <w:szCs w:val="20"/>
          <w:u w:val="single"/>
        </w:rPr>
      </w:pPr>
    </w:p>
    <w:p w14:paraId="09C8458F" w14:textId="5115735B" w:rsidR="003A7CD2" w:rsidRPr="000644FA" w:rsidRDefault="003A7CD2" w:rsidP="00E71006">
      <w:pPr>
        <w:autoSpaceDE w:val="0"/>
        <w:autoSpaceDN w:val="0"/>
        <w:adjustRightInd w:val="0"/>
        <w:spacing w:after="0" w:line="240" w:lineRule="auto"/>
        <w:contextualSpacing/>
        <w:jc w:val="both"/>
        <w:rPr>
          <w:rFonts w:cstheme="minorHAnsi"/>
          <w:b/>
          <w:bCs/>
          <w:i/>
          <w:iCs/>
          <w:sz w:val="20"/>
          <w:szCs w:val="20"/>
          <w:u w:val="single"/>
        </w:rPr>
      </w:pPr>
      <w:r w:rsidRPr="000644FA">
        <w:rPr>
          <w:rFonts w:cstheme="minorHAnsi"/>
          <w:b/>
          <w:bCs/>
          <w:i/>
          <w:iCs/>
          <w:sz w:val="20"/>
          <w:szCs w:val="20"/>
          <w:u w:val="single"/>
        </w:rPr>
        <w:t xml:space="preserve">Penalty Regime: </w:t>
      </w:r>
    </w:p>
    <w:p w14:paraId="63B9DB2C" w14:textId="77777777" w:rsidR="00134954" w:rsidRPr="000644FA" w:rsidRDefault="00134954" w:rsidP="00E71006">
      <w:pPr>
        <w:jc w:val="both"/>
        <w:rPr>
          <w:rFonts w:cstheme="minorHAnsi"/>
          <w:sz w:val="20"/>
          <w:szCs w:val="20"/>
        </w:rPr>
      </w:pPr>
    </w:p>
    <w:p w14:paraId="22DF5977" w14:textId="3510E39F" w:rsidR="00336556" w:rsidRPr="000644FA" w:rsidRDefault="00DA4783" w:rsidP="00E71006">
      <w:pPr>
        <w:jc w:val="both"/>
        <w:rPr>
          <w:rFonts w:cstheme="minorHAnsi"/>
          <w:sz w:val="20"/>
          <w:szCs w:val="20"/>
        </w:rPr>
      </w:pPr>
      <w:r>
        <w:rPr>
          <w:rFonts w:cstheme="minorHAnsi"/>
          <w:sz w:val="20"/>
          <w:szCs w:val="20"/>
        </w:rPr>
        <w:t xml:space="preserve">We </w:t>
      </w:r>
      <w:r w:rsidR="009B3351" w:rsidRPr="000644FA">
        <w:rPr>
          <w:rFonts w:cstheme="minorHAnsi"/>
          <w:sz w:val="20"/>
          <w:szCs w:val="20"/>
        </w:rPr>
        <w:t>believe that an appropriate</w:t>
      </w:r>
      <w:r w:rsidR="00F45F47" w:rsidRPr="000644FA">
        <w:rPr>
          <w:rFonts w:cstheme="minorHAnsi"/>
          <w:sz w:val="20"/>
          <w:szCs w:val="20"/>
        </w:rPr>
        <w:t>ly calibrated</w:t>
      </w:r>
      <w:r w:rsidR="009B3351" w:rsidRPr="000644FA">
        <w:rPr>
          <w:rFonts w:cstheme="minorHAnsi"/>
          <w:sz w:val="20"/>
          <w:szCs w:val="20"/>
        </w:rPr>
        <w:t xml:space="preserve"> cash penalty regime </w:t>
      </w:r>
      <w:r w:rsidR="0058486D">
        <w:rPr>
          <w:rFonts w:cstheme="minorHAnsi"/>
          <w:sz w:val="20"/>
          <w:szCs w:val="20"/>
        </w:rPr>
        <w:t>will</w:t>
      </w:r>
      <w:r w:rsidR="007C402D" w:rsidRPr="000644FA">
        <w:rPr>
          <w:rFonts w:cstheme="minorHAnsi"/>
          <w:sz w:val="20"/>
          <w:szCs w:val="20"/>
        </w:rPr>
        <w:t xml:space="preserve"> </w:t>
      </w:r>
      <w:r w:rsidR="00E87B40" w:rsidRPr="000644FA">
        <w:rPr>
          <w:rFonts w:cstheme="minorHAnsi"/>
          <w:sz w:val="20"/>
          <w:szCs w:val="20"/>
        </w:rPr>
        <w:t xml:space="preserve">have </w:t>
      </w:r>
      <w:r w:rsidR="00CA5962">
        <w:rPr>
          <w:rFonts w:cstheme="minorHAnsi"/>
          <w:sz w:val="20"/>
          <w:szCs w:val="20"/>
        </w:rPr>
        <w:t xml:space="preserve">a </w:t>
      </w:r>
      <w:r w:rsidR="00961885" w:rsidRPr="000644FA">
        <w:rPr>
          <w:rFonts w:cstheme="minorHAnsi"/>
          <w:sz w:val="20"/>
          <w:szCs w:val="20"/>
        </w:rPr>
        <w:t xml:space="preserve">positive </w:t>
      </w:r>
      <w:r w:rsidR="002678EA" w:rsidRPr="000644FA">
        <w:rPr>
          <w:rFonts w:cstheme="minorHAnsi"/>
          <w:sz w:val="20"/>
          <w:szCs w:val="20"/>
        </w:rPr>
        <w:t xml:space="preserve">impact </w:t>
      </w:r>
      <w:r w:rsidR="007C402D" w:rsidRPr="000644FA">
        <w:rPr>
          <w:rFonts w:cstheme="minorHAnsi"/>
          <w:sz w:val="20"/>
          <w:szCs w:val="20"/>
        </w:rPr>
        <w:t xml:space="preserve">on </w:t>
      </w:r>
      <w:r w:rsidR="009B3351" w:rsidRPr="000644FA">
        <w:rPr>
          <w:rFonts w:cstheme="minorHAnsi"/>
          <w:sz w:val="20"/>
          <w:szCs w:val="20"/>
        </w:rPr>
        <w:t xml:space="preserve">settlement efficiency on a standalone basis, as </w:t>
      </w:r>
      <w:r w:rsidR="007C402D" w:rsidRPr="000644FA">
        <w:rPr>
          <w:rFonts w:cstheme="minorHAnsi"/>
          <w:sz w:val="20"/>
          <w:szCs w:val="20"/>
        </w:rPr>
        <w:t>it will sufficiently</w:t>
      </w:r>
      <w:r w:rsidR="009B3351" w:rsidRPr="000644FA">
        <w:rPr>
          <w:rFonts w:cstheme="minorHAnsi"/>
          <w:sz w:val="20"/>
          <w:szCs w:val="20"/>
        </w:rPr>
        <w:t xml:space="preserve"> penalise sellers while compensating buyers for late delivery</w:t>
      </w:r>
      <w:r w:rsidR="00336556" w:rsidRPr="000644FA">
        <w:rPr>
          <w:rFonts w:cstheme="minorHAnsi"/>
          <w:sz w:val="20"/>
          <w:szCs w:val="20"/>
        </w:rPr>
        <w:t xml:space="preserve"> and will ultimately lead to l</w:t>
      </w:r>
      <w:r w:rsidR="004B1291" w:rsidRPr="000644FA">
        <w:rPr>
          <w:rFonts w:cstheme="minorHAnsi"/>
          <w:sz w:val="20"/>
          <w:szCs w:val="20"/>
        </w:rPr>
        <w:t>ower</w:t>
      </w:r>
      <w:r w:rsidR="00336556" w:rsidRPr="000644FA">
        <w:rPr>
          <w:rFonts w:cstheme="minorHAnsi"/>
          <w:sz w:val="20"/>
          <w:szCs w:val="20"/>
        </w:rPr>
        <w:t xml:space="preserve"> settlement fails</w:t>
      </w:r>
      <w:r w:rsidR="009B3351" w:rsidRPr="000644FA">
        <w:rPr>
          <w:rFonts w:cstheme="minorHAnsi"/>
          <w:sz w:val="20"/>
          <w:szCs w:val="20"/>
        </w:rPr>
        <w:t xml:space="preserve">. </w:t>
      </w:r>
    </w:p>
    <w:p w14:paraId="75BF96DF" w14:textId="11DC276B" w:rsidR="004079E4" w:rsidRPr="002D31B1" w:rsidRDefault="00336556" w:rsidP="00E71006">
      <w:pPr>
        <w:jc w:val="both"/>
        <w:rPr>
          <w:rFonts w:cstheme="minorHAnsi"/>
          <w:sz w:val="20"/>
          <w:szCs w:val="20"/>
        </w:rPr>
      </w:pPr>
      <w:r w:rsidRPr="002D31B1">
        <w:rPr>
          <w:rFonts w:cstheme="minorHAnsi"/>
          <w:sz w:val="20"/>
          <w:szCs w:val="20"/>
        </w:rPr>
        <w:t>We strongly believe that EU p</w:t>
      </w:r>
      <w:r w:rsidR="00D84F2B" w:rsidRPr="002D31B1">
        <w:rPr>
          <w:rFonts w:cstheme="minorHAnsi"/>
          <w:sz w:val="20"/>
          <w:szCs w:val="20"/>
        </w:rPr>
        <w:t xml:space="preserve">olicy makers should </w:t>
      </w:r>
      <w:r w:rsidRPr="002D31B1">
        <w:rPr>
          <w:rFonts w:cstheme="minorHAnsi"/>
          <w:sz w:val="20"/>
          <w:szCs w:val="20"/>
        </w:rPr>
        <w:t xml:space="preserve">consider introducing a </w:t>
      </w:r>
      <w:r w:rsidR="00E87B40" w:rsidRPr="002D31B1">
        <w:rPr>
          <w:rFonts w:cstheme="minorHAnsi"/>
          <w:sz w:val="20"/>
          <w:szCs w:val="20"/>
        </w:rPr>
        <w:t xml:space="preserve">targeted, differentiated, </w:t>
      </w:r>
      <w:r w:rsidRPr="002D31B1">
        <w:rPr>
          <w:rFonts w:cstheme="minorHAnsi"/>
          <w:sz w:val="20"/>
          <w:szCs w:val="20"/>
        </w:rPr>
        <w:t>phased-in penalty regime which aim</w:t>
      </w:r>
      <w:r w:rsidR="007C402D" w:rsidRPr="002D31B1">
        <w:rPr>
          <w:rFonts w:cstheme="minorHAnsi"/>
          <w:sz w:val="20"/>
          <w:szCs w:val="20"/>
        </w:rPr>
        <w:t>s</w:t>
      </w:r>
      <w:r w:rsidRPr="002D31B1">
        <w:rPr>
          <w:rFonts w:cstheme="minorHAnsi"/>
          <w:sz w:val="20"/>
          <w:szCs w:val="20"/>
        </w:rPr>
        <w:t xml:space="preserve"> to </w:t>
      </w:r>
      <w:r w:rsidR="004079E4" w:rsidRPr="002D31B1">
        <w:rPr>
          <w:rFonts w:cstheme="minorHAnsi"/>
          <w:sz w:val="20"/>
          <w:szCs w:val="20"/>
        </w:rPr>
        <w:t xml:space="preserve">reduce </w:t>
      </w:r>
      <w:r w:rsidR="007C402D" w:rsidRPr="002D31B1">
        <w:rPr>
          <w:rFonts w:cstheme="minorHAnsi"/>
          <w:sz w:val="20"/>
          <w:szCs w:val="20"/>
        </w:rPr>
        <w:t>settlement fail levels</w:t>
      </w:r>
      <w:r w:rsidRPr="002D31B1">
        <w:rPr>
          <w:rFonts w:cstheme="minorHAnsi"/>
          <w:sz w:val="20"/>
          <w:szCs w:val="20"/>
        </w:rPr>
        <w:t xml:space="preserve"> </w:t>
      </w:r>
      <w:r w:rsidRPr="002D31B1">
        <w:rPr>
          <w:rFonts w:eastAsia="Times New Roman" w:cstheme="minorHAnsi"/>
          <w:sz w:val="20"/>
          <w:szCs w:val="20"/>
        </w:rPr>
        <w:t xml:space="preserve">over a </w:t>
      </w:r>
      <w:r w:rsidR="004079E4" w:rsidRPr="002D31B1">
        <w:rPr>
          <w:rFonts w:eastAsia="Times New Roman" w:cstheme="minorHAnsi"/>
          <w:sz w:val="20"/>
          <w:szCs w:val="20"/>
        </w:rPr>
        <w:t>determined</w:t>
      </w:r>
      <w:r w:rsidRPr="002D31B1">
        <w:rPr>
          <w:rFonts w:eastAsia="Times New Roman" w:cstheme="minorHAnsi"/>
          <w:sz w:val="20"/>
          <w:szCs w:val="20"/>
        </w:rPr>
        <w:t xml:space="preserve"> period of time</w:t>
      </w:r>
      <w:r w:rsidR="00DD5223" w:rsidRPr="002D31B1">
        <w:rPr>
          <w:rFonts w:eastAsia="Times New Roman" w:cstheme="minorHAnsi"/>
          <w:sz w:val="20"/>
          <w:szCs w:val="20"/>
        </w:rPr>
        <w:t xml:space="preserve"> </w:t>
      </w:r>
      <w:r w:rsidR="004079E4" w:rsidRPr="002D31B1">
        <w:rPr>
          <w:rFonts w:cstheme="minorHAnsi"/>
          <w:sz w:val="20"/>
          <w:szCs w:val="20"/>
        </w:rPr>
        <w:t xml:space="preserve">i.e. targeting a specific </w:t>
      </w:r>
      <w:r w:rsidR="00DD5223" w:rsidRPr="002D31B1">
        <w:rPr>
          <w:rFonts w:cstheme="minorHAnsi"/>
          <w:sz w:val="20"/>
          <w:szCs w:val="20"/>
        </w:rPr>
        <w:t>settlement fails</w:t>
      </w:r>
      <w:r w:rsidR="000B5033" w:rsidRPr="002D31B1">
        <w:rPr>
          <w:rFonts w:cstheme="minorHAnsi"/>
          <w:sz w:val="20"/>
          <w:szCs w:val="20"/>
        </w:rPr>
        <w:t xml:space="preserve"> </w:t>
      </w:r>
      <w:r w:rsidR="00926894" w:rsidRPr="002D31B1">
        <w:rPr>
          <w:rFonts w:cstheme="minorHAnsi"/>
          <w:sz w:val="20"/>
          <w:szCs w:val="20"/>
        </w:rPr>
        <w:t xml:space="preserve">level </w:t>
      </w:r>
      <w:r w:rsidR="000B5033" w:rsidRPr="002D31B1">
        <w:rPr>
          <w:rFonts w:cstheme="minorHAnsi"/>
          <w:sz w:val="20"/>
          <w:szCs w:val="20"/>
        </w:rPr>
        <w:t>for each asset class</w:t>
      </w:r>
      <w:r w:rsidRPr="002D31B1">
        <w:rPr>
          <w:rFonts w:eastAsia="Times New Roman" w:cstheme="minorHAnsi"/>
          <w:sz w:val="20"/>
          <w:szCs w:val="20"/>
        </w:rPr>
        <w:t xml:space="preserve">. </w:t>
      </w:r>
      <w:r w:rsidR="007C402D" w:rsidRPr="002D31B1">
        <w:rPr>
          <w:rFonts w:eastAsia="Times New Roman" w:cstheme="minorHAnsi"/>
          <w:sz w:val="20"/>
          <w:szCs w:val="20"/>
        </w:rPr>
        <w:t xml:space="preserve">The penalty regime should be calibrated per asset class and </w:t>
      </w:r>
      <w:r w:rsidR="004952D5" w:rsidRPr="002D31B1">
        <w:rPr>
          <w:rFonts w:eastAsia="Times New Roman" w:cstheme="minorHAnsi"/>
          <w:sz w:val="20"/>
          <w:szCs w:val="20"/>
        </w:rPr>
        <w:t xml:space="preserve">be </w:t>
      </w:r>
      <w:r w:rsidR="007C402D" w:rsidRPr="002D31B1">
        <w:rPr>
          <w:rFonts w:eastAsia="Times New Roman" w:cstheme="minorHAnsi"/>
          <w:sz w:val="20"/>
          <w:szCs w:val="20"/>
        </w:rPr>
        <w:t xml:space="preserve">based on the current failure rates. </w:t>
      </w:r>
      <w:r w:rsidR="003849B7" w:rsidRPr="002D31B1">
        <w:rPr>
          <w:rFonts w:eastAsia="Times New Roman" w:cstheme="minorHAnsi"/>
          <w:sz w:val="20"/>
          <w:szCs w:val="20"/>
        </w:rPr>
        <w:t>This would ensure markets</w:t>
      </w:r>
      <w:r w:rsidR="00926894" w:rsidRPr="002D31B1">
        <w:rPr>
          <w:rFonts w:eastAsia="Times New Roman" w:cstheme="minorHAnsi"/>
          <w:sz w:val="20"/>
          <w:szCs w:val="20"/>
        </w:rPr>
        <w:t>’</w:t>
      </w:r>
      <w:r w:rsidR="003849B7" w:rsidRPr="002D31B1">
        <w:rPr>
          <w:rFonts w:eastAsia="Times New Roman" w:cstheme="minorHAnsi"/>
          <w:sz w:val="20"/>
          <w:szCs w:val="20"/>
        </w:rPr>
        <w:t xml:space="preserve"> </w:t>
      </w:r>
      <w:r w:rsidR="004079E4" w:rsidRPr="002D31B1">
        <w:rPr>
          <w:rFonts w:eastAsia="Times New Roman" w:cstheme="minorHAnsi"/>
          <w:sz w:val="20"/>
          <w:szCs w:val="20"/>
        </w:rPr>
        <w:t>specific features</w:t>
      </w:r>
      <w:r w:rsidR="003849B7" w:rsidRPr="002D31B1">
        <w:rPr>
          <w:rFonts w:eastAsia="Times New Roman" w:cstheme="minorHAnsi"/>
          <w:sz w:val="20"/>
          <w:szCs w:val="20"/>
        </w:rPr>
        <w:t xml:space="preserve"> are taken into consideration.</w:t>
      </w:r>
      <w:r w:rsidR="004952D5" w:rsidRPr="002D31B1">
        <w:rPr>
          <w:rFonts w:eastAsia="Times New Roman" w:cstheme="minorHAnsi"/>
          <w:sz w:val="20"/>
          <w:szCs w:val="20"/>
        </w:rPr>
        <w:t xml:space="preserve"> Over time, </w:t>
      </w:r>
      <w:r w:rsidRPr="002D31B1">
        <w:rPr>
          <w:rFonts w:eastAsia="Times New Roman" w:cstheme="minorHAnsi"/>
          <w:sz w:val="20"/>
          <w:szCs w:val="20"/>
        </w:rPr>
        <w:t xml:space="preserve">if the </w:t>
      </w:r>
      <w:r w:rsidR="003849B7" w:rsidRPr="002D31B1">
        <w:rPr>
          <w:rFonts w:eastAsia="Times New Roman" w:cstheme="minorHAnsi"/>
          <w:sz w:val="20"/>
          <w:szCs w:val="20"/>
        </w:rPr>
        <w:t xml:space="preserve">settlement fail </w:t>
      </w:r>
      <w:r w:rsidRPr="002D31B1">
        <w:rPr>
          <w:rFonts w:eastAsia="Times New Roman" w:cstheme="minorHAnsi"/>
          <w:sz w:val="20"/>
          <w:szCs w:val="20"/>
        </w:rPr>
        <w:t xml:space="preserve">target is not </w:t>
      </w:r>
      <w:r w:rsidRPr="002D31B1">
        <w:rPr>
          <w:rFonts w:cstheme="minorHAnsi"/>
          <w:sz w:val="20"/>
          <w:szCs w:val="20"/>
        </w:rPr>
        <w:t>achieved</w:t>
      </w:r>
      <w:r w:rsidR="007C402D" w:rsidRPr="002D31B1">
        <w:rPr>
          <w:rFonts w:cstheme="minorHAnsi"/>
          <w:sz w:val="20"/>
          <w:szCs w:val="20"/>
        </w:rPr>
        <w:t xml:space="preserve"> and</w:t>
      </w:r>
      <w:r w:rsidRPr="002D31B1">
        <w:rPr>
          <w:rFonts w:cstheme="minorHAnsi"/>
          <w:sz w:val="20"/>
          <w:szCs w:val="20"/>
        </w:rPr>
        <w:t xml:space="preserve"> </w:t>
      </w:r>
      <w:r w:rsidR="007C402D" w:rsidRPr="002D31B1">
        <w:rPr>
          <w:rFonts w:cstheme="minorHAnsi"/>
          <w:sz w:val="20"/>
          <w:szCs w:val="20"/>
        </w:rPr>
        <w:t xml:space="preserve">if policy makers deem it appropriate, </w:t>
      </w:r>
      <w:r w:rsidRPr="002D31B1">
        <w:rPr>
          <w:rFonts w:cstheme="minorHAnsi"/>
          <w:sz w:val="20"/>
          <w:szCs w:val="20"/>
        </w:rPr>
        <w:t>the penal</w:t>
      </w:r>
      <w:r w:rsidR="004079E4" w:rsidRPr="002D31B1">
        <w:rPr>
          <w:rFonts w:cstheme="minorHAnsi"/>
          <w:sz w:val="20"/>
          <w:szCs w:val="20"/>
        </w:rPr>
        <w:t>ty</w:t>
      </w:r>
      <w:r w:rsidR="007C402D" w:rsidRPr="002D31B1">
        <w:rPr>
          <w:rFonts w:cstheme="minorHAnsi"/>
          <w:sz w:val="20"/>
          <w:szCs w:val="20"/>
        </w:rPr>
        <w:t xml:space="preserve"> rates </w:t>
      </w:r>
      <w:r w:rsidRPr="002D31B1">
        <w:rPr>
          <w:rFonts w:cstheme="minorHAnsi"/>
          <w:sz w:val="20"/>
          <w:szCs w:val="20"/>
        </w:rPr>
        <w:t>should be</w:t>
      </w:r>
      <w:r w:rsidR="004079E4" w:rsidRPr="002D31B1">
        <w:rPr>
          <w:rFonts w:cstheme="minorHAnsi"/>
          <w:sz w:val="20"/>
          <w:szCs w:val="20"/>
        </w:rPr>
        <w:t xml:space="preserve"> reassessed</w:t>
      </w:r>
      <w:r w:rsidRPr="002D31B1">
        <w:rPr>
          <w:rFonts w:cstheme="minorHAnsi"/>
          <w:sz w:val="20"/>
          <w:szCs w:val="20"/>
        </w:rPr>
        <w:t>.</w:t>
      </w:r>
    </w:p>
    <w:p w14:paraId="088EF65A" w14:textId="596433EE" w:rsidR="00140B6F" w:rsidRPr="000644FA" w:rsidRDefault="00140B6F" w:rsidP="00E71006">
      <w:pPr>
        <w:shd w:val="clear" w:color="auto" w:fill="FFFFFF"/>
        <w:jc w:val="both"/>
        <w:rPr>
          <w:rFonts w:cstheme="minorHAnsi"/>
          <w:sz w:val="20"/>
          <w:szCs w:val="20"/>
        </w:rPr>
      </w:pPr>
      <w:r w:rsidRPr="000644FA">
        <w:rPr>
          <w:rFonts w:cstheme="minorHAnsi"/>
          <w:sz w:val="20"/>
          <w:szCs w:val="20"/>
        </w:rPr>
        <w:t xml:space="preserve">The European ETF market is </w:t>
      </w:r>
      <w:r w:rsidR="00CA5962">
        <w:rPr>
          <w:rFonts w:cstheme="minorHAnsi"/>
          <w:sz w:val="20"/>
          <w:szCs w:val="20"/>
        </w:rPr>
        <w:t>an</w:t>
      </w:r>
      <w:r w:rsidRPr="000644FA">
        <w:rPr>
          <w:rFonts w:cstheme="minorHAnsi"/>
          <w:sz w:val="20"/>
          <w:szCs w:val="20"/>
        </w:rPr>
        <w:t xml:space="preserve"> example of an asset class which would be unfairly penalised under the proposed current regime. Most settlement fails in European ETFs are due to structural issues including but not limited to multi stock exchange listings, some complex mark-up/mark down procedures in certain local CSDs</w:t>
      </w:r>
      <w:r w:rsidR="00CA5962">
        <w:rPr>
          <w:rFonts w:cstheme="minorHAnsi"/>
          <w:sz w:val="20"/>
          <w:szCs w:val="20"/>
        </w:rPr>
        <w:t xml:space="preserve"> </w:t>
      </w:r>
      <w:r w:rsidRPr="000644FA">
        <w:rPr>
          <w:rFonts w:cstheme="minorHAnsi"/>
          <w:sz w:val="20"/>
          <w:szCs w:val="20"/>
        </w:rPr>
        <w:t>and the OTC/MTF nature of trading of ETFs. The settlement issues have been alleviated somewhat with the ICSD model from Euroclear Bank and Clearstream</w:t>
      </w:r>
      <w:r w:rsidR="00CA5962">
        <w:rPr>
          <w:rFonts w:cstheme="minorHAnsi"/>
          <w:sz w:val="20"/>
          <w:szCs w:val="20"/>
        </w:rPr>
        <w:t xml:space="preserve">. </w:t>
      </w:r>
      <w:r w:rsidRPr="000644FA">
        <w:rPr>
          <w:rFonts w:cstheme="minorHAnsi"/>
          <w:sz w:val="20"/>
          <w:szCs w:val="20"/>
        </w:rPr>
        <w:t>Therefore, under the current penalty regime, market participants would likely be charged for market structure inefficiencies. Market participants are very keen to see improvements in settlements in the ETF space, and are working towards improvements in this space</w:t>
      </w:r>
      <w:r w:rsidR="00CA5962">
        <w:rPr>
          <w:rFonts w:cstheme="minorHAnsi"/>
          <w:sz w:val="20"/>
          <w:szCs w:val="20"/>
        </w:rPr>
        <w:t xml:space="preserve">, however, </w:t>
      </w:r>
      <w:r w:rsidRPr="000644FA">
        <w:rPr>
          <w:rFonts w:cstheme="minorHAnsi"/>
          <w:sz w:val="20"/>
          <w:szCs w:val="20"/>
        </w:rPr>
        <w:t>these changes take time</w:t>
      </w:r>
      <w:r w:rsidR="00CA5962">
        <w:rPr>
          <w:rFonts w:cstheme="minorHAnsi"/>
          <w:sz w:val="20"/>
          <w:szCs w:val="20"/>
        </w:rPr>
        <w:t xml:space="preserve">. </w:t>
      </w:r>
    </w:p>
    <w:p w14:paraId="2B292AF2" w14:textId="697CDACD" w:rsidR="003E1D04" w:rsidRPr="000644FA" w:rsidRDefault="003E1D04" w:rsidP="00E71006">
      <w:pPr>
        <w:spacing w:after="0" w:line="240" w:lineRule="auto"/>
        <w:jc w:val="both"/>
        <w:rPr>
          <w:rFonts w:eastAsia="Times New Roman" w:cstheme="minorHAnsi"/>
          <w:sz w:val="20"/>
          <w:szCs w:val="20"/>
        </w:rPr>
      </w:pPr>
      <w:bookmarkStart w:id="8" w:name="_Hlk61359068"/>
      <w:bookmarkStart w:id="9" w:name="_Hlk61359151"/>
      <w:r w:rsidRPr="000644FA">
        <w:rPr>
          <w:rFonts w:eastAsia="Times New Roman" w:cstheme="minorHAnsi"/>
          <w:sz w:val="20"/>
          <w:szCs w:val="20"/>
        </w:rPr>
        <w:t xml:space="preserve">Such </w:t>
      </w:r>
      <w:r w:rsidR="003849B7" w:rsidRPr="000644FA">
        <w:rPr>
          <w:rFonts w:eastAsia="Times New Roman" w:cstheme="minorHAnsi"/>
          <w:sz w:val="20"/>
          <w:szCs w:val="20"/>
        </w:rPr>
        <w:t xml:space="preserve">a </w:t>
      </w:r>
      <w:r w:rsidR="00023B3E" w:rsidRPr="000644FA">
        <w:rPr>
          <w:rFonts w:eastAsia="Times New Roman" w:cstheme="minorHAnsi"/>
          <w:sz w:val="20"/>
          <w:szCs w:val="20"/>
        </w:rPr>
        <w:t>targeted</w:t>
      </w:r>
      <w:r w:rsidR="003849B7" w:rsidRPr="000644FA">
        <w:rPr>
          <w:rFonts w:eastAsia="Times New Roman" w:cstheme="minorHAnsi"/>
          <w:sz w:val="20"/>
          <w:szCs w:val="20"/>
        </w:rPr>
        <w:t xml:space="preserve">, calibrated and dynamic </w:t>
      </w:r>
      <w:r w:rsidR="00023B3E" w:rsidRPr="000644FA">
        <w:rPr>
          <w:rFonts w:eastAsia="Times New Roman" w:cstheme="minorHAnsi"/>
          <w:sz w:val="20"/>
          <w:szCs w:val="20"/>
        </w:rPr>
        <w:t xml:space="preserve">penalty regime, </w:t>
      </w:r>
      <w:r w:rsidR="003849B7" w:rsidRPr="000644FA">
        <w:rPr>
          <w:rFonts w:eastAsia="Times New Roman" w:cstheme="minorHAnsi"/>
          <w:sz w:val="20"/>
          <w:szCs w:val="20"/>
        </w:rPr>
        <w:t>which is reviewed on a regular basis based on empirical analysis</w:t>
      </w:r>
      <w:r w:rsidR="00023B3E" w:rsidRPr="000644FA">
        <w:rPr>
          <w:rFonts w:eastAsia="Times New Roman" w:cstheme="minorHAnsi"/>
          <w:sz w:val="20"/>
          <w:szCs w:val="20"/>
        </w:rPr>
        <w:t>,</w:t>
      </w:r>
      <w:r w:rsidR="003849B7" w:rsidRPr="000644FA">
        <w:rPr>
          <w:rFonts w:eastAsia="Times New Roman" w:cstheme="minorHAnsi"/>
          <w:sz w:val="20"/>
          <w:szCs w:val="20"/>
        </w:rPr>
        <w:t xml:space="preserve"> </w:t>
      </w:r>
      <w:r w:rsidR="00B2796D" w:rsidRPr="000644FA">
        <w:rPr>
          <w:rFonts w:eastAsia="Times New Roman" w:cstheme="minorHAnsi"/>
          <w:sz w:val="20"/>
          <w:szCs w:val="20"/>
        </w:rPr>
        <w:t>w</w:t>
      </w:r>
      <w:r w:rsidR="00810679" w:rsidRPr="000644FA">
        <w:rPr>
          <w:rFonts w:eastAsia="Times New Roman" w:cstheme="minorHAnsi"/>
          <w:sz w:val="20"/>
          <w:szCs w:val="20"/>
        </w:rPr>
        <w:t>ould</w:t>
      </w:r>
      <w:r w:rsidR="00B2796D" w:rsidRPr="000644FA">
        <w:rPr>
          <w:rFonts w:eastAsia="Times New Roman" w:cstheme="minorHAnsi"/>
          <w:sz w:val="20"/>
          <w:szCs w:val="20"/>
        </w:rPr>
        <w:t xml:space="preserve"> </w:t>
      </w:r>
      <w:r w:rsidRPr="000644FA">
        <w:rPr>
          <w:rFonts w:eastAsia="Times New Roman" w:cstheme="minorHAnsi"/>
          <w:sz w:val="20"/>
          <w:szCs w:val="20"/>
        </w:rPr>
        <w:t>improve settlement efficiency in all asset classes</w:t>
      </w:r>
      <w:bookmarkEnd w:id="8"/>
      <w:r w:rsidR="00023B3E" w:rsidRPr="000644FA">
        <w:rPr>
          <w:rFonts w:eastAsia="Times New Roman" w:cstheme="minorHAnsi"/>
          <w:sz w:val="20"/>
          <w:szCs w:val="20"/>
        </w:rPr>
        <w:t>,</w:t>
      </w:r>
      <w:r w:rsidR="00DE58DA" w:rsidRPr="000644FA">
        <w:rPr>
          <w:rFonts w:eastAsia="Times New Roman" w:cstheme="minorHAnsi"/>
          <w:sz w:val="20"/>
          <w:szCs w:val="20"/>
        </w:rPr>
        <w:t xml:space="preserve"> support the integrity and efficiency of EU capital markets and </w:t>
      </w:r>
      <w:bookmarkStart w:id="10" w:name="_Hlk61359083"/>
      <w:r w:rsidR="002D3267" w:rsidRPr="000644FA">
        <w:rPr>
          <w:rFonts w:eastAsia="Times New Roman" w:cstheme="minorHAnsi"/>
          <w:sz w:val="20"/>
          <w:szCs w:val="20"/>
        </w:rPr>
        <w:t>will provide a compelling incentive to resolve fails promptly</w:t>
      </w:r>
      <w:r w:rsidR="002872E2" w:rsidRPr="000644FA">
        <w:rPr>
          <w:rFonts w:eastAsia="Times New Roman" w:cstheme="minorHAnsi"/>
          <w:sz w:val="20"/>
          <w:szCs w:val="20"/>
        </w:rPr>
        <w:t xml:space="preserve">. </w:t>
      </w:r>
      <w:bookmarkEnd w:id="10"/>
      <w:bookmarkEnd w:id="9"/>
      <w:r w:rsidR="002872E2" w:rsidRPr="000644FA">
        <w:rPr>
          <w:rFonts w:eastAsia="Times New Roman" w:cstheme="minorHAnsi"/>
          <w:sz w:val="20"/>
          <w:szCs w:val="20"/>
        </w:rPr>
        <w:t xml:space="preserve">Ultimately, all market participants have an interest in reducing settlement fails and penalties are an efficient way to achieve better settlement ratios </w:t>
      </w:r>
      <w:r w:rsidR="002626F5" w:rsidRPr="000644FA">
        <w:rPr>
          <w:rFonts w:eastAsia="Times New Roman" w:cstheme="minorHAnsi"/>
          <w:sz w:val="20"/>
          <w:szCs w:val="20"/>
        </w:rPr>
        <w:t>by increas</w:t>
      </w:r>
      <w:r w:rsidR="003849B7" w:rsidRPr="000644FA">
        <w:rPr>
          <w:rFonts w:eastAsia="Times New Roman" w:cstheme="minorHAnsi"/>
          <w:sz w:val="20"/>
          <w:szCs w:val="20"/>
        </w:rPr>
        <w:t>ing</w:t>
      </w:r>
      <w:r w:rsidR="002626F5" w:rsidRPr="000644FA">
        <w:rPr>
          <w:rFonts w:eastAsia="Times New Roman" w:cstheme="minorHAnsi"/>
          <w:sz w:val="20"/>
          <w:szCs w:val="20"/>
        </w:rPr>
        <w:t xml:space="preserve"> the costs of failing </w:t>
      </w:r>
      <w:r w:rsidR="002872E2" w:rsidRPr="000644FA">
        <w:rPr>
          <w:rFonts w:eastAsia="Times New Roman" w:cstheme="minorHAnsi"/>
          <w:sz w:val="20"/>
          <w:szCs w:val="20"/>
        </w:rPr>
        <w:t xml:space="preserve">without </w:t>
      </w:r>
      <w:r w:rsidR="002D3267" w:rsidRPr="000644FA">
        <w:rPr>
          <w:rFonts w:eastAsia="Times New Roman" w:cstheme="minorHAnsi"/>
          <w:sz w:val="20"/>
          <w:szCs w:val="20"/>
        </w:rPr>
        <w:t xml:space="preserve">inhibiting </w:t>
      </w:r>
      <w:r w:rsidR="002872E2" w:rsidRPr="000644FA">
        <w:rPr>
          <w:rFonts w:eastAsia="Times New Roman" w:cstheme="minorHAnsi"/>
          <w:sz w:val="20"/>
          <w:szCs w:val="20"/>
        </w:rPr>
        <w:t xml:space="preserve">market liquidity </w:t>
      </w:r>
      <w:r w:rsidR="000B4728" w:rsidRPr="000644FA">
        <w:rPr>
          <w:rFonts w:eastAsia="Times New Roman" w:cstheme="minorHAnsi"/>
          <w:sz w:val="20"/>
          <w:szCs w:val="20"/>
        </w:rPr>
        <w:t>for instruments which are already thinly traded.</w:t>
      </w:r>
    </w:p>
    <w:p w14:paraId="40366164" w14:textId="77777777" w:rsidR="00DF3565" w:rsidRPr="000644FA" w:rsidRDefault="00DF3565" w:rsidP="00E71006">
      <w:pPr>
        <w:spacing w:after="0" w:line="240" w:lineRule="auto"/>
        <w:jc w:val="both"/>
        <w:rPr>
          <w:rFonts w:eastAsia="Times New Roman" w:cstheme="minorHAnsi"/>
          <w:sz w:val="20"/>
          <w:szCs w:val="20"/>
        </w:rPr>
      </w:pPr>
    </w:p>
    <w:p w14:paraId="59B46E2E" w14:textId="580F7D6A" w:rsidR="00906D85" w:rsidRPr="000644FA" w:rsidRDefault="007C402D" w:rsidP="00E71006">
      <w:pPr>
        <w:jc w:val="both"/>
        <w:rPr>
          <w:rFonts w:eastAsia="Times New Roman" w:cstheme="minorHAnsi"/>
          <w:sz w:val="20"/>
          <w:szCs w:val="20"/>
        </w:rPr>
      </w:pPr>
      <w:r w:rsidRPr="000644FA">
        <w:rPr>
          <w:rFonts w:eastAsia="Times New Roman" w:cstheme="minorHAnsi"/>
          <w:sz w:val="20"/>
          <w:szCs w:val="20"/>
        </w:rPr>
        <w:t xml:space="preserve">The </w:t>
      </w:r>
      <w:r w:rsidR="00906D85" w:rsidRPr="000644FA">
        <w:rPr>
          <w:rFonts w:eastAsia="Times New Roman" w:cstheme="minorHAnsi"/>
          <w:sz w:val="20"/>
          <w:szCs w:val="20"/>
        </w:rPr>
        <w:t>US experience</w:t>
      </w:r>
      <w:r w:rsidR="00F30793" w:rsidRPr="000644FA">
        <w:rPr>
          <w:rFonts w:eastAsia="Times New Roman" w:cstheme="minorHAnsi"/>
          <w:sz w:val="20"/>
          <w:szCs w:val="20"/>
        </w:rPr>
        <w:t xml:space="preserve"> shows that</w:t>
      </w:r>
      <w:r w:rsidRPr="000644FA">
        <w:rPr>
          <w:rFonts w:eastAsia="Times New Roman" w:cstheme="minorHAnsi"/>
          <w:sz w:val="20"/>
          <w:szCs w:val="20"/>
        </w:rPr>
        <w:t xml:space="preserve"> </w:t>
      </w:r>
      <w:r w:rsidR="00F30793" w:rsidRPr="000644FA">
        <w:rPr>
          <w:rFonts w:eastAsia="Times New Roman" w:cstheme="minorHAnsi"/>
          <w:sz w:val="20"/>
          <w:szCs w:val="20"/>
        </w:rPr>
        <w:t xml:space="preserve">the introduction of a </w:t>
      </w:r>
      <w:r w:rsidRPr="000644FA">
        <w:rPr>
          <w:rFonts w:eastAsia="Times New Roman" w:cstheme="minorHAnsi"/>
          <w:sz w:val="20"/>
          <w:szCs w:val="20"/>
        </w:rPr>
        <w:t>‘</w:t>
      </w:r>
      <w:r w:rsidR="00F30793" w:rsidRPr="000644FA">
        <w:rPr>
          <w:rFonts w:eastAsia="Times New Roman" w:cstheme="minorHAnsi"/>
          <w:sz w:val="20"/>
          <w:szCs w:val="20"/>
        </w:rPr>
        <w:t>fail charge</w:t>
      </w:r>
      <w:r w:rsidRPr="000644FA">
        <w:rPr>
          <w:rFonts w:eastAsia="Times New Roman" w:cstheme="minorHAnsi"/>
          <w:sz w:val="20"/>
          <w:szCs w:val="20"/>
        </w:rPr>
        <w:t>’</w:t>
      </w:r>
      <w:r w:rsidR="00F30793" w:rsidRPr="000644FA">
        <w:rPr>
          <w:rFonts w:eastAsia="Times New Roman" w:cstheme="minorHAnsi"/>
          <w:sz w:val="20"/>
          <w:szCs w:val="20"/>
        </w:rPr>
        <w:t xml:space="preserve"> for US Treasury Securities reduced fails significantly. On 12 November 2008, the Treasure Market Practices Group </w:t>
      </w:r>
      <w:r w:rsidR="00B2796D" w:rsidRPr="000644FA">
        <w:rPr>
          <w:rFonts w:eastAsia="Times New Roman" w:cstheme="minorHAnsi"/>
          <w:sz w:val="20"/>
          <w:szCs w:val="20"/>
        </w:rPr>
        <w:t xml:space="preserve">(TMPG) </w:t>
      </w:r>
      <w:r w:rsidR="00F30793" w:rsidRPr="000644FA">
        <w:rPr>
          <w:rFonts w:eastAsia="Times New Roman" w:cstheme="minorHAnsi"/>
          <w:sz w:val="20"/>
          <w:szCs w:val="20"/>
        </w:rPr>
        <w:t>published their recommendations to introduce a fail</w:t>
      </w:r>
      <w:r w:rsidR="00B2796D" w:rsidRPr="000644FA">
        <w:rPr>
          <w:rFonts w:eastAsia="Times New Roman" w:cstheme="minorHAnsi"/>
          <w:sz w:val="20"/>
          <w:szCs w:val="20"/>
        </w:rPr>
        <w:t>s</w:t>
      </w:r>
      <w:r w:rsidR="00F30793" w:rsidRPr="000644FA">
        <w:rPr>
          <w:rFonts w:eastAsia="Times New Roman" w:cstheme="minorHAnsi"/>
          <w:sz w:val="20"/>
          <w:szCs w:val="20"/>
        </w:rPr>
        <w:t xml:space="preserve"> charge</w:t>
      </w:r>
      <w:r w:rsidR="00C05BB5" w:rsidRPr="000644FA">
        <w:rPr>
          <w:rFonts w:eastAsia="Times New Roman" w:cstheme="minorHAnsi"/>
          <w:sz w:val="20"/>
          <w:szCs w:val="20"/>
        </w:rPr>
        <w:t xml:space="preserve"> (known as the </w:t>
      </w:r>
      <w:r w:rsidRPr="000644FA">
        <w:rPr>
          <w:rFonts w:eastAsia="Times New Roman" w:cstheme="minorHAnsi"/>
          <w:sz w:val="20"/>
          <w:szCs w:val="20"/>
        </w:rPr>
        <w:t>‘</w:t>
      </w:r>
      <w:r w:rsidR="00C05BB5" w:rsidRPr="000644FA">
        <w:rPr>
          <w:rFonts w:eastAsia="Times New Roman" w:cstheme="minorHAnsi"/>
          <w:sz w:val="20"/>
          <w:szCs w:val="20"/>
        </w:rPr>
        <w:t>TMPG fails charge</w:t>
      </w:r>
      <w:r w:rsidRPr="000644FA">
        <w:rPr>
          <w:rFonts w:eastAsia="Times New Roman" w:cstheme="minorHAnsi"/>
          <w:sz w:val="20"/>
          <w:szCs w:val="20"/>
        </w:rPr>
        <w:t>’</w:t>
      </w:r>
      <w:r w:rsidR="00C05BB5" w:rsidRPr="000644FA">
        <w:rPr>
          <w:rFonts w:eastAsia="Times New Roman" w:cstheme="minorHAnsi"/>
          <w:sz w:val="20"/>
          <w:szCs w:val="20"/>
        </w:rPr>
        <w:t>)</w:t>
      </w:r>
      <w:r w:rsidR="00F30793" w:rsidRPr="000644FA">
        <w:rPr>
          <w:rFonts w:eastAsia="Times New Roman" w:cstheme="minorHAnsi"/>
          <w:sz w:val="20"/>
          <w:szCs w:val="20"/>
        </w:rPr>
        <w:t xml:space="preserve">. </w:t>
      </w:r>
      <w:r w:rsidR="00CC3D92" w:rsidRPr="000644FA">
        <w:rPr>
          <w:rFonts w:eastAsia="Times New Roman" w:cstheme="minorHAnsi"/>
          <w:sz w:val="20"/>
          <w:szCs w:val="20"/>
        </w:rPr>
        <w:t>The ‘TMPG fails charge’ went live on 1 May 2009.</w:t>
      </w:r>
      <w:r w:rsidR="00CC3D92">
        <w:rPr>
          <w:rFonts w:eastAsia="Times New Roman" w:cstheme="minorHAnsi"/>
          <w:sz w:val="20"/>
          <w:szCs w:val="20"/>
        </w:rPr>
        <w:t xml:space="preserve"> </w:t>
      </w:r>
      <w:r w:rsidR="00F30793" w:rsidRPr="000644FA">
        <w:rPr>
          <w:rFonts w:eastAsia="Times New Roman" w:cstheme="minorHAnsi"/>
          <w:sz w:val="20"/>
          <w:szCs w:val="20"/>
        </w:rPr>
        <w:t>Studies have shown that</w:t>
      </w:r>
      <w:r w:rsidR="00E531D2" w:rsidRPr="000644FA">
        <w:rPr>
          <w:rFonts w:eastAsia="Times New Roman" w:cstheme="minorHAnsi"/>
          <w:sz w:val="20"/>
          <w:szCs w:val="20"/>
        </w:rPr>
        <w:t xml:space="preserve"> the anticipation of the implementation of such a rule had a significant effect on settlement fails. A paper published in the ‘FRBNY Economic Policy Review/ October 2010’</w:t>
      </w:r>
      <w:r w:rsidR="00E531D2" w:rsidRPr="000644FA">
        <w:rPr>
          <w:rStyle w:val="FootnoteReference"/>
          <w:rFonts w:eastAsia="Times New Roman" w:cstheme="minorHAnsi"/>
          <w:sz w:val="20"/>
          <w:szCs w:val="20"/>
        </w:rPr>
        <w:footnoteReference w:id="2"/>
      </w:r>
      <w:r w:rsidR="00E531D2" w:rsidRPr="000644FA">
        <w:rPr>
          <w:rFonts w:eastAsia="Times New Roman" w:cstheme="minorHAnsi"/>
          <w:sz w:val="20"/>
          <w:szCs w:val="20"/>
        </w:rPr>
        <w:t xml:space="preserve"> states that “primary dealer fails declined from a daily average of $379 billion during the week of October 16</w:t>
      </w:r>
      <w:r w:rsidR="00E30FAE">
        <w:rPr>
          <w:rFonts w:eastAsia="Times New Roman" w:cstheme="minorHAnsi"/>
          <w:sz w:val="20"/>
          <w:szCs w:val="20"/>
        </w:rPr>
        <w:t>-</w:t>
      </w:r>
      <w:r w:rsidR="00E531D2" w:rsidRPr="000644FA">
        <w:rPr>
          <w:rFonts w:eastAsia="Times New Roman" w:cstheme="minorHAnsi"/>
          <w:sz w:val="20"/>
          <w:szCs w:val="20"/>
        </w:rPr>
        <w:t>2 to a daily average of $70 billion during the week of November 13-19 and averaged less than</w:t>
      </w:r>
      <w:r w:rsidR="003849B7" w:rsidRPr="000644FA">
        <w:rPr>
          <w:rFonts w:eastAsia="Times New Roman" w:cstheme="minorHAnsi"/>
          <w:sz w:val="20"/>
          <w:szCs w:val="20"/>
        </w:rPr>
        <w:t xml:space="preserve"> </w:t>
      </w:r>
      <w:r w:rsidR="00E531D2" w:rsidRPr="000644FA">
        <w:rPr>
          <w:rFonts w:eastAsia="Times New Roman" w:cstheme="minorHAnsi"/>
          <w:sz w:val="20"/>
          <w:szCs w:val="20"/>
        </w:rPr>
        <w:t>$50 billion a day in December”.</w:t>
      </w:r>
      <w:r w:rsidR="00C05BB5" w:rsidRPr="000644FA">
        <w:rPr>
          <w:rFonts w:eastAsia="Times New Roman" w:cstheme="minorHAnsi"/>
          <w:sz w:val="20"/>
          <w:szCs w:val="20"/>
        </w:rPr>
        <w:t xml:space="preserve"> The paper also shows that fails averaged </w:t>
      </w:r>
      <w:r w:rsidR="00393E64" w:rsidRPr="000644FA">
        <w:rPr>
          <w:rFonts w:eastAsia="Times New Roman" w:cstheme="minorHAnsi"/>
          <w:sz w:val="20"/>
          <w:szCs w:val="20"/>
        </w:rPr>
        <w:t xml:space="preserve">just </w:t>
      </w:r>
      <w:r w:rsidR="00C05BB5" w:rsidRPr="000644FA">
        <w:rPr>
          <w:rFonts w:eastAsia="Times New Roman" w:cstheme="minorHAnsi"/>
          <w:sz w:val="20"/>
          <w:szCs w:val="20"/>
        </w:rPr>
        <w:t>over $14.4 billion per day during the first four months of 2009, but only $4.2 billion per day since the implementation of the fails charge</w:t>
      </w:r>
      <w:r w:rsidR="00C05BB5" w:rsidRPr="000644FA">
        <w:rPr>
          <w:rStyle w:val="FootnoteReference"/>
          <w:rFonts w:eastAsia="Times New Roman" w:cstheme="minorHAnsi"/>
          <w:sz w:val="20"/>
          <w:szCs w:val="20"/>
        </w:rPr>
        <w:footnoteReference w:id="3"/>
      </w:r>
      <w:r w:rsidR="00C05BB5" w:rsidRPr="000644FA">
        <w:rPr>
          <w:rFonts w:eastAsia="Times New Roman" w:cstheme="minorHAnsi"/>
          <w:sz w:val="20"/>
          <w:szCs w:val="20"/>
        </w:rPr>
        <w:t>.</w:t>
      </w:r>
      <w:r w:rsidR="003D0DD9" w:rsidRPr="000644FA">
        <w:rPr>
          <w:rFonts w:eastAsia="Times New Roman" w:cstheme="minorHAnsi"/>
          <w:sz w:val="20"/>
          <w:szCs w:val="20"/>
        </w:rPr>
        <w:t xml:space="preserve"> </w:t>
      </w:r>
    </w:p>
    <w:p w14:paraId="7A915E49" w14:textId="60D4895C" w:rsidR="005937A6" w:rsidRPr="000644FA" w:rsidRDefault="005937A6" w:rsidP="00E71006">
      <w:pPr>
        <w:jc w:val="both"/>
        <w:outlineLvl w:val="0"/>
        <w:rPr>
          <w:rFonts w:eastAsia="Times New Roman" w:cstheme="minorHAnsi"/>
          <w:sz w:val="20"/>
          <w:szCs w:val="20"/>
        </w:rPr>
      </w:pPr>
      <w:r w:rsidRPr="000644FA">
        <w:rPr>
          <w:rFonts w:eastAsia="Times New Roman" w:cstheme="minorHAnsi"/>
          <w:sz w:val="20"/>
          <w:szCs w:val="20"/>
        </w:rPr>
        <w:t xml:space="preserve">The below graph (see graph 1) which show the fails on U.S. Treasuries post the </w:t>
      </w:r>
      <w:r w:rsidR="007C402D" w:rsidRPr="000644FA">
        <w:rPr>
          <w:rFonts w:eastAsia="Times New Roman" w:cstheme="minorHAnsi"/>
          <w:sz w:val="20"/>
          <w:szCs w:val="20"/>
        </w:rPr>
        <w:t>‘</w:t>
      </w:r>
      <w:r w:rsidRPr="000644FA">
        <w:rPr>
          <w:rFonts w:eastAsia="Times New Roman" w:cstheme="minorHAnsi"/>
          <w:sz w:val="20"/>
          <w:szCs w:val="20"/>
        </w:rPr>
        <w:t>TMPG fails charge</w:t>
      </w:r>
      <w:r w:rsidR="007C402D" w:rsidRPr="000644FA">
        <w:rPr>
          <w:rFonts w:eastAsia="Times New Roman" w:cstheme="minorHAnsi"/>
          <w:sz w:val="20"/>
          <w:szCs w:val="20"/>
        </w:rPr>
        <w:t>’</w:t>
      </w:r>
      <w:r w:rsidRPr="000644FA">
        <w:rPr>
          <w:rFonts w:eastAsia="Times New Roman" w:cstheme="minorHAnsi"/>
          <w:sz w:val="20"/>
          <w:szCs w:val="20"/>
        </w:rPr>
        <w:t xml:space="preserve"> corroborates the above results. This clearly shows that a well calibrated penalty regime can have </w:t>
      </w:r>
      <w:r w:rsidR="000B4728" w:rsidRPr="000644FA">
        <w:rPr>
          <w:rFonts w:eastAsia="Times New Roman" w:cstheme="minorHAnsi"/>
          <w:sz w:val="20"/>
          <w:szCs w:val="20"/>
        </w:rPr>
        <w:t xml:space="preserve">a </w:t>
      </w:r>
      <w:r w:rsidRPr="000644FA">
        <w:rPr>
          <w:rFonts w:eastAsia="Times New Roman" w:cstheme="minorHAnsi"/>
          <w:sz w:val="20"/>
          <w:szCs w:val="20"/>
        </w:rPr>
        <w:t xml:space="preserve">significant positive effect on settlement efficiency. </w:t>
      </w:r>
      <w:r w:rsidR="005F31B7" w:rsidRPr="000644FA">
        <w:rPr>
          <w:rFonts w:eastAsia="Times New Roman" w:cstheme="minorHAnsi"/>
          <w:sz w:val="20"/>
          <w:szCs w:val="20"/>
        </w:rPr>
        <w:t xml:space="preserve">It is also worth noting that the covid-19 stress point in 2020 is visible but is much lower compared to the 2008 financial crisis peak. </w:t>
      </w:r>
    </w:p>
    <w:p w14:paraId="2438F2CD" w14:textId="77777777" w:rsidR="003A348B" w:rsidRDefault="003A348B" w:rsidP="00E71006">
      <w:pPr>
        <w:jc w:val="both"/>
        <w:rPr>
          <w:rFonts w:eastAsia="Times New Roman" w:cstheme="minorHAnsi"/>
          <w:b/>
          <w:bCs/>
          <w:sz w:val="20"/>
          <w:szCs w:val="20"/>
          <w:u w:val="single"/>
        </w:rPr>
      </w:pPr>
    </w:p>
    <w:p w14:paraId="2F90B9B7" w14:textId="6C521693" w:rsidR="005937A6" w:rsidRPr="000644FA" w:rsidRDefault="005937A6" w:rsidP="00E71006">
      <w:pPr>
        <w:jc w:val="both"/>
        <w:rPr>
          <w:rFonts w:eastAsia="Times New Roman" w:cstheme="minorHAnsi"/>
          <w:b/>
          <w:bCs/>
          <w:sz w:val="20"/>
          <w:szCs w:val="20"/>
          <w:u w:val="single"/>
        </w:rPr>
      </w:pPr>
      <w:r w:rsidRPr="000644FA">
        <w:rPr>
          <w:rFonts w:eastAsia="Times New Roman" w:cstheme="minorHAnsi"/>
          <w:b/>
          <w:bCs/>
          <w:sz w:val="20"/>
          <w:szCs w:val="20"/>
          <w:u w:val="single"/>
        </w:rPr>
        <w:lastRenderedPageBreak/>
        <w:t xml:space="preserve">Graph 1: </w:t>
      </w:r>
    </w:p>
    <w:p w14:paraId="2591771A" w14:textId="5EA1E6D5" w:rsidR="005937A6" w:rsidRPr="000644FA" w:rsidRDefault="005937A6" w:rsidP="00E71006">
      <w:pPr>
        <w:jc w:val="both"/>
        <w:rPr>
          <w:rFonts w:eastAsia="Times New Roman" w:cstheme="minorHAnsi"/>
          <w:sz w:val="20"/>
          <w:szCs w:val="20"/>
        </w:rPr>
      </w:pPr>
      <w:r w:rsidRPr="000644FA">
        <w:rPr>
          <w:rFonts w:cstheme="minorHAnsi"/>
          <w:noProof/>
          <w:sz w:val="20"/>
          <w:szCs w:val="20"/>
          <w:lang w:val="en-US"/>
        </w:rPr>
        <w:drawing>
          <wp:inline distT="0" distB="0" distL="0" distR="0" wp14:anchorId="5F1C3246" wp14:editId="1EECA4DF">
            <wp:extent cx="5444490" cy="2202873"/>
            <wp:effectExtent l="0" t="0" r="381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5518646" cy="2232877"/>
                    </a:xfrm>
                    <a:prstGeom prst="rect">
                      <a:avLst/>
                    </a:prstGeom>
                    <a:noFill/>
                    <a:ln>
                      <a:noFill/>
                    </a:ln>
                  </pic:spPr>
                </pic:pic>
              </a:graphicData>
            </a:graphic>
          </wp:inline>
        </w:drawing>
      </w:r>
    </w:p>
    <w:p w14:paraId="764B70DD" w14:textId="454BD85C" w:rsidR="008B186C" w:rsidRPr="003979F7" w:rsidRDefault="007C402D" w:rsidP="00E71006">
      <w:pPr>
        <w:autoSpaceDE w:val="0"/>
        <w:autoSpaceDN w:val="0"/>
        <w:adjustRightInd w:val="0"/>
        <w:spacing w:after="0" w:line="240" w:lineRule="auto"/>
        <w:contextualSpacing/>
        <w:jc w:val="both"/>
        <w:rPr>
          <w:rFonts w:cstheme="minorHAnsi"/>
          <w:sz w:val="16"/>
          <w:szCs w:val="16"/>
        </w:rPr>
      </w:pPr>
      <w:r w:rsidRPr="003979F7">
        <w:rPr>
          <w:rFonts w:cstheme="minorHAnsi"/>
          <w:sz w:val="16"/>
          <w:szCs w:val="16"/>
        </w:rPr>
        <w:t>Source: Bloom</w:t>
      </w:r>
      <w:r w:rsidR="00FA5B5B" w:rsidRPr="003979F7">
        <w:rPr>
          <w:rFonts w:cstheme="minorHAnsi"/>
          <w:sz w:val="16"/>
          <w:szCs w:val="16"/>
        </w:rPr>
        <w:t>b</w:t>
      </w:r>
      <w:r w:rsidRPr="003979F7">
        <w:rPr>
          <w:rFonts w:cstheme="minorHAnsi"/>
          <w:sz w:val="16"/>
          <w:szCs w:val="16"/>
        </w:rPr>
        <w:t>erg</w:t>
      </w:r>
    </w:p>
    <w:p w14:paraId="09B818DE" w14:textId="769EAF26" w:rsidR="00393E64" w:rsidRPr="000644FA" w:rsidRDefault="00393E64" w:rsidP="00E71006">
      <w:pPr>
        <w:autoSpaceDE w:val="0"/>
        <w:autoSpaceDN w:val="0"/>
        <w:adjustRightInd w:val="0"/>
        <w:spacing w:after="0" w:line="240" w:lineRule="auto"/>
        <w:contextualSpacing/>
        <w:jc w:val="both"/>
        <w:rPr>
          <w:rFonts w:cstheme="minorHAnsi"/>
          <w:bCs/>
          <w:i/>
          <w:iCs/>
          <w:sz w:val="20"/>
          <w:szCs w:val="20"/>
          <w:u w:val="single"/>
        </w:rPr>
      </w:pPr>
    </w:p>
    <w:p w14:paraId="7E687F03" w14:textId="2BCD439B" w:rsidR="00AC51BD" w:rsidRPr="000644FA" w:rsidRDefault="00B86B6D" w:rsidP="00E71006">
      <w:pPr>
        <w:autoSpaceDE w:val="0"/>
        <w:autoSpaceDN w:val="0"/>
        <w:adjustRightInd w:val="0"/>
        <w:spacing w:after="0" w:line="240" w:lineRule="auto"/>
        <w:contextualSpacing/>
        <w:jc w:val="both"/>
        <w:rPr>
          <w:rFonts w:cstheme="minorHAnsi"/>
          <w:b/>
          <w:bCs/>
          <w:i/>
          <w:iCs/>
          <w:sz w:val="20"/>
          <w:szCs w:val="20"/>
          <w:u w:val="single"/>
        </w:rPr>
      </w:pPr>
      <w:r w:rsidRPr="000644FA">
        <w:rPr>
          <w:rFonts w:cstheme="minorHAnsi"/>
          <w:b/>
          <w:bCs/>
          <w:i/>
          <w:iCs/>
          <w:sz w:val="20"/>
          <w:szCs w:val="20"/>
          <w:u w:val="single"/>
        </w:rPr>
        <w:t>A</w:t>
      </w:r>
      <w:r w:rsidR="00F45F47" w:rsidRPr="000644FA">
        <w:rPr>
          <w:rFonts w:cstheme="minorHAnsi"/>
          <w:b/>
          <w:bCs/>
          <w:i/>
          <w:iCs/>
          <w:sz w:val="20"/>
          <w:szCs w:val="20"/>
          <w:u w:val="single"/>
        </w:rPr>
        <w:t xml:space="preserve"> </w:t>
      </w:r>
      <w:r w:rsidR="00AC51BD" w:rsidRPr="000644FA">
        <w:rPr>
          <w:rFonts w:cstheme="minorHAnsi"/>
          <w:b/>
          <w:bCs/>
          <w:i/>
          <w:iCs/>
          <w:sz w:val="20"/>
          <w:szCs w:val="20"/>
          <w:u w:val="single"/>
        </w:rPr>
        <w:t>Pass-on mechanism should be introduced</w:t>
      </w:r>
    </w:p>
    <w:p w14:paraId="09DD9A58" w14:textId="77777777" w:rsidR="00AC51BD" w:rsidRPr="000644FA" w:rsidRDefault="00AC51BD" w:rsidP="00E71006">
      <w:pPr>
        <w:autoSpaceDE w:val="0"/>
        <w:autoSpaceDN w:val="0"/>
        <w:adjustRightInd w:val="0"/>
        <w:spacing w:after="0" w:line="240" w:lineRule="auto"/>
        <w:contextualSpacing/>
        <w:jc w:val="both"/>
        <w:rPr>
          <w:rFonts w:cstheme="minorHAnsi"/>
          <w:b/>
          <w:bCs/>
          <w:i/>
          <w:iCs/>
          <w:sz w:val="20"/>
          <w:szCs w:val="20"/>
          <w:u w:val="single"/>
        </w:rPr>
      </w:pPr>
    </w:p>
    <w:p w14:paraId="1576C603" w14:textId="697CA799" w:rsidR="00AC51BD" w:rsidRPr="002D31B1" w:rsidRDefault="00AC51BD" w:rsidP="00E71006">
      <w:pPr>
        <w:jc w:val="both"/>
        <w:rPr>
          <w:rFonts w:cstheme="minorHAnsi"/>
          <w:sz w:val="20"/>
          <w:szCs w:val="20"/>
        </w:rPr>
      </w:pPr>
      <w:r w:rsidRPr="002D31B1">
        <w:rPr>
          <w:rFonts w:cstheme="minorHAnsi"/>
          <w:sz w:val="20"/>
          <w:szCs w:val="20"/>
        </w:rPr>
        <w:t xml:space="preserve">The current mandatory buy-in regime, as stated in Article 7 of CSDR, is unfit for purpose and creates significant risks for trading parties and uncertain economic outcomes. One of the main limitations of the mandatory buy-in regime is that it does not have a pass-on mechanism. </w:t>
      </w:r>
      <w:bookmarkStart w:id="11" w:name="_Hlk63159524"/>
      <w:r w:rsidRPr="002D31B1">
        <w:rPr>
          <w:rFonts w:cstheme="minorHAnsi"/>
          <w:sz w:val="20"/>
          <w:szCs w:val="20"/>
        </w:rPr>
        <w:t xml:space="preserve">Whether the future buy-in regime is mandatory or </w:t>
      </w:r>
      <w:r w:rsidR="00021BDD" w:rsidRPr="002D31B1">
        <w:rPr>
          <w:rFonts w:cstheme="minorHAnsi"/>
          <w:sz w:val="20"/>
          <w:szCs w:val="20"/>
        </w:rPr>
        <w:t>discretionary</w:t>
      </w:r>
      <w:r w:rsidRPr="002D31B1">
        <w:rPr>
          <w:rFonts w:cstheme="minorHAnsi"/>
          <w:sz w:val="20"/>
          <w:szCs w:val="20"/>
        </w:rPr>
        <w:t xml:space="preserve">, a clear </w:t>
      </w:r>
      <w:r w:rsidR="000B4728" w:rsidRPr="002D31B1">
        <w:rPr>
          <w:rFonts w:cstheme="minorHAnsi"/>
          <w:sz w:val="20"/>
          <w:szCs w:val="20"/>
        </w:rPr>
        <w:t xml:space="preserve">laid-out </w:t>
      </w:r>
      <w:r w:rsidRPr="002D31B1">
        <w:rPr>
          <w:rFonts w:cstheme="minorHAnsi"/>
          <w:sz w:val="20"/>
          <w:szCs w:val="20"/>
        </w:rPr>
        <w:t>pass-on mechanism is a precondition for buy-ins to be successful and avoid several buy-ins to be processed at the same time</w:t>
      </w:r>
      <w:r w:rsidR="00F45F47" w:rsidRPr="002D31B1">
        <w:rPr>
          <w:rFonts w:cstheme="minorHAnsi"/>
          <w:sz w:val="20"/>
          <w:szCs w:val="20"/>
        </w:rPr>
        <w:t xml:space="preserve"> for the same </w:t>
      </w:r>
      <w:r w:rsidR="00135990" w:rsidRPr="002D31B1">
        <w:rPr>
          <w:rFonts w:cstheme="minorHAnsi"/>
          <w:sz w:val="20"/>
          <w:szCs w:val="20"/>
        </w:rPr>
        <w:t xml:space="preserve">or associated </w:t>
      </w:r>
      <w:r w:rsidR="00F45F47" w:rsidRPr="002D31B1">
        <w:rPr>
          <w:rFonts w:cstheme="minorHAnsi"/>
          <w:sz w:val="20"/>
          <w:szCs w:val="20"/>
        </w:rPr>
        <w:t>fail</w:t>
      </w:r>
      <w:r w:rsidRPr="002D31B1">
        <w:rPr>
          <w:rFonts w:cstheme="minorHAnsi"/>
          <w:sz w:val="20"/>
          <w:szCs w:val="20"/>
        </w:rPr>
        <w:t xml:space="preserve">. </w:t>
      </w:r>
      <w:bookmarkEnd w:id="11"/>
    </w:p>
    <w:p w14:paraId="7293122C" w14:textId="77777777" w:rsidR="00DB5397" w:rsidRPr="00992D4F" w:rsidRDefault="00AC51BD" w:rsidP="00E71006">
      <w:pPr>
        <w:shd w:val="clear" w:color="auto" w:fill="FFFFFF"/>
        <w:jc w:val="both"/>
        <w:rPr>
          <w:rFonts w:cstheme="minorHAnsi"/>
          <w:sz w:val="20"/>
          <w:szCs w:val="20"/>
        </w:rPr>
      </w:pPr>
      <w:r w:rsidRPr="002D31B1">
        <w:rPr>
          <w:rFonts w:cstheme="minorHAnsi"/>
          <w:sz w:val="20"/>
          <w:szCs w:val="20"/>
        </w:rPr>
        <w:t>A pass-on process allows the seller</w:t>
      </w:r>
      <w:r w:rsidR="008A1CEC" w:rsidRPr="002D31B1">
        <w:rPr>
          <w:rFonts w:cstheme="minorHAnsi"/>
          <w:sz w:val="20"/>
          <w:szCs w:val="20"/>
        </w:rPr>
        <w:t>,</w:t>
      </w:r>
      <w:r w:rsidRPr="002D31B1">
        <w:rPr>
          <w:rFonts w:cstheme="minorHAnsi"/>
          <w:sz w:val="20"/>
          <w:szCs w:val="20"/>
        </w:rPr>
        <w:t xml:space="preserve"> which is in turn a buyer of all or part of a corresponding amount of securities</w:t>
      </w:r>
      <w:r w:rsidR="008A1CEC" w:rsidRPr="002D31B1">
        <w:rPr>
          <w:rFonts w:cstheme="minorHAnsi"/>
          <w:sz w:val="20"/>
          <w:szCs w:val="20"/>
        </w:rPr>
        <w:t>, to</w:t>
      </w:r>
      <w:r w:rsidRPr="002D31B1">
        <w:rPr>
          <w:rFonts w:cstheme="minorHAnsi"/>
          <w:sz w:val="20"/>
          <w:szCs w:val="20"/>
        </w:rPr>
        <w:t xml:space="preserve"> pass on the buy-in notice down</w:t>
      </w:r>
      <w:r w:rsidRPr="000644FA">
        <w:rPr>
          <w:rFonts w:cstheme="minorHAnsi"/>
          <w:sz w:val="20"/>
          <w:szCs w:val="20"/>
        </w:rPr>
        <w:t xml:space="preserve"> the chain to the ultimate failing delivering party. This would reduce the number of buy-ins required to remedy settlement fails, particularly where multiple settlements are contingent on a single (failing) settlement. </w:t>
      </w:r>
      <w:r w:rsidR="002678EA" w:rsidRPr="000644FA">
        <w:rPr>
          <w:rFonts w:cstheme="minorHAnsi"/>
          <w:sz w:val="20"/>
          <w:szCs w:val="20"/>
        </w:rPr>
        <w:t xml:space="preserve">This is typically the case in long indirect clearing chains, making client clearing prohibitively expensive and, in doing so, undermining enhanced access to client clearing. </w:t>
      </w:r>
      <w:r w:rsidRPr="000644FA">
        <w:rPr>
          <w:rFonts w:cstheme="minorHAnsi"/>
          <w:sz w:val="20"/>
          <w:szCs w:val="20"/>
        </w:rPr>
        <w:t xml:space="preserve">This is consistent with Recital (19) of the </w:t>
      </w:r>
      <w:r w:rsidR="008A1CEC" w:rsidRPr="000644FA">
        <w:rPr>
          <w:rFonts w:cstheme="minorHAnsi"/>
          <w:sz w:val="20"/>
          <w:szCs w:val="20"/>
        </w:rPr>
        <w:t xml:space="preserve">CSDR </w:t>
      </w:r>
      <w:r w:rsidRPr="000644FA">
        <w:rPr>
          <w:rFonts w:cstheme="minorHAnsi"/>
          <w:sz w:val="20"/>
          <w:szCs w:val="20"/>
        </w:rPr>
        <w:t xml:space="preserve">and Recital (34) of the Regulatory Technical Standards. </w:t>
      </w:r>
      <w:r w:rsidR="00927715" w:rsidRPr="000644FA">
        <w:rPr>
          <w:rFonts w:cstheme="minorHAnsi"/>
          <w:sz w:val="20"/>
          <w:szCs w:val="20"/>
        </w:rPr>
        <w:t xml:space="preserve">It also addresses the issue of </w:t>
      </w:r>
      <w:r w:rsidR="00927715" w:rsidRPr="00992D4F">
        <w:rPr>
          <w:rFonts w:cstheme="minorHAnsi"/>
          <w:sz w:val="20"/>
          <w:szCs w:val="20"/>
        </w:rPr>
        <w:t xml:space="preserve">chain fails referred to in </w:t>
      </w:r>
      <w:r w:rsidR="004952D5" w:rsidRPr="00992D4F">
        <w:rPr>
          <w:rFonts w:cstheme="minorHAnsi"/>
          <w:sz w:val="20"/>
          <w:szCs w:val="20"/>
        </w:rPr>
        <w:t>Article</w:t>
      </w:r>
      <w:r w:rsidR="00927715" w:rsidRPr="00992D4F">
        <w:rPr>
          <w:rFonts w:cstheme="minorHAnsi"/>
          <w:sz w:val="20"/>
          <w:szCs w:val="20"/>
        </w:rPr>
        <w:t xml:space="preserve"> 7.10 last paragraph</w:t>
      </w:r>
      <w:r w:rsidR="004952D5" w:rsidRPr="00992D4F">
        <w:rPr>
          <w:rFonts w:cstheme="minorHAnsi"/>
          <w:sz w:val="20"/>
          <w:szCs w:val="20"/>
        </w:rPr>
        <w:t xml:space="preserve"> of the CSDR</w:t>
      </w:r>
      <w:r w:rsidR="00927715" w:rsidRPr="00992D4F">
        <w:rPr>
          <w:rFonts w:cstheme="minorHAnsi"/>
          <w:sz w:val="20"/>
          <w:szCs w:val="20"/>
        </w:rPr>
        <w:t>, for which no adequate solution had been found.</w:t>
      </w:r>
      <w:r w:rsidR="00551D71" w:rsidRPr="00992D4F">
        <w:rPr>
          <w:rFonts w:cstheme="minorHAnsi"/>
          <w:sz w:val="20"/>
          <w:szCs w:val="20"/>
        </w:rPr>
        <w:t xml:space="preserve"> </w:t>
      </w:r>
    </w:p>
    <w:p w14:paraId="5CCEAC96" w14:textId="7E0074F0" w:rsidR="00393E64" w:rsidRPr="000644FA" w:rsidRDefault="00393E64" w:rsidP="00E71006">
      <w:pPr>
        <w:shd w:val="clear" w:color="auto" w:fill="FFFFFF"/>
        <w:jc w:val="both"/>
        <w:rPr>
          <w:rFonts w:cstheme="minorHAnsi"/>
          <w:sz w:val="20"/>
          <w:szCs w:val="20"/>
        </w:rPr>
      </w:pPr>
      <w:r w:rsidRPr="00992D4F">
        <w:rPr>
          <w:rFonts w:cstheme="minorHAnsi"/>
          <w:sz w:val="20"/>
          <w:szCs w:val="20"/>
          <w:shd w:val="clear" w:color="auto" w:fill="FFFFFF"/>
        </w:rPr>
        <w:t>We can estimate the impact of pass-ons on buy-in costs by considering how many fewer buy-ins are likely to occur. Start with ISD7+ %, of those what proportion are chained transactions and of the chains, how long is each one on average. If 50% of ISD7+ fails are chained and an average chain length of 4 trades, then that gives 50% no chain (which remain), and 50%/4=12.5% from chains, so 50%+12.5%= 62.5% of ISD7+ costs remain. Thus pass-ons could reduce costs by 37.5%.</w:t>
      </w:r>
      <w:r w:rsidRPr="000644FA">
        <w:rPr>
          <w:rFonts w:cstheme="minorHAnsi"/>
          <w:sz w:val="20"/>
          <w:szCs w:val="20"/>
          <w:shd w:val="clear" w:color="auto" w:fill="FFFFFF"/>
        </w:rPr>
        <w:t xml:space="preserve"> </w:t>
      </w:r>
    </w:p>
    <w:p w14:paraId="35CDED0F" w14:textId="7FBFE588" w:rsidR="00AC51BD" w:rsidRPr="000644FA" w:rsidRDefault="00B86B6D" w:rsidP="00E71006">
      <w:pPr>
        <w:contextualSpacing/>
        <w:jc w:val="both"/>
        <w:rPr>
          <w:rFonts w:cstheme="minorHAnsi"/>
          <w:sz w:val="20"/>
          <w:szCs w:val="20"/>
        </w:rPr>
      </w:pPr>
      <w:r w:rsidRPr="000644FA">
        <w:rPr>
          <w:rFonts w:cstheme="minorHAnsi"/>
          <w:sz w:val="20"/>
          <w:szCs w:val="20"/>
        </w:rPr>
        <w:t xml:space="preserve">Please see cross-industry CSDR pass-on proposal in the AFME </w:t>
      </w:r>
      <w:r w:rsidR="00927715" w:rsidRPr="000644FA">
        <w:rPr>
          <w:rFonts w:cstheme="minorHAnsi"/>
          <w:sz w:val="20"/>
          <w:szCs w:val="20"/>
        </w:rPr>
        <w:t xml:space="preserve">and ICMA </w:t>
      </w:r>
      <w:r w:rsidRPr="000644FA">
        <w:rPr>
          <w:rFonts w:cstheme="minorHAnsi"/>
          <w:sz w:val="20"/>
          <w:szCs w:val="20"/>
        </w:rPr>
        <w:t>response</w:t>
      </w:r>
      <w:r w:rsidR="00927715" w:rsidRPr="000644FA">
        <w:rPr>
          <w:rFonts w:cstheme="minorHAnsi"/>
          <w:sz w:val="20"/>
          <w:szCs w:val="20"/>
        </w:rPr>
        <w:t>s</w:t>
      </w:r>
      <w:r w:rsidRPr="000644FA">
        <w:rPr>
          <w:rFonts w:cstheme="minorHAnsi"/>
          <w:sz w:val="20"/>
          <w:szCs w:val="20"/>
        </w:rPr>
        <w:t xml:space="preserve">. </w:t>
      </w:r>
    </w:p>
    <w:p w14:paraId="495D1155" w14:textId="126EB9FB" w:rsidR="00926894" w:rsidRPr="000644FA" w:rsidRDefault="00926894" w:rsidP="00E71006">
      <w:pPr>
        <w:autoSpaceDE w:val="0"/>
        <w:autoSpaceDN w:val="0"/>
        <w:adjustRightInd w:val="0"/>
        <w:spacing w:after="0" w:line="240" w:lineRule="auto"/>
        <w:contextualSpacing/>
        <w:jc w:val="both"/>
        <w:rPr>
          <w:rFonts w:cstheme="minorHAnsi"/>
          <w:b/>
          <w:bCs/>
          <w:i/>
          <w:iCs/>
          <w:sz w:val="20"/>
          <w:szCs w:val="20"/>
          <w:u w:val="single"/>
        </w:rPr>
      </w:pPr>
    </w:p>
    <w:p w14:paraId="3CE18C54" w14:textId="77777777" w:rsidR="00926894" w:rsidRPr="000644FA" w:rsidRDefault="00926894" w:rsidP="00E71006">
      <w:pPr>
        <w:autoSpaceDE w:val="0"/>
        <w:autoSpaceDN w:val="0"/>
        <w:adjustRightInd w:val="0"/>
        <w:spacing w:after="0" w:line="240" w:lineRule="auto"/>
        <w:contextualSpacing/>
        <w:jc w:val="both"/>
        <w:rPr>
          <w:rFonts w:cstheme="minorHAnsi"/>
          <w:b/>
          <w:bCs/>
          <w:i/>
          <w:iCs/>
          <w:sz w:val="20"/>
          <w:szCs w:val="20"/>
          <w:u w:val="single"/>
        </w:rPr>
      </w:pPr>
      <w:bookmarkStart w:id="12" w:name="_Hlk62117277"/>
    </w:p>
    <w:p w14:paraId="0EDEAEC3" w14:textId="61EE021C" w:rsidR="00684610" w:rsidRPr="000644FA" w:rsidRDefault="00E0154A" w:rsidP="00E71006">
      <w:pPr>
        <w:autoSpaceDE w:val="0"/>
        <w:autoSpaceDN w:val="0"/>
        <w:adjustRightInd w:val="0"/>
        <w:spacing w:after="0" w:line="240" w:lineRule="auto"/>
        <w:contextualSpacing/>
        <w:jc w:val="both"/>
        <w:rPr>
          <w:rFonts w:cstheme="minorHAnsi"/>
          <w:b/>
          <w:bCs/>
          <w:i/>
          <w:iCs/>
          <w:sz w:val="20"/>
          <w:szCs w:val="20"/>
          <w:u w:val="single"/>
        </w:rPr>
      </w:pPr>
      <w:r w:rsidRPr="000644FA">
        <w:rPr>
          <w:rFonts w:cstheme="minorHAnsi"/>
          <w:b/>
          <w:bCs/>
          <w:i/>
          <w:iCs/>
          <w:sz w:val="20"/>
          <w:szCs w:val="20"/>
          <w:u w:val="single"/>
        </w:rPr>
        <w:t>The scope of the buy-in regime and the exemptions applicable should be clarified</w:t>
      </w:r>
    </w:p>
    <w:p w14:paraId="02D3D899" w14:textId="77777777" w:rsidR="00EB0261" w:rsidRPr="002D31B1" w:rsidRDefault="00EB0261" w:rsidP="00E71006">
      <w:pPr>
        <w:autoSpaceDE w:val="0"/>
        <w:autoSpaceDN w:val="0"/>
        <w:adjustRightInd w:val="0"/>
        <w:spacing w:after="0" w:line="240" w:lineRule="auto"/>
        <w:contextualSpacing/>
        <w:jc w:val="both"/>
        <w:rPr>
          <w:rFonts w:cstheme="minorHAnsi"/>
          <w:i/>
          <w:iCs/>
          <w:sz w:val="20"/>
          <w:szCs w:val="20"/>
          <w:u w:val="single"/>
        </w:rPr>
      </w:pPr>
    </w:p>
    <w:bookmarkEnd w:id="12"/>
    <w:p w14:paraId="4BEA8582" w14:textId="30483909" w:rsidR="00972484" w:rsidRPr="002D31B1" w:rsidRDefault="00972484" w:rsidP="00E71006">
      <w:pPr>
        <w:jc w:val="both"/>
        <w:rPr>
          <w:rFonts w:cstheme="minorHAnsi"/>
          <w:sz w:val="20"/>
          <w:szCs w:val="20"/>
        </w:rPr>
      </w:pPr>
      <w:r w:rsidRPr="002D31B1">
        <w:rPr>
          <w:rFonts w:cstheme="minorHAnsi"/>
          <w:sz w:val="20"/>
          <w:szCs w:val="20"/>
        </w:rPr>
        <w:t xml:space="preserve">As explained above, </w:t>
      </w:r>
      <w:r w:rsidR="00DA4783">
        <w:rPr>
          <w:rFonts w:cstheme="minorHAnsi"/>
          <w:sz w:val="20"/>
          <w:szCs w:val="20"/>
        </w:rPr>
        <w:t>our institution</w:t>
      </w:r>
      <w:r w:rsidRPr="002D31B1">
        <w:rPr>
          <w:rFonts w:cstheme="minorHAnsi"/>
          <w:sz w:val="20"/>
          <w:szCs w:val="20"/>
        </w:rPr>
        <w:t xml:space="preserve"> does not support the introduction of a mandatory buy-in regime. We strongly believe that settlement efficiency can be achieved by introducing a tailored and phased-in penalty regime and replacing the mandatory regime by </w:t>
      </w:r>
      <w:r w:rsidR="006042F6" w:rsidRPr="002D31B1">
        <w:rPr>
          <w:rFonts w:cstheme="minorHAnsi"/>
          <w:sz w:val="20"/>
          <w:szCs w:val="20"/>
        </w:rPr>
        <w:t xml:space="preserve">a discretionary </w:t>
      </w:r>
      <w:r w:rsidRPr="002D31B1">
        <w:rPr>
          <w:rFonts w:cstheme="minorHAnsi"/>
          <w:sz w:val="20"/>
          <w:szCs w:val="20"/>
        </w:rPr>
        <w:t xml:space="preserve">one, therefore allowing the buyers to initiate buy-ins at their discretion and when they deem it economically efficient. </w:t>
      </w:r>
    </w:p>
    <w:p w14:paraId="7F10A191" w14:textId="44690FC7" w:rsidR="00972484" w:rsidRPr="00737AA0" w:rsidRDefault="00972484" w:rsidP="00E71006">
      <w:pPr>
        <w:jc w:val="both"/>
        <w:rPr>
          <w:rFonts w:cstheme="minorHAnsi"/>
          <w:sz w:val="20"/>
          <w:szCs w:val="20"/>
        </w:rPr>
      </w:pPr>
      <w:bookmarkStart w:id="13" w:name="_Hlk61359232"/>
      <w:r w:rsidRPr="002D31B1">
        <w:rPr>
          <w:rFonts w:cstheme="minorHAnsi"/>
          <w:sz w:val="20"/>
          <w:szCs w:val="20"/>
        </w:rPr>
        <w:t xml:space="preserve">However, if policy makers decide to go ahead with the mandatory regime as determined in Article 7 of </w:t>
      </w:r>
      <w:r w:rsidR="004952D5" w:rsidRPr="002D31B1">
        <w:rPr>
          <w:rFonts w:cstheme="minorHAnsi"/>
          <w:sz w:val="20"/>
          <w:szCs w:val="20"/>
        </w:rPr>
        <w:t xml:space="preserve">the </w:t>
      </w:r>
      <w:r w:rsidRPr="002D31B1">
        <w:rPr>
          <w:rFonts w:cstheme="minorHAnsi"/>
          <w:sz w:val="20"/>
          <w:szCs w:val="20"/>
        </w:rPr>
        <w:t>CSDR</w:t>
      </w:r>
      <w:r w:rsidR="00927715" w:rsidRPr="002D31B1">
        <w:rPr>
          <w:rFonts w:cstheme="minorHAnsi"/>
          <w:sz w:val="20"/>
          <w:szCs w:val="20"/>
        </w:rPr>
        <w:t xml:space="preserve"> </w:t>
      </w:r>
      <w:bookmarkStart w:id="14" w:name="_Hlk62630254"/>
      <w:r w:rsidR="00927715" w:rsidRPr="002D31B1">
        <w:rPr>
          <w:rFonts w:cstheme="minorHAnsi"/>
          <w:sz w:val="20"/>
          <w:szCs w:val="20"/>
        </w:rPr>
        <w:t>despite the negative effects outlined in this paper</w:t>
      </w:r>
      <w:r w:rsidRPr="002D31B1">
        <w:rPr>
          <w:rFonts w:cstheme="minorHAnsi"/>
          <w:sz w:val="20"/>
          <w:szCs w:val="20"/>
        </w:rPr>
        <w:t xml:space="preserve">, then policy makers </w:t>
      </w:r>
      <w:r w:rsidR="00927715" w:rsidRPr="002D31B1">
        <w:rPr>
          <w:rFonts w:cstheme="minorHAnsi"/>
          <w:sz w:val="20"/>
          <w:szCs w:val="20"/>
        </w:rPr>
        <w:t>should</w:t>
      </w:r>
      <w:r w:rsidRPr="002D31B1">
        <w:rPr>
          <w:rFonts w:cstheme="minorHAnsi"/>
          <w:sz w:val="20"/>
          <w:szCs w:val="20"/>
        </w:rPr>
        <w:t xml:space="preserve"> carefully consider</w:t>
      </w:r>
      <w:r w:rsidR="00927715" w:rsidRPr="002D31B1">
        <w:rPr>
          <w:rFonts w:cstheme="minorHAnsi"/>
          <w:sz w:val="20"/>
          <w:szCs w:val="20"/>
        </w:rPr>
        <w:t xml:space="preserve"> the scope of buy-ins, and include exemptions for certain</w:t>
      </w:r>
      <w:r w:rsidR="00927715" w:rsidRPr="00737AA0">
        <w:rPr>
          <w:rFonts w:cstheme="minorHAnsi"/>
          <w:sz w:val="20"/>
          <w:szCs w:val="20"/>
        </w:rPr>
        <w:t xml:space="preserve"> instruments and transaction types</w:t>
      </w:r>
      <w:r w:rsidRPr="00737AA0">
        <w:rPr>
          <w:rFonts w:cstheme="minorHAnsi"/>
          <w:sz w:val="20"/>
          <w:szCs w:val="20"/>
        </w:rPr>
        <w:t xml:space="preserve">. </w:t>
      </w:r>
    </w:p>
    <w:bookmarkEnd w:id="13"/>
    <w:bookmarkEnd w:id="14"/>
    <w:p w14:paraId="3C13339C" w14:textId="4EC1A18D" w:rsidR="00972484" w:rsidRDefault="00972484" w:rsidP="00E71006">
      <w:pPr>
        <w:spacing w:after="0" w:line="230" w:lineRule="auto"/>
        <w:jc w:val="both"/>
        <w:rPr>
          <w:rFonts w:cstheme="minorHAnsi"/>
          <w:sz w:val="20"/>
          <w:szCs w:val="20"/>
        </w:rPr>
      </w:pPr>
      <w:r w:rsidRPr="00737AA0">
        <w:rPr>
          <w:rFonts w:cstheme="minorHAnsi"/>
          <w:sz w:val="20"/>
          <w:szCs w:val="20"/>
        </w:rPr>
        <w:t xml:space="preserve">Indeed, for a number of financial instruments, forcing the buyer to initiate a buy-in could </w:t>
      </w:r>
      <w:r w:rsidR="00533F63" w:rsidRPr="00737AA0">
        <w:rPr>
          <w:rFonts w:cstheme="minorHAnsi"/>
          <w:sz w:val="20"/>
          <w:szCs w:val="20"/>
        </w:rPr>
        <w:t xml:space="preserve">be </w:t>
      </w:r>
      <w:r w:rsidRPr="00737AA0">
        <w:rPr>
          <w:rFonts w:cstheme="minorHAnsi"/>
          <w:sz w:val="20"/>
          <w:szCs w:val="20"/>
        </w:rPr>
        <w:t>more detrimental and would add an additional layer of complexity and unnecessary additional costs for the buyer</w:t>
      </w:r>
      <w:r w:rsidRPr="00737AA0">
        <w:rPr>
          <w:rFonts w:cstheme="minorHAnsi"/>
          <w:i/>
          <w:iCs/>
          <w:sz w:val="20"/>
          <w:szCs w:val="20"/>
        </w:rPr>
        <w:t>.</w:t>
      </w:r>
      <w:r w:rsidRPr="00737AA0">
        <w:rPr>
          <w:rFonts w:cstheme="minorHAnsi"/>
          <w:sz w:val="20"/>
          <w:szCs w:val="20"/>
        </w:rPr>
        <w:t xml:space="preserve"> We note the </w:t>
      </w:r>
      <w:r w:rsidR="00992D4F">
        <w:rPr>
          <w:rFonts w:cstheme="minorHAnsi"/>
          <w:sz w:val="20"/>
          <w:szCs w:val="20"/>
        </w:rPr>
        <w:t>following</w:t>
      </w:r>
      <w:r w:rsidRPr="00737AA0">
        <w:rPr>
          <w:rFonts w:cstheme="minorHAnsi"/>
          <w:sz w:val="20"/>
          <w:szCs w:val="20"/>
        </w:rPr>
        <w:t xml:space="preserve"> examples:</w:t>
      </w:r>
    </w:p>
    <w:p w14:paraId="755F762F" w14:textId="77777777" w:rsidR="00D71235" w:rsidRPr="00737AA0" w:rsidRDefault="00D71235" w:rsidP="00E71006">
      <w:pPr>
        <w:spacing w:after="0" w:line="230" w:lineRule="auto"/>
        <w:jc w:val="both"/>
        <w:rPr>
          <w:rFonts w:cstheme="minorHAnsi"/>
          <w:sz w:val="20"/>
          <w:szCs w:val="20"/>
        </w:rPr>
      </w:pPr>
    </w:p>
    <w:p w14:paraId="47AFABEE" w14:textId="77777777" w:rsidR="00972484" w:rsidRPr="000644FA" w:rsidRDefault="00972484" w:rsidP="00E71006">
      <w:pPr>
        <w:spacing w:after="0" w:line="230" w:lineRule="auto"/>
        <w:jc w:val="both"/>
        <w:rPr>
          <w:rFonts w:cstheme="minorHAnsi"/>
          <w:sz w:val="20"/>
          <w:szCs w:val="20"/>
        </w:rPr>
      </w:pPr>
    </w:p>
    <w:p w14:paraId="3963B582" w14:textId="77777777" w:rsidR="00972484" w:rsidRPr="000644FA" w:rsidRDefault="00972484" w:rsidP="00E71006">
      <w:pPr>
        <w:pStyle w:val="ListParagraph"/>
        <w:numPr>
          <w:ilvl w:val="0"/>
          <w:numId w:val="22"/>
        </w:numPr>
        <w:spacing w:after="0" w:line="230" w:lineRule="auto"/>
        <w:jc w:val="both"/>
        <w:rPr>
          <w:rFonts w:eastAsia="Times New Roman" w:cstheme="minorHAnsi"/>
          <w:sz w:val="20"/>
          <w:szCs w:val="20"/>
        </w:rPr>
      </w:pPr>
      <w:r w:rsidRPr="000644FA">
        <w:rPr>
          <w:rFonts w:eastAsia="Times New Roman" w:cstheme="minorHAnsi"/>
          <w:b/>
          <w:bCs/>
          <w:sz w:val="20"/>
          <w:szCs w:val="20"/>
        </w:rPr>
        <w:lastRenderedPageBreak/>
        <w:t>Physically settled derivatives instruments:</w:t>
      </w:r>
      <w:r w:rsidRPr="000644FA">
        <w:rPr>
          <w:rFonts w:eastAsia="Times New Roman" w:cstheme="minorHAnsi"/>
          <w:sz w:val="20"/>
          <w:szCs w:val="20"/>
        </w:rPr>
        <w:t xml:space="preserve"> </w:t>
      </w:r>
    </w:p>
    <w:p w14:paraId="41371338" w14:textId="47779A21" w:rsidR="00972484" w:rsidRPr="000644FA" w:rsidRDefault="00DA4783" w:rsidP="00E71006">
      <w:pPr>
        <w:pStyle w:val="ListParagraph"/>
        <w:spacing w:after="0" w:line="230" w:lineRule="auto"/>
        <w:ind w:left="766"/>
        <w:jc w:val="both"/>
        <w:rPr>
          <w:rFonts w:cstheme="minorHAnsi"/>
          <w:sz w:val="20"/>
          <w:szCs w:val="20"/>
        </w:rPr>
      </w:pPr>
      <w:r>
        <w:rPr>
          <w:rFonts w:cstheme="minorHAnsi"/>
          <w:sz w:val="20"/>
          <w:szCs w:val="20"/>
        </w:rPr>
        <w:t xml:space="preserve">We </w:t>
      </w:r>
      <w:r w:rsidR="00972484" w:rsidRPr="000644FA">
        <w:rPr>
          <w:rFonts w:cstheme="minorHAnsi"/>
          <w:sz w:val="20"/>
          <w:szCs w:val="20"/>
        </w:rPr>
        <w:t xml:space="preserve">support the ISDA-FIA position with regards to the application of the </w:t>
      </w:r>
      <w:r w:rsidR="000E00D1" w:rsidRPr="000644FA">
        <w:rPr>
          <w:rFonts w:cstheme="minorHAnsi"/>
          <w:sz w:val="20"/>
          <w:szCs w:val="20"/>
        </w:rPr>
        <w:t xml:space="preserve">mandatory buy-in regime </w:t>
      </w:r>
      <w:r w:rsidR="00972484" w:rsidRPr="000644FA">
        <w:rPr>
          <w:rFonts w:cstheme="minorHAnsi"/>
          <w:sz w:val="20"/>
          <w:szCs w:val="20"/>
        </w:rPr>
        <w:t>to physically settled derivatives instruments</w:t>
      </w:r>
      <w:r w:rsidR="00992D4F">
        <w:rPr>
          <w:rFonts w:cstheme="minorHAnsi"/>
          <w:sz w:val="20"/>
          <w:szCs w:val="20"/>
        </w:rPr>
        <w:t>.</w:t>
      </w:r>
      <w:r w:rsidR="002459F9" w:rsidRPr="000644FA">
        <w:rPr>
          <w:rFonts w:cstheme="minorHAnsi"/>
          <w:sz w:val="20"/>
          <w:szCs w:val="20"/>
        </w:rPr>
        <w:t xml:space="preserve"> </w:t>
      </w:r>
      <w:r w:rsidR="00972484" w:rsidRPr="000644FA">
        <w:rPr>
          <w:rFonts w:cstheme="minorHAnsi"/>
          <w:sz w:val="20"/>
          <w:szCs w:val="20"/>
        </w:rPr>
        <w:t xml:space="preserve">Derivative transactions already have </w:t>
      </w:r>
      <w:bookmarkStart w:id="15" w:name="_Hlk62630319"/>
      <w:r w:rsidR="00972484" w:rsidRPr="000644FA">
        <w:rPr>
          <w:rFonts w:cstheme="minorHAnsi"/>
          <w:sz w:val="20"/>
          <w:szCs w:val="20"/>
        </w:rPr>
        <w:t>existing and tailored fall backs built-in within their contracts to appropriately deal with counterparty credit risk and settlement fails</w:t>
      </w:r>
      <w:bookmarkEnd w:id="15"/>
      <w:r w:rsidR="00972484" w:rsidRPr="000644FA">
        <w:rPr>
          <w:rFonts w:cstheme="minorHAnsi"/>
          <w:sz w:val="20"/>
          <w:szCs w:val="20"/>
        </w:rPr>
        <w:t xml:space="preserve">. These contractual provisions are well understood by expert market participants and reflect the commercial agreement between the parties to the trade. Therefore, forcing a mandatory buy-in regime on these contracts would be disruptive and undermine those commercial arrangements. Forcing a mandatory buy-in regime on top of the existing fall backs would also add confusion and will require a burdensome and very costly re-papering exercise of existing contracts to take place with very little benefits for the buyers. For derivatives trades which would require the physical settlement of in scope financial instruments, we should leave it to the receiving trading party to determine whether from a legal and a commercial point of view it makes sense for a buy-in process to be added to the contract as one of the fall back options on top of other already existing fall backs. </w:t>
      </w:r>
    </w:p>
    <w:p w14:paraId="34BF3BEE" w14:textId="276AEFC8" w:rsidR="002678EA" w:rsidRPr="000644FA" w:rsidRDefault="002678EA" w:rsidP="00E71006">
      <w:pPr>
        <w:pStyle w:val="ListParagraph"/>
        <w:spacing w:after="0" w:line="230" w:lineRule="auto"/>
        <w:ind w:left="766"/>
        <w:jc w:val="both"/>
        <w:rPr>
          <w:rFonts w:cstheme="minorHAnsi"/>
          <w:sz w:val="20"/>
          <w:szCs w:val="20"/>
        </w:rPr>
      </w:pPr>
    </w:p>
    <w:p w14:paraId="06F2FC79" w14:textId="5260C10C" w:rsidR="002678EA" w:rsidRPr="000644FA" w:rsidRDefault="002678EA" w:rsidP="00E71006">
      <w:pPr>
        <w:pStyle w:val="ListParagraph"/>
        <w:spacing w:after="0" w:line="230" w:lineRule="auto"/>
        <w:ind w:left="766"/>
        <w:jc w:val="both"/>
        <w:rPr>
          <w:rFonts w:cstheme="minorHAnsi"/>
          <w:sz w:val="20"/>
          <w:szCs w:val="20"/>
        </w:rPr>
      </w:pPr>
      <w:r w:rsidRPr="000644FA">
        <w:rPr>
          <w:rFonts w:cstheme="minorHAnsi"/>
          <w:sz w:val="20"/>
          <w:szCs w:val="20"/>
        </w:rPr>
        <w:t>In the cleared space</w:t>
      </w:r>
      <w:r w:rsidR="00992D4F">
        <w:rPr>
          <w:rFonts w:cstheme="minorHAnsi"/>
          <w:sz w:val="20"/>
          <w:szCs w:val="20"/>
        </w:rPr>
        <w:t>,</w:t>
      </w:r>
      <w:r w:rsidRPr="000644FA">
        <w:rPr>
          <w:rFonts w:cstheme="minorHAnsi"/>
          <w:sz w:val="20"/>
          <w:szCs w:val="20"/>
        </w:rPr>
        <w:t xml:space="preserve"> the existing framework for deliveries settlements is already well disciplined and tightly governed through a well-established CCP framework of timings and penalties and there is no practical need to change that. Outright delivery failures are a rare event and appropriate deterrents are already in place. Hence </w:t>
      </w:r>
      <w:r w:rsidR="00DA4783">
        <w:rPr>
          <w:rFonts w:cstheme="minorHAnsi"/>
          <w:sz w:val="20"/>
          <w:szCs w:val="20"/>
        </w:rPr>
        <w:t xml:space="preserve">we </w:t>
      </w:r>
      <w:r w:rsidRPr="000644FA">
        <w:rPr>
          <w:rFonts w:cstheme="minorHAnsi"/>
          <w:sz w:val="20"/>
          <w:szCs w:val="20"/>
        </w:rPr>
        <w:t>believe there is no rationale for the introduction of a mandatory buy-in regime for cleared derivatives.</w:t>
      </w:r>
    </w:p>
    <w:p w14:paraId="4C7D88B9" w14:textId="77777777" w:rsidR="002678EA" w:rsidRPr="000644FA" w:rsidRDefault="002678EA" w:rsidP="00E71006">
      <w:pPr>
        <w:pStyle w:val="ListParagraph"/>
        <w:spacing w:after="0" w:line="230" w:lineRule="auto"/>
        <w:ind w:left="766"/>
        <w:jc w:val="both"/>
        <w:rPr>
          <w:rFonts w:cstheme="minorHAnsi"/>
          <w:sz w:val="20"/>
          <w:szCs w:val="20"/>
        </w:rPr>
      </w:pPr>
    </w:p>
    <w:p w14:paraId="78E920C2" w14:textId="77777777" w:rsidR="00972484" w:rsidRPr="000644FA" w:rsidRDefault="00972484" w:rsidP="00E71006">
      <w:pPr>
        <w:pStyle w:val="ListParagraph"/>
        <w:spacing w:after="0" w:line="230" w:lineRule="auto"/>
        <w:ind w:left="766"/>
        <w:jc w:val="both"/>
        <w:rPr>
          <w:rFonts w:cstheme="minorHAnsi"/>
          <w:sz w:val="20"/>
          <w:szCs w:val="20"/>
        </w:rPr>
      </w:pPr>
    </w:p>
    <w:p w14:paraId="229AB561" w14:textId="77777777" w:rsidR="00972484" w:rsidRPr="000644FA" w:rsidRDefault="00972484" w:rsidP="00E71006">
      <w:pPr>
        <w:pStyle w:val="ListParagraph"/>
        <w:numPr>
          <w:ilvl w:val="0"/>
          <w:numId w:val="22"/>
        </w:numPr>
        <w:spacing w:after="0" w:line="230" w:lineRule="auto"/>
        <w:jc w:val="both"/>
        <w:rPr>
          <w:rFonts w:eastAsia="Times New Roman" w:cstheme="minorHAnsi"/>
          <w:b/>
          <w:bCs/>
          <w:sz w:val="20"/>
          <w:szCs w:val="20"/>
        </w:rPr>
      </w:pPr>
      <w:r w:rsidRPr="000644FA">
        <w:rPr>
          <w:rFonts w:eastAsia="Times New Roman" w:cstheme="minorHAnsi"/>
          <w:b/>
          <w:bCs/>
          <w:sz w:val="20"/>
          <w:szCs w:val="20"/>
        </w:rPr>
        <w:t xml:space="preserve">Margin transfers: </w:t>
      </w:r>
    </w:p>
    <w:p w14:paraId="242D0A4E" w14:textId="408D14B9" w:rsidR="00972484" w:rsidRPr="000644FA" w:rsidRDefault="00972484" w:rsidP="00E71006">
      <w:pPr>
        <w:pStyle w:val="ListParagraph"/>
        <w:shd w:val="clear" w:color="auto" w:fill="FFFFFF"/>
        <w:spacing w:after="0" w:line="230" w:lineRule="auto"/>
        <w:ind w:left="766"/>
        <w:jc w:val="both"/>
        <w:rPr>
          <w:rFonts w:cstheme="minorHAnsi"/>
          <w:sz w:val="20"/>
          <w:szCs w:val="20"/>
        </w:rPr>
      </w:pPr>
      <w:r w:rsidRPr="000644FA">
        <w:rPr>
          <w:rFonts w:cstheme="minorHAnsi"/>
          <w:sz w:val="20"/>
          <w:szCs w:val="20"/>
        </w:rPr>
        <w:t xml:space="preserve">We do not believe that the transfer and settlement of in scope financial instruments by way of margin transfers, both for cleared and </w:t>
      </w:r>
      <w:r w:rsidRPr="00140FD5">
        <w:rPr>
          <w:rFonts w:cstheme="minorHAnsi"/>
          <w:sz w:val="20"/>
          <w:szCs w:val="20"/>
        </w:rPr>
        <w:t>uncleared derivatives,</w:t>
      </w:r>
      <w:r w:rsidRPr="000644FA">
        <w:rPr>
          <w:rFonts w:cstheme="minorHAnsi"/>
          <w:sz w:val="20"/>
          <w:szCs w:val="20"/>
        </w:rPr>
        <w:t xml:space="preserve"> is intended to be covered by the mandatory buy-in regime. In case policy makers decide to go ahead with the current mandatory buy-in regime, we would therefore welcome clarification that margin transfers will be exempted from the regime. </w:t>
      </w:r>
    </w:p>
    <w:p w14:paraId="6EF1116C" w14:textId="77777777" w:rsidR="00972484" w:rsidRPr="000644FA" w:rsidRDefault="00972484" w:rsidP="00E71006">
      <w:pPr>
        <w:pStyle w:val="ListParagraph"/>
        <w:shd w:val="clear" w:color="auto" w:fill="FFFFFF"/>
        <w:spacing w:after="0"/>
        <w:ind w:left="766" w:right="55"/>
        <w:jc w:val="both"/>
        <w:rPr>
          <w:rFonts w:cstheme="minorHAnsi"/>
          <w:sz w:val="20"/>
          <w:szCs w:val="20"/>
        </w:rPr>
      </w:pPr>
    </w:p>
    <w:p w14:paraId="31365A31" w14:textId="1274C1C1" w:rsidR="00972484" w:rsidRPr="000644FA" w:rsidRDefault="00972484" w:rsidP="00E71006">
      <w:pPr>
        <w:pStyle w:val="ListParagraph"/>
        <w:shd w:val="clear" w:color="auto" w:fill="FFFFFF"/>
        <w:spacing w:after="0"/>
        <w:ind w:left="766" w:right="55"/>
        <w:jc w:val="both"/>
        <w:rPr>
          <w:rFonts w:cstheme="minorHAnsi"/>
          <w:sz w:val="20"/>
          <w:szCs w:val="20"/>
        </w:rPr>
      </w:pPr>
      <w:r w:rsidRPr="000644FA">
        <w:rPr>
          <w:rFonts w:cstheme="minorHAnsi"/>
          <w:sz w:val="20"/>
          <w:szCs w:val="20"/>
        </w:rPr>
        <w:t>As stated in the ISDA-FIA and AFME responses, which</w:t>
      </w:r>
      <w:r w:rsidR="00DA4783">
        <w:rPr>
          <w:rFonts w:cstheme="minorHAnsi"/>
          <w:sz w:val="20"/>
          <w:szCs w:val="20"/>
        </w:rPr>
        <w:t xml:space="preserve"> our institution</w:t>
      </w:r>
      <w:r w:rsidRPr="000644FA">
        <w:rPr>
          <w:rFonts w:cstheme="minorHAnsi"/>
          <w:sz w:val="20"/>
          <w:szCs w:val="20"/>
        </w:rPr>
        <w:t xml:space="preserve"> fully supports, the mandatory buy-in regime under CSDR aims to reduce settlement fails by establishing a “compulsory enforcement of the original agreement”, intended to result in the delivery by the failing party and receipt by the receiving party. However, that is never the intention of a margin transfer, the inherent purpose of which is to mitigate credit risk arising from an exposure created by an underlying trade rather than the actual transfer of the collateral asset. Introducing a mandatory buy-in regime to capture failures of the transfer of in scope financial instruments which are transferred for collateralisation purposes would for that reason not make sense.</w:t>
      </w:r>
    </w:p>
    <w:p w14:paraId="0D2ECA51" w14:textId="77777777" w:rsidR="00972484" w:rsidRPr="000644FA" w:rsidRDefault="00972484" w:rsidP="00E71006">
      <w:pPr>
        <w:pStyle w:val="ListParagraph"/>
        <w:shd w:val="clear" w:color="auto" w:fill="FFFFFF"/>
        <w:spacing w:after="0"/>
        <w:ind w:left="766" w:right="55"/>
        <w:jc w:val="both"/>
        <w:rPr>
          <w:rFonts w:cstheme="minorHAnsi"/>
          <w:sz w:val="20"/>
          <w:szCs w:val="20"/>
        </w:rPr>
      </w:pPr>
    </w:p>
    <w:p w14:paraId="571447F6" w14:textId="77777777" w:rsidR="00972484" w:rsidRPr="000644FA" w:rsidRDefault="00972484" w:rsidP="00E71006">
      <w:pPr>
        <w:pStyle w:val="ListParagraph"/>
        <w:shd w:val="clear" w:color="auto" w:fill="FFFFFF"/>
        <w:spacing w:after="0"/>
        <w:ind w:left="766" w:right="55"/>
        <w:jc w:val="both"/>
        <w:rPr>
          <w:rFonts w:cstheme="minorHAnsi"/>
          <w:sz w:val="20"/>
          <w:szCs w:val="20"/>
        </w:rPr>
      </w:pPr>
      <w:r w:rsidRPr="000644FA">
        <w:rPr>
          <w:rFonts w:cstheme="minorHAnsi"/>
          <w:sz w:val="20"/>
          <w:szCs w:val="20"/>
        </w:rPr>
        <w:t xml:space="preserve">Mandating a buy-in in this situation would equally be counterproductive to the collateral receiver as it would increase its exposure to the failing party and the receiving party will remain uncollateralised until the buy-in is completed. </w:t>
      </w:r>
    </w:p>
    <w:p w14:paraId="40198D98" w14:textId="77777777" w:rsidR="00972484" w:rsidRPr="000644FA" w:rsidRDefault="00972484" w:rsidP="00E71006">
      <w:pPr>
        <w:pStyle w:val="ListParagraph"/>
        <w:shd w:val="clear" w:color="auto" w:fill="FFFFFF"/>
        <w:spacing w:after="0"/>
        <w:ind w:left="766" w:right="55"/>
        <w:jc w:val="both"/>
        <w:rPr>
          <w:rFonts w:cstheme="minorHAnsi"/>
          <w:sz w:val="20"/>
          <w:szCs w:val="20"/>
        </w:rPr>
      </w:pPr>
    </w:p>
    <w:p w14:paraId="2F59E945" w14:textId="4702B9D8" w:rsidR="00972484" w:rsidRDefault="00972484" w:rsidP="00E71006">
      <w:pPr>
        <w:pStyle w:val="ListParagraph"/>
        <w:shd w:val="clear" w:color="auto" w:fill="FFFFFF"/>
        <w:spacing w:after="0"/>
        <w:ind w:left="766" w:right="55"/>
        <w:jc w:val="both"/>
        <w:rPr>
          <w:rFonts w:cstheme="minorHAnsi"/>
          <w:sz w:val="20"/>
          <w:szCs w:val="20"/>
        </w:rPr>
      </w:pPr>
      <w:r w:rsidRPr="000644FA">
        <w:rPr>
          <w:rFonts w:cstheme="minorHAnsi"/>
          <w:sz w:val="20"/>
          <w:szCs w:val="20"/>
        </w:rPr>
        <w:t>In addition, as rightly pointed out by ISDA</w:t>
      </w:r>
      <w:r w:rsidR="002678EA" w:rsidRPr="000644FA">
        <w:rPr>
          <w:rFonts w:cstheme="minorHAnsi"/>
          <w:sz w:val="20"/>
          <w:szCs w:val="20"/>
        </w:rPr>
        <w:t xml:space="preserve"> and the FIA</w:t>
      </w:r>
      <w:r w:rsidRPr="000644FA">
        <w:rPr>
          <w:rFonts w:cstheme="minorHAnsi"/>
          <w:sz w:val="20"/>
          <w:szCs w:val="20"/>
        </w:rPr>
        <w:t xml:space="preserve">, we believe that the carve out in Article 7(4)(b) </w:t>
      </w:r>
      <w:r w:rsidR="004770FA" w:rsidRPr="000644FA">
        <w:rPr>
          <w:rFonts w:cstheme="minorHAnsi"/>
          <w:sz w:val="20"/>
          <w:szCs w:val="20"/>
        </w:rPr>
        <w:t xml:space="preserve">of the CSDR </w:t>
      </w:r>
      <w:r w:rsidRPr="000644FA">
        <w:rPr>
          <w:rFonts w:cstheme="minorHAnsi"/>
          <w:sz w:val="20"/>
          <w:szCs w:val="20"/>
        </w:rPr>
        <w:t xml:space="preserve">(operations composed of several transactions where the timeframe of those operations is sufficiently short and renders the buy-in process ineffective), should also apply to margin transfers given that margin calls are usually made on a daily basis and initial margin requirements must be recalculated every 10 business days at most. The above arguments apply to the transfer of in scope financial instruments by way of margin both in the cleared and non-cleared space. </w:t>
      </w:r>
    </w:p>
    <w:p w14:paraId="4EA080A4" w14:textId="77777777" w:rsidR="003979F7" w:rsidRPr="003979F7" w:rsidRDefault="003979F7" w:rsidP="003979F7">
      <w:pPr>
        <w:shd w:val="clear" w:color="auto" w:fill="FFFFFF"/>
        <w:spacing w:after="0"/>
        <w:ind w:right="55"/>
        <w:jc w:val="both"/>
        <w:rPr>
          <w:rFonts w:cstheme="minorHAnsi"/>
          <w:sz w:val="20"/>
          <w:szCs w:val="20"/>
        </w:rPr>
      </w:pPr>
    </w:p>
    <w:p w14:paraId="20642D2F" w14:textId="77777777" w:rsidR="003979F7" w:rsidRPr="003979F7" w:rsidRDefault="003979F7" w:rsidP="003979F7">
      <w:pPr>
        <w:pStyle w:val="ListParagraph"/>
        <w:numPr>
          <w:ilvl w:val="0"/>
          <w:numId w:val="22"/>
        </w:numPr>
        <w:shd w:val="clear" w:color="auto" w:fill="FFFFFF"/>
        <w:spacing w:after="0"/>
        <w:ind w:right="55"/>
        <w:jc w:val="both"/>
        <w:rPr>
          <w:rFonts w:cstheme="minorHAnsi"/>
          <w:b/>
          <w:bCs/>
          <w:sz w:val="20"/>
          <w:szCs w:val="20"/>
        </w:rPr>
      </w:pPr>
      <w:r w:rsidRPr="003979F7">
        <w:rPr>
          <w:rFonts w:cstheme="minorHAnsi"/>
          <w:b/>
          <w:bCs/>
          <w:sz w:val="20"/>
          <w:szCs w:val="20"/>
        </w:rPr>
        <w:t xml:space="preserve">Securities financing Transactions: </w:t>
      </w:r>
    </w:p>
    <w:p w14:paraId="250836C5" w14:textId="79EC0975" w:rsidR="003979F7" w:rsidRPr="00B40E2E" w:rsidRDefault="003979F7" w:rsidP="00B40E2E">
      <w:pPr>
        <w:ind w:left="851"/>
        <w:jc w:val="both"/>
        <w:rPr>
          <w:rFonts w:cstheme="minorHAnsi"/>
          <w:sz w:val="20"/>
          <w:szCs w:val="20"/>
        </w:rPr>
      </w:pPr>
      <w:bookmarkStart w:id="16" w:name="_Hlk63159692"/>
      <w:r w:rsidRPr="003979F7">
        <w:rPr>
          <w:rFonts w:cstheme="minorHAnsi"/>
          <w:sz w:val="20"/>
          <w:szCs w:val="20"/>
        </w:rPr>
        <w:t>SFTs, including securities lending</w:t>
      </w:r>
      <w:bookmarkEnd w:id="16"/>
      <w:r w:rsidRPr="003979F7">
        <w:rPr>
          <w:rFonts w:cstheme="minorHAnsi"/>
          <w:sz w:val="20"/>
          <w:szCs w:val="20"/>
        </w:rPr>
        <w:t xml:space="preserve">, </w:t>
      </w:r>
      <w:r w:rsidR="00B40E2E">
        <w:rPr>
          <w:rFonts w:cstheme="minorHAnsi"/>
          <w:sz w:val="20"/>
          <w:szCs w:val="20"/>
        </w:rPr>
        <w:t xml:space="preserve">should be out of scope </w:t>
      </w:r>
      <w:r w:rsidR="00B40E2E" w:rsidRPr="00B40E2E">
        <w:rPr>
          <w:rFonts w:cstheme="minorHAnsi"/>
          <w:sz w:val="20"/>
          <w:szCs w:val="20"/>
        </w:rPr>
        <w:t xml:space="preserve">and the current exemption for SFT’s below 30 days should </w:t>
      </w:r>
      <w:r w:rsidR="00992D4F">
        <w:rPr>
          <w:rFonts w:cstheme="minorHAnsi"/>
          <w:sz w:val="20"/>
          <w:szCs w:val="20"/>
        </w:rPr>
        <w:t xml:space="preserve">be </w:t>
      </w:r>
      <w:r w:rsidR="00B40E2E" w:rsidRPr="00B40E2E">
        <w:rPr>
          <w:rFonts w:cstheme="minorHAnsi"/>
          <w:sz w:val="20"/>
          <w:szCs w:val="20"/>
        </w:rPr>
        <w:t>extended to cover all SFT’s irrespective of their term, i</w:t>
      </w:r>
      <w:r w:rsidR="00B40E2E">
        <w:rPr>
          <w:rFonts w:cstheme="minorHAnsi"/>
          <w:sz w:val="20"/>
          <w:szCs w:val="20"/>
        </w:rPr>
        <w:t>.</w:t>
      </w:r>
      <w:r w:rsidR="00B40E2E" w:rsidRPr="00B40E2E">
        <w:rPr>
          <w:rFonts w:cstheme="minorHAnsi"/>
          <w:sz w:val="20"/>
          <w:szCs w:val="20"/>
        </w:rPr>
        <w:t>e</w:t>
      </w:r>
      <w:r w:rsidR="00B40E2E">
        <w:rPr>
          <w:rFonts w:cstheme="minorHAnsi"/>
          <w:sz w:val="20"/>
          <w:szCs w:val="20"/>
        </w:rPr>
        <w:t>.</w:t>
      </w:r>
      <w:r w:rsidR="00B40E2E" w:rsidRPr="00B40E2E">
        <w:rPr>
          <w:rFonts w:cstheme="minorHAnsi"/>
          <w:sz w:val="20"/>
          <w:szCs w:val="20"/>
        </w:rPr>
        <w:t xml:space="preserve"> including evergreen transactions and SFT’s above 30 days. These should be excluded </w:t>
      </w:r>
      <w:r w:rsidRPr="00B40E2E">
        <w:rPr>
          <w:rFonts w:cstheme="minorHAnsi"/>
          <w:sz w:val="20"/>
          <w:szCs w:val="20"/>
        </w:rPr>
        <w:t>on the basis that SFTs are already widely utilised as an efficient mechanism to reduce settlement failures in the cash market. In addition to this benefit, SFTs are an essential element in liquidity generation. Any limitation introduced by a mandatory buy-in regime would adversely impact this market benefit and the overall efficiency of EU securities markets.</w:t>
      </w:r>
    </w:p>
    <w:p w14:paraId="2756C8DF" w14:textId="77777777" w:rsidR="00972484" w:rsidRPr="000644FA" w:rsidRDefault="00972484" w:rsidP="00E71006">
      <w:pPr>
        <w:jc w:val="both"/>
        <w:rPr>
          <w:rFonts w:cstheme="minorHAnsi"/>
          <w:sz w:val="20"/>
          <w:szCs w:val="20"/>
        </w:rPr>
      </w:pPr>
    </w:p>
    <w:p w14:paraId="0AB9E505" w14:textId="42DFA1FB" w:rsidR="004E1A18" w:rsidRPr="000644FA" w:rsidRDefault="009816AA" w:rsidP="00E71006">
      <w:pPr>
        <w:jc w:val="both"/>
        <w:rPr>
          <w:rFonts w:cstheme="minorHAnsi"/>
          <w:sz w:val="20"/>
          <w:szCs w:val="20"/>
        </w:rPr>
      </w:pPr>
      <w:r w:rsidRPr="000644FA">
        <w:rPr>
          <w:rFonts w:cstheme="minorHAnsi"/>
          <w:sz w:val="20"/>
          <w:szCs w:val="20"/>
        </w:rPr>
        <w:lastRenderedPageBreak/>
        <w:t>W</w:t>
      </w:r>
      <w:r w:rsidR="000D10EA" w:rsidRPr="000644FA">
        <w:rPr>
          <w:rFonts w:cstheme="minorHAnsi"/>
          <w:sz w:val="20"/>
          <w:szCs w:val="20"/>
        </w:rPr>
        <w:t>e</w:t>
      </w:r>
      <w:r w:rsidRPr="000644FA">
        <w:rPr>
          <w:rFonts w:cstheme="minorHAnsi"/>
          <w:sz w:val="20"/>
          <w:szCs w:val="20"/>
        </w:rPr>
        <w:t xml:space="preserve"> therefore believe that</w:t>
      </w:r>
      <w:r w:rsidR="00EB0261" w:rsidRPr="000644FA">
        <w:rPr>
          <w:rFonts w:cstheme="minorHAnsi"/>
          <w:sz w:val="20"/>
          <w:szCs w:val="20"/>
        </w:rPr>
        <w:t>, if policy makers are going to go ahead with the mandatory buy-in regime then it</w:t>
      </w:r>
      <w:r w:rsidR="000E00D1" w:rsidRPr="000644FA">
        <w:rPr>
          <w:rFonts w:cstheme="minorHAnsi"/>
          <w:sz w:val="20"/>
          <w:szCs w:val="20"/>
        </w:rPr>
        <w:t xml:space="preserve"> </w:t>
      </w:r>
      <w:r w:rsidR="00EB0261" w:rsidRPr="000644FA">
        <w:rPr>
          <w:rFonts w:cstheme="minorHAnsi"/>
          <w:sz w:val="20"/>
          <w:szCs w:val="20"/>
        </w:rPr>
        <w:t>is important to ensure that</w:t>
      </w:r>
      <w:r w:rsidRPr="000644FA">
        <w:rPr>
          <w:rFonts w:cstheme="minorHAnsi"/>
          <w:sz w:val="20"/>
          <w:szCs w:val="20"/>
        </w:rPr>
        <w:t xml:space="preserve"> settlement fails arising in the context of </w:t>
      </w:r>
      <w:r w:rsidR="003C7442" w:rsidRPr="000644FA">
        <w:rPr>
          <w:rFonts w:cstheme="minorHAnsi"/>
          <w:sz w:val="20"/>
          <w:szCs w:val="20"/>
        </w:rPr>
        <w:t xml:space="preserve">physically settled </w:t>
      </w:r>
      <w:r w:rsidRPr="000644FA">
        <w:rPr>
          <w:rFonts w:cstheme="minorHAnsi"/>
          <w:sz w:val="20"/>
          <w:szCs w:val="20"/>
        </w:rPr>
        <w:t>derivatives</w:t>
      </w:r>
      <w:r w:rsidR="00992D4F">
        <w:rPr>
          <w:rFonts w:cstheme="minorHAnsi"/>
          <w:sz w:val="20"/>
          <w:szCs w:val="20"/>
        </w:rPr>
        <w:t xml:space="preserve">, </w:t>
      </w:r>
      <w:r w:rsidR="00530EF4" w:rsidRPr="000644FA">
        <w:rPr>
          <w:rFonts w:cstheme="minorHAnsi"/>
          <w:sz w:val="20"/>
          <w:szCs w:val="20"/>
        </w:rPr>
        <w:t xml:space="preserve">margin transfers </w:t>
      </w:r>
      <w:r w:rsidR="00752BF4" w:rsidRPr="000644FA">
        <w:rPr>
          <w:rFonts w:cstheme="minorHAnsi"/>
          <w:sz w:val="20"/>
          <w:szCs w:val="20"/>
        </w:rPr>
        <w:t xml:space="preserve"> </w:t>
      </w:r>
      <w:r w:rsidR="00992D4F">
        <w:rPr>
          <w:rFonts w:cstheme="minorHAnsi"/>
          <w:sz w:val="20"/>
          <w:szCs w:val="20"/>
        </w:rPr>
        <w:t xml:space="preserve">and SFTs </w:t>
      </w:r>
      <w:r w:rsidRPr="000644FA">
        <w:rPr>
          <w:rFonts w:cstheme="minorHAnsi"/>
          <w:sz w:val="20"/>
          <w:szCs w:val="20"/>
        </w:rPr>
        <w:t xml:space="preserve">should be out of scope of the </w:t>
      </w:r>
      <w:r w:rsidR="00EB0261" w:rsidRPr="000644FA">
        <w:rPr>
          <w:rFonts w:cstheme="minorHAnsi"/>
          <w:sz w:val="20"/>
          <w:szCs w:val="20"/>
        </w:rPr>
        <w:t xml:space="preserve">a </w:t>
      </w:r>
      <w:r w:rsidRPr="000644FA">
        <w:rPr>
          <w:rFonts w:cstheme="minorHAnsi"/>
          <w:sz w:val="20"/>
          <w:szCs w:val="20"/>
        </w:rPr>
        <w:t xml:space="preserve">mandatory buy-in regime. </w:t>
      </w:r>
    </w:p>
    <w:p w14:paraId="71CDD187" w14:textId="77777777" w:rsidR="004E1A18" w:rsidRPr="000644FA" w:rsidRDefault="004E1A18" w:rsidP="00E71006">
      <w:pPr>
        <w:spacing w:after="0" w:line="239" w:lineRule="auto"/>
        <w:jc w:val="both"/>
        <w:rPr>
          <w:rFonts w:cstheme="minorHAnsi"/>
          <w:b/>
          <w:bCs/>
          <w:i/>
          <w:iCs/>
          <w:sz w:val="20"/>
          <w:szCs w:val="20"/>
          <w:u w:val="single"/>
        </w:rPr>
      </w:pPr>
    </w:p>
    <w:p w14:paraId="22F7E45A" w14:textId="18939BD4" w:rsidR="00AC51BD" w:rsidRPr="000644FA" w:rsidRDefault="00AC51BD" w:rsidP="00E71006">
      <w:pPr>
        <w:spacing w:after="0" w:line="239" w:lineRule="auto"/>
        <w:jc w:val="both"/>
        <w:rPr>
          <w:rFonts w:cstheme="minorHAnsi"/>
          <w:b/>
          <w:bCs/>
          <w:i/>
          <w:iCs/>
          <w:sz w:val="20"/>
          <w:szCs w:val="20"/>
          <w:u w:val="single"/>
        </w:rPr>
      </w:pPr>
      <w:r w:rsidRPr="000644FA">
        <w:rPr>
          <w:rFonts w:cstheme="minorHAnsi"/>
          <w:b/>
          <w:bCs/>
          <w:i/>
          <w:iCs/>
          <w:sz w:val="20"/>
          <w:szCs w:val="20"/>
          <w:u w:val="single"/>
        </w:rPr>
        <w:t>Buy-in Agents:</w:t>
      </w:r>
    </w:p>
    <w:p w14:paraId="1B0004A0" w14:textId="77777777" w:rsidR="00AC51BD" w:rsidRPr="000644FA" w:rsidRDefault="00AC51BD" w:rsidP="00E71006">
      <w:pPr>
        <w:spacing w:after="0" w:line="239" w:lineRule="auto"/>
        <w:ind w:left="-5"/>
        <w:jc w:val="both"/>
        <w:rPr>
          <w:rFonts w:cstheme="minorHAnsi"/>
          <w:sz w:val="20"/>
          <w:szCs w:val="20"/>
        </w:rPr>
      </w:pPr>
    </w:p>
    <w:p w14:paraId="6ABE1CE1" w14:textId="5CB33591" w:rsidR="00AC51BD" w:rsidRPr="002D31B1" w:rsidRDefault="00DA4783" w:rsidP="00E71006">
      <w:pPr>
        <w:spacing w:after="0" w:line="239" w:lineRule="auto"/>
        <w:ind w:left="-5"/>
        <w:jc w:val="both"/>
        <w:rPr>
          <w:rFonts w:cstheme="minorHAnsi"/>
          <w:sz w:val="20"/>
          <w:szCs w:val="20"/>
        </w:rPr>
      </w:pPr>
      <w:r>
        <w:rPr>
          <w:rFonts w:cstheme="minorHAnsi"/>
          <w:sz w:val="20"/>
          <w:szCs w:val="20"/>
        </w:rPr>
        <w:t>We</w:t>
      </w:r>
      <w:r w:rsidR="00AC51BD" w:rsidRPr="002D31B1">
        <w:rPr>
          <w:rFonts w:cstheme="minorHAnsi"/>
          <w:sz w:val="20"/>
          <w:szCs w:val="20"/>
        </w:rPr>
        <w:t xml:space="preserve"> believe that the mandatory obligation to appoint a third-party buy-in </w:t>
      </w:r>
      <w:r w:rsidR="004E1A18" w:rsidRPr="002D31B1">
        <w:rPr>
          <w:rFonts w:cstheme="minorHAnsi"/>
          <w:sz w:val="20"/>
          <w:szCs w:val="20"/>
        </w:rPr>
        <w:t xml:space="preserve">agent </w:t>
      </w:r>
      <w:r w:rsidR="00AC51BD" w:rsidRPr="002D31B1">
        <w:rPr>
          <w:rFonts w:cstheme="minorHAnsi"/>
          <w:sz w:val="20"/>
          <w:szCs w:val="20"/>
        </w:rPr>
        <w:t xml:space="preserve">should be removed from </w:t>
      </w:r>
      <w:r w:rsidR="002678EA" w:rsidRPr="002D31B1">
        <w:rPr>
          <w:rFonts w:cstheme="minorHAnsi"/>
          <w:sz w:val="20"/>
          <w:szCs w:val="20"/>
        </w:rPr>
        <w:t xml:space="preserve">the </w:t>
      </w:r>
      <w:r w:rsidR="00AC51BD" w:rsidRPr="002D31B1">
        <w:rPr>
          <w:rFonts w:cstheme="minorHAnsi"/>
          <w:sz w:val="20"/>
          <w:szCs w:val="20"/>
        </w:rPr>
        <w:t xml:space="preserve">CSDR. </w:t>
      </w:r>
      <w:r w:rsidR="00670C4D" w:rsidRPr="002D31B1">
        <w:rPr>
          <w:rFonts w:cstheme="minorHAnsi"/>
          <w:sz w:val="20"/>
          <w:szCs w:val="20"/>
        </w:rPr>
        <w:t xml:space="preserve">Whether policy makers decide to keep the mandatory buy-in regime or change it to a </w:t>
      </w:r>
      <w:r w:rsidR="00021BDD" w:rsidRPr="002D31B1">
        <w:rPr>
          <w:rFonts w:cstheme="minorHAnsi"/>
          <w:sz w:val="20"/>
          <w:szCs w:val="20"/>
        </w:rPr>
        <w:t>discretionary</w:t>
      </w:r>
      <w:r w:rsidR="00670C4D" w:rsidRPr="002D31B1">
        <w:rPr>
          <w:rFonts w:cstheme="minorHAnsi"/>
          <w:sz w:val="20"/>
          <w:szCs w:val="20"/>
        </w:rPr>
        <w:t xml:space="preserve"> buy-in regime, we believe it is important to provide the buyer with flexibility on how it wants to execute the buy-in</w:t>
      </w:r>
      <w:r w:rsidR="00D22C62" w:rsidRPr="002D31B1">
        <w:rPr>
          <w:rFonts w:cstheme="minorHAnsi"/>
          <w:sz w:val="20"/>
          <w:szCs w:val="20"/>
        </w:rPr>
        <w:t xml:space="preserve"> and whether it wants to use a buy-in agent or not.</w:t>
      </w:r>
      <w:r w:rsidR="00670C4D" w:rsidRPr="002D31B1">
        <w:rPr>
          <w:rFonts w:cstheme="minorHAnsi"/>
          <w:sz w:val="20"/>
          <w:szCs w:val="20"/>
        </w:rPr>
        <w:t xml:space="preserve"> </w:t>
      </w:r>
    </w:p>
    <w:p w14:paraId="1A66CAC4" w14:textId="77777777" w:rsidR="00AC51BD" w:rsidRPr="002D31B1" w:rsidRDefault="00AC51BD" w:rsidP="00E71006">
      <w:pPr>
        <w:spacing w:after="0" w:line="239" w:lineRule="auto"/>
        <w:ind w:left="-5"/>
        <w:jc w:val="both"/>
        <w:rPr>
          <w:rFonts w:cstheme="minorHAnsi"/>
          <w:sz w:val="20"/>
          <w:szCs w:val="20"/>
        </w:rPr>
      </w:pPr>
      <w:r w:rsidRPr="002D31B1">
        <w:rPr>
          <w:rFonts w:cstheme="minorHAnsi"/>
          <w:sz w:val="20"/>
          <w:szCs w:val="20"/>
        </w:rPr>
        <w:t xml:space="preserve"> </w:t>
      </w:r>
    </w:p>
    <w:p w14:paraId="747D91AC" w14:textId="2F25256D" w:rsidR="00AC51BD" w:rsidRDefault="00670C4D" w:rsidP="00D71235">
      <w:pPr>
        <w:spacing w:after="0" w:line="240" w:lineRule="auto"/>
        <w:jc w:val="both"/>
        <w:rPr>
          <w:rFonts w:cstheme="minorHAnsi"/>
          <w:sz w:val="20"/>
          <w:szCs w:val="20"/>
        </w:rPr>
      </w:pPr>
      <w:r w:rsidRPr="002D31B1">
        <w:rPr>
          <w:rFonts w:cstheme="minorHAnsi"/>
          <w:sz w:val="20"/>
          <w:szCs w:val="20"/>
        </w:rPr>
        <w:t xml:space="preserve">We also </w:t>
      </w:r>
      <w:r w:rsidR="00AC51BD" w:rsidRPr="002D31B1">
        <w:rPr>
          <w:rFonts w:cstheme="minorHAnsi"/>
          <w:sz w:val="20"/>
          <w:szCs w:val="20"/>
        </w:rPr>
        <w:t>not</w:t>
      </w:r>
      <w:r w:rsidRPr="002D31B1">
        <w:rPr>
          <w:rFonts w:cstheme="minorHAnsi"/>
          <w:sz w:val="20"/>
          <w:szCs w:val="20"/>
        </w:rPr>
        <w:t>e</w:t>
      </w:r>
      <w:r w:rsidR="00AC51BD" w:rsidRPr="002D31B1">
        <w:rPr>
          <w:rFonts w:cstheme="minorHAnsi"/>
          <w:sz w:val="20"/>
          <w:szCs w:val="20"/>
        </w:rPr>
        <w:t xml:space="preserve"> </w:t>
      </w:r>
      <w:r w:rsidRPr="002D31B1">
        <w:rPr>
          <w:rFonts w:cstheme="minorHAnsi"/>
          <w:sz w:val="20"/>
          <w:szCs w:val="20"/>
        </w:rPr>
        <w:t xml:space="preserve">that, so far, </w:t>
      </w:r>
      <w:r w:rsidR="00AC51BD" w:rsidRPr="002D31B1">
        <w:rPr>
          <w:rFonts w:cstheme="minorHAnsi"/>
          <w:sz w:val="20"/>
          <w:szCs w:val="20"/>
        </w:rPr>
        <w:t xml:space="preserve">only one buy-in agent has emerged </w:t>
      </w:r>
      <w:r w:rsidRPr="002D31B1">
        <w:rPr>
          <w:rFonts w:cstheme="minorHAnsi"/>
          <w:sz w:val="20"/>
          <w:szCs w:val="20"/>
        </w:rPr>
        <w:t>in</w:t>
      </w:r>
      <w:r w:rsidR="00AC51BD" w:rsidRPr="002D31B1">
        <w:rPr>
          <w:rFonts w:cstheme="minorHAnsi"/>
          <w:sz w:val="20"/>
          <w:szCs w:val="20"/>
        </w:rPr>
        <w:t xml:space="preserve"> the market</w:t>
      </w:r>
      <w:r w:rsidRPr="002D31B1">
        <w:rPr>
          <w:rFonts w:cstheme="minorHAnsi"/>
          <w:sz w:val="20"/>
          <w:szCs w:val="20"/>
        </w:rPr>
        <w:t>.  That agent is therefore operating in a non-competitive environment. It is inappropriate</w:t>
      </w:r>
      <w:r w:rsidRPr="000644FA">
        <w:rPr>
          <w:rFonts w:cstheme="minorHAnsi"/>
          <w:sz w:val="20"/>
          <w:szCs w:val="20"/>
        </w:rPr>
        <w:t xml:space="preserve"> to force buyers to use that agent in all circumstances as this could </w:t>
      </w:r>
      <w:r w:rsidR="00233CE5" w:rsidRPr="000644FA">
        <w:rPr>
          <w:rFonts w:cstheme="minorHAnsi"/>
          <w:sz w:val="20"/>
          <w:szCs w:val="20"/>
        </w:rPr>
        <w:t>expose t</w:t>
      </w:r>
      <w:r w:rsidR="000B4728" w:rsidRPr="000644FA">
        <w:rPr>
          <w:rFonts w:cstheme="minorHAnsi"/>
          <w:sz w:val="20"/>
          <w:szCs w:val="20"/>
        </w:rPr>
        <w:t xml:space="preserve">he buyers </w:t>
      </w:r>
      <w:r w:rsidR="00233CE5" w:rsidRPr="000644FA">
        <w:rPr>
          <w:rFonts w:cstheme="minorHAnsi"/>
          <w:sz w:val="20"/>
          <w:szCs w:val="20"/>
        </w:rPr>
        <w:t>to</w:t>
      </w:r>
      <w:r w:rsidRPr="000644FA">
        <w:rPr>
          <w:rFonts w:cstheme="minorHAnsi"/>
          <w:sz w:val="20"/>
          <w:szCs w:val="20"/>
        </w:rPr>
        <w:t xml:space="preserve"> risks and be very costly for the buyers. </w:t>
      </w:r>
      <w:r w:rsidR="00135990" w:rsidRPr="000644FA">
        <w:rPr>
          <w:rFonts w:cstheme="minorHAnsi"/>
          <w:sz w:val="20"/>
          <w:szCs w:val="20"/>
        </w:rPr>
        <w:t>The fact that there is only one buy-in agent so far is also a clear illustration that the current mandatory buy-in regime is not fit for purpose</w:t>
      </w:r>
      <w:r w:rsidR="00BD33D9" w:rsidRPr="000644FA">
        <w:rPr>
          <w:rFonts w:cstheme="minorHAnsi"/>
          <w:sz w:val="20"/>
          <w:szCs w:val="20"/>
        </w:rPr>
        <w:t>.</w:t>
      </w:r>
      <w:r w:rsidR="00B86B6D" w:rsidRPr="000644FA">
        <w:rPr>
          <w:rFonts w:cstheme="minorHAnsi"/>
          <w:sz w:val="20"/>
          <w:szCs w:val="20"/>
        </w:rPr>
        <w:t xml:space="preserve"> In addition, we also note that t</w:t>
      </w:r>
      <w:r w:rsidR="00BD33D9" w:rsidRPr="000644FA">
        <w:rPr>
          <w:rFonts w:cstheme="minorHAnsi"/>
          <w:sz w:val="20"/>
          <w:szCs w:val="20"/>
          <w:lang w:val="en-US"/>
        </w:rPr>
        <w:t>he buy-in agent</w:t>
      </w:r>
      <w:r w:rsidR="00B86B6D" w:rsidRPr="000644FA">
        <w:rPr>
          <w:rFonts w:cstheme="minorHAnsi"/>
          <w:sz w:val="20"/>
          <w:szCs w:val="20"/>
          <w:lang w:val="en-US"/>
        </w:rPr>
        <w:t>’s</w:t>
      </w:r>
      <w:r w:rsidR="00BD33D9" w:rsidRPr="000644FA">
        <w:rPr>
          <w:rFonts w:cstheme="minorHAnsi"/>
          <w:sz w:val="20"/>
          <w:szCs w:val="20"/>
          <w:lang w:val="en-US"/>
        </w:rPr>
        <w:t xml:space="preserve"> role may not improve the likelihood of settlement as the agent will still rely on sourcing liquidity from existing providers who may have been unsuccessful in the first instance to source the inventory</w:t>
      </w:r>
      <w:r w:rsidR="00B86B6D" w:rsidRPr="000644FA">
        <w:rPr>
          <w:rFonts w:cstheme="minorHAnsi"/>
          <w:sz w:val="20"/>
          <w:szCs w:val="20"/>
          <w:lang w:val="en-US"/>
        </w:rPr>
        <w:t>.</w:t>
      </w:r>
    </w:p>
    <w:p w14:paraId="3F19A35C" w14:textId="77777777" w:rsidR="00D71235" w:rsidRPr="000644FA" w:rsidRDefault="00D71235" w:rsidP="00D71235">
      <w:pPr>
        <w:spacing w:after="0" w:line="240" w:lineRule="auto"/>
        <w:jc w:val="both"/>
        <w:rPr>
          <w:rFonts w:cstheme="minorHAnsi"/>
          <w:sz w:val="20"/>
          <w:szCs w:val="20"/>
        </w:rPr>
      </w:pPr>
    </w:p>
    <w:p w14:paraId="0C658B45" w14:textId="22EB60EF" w:rsidR="00D22C62" w:rsidRPr="000644FA" w:rsidRDefault="00D22C62" w:rsidP="00E71006">
      <w:pPr>
        <w:jc w:val="both"/>
        <w:rPr>
          <w:rFonts w:cstheme="minorHAnsi"/>
          <w:sz w:val="20"/>
          <w:szCs w:val="20"/>
        </w:rPr>
      </w:pPr>
      <w:r w:rsidRPr="000644FA">
        <w:rPr>
          <w:rFonts w:cstheme="minorHAnsi"/>
          <w:sz w:val="20"/>
          <w:szCs w:val="20"/>
        </w:rPr>
        <w:t xml:space="preserve">However, if policy makers decided to keep the mandatory buy-in regime and force buyers to use a buy-in agent, then the current drafting should be clarified.  One of the key challenges with the current drafting is the requirement for the buy-in agent to have no conflicts of interest.  This is a very high bar to satisfy as an appropriately qualified buy-in agent is quite unlikely to have no conflicts of interest at all with other market participants in every case and is not really consistent with the way conflicts are addressed in other regulatory areas.  It would be more consistent to clarify that the appointing party needs to take appropriate steps in identify, manage and mitigate any conflict of interest. Other established principles in other conflicts of interest rules (e.g. MiFID) provide an appropriate framework to assess and address any conflict of interest. </w:t>
      </w:r>
    </w:p>
    <w:p w14:paraId="34436B14" w14:textId="77777777" w:rsidR="00D232F0" w:rsidRPr="000644FA" w:rsidRDefault="00D232F0" w:rsidP="00E71006">
      <w:pPr>
        <w:autoSpaceDE w:val="0"/>
        <w:autoSpaceDN w:val="0"/>
        <w:adjustRightInd w:val="0"/>
        <w:spacing w:after="0" w:line="240" w:lineRule="auto"/>
        <w:contextualSpacing/>
        <w:jc w:val="both"/>
        <w:rPr>
          <w:rFonts w:cstheme="minorHAnsi"/>
          <w:b/>
          <w:bCs/>
          <w:i/>
          <w:iCs/>
          <w:sz w:val="20"/>
          <w:szCs w:val="20"/>
          <w:u w:val="single"/>
        </w:rPr>
      </w:pPr>
      <w:r w:rsidRPr="000644FA">
        <w:rPr>
          <w:rFonts w:cstheme="minorHAnsi"/>
          <w:b/>
          <w:bCs/>
          <w:i/>
          <w:iCs/>
          <w:sz w:val="20"/>
          <w:szCs w:val="20"/>
          <w:u w:val="single"/>
        </w:rPr>
        <w:t xml:space="preserve">The asymmetry in the reimbursement for changes in market prices should be eliminated: </w:t>
      </w:r>
    </w:p>
    <w:p w14:paraId="196FB8DC" w14:textId="77777777" w:rsidR="00D232F0" w:rsidRPr="000644FA" w:rsidRDefault="00D232F0" w:rsidP="00E71006">
      <w:pPr>
        <w:autoSpaceDE w:val="0"/>
        <w:autoSpaceDN w:val="0"/>
        <w:adjustRightInd w:val="0"/>
        <w:spacing w:after="0" w:line="240" w:lineRule="auto"/>
        <w:contextualSpacing/>
        <w:jc w:val="both"/>
        <w:rPr>
          <w:rFonts w:cstheme="minorHAnsi"/>
          <w:b/>
          <w:bCs/>
          <w:i/>
          <w:iCs/>
          <w:sz w:val="20"/>
          <w:szCs w:val="20"/>
          <w:u w:val="single"/>
        </w:rPr>
      </w:pPr>
    </w:p>
    <w:p w14:paraId="6E138B30" w14:textId="621F15CB" w:rsidR="00D232F0" w:rsidRPr="002D31B1" w:rsidRDefault="00D232F0" w:rsidP="00E71006">
      <w:pPr>
        <w:spacing w:after="0" w:line="239" w:lineRule="auto"/>
        <w:jc w:val="both"/>
        <w:rPr>
          <w:rFonts w:cstheme="minorHAnsi"/>
          <w:sz w:val="20"/>
          <w:szCs w:val="20"/>
        </w:rPr>
      </w:pPr>
      <w:r w:rsidRPr="000644FA">
        <w:rPr>
          <w:rFonts w:cstheme="minorHAnsi"/>
          <w:sz w:val="20"/>
          <w:szCs w:val="20"/>
        </w:rPr>
        <w:t>The CSDR mandatory b</w:t>
      </w:r>
      <w:r w:rsidR="00EB105E" w:rsidRPr="000644FA">
        <w:rPr>
          <w:rFonts w:cstheme="minorHAnsi"/>
          <w:sz w:val="20"/>
          <w:szCs w:val="20"/>
        </w:rPr>
        <w:t>u</w:t>
      </w:r>
      <w:r w:rsidRPr="000644FA">
        <w:rPr>
          <w:rFonts w:cstheme="minorHAnsi"/>
          <w:sz w:val="20"/>
          <w:szCs w:val="20"/>
        </w:rPr>
        <w:t xml:space="preserve">y-in regime has a unique feature, which is the fact that there is an asymmetric treatment in the way the payments are made between the trading parties such that payments are only allowed in one </w:t>
      </w:r>
      <w:r w:rsidRPr="002D31B1">
        <w:rPr>
          <w:rFonts w:cstheme="minorHAnsi"/>
          <w:sz w:val="20"/>
          <w:szCs w:val="20"/>
        </w:rPr>
        <w:t xml:space="preserve">direction from the seller to the buyer. </w:t>
      </w:r>
      <w:r w:rsidR="00DA4783">
        <w:rPr>
          <w:rFonts w:cstheme="minorHAnsi"/>
          <w:sz w:val="20"/>
          <w:szCs w:val="20"/>
        </w:rPr>
        <w:t>Our institution</w:t>
      </w:r>
      <w:r w:rsidRPr="002D31B1">
        <w:rPr>
          <w:rFonts w:cstheme="minorHAnsi"/>
          <w:sz w:val="20"/>
          <w:szCs w:val="20"/>
        </w:rPr>
        <w:t xml:space="preserve"> strongly believe</w:t>
      </w:r>
      <w:r w:rsidR="00EB105E" w:rsidRPr="002D31B1">
        <w:rPr>
          <w:rFonts w:cstheme="minorHAnsi"/>
          <w:sz w:val="20"/>
          <w:szCs w:val="20"/>
        </w:rPr>
        <w:t>s</w:t>
      </w:r>
      <w:r w:rsidRPr="002D31B1">
        <w:rPr>
          <w:rFonts w:cstheme="minorHAnsi"/>
          <w:sz w:val="20"/>
          <w:szCs w:val="20"/>
        </w:rPr>
        <w:t xml:space="preserve"> that the asymmetry in the reimbursement for changes in market prices should be eliminated.  It is essential that the price component of both the buy-in and the cash settlement (“cash compensation”) differential can be settled symmetrically between the trading parties. When the price </w:t>
      </w:r>
      <w:r w:rsidR="00E454D0" w:rsidRPr="002D31B1">
        <w:rPr>
          <w:rFonts w:cstheme="minorHAnsi"/>
          <w:sz w:val="20"/>
          <w:szCs w:val="20"/>
        </w:rPr>
        <w:t xml:space="preserve">of </w:t>
      </w:r>
      <w:r w:rsidRPr="002D31B1">
        <w:rPr>
          <w:rFonts w:cstheme="minorHAnsi"/>
          <w:sz w:val="20"/>
          <w:szCs w:val="20"/>
        </w:rPr>
        <w:t xml:space="preserve">a buy-in is greater than the price of the original trade, the corresponding difference should be paid to the buyer by the original failing seller. However, when the buy-in price is lower than the price of the original trade, the price differential should be paid by the buyer to the seller (and not </w:t>
      </w:r>
      <w:r w:rsidR="00DA5004" w:rsidRPr="002D31B1">
        <w:rPr>
          <w:rFonts w:cstheme="minorHAnsi"/>
          <w:sz w:val="20"/>
          <w:szCs w:val="20"/>
        </w:rPr>
        <w:t xml:space="preserve">in </w:t>
      </w:r>
      <w:r w:rsidRPr="002D31B1">
        <w:rPr>
          <w:rFonts w:cstheme="minorHAnsi"/>
          <w:sz w:val="20"/>
          <w:szCs w:val="20"/>
        </w:rPr>
        <w:t xml:space="preserve">the opposite </w:t>
      </w:r>
      <w:r w:rsidR="00DA5004" w:rsidRPr="002D31B1">
        <w:rPr>
          <w:rFonts w:cstheme="minorHAnsi"/>
          <w:sz w:val="20"/>
          <w:szCs w:val="20"/>
        </w:rPr>
        <w:t xml:space="preserve">direction </w:t>
      </w:r>
      <w:r w:rsidRPr="002D31B1">
        <w:rPr>
          <w:rFonts w:cstheme="minorHAnsi"/>
          <w:sz w:val="20"/>
          <w:szCs w:val="20"/>
        </w:rPr>
        <w:t>as it is currently mandated under CSDR</w:t>
      </w:r>
      <w:r w:rsidR="00C57C02" w:rsidRPr="002D31B1">
        <w:rPr>
          <w:rFonts w:cstheme="minorHAnsi"/>
          <w:sz w:val="20"/>
          <w:szCs w:val="20"/>
        </w:rPr>
        <w:t xml:space="preserve"> level 1</w:t>
      </w:r>
      <w:r w:rsidRPr="002D31B1">
        <w:rPr>
          <w:rFonts w:cstheme="minorHAnsi"/>
          <w:sz w:val="20"/>
          <w:szCs w:val="20"/>
        </w:rPr>
        <w:t xml:space="preserve">). </w:t>
      </w:r>
    </w:p>
    <w:p w14:paraId="7ECFA446" w14:textId="77777777" w:rsidR="00D232F0" w:rsidRPr="002D31B1" w:rsidRDefault="00D232F0" w:rsidP="00E71006">
      <w:pPr>
        <w:autoSpaceDE w:val="0"/>
        <w:autoSpaceDN w:val="0"/>
        <w:adjustRightInd w:val="0"/>
        <w:spacing w:after="0" w:line="240" w:lineRule="auto"/>
        <w:contextualSpacing/>
        <w:jc w:val="both"/>
        <w:rPr>
          <w:rFonts w:cstheme="minorHAnsi"/>
          <w:sz w:val="20"/>
          <w:szCs w:val="20"/>
        </w:rPr>
      </w:pPr>
    </w:p>
    <w:p w14:paraId="7EDE0ABC" w14:textId="4E636C1B" w:rsidR="00D232F0" w:rsidRPr="000644FA" w:rsidRDefault="00D232F0" w:rsidP="00E71006">
      <w:pPr>
        <w:autoSpaceDE w:val="0"/>
        <w:autoSpaceDN w:val="0"/>
        <w:adjustRightInd w:val="0"/>
        <w:spacing w:after="0" w:line="240" w:lineRule="auto"/>
        <w:contextualSpacing/>
        <w:jc w:val="both"/>
        <w:rPr>
          <w:rFonts w:cstheme="minorHAnsi"/>
          <w:sz w:val="20"/>
          <w:szCs w:val="20"/>
        </w:rPr>
      </w:pPr>
      <w:r w:rsidRPr="002D31B1">
        <w:rPr>
          <w:rFonts w:cstheme="minorHAnsi"/>
          <w:sz w:val="20"/>
          <w:szCs w:val="20"/>
        </w:rPr>
        <w:t>The elimination of the asymmetry is an important element which will help minimize risks to the selling party, to improve predictably of economic outcomes, to avoid</w:t>
      </w:r>
      <w:r w:rsidRPr="000644FA">
        <w:rPr>
          <w:rFonts w:cstheme="minorHAnsi"/>
          <w:sz w:val="20"/>
          <w:szCs w:val="20"/>
        </w:rPr>
        <w:t xml:space="preserve"> incentivizing adverse behaviour of trading parties, and to facilitate a pass-on mechanism.</w:t>
      </w:r>
    </w:p>
    <w:p w14:paraId="573726AB" w14:textId="79D3464F" w:rsidR="00135990" w:rsidRPr="000644FA" w:rsidRDefault="00135990" w:rsidP="00E71006">
      <w:pPr>
        <w:autoSpaceDE w:val="0"/>
        <w:autoSpaceDN w:val="0"/>
        <w:adjustRightInd w:val="0"/>
        <w:spacing w:after="0" w:line="240" w:lineRule="auto"/>
        <w:contextualSpacing/>
        <w:jc w:val="both"/>
        <w:rPr>
          <w:rFonts w:cstheme="minorHAnsi"/>
          <w:sz w:val="20"/>
          <w:szCs w:val="20"/>
        </w:rPr>
      </w:pPr>
    </w:p>
    <w:p w14:paraId="5D46C4FB" w14:textId="3B970327" w:rsidR="00135990" w:rsidRPr="000644FA" w:rsidRDefault="00135990" w:rsidP="00E71006">
      <w:pPr>
        <w:autoSpaceDE w:val="0"/>
        <w:autoSpaceDN w:val="0"/>
        <w:adjustRightInd w:val="0"/>
        <w:spacing w:after="0" w:line="240" w:lineRule="auto"/>
        <w:contextualSpacing/>
        <w:jc w:val="both"/>
        <w:rPr>
          <w:rFonts w:cstheme="minorHAnsi"/>
          <w:b/>
          <w:bCs/>
          <w:i/>
          <w:iCs/>
          <w:sz w:val="20"/>
          <w:szCs w:val="20"/>
          <w:u w:val="single"/>
        </w:rPr>
      </w:pPr>
      <w:r w:rsidRPr="000644FA">
        <w:rPr>
          <w:rFonts w:cstheme="minorHAnsi"/>
          <w:b/>
          <w:bCs/>
          <w:i/>
          <w:iCs/>
          <w:sz w:val="20"/>
          <w:szCs w:val="20"/>
          <w:u w:val="single"/>
        </w:rPr>
        <w:t xml:space="preserve">The need to adjust the </w:t>
      </w:r>
      <w:r w:rsidR="005F175A" w:rsidRPr="000644FA">
        <w:rPr>
          <w:rFonts w:cstheme="minorHAnsi"/>
          <w:b/>
          <w:bCs/>
          <w:i/>
          <w:iCs/>
          <w:sz w:val="20"/>
          <w:szCs w:val="20"/>
          <w:u w:val="single"/>
        </w:rPr>
        <w:t xml:space="preserve">language on the respective </w:t>
      </w:r>
      <w:r w:rsidRPr="000644FA">
        <w:rPr>
          <w:rFonts w:cstheme="minorHAnsi"/>
          <w:b/>
          <w:bCs/>
          <w:i/>
          <w:iCs/>
          <w:sz w:val="20"/>
          <w:szCs w:val="20"/>
          <w:u w:val="single"/>
        </w:rPr>
        <w:t>role</w:t>
      </w:r>
      <w:r w:rsidR="005F175A" w:rsidRPr="000644FA">
        <w:rPr>
          <w:rFonts w:cstheme="minorHAnsi"/>
          <w:b/>
          <w:bCs/>
          <w:i/>
          <w:iCs/>
          <w:sz w:val="20"/>
          <w:szCs w:val="20"/>
          <w:u w:val="single"/>
        </w:rPr>
        <w:t>s</w:t>
      </w:r>
      <w:r w:rsidRPr="000644FA">
        <w:rPr>
          <w:rFonts w:cstheme="minorHAnsi"/>
          <w:b/>
          <w:bCs/>
          <w:i/>
          <w:iCs/>
          <w:sz w:val="20"/>
          <w:szCs w:val="20"/>
          <w:u w:val="single"/>
        </w:rPr>
        <w:t xml:space="preserve"> and obligations of settlement agents vs trading parties, and the adjustment of </w:t>
      </w:r>
      <w:r w:rsidR="00421AA3">
        <w:rPr>
          <w:rFonts w:cstheme="minorHAnsi"/>
          <w:b/>
          <w:bCs/>
          <w:i/>
          <w:iCs/>
          <w:sz w:val="20"/>
          <w:szCs w:val="20"/>
          <w:u w:val="single"/>
        </w:rPr>
        <w:t>Article</w:t>
      </w:r>
      <w:r w:rsidRPr="000644FA">
        <w:rPr>
          <w:rFonts w:cstheme="minorHAnsi"/>
          <w:b/>
          <w:bCs/>
          <w:i/>
          <w:iCs/>
          <w:sz w:val="20"/>
          <w:szCs w:val="20"/>
          <w:u w:val="single"/>
        </w:rPr>
        <w:t xml:space="preserve"> 25 of the Settlement Discipline RTS:</w:t>
      </w:r>
    </w:p>
    <w:p w14:paraId="7EFFC4DF" w14:textId="77777777" w:rsidR="00135990" w:rsidRPr="000644FA" w:rsidRDefault="00135990" w:rsidP="00E71006">
      <w:pPr>
        <w:autoSpaceDE w:val="0"/>
        <w:autoSpaceDN w:val="0"/>
        <w:adjustRightInd w:val="0"/>
        <w:spacing w:after="0" w:line="240" w:lineRule="auto"/>
        <w:contextualSpacing/>
        <w:jc w:val="both"/>
        <w:rPr>
          <w:rFonts w:cstheme="minorHAnsi"/>
          <w:b/>
          <w:bCs/>
          <w:i/>
          <w:iCs/>
          <w:sz w:val="20"/>
          <w:szCs w:val="20"/>
          <w:u w:val="single"/>
        </w:rPr>
      </w:pPr>
    </w:p>
    <w:p w14:paraId="3954567A" w14:textId="10291EE5" w:rsidR="005F175A" w:rsidRPr="000644FA" w:rsidRDefault="00135990" w:rsidP="00E71006">
      <w:pPr>
        <w:autoSpaceDE w:val="0"/>
        <w:autoSpaceDN w:val="0"/>
        <w:adjustRightInd w:val="0"/>
        <w:spacing w:after="0" w:line="240" w:lineRule="auto"/>
        <w:contextualSpacing/>
        <w:jc w:val="both"/>
        <w:rPr>
          <w:rFonts w:cstheme="minorHAnsi"/>
          <w:sz w:val="20"/>
          <w:szCs w:val="20"/>
        </w:rPr>
      </w:pPr>
      <w:r w:rsidRPr="000644FA">
        <w:rPr>
          <w:rFonts w:cstheme="minorHAnsi"/>
          <w:sz w:val="20"/>
          <w:szCs w:val="20"/>
        </w:rPr>
        <w:t xml:space="preserve">The CSDR mandatory buy-in regime refers to </w:t>
      </w:r>
      <w:r w:rsidR="00B86B6D" w:rsidRPr="000644FA">
        <w:rPr>
          <w:rFonts w:cstheme="minorHAnsi"/>
          <w:sz w:val="20"/>
          <w:szCs w:val="20"/>
        </w:rPr>
        <w:t>‘p</w:t>
      </w:r>
      <w:r w:rsidRPr="000644FA">
        <w:rPr>
          <w:rFonts w:cstheme="minorHAnsi"/>
          <w:sz w:val="20"/>
          <w:szCs w:val="20"/>
        </w:rPr>
        <w:t>articipants</w:t>
      </w:r>
      <w:r w:rsidR="00B86B6D" w:rsidRPr="000644FA">
        <w:rPr>
          <w:rFonts w:cstheme="minorHAnsi"/>
          <w:sz w:val="20"/>
          <w:szCs w:val="20"/>
        </w:rPr>
        <w:t>’</w:t>
      </w:r>
      <w:r w:rsidRPr="000644FA">
        <w:rPr>
          <w:rFonts w:cstheme="minorHAnsi"/>
          <w:sz w:val="20"/>
          <w:szCs w:val="20"/>
        </w:rPr>
        <w:t xml:space="preserve">, which are presumed to be settlement participants such as custodians and clearing banks, while buy-ins are the enforcement of an obligation between trading parties. </w:t>
      </w:r>
    </w:p>
    <w:p w14:paraId="1493008D" w14:textId="77777777" w:rsidR="00B86B6D" w:rsidRPr="000644FA" w:rsidRDefault="00B86B6D" w:rsidP="00E71006">
      <w:pPr>
        <w:autoSpaceDE w:val="0"/>
        <w:autoSpaceDN w:val="0"/>
        <w:adjustRightInd w:val="0"/>
        <w:spacing w:after="0" w:line="240" w:lineRule="auto"/>
        <w:contextualSpacing/>
        <w:jc w:val="both"/>
        <w:rPr>
          <w:rFonts w:cstheme="minorHAnsi"/>
          <w:sz w:val="20"/>
          <w:szCs w:val="20"/>
        </w:rPr>
      </w:pPr>
    </w:p>
    <w:p w14:paraId="6DCD1BDE" w14:textId="0555DEE0" w:rsidR="005F175A" w:rsidRPr="000644FA" w:rsidRDefault="00135990" w:rsidP="00E71006">
      <w:pPr>
        <w:autoSpaceDE w:val="0"/>
        <w:autoSpaceDN w:val="0"/>
        <w:adjustRightInd w:val="0"/>
        <w:spacing w:after="0" w:line="240" w:lineRule="auto"/>
        <w:contextualSpacing/>
        <w:jc w:val="both"/>
        <w:rPr>
          <w:rFonts w:cstheme="minorHAnsi"/>
          <w:sz w:val="20"/>
          <w:szCs w:val="20"/>
        </w:rPr>
      </w:pPr>
      <w:r w:rsidRPr="000644FA">
        <w:rPr>
          <w:rFonts w:cstheme="minorHAnsi"/>
          <w:sz w:val="20"/>
          <w:szCs w:val="20"/>
        </w:rPr>
        <w:t xml:space="preserve">Underlying this is the assumption that every trade is a settlement and vice versa, and that trading parties acts as settlement participants, which is incorrect. Settlement participants are not party to </w:t>
      </w:r>
      <w:r w:rsidR="009962EB" w:rsidRPr="000644FA">
        <w:rPr>
          <w:rFonts w:cstheme="minorHAnsi"/>
          <w:sz w:val="20"/>
          <w:szCs w:val="20"/>
        </w:rPr>
        <w:t xml:space="preserve">the </w:t>
      </w:r>
      <w:r w:rsidRPr="000644FA">
        <w:rPr>
          <w:rFonts w:cstheme="minorHAnsi"/>
          <w:sz w:val="20"/>
          <w:szCs w:val="20"/>
        </w:rPr>
        <w:t xml:space="preserve">trading agreements, and are in no position to enforce the obligations of </w:t>
      </w:r>
      <w:r w:rsidR="009962EB" w:rsidRPr="000644FA">
        <w:rPr>
          <w:rFonts w:cstheme="minorHAnsi"/>
          <w:sz w:val="20"/>
          <w:szCs w:val="20"/>
        </w:rPr>
        <w:t xml:space="preserve">the </w:t>
      </w:r>
      <w:r w:rsidR="005F175A" w:rsidRPr="000644FA">
        <w:rPr>
          <w:rFonts w:cstheme="minorHAnsi"/>
          <w:sz w:val="20"/>
          <w:szCs w:val="20"/>
        </w:rPr>
        <w:t xml:space="preserve">sellers to deliver the securities to </w:t>
      </w:r>
      <w:r w:rsidR="009962EB" w:rsidRPr="000644FA">
        <w:rPr>
          <w:rFonts w:cstheme="minorHAnsi"/>
          <w:sz w:val="20"/>
          <w:szCs w:val="20"/>
        </w:rPr>
        <w:t xml:space="preserve">the </w:t>
      </w:r>
      <w:r w:rsidR="005F175A" w:rsidRPr="000644FA">
        <w:rPr>
          <w:rFonts w:cstheme="minorHAnsi"/>
          <w:sz w:val="20"/>
          <w:szCs w:val="20"/>
        </w:rPr>
        <w:t>buyers or to enforce the buy-in provisions upon their clients.</w:t>
      </w:r>
    </w:p>
    <w:p w14:paraId="2954D436" w14:textId="77777777" w:rsidR="00B86B6D" w:rsidRPr="000644FA" w:rsidRDefault="00B86B6D" w:rsidP="00E71006">
      <w:pPr>
        <w:autoSpaceDE w:val="0"/>
        <w:autoSpaceDN w:val="0"/>
        <w:adjustRightInd w:val="0"/>
        <w:spacing w:after="0" w:line="240" w:lineRule="auto"/>
        <w:contextualSpacing/>
        <w:jc w:val="both"/>
        <w:rPr>
          <w:rFonts w:cstheme="minorHAnsi"/>
          <w:sz w:val="20"/>
          <w:szCs w:val="20"/>
        </w:rPr>
      </w:pPr>
    </w:p>
    <w:p w14:paraId="15CB7452" w14:textId="576EB12E" w:rsidR="005F175A" w:rsidRPr="000644FA" w:rsidRDefault="005F175A" w:rsidP="00E71006">
      <w:pPr>
        <w:autoSpaceDE w:val="0"/>
        <w:autoSpaceDN w:val="0"/>
        <w:adjustRightInd w:val="0"/>
        <w:spacing w:after="0" w:line="240" w:lineRule="auto"/>
        <w:contextualSpacing/>
        <w:jc w:val="both"/>
        <w:rPr>
          <w:rFonts w:cstheme="minorHAnsi"/>
          <w:sz w:val="20"/>
          <w:szCs w:val="20"/>
        </w:rPr>
      </w:pPr>
      <w:r w:rsidRPr="000644FA">
        <w:rPr>
          <w:rFonts w:cstheme="minorHAnsi"/>
          <w:sz w:val="20"/>
          <w:szCs w:val="20"/>
        </w:rPr>
        <w:lastRenderedPageBreak/>
        <w:t xml:space="preserve">In addition, changing the settlement service contracts as per </w:t>
      </w:r>
      <w:r w:rsidR="00B86B6D" w:rsidRPr="000644FA">
        <w:rPr>
          <w:rFonts w:cstheme="minorHAnsi"/>
          <w:sz w:val="20"/>
          <w:szCs w:val="20"/>
        </w:rPr>
        <w:t>Article</w:t>
      </w:r>
      <w:r w:rsidRPr="000644FA">
        <w:rPr>
          <w:rFonts w:cstheme="minorHAnsi"/>
          <w:sz w:val="20"/>
          <w:szCs w:val="20"/>
        </w:rPr>
        <w:t xml:space="preserve"> 25 of the </w:t>
      </w:r>
      <w:r w:rsidR="00B86B6D" w:rsidRPr="000644FA">
        <w:rPr>
          <w:rFonts w:cstheme="minorHAnsi"/>
          <w:sz w:val="20"/>
          <w:szCs w:val="20"/>
        </w:rPr>
        <w:t xml:space="preserve">CSDR </w:t>
      </w:r>
      <w:r w:rsidR="009962EB" w:rsidRPr="000644FA">
        <w:rPr>
          <w:rFonts w:cstheme="minorHAnsi"/>
          <w:sz w:val="20"/>
          <w:szCs w:val="20"/>
        </w:rPr>
        <w:t>Regulatory Technical Standard (</w:t>
      </w:r>
      <w:r w:rsidRPr="000644FA">
        <w:rPr>
          <w:rFonts w:cstheme="minorHAnsi"/>
          <w:sz w:val="20"/>
          <w:szCs w:val="20"/>
        </w:rPr>
        <w:t>RTS</w:t>
      </w:r>
      <w:r w:rsidR="009962EB" w:rsidRPr="000644FA">
        <w:rPr>
          <w:rFonts w:cstheme="minorHAnsi"/>
          <w:sz w:val="20"/>
          <w:szCs w:val="20"/>
        </w:rPr>
        <w:t>)</w:t>
      </w:r>
      <w:r w:rsidRPr="000644FA">
        <w:rPr>
          <w:rFonts w:cstheme="minorHAnsi"/>
          <w:sz w:val="20"/>
          <w:szCs w:val="20"/>
        </w:rPr>
        <w:t xml:space="preserve"> to enforce the provisions of the SDR would require an enormous amount of contractual negotiation</w:t>
      </w:r>
      <w:r w:rsidR="00B86B6D" w:rsidRPr="000644FA">
        <w:rPr>
          <w:rFonts w:cstheme="minorHAnsi"/>
          <w:sz w:val="20"/>
          <w:szCs w:val="20"/>
        </w:rPr>
        <w:t>s</w:t>
      </w:r>
      <w:r w:rsidRPr="000644FA">
        <w:rPr>
          <w:rFonts w:cstheme="minorHAnsi"/>
          <w:sz w:val="20"/>
          <w:szCs w:val="20"/>
        </w:rPr>
        <w:t>, without</w:t>
      </w:r>
      <w:r w:rsidR="009962EB" w:rsidRPr="000644FA">
        <w:rPr>
          <w:rFonts w:cstheme="minorHAnsi"/>
          <w:sz w:val="20"/>
          <w:szCs w:val="20"/>
        </w:rPr>
        <w:t xml:space="preserve"> any</w:t>
      </w:r>
      <w:r w:rsidRPr="000644FA">
        <w:rPr>
          <w:rFonts w:cstheme="minorHAnsi"/>
          <w:sz w:val="20"/>
          <w:szCs w:val="20"/>
        </w:rPr>
        <w:t xml:space="preserve"> clear benefit</w:t>
      </w:r>
      <w:r w:rsidR="009962EB" w:rsidRPr="000644FA">
        <w:rPr>
          <w:rFonts w:cstheme="minorHAnsi"/>
          <w:sz w:val="20"/>
          <w:szCs w:val="20"/>
        </w:rPr>
        <w:t>s</w:t>
      </w:r>
      <w:r w:rsidRPr="000644FA">
        <w:rPr>
          <w:rFonts w:cstheme="minorHAnsi"/>
          <w:sz w:val="20"/>
          <w:szCs w:val="20"/>
        </w:rPr>
        <w:t xml:space="preserve">, and risks further confusing the roles of different parties.  </w:t>
      </w:r>
    </w:p>
    <w:p w14:paraId="69FE6240" w14:textId="77777777" w:rsidR="00B86B6D" w:rsidRPr="000644FA" w:rsidRDefault="00B86B6D" w:rsidP="00E71006">
      <w:pPr>
        <w:autoSpaceDE w:val="0"/>
        <w:autoSpaceDN w:val="0"/>
        <w:adjustRightInd w:val="0"/>
        <w:spacing w:after="0" w:line="240" w:lineRule="auto"/>
        <w:contextualSpacing/>
        <w:jc w:val="both"/>
        <w:rPr>
          <w:rFonts w:cstheme="minorHAnsi"/>
          <w:sz w:val="20"/>
          <w:szCs w:val="20"/>
        </w:rPr>
      </w:pPr>
    </w:p>
    <w:p w14:paraId="2BA39D69" w14:textId="75A7873D" w:rsidR="00B86B6D" w:rsidRDefault="005F175A" w:rsidP="00E71006">
      <w:pPr>
        <w:autoSpaceDE w:val="0"/>
        <w:autoSpaceDN w:val="0"/>
        <w:adjustRightInd w:val="0"/>
        <w:spacing w:after="0" w:line="240" w:lineRule="auto"/>
        <w:contextualSpacing/>
        <w:jc w:val="both"/>
        <w:rPr>
          <w:rFonts w:cstheme="minorHAnsi"/>
          <w:sz w:val="20"/>
          <w:szCs w:val="20"/>
        </w:rPr>
      </w:pPr>
      <w:r w:rsidRPr="000644FA">
        <w:rPr>
          <w:rFonts w:cstheme="minorHAnsi"/>
          <w:sz w:val="20"/>
          <w:szCs w:val="20"/>
        </w:rPr>
        <w:t xml:space="preserve">We therefore support the position of AFME and AGC to correct the language in </w:t>
      </w:r>
      <w:r w:rsidR="00B86B6D" w:rsidRPr="000644FA">
        <w:rPr>
          <w:rFonts w:cstheme="minorHAnsi"/>
          <w:sz w:val="20"/>
          <w:szCs w:val="20"/>
        </w:rPr>
        <w:t>Article</w:t>
      </w:r>
      <w:r w:rsidRPr="000644FA">
        <w:rPr>
          <w:rFonts w:cstheme="minorHAnsi"/>
          <w:sz w:val="20"/>
          <w:szCs w:val="20"/>
        </w:rPr>
        <w:t xml:space="preserve"> 7 to refer to trading parties where appropriate, and amend </w:t>
      </w:r>
      <w:r w:rsidR="00B86B6D" w:rsidRPr="000644FA">
        <w:rPr>
          <w:rFonts w:cstheme="minorHAnsi"/>
          <w:sz w:val="20"/>
          <w:szCs w:val="20"/>
        </w:rPr>
        <w:t>Article 25</w:t>
      </w:r>
      <w:r w:rsidRPr="000644FA">
        <w:rPr>
          <w:rFonts w:cstheme="minorHAnsi"/>
          <w:sz w:val="20"/>
          <w:szCs w:val="20"/>
        </w:rPr>
        <w:t xml:space="preserve"> of the CSDR SDR regime  to remove the obligation to amend settlement bank servicing contracts to ensure the enforceability of the SDR regime upon their clients. It could be contemplated to have a disclosure requirement for settlement participants to their clients of the obligations imposed upon them according to </w:t>
      </w:r>
      <w:r w:rsidR="00B86B6D" w:rsidRPr="000644FA">
        <w:rPr>
          <w:rFonts w:cstheme="minorHAnsi"/>
          <w:sz w:val="20"/>
          <w:szCs w:val="20"/>
        </w:rPr>
        <w:t xml:space="preserve">Article 7 </w:t>
      </w:r>
      <w:r w:rsidRPr="000644FA">
        <w:rPr>
          <w:rFonts w:cstheme="minorHAnsi"/>
          <w:sz w:val="20"/>
          <w:szCs w:val="20"/>
        </w:rPr>
        <w:t xml:space="preserve"> </w:t>
      </w:r>
      <w:r w:rsidR="00560676" w:rsidRPr="000644FA">
        <w:rPr>
          <w:rFonts w:cstheme="minorHAnsi"/>
          <w:sz w:val="20"/>
          <w:szCs w:val="20"/>
        </w:rPr>
        <w:t xml:space="preserve">of the </w:t>
      </w:r>
      <w:r w:rsidRPr="000644FA">
        <w:rPr>
          <w:rFonts w:cstheme="minorHAnsi"/>
          <w:sz w:val="20"/>
          <w:szCs w:val="20"/>
        </w:rPr>
        <w:t>CSDR, without going as far as a contract change</w:t>
      </w:r>
      <w:r w:rsidR="00B86B6D" w:rsidRPr="000644FA">
        <w:rPr>
          <w:rFonts w:cstheme="minorHAnsi"/>
          <w:sz w:val="20"/>
          <w:szCs w:val="20"/>
        </w:rPr>
        <w:t>.</w:t>
      </w:r>
    </w:p>
    <w:p w14:paraId="39384E50" w14:textId="77777777" w:rsidR="002D31B1" w:rsidRPr="000644FA" w:rsidRDefault="002D31B1" w:rsidP="00E71006">
      <w:pPr>
        <w:autoSpaceDE w:val="0"/>
        <w:autoSpaceDN w:val="0"/>
        <w:adjustRightInd w:val="0"/>
        <w:spacing w:after="0" w:line="240" w:lineRule="auto"/>
        <w:contextualSpacing/>
        <w:jc w:val="both"/>
        <w:rPr>
          <w:rFonts w:cstheme="minorHAnsi"/>
          <w:sz w:val="20"/>
          <w:szCs w:val="20"/>
        </w:rPr>
      </w:pPr>
    </w:p>
    <w:p w14:paraId="589EFCC3" w14:textId="77777777" w:rsidR="00684610" w:rsidRPr="000644FA" w:rsidRDefault="00684610" w:rsidP="00E71006">
      <w:pPr>
        <w:pBdr>
          <w:top w:val="single" w:sz="4" w:space="1" w:color="auto"/>
          <w:left w:val="single" w:sz="4" w:space="4" w:color="auto"/>
          <w:bottom w:val="single" w:sz="4" w:space="1" w:color="auto"/>
          <w:right w:val="single" w:sz="4" w:space="4" w:color="auto"/>
        </w:pBdr>
        <w:jc w:val="both"/>
        <w:rPr>
          <w:rFonts w:cstheme="minorHAnsi"/>
          <w:b/>
          <w:bCs/>
          <w:sz w:val="20"/>
          <w:szCs w:val="20"/>
        </w:rPr>
      </w:pPr>
      <w:r w:rsidRPr="000644FA">
        <w:rPr>
          <w:rFonts w:cstheme="minorHAnsi"/>
          <w:b/>
          <w:bCs/>
          <w:sz w:val="20"/>
          <w:szCs w:val="20"/>
        </w:rPr>
        <w:t>Question 35.1: Please explain your answer to Question 35, describing all the potential impacts (e.g. liquidity, financial stability, etc.) and providing quantitative evidence and/ or examples where possible.</w:t>
      </w:r>
    </w:p>
    <w:p w14:paraId="597322A2" w14:textId="421A29A8" w:rsidR="001359A4" w:rsidRPr="00EF399D" w:rsidRDefault="00D76BED" w:rsidP="00EF399D">
      <w:pPr>
        <w:spacing w:after="0" w:line="240" w:lineRule="auto"/>
        <w:jc w:val="both"/>
        <w:rPr>
          <w:rFonts w:cstheme="minorHAnsi"/>
          <w:sz w:val="20"/>
          <w:szCs w:val="20"/>
        </w:rPr>
      </w:pPr>
      <w:r w:rsidRPr="00EF399D">
        <w:rPr>
          <w:rFonts w:cstheme="minorHAnsi"/>
          <w:sz w:val="20"/>
          <w:szCs w:val="20"/>
        </w:rPr>
        <w:t xml:space="preserve">As explained </w:t>
      </w:r>
      <w:r w:rsidR="00C52A97" w:rsidRPr="00EF399D">
        <w:rPr>
          <w:rFonts w:cstheme="minorHAnsi"/>
          <w:sz w:val="20"/>
          <w:szCs w:val="20"/>
        </w:rPr>
        <w:t>in question 34</w:t>
      </w:r>
      <w:r w:rsidRPr="00EF399D">
        <w:rPr>
          <w:rFonts w:cstheme="minorHAnsi"/>
          <w:sz w:val="20"/>
          <w:szCs w:val="20"/>
        </w:rPr>
        <w:t xml:space="preserve">, we strongly </w:t>
      </w:r>
      <w:r w:rsidR="00602954" w:rsidRPr="00EF399D">
        <w:rPr>
          <w:rFonts w:cstheme="minorHAnsi"/>
          <w:sz w:val="20"/>
          <w:szCs w:val="20"/>
        </w:rPr>
        <w:t>believe</w:t>
      </w:r>
      <w:r w:rsidRPr="00EF399D">
        <w:rPr>
          <w:rFonts w:cstheme="minorHAnsi"/>
          <w:sz w:val="20"/>
          <w:szCs w:val="20"/>
        </w:rPr>
        <w:t xml:space="preserve"> that the introduction of a mandatory buy-in regime in the EU will </w:t>
      </w:r>
      <w:r w:rsidR="00602954" w:rsidRPr="00EF399D">
        <w:rPr>
          <w:rFonts w:cstheme="minorHAnsi"/>
          <w:sz w:val="20"/>
          <w:szCs w:val="20"/>
        </w:rPr>
        <w:t xml:space="preserve">have </w:t>
      </w:r>
      <w:r w:rsidR="00E521C0" w:rsidRPr="00EF399D">
        <w:rPr>
          <w:rFonts w:cstheme="minorHAnsi"/>
          <w:sz w:val="20"/>
          <w:szCs w:val="20"/>
        </w:rPr>
        <w:t xml:space="preserve">a </w:t>
      </w:r>
      <w:r w:rsidR="00602954" w:rsidRPr="00EF399D">
        <w:rPr>
          <w:rFonts w:cstheme="minorHAnsi"/>
          <w:sz w:val="20"/>
          <w:szCs w:val="20"/>
        </w:rPr>
        <w:t>significant negative effect on the market in terms of reduced liquidity, increase bid-offer spreads and increase costs to end investors</w:t>
      </w:r>
      <w:r w:rsidR="00C52A97" w:rsidRPr="00EF399D">
        <w:rPr>
          <w:rFonts w:cstheme="minorHAnsi"/>
          <w:sz w:val="20"/>
          <w:szCs w:val="20"/>
        </w:rPr>
        <w:t>.</w:t>
      </w:r>
      <w:r w:rsidR="00C57C02" w:rsidRPr="00EF399D">
        <w:rPr>
          <w:rFonts w:cstheme="minorHAnsi"/>
          <w:sz w:val="20"/>
          <w:szCs w:val="20"/>
        </w:rPr>
        <w:t xml:space="preserve"> </w:t>
      </w:r>
    </w:p>
    <w:p w14:paraId="3B98E9BC" w14:textId="77777777" w:rsidR="009B445D" w:rsidRPr="000644FA" w:rsidRDefault="009B445D" w:rsidP="00AA5E7B">
      <w:pPr>
        <w:pStyle w:val="ListParagraph"/>
        <w:spacing w:after="0" w:line="240" w:lineRule="auto"/>
        <w:ind w:left="426"/>
        <w:jc w:val="both"/>
        <w:rPr>
          <w:rFonts w:cstheme="minorHAnsi"/>
          <w:sz w:val="20"/>
          <w:szCs w:val="20"/>
        </w:rPr>
      </w:pPr>
    </w:p>
    <w:p w14:paraId="25686994" w14:textId="4CA44A32" w:rsidR="00E521C0" w:rsidRPr="006A5F0E" w:rsidRDefault="00293E39" w:rsidP="006A5F0E">
      <w:pPr>
        <w:spacing w:after="0" w:line="240" w:lineRule="auto"/>
        <w:jc w:val="both"/>
        <w:rPr>
          <w:rFonts w:cstheme="minorHAnsi"/>
          <w:b/>
          <w:bCs/>
          <w:sz w:val="20"/>
          <w:szCs w:val="20"/>
        </w:rPr>
      </w:pPr>
      <w:r w:rsidRPr="006A5F0E">
        <w:rPr>
          <w:rFonts w:cstheme="minorHAnsi"/>
          <w:b/>
          <w:bCs/>
          <w:sz w:val="20"/>
          <w:szCs w:val="20"/>
        </w:rPr>
        <w:t xml:space="preserve">DATA ANALYSIS </w:t>
      </w:r>
      <w:r w:rsidR="00CC0A53">
        <w:rPr>
          <w:rFonts w:cstheme="minorHAnsi"/>
          <w:b/>
          <w:bCs/>
          <w:sz w:val="20"/>
          <w:szCs w:val="20"/>
        </w:rPr>
        <w:t xml:space="preserve">- </w:t>
      </w:r>
      <w:r w:rsidR="006E004B" w:rsidRPr="006A5F0E">
        <w:rPr>
          <w:rFonts w:cstheme="minorHAnsi"/>
          <w:b/>
          <w:bCs/>
          <w:sz w:val="20"/>
          <w:szCs w:val="20"/>
        </w:rPr>
        <w:t>CORPORATE BONDS:</w:t>
      </w:r>
    </w:p>
    <w:p w14:paraId="73561FC6" w14:textId="038400DC" w:rsidR="00E521C0" w:rsidRPr="00EF399D" w:rsidRDefault="00602954" w:rsidP="00EF399D">
      <w:pPr>
        <w:spacing w:after="0" w:line="240" w:lineRule="auto"/>
        <w:jc w:val="both"/>
        <w:rPr>
          <w:rFonts w:cstheme="minorHAnsi"/>
          <w:sz w:val="20"/>
          <w:szCs w:val="20"/>
        </w:rPr>
      </w:pPr>
      <w:r w:rsidRPr="00EF399D">
        <w:rPr>
          <w:rFonts w:cstheme="minorHAnsi"/>
          <w:sz w:val="20"/>
          <w:szCs w:val="20"/>
        </w:rPr>
        <w:t xml:space="preserve">In this section, we try to </w:t>
      </w:r>
      <w:r w:rsidR="005210D9" w:rsidRPr="00EF399D">
        <w:rPr>
          <w:rFonts w:cstheme="minorHAnsi"/>
          <w:sz w:val="20"/>
          <w:szCs w:val="20"/>
        </w:rPr>
        <w:t xml:space="preserve">illustrate </w:t>
      </w:r>
      <w:r w:rsidRPr="00EF399D">
        <w:rPr>
          <w:rFonts w:cstheme="minorHAnsi"/>
          <w:sz w:val="20"/>
          <w:szCs w:val="20"/>
        </w:rPr>
        <w:t xml:space="preserve"> how the pricing </w:t>
      </w:r>
      <w:r w:rsidR="005210D9" w:rsidRPr="00EF399D">
        <w:rPr>
          <w:rFonts w:cstheme="minorHAnsi"/>
          <w:sz w:val="20"/>
          <w:szCs w:val="20"/>
        </w:rPr>
        <w:t xml:space="preserve">of trades by </w:t>
      </w:r>
      <w:r w:rsidR="00A355F7" w:rsidRPr="00EF399D">
        <w:rPr>
          <w:rFonts w:cstheme="minorHAnsi"/>
          <w:sz w:val="20"/>
          <w:szCs w:val="20"/>
        </w:rPr>
        <w:t xml:space="preserve">market makers </w:t>
      </w:r>
      <w:r w:rsidR="00C52A97" w:rsidRPr="00EF399D">
        <w:rPr>
          <w:rFonts w:cstheme="minorHAnsi"/>
          <w:sz w:val="20"/>
          <w:szCs w:val="20"/>
        </w:rPr>
        <w:t xml:space="preserve">will </w:t>
      </w:r>
      <w:r w:rsidRPr="00EF399D">
        <w:rPr>
          <w:rFonts w:cstheme="minorHAnsi"/>
          <w:sz w:val="20"/>
          <w:szCs w:val="20"/>
        </w:rPr>
        <w:t xml:space="preserve">change </w:t>
      </w:r>
      <w:r w:rsidR="005210D9" w:rsidRPr="00EF399D">
        <w:rPr>
          <w:rFonts w:cstheme="minorHAnsi"/>
          <w:sz w:val="20"/>
          <w:szCs w:val="20"/>
        </w:rPr>
        <w:t xml:space="preserve">due </w:t>
      </w:r>
      <w:r w:rsidRPr="00EF399D">
        <w:rPr>
          <w:rFonts w:cstheme="minorHAnsi"/>
          <w:sz w:val="20"/>
          <w:szCs w:val="20"/>
        </w:rPr>
        <w:t>to the introduction of a mandatory buy-in regime</w:t>
      </w:r>
      <w:r w:rsidR="00E521C0" w:rsidRPr="00EF399D">
        <w:rPr>
          <w:rFonts w:cstheme="minorHAnsi"/>
          <w:sz w:val="20"/>
          <w:szCs w:val="20"/>
        </w:rPr>
        <w:t xml:space="preserve"> </w:t>
      </w:r>
      <w:r w:rsidR="00293E39" w:rsidRPr="00EF399D">
        <w:rPr>
          <w:rFonts w:cstheme="minorHAnsi"/>
          <w:sz w:val="20"/>
          <w:szCs w:val="20"/>
        </w:rPr>
        <w:t xml:space="preserve">– </w:t>
      </w:r>
      <w:r w:rsidR="00293E39" w:rsidRPr="00104E4E">
        <w:rPr>
          <w:rFonts w:cstheme="minorHAnsi"/>
          <w:sz w:val="20"/>
          <w:szCs w:val="20"/>
        </w:rPr>
        <w:t xml:space="preserve">see </w:t>
      </w:r>
      <w:r w:rsidR="005210D9" w:rsidRPr="00104E4E">
        <w:rPr>
          <w:rFonts w:cstheme="minorHAnsi"/>
          <w:sz w:val="20"/>
          <w:szCs w:val="20"/>
        </w:rPr>
        <w:t>Box 1 below</w:t>
      </w:r>
      <w:r w:rsidR="00CC0A53">
        <w:rPr>
          <w:rFonts w:cstheme="minorHAnsi"/>
          <w:sz w:val="20"/>
          <w:szCs w:val="20"/>
        </w:rPr>
        <w:t xml:space="preserve"> </w:t>
      </w:r>
      <w:r w:rsidR="006A5F0E" w:rsidRPr="00104E4E">
        <w:rPr>
          <w:rFonts w:cstheme="minorHAnsi"/>
          <w:sz w:val="20"/>
          <w:szCs w:val="20"/>
        </w:rPr>
        <w:t xml:space="preserve">- </w:t>
      </w:r>
      <w:r w:rsidR="008C0F1B" w:rsidRPr="00104E4E">
        <w:rPr>
          <w:rFonts w:cstheme="minorHAnsi"/>
          <w:sz w:val="20"/>
          <w:szCs w:val="20"/>
        </w:rPr>
        <w:t>where we have modelled potential pricing impacts of mandatory buy-ins</w:t>
      </w:r>
      <w:r w:rsidRPr="00104E4E">
        <w:rPr>
          <w:rFonts w:cstheme="minorHAnsi"/>
          <w:sz w:val="20"/>
          <w:szCs w:val="20"/>
        </w:rPr>
        <w:t xml:space="preserve">. </w:t>
      </w:r>
      <w:r w:rsidR="00293E39" w:rsidRPr="00104E4E">
        <w:rPr>
          <w:rFonts w:cstheme="minorHAnsi"/>
          <w:sz w:val="20"/>
          <w:szCs w:val="20"/>
        </w:rPr>
        <w:t xml:space="preserve">We used </w:t>
      </w:r>
      <w:r w:rsidR="00DA4783">
        <w:rPr>
          <w:rFonts w:cstheme="minorHAnsi"/>
          <w:sz w:val="20"/>
          <w:szCs w:val="20"/>
        </w:rPr>
        <w:t xml:space="preserve">our institution </w:t>
      </w:r>
      <w:r w:rsidR="00D90072">
        <w:rPr>
          <w:rFonts w:cstheme="minorHAnsi"/>
          <w:sz w:val="20"/>
          <w:szCs w:val="20"/>
        </w:rPr>
        <w:t>EMEA</w:t>
      </w:r>
      <w:r w:rsidR="00293E39" w:rsidRPr="00EF399D">
        <w:rPr>
          <w:rFonts w:cstheme="minorHAnsi"/>
          <w:sz w:val="20"/>
          <w:szCs w:val="20"/>
        </w:rPr>
        <w:t xml:space="preserve"> corporate bond data as an example. </w:t>
      </w:r>
    </w:p>
    <w:p w14:paraId="5E1160C1" w14:textId="77777777" w:rsidR="00EF399D" w:rsidRDefault="00EF399D" w:rsidP="00EF399D">
      <w:pPr>
        <w:spacing w:after="0" w:line="240" w:lineRule="auto"/>
        <w:jc w:val="both"/>
        <w:rPr>
          <w:rFonts w:cstheme="minorHAnsi"/>
          <w:sz w:val="20"/>
          <w:szCs w:val="20"/>
        </w:rPr>
      </w:pPr>
      <w:bookmarkStart w:id="17" w:name="_GoBack"/>
      <w:bookmarkEnd w:id="17"/>
    </w:p>
    <w:p w14:paraId="1CB23267" w14:textId="5C93A474" w:rsidR="003200B0" w:rsidRPr="00EF399D" w:rsidRDefault="00293E39" w:rsidP="00EF399D">
      <w:pPr>
        <w:spacing w:after="0" w:line="240" w:lineRule="auto"/>
        <w:jc w:val="both"/>
        <w:rPr>
          <w:rFonts w:cstheme="minorHAnsi"/>
          <w:sz w:val="20"/>
          <w:szCs w:val="20"/>
        </w:rPr>
      </w:pPr>
      <w:r w:rsidRPr="00EF399D">
        <w:rPr>
          <w:rFonts w:cstheme="minorHAnsi"/>
          <w:sz w:val="20"/>
          <w:szCs w:val="20"/>
        </w:rPr>
        <w:t xml:space="preserve">In addition, </w:t>
      </w:r>
      <w:r w:rsidR="008C0F1B" w:rsidRPr="00EF399D">
        <w:rPr>
          <w:rFonts w:cstheme="minorHAnsi"/>
          <w:sz w:val="20"/>
          <w:szCs w:val="20"/>
        </w:rPr>
        <w:t xml:space="preserve">we note the data analysis undertaken by </w:t>
      </w:r>
      <w:r w:rsidR="008C0F1B" w:rsidRPr="00104E4E">
        <w:rPr>
          <w:rFonts w:cstheme="minorHAnsi"/>
          <w:sz w:val="20"/>
          <w:szCs w:val="20"/>
        </w:rPr>
        <w:t xml:space="preserve">Euroclear which looks </w:t>
      </w:r>
      <w:r w:rsidRPr="00104E4E">
        <w:rPr>
          <w:rFonts w:cstheme="minorHAnsi"/>
          <w:sz w:val="20"/>
          <w:szCs w:val="20"/>
        </w:rPr>
        <w:t xml:space="preserve">at data </w:t>
      </w:r>
      <w:r w:rsidR="00C57C02" w:rsidRPr="00104E4E">
        <w:rPr>
          <w:rFonts w:cstheme="minorHAnsi"/>
          <w:sz w:val="20"/>
          <w:szCs w:val="20"/>
        </w:rPr>
        <w:t>for every month of</w:t>
      </w:r>
      <w:r w:rsidRPr="00104E4E">
        <w:rPr>
          <w:rFonts w:cstheme="minorHAnsi"/>
          <w:sz w:val="20"/>
          <w:szCs w:val="20"/>
        </w:rPr>
        <w:t xml:space="preserve"> 2020 and shows that </w:t>
      </w:r>
      <w:r w:rsidR="00E521C0" w:rsidRPr="00104E4E">
        <w:rPr>
          <w:rFonts w:cstheme="minorHAnsi"/>
          <w:sz w:val="20"/>
          <w:szCs w:val="20"/>
        </w:rPr>
        <w:t xml:space="preserve">the </w:t>
      </w:r>
      <w:r w:rsidR="00602954" w:rsidRPr="00104E4E">
        <w:rPr>
          <w:rFonts w:cstheme="minorHAnsi"/>
          <w:sz w:val="20"/>
          <w:szCs w:val="20"/>
        </w:rPr>
        <w:t xml:space="preserve">covid-19 crisis </w:t>
      </w:r>
      <w:r w:rsidR="00E521C0" w:rsidRPr="00104E4E">
        <w:rPr>
          <w:rFonts w:cstheme="minorHAnsi"/>
          <w:sz w:val="20"/>
          <w:szCs w:val="20"/>
        </w:rPr>
        <w:t xml:space="preserve">has </w:t>
      </w:r>
      <w:r w:rsidRPr="00104E4E">
        <w:rPr>
          <w:rFonts w:cstheme="minorHAnsi"/>
          <w:sz w:val="20"/>
          <w:szCs w:val="20"/>
        </w:rPr>
        <w:t>led</w:t>
      </w:r>
      <w:r w:rsidR="00E521C0" w:rsidRPr="00104E4E">
        <w:rPr>
          <w:rFonts w:cstheme="minorHAnsi"/>
          <w:sz w:val="20"/>
          <w:szCs w:val="20"/>
        </w:rPr>
        <w:t xml:space="preserve"> to increased </w:t>
      </w:r>
      <w:r w:rsidR="005210D9" w:rsidRPr="00104E4E">
        <w:rPr>
          <w:rFonts w:cstheme="minorHAnsi"/>
          <w:sz w:val="20"/>
          <w:szCs w:val="20"/>
        </w:rPr>
        <w:t xml:space="preserve">rates </w:t>
      </w:r>
      <w:r w:rsidR="00E521C0" w:rsidRPr="00104E4E">
        <w:rPr>
          <w:rFonts w:cstheme="minorHAnsi"/>
          <w:sz w:val="20"/>
          <w:szCs w:val="20"/>
        </w:rPr>
        <w:t xml:space="preserve">of settlement fails, therefore suggesting that the expected negative effects </w:t>
      </w:r>
      <w:r w:rsidR="0092132D" w:rsidRPr="00104E4E">
        <w:rPr>
          <w:rFonts w:cstheme="minorHAnsi"/>
          <w:sz w:val="20"/>
          <w:szCs w:val="20"/>
        </w:rPr>
        <w:t xml:space="preserve">of mandatory buy-ins </w:t>
      </w:r>
      <w:r w:rsidR="00E521C0" w:rsidRPr="00104E4E">
        <w:rPr>
          <w:rFonts w:cstheme="minorHAnsi"/>
          <w:sz w:val="20"/>
          <w:szCs w:val="20"/>
        </w:rPr>
        <w:t>will be magnified in time of market stress</w:t>
      </w:r>
      <w:r w:rsidRPr="00104E4E">
        <w:rPr>
          <w:rFonts w:cstheme="minorHAnsi"/>
          <w:sz w:val="20"/>
          <w:szCs w:val="20"/>
        </w:rPr>
        <w:t xml:space="preserve"> </w:t>
      </w:r>
      <w:r w:rsidR="00810474" w:rsidRPr="00104E4E">
        <w:rPr>
          <w:rFonts w:cstheme="minorHAnsi"/>
          <w:sz w:val="20"/>
          <w:szCs w:val="20"/>
        </w:rPr>
        <w:t>(</w:t>
      </w:r>
      <w:r w:rsidR="00610EB2" w:rsidRPr="00104E4E">
        <w:rPr>
          <w:rFonts w:cstheme="minorHAnsi"/>
          <w:sz w:val="20"/>
          <w:szCs w:val="20"/>
        </w:rPr>
        <w:t>s</w:t>
      </w:r>
      <w:r w:rsidR="00BC0334" w:rsidRPr="00104E4E">
        <w:rPr>
          <w:rFonts w:cstheme="minorHAnsi"/>
          <w:sz w:val="20"/>
          <w:szCs w:val="20"/>
        </w:rPr>
        <w:t>ee</w:t>
      </w:r>
      <w:r w:rsidR="006A24A0" w:rsidRPr="00104E4E">
        <w:rPr>
          <w:rFonts w:cstheme="minorHAnsi"/>
          <w:sz w:val="20"/>
          <w:szCs w:val="20"/>
        </w:rPr>
        <w:t xml:space="preserve"> </w:t>
      </w:r>
      <w:r w:rsidR="005F49E3" w:rsidRPr="00104E4E">
        <w:rPr>
          <w:rFonts w:cstheme="minorHAnsi"/>
          <w:sz w:val="20"/>
          <w:szCs w:val="20"/>
        </w:rPr>
        <w:t>g</w:t>
      </w:r>
      <w:r w:rsidR="006A24A0" w:rsidRPr="00104E4E">
        <w:rPr>
          <w:rFonts w:cstheme="minorHAnsi"/>
          <w:sz w:val="20"/>
          <w:szCs w:val="20"/>
        </w:rPr>
        <w:t>raph 2 below</w:t>
      </w:r>
      <w:r w:rsidR="00810474" w:rsidRPr="00104E4E">
        <w:rPr>
          <w:rFonts w:cstheme="minorHAnsi"/>
          <w:sz w:val="20"/>
          <w:szCs w:val="20"/>
        </w:rPr>
        <w:t>)</w:t>
      </w:r>
      <w:r w:rsidR="005210D9" w:rsidRPr="00104E4E">
        <w:rPr>
          <w:rFonts w:cstheme="minorHAnsi"/>
          <w:sz w:val="20"/>
          <w:szCs w:val="20"/>
        </w:rPr>
        <w:t xml:space="preserve">. </w:t>
      </w:r>
      <w:r w:rsidR="006A5F0E" w:rsidRPr="00104E4E">
        <w:rPr>
          <w:rFonts w:cstheme="minorHAnsi"/>
          <w:sz w:val="20"/>
          <w:szCs w:val="20"/>
        </w:rPr>
        <w:t xml:space="preserve">The results vary both between asset classes (Government, Corporate, Emerging Markets bonds). </w:t>
      </w:r>
    </w:p>
    <w:p w14:paraId="168FED1E" w14:textId="30565FEB" w:rsidR="006A24A0" w:rsidRDefault="006A24A0" w:rsidP="006A24A0">
      <w:pPr>
        <w:pStyle w:val="ListParagraph"/>
        <w:jc w:val="both"/>
        <w:rPr>
          <w:rFonts w:cstheme="minorHAnsi"/>
          <w:b/>
          <w:bCs/>
          <w:sz w:val="20"/>
          <w:szCs w:val="20"/>
        </w:rPr>
      </w:pPr>
    </w:p>
    <w:p w14:paraId="7CAA981A" w14:textId="40FFA59C" w:rsidR="006A24A0" w:rsidRPr="006A24A0" w:rsidRDefault="006A24A0" w:rsidP="006A24A0">
      <w:pPr>
        <w:pStyle w:val="ListParagraph"/>
        <w:jc w:val="both"/>
        <w:rPr>
          <w:rFonts w:cstheme="minorHAnsi"/>
          <w:b/>
          <w:bCs/>
          <w:sz w:val="20"/>
          <w:szCs w:val="20"/>
        </w:rPr>
      </w:pPr>
      <w:r>
        <w:rPr>
          <w:rFonts w:cstheme="minorHAnsi"/>
          <w:b/>
          <w:bCs/>
          <w:sz w:val="20"/>
          <w:szCs w:val="20"/>
        </w:rPr>
        <w:t xml:space="preserve">Graph 2: </w:t>
      </w:r>
    </w:p>
    <w:p w14:paraId="4BBFAD72" w14:textId="77777777" w:rsidR="006A24A0" w:rsidRPr="006A24A0" w:rsidRDefault="006A24A0" w:rsidP="006A24A0">
      <w:pPr>
        <w:ind w:left="360"/>
        <w:jc w:val="both"/>
        <w:rPr>
          <w:rFonts w:cstheme="minorHAnsi"/>
          <w:b/>
          <w:bCs/>
          <w:sz w:val="20"/>
          <w:szCs w:val="20"/>
        </w:rPr>
      </w:pPr>
      <w:r>
        <w:rPr>
          <w:noProof/>
        </w:rPr>
        <w:drawing>
          <wp:inline distT="0" distB="0" distL="0" distR="0" wp14:anchorId="74FE9EEA" wp14:editId="67235D5C">
            <wp:extent cx="5731510" cy="3072130"/>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5731510" cy="3072130"/>
                    </a:xfrm>
                    <a:prstGeom prst="rect">
                      <a:avLst/>
                    </a:prstGeom>
                    <a:noFill/>
                    <a:ln>
                      <a:noFill/>
                    </a:ln>
                  </pic:spPr>
                </pic:pic>
              </a:graphicData>
            </a:graphic>
          </wp:inline>
        </w:drawing>
      </w:r>
    </w:p>
    <w:p w14:paraId="136DC3D6" w14:textId="704E6318" w:rsidR="006A24A0" w:rsidRPr="006A24A0" w:rsidRDefault="006A24A0" w:rsidP="006A24A0">
      <w:pPr>
        <w:pStyle w:val="ListParagraph"/>
        <w:spacing w:after="0" w:line="240" w:lineRule="auto"/>
        <w:jc w:val="both"/>
        <w:rPr>
          <w:rFonts w:cstheme="minorHAnsi"/>
          <w:sz w:val="16"/>
          <w:szCs w:val="16"/>
        </w:rPr>
      </w:pPr>
      <w:r w:rsidRPr="006A24A0">
        <w:rPr>
          <w:rFonts w:cstheme="minorHAnsi"/>
          <w:sz w:val="16"/>
          <w:szCs w:val="16"/>
        </w:rPr>
        <w:t xml:space="preserve">Source: Euroclear Data – </w:t>
      </w:r>
      <w:r w:rsidR="00F43C4D">
        <w:rPr>
          <w:rFonts w:cstheme="minorHAnsi"/>
          <w:sz w:val="16"/>
          <w:szCs w:val="16"/>
        </w:rPr>
        <w:t>g</w:t>
      </w:r>
      <w:r w:rsidRPr="006A24A0">
        <w:rPr>
          <w:rFonts w:cstheme="minorHAnsi"/>
          <w:sz w:val="16"/>
          <w:szCs w:val="16"/>
        </w:rPr>
        <w:t>raph put together by AFME.</w:t>
      </w:r>
    </w:p>
    <w:p w14:paraId="45061AC2" w14:textId="77777777" w:rsidR="006A24A0" w:rsidRPr="00DF470B" w:rsidRDefault="006A24A0" w:rsidP="006A24A0">
      <w:pPr>
        <w:pStyle w:val="ListParagraph"/>
        <w:spacing w:after="0" w:line="240" w:lineRule="auto"/>
        <w:ind w:left="426"/>
        <w:jc w:val="both"/>
        <w:rPr>
          <w:rFonts w:cstheme="minorHAnsi"/>
          <w:sz w:val="20"/>
          <w:szCs w:val="20"/>
        </w:rPr>
      </w:pPr>
    </w:p>
    <w:p w14:paraId="1DC9FB23" w14:textId="6E7D3F96" w:rsidR="000644FA" w:rsidRDefault="000644FA" w:rsidP="00AA5E7B">
      <w:pPr>
        <w:spacing w:after="0" w:line="240" w:lineRule="auto"/>
        <w:jc w:val="both"/>
        <w:rPr>
          <w:rFonts w:cstheme="minorHAnsi"/>
          <w:sz w:val="20"/>
          <w:szCs w:val="20"/>
        </w:rPr>
      </w:pPr>
    </w:p>
    <w:p w14:paraId="55FD3DA0" w14:textId="6F31FEC2" w:rsidR="00140FD5" w:rsidRDefault="00140FD5" w:rsidP="00AA5E7B">
      <w:pPr>
        <w:spacing w:after="0" w:line="240" w:lineRule="auto"/>
        <w:jc w:val="both"/>
        <w:rPr>
          <w:rFonts w:cstheme="minorHAnsi"/>
          <w:sz w:val="20"/>
          <w:szCs w:val="20"/>
        </w:rPr>
      </w:pPr>
    </w:p>
    <w:p w14:paraId="6C075E4C" w14:textId="71B97355" w:rsidR="00140FD5" w:rsidRDefault="00140FD5" w:rsidP="00AA5E7B">
      <w:pPr>
        <w:spacing w:after="0" w:line="240" w:lineRule="auto"/>
        <w:jc w:val="both"/>
        <w:rPr>
          <w:rFonts w:cstheme="minorHAnsi"/>
          <w:sz w:val="20"/>
          <w:szCs w:val="20"/>
        </w:rPr>
      </w:pPr>
    </w:p>
    <w:p w14:paraId="728A691B" w14:textId="42EF19EF" w:rsidR="00140FD5" w:rsidRDefault="00140FD5" w:rsidP="00AA5E7B">
      <w:pPr>
        <w:spacing w:after="0" w:line="240" w:lineRule="auto"/>
        <w:jc w:val="both"/>
        <w:rPr>
          <w:rFonts w:cstheme="minorHAnsi"/>
          <w:sz w:val="20"/>
          <w:szCs w:val="20"/>
        </w:rPr>
      </w:pPr>
    </w:p>
    <w:p w14:paraId="69C2B9AB" w14:textId="2718E3C3" w:rsidR="00140FD5" w:rsidRDefault="00140FD5" w:rsidP="00AA5E7B">
      <w:pPr>
        <w:spacing w:after="0" w:line="240" w:lineRule="auto"/>
        <w:jc w:val="both"/>
        <w:rPr>
          <w:rFonts w:cstheme="minorHAnsi"/>
          <w:sz w:val="20"/>
          <w:szCs w:val="20"/>
        </w:rPr>
      </w:pPr>
    </w:p>
    <w:p w14:paraId="00E67FB8" w14:textId="25BE5B16" w:rsidR="00CC0A53" w:rsidRDefault="00CC0A53" w:rsidP="00AA5E7B">
      <w:pPr>
        <w:spacing w:after="0" w:line="240" w:lineRule="auto"/>
        <w:jc w:val="both"/>
        <w:rPr>
          <w:rFonts w:cstheme="minorHAnsi"/>
          <w:sz w:val="20"/>
          <w:szCs w:val="20"/>
        </w:rPr>
      </w:pPr>
    </w:p>
    <w:p w14:paraId="12B91909" w14:textId="77777777" w:rsidR="00CC0A53" w:rsidRPr="00AA5E7B" w:rsidRDefault="00CC0A53" w:rsidP="00AA5E7B">
      <w:pPr>
        <w:spacing w:after="0" w:line="240" w:lineRule="auto"/>
        <w:jc w:val="both"/>
        <w:rPr>
          <w:rFonts w:cstheme="minorHAnsi"/>
          <w:sz w:val="20"/>
          <w:szCs w:val="20"/>
        </w:rPr>
      </w:pPr>
    </w:p>
    <w:p w14:paraId="644FC51B" w14:textId="77777777" w:rsidR="000644FA" w:rsidRPr="000644FA" w:rsidRDefault="000644FA" w:rsidP="00E71006">
      <w:pPr>
        <w:pStyle w:val="ListParagraph"/>
        <w:spacing w:after="0" w:line="240" w:lineRule="auto"/>
        <w:jc w:val="both"/>
        <w:rPr>
          <w:rFonts w:cstheme="minorHAnsi"/>
          <w:sz w:val="20"/>
          <w:szCs w:val="20"/>
        </w:rPr>
      </w:pPr>
    </w:p>
    <w:p w14:paraId="0A5B1485" w14:textId="13D86F6F" w:rsidR="00EB5B53" w:rsidRPr="000644FA" w:rsidRDefault="00293E39" w:rsidP="00E71006">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0644FA">
        <w:rPr>
          <w:rFonts w:cstheme="minorHAnsi"/>
          <w:sz w:val="20"/>
          <w:szCs w:val="20"/>
        </w:rPr>
        <w:lastRenderedPageBreak/>
        <w:t xml:space="preserve">Box 1 </w:t>
      </w:r>
      <w:r w:rsidR="00AA5E7B">
        <w:rPr>
          <w:rFonts w:cstheme="minorHAnsi"/>
          <w:sz w:val="20"/>
          <w:szCs w:val="20"/>
        </w:rPr>
        <w:t>–</w:t>
      </w:r>
      <w:r w:rsidRPr="000644FA">
        <w:rPr>
          <w:rFonts w:cstheme="minorHAnsi"/>
          <w:sz w:val="20"/>
          <w:szCs w:val="20"/>
        </w:rPr>
        <w:t xml:space="preserve"> </w:t>
      </w:r>
      <w:r w:rsidR="00AA5E7B">
        <w:rPr>
          <w:rFonts w:cstheme="minorHAnsi"/>
          <w:sz w:val="20"/>
          <w:szCs w:val="20"/>
        </w:rPr>
        <w:t xml:space="preserve">Market Makers </w:t>
      </w:r>
      <w:r w:rsidR="00DA191D" w:rsidRPr="000644FA">
        <w:rPr>
          <w:rFonts w:cstheme="minorHAnsi"/>
          <w:sz w:val="20"/>
          <w:szCs w:val="20"/>
        </w:rPr>
        <w:t>pricing model –</w:t>
      </w:r>
      <w:r w:rsidR="00CC0A53">
        <w:rPr>
          <w:rFonts w:cstheme="minorHAnsi"/>
          <w:sz w:val="20"/>
          <w:szCs w:val="20"/>
        </w:rPr>
        <w:t xml:space="preserve"> </w:t>
      </w:r>
      <w:r w:rsidR="00DA191D" w:rsidRPr="000644FA">
        <w:rPr>
          <w:rFonts w:cstheme="minorHAnsi"/>
          <w:sz w:val="20"/>
          <w:szCs w:val="20"/>
        </w:rPr>
        <w:t>c</w:t>
      </w:r>
      <w:r w:rsidR="00835930" w:rsidRPr="000644FA">
        <w:rPr>
          <w:rFonts w:cstheme="minorHAnsi"/>
          <w:sz w:val="20"/>
          <w:szCs w:val="20"/>
        </w:rPr>
        <w:t>redit</w:t>
      </w:r>
      <w:r w:rsidR="00DA191D" w:rsidRPr="000644FA">
        <w:rPr>
          <w:rFonts w:cstheme="minorHAnsi"/>
          <w:sz w:val="20"/>
          <w:szCs w:val="20"/>
        </w:rPr>
        <w:t xml:space="preserve"> bonds</w:t>
      </w:r>
    </w:p>
    <w:p w14:paraId="4B901196" w14:textId="70FF854D" w:rsidR="00DA191D" w:rsidRPr="000644FA" w:rsidRDefault="00DA191D" w:rsidP="00E71006">
      <w:pPr>
        <w:spacing w:after="0" w:line="240" w:lineRule="auto"/>
        <w:jc w:val="both"/>
        <w:rPr>
          <w:rFonts w:cstheme="minorHAnsi"/>
          <w:sz w:val="20"/>
          <w:szCs w:val="20"/>
        </w:rPr>
      </w:pPr>
    </w:p>
    <w:p w14:paraId="44D2172A" w14:textId="7F761C8A" w:rsidR="003C26DC" w:rsidRPr="000644FA" w:rsidRDefault="00CC0A53" w:rsidP="00E71006">
      <w:pPr>
        <w:jc w:val="both"/>
        <w:rPr>
          <w:rFonts w:cstheme="minorHAnsi"/>
          <w:sz w:val="20"/>
          <w:szCs w:val="20"/>
        </w:rPr>
      </w:pPr>
      <w:r>
        <w:rPr>
          <w:rFonts w:cstheme="minorHAnsi"/>
          <w:sz w:val="20"/>
          <w:szCs w:val="20"/>
        </w:rPr>
        <w:t xml:space="preserve">The </w:t>
      </w:r>
      <w:r w:rsidR="009F5338" w:rsidRPr="000644FA">
        <w:rPr>
          <w:rFonts w:cstheme="minorHAnsi"/>
          <w:sz w:val="20"/>
          <w:szCs w:val="20"/>
        </w:rPr>
        <w:t xml:space="preserve">introduction of a mandatory buy-in regime </w:t>
      </w:r>
      <w:r w:rsidR="00F20B68" w:rsidRPr="000644FA">
        <w:rPr>
          <w:rFonts w:cstheme="minorHAnsi"/>
          <w:sz w:val="20"/>
          <w:szCs w:val="20"/>
        </w:rPr>
        <w:t xml:space="preserve">is expected to </w:t>
      </w:r>
      <w:r w:rsidR="009F5338" w:rsidRPr="000644FA">
        <w:rPr>
          <w:rFonts w:cstheme="minorHAnsi"/>
          <w:sz w:val="20"/>
          <w:szCs w:val="20"/>
        </w:rPr>
        <w:t>increase the bid-offer spread</w:t>
      </w:r>
      <w:r w:rsidR="00F20B68" w:rsidRPr="000644FA">
        <w:rPr>
          <w:rFonts w:cstheme="minorHAnsi"/>
          <w:sz w:val="20"/>
          <w:szCs w:val="20"/>
        </w:rPr>
        <w:t>s</w:t>
      </w:r>
      <w:r w:rsidR="009F5338" w:rsidRPr="000644FA">
        <w:rPr>
          <w:rFonts w:cstheme="minorHAnsi"/>
          <w:sz w:val="20"/>
          <w:szCs w:val="20"/>
        </w:rPr>
        <w:t xml:space="preserve"> such that </w:t>
      </w:r>
      <w:r w:rsidR="00A355F7" w:rsidRPr="00E75343">
        <w:rPr>
          <w:rFonts w:cstheme="minorHAnsi"/>
          <w:sz w:val="20"/>
          <w:szCs w:val="20"/>
        </w:rPr>
        <w:t>market makers</w:t>
      </w:r>
      <w:r w:rsidR="00A355F7" w:rsidRPr="000644FA">
        <w:rPr>
          <w:rFonts w:cstheme="minorHAnsi"/>
          <w:sz w:val="20"/>
          <w:szCs w:val="20"/>
        </w:rPr>
        <w:t xml:space="preserve"> </w:t>
      </w:r>
      <w:r w:rsidR="009F5338" w:rsidRPr="000644FA">
        <w:rPr>
          <w:rFonts w:cstheme="minorHAnsi"/>
          <w:sz w:val="20"/>
          <w:szCs w:val="20"/>
        </w:rPr>
        <w:t xml:space="preserve">are compensated for the expected costs of the buy-in which </w:t>
      </w:r>
      <w:r w:rsidR="00F20B68" w:rsidRPr="000644FA">
        <w:rPr>
          <w:rFonts w:cstheme="minorHAnsi"/>
          <w:sz w:val="20"/>
          <w:szCs w:val="20"/>
        </w:rPr>
        <w:t xml:space="preserve">will </w:t>
      </w:r>
      <w:r w:rsidR="009F5338" w:rsidRPr="000644FA">
        <w:rPr>
          <w:rFonts w:cstheme="minorHAnsi"/>
          <w:sz w:val="20"/>
          <w:szCs w:val="20"/>
        </w:rPr>
        <w:t>automatically be initiated after 7 days</w:t>
      </w:r>
      <w:r w:rsidR="00F20B68" w:rsidRPr="000644FA">
        <w:rPr>
          <w:rFonts w:cstheme="minorHAnsi"/>
          <w:sz w:val="20"/>
          <w:szCs w:val="20"/>
        </w:rPr>
        <w:t xml:space="preserve"> in case of a fail</w:t>
      </w:r>
      <w:r w:rsidR="009F5338" w:rsidRPr="000644FA">
        <w:rPr>
          <w:rFonts w:cstheme="minorHAnsi"/>
          <w:sz w:val="20"/>
          <w:szCs w:val="20"/>
        </w:rPr>
        <w:t xml:space="preserve">. </w:t>
      </w:r>
      <w:r w:rsidR="003C26DC" w:rsidRPr="000644FA">
        <w:rPr>
          <w:rFonts w:cstheme="minorHAnsi"/>
          <w:sz w:val="20"/>
          <w:szCs w:val="20"/>
        </w:rPr>
        <w:t xml:space="preserve">Before making a price on a trade that might fail for more than 7 days the </w:t>
      </w:r>
      <w:r w:rsidR="006A5F0E">
        <w:rPr>
          <w:rFonts w:cstheme="minorHAnsi"/>
          <w:sz w:val="20"/>
          <w:szCs w:val="20"/>
        </w:rPr>
        <w:t>market maker</w:t>
      </w:r>
      <w:r w:rsidR="00437F60">
        <w:rPr>
          <w:rFonts w:cstheme="minorHAnsi"/>
          <w:sz w:val="20"/>
          <w:szCs w:val="20"/>
        </w:rPr>
        <w:t xml:space="preserve"> will </w:t>
      </w:r>
      <w:r w:rsidR="003C26DC" w:rsidRPr="000644FA">
        <w:rPr>
          <w:rFonts w:cstheme="minorHAnsi"/>
          <w:sz w:val="20"/>
          <w:szCs w:val="20"/>
        </w:rPr>
        <w:t>need to consider, if this trade does fail beyond 7 days</w:t>
      </w:r>
      <w:r w:rsidR="00437F60">
        <w:rPr>
          <w:rFonts w:cstheme="minorHAnsi"/>
          <w:sz w:val="20"/>
          <w:szCs w:val="20"/>
        </w:rPr>
        <w:t>,</w:t>
      </w:r>
      <w:r w:rsidR="003C26DC" w:rsidRPr="000644FA">
        <w:rPr>
          <w:rFonts w:cstheme="minorHAnsi"/>
          <w:sz w:val="20"/>
          <w:szCs w:val="20"/>
        </w:rPr>
        <w:t xml:space="preserve"> what is the expected cost of the buy</w:t>
      </w:r>
      <w:r w:rsidR="00437F60">
        <w:rPr>
          <w:rFonts w:cstheme="minorHAnsi"/>
          <w:sz w:val="20"/>
          <w:szCs w:val="20"/>
        </w:rPr>
        <w:t>-</w:t>
      </w:r>
      <w:r w:rsidR="003C26DC" w:rsidRPr="000644FA">
        <w:rPr>
          <w:rFonts w:cstheme="minorHAnsi"/>
          <w:sz w:val="20"/>
          <w:szCs w:val="20"/>
        </w:rPr>
        <w:t xml:space="preserve">in </w:t>
      </w:r>
      <w:r>
        <w:rPr>
          <w:rFonts w:cstheme="minorHAnsi"/>
          <w:sz w:val="20"/>
          <w:szCs w:val="20"/>
        </w:rPr>
        <w:t xml:space="preserve">in </w:t>
      </w:r>
      <w:r w:rsidR="003C26DC" w:rsidRPr="000644FA">
        <w:rPr>
          <w:rFonts w:cstheme="minorHAnsi"/>
          <w:sz w:val="20"/>
          <w:szCs w:val="20"/>
        </w:rPr>
        <w:t xml:space="preserve">that case. </w:t>
      </w:r>
      <w:r w:rsidR="00437F60">
        <w:rPr>
          <w:rFonts w:cstheme="minorHAnsi"/>
          <w:sz w:val="20"/>
          <w:szCs w:val="20"/>
        </w:rPr>
        <w:t xml:space="preserve">The </w:t>
      </w:r>
      <w:r w:rsidR="006A5F0E">
        <w:rPr>
          <w:rFonts w:cstheme="minorHAnsi"/>
          <w:sz w:val="20"/>
          <w:szCs w:val="20"/>
        </w:rPr>
        <w:t>market maker</w:t>
      </w:r>
      <w:r w:rsidR="00437F60">
        <w:rPr>
          <w:rFonts w:cstheme="minorHAnsi"/>
          <w:sz w:val="20"/>
          <w:szCs w:val="20"/>
        </w:rPr>
        <w:t xml:space="preserve"> will </w:t>
      </w:r>
      <w:r w:rsidR="003C26DC" w:rsidRPr="000644FA">
        <w:rPr>
          <w:rFonts w:cstheme="minorHAnsi"/>
          <w:sz w:val="20"/>
          <w:szCs w:val="20"/>
        </w:rPr>
        <w:t xml:space="preserve">need to consider how often </w:t>
      </w:r>
      <w:r w:rsidR="00437F60">
        <w:rPr>
          <w:rFonts w:cstheme="minorHAnsi"/>
          <w:sz w:val="20"/>
          <w:szCs w:val="20"/>
        </w:rPr>
        <w:t xml:space="preserve">he </w:t>
      </w:r>
      <w:r w:rsidR="003C26DC" w:rsidRPr="000644FA">
        <w:rPr>
          <w:rFonts w:cstheme="minorHAnsi"/>
          <w:sz w:val="20"/>
          <w:szCs w:val="20"/>
        </w:rPr>
        <w:t xml:space="preserve">expects trades to go to buy-in on aggregate, and finally how many trades have a meaningful risk of resulting in </w:t>
      </w:r>
      <w:r w:rsidR="00437F60">
        <w:rPr>
          <w:rFonts w:cstheme="minorHAnsi"/>
          <w:sz w:val="20"/>
          <w:szCs w:val="20"/>
        </w:rPr>
        <w:t xml:space="preserve">a </w:t>
      </w:r>
      <w:r w:rsidR="003C26DC" w:rsidRPr="000644FA">
        <w:rPr>
          <w:rFonts w:cstheme="minorHAnsi"/>
          <w:sz w:val="20"/>
          <w:szCs w:val="20"/>
        </w:rPr>
        <w:t xml:space="preserve">buy-in. </w:t>
      </w:r>
      <w:r w:rsidR="00437F60">
        <w:rPr>
          <w:rFonts w:cstheme="minorHAnsi"/>
          <w:sz w:val="20"/>
          <w:szCs w:val="20"/>
        </w:rPr>
        <w:t>T</w:t>
      </w:r>
      <w:r w:rsidR="003C26DC" w:rsidRPr="000644FA">
        <w:rPr>
          <w:rFonts w:cstheme="minorHAnsi"/>
          <w:sz w:val="20"/>
          <w:szCs w:val="20"/>
        </w:rPr>
        <w:t xml:space="preserve">he total expected cost of all buy-ins </w:t>
      </w:r>
      <w:r w:rsidR="00437F60">
        <w:rPr>
          <w:rFonts w:cstheme="minorHAnsi"/>
          <w:sz w:val="20"/>
          <w:szCs w:val="20"/>
        </w:rPr>
        <w:t xml:space="preserve">will then be spread </w:t>
      </w:r>
      <w:r w:rsidR="003C26DC" w:rsidRPr="000644FA">
        <w:rPr>
          <w:rFonts w:cstheme="minorHAnsi"/>
          <w:sz w:val="20"/>
          <w:szCs w:val="20"/>
        </w:rPr>
        <w:t xml:space="preserve">across the full set of trades </w:t>
      </w:r>
      <w:r w:rsidR="00437F60">
        <w:rPr>
          <w:rFonts w:cstheme="minorHAnsi"/>
          <w:sz w:val="20"/>
          <w:szCs w:val="20"/>
        </w:rPr>
        <w:t xml:space="preserve">the </w:t>
      </w:r>
      <w:r w:rsidR="006A5F0E">
        <w:rPr>
          <w:rFonts w:cstheme="minorHAnsi"/>
          <w:sz w:val="20"/>
          <w:szCs w:val="20"/>
        </w:rPr>
        <w:t>market maker</w:t>
      </w:r>
      <w:r w:rsidR="003C26DC" w:rsidRPr="000644FA">
        <w:rPr>
          <w:rFonts w:cstheme="minorHAnsi"/>
          <w:sz w:val="20"/>
          <w:szCs w:val="20"/>
        </w:rPr>
        <w:t xml:space="preserve"> is at risk of being bought</w:t>
      </w:r>
      <w:r w:rsidR="00437F60">
        <w:rPr>
          <w:rFonts w:cstheme="minorHAnsi"/>
          <w:sz w:val="20"/>
          <w:szCs w:val="20"/>
        </w:rPr>
        <w:t>-in on.</w:t>
      </w:r>
    </w:p>
    <w:p w14:paraId="78DF5FA0" w14:textId="5F9BEA79" w:rsidR="005F70D9" w:rsidRPr="000644FA" w:rsidRDefault="009F5338" w:rsidP="00E71006">
      <w:pPr>
        <w:jc w:val="both"/>
        <w:rPr>
          <w:rFonts w:cstheme="minorHAnsi"/>
          <w:sz w:val="20"/>
          <w:szCs w:val="20"/>
          <w:lang w:val="en-US"/>
        </w:rPr>
      </w:pPr>
      <w:r w:rsidRPr="000644FA">
        <w:rPr>
          <w:rFonts w:cstheme="minorHAnsi"/>
          <w:sz w:val="20"/>
          <w:szCs w:val="20"/>
        </w:rPr>
        <w:t xml:space="preserve">The below costs components will be taken into consideration by the </w:t>
      </w:r>
      <w:r w:rsidR="00DA4783">
        <w:rPr>
          <w:rFonts w:cstheme="minorHAnsi"/>
          <w:sz w:val="20"/>
          <w:szCs w:val="20"/>
        </w:rPr>
        <w:t>market maker</w:t>
      </w:r>
      <w:r w:rsidR="00A332E3">
        <w:rPr>
          <w:rFonts w:cstheme="minorHAnsi"/>
          <w:sz w:val="20"/>
          <w:szCs w:val="20"/>
        </w:rPr>
        <w:t xml:space="preserve"> </w:t>
      </w:r>
      <w:r w:rsidRPr="000644FA">
        <w:rPr>
          <w:rFonts w:cstheme="minorHAnsi"/>
          <w:sz w:val="20"/>
          <w:szCs w:val="20"/>
        </w:rPr>
        <w:t xml:space="preserve">when </w:t>
      </w:r>
      <w:r w:rsidR="003C26DC" w:rsidRPr="000644FA">
        <w:rPr>
          <w:rFonts w:cstheme="minorHAnsi"/>
          <w:sz w:val="20"/>
          <w:szCs w:val="20"/>
        </w:rPr>
        <w:t>considering the cost of a buy-in when one occurs</w:t>
      </w:r>
      <w:r w:rsidRPr="000644FA">
        <w:rPr>
          <w:rFonts w:cstheme="minorHAnsi"/>
          <w:sz w:val="20"/>
          <w:szCs w:val="20"/>
        </w:rPr>
        <w:t>:</w:t>
      </w:r>
    </w:p>
    <w:p w14:paraId="59A31E35" w14:textId="49FB5360" w:rsidR="00B93BEB" w:rsidRPr="000644FA" w:rsidRDefault="00B93BEB" w:rsidP="00E71006">
      <w:pPr>
        <w:pStyle w:val="ListParagraph"/>
        <w:numPr>
          <w:ilvl w:val="0"/>
          <w:numId w:val="15"/>
        </w:numPr>
        <w:spacing w:after="0" w:line="240" w:lineRule="auto"/>
        <w:jc w:val="both"/>
        <w:rPr>
          <w:rFonts w:cstheme="minorHAnsi"/>
          <w:sz w:val="20"/>
          <w:szCs w:val="20"/>
        </w:rPr>
      </w:pPr>
      <w:r w:rsidRPr="000644FA">
        <w:rPr>
          <w:rFonts w:cstheme="minorHAnsi"/>
          <w:b/>
          <w:bCs/>
          <w:sz w:val="20"/>
          <w:szCs w:val="20"/>
        </w:rPr>
        <w:t>Mark-to-market price impact</w:t>
      </w:r>
      <w:r w:rsidRPr="000644FA">
        <w:rPr>
          <w:rFonts w:cstheme="minorHAnsi"/>
          <w:sz w:val="20"/>
          <w:szCs w:val="20"/>
        </w:rPr>
        <w:t xml:space="preserve">: This is the movement in the </w:t>
      </w:r>
      <w:r w:rsidR="00380C16" w:rsidRPr="000644FA">
        <w:rPr>
          <w:rFonts w:cstheme="minorHAnsi"/>
          <w:sz w:val="20"/>
          <w:szCs w:val="20"/>
        </w:rPr>
        <w:t>mid-</w:t>
      </w:r>
      <w:r w:rsidRPr="000644FA">
        <w:rPr>
          <w:rFonts w:cstheme="minorHAnsi"/>
          <w:sz w:val="20"/>
          <w:szCs w:val="20"/>
        </w:rPr>
        <w:t xml:space="preserve">market price level of the bond between the </w:t>
      </w:r>
      <w:r w:rsidR="009F5338" w:rsidRPr="000644FA">
        <w:rPr>
          <w:rFonts w:cstheme="minorHAnsi"/>
          <w:sz w:val="20"/>
          <w:szCs w:val="20"/>
        </w:rPr>
        <w:t xml:space="preserve">time the </w:t>
      </w:r>
      <w:r w:rsidRPr="000644FA">
        <w:rPr>
          <w:rFonts w:cstheme="minorHAnsi"/>
          <w:sz w:val="20"/>
          <w:szCs w:val="20"/>
        </w:rPr>
        <w:t xml:space="preserve">trade takes place and the buy-in is executed. The bonds that will </w:t>
      </w:r>
      <w:r w:rsidR="00C52A97" w:rsidRPr="000644FA">
        <w:rPr>
          <w:rFonts w:cstheme="minorHAnsi"/>
          <w:sz w:val="20"/>
          <w:szCs w:val="20"/>
        </w:rPr>
        <w:t xml:space="preserve">most likely </w:t>
      </w:r>
      <w:r w:rsidRPr="000644FA">
        <w:rPr>
          <w:rFonts w:cstheme="minorHAnsi"/>
          <w:sz w:val="20"/>
          <w:szCs w:val="20"/>
        </w:rPr>
        <w:t>end up being bought-in are the bonds that can’t easily be found i.e. the bonds</w:t>
      </w:r>
      <w:r w:rsidR="00380C16" w:rsidRPr="000644FA">
        <w:rPr>
          <w:rFonts w:cstheme="minorHAnsi"/>
          <w:sz w:val="20"/>
          <w:szCs w:val="20"/>
        </w:rPr>
        <w:t xml:space="preserve"> with a supply considerably below demand. In these conditions prices rise</w:t>
      </w:r>
      <w:r w:rsidRPr="000644FA">
        <w:rPr>
          <w:rFonts w:cstheme="minorHAnsi"/>
          <w:sz w:val="20"/>
          <w:szCs w:val="20"/>
        </w:rPr>
        <w:t xml:space="preserve">.  A mandatory buy-in will </w:t>
      </w:r>
      <w:r w:rsidR="00CD1B11" w:rsidRPr="000644FA">
        <w:rPr>
          <w:rFonts w:cstheme="minorHAnsi"/>
          <w:sz w:val="20"/>
          <w:szCs w:val="20"/>
        </w:rPr>
        <w:t xml:space="preserve">most </w:t>
      </w:r>
      <w:r w:rsidRPr="000644FA">
        <w:rPr>
          <w:rFonts w:cstheme="minorHAnsi"/>
          <w:sz w:val="20"/>
          <w:szCs w:val="20"/>
        </w:rPr>
        <w:t>likely occur when the price of the bond has gone up. A discretionary buy-in on the contrary would allow the receiving party to decide at which point to exercise the buy-in.</w:t>
      </w:r>
    </w:p>
    <w:p w14:paraId="699ACA9A" w14:textId="719109E1" w:rsidR="005F70D9" w:rsidRPr="000644FA" w:rsidRDefault="00FC16FA" w:rsidP="00E71006">
      <w:pPr>
        <w:pStyle w:val="ListParagraph"/>
        <w:numPr>
          <w:ilvl w:val="0"/>
          <w:numId w:val="15"/>
        </w:numPr>
        <w:spacing w:after="0" w:line="240" w:lineRule="auto"/>
        <w:jc w:val="both"/>
        <w:rPr>
          <w:rFonts w:cstheme="minorHAnsi"/>
          <w:sz w:val="20"/>
          <w:szCs w:val="20"/>
        </w:rPr>
      </w:pPr>
      <w:r w:rsidRPr="000644FA">
        <w:rPr>
          <w:rFonts w:cstheme="minorHAnsi"/>
          <w:b/>
          <w:bCs/>
          <w:sz w:val="20"/>
          <w:szCs w:val="20"/>
        </w:rPr>
        <w:t>Buy-in offer spread</w:t>
      </w:r>
      <w:r w:rsidR="00B93BEB" w:rsidRPr="000644FA">
        <w:rPr>
          <w:rFonts w:cstheme="minorHAnsi"/>
          <w:b/>
          <w:bCs/>
          <w:sz w:val="20"/>
          <w:szCs w:val="20"/>
        </w:rPr>
        <w:t>:</w:t>
      </w:r>
      <w:r w:rsidR="00B93BEB" w:rsidRPr="000644FA">
        <w:rPr>
          <w:rFonts w:cstheme="minorHAnsi"/>
          <w:sz w:val="20"/>
          <w:szCs w:val="20"/>
        </w:rPr>
        <w:t xml:space="preserve"> </w:t>
      </w:r>
      <w:r w:rsidR="00FF5175" w:rsidRPr="000644FA">
        <w:rPr>
          <w:rFonts w:cstheme="minorHAnsi"/>
          <w:sz w:val="20"/>
          <w:szCs w:val="20"/>
        </w:rPr>
        <w:t xml:space="preserve">This is the additional amount above the current </w:t>
      </w:r>
      <w:r w:rsidRPr="000644FA">
        <w:rPr>
          <w:rFonts w:cstheme="minorHAnsi"/>
          <w:sz w:val="20"/>
          <w:szCs w:val="20"/>
        </w:rPr>
        <w:t>mid-</w:t>
      </w:r>
      <w:r w:rsidR="00FF5175" w:rsidRPr="000644FA">
        <w:rPr>
          <w:rFonts w:cstheme="minorHAnsi"/>
          <w:sz w:val="20"/>
          <w:szCs w:val="20"/>
        </w:rPr>
        <w:t xml:space="preserve">market level that </w:t>
      </w:r>
      <w:r w:rsidRPr="000644FA">
        <w:rPr>
          <w:rFonts w:cstheme="minorHAnsi"/>
          <w:sz w:val="20"/>
          <w:szCs w:val="20"/>
        </w:rPr>
        <w:t xml:space="preserve">is required </w:t>
      </w:r>
      <w:r w:rsidR="00FF5175" w:rsidRPr="000644FA">
        <w:rPr>
          <w:rFonts w:cstheme="minorHAnsi"/>
          <w:sz w:val="20"/>
          <w:szCs w:val="20"/>
        </w:rPr>
        <w:t xml:space="preserve">to incentivise </w:t>
      </w:r>
      <w:r w:rsidR="00C52A97" w:rsidRPr="000644FA">
        <w:rPr>
          <w:rFonts w:cstheme="minorHAnsi"/>
          <w:sz w:val="20"/>
          <w:szCs w:val="20"/>
        </w:rPr>
        <w:t xml:space="preserve">the </w:t>
      </w:r>
      <w:r w:rsidRPr="000644FA">
        <w:rPr>
          <w:rFonts w:cstheme="minorHAnsi"/>
          <w:sz w:val="20"/>
          <w:szCs w:val="20"/>
        </w:rPr>
        <w:t xml:space="preserve">holders of the bonds </w:t>
      </w:r>
      <w:r w:rsidR="00FF5175" w:rsidRPr="000644FA">
        <w:rPr>
          <w:rFonts w:cstheme="minorHAnsi"/>
          <w:sz w:val="20"/>
          <w:szCs w:val="20"/>
        </w:rPr>
        <w:t>to sell their bonds</w:t>
      </w:r>
      <w:r w:rsidRPr="000644FA">
        <w:rPr>
          <w:rFonts w:cstheme="minorHAnsi"/>
          <w:sz w:val="20"/>
          <w:szCs w:val="20"/>
        </w:rPr>
        <w:t xml:space="preserve"> to satisfy the buy-in</w:t>
      </w:r>
      <w:r w:rsidR="00FF5175" w:rsidRPr="000644FA">
        <w:rPr>
          <w:rFonts w:cstheme="minorHAnsi"/>
          <w:sz w:val="20"/>
          <w:szCs w:val="20"/>
        </w:rPr>
        <w:t xml:space="preserve">. </w:t>
      </w:r>
      <w:r w:rsidRPr="000644FA">
        <w:rPr>
          <w:rFonts w:cstheme="minorHAnsi"/>
          <w:sz w:val="20"/>
          <w:szCs w:val="20"/>
        </w:rPr>
        <w:t>B</w:t>
      </w:r>
      <w:r w:rsidR="00B93BEB" w:rsidRPr="000644FA">
        <w:rPr>
          <w:rFonts w:cstheme="minorHAnsi"/>
          <w:sz w:val="20"/>
          <w:szCs w:val="20"/>
        </w:rPr>
        <w:t>uy-in</w:t>
      </w:r>
      <w:r w:rsidRPr="000644FA">
        <w:rPr>
          <w:rFonts w:cstheme="minorHAnsi"/>
          <w:sz w:val="20"/>
          <w:szCs w:val="20"/>
        </w:rPr>
        <w:t>s</w:t>
      </w:r>
      <w:r w:rsidR="00B93BEB" w:rsidRPr="000644FA">
        <w:rPr>
          <w:rFonts w:cstheme="minorHAnsi"/>
          <w:sz w:val="20"/>
          <w:szCs w:val="20"/>
        </w:rPr>
        <w:t xml:space="preserve"> occur when the </w:t>
      </w:r>
      <w:r w:rsidRPr="000644FA">
        <w:rPr>
          <w:rFonts w:cstheme="minorHAnsi"/>
          <w:sz w:val="20"/>
          <w:szCs w:val="20"/>
        </w:rPr>
        <w:t xml:space="preserve">original </w:t>
      </w:r>
      <w:r w:rsidR="00B93BEB" w:rsidRPr="000644FA">
        <w:rPr>
          <w:rFonts w:cstheme="minorHAnsi"/>
          <w:sz w:val="20"/>
          <w:szCs w:val="20"/>
        </w:rPr>
        <w:t xml:space="preserve">seller is struggling to find the bonds on the market. Therefore, once a buy-in is enforced, </w:t>
      </w:r>
      <w:r w:rsidR="00FF5175" w:rsidRPr="000644FA">
        <w:rPr>
          <w:rFonts w:cstheme="minorHAnsi"/>
          <w:sz w:val="20"/>
          <w:szCs w:val="20"/>
        </w:rPr>
        <w:t>the participant who has been bought</w:t>
      </w:r>
      <w:r w:rsidR="00C52A97" w:rsidRPr="000644FA">
        <w:rPr>
          <w:rFonts w:cstheme="minorHAnsi"/>
          <w:sz w:val="20"/>
          <w:szCs w:val="20"/>
        </w:rPr>
        <w:t>-</w:t>
      </w:r>
      <w:r w:rsidR="00FF5175" w:rsidRPr="000644FA">
        <w:rPr>
          <w:rFonts w:cstheme="minorHAnsi"/>
          <w:sz w:val="20"/>
          <w:szCs w:val="20"/>
        </w:rPr>
        <w:t xml:space="preserve">in </w:t>
      </w:r>
      <w:r w:rsidR="00B93BEB" w:rsidRPr="000644FA">
        <w:rPr>
          <w:rFonts w:cstheme="minorHAnsi"/>
          <w:sz w:val="20"/>
          <w:szCs w:val="20"/>
        </w:rPr>
        <w:t>will need to incentivize sellers in the market who were not previously willing to sell to now do so</w:t>
      </w:r>
      <w:r w:rsidR="00002BB0" w:rsidRPr="000644FA">
        <w:rPr>
          <w:rFonts w:cstheme="minorHAnsi"/>
          <w:sz w:val="20"/>
          <w:szCs w:val="20"/>
        </w:rPr>
        <w:t>, which</w:t>
      </w:r>
      <w:r w:rsidR="00FF5175" w:rsidRPr="000644FA">
        <w:rPr>
          <w:rFonts w:cstheme="minorHAnsi"/>
          <w:sz w:val="20"/>
          <w:szCs w:val="20"/>
        </w:rPr>
        <w:t xml:space="preserve"> </w:t>
      </w:r>
      <w:r w:rsidR="00B93BEB" w:rsidRPr="000644FA">
        <w:rPr>
          <w:rFonts w:cstheme="minorHAnsi"/>
          <w:sz w:val="20"/>
          <w:szCs w:val="20"/>
        </w:rPr>
        <w:t xml:space="preserve">is </w:t>
      </w:r>
      <w:r w:rsidR="00FF5175" w:rsidRPr="000644FA">
        <w:rPr>
          <w:rFonts w:cstheme="minorHAnsi"/>
          <w:sz w:val="20"/>
          <w:szCs w:val="20"/>
        </w:rPr>
        <w:t xml:space="preserve">going to </w:t>
      </w:r>
      <w:r w:rsidR="00B93BEB" w:rsidRPr="000644FA">
        <w:rPr>
          <w:rFonts w:cstheme="minorHAnsi"/>
          <w:sz w:val="20"/>
          <w:szCs w:val="20"/>
        </w:rPr>
        <w:t>cost a</w:t>
      </w:r>
      <w:r w:rsidR="00FF5175" w:rsidRPr="000644FA">
        <w:rPr>
          <w:rFonts w:cstheme="minorHAnsi"/>
          <w:sz w:val="20"/>
          <w:szCs w:val="20"/>
        </w:rPr>
        <w:t xml:space="preserve"> higher </w:t>
      </w:r>
      <w:r w:rsidR="00B93BEB" w:rsidRPr="000644FA">
        <w:rPr>
          <w:rFonts w:cstheme="minorHAnsi"/>
          <w:sz w:val="20"/>
          <w:szCs w:val="20"/>
        </w:rPr>
        <w:t>bid-offer</w:t>
      </w:r>
      <w:r w:rsidR="00CD1B11" w:rsidRPr="000644FA">
        <w:rPr>
          <w:rFonts w:cstheme="minorHAnsi"/>
          <w:sz w:val="20"/>
          <w:szCs w:val="20"/>
        </w:rPr>
        <w:t>.</w:t>
      </w:r>
      <w:r w:rsidR="009F5338" w:rsidRPr="000644FA">
        <w:rPr>
          <w:rFonts w:cstheme="minorHAnsi"/>
          <w:sz w:val="20"/>
          <w:szCs w:val="20"/>
        </w:rPr>
        <w:t xml:space="preserve"> </w:t>
      </w:r>
    </w:p>
    <w:p w14:paraId="4313448F" w14:textId="0BCF9C40" w:rsidR="00C52A97" w:rsidRPr="000644FA" w:rsidRDefault="00FF5175" w:rsidP="00E71006">
      <w:pPr>
        <w:pStyle w:val="ListParagraph"/>
        <w:numPr>
          <w:ilvl w:val="0"/>
          <w:numId w:val="15"/>
        </w:numPr>
        <w:spacing w:after="0" w:line="240" w:lineRule="auto"/>
        <w:jc w:val="both"/>
        <w:rPr>
          <w:rFonts w:cstheme="minorHAnsi"/>
          <w:b/>
          <w:bCs/>
          <w:sz w:val="20"/>
          <w:szCs w:val="20"/>
        </w:rPr>
      </w:pPr>
      <w:r w:rsidRPr="000644FA">
        <w:rPr>
          <w:rFonts w:cstheme="minorHAnsi"/>
          <w:b/>
          <w:bCs/>
          <w:sz w:val="20"/>
          <w:szCs w:val="20"/>
        </w:rPr>
        <w:t xml:space="preserve">Buy-in agent: </w:t>
      </w:r>
      <w:r w:rsidR="00315B42" w:rsidRPr="000644FA">
        <w:rPr>
          <w:rFonts w:cstheme="minorHAnsi"/>
          <w:sz w:val="20"/>
          <w:szCs w:val="20"/>
        </w:rPr>
        <w:t xml:space="preserve">There is a mandatory obligation under </w:t>
      </w:r>
      <w:r w:rsidR="00560676" w:rsidRPr="000644FA">
        <w:rPr>
          <w:rFonts w:cstheme="minorHAnsi"/>
          <w:sz w:val="20"/>
          <w:szCs w:val="20"/>
        </w:rPr>
        <w:t xml:space="preserve">the </w:t>
      </w:r>
      <w:r w:rsidR="00315B42" w:rsidRPr="000644FA">
        <w:rPr>
          <w:rFonts w:cstheme="minorHAnsi"/>
          <w:sz w:val="20"/>
          <w:szCs w:val="20"/>
        </w:rPr>
        <w:t xml:space="preserve">CSDR to appoint a third-party buy-in agent when a buy-in has been initiated. The cost of the buy-in agent also </w:t>
      </w:r>
      <w:r w:rsidR="00FC16FA" w:rsidRPr="000644FA">
        <w:rPr>
          <w:rFonts w:cstheme="minorHAnsi"/>
          <w:sz w:val="20"/>
          <w:szCs w:val="20"/>
        </w:rPr>
        <w:t xml:space="preserve">has to </w:t>
      </w:r>
      <w:r w:rsidR="00315B42" w:rsidRPr="000644FA">
        <w:rPr>
          <w:rFonts w:cstheme="minorHAnsi"/>
          <w:sz w:val="20"/>
          <w:szCs w:val="20"/>
        </w:rPr>
        <w:t>be taken into consideration when pricing the trades</w:t>
      </w:r>
      <w:r w:rsidR="00CC0A53">
        <w:rPr>
          <w:rFonts w:cstheme="minorHAnsi"/>
          <w:b/>
          <w:bCs/>
          <w:sz w:val="20"/>
          <w:szCs w:val="20"/>
        </w:rPr>
        <w:t>.</w:t>
      </w:r>
    </w:p>
    <w:p w14:paraId="33D2DC73" w14:textId="36A9E797" w:rsidR="009F5338" w:rsidRPr="000644FA" w:rsidRDefault="009F5338" w:rsidP="00E71006">
      <w:pPr>
        <w:pStyle w:val="ListParagraph"/>
        <w:numPr>
          <w:ilvl w:val="0"/>
          <w:numId w:val="15"/>
        </w:numPr>
        <w:spacing w:after="0" w:line="240" w:lineRule="auto"/>
        <w:jc w:val="both"/>
        <w:rPr>
          <w:rFonts w:cstheme="minorHAnsi"/>
          <w:b/>
          <w:bCs/>
          <w:sz w:val="20"/>
          <w:szCs w:val="20"/>
        </w:rPr>
      </w:pPr>
      <w:r w:rsidRPr="000644FA">
        <w:rPr>
          <w:rFonts w:cstheme="minorHAnsi"/>
          <w:b/>
          <w:bCs/>
          <w:sz w:val="20"/>
          <w:szCs w:val="20"/>
        </w:rPr>
        <w:t>Impact on Repo</w:t>
      </w:r>
      <w:r w:rsidR="00CD1B11" w:rsidRPr="000644FA">
        <w:rPr>
          <w:rFonts w:cstheme="minorHAnsi"/>
          <w:b/>
          <w:bCs/>
          <w:sz w:val="20"/>
          <w:szCs w:val="20"/>
        </w:rPr>
        <w:t xml:space="preserve"> and securities lending</w:t>
      </w:r>
      <w:r w:rsidRPr="000644FA">
        <w:rPr>
          <w:rFonts w:cstheme="minorHAnsi"/>
          <w:b/>
          <w:bCs/>
          <w:sz w:val="20"/>
          <w:szCs w:val="20"/>
        </w:rPr>
        <w:t xml:space="preserve"> market: </w:t>
      </w:r>
      <w:r w:rsidR="007233B7" w:rsidRPr="000644FA">
        <w:rPr>
          <w:rFonts w:cstheme="minorHAnsi"/>
          <w:sz w:val="20"/>
          <w:szCs w:val="20"/>
        </w:rPr>
        <w:t xml:space="preserve">The </w:t>
      </w:r>
      <w:r w:rsidR="00C52A97" w:rsidRPr="000644FA">
        <w:rPr>
          <w:rFonts w:cstheme="minorHAnsi"/>
          <w:sz w:val="20"/>
          <w:szCs w:val="20"/>
        </w:rPr>
        <w:t xml:space="preserve">lenders of </w:t>
      </w:r>
      <w:r w:rsidR="007233B7" w:rsidRPr="000644FA">
        <w:rPr>
          <w:rFonts w:cstheme="minorHAnsi"/>
          <w:sz w:val="20"/>
          <w:szCs w:val="20"/>
        </w:rPr>
        <w:t>bond</w:t>
      </w:r>
      <w:r w:rsidR="00C52A97" w:rsidRPr="000644FA">
        <w:rPr>
          <w:rFonts w:cstheme="minorHAnsi"/>
          <w:sz w:val="20"/>
          <w:szCs w:val="20"/>
        </w:rPr>
        <w:t>s</w:t>
      </w:r>
      <w:r w:rsidR="007233B7" w:rsidRPr="000644FA">
        <w:rPr>
          <w:rFonts w:cstheme="minorHAnsi"/>
          <w:sz w:val="20"/>
          <w:szCs w:val="20"/>
        </w:rPr>
        <w:t xml:space="preserve"> might become less inclined to lend</w:t>
      </w:r>
      <w:r w:rsidR="00CD1B11" w:rsidRPr="000644FA">
        <w:rPr>
          <w:rFonts w:cstheme="minorHAnsi"/>
          <w:sz w:val="20"/>
          <w:szCs w:val="20"/>
        </w:rPr>
        <w:t>, to reduce the risk that they get bought in if they sell securities on loan which cannot be recalled on time (see the ISLA and ICMA submissions for more info)</w:t>
      </w:r>
      <w:r w:rsidR="001C47DB" w:rsidRPr="000644FA">
        <w:rPr>
          <w:rFonts w:cstheme="minorHAnsi"/>
          <w:sz w:val="20"/>
          <w:szCs w:val="20"/>
        </w:rPr>
        <w:t xml:space="preserve">. </w:t>
      </w:r>
      <w:r w:rsidR="007233B7" w:rsidRPr="000644FA">
        <w:rPr>
          <w:rFonts w:cstheme="minorHAnsi"/>
          <w:sz w:val="20"/>
          <w:szCs w:val="20"/>
        </w:rPr>
        <w:t>In order to avoid this</w:t>
      </w:r>
      <w:r w:rsidR="00CC0A53">
        <w:rPr>
          <w:rFonts w:cstheme="minorHAnsi"/>
          <w:sz w:val="20"/>
          <w:szCs w:val="20"/>
        </w:rPr>
        <w:t>,</w:t>
      </w:r>
      <w:r w:rsidR="007233B7" w:rsidRPr="000644FA">
        <w:rPr>
          <w:rFonts w:cstheme="minorHAnsi"/>
          <w:sz w:val="20"/>
          <w:szCs w:val="20"/>
        </w:rPr>
        <w:t xml:space="preserve"> they might reduce the amount of bond lending they engage in. </w:t>
      </w:r>
      <w:r w:rsidR="001C47DB" w:rsidRPr="000644FA">
        <w:rPr>
          <w:rFonts w:cstheme="minorHAnsi"/>
          <w:sz w:val="20"/>
          <w:szCs w:val="20"/>
        </w:rPr>
        <w:t xml:space="preserve">In time of stress, this effect will be amplified as lenders would want to </w:t>
      </w:r>
      <w:r w:rsidR="00C52A97" w:rsidRPr="000644FA">
        <w:rPr>
          <w:rFonts w:cstheme="minorHAnsi"/>
          <w:sz w:val="20"/>
          <w:szCs w:val="20"/>
        </w:rPr>
        <w:t xml:space="preserve">have </w:t>
      </w:r>
      <w:r w:rsidR="00CD1B11" w:rsidRPr="000644FA">
        <w:rPr>
          <w:rFonts w:cstheme="minorHAnsi"/>
          <w:sz w:val="20"/>
          <w:szCs w:val="20"/>
        </w:rPr>
        <w:t xml:space="preserve">the ability to sell holdings at short notice to raise </w:t>
      </w:r>
      <w:r w:rsidR="001C47DB" w:rsidRPr="000644FA">
        <w:rPr>
          <w:rFonts w:cstheme="minorHAnsi"/>
          <w:sz w:val="20"/>
          <w:szCs w:val="20"/>
        </w:rPr>
        <w:t xml:space="preserve">cash </w:t>
      </w:r>
      <w:r w:rsidR="00CD1B11" w:rsidRPr="000644FA">
        <w:rPr>
          <w:rFonts w:cstheme="minorHAnsi"/>
          <w:sz w:val="20"/>
          <w:szCs w:val="20"/>
        </w:rPr>
        <w:t xml:space="preserve">liquidity </w:t>
      </w:r>
      <w:r w:rsidR="001C47DB" w:rsidRPr="000644FA">
        <w:rPr>
          <w:rFonts w:cstheme="minorHAnsi"/>
          <w:sz w:val="20"/>
          <w:szCs w:val="20"/>
        </w:rPr>
        <w:t xml:space="preserve">and the amount they will be willing to lend will be further reduced. </w:t>
      </w:r>
    </w:p>
    <w:p w14:paraId="3BD82541" w14:textId="77777777" w:rsidR="00C52A97" w:rsidRPr="000644FA" w:rsidRDefault="00C52A97" w:rsidP="00E71006">
      <w:pPr>
        <w:pStyle w:val="ListParagraph"/>
        <w:spacing w:after="0" w:line="240" w:lineRule="auto"/>
        <w:jc w:val="both"/>
        <w:rPr>
          <w:rFonts w:cstheme="minorHAnsi"/>
          <w:b/>
          <w:bCs/>
          <w:sz w:val="20"/>
          <w:szCs w:val="20"/>
        </w:rPr>
      </w:pPr>
    </w:p>
    <w:p w14:paraId="53E8AEF1" w14:textId="578B24FC" w:rsidR="00084B57" w:rsidRPr="000644FA" w:rsidRDefault="00220F18" w:rsidP="00E71006">
      <w:pPr>
        <w:jc w:val="both"/>
        <w:rPr>
          <w:rFonts w:cstheme="minorHAnsi"/>
          <w:sz w:val="20"/>
          <w:szCs w:val="20"/>
        </w:rPr>
      </w:pPr>
      <w:r w:rsidRPr="000644FA">
        <w:rPr>
          <w:rFonts w:cstheme="minorHAnsi"/>
          <w:sz w:val="20"/>
          <w:szCs w:val="20"/>
        </w:rPr>
        <w:t>Our pricing model show</w:t>
      </w:r>
      <w:r w:rsidR="00D910DB">
        <w:rPr>
          <w:rFonts w:cstheme="minorHAnsi"/>
          <w:sz w:val="20"/>
          <w:szCs w:val="20"/>
        </w:rPr>
        <w:t>s</w:t>
      </w:r>
      <w:r w:rsidRPr="000644FA">
        <w:rPr>
          <w:rFonts w:cstheme="minorHAnsi"/>
          <w:sz w:val="20"/>
          <w:szCs w:val="20"/>
        </w:rPr>
        <w:t xml:space="preserve"> how prices might be affected depending on </w:t>
      </w:r>
      <w:r w:rsidR="00C52A97" w:rsidRPr="000644FA">
        <w:rPr>
          <w:rFonts w:cstheme="minorHAnsi"/>
          <w:sz w:val="20"/>
          <w:szCs w:val="20"/>
        </w:rPr>
        <w:t xml:space="preserve">the </w:t>
      </w:r>
      <w:r w:rsidRPr="000644FA">
        <w:rPr>
          <w:rFonts w:cstheme="minorHAnsi"/>
          <w:sz w:val="20"/>
          <w:szCs w:val="20"/>
        </w:rPr>
        <w:t xml:space="preserve">different types of scenarios considered. </w:t>
      </w:r>
      <w:r w:rsidR="00084B57" w:rsidRPr="000644FA">
        <w:rPr>
          <w:rFonts w:cstheme="minorHAnsi"/>
          <w:sz w:val="20"/>
          <w:szCs w:val="20"/>
        </w:rPr>
        <w:t xml:space="preserve">In our model we have assumed that all fails are from </w:t>
      </w:r>
      <w:r w:rsidR="00087D12" w:rsidRPr="000644FA">
        <w:rPr>
          <w:rFonts w:cstheme="minorHAnsi"/>
          <w:sz w:val="20"/>
          <w:szCs w:val="20"/>
        </w:rPr>
        <w:t>non-inventory</w:t>
      </w:r>
      <w:r w:rsidR="00CD1B11" w:rsidRPr="000644FA">
        <w:rPr>
          <w:rFonts w:cstheme="minorHAnsi"/>
          <w:sz w:val="20"/>
          <w:szCs w:val="20"/>
        </w:rPr>
        <w:t xml:space="preserve"> </w:t>
      </w:r>
      <w:r w:rsidR="00084B57" w:rsidRPr="000644FA">
        <w:rPr>
          <w:rFonts w:cstheme="minorHAnsi"/>
          <w:sz w:val="20"/>
          <w:szCs w:val="20"/>
        </w:rPr>
        <w:t>sales, which is defined in this context as a trade where the market maker does not have the inventory or cannot source the stock at the point of trade.</w:t>
      </w:r>
    </w:p>
    <w:p w14:paraId="16852DEB" w14:textId="3933C45F" w:rsidR="00481EF3" w:rsidRPr="00D910DB" w:rsidRDefault="00220F18" w:rsidP="00E71006">
      <w:pPr>
        <w:jc w:val="both"/>
        <w:rPr>
          <w:rFonts w:cstheme="minorHAnsi"/>
          <w:sz w:val="20"/>
          <w:szCs w:val="20"/>
        </w:rPr>
      </w:pPr>
      <w:r w:rsidRPr="000644FA">
        <w:rPr>
          <w:rFonts w:cstheme="minorHAnsi"/>
          <w:sz w:val="20"/>
          <w:szCs w:val="20"/>
        </w:rPr>
        <w:t xml:space="preserve">The analysis shows that </w:t>
      </w:r>
      <w:r w:rsidR="009328BF" w:rsidRPr="000644FA">
        <w:rPr>
          <w:rFonts w:cstheme="minorHAnsi"/>
          <w:sz w:val="20"/>
          <w:szCs w:val="20"/>
        </w:rPr>
        <w:t>in time of normal market conditions</w:t>
      </w:r>
      <w:r w:rsidR="00FC16FA" w:rsidRPr="000644FA">
        <w:rPr>
          <w:rFonts w:cstheme="minorHAnsi"/>
          <w:sz w:val="20"/>
          <w:szCs w:val="20"/>
        </w:rPr>
        <w:t>,</w:t>
      </w:r>
      <w:r w:rsidR="009328BF" w:rsidRPr="000644FA">
        <w:rPr>
          <w:rFonts w:cstheme="minorHAnsi"/>
          <w:sz w:val="20"/>
          <w:szCs w:val="20"/>
        </w:rPr>
        <w:t xml:space="preserve"> which is using data from November 2020</w:t>
      </w:r>
      <w:r w:rsidR="00FC16FA" w:rsidRPr="000644FA">
        <w:rPr>
          <w:rFonts w:cstheme="minorHAnsi"/>
          <w:sz w:val="20"/>
          <w:szCs w:val="20"/>
        </w:rPr>
        <w:t>,</w:t>
      </w:r>
      <w:r w:rsidR="009C6D86" w:rsidRPr="000644FA">
        <w:rPr>
          <w:rFonts w:cstheme="minorHAnsi"/>
          <w:sz w:val="20"/>
          <w:szCs w:val="20"/>
        </w:rPr>
        <w:t xml:space="preserve"> </w:t>
      </w:r>
      <w:r w:rsidR="00FC16FA" w:rsidRPr="000644FA">
        <w:rPr>
          <w:rFonts w:cstheme="minorHAnsi"/>
          <w:sz w:val="20"/>
          <w:szCs w:val="20"/>
        </w:rPr>
        <w:t xml:space="preserve">with inputs of </w:t>
      </w:r>
      <w:r w:rsidR="009328BF" w:rsidRPr="00D910DB">
        <w:rPr>
          <w:rFonts w:cstheme="minorHAnsi"/>
          <w:sz w:val="20"/>
          <w:szCs w:val="20"/>
        </w:rPr>
        <w:t xml:space="preserve">normal fail rates, low market volatility and normal short sales </w:t>
      </w:r>
      <w:r w:rsidR="009C6D86" w:rsidRPr="00D910DB">
        <w:rPr>
          <w:rFonts w:cstheme="minorHAnsi"/>
          <w:sz w:val="20"/>
          <w:szCs w:val="20"/>
        </w:rPr>
        <w:t xml:space="preserve">percentages, </w:t>
      </w:r>
      <w:r w:rsidR="009328BF" w:rsidRPr="00D910DB">
        <w:rPr>
          <w:rFonts w:cstheme="minorHAnsi"/>
          <w:sz w:val="20"/>
          <w:szCs w:val="20"/>
        </w:rPr>
        <w:t xml:space="preserve">a mandatory buy-in regime would increase the </w:t>
      </w:r>
      <w:r w:rsidR="009C6D86" w:rsidRPr="00D910DB">
        <w:rPr>
          <w:rFonts w:cstheme="minorHAnsi"/>
          <w:sz w:val="20"/>
          <w:szCs w:val="20"/>
        </w:rPr>
        <w:t>mid-</w:t>
      </w:r>
      <w:r w:rsidR="009328BF" w:rsidRPr="00D910DB">
        <w:rPr>
          <w:rFonts w:cstheme="minorHAnsi"/>
          <w:sz w:val="20"/>
          <w:szCs w:val="20"/>
        </w:rPr>
        <w:t xml:space="preserve">offer price by </w:t>
      </w:r>
      <w:r w:rsidR="00FC16FA" w:rsidRPr="00D910DB">
        <w:rPr>
          <w:rFonts w:cstheme="minorHAnsi"/>
          <w:sz w:val="20"/>
          <w:szCs w:val="20"/>
        </w:rPr>
        <w:t>21 cents or 59</w:t>
      </w:r>
      <w:r w:rsidR="009328BF" w:rsidRPr="00D910DB">
        <w:rPr>
          <w:rFonts w:cstheme="minorHAnsi"/>
          <w:sz w:val="20"/>
          <w:szCs w:val="20"/>
        </w:rPr>
        <w:t xml:space="preserve">%. </w:t>
      </w:r>
    </w:p>
    <w:p w14:paraId="71DDF9CF" w14:textId="4582031E" w:rsidR="00A229EF" w:rsidRPr="000644FA" w:rsidRDefault="00A229EF" w:rsidP="00E71006">
      <w:pPr>
        <w:jc w:val="both"/>
        <w:rPr>
          <w:rFonts w:cstheme="minorHAnsi"/>
          <w:sz w:val="20"/>
          <w:szCs w:val="20"/>
        </w:rPr>
      </w:pPr>
      <w:r w:rsidRPr="00D910DB">
        <w:rPr>
          <w:rFonts w:cstheme="minorHAnsi"/>
          <w:sz w:val="20"/>
          <w:szCs w:val="20"/>
        </w:rPr>
        <w:t>However, in times of market stress such as the covid-19</w:t>
      </w:r>
      <w:r w:rsidR="00481EF3" w:rsidRPr="00D910DB">
        <w:rPr>
          <w:rFonts w:cstheme="minorHAnsi"/>
          <w:sz w:val="20"/>
          <w:szCs w:val="20"/>
        </w:rPr>
        <w:t xml:space="preserve"> crisis</w:t>
      </w:r>
      <w:r w:rsidRPr="00D910DB">
        <w:rPr>
          <w:rFonts w:cstheme="minorHAnsi"/>
          <w:sz w:val="20"/>
          <w:szCs w:val="20"/>
        </w:rPr>
        <w:t xml:space="preserve"> (using data from Marc</w:t>
      </w:r>
      <w:r w:rsidR="00481EF3" w:rsidRPr="00D910DB">
        <w:rPr>
          <w:rFonts w:cstheme="minorHAnsi"/>
          <w:sz w:val="20"/>
          <w:szCs w:val="20"/>
        </w:rPr>
        <w:t>h</w:t>
      </w:r>
      <w:r w:rsidRPr="00D910DB">
        <w:rPr>
          <w:rFonts w:cstheme="minorHAnsi"/>
          <w:sz w:val="20"/>
          <w:szCs w:val="20"/>
        </w:rPr>
        <w:t xml:space="preserve"> 2020</w:t>
      </w:r>
      <w:r w:rsidR="00481EF3" w:rsidRPr="00D910DB">
        <w:rPr>
          <w:rFonts w:cstheme="minorHAnsi"/>
          <w:sz w:val="20"/>
          <w:szCs w:val="20"/>
        </w:rPr>
        <w:t>), where higher fail rates, higher market vol</w:t>
      </w:r>
      <w:r w:rsidR="00C52A97" w:rsidRPr="00D910DB">
        <w:rPr>
          <w:rFonts w:cstheme="minorHAnsi"/>
          <w:sz w:val="20"/>
          <w:szCs w:val="20"/>
        </w:rPr>
        <w:t>atility</w:t>
      </w:r>
      <w:r w:rsidR="00481EF3" w:rsidRPr="00D910DB">
        <w:rPr>
          <w:rFonts w:cstheme="minorHAnsi"/>
          <w:sz w:val="20"/>
          <w:szCs w:val="20"/>
        </w:rPr>
        <w:t xml:space="preserve"> and lower short sales </w:t>
      </w:r>
      <w:r w:rsidR="00C52A97" w:rsidRPr="00D910DB">
        <w:rPr>
          <w:rFonts w:cstheme="minorHAnsi"/>
          <w:sz w:val="20"/>
          <w:szCs w:val="20"/>
        </w:rPr>
        <w:t>p</w:t>
      </w:r>
      <w:r w:rsidR="00084B57" w:rsidRPr="00D910DB">
        <w:rPr>
          <w:rFonts w:cstheme="minorHAnsi"/>
          <w:sz w:val="20"/>
          <w:szCs w:val="20"/>
        </w:rPr>
        <w:t>e</w:t>
      </w:r>
      <w:r w:rsidR="00C52A97" w:rsidRPr="00D910DB">
        <w:rPr>
          <w:rFonts w:cstheme="minorHAnsi"/>
          <w:sz w:val="20"/>
          <w:szCs w:val="20"/>
        </w:rPr>
        <w:t>rcentages</w:t>
      </w:r>
      <w:r w:rsidR="00481EF3" w:rsidRPr="00D910DB">
        <w:rPr>
          <w:rFonts w:cstheme="minorHAnsi"/>
          <w:sz w:val="20"/>
          <w:szCs w:val="20"/>
        </w:rPr>
        <w:t xml:space="preserve"> have been seen</w:t>
      </w:r>
      <w:r w:rsidRPr="00D910DB">
        <w:rPr>
          <w:rFonts w:cstheme="minorHAnsi"/>
          <w:sz w:val="20"/>
          <w:szCs w:val="20"/>
        </w:rPr>
        <w:t xml:space="preserve">, a mandatory buy-in regime would increase the mid-offer price by </w:t>
      </w:r>
      <w:r w:rsidR="00585F12" w:rsidRPr="00D910DB">
        <w:rPr>
          <w:rFonts w:cstheme="minorHAnsi"/>
          <w:sz w:val="20"/>
          <w:szCs w:val="20"/>
        </w:rPr>
        <w:t>146 cents or 291</w:t>
      </w:r>
      <w:r w:rsidRPr="00D910DB">
        <w:rPr>
          <w:rFonts w:cstheme="minorHAnsi"/>
          <w:sz w:val="20"/>
          <w:szCs w:val="20"/>
        </w:rPr>
        <w:t xml:space="preserve">%. </w:t>
      </w:r>
      <w:r w:rsidR="003E3DC6" w:rsidRPr="00D910DB">
        <w:rPr>
          <w:rFonts w:cstheme="minorHAnsi"/>
          <w:sz w:val="20"/>
          <w:szCs w:val="20"/>
        </w:rPr>
        <w:t>As</w:t>
      </w:r>
      <w:r w:rsidR="003E3DC6" w:rsidRPr="000644FA">
        <w:rPr>
          <w:rFonts w:cstheme="minorHAnsi"/>
          <w:sz w:val="20"/>
          <w:szCs w:val="20"/>
        </w:rPr>
        <w:t xml:space="preserve"> expected, </w:t>
      </w:r>
      <w:r w:rsidRPr="000644FA">
        <w:rPr>
          <w:rFonts w:cstheme="minorHAnsi"/>
          <w:sz w:val="20"/>
          <w:szCs w:val="20"/>
        </w:rPr>
        <w:t xml:space="preserve">the impact of  a </w:t>
      </w:r>
      <w:r w:rsidR="00585F12" w:rsidRPr="000644FA">
        <w:rPr>
          <w:rFonts w:cstheme="minorHAnsi"/>
          <w:sz w:val="20"/>
          <w:szCs w:val="20"/>
        </w:rPr>
        <w:t xml:space="preserve">mandatory </w:t>
      </w:r>
      <w:r w:rsidRPr="000644FA">
        <w:rPr>
          <w:rFonts w:cstheme="minorHAnsi"/>
          <w:sz w:val="20"/>
          <w:szCs w:val="20"/>
        </w:rPr>
        <w:t>buy-in will be pro-cyclical. i.e. when liquidity reduce</w:t>
      </w:r>
      <w:r w:rsidR="00CD1B11" w:rsidRPr="000644FA">
        <w:rPr>
          <w:rFonts w:cstheme="minorHAnsi"/>
          <w:sz w:val="20"/>
          <w:szCs w:val="20"/>
        </w:rPr>
        <w:t>s</w:t>
      </w:r>
      <w:r w:rsidRPr="000644FA">
        <w:rPr>
          <w:rFonts w:cstheme="minorHAnsi"/>
          <w:sz w:val="20"/>
          <w:szCs w:val="20"/>
        </w:rPr>
        <w:t xml:space="preserve"> and bid-offer is larger, the additional pricing will increase</w:t>
      </w:r>
      <w:r w:rsidR="00CD1B11" w:rsidRPr="000644FA">
        <w:rPr>
          <w:rFonts w:cstheme="minorHAnsi"/>
          <w:sz w:val="20"/>
          <w:szCs w:val="20"/>
        </w:rPr>
        <w:t>, driving up buy-in costs and further reducing market liquidity, generating a negative feedback loop</w:t>
      </w:r>
      <w:r w:rsidRPr="000644FA">
        <w:rPr>
          <w:rFonts w:cstheme="minorHAnsi"/>
          <w:sz w:val="20"/>
          <w:szCs w:val="20"/>
        </w:rPr>
        <w:t xml:space="preserve">. This is </w:t>
      </w:r>
      <w:r w:rsidR="00CD1B11" w:rsidRPr="000644FA">
        <w:rPr>
          <w:rFonts w:cstheme="minorHAnsi"/>
          <w:sz w:val="20"/>
          <w:szCs w:val="20"/>
        </w:rPr>
        <w:t xml:space="preserve">most prevalent </w:t>
      </w:r>
      <w:r w:rsidRPr="000644FA">
        <w:rPr>
          <w:rFonts w:cstheme="minorHAnsi"/>
          <w:sz w:val="20"/>
          <w:szCs w:val="20"/>
        </w:rPr>
        <w:t xml:space="preserve">for less liquid bonds, where bonds with a wider starting bid-offer will need a larger premium. </w:t>
      </w:r>
    </w:p>
    <w:p w14:paraId="1AA57550" w14:textId="38F6B25B" w:rsidR="00B651AB" w:rsidRPr="002D31B1" w:rsidRDefault="00585F12" w:rsidP="00E71006">
      <w:pPr>
        <w:jc w:val="both"/>
        <w:rPr>
          <w:rFonts w:cstheme="minorHAnsi"/>
          <w:sz w:val="20"/>
          <w:szCs w:val="20"/>
          <w:lang w:val="en-US"/>
        </w:rPr>
      </w:pPr>
      <w:r w:rsidRPr="002D31B1">
        <w:rPr>
          <w:rFonts w:cstheme="minorHAnsi"/>
          <w:sz w:val="20"/>
          <w:szCs w:val="20"/>
        </w:rPr>
        <w:t xml:space="preserve">However, it is important to note that </w:t>
      </w:r>
      <w:r w:rsidRPr="002D31B1">
        <w:rPr>
          <w:rFonts w:cstheme="minorHAnsi"/>
          <w:sz w:val="20"/>
          <w:szCs w:val="20"/>
          <w:lang w:val="en-US"/>
        </w:rPr>
        <w:t>the likely impact of mandatory buy-ins driven by the worsening offering prices, is the risk of the trades not taking place at all</w:t>
      </w:r>
      <w:r w:rsidR="000644FA" w:rsidRPr="002D31B1">
        <w:rPr>
          <w:rFonts w:cstheme="minorHAnsi"/>
          <w:sz w:val="20"/>
          <w:szCs w:val="20"/>
          <w:lang w:val="en-US"/>
        </w:rPr>
        <w:t xml:space="preserve">, </w:t>
      </w:r>
      <w:r w:rsidR="00CD1B11" w:rsidRPr="002D31B1">
        <w:rPr>
          <w:rFonts w:cstheme="minorHAnsi"/>
          <w:sz w:val="20"/>
          <w:szCs w:val="20"/>
          <w:lang w:val="en-US"/>
        </w:rPr>
        <w:t>i.e</w:t>
      </w:r>
      <w:r w:rsidR="009B445D" w:rsidRPr="002D31B1">
        <w:rPr>
          <w:rFonts w:cstheme="minorHAnsi"/>
          <w:sz w:val="20"/>
          <w:szCs w:val="20"/>
          <w:lang w:val="en-US"/>
        </w:rPr>
        <w:t>.</w:t>
      </w:r>
      <w:r w:rsidR="00CD1B11" w:rsidRPr="002D31B1">
        <w:rPr>
          <w:rFonts w:cstheme="minorHAnsi"/>
          <w:sz w:val="20"/>
          <w:szCs w:val="20"/>
          <w:lang w:val="en-US"/>
        </w:rPr>
        <w:t xml:space="preserve"> that buyers will not want to buy securities at the elevated price level, further reducing market liquidity</w:t>
      </w:r>
      <w:r w:rsidR="00084B57" w:rsidRPr="002D31B1">
        <w:rPr>
          <w:rFonts w:cstheme="minorHAnsi"/>
          <w:sz w:val="20"/>
          <w:szCs w:val="20"/>
          <w:lang w:val="en-US"/>
        </w:rPr>
        <w:t>.</w:t>
      </w:r>
    </w:p>
    <w:p w14:paraId="58924205" w14:textId="208B3409" w:rsidR="00B651AB" w:rsidRPr="002D31B1" w:rsidRDefault="00B651AB" w:rsidP="00E71006">
      <w:pPr>
        <w:jc w:val="both"/>
        <w:rPr>
          <w:rFonts w:cstheme="minorHAnsi"/>
          <w:sz w:val="20"/>
          <w:szCs w:val="20"/>
          <w:lang w:val="en-US"/>
        </w:rPr>
      </w:pPr>
      <w:r w:rsidRPr="002D31B1">
        <w:rPr>
          <w:rFonts w:cstheme="minorHAnsi"/>
          <w:sz w:val="20"/>
          <w:szCs w:val="20"/>
          <w:lang w:val="en-US"/>
        </w:rPr>
        <w:t xml:space="preserve">We have not been able so far to estimate this quantitatively though we expect </w:t>
      </w:r>
      <w:r w:rsidR="00084B57" w:rsidRPr="002D31B1">
        <w:rPr>
          <w:rFonts w:cstheme="minorHAnsi"/>
          <w:sz w:val="20"/>
          <w:szCs w:val="20"/>
          <w:lang w:val="en-US"/>
        </w:rPr>
        <w:t xml:space="preserve">this </w:t>
      </w:r>
      <w:r w:rsidRPr="002D31B1">
        <w:rPr>
          <w:rFonts w:cstheme="minorHAnsi"/>
          <w:sz w:val="20"/>
          <w:szCs w:val="20"/>
          <w:lang w:val="en-US"/>
        </w:rPr>
        <w:t xml:space="preserve">to be significant. One way </w:t>
      </w:r>
      <w:r w:rsidR="00084B57" w:rsidRPr="002D31B1">
        <w:rPr>
          <w:rFonts w:cstheme="minorHAnsi"/>
          <w:sz w:val="20"/>
          <w:szCs w:val="20"/>
          <w:lang w:val="en-US"/>
        </w:rPr>
        <w:t>th</w:t>
      </w:r>
      <w:r w:rsidR="00F35A9D" w:rsidRPr="002D31B1">
        <w:rPr>
          <w:rFonts w:cstheme="minorHAnsi"/>
          <w:sz w:val="20"/>
          <w:szCs w:val="20"/>
          <w:lang w:val="en-US"/>
        </w:rPr>
        <w:t>is</w:t>
      </w:r>
      <w:r w:rsidR="00084B57" w:rsidRPr="002D31B1">
        <w:rPr>
          <w:rFonts w:cstheme="minorHAnsi"/>
          <w:sz w:val="20"/>
          <w:szCs w:val="20"/>
          <w:lang w:val="en-US"/>
        </w:rPr>
        <w:t xml:space="preserve"> impact could be </w:t>
      </w:r>
      <w:r w:rsidRPr="002D31B1">
        <w:rPr>
          <w:rFonts w:cstheme="minorHAnsi"/>
          <w:sz w:val="20"/>
          <w:szCs w:val="20"/>
          <w:lang w:val="en-US"/>
        </w:rPr>
        <w:t>estimate</w:t>
      </w:r>
      <w:r w:rsidR="00084B57" w:rsidRPr="002D31B1">
        <w:rPr>
          <w:rFonts w:cstheme="minorHAnsi"/>
          <w:sz w:val="20"/>
          <w:szCs w:val="20"/>
          <w:lang w:val="en-US"/>
        </w:rPr>
        <w:t>d</w:t>
      </w:r>
      <w:r w:rsidRPr="002D31B1">
        <w:rPr>
          <w:rFonts w:cstheme="minorHAnsi"/>
          <w:sz w:val="20"/>
          <w:szCs w:val="20"/>
          <w:lang w:val="en-US"/>
        </w:rPr>
        <w:t xml:space="preserve"> would be to ask </w:t>
      </w:r>
      <w:r w:rsidR="005674C8">
        <w:rPr>
          <w:rFonts w:cstheme="minorHAnsi"/>
          <w:sz w:val="20"/>
          <w:szCs w:val="20"/>
          <w:lang w:val="en-US"/>
        </w:rPr>
        <w:t>request for quote (</w:t>
      </w:r>
      <w:r w:rsidRPr="002D31B1">
        <w:rPr>
          <w:rFonts w:cstheme="minorHAnsi"/>
          <w:sz w:val="20"/>
          <w:szCs w:val="20"/>
          <w:lang w:val="en-US"/>
        </w:rPr>
        <w:t>RFQ</w:t>
      </w:r>
      <w:r w:rsidR="005674C8">
        <w:rPr>
          <w:rFonts w:cstheme="minorHAnsi"/>
          <w:sz w:val="20"/>
          <w:szCs w:val="20"/>
          <w:lang w:val="en-US"/>
        </w:rPr>
        <w:t>)</w:t>
      </w:r>
      <w:r w:rsidRPr="002D31B1">
        <w:rPr>
          <w:rFonts w:cstheme="minorHAnsi"/>
          <w:sz w:val="20"/>
          <w:szCs w:val="20"/>
          <w:lang w:val="en-US"/>
        </w:rPr>
        <w:t xml:space="preserve"> platforms for data on the likelihood of a trade occurring on a given RFQ for various price responses</w:t>
      </w:r>
      <w:r w:rsidR="00084B57" w:rsidRPr="002D31B1">
        <w:rPr>
          <w:rFonts w:cstheme="minorHAnsi"/>
          <w:sz w:val="20"/>
          <w:szCs w:val="20"/>
          <w:lang w:val="en-US"/>
        </w:rPr>
        <w:t xml:space="preserve"> e.</w:t>
      </w:r>
      <w:r w:rsidRPr="002D31B1">
        <w:rPr>
          <w:rFonts w:cstheme="minorHAnsi"/>
          <w:sz w:val="20"/>
          <w:szCs w:val="20"/>
          <w:lang w:val="en-US"/>
        </w:rPr>
        <w:t xml:space="preserve">g. if all prices are 5c worse the platform expects 80% of enquiries to end in a trade vs. 100% for pricing in line with expectations. </w:t>
      </w:r>
      <w:r w:rsidR="00585F12" w:rsidRPr="002D31B1">
        <w:rPr>
          <w:rFonts w:cstheme="minorHAnsi"/>
          <w:sz w:val="20"/>
          <w:szCs w:val="20"/>
          <w:lang w:val="en-US"/>
        </w:rPr>
        <w:t>We estimate that of the 15%-</w:t>
      </w:r>
      <w:r w:rsidR="00585F12" w:rsidRPr="002D31B1">
        <w:rPr>
          <w:rFonts w:cstheme="minorHAnsi"/>
          <w:sz w:val="20"/>
          <w:szCs w:val="20"/>
          <w:lang w:val="en-US"/>
        </w:rPr>
        <w:lastRenderedPageBreak/>
        <w:t>20% of trades which are short sales, 50% of those are at risk of ISD7+ failure and 50% of those might not occur, thus 4%-5% of trade volume could cease to occur as a first order effect.</w:t>
      </w:r>
    </w:p>
    <w:p w14:paraId="594B1FBC" w14:textId="597255FD" w:rsidR="00AA0392" w:rsidRPr="002D31B1" w:rsidRDefault="00585F12" w:rsidP="002D31B1">
      <w:pPr>
        <w:jc w:val="both"/>
        <w:rPr>
          <w:rFonts w:cstheme="minorHAnsi"/>
          <w:sz w:val="20"/>
          <w:szCs w:val="20"/>
          <w:lang w:val="en-US"/>
        </w:rPr>
      </w:pPr>
      <w:r w:rsidRPr="000644FA">
        <w:rPr>
          <w:rFonts w:cstheme="minorHAnsi"/>
          <w:sz w:val="20"/>
          <w:szCs w:val="20"/>
          <w:lang w:val="en-US"/>
        </w:rPr>
        <w:t xml:space="preserve">Due to </w:t>
      </w:r>
      <w:r w:rsidR="00B651AB" w:rsidRPr="000644FA">
        <w:rPr>
          <w:rFonts w:cstheme="minorHAnsi"/>
          <w:sz w:val="20"/>
          <w:szCs w:val="20"/>
          <w:lang w:val="en-US"/>
        </w:rPr>
        <w:t>the negative feedback liquidity loop</w:t>
      </w:r>
      <w:r w:rsidR="00084B57" w:rsidRPr="000644FA">
        <w:rPr>
          <w:rFonts w:cstheme="minorHAnsi"/>
          <w:sz w:val="20"/>
          <w:szCs w:val="20"/>
          <w:lang w:val="en-US"/>
        </w:rPr>
        <w:t xml:space="preserve"> – </w:t>
      </w:r>
      <w:r w:rsidR="005674C8">
        <w:rPr>
          <w:rFonts w:cstheme="minorHAnsi"/>
          <w:sz w:val="20"/>
          <w:szCs w:val="20"/>
          <w:lang w:val="en-US"/>
        </w:rPr>
        <w:t xml:space="preserve">which is the </w:t>
      </w:r>
      <w:r w:rsidR="005674C8" w:rsidRPr="002F1C2C">
        <w:rPr>
          <w:rFonts w:cstheme="minorHAnsi"/>
          <w:sz w:val="20"/>
          <w:szCs w:val="20"/>
          <w:lang w:val="en-US"/>
        </w:rPr>
        <w:t xml:space="preserve">multiplicative impact of one trade not happening, since if a sale is not made, then the subsequently required purchase will </w:t>
      </w:r>
      <w:r w:rsidR="00EF4C59">
        <w:rPr>
          <w:rFonts w:cstheme="minorHAnsi"/>
          <w:sz w:val="20"/>
          <w:szCs w:val="20"/>
          <w:lang w:val="en-US"/>
        </w:rPr>
        <w:t xml:space="preserve">not </w:t>
      </w:r>
      <w:r w:rsidR="005674C8" w:rsidRPr="002F1C2C">
        <w:rPr>
          <w:rFonts w:cstheme="minorHAnsi"/>
          <w:sz w:val="20"/>
          <w:szCs w:val="20"/>
          <w:lang w:val="en-US"/>
        </w:rPr>
        <w:t>happen.</w:t>
      </w:r>
      <w:r w:rsidR="005674C8">
        <w:rPr>
          <w:rFonts w:cstheme="minorHAnsi"/>
          <w:sz w:val="20"/>
          <w:szCs w:val="20"/>
          <w:lang w:val="en-US"/>
        </w:rPr>
        <w:t xml:space="preserve"> </w:t>
      </w:r>
      <w:r w:rsidR="00B651AB" w:rsidRPr="000644FA">
        <w:rPr>
          <w:rFonts w:cstheme="minorHAnsi"/>
          <w:sz w:val="20"/>
          <w:szCs w:val="20"/>
          <w:lang w:val="en-US"/>
        </w:rPr>
        <w:t>We observe this liquidity feedback loop every time there is a minor bank holiday or a slow Monday/Friday morning trading session</w:t>
      </w:r>
      <w:r w:rsidRPr="000644FA">
        <w:rPr>
          <w:rFonts w:cstheme="minorHAnsi"/>
          <w:sz w:val="20"/>
          <w:szCs w:val="20"/>
          <w:lang w:val="en-US"/>
        </w:rPr>
        <w:t xml:space="preserve"> – the final impact on volumes is likely to be multiples of 5%</w:t>
      </w:r>
      <w:r w:rsidR="00B651AB" w:rsidRPr="000644FA">
        <w:rPr>
          <w:rFonts w:cstheme="minorHAnsi"/>
          <w:sz w:val="20"/>
          <w:szCs w:val="20"/>
          <w:lang w:val="en-US"/>
        </w:rPr>
        <w:t xml:space="preserve">. </w:t>
      </w:r>
      <w:r w:rsidR="00915C42" w:rsidRPr="000644FA">
        <w:rPr>
          <w:rFonts w:cstheme="minorHAnsi"/>
          <w:sz w:val="20"/>
          <w:szCs w:val="20"/>
          <w:lang w:val="en-US"/>
        </w:rPr>
        <w:t xml:space="preserve">This negative feedback loop is most likely to occur in times of large market volatility, such as the one witnessed in March 2020 at the height of the </w:t>
      </w:r>
      <w:r w:rsidR="004A03C8" w:rsidRPr="000644FA">
        <w:rPr>
          <w:rFonts w:cstheme="minorHAnsi"/>
          <w:sz w:val="20"/>
          <w:szCs w:val="20"/>
          <w:lang w:val="en-US"/>
        </w:rPr>
        <w:t>c</w:t>
      </w:r>
      <w:r w:rsidR="00915C42" w:rsidRPr="000644FA">
        <w:rPr>
          <w:rFonts w:cstheme="minorHAnsi"/>
          <w:sz w:val="20"/>
          <w:szCs w:val="20"/>
          <w:lang w:val="en-US"/>
        </w:rPr>
        <w:t>ovid-</w:t>
      </w:r>
      <w:r w:rsidR="004A03C8" w:rsidRPr="000644FA">
        <w:rPr>
          <w:rFonts w:cstheme="minorHAnsi"/>
          <w:sz w:val="20"/>
          <w:szCs w:val="20"/>
          <w:lang w:val="en-US"/>
        </w:rPr>
        <w:t xml:space="preserve">19 </w:t>
      </w:r>
      <w:r w:rsidR="00915C42" w:rsidRPr="000644FA">
        <w:rPr>
          <w:rFonts w:cstheme="minorHAnsi"/>
          <w:sz w:val="20"/>
          <w:szCs w:val="20"/>
          <w:lang w:val="en-US"/>
        </w:rPr>
        <w:t>induced market crisis.</w:t>
      </w:r>
    </w:p>
    <w:sectPr w:rsidR="00AA0392" w:rsidRPr="002D31B1" w:rsidSect="00E477D9">
      <w:footerReference w:type="default" r:id="rId16"/>
      <w:pgSz w:w="11906" w:h="16838"/>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F386D0" w14:textId="77777777" w:rsidR="00CC3D92" w:rsidRDefault="00CC3D92" w:rsidP="00945A51">
      <w:pPr>
        <w:spacing w:after="0" w:line="240" w:lineRule="auto"/>
      </w:pPr>
      <w:r>
        <w:separator/>
      </w:r>
    </w:p>
  </w:endnote>
  <w:endnote w:type="continuationSeparator" w:id="0">
    <w:p w14:paraId="698C0804" w14:textId="77777777" w:rsidR="00CC3D92" w:rsidRDefault="00CC3D92" w:rsidP="00945A51">
      <w:pPr>
        <w:spacing w:after="0" w:line="240" w:lineRule="auto"/>
      </w:pPr>
      <w:r>
        <w:continuationSeparator/>
      </w:r>
    </w:p>
  </w:endnote>
  <w:endnote w:type="continuationNotice" w:id="1">
    <w:p w14:paraId="2C030314" w14:textId="77777777" w:rsidR="00CC3D92" w:rsidRDefault="00CC3D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2581846"/>
      <w:docPartObj>
        <w:docPartGallery w:val="Page Numbers (Bottom of Page)"/>
        <w:docPartUnique/>
      </w:docPartObj>
    </w:sdtPr>
    <w:sdtEndPr>
      <w:rPr>
        <w:noProof/>
      </w:rPr>
    </w:sdtEndPr>
    <w:sdtContent>
      <w:p w14:paraId="7E884D01" w14:textId="4CE6EC64" w:rsidR="00CC3D92" w:rsidRDefault="00CC3D9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3EABCC7" w14:textId="77777777" w:rsidR="00CC3D92" w:rsidRDefault="00CC3D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48F7D8" w14:textId="77777777" w:rsidR="00CC3D92" w:rsidRDefault="00CC3D92" w:rsidP="00945A51">
      <w:pPr>
        <w:spacing w:after="0" w:line="240" w:lineRule="auto"/>
      </w:pPr>
      <w:r>
        <w:separator/>
      </w:r>
    </w:p>
  </w:footnote>
  <w:footnote w:type="continuationSeparator" w:id="0">
    <w:p w14:paraId="3C074694" w14:textId="77777777" w:rsidR="00CC3D92" w:rsidRDefault="00CC3D92" w:rsidP="00945A51">
      <w:pPr>
        <w:spacing w:after="0" w:line="240" w:lineRule="auto"/>
      </w:pPr>
      <w:r>
        <w:continuationSeparator/>
      </w:r>
    </w:p>
  </w:footnote>
  <w:footnote w:type="continuationNotice" w:id="1">
    <w:p w14:paraId="65961E1B" w14:textId="77777777" w:rsidR="00CC3D92" w:rsidRDefault="00CC3D92">
      <w:pPr>
        <w:spacing w:after="0" w:line="240" w:lineRule="auto"/>
      </w:pPr>
    </w:p>
  </w:footnote>
  <w:footnote w:id="2">
    <w:p w14:paraId="6B83A80F" w14:textId="4AFAAB3C" w:rsidR="00CC3D92" w:rsidRPr="00E531D2" w:rsidRDefault="00CC3D92">
      <w:pPr>
        <w:pStyle w:val="FootnoteText"/>
        <w:rPr>
          <w:sz w:val="16"/>
          <w:szCs w:val="16"/>
        </w:rPr>
      </w:pPr>
      <w:r w:rsidRPr="00E531D2">
        <w:rPr>
          <w:rStyle w:val="FootnoteReference"/>
          <w:sz w:val="16"/>
          <w:szCs w:val="16"/>
        </w:rPr>
        <w:footnoteRef/>
      </w:r>
      <w:r w:rsidRPr="00E531D2">
        <w:rPr>
          <w:sz w:val="16"/>
          <w:szCs w:val="16"/>
        </w:rPr>
        <w:t xml:space="preserve"> ‘The introduction of the TMPG fails charge for U.S Treasure Securities’, Federal Reserve Bank of New York (RRBNY), Economic Policy Review/ October 2010</w:t>
      </w:r>
      <w:r>
        <w:rPr>
          <w:sz w:val="16"/>
          <w:szCs w:val="16"/>
        </w:rPr>
        <w:t>; page 64</w:t>
      </w:r>
    </w:p>
  </w:footnote>
  <w:footnote w:id="3">
    <w:p w14:paraId="58E3AEB8" w14:textId="5FB557EB" w:rsidR="00CC3D92" w:rsidRDefault="00CC3D92">
      <w:pPr>
        <w:pStyle w:val="FootnoteText"/>
      </w:pPr>
      <w:r>
        <w:rPr>
          <w:rStyle w:val="FootnoteReference"/>
        </w:rPr>
        <w:footnoteRef/>
      </w:r>
      <w:r>
        <w:t xml:space="preserve"> </w:t>
      </w:r>
      <w:r w:rsidRPr="00E531D2">
        <w:rPr>
          <w:sz w:val="16"/>
          <w:szCs w:val="16"/>
        </w:rPr>
        <w:t>‘The introduction of the TMPG fails charge for U.S Treasure Securities’, Federal Reserve Bank of New York (RRBNY), Economic Policy Review/ October 2010</w:t>
      </w:r>
      <w:r>
        <w:rPr>
          <w:sz w:val="16"/>
          <w:szCs w:val="16"/>
        </w:rPr>
        <w:t>; page 67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02900"/>
    <w:multiLevelType w:val="hybridMultilevel"/>
    <w:tmpl w:val="5340292A"/>
    <w:lvl w:ilvl="0" w:tplc="32369C94">
      <w:start w:val="1"/>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7ED5136"/>
    <w:multiLevelType w:val="hybridMultilevel"/>
    <w:tmpl w:val="F66416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A0A54EA"/>
    <w:multiLevelType w:val="hybridMultilevel"/>
    <w:tmpl w:val="CD9440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DB0B08"/>
    <w:multiLevelType w:val="hybridMultilevel"/>
    <w:tmpl w:val="1E10C4CC"/>
    <w:lvl w:ilvl="0" w:tplc="B3DA2DB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100697"/>
    <w:multiLevelType w:val="hybridMultilevel"/>
    <w:tmpl w:val="35845594"/>
    <w:lvl w:ilvl="0" w:tplc="ACCC8F9E">
      <w:start w:val="1"/>
      <w:numFmt w:val="decimal"/>
      <w:lvlText w:val="%1."/>
      <w:lvlJc w:val="left"/>
      <w:pPr>
        <w:ind w:left="720" w:hanging="360"/>
      </w:pPr>
      <w:rPr>
        <w:rFonts w:ascii="Segoe UI" w:hAnsi="Segoe UI" w:cs="Segoe UI" w:hint="default"/>
        <w:color w:val="000000"/>
        <w:sz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E742AA4"/>
    <w:multiLevelType w:val="hybridMultilevel"/>
    <w:tmpl w:val="B524CB22"/>
    <w:lvl w:ilvl="0" w:tplc="3AF0790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D487A29"/>
    <w:multiLevelType w:val="hybridMultilevel"/>
    <w:tmpl w:val="9FBEE7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E676033"/>
    <w:multiLevelType w:val="hybridMultilevel"/>
    <w:tmpl w:val="BAB43A3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214439"/>
    <w:multiLevelType w:val="hybridMultilevel"/>
    <w:tmpl w:val="1CE4DAF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31EB3B10"/>
    <w:multiLevelType w:val="hybridMultilevel"/>
    <w:tmpl w:val="4080EB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3AD2137"/>
    <w:multiLevelType w:val="hybridMultilevel"/>
    <w:tmpl w:val="056427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353324F8"/>
    <w:multiLevelType w:val="hybridMultilevel"/>
    <w:tmpl w:val="FF46C8C2"/>
    <w:lvl w:ilvl="0" w:tplc="0809000B">
      <w:start w:val="1"/>
      <w:numFmt w:val="bullet"/>
      <w:lvlText w:val=""/>
      <w:lvlJc w:val="left"/>
      <w:pPr>
        <w:ind w:left="766" w:hanging="360"/>
      </w:pPr>
      <w:rPr>
        <w:rFonts w:ascii="Wingdings" w:hAnsi="Wingdings"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12" w15:restartNumberingAfterBreak="0">
    <w:nsid w:val="38926E40"/>
    <w:multiLevelType w:val="hybridMultilevel"/>
    <w:tmpl w:val="B19E82B2"/>
    <w:lvl w:ilvl="0" w:tplc="D9E255D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CF7A0B"/>
    <w:multiLevelType w:val="hybridMultilevel"/>
    <w:tmpl w:val="8476385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4C449E7"/>
    <w:multiLevelType w:val="hybridMultilevel"/>
    <w:tmpl w:val="360AA80A"/>
    <w:lvl w:ilvl="0" w:tplc="ADAE6118">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4F361B8"/>
    <w:multiLevelType w:val="hybridMultilevel"/>
    <w:tmpl w:val="1654E3C2"/>
    <w:lvl w:ilvl="0" w:tplc="10980EAA">
      <w:start w:val="20"/>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511C6204"/>
    <w:multiLevelType w:val="hybridMultilevel"/>
    <w:tmpl w:val="088E7490"/>
    <w:lvl w:ilvl="0" w:tplc="EF9258E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2526D6B"/>
    <w:multiLevelType w:val="hybridMultilevel"/>
    <w:tmpl w:val="FB5EE5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3552B78"/>
    <w:multiLevelType w:val="hybridMultilevel"/>
    <w:tmpl w:val="CEE256A8"/>
    <w:lvl w:ilvl="0" w:tplc="2F6E1090">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5B077687"/>
    <w:multiLevelType w:val="hybridMultilevel"/>
    <w:tmpl w:val="C88EA87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C81075D"/>
    <w:multiLevelType w:val="hybridMultilevel"/>
    <w:tmpl w:val="CCF2E8C8"/>
    <w:lvl w:ilvl="0" w:tplc="1668E06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CA14C49"/>
    <w:multiLevelType w:val="hybridMultilevel"/>
    <w:tmpl w:val="89365EF0"/>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614308A5"/>
    <w:multiLevelType w:val="hybridMultilevel"/>
    <w:tmpl w:val="1B1E9C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20B1A28"/>
    <w:multiLevelType w:val="multilevel"/>
    <w:tmpl w:val="278471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C6243F8"/>
    <w:multiLevelType w:val="hybridMultilevel"/>
    <w:tmpl w:val="A4DC1FCA"/>
    <w:lvl w:ilvl="0" w:tplc="C950962A">
      <w:start w:val="2"/>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EBD0B7C"/>
    <w:multiLevelType w:val="hybridMultilevel"/>
    <w:tmpl w:val="A1C8F91C"/>
    <w:lvl w:ilvl="0" w:tplc="66621FBA">
      <w:start w:val="1"/>
      <w:numFmt w:val="bullet"/>
      <w:lvlText w:val=""/>
      <w:lvlJc w:val="left"/>
      <w:pPr>
        <w:tabs>
          <w:tab w:val="num" w:pos="720"/>
        </w:tabs>
        <w:ind w:left="720" w:hanging="360"/>
      </w:pPr>
      <w:rPr>
        <w:rFonts w:ascii="Wingdings" w:hAnsi="Wingdings" w:hint="default"/>
      </w:rPr>
    </w:lvl>
    <w:lvl w:ilvl="1" w:tplc="8AEAC8EC">
      <w:start w:val="1"/>
      <w:numFmt w:val="bullet"/>
      <w:lvlText w:val=""/>
      <w:lvlJc w:val="left"/>
      <w:pPr>
        <w:tabs>
          <w:tab w:val="num" w:pos="1440"/>
        </w:tabs>
        <w:ind w:left="1440" w:hanging="360"/>
      </w:pPr>
      <w:rPr>
        <w:rFonts w:ascii="Wingdings" w:hAnsi="Wingdings" w:hint="default"/>
      </w:rPr>
    </w:lvl>
    <w:lvl w:ilvl="2" w:tplc="85382D12">
      <w:numFmt w:val="bullet"/>
      <w:lvlText w:val=""/>
      <w:lvlJc w:val="left"/>
      <w:pPr>
        <w:tabs>
          <w:tab w:val="num" w:pos="2160"/>
        </w:tabs>
        <w:ind w:left="2160" w:hanging="360"/>
      </w:pPr>
      <w:rPr>
        <w:rFonts w:ascii="Wingdings" w:hAnsi="Wingdings" w:hint="default"/>
      </w:rPr>
    </w:lvl>
    <w:lvl w:ilvl="3" w:tplc="8D66F55E">
      <w:start w:val="1"/>
      <w:numFmt w:val="bullet"/>
      <w:lvlText w:val=""/>
      <w:lvlJc w:val="left"/>
      <w:pPr>
        <w:tabs>
          <w:tab w:val="num" w:pos="2880"/>
        </w:tabs>
        <w:ind w:left="2880" w:hanging="360"/>
      </w:pPr>
      <w:rPr>
        <w:rFonts w:ascii="Wingdings" w:hAnsi="Wingdings" w:hint="default"/>
      </w:rPr>
    </w:lvl>
    <w:lvl w:ilvl="4" w:tplc="A4421FCA">
      <w:start w:val="1"/>
      <w:numFmt w:val="bullet"/>
      <w:lvlText w:val=""/>
      <w:lvlJc w:val="left"/>
      <w:pPr>
        <w:tabs>
          <w:tab w:val="num" w:pos="3600"/>
        </w:tabs>
        <w:ind w:left="3600" w:hanging="360"/>
      </w:pPr>
      <w:rPr>
        <w:rFonts w:ascii="Wingdings" w:hAnsi="Wingdings" w:hint="default"/>
      </w:rPr>
    </w:lvl>
    <w:lvl w:ilvl="5" w:tplc="D33C63C6">
      <w:start w:val="1"/>
      <w:numFmt w:val="bullet"/>
      <w:lvlText w:val=""/>
      <w:lvlJc w:val="left"/>
      <w:pPr>
        <w:tabs>
          <w:tab w:val="num" w:pos="4320"/>
        </w:tabs>
        <w:ind w:left="4320" w:hanging="360"/>
      </w:pPr>
      <w:rPr>
        <w:rFonts w:ascii="Wingdings" w:hAnsi="Wingdings" w:hint="default"/>
      </w:rPr>
    </w:lvl>
    <w:lvl w:ilvl="6" w:tplc="F8E0628A">
      <w:start w:val="1"/>
      <w:numFmt w:val="bullet"/>
      <w:lvlText w:val=""/>
      <w:lvlJc w:val="left"/>
      <w:pPr>
        <w:tabs>
          <w:tab w:val="num" w:pos="5040"/>
        </w:tabs>
        <w:ind w:left="5040" w:hanging="360"/>
      </w:pPr>
      <w:rPr>
        <w:rFonts w:ascii="Wingdings" w:hAnsi="Wingdings" w:hint="default"/>
      </w:rPr>
    </w:lvl>
    <w:lvl w:ilvl="7" w:tplc="E84C290A">
      <w:start w:val="1"/>
      <w:numFmt w:val="bullet"/>
      <w:lvlText w:val=""/>
      <w:lvlJc w:val="left"/>
      <w:pPr>
        <w:tabs>
          <w:tab w:val="num" w:pos="5760"/>
        </w:tabs>
        <w:ind w:left="5760" w:hanging="360"/>
      </w:pPr>
      <w:rPr>
        <w:rFonts w:ascii="Wingdings" w:hAnsi="Wingdings" w:hint="default"/>
      </w:rPr>
    </w:lvl>
    <w:lvl w:ilvl="8" w:tplc="B91887A0">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BA83BCA"/>
    <w:multiLevelType w:val="hybridMultilevel"/>
    <w:tmpl w:val="D42C45BE"/>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27" w15:restartNumberingAfterBreak="0">
    <w:nsid w:val="7C5630F7"/>
    <w:multiLevelType w:val="hybridMultilevel"/>
    <w:tmpl w:val="AEEE6256"/>
    <w:lvl w:ilvl="0" w:tplc="32369C94">
      <w:start w:val="1"/>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
  </w:num>
  <w:num w:numId="2">
    <w:abstractNumId w:val="17"/>
  </w:num>
  <w:num w:numId="3">
    <w:abstractNumId w:val="12"/>
  </w:num>
  <w:num w:numId="4">
    <w:abstractNumId w:val="20"/>
  </w:num>
  <w:num w:numId="5">
    <w:abstractNumId w:val="23"/>
  </w:num>
  <w:num w:numId="6">
    <w:abstractNumId w:val="5"/>
  </w:num>
  <w:num w:numId="7">
    <w:abstractNumId w:val="7"/>
  </w:num>
  <w:num w:numId="8">
    <w:abstractNumId w:val="18"/>
  </w:num>
  <w:num w:numId="9">
    <w:abstractNumId w:val="24"/>
  </w:num>
  <w:num w:numId="10">
    <w:abstractNumId w:val="19"/>
  </w:num>
  <w:num w:numId="11">
    <w:abstractNumId w:val="11"/>
  </w:num>
  <w:num w:numId="12">
    <w:abstractNumId w:val="9"/>
  </w:num>
  <w:num w:numId="13">
    <w:abstractNumId w:val="14"/>
  </w:num>
  <w:num w:numId="14">
    <w:abstractNumId w:val="25"/>
  </w:num>
  <w:num w:numId="15">
    <w:abstractNumId w:val="22"/>
  </w:num>
  <w:num w:numId="16">
    <w:abstractNumId w:val="6"/>
  </w:num>
  <w:num w:numId="17">
    <w:abstractNumId w:val="3"/>
  </w:num>
  <w:num w:numId="18">
    <w:abstractNumId w:val="16"/>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2"/>
  </w:num>
  <w:num w:numId="22">
    <w:abstractNumId w:val="11"/>
  </w:num>
  <w:num w:numId="23">
    <w:abstractNumId w:val="21"/>
    <w:lvlOverride w:ilvl="0">
      <w:startOverride w:val="1"/>
    </w:lvlOverride>
    <w:lvlOverride w:ilvl="1"/>
    <w:lvlOverride w:ilvl="2"/>
    <w:lvlOverride w:ilvl="3"/>
    <w:lvlOverride w:ilvl="4"/>
    <w:lvlOverride w:ilvl="5"/>
    <w:lvlOverride w:ilvl="6"/>
    <w:lvlOverride w:ilvl="7"/>
    <w:lvlOverride w:ilvl="8"/>
  </w:num>
  <w:num w:numId="24">
    <w:abstractNumId w:val="15"/>
  </w:num>
  <w:num w:numId="25">
    <w:abstractNumId w:val="27"/>
  </w:num>
  <w:num w:numId="26">
    <w:abstractNumId w:val="0"/>
  </w:num>
  <w:num w:numId="27">
    <w:abstractNumId w:val="8"/>
  </w:num>
  <w:num w:numId="28">
    <w:abstractNumId w:val="26"/>
  </w:num>
  <w:num w:numId="29">
    <w:abstractNumId w:val="10"/>
  </w:num>
  <w:num w:numId="30">
    <w:abstractNumId w:val="0"/>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4610"/>
    <w:rsid w:val="00001644"/>
    <w:rsid w:val="00002BB0"/>
    <w:rsid w:val="0001744C"/>
    <w:rsid w:val="0002149F"/>
    <w:rsid w:val="00021BDD"/>
    <w:rsid w:val="000237A5"/>
    <w:rsid w:val="00023B3E"/>
    <w:rsid w:val="00036CED"/>
    <w:rsid w:val="000443F7"/>
    <w:rsid w:val="00050B88"/>
    <w:rsid w:val="00052B1A"/>
    <w:rsid w:val="000644FA"/>
    <w:rsid w:val="00064E75"/>
    <w:rsid w:val="00065B2E"/>
    <w:rsid w:val="00070DC4"/>
    <w:rsid w:val="00084A36"/>
    <w:rsid w:val="00084B57"/>
    <w:rsid w:val="00087D12"/>
    <w:rsid w:val="000A754E"/>
    <w:rsid w:val="000B4728"/>
    <w:rsid w:val="000B5033"/>
    <w:rsid w:val="000B5F23"/>
    <w:rsid w:val="000C59A8"/>
    <w:rsid w:val="000C685C"/>
    <w:rsid w:val="000D10EA"/>
    <w:rsid w:val="000D1E8B"/>
    <w:rsid w:val="000E00D1"/>
    <w:rsid w:val="000E1DEF"/>
    <w:rsid w:val="000E2268"/>
    <w:rsid w:val="000F40EE"/>
    <w:rsid w:val="00104E4E"/>
    <w:rsid w:val="0011330E"/>
    <w:rsid w:val="00115A1A"/>
    <w:rsid w:val="001346C7"/>
    <w:rsid w:val="00134954"/>
    <w:rsid w:val="00135990"/>
    <w:rsid w:val="001359A4"/>
    <w:rsid w:val="0013663B"/>
    <w:rsid w:val="00140B6F"/>
    <w:rsid w:val="00140FD5"/>
    <w:rsid w:val="001421AB"/>
    <w:rsid w:val="00154AF8"/>
    <w:rsid w:val="001577FA"/>
    <w:rsid w:val="00157962"/>
    <w:rsid w:val="001652A9"/>
    <w:rsid w:val="00167676"/>
    <w:rsid w:val="001720C2"/>
    <w:rsid w:val="00182C23"/>
    <w:rsid w:val="001A07EE"/>
    <w:rsid w:val="001A1F51"/>
    <w:rsid w:val="001B06E7"/>
    <w:rsid w:val="001B6964"/>
    <w:rsid w:val="001C47DB"/>
    <w:rsid w:val="001D285A"/>
    <w:rsid w:val="001D543D"/>
    <w:rsid w:val="001F0212"/>
    <w:rsid w:val="001F21D1"/>
    <w:rsid w:val="00200B6A"/>
    <w:rsid w:val="002151D4"/>
    <w:rsid w:val="00217D83"/>
    <w:rsid w:val="00220F18"/>
    <w:rsid w:val="002268F6"/>
    <w:rsid w:val="002272C6"/>
    <w:rsid w:val="00233CE5"/>
    <w:rsid w:val="00241149"/>
    <w:rsid w:val="002459F9"/>
    <w:rsid w:val="00247B83"/>
    <w:rsid w:val="00256A94"/>
    <w:rsid w:val="002626F5"/>
    <w:rsid w:val="00263DE1"/>
    <w:rsid w:val="0026479C"/>
    <w:rsid w:val="002678EA"/>
    <w:rsid w:val="002716F1"/>
    <w:rsid w:val="00273C8A"/>
    <w:rsid w:val="002763B9"/>
    <w:rsid w:val="00282B54"/>
    <w:rsid w:val="0028614D"/>
    <w:rsid w:val="00286216"/>
    <w:rsid w:val="002872E2"/>
    <w:rsid w:val="00293E39"/>
    <w:rsid w:val="002A0B65"/>
    <w:rsid w:val="002A4FBF"/>
    <w:rsid w:val="002C12D4"/>
    <w:rsid w:val="002D31B1"/>
    <w:rsid w:val="002D3267"/>
    <w:rsid w:val="002D41EB"/>
    <w:rsid w:val="002D7167"/>
    <w:rsid w:val="002D7320"/>
    <w:rsid w:val="002F1C2C"/>
    <w:rsid w:val="00301CDF"/>
    <w:rsid w:val="00315B42"/>
    <w:rsid w:val="0031626B"/>
    <w:rsid w:val="00317479"/>
    <w:rsid w:val="003200B0"/>
    <w:rsid w:val="00321461"/>
    <w:rsid w:val="003225EE"/>
    <w:rsid w:val="00336556"/>
    <w:rsid w:val="00336A6C"/>
    <w:rsid w:val="00337BC7"/>
    <w:rsid w:val="00343254"/>
    <w:rsid w:val="003671C7"/>
    <w:rsid w:val="003707F1"/>
    <w:rsid w:val="0037106C"/>
    <w:rsid w:val="00380C16"/>
    <w:rsid w:val="003815FF"/>
    <w:rsid w:val="00382354"/>
    <w:rsid w:val="003823D9"/>
    <w:rsid w:val="003849B7"/>
    <w:rsid w:val="00393E64"/>
    <w:rsid w:val="003979F7"/>
    <w:rsid w:val="003A348B"/>
    <w:rsid w:val="003A41DB"/>
    <w:rsid w:val="003A7CD2"/>
    <w:rsid w:val="003B509E"/>
    <w:rsid w:val="003C26DC"/>
    <w:rsid w:val="003C2FBC"/>
    <w:rsid w:val="003C7442"/>
    <w:rsid w:val="003D0DD9"/>
    <w:rsid w:val="003D48BD"/>
    <w:rsid w:val="003D5E81"/>
    <w:rsid w:val="003E1D04"/>
    <w:rsid w:val="003E3DC6"/>
    <w:rsid w:val="003E5870"/>
    <w:rsid w:val="003E5E1B"/>
    <w:rsid w:val="003F3E9D"/>
    <w:rsid w:val="003F4408"/>
    <w:rsid w:val="003F63EA"/>
    <w:rsid w:val="003F7527"/>
    <w:rsid w:val="004049DE"/>
    <w:rsid w:val="004079E4"/>
    <w:rsid w:val="00414F1E"/>
    <w:rsid w:val="00421029"/>
    <w:rsid w:val="00421AA3"/>
    <w:rsid w:val="004302ED"/>
    <w:rsid w:val="0043083A"/>
    <w:rsid w:val="00432236"/>
    <w:rsid w:val="00437F60"/>
    <w:rsid w:val="004641F7"/>
    <w:rsid w:val="00465D03"/>
    <w:rsid w:val="0046754F"/>
    <w:rsid w:val="00467FAB"/>
    <w:rsid w:val="00472926"/>
    <w:rsid w:val="00474D77"/>
    <w:rsid w:val="00475F7B"/>
    <w:rsid w:val="004770FA"/>
    <w:rsid w:val="00481EF3"/>
    <w:rsid w:val="00482A5C"/>
    <w:rsid w:val="0049244A"/>
    <w:rsid w:val="004924F2"/>
    <w:rsid w:val="004952D5"/>
    <w:rsid w:val="00497A17"/>
    <w:rsid w:val="00497FCE"/>
    <w:rsid w:val="004A03C8"/>
    <w:rsid w:val="004A5434"/>
    <w:rsid w:val="004A66D1"/>
    <w:rsid w:val="004B1291"/>
    <w:rsid w:val="004C2D63"/>
    <w:rsid w:val="004E1A18"/>
    <w:rsid w:val="004F17A4"/>
    <w:rsid w:val="004F21C4"/>
    <w:rsid w:val="004F2732"/>
    <w:rsid w:val="005046F7"/>
    <w:rsid w:val="00515314"/>
    <w:rsid w:val="00515CBB"/>
    <w:rsid w:val="005166A6"/>
    <w:rsid w:val="005210D9"/>
    <w:rsid w:val="005303E1"/>
    <w:rsid w:val="00530A1B"/>
    <w:rsid w:val="00530EF4"/>
    <w:rsid w:val="00533F63"/>
    <w:rsid w:val="00540FD6"/>
    <w:rsid w:val="00550EB0"/>
    <w:rsid w:val="00551D71"/>
    <w:rsid w:val="005567AC"/>
    <w:rsid w:val="00560676"/>
    <w:rsid w:val="00560CB1"/>
    <w:rsid w:val="005674C8"/>
    <w:rsid w:val="005774C4"/>
    <w:rsid w:val="00577B27"/>
    <w:rsid w:val="00577DF1"/>
    <w:rsid w:val="00581818"/>
    <w:rsid w:val="00582754"/>
    <w:rsid w:val="005831B3"/>
    <w:rsid w:val="005836FF"/>
    <w:rsid w:val="0058486D"/>
    <w:rsid w:val="005856C4"/>
    <w:rsid w:val="00585F12"/>
    <w:rsid w:val="005860F7"/>
    <w:rsid w:val="00590D6D"/>
    <w:rsid w:val="005937A6"/>
    <w:rsid w:val="005B2342"/>
    <w:rsid w:val="005B4560"/>
    <w:rsid w:val="005C3498"/>
    <w:rsid w:val="005D74C7"/>
    <w:rsid w:val="005E4D32"/>
    <w:rsid w:val="005F175A"/>
    <w:rsid w:val="005F31B7"/>
    <w:rsid w:val="005F49E3"/>
    <w:rsid w:val="005F70D9"/>
    <w:rsid w:val="00602954"/>
    <w:rsid w:val="006042F6"/>
    <w:rsid w:val="00606D7F"/>
    <w:rsid w:val="00607BEA"/>
    <w:rsid w:val="00610EB2"/>
    <w:rsid w:val="00613AFB"/>
    <w:rsid w:val="006371EF"/>
    <w:rsid w:val="00656443"/>
    <w:rsid w:val="00656E7D"/>
    <w:rsid w:val="0066268C"/>
    <w:rsid w:val="00670C4D"/>
    <w:rsid w:val="00674876"/>
    <w:rsid w:val="00684610"/>
    <w:rsid w:val="00690A1D"/>
    <w:rsid w:val="006A24A0"/>
    <w:rsid w:val="006A2EF3"/>
    <w:rsid w:val="006A5F0E"/>
    <w:rsid w:val="006A6FE4"/>
    <w:rsid w:val="006B0D62"/>
    <w:rsid w:val="006B35A8"/>
    <w:rsid w:val="006B5DB7"/>
    <w:rsid w:val="006B7F18"/>
    <w:rsid w:val="006C4C28"/>
    <w:rsid w:val="006C58F9"/>
    <w:rsid w:val="006D156C"/>
    <w:rsid w:val="006D1EB7"/>
    <w:rsid w:val="006D5BD8"/>
    <w:rsid w:val="006E004B"/>
    <w:rsid w:val="006E4192"/>
    <w:rsid w:val="006E70B2"/>
    <w:rsid w:val="006F24DD"/>
    <w:rsid w:val="006F342F"/>
    <w:rsid w:val="006F6325"/>
    <w:rsid w:val="0070580D"/>
    <w:rsid w:val="00705C34"/>
    <w:rsid w:val="007163B5"/>
    <w:rsid w:val="00720CAE"/>
    <w:rsid w:val="007233B7"/>
    <w:rsid w:val="0072462F"/>
    <w:rsid w:val="007324E2"/>
    <w:rsid w:val="00734CA7"/>
    <w:rsid w:val="00737AA0"/>
    <w:rsid w:val="00750585"/>
    <w:rsid w:val="00752BF4"/>
    <w:rsid w:val="007611E6"/>
    <w:rsid w:val="007659B7"/>
    <w:rsid w:val="00765B15"/>
    <w:rsid w:val="007662C3"/>
    <w:rsid w:val="007719A6"/>
    <w:rsid w:val="00782C32"/>
    <w:rsid w:val="00784D03"/>
    <w:rsid w:val="007870B6"/>
    <w:rsid w:val="00790AE4"/>
    <w:rsid w:val="007A6722"/>
    <w:rsid w:val="007B55EA"/>
    <w:rsid w:val="007C28C4"/>
    <w:rsid w:val="007C402D"/>
    <w:rsid w:val="007D0A7B"/>
    <w:rsid w:val="007D1C97"/>
    <w:rsid w:val="007E222C"/>
    <w:rsid w:val="007E249C"/>
    <w:rsid w:val="007F5F52"/>
    <w:rsid w:val="007F77B0"/>
    <w:rsid w:val="0080507B"/>
    <w:rsid w:val="00810474"/>
    <w:rsid w:val="00810679"/>
    <w:rsid w:val="0081232B"/>
    <w:rsid w:val="0081672B"/>
    <w:rsid w:val="00823E1B"/>
    <w:rsid w:val="00824559"/>
    <w:rsid w:val="00824D19"/>
    <w:rsid w:val="00825F33"/>
    <w:rsid w:val="00835930"/>
    <w:rsid w:val="008408A0"/>
    <w:rsid w:val="00845E0A"/>
    <w:rsid w:val="00851C2E"/>
    <w:rsid w:val="008604C9"/>
    <w:rsid w:val="008668B9"/>
    <w:rsid w:val="008713DC"/>
    <w:rsid w:val="00873E0E"/>
    <w:rsid w:val="00873F13"/>
    <w:rsid w:val="0087425E"/>
    <w:rsid w:val="008753B4"/>
    <w:rsid w:val="0088141B"/>
    <w:rsid w:val="00882DB9"/>
    <w:rsid w:val="008968DE"/>
    <w:rsid w:val="008A1CEC"/>
    <w:rsid w:val="008A38C4"/>
    <w:rsid w:val="008A6FFC"/>
    <w:rsid w:val="008B10E4"/>
    <w:rsid w:val="008B186C"/>
    <w:rsid w:val="008C0F1B"/>
    <w:rsid w:val="008C6825"/>
    <w:rsid w:val="008D2A1C"/>
    <w:rsid w:val="008D59C4"/>
    <w:rsid w:val="008E2332"/>
    <w:rsid w:val="008F2891"/>
    <w:rsid w:val="008F49DC"/>
    <w:rsid w:val="00906D85"/>
    <w:rsid w:val="00915C42"/>
    <w:rsid w:val="0092132D"/>
    <w:rsid w:val="00926894"/>
    <w:rsid w:val="00927715"/>
    <w:rsid w:val="009328BF"/>
    <w:rsid w:val="009355A7"/>
    <w:rsid w:val="00942B45"/>
    <w:rsid w:val="00944F61"/>
    <w:rsid w:val="00945A51"/>
    <w:rsid w:val="009515F6"/>
    <w:rsid w:val="009534DE"/>
    <w:rsid w:val="00961885"/>
    <w:rsid w:val="0097068B"/>
    <w:rsid w:val="009711EF"/>
    <w:rsid w:val="00972484"/>
    <w:rsid w:val="009816AA"/>
    <w:rsid w:val="00984CE7"/>
    <w:rsid w:val="00991674"/>
    <w:rsid w:val="00992D4F"/>
    <w:rsid w:val="009962EB"/>
    <w:rsid w:val="009B00B2"/>
    <w:rsid w:val="009B030C"/>
    <w:rsid w:val="009B1543"/>
    <w:rsid w:val="009B3351"/>
    <w:rsid w:val="009B445D"/>
    <w:rsid w:val="009C0760"/>
    <w:rsid w:val="009C6D86"/>
    <w:rsid w:val="009C757A"/>
    <w:rsid w:val="009E0172"/>
    <w:rsid w:val="009E01BD"/>
    <w:rsid w:val="009E0ADC"/>
    <w:rsid w:val="009E1E89"/>
    <w:rsid w:val="009E2D3D"/>
    <w:rsid w:val="009E6FA7"/>
    <w:rsid w:val="009F4723"/>
    <w:rsid w:val="009F5338"/>
    <w:rsid w:val="00A019BA"/>
    <w:rsid w:val="00A052F7"/>
    <w:rsid w:val="00A05464"/>
    <w:rsid w:val="00A21938"/>
    <w:rsid w:val="00A229EF"/>
    <w:rsid w:val="00A23B3C"/>
    <w:rsid w:val="00A264B6"/>
    <w:rsid w:val="00A332E3"/>
    <w:rsid w:val="00A355F7"/>
    <w:rsid w:val="00A404F4"/>
    <w:rsid w:val="00A5628A"/>
    <w:rsid w:val="00A62562"/>
    <w:rsid w:val="00A711D5"/>
    <w:rsid w:val="00A77245"/>
    <w:rsid w:val="00A801D1"/>
    <w:rsid w:val="00A913A9"/>
    <w:rsid w:val="00A9681D"/>
    <w:rsid w:val="00AA01E4"/>
    <w:rsid w:val="00AA0392"/>
    <w:rsid w:val="00AA5E7B"/>
    <w:rsid w:val="00AB51EC"/>
    <w:rsid w:val="00AB7BCA"/>
    <w:rsid w:val="00AC0A9D"/>
    <w:rsid w:val="00AC40C4"/>
    <w:rsid w:val="00AC51BD"/>
    <w:rsid w:val="00AD5070"/>
    <w:rsid w:val="00AE14F7"/>
    <w:rsid w:val="00AE4681"/>
    <w:rsid w:val="00AF2240"/>
    <w:rsid w:val="00B003D7"/>
    <w:rsid w:val="00B0081F"/>
    <w:rsid w:val="00B04B62"/>
    <w:rsid w:val="00B05063"/>
    <w:rsid w:val="00B101A1"/>
    <w:rsid w:val="00B11B2A"/>
    <w:rsid w:val="00B12BDB"/>
    <w:rsid w:val="00B17124"/>
    <w:rsid w:val="00B2162B"/>
    <w:rsid w:val="00B2796D"/>
    <w:rsid w:val="00B40E2E"/>
    <w:rsid w:val="00B563CA"/>
    <w:rsid w:val="00B565A9"/>
    <w:rsid w:val="00B56D14"/>
    <w:rsid w:val="00B57ECB"/>
    <w:rsid w:val="00B642FC"/>
    <w:rsid w:val="00B651AB"/>
    <w:rsid w:val="00B656B2"/>
    <w:rsid w:val="00B66819"/>
    <w:rsid w:val="00B676F9"/>
    <w:rsid w:val="00B82420"/>
    <w:rsid w:val="00B83C81"/>
    <w:rsid w:val="00B86B6D"/>
    <w:rsid w:val="00B930D4"/>
    <w:rsid w:val="00B93BEB"/>
    <w:rsid w:val="00BA02EB"/>
    <w:rsid w:val="00BA3A7F"/>
    <w:rsid w:val="00BA7060"/>
    <w:rsid w:val="00BC0334"/>
    <w:rsid w:val="00BC5966"/>
    <w:rsid w:val="00BD33D9"/>
    <w:rsid w:val="00BD766B"/>
    <w:rsid w:val="00BE781C"/>
    <w:rsid w:val="00BF03A9"/>
    <w:rsid w:val="00BF235E"/>
    <w:rsid w:val="00C0469F"/>
    <w:rsid w:val="00C05BB5"/>
    <w:rsid w:val="00C06DB0"/>
    <w:rsid w:val="00C277C1"/>
    <w:rsid w:val="00C4623B"/>
    <w:rsid w:val="00C52A97"/>
    <w:rsid w:val="00C57C02"/>
    <w:rsid w:val="00C602BE"/>
    <w:rsid w:val="00C63119"/>
    <w:rsid w:val="00C73AFD"/>
    <w:rsid w:val="00C754D2"/>
    <w:rsid w:val="00C7609F"/>
    <w:rsid w:val="00C82E9D"/>
    <w:rsid w:val="00C8556A"/>
    <w:rsid w:val="00C92424"/>
    <w:rsid w:val="00C942E3"/>
    <w:rsid w:val="00C95E96"/>
    <w:rsid w:val="00C96FC8"/>
    <w:rsid w:val="00CA40B5"/>
    <w:rsid w:val="00CA5962"/>
    <w:rsid w:val="00CB3DDD"/>
    <w:rsid w:val="00CC0A53"/>
    <w:rsid w:val="00CC3D92"/>
    <w:rsid w:val="00CC47A9"/>
    <w:rsid w:val="00CC5DEA"/>
    <w:rsid w:val="00CD1B11"/>
    <w:rsid w:val="00CD3929"/>
    <w:rsid w:val="00CF5E01"/>
    <w:rsid w:val="00D108A8"/>
    <w:rsid w:val="00D16243"/>
    <w:rsid w:val="00D22C62"/>
    <w:rsid w:val="00D232F0"/>
    <w:rsid w:val="00D4127D"/>
    <w:rsid w:val="00D416B2"/>
    <w:rsid w:val="00D41BD0"/>
    <w:rsid w:val="00D42B6B"/>
    <w:rsid w:val="00D439C6"/>
    <w:rsid w:val="00D6081E"/>
    <w:rsid w:val="00D62924"/>
    <w:rsid w:val="00D6417A"/>
    <w:rsid w:val="00D64E41"/>
    <w:rsid w:val="00D71235"/>
    <w:rsid w:val="00D748A5"/>
    <w:rsid w:val="00D76BED"/>
    <w:rsid w:val="00D84C33"/>
    <w:rsid w:val="00D84F2B"/>
    <w:rsid w:val="00D90072"/>
    <w:rsid w:val="00D910DB"/>
    <w:rsid w:val="00DA191D"/>
    <w:rsid w:val="00DA4783"/>
    <w:rsid w:val="00DA5004"/>
    <w:rsid w:val="00DB5397"/>
    <w:rsid w:val="00DC2DD4"/>
    <w:rsid w:val="00DC6BCA"/>
    <w:rsid w:val="00DD0E58"/>
    <w:rsid w:val="00DD5223"/>
    <w:rsid w:val="00DE3E12"/>
    <w:rsid w:val="00DE58DA"/>
    <w:rsid w:val="00DF3565"/>
    <w:rsid w:val="00DF470B"/>
    <w:rsid w:val="00DF5222"/>
    <w:rsid w:val="00DF569C"/>
    <w:rsid w:val="00DF5CE3"/>
    <w:rsid w:val="00E0154A"/>
    <w:rsid w:val="00E01A05"/>
    <w:rsid w:val="00E0321E"/>
    <w:rsid w:val="00E03373"/>
    <w:rsid w:val="00E06BD2"/>
    <w:rsid w:val="00E077F2"/>
    <w:rsid w:val="00E16BDC"/>
    <w:rsid w:val="00E30FAE"/>
    <w:rsid w:val="00E34E71"/>
    <w:rsid w:val="00E444B8"/>
    <w:rsid w:val="00E454D0"/>
    <w:rsid w:val="00E477D9"/>
    <w:rsid w:val="00E521C0"/>
    <w:rsid w:val="00E531D2"/>
    <w:rsid w:val="00E5674F"/>
    <w:rsid w:val="00E57D0C"/>
    <w:rsid w:val="00E71006"/>
    <w:rsid w:val="00E75343"/>
    <w:rsid w:val="00E767A5"/>
    <w:rsid w:val="00E87B40"/>
    <w:rsid w:val="00E97F86"/>
    <w:rsid w:val="00EA0485"/>
    <w:rsid w:val="00EA34FA"/>
    <w:rsid w:val="00EB0261"/>
    <w:rsid w:val="00EB105E"/>
    <w:rsid w:val="00EB5B53"/>
    <w:rsid w:val="00EB6D26"/>
    <w:rsid w:val="00ED1327"/>
    <w:rsid w:val="00EE034F"/>
    <w:rsid w:val="00EE0821"/>
    <w:rsid w:val="00EE4600"/>
    <w:rsid w:val="00EF33E9"/>
    <w:rsid w:val="00EF399D"/>
    <w:rsid w:val="00EF4C59"/>
    <w:rsid w:val="00EF7176"/>
    <w:rsid w:val="00EF74D5"/>
    <w:rsid w:val="00F02C8C"/>
    <w:rsid w:val="00F20B68"/>
    <w:rsid w:val="00F23C55"/>
    <w:rsid w:val="00F248F4"/>
    <w:rsid w:val="00F27498"/>
    <w:rsid w:val="00F27A80"/>
    <w:rsid w:val="00F30793"/>
    <w:rsid w:val="00F35A9D"/>
    <w:rsid w:val="00F4332B"/>
    <w:rsid w:val="00F43B45"/>
    <w:rsid w:val="00F43C4D"/>
    <w:rsid w:val="00F45F47"/>
    <w:rsid w:val="00F50C48"/>
    <w:rsid w:val="00F53F9A"/>
    <w:rsid w:val="00F738B6"/>
    <w:rsid w:val="00F73DC4"/>
    <w:rsid w:val="00F81ADE"/>
    <w:rsid w:val="00F84FB2"/>
    <w:rsid w:val="00F8581F"/>
    <w:rsid w:val="00F86B84"/>
    <w:rsid w:val="00F9358B"/>
    <w:rsid w:val="00FA1B66"/>
    <w:rsid w:val="00FA4F09"/>
    <w:rsid w:val="00FA5B5B"/>
    <w:rsid w:val="00FB6608"/>
    <w:rsid w:val="00FC16FA"/>
    <w:rsid w:val="00FC192A"/>
    <w:rsid w:val="00FC60F2"/>
    <w:rsid w:val="00FD27A3"/>
    <w:rsid w:val="00FD6275"/>
    <w:rsid w:val="00FE1AB1"/>
    <w:rsid w:val="00FE26F1"/>
    <w:rsid w:val="00FE3F2C"/>
    <w:rsid w:val="00FF49CF"/>
    <w:rsid w:val="00FF4B61"/>
    <w:rsid w:val="00FF517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0F39EB0A"/>
  <w15:chartTrackingRefBased/>
  <w15:docId w15:val="{95782AE8-99E5-4034-ABE5-307BFDD56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46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846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C5966"/>
    <w:pPr>
      <w:ind w:left="720"/>
      <w:contextualSpacing/>
    </w:pPr>
  </w:style>
  <w:style w:type="paragraph" w:styleId="BalloonText">
    <w:name w:val="Balloon Text"/>
    <w:basedOn w:val="Normal"/>
    <w:link w:val="BalloonTextChar"/>
    <w:uiPriority w:val="99"/>
    <w:semiHidden/>
    <w:unhideWhenUsed/>
    <w:rsid w:val="00BA3A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3A7F"/>
    <w:rPr>
      <w:rFonts w:ascii="Segoe UI" w:hAnsi="Segoe UI" w:cs="Segoe UI"/>
      <w:sz w:val="18"/>
      <w:szCs w:val="18"/>
    </w:rPr>
  </w:style>
  <w:style w:type="character" w:styleId="Hyperlink">
    <w:name w:val="Hyperlink"/>
    <w:basedOn w:val="DefaultParagraphFont"/>
    <w:uiPriority w:val="99"/>
    <w:unhideWhenUsed/>
    <w:rsid w:val="00515CBB"/>
    <w:rPr>
      <w:color w:val="0563C1" w:themeColor="hyperlink"/>
      <w:u w:val="single"/>
    </w:rPr>
  </w:style>
  <w:style w:type="paragraph" w:styleId="Header">
    <w:name w:val="header"/>
    <w:basedOn w:val="Normal"/>
    <w:link w:val="HeaderChar"/>
    <w:uiPriority w:val="99"/>
    <w:unhideWhenUsed/>
    <w:rsid w:val="00945A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5A51"/>
  </w:style>
  <w:style w:type="paragraph" w:styleId="Footer">
    <w:name w:val="footer"/>
    <w:basedOn w:val="Normal"/>
    <w:link w:val="FooterChar"/>
    <w:uiPriority w:val="99"/>
    <w:unhideWhenUsed/>
    <w:rsid w:val="00945A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5A51"/>
  </w:style>
  <w:style w:type="paragraph" w:styleId="FootnoteText">
    <w:name w:val="footnote text"/>
    <w:basedOn w:val="Normal"/>
    <w:link w:val="FootnoteTextChar"/>
    <w:uiPriority w:val="99"/>
    <w:semiHidden/>
    <w:unhideWhenUsed/>
    <w:rsid w:val="00E531D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531D2"/>
    <w:rPr>
      <w:sz w:val="20"/>
      <w:szCs w:val="20"/>
    </w:rPr>
  </w:style>
  <w:style w:type="character" w:styleId="FootnoteReference">
    <w:name w:val="footnote reference"/>
    <w:basedOn w:val="DefaultParagraphFont"/>
    <w:uiPriority w:val="99"/>
    <w:semiHidden/>
    <w:unhideWhenUsed/>
    <w:rsid w:val="00E531D2"/>
    <w:rPr>
      <w:vertAlign w:val="superscript"/>
    </w:rPr>
  </w:style>
  <w:style w:type="character" w:styleId="CommentReference">
    <w:name w:val="annotation reference"/>
    <w:basedOn w:val="DefaultParagraphFont"/>
    <w:uiPriority w:val="99"/>
    <w:semiHidden/>
    <w:unhideWhenUsed/>
    <w:rsid w:val="004641F7"/>
    <w:rPr>
      <w:sz w:val="16"/>
      <w:szCs w:val="16"/>
    </w:rPr>
  </w:style>
  <w:style w:type="paragraph" w:styleId="CommentText">
    <w:name w:val="annotation text"/>
    <w:basedOn w:val="Normal"/>
    <w:link w:val="CommentTextChar"/>
    <w:uiPriority w:val="99"/>
    <w:semiHidden/>
    <w:unhideWhenUsed/>
    <w:rsid w:val="004641F7"/>
    <w:pPr>
      <w:spacing w:line="240" w:lineRule="auto"/>
    </w:pPr>
    <w:rPr>
      <w:sz w:val="20"/>
      <w:szCs w:val="20"/>
    </w:rPr>
  </w:style>
  <w:style w:type="character" w:customStyle="1" w:styleId="CommentTextChar">
    <w:name w:val="Comment Text Char"/>
    <w:basedOn w:val="DefaultParagraphFont"/>
    <w:link w:val="CommentText"/>
    <w:uiPriority w:val="99"/>
    <w:semiHidden/>
    <w:rsid w:val="004641F7"/>
    <w:rPr>
      <w:sz w:val="20"/>
      <w:szCs w:val="20"/>
    </w:rPr>
  </w:style>
  <w:style w:type="paragraph" w:styleId="CommentSubject">
    <w:name w:val="annotation subject"/>
    <w:basedOn w:val="CommentText"/>
    <w:next w:val="CommentText"/>
    <w:link w:val="CommentSubjectChar"/>
    <w:uiPriority w:val="99"/>
    <w:semiHidden/>
    <w:unhideWhenUsed/>
    <w:rsid w:val="004641F7"/>
    <w:rPr>
      <w:b/>
      <w:bCs/>
    </w:rPr>
  </w:style>
  <w:style w:type="character" w:customStyle="1" w:styleId="CommentSubjectChar">
    <w:name w:val="Comment Subject Char"/>
    <w:basedOn w:val="CommentTextChar"/>
    <w:link w:val="CommentSubject"/>
    <w:uiPriority w:val="99"/>
    <w:semiHidden/>
    <w:rsid w:val="004641F7"/>
    <w:rPr>
      <w:b/>
      <w:bCs/>
      <w:sz w:val="20"/>
      <w:szCs w:val="20"/>
    </w:rPr>
  </w:style>
  <w:style w:type="paragraph" w:customStyle="1" w:styleId="Default">
    <w:name w:val="Default"/>
    <w:rsid w:val="0081232B"/>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081995">
      <w:bodyDiv w:val="1"/>
      <w:marLeft w:val="0"/>
      <w:marRight w:val="0"/>
      <w:marTop w:val="0"/>
      <w:marBottom w:val="0"/>
      <w:divBdr>
        <w:top w:val="none" w:sz="0" w:space="0" w:color="auto"/>
        <w:left w:val="none" w:sz="0" w:space="0" w:color="auto"/>
        <w:bottom w:val="none" w:sz="0" w:space="0" w:color="auto"/>
        <w:right w:val="none" w:sz="0" w:space="0" w:color="auto"/>
      </w:divBdr>
    </w:div>
    <w:div w:id="127163492">
      <w:bodyDiv w:val="1"/>
      <w:marLeft w:val="0"/>
      <w:marRight w:val="0"/>
      <w:marTop w:val="0"/>
      <w:marBottom w:val="0"/>
      <w:divBdr>
        <w:top w:val="none" w:sz="0" w:space="0" w:color="auto"/>
        <w:left w:val="none" w:sz="0" w:space="0" w:color="auto"/>
        <w:bottom w:val="none" w:sz="0" w:space="0" w:color="auto"/>
        <w:right w:val="none" w:sz="0" w:space="0" w:color="auto"/>
      </w:divBdr>
    </w:div>
    <w:div w:id="215238121">
      <w:bodyDiv w:val="1"/>
      <w:marLeft w:val="0"/>
      <w:marRight w:val="0"/>
      <w:marTop w:val="0"/>
      <w:marBottom w:val="0"/>
      <w:divBdr>
        <w:top w:val="none" w:sz="0" w:space="0" w:color="auto"/>
        <w:left w:val="none" w:sz="0" w:space="0" w:color="auto"/>
        <w:bottom w:val="none" w:sz="0" w:space="0" w:color="auto"/>
        <w:right w:val="none" w:sz="0" w:space="0" w:color="auto"/>
      </w:divBdr>
    </w:div>
    <w:div w:id="329254967">
      <w:bodyDiv w:val="1"/>
      <w:marLeft w:val="0"/>
      <w:marRight w:val="0"/>
      <w:marTop w:val="0"/>
      <w:marBottom w:val="0"/>
      <w:divBdr>
        <w:top w:val="none" w:sz="0" w:space="0" w:color="auto"/>
        <w:left w:val="none" w:sz="0" w:space="0" w:color="auto"/>
        <w:bottom w:val="none" w:sz="0" w:space="0" w:color="auto"/>
        <w:right w:val="none" w:sz="0" w:space="0" w:color="auto"/>
      </w:divBdr>
    </w:div>
    <w:div w:id="494419904">
      <w:bodyDiv w:val="1"/>
      <w:marLeft w:val="0"/>
      <w:marRight w:val="0"/>
      <w:marTop w:val="0"/>
      <w:marBottom w:val="0"/>
      <w:divBdr>
        <w:top w:val="none" w:sz="0" w:space="0" w:color="auto"/>
        <w:left w:val="none" w:sz="0" w:space="0" w:color="auto"/>
        <w:bottom w:val="none" w:sz="0" w:space="0" w:color="auto"/>
        <w:right w:val="none" w:sz="0" w:space="0" w:color="auto"/>
      </w:divBdr>
    </w:div>
    <w:div w:id="521166109">
      <w:bodyDiv w:val="1"/>
      <w:marLeft w:val="0"/>
      <w:marRight w:val="0"/>
      <w:marTop w:val="0"/>
      <w:marBottom w:val="0"/>
      <w:divBdr>
        <w:top w:val="none" w:sz="0" w:space="0" w:color="auto"/>
        <w:left w:val="none" w:sz="0" w:space="0" w:color="auto"/>
        <w:bottom w:val="none" w:sz="0" w:space="0" w:color="auto"/>
        <w:right w:val="none" w:sz="0" w:space="0" w:color="auto"/>
      </w:divBdr>
    </w:div>
    <w:div w:id="776799379">
      <w:bodyDiv w:val="1"/>
      <w:marLeft w:val="0"/>
      <w:marRight w:val="0"/>
      <w:marTop w:val="0"/>
      <w:marBottom w:val="0"/>
      <w:divBdr>
        <w:top w:val="none" w:sz="0" w:space="0" w:color="auto"/>
        <w:left w:val="none" w:sz="0" w:space="0" w:color="auto"/>
        <w:bottom w:val="none" w:sz="0" w:space="0" w:color="auto"/>
        <w:right w:val="none" w:sz="0" w:space="0" w:color="auto"/>
      </w:divBdr>
    </w:div>
    <w:div w:id="808668101">
      <w:bodyDiv w:val="1"/>
      <w:marLeft w:val="0"/>
      <w:marRight w:val="0"/>
      <w:marTop w:val="0"/>
      <w:marBottom w:val="0"/>
      <w:divBdr>
        <w:top w:val="none" w:sz="0" w:space="0" w:color="auto"/>
        <w:left w:val="none" w:sz="0" w:space="0" w:color="auto"/>
        <w:bottom w:val="none" w:sz="0" w:space="0" w:color="auto"/>
        <w:right w:val="none" w:sz="0" w:space="0" w:color="auto"/>
      </w:divBdr>
    </w:div>
    <w:div w:id="854805837">
      <w:bodyDiv w:val="1"/>
      <w:marLeft w:val="0"/>
      <w:marRight w:val="0"/>
      <w:marTop w:val="0"/>
      <w:marBottom w:val="0"/>
      <w:divBdr>
        <w:top w:val="none" w:sz="0" w:space="0" w:color="auto"/>
        <w:left w:val="none" w:sz="0" w:space="0" w:color="auto"/>
        <w:bottom w:val="none" w:sz="0" w:space="0" w:color="auto"/>
        <w:right w:val="none" w:sz="0" w:space="0" w:color="auto"/>
      </w:divBdr>
    </w:div>
    <w:div w:id="860627449">
      <w:bodyDiv w:val="1"/>
      <w:marLeft w:val="0"/>
      <w:marRight w:val="0"/>
      <w:marTop w:val="0"/>
      <w:marBottom w:val="0"/>
      <w:divBdr>
        <w:top w:val="none" w:sz="0" w:space="0" w:color="auto"/>
        <w:left w:val="none" w:sz="0" w:space="0" w:color="auto"/>
        <w:bottom w:val="none" w:sz="0" w:space="0" w:color="auto"/>
        <w:right w:val="none" w:sz="0" w:space="0" w:color="auto"/>
      </w:divBdr>
    </w:div>
    <w:div w:id="927663642">
      <w:bodyDiv w:val="1"/>
      <w:marLeft w:val="0"/>
      <w:marRight w:val="0"/>
      <w:marTop w:val="0"/>
      <w:marBottom w:val="0"/>
      <w:divBdr>
        <w:top w:val="none" w:sz="0" w:space="0" w:color="auto"/>
        <w:left w:val="none" w:sz="0" w:space="0" w:color="auto"/>
        <w:bottom w:val="none" w:sz="0" w:space="0" w:color="auto"/>
        <w:right w:val="none" w:sz="0" w:space="0" w:color="auto"/>
      </w:divBdr>
    </w:div>
    <w:div w:id="941179743">
      <w:bodyDiv w:val="1"/>
      <w:marLeft w:val="0"/>
      <w:marRight w:val="0"/>
      <w:marTop w:val="0"/>
      <w:marBottom w:val="0"/>
      <w:divBdr>
        <w:top w:val="none" w:sz="0" w:space="0" w:color="auto"/>
        <w:left w:val="none" w:sz="0" w:space="0" w:color="auto"/>
        <w:bottom w:val="none" w:sz="0" w:space="0" w:color="auto"/>
        <w:right w:val="none" w:sz="0" w:space="0" w:color="auto"/>
      </w:divBdr>
    </w:div>
    <w:div w:id="951671949">
      <w:bodyDiv w:val="1"/>
      <w:marLeft w:val="0"/>
      <w:marRight w:val="0"/>
      <w:marTop w:val="0"/>
      <w:marBottom w:val="0"/>
      <w:divBdr>
        <w:top w:val="none" w:sz="0" w:space="0" w:color="auto"/>
        <w:left w:val="none" w:sz="0" w:space="0" w:color="auto"/>
        <w:bottom w:val="none" w:sz="0" w:space="0" w:color="auto"/>
        <w:right w:val="none" w:sz="0" w:space="0" w:color="auto"/>
      </w:divBdr>
    </w:div>
    <w:div w:id="1017998451">
      <w:bodyDiv w:val="1"/>
      <w:marLeft w:val="0"/>
      <w:marRight w:val="0"/>
      <w:marTop w:val="0"/>
      <w:marBottom w:val="0"/>
      <w:divBdr>
        <w:top w:val="none" w:sz="0" w:space="0" w:color="auto"/>
        <w:left w:val="none" w:sz="0" w:space="0" w:color="auto"/>
        <w:bottom w:val="none" w:sz="0" w:space="0" w:color="auto"/>
        <w:right w:val="none" w:sz="0" w:space="0" w:color="auto"/>
      </w:divBdr>
    </w:div>
    <w:div w:id="1085883193">
      <w:bodyDiv w:val="1"/>
      <w:marLeft w:val="0"/>
      <w:marRight w:val="0"/>
      <w:marTop w:val="0"/>
      <w:marBottom w:val="0"/>
      <w:divBdr>
        <w:top w:val="none" w:sz="0" w:space="0" w:color="auto"/>
        <w:left w:val="none" w:sz="0" w:space="0" w:color="auto"/>
        <w:bottom w:val="none" w:sz="0" w:space="0" w:color="auto"/>
        <w:right w:val="none" w:sz="0" w:space="0" w:color="auto"/>
      </w:divBdr>
    </w:div>
    <w:div w:id="1091508391">
      <w:bodyDiv w:val="1"/>
      <w:marLeft w:val="0"/>
      <w:marRight w:val="0"/>
      <w:marTop w:val="0"/>
      <w:marBottom w:val="0"/>
      <w:divBdr>
        <w:top w:val="none" w:sz="0" w:space="0" w:color="auto"/>
        <w:left w:val="none" w:sz="0" w:space="0" w:color="auto"/>
        <w:bottom w:val="none" w:sz="0" w:space="0" w:color="auto"/>
        <w:right w:val="none" w:sz="0" w:space="0" w:color="auto"/>
      </w:divBdr>
    </w:div>
    <w:div w:id="1102802001">
      <w:bodyDiv w:val="1"/>
      <w:marLeft w:val="0"/>
      <w:marRight w:val="0"/>
      <w:marTop w:val="0"/>
      <w:marBottom w:val="0"/>
      <w:divBdr>
        <w:top w:val="none" w:sz="0" w:space="0" w:color="auto"/>
        <w:left w:val="none" w:sz="0" w:space="0" w:color="auto"/>
        <w:bottom w:val="none" w:sz="0" w:space="0" w:color="auto"/>
        <w:right w:val="none" w:sz="0" w:space="0" w:color="auto"/>
      </w:divBdr>
    </w:div>
    <w:div w:id="1200431677">
      <w:bodyDiv w:val="1"/>
      <w:marLeft w:val="0"/>
      <w:marRight w:val="0"/>
      <w:marTop w:val="0"/>
      <w:marBottom w:val="0"/>
      <w:divBdr>
        <w:top w:val="none" w:sz="0" w:space="0" w:color="auto"/>
        <w:left w:val="none" w:sz="0" w:space="0" w:color="auto"/>
        <w:bottom w:val="none" w:sz="0" w:space="0" w:color="auto"/>
        <w:right w:val="none" w:sz="0" w:space="0" w:color="auto"/>
      </w:divBdr>
    </w:div>
    <w:div w:id="1216165377">
      <w:bodyDiv w:val="1"/>
      <w:marLeft w:val="0"/>
      <w:marRight w:val="0"/>
      <w:marTop w:val="0"/>
      <w:marBottom w:val="0"/>
      <w:divBdr>
        <w:top w:val="none" w:sz="0" w:space="0" w:color="auto"/>
        <w:left w:val="none" w:sz="0" w:space="0" w:color="auto"/>
        <w:bottom w:val="none" w:sz="0" w:space="0" w:color="auto"/>
        <w:right w:val="none" w:sz="0" w:space="0" w:color="auto"/>
      </w:divBdr>
    </w:div>
    <w:div w:id="1242372223">
      <w:bodyDiv w:val="1"/>
      <w:marLeft w:val="0"/>
      <w:marRight w:val="0"/>
      <w:marTop w:val="0"/>
      <w:marBottom w:val="0"/>
      <w:divBdr>
        <w:top w:val="none" w:sz="0" w:space="0" w:color="auto"/>
        <w:left w:val="none" w:sz="0" w:space="0" w:color="auto"/>
        <w:bottom w:val="none" w:sz="0" w:space="0" w:color="auto"/>
        <w:right w:val="none" w:sz="0" w:space="0" w:color="auto"/>
      </w:divBdr>
    </w:div>
    <w:div w:id="1270816243">
      <w:bodyDiv w:val="1"/>
      <w:marLeft w:val="0"/>
      <w:marRight w:val="0"/>
      <w:marTop w:val="0"/>
      <w:marBottom w:val="0"/>
      <w:divBdr>
        <w:top w:val="none" w:sz="0" w:space="0" w:color="auto"/>
        <w:left w:val="none" w:sz="0" w:space="0" w:color="auto"/>
        <w:bottom w:val="none" w:sz="0" w:space="0" w:color="auto"/>
        <w:right w:val="none" w:sz="0" w:space="0" w:color="auto"/>
      </w:divBdr>
    </w:div>
    <w:div w:id="1278441206">
      <w:bodyDiv w:val="1"/>
      <w:marLeft w:val="0"/>
      <w:marRight w:val="0"/>
      <w:marTop w:val="0"/>
      <w:marBottom w:val="0"/>
      <w:divBdr>
        <w:top w:val="none" w:sz="0" w:space="0" w:color="auto"/>
        <w:left w:val="none" w:sz="0" w:space="0" w:color="auto"/>
        <w:bottom w:val="none" w:sz="0" w:space="0" w:color="auto"/>
        <w:right w:val="none" w:sz="0" w:space="0" w:color="auto"/>
      </w:divBdr>
    </w:div>
    <w:div w:id="1334719861">
      <w:bodyDiv w:val="1"/>
      <w:marLeft w:val="0"/>
      <w:marRight w:val="0"/>
      <w:marTop w:val="0"/>
      <w:marBottom w:val="0"/>
      <w:divBdr>
        <w:top w:val="none" w:sz="0" w:space="0" w:color="auto"/>
        <w:left w:val="none" w:sz="0" w:space="0" w:color="auto"/>
        <w:bottom w:val="none" w:sz="0" w:space="0" w:color="auto"/>
        <w:right w:val="none" w:sz="0" w:space="0" w:color="auto"/>
      </w:divBdr>
    </w:div>
    <w:div w:id="1362705711">
      <w:bodyDiv w:val="1"/>
      <w:marLeft w:val="0"/>
      <w:marRight w:val="0"/>
      <w:marTop w:val="0"/>
      <w:marBottom w:val="0"/>
      <w:divBdr>
        <w:top w:val="none" w:sz="0" w:space="0" w:color="auto"/>
        <w:left w:val="none" w:sz="0" w:space="0" w:color="auto"/>
        <w:bottom w:val="none" w:sz="0" w:space="0" w:color="auto"/>
        <w:right w:val="none" w:sz="0" w:space="0" w:color="auto"/>
      </w:divBdr>
    </w:div>
    <w:div w:id="1379163121">
      <w:bodyDiv w:val="1"/>
      <w:marLeft w:val="0"/>
      <w:marRight w:val="0"/>
      <w:marTop w:val="0"/>
      <w:marBottom w:val="0"/>
      <w:divBdr>
        <w:top w:val="none" w:sz="0" w:space="0" w:color="auto"/>
        <w:left w:val="none" w:sz="0" w:space="0" w:color="auto"/>
        <w:bottom w:val="none" w:sz="0" w:space="0" w:color="auto"/>
        <w:right w:val="none" w:sz="0" w:space="0" w:color="auto"/>
      </w:divBdr>
    </w:div>
    <w:div w:id="1456673266">
      <w:bodyDiv w:val="1"/>
      <w:marLeft w:val="0"/>
      <w:marRight w:val="0"/>
      <w:marTop w:val="0"/>
      <w:marBottom w:val="0"/>
      <w:divBdr>
        <w:top w:val="none" w:sz="0" w:space="0" w:color="auto"/>
        <w:left w:val="none" w:sz="0" w:space="0" w:color="auto"/>
        <w:bottom w:val="none" w:sz="0" w:space="0" w:color="auto"/>
        <w:right w:val="none" w:sz="0" w:space="0" w:color="auto"/>
      </w:divBdr>
    </w:div>
    <w:div w:id="1554191494">
      <w:bodyDiv w:val="1"/>
      <w:marLeft w:val="0"/>
      <w:marRight w:val="0"/>
      <w:marTop w:val="0"/>
      <w:marBottom w:val="0"/>
      <w:divBdr>
        <w:top w:val="none" w:sz="0" w:space="0" w:color="auto"/>
        <w:left w:val="none" w:sz="0" w:space="0" w:color="auto"/>
        <w:bottom w:val="none" w:sz="0" w:space="0" w:color="auto"/>
        <w:right w:val="none" w:sz="0" w:space="0" w:color="auto"/>
      </w:divBdr>
    </w:div>
    <w:div w:id="1614627932">
      <w:bodyDiv w:val="1"/>
      <w:marLeft w:val="0"/>
      <w:marRight w:val="0"/>
      <w:marTop w:val="0"/>
      <w:marBottom w:val="0"/>
      <w:divBdr>
        <w:top w:val="none" w:sz="0" w:space="0" w:color="auto"/>
        <w:left w:val="none" w:sz="0" w:space="0" w:color="auto"/>
        <w:bottom w:val="none" w:sz="0" w:space="0" w:color="auto"/>
        <w:right w:val="none" w:sz="0" w:space="0" w:color="auto"/>
      </w:divBdr>
    </w:div>
    <w:div w:id="1699315045">
      <w:bodyDiv w:val="1"/>
      <w:marLeft w:val="0"/>
      <w:marRight w:val="0"/>
      <w:marTop w:val="0"/>
      <w:marBottom w:val="0"/>
      <w:divBdr>
        <w:top w:val="none" w:sz="0" w:space="0" w:color="auto"/>
        <w:left w:val="none" w:sz="0" w:space="0" w:color="auto"/>
        <w:bottom w:val="none" w:sz="0" w:space="0" w:color="auto"/>
        <w:right w:val="none" w:sz="0" w:space="0" w:color="auto"/>
      </w:divBdr>
    </w:div>
    <w:div w:id="1767530344">
      <w:bodyDiv w:val="1"/>
      <w:marLeft w:val="0"/>
      <w:marRight w:val="0"/>
      <w:marTop w:val="0"/>
      <w:marBottom w:val="0"/>
      <w:divBdr>
        <w:top w:val="none" w:sz="0" w:space="0" w:color="auto"/>
        <w:left w:val="none" w:sz="0" w:space="0" w:color="auto"/>
        <w:bottom w:val="none" w:sz="0" w:space="0" w:color="auto"/>
        <w:right w:val="none" w:sz="0" w:space="0" w:color="auto"/>
      </w:divBdr>
    </w:div>
    <w:div w:id="1805924091">
      <w:bodyDiv w:val="1"/>
      <w:marLeft w:val="0"/>
      <w:marRight w:val="0"/>
      <w:marTop w:val="0"/>
      <w:marBottom w:val="0"/>
      <w:divBdr>
        <w:top w:val="none" w:sz="0" w:space="0" w:color="auto"/>
        <w:left w:val="none" w:sz="0" w:space="0" w:color="auto"/>
        <w:bottom w:val="none" w:sz="0" w:space="0" w:color="auto"/>
        <w:right w:val="none" w:sz="0" w:space="0" w:color="auto"/>
      </w:divBdr>
    </w:div>
    <w:div w:id="1865899646">
      <w:bodyDiv w:val="1"/>
      <w:marLeft w:val="0"/>
      <w:marRight w:val="0"/>
      <w:marTop w:val="0"/>
      <w:marBottom w:val="0"/>
      <w:divBdr>
        <w:top w:val="none" w:sz="0" w:space="0" w:color="auto"/>
        <w:left w:val="none" w:sz="0" w:space="0" w:color="auto"/>
        <w:bottom w:val="none" w:sz="0" w:space="0" w:color="auto"/>
        <w:right w:val="none" w:sz="0" w:space="0" w:color="auto"/>
      </w:divBdr>
    </w:div>
    <w:div w:id="1933657395">
      <w:bodyDiv w:val="1"/>
      <w:marLeft w:val="0"/>
      <w:marRight w:val="0"/>
      <w:marTop w:val="0"/>
      <w:marBottom w:val="0"/>
      <w:divBdr>
        <w:top w:val="none" w:sz="0" w:space="0" w:color="auto"/>
        <w:left w:val="none" w:sz="0" w:space="0" w:color="auto"/>
        <w:bottom w:val="none" w:sz="0" w:space="0" w:color="auto"/>
        <w:right w:val="none" w:sz="0" w:space="0" w:color="auto"/>
      </w:divBdr>
    </w:div>
    <w:div w:id="1943225563">
      <w:bodyDiv w:val="1"/>
      <w:marLeft w:val="0"/>
      <w:marRight w:val="0"/>
      <w:marTop w:val="0"/>
      <w:marBottom w:val="0"/>
      <w:divBdr>
        <w:top w:val="none" w:sz="0" w:space="0" w:color="auto"/>
        <w:left w:val="none" w:sz="0" w:space="0" w:color="auto"/>
        <w:bottom w:val="none" w:sz="0" w:space="0" w:color="auto"/>
        <w:right w:val="none" w:sz="0" w:space="0" w:color="auto"/>
      </w:divBdr>
    </w:div>
    <w:div w:id="2082486777">
      <w:bodyDiv w:val="1"/>
      <w:marLeft w:val="0"/>
      <w:marRight w:val="0"/>
      <w:marTop w:val="0"/>
      <w:marBottom w:val="0"/>
      <w:divBdr>
        <w:top w:val="none" w:sz="0" w:space="0" w:color="auto"/>
        <w:left w:val="none" w:sz="0" w:space="0" w:color="auto"/>
        <w:bottom w:val="none" w:sz="0" w:space="0" w:color="auto"/>
        <w:right w:val="none" w:sz="0" w:space="0" w:color="auto"/>
      </w:divBdr>
    </w:div>
    <w:div w:id="2117359733">
      <w:bodyDiv w:val="1"/>
      <w:marLeft w:val="0"/>
      <w:marRight w:val="0"/>
      <w:marTop w:val="0"/>
      <w:marBottom w:val="0"/>
      <w:divBdr>
        <w:top w:val="none" w:sz="0" w:space="0" w:color="auto"/>
        <w:left w:val="none" w:sz="0" w:space="0" w:color="auto"/>
        <w:bottom w:val="none" w:sz="0" w:space="0" w:color="auto"/>
        <w:right w:val="none" w:sz="0" w:space="0" w:color="auto"/>
      </w:divBdr>
    </w:div>
    <w:div w:id="2130274620">
      <w:bodyDiv w:val="1"/>
      <w:marLeft w:val="0"/>
      <w:marRight w:val="0"/>
      <w:marTop w:val="0"/>
      <w:marBottom w:val="0"/>
      <w:divBdr>
        <w:top w:val="none" w:sz="0" w:space="0" w:color="auto"/>
        <w:left w:val="none" w:sz="0" w:space="0" w:color="auto"/>
        <w:bottom w:val="none" w:sz="0" w:space="0" w:color="auto"/>
        <w:right w:val="none" w:sz="0" w:space="0" w:color="auto"/>
      </w:divBdr>
    </w:div>
    <w:div w:id="2134404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cid:image001.png@01D6E443.3A31279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cid:image002.png@01D6F88C.CAC50DF0"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
    <Synchronization>Synchronous</Synchronization>
    <Type>1</Type>
    <SequenceNumber>10000</SequenceNumber>
    <Url/>
    <Assembly>Jpmc.Sps.RecordsManagement, Version=1.0.0.0, Culture=neutral, PublicKeyToken=e8ead3752bfbf1f9</Assembly>
    <Class>Jpmc.Sps.RecordsManagement.EventReceivers.RecordContentTypeEventReceiver</Class>
    <Data/>
    <Filter/>
  </Receiver>
  <Receiver>
    <Name/>
    <Synchronization>Synchronous</Synchronization>
    <Type>10001</Type>
    <SequenceNumber>10000</SequenceNumber>
    <Url/>
    <Assembly>Jpmc.Sps.RecordsManagement, Version=1.0.0.0, Culture=neutral, PublicKeyToken=e8ead3752bfbf1f9</Assembly>
    <Class>Jpmc.Sps.RecordsManagement.EventReceivers.RecordContentTypeEventReceiver</Class>
    <Data/>
    <Filter/>
  </Receiver>
  <Receiver>
    <Name/>
    <Synchronization>Synchronous</Synchronization>
    <Type>10002</Type>
    <SequenceNumber>10000</SequenceNumber>
    <Url/>
    <Assembly>Jpmc.Sps.RecordsManagement, Version=1.0.0.0, Culture=neutral, PublicKeyToken=e8ead3752bfbf1f9</Assembly>
    <Class>Jpmc.Sps.RecordsManagement.EventReceivers.RecordContentTypeEventReceiver</Class>
    <Data/>
    <Filter/>
  </Receiver>
  <Receiver>
    <Name/>
    <Synchronization>Synchronous</Synchronization>
    <Type>3</Type>
    <SequenceNumber>10000</SequenceNumber>
    <Url/>
    <Assembly>Jpmc.Sps.RecordsManagement, Version=1.0.0.0, Culture=neutral, PublicKeyToken=e8ead3752bfbf1f9</Assembly>
    <Class>Jpmc.Sps.RecordsManagement.EventReceivers.RecordContentTypeEventReceiver</Class>
    <Data/>
    <Filter/>
  </Receiver>
  <Receiver>
    <Name/>
    <Synchronization>Synchronous</Synchronization>
    <Type>10009</Type>
    <SequenceNumber>10000</SequenceNumber>
    <Url/>
    <Assembly>Jpmc.Sps.RecordsManagement, Version=1.0.0.0, Culture=neutral, PublicKeyToken=e8ead3752bfbf1f9</Assembly>
    <Class>Jpmc.Sps.RecordsManagement.EventReceivers.RecordContentTypeEventReceiver</Class>
    <Data/>
    <Filter/>
  </Receiver>
  <Receiver>
    <Name/>
    <Synchronization>Synchronous</Synchronization>
    <Type>2</Type>
    <SequenceNumber>10000</SequenceNumber>
    <Url/>
    <Assembly>Jpmc.Sps.RecordsManagement, Version=1.0.0.0, Culture=neutral, PublicKeyToken=e8ead3752bfbf1f9</Assembly>
    <Class>Jpmc.Sps.RecordsManagement.EventReceivers.RecordContentTypeEventReceiver</Class>
    <Data/>
    <Filter/>
  </Receiver>
  <Receiver>
    <Name/>
    <Synchronization>Synchronous</Synchronization>
    <Type>11</Type>
    <SequenceNumber>10000</SequenceNumber>
    <Url/>
    <Assembly>Jpmc.Sps.RecordsManagement, Version=1.0.0.0, Culture=neutral, PublicKeyToken=e8ead3752bfbf1f9</Assembly>
    <Class>Jpmc.Sps.RecordsManagement.EventReceivers.RecordContentTypeEventReceiver</Class>
    <Data/>
    <Filter/>
  </Receiver>
  <Receiver>
    <Name/>
    <Synchronization>Synchronous</Synchronization>
    <Type>10003</Type>
    <SequenceNumber>10000</SequenceNumber>
    <Url/>
    <Assembly>Jpmc.Sps.RecordsManagement, Version=1.0.0.0, Culture=neutral, PublicKeyToken=e8ead3752bfbf1f9</Assembly>
    <Class>Jpmc.Sps.RecordsManagement.EventReceivers.RecordContentTypeEventReceiver</Class>
    <Data/>
    <Filter/>
  </Receiver>
  <Receiver>
    <Name/>
    <Synchronization>Synchronous</Synchronization>
    <Type>9</Type>
    <SequenceNumber>10000</SequenceNumber>
    <Url/>
    <Assembly>Jpmc.Sps.RecordsManagement, Version=1.0.0.0, Culture=neutral, PublicKeyToken=e8ead3752bfbf1f9</Assembly>
    <Class>Jpmc.Sps.RecordsManagement.EventReceivers.RecordContentTypeEventReceiver</Class>
    <Data/>
    <Filter/>
  </Receiver>
</spe:Receivers>
</file>

<file path=customXml/item2.xml><?xml version="1.0" encoding="utf-8"?>
<ct:contentTypeSchema xmlns:ct="http://schemas.microsoft.com/office/2006/metadata/contentType" xmlns:ma="http://schemas.microsoft.com/office/2006/metadata/properties/metaAttributes" ct:_="" ma:_="" ma:contentTypeName="JPMC Record" ma:contentTypeID="0x010100B04218B855DC944F9A559450E98DF04000B3123F807BC7DA41B3570D47E6262E68" ma:contentTypeVersion="29" ma:contentTypeDescription="Create a new record in this library." ma:contentTypeScope="" ma:versionID="6c491760d540a2324a27714b60a5dafc">
  <xsd:schema xmlns:xsd="http://www.w3.org/2001/XMLSchema" xmlns:xs="http://www.w3.org/2001/XMLSchema" xmlns:p="http://schemas.microsoft.com/office/2006/metadata/properties" xmlns:ns2="2890990e-63b9-4c4f-92ab-1caf6e087b72" xmlns:ns3="ff84a202-6815-4671-adad-6fa9e76655da" targetNamespace="http://schemas.microsoft.com/office/2006/metadata/properties" ma:root="true" ma:fieldsID="63ad1cf767b9bd0519549f3c6a6ee5c2" ns2:_="" ns3:_="">
    <xsd:import namespace="2890990e-63b9-4c4f-92ab-1caf6e087b72"/>
    <xsd:import namespace="ff84a202-6815-4671-adad-6fa9e76655da"/>
    <xsd:element name="properties">
      <xsd:complexType>
        <xsd:sequence>
          <xsd:element name="documentManagement">
            <xsd:complexType>
              <xsd:all>
                <xsd:element ref="ns2:Record_x0020_ID" minOccurs="0"/>
                <xsd:element ref="ns2:Record_x0020_Status" minOccurs="0"/>
                <xsd:element ref="ns2:Record_x0020_Class_x0020_Code" minOccurs="0"/>
                <xsd:element ref="ns2:Record_x0020_Class_x0020_Code_x0020_Country" minOccurs="0"/>
                <xsd:element ref="ns2:Record_x0020_Class_x0020_Code_x0020_Local" minOccurs="0"/>
                <xsd:element ref="ns2:Record_x0020_Owner" minOccurs="0"/>
                <xsd:element ref="ns2:Record_x0020_Finalized_x0020_By" minOccurs="0"/>
                <xsd:element ref="ns2:Record_x0020_Finalized_x0020_On" minOccurs="0"/>
                <xsd:element ref="ns2:Record_x0020_Retention_x0020_Type" minOccurs="0"/>
                <xsd:element ref="ns2:Record_x0020_Retention_x0020_Start_x0020_Date" minOccurs="0"/>
                <xsd:element ref="ns2:Record_x0020_Retention_x0020_End_x0020_Date" minOccurs="0"/>
                <xsd:element ref="ns2:Record_x0020_Legal_x0020_Hold" minOccurs="0"/>
                <xsd:element ref="ns3:own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90990e-63b9-4c4f-92ab-1caf6e087b72" elementFormDefault="qualified">
    <xsd:import namespace="http://schemas.microsoft.com/office/2006/documentManagement/types"/>
    <xsd:import namespace="http://schemas.microsoft.com/office/infopath/2007/PartnerControls"/>
    <xsd:element name="Record_x0020_ID" ma:index="8" nillable="true" ma:displayName="Record ID" ma:description="Record ID" ma:internalName="Record_x0020_ID" ma:readOnly="true">
      <xsd:simpleType>
        <xsd:restriction base="dms:Text"/>
      </xsd:simpleType>
    </xsd:element>
    <xsd:element name="Record_x0020_Status" ma:index="9" nillable="true" ma:displayName="Record Status" ma:description="Record Status" ma:internalName="Record_x0020_Status" ma:readOnly="true">
      <xsd:simpleType>
        <xsd:restriction base="dms:Text"/>
      </xsd:simpleType>
    </xsd:element>
    <xsd:element name="Record_x0020_Class_x0020_Code" ma:index="10" nillable="true" ma:displayName="Record Class Code" ma:description="Record Class Code" ma:internalName="Record_x0020_Class_x0020_Code" ma:readOnly="true">
      <xsd:simpleType>
        <xsd:restriction base="dms:Text"/>
      </xsd:simpleType>
    </xsd:element>
    <xsd:element name="Record_x0020_Class_x0020_Code_x0020_Country" ma:index="11" nillable="true" ma:displayName="Record Class Code Country" ma:description="Record Class Code Country" ma:internalName="Record_x0020_Class_x0020_Code_x0020_Country" ma:readOnly="true">
      <xsd:simpleType>
        <xsd:restriction base="dms:Text"/>
      </xsd:simpleType>
    </xsd:element>
    <xsd:element name="Record_x0020_Class_x0020_Code_x0020_Local" ma:index="12" nillable="true" ma:displayName="Record Class Code Local" ma:description="Record Class Code Local" ma:internalName="Record_x0020_Class_x0020_Code_x0020_Local" ma:readOnly="true">
      <xsd:simpleType>
        <xsd:restriction base="dms:Text"/>
      </xsd:simpleType>
    </xsd:element>
    <xsd:element name="Record_x0020_Owner" ma:index="13" nillable="true" ma:displayName="Record Owner" ma:description="Record Owner" ma:list="UserInfo" ma:internalName="Record_x0020_Own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cord_x0020_Finalized_x0020_By" ma:index="14" nillable="true" ma:displayName="Record Finalized By" ma:description="Record Finalized By" ma:list="UserInfo" ma:internalName="Record_x0020_Finalized_x0020_By"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cord_x0020_Finalized_x0020_On" ma:index="15" nillable="true" ma:displayName="Record Finalized On" ma:description="Record Finalized On" ma:format="DateOnly" ma:internalName="Record_x0020_Finalized_x0020_On" ma:readOnly="true">
      <xsd:simpleType>
        <xsd:restriction base="dms:DateTime"/>
      </xsd:simpleType>
    </xsd:element>
    <xsd:element name="Record_x0020_Retention_x0020_Type" ma:index="16" nillable="true" ma:displayName="Record Retention Type" ma:description="Record Retention Type" ma:internalName="Record_x0020_Retention_x0020_Type" ma:readOnly="true">
      <xsd:simpleType>
        <xsd:restriction base="dms:Text"/>
      </xsd:simpleType>
    </xsd:element>
    <xsd:element name="Record_x0020_Retention_x0020_Start_x0020_Date" ma:index="17" nillable="true" ma:displayName="Record Retention Start Date" ma:description="Record Retention Start Date" ma:format="DateOnly" ma:internalName="Record_x0020_Retention_x0020_Start_x0020_Date" ma:readOnly="true">
      <xsd:simpleType>
        <xsd:restriction base="dms:DateTime"/>
      </xsd:simpleType>
    </xsd:element>
    <xsd:element name="Record_x0020_Retention_x0020_End_x0020_Date" ma:index="18" nillable="true" ma:displayName="Record Retention End Date" ma:description="Record Retention End Date" ma:format="DateOnly" ma:internalName="Record_x0020_Retention_x0020_End_x0020_Date" ma:readOnly="true">
      <xsd:simpleType>
        <xsd:restriction base="dms:DateTime"/>
      </xsd:simpleType>
    </xsd:element>
    <xsd:element name="Record_x0020_Legal_x0020_Hold" ma:index="19" nillable="true" ma:displayName="Record Legal Hold" ma:description="Record Legal Hold" ma:internalName="Record_x0020_Legal_x0020_Hol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f84a202-6815-4671-adad-6fa9e76655da" elementFormDefault="qualified">
    <xsd:import namespace="http://schemas.microsoft.com/office/2006/documentManagement/types"/>
    <xsd:import namespace="http://schemas.microsoft.com/office/infopath/2007/PartnerControls"/>
    <xsd:element name="owner" ma:index="20" nillable="true" ma:displayName="owner" ma:internalName="own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ag"/>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wner xmlns="ff84a202-6815-4671-adad-6fa9e76655da" xsi:nil="true"/>
    <Record_x0020_Owner xmlns="2890990e-63b9-4c4f-92ab-1caf6e087b72">
      <UserInfo>
        <DisplayName>Levite, Alexandra R</DisplayName>
        <AccountId>1</AccountId>
        <AccountType/>
      </UserInfo>
    </Record_x0020_Owner>
    <Record_x0020_Class_x0020_Code xmlns="2890990e-63b9-4c4f-92ab-1caf6e087b72">US: BIZ010Y</Record_x0020_Class_x0020_Code>
    <Record_x0020_ID xmlns="2890990e-63b9-4c4f-92ab-1caf6e087b72">59051662</Record_x0020_ID>
    <Record_x0020_Status xmlns="2890990e-63b9-4c4f-92ab-1caf6e087b72">Work In Progress</Record_x0020_Status>
    <Record_x0020_Retention_x0020_Start_x0020_Date xmlns="2890990e-63b9-4c4f-92ab-1caf6e087b72">2021-02-02T05:00:00+00:00</Record_x0020_Retention_x0020_Start_x0020_Date>
    <Record_x0020_Class_x0020_Code_x0020_Local xmlns="2890990e-63b9-4c4f-92ab-1caf6e087b72">BIZ010Y</Record_x0020_Class_x0020_Code_x0020_Local>
    <Record_x0020_Retention_x0020_End_x0020_Date xmlns="2890990e-63b9-4c4f-92ab-1caf6e087b72">2031-02-02T05:00:00+00:00</Record_x0020_Retention_x0020_End_x0020_Date>
    <Record_x0020_Legal_x0020_Hold xmlns="2890990e-63b9-4c4f-92ab-1caf6e087b72">false</Record_x0020_Legal_x0020_Hold>
    <Record_x0020_Class_x0020_Code_x0020_Country xmlns="2890990e-63b9-4c4f-92ab-1caf6e087b72">United States</Record_x0020_Class_x0020_Code_x0020_Country>
    <Record_x0020_Retention_x0020_Type xmlns="2890990e-63b9-4c4f-92ab-1caf6e087b72">Flat</Record_x0020_Retention_x0020_Type>
    <Record_x0020_Finalized_x0020_By xmlns="2890990e-63b9-4c4f-92ab-1caf6e087b72">
      <UserInfo>
        <DisplayName/>
        <AccountId xsi:nil="true"/>
        <AccountType/>
      </UserInfo>
    </Record_x0020_Finalized_x0020_By>
    <Record_x0020_Finalized_x0020_On xmlns="2890990e-63b9-4c4f-92ab-1caf6e087b72"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3C1C13-F24E-4E6C-8D7E-9DE48A40E064}">
  <ds:schemaRefs>
    <ds:schemaRef ds:uri="http://schemas.microsoft.com/sharepoint/events"/>
  </ds:schemaRefs>
</ds:datastoreItem>
</file>

<file path=customXml/itemProps2.xml><?xml version="1.0" encoding="utf-8"?>
<ds:datastoreItem xmlns:ds="http://schemas.openxmlformats.org/officeDocument/2006/customXml" ds:itemID="{F34ABD64-65C3-40F9-B4FD-C1CA06F9D4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90990e-63b9-4c4f-92ab-1caf6e087b72"/>
    <ds:schemaRef ds:uri="ff84a202-6815-4671-adad-6fa9e7665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9C4455-97F6-42A8-837D-E9B54E9E6703}">
  <ds:schemaRefs>
    <ds:schemaRef ds:uri="http://schemas.microsoft.com/office/2006/documentManagement/types"/>
    <ds:schemaRef ds:uri="ff84a202-6815-4671-adad-6fa9e76655da"/>
    <ds:schemaRef ds:uri="http://purl.org/dc/dcmitype/"/>
    <ds:schemaRef ds:uri="http://schemas.microsoft.com/office/infopath/2007/PartnerControls"/>
    <ds:schemaRef ds:uri="http://purl.org/dc/elements/1.1/"/>
    <ds:schemaRef ds:uri="http://schemas.microsoft.com/office/2006/metadata/properties"/>
    <ds:schemaRef ds:uri="2890990e-63b9-4c4f-92ab-1caf6e087b72"/>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9D232C56-2F86-48E6-9293-796460484541}">
  <ds:schemaRefs>
    <ds:schemaRef ds:uri="http://schemas.microsoft.com/sharepoint/v3/contenttype/forms"/>
  </ds:schemaRefs>
</ds:datastoreItem>
</file>

<file path=customXml/itemProps5.xml><?xml version="1.0" encoding="utf-8"?>
<ds:datastoreItem xmlns:ds="http://schemas.openxmlformats.org/officeDocument/2006/customXml" ds:itemID="{EE6CEA75-DE2B-41CE-9E5F-A7FAAD0BA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4898</Words>
  <Characters>27924</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Gonzalez Cabanillas, Claudia</dc:creator>
  <cp:keywords/>
  <dc:description/>
  <cp:lastModifiedBy>Gonzalez Cabanillas, Claudia</cp:lastModifiedBy>
  <cp:revision>27</cp:revision>
  <dcterms:created xsi:type="dcterms:W3CDTF">2021-02-02T12:32:00Z</dcterms:created>
  <dcterms:modified xsi:type="dcterms:W3CDTF">2021-02-02T16:28:00Z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0x010100B04218B855DC944F9A559450E98DF04000B3123F807BC7DA41B3570D47E6262E68</vt:lpwstr>
  </property>
</Properties>
</file>