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37848" w14:textId="71ED9C94" w:rsidR="0061333B" w:rsidRDefault="0061333B" w:rsidP="0096239E">
      <w:pPr>
        <w:spacing w:after="0" w:line="240" w:lineRule="auto"/>
        <w:ind w:left="-426" w:right="-188"/>
        <w:contextualSpacing/>
      </w:pPr>
      <w:r>
        <w:rPr>
          <w:noProof/>
        </w:rPr>
        <w:drawing>
          <wp:anchor distT="0" distB="0" distL="114300" distR="114300" simplePos="0" relativeHeight="251658240" behindDoc="1" locked="0" layoutInCell="1" allowOverlap="1" wp14:anchorId="1B63C7DE" wp14:editId="60B08926">
            <wp:simplePos x="0" y="0"/>
            <wp:positionH relativeFrom="column">
              <wp:posOffset>3340100</wp:posOffset>
            </wp:positionH>
            <wp:positionV relativeFrom="paragraph">
              <wp:posOffset>0</wp:posOffset>
            </wp:positionV>
            <wp:extent cx="2926800" cy="457200"/>
            <wp:effectExtent l="0" t="0" r="6985" b="0"/>
            <wp:wrapTight wrapText="bothSides">
              <wp:wrapPolygon edited="0">
                <wp:start x="0" y="0"/>
                <wp:lineTo x="0" y="20700"/>
                <wp:lineTo x="21511" y="20700"/>
                <wp:lineTo x="215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68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9E9EBD" w14:textId="78CF43EF" w:rsidR="0061333B" w:rsidRDefault="0061333B" w:rsidP="0096239E">
      <w:pPr>
        <w:spacing w:after="0" w:line="240" w:lineRule="auto"/>
        <w:ind w:left="-426" w:right="-188"/>
        <w:contextualSpacing/>
      </w:pPr>
    </w:p>
    <w:p w14:paraId="57D17D2E" w14:textId="72700FF5" w:rsidR="0061333B" w:rsidRDefault="0061333B" w:rsidP="0096239E">
      <w:pPr>
        <w:spacing w:after="0" w:line="240" w:lineRule="auto"/>
        <w:ind w:left="-426" w:right="-188"/>
        <w:contextualSpacing/>
      </w:pPr>
    </w:p>
    <w:p w14:paraId="6FDD8050" w14:textId="77777777" w:rsidR="00E84119" w:rsidRDefault="00E84119" w:rsidP="0096239E">
      <w:pPr>
        <w:spacing w:after="0" w:line="240" w:lineRule="auto"/>
        <w:ind w:left="-426" w:right="-188"/>
        <w:contextualSpacing/>
        <w:rPr>
          <w:sz w:val="20"/>
          <w:szCs w:val="20"/>
        </w:rPr>
      </w:pPr>
    </w:p>
    <w:p w14:paraId="359A7FCF" w14:textId="53AB5B61" w:rsidR="00DC20C3" w:rsidRPr="00B43589" w:rsidRDefault="00746DCF" w:rsidP="0096239E">
      <w:pPr>
        <w:spacing w:after="0" w:line="240" w:lineRule="auto"/>
        <w:ind w:left="-426" w:right="-188"/>
        <w:contextualSpacing/>
        <w:rPr>
          <w:sz w:val="20"/>
          <w:szCs w:val="20"/>
        </w:rPr>
      </w:pPr>
      <w:r w:rsidRPr="00B43589">
        <w:rPr>
          <w:sz w:val="20"/>
          <w:szCs w:val="20"/>
        </w:rPr>
        <w:t xml:space="preserve">European Commission </w:t>
      </w:r>
    </w:p>
    <w:p w14:paraId="0DC0BBE8" w14:textId="004B9054" w:rsidR="0061333B" w:rsidRPr="00B43589" w:rsidRDefault="0061333B" w:rsidP="0096239E">
      <w:pPr>
        <w:spacing w:after="0" w:line="240" w:lineRule="auto"/>
        <w:ind w:left="-426" w:right="-188"/>
        <w:contextualSpacing/>
        <w:rPr>
          <w:sz w:val="20"/>
          <w:szCs w:val="20"/>
        </w:rPr>
      </w:pPr>
      <w:r w:rsidRPr="00B43589">
        <w:rPr>
          <w:sz w:val="20"/>
          <w:szCs w:val="20"/>
        </w:rPr>
        <w:t>Directorate-General for Financial Stability, Financial Services and Capital Markets Union</w:t>
      </w:r>
    </w:p>
    <w:p w14:paraId="35F56D6D" w14:textId="3735F2C7" w:rsidR="0061333B" w:rsidRPr="00B43589" w:rsidRDefault="0061333B" w:rsidP="0096239E">
      <w:pPr>
        <w:spacing w:after="0" w:line="240" w:lineRule="auto"/>
        <w:ind w:left="-426" w:right="-188"/>
        <w:contextualSpacing/>
        <w:rPr>
          <w:sz w:val="20"/>
          <w:szCs w:val="20"/>
        </w:rPr>
      </w:pPr>
      <w:r w:rsidRPr="00B43589">
        <w:rPr>
          <w:sz w:val="20"/>
          <w:szCs w:val="20"/>
        </w:rPr>
        <w:t>1049</w:t>
      </w:r>
      <w:r w:rsidRPr="00B43589">
        <w:rPr>
          <w:sz w:val="20"/>
          <w:szCs w:val="20"/>
        </w:rPr>
        <w:t> </w:t>
      </w:r>
      <w:r w:rsidRPr="00B43589">
        <w:rPr>
          <w:sz w:val="20"/>
          <w:szCs w:val="20"/>
        </w:rPr>
        <w:t>Bruxelles</w:t>
      </w:r>
    </w:p>
    <w:p w14:paraId="1EDA26EE" w14:textId="2373C6A4" w:rsidR="0061333B" w:rsidRPr="00B43589" w:rsidRDefault="0061333B" w:rsidP="0096239E">
      <w:pPr>
        <w:spacing w:after="0" w:line="240" w:lineRule="auto"/>
        <w:ind w:left="-426" w:right="-188"/>
        <w:contextualSpacing/>
        <w:rPr>
          <w:sz w:val="20"/>
          <w:szCs w:val="20"/>
        </w:rPr>
      </w:pPr>
      <w:r w:rsidRPr="00B43589">
        <w:rPr>
          <w:sz w:val="20"/>
          <w:szCs w:val="20"/>
        </w:rPr>
        <w:t>Belgium</w:t>
      </w:r>
    </w:p>
    <w:p w14:paraId="60E1B111" w14:textId="77777777" w:rsidR="00DC20C3" w:rsidRPr="00B43589" w:rsidRDefault="00DC20C3" w:rsidP="0096239E">
      <w:pPr>
        <w:spacing w:after="0" w:line="240" w:lineRule="auto"/>
        <w:ind w:left="-426" w:right="-188"/>
        <w:contextualSpacing/>
        <w:rPr>
          <w:sz w:val="20"/>
          <w:szCs w:val="20"/>
        </w:rPr>
      </w:pPr>
    </w:p>
    <w:p w14:paraId="7849BEF1" w14:textId="4F3917CD" w:rsidR="00426E60" w:rsidRPr="00B43589" w:rsidRDefault="00426E60" w:rsidP="0096239E">
      <w:pPr>
        <w:spacing w:after="0" w:line="240" w:lineRule="auto"/>
        <w:ind w:left="-426" w:right="-188"/>
        <w:contextualSpacing/>
        <w:rPr>
          <w:sz w:val="20"/>
          <w:szCs w:val="20"/>
        </w:rPr>
      </w:pPr>
    </w:p>
    <w:p w14:paraId="6B2538BD" w14:textId="624E7309" w:rsidR="00426E60" w:rsidRPr="00B43589" w:rsidRDefault="00B86979" w:rsidP="0096239E">
      <w:pPr>
        <w:ind w:left="-426" w:right="-188"/>
        <w:jc w:val="right"/>
        <w:rPr>
          <w:sz w:val="20"/>
          <w:szCs w:val="20"/>
        </w:rPr>
      </w:pP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Pr="00B43589">
        <w:rPr>
          <w:sz w:val="20"/>
          <w:szCs w:val="20"/>
        </w:rPr>
        <w:tab/>
      </w:r>
      <w:r w:rsidR="00C06BB8" w:rsidRPr="00B43589">
        <w:rPr>
          <w:sz w:val="20"/>
          <w:szCs w:val="20"/>
        </w:rPr>
        <w:t xml:space="preserve">February </w:t>
      </w:r>
      <w:r w:rsidR="007C45B1" w:rsidRPr="00B43589">
        <w:rPr>
          <w:sz w:val="20"/>
          <w:szCs w:val="20"/>
        </w:rPr>
        <w:t>2021</w:t>
      </w:r>
    </w:p>
    <w:p w14:paraId="35B331C3" w14:textId="2525541D" w:rsidR="00DC20C3" w:rsidRPr="00B43589" w:rsidRDefault="00DC20C3" w:rsidP="0096239E">
      <w:pPr>
        <w:spacing w:after="0"/>
        <w:ind w:left="-426" w:right="-188"/>
        <w:jc w:val="both"/>
        <w:rPr>
          <w:sz w:val="20"/>
          <w:szCs w:val="20"/>
        </w:rPr>
      </w:pPr>
      <w:r w:rsidRPr="00B43589">
        <w:rPr>
          <w:sz w:val="20"/>
          <w:szCs w:val="20"/>
        </w:rPr>
        <w:t>Dear Sir</w:t>
      </w:r>
      <w:r w:rsidR="00590B14" w:rsidRPr="00B43589">
        <w:rPr>
          <w:sz w:val="20"/>
          <w:szCs w:val="20"/>
        </w:rPr>
        <w:t>/ Madam</w:t>
      </w:r>
    </w:p>
    <w:p w14:paraId="24189B2D" w14:textId="77777777" w:rsidR="007C45B1" w:rsidRPr="00B43589" w:rsidRDefault="007C45B1" w:rsidP="0096239E">
      <w:pPr>
        <w:spacing w:after="0"/>
        <w:ind w:left="-426" w:right="-188"/>
        <w:jc w:val="both"/>
        <w:rPr>
          <w:sz w:val="20"/>
          <w:szCs w:val="20"/>
        </w:rPr>
      </w:pPr>
    </w:p>
    <w:p w14:paraId="2B6E55DD" w14:textId="18BA1F02" w:rsidR="00426E60" w:rsidRPr="00B43589" w:rsidRDefault="007C45B1" w:rsidP="0096239E">
      <w:pPr>
        <w:spacing w:after="0"/>
        <w:ind w:left="-426" w:right="-188"/>
        <w:jc w:val="both"/>
        <w:rPr>
          <w:b/>
          <w:bCs/>
          <w:color w:val="006666"/>
          <w:sz w:val="20"/>
          <w:szCs w:val="20"/>
          <w:u w:val="single"/>
        </w:rPr>
      </w:pPr>
      <w:r w:rsidRPr="00B43589">
        <w:rPr>
          <w:b/>
          <w:bCs/>
          <w:color w:val="006666"/>
          <w:sz w:val="20"/>
          <w:szCs w:val="20"/>
        </w:rPr>
        <w:t xml:space="preserve">RE: </w:t>
      </w:r>
      <w:r w:rsidR="000D3A41" w:rsidRPr="00B43589">
        <w:rPr>
          <w:b/>
          <w:bCs/>
          <w:color w:val="006666"/>
          <w:sz w:val="20"/>
          <w:szCs w:val="20"/>
        </w:rPr>
        <w:t>Targeted consultation on the review of Regulation on improving securities settlement in the European Union and on central securities depositories</w:t>
      </w:r>
      <w:r w:rsidR="000D3A41" w:rsidRPr="00B43589">
        <w:rPr>
          <w:b/>
          <w:bCs/>
          <w:color w:val="006666"/>
          <w:sz w:val="20"/>
          <w:szCs w:val="20"/>
          <w:u w:val="single"/>
        </w:rPr>
        <w:t xml:space="preserve"> </w:t>
      </w:r>
    </w:p>
    <w:p w14:paraId="749AE1F4" w14:textId="74DB36FD" w:rsidR="00960FBB" w:rsidRPr="00B43589" w:rsidRDefault="00960FBB" w:rsidP="0096239E">
      <w:pPr>
        <w:spacing w:after="0"/>
        <w:ind w:left="-426" w:right="-188"/>
        <w:jc w:val="both"/>
        <w:rPr>
          <w:sz w:val="20"/>
          <w:szCs w:val="20"/>
        </w:rPr>
      </w:pPr>
    </w:p>
    <w:p w14:paraId="403EFA4F" w14:textId="385DAC05" w:rsidR="0036511F" w:rsidRPr="00B43589" w:rsidRDefault="008674F7" w:rsidP="0096239E">
      <w:pPr>
        <w:spacing w:after="0"/>
        <w:ind w:left="-426" w:right="-188"/>
        <w:rPr>
          <w:sz w:val="20"/>
          <w:szCs w:val="20"/>
        </w:rPr>
      </w:pPr>
      <w:r w:rsidRPr="00B43589">
        <w:rPr>
          <w:sz w:val="20"/>
          <w:szCs w:val="20"/>
        </w:rPr>
        <w:t xml:space="preserve">ISLA is a leading industry association, representing the common interests of securities lending and financing market participants across Europe, Middle East, and Africa. Its geographically diverse membership of over 160 firms includes institutional investors, asset managers, custodial banks, prime </w:t>
      </w:r>
      <w:r w:rsidR="00863C8C" w:rsidRPr="00B43589">
        <w:rPr>
          <w:sz w:val="20"/>
          <w:szCs w:val="20"/>
        </w:rPr>
        <w:t>brokers,</w:t>
      </w:r>
      <w:r w:rsidRPr="00B43589">
        <w:rPr>
          <w:sz w:val="20"/>
          <w:szCs w:val="20"/>
        </w:rPr>
        <w:t xml:space="preserve"> and service providers.</w:t>
      </w:r>
      <w:r w:rsidR="00863C8C" w:rsidRPr="00B43589">
        <w:rPr>
          <w:sz w:val="20"/>
          <w:szCs w:val="20"/>
        </w:rPr>
        <w:t xml:space="preserve"> </w:t>
      </w:r>
      <w:r w:rsidR="00DD585B" w:rsidRPr="00B43589">
        <w:rPr>
          <w:rFonts w:hAnsiTheme="minorHAnsi" w:cstheme="minorHAnsi"/>
          <w:sz w:val="20"/>
          <w:szCs w:val="20"/>
        </w:rPr>
        <w:t>I</w:t>
      </w:r>
      <w:r w:rsidR="00DD585B" w:rsidRPr="00B43589">
        <w:rPr>
          <w:rFonts w:hAnsiTheme="minorHAnsi" w:cstheme="minorHAnsi"/>
          <w:color w:val="212529"/>
          <w:sz w:val="20"/>
          <w:szCs w:val="20"/>
          <w:shd w:val="clear" w:color="auto" w:fill="FFFFFF"/>
        </w:rPr>
        <w:t>SLA sponsors the </w:t>
      </w:r>
      <w:hyperlink r:id="rId11" w:history="1">
        <w:r w:rsidR="00DD585B" w:rsidRPr="00B43589">
          <w:rPr>
            <w:rStyle w:val="Hyperlink"/>
            <w:rFonts w:hAnsiTheme="minorHAnsi" w:cstheme="minorHAnsi"/>
            <w:color w:val="23B0A9"/>
            <w:sz w:val="20"/>
            <w:szCs w:val="20"/>
            <w:bdr w:val="none" w:sz="0" w:space="0" w:color="auto" w:frame="1"/>
            <w:shd w:val="clear" w:color="auto" w:fill="FFFFFF"/>
          </w:rPr>
          <w:t>Global Market Securities Lending Agreement (GMSLA)</w:t>
        </w:r>
      </w:hyperlink>
      <w:r w:rsidR="00DD585B" w:rsidRPr="00B43589">
        <w:rPr>
          <w:rFonts w:hAnsiTheme="minorHAnsi" w:cstheme="minorHAnsi"/>
          <w:color w:val="212529"/>
          <w:sz w:val="20"/>
          <w:szCs w:val="20"/>
          <w:shd w:val="clear" w:color="auto" w:fill="FFFFFF"/>
        </w:rPr>
        <w:t xml:space="preserve"> and the annual enforceability review in </w:t>
      </w:r>
      <w:r w:rsidR="00330E61" w:rsidRPr="00B43589">
        <w:rPr>
          <w:rFonts w:hAnsiTheme="minorHAnsi" w:cstheme="minorHAnsi"/>
          <w:color w:val="212529"/>
          <w:sz w:val="20"/>
          <w:szCs w:val="20"/>
          <w:shd w:val="clear" w:color="auto" w:fill="FFFFFF"/>
        </w:rPr>
        <w:t xml:space="preserve">more than </w:t>
      </w:r>
      <w:r w:rsidR="00DD585B" w:rsidRPr="00B43589">
        <w:rPr>
          <w:rFonts w:hAnsiTheme="minorHAnsi" w:cstheme="minorHAnsi"/>
          <w:color w:val="212529"/>
          <w:sz w:val="20"/>
          <w:szCs w:val="20"/>
          <w:shd w:val="clear" w:color="auto" w:fill="FFFFFF"/>
        </w:rPr>
        <w:t>65 jurisdictions</w:t>
      </w:r>
      <w:r w:rsidR="00DD585B" w:rsidRPr="00B43589">
        <w:rPr>
          <w:rFonts w:ascii="Arial" w:hAnsi="Arial" w:cs="Arial"/>
          <w:color w:val="212529"/>
          <w:sz w:val="20"/>
          <w:szCs w:val="20"/>
          <w:shd w:val="clear" w:color="auto" w:fill="FFFFFF"/>
        </w:rPr>
        <w:t xml:space="preserve">. </w:t>
      </w:r>
    </w:p>
    <w:p w14:paraId="13DBD2B2" w14:textId="77777777" w:rsidR="0036511F" w:rsidRPr="00B43589" w:rsidRDefault="0036511F" w:rsidP="0096239E">
      <w:pPr>
        <w:spacing w:after="0"/>
        <w:ind w:left="-426" w:right="-188"/>
        <w:rPr>
          <w:sz w:val="20"/>
          <w:szCs w:val="20"/>
        </w:rPr>
      </w:pPr>
    </w:p>
    <w:p w14:paraId="47180E1B" w14:textId="1DB5D817" w:rsidR="009A171E" w:rsidRPr="00B43589" w:rsidRDefault="00863C8C" w:rsidP="00C31D12">
      <w:pPr>
        <w:spacing w:after="0"/>
        <w:ind w:left="-426" w:right="-188"/>
        <w:rPr>
          <w:sz w:val="20"/>
          <w:szCs w:val="20"/>
        </w:rPr>
      </w:pPr>
      <w:r w:rsidRPr="00B43589">
        <w:rPr>
          <w:sz w:val="20"/>
          <w:szCs w:val="20"/>
        </w:rPr>
        <w:t>ISLA welcome</w:t>
      </w:r>
      <w:r w:rsidR="0036511F" w:rsidRPr="00B43589">
        <w:rPr>
          <w:sz w:val="20"/>
          <w:szCs w:val="20"/>
        </w:rPr>
        <w:t>s</w:t>
      </w:r>
      <w:r w:rsidRPr="00B43589">
        <w:rPr>
          <w:sz w:val="20"/>
          <w:szCs w:val="20"/>
        </w:rPr>
        <w:t xml:space="preserve"> the opportunity to </w:t>
      </w:r>
      <w:r w:rsidR="00A57A18" w:rsidRPr="00B43589">
        <w:rPr>
          <w:sz w:val="20"/>
          <w:szCs w:val="20"/>
        </w:rPr>
        <w:t xml:space="preserve">provide feedback on this </w:t>
      </w:r>
      <w:r w:rsidR="00F539E8" w:rsidRPr="00B43589">
        <w:rPr>
          <w:sz w:val="20"/>
          <w:szCs w:val="20"/>
        </w:rPr>
        <w:t xml:space="preserve">important </w:t>
      </w:r>
      <w:r w:rsidR="00E02D03" w:rsidRPr="00B43589">
        <w:rPr>
          <w:sz w:val="20"/>
          <w:szCs w:val="20"/>
        </w:rPr>
        <w:t>initiative</w:t>
      </w:r>
      <w:r w:rsidR="00A82464" w:rsidRPr="00B43589">
        <w:rPr>
          <w:sz w:val="20"/>
          <w:szCs w:val="20"/>
        </w:rPr>
        <w:t xml:space="preserve"> and fully supports the overall aim </w:t>
      </w:r>
      <w:r w:rsidR="00A14389" w:rsidRPr="00B43589">
        <w:rPr>
          <w:sz w:val="20"/>
          <w:szCs w:val="20"/>
        </w:rPr>
        <w:t>of CSDR to enhance settlement efficiency across EU capital markets</w:t>
      </w:r>
      <w:r w:rsidR="00B505E5" w:rsidRPr="00B43589">
        <w:rPr>
          <w:sz w:val="20"/>
          <w:szCs w:val="20"/>
        </w:rPr>
        <w:t>. The response to this consultation was formulated by an industry working group representing 80 member firms</w:t>
      </w:r>
      <w:r w:rsidR="005665F1" w:rsidRPr="00B43589">
        <w:rPr>
          <w:sz w:val="20"/>
          <w:szCs w:val="20"/>
        </w:rPr>
        <w:t xml:space="preserve"> and, t</w:t>
      </w:r>
      <w:r w:rsidR="00BF7EA2" w:rsidRPr="00B43589">
        <w:rPr>
          <w:sz w:val="20"/>
          <w:szCs w:val="20"/>
        </w:rPr>
        <w:t>hroughout the working group</w:t>
      </w:r>
      <w:r w:rsidR="00BF7EA2" w:rsidRPr="00B43589">
        <w:rPr>
          <w:sz w:val="20"/>
          <w:szCs w:val="20"/>
        </w:rPr>
        <w:t>’</w:t>
      </w:r>
      <w:r w:rsidR="00BF7EA2" w:rsidRPr="00B43589">
        <w:rPr>
          <w:sz w:val="20"/>
          <w:szCs w:val="20"/>
        </w:rPr>
        <w:t>s review</w:t>
      </w:r>
      <w:r w:rsidR="00F67F24" w:rsidRPr="00B43589">
        <w:rPr>
          <w:sz w:val="20"/>
          <w:szCs w:val="20"/>
        </w:rPr>
        <w:t>,</w:t>
      </w:r>
      <w:r w:rsidR="0056795B" w:rsidRPr="00B43589">
        <w:rPr>
          <w:sz w:val="20"/>
          <w:szCs w:val="20"/>
        </w:rPr>
        <w:t xml:space="preserve"> one particular concern was repeatedly </w:t>
      </w:r>
      <w:r w:rsidR="009D0D85" w:rsidRPr="00B43589">
        <w:rPr>
          <w:sz w:val="20"/>
          <w:szCs w:val="20"/>
        </w:rPr>
        <w:t>voiced that</w:t>
      </w:r>
      <w:r w:rsidR="0006533D" w:rsidRPr="00B43589">
        <w:rPr>
          <w:sz w:val="20"/>
          <w:szCs w:val="20"/>
        </w:rPr>
        <w:t xml:space="preserve"> </w:t>
      </w:r>
      <w:r w:rsidR="001D1FE8" w:rsidRPr="00B43589">
        <w:rPr>
          <w:sz w:val="20"/>
          <w:szCs w:val="20"/>
        </w:rPr>
        <w:t xml:space="preserve">we would like to highlight </w:t>
      </w:r>
      <w:r w:rsidR="001D5027" w:rsidRPr="00B43589">
        <w:rPr>
          <w:sz w:val="20"/>
          <w:szCs w:val="20"/>
        </w:rPr>
        <w:t>in this letter.</w:t>
      </w:r>
    </w:p>
    <w:p w14:paraId="4521F2E2" w14:textId="426F9AE6" w:rsidR="00055F7E" w:rsidRPr="00B43589" w:rsidRDefault="00055F7E" w:rsidP="0096239E">
      <w:pPr>
        <w:spacing w:after="0"/>
        <w:ind w:left="-426" w:right="-188"/>
        <w:rPr>
          <w:sz w:val="20"/>
          <w:szCs w:val="20"/>
        </w:rPr>
      </w:pPr>
    </w:p>
    <w:p w14:paraId="4FF3A15C" w14:textId="3B6F9519" w:rsidR="0065549B" w:rsidRPr="00B43589" w:rsidRDefault="00055F7E" w:rsidP="0096239E">
      <w:pPr>
        <w:spacing w:after="0"/>
        <w:ind w:left="-426" w:right="-188"/>
        <w:rPr>
          <w:sz w:val="20"/>
          <w:szCs w:val="20"/>
        </w:rPr>
      </w:pPr>
      <w:r w:rsidRPr="00B43589">
        <w:rPr>
          <w:sz w:val="20"/>
          <w:szCs w:val="20"/>
        </w:rPr>
        <w:t xml:space="preserve">Our members </w:t>
      </w:r>
      <w:r w:rsidR="00603683" w:rsidRPr="00B43589">
        <w:rPr>
          <w:sz w:val="20"/>
          <w:szCs w:val="20"/>
        </w:rPr>
        <w:t xml:space="preserve">consider </w:t>
      </w:r>
      <w:r w:rsidR="00BA6466" w:rsidRPr="00B43589">
        <w:rPr>
          <w:sz w:val="20"/>
          <w:szCs w:val="20"/>
        </w:rPr>
        <w:t xml:space="preserve">the introduction of </w:t>
      </w:r>
      <w:r w:rsidR="00603683" w:rsidRPr="00B43589">
        <w:rPr>
          <w:sz w:val="20"/>
          <w:szCs w:val="20"/>
        </w:rPr>
        <w:t xml:space="preserve">a penalty </w:t>
      </w:r>
      <w:r w:rsidR="001B3222" w:rsidRPr="00B43589">
        <w:rPr>
          <w:sz w:val="20"/>
          <w:szCs w:val="20"/>
        </w:rPr>
        <w:t>mechanism</w:t>
      </w:r>
      <w:r w:rsidR="007C15D2" w:rsidRPr="00B43589">
        <w:rPr>
          <w:sz w:val="20"/>
          <w:szCs w:val="20"/>
        </w:rPr>
        <w:t xml:space="preserve"> </w:t>
      </w:r>
      <w:r w:rsidR="00BA6466" w:rsidRPr="00B43589">
        <w:rPr>
          <w:sz w:val="20"/>
          <w:szCs w:val="20"/>
        </w:rPr>
        <w:t xml:space="preserve">to be </w:t>
      </w:r>
      <w:r w:rsidR="001B3222" w:rsidRPr="00B43589">
        <w:rPr>
          <w:sz w:val="20"/>
          <w:szCs w:val="20"/>
        </w:rPr>
        <w:t xml:space="preserve">an effective tool </w:t>
      </w:r>
      <w:r w:rsidR="00D46411" w:rsidRPr="00B43589">
        <w:rPr>
          <w:sz w:val="20"/>
          <w:szCs w:val="20"/>
        </w:rPr>
        <w:t xml:space="preserve">in reducing </w:t>
      </w:r>
      <w:r w:rsidR="000F04D9" w:rsidRPr="00B43589">
        <w:rPr>
          <w:sz w:val="20"/>
          <w:szCs w:val="20"/>
        </w:rPr>
        <w:t xml:space="preserve">settlement failures </w:t>
      </w:r>
      <w:r w:rsidR="008D4002" w:rsidRPr="00B43589">
        <w:rPr>
          <w:sz w:val="20"/>
          <w:szCs w:val="20"/>
        </w:rPr>
        <w:t xml:space="preserve">across </w:t>
      </w:r>
      <w:r w:rsidR="00D46411" w:rsidRPr="00B43589">
        <w:rPr>
          <w:sz w:val="20"/>
          <w:szCs w:val="20"/>
        </w:rPr>
        <w:t>our industry</w:t>
      </w:r>
      <w:r w:rsidR="00C17A49" w:rsidRPr="00B43589">
        <w:rPr>
          <w:sz w:val="20"/>
          <w:szCs w:val="20"/>
        </w:rPr>
        <w:t>,</w:t>
      </w:r>
      <w:r w:rsidR="00071093" w:rsidRPr="00B43589">
        <w:rPr>
          <w:sz w:val="20"/>
          <w:szCs w:val="20"/>
        </w:rPr>
        <w:t xml:space="preserve"> and </w:t>
      </w:r>
      <w:r w:rsidR="00C17A49" w:rsidRPr="00B43589">
        <w:rPr>
          <w:sz w:val="20"/>
          <w:szCs w:val="20"/>
        </w:rPr>
        <w:t xml:space="preserve">strongly </w:t>
      </w:r>
      <w:r w:rsidR="00071093" w:rsidRPr="00B43589">
        <w:rPr>
          <w:sz w:val="20"/>
          <w:szCs w:val="20"/>
        </w:rPr>
        <w:t xml:space="preserve">believe that this </w:t>
      </w:r>
      <w:r w:rsidR="00362F58" w:rsidRPr="00B43589">
        <w:rPr>
          <w:sz w:val="20"/>
          <w:szCs w:val="20"/>
        </w:rPr>
        <w:t xml:space="preserve">mechanism </w:t>
      </w:r>
      <w:r w:rsidR="00071093" w:rsidRPr="00B43589">
        <w:rPr>
          <w:sz w:val="20"/>
          <w:szCs w:val="20"/>
        </w:rPr>
        <w:t xml:space="preserve">alone will help to achieve </w:t>
      </w:r>
      <w:r w:rsidR="00AD758F" w:rsidRPr="00B43589">
        <w:rPr>
          <w:sz w:val="20"/>
          <w:szCs w:val="20"/>
        </w:rPr>
        <w:t xml:space="preserve">that </w:t>
      </w:r>
      <w:r w:rsidR="00071093" w:rsidRPr="00B43589">
        <w:rPr>
          <w:sz w:val="20"/>
          <w:szCs w:val="20"/>
        </w:rPr>
        <w:t>objective</w:t>
      </w:r>
      <w:r w:rsidR="00C17A49" w:rsidRPr="00B43589">
        <w:rPr>
          <w:sz w:val="20"/>
          <w:szCs w:val="20"/>
        </w:rPr>
        <w:t xml:space="preserve">. </w:t>
      </w:r>
      <w:r w:rsidR="00AD758F" w:rsidRPr="00B43589">
        <w:rPr>
          <w:sz w:val="20"/>
          <w:szCs w:val="20"/>
        </w:rPr>
        <w:t>However, t</w:t>
      </w:r>
      <w:r w:rsidR="00C17A49" w:rsidRPr="00B43589">
        <w:rPr>
          <w:sz w:val="20"/>
          <w:szCs w:val="20"/>
        </w:rPr>
        <w:t xml:space="preserve">here </w:t>
      </w:r>
      <w:r w:rsidR="00402FD0" w:rsidRPr="00B43589">
        <w:rPr>
          <w:sz w:val="20"/>
          <w:szCs w:val="20"/>
        </w:rPr>
        <w:t>is</w:t>
      </w:r>
      <w:r w:rsidR="00AD758F" w:rsidRPr="00B43589">
        <w:rPr>
          <w:sz w:val="20"/>
          <w:szCs w:val="20"/>
        </w:rPr>
        <w:t xml:space="preserve"> </w:t>
      </w:r>
      <w:r w:rsidR="00AE2CCE" w:rsidRPr="00B43589">
        <w:rPr>
          <w:sz w:val="20"/>
          <w:szCs w:val="20"/>
        </w:rPr>
        <w:t xml:space="preserve">unanimous </w:t>
      </w:r>
      <w:r w:rsidR="00C17A49" w:rsidRPr="00B43589">
        <w:rPr>
          <w:sz w:val="20"/>
          <w:szCs w:val="20"/>
        </w:rPr>
        <w:t xml:space="preserve">industry </w:t>
      </w:r>
      <w:r w:rsidR="00AC1630" w:rsidRPr="00B43589">
        <w:rPr>
          <w:sz w:val="20"/>
          <w:szCs w:val="20"/>
        </w:rPr>
        <w:t xml:space="preserve">concern relating to the </w:t>
      </w:r>
      <w:r w:rsidR="00C17A49" w:rsidRPr="00B43589">
        <w:rPr>
          <w:sz w:val="20"/>
          <w:szCs w:val="20"/>
        </w:rPr>
        <w:t xml:space="preserve">introduction of </w:t>
      </w:r>
      <w:r w:rsidR="0082563A" w:rsidRPr="00B43589">
        <w:rPr>
          <w:sz w:val="20"/>
          <w:szCs w:val="20"/>
        </w:rPr>
        <w:t xml:space="preserve">a </w:t>
      </w:r>
      <w:r w:rsidR="00C17A49" w:rsidRPr="00B43589">
        <w:rPr>
          <w:sz w:val="20"/>
          <w:szCs w:val="20"/>
        </w:rPr>
        <w:t>mandatory buy-in</w:t>
      </w:r>
      <w:r w:rsidR="00AA1CE4" w:rsidRPr="00B43589">
        <w:rPr>
          <w:sz w:val="20"/>
          <w:szCs w:val="20"/>
        </w:rPr>
        <w:t xml:space="preserve">. In particular, the current </w:t>
      </w:r>
      <w:r w:rsidR="0082563A" w:rsidRPr="00B43589">
        <w:rPr>
          <w:sz w:val="20"/>
          <w:szCs w:val="20"/>
        </w:rPr>
        <w:t xml:space="preserve">one size fits all </w:t>
      </w:r>
      <w:r w:rsidR="00C728A6" w:rsidRPr="00B43589">
        <w:rPr>
          <w:sz w:val="20"/>
          <w:szCs w:val="20"/>
        </w:rPr>
        <w:t xml:space="preserve">proposal </w:t>
      </w:r>
      <w:r w:rsidR="00402FD0" w:rsidRPr="00B43589">
        <w:rPr>
          <w:sz w:val="20"/>
          <w:szCs w:val="20"/>
        </w:rPr>
        <w:t xml:space="preserve">could be severely damaging to </w:t>
      </w:r>
      <w:r w:rsidR="005E366E" w:rsidRPr="00B43589">
        <w:rPr>
          <w:sz w:val="20"/>
          <w:szCs w:val="20"/>
        </w:rPr>
        <w:t xml:space="preserve">market </w:t>
      </w:r>
      <w:r w:rsidR="00402FD0" w:rsidRPr="00B43589">
        <w:rPr>
          <w:sz w:val="20"/>
          <w:szCs w:val="20"/>
        </w:rPr>
        <w:t>liquidity</w:t>
      </w:r>
      <w:r w:rsidR="00EF7683" w:rsidRPr="00B43589">
        <w:rPr>
          <w:sz w:val="20"/>
          <w:szCs w:val="20"/>
        </w:rPr>
        <w:t xml:space="preserve">, </w:t>
      </w:r>
      <w:r w:rsidR="005E366E" w:rsidRPr="00B43589">
        <w:rPr>
          <w:sz w:val="20"/>
          <w:szCs w:val="20"/>
        </w:rPr>
        <w:t>if applied to securities financing transactions</w:t>
      </w:r>
      <w:r w:rsidR="00EF7683" w:rsidRPr="00B43589">
        <w:rPr>
          <w:sz w:val="20"/>
          <w:szCs w:val="20"/>
        </w:rPr>
        <w:t xml:space="preserve">. This activity </w:t>
      </w:r>
      <w:r w:rsidR="003D7C0F" w:rsidRPr="00B43589">
        <w:rPr>
          <w:sz w:val="20"/>
          <w:szCs w:val="20"/>
        </w:rPr>
        <w:t>provide</w:t>
      </w:r>
      <w:r w:rsidR="00EF7683" w:rsidRPr="00B43589">
        <w:rPr>
          <w:sz w:val="20"/>
          <w:szCs w:val="20"/>
        </w:rPr>
        <w:t>s</w:t>
      </w:r>
      <w:r w:rsidR="003D7C0F" w:rsidRPr="00B43589">
        <w:rPr>
          <w:sz w:val="20"/>
          <w:szCs w:val="20"/>
        </w:rPr>
        <w:t xml:space="preserve"> crucial </w:t>
      </w:r>
      <w:r w:rsidR="00125537" w:rsidRPr="00B43589">
        <w:rPr>
          <w:sz w:val="20"/>
          <w:szCs w:val="20"/>
        </w:rPr>
        <w:t>supply</w:t>
      </w:r>
      <w:r w:rsidR="00043BF3" w:rsidRPr="00B43589">
        <w:rPr>
          <w:sz w:val="20"/>
          <w:szCs w:val="20"/>
        </w:rPr>
        <w:t xml:space="preserve"> to the market </w:t>
      </w:r>
      <w:r w:rsidR="00C52906" w:rsidRPr="00B43589">
        <w:rPr>
          <w:sz w:val="20"/>
          <w:szCs w:val="20"/>
        </w:rPr>
        <w:t xml:space="preserve">and </w:t>
      </w:r>
      <w:r w:rsidR="00BA7416" w:rsidRPr="00B43589">
        <w:rPr>
          <w:sz w:val="20"/>
          <w:szCs w:val="20"/>
        </w:rPr>
        <w:t>support</w:t>
      </w:r>
      <w:r w:rsidR="00043BF3" w:rsidRPr="00B43589">
        <w:rPr>
          <w:sz w:val="20"/>
          <w:szCs w:val="20"/>
        </w:rPr>
        <w:t xml:space="preserve">s </w:t>
      </w:r>
      <w:r w:rsidR="00BA7416" w:rsidRPr="00B43589">
        <w:rPr>
          <w:sz w:val="20"/>
          <w:szCs w:val="20"/>
        </w:rPr>
        <w:t xml:space="preserve">a </w:t>
      </w:r>
      <w:r w:rsidR="00A50CC6" w:rsidRPr="00B43589">
        <w:rPr>
          <w:sz w:val="20"/>
          <w:szCs w:val="20"/>
        </w:rPr>
        <w:t xml:space="preserve">recognised </w:t>
      </w:r>
      <w:r w:rsidR="003D7C0F" w:rsidRPr="00B43589">
        <w:rPr>
          <w:sz w:val="20"/>
          <w:szCs w:val="20"/>
        </w:rPr>
        <w:t>reduc</w:t>
      </w:r>
      <w:r w:rsidR="00BA7416" w:rsidRPr="00B43589">
        <w:rPr>
          <w:sz w:val="20"/>
          <w:szCs w:val="20"/>
        </w:rPr>
        <w:t>tion</w:t>
      </w:r>
      <w:r w:rsidR="003D7C0F" w:rsidRPr="00B43589">
        <w:rPr>
          <w:sz w:val="20"/>
          <w:szCs w:val="20"/>
        </w:rPr>
        <w:t xml:space="preserve"> </w:t>
      </w:r>
      <w:r w:rsidR="00043BF3" w:rsidRPr="00B43589">
        <w:rPr>
          <w:sz w:val="20"/>
          <w:szCs w:val="20"/>
        </w:rPr>
        <w:t xml:space="preserve">of </w:t>
      </w:r>
      <w:r w:rsidR="003D7C0F" w:rsidRPr="00B43589">
        <w:rPr>
          <w:sz w:val="20"/>
          <w:szCs w:val="20"/>
        </w:rPr>
        <w:t>settlement failure</w:t>
      </w:r>
      <w:r w:rsidR="00402FD0" w:rsidRPr="00B43589">
        <w:rPr>
          <w:sz w:val="20"/>
          <w:szCs w:val="20"/>
        </w:rPr>
        <w:t xml:space="preserve">. </w:t>
      </w:r>
      <w:r w:rsidR="008B2121" w:rsidRPr="00B43589">
        <w:rPr>
          <w:sz w:val="20"/>
          <w:szCs w:val="20"/>
        </w:rPr>
        <w:t xml:space="preserve">Members are also concerned that </w:t>
      </w:r>
      <w:r w:rsidR="00A614DD" w:rsidRPr="00B43589">
        <w:rPr>
          <w:sz w:val="20"/>
          <w:szCs w:val="20"/>
        </w:rPr>
        <w:t xml:space="preserve">by introducing </w:t>
      </w:r>
      <w:r w:rsidR="00913350" w:rsidRPr="00B43589">
        <w:rPr>
          <w:sz w:val="20"/>
          <w:szCs w:val="20"/>
        </w:rPr>
        <w:t xml:space="preserve">an </w:t>
      </w:r>
      <w:r w:rsidR="00A614DD" w:rsidRPr="00B43589">
        <w:rPr>
          <w:sz w:val="20"/>
          <w:szCs w:val="20"/>
        </w:rPr>
        <w:t xml:space="preserve">additional risk </w:t>
      </w:r>
      <w:r w:rsidR="00AA1CE4" w:rsidRPr="00B43589">
        <w:rPr>
          <w:sz w:val="20"/>
          <w:szCs w:val="20"/>
        </w:rPr>
        <w:t xml:space="preserve">for parties to securities lending transactions, </w:t>
      </w:r>
      <w:r w:rsidR="00A614DD" w:rsidRPr="00B43589">
        <w:rPr>
          <w:sz w:val="20"/>
          <w:szCs w:val="20"/>
        </w:rPr>
        <w:t xml:space="preserve">asset owners that engage in securities lending as </w:t>
      </w:r>
      <w:r w:rsidR="00C52906" w:rsidRPr="00B43589">
        <w:rPr>
          <w:sz w:val="20"/>
          <w:szCs w:val="20"/>
        </w:rPr>
        <w:t xml:space="preserve">a </w:t>
      </w:r>
      <w:r w:rsidR="00913350" w:rsidRPr="00B43589">
        <w:rPr>
          <w:sz w:val="20"/>
          <w:szCs w:val="20"/>
        </w:rPr>
        <w:t>low</w:t>
      </w:r>
      <w:r w:rsidR="00856E41" w:rsidRPr="00B43589">
        <w:rPr>
          <w:sz w:val="20"/>
          <w:szCs w:val="20"/>
        </w:rPr>
        <w:t>-</w:t>
      </w:r>
      <w:r w:rsidR="00913350" w:rsidRPr="00B43589">
        <w:rPr>
          <w:sz w:val="20"/>
          <w:szCs w:val="20"/>
        </w:rPr>
        <w:t xml:space="preserve">risk </w:t>
      </w:r>
      <w:r w:rsidR="00A614DD" w:rsidRPr="00B43589">
        <w:rPr>
          <w:sz w:val="20"/>
          <w:szCs w:val="20"/>
        </w:rPr>
        <w:t>discretionary activity</w:t>
      </w:r>
      <w:r w:rsidR="00AA1CE4" w:rsidRPr="00B43589">
        <w:rPr>
          <w:sz w:val="20"/>
          <w:szCs w:val="20"/>
        </w:rPr>
        <w:t xml:space="preserve"> </w:t>
      </w:r>
      <w:r w:rsidR="00EE64E8" w:rsidRPr="00B43589">
        <w:rPr>
          <w:sz w:val="20"/>
          <w:szCs w:val="20"/>
        </w:rPr>
        <w:t>may</w:t>
      </w:r>
      <w:r w:rsidR="00A614DD" w:rsidRPr="00B43589">
        <w:rPr>
          <w:sz w:val="20"/>
          <w:szCs w:val="20"/>
        </w:rPr>
        <w:t xml:space="preserve"> </w:t>
      </w:r>
      <w:r w:rsidR="00AA1CE4" w:rsidRPr="00B43589">
        <w:rPr>
          <w:sz w:val="20"/>
          <w:szCs w:val="20"/>
        </w:rPr>
        <w:t xml:space="preserve">be </w:t>
      </w:r>
      <w:r w:rsidR="00A614DD" w:rsidRPr="00B43589">
        <w:rPr>
          <w:sz w:val="20"/>
          <w:szCs w:val="20"/>
        </w:rPr>
        <w:t>deter</w:t>
      </w:r>
      <w:r w:rsidR="00AA1CE4" w:rsidRPr="00B43589">
        <w:rPr>
          <w:sz w:val="20"/>
          <w:szCs w:val="20"/>
        </w:rPr>
        <w:t>red</w:t>
      </w:r>
      <w:r w:rsidR="00A614DD" w:rsidRPr="00B43589">
        <w:rPr>
          <w:sz w:val="20"/>
          <w:szCs w:val="20"/>
        </w:rPr>
        <w:t xml:space="preserve"> </w:t>
      </w:r>
      <w:r w:rsidR="007C15D2" w:rsidRPr="00B43589">
        <w:rPr>
          <w:sz w:val="20"/>
          <w:szCs w:val="20"/>
        </w:rPr>
        <w:t>from</w:t>
      </w:r>
      <w:r w:rsidR="00A614DD" w:rsidRPr="00B43589">
        <w:rPr>
          <w:sz w:val="20"/>
          <w:szCs w:val="20"/>
        </w:rPr>
        <w:t xml:space="preserve"> lending their assets</w:t>
      </w:r>
      <w:r w:rsidR="00402CFE" w:rsidRPr="00B43589">
        <w:rPr>
          <w:sz w:val="20"/>
          <w:szCs w:val="20"/>
        </w:rPr>
        <w:t xml:space="preserve">. This </w:t>
      </w:r>
      <w:r w:rsidR="00AA1CE4" w:rsidRPr="00B43589">
        <w:rPr>
          <w:sz w:val="20"/>
          <w:szCs w:val="20"/>
        </w:rPr>
        <w:t>would</w:t>
      </w:r>
      <w:r w:rsidR="00402CFE" w:rsidRPr="00B43589">
        <w:rPr>
          <w:sz w:val="20"/>
          <w:szCs w:val="20"/>
        </w:rPr>
        <w:t xml:space="preserve"> </w:t>
      </w:r>
      <w:r w:rsidR="00A614DD" w:rsidRPr="00B43589">
        <w:rPr>
          <w:sz w:val="20"/>
          <w:szCs w:val="20"/>
        </w:rPr>
        <w:t xml:space="preserve">reduce </w:t>
      </w:r>
      <w:r w:rsidR="00AA1CE4" w:rsidRPr="00B43589">
        <w:rPr>
          <w:sz w:val="20"/>
          <w:szCs w:val="20"/>
        </w:rPr>
        <w:t xml:space="preserve">the </w:t>
      </w:r>
      <w:r w:rsidR="00A614DD" w:rsidRPr="00B43589">
        <w:rPr>
          <w:sz w:val="20"/>
          <w:szCs w:val="20"/>
        </w:rPr>
        <w:t xml:space="preserve">pool of securities available </w:t>
      </w:r>
      <w:r w:rsidR="00EE64E8" w:rsidRPr="00B43589">
        <w:rPr>
          <w:sz w:val="20"/>
          <w:szCs w:val="20"/>
        </w:rPr>
        <w:t xml:space="preserve">to borrow, </w:t>
      </w:r>
      <w:r w:rsidR="00AA1CE4" w:rsidRPr="00B43589">
        <w:rPr>
          <w:sz w:val="20"/>
          <w:szCs w:val="20"/>
        </w:rPr>
        <w:t>leading to less</w:t>
      </w:r>
      <w:r w:rsidR="00EE64E8" w:rsidRPr="00B43589">
        <w:rPr>
          <w:sz w:val="20"/>
          <w:szCs w:val="20"/>
        </w:rPr>
        <w:t xml:space="preserve"> liquidity</w:t>
      </w:r>
      <w:r w:rsidR="00402CFE" w:rsidRPr="00B43589">
        <w:rPr>
          <w:sz w:val="20"/>
          <w:szCs w:val="20"/>
        </w:rPr>
        <w:t xml:space="preserve"> and increased settlement failure</w:t>
      </w:r>
      <w:r w:rsidR="00EE64E8" w:rsidRPr="00B43589">
        <w:rPr>
          <w:sz w:val="20"/>
          <w:szCs w:val="20"/>
        </w:rPr>
        <w:t>.</w:t>
      </w:r>
      <w:r w:rsidR="00A614DD" w:rsidRPr="00B43589">
        <w:rPr>
          <w:sz w:val="20"/>
          <w:szCs w:val="20"/>
        </w:rPr>
        <w:t xml:space="preserve"> </w:t>
      </w:r>
      <w:r w:rsidR="004B2426" w:rsidRPr="00B43589">
        <w:rPr>
          <w:sz w:val="20"/>
          <w:szCs w:val="20"/>
        </w:rPr>
        <w:t>In view of this</w:t>
      </w:r>
      <w:r w:rsidR="00D3056A" w:rsidRPr="00B43589">
        <w:rPr>
          <w:sz w:val="20"/>
          <w:szCs w:val="20"/>
        </w:rPr>
        <w:t>, ISLA would strongly recommend that</w:t>
      </w:r>
      <w:r w:rsidR="003D7C0F" w:rsidRPr="00B43589">
        <w:rPr>
          <w:sz w:val="20"/>
          <w:szCs w:val="20"/>
        </w:rPr>
        <w:t xml:space="preserve"> the entry into force of the settlement discipline regime be decoupled into </w:t>
      </w:r>
      <w:r w:rsidR="0056699F" w:rsidRPr="00B43589">
        <w:rPr>
          <w:sz w:val="20"/>
          <w:szCs w:val="20"/>
        </w:rPr>
        <w:t xml:space="preserve">two </w:t>
      </w:r>
      <w:r w:rsidR="00E84119" w:rsidRPr="00B43589">
        <w:rPr>
          <w:sz w:val="20"/>
          <w:szCs w:val="20"/>
        </w:rPr>
        <w:t>p</w:t>
      </w:r>
      <w:r w:rsidR="005E56DE" w:rsidRPr="00B43589">
        <w:rPr>
          <w:sz w:val="20"/>
          <w:szCs w:val="20"/>
        </w:rPr>
        <w:t>hases</w:t>
      </w:r>
      <w:r w:rsidR="00287098" w:rsidRPr="00B43589">
        <w:rPr>
          <w:sz w:val="20"/>
          <w:szCs w:val="20"/>
        </w:rPr>
        <w:t>:</w:t>
      </w:r>
    </w:p>
    <w:p w14:paraId="0FDDFABC" w14:textId="784CDA89" w:rsidR="0007678F" w:rsidRPr="00B43589" w:rsidRDefault="004B2426" w:rsidP="0096239E">
      <w:pPr>
        <w:spacing w:after="0"/>
        <w:ind w:left="-426" w:right="-188"/>
        <w:rPr>
          <w:sz w:val="20"/>
          <w:szCs w:val="20"/>
        </w:rPr>
      </w:pPr>
      <w:r w:rsidRPr="00B43589">
        <w:rPr>
          <w:sz w:val="20"/>
          <w:szCs w:val="20"/>
        </w:rPr>
        <w:tab/>
      </w:r>
    </w:p>
    <w:p w14:paraId="366189FC" w14:textId="7985A4FB" w:rsidR="00DC3D85" w:rsidRPr="00B43589" w:rsidRDefault="0056699F" w:rsidP="00073A98">
      <w:pPr>
        <w:pStyle w:val="ListParagraph"/>
        <w:numPr>
          <w:ilvl w:val="0"/>
          <w:numId w:val="18"/>
        </w:numPr>
        <w:ind w:left="426" w:hanging="426"/>
        <w:rPr>
          <w:sz w:val="20"/>
          <w:szCs w:val="20"/>
        </w:rPr>
      </w:pPr>
      <w:r w:rsidRPr="00B43589">
        <w:rPr>
          <w:sz w:val="20"/>
          <w:szCs w:val="20"/>
        </w:rPr>
        <w:t xml:space="preserve">Penalties </w:t>
      </w:r>
      <w:r w:rsidR="001F75ED" w:rsidRPr="00B43589">
        <w:rPr>
          <w:sz w:val="20"/>
          <w:szCs w:val="20"/>
        </w:rPr>
        <w:t>to go</w:t>
      </w:r>
      <w:r w:rsidRPr="00B43589">
        <w:rPr>
          <w:sz w:val="20"/>
          <w:szCs w:val="20"/>
        </w:rPr>
        <w:t xml:space="preserve"> live as planned in February 2022 and</w:t>
      </w:r>
      <w:r w:rsidR="001F75ED" w:rsidRPr="00B43589">
        <w:rPr>
          <w:sz w:val="20"/>
          <w:szCs w:val="20"/>
        </w:rPr>
        <w:t>,</w:t>
      </w:r>
      <w:r w:rsidRPr="00B43589">
        <w:rPr>
          <w:sz w:val="20"/>
          <w:szCs w:val="20"/>
        </w:rPr>
        <w:t xml:space="preserve"> </w:t>
      </w:r>
    </w:p>
    <w:p w14:paraId="2FBE5E2F" w14:textId="77777777" w:rsidR="00DC3D85" w:rsidRPr="00B43589" w:rsidRDefault="00E84119" w:rsidP="00073A98">
      <w:pPr>
        <w:pStyle w:val="ListParagraph"/>
        <w:numPr>
          <w:ilvl w:val="0"/>
          <w:numId w:val="18"/>
        </w:numPr>
        <w:spacing w:after="0"/>
        <w:ind w:left="426" w:right="-188" w:hanging="426"/>
        <w:rPr>
          <w:sz w:val="20"/>
          <w:szCs w:val="20"/>
        </w:rPr>
      </w:pPr>
      <w:r w:rsidRPr="00B43589">
        <w:rPr>
          <w:sz w:val="20"/>
          <w:szCs w:val="20"/>
        </w:rPr>
        <w:t>B</w:t>
      </w:r>
      <w:r w:rsidR="0056699F" w:rsidRPr="00B43589">
        <w:rPr>
          <w:sz w:val="20"/>
          <w:szCs w:val="20"/>
        </w:rPr>
        <w:t>uy-in requirements to become effective at a la</w:t>
      </w:r>
      <w:r w:rsidRPr="00B43589">
        <w:rPr>
          <w:sz w:val="20"/>
          <w:szCs w:val="20"/>
        </w:rPr>
        <w:t>t</w:t>
      </w:r>
      <w:r w:rsidR="0056699F" w:rsidRPr="00B43589">
        <w:rPr>
          <w:sz w:val="20"/>
          <w:szCs w:val="20"/>
        </w:rPr>
        <w:t>er date, after policy makers have</w:t>
      </w:r>
      <w:r w:rsidR="007C15D2" w:rsidRPr="00B43589">
        <w:rPr>
          <w:sz w:val="20"/>
          <w:szCs w:val="20"/>
        </w:rPr>
        <w:t>:</w:t>
      </w:r>
      <w:r w:rsidR="0056699F" w:rsidRPr="00B43589">
        <w:rPr>
          <w:sz w:val="20"/>
          <w:szCs w:val="20"/>
        </w:rPr>
        <w:t xml:space="preserve"> </w:t>
      </w:r>
    </w:p>
    <w:p w14:paraId="3E40CA4F" w14:textId="19DD4A88" w:rsidR="00C12E21" w:rsidRPr="00B43589" w:rsidRDefault="0056699F" w:rsidP="00073A98">
      <w:pPr>
        <w:pStyle w:val="ListParagraph"/>
        <w:numPr>
          <w:ilvl w:val="1"/>
          <w:numId w:val="18"/>
        </w:numPr>
        <w:spacing w:after="0"/>
        <w:ind w:left="567" w:right="-188" w:hanging="426"/>
        <w:rPr>
          <w:sz w:val="20"/>
          <w:szCs w:val="20"/>
        </w:rPr>
      </w:pPr>
      <w:r w:rsidRPr="00B43589">
        <w:rPr>
          <w:sz w:val="20"/>
          <w:szCs w:val="20"/>
        </w:rPr>
        <w:t>conducted a</w:t>
      </w:r>
      <w:r w:rsidR="00FD6571" w:rsidRPr="00B43589">
        <w:rPr>
          <w:sz w:val="20"/>
          <w:szCs w:val="20"/>
        </w:rPr>
        <w:t xml:space="preserve">n in-depth </w:t>
      </w:r>
      <w:r w:rsidR="00EE64E8" w:rsidRPr="00B43589">
        <w:rPr>
          <w:sz w:val="20"/>
          <w:szCs w:val="20"/>
        </w:rPr>
        <w:t>assessment of the penalty mechanism to underst</w:t>
      </w:r>
      <w:r w:rsidR="00EC493A" w:rsidRPr="00B43589">
        <w:rPr>
          <w:sz w:val="20"/>
          <w:szCs w:val="20"/>
        </w:rPr>
        <w:t xml:space="preserve">and if </w:t>
      </w:r>
      <w:r w:rsidR="004776E1" w:rsidRPr="00B43589">
        <w:rPr>
          <w:sz w:val="20"/>
          <w:szCs w:val="20"/>
        </w:rPr>
        <w:t>it</w:t>
      </w:r>
      <w:r w:rsidR="00EC493A" w:rsidRPr="00B43589">
        <w:rPr>
          <w:sz w:val="20"/>
          <w:szCs w:val="20"/>
        </w:rPr>
        <w:t xml:space="preserve"> alone can achieve </w:t>
      </w:r>
      <w:r w:rsidR="00EC493A" w:rsidRPr="00B43589">
        <w:rPr>
          <w:sz w:val="20"/>
          <w:szCs w:val="20"/>
        </w:rPr>
        <w:t>‘</w:t>
      </w:r>
      <w:r w:rsidR="00EC493A" w:rsidRPr="00B43589">
        <w:rPr>
          <w:sz w:val="20"/>
          <w:szCs w:val="20"/>
        </w:rPr>
        <w:t>target</w:t>
      </w:r>
      <w:r w:rsidR="00EC493A" w:rsidRPr="00B43589">
        <w:rPr>
          <w:sz w:val="20"/>
          <w:szCs w:val="20"/>
        </w:rPr>
        <w:t>’</w:t>
      </w:r>
      <w:r w:rsidR="00EC493A" w:rsidRPr="00B43589">
        <w:rPr>
          <w:sz w:val="20"/>
          <w:szCs w:val="20"/>
        </w:rPr>
        <w:t xml:space="preserve"> efficiency rate</w:t>
      </w:r>
      <w:r w:rsidR="004776E1" w:rsidRPr="00B43589">
        <w:rPr>
          <w:sz w:val="20"/>
          <w:szCs w:val="20"/>
        </w:rPr>
        <w:t>s</w:t>
      </w:r>
      <w:r w:rsidR="001F75ED" w:rsidRPr="00B43589">
        <w:rPr>
          <w:sz w:val="20"/>
          <w:szCs w:val="20"/>
        </w:rPr>
        <w:t xml:space="preserve"> and grant ESMA the author</w:t>
      </w:r>
      <w:r w:rsidR="00292877" w:rsidRPr="00B43589">
        <w:rPr>
          <w:sz w:val="20"/>
          <w:szCs w:val="20"/>
        </w:rPr>
        <w:t>ity to recalibrate penalty rates where no significant improvement is shown</w:t>
      </w:r>
      <w:r w:rsidR="007C15D2" w:rsidRPr="00B43589">
        <w:rPr>
          <w:sz w:val="20"/>
          <w:szCs w:val="20"/>
        </w:rPr>
        <w:t>; and</w:t>
      </w:r>
      <w:r w:rsidR="00EC493A" w:rsidRPr="00B43589">
        <w:rPr>
          <w:sz w:val="20"/>
          <w:szCs w:val="20"/>
        </w:rPr>
        <w:t xml:space="preserve"> </w:t>
      </w:r>
    </w:p>
    <w:p w14:paraId="547022D5" w14:textId="461B7049" w:rsidR="00150834" w:rsidRPr="00B43589" w:rsidRDefault="00EC493A" w:rsidP="00073A98">
      <w:pPr>
        <w:pStyle w:val="ListParagraph"/>
        <w:numPr>
          <w:ilvl w:val="1"/>
          <w:numId w:val="18"/>
        </w:numPr>
        <w:spacing w:after="0"/>
        <w:ind w:left="567" w:right="-188" w:hanging="426"/>
        <w:rPr>
          <w:sz w:val="20"/>
          <w:szCs w:val="20"/>
        </w:rPr>
      </w:pPr>
      <w:r w:rsidRPr="00B43589">
        <w:rPr>
          <w:sz w:val="20"/>
          <w:szCs w:val="20"/>
        </w:rPr>
        <w:t>clarif</w:t>
      </w:r>
      <w:r w:rsidR="00292877" w:rsidRPr="00B43589">
        <w:rPr>
          <w:sz w:val="20"/>
          <w:szCs w:val="20"/>
        </w:rPr>
        <w:t>y</w:t>
      </w:r>
      <w:r w:rsidRPr="00B43589">
        <w:rPr>
          <w:sz w:val="20"/>
          <w:szCs w:val="20"/>
        </w:rPr>
        <w:t xml:space="preserve"> </w:t>
      </w:r>
      <w:r w:rsidR="00307913" w:rsidRPr="00B43589">
        <w:rPr>
          <w:sz w:val="20"/>
          <w:szCs w:val="20"/>
        </w:rPr>
        <w:t>the scope of instrument types captured by the buy-in regime to ensure its effectiveness and</w:t>
      </w:r>
      <w:r w:rsidR="007C15D2" w:rsidRPr="00B43589">
        <w:rPr>
          <w:sz w:val="20"/>
          <w:szCs w:val="20"/>
        </w:rPr>
        <w:t>,</w:t>
      </w:r>
      <w:r w:rsidR="00307913" w:rsidRPr="00B43589">
        <w:rPr>
          <w:sz w:val="20"/>
          <w:szCs w:val="20"/>
        </w:rPr>
        <w:t xml:space="preserve"> after further consultation with the industry</w:t>
      </w:r>
      <w:r w:rsidR="00CD23E8" w:rsidRPr="00B43589">
        <w:rPr>
          <w:sz w:val="20"/>
          <w:szCs w:val="20"/>
        </w:rPr>
        <w:t>, res</w:t>
      </w:r>
      <w:r w:rsidR="00150834" w:rsidRPr="00B43589">
        <w:rPr>
          <w:sz w:val="20"/>
          <w:szCs w:val="20"/>
        </w:rPr>
        <w:t xml:space="preserve">olve any ambiguity in the current regulation. </w:t>
      </w:r>
    </w:p>
    <w:p w14:paraId="17ADC4E2" w14:textId="0066C92E" w:rsidR="00150834" w:rsidRPr="00B43589" w:rsidRDefault="00150834" w:rsidP="00073A98">
      <w:pPr>
        <w:pStyle w:val="ListParagraph"/>
        <w:spacing w:after="0"/>
        <w:ind w:left="0" w:right="-188"/>
        <w:rPr>
          <w:sz w:val="20"/>
          <w:szCs w:val="20"/>
        </w:rPr>
      </w:pPr>
    </w:p>
    <w:p w14:paraId="1CD4E48F" w14:textId="6117801A" w:rsidR="00F132ED" w:rsidRPr="00B43589" w:rsidRDefault="00083D44" w:rsidP="0096239E">
      <w:pPr>
        <w:pStyle w:val="ListParagraph"/>
        <w:spacing w:after="0"/>
        <w:ind w:left="-426" w:right="-188"/>
        <w:rPr>
          <w:sz w:val="20"/>
          <w:szCs w:val="20"/>
        </w:rPr>
      </w:pPr>
      <w:r w:rsidRPr="00B43589">
        <w:rPr>
          <w:sz w:val="20"/>
          <w:szCs w:val="20"/>
        </w:rPr>
        <w:t>Further c</w:t>
      </w:r>
      <w:r w:rsidR="00CC39DD" w:rsidRPr="00B43589">
        <w:rPr>
          <w:sz w:val="20"/>
          <w:szCs w:val="20"/>
        </w:rPr>
        <w:t>oncern</w:t>
      </w:r>
      <w:r w:rsidR="008E2B95" w:rsidRPr="00B43589">
        <w:rPr>
          <w:sz w:val="20"/>
          <w:szCs w:val="20"/>
        </w:rPr>
        <w:t>s</w:t>
      </w:r>
      <w:r w:rsidRPr="00B43589">
        <w:rPr>
          <w:sz w:val="20"/>
          <w:szCs w:val="20"/>
        </w:rPr>
        <w:t>,</w:t>
      </w:r>
      <w:r w:rsidR="00CC39DD" w:rsidRPr="00B43589">
        <w:rPr>
          <w:sz w:val="20"/>
          <w:szCs w:val="20"/>
        </w:rPr>
        <w:t xml:space="preserve"> regarding the mandatory buy-in</w:t>
      </w:r>
      <w:r w:rsidRPr="00B43589">
        <w:rPr>
          <w:sz w:val="20"/>
          <w:szCs w:val="20"/>
        </w:rPr>
        <w:t>,</w:t>
      </w:r>
      <w:r w:rsidR="00CC39DD" w:rsidRPr="00B43589">
        <w:rPr>
          <w:sz w:val="20"/>
          <w:szCs w:val="20"/>
        </w:rPr>
        <w:t xml:space="preserve"> </w:t>
      </w:r>
      <w:r w:rsidR="00D5543B" w:rsidRPr="00B43589">
        <w:rPr>
          <w:sz w:val="20"/>
          <w:szCs w:val="20"/>
        </w:rPr>
        <w:t>incorporate</w:t>
      </w:r>
      <w:r w:rsidR="000A5921" w:rsidRPr="00B43589">
        <w:rPr>
          <w:sz w:val="20"/>
          <w:szCs w:val="20"/>
        </w:rPr>
        <w:t xml:space="preserve"> </w:t>
      </w:r>
      <w:r w:rsidR="00212327" w:rsidRPr="00B43589">
        <w:rPr>
          <w:sz w:val="20"/>
          <w:szCs w:val="20"/>
        </w:rPr>
        <w:t>the timing</w:t>
      </w:r>
      <w:r w:rsidR="007C15D2" w:rsidRPr="00B43589">
        <w:rPr>
          <w:sz w:val="20"/>
          <w:szCs w:val="20"/>
        </w:rPr>
        <w:t xml:space="preserve"> </w:t>
      </w:r>
      <w:r w:rsidR="00B96CFA" w:rsidRPr="00B43589">
        <w:rPr>
          <w:sz w:val="20"/>
          <w:szCs w:val="20"/>
        </w:rPr>
        <w:t xml:space="preserve">and viability </w:t>
      </w:r>
      <w:r w:rsidR="00D5543B" w:rsidRPr="00B43589">
        <w:rPr>
          <w:sz w:val="20"/>
          <w:szCs w:val="20"/>
        </w:rPr>
        <w:t xml:space="preserve">of </w:t>
      </w:r>
      <w:r w:rsidRPr="00B43589">
        <w:rPr>
          <w:sz w:val="20"/>
          <w:szCs w:val="20"/>
        </w:rPr>
        <w:t xml:space="preserve">its </w:t>
      </w:r>
      <w:r w:rsidR="007C15D2" w:rsidRPr="00B43589">
        <w:rPr>
          <w:sz w:val="20"/>
          <w:szCs w:val="20"/>
        </w:rPr>
        <w:t>application.</w:t>
      </w:r>
      <w:r w:rsidR="00212327" w:rsidRPr="00B43589">
        <w:rPr>
          <w:sz w:val="20"/>
          <w:szCs w:val="20"/>
        </w:rPr>
        <w:t xml:space="preserve"> </w:t>
      </w:r>
      <w:r w:rsidR="00F742D9" w:rsidRPr="00B43589">
        <w:rPr>
          <w:sz w:val="20"/>
          <w:szCs w:val="20"/>
        </w:rPr>
        <w:t>Implementing</w:t>
      </w:r>
      <w:r w:rsidR="00BD39A4" w:rsidRPr="00B43589">
        <w:rPr>
          <w:sz w:val="20"/>
          <w:szCs w:val="20"/>
        </w:rPr>
        <w:t xml:space="preserve"> Article 25</w:t>
      </w:r>
      <w:r w:rsidR="006F2CBD" w:rsidRPr="00B43589">
        <w:rPr>
          <w:sz w:val="20"/>
          <w:szCs w:val="20"/>
        </w:rPr>
        <w:t xml:space="preserve"> of the RTS</w:t>
      </w:r>
      <w:r w:rsidR="00F742D9" w:rsidRPr="00B43589">
        <w:rPr>
          <w:sz w:val="20"/>
          <w:szCs w:val="20"/>
        </w:rPr>
        <w:t xml:space="preserve"> </w:t>
      </w:r>
      <w:r w:rsidR="00E9633F" w:rsidRPr="00B43589">
        <w:rPr>
          <w:sz w:val="20"/>
          <w:szCs w:val="20"/>
        </w:rPr>
        <w:t xml:space="preserve">will </w:t>
      </w:r>
      <w:r w:rsidR="00F742D9" w:rsidRPr="00B43589">
        <w:rPr>
          <w:sz w:val="20"/>
          <w:szCs w:val="20"/>
        </w:rPr>
        <w:t>require firms to expend significant legal and operational resources</w:t>
      </w:r>
      <w:r w:rsidR="00CF7A20" w:rsidRPr="00B43589">
        <w:rPr>
          <w:sz w:val="20"/>
          <w:szCs w:val="20"/>
        </w:rPr>
        <w:t>,</w:t>
      </w:r>
      <w:r w:rsidR="00F742D9" w:rsidRPr="00B43589">
        <w:rPr>
          <w:sz w:val="20"/>
          <w:szCs w:val="20"/>
        </w:rPr>
        <w:t xml:space="preserve"> in order to </w:t>
      </w:r>
      <w:r w:rsidR="00BD39A4" w:rsidRPr="00B43589">
        <w:rPr>
          <w:sz w:val="20"/>
          <w:szCs w:val="20"/>
        </w:rPr>
        <w:t>establish contractual arrangements</w:t>
      </w:r>
      <w:r w:rsidR="00D53011" w:rsidRPr="00B43589">
        <w:rPr>
          <w:sz w:val="20"/>
          <w:szCs w:val="20"/>
        </w:rPr>
        <w:t xml:space="preserve"> </w:t>
      </w:r>
      <w:r w:rsidR="00F742D9" w:rsidRPr="00B43589">
        <w:rPr>
          <w:sz w:val="20"/>
          <w:szCs w:val="20"/>
        </w:rPr>
        <w:t xml:space="preserve">with </w:t>
      </w:r>
      <w:r w:rsidR="005E426E" w:rsidRPr="00B43589">
        <w:rPr>
          <w:sz w:val="20"/>
          <w:szCs w:val="20"/>
        </w:rPr>
        <w:t>clients</w:t>
      </w:r>
      <w:r w:rsidR="00F742D9" w:rsidRPr="00B43589">
        <w:rPr>
          <w:sz w:val="20"/>
          <w:szCs w:val="20"/>
        </w:rPr>
        <w:t xml:space="preserve"> </w:t>
      </w:r>
      <w:r w:rsidR="00CF7A20" w:rsidRPr="00B43589">
        <w:rPr>
          <w:sz w:val="20"/>
          <w:szCs w:val="20"/>
        </w:rPr>
        <w:t>and counterparts</w:t>
      </w:r>
      <w:r w:rsidR="00F950E5" w:rsidRPr="00B43589">
        <w:rPr>
          <w:sz w:val="20"/>
          <w:szCs w:val="20"/>
        </w:rPr>
        <w:t>.</w:t>
      </w:r>
      <w:r w:rsidR="00F742D9" w:rsidRPr="00B43589">
        <w:rPr>
          <w:sz w:val="20"/>
          <w:szCs w:val="20"/>
        </w:rPr>
        <w:t xml:space="preserve"> </w:t>
      </w:r>
      <w:r w:rsidR="00F35560" w:rsidRPr="00B43589">
        <w:rPr>
          <w:sz w:val="20"/>
          <w:szCs w:val="20"/>
        </w:rPr>
        <w:t>This represent</w:t>
      </w:r>
      <w:r w:rsidR="000F554D" w:rsidRPr="00B43589">
        <w:rPr>
          <w:sz w:val="20"/>
          <w:szCs w:val="20"/>
        </w:rPr>
        <w:t>s</w:t>
      </w:r>
      <w:r w:rsidR="00F35560" w:rsidRPr="00B43589">
        <w:rPr>
          <w:sz w:val="20"/>
          <w:szCs w:val="20"/>
        </w:rPr>
        <w:t xml:space="preserve"> </w:t>
      </w:r>
      <w:r w:rsidR="00F742D9" w:rsidRPr="00B43589">
        <w:rPr>
          <w:sz w:val="20"/>
          <w:szCs w:val="20"/>
        </w:rPr>
        <w:t>a significant undertaking</w:t>
      </w:r>
      <w:r w:rsidR="000F554D" w:rsidRPr="00B43589">
        <w:rPr>
          <w:sz w:val="20"/>
          <w:szCs w:val="20"/>
        </w:rPr>
        <w:t xml:space="preserve"> whilst </w:t>
      </w:r>
      <w:r w:rsidR="00F742D9" w:rsidRPr="00B43589">
        <w:rPr>
          <w:sz w:val="20"/>
          <w:szCs w:val="20"/>
        </w:rPr>
        <w:t>provid</w:t>
      </w:r>
      <w:r w:rsidR="000F554D" w:rsidRPr="00B43589">
        <w:rPr>
          <w:sz w:val="20"/>
          <w:szCs w:val="20"/>
        </w:rPr>
        <w:t xml:space="preserve">ing </w:t>
      </w:r>
      <w:r w:rsidR="00F742D9" w:rsidRPr="00B43589">
        <w:rPr>
          <w:sz w:val="20"/>
          <w:szCs w:val="20"/>
        </w:rPr>
        <w:t>little practical benefit</w:t>
      </w:r>
      <w:r w:rsidR="00C07909" w:rsidRPr="00B43589">
        <w:rPr>
          <w:sz w:val="20"/>
          <w:szCs w:val="20"/>
        </w:rPr>
        <w:t xml:space="preserve">, considering </w:t>
      </w:r>
      <w:r w:rsidR="00F132ED" w:rsidRPr="00B43589">
        <w:rPr>
          <w:sz w:val="20"/>
          <w:szCs w:val="20"/>
        </w:rPr>
        <w:t xml:space="preserve">the securities financing </w:t>
      </w:r>
      <w:r w:rsidR="0065425B" w:rsidRPr="00B43589">
        <w:rPr>
          <w:sz w:val="20"/>
          <w:szCs w:val="20"/>
        </w:rPr>
        <w:t>master agreement</w:t>
      </w:r>
      <w:r w:rsidR="009A5A81">
        <w:rPr>
          <w:sz w:val="20"/>
          <w:szCs w:val="20"/>
        </w:rPr>
        <w:t xml:space="preserve">s </w:t>
      </w:r>
      <w:r w:rsidR="00D347FA">
        <w:rPr>
          <w:sz w:val="20"/>
          <w:szCs w:val="20"/>
        </w:rPr>
        <w:t xml:space="preserve">(GMSLA &amp; GMRA) </w:t>
      </w:r>
      <w:r w:rsidR="00F742D9" w:rsidRPr="00B43589">
        <w:rPr>
          <w:sz w:val="20"/>
          <w:szCs w:val="20"/>
        </w:rPr>
        <w:t>contain</w:t>
      </w:r>
      <w:r w:rsidR="00F132ED" w:rsidRPr="00B43589">
        <w:rPr>
          <w:sz w:val="20"/>
          <w:szCs w:val="20"/>
        </w:rPr>
        <w:t xml:space="preserve"> contractual remedies</w:t>
      </w:r>
      <w:r w:rsidR="009E1E4C" w:rsidRPr="00B43589">
        <w:rPr>
          <w:sz w:val="20"/>
          <w:szCs w:val="20"/>
        </w:rPr>
        <w:t xml:space="preserve"> </w:t>
      </w:r>
      <w:r w:rsidR="00F742D9" w:rsidRPr="00B43589">
        <w:rPr>
          <w:sz w:val="20"/>
          <w:szCs w:val="20"/>
        </w:rPr>
        <w:t>addressing settlement failures</w:t>
      </w:r>
      <w:r w:rsidR="00C07909" w:rsidRPr="00B43589">
        <w:rPr>
          <w:sz w:val="20"/>
          <w:szCs w:val="20"/>
        </w:rPr>
        <w:t xml:space="preserve">. </w:t>
      </w:r>
      <w:r w:rsidR="00001FCD" w:rsidRPr="00B43589">
        <w:rPr>
          <w:sz w:val="20"/>
          <w:szCs w:val="20"/>
        </w:rPr>
        <w:t xml:space="preserve">These remedies </w:t>
      </w:r>
      <w:r w:rsidR="006F2CBD" w:rsidRPr="00B43589">
        <w:rPr>
          <w:sz w:val="20"/>
          <w:szCs w:val="20"/>
        </w:rPr>
        <w:t xml:space="preserve">have been an effective means of governance </w:t>
      </w:r>
      <w:r w:rsidR="00001FCD" w:rsidRPr="00B43589">
        <w:rPr>
          <w:sz w:val="20"/>
          <w:szCs w:val="20"/>
        </w:rPr>
        <w:t xml:space="preserve">for many </w:t>
      </w:r>
      <w:r w:rsidR="006F2CBD" w:rsidRPr="00B43589">
        <w:rPr>
          <w:sz w:val="20"/>
          <w:szCs w:val="20"/>
        </w:rPr>
        <w:t>years</w:t>
      </w:r>
      <w:r w:rsidR="0019573C" w:rsidRPr="00B43589">
        <w:rPr>
          <w:sz w:val="20"/>
          <w:szCs w:val="20"/>
        </w:rPr>
        <w:t xml:space="preserve"> </w:t>
      </w:r>
      <w:r w:rsidR="008C34DE" w:rsidRPr="00B43589">
        <w:rPr>
          <w:sz w:val="20"/>
          <w:szCs w:val="20"/>
        </w:rPr>
        <w:t xml:space="preserve">and members </w:t>
      </w:r>
      <w:r w:rsidR="00F132ED" w:rsidRPr="00B43589">
        <w:rPr>
          <w:sz w:val="20"/>
          <w:szCs w:val="20"/>
        </w:rPr>
        <w:t>believe</w:t>
      </w:r>
      <w:r w:rsidR="007D1378" w:rsidRPr="00B43589">
        <w:rPr>
          <w:sz w:val="20"/>
          <w:szCs w:val="20"/>
        </w:rPr>
        <w:t xml:space="preserve"> the</w:t>
      </w:r>
      <w:r w:rsidR="001236A9">
        <w:rPr>
          <w:sz w:val="20"/>
          <w:szCs w:val="20"/>
        </w:rPr>
        <w:t>y</w:t>
      </w:r>
      <w:r w:rsidR="00F85D4B">
        <w:rPr>
          <w:sz w:val="20"/>
          <w:szCs w:val="20"/>
        </w:rPr>
        <w:t xml:space="preserve"> </w:t>
      </w:r>
      <w:r w:rsidR="00F132ED" w:rsidRPr="00B43589">
        <w:rPr>
          <w:sz w:val="20"/>
          <w:szCs w:val="20"/>
        </w:rPr>
        <w:t>match the objectives of the buy-in requirements under CSDR.</w:t>
      </w:r>
      <w:r w:rsidR="0019573C" w:rsidRPr="00B43589">
        <w:rPr>
          <w:sz w:val="20"/>
          <w:szCs w:val="20"/>
        </w:rPr>
        <w:t xml:space="preserve"> Any amendments to the current </w:t>
      </w:r>
      <w:r w:rsidR="007D1378" w:rsidRPr="00B43589">
        <w:rPr>
          <w:sz w:val="20"/>
          <w:szCs w:val="20"/>
        </w:rPr>
        <w:t xml:space="preserve">documentation will </w:t>
      </w:r>
      <w:r w:rsidR="0019573C" w:rsidRPr="00B43589">
        <w:rPr>
          <w:sz w:val="20"/>
          <w:szCs w:val="20"/>
        </w:rPr>
        <w:t>r</w:t>
      </w:r>
      <w:r w:rsidR="003D75F9" w:rsidRPr="00B43589">
        <w:rPr>
          <w:sz w:val="20"/>
          <w:szCs w:val="20"/>
        </w:rPr>
        <w:t>esult in a global repapering exercise</w:t>
      </w:r>
      <w:r w:rsidR="00FE192C" w:rsidRPr="00B43589">
        <w:rPr>
          <w:sz w:val="20"/>
          <w:szCs w:val="20"/>
        </w:rPr>
        <w:t xml:space="preserve">, which </w:t>
      </w:r>
      <w:r w:rsidR="007D1378" w:rsidRPr="00B43589">
        <w:rPr>
          <w:sz w:val="20"/>
          <w:szCs w:val="20"/>
        </w:rPr>
        <w:t xml:space="preserve">will </w:t>
      </w:r>
      <w:r w:rsidR="00C35BF8" w:rsidRPr="00B43589">
        <w:rPr>
          <w:sz w:val="20"/>
          <w:szCs w:val="20"/>
        </w:rPr>
        <w:t>take considerable time</w:t>
      </w:r>
      <w:r w:rsidR="001139EF" w:rsidRPr="00B43589">
        <w:rPr>
          <w:sz w:val="20"/>
          <w:szCs w:val="20"/>
        </w:rPr>
        <w:t xml:space="preserve">. </w:t>
      </w:r>
      <w:r w:rsidR="00F742D9" w:rsidRPr="00B43589">
        <w:rPr>
          <w:sz w:val="20"/>
          <w:szCs w:val="20"/>
        </w:rPr>
        <w:t xml:space="preserve"> </w:t>
      </w:r>
    </w:p>
    <w:p w14:paraId="44974B24" w14:textId="1AF56C11" w:rsidR="00F43DDB" w:rsidRPr="00B43589" w:rsidRDefault="00F43DDB" w:rsidP="0096239E">
      <w:pPr>
        <w:pStyle w:val="ListParagraph"/>
        <w:spacing w:after="0"/>
        <w:ind w:left="-426" w:right="-188"/>
        <w:rPr>
          <w:sz w:val="20"/>
          <w:szCs w:val="20"/>
        </w:rPr>
      </w:pPr>
      <w:r w:rsidRPr="00B43589">
        <w:rPr>
          <w:sz w:val="20"/>
          <w:szCs w:val="20"/>
        </w:rPr>
        <w:lastRenderedPageBreak/>
        <w:t xml:space="preserve">ISLA </w:t>
      </w:r>
      <w:r w:rsidR="00FC6DE4" w:rsidRPr="00B43589">
        <w:rPr>
          <w:sz w:val="20"/>
          <w:szCs w:val="20"/>
        </w:rPr>
        <w:t xml:space="preserve">would welcome a speedy </w:t>
      </w:r>
      <w:r w:rsidRPr="00B43589">
        <w:rPr>
          <w:sz w:val="20"/>
          <w:szCs w:val="20"/>
        </w:rPr>
        <w:t>deliberat</w:t>
      </w:r>
      <w:r w:rsidR="00FC6DE4" w:rsidRPr="00B43589">
        <w:rPr>
          <w:sz w:val="20"/>
          <w:szCs w:val="20"/>
        </w:rPr>
        <w:t xml:space="preserve">ion </w:t>
      </w:r>
      <w:r w:rsidR="0087776C" w:rsidRPr="00B43589">
        <w:rPr>
          <w:sz w:val="20"/>
          <w:szCs w:val="20"/>
        </w:rPr>
        <w:t xml:space="preserve">and </w:t>
      </w:r>
      <w:r w:rsidR="00F72268" w:rsidRPr="00B43589">
        <w:rPr>
          <w:sz w:val="20"/>
          <w:szCs w:val="20"/>
        </w:rPr>
        <w:t xml:space="preserve">clear </w:t>
      </w:r>
      <w:r w:rsidR="0087776C" w:rsidRPr="00B43589">
        <w:rPr>
          <w:sz w:val="20"/>
          <w:szCs w:val="20"/>
        </w:rPr>
        <w:t xml:space="preserve">targeted </w:t>
      </w:r>
      <w:r w:rsidR="00EB6417" w:rsidRPr="00B43589">
        <w:rPr>
          <w:sz w:val="20"/>
          <w:szCs w:val="20"/>
        </w:rPr>
        <w:t xml:space="preserve">regulatory </w:t>
      </w:r>
      <w:r w:rsidR="0049593C" w:rsidRPr="00B43589">
        <w:rPr>
          <w:sz w:val="20"/>
          <w:szCs w:val="20"/>
        </w:rPr>
        <w:t xml:space="preserve">amendments </w:t>
      </w:r>
      <w:r w:rsidR="0081127C" w:rsidRPr="00B43589">
        <w:rPr>
          <w:sz w:val="20"/>
          <w:szCs w:val="20"/>
        </w:rPr>
        <w:t xml:space="preserve">that </w:t>
      </w:r>
      <w:r w:rsidR="00F72268" w:rsidRPr="00B43589">
        <w:rPr>
          <w:sz w:val="20"/>
          <w:szCs w:val="20"/>
        </w:rPr>
        <w:t xml:space="preserve">provide </w:t>
      </w:r>
      <w:r w:rsidR="0049593C" w:rsidRPr="00B43589">
        <w:rPr>
          <w:sz w:val="20"/>
          <w:szCs w:val="20"/>
        </w:rPr>
        <w:t xml:space="preserve">sufficient </w:t>
      </w:r>
      <w:r w:rsidR="00DA1A63" w:rsidRPr="00B43589">
        <w:rPr>
          <w:sz w:val="20"/>
          <w:szCs w:val="20"/>
        </w:rPr>
        <w:t xml:space="preserve">and adequate </w:t>
      </w:r>
      <w:r w:rsidR="0049593C" w:rsidRPr="00B43589">
        <w:rPr>
          <w:sz w:val="20"/>
          <w:szCs w:val="20"/>
        </w:rPr>
        <w:t xml:space="preserve">time for industry </w:t>
      </w:r>
      <w:r w:rsidR="00F72268" w:rsidRPr="00B43589">
        <w:rPr>
          <w:sz w:val="20"/>
          <w:szCs w:val="20"/>
        </w:rPr>
        <w:t>adopt</w:t>
      </w:r>
      <w:r w:rsidR="00DA1A63" w:rsidRPr="00B43589">
        <w:rPr>
          <w:sz w:val="20"/>
          <w:szCs w:val="20"/>
        </w:rPr>
        <w:t>ion</w:t>
      </w:r>
      <w:r w:rsidR="0049593C" w:rsidRPr="00B43589">
        <w:rPr>
          <w:sz w:val="20"/>
          <w:szCs w:val="20"/>
        </w:rPr>
        <w:t xml:space="preserve">. </w:t>
      </w:r>
    </w:p>
    <w:p w14:paraId="49E5249C" w14:textId="76BA53C1" w:rsidR="0049593C" w:rsidRPr="00B43589" w:rsidRDefault="0049593C" w:rsidP="0096239E">
      <w:pPr>
        <w:pStyle w:val="ListParagraph"/>
        <w:spacing w:after="0"/>
        <w:ind w:left="-426" w:right="-188"/>
        <w:rPr>
          <w:sz w:val="20"/>
          <w:szCs w:val="20"/>
        </w:rPr>
      </w:pPr>
    </w:p>
    <w:p w14:paraId="652C0035" w14:textId="2F82814F" w:rsidR="0049593C" w:rsidRPr="00B43589" w:rsidRDefault="0049593C" w:rsidP="0096239E">
      <w:pPr>
        <w:pStyle w:val="ListParagraph"/>
        <w:spacing w:after="0"/>
        <w:ind w:left="-426" w:right="-188"/>
        <w:rPr>
          <w:sz w:val="20"/>
          <w:szCs w:val="20"/>
        </w:rPr>
      </w:pPr>
      <w:r w:rsidRPr="00B43589">
        <w:rPr>
          <w:sz w:val="20"/>
          <w:szCs w:val="20"/>
        </w:rPr>
        <w:t>ISLA have provided</w:t>
      </w:r>
      <w:r w:rsidR="00660AEA" w:rsidRPr="00B43589">
        <w:rPr>
          <w:sz w:val="20"/>
          <w:szCs w:val="20"/>
        </w:rPr>
        <w:t>,</w:t>
      </w:r>
      <w:r w:rsidRPr="00B43589">
        <w:rPr>
          <w:sz w:val="20"/>
          <w:szCs w:val="20"/>
        </w:rPr>
        <w:t xml:space="preserve"> as part of </w:t>
      </w:r>
      <w:r w:rsidR="00660AEA" w:rsidRPr="00B43589">
        <w:rPr>
          <w:sz w:val="20"/>
          <w:szCs w:val="20"/>
        </w:rPr>
        <w:t xml:space="preserve">this </w:t>
      </w:r>
      <w:r w:rsidRPr="00B43589">
        <w:rPr>
          <w:sz w:val="20"/>
          <w:szCs w:val="20"/>
        </w:rPr>
        <w:t>consultation response</w:t>
      </w:r>
      <w:r w:rsidR="00660AEA" w:rsidRPr="00B43589">
        <w:rPr>
          <w:sz w:val="20"/>
          <w:szCs w:val="20"/>
        </w:rPr>
        <w:t>,</w:t>
      </w:r>
      <w:r w:rsidRPr="00B43589">
        <w:rPr>
          <w:sz w:val="20"/>
          <w:szCs w:val="20"/>
        </w:rPr>
        <w:t xml:space="preserve"> an in</w:t>
      </w:r>
      <w:r w:rsidR="00D43C28" w:rsidRPr="00B43589">
        <w:rPr>
          <w:sz w:val="20"/>
          <w:szCs w:val="20"/>
        </w:rPr>
        <w:t>-</w:t>
      </w:r>
      <w:r w:rsidRPr="00B43589">
        <w:rPr>
          <w:sz w:val="20"/>
          <w:szCs w:val="20"/>
        </w:rPr>
        <w:t xml:space="preserve">depth overview of the impacts on liquidity </w:t>
      </w:r>
      <w:r w:rsidR="006C61AE" w:rsidRPr="00B43589">
        <w:rPr>
          <w:sz w:val="20"/>
          <w:szCs w:val="20"/>
        </w:rPr>
        <w:t>of the mandatory buy-in regime</w:t>
      </w:r>
      <w:r w:rsidR="00CE0FFC" w:rsidRPr="00B43589">
        <w:rPr>
          <w:sz w:val="20"/>
          <w:szCs w:val="20"/>
        </w:rPr>
        <w:t xml:space="preserve">. We also include </w:t>
      </w:r>
      <w:r w:rsidR="009B0F06" w:rsidRPr="00B43589">
        <w:rPr>
          <w:sz w:val="20"/>
          <w:szCs w:val="20"/>
        </w:rPr>
        <w:t xml:space="preserve">an </w:t>
      </w:r>
      <w:r w:rsidR="00F028AB" w:rsidRPr="00B43589">
        <w:rPr>
          <w:sz w:val="20"/>
          <w:szCs w:val="20"/>
        </w:rPr>
        <w:t>outline</w:t>
      </w:r>
      <w:r w:rsidR="009B0F06" w:rsidRPr="00B43589">
        <w:rPr>
          <w:sz w:val="20"/>
          <w:szCs w:val="20"/>
        </w:rPr>
        <w:t xml:space="preserve"> of </w:t>
      </w:r>
      <w:r w:rsidR="00CE0FFC" w:rsidRPr="00B43589">
        <w:rPr>
          <w:sz w:val="20"/>
          <w:szCs w:val="20"/>
        </w:rPr>
        <w:t xml:space="preserve">perceived </w:t>
      </w:r>
      <w:r w:rsidR="009B0F06" w:rsidRPr="00B43589">
        <w:rPr>
          <w:sz w:val="20"/>
          <w:szCs w:val="20"/>
        </w:rPr>
        <w:t xml:space="preserve">negative </w:t>
      </w:r>
      <w:r w:rsidR="008F6E65" w:rsidRPr="00B43589">
        <w:rPr>
          <w:sz w:val="20"/>
          <w:szCs w:val="20"/>
        </w:rPr>
        <w:t>market impacts</w:t>
      </w:r>
      <w:r w:rsidR="00FA4867" w:rsidRPr="00B43589">
        <w:rPr>
          <w:sz w:val="20"/>
          <w:szCs w:val="20"/>
        </w:rPr>
        <w:t>,</w:t>
      </w:r>
      <w:r w:rsidR="00F028AB" w:rsidRPr="00B43589">
        <w:rPr>
          <w:sz w:val="20"/>
          <w:szCs w:val="20"/>
        </w:rPr>
        <w:t xml:space="preserve"> had the </w:t>
      </w:r>
      <w:r w:rsidR="00D74C22" w:rsidRPr="00B43589">
        <w:rPr>
          <w:sz w:val="20"/>
          <w:szCs w:val="20"/>
        </w:rPr>
        <w:t xml:space="preserve">buy-in requirements been in </w:t>
      </w:r>
      <w:r w:rsidR="00FB312E" w:rsidRPr="00B43589">
        <w:rPr>
          <w:sz w:val="20"/>
          <w:szCs w:val="20"/>
        </w:rPr>
        <w:t>place</w:t>
      </w:r>
      <w:r w:rsidR="00D74C22" w:rsidRPr="00B43589">
        <w:rPr>
          <w:sz w:val="20"/>
          <w:szCs w:val="20"/>
        </w:rPr>
        <w:t xml:space="preserve"> over the initial phases of</w:t>
      </w:r>
      <w:r w:rsidR="00E7503A">
        <w:rPr>
          <w:sz w:val="20"/>
          <w:szCs w:val="20"/>
        </w:rPr>
        <w:t xml:space="preserve"> the</w:t>
      </w:r>
      <w:r w:rsidR="00D74C22" w:rsidRPr="00B43589">
        <w:rPr>
          <w:sz w:val="20"/>
          <w:szCs w:val="20"/>
        </w:rPr>
        <w:t xml:space="preserve"> </w:t>
      </w:r>
      <w:r w:rsidR="00FB312E" w:rsidRPr="00B43589">
        <w:rPr>
          <w:sz w:val="20"/>
          <w:szCs w:val="20"/>
        </w:rPr>
        <w:t xml:space="preserve">COVID 19 </w:t>
      </w:r>
      <w:r w:rsidR="00D74C22" w:rsidRPr="00B43589">
        <w:rPr>
          <w:sz w:val="20"/>
          <w:szCs w:val="20"/>
        </w:rPr>
        <w:t xml:space="preserve">pandemic in </w:t>
      </w:r>
      <w:r w:rsidR="00FB312E" w:rsidRPr="00B43589">
        <w:rPr>
          <w:sz w:val="20"/>
          <w:szCs w:val="20"/>
        </w:rPr>
        <w:t xml:space="preserve">early </w:t>
      </w:r>
      <w:r w:rsidR="00D74C22" w:rsidRPr="00B43589">
        <w:rPr>
          <w:sz w:val="20"/>
          <w:szCs w:val="20"/>
        </w:rPr>
        <w:t>2020.</w:t>
      </w:r>
    </w:p>
    <w:p w14:paraId="781D3FF9" w14:textId="152C21D4" w:rsidR="00D74C22" w:rsidRPr="00B43589" w:rsidRDefault="00D74C22" w:rsidP="0096239E">
      <w:pPr>
        <w:pStyle w:val="ListParagraph"/>
        <w:spacing w:after="0"/>
        <w:ind w:left="-426" w:right="-188"/>
        <w:rPr>
          <w:sz w:val="20"/>
          <w:szCs w:val="20"/>
        </w:rPr>
      </w:pPr>
    </w:p>
    <w:p w14:paraId="591A8AEB" w14:textId="11A00A89" w:rsidR="00D74C22" w:rsidRPr="00B43589" w:rsidRDefault="00B8785F" w:rsidP="0096239E">
      <w:pPr>
        <w:pStyle w:val="ListParagraph"/>
        <w:spacing w:after="0"/>
        <w:ind w:left="-426" w:right="-188"/>
        <w:rPr>
          <w:sz w:val="20"/>
          <w:szCs w:val="20"/>
        </w:rPr>
      </w:pPr>
      <w:r w:rsidRPr="00B43589">
        <w:rPr>
          <w:sz w:val="20"/>
          <w:szCs w:val="20"/>
        </w:rPr>
        <w:t>Due to character limit</w:t>
      </w:r>
      <w:r w:rsidR="00C65A64" w:rsidRPr="00B43589">
        <w:rPr>
          <w:sz w:val="20"/>
          <w:szCs w:val="20"/>
        </w:rPr>
        <w:t>ation</w:t>
      </w:r>
      <w:r w:rsidR="00AE4022" w:rsidRPr="00B43589">
        <w:rPr>
          <w:sz w:val="20"/>
          <w:szCs w:val="20"/>
        </w:rPr>
        <w:t>s</w:t>
      </w:r>
      <w:r w:rsidR="00C65A64" w:rsidRPr="00B43589">
        <w:rPr>
          <w:sz w:val="20"/>
          <w:szCs w:val="20"/>
        </w:rPr>
        <w:t xml:space="preserve"> of </w:t>
      </w:r>
      <w:r w:rsidRPr="00B43589">
        <w:rPr>
          <w:sz w:val="20"/>
          <w:szCs w:val="20"/>
        </w:rPr>
        <w:t xml:space="preserve">the online </w:t>
      </w:r>
      <w:r w:rsidR="00C65A64" w:rsidRPr="00B43589">
        <w:rPr>
          <w:sz w:val="20"/>
          <w:szCs w:val="20"/>
        </w:rPr>
        <w:t>response page</w:t>
      </w:r>
      <w:r w:rsidRPr="00B43589">
        <w:rPr>
          <w:sz w:val="20"/>
          <w:szCs w:val="20"/>
        </w:rPr>
        <w:t xml:space="preserve">, ISLA has submitted a </w:t>
      </w:r>
      <w:r w:rsidR="00E64C8A" w:rsidRPr="00B43589">
        <w:rPr>
          <w:sz w:val="20"/>
          <w:szCs w:val="20"/>
        </w:rPr>
        <w:t>full unabridged version of</w:t>
      </w:r>
      <w:r w:rsidR="006753C6" w:rsidRPr="00B43589">
        <w:rPr>
          <w:sz w:val="20"/>
          <w:szCs w:val="20"/>
        </w:rPr>
        <w:t xml:space="preserve"> our response</w:t>
      </w:r>
      <w:r w:rsidR="00FB312E" w:rsidRPr="00B43589">
        <w:rPr>
          <w:sz w:val="20"/>
          <w:szCs w:val="20"/>
        </w:rPr>
        <w:t>,</w:t>
      </w:r>
      <w:r w:rsidR="006753C6" w:rsidRPr="00B43589">
        <w:rPr>
          <w:sz w:val="20"/>
          <w:szCs w:val="20"/>
        </w:rPr>
        <w:t xml:space="preserve"> highlight</w:t>
      </w:r>
      <w:r w:rsidR="00FB312E" w:rsidRPr="00B43589">
        <w:rPr>
          <w:sz w:val="20"/>
          <w:szCs w:val="20"/>
        </w:rPr>
        <w:t>ing</w:t>
      </w:r>
      <w:r w:rsidR="006753C6" w:rsidRPr="00B43589">
        <w:rPr>
          <w:sz w:val="20"/>
          <w:szCs w:val="20"/>
        </w:rPr>
        <w:t xml:space="preserve"> </w:t>
      </w:r>
      <w:r w:rsidR="002E7CB8" w:rsidRPr="00B43589">
        <w:rPr>
          <w:sz w:val="20"/>
          <w:szCs w:val="20"/>
        </w:rPr>
        <w:t>examples,</w:t>
      </w:r>
      <w:r w:rsidR="006753C6" w:rsidRPr="00B43589">
        <w:rPr>
          <w:sz w:val="20"/>
          <w:szCs w:val="20"/>
        </w:rPr>
        <w:t xml:space="preserve"> and providing </w:t>
      </w:r>
      <w:r w:rsidR="00AE4022" w:rsidRPr="00B43589">
        <w:rPr>
          <w:sz w:val="20"/>
          <w:szCs w:val="20"/>
        </w:rPr>
        <w:t xml:space="preserve">supporting </w:t>
      </w:r>
      <w:r w:rsidR="00FA6C28" w:rsidRPr="00B43589">
        <w:rPr>
          <w:sz w:val="20"/>
          <w:szCs w:val="20"/>
        </w:rPr>
        <w:t>detail</w:t>
      </w:r>
      <w:r w:rsidR="00FB312E" w:rsidRPr="00B43589">
        <w:rPr>
          <w:sz w:val="20"/>
          <w:szCs w:val="20"/>
        </w:rPr>
        <w:t xml:space="preserve"> to our arguments.</w:t>
      </w:r>
    </w:p>
    <w:p w14:paraId="148AB21F" w14:textId="27E018C5" w:rsidR="00FA6C28" w:rsidRPr="00B43589" w:rsidRDefault="00FA6C28" w:rsidP="0096239E">
      <w:pPr>
        <w:pStyle w:val="ListParagraph"/>
        <w:spacing w:after="0"/>
        <w:ind w:left="-426" w:right="-188"/>
        <w:rPr>
          <w:sz w:val="20"/>
          <w:szCs w:val="20"/>
        </w:rPr>
      </w:pPr>
    </w:p>
    <w:p w14:paraId="5B22F84F" w14:textId="54D11201" w:rsidR="00FA6C28" w:rsidRPr="00B43589" w:rsidRDefault="00FA6C28" w:rsidP="0096239E">
      <w:pPr>
        <w:pStyle w:val="ListParagraph"/>
        <w:spacing w:after="0"/>
        <w:ind w:left="-426" w:right="-188"/>
        <w:rPr>
          <w:sz w:val="20"/>
          <w:szCs w:val="20"/>
        </w:rPr>
      </w:pPr>
      <w:r w:rsidRPr="00B43589">
        <w:rPr>
          <w:sz w:val="20"/>
          <w:szCs w:val="20"/>
        </w:rPr>
        <w:t>ISLA would welcome the opportunity to discuss the response in this consultation in more detail</w:t>
      </w:r>
      <w:r w:rsidR="00FB312E" w:rsidRPr="00B43589">
        <w:rPr>
          <w:sz w:val="20"/>
          <w:szCs w:val="20"/>
        </w:rPr>
        <w:t xml:space="preserve">. </w:t>
      </w:r>
    </w:p>
    <w:p w14:paraId="4B80FAEA" w14:textId="18D7E8BC" w:rsidR="00FA6C28" w:rsidRPr="00B43589" w:rsidRDefault="00FA6C28" w:rsidP="0096239E">
      <w:pPr>
        <w:pStyle w:val="ListParagraph"/>
        <w:spacing w:after="0"/>
        <w:ind w:left="-426" w:right="-188"/>
        <w:rPr>
          <w:sz w:val="20"/>
          <w:szCs w:val="20"/>
        </w:rPr>
      </w:pPr>
    </w:p>
    <w:p w14:paraId="2E083AA8" w14:textId="71C07C80" w:rsidR="0006584D" w:rsidRPr="00B43589" w:rsidRDefault="0006584D" w:rsidP="0096239E">
      <w:pPr>
        <w:pStyle w:val="ListParagraph"/>
        <w:spacing w:after="0"/>
        <w:ind w:left="-426" w:right="-188"/>
        <w:rPr>
          <w:sz w:val="20"/>
          <w:szCs w:val="20"/>
        </w:rPr>
      </w:pPr>
      <w:r w:rsidRPr="00B43589">
        <w:rPr>
          <w:sz w:val="20"/>
          <w:szCs w:val="20"/>
        </w:rPr>
        <w:t xml:space="preserve">Yours Sincerely </w:t>
      </w:r>
    </w:p>
    <w:p w14:paraId="1E168ECB" w14:textId="77777777" w:rsidR="00FA6C28" w:rsidRPr="0006584D" w:rsidRDefault="00FA6C28" w:rsidP="0006584D">
      <w:pPr>
        <w:spacing w:after="0"/>
        <w:ind w:right="-188"/>
        <w:rPr>
          <w:sz w:val="20"/>
          <w:szCs w:val="20"/>
        </w:rPr>
      </w:pPr>
    </w:p>
    <w:p w14:paraId="787F1E5B" w14:textId="6EC0787F" w:rsidR="00556B3C" w:rsidRPr="0006584D" w:rsidRDefault="00FA6C28" w:rsidP="0096239E">
      <w:pPr>
        <w:pStyle w:val="ListParagraph"/>
        <w:spacing w:after="0"/>
        <w:ind w:left="-426" w:right="-188"/>
        <w:rPr>
          <w:rFonts w:ascii="Lucida Handwriting" w:hAnsi="Lucida Handwriting" w:cs="Lao UI"/>
          <w:sz w:val="20"/>
          <w:szCs w:val="20"/>
        </w:rPr>
      </w:pPr>
      <w:r w:rsidRPr="0006584D">
        <w:rPr>
          <w:rFonts w:ascii="Lucida Handwriting" w:hAnsi="Lucida Handwriting" w:cs="Lao UI"/>
          <w:sz w:val="20"/>
          <w:szCs w:val="20"/>
        </w:rPr>
        <w:t>Adrian Dale</w:t>
      </w:r>
    </w:p>
    <w:p w14:paraId="38021BCB" w14:textId="45E03C77" w:rsidR="00FA6C28" w:rsidRDefault="00AB24F3" w:rsidP="0096239E">
      <w:pPr>
        <w:pStyle w:val="ListParagraph"/>
        <w:spacing w:after="0"/>
        <w:ind w:left="-426" w:right="-188"/>
        <w:rPr>
          <w:sz w:val="20"/>
          <w:szCs w:val="20"/>
        </w:rPr>
      </w:pPr>
      <w:r>
        <w:rPr>
          <w:sz w:val="20"/>
          <w:szCs w:val="20"/>
        </w:rPr>
        <w:t>Head of Regulation and Market Practice</w:t>
      </w:r>
    </w:p>
    <w:p w14:paraId="3AFE4DAD" w14:textId="77777777" w:rsidR="00FA6C28" w:rsidRDefault="00FA6C28" w:rsidP="0096239E">
      <w:pPr>
        <w:pStyle w:val="ListParagraph"/>
        <w:spacing w:after="0"/>
        <w:ind w:left="-426" w:right="-188"/>
        <w:rPr>
          <w:sz w:val="20"/>
          <w:szCs w:val="20"/>
        </w:rPr>
      </w:pPr>
    </w:p>
    <w:p w14:paraId="572A534A" w14:textId="161F7AB8" w:rsidR="00042595" w:rsidRPr="0006584D" w:rsidRDefault="00042595" w:rsidP="0096239E">
      <w:pPr>
        <w:spacing w:after="240"/>
        <w:ind w:left="-426" w:right="-188"/>
        <w:rPr>
          <w:rFonts w:eastAsiaTheme="minorEastAsia" w:hAnsiTheme="minorHAnsi" w:cstheme="minorHAnsi"/>
          <w:noProof/>
          <w:sz w:val="20"/>
          <w:szCs w:val="20"/>
          <w:lang w:eastAsia="en-GB"/>
        </w:rPr>
      </w:pPr>
      <w:r w:rsidRPr="0006584D">
        <w:rPr>
          <w:rFonts w:eastAsiaTheme="minorEastAsia" w:hAnsiTheme="minorHAnsi" w:cstheme="minorHAnsi"/>
          <w:noProof/>
          <w:sz w:val="20"/>
          <w:szCs w:val="20"/>
          <w:lang w:eastAsia="en-GB"/>
        </w:rPr>
        <w:t>The International Securities Lending Association (ISLA)</w:t>
      </w:r>
      <w:r w:rsidRPr="0006584D">
        <w:rPr>
          <w:rFonts w:eastAsiaTheme="minorEastAsia" w:hAnsiTheme="minorHAnsi" w:cstheme="minorHAnsi"/>
          <w:noProof/>
          <w:sz w:val="20"/>
          <w:szCs w:val="20"/>
          <w:lang w:eastAsia="en-GB"/>
        </w:rPr>
        <w:br/>
        <w:t>75 King William Street, London, EC4N 7BE</w:t>
      </w:r>
    </w:p>
    <w:p w14:paraId="1DD47C2F" w14:textId="6E50F1FA" w:rsidR="00042595" w:rsidRDefault="00042595" w:rsidP="0096239E">
      <w:pPr>
        <w:ind w:left="-426" w:right="-188"/>
        <w:rPr>
          <w:rFonts w:eastAsiaTheme="minorEastAsia"/>
          <w:noProof/>
          <w:lang w:eastAsia="en-GB"/>
        </w:rPr>
      </w:pPr>
      <w:r>
        <w:rPr>
          <w:rFonts w:eastAsiaTheme="minorEastAsia"/>
          <w:noProof/>
          <w:lang w:eastAsia="en-GB"/>
        </w:rPr>
        <w:drawing>
          <wp:inline distT="0" distB="0" distL="0" distR="0" wp14:anchorId="2AA99855" wp14:editId="573A3004">
            <wp:extent cx="2971800" cy="327660"/>
            <wp:effectExtent l="0" t="0" r="0" b="0"/>
            <wp:docPr id="2" name="Pict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327660"/>
                    </a:xfrm>
                    <a:prstGeom prst="rect">
                      <a:avLst/>
                    </a:prstGeom>
                    <a:noFill/>
                    <a:ln>
                      <a:noFill/>
                    </a:ln>
                  </pic:spPr>
                </pic:pic>
              </a:graphicData>
            </a:graphic>
          </wp:inline>
        </w:drawing>
      </w:r>
    </w:p>
    <w:p w14:paraId="47A65EEC" w14:textId="6A6E2D74" w:rsidR="00AB0720" w:rsidRDefault="00AB0720" w:rsidP="0096239E">
      <w:pPr>
        <w:ind w:left="-567" w:right="-755"/>
      </w:pPr>
    </w:p>
    <w:sectPr w:rsidR="00AB0720" w:rsidSect="0061333B">
      <w:headerReference w:type="even" r:id="rId14"/>
      <w:headerReference w:type="default" r:id="rId15"/>
      <w:footerReference w:type="even" r:id="rId16"/>
      <w:footerReference w:type="default" r:id="rId17"/>
      <w:headerReference w:type="first" r:id="rId18"/>
      <w:footerReference w:type="first" r:id="rId19"/>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7843C" w14:textId="77777777" w:rsidR="00494B4A" w:rsidRDefault="00494B4A" w:rsidP="00110836">
      <w:pPr>
        <w:spacing w:after="0" w:line="240" w:lineRule="auto"/>
      </w:pPr>
      <w:r>
        <w:separator/>
      </w:r>
    </w:p>
  </w:endnote>
  <w:endnote w:type="continuationSeparator" w:id="0">
    <w:p w14:paraId="7DFF6583" w14:textId="77777777" w:rsidR="00494B4A" w:rsidRDefault="00494B4A" w:rsidP="00110836">
      <w:pPr>
        <w:spacing w:after="0" w:line="240" w:lineRule="auto"/>
      </w:pPr>
      <w:r>
        <w:continuationSeparator/>
      </w:r>
    </w:p>
  </w:endnote>
  <w:endnote w:type="continuationNotice" w:id="1">
    <w:p w14:paraId="25E311F9" w14:textId="77777777" w:rsidR="00494B4A" w:rsidRDefault="00494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Lao UI">
    <w:charset w:val="00"/>
    <w:family w:val="swiss"/>
    <w:pitch w:val="variable"/>
    <w:sig w:usb0="82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39C5E" w14:textId="77777777" w:rsidR="007C15D2" w:rsidRDefault="007C15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05373" w14:textId="55268671" w:rsidR="006E5459" w:rsidRDefault="006E5459">
    <w:pPr>
      <w:pStyle w:val="Footer"/>
      <w:jc w:val="center"/>
    </w:pPr>
  </w:p>
  <w:p w14:paraId="1B6067BB" w14:textId="77777777" w:rsidR="00CE03B6" w:rsidRDefault="00CE03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ADE91" w14:textId="77777777" w:rsidR="007C15D2" w:rsidRDefault="007C15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692CE" w14:textId="77777777" w:rsidR="00494B4A" w:rsidRDefault="00494B4A" w:rsidP="00110836">
      <w:pPr>
        <w:spacing w:after="0" w:line="240" w:lineRule="auto"/>
      </w:pPr>
      <w:r>
        <w:separator/>
      </w:r>
    </w:p>
  </w:footnote>
  <w:footnote w:type="continuationSeparator" w:id="0">
    <w:p w14:paraId="22E86934" w14:textId="77777777" w:rsidR="00494B4A" w:rsidRDefault="00494B4A" w:rsidP="00110836">
      <w:pPr>
        <w:spacing w:after="0" w:line="240" w:lineRule="auto"/>
      </w:pPr>
      <w:r>
        <w:continuationSeparator/>
      </w:r>
    </w:p>
  </w:footnote>
  <w:footnote w:type="continuationNotice" w:id="1">
    <w:p w14:paraId="561CC6D2" w14:textId="77777777" w:rsidR="00494B4A" w:rsidRDefault="00494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33865" w14:textId="77777777" w:rsidR="007C15D2" w:rsidRDefault="007C1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8ACCF" w14:textId="77777777" w:rsidR="007C15D2" w:rsidRDefault="007C15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ED6CC" w14:textId="77777777" w:rsidR="007C15D2" w:rsidRDefault="007C15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68A"/>
    <w:multiLevelType w:val="hybridMultilevel"/>
    <w:tmpl w:val="3796EF7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44B73"/>
    <w:multiLevelType w:val="hybridMultilevel"/>
    <w:tmpl w:val="9E4A2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9A1A30"/>
    <w:multiLevelType w:val="hybridMultilevel"/>
    <w:tmpl w:val="3DF44B68"/>
    <w:lvl w:ilvl="0" w:tplc="1054DCDA">
      <w:start w:val="1"/>
      <w:numFmt w:val="decimal"/>
      <w:lvlText w:val="%1."/>
      <w:lvlJc w:val="left"/>
      <w:pPr>
        <w:ind w:left="360" w:hanging="360"/>
      </w:pPr>
      <w:rPr>
        <w:color w:val="auto"/>
      </w:rPr>
    </w:lvl>
    <w:lvl w:ilvl="1" w:tplc="5D224A0C">
      <w:start w:val="1"/>
      <w:numFmt w:val="bullet"/>
      <w:lvlText w:val=""/>
      <w:lvlJc w:val="left"/>
      <w:pPr>
        <w:ind w:left="1080" w:hanging="360"/>
      </w:pPr>
      <w:rPr>
        <w:rFonts w:ascii="Symbol" w:hAnsi="Symbol" w:hint="default"/>
        <w:color w:val="auto"/>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333A62E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E894CB1"/>
    <w:multiLevelType w:val="hybridMultilevel"/>
    <w:tmpl w:val="CB0AC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485001"/>
    <w:multiLevelType w:val="hybridMultilevel"/>
    <w:tmpl w:val="0E6ECC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4F47D51"/>
    <w:multiLevelType w:val="hybridMultilevel"/>
    <w:tmpl w:val="48A8A3B2"/>
    <w:lvl w:ilvl="0" w:tplc="955096B6">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27A6309"/>
    <w:multiLevelType w:val="hybridMultilevel"/>
    <w:tmpl w:val="9028D096"/>
    <w:lvl w:ilvl="0" w:tplc="3B881C5E">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9707070"/>
    <w:multiLevelType w:val="hybridMultilevel"/>
    <w:tmpl w:val="D79ADF0E"/>
    <w:lvl w:ilvl="0" w:tplc="D9B486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A6C215C"/>
    <w:multiLevelType w:val="hybridMultilevel"/>
    <w:tmpl w:val="1DD841D2"/>
    <w:lvl w:ilvl="0" w:tplc="0F48B06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9553BF"/>
    <w:multiLevelType w:val="hybridMultilevel"/>
    <w:tmpl w:val="E20EB7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033F29"/>
    <w:multiLevelType w:val="hybridMultilevel"/>
    <w:tmpl w:val="991423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6F21C4E"/>
    <w:multiLevelType w:val="hybridMultilevel"/>
    <w:tmpl w:val="0784C9CC"/>
    <w:lvl w:ilvl="0" w:tplc="5D224A0C">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1B0826"/>
    <w:multiLevelType w:val="multilevel"/>
    <w:tmpl w:val="0809001D"/>
    <w:lvl w:ilvl="0">
      <w:start w:val="1"/>
      <w:numFmt w:val="decimal"/>
      <w:lvlText w:val="%1)"/>
      <w:lvlJc w:val="left"/>
      <w:pPr>
        <w:ind w:left="720" w:hanging="360"/>
      </w:p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76F86519"/>
    <w:multiLevelType w:val="hybridMultilevel"/>
    <w:tmpl w:val="F4308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CA7FA5"/>
    <w:multiLevelType w:val="hybridMultilevel"/>
    <w:tmpl w:val="12245DAE"/>
    <w:lvl w:ilvl="0" w:tplc="6E9A8DCE">
      <w:start w:val="1"/>
      <w:numFmt w:val="upperLetter"/>
      <w:pStyle w:val="Level3"/>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67611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2"/>
  </w:num>
  <w:num w:numId="3">
    <w:abstractNumId w:val="2"/>
  </w:num>
  <w:num w:numId="4">
    <w:abstractNumId w:val="14"/>
  </w:num>
  <w:num w:numId="5">
    <w:abstractNumId w:val="1"/>
  </w:num>
  <w:num w:numId="6">
    <w:abstractNumId w:val="12"/>
  </w:num>
  <w:num w:numId="7">
    <w:abstractNumId w:val="15"/>
  </w:num>
  <w:num w:numId="8">
    <w:abstractNumId w:val="4"/>
  </w:num>
  <w:num w:numId="9">
    <w:abstractNumId w:val="9"/>
  </w:num>
  <w:num w:numId="10">
    <w:abstractNumId w:val="7"/>
  </w:num>
  <w:num w:numId="11">
    <w:abstractNumId w:val="11"/>
  </w:num>
  <w:num w:numId="12">
    <w:abstractNumId w:val="10"/>
  </w:num>
  <w:num w:numId="13">
    <w:abstractNumId w:val="6"/>
  </w:num>
  <w:num w:numId="14">
    <w:abstractNumId w:val="13"/>
  </w:num>
  <w:num w:numId="15">
    <w:abstractNumId w:val="16"/>
  </w:num>
  <w:num w:numId="16">
    <w:abstractNumId w:val="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0F0"/>
    <w:rsid w:val="00000B64"/>
    <w:rsid w:val="00001FCD"/>
    <w:rsid w:val="000054E6"/>
    <w:rsid w:val="0001622B"/>
    <w:rsid w:val="00021C0D"/>
    <w:rsid w:val="00031724"/>
    <w:rsid w:val="000319A7"/>
    <w:rsid w:val="00032BF8"/>
    <w:rsid w:val="00035D7D"/>
    <w:rsid w:val="00042595"/>
    <w:rsid w:val="00043BF3"/>
    <w:rsid w:val="000440FD"/>
    <w:rsid w:val="00044C71"/>
    <w:rsid w:val="00047596"/>
    <w:rsid w:val="00050492"/>
    <w:rsid w:val="00052D6B"/>
    <w:rsid w:val="00053128"/>
    <w:rsid w:val="00053BC8"/>
    <w:rsid w:val="0005445B"/>
    <w:rsid w:val="00055F7E"/>
    <w:rsid w:val="00064923"/>
    <w:rsid w:val="0006533D"/>
    <w:rsid w:val="000655EA"/>
    <w:rsid w:val="0006584D"/>
    <w:rsid w:val="00070E21"/>
    <w:rsid w:val="00071093"/>
    <w:rsid w:val="00073A98"/>
    <w:rsid w:val="00075158"/>
    <w:rsid w:val="0007678F"/>
    <w:rsid w:val="00077C63"/>
    <w:rsid w:val="00080BFF"/>
    <w:rsid w:val="00083D44"/>
    <w:rsid w:val="00085830"/>
    <w:rsid w:val="0008589B"/>
    <w:rsid w:val="0009034D"/>
    <w:rsid w:val="000A24A5"/>
    <w:rsid w:val="000A387D"/>
    <w:rsid w:val="000A3AA0"/>
    <w:rsid w:val="000A5921"/>
    <w:rsid w:val="000B24AB"/>
    <w:rsid w:val="000B2EA5"/>
    <w:rsid w:val="000B2FAF"/>
    <w:rsid w:val="000B496E"/>
    <w:rsid w:val="000C1C03"/>
    <w:rsid w:val="000C3972"/>
    <w:rsid w:val="000C5AAD"/>
    <w:rsid w:val="000D126B"/>
    <w:rsid w:val="000D3A41"/>
    <w:rsid w:val="000D7610"/>
    <w:rsid w:val="000E12A3"/>
    <w:rsid w:val="000E7017"/>
    <w:rsid w:val="000F04D9"/>
    <w:rsid w:val="000F554D"/>
    <w:rsid w:val="00103EFD"/>
    <w:rsid w:val="001048B1"/>
    <w:rsid w:val="0010648E"/>
    <w:rsid w:val="00110836"/>
    <w:rsid w:val="001115C0"/>
    <w:rsid w:val="00111F4A"/>
    <w:rsid w:val="001120A9"/>
    <w:rsid w:val="001138FC"/>
    <w:rsid w:val="001139EF"/>
    <w:rsid w:val="00113E43"/>
    <w:rsid w:val="00122BFB"/>
    <w:rsid w:val="001236A9"/>
    <w:rsid w:val="001242EF"/>
    <w:rsid w:val="00125537"/>
    <w:rsid w:val="00130D03"/>
    <w:rsid w:val="00130E41"/>
    <w:rsid w:val="0013593D"/>
    <w:rsid w:val="00136686"/>
    <w:rsid w:val="00142119"/>
    <w:rsid w:val="00150834"/>
    <w:rsid w:val="00153557"/>
    <w:rsid w:val="0016702C"/>
    <w:rsid w:val="00173947"/>
    <w:rsid w:val="00174F70"/>
    <w:rsid w:val="0017644C"/>
    <w:rsid w:val="001803F7"/>
    <w:rsid w:val="001816C9"/>
    <w:rsid w:val="00181DE4"/>
    <w:rsid w:val="00185078"/>
    <w:rsid w:val="001869A3"/>
    <w:rsid w:val="00192071"/>
    <w:rsid w:val="00194239"/>
    <w:rsid w:val="0019573C"/>
    <w:rsid w:val="001966DF"/>
    <w:rsid w:val="001979AA"/>
    <w:rsid w:val="001A6299"/>
    <w:rsid w:val="001A6C70"/>
    <w:rsid w:val="001A7589"/>
    <w:rsid w:val="001B3222"/>
    <w:rsid w:val="001B3730"/>
    <w:rsid w:val="001B3905"/>
    <w:rsid w:val="001B5138"/>
    <w:rsid w:val="001C31CD"/>
    <w:rsid w:val="001C40A8"/>
    <w:rsid w:val="001C618F"/>
    <w:rsid w:val="001C6DE9"/>
    <w:rsid w:val="001D1FE8"/>
    <w:rsid w:val="001D493A"/>
    <w:rsid w:val="001D5027"/>
    <w:rsid w:val="001D63BF"/>
    <w:rsid w:val="001E0F7E"/>
    <w:rsid w:val="001E145D"/>
    <w:rsid w:val="001E370F"/>
    <w:rsid w:val="001E4E6A"/>
    <w:rsid w:val="001F39F9"/>
    <w:rsid w:val="001F75ED"/>
    <w:rsid w:val="00202F44"/>
    <w:rsid w:val="00203EB6"/>
    <w:rsid w:val="00206CEB"/>
    <w:rsid w:val="00210000"/>
    <w:rsid w:val="00212327"/>
    <w:rsid w:val="0022152C"/>
    <w:rsid w:val="00221619"/>
    <w:rsid w:val="00227A96"/>
    <w:rsid w:val="00231C69"/>
    <w:rsid w:val="00237D08"/>
    <w:rsid w:val="00240967"/>
    <w:rsid w:val="00240EFB"/>
    <w:rsid w:val="002451EC"/>
    <w:rsid w:val="002459A3"/>
    <w:rsid w:val="002523C5"/>
    <w:rsid w:val="00257B0C"/>
    <w:rsid w:val="002630AE"/>
    <w:rsid w:val="002630DA"/>
    <w:rsid w:val="002717B6"/>
    <w:rsid w:val="00276ACA"/>
    <w:rsid w:val="00280231"/>
    <w:rsid w:val="00281D55"/>
    <w:rsid w:val="00287098"/>
    <w:rsid w:val="00287129"/>
    <w:rsid w:val="00292877"/>
    <w:rsid w:val="00293EEC"/>
    <w:rsid w:val="0029514F"/>
    <w:rsid w:val="00296F87"/>
    <w:rsid w:val="0029780C"/>
    <w:rsid w:val="002A41A7"/>
    <w:rsid w:val="002A4480"/>
    <w:rsid w:val="002B1831"/>
    <w:rsid w:val="002B2233"/>
    <w:rsid w:val="002B37A8"/>
    <w:rsid w:val="002B484E"/>
    <w:rsid w:val="002B620E"/>
    <w:rsid w:val="002B6631"/>
    <w:rsid w:val="002C254D"/>
    <w:rsid w:val="002C382E"/>
    <w:rsid w:val="002C4299"/>
    <w:rsid w:val="002C4EF0"/>
    <w:rsid w:val="002C6579"/>
    <w:rsid w:val="002D1CBD"/>
    <w:rsid w:val="002D423E"/>
    <w:rsid w:val="002E0BD2"/>
    <w:rsid w:val="002E1E5A"/>
    <w:rsid w:val="002E39EC"/>
    <w:rsid w:val="002E3D94"/>
    <w:rsid w:val="002E7CB8"/>
    <w:rsid w:val="00302A05"/>
    <w:rsid w:val="00302AE7"/>
    <w:rsid w:val="00303ED3"/>
    <w:rsid w:val="00306C1C"/>
    <w:rsid w:val="00307913"/>
    <w:rsid w:val="00310B1E"/>
    <w:rsid w:val="0031152F"/>
    <w:rsid w:val="003131E7"/>
    <w:rsid w:val="003135D7"/>
    <w:rsid w:val="003220D3"/>
    <w:rsid w:val="00323631"/>
    <w:rsid w:val="00324209"/>
    <w:rsid w:val="0032441F"/>
    <w:rsid w:val="00325511"/>
    <w:rsid w:val="00325B1B"/>
    <w:rsid w:val="00330637"/>
    <w:rsid w:val="00330E61"/>
    <w:rsid w:val="00333BEF"/>
    <w:rsid w:val="003347B0"/>
    <w:rsid w:val="00336058"/>
    <w:rsid w:val="003424A2"/>
    <w:rsid w:val="00347DF9"/>
    <w:rsid w:val="00352D3E"/>
    <w:rsid w:val="00352E57"/>
    <w:rsid w:val="00354112"/>
    <w:rsid w:val="00354832"/>
    <w:rsid w:val="00356280"/>
    <w:rsid w:val="00362F58"/>
    <w:rsid w:val="0036485D"/>
    <w:rsid w:val="0036511F"/>
    <w:rsid w:val="00365608"/>
    <w:rsid w:val="00376191"/>
    <w:rsid w:val="003776C2"/>
    <w:rsid w:val="003806F7"/>
    <w:rsid w:val="0039033D"/>
    <w:rsid w:val="0039198A"/>
    <w:rsid w:val="00392B75"/>
    <w:rsid w:val="00393CFD"/>
    <w:rsid w:val="003954E2"/>
    <w:rsid w:val="003A6080"/>
    <w:rsid w:val="003A747A"/>
    <w:rsid w:val="003A7CB1"/>
    <w:rsid w:val="003B03C8"/>
    <w:rsid w:val="003B2715"/>
    <w:rsid w:val="003C09CC"/>
    <w:rsid w:val="003C1AE3"/>
    <w:rsid w:val="003D572B"/>
    <w:rsid w:val="003D69E9"/>
    <w:rsid w:val="003D6EE9"/>
    <w:rsid w:val="003D7429"/>
    <w:rsid w:val="003D75F9"/>
    <w:rsid w:val="003D7C0F"/>
    <w:rsid w:val="003E70D4"/>
    <w:rsid w:val="003F1340"/>
    <w:rsid w:val="003F4347"/>
    <w:rsid w:val="003F4DFD"/>
    <w:rsid w:val="003F738C"/>
    <w:rsid w:val="00402CFE"/>
    <w:rsid w:val="00402FD0"/>
    <w:rsid w:val="00405AB2"/>
    <w:rsid w:val="00405C7F"/>
    <w:rsid w:val="00417F6B"/>
    <w:rsid w:val="00421032"/>
    <w:rsid w:val="00421409"/>
    <w:rsid w:val="0042295E"/>
    <w:rsid w:val="0042518E"/>
    <w:rsid w:val="00426E60"/>
    <w:rsid w:val="00427946"/>
    <w:rsid w:val="00437050"/>
    <w:rsid w:val="00437FB5"/>
    <w:rsid w:val="0044689A"/>
    <w:rsid w:val="00451E60"/>
    <w:rsid w:val="00454A18"/>
    <w:rsid w:val="00457C55"/>
    <w:rsid w:val="00463D76"/>
    <w:rsid w:val="00471525"/>
    <w:rsid w:val="00471AE2"/>
    <w:rsid w:val="0047315E"/>
    <w:rsid w:val="0047580A"/>
    <w:rsid w:val="004776E1"/>
    <w:rsid w:val="004813FB"/>
    <w:rsid w:val="00487577"/>
    <w:rsid w:val="004928C6"/>
    <w:rsid w:val="004947BA"/>
    <w:rsid w:val="00494B4A"/>
    <w:rsid w:val="0049593C"/>
    <w:rsid w:val="00496235"/>
    <w:rsid w:val="004A14F9"/>
    <w:rsid w:val="004A16C6"/>
    <w:rsid w:val="004A2C83"/>
    <w:rsid w:val="004A678D"/>
    <w:rsid w:val="004B2426"/>
    <w:rsid w:val="004B2A3C"/>
    <w:rsid w:val="004C68B7"/>
    <w:rsid w:val="004D1A7C"/>
    <w:rsid w:val="004D22BF"/>
    <w:rsid w:val="004D4693"/>
    <w:rsid w:val="004E13B0"/>
    <w:rsid w:val="004E145F"/>
    <w:rsid w:val="004E14C7"/>
    <w:rsid w:val="004E3F64"/>
    <w:rsid w:val="004E59EF"/>
    <w:rsid w:val="004F26C4"/>
    <w:rsid w:val="004F6AB7"/>
    <w:rsid w:val="004F7E90"/>
    <w:rsid w:val="00500629"/>
    <w:rsid w:val="00502366"/>
    <w:rsid w:val="00505C82"/>
    <w:rsid w:val="00507D73"/>
    <w:rsid w:val="00507F3A"/>
    <w:rsid w:val="00510B61"/>
    <w:rsid w:val="005237AD"/>
    <w:rsid w:val="00523EA4"/>
    <w:rsid w:val="00524848"/>
    <w:rsid w:val="005316FE"/>
    <w:rsid w:val="005317BA"/>
    <w:rsid w:val="00536003"/>
    <w:rsid w:val="0054061E"/>
    <w:rsid w:val="00547488"/>
    <w:rsid w:val="00554889"/>
    <w:rsid w:val="00555ED8"/>
    <w:rsid w:val="00556B3C"/>
    <w:rsid w:val="005665F1"/>
    <w:rsid w:val="0056699F"/>
    <w:rsid w:val="00566AD9"/>
    <w:rsid w:val="00566C74"/>
    <w:rsid w:val="0056795B"/>
    <w:rsid w:val="00571889"/>
    <w:rsid w:val="00575EE8"/>
    <w:rsid w:val="00581D1E"/>
    <w:rsid w:val="0058628E"/>
    <w:rsid w:val="00590B14"/>
    <w:rsid w:val="00593A1B"/>
    <w:rsid w:val="0059425A"/>
    <w:rsid w:val="005A113F"/>
    <w:rsid w:val="005A56AA"/>
    <w:rsid w:val="005A5A62"/>
    <w:rsid w:val="005C1E1D"/>
    <w:rsid w:val="005C296C"/>
    <w:rsid w:val="005C5F39"/>
    <w:rsid w:val="005C7607"/>
    <w:rsid w:val="005D1F95"/>
    <w:rsid w:val="005D26C8"/>
    <w:rsid w:val="005D660F"/>
    <w:rsid w:val="005E2A9F"/>
    <w:rsid w:val="005E366E"/>
    <w:rsid w:val="005E36FE"/>
    <w:rsid w:val="005E426E"/>
    <w:rsid w:val="005E51B6"/>
    <w:rsid w:val="005E56DE"/>
    <w:rsid w:val="005E641C"/>
    <w:rsid w:val="005F5A59"/>
    <w:rsid w:val="005F69BB"/>
    <w:rsid w:val="006013A1"/>
    <w:rsid w:val="00603683"/>
    <w:rsid w:val="006043DA"/>
    <w:rsid w:val="0061333B"/>
    <w:rsid w:val="006140A9"/>
    <w:rsid w:val="0062038F"/>
    <w:rsid w:val="00623C46"/>
    <w:rsid w:val="00624C5D"/>
    <w:rsid w:val="00626CB9"/>
    <w:rsid w:val="00631A62"/>
    <w:rsid w:val="00632AB3"/>
    <w:rsid w:val="00634DF2"/>
    <w:rsid w:val="006364B5"/>
    <w:rsid w:val="0064155C"/>
    <w:rsid w:val="00642BA5"/>
    <w:rsid w:val="006466B7"/>
    <w:rsid w:val="00646E1A"/>
    <w:rsid w:val="006522A9"/>
    <w:rsid w:val="0065425B"/>
    <w:rsid w:val="00654921"/>
    <w:rsid w:val="00655430"/>
    <w:rsid w:val="0065549B"/>
    <w:rsid w:val="00660AEA"/>
    <w:rsid w:val="00663A46"/>
    <w:rsid w:val="00673AB3"/>
    <w:rsid w:val="006753C6"/>
    <w:rsid w:val="0068322E"/>
    <w:rsid w:val="00687535"/>
    <w:rsid w:val="00691275"/>
    <w:rsid w:val="006A2A4E"/>
    <w:rsid w:val="006A47BD"/>
    <w:rsid w:val="006A6CAA"/>
    <w:rsid w:val="006B4501"/>
    <w:rsid w:val="006C2043"/>
    <w:rsid w:val="006C61AE"/>
    <w:rsid w:val="006D10FA"/>
    <w:rsid w:val="006E5459"/>
    <w:rsid w:val="006F20B5"/>
    <w:rsid w:val="006F2CBD"/>
    <w:rsid w:val="007004C3"/>
    <w:rsid w:val="00703498"/>
    <w:rsid w:val="00707837"/>
    <w:rsid w:val="00722F14"/>
    <w:rsid w:val="007238EE"/>
    <w:rsid w:val="00725F18"/>
    <w:rsid w:val="00730D26"/>
    <w:rsid w:val="007313CB"/>
    <w:rsid w:val="007313F3"/>
    <w:rsid w:val="00733C5D"/>
    <w:rsid w:val="007347BD"/>
    <w:rsid w:val="00736AE4"/>
    <w:rsid w:val="007416D6"/>
    <w:rsid w:val="007445B3"/>
    <w:rsid w:val="007451AC"/>
    <w:rsid w:val="00746DCF"/>
    <w:rsid w:val="00756E99"/>
    <w:rsid w:val="00760EC1"/>
    <w:rsid w:val="007620DA"/>
    <w:rsid w:val="00764715"/>
    <w:rsid w:val="00766108"/>
    <w:rsid w:val="00786953"/>
    <w:rsid w:val="007A0D36"/>
    <w:rsid w:val="007A1198"/>
    <w:rsid w:val="007A1FFE"/>
    <w:rsid w:val="007A5E30"/>
    <w:rsid w:val="007A61AF"/>
    <w:rsid w:val="007B3BEC"/>
    <w:rsid w:val="007B4384"/>
    <w:rsid w:val="007B6F7B"/>
    <w:rsid w:val="007B7AD3"/>
    <w:rsid w:val="007C15D2"/>
    <w:rsid w:val="007C45B1"/>
    <w:rsid w:val="007C7666"/>
    <w:rsid w:val="007C771A"/>
    <w:rsid w:val="007C7911"/>
    <w:rsid w:val="007D1378"/>
    <w:rsid w:val="007D22B4"/>
    <w:rsid w:val="007D739D"/>
    <w:rsid w:val="007D7719"/>
    <w:rsid w:val="007D7874"/>
    <w:rsid w:val="007E21D8"/>
    <w:rsid w:val="007E73D1"/>
    <w:rsid w:val="00802901"/>
    <w:rsid w:val="00803276"/>
    <w:rsid w:val="0081127C"/>
    <w:rsid w:val="00820002"/>
    <w:rsid w:val="0082563A"/>
    <w:rsid w:val="0082655B"/>
    <w:rsid w:val="00830654"/>
    <w:rsid w:val="008308D3"/>
    <w:rsid w:val="00834D34"/>
    <w:rsid w:val="008357EE"/>
    <w:rsid w:val="00837FC2"/>
    <w:rsid w:val="008415AF"/>
    <w:rsid w:val="0084694E"/>
    <w:rsid w:val="00850189"/>
    <w:rsid w:val="00850C6C"/>
    <w:rsid w:val="00856E41"/>
    <w:rsid w:val="00856FFC"/>
    <w:rsid w:val="00862B62"/>
    <w:rsid w:val="00863C8C"/>
    <w:rsid w:val="00863E7C"/>
    <w:rsid w:val="00866D93"/>
    <w:rsid w:val="008674F7"/>
    <w:rsid w:val="008710D8"/>
    <w:rsid w:val="00871A6C"/>
    <w:rsid w:val="008727C1"/>
    <w:rsid w:val="00875164"/>
    <w:rsid w:val="0087776C"/>
    <w:rsid w:val="00877C10"/>
    <w:rsid w:val="00890BBE"/>
    <w:rsid w:val="00891296"/>
    <w:rsid w:val="00894C3E"/>
    <w:rsid w:val="008A1CAA"/>
    <w:rsid w:val="008A1CFF"/>
    <w:rsid w:val="008A2E09"/>
    <w:rsid w:val="008A4EF4"/>
    <w:rsid w:val="008B2121"/>
    <w:rsid w:val="008B77EA"/>
    <w:rsid w:val="008C34DE"/>
    <w:rsid w:val="008D2A5A"/>
    <w:rsid w:val="008D4002"/>
    <w:rsid w:val="008D44A3"/>
    <w:rsid w:val="008E04C0"/>
    <w:rsid w:val="008E2B95"/>
    <w:rsid w:val="008E4769"/>
    <w:rsid w:val="008E60EA"/>
    <w:rsid w:val="008E7573"/>
    <w:rsid w:val="008F08E1"/>
    <w:rsid w:val="008F1D1A"/>
    <w:rsid w:val="008F2A1B"/>
    <w:rsid w:val="008F5172"/>
    <w:rsid w:val="008F557E"/>
    <w:rsid w:val="008F6B7A"/>
    <w:rsid w:val="008F6E65"/>
    <w:rsid w:val="009071C8"/>
    <w:rsid w:val="00907D33"/>
    <w:rsid w:val="00910EBD"/>
    <w:rsid w:val="00913350"/>
    <w:rsid w:val="00915933"/>
    <w:rsid w:val="00917DFB"/>
    <w:rsid w:val="00917F83"/>
    <w:rsid w:val="009336A6"/>
    <w:rsid w:val="0093567A"/>
    <w:rsid w:val="0094092F"/>
    <w:rsid w:val="00942410"/>
    <w:rsid w:val="00947EBA"/>
    <w:rsid w:val="00950E73"/>
    <w:rsid w:val="00951E30"/>
    <w:rsid w:val="0095438E"/>
    <w:rsid w:val="00960FBB"/>
    <w:rsid w:val="0096239E"/>
    <w:rsid w:val="00962C05"/>
    <w:rsid w:val="0096459E"/>
    <w:rsid w:val="00965510"/>
    <w:rsid w:val="00976880"/>
    <w:rsid w:val="00981111"/>
    <w:rsid w:val="0098552E"/>
    <w:rsid w:val="0099146B"/>
    <w:rsid w:val="009932FC"/>
    <w:rsid w:val="00997DD5"/>
    <w:rsid w:val="009A171E"/>
    <w:rsid w:val="009A2B4A"/>
    <w:rsid w:val="009A5A81"/>
    <w:rsid w:val="009B0F06"/>
    <w:rsid w:val="009B60B4"/>
    <w:rsid w:val="009D0D85"/>
    <w:rsid w:val="009D16C8"/>
    <w:rsid w:val="009D16EE"/>
    <w:rsid w:val="009D26CB"/>
    <w:rsid w:val="009D495E"/>
    <w:rsid w:val="009D75F8"/>
    <w:rsid w:val="009E1E4C"/>
    <w:rsid w:val="009E2832"/>
    <w:rsid w:val="009E508F"/>
    <w:rsid w:val="009E5810"/>
    <w:rsid w:val="009E6FF4"/>
    <w:rsid w:val="009E72C5"/>
    <w:rsid w:val="009F5EBA"/>
    <w:rsid w:val="009F6EF0"/>
    <w:rsid w:val="00A015AE"/>
    <w:rsid w:val="00A063D5"/>
    <w:rsid w:val="00A06585"/>
    <w:rsid w:val="00A14389"/>
    <w:rsid w:val="00A2105D"/>
    <w:rsid w:val="00A22F85"/>
    <w:rsid w:val="00A23D98"/>
    <w:rsid w:val="00A242A4"/>
    <w:rsid w:val="00A4485C"/>
    <w:rsid w:val="00A45ADC"/>
    <w:rsid w:val="00A50CC6"/>
    <w:rsid w:val="00A557BD"/>
    <w:rsid w:val="00A57A18"/>
    <w:rsid w:val="00A602A4"/>
    <w:rsid w:val="00A614DD"/>
    <w:rsid w:val="00A61B3B"/>
    <w:rsid w:val="00A62172"/>
    <w:rsid w:val="00A628EE"/>
    <w:rsid w:val="00A655C1"/>
    <w:rsid w:val="00A7056C"/>
    <w:rsid w:val="00A71E88"/>
    <w:rsid w:val="00A82464"/>
    <w:rsid w:val="00A82869"/>
    <w:rsid w:val="00A839C1"/>
    <w:rsid w:val="00A83C5D"/>
    <w:rsid w:val="00A84B57"/>
    <w:rsid w:val="00A90E0E"/>
    <w:rsid w:val="00A92EDF"/>
    <w:rsid w:val="00A96E6E"/>
    <w:rsid w:val="00AA1CE4"/>
    <w:rsid w:val="00AA2739"/>
    <w:rsid w:val="00AA373B"/>
    <w:rsid w:val="00AA4393"/>
    <w:rsid w:val="00AA66BA"/>
    <w:rsid w:val="00AB065C"/>
    <w:rsid w:val="00AB0720"/>
    <w:rsid w:val="00AB0FD9"/>
    <w:rsid w:val="00AB1AC9"/>
    <w:rsid w:val="00AB24F3"/>
    <w:rsid w:val="00AC1630"/>
    <w:rsid w:val="00AC3F7A"/>
    <w:rsid w:val="00AD4293"/>
    <w:rsid w:val="00AD4E4B"/>
    <w:rsid w:val="00AD758F"/>
    <w:rsid w:val="00AE0228"/>
    <w:rsid w:val="00AE112F"/>
    <w:rsid w:val="00AE1552"/>
    <w:rsid w:val="00AE2CCE"/>
    <w:rsid w:val="00AE3231"/>
    <w:rsid w:val="00AE4022"/>
    <w:rsid w:val="00AE6F09"/>
    <w:rsid w:val="00AF09A1"/>
    <w:rsid w:val="00AF1661"/>
    <w:rsid w:val="00AF3444"/>
    <w:rsid w:val="00AF36D7"/>
    <w:rsid w:val="00B078A7"/>
    <w:rsid w:val="00B10603"/>
    <w:rsid w:val="00B11E1E"/>
    <w:rsid w:val="00B17838"/>
    <w:rsid w:val="00B17C4B"/>
    <w:rsid w:val="00B23885"/>
    <w:rsid w:val="00B3040E"/>
    <w:rsid w:val="00B31254"/>
    <w:rsid w:val="00B3253C"/>
    <w:rsid w:val="00B43589"/>
    <w:rsid w:val="00B4611F"/>
    <w:rsid w:val="00B46E71"/>
    <w:rsid w:val="00B505E5"/>
    <w:rsid w:val="00B67F67"/>
    <w:rsid w:val="00B70960"/>
    <w:rsid w:val="00B73617"/>
    <w:rsid w:val="00B73714"/>
    <w:rsid w:val="00B762A2"/>
    <w:rsid w:val="00B8443B"/>
    <w:rsid w:val="00B86979"/>
    <w:rsid w:val="00B8785F"/>
    <w:rsid w:val="00B90E39"/>
    <w:rsid w:val="00B94CB4"/>
    <w:rsid w:val="00B96CFA"/>
    <w:rsid w:val="00B96EC7"/>
    <w:rsid w:val="00BA6466"/>
    <w:rsid w:val="00BA7416"/>
    <w:rsid w:val="00BB0935"/>
    <w:rsid w:val="00BB0BE0"/>
    <w:rsid w:val="00BB15AE"/>
    <w:rsid w:val="00BB1F10"/>
    <w:rsid w:val="00BB309B"/>
    <w:rsid w:val="00BB4031"/>
    <w:rsid w:val="00BB4338"/>
    <w:rsid w:val="00BB5D20"/>
    <w:rsid w:val="00BC118C"/>
    <w:rsid w:val="00BC36D9"/>
    <w:rsid w:val="00BD39A4"/>
    <w:rsid w:val="00BE20E0"/>
    <w:rsid w:val="00BE2574"/>
    <w:rsid w:val="00BE2F51"/>
    <w:rsid w:val="00BE5396"/>
    <w:rsid w:val="00BE70D2"/>
    <w:rsid w:val="00BF3567"/>
    <w:rsid w:val="00BF3840"/>
    <w:rsid w:val="00BF7EA2"/>
    <w:rsid w:val="00C06BB8"/>
    <w:rsid w:val="00C07062"/>
    <w:rsid w:val="00C07909"/>
    <w:rsid w:val="00C12E21"/>
    <w:rsid w:val="00C1399D"/>
    <w:rsid w:val="00C13BE2"/>
    <w:rsid w:val="00C1460E"/>
    <w:rsid w:val="00C166FB"/>
    <w:rsid w:val="00C167B4"/>
    <w:rsid w:val="00C17A49"/>
    <w:rsid w:val="00C31D12"/>
    <w:rsid w:val="00C33034"/>
    <w:rsid w:val="00C35BF8"/>
    <w:rsid w:val="00C40E4B"/>
    <w:rsid w:val="00C40EF4"/>
    <w:rsid w:val="00C41E81"/>
    <w:rsid w:val="00C42F0B"/>
    <w:rsid w:val="00C4437C"/>
    <w:rsid w:val="00C449C0"/>
    <w:rsid w:val="00C45731"/>
    <w:rsid w:val="00C52906"/>
    <w:rsid w:val="00C52AA3"/>
    <w:rsid w:val="00C53646"/>
    <w:rsid w:val="00C61950"/>
    <w:rsid w:val="00C64ED3"/>
    <w:rsid w:val="00C65A64"/>
    <w:rsid w:val="00C665F6"/>
    <w:rsid w:val="00C71E3E"/>
    <w:rsid w:val="00C72561"/>
    <w:rsid w:val="00C728A6"/>
    <w:rsid w:val="00C74069"/>
    <w:rsid w:val="00C74303"/>
    <w:rsid w:val="00C765A1"/>
    <w:rsid w:val="00C808A6"/>
    <w:rsid w:val="00C81A3C"/>
    <w:rsid w:val="00C93D41"/>
    <w:rsid w:val="00C942DF"/>
    <w:rsid w:val="00CA1826"/>
    <w:rsid w:val="00CA25EC"/>
    <w:rsid w:val="00CA2EE1"/>
    <w:rsid w:val="00CA53B0"/>
    <w:rsid w:val="00CA53F5"/>
    <w:rsid w:val="00CA6868"/>
    <w:rsid w:val="00CA75E6"/>
    <w:rsid w:val="00CB10E2"/>
    <w:rsid w:val="00CB2060"/>
    <w:rsid w:val="00CB2535"/>
    <w:rsid w:val="00CB5625"/>
    <w:rsid w:val="00CB6C26"/>
    <w:rsid w:val="00CB7D2F"/>
    <w:rsid w:val="00CC0660"/>
    <w:rsid w:val="00CC39DD"/>
    <w:rsid w:val="00CC61BF"/>
    <w:rsid w:val="00CD0F5A"/>
    <w:rsid w:val="00CD23E8"/>
    <w:rsid w:val="00CD3920"/>
    <w:rsid w:val="00CD79E7"/>
    <w:rsid w:val="00CE03B6"/>
    <w:rsid w:val="00CE0FFC"/>
    <w:rsid w:val="00CE44A9"/>
    <w:rsid w:val="00CE468E"/>
    <w:rsid w:val="00CF1289"/>
    <w:rsid w:val="00CF3D47"/>
    <w:rsid w:val="00CF57D0"/>
    <w:rsid w:val="00CF5B2E"/>
    <w:rsid w:val="00CF6561"/>
    <w:rsid w:val="00CF7A20"/>
    <w:rsid w:val="00CF7E05"/>
    <w:rsid w:val="00D15BD6"/>
    <w:rsid w:val="00D3056A"/>
    <w:rsid w:val="00D344DE"/>
    <w:rsid w:val="00D347FA"/>
    <w:rsid w:val="00D34BCA"/>
    <w:rsid w:val="00D36997"/>
    <w:rsid w:val="00D36F88"/>
    <w:rsid w:val="00D41537"/>
    <w:rsid w:val="00D43C28"/>
    <w:rsid w:val="00D46411"/>
    <w:rsid w:val="00D50302"/>
    <w:rsid w:val="00D50D65"/>
    <w:rsid w:val="00D53011"/>
    <w:rsid w:val="00D53DC9"/>
    <w:rsid w:val="00D5543B"/>
    <w:rsid w:val="00D56323"/>
    <w:rsid w:val="00D56764"/>
    <w:rsid w:val="00D62EA2"/>
    <w:rsid w:val="00D74C22"/>
    <w:rsid w:val="00D80076"/>
    <w:rsid w:val="00D87F61"/>
    <w:rsid w:val="00D923CC"/>
    <w:rsid w:val="00D931D9"/>
    <w:rsid w:val="00D95068"/>
    <w:rsid w:val="00DA0990"/>
    <w:rsid w:val="00DA1A63"/>
    <w:rsid w:val="00DA2D9E"/>
    <w:rsid w:val="00DA50D1"/>
    <w:rsid w:val="00DB0166"/>
    <w:rsid w:val="00DB10BF"/>
    <w:rsid w:val="00DB1EDB"/>
    <w:rsid w:val="00DB3444"/>
    <w:rsid w:val="00DC20C3"/>
    <w:rsid w:val="00DC3D85"/>
    <w:rsid w:val="00DC4C30"/>
    <w:rsid w:val="00DD20D5"/>
    <w:rsid w:val="00DD585B"/>
    <w:rsid w:val="00DE6CA5"/>
    <w:rsid w:val="00DE6FD4"/>
    <w:rsid w:val="00DF3C35"/>
    <w:rsid w:val="00DF3EF9"/>
    <w:rsid w:val="00E012E6"/>
    <w:rsid w:val="00E02D03"/>
    <w:rsid w:val="00E109E0"/>
    <w:rsid w:val="00E12C43"/>
    <w:rsid w:val="00E1371C"/>
    <w:rsid w:val="00E22868"/>
    <w:rsid w:val="00E27429"/>
    <w:rsid w:val="00E41834"/>
    <w:rsid w:val="00E446C5"/>
    <w:rsid w:val="00E44707"/>
    <w:rsid w:val="00E44D1D"/>
    <w:rsid w:val="00E51FA7"/>
    <w:rsid w:val="00E53057"/>
    <w:rsid w:val="00E56586"/>
    <w:rsid w:val="00E57BE6"/>
    <w:rsid w:val="00E638F0"/>
    <w:rsid w:val="00E63B80"/>
    <w:rsid w:val="00E64C8A"/>
    <w:rsid w:val="00E71E5D"/>
    <w:rsid w:val="00E74C09"/>
    <w:rsid w:val="00E7503A"/>
    <w:rsid w:val="00E80A1B"/>
    <w:rsid w:val="00E81F53"/>
    <w:rsid w:val="00E84119"/>
    <w:rsid w:val="00E87E8B"/>
    <w:rsid w:val="00E90796"/>
    <w:rsid w:val="00E942F9"/>
    <w:rsid w:val="00E9633F"/>
    <w:rsid w:val="00E97258"/>
    <w:rsid w:val="00EA2BC0"/>
    <w:rsid w:val="00EA5D69"/>
    <w:rsid w:val="00EA7032"/>
    <w:rsid w:val="00EB00D0"/>
    <w:rsid w:val="00EB016B"/>
    <w:rsid w:val="00EB03E9"/>
    <w:rsid w:val="00EB23E5"/>
    <w:rsid w:val="00EB3FBF"/>
    <w:rsid w:val="00EB6417"/>
    <w:rsid w:val="00EB739A"/>
    <w:rsid w:val="00EC493A"/>
    <w:rsid w:val="00ED55DB"/>
    <w:rsid w:val="00ED71BD"/>
    <w:rsid w:val="00EE5BFE"/>
    <w:rsid w:val="00EE64E8"/>
    <w:rsid w:val="00EE71E7"/>
    <w:rsid w:val="00EE7DF3"/>
    <w:rsid w:val="00EF2A8E"/>
    <w:rsid w:val="00EF2F8A"/>
    <w:rsid w:val="00EF55F0"/>
    <w:rsid w:val="00EF5E09"/>
    <w:rsid w:val="00EF60BB"/>
    <w:rsid w:val="00EF7683"/>
    <w:rsid w:val="00EF7C82"/>
    <w:rsid w:val="00F0030D"/>
    <w:rsid w:val="00F00BE3"/>
    <w:rsid w:val="00F028AB"/>
    <w:rsid w:val="00F10162"/>
    <w:rsid w:val="00F11B43"/>
    <w:rsid w:val="00F132ED"/>
    <w:rsid w:val="00F17764"/>
    <w:rsid w:val="00F20E4B"/>
    <w:rsid w:val="00F21819"/>
    <w:rsid w:val="00F231DC"/>
    <w:rsid w:val="00F25428"/>
    <w:rsid w:val="00F3247E"/>
    <w:rsid w:val="00F33098"/>
    <w:rsid w:val="00F35560"/>
    <w:rsid w:val="00F37CA1"/>
    <w:rsid w:val="00F43DDB"/>
    <w:rsid w:val="00F45B2B"/>
    <w:rsid w:val="00F50ABE"/>
    <w:rsid w:val="00F5101A"/>
    <w:rsid w:val="00F539E8"/>
    <w:rsid w:val="00F54C41"/>
    <w:rsid w:val="00F56054"/>
    <w:rsid w:val="00F603A9"/>
    <w:rsid w:val="00F612E8"/>
    <w:rsid w:val="00F63195"/>
    <w:rsid w:val="00F63E13"/>
    <w:rsid w:val="00F679F5"/>
    <w:rsid w:val="00F67C76"/>
    <w:rsid w:val="00F67F24"/>
    <w:rsid w:val="00F70165"/>
    <w:rsid w:val="00F72268"/>
    <w:rsid w:val="00F742D9"/>
    <w:rsid w:val="00F85D4B"/>
    <w:rsid w:val="00F950E5"/>
    <w:rsid w:val="00F95650"/>
    <w:rsid w:val="00F9740E"/>
    <w:rsid w:val="00FA0218"/>
    <w:rsid w:val="00FA253E"/>
    <w:rsid w:val="00FA4867"/>
    <w:rsid w:val="00FA6C28"/>
    <w:rsid w:val="00FB0CFF"/>
    <w:rsid w:val="00FB2B50"/>
    <w:rsid w:val="00FB312E"/>
    <w:rsid w:val="00FB66F6"/>
    <w:rsid w:val="00FC1514"/>
    <w:rsid w:val="00FC1EAD"/>
    <w:rsid w:val="00FC3EC8"/>
    <w:rsid w:val="00FC6DE4"/>
    <w:rsid w:val="00FD1D09"/>
    <w:rsid w:val="00FD2748"/>
    <w:rsid w:val="00FD3019"/>
    <w:rsid w:val="00FD6571"/>
    <w:rsid w:val="00FE192C"/>
    <w:rsid w:val="00FE30F0"/>
    <w:rsid w:val="00FF1F58"/>
    <w:rsid w:val="00FF5439"/>
    <w:rsid w:val="00FF6CD6"/>
    <w:rsid w:val="00FF74AE"/>
    <w:rsid w:val="00FF7883"/>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0315B"/>
  <w15:docId w15:val="{7AEEE5D6-225D-47F7-85BF-D780A5C2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1E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E30"/>
    <w:rPr>
      <w:rFonts w:ascii="Tahoma" w:hAnsi="Tahoma" w:cs="Tahoma"/>
      <w:sz w:val="16"/>
      <w:szCs w:val="16"/>
    </w:rPr>
  </w:style>
  <w:style w:type="character" w:styleId="Hyperlink">
    <w:name w:val="Hyperlink"/>
    <w:basedOn w:val="DefaultParagraphFont"/>
    <w:uiPriority w:val="99"/>
    <w:unhideWhenUsed/>
    <w:rsid w:val="00110836"/>
    <w:rPr>
      <w:color w:val="0563C1" w:themeColor="hyperlink"/>
      <w:u w:val="single"/>
    </w:rPr>
  </w:style>
  <w:style w:type="paragraph" w:styleId="FootnoteText">
    <w:name w:val="footnote text"/>
    <w:basedOn w:val="Normal"/>
    <w:link w:val="FootnoteTextChar"/>
    <w:uiPriority w:val="99"/>
    <w:semiHidden/>
    <w:unhideWhenUsed/>
    <w:rsid w:val="00110836"/>
    <w:pPr>
      <w:spacing w:after="0" w:line="240" w:lineRule="auto"/>
    </w:pPr>
    <w:rPr>
      <w:rFonts w:ascii="Times New Roman" w:eastAsiaTheme="minorHAnsi"/>
      <w:sz w:val="20"/>
      <w:szCs w:val="20"/>
      <w:lang w:eastAsia="en-GB"/>
    </w:rPr>
  </w:style>
  <w:style w:type="character" w:customStyle="1" w:styleId="FootnoteTextChar">
    <w:name w:val="Footnote Text Char"/>
    <w:basedOn w:val="DefaultParagraphFont"/>
    <w:link w:val="FootnoteText"/>
    <w:uiPriority w:val="99"/>
    <w:semiHidden/>
    <w:rsid w:val="00110836"/>
    <w:rPr>
      <w:rFonts w:ascii="Times New Roman" w:eastAsiaTheme="minorHAnsi"/>
      <w:sz w:val="20"/>
      <w:szCs w:val="20"/>
      <w:lang w:val="en-GB" w:eastAsia="en-GB"/>
    </w:rPr>
  </w:style>
  <w:style w:type="character" w:styleId="FootnoteReference">
    <w:name w:val="footnote reference"/>
    <w:basedOn w:val="DefaultParagraphFont"/>
    <w:uiPriority w:val="99"/>
    <w:semiHidden/>
    <w:unhideWhenUsed/>
    <w:rsid w:val="00110836"/>
    <w:rPr>
      <w:vertAlign w:val="superscript"/>
    </w:rPr>
  </w:style>
  <w:style w:type="character" w:customStyle="1" w:styleId="UnresolvedMention1">
    <w:name w:val="Unresolved Mention1"/>
    <w:basedOn w:val="DefaultParagraphFont"/>
    <w:uiPriority w:val="99"/>
    <w:semiHidden/>
    <w:unhideWhenUsed/>
    <w:rsid w:val="003A747A"/>
    <w:rPr>
      <w:color w:val="808080"/>
      <w:shd w:val="clear" w:color="auto" w:fill="E6E6E6"/>
    </w:rPr>
  </w:style>
  <w:style w:type="paragraph" w:styleId="ListParagraph">
    <w:name w:val="List Paragraph"/>
    <w:basedOn w:val="Normal"/>
    <w:link w:val="ListParagraphChar"/>
    <w:uiPriority w:val="34"/>
    <w:qFormat/>
    <w:rsid w:val="001869A3"/>
    <w:pPr>
      <w:ind w:left="720"/>
      <w:contextualSpacing/>
    </w:pPr>
  </w:style>
  <w:style w:type="paragraph" w:styleId="Header">
    <w:name w:val="header"/>
    <w:basedOn w:val="Normal"/>
    <w:link w:val="HeaderChar"/>
    <w:uiPriority w:val="99"/>
    <w:unhideWhenUsed/>
    <w:rsid w:val="00CE03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3B6"/>
  </w:style>
  <w:style w:type="paragraph" w:styleId="Footer">
    <w:name w:val="footer"/>
    <w:basedOn w:val="Normal"/>
    <w:link w:val="FooterChar"/>
    <w:uiPriority w:val="99"/>
    <w:unhideWhenUsed/>
    <w:rsid w:val="00CE03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3B6"/>
  </w:style>
  <w:style w:type="paragraph" w:customStyle="1" w:styleId="Level1">
    <w:name w:val="Level1"/>
    <w:basedOn w:val="ListParagraph"/>
    <w:link w:val="Level1Char"/>
    <w:qFormat/>
    <w:rsid w:val="00AB0720"/>
    <w:pPr>
      <w:spacing w:before="120" w:after="120"/>
      <w:ind w:left="0" w:right="3912"/>
      <w:contextualSpacing w:val="0"/>
    </w:pPr>
    <w:rPr>
      <w:rFonts w:eastAsiaTheme="minorEastAsia" w:hAnsiTheme="minorHAnsi" w:cstheme="minorBidi"/>
      <w:b/>
      <w:sz w:val="28"/>
      <w:lang w:eastAsia="ja-JP"/>
    </w:rPr>
  </w:style>
  <w:style w:type="paragraph" w:customStyle="1" w:styleId="Level2">
    <w:name w:val="Level2"/>
    <w:basedOn w:val="Level1"/>
    <w:link w:val="Level2Char"/>
    <w:qFormat/>
    <w:rsid w:val="00053BC8"/>
    <w:pPr>
      <w:numPr>
        <w:ilvl w:val="1"/>
      </w:numPr>
      <w:spacing w:after="0" w:line="240" w:lineRule="auto"/>
      <w:ind w:right="0"/>
    </w:pPr>
    <w:rPr>
      <w:b w:val="0"/>
      <w:sz w:val="24"/>
      <w:szCs w:val="24"/>
      <w:u w:val="single"/>
    </w:rPr>
  </w:style>
  <w:style w:type="paragraph" w:customStyle="1" w:styleId="Level3">
    <w:name w:val="Level3"/>
    <w:basedOn w:val="ListParagraph"/>
    <w:link w:val="Level3Char"/>
    <w:qFormat/>
    <w:rsid w:val="00AB0720"/>
    <w:pPr>
      <w:numPr>
        <w:numId w:val="7"/>
      </w:numPr>
    </w:pPr>
    <w:rPr>
      <w:rFonts w:eastAsiaTheme="minorEastAsia" w:hAnsiTheme="minorHAnsi" w:cstheme="minorBidi"/>
      <w:sz w:val="24"/>
      <w:szCs w:val="24"/>
      <w:lang w:eastAsia="ja-JP"/>
    </w:rPr>
  </w:style>
  <w:style w:type="paragraph" w:customStyle="1" w:styleId="BodyText">
    <w:name w:val="BodyText"/>
    <w:uiPriority w:val="1"/>
    <w:qFormat/>
    <w:rsid w:val="00AB0720"/>
    <w:pPr>
      <w:spacing w:before="120" w:after="0" w:line="240" w:lineRule="auto"/>
    </w:pPr>
    <w:rPr>
      <w:rFonts w:eastAsiaTheme="minorEastAsia" w:hAnsiTheme="minorHAnsi" w:cstheme="minorBidi"/>
      <w:color w:val="000000" w:themeColor="text1"/>
      <w:sz w:val="18"/>
      <w:lang w:val="en-GB" w:eastAsia="ja-JP"/>
    </w:rPr>
  </w:style>
  <w:style w:type="paragraph" w:customStyle="1" w:styleId="Level4">
    <w:name w:val="Level4"/>
    <w:basedOn w:val="Normal"/>
    <w:link w:val="Level4Char"/>
    <w:qFormat/>
    <w:rsid w:val="00AB0720"/>
    <w:pPr>
      <w:ind w:left="720"/>
    </w:pPr>
    <w:rPr>
      <w:rFonts w:eastAsiaTheme="minorEastAsia" w:hAnsiTheme="minorHAnsi" w:cstheme="minorBidi"/>
      <w:sz w:val="24"/>
      <w:szCs w:val="24"/>
      <w:lang w:eastAsia="ja-JP"/>
    </w:rPr>
  </w:style>
  <w:style w:type="character" w:customStyle="1" w:styleId="ListParagraphChar">
    <w:name w:val="List Paragraph Char"/>
    <w:basedOn w:val="DefaultParagraphFont"/>
    <w:link w:val="ListParagraph"/>
    <w:uiPriority w:val="34"/>
    <w:rsid w:val="00AB0720"/>
  </w:style>
  <w:style w:type="character" w:customStyle="1" w:styleId="Level1Char">
    <w:name w:val="Level1 Char"/>
    <w:basedOn w:val="ListParagraphChar"/>
    <w:link w:val="Level1"/>
    <w:rsid w:val="00AB0720"/>
    <w:rPr>
      <w:rFonts w:eastAsiaTheme="minorEastAsia" w:hAnsiTheme="minorHAnsi" w:cstheme="minorBidi"/>
      <w:b/>
      <w:sz w:val="28"/>
      <w:lang w:val="en-GB" w:eastAsia="ja-JP"/>
    </w:rPr>
  </w:style>
  <w:style w:type="character" w:customStyle="1" w:styleId="Level2Char">
    <w:name w:val="Level2 Char"/>
    <w:basedOn w:val="Level1Char"/>
    <w:link w:val="Level2"/>
    <w:rsid w:val="00053BC8"/>
    <w:rPr>
      <w:rFonts w:eastAsiaTheme="minorEastAsia" w:hAnsiTheme="minorHAnsi" w:cstheme="minorBidi"/>
      <w:b w:val="0"/>
      <w:sz w:val="24"/>
      <w:szCs w:val="24"/>
      <w:u w:val="single"/>
      <w:lang w:val="en-GB" w:eastAsia="ja-JP"/>
    </w:rPr>
  </w:style>
  <w:style w:type="character" w:customStyle="1" w:styleId="Level3Char">
    <w:name w:val="Level3 Char"/>
    <w:basedOn w:val="Level2Char"/>
    <w:link w:val="Level3"/>
    <w:rsid w:val="00AB0720"/>
    <w:rPr>
      <w:rFonts w:eastAsiaTheme="minorEastAsia" w:hAnsiTheme="minorHAnsi" w:cstheme="minorBidi"/>
      <w:b w:val="0"/>
      <w:sz w:val="24"/>
      <w:szCs w:val="24"/>
      <w:u w:val="single"/>
      <w:lang w:val="en-GB" w:eastAsia="ja-JP"/>
    </w:rPr>
  </w:style>
  <w:style w:type="character" w:customStyle="1" w:styleId="Level4Char">
    <w:name w:val="Level4 Char"/>
    <w:basedOn w:val="Level3Char"/>
    <w:link w:val="Level4"/>
    <w:rsid w:val="00AB0720"/>
    <w:rPr>
      <w:rFonts w:eastAsiaTheme="minorEastAsia" w:hAnsiTheme="minorHAnsi" w:cstheme="minorBidi"/>
      <w:b w:val="0"/>
      <w:sz w:val="24"/>
      <w:szCs w:val="24"/>
      <w:u w:val="single"/>
      <w:lang w:val="en-GB" w:eastAsia="ja-JP"/>
    </w:rPr>
  </w:style>
  <w:style w:type="character" w:styleId="UnresolvedMention">
    <w:name w:val="Unresolved Mention"/>
    <w:basedOn w:val="DefaultParagraphFont"/>
    <w:uiPriority w:val="99"/>
    <w:semiHidden/>
    <w:unhideWhenUsed/>
    <w:rsid w:val="00C1460E"/>
    <w:rPr>
      <w:color w:val="605E5C"/>
      <w:shd w:val="clear" w:color="auto" w:fill="E1DFDD"/>
    </w:rPr>
  </w:style>
  <w:style w:type="character" w:customStyle="1" w:styleId="il">
    <w:name w:val="il"/>
    <w:basedOn w:val="DefaultParagraphFont"/>
    <w:rsid w:val="00E12C43"/>
  </w:style>
  <w:style w:type="character" w:styleId="FollowedHyperlink">
    <w:name w:val="FollowedHyperlink"/>
    <w:basedOn w:val="DefaultParagraphFont"/>
    <w:uiPriority w:val="99"/>
    <w:semiHidden/>
    <w:unhideWhenUsed/>
    <w:rsid w:val="00746DCF"/>
    <w:rPr>
      <w:color w:val="954F72" w:themeColor="followedHyperlink"/>
      <w:u w:val="single"/>
    </w:rPr>
  </w:style>
  <w:style w:type="character" w:customStyle="1" w:styleId="organisation-name">
    <w:name w:val="organisation-name"/>
    <w:basedOn w:val="DefaultParagraphFont"/>
    <w:rsid w:val="0061333B"/>
  </w:style>
  <w:style w:type="character" w:customStyle="1" w:styleId="postal-code">
    <w:name w:val="postal-code"/>
    <w:basedOn w:val="DefaultParagraphFont"/>
    <w:rsid w:val="0061333B"/>
  </w:style>
  <w:style w:type="character" w:customStyle="1" w:styleId="locality">
    <w:name w:val="locality"/>
    <w:basedOn w:val="DefaultParagraphFont"/>
    <w:rsid w:val="0061333B"/>
  </w:style>
  <w:style w:type="character" w:customStyle="1" w:styleId="country">
    <w:name w:val="country"/>
    <w:basedOn w:val="DefaultParagraphFont"/>
    <w:rsid w:val="00613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967200">
      <w:bodyDiv w:val="1"/>
      <w:marLeft w:val="0"/>
      <w:marRight w:val="0"/>
      <w:marTop w:val="0"/>
      <w:marBottom w:val="0"/>
      <w:divBdr>
        <w:top w:val="none" w:sz="0" w:space="0" w:color="auto"/>
        <w:left w:val="none" w:sz="0" w:space="0" w:color="auto"/>
        <w:bottom w:val="none" w:sz="0" w:space="0" w:color="auto"/>
        <w:right w:val="none" w:sz="0" w:space="0" w:color="auto"/>
      </w:divBdr>
    </w:div>
    <w:div w:id="786777128">
      <w:bodyDiv w:val="1"/>
      <w:marLeft w:val="0"/>
      <w:marRight w:val="0"/>
      <w:marTop w:val="0"/>
      <w:marBottom w:val="0"/>
      <w:divBdr>
        <w:top w:val="none" w:sz="0" w:space="0" w:color="auto"/>
        <w:left w:val="none" w:sz="0" w:space="0" w:color="auto"/>
        <w:bottom w:val="none" w:sz="0" w:space="0" w:color="auto"/>
        <w:right w:val="none" w:sz="0" w:space="0" w:color="auto"/>
      </w:divBdr>
      <w:divsChild>
        <w:div w:id="522675368">
          <w:marLeft w:val="0"/>
          <w:marRight w:val="0"/>
          <w:marTop w:val="0"/>
          <w:marBottom w:val="0"/>
          <w:divBdr>
            <w:top w:val="none" w:sz="0" w:space="0" w:color="auto"/>
            <w:left w:val="none" w:sz="0" w:space="0" w:color="auto"/>
            <w:bottom w:val="none" w:sz="0" w:space="0" w:color="auto"/>
            <w:right w:val="none" w:sz="0" w:space="0" w:color="auto"/>
          </w:divBdr>
        </w:div>
      </w:divsChild>
    </w:div>
    <w:div w:id="1896117357">
      <w:bodyDiv w:val="1"/>
      <w:marLeft w:val="0"/>
      <w:marRight w:val="0"/>
      <w:marTop w:val="0"/>
      <w:marBottom w:val="0"/>
      <w:divBdr>
        <w:top w:val="none" w:sz="0" w:space="0" w:color="auto"/>
        <w:left w:val="none" w:sz="0" w:space="0" w:color="auto"/>
        <w:bottom w:val="none" w:sz="0" w:space="0" w:color="auto"/>
        <w:right w:val="none" w:sz="0" w:space="0" w:color="auto"/>
      </w:divBdr>
      <w:divsChild>
        <w:div w:id="1697778289">
          <w:marLeft w:val="0"/>
          <w:marRight w:val="1224"/>
          <w:marTop w:val="0"/>
          <w:marBottom w:val="0"/>
          <w:divBdr>
            <w:top w:val="none" w:sz="0" w:space="0" w:color="auto"/>
            <w:left w:val="none" w:sz="0" w:space="0" w:color="auto"/>
            <w:bottom w:val="none" w:sz="0" w:space="0" w:color="auto"/>
            <w:right w:val="none" w:sz="0" w:space="0" w:color="auto"/>
          </w:divBdr>
          <w:divsChild>
            <w:div w:id="1922837616">
              <w:marLeft w:val="0"/>
              <w:marRight w:val="0"/>
              <w:marTop w:val="0"/>
              <w:marBottom w:val="0"/>
              <w:divBdr>
                <w:top w:val="none" w:sz="0" w:space="0" w:color="auto"/>
                <w:left w:val="none" w:sz="0" w:space="0" w:color="auto"/>
                <w:bottom w:val="none" w:sz="0" w:space="0" w:color="auto"/>
                <w:right w:val="none" w:sz="0" w:space="0" w:color="auto"/>
              </w:divBdr>
              <w:divsChild>
                <w:div w:id="11385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gi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sla.co.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slaemea.org/legal-service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5448B2187A3C4E82B143AC0F07903F" ma:contentTypeVersion="12" ma:contentTypeDescription="Create a new document." ma:contentTypeScope="" ma:versionID="60d0a30e178a4585e929857dfc93611d">
  <xsd:schema xmlns:xsd="http://www.w3.org/2001/XMLSchema" xmlns:xs="http://www.w3.org/2001/XMLSchema" xmlns:p="http://schemas.microsoft.com/office/2006/metadata/properties" xmlns:ns2="d64c42e7-81ce-41a0-b6c1-57d6e2805238" xmlns:ns3="3ecf9566-b028-45c4-a091-e1d15b972bf0" targetNamespace="http://schemas.microsoft.com/office/2006/metadata/properties" ma:root="true" ma:fieldsID="5a3ef5b96f4ce46fa82922f56d2f2e8e" ns2:_="" ns3:_="">
    <xsd:import namespace="d64c42e7-81ce-41a0-b6c1-57d6e2805238"/>
    <xsd:import namespace="3ecf9566-b028-45c4-a091-e1d15b972b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c42e7-81ce-41a0-b6c1-57d6e2805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f9566-b028-45c4-a091-e1d15b972b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14F01-EA74-4B73-BEA3-8DAE758C6AF7}">
  <ds:schemaRefs>
    <ds:schemaRef ds:uri="http://schemas.microsoft.com/sharepoint/v3/contenttype/forms"/>
  </ds:schemaRefs>
</ds:datastoreItem>
</file>

<file path=customXml/itemProps2.xml><?xml version="1.0" encoding="utf-8"?>
<ds:datastoreItem xmlns:ds="http://schemas.openxmlformats.org/officeDocument/2006/customXml" ds:itemID="{78E49974-9504-45D8-A30D-CF9934B483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AFB186-58F9-4B30-AECC-4AF779F03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c42e7-81ce-41a0-b6c1-57d6e2805238"/>
    <ds:schemaRef ds:uri="3ecf9566-b028-45c4-a091-e1d15b972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694</Words>
  <Characters>3960</Characters>
  <Application>Microsoft Office Word</Application>
  <DocSecurity>0</DocSecurity>
  <Lines>33</Lines>
  <Paragraphs>9</Paragraphs>
  <ScaleCrop>false</ScaleCrop>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Dale</dc:creator>
  <cp:lastModifiedBy>Farrah Mahmood</cp:lastModifiedBy>
  <cp:revision>97</cp:revision>
  <dcterms:created xsi:type="dcterms:W3CDTF">2021-02-01T10:23:00Z</dcterms:created>
  <dcterms:modified xsi:type="dcterms:W3CDTF">2021-02-02T15:24:00Z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0x0101005D5448B2187A3C4E82B143AC0F07903F</vt:lpwstr>
  </property>
</Properties>
</file>