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401A0" w14:textId="1E14C5DE" w:rsidR="001D2B5F" w:rsidRPr="00F24972" w:rsidRDefault="001D2B5F">
      <w:pPr>
        <w:rPr>
          <w:rFonts w:ascii="Invesco Interstate Light" w:hAnsi="Invesco Interstate Light"/>
          <w:b/>
          <w:bCs/>
          <w:u w:val="single"/>
        </w:rPr>
      </w:pPr>
    </w:p>
    <w:p w14:paraId="1DF78741" w14:textId="3C0C8588" w:rsidR="001D2B5F" w:rsidRPr="00F24972" w:rsidRDefault="001D2B5F">
      <w:pPr>
        <w:rPr>
          <w:rFonts w:ascii="Invesco Interstate Light" w:hAnsi="Invesco Interstate Light"/>
          <w:b/>
          <w:bCs/>
          <w:u w:val="single"/>
        </w:rPr>
      </w:pPr>
    </w:p>
    <w:p w14:paraId="476B7FBB" w14:textId="02101429" w:rsidR="001D2B5F" w:rsidRPr="00F24972" w:rsidRDefault="001D2B5F">
      <w:pPr>
        <w:rPr>
          <w:rFonts w:ascii="Invesco Interstate Light" w:hAnsi="Invesco Interstate Light"/>
          <w:b/>
          <w:bCs/>
          <w:u w:val="single"/>
        </w:rPr>
      </w:pPr>
    </w:p>
    <w:p w14:paraId="3DE21999" w14:textId="77777777" w:rsidR="001D2B5F" w:rsidRPr="00F24972" w:rsidRDefault="001D2B5F">
      <w:pPr>
        <w:rPr>
          <w:rFonts w:ascii="Invesco Interstate Light" w:hAnsi="Invesco Interstate Light"/>
          <w:b/>
          <w:bCs/>
          <w:u w:val="single"/>
        </w:rPr>
      </w:pPr>
    </w:p>
    <w:tbl>
      <w:tblPr>
        <w:tblStyle w:val="TableGrid"/>
        <w:tblW w:w="9469"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082"/>
      </w:tblGrid>
      <w:tr w:rsidR="00F24972" w:rsidRPr="00F24972" w14:paraId="692CA08D" w14:textId="77777777" w:rsidTr="002A58D1">
        <w:trPr>
          <w:trHeight w:hRule="exact" w:val="2381"/>
        </w:trPr>
        <w:tc>
          <w:tcPr>
            <w:tcW w:w="5387" w:type="dxa"/>
          </w:tcPr>
          <w:p w14:paraId="695532A3" w14:textId="7C5BD71F" w:rsidR="00F24972" w:rsidRDefault="00F24972" w:rsidP="00DB7FE4">
            <w:pPr>
              <w:rPr>
                <w:rFonts w:ascii="Invesco Interstate Light" w:hAnsi="Invesco Interstate Light"/>
              </w:rPr>
            </w:pPr>
            <w:r>
              <w:rPr>
                <w:rFonts w:ascii="Invesco Interstate Light" w:hAnsi="Invesco Interstate Light"/>
              </w:rPr>
              <w:t>European Commission</w:t>
            </w:r>
            <w:r w:rsidR="00A43414">
              <w:rPr>
                <w:rFonts w:ascii="Invesco Interstate Light" w:hAnsi="Invesco Interstate Light"/>
              </w:rPr>
              <w:t>,</w:t>
            </w:r>
          </w:p>
          <w:p w14:paraId="6DEBDB85" w14:textId="1B29EC32" w:rsidR="00F24972" w:rsidRPr="00F24972" w:rsidRDefault="00F24972" w:rsidP="00DB7FE4">
            <w:pPr>
              <w:rPr>
                <w:rFonts w:ascii="Invesco Interstate Light" w:hAnsi="Invesco Interstate Light"/>
              </w:rPr>
            </w:pPr>
            <w:r w:rsidRPr="00F24972">
              <w:rPr>
                <w:rFonts w:ascii="Invesco Interstate Light" w:hAnsi="Invesco Interstate Light"/>
              </w:rPr>
              <w:t>Directorate-General for Financial Stability, Financial Services and Capital Markets Union</w:t>
            </w:r>
            <w:r w:rsidR="00A43414">
              <w:rPr>
                <w:rFonts w:ascii="Invesco Interstate Light" w:hAnsi="Invesco Interstate Light"/>
              </w:rPr>
              <w:t>,</w:t>
            </w:r>
          </w:p>
          <w:p w14:paraId="661BCF92" w14:textId="6A58B081" w:rsidR="00F24972" w:rsidRPr="00F24972" w:rsidRDefault="00F24972" w:rsidP="00DB7FE4">
            <w:pPr>
              <w:rPr>
                <w:rFonts w:ascii="Invesco Interstate Light" w:hAnsi="Invesco Interstate Light"/>
              </w:rPr>
            </w:pPr>
            <w:r>
              <w:rPr>
                <w:rFonts w:ascii="Invesco Interstate Light" w:hAnsi="Invesco Interstate Light"/>
              </w:rPr>
              <w:t>1049 Brussels</w:t>
            </w:r>
            <w:r w:rsidR="00A43414">
              <w:rPr>
                <w:rFonts w:ascii="Invesco Interstate Light" w:hAnsi="Invesco Interstate Light"/>
              </w:rPr>
              <w:t>,</w:t>
            </w:r>
          </w:p>
          <w:p w14:paraId="53F7021C" w14:textId="786C71D9" w:rsidR="00F24972" w:rsidRPr="00F24972" w:rsidRDefault="00F24972" w:rsidP="00DB7FE4">
            <w:pPr>
              <w:rPr>
                <w:rFonts w:ascii="Invesco Interstate Light" w:hAnsi="Invesco Interstate Light"/>
              </w:rPr>
            </w:pPr>
            <w:r>
              <w:rPr>
                <w:rFonts w:ascii="Invesco Interstate Light" w:hAnsi="Invesco Interstate Light"/>
              </w:rPr>
              <w:t>Belgium</w:t>
            </w:r>
          </w:p>
          <w:p w14:paraId="4618BF7E" w14:textId="77777777" w:rsidR="00F24972" w:rsidRPr="00F24972" w:rsidRDefault="00F24972" w:rsidP="00DB7FE4">
            <w:pPr>
              <w:rPr>
                <w:rFonts w:ascii="Invesco Interstate Light" w:hAnsi="Invesco Interstate Light"/>
              </w:rPr>
            </w:pPr>
          </w:p>
          <w:p w14:paraId="3E771E03" w14:textId="45F82EE3" w:rsidR="00F24972" w:rsidRPr="00F24972" w:rsidRDefault="00F24972" w:rsidP="00DB7FE4">
            <w:pPr>
              <w:rPr>
                <w:rFonts w:ascii="Invesco Interstate Light" w:hAnsi="Invesco Interstate Light"/>
              </w:rPr>
            </w:pPr>
            <w:r w:rsidRPr="00F24972">
              <w:rPr>
                <w:rFonts w:ascii="Invesco Interstate Light" w:hAnsi="Invesco Interstate Light"/>
              </w:rPr>
              <w:t xml:space="preserve">Submitted via </w:t>
            </w:r>
            <w:r>
              <w:rPr>
                <w:rFonts w:ascii="Invesco Interstate Light" w:hAnsi="Invesco Interstate Light"/>
              </w:rPr>
              <w:t>online portal</w:t>
            </w:r>
          </w:p>
        </w:tc>
        <w:tc>
          <w:tcPr>
            <w:tcW w:w="408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7"/>
            </w:tblGrid>
            <w:tr w:rsidR="00F24972" w:rsidRPr="00F24972" w14:paraId="32019CCB" w14:textId="77777777" w:rsidTr="00F24972">
              <w:tc>
                <w:tcPr>
                  <w:tcW w:w="4167" w:type="dxa"/>
                </w:tcPr>
                <w:p w14:paraId="7AC73FBD" w14:textId="77777777" w:rsidR="00F24972" w:rsidRPr="00F24972" w:rsidRDefault="00F24972" w:rsidP="00DB7FE4">
                  <w:pPr>
                    <w:pBdr>
                      <w:top w:val="single" w:sz="8" w:space="1" w:color="auto"/>
                    </w:pBdr>
                    <w:rPr>
                      <w:rFonts w:ascii="Invesco Interstate Light" w:hAnsi="Invesco Interstate Light"/>
                    </w:rPr>
                  </w:pPr>
                  <w:r w:rsidRPr="00F24972">
                    <w:rPr>
                      <w:rFonts w:ascii="Invesco Interstate Light" w:hAnsi="Invesco Interstate Light"/>
                      <w:b/>
                    </w:rPr>
                    <w:t>I</w:t>
                  </w:r>
                  <w:r w:rsidRPr="00F24972">
                    <w:rPr>
                      <w:rFonts w:ascii="Invesco Interstate Light" w:eastAsia="Times New Roman" w:hAnsi="Invesco Interstate Light" w:cs="Arial"/>
                      <w:b/>
                      <w:bCs/>
                      <w:color w:val="000000" w:themeColor="text1"/>
                    </w:rPr>
                    <w:t xml:space="preserve">nvesco </w:t>
                  </w:r>
                </w:p>
                <w:p w14:paraId="48E53005" w14:textId="77777777" w:rsidR="00F24972" w:rsidRPr="00F24972" w:rsidRDefault="00F24972" w:rsidP="00DB7FE4">
                  <w:pPr>
                    <w:rPr>
                      <w:rFonts w:ascii="Invesco Interstate Light" w:eastAsia="Times New Roman" w:hAnsi="Invesco Interstate Light" w:cs="Arial"/>
                      <w:color w:val="000000" w:themeColor="text1"/>
                      <w:sz w:val="20"/>
                      <w:szCs w:val="20"/>
                    </w:rPr>
                  </w:pPr>
                  <w:r w:rsidRPr="00F24972">
                    <w:rPr>
                      <w:rFonts w:ascii="Invesco Interstate Light" w:eastAsia="Times New Roman" w:hAnsi="Invesco Interstate Light" w:cs="Arial"/>
                      <w:color w:val="000000" w:themeColor="text1"/>
                      <w:sz w:val="20"/>
                      <w:szCs w:val="20"/>
                    </w:rPr>
                    <w:t>43-45 Portman Square, London W1H 6LY</w:t>
                  </w:r>
                </w:p>
                <w:p w14:paraId="1B6FFB1F" w14:textId="77777777" w:rsidR="00F24972" w:rsidRPr="00F24972" w:rsidRDefault="00F24972" w:rsidP="00DB7FE4">
                  <w:pPr>
                    <w:rPr>
                      <w:rFonts w:ascii="Invesco Interstate Light" w:hAnsi="Invesco Interstate Light"/>
                    </w:rPr>
                  </w:pPr>
                  <w:r w:rsidRPr="00F24972">
                    <w:rPr>
                      <w:rFonts w:ascii="Invesco Interstate Light" w:eastAsia="Times New Roman" w:hAnsi="Invesco Interstate Light" w:cs="Arial"/>
                      <w:color w:val="000000" w:themeColor="text1"/>
                      <w:sz w:val="20"/>
                      <w:szCs w:val="20"/>
                    </w:rPr>
                    <w:t>United Kingdom</w:t>
                  </w:r>
                </w:p>
              </w:tc>
            </w:tr>
            <w:tr w:rsidR="00F24972" w:rsidRPr="00F24972" w14:paraId="3C8BE48C" w14:textId="77777777" w:rsidTr="00F24972">
              <w:trPr>
                <w:trHeight w:hRule="exact" w:val="170"/>
              </w:trPr>
              <w:tc>
                <w:tcPr>
                  <w:tcW w:w="4167" w:type="dxa"/>
                </w:tcPr>
                <w:p w14:paraId="02E8EAFF" w14:textId="77777777" w:rsidR="00F24972" w:rsidRPr="00F24972" w:rsidRDefault="00F24972" w:rsidP="00DB7FE4">
                  <w:pPr>
                    <w:rPr>
                      <w:rFonts w:ascii="Invesco Interstate Light" w:hAnsi="Invesco Interstate Light"/>
                    </w:rPr>
                  </w:pPr>
                </w:p>
              </w:tc>
            </w:tr>
            <w:tr w:rsidR="00F24972" w:rsidRPr="00F24972" w14:paraId="039D53FD" w14:textId="77777777" w:rsidTr="00F24972">
              <w:tc>
                <w:tcPr>
                  <w:tcW w:w="4167" w:type="dxa"/>
                </w:tcPr>
                <w:p w14:paraId="5DCB9345" w14:textId="2D3D6765" w:rsidR="00F24972" w:rsidRPr="00F24972" w:rsidRDefault="00F24972" w:rsidP="00DB7FE4">
                  <w:pPr>
                    <w:pBdr>
                      <w:top w:val="single" w:sz="4" w:space="1" w:color="auto"/>
                    </w:pBdr>
                    <w:rPr>
                      <w:rFonts w:ascii="Invesco Interstate Light" w:hAnsi="Invesco Interstate Light"/>
                      <w:sz w:val="20"/>
                      <w:szCs w:val="20"/>
                      <w:lang w:val="it-IT"/>
                    </w:rPr>
                  </w:pPr>
                  <w:r w:rsidRPr="00F24972">
                    <w:rPr>
                      <w:rFonts w:ascii="Invesco Interstate Light" w:hAnsi="Invesco Interstate Light"/>
                      <w:sz w:val="20"/>
                      <w:szCs w:val="20"/>
                      <w:lang w:val="it-IT"/>
                    </w:rPr>
                    <w:t>Switchboard +44 (0)20 7543 3500</w:t>
                  </w:r>
                </w:p>
                <w:p w14:paraId="068655E4" w14:textId="77777777" w:rsidR="00F24972" w:rsidRDefault="00F24972" w:rsidP="00DB7FE4">
                  <w:pPr>
                    <w:pBdr>
                      <w:top w:val="single" w:sz="4" w:space="1" w:color="auto"/>
                    </w:pBdr>
                    <w:rPr>
                      <w:rFonts w:ascii="Invesco Interstate Light" w:hAnsi="Invesco Interstate Light"/>
                      <w:sz w:val="20"/>
                      <w:szCs w:val="20"/>
                      <w:lang w:val="it-IT"/>
                    </w:rPr>
                  </w:pPr>
                  <w:r w:rsidRPr="00F24972">
                    <w:rPr>
                      <w:rFonts w:ascii="Invesco Interstate Light" w:hAnsi="Invesco Interstate Light"/>
                      <w:sz w:val="20"/>
                      <w:szCs w:val="20"/>
                      <w:lang w:val="it-IT"/>
                    </w:rPr>
                    <w:t>Facsimile +44 (0)20 7543 3588</w:t>
                  </w:r>
                </w:p>
                <w:p w14:paraId="65DDA8B0" w14:textId="6A99B6E9" w:rsidR="00F24972" w:rsidRPr="00F24972" w:rsidRDefault="00F24972" w:rsidP="00DB7FE4">
                  <w:pPr>
                    <w:pBdr>
                      <w:top w:val="single" w:sz="4" w:space="1" w:color="auto"/>
                    </w:pBdr>
                    <w:rPr>
                      <w:rFonts w:ascii="Invesco Interstate Light" w:hAnsi="Invesco Interstate Light"/>
                      <w:u w:val="single"/>
                      <w:lang w:val="it-IT"/>
                    </w:rPr>
                  </w:pPr>
                  <w:r w:rsidRPr="00F24972">
                    <w:rPr>
                      <w:rFonts w:ascii="Invesco Interstate Light" w:hAnsi="Invesco Interstate Light"/>
                      <w:color w:val="2F5496" w:themeColor="accent1" w:themeShade="BF"/>
                      <w:sz w:val="20"/>
                      <w:szCs w:val="20"/>
                      <w:u w:val="single"/>
                    </w:rPr>
                    <w:t>www.</w:t>
                  </w:r>
                  <w:hyperlink r:id="rId11" w:tgtFrame="_blank" w:history="1">
                    <w:r w:rsidRPr="00F24972">
                      <w:rPr>
                        <w:rFonts w:ascii="Invesco Interstate Light" w:eastAsia="Times New Roman" w:hAnsi="Invesco Interstate Light" w:cs="Arial"/>
                        <w:color w:val="2F5496" w:themeColor="accent1" w:themeShade="BF"/>
                        <w:sz w:val="20"/>
                        <w:szCs w:val="20"/>
                        <w:u w:val="single"/>
                        <w:lang w:val="it-IT"/>
                      </w:rPr>
                      <w:t>invesco.co.uk</w:t>
                    </w:r>
                  </w:hyperlink>
                </w:p>
              </w:tc>
            </w:tr>
          </w:tbl>
          <w:p w14:paraId="45ABC18A" w14:textId="260AF37F" w:rsidR="00F24972" w:rsidRPr="00F24972" w:rsidRDefault="00F24972" w:rsidP="00DB7FE4">
            <w:pPr>
              <w:rPr>
                <w:rFonts w:ascii="Invesco Interstate Light" w:hAnsi="Invesco Interstate Light"/>
                <w:lang w:val="it-IT"/>
              </w:rPr>
            </w:pPr>
          </w:p>
        </w:tc>
      </w:tr>
      <w:tr w:rsidR="00F24972" w:rsidRPr="00F24972" w14:paraId="279380A7" w14:textId="77777777" w:rsidTr="002A58D1">
        <w:trPr>
          <w:trHeight w:val="57"/>
        </w:trPr>
        <w:tc>
          <w:tcPr>
            <w:tcW w:w="5387" w:type="dxa"/>
          </w:tcPr>
          <w:p w14:paraId="70181DC2" w14:textId="2C43175D" w:rsidR="00F24972" w:rsidRPr="00F24972" w:rsidRDefault="00450449" w:rsidP="00DB7FE4">
            <w:pPr>
              <w:rPr>
                <w:rFonts w:ascii="Invesco Interstate Light" w:hAnsi="Invesco Interstate Light"/>
              </w:rPr>
            </w:pPr>
            <w:r>
              <w:rPr>
                <w:rFonts w:ascii="Invesco Interstate Light" w:hAnsi="Invesco Interstate Light"/>
              </w:rPr>
              <w:t xml:space="preserve">2 February </w:t>
            </w:r>
            <w:r w:rsidR="00F24972">
              <w:rPr>
                <w:rFonts w:ascii="Invesco Interstate Light" w:hAnsi="Invesco Interstate Light"/>
              </w:rPr>
              <w:t>2021</w:t>
            </w:r>
          </w:p>
        </w:tc>
        <w:tc>
          <w:tcPr>
            <w:tcW w:w="4082" w:type="dxa"/>
          </w:tcPr>
          <w:p w14:paraId="683A81D4" w14:textId="77777777" w:rsidR="00F24972" w:rsidRPr="00F24972" w:rsidRDefault="00F24972" w:rsidP="00DB7FE4">
            <w:pPr>
              <w:rPr>
                <w:rFonts w:ascii="Invesco Interstate Light" w:hAnsi="Invesco Interstate Light"/>
              </w:rPr>
            </w:pPr>
          </w:p>
        </w:tc>
      </w:tr>
      <w:tr w:rsidR="00F24972" w:rsidRPr="00F24972" w14:paraId="0166CBDC" w14:textId="77777777" w:rsidTr="002A58D1">
        <w:trPr>
          <w:trHeight w:val="57"/>
        </w:trPr>
        <w:tc>
          <w:tcPr>
            <w:tcW w:w="5387" w:type="dxa"/>
          </w:tcPr>
          <w:p w14:paraId="60BB49F4" w14:textId="77777777" w:rsidR="00F24972" w:rsidRPr="00F24972" w:rsidRDefault="00F24972" w:rsidP="00DB7FE4">
            <w:pPr>
              <w:rPr>
                <w:rFonts w:ascii="Invesco Interstate Light" w:hAnsi="Invesco Interstate Light"/>
              </w:rPr>
            </w:pPr>
          </w:p>
        </w:tc>
        <w:tc>
          <w:tcPr>
            <w:tcW w:w="4082" w:type="dxa"/>
          </w:tcPr>
          <w:p w14:paraId="0C10F3D4" w14:textId="77777777" w:rsidR="00F24972" w:rsidRPr="00F24972" w:rsidRDefault="00F24972" w:rsidP="00DB7FE4">
            <w:pPr>
              <w:rPr>
                <w:rFonts w:ascii="Invesco Interstate Light" w:hAnsi="Invesco Interstate Light"/>
              </w:rPr>
            </w:pPr>
          </w:p>
        </w:tc>
      </w:tr>
    </w:tbl>
    <w:p w14:paraId="1B97C159" w14:textId="77777777" w:rsidR="00F24972" w:rsidRPr="00F24972" w:rsidRDefault="00F24972" w:rsidP="00F24972">
      <w:pPr>
        <w:spacing w:after="0"/>
        <w:rPr>
          <w:rFonts w:ascii="Invesco Interstate Light" w:hAnsi="Invesco Interstate Light"/>
        </w:rPr>
      </w:pPr>
    </w:p>
    <w:p w14:paraId="05E50A7E" w14:textId="77777777" w:rsidR="00F24972" w:rsidRPr="00F24972" w:rsidRDefault="00F24972" w:rsidP="00F24972">
      <w:pPr>
        <w:spacing w:after="0"/>
        <w:rPr>
          <w:rFonts w:ascii="Invesco Interstate Light" w:hAnsi="Invesco Interstate Light"/>
        </w:rPr>
      </w:pPr>
    </w:p>
    <w:p w14:paraId="5FA7611B" w14:textId="2F6A1BF4" w:rsidR="00F24972" w:rsidRPr="00F24972" w:rsidRDefault="00F24972" w:rsidP="00F24972">
      <w:pPr>
        <w:spacing w:after="0"/>
        <w:ind w:left="720"/>
        <w:rPr>
          <w:rFonts w:ascii="Invesco Interstate Light" w:hAnsi="Invesco Interstate Light"/>
        </w:rPr>
      </w:pPr>
      <w:r w:rsidRPr="00F24972">
        <w:rPr>
          <w:rFonts w:ascii="Invesco Interstate Light" w:hAnsi="Invesco Interstate Light"/>
        </w:rPr>
        <w:t xml:space="preserve">Dear </w:t>
      </w:r>
      <w:r w:rsidR="002A58D1">
        <w:rPr>
          <w:rFonts w:ascii="Invesco Interstate Light" w:hAnsi="Invesco Interstate Light"/>
        </w:rPr>
        <w:t>Madam, Sir,</w:t>
      </w:r>
    </w:p>
    <w:p w14:paraId="33452CC4" w14:textId="77777777" w:rsidR="00F24972" w:rsidRPr="00F24972" w:rsidRDefault="00F24972" w:rsidP="00F24972">
      <w:pPr>
        <w:spacing w:after="0"/>
        <w:ind w:left="720"/>
        <w:rPr>
          <w:rFonts w:ascii="Invesco Interstate Light" w:hAnsi="Invesco Interstate Light"/>
        </w:rPr>
      </w:pPr>
    </w:p>
    <w:p w14:paraId="7FD325FA" w14:textId="4F01C969" w:rsidR="00F24972" w:rsidRPr="00F24972" w:rsidRDefault="00F24972" w:rsidP="00F24972">
      <w:pPr>
        <w:spacing w:after="0"/>
        <w:ind w:left="720"/>
        <w:rPr>
          <w:rFonts w:ascii="Invesco Interstate Light" w:hAnsi="Invesco Interstate Light"/>
        </w:rPr>
      </w:pPr>
    </w:p>
    <w:p w14:paraId="6264F2A9" w14:textId="44466247" w:rsidR="00F24972" w:rsidRPr="00F24972" w:rsidRDefault="00F24972" w:rsidP="00F24972">
      <w:pPr>
        <w:spacing w:after="0"/>
        <w:ind w:left="720"/>
        <w:rPr>
          <w:rFonts w:ascii="Invesco Interstate Light" w:hAnsi="Invesco Interstate Light"/>
        </w:rPr>
      </w:pPr>
      <w:r w:rsidRPr="00F24972">
        <w:rPr>
          <w:rFonts w:ascii="Invesco Interstate Light" w:hAnsi="Invesco Interstate Light"/>
        </w:rPr>
        <w:t xml:space="preserve">Please find attached </w:t>
      </w:r>
      <w:r w:rsidR="002A58D1">
        <w:rPr>
          <w:rFonts w:ascii="Invesco Interstate Light" w:hAnsi="Invesco Interstate Light"/>
        </w:rPr>
        <w:t xml:space="preserve">additional comments supplementing </w:t>
      </w:r>
      <w:r w:rsidRPr="00F24972">
        <w:rPr>
          <w:rFonts w:ascii="Invesco Interstate Light" w:hAnsi="Invesco Interstate Light"/>
        </w:rPr>
        <w:t xml:space="preserve">Invesco’s response to the </w:t>
      </w:r>
      <w:r w:rsidR="002A58D1">
        <w:rPr>
          <w:rFonts w:ascii="Invesco Interstate Light" w:hAnsi="Invesco Interstate Light"/>
        </w:rPr>
        <w:t xml:space="preserve">European Commission consultation on the Review of the </w:t>
      </w:r>
      <w:r w:rsidR="004E35EE" w:rsidRPr="004E35EE">
        <w:rPr>
          <w:rFonts w:ascii="Invesco Interstate Light" w:hAnsi="Invesco Interstate Light"/>
        </w:rPr>
        <w:t>Central Securities Depositories Regulation (CSDR)</w:t>
      </w:r>
      <w:r w:rsidR="002A58D1">
        <w:rPr>
          <w:rFonts w:ascii="Invesco Interstate Light" w:hAnsi="Invesco Interstate Light"/>
        </w:rPr>
        <w:t>.</w:t>
      </w:r>
    </w:p>
    <w:p w14:paraId="55BE2D90" w14:textId="77777777" w:rsidR="00F24972" w:rsidRPr="00F24972" w:rsidRDefault="00F24972" w:rsidP="00F24972">
      <w:pPr>
        <w:spacing w:after="0"/>
        <w:ind w:left="720"/>
        <w:rPr>
          <w:rFonts w:ascii="Invesco Interstate Light" w:hAnsi="Invesco Interstate Light"/>
        </w:rPr>
      </w:pPr>
    </w:p>
    <w:p w14:paraId="7BE6C3ED" w14:textId="35C73C5F" w:rsidR="00F24972" w:rsidRPr="00F24972" w:rsidRDefault="00F24972" w:rsidP="00F24972">
      <w:pPr>
        <w:spacing w:after="0"/>
        <w:ind w:left="720"/>
        <w:rPr>
          <w:rFonts w:ascii="Invesco Interstate Light" w:hAnsi="Invesco Interstate Light"/>
        </w:rPr>
      </w:pPr>
      <w:r w:rsidRPr="00F24972">
        <w:rPr>
          <w:rFonts w:ascii="Invesco Interstate Light" w:hAnsi="Invesco Interstate Light"/>
        </w:rPr>
        <w:t xml:space="preserve">Invesco welcomes the opportunity to respond to the </w:t>
      </w:r>
      <w:r w:rsidR="00A43414">
        <w:rPr>
          <w:rFonts w:ascii="Invesco Interstate Light" w:hAnsi="Invesco Interstate Light"/>
        </w:rPr>
        <w:t xml:space="preserve">consultation </w:t>
      </w:r>
      <w:r w:rsidRPr="00F24972">
        <w:rPr>
          <w:rFonts w:ascii="Invesco Interstate Light" w:hAnsi="Invesco Interstate Light"/>
        </w:rPr>
        <w:t xml:space="preserve">and thanks the </w:t>
      </w:r>
      <w:r w:rsidR="00A43414">
        <w:rPr>
          <w:rFonts w:ascii="Invesco Interstate Light" w:hAnsi="Invesco Interstate Light"/>
        </w:rPr>
        <w:t xml:space="preserve">European Commission </w:t>
      </w:r>
      <w:r w:rsidRPr="00F24972">
        <w:rPr>
          <w:rFonts w:ascii="Invesco Interstate Light" w:hAnsi="Invesco Interstate Light"/>
        </w:rPr>
        <w:t>for its constructive engagement with stakeholders.</w:t>
      </w:r>
    </w:p>
    <w:p w14:paraId="5EF75A66" w14:textId="77777777" w:rsidR="00F24972" w:rsidRPr="00F24972" w:rsidRDefault="00F24972" w:rsidP="00F24972">
      <w:pPr>
        <w:spacing w:after="0"/>
        <w:ind w:left="720"/>
        <w:rPr>
          <w:rFonts w:ascii="Invesco Interstate Light" w:hAnsi="Invesco Interstate Light"/>
        </w:rPr>
      </w:pPr>
    </w:p>
    <w:p w14:paraId="5253EC45" w14:textId="77777777" w:rsidR="00F24972" w:rsidRPr="00F24972" w:rsidRDefault="00F24972" w:rsidP="00F24972">
      <w:pPr>
        <w:spacing w:after="0"/>
        <w:ind w:left="720"/>
        <w:rPr>
          <w:rFonts w:ascii="Invesco Interstate Light" w:hAnsi="Invesco Interstate Light"/>
        </w:rPr>
      </w:pPr>
    </w:p>
    <w:p w14:paraId="789BFE83" w14:textId="4A3794A7" w:rsidR="00F24972" w:rsidRPr="00F24972" w:rsidRDefault="00F24972" w:rsidP="00F24972">
      <w:pPr>
        <w:spacing w:after="0"/>
        <w:ind w:left="720"/>
        <w:rPr>
          <w:rFonts w:ascii="Invesco Interstate Light" w:hAnsi="Invesco Interstate Light"/>
        </w:rPr>
      </w:pPr>
      <w:r w:rsidRPr="00F24972">
        <w:rPr>
          <w:rFonts w:ascii="Invesco Interstate Light" w:hAnsi="Invesco Interstate Light"/>
        </w:rPr>
        <w:t>Yours sincerely,</w:t>
      </w:r>
    </w:p>
    <w:p w14:paraId="137FD391" w14:textId="77777777" w:rsidR="00F24972" w:rsidRPr="00F24972" w:rsidRDefault="00F24972" w:rsidP="00F24972">
      <w:pPr>
        <w:spacing w:after="0"/>
        <w:ind w:left="720"/>
        <w:rPr>
          <w:rFonts w:ascii="Invesco Interstate Light" w:hAnsi="Invesco Interstate Light"/>
        </w:rPr>
      </w:pPr>
    </w:p>
    <w:p w14:paraId="29E40B6A" w14:textId="77777777" w:rsidR="00F24972" w:rsidRPr="00F24972" w:rsidRDefault="00F24972" w:rsidP="00F24972">
      <w:pPr>
        <w:spacing w:after="0"/>
        <w:ind w:left="720"/>
        <w:rPr>
          <w:rFonts w:ascii="Invesco Interstate Light" w:hAnsi="Invesco Interstate Light"/>
        </w:rPr>
      </w:pPr>
    </w:p>
    <w:p w14:paraId="2C969BA7" w14:textId="77777777" w:rsidR="00F24972" w:rsidRPr="00F24972" w:rsidRDefault="00F24972" w:rsidP="00F24972">
      <w:pPr>
        <w:spacing w:after="0"/>
        <w:ind w:left="720"/>
        <w:rPr>
          <w:rFonts w:ascii="Invesco Interstate Light" w:hAnsi="Invesco Interstate Light"/>
        </w:rPr>
      </w:pPr>
    </w:p>
    <w:p w14:paraId="28DE2DB6" w14:textId="77777777" w:rsidR="00F24972" w:rsidRPr="00F24972" w:rsidRDefault="00F24972" w:rsidP="00F24972">
      <w:pPr>
        <w:spacing w:after="0"/>
        <w:ind w:left="720"/>
        <w:rPr>
          <w:rFonts w:ascii="Invesco Interstate Light" w:hAnsi="Invesco Interstate Light"/>
        </w:rPr>
      </w:pPr>
    </w:p>
    <w:p w14:paraId="6E8C6300" w14:textId="77777777" w:rsidR="00F24972" w:rsidRPr="00F24972" w:rsidRDefault="00F24972" w:rsidP="00F24972">
      <w:pPr>
        <w:spacing w:after="0"/>
        <w:ind w:left="720"/>
        <w:rPr>
          <w:rFonts w:ascii="Invesco Interstate Light" w:hAnsi="Invesco Interstate Light"/>
          <w:b/>
          <w:bCs/>
          <w:sz w:val="20"/>
          <w:szCs w:val="20"/>
        </w:rPr>
      </w:pPr>
      <w:r w:rsidRPr="00F24972">
        <w:rPr>
          <w:rFonts w:ascii="Invesco Interstate Light" w:hAnsi="Invesco Interstate Light"/>
          <w:b/>
          <w:bCs/>
          <w:sz w:val="20"/>
          <w:szCs w:val="20"/>
        </w:rPr>
        <w:t>Michael O’Shea</w:t>
      </w:r>
    </w:p>
    <w:p w14:paraId="1ABEE692" w14:textId="77777777" w:rsidR="00F24972" w:rsidRPr="00F24972" w:rsidRDefault="00F24972" w:rsidP="00F24972">
      <w:pPr>
        <w:spacing w:after="0"/>
        <w:ind w:left="720"/>
        <w:rPr>
          <w:rFonts w:ascii="Invesco Interstate Light" w:hAnsi="Invesco Interstate Light"/>
          <w:sz w:val="20"/>
          <w:szCs w:val="20"/>
        </w:rPr>
      </w:pPr>
      <w:r w:rsidRPr="00F24972">
        <w:rPr>
          <w:rFonts w:ascii="Invesco Interstate Light" w:hAnsi="Invesco Interstate Light"/>
          <w:sz w:val="20"/>
          <w:szCs w:val="20"/>
        </w:rPr>
        <w:t>Senior Public Policy Manager</w:t>
      </w:r>
    </w:p>
    <w:p w14:paraId="28A03459" w14:textId="77777777" w:rsidR="00F24972" w:rsidRPr="00F24972" w:rsidRDefault="00F24972" w:rsidP="00F24972">
      <w:pPr>
        <w:spacing w:after="0"/>
        <w:ind w:left="720"/>
        <w:rPr>
          <w:rFonts w:ascii="Invesco Interstate Light" w:hAnsi="Invesco Interstate Light"/>
          <w:sz w:val="20"/>
          <w:szCs w:val="20"/>
        </w:rPr>
      </w:pPr>
    </w:p>
    <w:p w14:paraId="250514D9" w14:textId="77777777" w:rsidR="00F24972" w:rsidRPr="00F24972" w:rsidRDefault="00F24972" w:rsidP="00F24972">
      <w:pPr>
        <w:spacing w:after="0"/>
        <w:ind w:left="720"/>
        <w:rPr>
          <w:rFonts w:ascii="Invesco Interstate Light" w:hAnsi="Invesco Interstate Light"/>
          <w:i/>
          <w:iCs/>
          <w:sz w:val="20"/>
          <w:szCs w:val="20"/>
        </w:rPr>
      </w:pPr>
      <w:r w:rsidRPr="00F24972">
        <w:rPr>
          <w:rFonts w:ascii="Invesco Interstate Light" w:hAnsi="Invesco Interstate Light"/>
          <w:i/>
          <w:iCs/>
          <w:sz w:val="20"/>
          <w:szCs w:val="20"/>
        </w:rPr>
        <w:t>Direct: +44 (0) 207 034 3819</w:t>
      </w:r>
    </w:p>
    <w:p w14:paraId="4EFD8C7E" w14:textId="77777777" w:rsidR="00F24972" w:rsidRPr="00F24972" w:rsidRDefault="00F24972" w:rsidP="00F24972">
      <w:pPr>
        <w:spacing w:after="0"/>
        <w:ind w:left="720"/>
        <w:rPr>
          <w:rFonts w:ascii="Invesco Interstate Light" w:hAnsi="Invesco Interstate Light"/>
          <w:i/>
          <w:iCs/>
          <w:sz w:val="20"/>
          <w:szCs w:val="20"/>
        </w:rPr>
      </w:pPr>
      <w:r w:rsidRPr="00F24972">
        <w:rPr>
          <w:rFonts w:ascii="Invesco Interstate Light" w:hAnsi="Invesco Interstate Light"/>
          <w:i/>
          <w:iCs/>
          <w:sz w:val="20"/>
          <w:szCs w:val="20"/>
        </w:rPr>
        <w:t>Mobile: +44 (0) 7597 119 233</w:t>
      </w:r>
    </w:p>
    <w:p w14:paraId="7003986F" w14:textId="77777777" w:rsidR="00F24972" w:rsidRPr="00F24972" w:rsidRDefault="00F24972" w:rsidP="00F24972">
      <w:pPr>
        <w:spacing w:after="0"/>
        <w:ind w:left="720"/>
        <w:rPr>
          <w:rStyle w:val="Hyperlink"/>
          <w:rFonts w:ascii="Invesco Interstate Light" w:hAnsi="Invesco Interstate Light" w:cs="Arial"/>
          <w:i/>
          <w:iCs/>
          <w:color w:val="2F5496" w:themeColor="accent1" w:themeShade="BF"/>
          <w:sz w:val="20"/>
          <w:szCs w:val="20"/>
          <w:lang w:eastAsia="en-GB"/>
        </w:rPr>
      </w:pPr>
      <w:r w:rsidRPr="00F24972">
        <w:rPr>
          <w:rFonts w:ascii="Invesco Interstate Light" w:hAnsi="Invesco Interstate Light"/>
          <w:i/>
          <w:iCs/>
          <w:sz w:val="20"/>
          <w:szCs w:val="20"/>
        </w:rPr>
        <w:t xml:space="preserve">Email: </w:t>
      </w:r>
      <w:r w:rsidRPr="00F24972">
        <w:rPr>
          <w:rFonts w:ascii="Invesco Interstate Light" w:hAnsi="Invesco Interstate Light"/>
          <w:i/>
          <w:iCs/>
          <w:color w:val="2F5496" w:themeColor="accent1" w:themeShade="BF"/>
          <w:sz w:val="20"/>
          <w:szCs w:val="20"/>
          <w:u w:val="single"/>
        </w:rPr>
        <w:t>michael.oshea@invesco.com</w:t>
      </w:r>
    </w:p>
    <w:p w14:paraId="54FBD249" w14:textId="77777777" w:rsidR="00F24972" w:rsidRPr="00F24972" w:rsidRDefault="00F24972" w:rsidP="00F24972">
      <w:pPr>
        <w:spacing w:after="0"/>
        <w:rPr>
          <w:rStyle w:val="Hyperlink"/>
          <w:rFonts w:ascii="Invesco Interstate Light" w:hAnsi="Invesco Interstate Light" w:cs="Arial"/>
          <w:color w:val="8EAADB" w:themeColor="accent1" w:themeTint="99"/>
          <w:sz w:val="20"/>
          <w:szCs w:val="20"/>
          <w:lang w:eastAsia="en-GB"/>
        </w:rPr>
      </w:pPr>
    </w:p>
    <w:p w14:paraId="5BBF0D04" w14:textId="77777777" w:rsidR="00F24972" w:rsidRPr="00F24972" w:rsidRDefault="00F24972" w:rsidP="00F24972">
      <w:pPr>
        <w:rPr>
          <w:rStyle w:val="Hyperlink"/>
          <w:rFonts w:ascii="Invesco Interstate Light" w:hAnsi="Invesco Interstate Light" w:cs="Arial"/>
          <w:color w:val="8EAADB" w:themeColor="accent1" w:themeTint="99"/>
          <w:sz w:val="20"/>
          <w:szCs w:val="20"/>
          <w:lang w:eastAsia="en-GB"/>
        </w:rPr>
      </w:pPr>
    </w:p>
    <w:p w14:paraId="4B632BC4" w14:textId="77777777" w:rsidR="00F24972" w:rsidRPr="00F24972" w:rsidRDefault="00F24972" w:rsidP="00F24972">
      <w:pPr>
        <w:rPr>
          <w:rStyle w:val="Hyperlink"/>
          <w:rFonts w:ascii="Invesco Interstate Light" w:hAnsi="Invesco Interstate Light" w:cs="Arial"/>
          <w:color w:val="8EAADB" w:themeColor="accent1" w:themeTint="99"/>
          <w:sz w:val="20"/>
          <w:szCs w:val="20"/>
          <w:lang w:eastAsia="en-GB"/>
        </w:rPr>
      </w:pPr>
      <w:r w:rsidRPr="00F24972">
        <w:rPr>
          <w:rStyle w:val="Hyperlink"/>
          <w:rFonts w:ascii="Invesco Interstate Light" w:hAnsi="Invesco Interstate Light" w:cs="Arial"/>
          <w:color w:val="8EAADB" w:themeColor="accent1" w:themeTint="99"/>
          <w:sz w:val="20"/>
          <w:szCs w:val="20"/>
          <w:lang w:eastAsia="en-GB"/>
        </w:rPr>
        <w:br w:type="page"/>
      </w:r>
    </w:p>
    <w:p w14:paraId="292B340C" w14:textId="5994B81D" w:rsidR="00F24972" w:rsidRPr="00F24972" w:rsidRDefault="00F24972" w:rsidP="00F24972">
      <w:pPr>
        <w:pStyle w:val="TOCHeading"/>
        <w:spacing w:before="0"/>
        <w:rPr>
          <w:rFonts w:ascii="Invesco Interstate Light" w:hAnsi="Invesco Interstate Light"/>
          <w:b/>
          <w:bCs/>
          <w:u w:val="single"/>
        </w:rPr>
      </w:pPr>
      <w:r w:rsidRPr="00F24972">
        <w:rPr>
          <w:rFonts w:ascii="Invesco Interstate Light" w:hAnsi="Invesco Interstate Light"/>
          <w:b/>
          <w:bCs/>
          <w:u w:val="single"/>
        </w:rPr>
        <w:lastRenderedPageBreak/>
        <w:t xml:space="preserve">Invesco response to the European Commission consultation on the Review of the </w:t>
      </w:r>
      <w:r w:rsidR="001D10ED" w:rsidRPr="001D10ED">
        <w:rPr>
          <w:rFonts w:ascii="Invesco Interstate Light" w:hAnsi="Invesco Interstate Light"/>
          <w:b/>
          <w:bCs/>
          <w:u w:val="single"/>
        </w:rPr>
        <w:t>Central Securities Depositories Regulation (CSDR)</w:t>
      </w:r>
    </w:p>
    <w:p w14:paraId="79786F25" w14:textId="5D7F9E6A" w:rsidR="00F24972" w:rsidRPr="00071B07" w:rsidRDefault="00F24972" w:rsidP="00F24972">
      <w:pPr>
        <w:rPr>
          <w:rFonts w:ascii="Invesco Interstate Light" w:hAnsi="Invesco Interstate Light"/>
        </w:rPr>
      </w:pPr>
    </w:p>
    <w:p w14:paraId="1C4CE6E3" w14:textId="19BF5FCF" w:rsidR="00F24972" w:rsidRPr="00071B07" w:rsidRDefault="00F24972" w:rsidP="00F24972">
      <w:pPr>
        <w:rPr>
          <w:rFonts w:ascii="Invesco Interstate Light" w:hAnsi="Invesco Interstate Light"/>
        </w:rPr>
      </w:pPr>
    </w:p>
    <w:p w14:paraId="4D426376" w14:textId="5EB0A791" w:rsidR="00F24972" w:rsidRPr="00A43414" w:rsidRDefault="00F24972" w:rsidP="00A43414">
      <w:pPr>
        <w:pStyle w:val="TOCHeading"/>
        <w:spacing w:before="0"/>
        <w:rPr>
          <w:rFonts w:ascii="Invesco Interstate Light" w:hAnsi="Invesco Interstate Light"/>
          <w:b/>
          <w:bCs/>
          <w:u w:val="single"/>
        </w:rPr>
      </w:pPr>
      <w:r w:rsidRPr="00A43414">
        <w:rPr>
          <w:rFonts w:ascii="Invesco Interstate Light" w:hAnsi="Invesco Interstate Light"/>
          <w:b/>
          <w:bCs/>
          <w:u w:val="single"/>
        </w:rPr>
        <w:t>Additional comments</w:t>
      </w:r>
    </w:p>
    <w:p w14:paraId="4E4E5A15" w14:textId="2A91F9C8" w:rsidR="00FD14AE" w:rsidRDefault="00FD14AE" w:rsidP="00F24972">
      <w:pPr>
        <w:spacing w:after="0" w:line="240" w:lineRule="auto"/>
        <w:rPr>
          <w:rFonts w:ascii="Invesco Interstate Light" w:hAnsi="Invesco Interstate Light"/>
        </w:rPr>
      </w:pPr>
    </w:p>
    <w:p w14:paraId="3D28269A" w14:textId="77777777" w:rsidR="00F24972" w:rsidRPr="00F24972" w:rsidRDefault="00F24972" w:rsidP="00F24972">
      <w:pPr>
        <w:spacing w:after="0" w:line="240" w:lineRule="auto"/>
        <w:rPr>
          <w:rFonts w:ascii="Invesco Interstate Light" w:hAnsi="Invesco Interstate Light"/>
        </w:rPr>
      </w:pPr>
    </w:p>
    <w:sdt>
      <w:sdtPr>
        <w:rPr>
          <w:rFonts w:ascii="Invesco Interstate Light" w:eastAsiaTheme="minorHAnsi" w:hAnsi="Invesco Interstate Light" w:cstheme="minorBidi"/>
          <w:color w:val="auto"/>
          <w:sz w:val="22"/>
          <w:szCs w:val="22"/>
          <w:lang w:val="en-GB"/>
        </w:rPr>
        <w:id w:val="1554736323"/>
        <w:docPartObj>
          <w:docPartGallery w:val="Table of Contents"/>
          <w:docPartUnique/>
        </w:docPartObj>
      </w:sdtPr>
      <w:sdtEndPr>
        <w:rPr>
          <w:b/>
          <w:bCs/>
          <w:noProof/>
        </w:rPr>
      </w:sdtEndPr>
      <w:sdtContent>
        <w:p w14:paraId="60E8D8C7" w14:textId="509DA86D" w:rsidR="002D3200" w:rsidRPr="00F24972" w:rsidRDefault="002D3200">
          <w:pPr>
            <w:pStyle w:val="TOCHeading"/>
            <w:rPr>
              <w:rFonts w:ascii="Invesco Interstate Light" w:hAnsi="Invesco Interstate Light"/>
            </w:rPr>
          </w:pPr>
          <w:r w:rsidRPr="00F24972">
            <w:rPr>
              <w:rFonts w:ascii="Invesco Interstate Light" w:hAnsi="Invesco Interstate Light"/>
            </w:rPr>
            <w:t>Contents</w:t>
          </w:r>
        </w:p>
        <w:p w14:paraId="4EB52956" w14:textId="6D9A4578" w:rsidR="00555DAA" w:rsidRDefault="002D3200">
          <w:pPr>
            <w:pStyle w:val="TOC1"/>
            <w:tabs>
              <w:tab w:val="right" w:leader="dot" w:pos="10456"/>
            </w:tabs>
            <w:rPr>
              <w:rFonts w:eastAsiaTheme="minorEastAsia"/>
              <w:noProof/>
              <w:lang w:eastAsia="en-GB"/>
            </w:rPr>
          </w:pPr>
          <w:r w:rsidRPr="00F24972">
            <w:rPr>
              <w:rFonts w:ascii="Invesco Interstate Light" w:hAnsi="Invesco Interstate Light"/>
            </w:rPr>
            <w:fldChar w:fldCharType="begin"/>
          </w:r>
          <w:r w:rsidRPr="00F24972">
            <w:rPr>
              <w:rFonts w:ascii="Invesco Interstate Light" w:hAnsi="Invesco Interstate Light"/>
            </w:rPr>
            <w:instrText xml:space="preserve"> TOC \o "1-3" \h \z \u </w:instrText>
          </w:r>
          <w:r w:rsidRPr="00F24972">
            <w:rPr>
              <w:rFonts w:ascii="Invesco Interstate Light" w:hAnsi="Invesco Interstate Light"/>
            </w:rPr>
            <w:fldChar w:fldCharType="separate"/>
          </w:r>
          <w:hyperlink w:anchor="_Toc63181586" w:history="1">
            <w:r w:rsidR="00555DAA" w:rsidRPr="002F0A85">
              <w:rPr>
                <w:rStyle w:val="Hyperlink"/>
                <w:rFonts w:ascii="Invesco Interstate Light" w:hAnsi="Invesco Interstate Light"/>
                <w:noProof/>
              </w:rPr>
              <w:t>CSDR and technological innovation</w:t>
            </w:r>
            <w:r w:rsidR="00555DAA">
              <w:rPr>
                <w:noProof/>
                <w:webHidden/>
              </w:rPr>
              <w:tab/>
            </w:r>
            <w:r w:rsidR="00555DAA">
              <w:rPr>
                <w:noProof/>
                <w:webHidden/>
              </w:rPr>
              <w:fldChar w:fldCharType="begin"/>
            </w:r>
            <w:r w:rsidR="00555DAA">
              <w:rPr>
                <w:noProof/>
                <w:webHidden/>
              </w:rPr>
              <w:instrText xml:space="preserve"> PAGEREF _Toc63181586 \h </w:instrText>
            </w:r>
            <w:r w:rsidR="00555DAA">
              <w:rPr>
                <w:noProof/>
                <w:webHidden/>
              </w:rPr>
            </w:r>
            <w:r w:rsidR="00555DAA">
              <w:rPr>
                <w:noProof/>
                <w:webHidden/>
              </w:rPr>
              <w:fldChar w:fldCharType="separate"/>
            </w:r>
            <w:r w:rsidR="00555DAA">
              <w:rPr>
                <w:noProof/>
                <w:webHidden/>
              </w:rPr>
              <w:t>3</w:t>
            </w:r>
            <w:r w:rsidR="00555DAA">
              <w:rPr>
                <w:noProof/>
                <w:webHidden/>
              </w:rPr>
              <w:fldChar w:fldCharType="end"/>
            </w:r>
          </w:hyperlink>
        </w:p>
        <w:p w14:paraId="16FFAE4C" w14:textId="0653160C" w:rsidR="00555DAA" w:rsidRDefault="00FF324B">
          <w:pPr>
            <w:pStyle w:val="TOC1"/>
            <w:tabs>
              <w:tab w:val="right" w:leader="dot" w:pos="10456"/>
            </w:tabs>
            <w:rPr>
              <w:rFonts w:eastAsiaTheme="minorEastAsia"/>
              <w:noProof/>
              <w:lang w:eastAsia="en-GB"/>
            </w:rPr>
          </w:pPr>
          <w:hyperlink w:anchor="_Toc63181587" w:history="1">
            <w:r w:rsidR="00555DAA" w:rsidRPr="002F0A85">
              <w:rPr>
                <w:rStyle w:val="Hyperlink"/>
                <w:rFonts w:ascii="Invesco Interstate Light" w:hAnsi="Invesco Interstate Light"/>
                <w:noProof/>
              </w:rPr>
              <w:t>Settlement discipline</w:t>
            </w:r>
            <w:r w:rsidR="00555DAA">
              <w:rPr>
                <w:noProof/>
                <w:webHidden/>
              </w:rPr>
              <w:tab/>
            </w:r>
            <w:r w:rsidR="00555DAA">
              <w:rPr>
                <w:noProof/>
                <w:webHidden/>
              </w:rPr>
              <w:fldChar w:fldCharType="begin"/>
            </w:r>
            <w:r w:rsidR="00555DAA">
              <w:rPr>
                <w:noProof/>
                <w:webHidden/>
              </w:rPr>
              <w:instrText xml:space="preserve"> PAGEREF _Toc63181587 \h </w:instrText>
            </w:r>
            <w:r w:rsidR="00555DAA">
              <w:rPr>
                <w:noProof/>
                <w:webHidden/>
              </w:rPr>
            </w:r>
            <w:r w:rsidR="00555DAA">
              <w:rPr>
                <w:noProof/>
                <w:webHidden/>
              </w:rPr>
              <w:fldChar w:fldCharType="separate"/>
            </w:r>
            <w:r w:rsidR="00555DAA">
              <w:rPr>
                <w:noProof/>
                <w:webHidden/>
              </w:rPr>
              <w:t>4</w:t>
            </w:r>
            <w:r w:rsidR="00555DAA">
              <w:rPr>
                <w:noProof/>
                <w:webHidden/>
              </w:rPr>
              <w:fldChar w:fldCharType="end"/>
            </w:r>
          </w:hyperlink>
        </w:p>
        <w:p w14:paraId="5FD12435" w14:textId="69CE5C38" w:rsidR="002D3200" w:rsidRPr="00F24972" w:rsidRDefault="002D3200">
          <w:pPr>
            <w:rPr>
              <w:rFonts w:ascii="Invesco Interstate Light" w:hAnsi="Invesco Interstate Light"/>
            </w:rPr>
          </w:pPr>
          <w:r w:rsidRPr="00F24972">
            <w:rPr>
              <w:rFonts w:ascii="Invesco Interstate Light" w:hAnsi="Invesco Interstate Light"/>
              <w:b/>
              <w:bCs/>
              <w:noProof/>
            </w:rPr>
            <w:fldChar w:fldCharType="end"/>
          </w:r>
        </w:p>
      </w:sdtContent>
    </w:sdt>
    <w:p w14:paraId="25DBBA87" w14:textId="77777777" w:rsidR="00FD14AE" w:rsidRPr="00F24972" w:rsidRDefault="00FD14AE">
      <w:pPr>
        <w:rPr>
          <w:rFonts w:ascii="Invesco Interstate Light" w:hAnsi="Invesco Interstate Light"/>
          <w:b/>
          <w:bCs/>
          <w:sz w:val="28"/>
          <w:szCs w:val="28"/>
        </w:rPr>
      </w:pPr>
      <w:r w:rsidRPr="00F24972">
        <w:rPr>
          <w:rFonts w:ascii="Invesco Interstate Light" w:hAnsi="Invesco Interstate Light"/>
          <w:b/>
          <w:bCs/>
          <w:sz w:val="28"/>
          <w:szCs w:val="28"/>
        </w:rPr>
        <w:br w:type="page"/>
      </w:r>
    </w:p>
    <w:p w14:paraId="0614BF3D" w14:textId="3052FCB5" w:rsidR="005571C6" w:rsidRPr="00F24972" w:rsidRDefault="001D10ED" w:rsidP="005571C6">
      <w:pPr>
        <w:pStyle w:val="Heading1"/>
        <w:rPr>
          <w:rFonts w:ascii="Invesco Interstate Light" w:hAnsi="Invesco Interstate Light"/>
        </w:rPr>
      </w:pPr>
      <w:bookmarkStart w:id="0" w:name="_Toc63181586"/>
      <w:r>
        <w:rPr>
          <w:rFonts w:ascii="Invesco Interstate Light" w:hAnsi="Invesco Interstate Light"/>
        </w:rPr>
        <w:lastRenderedPageBreak/>
        <w:t>CSDR and technological innovation</w:t>
      </w:r>
      <w:bookmarkEnd w:id="0"/>
    </w:p>
    <w:p w14:paraId="64F935B0" w14:textId="77777777" w:rsidR="005571C6" w:rsidRPr="00F24972" w:rsidRDefault="005571C6" w:rsidP="005571C6">
      <w:pPr>
        <w:spacing w:after="0" w:line="240" w:lineRule="auto"/>
        <w:rPr>
          <w:rFonts w:ascii="Invesco Interstate Light" w:hAnsi="Invesco Interstate Light"/>
          <w:b/>
          <w:bCs/>
          <w:sz w:val="28"/>
          <w:szCs w:val="28"/>
        </w:rPr>
      </w:pPr>
    </w:p>
    <w:tbl>
      <w:tblPr>
        <w:tblStyle w:val="TableGrid"/>
        <w:tblW w:w="10772" w:type="dxa"/>
        <w:jc w:val="center"/>
        <w:tblLook w:val="04A0" w:firstRow="1" w:lastRow="0" w:firstColumn="1" w:lastColumn="0" w:noHBand="0" w:noVBand="1"/>
      </w:tblPr>
      <w:tblGrid>
        <w:gridCol w:w="10772"/>
      </w:tblGrid>
      <w:tr w:rsidR="002D2ACD" w:rsidRPr="007E055B" w14:paraId="3AFA6234" w14:textId="77777777" w:rsidTr="00CD3CF9">
        <w:trPr>
          <w:jc w:val="center"/>
        </w:trPr>
        <w:tc>
          <w:tcPr>
            <w:tcW w:w="10772" w:type="dxa"/>
            <w:shd w:val="clear" w:color="auto" w:fill="E7E6E6" w:themeFill="background2"/>
          </w:tcPr>
          <w:p w14:paraId="3B3A3B18" w14:textId="77777777" w:rsidR="001D10ED" w:rsidRPr="007E055B" w:rsidRDefault="001D10ED" w:rsidP="001D10ED">
            <w:pPr>
              <w:rPr>
                <w:rFonts w:ascii="Invesco Interstate Light" w:hAnsi="Invesco Interstate Light"/>
                <w:b/>
                <w:bCs/>
              </w:rPr>
            </w:pPr>
            <w:r w:rsidRPr="007E055B">
              <w:rPr>
                <w:rFonts w:ascii="Invesco Interstate Light" w:hAnsi="Invesco Interstate Light"/>
                <w:b/>
                <w:bCs/>
              </w:rPr>
              <w:t>Q17: Do you consider that certain changes to the rules are necessary to facilitate the use of new technologies, such as DLT, in the framework of CSDR, while increasing the safety and improving settlement efficiency?</w:t>
            </w:r>
          </w:p>
          <w:p w14:paraId="43F9E78D" w14:textId="77777777" w:rsidR="001D10ED" w:rsidRPr="007E055B" w:rsidRDefault="001D10ED" w:rsidP="001D10ED">
            <w:pPr>
              <w:rPr>
                <w:rFonts w:ascii="Invesco Interstate Light" w:hAnsi="Invesco Interstate Light"/>
                <w:b/>
                <w:bCs/>
              </w:rPr>
            </w:pPr>
          </w:p>
          <w:tbl>
            <w:tblPr>
              <w:tblStyle w:val="TableGrid"/>
              <w:tblW w:w="0" w:type="auto"/>
              <w:tblLook w:val="04A0" w:firstRow="1" w:lastRow="0" w:firstColumn="1" w:lastColumn="0" w:noHBand="0" w:noVBand="1"/>
            </w:tblPr>
            <w:tblGrid>
              <w:gridCol w:w="4985"/>
              <w:gridCol w:w="1276"/>
            </w:tblGrid>
            <w:tr w:rsidR="001D10ED" w:rsidRPr="007E055B" w14:paraId="06FC6B9E" w14:textId="77777777" w:rsidTr="00E2390A">
              <w:tc>
                <w:tcPr>
                  <w:tcW w:w="4985" w:type="dxa"/>
                  <w:shd w:val="clear" w:color="auto" w:fill="FFFFFF" w:themeFill="background1"/>
                  <w:vAlign w:val="center"/>
                </w:tcPr>
                <w:p w14:paraId="6534F246" w14:textId="77777777" w:rsidR="001D10ED" w:rsidRPr="007E055B" w:rsidRDefault="001D10ED" w:rsidP="001D10ED">
                  <w:pPr>
                    <w:rPr>
                      <w:rFonts w:ascii="Invesco Interstate Light" w:hAnsi="Invesco Interstate Light"/>
                      <w:b/>
                      <w:bCs/>
                    </w:rPr>
                  </w:pPr>
                  <w:r w:rsidRPr="007E055B">
                    <w:rPr>
                      <w:rFonts w:ascii="Invesco Interstate Light" w:hAnsi="Invesco Interstate Light"/>
                      <w:b/>
                      <w:bCs/>
                    </w:rPr>
                    <w:t>Yes</w:t>
                  </w:r>
                </w:p>
              </w:tc>
              <w:tc>
                <w:tcPr>
                  <w:tcW w:w="1276" w:type="dxa"/>
                  <w:shd w:val="clear" w:color="auto" w:fill="FFFFFF" w:themeFill="background1"/>
                  <w:vAlign w:val="center"/>
                </w:tcPr>
                <w:p w14:paraId="3B3F5068" w14:textId="77777777" w:rsidR="001D10ED" w:rsidRPr="007E055B" w:rsidRDefault="001D10ED" w:rsidP="001D10ED">
                  <w:pPr>
                    <w:jc w:val="center"/>
                    <w:rPr>
                      <w:rFonts w:ascii="Invesco Interstate Light" w:hAnsi="Invesco Interstate Light"/>
                      <w:b/>
                      <w:bCs/>
                    </w:rPr>
                  </w:pPr>
                </w:p>
              </w:tc>
            </w:tr>
            <w:tr w:rsidR="001D10ED" w:rsidRPr="007E055B" w14:paraId="70454B90" w14:textId="77777777" w:rsidTr="00E2390A">
              <w:tc>
                <w:tcPr>
                  <w:tcW w:w="4985" w:type="dxa"/>
                  <w:shd w:val="clear" w:color="auto" w:fill="FFFFFF" w:themeFill="background1"/>
                  <w:vAlign w:val="center"/>
                </w:tcPr>
                <w:p w14:paraId="1CB94AF7" w14:textId="77777777" w:rsidR="001D10ED" w:rsidRPr="007E055B" w:rsidRDefault="001D10ED" w:rsidP="001D10ED">
                  <w:pPr>
                    <w:rPr>
                      <w:rFonts w:ascii="Invesco Interstate Light" w:hAnsi="Invesco Interstate Light"/>
                      <w:b/>
                      <w:bCs/>
                    </w:rPr>
                  </w:pPr>
                  <w:r w:rsidRPr="007E055B">
                    <w:rPr>
                      <w:rFonts w:ascii="Invesco Interstate Light" w:hAnsi="Invesco Interstate Light"/>
                      <w:b/>
                      <w:bCs/>
                    </w:rPr>
                    <w:t>No</w:t>
                  </w:r>
                </w:p>
              </w:tc>
              <w:tc>
                <w:tcPr>
                  <w:tcW w:w="1276" w:type="dxa"/>
                  <w:shd w:val="clear" w:color="auto" w:fill="FFFFFF" w:themeFill="background1"/>
                </w:tcPr>
                <w:p w14:paraId="0B7DB2E9" w14:textId="77777777" w:rsidR="001D10ED" w:rsidRPr="007E055B" w:rsidRDefault="001D10ED" w:rsidP="001D10ED">
                  <w:pPr>
                    <w:rPr>
                      <w:rFonts w:ascii="Invesco Interstate Light" w:hAnsi="Invesco Interstate Light"/>
                      <w:b/>
                      <w:bCs/>
                    </w:rPr>
                  </w:pPr>
                </w:p>
              </w:tc>
            </w:tr>
            <w:tr w:rsidR="001D10ED" w:rsidRPr="007E055B" w14:paraId="25234589" w14:textId="77777777" w:rsidTr="00E2390A">
              <w:tc>
                <w:tcPr>
                  <w:tcW w:w="4985" w:type="dxa"/>
                  <w:shd w:val="clear" w:color="auto" w:fill="FFFFFF" w:themeFill="background1"/>
                  <w:vAlign w:val="center"/>
                </w:tcPr>
                <w:p w14:paraId="2D70D8FC" w14:textId="77777777" w:rsidR="001D10ED" w:rsidRPr="007E055B" w:rsidRDefault="001D10ED" w:rsidP="001D10ED">
                  <w:pPr>
                    <w:rPr>
                      <w:rFonts w:ascii="Invesco Interstate Light" w:hAnsi="Invesco Interstate Light"/>
                      <w:b/>
                      <w:bCs/>
                    </w:rPr>
                  </w:pPr>
                  <w:r w:rsidRPr="007E055B">
                    <w:rPr>
                      <w:rFonts w:ascii="Invesco Interstate Light" w:hAnsi="Invesco Interstate Light"/>
                      <w:b/>
                      <w:bCs/>
                    </w:rPr>
                    <w:t>The PILOT Regime is sufficient at this stage</w:t>
                  </w:r>
                </w:p>
              </w:tc>
              <w:tc>
                <w:tcPr>
                  <w:tcW w:w="1276" w:type="dxa"/>
                  <w:shd w:val="clear" w:color="auto" w:fill="FFFF00"/>
                </w:tcPr>
                <w:p w14:paraId="5D41172F" w14:textId="77777777" w:rsidR="001D10ED" w:rsidRPr="007E055B" w:rsidRDefault="001D10ED" w:rsidP="001D10ED">
                  <w:pPr>
                    <w:rPr>
                      <w:rFonts w:ascii="Invesco Interstate Light" w:hAnsi="Invesco Interstate Light"/>
                      <w:b/>
                      <w:bCs/>
                    </w:rPr>
                  </w:pPr>
                </w:p>
              </w:tc>
            </w:tr>
            <w:tr w:rsidR="001D10ED" w:rsidRPr="007E055B" w14:paraId="3705CA61" w14:textId="77777777" w:rsidTr="00E2390A">
              <w:tc>
                <w:tcPr>
                  <w:tcW w:w="4985" w:type="dxa"/>
                  <w:shd w:val="clear" w:color="auto" w:fill="FFFFFF" w:themeFill="background1"/>
                  <w:vAlign w:val="center"/>
                </w:tcPr>
                <w:p w14:paraId="552F5BFB" w14:textId="77777777" w:rsidR="001D10ED" w:rsidRPr="007E055B" w:rsidRDefault="001D10ED" w:rsidP="001D10ED">
                  <w:pPr>
                    <w:rPr>
                      <w:rFonts w:ascii="Invesco Interstate Light" w:hAnsi="Invesco Interstate Light"/>
                      <w:b/>
                      <w:bCs/>
                    </w:rPr>
                  </w:pPr>
                  <w:r w:rsidRPr="007E055B">
                    <w:rPr>
                      <w:rFonts w:ascii="Invesco Interstate Light" w:hAnsi="Invesco Interstate Light"/>
                      <w:b/>
                      <w:bCs/>
                    </w:rPr>
                    <w:t>No opinion</w:t>
                  </w:r>
                </w:p>
              </w:tc>
              <w:tc>
                <w:tcPr>
                  <w:tcW w:w="1276" w:type="dxa"/>
                  <w:shd w:val="clear" w:color="auto" w:fill="FFFFFF" w:themeFill="background1"/>
                </w:tcPr>
                <w:p w14:paraId="14E88367" w14:textId="77777777" w:rsidR="001D10ED" w:rsidRPr="007E055B" w:rsidRDefault="001D10ED" w:rsidP="001D10ED">
                  <w:pPr>
                    <w:rPr>
                      <w:rFonts w:ascii="Invesco Interstate Light" w:hAnsi="Invesco Interstate Light"/>
                      <w:b/>
                      <w:bCs/>
                    </w:rPr>
                  </w:pPr>
                </w:p>
              </w:tc>
            </w:tr>
          </w:tbl>
          <w:p w14:paraId="778B6DA6" w14:textId="3E8EB7D1" w:rsidR="002D2ACD" w:rsidRPr="007E055B" w:rsidRDefault="00A43414" w:rsidP="00D16A0F">
            <w:pPr>
              <w:rPr>
                <w:rFonts w:ascii="Invesco Interstate Light" w:hAnsi="Invesco Interstate Light"/>
                <w:b/>
                <w:bCs/>
              </w:rPr>
            </w:pPr>
            <w:r w:rsidRPr="007E055B">
              <w:rPr>
                <w:rFonts w:ascii="Invesco Interstate Light" w:hAnsi="Invesco Interstate Light"/>
                <w:b/>
                <w:bCs/>
              </w:rPr>
              <w:t xml:space="preserve"> </w:t>
            </w:r>
          </w:p>
        </w:tc>
      </w:tr>
      <w:tr w:rsidR="00D82365" w:rsidRPr="00D82365" w14:paraId="218F2C13" w14:textId="77777777" w:rsidTr="00CD3CF9">
        <w:trPr>
          <w:jc w:val="center"/>
        </w:trPr>
        <w:tc>
          <w:tcPr>
            <w:tcW w:w="10772" w:type="dxa"/>
          </w:tcPr>
          <w:p w14:paraId="32964A1F" w14:textId="77777777" w:rsidR="002D2ACD" w:rsidRPr="00D82365" w:rsidRDefault="002D2ACD" w:rsidP="00D16A0F">
            <w:pPr>
              <w:rPr>
                <w:rFonts w:ascii="Invesco Interstate Light" w:hAnsi="Invesco Interstate Light"/>
              </w:rPr>
            </w:pPr>
          </w:p>
          <w:p w14:paraId="00CA96EB" w14:textId="77777777" w:rsidR="001D10ED" w:rsidRPr="001D10ED" w:rsidRDefault="001D10ED" w:rsidP="001D10ED">
            <w:pPr>
              <w:rPr>
                <w:rFonts w:ascii="Invesco Interstate Light" w:hAnsi="Invesco Interstate Light"/>
              </w:rPr>
            </w:pPr>
            <w:r w:rsidRPr="001D10ED">
              <w:rPr>
                <w:rFonts w:ascii="Invesco Interstate Light" w:hAnsi="Invesco Interstate Light"/>
              </w:rPr>
              <w:t>Response: Given the potential transformational impact of crypto assets and related technologies across the financial services industry, and beyond, it will be important for EU authorities to develop an appropriate framework which encourages innovation while ensuring a high level of investor protection.</w:t>
            </w:r>
          </w:p>
          <w:p w14:paraId="770C66F8" w14:textId="77777777" w:rsidR="001D10ED" w:rsidRPr="001D10ED" w:rsidRDefault="001D10ED" w:rsidP="001D10ED">
            <w:pPr>
              <w:rPr>
                <w:rFonts w:ascii="Invesco Interstate Light" w:hAnsi="Invesco Interstate Light"/>
              </w:rPr>
            </w:pPr>
          </w:p>
          <w:p w14:paraId="31D741BD" w14:textId="77777777" w:rsidR="001D10ED" w:rsidRPr="001D10ED" w:rsidRDefault="001D10ED" w:rsidP="001D10ED">
            <w:pPr>
              <w:rPr>
                <w:rFonts w:ascii="Invesco Interstate Light" w:hAnsi="Invesco Interstate Light"/>
              </w:rPr>
            </w:pPr>
            <w:r w:rsidRPr="001D10ED">
              <w:rPr>
                <w:rFonts w:ascii="Invesco Interstate Light" w:hAnsi="Invesco Interstate Light"/>
              </w:rPr>
              <w:t>In this regard, so as to ensure that the CSDR framework continues to function as intended, both in terms of how it is applied currently and will apply following the forthcoming review, we believe that the European Commission and EU policymakers should proceed cautiously as regards any significant amendments to the CSDR in respect of the use of new technologies via the current proposals for Regulations on a PILOT Regime for market infrastructures based on distributed ledger technology (DLT) and on Markets in Crypto Assets (MiCA), in advance of or concurrent to the forthcoming review of the CSDR.</w:t>
            </w:r>
          </w:p>
          <w:p w14:paraId="2A01C89A" w14:textId="77777777" w:rsidR="001D10ED" w:rsidRPr="001D10ED" w:rsidRDefault="001D10ED" w:rsidP="001D10ED">
            <w:pPr>
              <w:rPr>
                <w:rFonts w:ascii="Invesco Interstate Light" w:hAnsi="Invesco Interstate Light"/>
              </w:rPr>
            </w:pPr>
          </w:p>
          <w:p w14:paraId="217986BA" w14:textId="77777777" w:rsidR="001D10ED" w:rsidRPr="001D10ED" w:rsidRDefault="001D10ED" w:rsidP="001D10ED">
            <w:pPr>
              <w:rPr>
                <w:rFonts w:ascii="Invesco Interstate Light" w:hAnsi="Invesco Interstate Light"/>
              </w:rPr>
            </w:pPr>
            <w:r w:rsidRPr="001D10ED">
              <w:rPr>
                <w:rFonts w:ascii="Invesco Interstate Light" w:hAnsi="Invesco Interstate Light"/>
              </w:rPr>
              <w:t>Our main concern is that, while emerging technologies such as DLT offer potential efficiencies in terms of trading and settlement (e.g. ‘atomic’ settlement) as well as greater transparency, implementing significant amendments to the CSDR framework to accommodate such emerging technologies, where they remain untested on the scale at which they would have to operate in the context of wholesale financial markets, could complicate and hinder the provision of securities settlement services and the entry into force of the settlement discipline regime in the EU (please see our response to Q43 on this point).</w:t>
            </w:r>
          </w:p>
          <w:p w14:paraId="4E324BAF" w14:textId="77777777" w:rsidR="001D10ED" w:rsidRPr="001D10ED" w:rsidRDefault="001D10ED" w:rsidP="001D10ED">
            <w:pPr>
              <w:rPr>
                <w:rFonts w:ascii="Invesco Interstate Light" w:hAnsi="Invesco Interstate Light"/>
              </w:rPr>
            </w:pPr>
          </w:p>
          <w:p w14:paraId="7A8E68AA" w14:textId="77777777" w:rsidR="001D10ED" w:rsidRPr="001D10ED" w:rsidRDefault="001D10ED" w:rsidP="001D10ED">
            <w:pPr>
              <w:rPr>
                <w:rFonts w:ascii="Invesco Interstate Light" w:hAnsi="Invesco Interstate Light"/>
              </w:rPr>
            </w:pPr>
            <w:r w:rsidRPr="001D10ED">
              <w:rPr>
                <w:rFonts w:ascii="Invesco Interstate Light" w:hAnsi="Invesco Interstate Light"/>
              </w:rPr>
              <w:t>Hence, we support the policy intention behind the European Commission’s September 2020 Digital Finance Package and</w:t>
            </w:r>
            <w:proofErr w:type="gramStart"/>
            <w:r w:rsidRPr="001D10ED">
              <w:rPr>
                <w:rFonts w:ascii="Invesco Interstate Light" w:hAnsi="Invesco Interstate Light"/>
              </w:rPr>
              <w:t>, in particular, the</w:t>
            </w:r>
            <w:proofErr w:type="gramEnd"/>
            <w:r w:rsidRPr="001D10ED">
              <w:rPr>
                <w:rFonts w:ascii="Invesco Interstate Light" w:hAnsi="Invesco Interstate Light"/>
              </w:rPr>
              <w:t xml:space="preserve"> standalone proposal for a Regulation on a PILOT Regime for market infrastructures based on DLT. We believe that this targeted approach to the regulation of such entities will ensure that the services they provide, and the underlying technologies, are fit for purpose, scalable and supervised appropriately.</w:t>
            </w:r>
          </w:p>
          <w:p w14:paraId="445237C5" w14:textId="77777777" w:rsidR="001D10ED" w:rsidRPr="001D10ED" w:rsidRDefault="001D10ED" w:rsidP="001D10ED">
            <w:pPr>
              <w:rPr>
                <w:rFonts w:ascii="Invesco Interstate Light" w:hAnsi="Invesco Interstate Light"/>
              </w:rPr>
            </w:pPr>
          </w:p>
          <w:p w14:paraId="21325DB4" w14:textId="6CFD87CC" w:rsidR="001D10ED" w:rsidRPr="001D10ED" w:rsidRDefault="001D10ED" w:rsidP="001D10ED">
            <w:pPr>
              <w:rPr>
                <w:rFonts w:ascii="Invesco Interstate Light" w:hAnsi="Invesco Interstate Light"/>
              </w:rPr>
            </w:pPr>
            <w:r w:rsidRPr="001D10ED">
              <w:rPr>
                <w:rFonts w:ascii="Invesco Interstate Light" w:hAnsi="Invesco Interstate Light"/>
              </w:rPr>
              <w:t>Indeed, calibrated correctly at Levels 1 and 2, a standalone regime for market infrastructures based on DLT, supplemented by the proposed MiCA Regulation, would allow for many of the outstanding legal and regulatory questions around crypto assets and related services facilitated by DLT to be consider</w:t>
            </w:r>
            <w:r w:rsidR="003D6995">
              <w:rPr>
                <w:rFonts w:ascii="Invesco Interstate Light" w:hAnsi="Invesco Interstate Light"/>
              </w:rPr>
              <w:t>ed</w:t>
            </w:r>
            <w:r w:rsidRPr="001D10ED">
              <w:rPr>
                <w:rFonts w:ascii="Invesco Interstate Light" w:hAnsi="Invesco Interstate Light"/>
              </w:rPr>
              <w:t xml:space="preserve"> in a more targeted manner. As a reference point, the October 2020 report of the Cambridge Centre for Alternative Finance on ‘Legal and Regulatory Considerations for Digital Assets’ sets out a number of questions for policymakers and regulators to consider around the clearing and settlement of crypto assets.</w:t>
            </w:r>
          </w:p>
          <w:p w14:paraId="244193C4" w14:textId="77777777" w:rsidR="001D10ED" w:rsidRPr="001D10ED" w:rsidRDefault="001D10ED" w:rsidP="001D10ED">
            <w:pPr>
              <w:rPr>
                <w:rFonts w:ascii="Invesco Interstate Light" w:hAnsi="Invesco Interstate Light"/>
              </w:rPr>
            </w:pPr>
          </w:p>
          <w:p w14:paraId="6174F9D7" w14:textId="77777777" w:rsidR="002D2ACD" w:rsidRDefault="001D10ED" w:rsidP="001D10ED">
            <w:pPr>
              <w:rPr>
                <w:rFonts w:ascii="Invesco Interstate Light" w:hAnsi="Invesco Interstate Light"/>
              </w:rPr>
            </w:pPr>
            <w:r w:rsidRPr="001D10ED">
              <w:rPr>
                <w:rFonts w:ascii="Invesco Interstate Light" w:hAnsi="Invesco Interstate Light"/>
              </w:rPr>
              <w:t>Finally, it will also be important to ensure a level playing field for entities providing the same or similar services, whether in relation to traditional financial instruments or crypto assets, or via traditional or DLT-based market infrastructures.</w:t>
            </w:r>
          </w:p>
          <w:p w14:paraId="686FBC14" w14:textId="47A0088E" w:rsidR="001D10ED" w:rsidRPr="00D82365" w:rsidRDefault="001D10ED" w:rsidP="001D10ED">
            <w:pPr>
              <w:rPr>
                <w:rFonts w:ascii="Invesco Interstate Light" w:hAnsi="Invesco Interstate Light"/>
              </w:rPr>
            </w:pPr>
          </w:p>
        </w:tc>
      </w:tr>
    </w:tbl>
    <w:p w14:paraId="28F5077C" w14:textId="77777777" w:rsidR="001D10ED" w:rsidRDefault="001D10ED" w:rsidP="00136BC7">
      <w:pPr>
        <w:pStyle w:val="Heading1"/>
        <w:rPr>
          <w:rFonts w:ascii="Invesco Interstate Light" w:hAnsi="Invesco Interstate Light"/>
        </w:rPr>
      </w:pPr>
    </w:p>
    <w:p w14:paraId="6630BA02" w14:textId="77777777" w:rsidR="001D10ED" w:rsidRDefault="001D10ED">
      <w:pPr>
        <w:rPr>
          <w:rFonts w:ascii="Invesco Interstate Light" w:eastAsiaTheme="majorEastAsia" w:hAnsi="Invesco Interstate Light" w:cstheme="majorBidi"/>
          <w:color w:val="2F5496" w:themeColor="accent1" w:themeShade="BF"/>
          <w:sz w:val="32"/>
          <w:szCs w:val="32"/>
        </w:rPr>
      </w:pPr>
      <w:r>
        <w:rPr>
          <w:rFonts w:ascii="Invesco Interstate Light" w:hAnsi="Invesco Interstate Light"/>
        </w:rPr>
        <w:br w:type="page"/>
      </w:r>
    </w:p>
    <w:p w14:paraId="5B378842" w14:textId="60936AEF" w:rsidR="00136BC7" w:rsidRPr="00F24972" w:rsidRDefault="001D10ED" w:rsidP="00136BC7">
      <w:pPr>
        <w:pStyle w:val="Heading1"/>
        <w:rPr>
          <w:rFonts w:ascii="Invesco Interstate Light" w:hAnsi="Invesco Interstate Light"/>
        </w:rPr>
      </w:pPr>
      <w:bookmarkStart w:id="1" w:name="_Toc63181587"/>
      <w:r>
        <w:rPr>
          <w:rFonts w:ascii="Invesco Interstate Light" w:hAnsi="Invesco Interstate Light"/>
        </w:rPr>
        <w:lastRenderedPageBreak/>
        <w:t>Settlement discipline</w:t>
      </w:r>
      <w:bookmarkEnd w:id="1"/>
    </w:p>
    <w:p w14:paraId="7C733639" w14:textId="77777777" w:rsidR="00136BC7" w:rsidRPr="00F24972" w:rsidRDefault="00136BC7" w:rsidP="00136BC7">
      <w:pPr>
        <w:spacing w:after="0" w:line="240" w:lineRule="auto"/>
        <w:rPr>
          <w:rFonts w:ascii="Invesco Interstate Light" w:hAnsi="Invesco Interstate Light"/>
          <w:b/>
          <w:bCs/>
          <w:sz w:val="28"/>
          <w:szCs w:val="28"/>
        </w:rPr>
      </w:pPr>
    </w:p>
    <w:tbl>
      <w:tblPr>
        <w:tblStyle w:val="TableGrid"/>
        <w:tblW w:w="10772" w:type="dxa"/>
        <w:jc w:val="center"/>
        <w:tblLook w:val="04A0" w:firstRow="1" w:lastRow="0" w:firstColumn="1" w:lastColumn="0" w:noHBand="0" w:noVBand="1"/>
      </w:tblPr>
      <w:tblGrid>
        <w:gridCol w:w="10772"/>
      </w:tblGrid>
      <w:tr w:rsidR="00D95BB3" w:rsidRPr="007E055B" w14:paraId="391DDE77" w14:textId="77777777" w:rsidTr="00CD3CF9">
        <w:trPr>
          <w:jc w:val="center"/>
        </w:trPr>
        <w:tc>
          <w:tcPr>
            <w:tcW w:w="10772" w:type="dxa"/>
            <w:shd w:val="clear" w:color="auto" w:fill="E7E6E6" w:themeFill="background2"/>
          </w:tcPr>
          <w:p w14:paraId="581A090B" w14:textId="77777777" w:rsidR="001D10ED" w:rsidRPr="007E055B" w:rsidRDefault="001D10ED" w:rsidP="001D10ED">
            <w:pPr>
              <w:rPr>
                <w:rFonts w:ascii="Invesco Interstate Light" w:hAnsi="Invesco Interstate Light"/>
                <w:b/>
                <w:bCs/>
              </w:rPr>
            </w:pPr>
            <w:r w:rsidRPr="007E055B">
              <w:rPr>
                <w:rFonts w:ascii="Invesco Interstate Light" w:hAnsi="Invesco Interstate Light"/>
                <w:b/>
                <w:bCs/>
              </w:rPr>
              <w:t>Q33: Do you consider that a revision of the settlement discipline regime of CSDR is necessary?</w:t>
            </w:r>
          </w:p>
          <w:p w14:paraId="79D9D52B" w14:textId="77777777" w:rsidR="001D10ED" w:rsidRPr="007E055B" w:rsidRDefault="001D10ED" w:rsidP="001D10ED">
            <w:pPr>
              <w:rPr>
                <w:rFonts w:ascii="Invesco Interstate Light" w:hAnsi="Invesco Interstate Light"/>
                <w:b/>
                <w:bCs/>
              </w:rPr>
            </w:pPr>
          </w:p>
          <w:tbl>
            <w:tblPr>
              <w:tblStyle w:val="TableGrid"/>
              <w:tblW w:w="0" w:type="auto"/>
              <w:tblLook w:val="04A0" w:firstRow="1" w:lastRow="0" w:firstColumn="1" w:lastColumn="0" w:noHBand="0" w:noVBand="1"/>
            </w:tblPr>
            <w:tblGrid>
              <w:gridCol w:w="1283"/>
              <w:gridCol w:w="1284"/>
              <w:gridCol w:w="1284"/>
            </w:tblGrid>
            <w:tr w:rsidR="001D10ED" w:rsidRPr="007E055B" w14:paraId="740781D9" w14:textId="77777777" w:rsidTr="00E2390A">
              <w:tc>
                <w:tcPr>
                  <w:tcW w:w="1283" w:type="dxa"/>
                  <w:shd w:val="clear" w:color="auto" w:fill="FFFFFF" w:themeFill="background1"/>
                  <w:vAlign w:val="center"/>
                </w:tcPr>
                <w:p w14:paraId="34D3BB39" w14:textId="77777777" w:rsidR="001D10ED" w:rsidRPr="007E055B" w:rsidRDefault="001D10ED" w:rsidP="001D10ED">
                  <w:pPr>
                    <w:jc w:val="center"/>
                    <w:rPr>
                      <w:rFonts w:ascii="Invesco Interstate Light" w:hAnsi="Invesco Interstate Light"/>
                      <w:b/>
                      <w:bCs/>
                    </w:rPr>
                  </w:pPr>
                  <w:r w:rsidRPr="007E055B">
                    <w:rPr>
                      <w:rFonts w:ascii="Invesco Interstate Light" w:hAnsi="Invesco Interstate Light"/>
                      <w:b/>
                      <w:bCs/>
                    </w:rPr>
                    <w:t>Yes</w:t>
                  </w:r>
                </w:p>
              </w:tc>
              <w:tc>
                <w:tcPr>
                  <w:tcW w:w="1284" w:type="dxa"/>
                  <w:shd w:val="clear" w:color="auto" w:fill="FFFFFF" w:themeFill="background1"/>
                  <w:vAlign w:val="center"/>
                </w:tcPr>
                <w:p w14:paraId="39C24310" w14:textId="77777777" w:rsidR="001D10ED" w:rsidRPr="007E055B" w:rsidRDefault="001D10ED" w:rsidP="001D10ED">
                  <w:pPr>
                    <w:jc w:val="center"/>
                    <w:rPr>
                      <w:rFonts w:ascii="Invesco Interstate Light" w:hAnsi="Invesco Interstate Light"/>
                      <w:b/>
                      <w:bCs/>
                    </w:rPr>
                  </w:pPr>
                  <w:r w:rsidRPr="007E055B">
                    <w:rPr>
                      <w:rFonts w:ascii="Invesco Interstate Light" w:hAnsi="Invesco Interstate Light"/>
                      <w:b/>
                      <w:bCs/>
                    </w:rPr>
                    <w:t>No</w:t>
                  </w:r>
                </w:p>
              </w:tc>
              <w:tc>
                <w:tcPr>
                  <w:tcW w:w="1284" w:type="dxa"/>
                  <w:shd w:val="clear" w:color="auto" w:fill="FFFFFF" w:themeFill="background1"/>
                  <w:vAlign w:val="center"/>
                </w:tcPr>
                <w:p w14:paraId="6C938FFB" w14:textId="77777777" w:rsidR="001D10ED" w:rsidRPr="007E055B" w:rsidRDefault="001D10ED" w:rsidP="001D10ED">
                  <w:pPr>
                    <w:jc w:val="center"/>
                    <w:rPr>
                      <w:rFonts w:ascii="Invesco Interstate Light" w:hAnsi="Invesco Interstate Light"/>
                      <w:b/>
                      <w:bCs/>
                    </w:rPr>
                  </w:pPr>
                  <w:r w:rsidRPr="007E055B">
                    <w:rPr>
                      <w:rFonts w:ascii="Invesco Interstate Light" w:hAnsi="Invesco Interstate Light"/>
                      <w:b/>
                      <w:bCs/>
                    </w:rPr>
                    <w:t>No opinion</w:t>
                  </w:r>
                </w:p>
              </w:tc>
            </w:tr>
            <w:tr w:rsidR="001D10ED" w:rsidRPr="007E055B" w14:paraId="57288907" w14:textId="77777777" w:rsidTr="00E2390A">
              <w:tc>
                <w:tcPr>
                  <w:tcW w:w="1283" w:type="dxa"/>
                  <w:shd w:val="clear" w:color="auto" w:fill="FFFF00"/>
                </w:tcPr>
                <w:p w14:paraId="5F0D50CD" w14:textId="77777777" w:rsidR="001D10ED" w:rsidRPr="007E055B" w:rsidRDefault="001D10ED" w:rsidP="001D10ED">
                  <w:pPr>
                    <w:rPr>
                      <w:rFonts w:ascii="Invesco Interstate Light" w:hAnsi="Invesco Interstate Light"/>
                      <w:b/>
                      <w:bCs/>
                    </w:rPr>
                  </w:pPr>
                </w:p>
              </w:tc>
              <w:tc>
                <w:tcPr>
                  <w:tcW w:w="1284" w:type="dxa"/>
                  <w:shd w:val="clear" w:color="auto" w:fill="FFFFFF" w:themeFill="background1"/>
                </w:tcPr>
                <w:p w14:paraId="1CE1A2C4" w14:textId="77777777" w:rsidR="001D10ED" w:rsidRPr="007E055B" w:rsidRDefault="001D10ED" w:rsidP="001D10ED">
                  <w:pPr>
                    <w:rPr>
                      <w:rFonts w:ascii="Invesco Interstate Light" w:hAnsi="Invesco Interstate Light"/>
                      <w:b/>
                      <w:bCs/>
                    </w:rPr>
                  </w:pPr>
                </w:p>
              </w:tc>
              <w:tc>
                <w:tcPr>
                  <w:tcW w:w="1284" w:type="dxa"/>
                  <w:shd w:val="clear" w:color="auto" w:fill="FFFFFF" w:themeFill="background1"/>
                </w:tcPr>
                <w:p w14:paraId="172DE7F6" w14:textId="77777777" w:rsidR="001D10ED" w:rsidRPr="007E055B" w:rsidRDefault="001D10ED" w:rsidP="001D10ED">
                  <w:pPr>
                    <w:rPr>
                      <w:rFonts w:ascii="Invesco Interstate Light" w:hAnsi="Invesco Interstate Light"/>
                      <w:b/>
                      <w:bCs/>
                    </w:rPr>
                  </w:pPr>
                </w:p>
              </w:tc>
            </w:tr>
          </w:tbl>
          <w:p w14:paraId="491DC861" w14:textId="77777777" w:rsidR="001D10ED" w:rsidRPr="007E055B" w:rsidRDefault="001D10ED" w:rsidP="001D10ED">
            <w:pPr>
              <w:rPr>
                <w:rFonts w:ascii="Invesco Interstate Light" w:hAnsi="Invesco Interstate Light"/>
                <w:b/>
                <w:bCs/>
              </w:rPr>
            </w:pPr>
          </w:p>
          <w:p w14:paraId="169D0E3A" w14:textId="5227021D" w:rsidR="001D10ED" w:rsidRDefault="001D10ED" w:rsidP="001D10ED">
            <w:pPr>
              <w:rPr>
                <w:rFonts w:ascii="Invesco Interstate Light" w:hAnsi="Invesco Interstate Light"/>
                <w:b/>
                <w:bCs/>
              </w:rPr>
            </w:pPr>
            <w:r w:rsidRPr="007E055B">
              <w:rPr>
                <w:rFonts w:ascii="Invesco Interstate Light" w:hAnsi="Invesco Interstate Light"/>
                <w:b/>
                <w:bCs/>
              </w:rPr>
              <w:t>If you answered yes, please indicate which elements of the settlement discipline regime should be reviewed (you may choose more than one option):</w:t>
            </w:r>
          </w:p>
          <w:p w14:paraId="3D88F032" w14:textId="77777777" w:rsidR="005B6288" w:rsidRPr="007E055B" w:rsidRDefault="005B6288" w:rsidP="001D10ED">
            <w:pPr>
              <w:rPr>
                <w:rFonts w:ascii="Invesco Interstate Light" w:hAnsi="Invesco Interstate Light"/>
                <w:b/>
                <w:bCs/>
              </w:rPr>
            </w:pPr>
          </w:p>
          <w:p w14:paraId="22378A82" w14:textId="77777777" w:rsidR="001D10ED" w:rsidRPr="007E055B" w:rsidRDefault="001D10ED" w:rsidP="001D10ED">
            <w:pPr>
              <w:pStyle w:val="ListParagraph"/>
              <w:numPr>
                <w:ilvl w:val="0"/>
                <w:numId w:val="47"/>
              </w:numPr>
              <w:rPr>
                <w:rFonts w:ascii="Invesco Interstate Light" w:hAnsi="Invesco Interstate Light"/>
                <w:b/>
                <w:bCs/>
              </w:rPr>
            </w:pPr>
            <w:r w:rsidRPr="007E055B">
              <w:rPr>
                <w:rFonts w:ascii="Invesco Interstate Light" w:hAnsi="Invesco Interstate Light"/>
                <w:b/>
                <w:bCs/>
                <w:highlight w:val="yellow"/>
              </w:rPr>
              <w:t>Rules relating to the buy-in</w:t>
            </w:r>
          </w:p>
          <w:p w14:paraId="47C962FC" w14:textId="77777777" w:rsidR="001D10ED" w:rsidRPr="007E055B" w:rsidRDefault="001D10ED" w:rsidP="001D10ED">
            <w:pPr>
              <w:pStyle w:val="ListParagraph"/>
              <w:numPr>
                <w:ilvl w:val="0"/>
                <w:numId w:val="47"/>
              </w:numPr>
              <w:rPr>
                <w:rFonts w:ascii="Invesco Interstate Light" w:hAnsi="Invesco Interstate Light"/>
                <w:b/>
                <w:bCs/>
              </w:rPr>
            </w:pPr>
            <w:r w:rsidRPr="007E055B">
              <w:rPr>
                <w:rFonts w:ascii="Invesco Interstate Light" w:hAnsi="Invesco Interstate Light"/>
                <w:b/>
                <w:bCs/>
                <w:highlight w:val="yellow"/>
              </w:rPr>
              <w:t>Rules on penalties</w:t>
            </w:r>
          </w:p>
          <w:p w14:paraId="13E73B83" w14:textId="77777777" w:rsidR="001D10ED" w:rsidRPr="007E055B" w:rsidRDefault="001D10ED" w:rsidP="001D10ED">
            <w:pPr>
              <w:pStyle w:val="ListParagraph"/>
              <w:numPr>
                <w:ilvl w:val="0"/>
                <w:numId w:val="47"/>
              </w:numPr>
              <w:rPr>
                <w:rFonts w:ascii="Invesco Interstate Light" w:hAnsi="Invesco Interstate Light"/>
                <w:b/>
                <w:bCs/>
              </w:rPr>
            </w:pPr>
            <w:r w:rsidRPr="007E055B">
              <w:rPr>
                <w:rFonts w:ascii="Invesco Interstate Light" w:hAnsi="Invesco Interstate Light"/>
                <w:b/>
                <w:bCs/>
              </w:rPr>
              <w:t>Rules on the reporting of settlement fails</w:t>
            </w:r>
          </w:p>
          <w:p w14:paraId="748AB918" w14:textId="77777777" w:rsidR="00D95BB3" w:rsidRPr="007E055B" w:rsidRDefault="001D10ED" w:rsidP="001D10ED">
            <w:pPr>
              <w:pStyle w:val="ListParagraph"/>
              <w:numPr>
                <w:ilvl w:val="0"/>
                <w:numId w:val="47"/>
              </w:numPr>
              <w:rPr>
                <w:rFonts w:ascii="Invesco Interstate Light" w:hAnsi="Invesco Interstate Light"/>
                <w:b/>
                <w:bCs/>
              </w:rPr>
            </w:pPr>
            <w:r w:rsidRPr="007E055B">
              <w:rPr>
                <w:rFonts w:ascii="Invesco Interstate Light" w:hAnsi="Invesco Interstate Light"/>
                <w:b/>
                <w:bCs/>
              </w:rPr>
              <w:t>Other (please specify)</w:t>
            </w:r>
          </w:p>
          <w:p w14:paraId="7E69BA52" w14:textId="4F1BB20F" w:rsidR="001D10ED" w:rsidRPr="007E055B" w:rsidRDefault="001D10ED" w:rsidP="001D10ED">
            <w:pPr>
              <w:rPr>
                <w:rFonts w:ascii="Invesco Interstate Light" w:hAnsi="Invesco Interstate Light"/>
                <w:b/>
                <w:bCs/>
              </w:rPr>
            </w:pPr>
          </w:p>
        </w:tc>
      </w:tr>
      <w:tr w:rsidR="00D82365" w:rsidRPr="003D6995" w14:paraId="6EB3DE3D" w14:textId="77777777" w:rsidTr="00CD3CF9">
        <w:trPr>
          <w:jc w:val="center"/>
        </w:trPr>
        <w:tc>
          <w:tcPr>
            <w:tcW w:w="10772" w:type="dxa"/>
          </w:tcPr>
          <w:p w14:paraId="26C4427B" w14:textId="77777777" w:rsidR="001D10ED" w:rsidRPr="003D6995" w:rsidRDefault="001D10ED" w:rsidP="001D10ED">
            <w:pPr>
              <w:rPr>
                <w:rFonts w:ascii="Invesco Interstate Light" w:hAnsi="Invesco Interstate Light"/>
              </w:rPr>
            </w:pPr>
          </w:p>
          <w:p w14:paraId="52372AC5" w14:textId="31F1CB2D" w:rsidR="001D10ED" w:rsidRPr="003D6995" w:rsidRDefault="001D10ED" w:rsidP="001D10ED">
            <w:pPr>
              <w:rPr>
                <w:rFonts w:ascii="Invesco Interstate Light" w:hAnsi="Invesco Interstate Light"/>
              </w:rPr>
            </w:pPr>
            <w:r w:rsidRPr="003D6995">
              <w:rPr>
                <w:rFonts w:ascii="Invesco Interstate Light" w:hAnsi="Invesco Interstate Light"/>
              </w:rPr>
              <w:t xml:space="preserve">Response: Yes, we believe that a revision of the </w:t>
            </w:r>
            <w:r w:rsidR="00E83B8E">
              <w:rPr>
                <w:rFonts w:ascii="Invesco Interstate Light" w:hAnsi="Invesco Interstate Light"/>
              </w:rPr>
              <w:t xml:space="preserve">CSDR </w:t>
            </w:r>
            <w:r w:rsidRPr="003D6995">
              <w:rPr>
                <w:rFonts w:ascii="Invesco Interstate Light" w:hAnsi="Invesco Interstate Light"/>
              </w:rPr>
              <w:t>settlement discipline regime is necessary because, as currently drafted, we believe there is insufficient clarity on how the rules would operate in practice, in particular around the proposed mandatory buy-in and penalties regimes.</w:t>
            </w:r>
          </w:p>
          <w:p w14:paraId="2970A959" w14:textId="77777777" w:rsidR="001D10ED" w:rsidRPr="003D6995" w:rsidRDefault="001D10ED" w:rsidP="001D10ED">
            <w:pPr>
              <w:rPr>
                <w:rFonts w:ascii="Invesco Interstate Light" w:hAnsi="Invesco Interstate Light"/>
              </w:rPr>
            </w:pPr>
          </w:p>
          <w:p w14:paraId="621D96BE" w14:textId="77777777" w:rsidR="001D10ED" w:rsidRPr="00E83B8E" w:rsidRDefault="001D10ED" w:rsidP="00E83B8E">
            <w:pPr>
              <w:pStyle w:val="ListParagraph"/>
              <w:numPr>
                <w:ilvl w:val="0"/>
                <w:numId w:val="48"/>
              </w:numPr>
              <w:rPr>
                <w:rFonts w:ascii="Invesco Interstate Light" w:hAnsi="Invesco Interstate Light"/>
                <w:u w:val="single"/>
              </w:rPr>
            </w:pPr>
            <w:r w:rsidRPr="00E83B8E">
              <w:rPr>
                <w:rFonts w:ascii="Invesco Interstate Light" w:hAnsi="Invesco Interstate Light"/>
                <w:u w:val="single"/>
              </w:rPr>
              <w:t>Rules relating to the buy-in</w:t>
            </w:r>
          </w:p>
          <w:p w14:paraId="242CE7F1" w14:textId="77777777" w:rsidR="001D10ED" w:rsidRPr="003D6995" w:rsidRDefault="001D10ED" w:rsidP="001D10ED">
            <w:pPr>
              <w:rPr>
                <w:rFonts w:ascii="Invesco Interstate Light" w:hAnsi="Invesco Interstate Light"/>
              </w:rPr>
            </w:pPr>
          </w:p>
          <w:p w14:paraId="69CAD81F" w14:textId="77777777" w:rsidR="001D10ED" w:rsidRPr="003D6995" w:rsidRDefault="001D10ED" w:rsidP="001D10ED">
            <w:pPr>
              <w:rPr>
                <w:rFonts w:ascii="Invesco Interstate Light" w:hAnsi="Invesco Interstate Light"/>
              </w:rPr>
            </w:pPr>
            <w:r w:rsidRPr="003D6995">
              <w:rPr>
                <w:rFonts w:ascii="Invesco Interstate Light" w:hAnsi="Invesco Interstate Light"/>
              </w:rPr>
              <w:t>One of the most obvious issues relating to the buy-in is the potential for asymmetry in the reimbursement for failed trades. The policy intention should be to ensure that the receiving party is in as near an economic position as possible to the one that would have resulted had the original transaction settled on time, regardless of the direction in which the price of the instrument may have moved. Given the difficulties inherent in ensuring that, where a trade has failed, buyers are protected against a rising price and that sellers, where they agree to fill a client order through a short sell, are not inadvertently adversely impacted by changes in the pricing of such transactions, we believe that buy-ins should not be mandatory as this would only serve to crystallise potential harm and market inefficiencies.</w:t>
            </w:r>
          </w:p>
          <w:p w14:paraId="25D219B8" w14:textId="77777777" w:rsidR="001D10ED" w:rsidRPr="003D6995" w:rsidRDefault="001D10ED" w:rsidP="001D10ED">
            <w:pPr>
              <w:rPr>
                <w:rFonts w:ascii="Invesco Interstate Light" w:hAnsi="Invesco Interstate Light"/>
              </w:rPr>
            </w:pPr>
          </w:p>
          <w:p w14:paraId="0831765F" w14:textId="77777777" w:rsidR="001D10ED" w:rsidRPr="003D6995" w:rsidRDefault="001D10ED" w:rsidP="001D10ED">
            <w:pPr>
              <w:rPr>
                <w:rFonts w:ascii="Invesco Interstate Light" w:hAnsi="Invesco Interstate Light"/>
              </w:rPr>
            </w:pPr>
            <w:r w:rsidRPr="003D6995">
              <w:rPr>
                <w:rFonts w:ascii="Invesco Interstate Light" w:hAnsi="Invesco Interstate Light"/>
              </w:rPr>
              <w:t xml:space="preserve">Additionally, the potential negative impact of the mandatory buy-in regime on ETP primary market transactions is a clear example of the need to revise the scope and application of the settlement discipline regime. The current scope of the settlement discipline regime could give rise to unintended market inefficiencies. For example, where an ETP creation/redemption leg of the primary market order may have failed, </w:t>
            </w:r>
            <w:proofErr w:type="gramStart"/>
            <w:r w:rsidRPr="003D6995">
              <w:rPr>
                <w:rFonts w:ascii="Invesco Interstate Light" w:hAnsi="Invesco Interstate Light"/>
              </w:rPr>
              <w:t>in order to</w:t>
            </w:r>
            <w:proofErr w:type="gramEnd"/>
            <w:r w:rsidRPr="003D6995">
              <w:rPr>
                <w:rFonts w:ascii="Invesco Interstate Light" w:hAnsi="Invesco Interstate Light"/>
              </w:rPr>
              <w:t xml:space="preserve"> buy-in ETP units, a buy-in agent may need to acquire the ETP units from another Authorised Participant (AP).</w:t>
            </w:r>
          </w:p>
          <w:p w14:paraId="6C96DBC6" w14:textId="77777777" w:rsidR="001D10ED" w:rsidRPr="003D6995" w:rsidRDefault="001D10ED" w:rsidP="001D10ED">
            <w:pPr>
              <w:rPr>
                <w:rFonts w:ascii="Invesco Interstate Light" w:hAnsi="Invesco Interstate Light"/>
              </w:rPr>
            </w:pPr>
          </w:p>
          <w:p w14:paraId="727A1CC9" w14:textId="77777777" w:rsidR="001D10ED" w:rsidRPr="003D6995" w:rsidRDefault="001D10ED" w:rsidP="001D10ED">
            <w:pPr>
              <w:rPr>
                <w:rFonts w:ascii="Invesco Interstate Light" w:hAnsi="Invesco Interstate Light"/>
              </w:rPr>
            </w:pPr>
            <w:proofErr w:type="gramStart"/>
            <w:r w:rsidRPr="003D6995">
              <w:rPr>
                <w:rFonts w:ascii="Invesco Interstate Light" w:hAnsi="Invesco Interstate Light"/>
              </w:rPr>
              <w:t>In the event that</w:t>
            </w:r>
            <w:proofErr w:type="gramEnd"/>
            <w:r w:rsidRPr="003D6995">
              <w:rPr>
                <w:rFonts w:ascii="Invesco Interstate Light" w:hAnsi="Invesco Interstate Light"/>
              </w:rPr>
              <w:t xml:space="preserve"> these units are not readily available on the secondary market, the secondary AP may need to subscribe for the ETP units with the ETP provider. This is because the ETP is essentially an open-ended collective investment scheme. Such a buy-in for an AP failing to return ETP units could result in a circular scenario whereby the ETP provider creates ETP units just to receive these same units back through the buy-in process. These ETP units would then subsequently be cancelled.</w:t>
            </w:r>
          </w:p>
          <w:p w14:paraId="51AF2D8D" w14:textId="77777777" w:rsidR="001D10ED" w:rsidRPr="003D6995" w:rsidRDefault="001D10ED" w:rsidP="001D10ED">
            <w:pPr>
              <w:rPr>
                <w:rFonts w:ascii="Invesco Interstate Light" w:hAnsi="Invesco Interstate Light"/>
              </w:rPr>
            </w:pPr>
          </w:p>
          <w:p w14:paraId="48734EAB" w14:textId="77777777" w:rsidR="001D10ED" w:rsidRPr="003D6995" w:rsidRDefault="001D10ED" w:rsidP="001D10ED">
            <w:pPr>
              <w:rPr>
                <w:rFonts w:ascii="Invesco Interstate Light" w:hAnsi="Invesco Interstate Light"/>
              </w:rPr>
            </w:pPr>
            <w:r w:rsidRPr="003D6995">
              <w:rPr>
                <w:rFonts w:ascii="Invesco Interstate Light" w:hAnsi="Invesco Interstate Light"/>
              </w:rPr>
              <w:t>Ultimately, such inefficiencies would weaken investor protection measures and thereby have a material detrimental impact on end-investors, both in terms of the value of their investments and the prices with which they are presented in the market.</w:t>
            </w:r>
          </w:p>
          <w:p w14:paraId="0A9DC4CD" w14:textId="77777777" w:rsidR="001D10ED" w:rsidRPr="003D6995" w:rsidRDefault="001D10ED" w:rsidP="001D10ED">
            <w:pPr>
              <w:rPr>
                <w:rFonts w:ascii="Invesco Interstate Light" w:hAnsi="Invesco Interstate Light"/>
              </w:rPr>
            </w:pPr>
          </w:p>
          <w:p w14:paraId="6193954F" w14:textId="77777777" w:rsidR="001D10ED" w:rsidRPr="003D6995" w:rsidRDefault="001D10ED" w:rsidP="001D10ED">
            <w:pPr>
              <w:rPr>
                <w:rFonts w:ascii="Invesco Interstate Light" w:hAnsi="Invesco Interstate Light"/>
              </w:rPr>
            </w:pPr>
            <w:r w:rsidRPr="003D6995">
              <w:rPr>
                <w:rFonts w:ascii="Invesco Interstate Light" w:hAnsi="Invesco Interstate Light"/>
              </w:rPr>
              <w:t>Moreover, the potential market inefficiency outlined above would have been wholly unnecessary as ETPs already have well-established and comprehensive liability and/or indemnity provisions in their prospectuses and their contracts with APs which protect the ETPs and their investors from losses caused by settlement delay or failure on the part of the AP. Similarly, APs will also have recourse against ETPs for settlement delay or failure under the prospectuses and/or AP contracts, and, in respect of UCITS Exchange Traded Funds (ETFs), they may also have protections under UCITS rules.</w:t>
            </w:r>
          </w:p>
          <w:p w14:paraId="75D3D14F" w14:textId="77777777" w:rsidR="001D10ED" w:rsidRPr="003D6995" w:rsidRDefault="001D10ED" w:rsidP="001D10ED">
            <w:pPr>
              <w:rPr>
                <w:rFonts w:ascii="Invesco Interstate Light" w:hAnsi="Invesco Interstate Light"/>
              </w:rPr>
            </w:pPr>
          </w:p>
          <w:p w14:paraId="5A11CD31" w14:textId="77777777" w:rsidR="001D10ED" w:rsidRPr="003D6995" w:rsidRDefault="001D10ED" w:rsidP="001D10ED">
            <w:pPr>
              <w:rPr>
                <w:rFonts w:ascii="Invesco Interstate Light" w:hAnsi="Invesco Interstate Light"/>
              </w:rPr>
            </w:pPr>
            <w:r w:rsidRPr="003D6995">
              <w:rPr>
                <w:rFonts w:ascii="Invesco Interstate Light" w:hAnsi="Invesco Interstate Light"/>
              </w:rPr>
              <w:lastRenderedPageBreak/>
              <w:t xml:space="preserve">As such, </w:t>
            </w:r>
            <w:proofErr w:type="gramStart"/>
            <w:r w:rsidRPr="003D6995">
              <w:rPr>
                <w:rFonts w:ascii="Invesco Interstate Light" w:hAnsi="Invesco Interstate Light"/>
              </w:rPr>
              <w:t>in order to</w:t>
            </w:r>
            <w:proofErr w:type="gramEnd"/>
            <w:r w:rsidRPr="003D6995">
              <w:rPr>
                <w:rFonts w:ascii="Invesco Interstate Light" w:hAnsi="Invesco Interstate Light"/>
              </w:rPr>
              <w:t xml:space="preserve"> avoid such unintended market inefficiencies from arising, the European Commission should remove the ETP creation/redemption leg of the primary market order process from the scope of the CSDR buy-in regime.</w:t>
            </w:r>
          </w:p>
          <w:p w14:paraId="77F9B6A0" w14:textId="2F29C4CD" w:rsidR="001D10ED" w:rsidRPr="003D6995" w:rsidRDefault="001D10ED" w:rsidP="001D10ED">
            <w:pPr>
              <w:rPr>
                <w:rFonts w:ascii="Invesco Interstate Light" w:hAnsi="Invesco Interstate Light"/>
              </w:rPr>
            </w:pPr>
          </w:p>
          <w:p w14:paraId="41E0128F" w14:textId="77777777" w:rsidR="001D10ED" w:rsidRPr="00E83B8E" w:rsidRDefault="001D10ED" w:rsidP="00E83B8E">
            <w:pPr>
              <w:pStyle w:val="ListParagraph"/>
              <w:numPr>
                <w:ilvl w:val="0"/>
                <w:numId w:val="48"/>
              </w:numPr>
              <w:rPr>
                <w:rFonts w:ascii="Invesco Interstate Light" w:hAnsi="Invesco Interstate Light"/>
                <w:u w:val="single"/>
              </w:rPr>
            </w:pPr>
            <w:r w:rsidRPr="00E83B8E">
              <w:rPr>
                <w:rFonts w:ascii="Invesco Interstate Light" w:hAnsi="Invesco Interstate Light"/>
                <w:u w:val="single"/>
              </w:rPr>
              <w:t>Rules relating to penalties</w:t>
            </w:r>
          </w:p>
          <w:p w14:paraId="4C34CA4C" w14:textId="77777777" w:rsidR="001D10ED" w:rsidRPr="003D6995" w:rsidRDefault="001D10ED" w:rsidP="001D10ED">
            <w:pPr>
              <w:rPr>
                <w:rFonts w:ascii="Invesco Interstate Light" w:hAnsi="Invesco Interstate Light"/>
              </w:rPr>
            </w:pPr>
          </w:p>
          <w:p w14:paraId="204190FD" w14:textId="77777777" w:rsidR="001D10ED" w:rsidRPr="003D6995" w:rsidRDefault="001D10ED" w:rsidP="001D10ED">
            <w:pPr>
              <w:rPr>
                <w:rFonts w:ascii="Invesco Interstate Light" w:hAnsi="Invesco Interstate Light"/>
              </w:rPr>
            </w:pPr>
            <w:r w:rsidRPr="003D6995">
              <w:rPr>
                <w:rFonts w:ascii="Invesco Interstate Light" w:hAnsi="Invesco Interstate Light"/>
              </w:rPr>
              <w:t>As regards the payment and attribution of penalties, we encourage the European Commission to clarify whether entities that are net recipients of penalties have discretion as to whether such monies are ascribed to the relevant fund (and so the performance of the relevant fund is impacted via positive tracking difference) or to the Management Company (and so the performance of the relevant fund is not impacted).</w:t>
            </w:r>
          </w:p>
          <w:p w14:paraId="6ED14E40" w14:textId="64D559ED" w:rsidR="002D30C1" w:rsidRPr="003D6995" w:rsidRDefault="002D30C1" w:rsidP="002D30C1">
            <w:pPr>
              <w:rPr>
                <w:rFonts w:ascii="Invesco Interstate Light" w:hAnsi="Invesco Interstate Light"/>
              </w:rPr>
            </w:pPr>
          </w:p>
        </w:tc>
      </w:tr>
    </w:tbl>
    <w:p w14:paraId="3F4AC9E8" w14:textId="283EFACA" w:rsidR="00C1473F" w:rsidRDefault="00C1473F">
      <w:pPr>
        <w:rPr>
          <w:rFonts w:ascii="Invesco Interstate Light" w:hAnsi="Invesco Interstate Light"/>
        </w:rPr>
      </w:pPr>
    </w:p>
    <w:p w14:paraId="1327D3EE" w14:textId="79F9FBF1" w:rsidR="001D10ED" w:rsidRDefault="001D10ED">
      <w:pPr>
        <w:rPr>
          <w:rFonts w:ascii="Invesco Interstate Light" w:hAnsi="Invesco Interstate Light"/>
        </w:rPr>
      </w:pPr>
    </w:p>
    <w:p w14:paraId="220E0246" w14:textId="543C266D" w:rsidR="00A738A7" w:rsidRPr="006663D8" w:rsidRDefault="00F24972" w:rsidP="006663D8">
      <w:pPr>
        <w:pStyle w:val="TOCHeading"/>
        <w:spacing w:before="0"/>
        <w:jc w:val="center"/>
        <w:rPr>
          <w:rFonts w:ascii="Invesco Interstate Light" w:hAnsi="Invesco Interstate Light"/>
          <w:b/>
          <w:bCs/>
        </w:rPr>
      </w:pPr>
      <w:r w:rsidRPr="006663D8">
        <w:rPr>
          <w:rFonts w:ascii="Invesco Interstate Light" w:hAnsi="Invesco Interstate Light"/>
          <w:b/>
          <w:bCs/>
        </w:rPr>
        <w:t>- ENDS -</w:t>
      </w:r>
    </w:p>
    <w:sectPr w:rsidR="00A738A7" w:rsidRPr="006663D8" w:rsidSect="00F24972">
      <w:footerReference w:type="default" r:id="rId12"/>
      <w:headerReference w:type="first" r:id="rId13"/>
      <w:footerReference w:type="first" r:id="rId14"/>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02330" w14:textId="77777777" w:rsidR="00FF324B" w:rsidRDefault="00FF324B" w:rsidP="002D3200">
      <w:pPr>
        <w:spacing w:after="0" w:line="240" w:lineRule="auto"/>
      </w:pPr>
      <w:r>
        <w:separator/>
      </w:r>
    </w:p>
  </w:endnote>
  <w:endnote w:type="continuationSeparator" w:id="0">
    <w:p w14:paraId="363338EC" w14:textId="77777777" w:rsidR="00FF324B" w:rsidRDefault="00FF324B" w:rsidP="002D3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vescoInterstate-Light">
    <w:altName w:val="Times New Roman"/>
    <w:panose1 w:val="00000000000000000000"/>
    <w:charset w:val="00"/>
    <w:family w:val="auto"/>
    <w:notTrueType/>
    <w:pitch w:val="variable"/>
    <w:sig w:usb0="800000AF" w:usb1="5000204A" w:usb2="00000000" w:usb3="00000000" w:csb0="0000019B" w:csb1="00000000"/>
  </w:font>
  <w:font w:name="Invesco Interstate Light">
    <w:panose1 w:val="02000506030000020004"/>
    <w:charset w:val="00"/>
    <w:family w:val="modern"/>
    <w:notTrueType/>
    <w:pitch w:val="variable"/>
    <w:sig w:usb0="A00000AF" w:usb1="5000204A" w:usb2="00000000" w:usb3="00000000" w:csb0="000001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131700"/>
      <w:docPartObj>
        <w:docPartGallery w:val="Page Numbers (Bottom of Page)"/>
        <w:docPartUnique/>
      </w:docPartObj>
    </w:sdtPr>
    <w:sdtEndPr>
      <w:rPr>
        <w:noProof/>
      </w:rPr>
    </w:sdtEndPr>
    <w:sdtContent>
      <w:p w14:paraId="100491EA" w14:textId="33349F3B" w:rsidR="00106EB9" w:rsidRDefault="00106E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E23C3E" w14:textId="77777777" w:rsidR="00106EB9" w:rsidRDefault="00106EB9" w:rsidP="00F249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0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082"/>
    </w:tblGrid>
    <w:tr w:rsidR="00F24972" w14:paraId="4BAA5AEC" w14:textId="77777777" w:rsidTr="00DB7FE4">
      <w:tc>
        <w:tcPr>
          <w:tcW w:w="5954" w:type="dxa"/>
        </w:tcPr>
        <w:p w14:paraId="3D0D9011" w14:textId="1578C9C5" w:rsidR="00F24972" w:rsidRDefault="00F24972" w:rsidP="00F24972">
          <w:pPr>
            <w:pStyle w:val="Footer"/>
          </w:pPr>
        </w:p>
      </w:tc>
      <w:tc>
        <w:tcPr>
          <w:tcW w:w="408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6"/>
          </w:tblGrid>
          <w:tr w:rsidR="00F24972" w:rsidRPr="00880F0E" w14:paraId="04F9BE80" w14:textId="77777777" w:rsidTr="00DB7FE4">
            <w:tc>
              <w:tcPr>
                <w:tcW w:w="4082" w:type="dxa"/>
              </w:tcPr>
              <w:p w14:paraId="4C5CA2C2" w14:textId="77777777" w:rsidR="00F24972" w:rsidRPr="00EA3287" w:rsidRDefault="00F24972" w:rsidP="00F24972">
                <w:pPr>
                  <w:pStyle w:val="Registered"/>
                  <w:pBdr>
                    <w:top w:val="dotted" w:sz="4" w:space="1" w:color="auto"/>
                  </w:pBdr>
                </w:pPr>
                <w:r w:rsidRPr="00EA3287">
                  <w:rPr>
                    <w:spacing w:val="-4"/>
                  </w:rPr>
                  <w:t xml:space="preserve">Invesco Fund Managers </w:t>
                </w:r>
                <w:r>
                  <w:rPr>
                    <w:spacing w:val="-4"/>
                  </w:rPr>
                  <w:t>Limited,</w:t>
                </w:r>
                <w:r w:rsidRPr="00EA3287">
                  <w:rPr>
                    <w:spacing w:val="-4"/>
                  </w:rPr>
                  <w:t xml:space="preserve"> </w:t>
                </w:r>
                <w:r>
                  <w:rPr>
                    <w:spacing w:val="-4"/>
                  </w:rPr>
                  <w:t>Company</w:t>
                </w:r>
                <w:r w:rsidRPr="00EA3287">
                  <w:rPr>
                    <w:spacing w:val="-4"/>
                  </w:rPr>
                  <w:t xml:space="preserve"> No</w:t>
                </w:r>
                <w:r>
                  <w:rPr>
                    <w:spacing w:val="-4"/>
                  </w:rPr>
                  <w:t>.</w:t>
                </w:r>
                <w:r w:rsidRPr="00EA3287">
                  <w:rPr>
                    <w:spacing w:val="-4"/>
                  </w:rPr>
                  <w:t xml:space="preserve"> 898166</w:t>
                </w:r>
              </w:p>
              <w:p w14:paraId="18DCCA5D" w14:textId="77777777" w:rsidR="00F24972" w:rsidRPr="00EA3287" w:rsidRDefault="00F24972" w:rsidP="00F24972">
                <w:pPr>
                  <w:pStyle w:val="Registered"/>
                  <w:rPr>
                    <w:spacing w:val="-4"/>
                  </w:rPr>
                </w:pPr>
                <w:r w:rsidRPr="00EA3287">
                  <w:rPr>
                    <w:spacing w:val="-4"/>
                  </w:rPr>
                  <w:t xml:space="preserve">Invesco Asset Management </w:t>
                </w:r>
                <w:r>
                  <w:rPr>
                    <w:spacing w:val="-4"/>
                  </w:rPr>
                  <w:t>Limited,</w:t>
                </w:r>
                <w:r w:rsidRPr="00EA3287">
                  <w:rPr>
                    <w:spacing w:val="-4"/>
                  </w:rPr>
                  <w:t xml:space="preserve"> </w:t>
                </w:r>
                <w:r>
                  <w:rPr>
                    <w:spacing w:val="-4"/>
                  </w:rPr>
                  <w:t>Company</w:t>
                </w:r>
                <w:r w:rsidRPr="00EA3287">
                  <w:rPr>
                    <w:spacing w:val="-4"/>
                  </w:rPr>
                  <w:t xml:space="preserve"> No</w:t>
                </w:r>
                <w:r>
                  <w:rPr>
                    <w:spacing w:val="-4"/>
                  </w:rPr>
                  <w:t>.</w:t>
                </w:r>
                <w:r w:rsidRPr="00EA3287">
                  <w:rPr>
                    <w:spacing w:val="-4"/>
                  </w:rPr>
                  <w:t xml:space="preserve"> 949417</w:t>
                </w:r>
              </w:p>
              <w:p w14:paraId="694C1C1D" w14:textId="77777777" w:rsidR="00F24972" w:rsidRPr="00EA3287" w:rsidRDefault="00F24972" w:rsidP="00F24972">
                <w:pPr>
                  <w:pStyle w:val="Registered"/>
                  <w:rPr>
                    <w:spacing w:val="-4"/>
                  </w:rPr>
                </w:pPr>
                <w:r w:rsidRPr="00EA3287">
                  <w:rPr>
                    <w:spacing w:val="-4"/>
                  </w:rPr>
                  <w:t>Authorised and regulated by the Financial Conduct Authority</w:t>
                </w:r>
              </w:p>
              <w:p w14:paraId="27DF6592" w14:textId="77777777" w:rsidR="00F24972" w:rsidRPr="00EA3287" w:rsidRDefault="00F24972" w:rsidP="00F24972">
                <w:pPr>
                  <w:pStyle w:val="Registered"/>
                  <w:rPr>
                    <w:spacing w:val="-4"/>
                  </w:rPr>
                </w:pPr>
                <w:r w:rsidRPr="00EA3287">
                  <w:rPr>
                    <w:spacing w:val="-4"/>
                  </w:rPr>
                  <w:t xml:space="preserve">Invesco Pensions </w:t>
                </w:r>
                <w:r>
                  <w:rPr>
                    <w:spacing w:val="-4"/>
                  </w:rPr>
                  <w:t>Limited,</w:t>
                </w:r>
                <w:r w:rsidRPr="00EA3287">
                  <w:rPr>
                    <w:spacing w:val="-4"/>
                  </w:rPr>
                  <w:t xml:space="preserve"> </w:t>
                </w:r>
                <w:r>
                  <w:rPr>
                    <w:spacing w:val="-4"/>
                  </w:rPr>
                  <w:t>Company</w:t>
                </w:r>
                <w:r w:rsidRPr="00EA3287">
                  <w:rPr>
                    <w:spacing w:val="-4"/>
                  </w:rPr>
                  <w:t xml:space="preserve"> No</w:t>
                </w:r>
                <w:r>
                  <w:rPr>
                    <w:spacing w:val="-4"/>
                  </w:rPr>
                  <w:t>.</w:t>
                </w:r>
                <w:r w:rsidRPr="00EA3287">
                  <w:rPr>
                    <w:spacing w:val="-4"/>
                  </w:rPr>
                  <w:t xml:space="preserve"> 3507379</w:t>
                </w:r>
              </w:p>
              <w:p w14:paraId="40484E22" w14:textId="77777777" w:rsidR="00F24972" w:rsidRDefault="00F24972" w:rsidP="00F24972">
                <w:pPr>
                  <w:pStyle w:val="Registered"/>
                  <w:rPr>
                    <w:spacing w:val="-4"/>
                  </w:rPr>
                </w:pPr>
                <w:r w:rsidRPr="00EA3287">
                  <w:rPr>
                    <w:spacing w:val="-4"/>
                  </w:rPr>
                  <w:t xml:space="preserve">Authorised by the Prudential Regulation Authority and </w:t>
                </w:r>
              </w:p>
              <w:p w14:paraId="30EA3BC1" w14:textId="77777777" w:rsidR="00F24972" w:rsidRDefault="00F24972" w:rsidP="00F24972">
                <w:pPr>
                  <w:pStyle w:val="Registered"/>
                  <w:rPr>
                    <w:spacing w:val="-4"/>
                  </w:rPr>
                </w:pPr>
                <w:r w:rsidRPr="00EA3287">
                  <w:rPr>
                    <w:spacing w:val="-4"/>
                  </w:rPr>
                  <w:t xml:space="preserve">regulated by the Financial Conduct Authority and the </w:t>
                </w:r>
              </w:p>
              <w:p w14:paraId="250326F1" w14:textId="77777777" w:rsidR="00F24972" w:rsidRPr="00880F0E" w:rsidRDefault="00F24972" w:rsidP="00F24972">
                <w:pPr>
                  <w:pStyle w:val="Registered"/>
                  <w:rPr>
                    <w:spacing w:val="-4"/>
                  </w:rPr>
                </w:pPr>
                <w:r w:rsidRPr="00EA3287">
                  <w:rPr>
                    <w:spacing w:val="-4"/>
                  </w:rPr>
                  <w:t>Prudential Regulation Authority</w:t>
                </w:r>
              </w:p>
            </w:tc>
          </w:tr>
          <w:tr w:rsidR="00F24972" w:rsidRPr="00880F0E" w14:paraId="3CF94E73" w14:textId="77777777" w:rsidTr="00DB7FE4">
            <w:trPr>
              <w:trHeight w:hRule="exact" w:val="170"/>
            </w:trPr>
            <w:tc>
              <w:tcPr>
                <w:tcW w:w="4082" w:type="dxa"/>
              </w:tcPr>
              <w:p w14:paraId="7C0DEAE5" w14:textId="77777777" w:rsidR="00F24972" w:rsidRPr="00880F0E" w:rsidRDefault="00F24972" w:rsidP="00F24972">
                <w:pPr>
                  <w:pStyle w:val="Registered"/>
                </w:pPr>
              </w:p>
            </w:tc>
          </w:tr>
          <w:tr w:rsidR="00F24972" w:rsidRPr="00880F0E" w14:paraId="1955ED0E" w14:textId="77777777" w:rsidTr="00DB7FE4">
            <w:trPr>
              <w:trHeight w:val="420"/>
            </w:trPr>
            <w:tc>
              <w:tcPr>
                <w:tcW w:w="4082" w:type="dxa"/>
              </w:tcPr>
              <w:p w14:paraId="434363F9" w14:textId="77777777" w:rsidR="00F24972" w:rsidRPr="00880F0E" w:rsidRDefault="00F24972" w:rsidP="00F24972">
                <w:pPr>
                  <w:pStyle w:val="Registered"/>
                  <w:pBdr>
                    <w:top w:val="dotted" w:sz="4" w:space="1" w:color="auto"/>
                  </w:pBdr>
                </w:pPr>
                <w:r>
                  <w:t>R</w:t>
                </w:r>
                <w:r w:rsidRPr="00880F0E">
                  <w:t xml:space="preserve">egistered in England at </w:t>
                </w:r>
              </w:p>
              <w:p w14:paraId="0B5F2B44" w14:textId="77777777" w:rsidR="00F24972" w:rsidRPr="00880F0E" w:rsidRDefault="00F24972" w:rsidP="00F24972">
                <w:pPr>
                  <w:pStyle w:val="Registered"/>
                </w:pPr>
                <w:r w:rsidRPr="00880F0E">
                  <w:t>Perpetual Park, Perpetual Park Drive</w:t>
                </w:r>
              </w:p>
              <w:p w14:paraId="5D0B8114" w14:textId="77777777" w:rsidR="00F24972" w:rsidRPr="00880F0E" w:rsidRDefault="00F24972" w:rsidP="00F24972">
                <w:pPr>
                  <w:pStyle w:val="Registered"/>
                </w:pPr>
                <w:r w:rsidRPr="00880F0E">
                  <w:t>Henley-on-Thames, Oxfordshire, RG9 1HH, UK</w:t>
                </w:r>
              </w:p>
              <w:p w14:paraId="1D63D102" w14:textId="77777777" w:rsidR="00F24972" w:rsidRPr="00880F0E" w:rsidRDefault="00F24972" w:rsidP="00F24972">
                <w:pPr>
                  <w:pStyle w:val="Registered"/>
                </w:pPr>
                <w:r w:rsidRPr="00880F0E">
                  <w:t>Group VAT No</w:t>
                </w:r>
                <w:r>
                  <w:t>. GB 245 055</w:t>
                </w:r>
                <w:r w:rsidRPr="00880F0E">
                  <w:t>7</w:t>
                </w:r>
                <w:r>
                  <w:t xml:space="preserve"> </w:t>
                </w:r>
                <w:r w:rsidRPr="00880F0E">
                  <w:t>71</w:t>
                </w:r>
              </w:p>
            </w:tc>
          </w:tr>
        </w:tbl>
        <w:p w14:paraId="1073F5D3" w14:textId="77777777" w:rsidR="00F24972" w:rsidRDefault="00F24972" w:rsidP="00F24972">
          <w:pPr>
            <w:pStyle w:val="Footer"/>
          </w:pPr>
        </w:p>
      </w:tc>
    </w:tr>
  </w:tbl>
  <w:p w14:paraId="43A2204C" w14:textId="6843D4DB" w:rsidR="00F24972" w:rsidRDefault="00F249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8FACEA" w14:textId="77777777" w:rsidR="00FF324B" w:rsidRDefault="00FF324B" w:rsidP="002D3200">
      <w:pPr>
        <w:spacing w:after="0" w:line="240" w:lineRule="auto"/>
      </w:pPr>
      <w:r>
        <w:separator/>
      </w:r>
    </w:p>
  </w:footnote>
  <w:footnote w:type="continuationSeparator" w:id="0">
    <w:p w14:paraId="40897924" w14:textId="77777777" w:rsidR="00FF324B" w:rsidRDefault="00FF324B" w:rsidP="002D32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5CEC3" w14:textId="0D49C0C9" w:rsidR="00F24972" w:rsidRDefault="00F24972">
    <w:pPr>
      <w:pStyle w:val="Header"/>
    </w:pPr>
    <w:r>
      <w:rPr>
        <w:noProof/>
        <w:lang w:eastAsia="en-GB"/>
      </w:rPr>
      <w:drawing>
        <wp:anchor distT="0" distB="0" distL="114300" distR="114300" simplePos="0" relativeHeight="251659264" behindDoc="1" locked="0" layoutInCell="1" allowOverlap="1" wp14:anchorId="4A1054D3" wp14:editId="3718E3B6">
          <wp:simplePos x="0" y="0"/>
          <wp:positionH relativeFrom="page">
            <wp:posOffset>101287</wp:posOffset>
          </wp:positionH>
          <wp:positionV relativeFrom="margin">
            <wp:posOffset>-522605</wp:posOffset>
          </wp:positionV>
          <wp:extent cx="1764000" cy="1116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UK_LETTERHEAD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4000" cy="111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B112498"/>
    <w:multiLevelType w:val="hybridMultilevel"/>
    <w:tmpl w:val="F72A717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27CB8"/>
    <w:multiLevelType w:val="hybridMultilevel"/>
    <w:tmpl w:val="EEE44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C86D21"/>
    <w:multiLevelType w:val="hybridMultilevel"/>
    <w:tmpl w:val="9768F4E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0F6362"/>
    <w:multiLevelType w:val="hybridMultilevel"/>
    <w:tmpl w:val="2A2AE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71014"/>
    <w:multiLevelType w:val="hybridMultilevel"/>
    <w:tmpl w:val="25AC8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7B66D1"/>
    <w:multiLevelType w:val="hybridMultilevel"/>
    <w:tmpl w:val="7652BB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8F94592"/>
    <w:multiLevelType w:val="hybridMultilevel"/>
    <w:tmpl w:val="8EBC6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F874C6"/>
    <w:multiLevelType w:val="hybridMultilevel"/>
    <w:tmpl w:val="1E6436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105CBE"/>
    <w:multiLevelType w:val="hybridMultilevel"/>
    <w:tmpl w:val="7B7EED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B12161D"/>
    <w:multiLevelType w:val="hybridMultilevel"/>
    <w:tmpl w:val="0570ED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BD2482F"/>
    <w:multiLevelType w:val="hybridMultilevel"/>
    <w:tmpl w:val="C7D82208"/>
    <w:lvl w:ilvl="0" w:tplc="F7DAF320">
      <w:start w:val="1"/>
      <w:numFmt w:val="bullet"/>
      <w:lvlText w:val=""/>
      <w:lvlJc w:val="left"/>
      <w:pPr>
        <w:ind w:left="720" w:hanging="360"/>
      </w:pPr>
      <w:rPr>
        <w:rFonts w:ascii="Symbol" w:hAnsi="Symbol" w:hint="default"/>
      </w:rPr>
    </w:lvl>
    <w:lvl w:ilvl="1" w:tplc="B44C48FE">
      <w:start w:val="1"/>
      <w:numFmt w:val="bullet"/>
      <w:lvlText w:val="o"/>
      <w:lvlJc w:val="left"/>
      <w:pPr>
        <w:ind w:left="1440" w:hanging="360"/>
      </w:pPr>
      <w:rPr>
        <w:rFonts w:ascii="Courier New" w:hAnsi="Courier New" w:hint="default"/>
      </w:rPr>
    </w:lvl>
    <w:lvl w:ilvl="2" w:tplc="A350C89A">
      <w:start w:val="1"/>
      <w:numFmt w:val="bullet"/>
      <w:lvlText w:val=""/>
      <w:lvlJc w:val="left"/>
      <w:pPr>
        <w:ind w:left="2160" w:hanging="360"/>
      </w:pPr>
      <w:rPr>
        <w:rFonts w:ascii="Wingdings" w:hAnsi="Wingdings" w:hint="default"/>
      </w:rPr>
    </w:lvl>
    <w:lvl w:ilvl="3" w:tplc="5368336C">
      <w:start w:val="1"/>
      <w:numFmt w:val="bullet"/>
      <w:lvlText w:val=""/>
      <w:lvlJc w:val="left"/>
      <w:pPr>
        <w:ind w:left="2880" w:hanging="360"/>
      </w:pPr>
      <w:rPr>
        <w:rFonts w:ascii="Symbol" w:hAnsi="Symbol" w:hint="default"/>
      </w:rPr>
    </w:lvl>
    <w:lvl w:ilvl="4" w:tplc="20AE351C">
      <w:start w:val="1"/>
      <w:numFmt w:val="bullet"/>
      <w:lvlText w:val="o"/>
      <w:lvlJc w:val="left"/>
      <w:pPr>
        <w:ind w:left="3600" w:hanging="360"/>
      </w:pPr>
      <w:rPr>
        <w:rFonts w:ascii="Courier New" w:hAnsi="Courier New" w:hint="default"/>
      </w:rPr>
    </w:lvl>
    <w:lvl w:ilvl="5" w:tplc="C534E884">
      <w:start w:val="1"/>
      <w:numFmt w:val="bullet"/>
      <w:lvlText w:val=""/>
      <w:lvlJc w:val="left"/>
      <w:pPr>
        <w:ind w:left="4320" w:hanging="360"/>
      </w:pPr>
      <w:rPr>
        <w:rFonts w:ascii="Wingdings" w:hAnsi="Wingdings" w:hint="default"/>
      </w:rPr>
    </w:lvl>
    <w:lvl w:ilvl="6" w:tplc="C16CCA68">
      <w:start w:val="1"/>
      <w:numFmt w:val="bullet"/>
      <w:lvlText w:val=""/>
      <w:lvlJc w:val="left"/>
      <w:pPr>
        <w:ind w:left="5040" w:hanging="360"/>
      </w:pPr>
      <w:rPr>
        <w:rFonts w:ascii="Symbol" w:hAnsi="Symbol" w:hint="default"/>
      </w:rPr>
    </w:lvl>
    <w:lvl w:ilvl="7" w:tplc="74DA3BBA">
      <w:start w:val="1"/>
      <w:numFmt w:val="bullet"/>
      <w:lvlText w:val="o"/>
      <w:lvlJc w:val="left"/>
      <w:pPr>
        <w:ind w:left="5760" w:hanging="360"/>
      </w:pPr>
      <w:rPr>
        <w:rFonts w:ascii="Courier New" w:hAnsi="Courier New" w:hint="default"/>
      </w:rPr>
    </w:lvl>
    <w:lvl w:ilvl="8" w:tplc="D6E6DF02">
      <w:start w:val="1"/>
      <w:numFmt w:val="bullet"/>
      <w:lvlText w:val=""/>
      <w:lvlJc w:val="left"/>
      <w:pPr>
        <w:ind w:left="6480" w:hanging="360"/>
      </w:pPr>
      <w:rPr>
        <w:rFonts w:ascii="Wingdings" w:hAnsi="Wingdings" w:hint="default"/>
      </w:rPr>
    </w:lvl>
  </w:abstractNum>
  <w:abstractNum w:abstractNumId="11" w15:restartNumberingAfterBreak="0">
    <w:nsid w:val="315706F7"/>
    <w:multiLevelType w:val="hybridMultilevel"/>
    <w:tmpl w:val="B83A0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A57DB8"/>
    <w:multiLevelType w:val="hybridMultilevel"/>
    <w:tmpl w:val="A99E7E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B97115"/>
    <w:multiLevelType w:val="hybridMultilevel"/>
    <w:tmpl w:val="E8C08F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CE17D1"/>
    <w:multiLevelType w:val="hybridMultilevel"/>
    <w:tmpl w:val="A8F42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0D1E41"/>
    <w:multiLevelType w:val="hybridMultilevel"/>
    <w:tmpl w:val="AA7272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941D85"/>
    <w:multiLevelType w:val="hybridMultilevel"/>
    <w:tmpl w:val="18027AE2"/>
    <w:lvl w:ilvl="0" w:tplc="A552B7C2">
      <w:start w:val="18"/>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EC260B1"/>
    <w:multiLevelType w:val="hybridMultilevel"/>
    <w:tmpl w:val="5964CA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0AB1648"/>
    <w:multiLevelType w:val="hybridMultilevel"/>
    <w:tmpl w:val="D74C1A66"/>
    <w:lvl w:ilvl="0" w:tplc="1D3A8876">
      <w:start w:val="1"/>
      <w:numFmt w:val="bullet"/>
      <w:lvlText w:val=""/>
      <w:lvlJc w:val="left"/>
      <w:pPr>
        <w:ind w:left="720" w:hanging="360"/>
      </w:pPr>
      <w:rPr>
        <w:rFonts w:ascii="Symbol" w:hAnsi="Symbol" w:hint="default"/>
      </w:rPr>
    </w:lvl>
    <w:lvl w:ilvl="1" w:tplc="BE428554">
      <w:start w:val="1"/>
      <w:numFmt w:val="bullet"/>
      <w:lvlText w:val="o"/>
      <w:lvlJc w:val="left"/>
      <w:pPr>
        <w:ind w:left="1440" w:hanging="360"/>
      </w:pPr>
      <w:rPr>
        <w:rFonts w:ascii="Courier New" w:hAnsi="Courier New" w:hint="default"/>
      </w:rPr>
    </w:lvl>
    <w:lvl w:ilvl="2" w:tplc="77EAC008">
      <w:start w:val="1"/>
      <w:numFmt w:val="bullet"/>
      <w:lvlText w:val=""/>
      <w:lvlJc w:val="left"/>
      <w:pPr>
        <w:ind w:left="2160" w:hanging="360"/>
      </w:pPr>
      <w:rPr>
        <w:rFonts w:ascii="Wingdings" w:hAnsi="Wingdings" w:hint="default"/>
      </w:rPr>
    </w:lvl>
    <w:lvl w:ilvl="3" w:tplc="95A2DBBC">
      <w:start w:val="1"/>
      <w:numFmt w:val="bullet"/>
      <w:lvlText w:val=""/>
      <w:lvlJc w:val="left"/>
      <w:pPr>
        <w:ind w:left="2880" w:hanging="360"/>
      </w:pPr>
      <w:rPr>
        <w:rFonts w:ascii="Symbol" w:hAnsi="Symbol" w:hint="default"/>
      </w:rPr>
    </w:lvl>
    <w:lvl w:ilvl="4" w:tplc="3CE695EC">
      <w:start w:val="1"/>
      <w:numFmt w:val="bullet"/>
      <w:lvlText w:val="o"/>
      <w:lvlJc w:val="left"/>
      <w:pPr>
        <w:ind w:left="3600" w:hanging="360"/>
      </w:pPr>
      <w:rPr>
        <w:rFonts w:ascii="Courier New" w:hAnsi="Courier New" w:hint="default"/>
      </w:rPr>
    </w:lvl>
    <w:lvl w:ilvl="5" w:tplc="EB30126A">
      <w:start w:val="1"/>
      <w:numFmt w:val="bullet"/>
      <w:lvlText w:val=""/>
      <w:lvlJc w:val="left"/>
      <w:pPr>
        <w:ind w:left="4320" w:hanging="360"/>
      </w:pPr>
      <w:rPr>
        <w:rFonts w:ascii="Wingdings" w:hAnsi="Wingdings" w:hint="default"/>
      </w:rPr>
    </w:lvl>
    <w:lvl w:ilvl="6" w:tplc="F1BE8644">
      <w:start w:val="1"/>
      <w:numFmt w:val="bullet"/>
      <w:lvlText w:val=""/>
      <w:lvlJc w:val="left"/>
      <w:pPr>
        <w:ind w:left="5040" w:hanging="360"/>
      </w:pPr>
      <w:rPr>
        <w:rFonts w:ascii="Symbol" w:hAnsi="Symbol" w:hint="default"/>
      </w:rPr>
    </w:lvl>
    <w:lvl w:ilvl="7" w:tplc="55201072">
      <w:start w:val="1"/>
      <w:numFmt w:val="bullet"/>
      <w:lvlText w:val="o"/>
      <w:lvlJc w:val="left"/>
      <w:pPr>
        <w:ind w:left="5760" w:hanging="360"/>
      </w:pPr>
      <w:rPr>
        <w:rFonts w:ascii="Courier New" w:hAnsi="Courier New" w:hint="default"/>
      </w:rPr>
    </w:lvl>
    <w:lvl w:ilvl="8" w:tplc="3F2E43B2">
      <w:start w:val="1"/>
      <w:numFmt w:val="bullet"/>
      <w:lvlText w:val=""/>
      <w:lvlJc w:val="left"/>
      <w:pPr>
        <w:ind w:left="6480" w:hanging="360"/>
      </w:pPr>
      <w:rPr>
        <w:rFonts w:ascii="Wingdings" w:hAnsi="Wingdings" w:hint="default"/>
      </w:rPr>
    </w:lvl>
  </w:abstractNum>
  <w:abstractNum w:abstractNumId="19" w15:restartNumberingAfterBreak="0">
    <w:nsid w:val="448F6861"/>
    <w:multiLevelType w:val="hybridMultilevel"/>
    <w:tmpl w:val="5F9A084E"/>
    <w:lvl w:ilvl="0" w:tplc="ED544E98">
      <w:start w:val="1"/>
      <w:numFmt w:val="bullet"/>
      <w:lvlText w:val=""/>
      <w:lvlJc w:val="left"/>
      <w:pPr>
        <w:ind w:left="720" w:hanging="360"/>
      </w:pPr>
      <w:rPr>
        <w:rFonts w:ascii="Symbol" w:hAnsi="Symbol" w:hint="default"/>
      </w:rPr>
    </w:lvl>
    <w:lvl w:ilvl="1" w:tplc="99942F34">
      <w:start w:val="1"/>
      <w:numFmt w:val="bullet"/>
      <w:lvlText w:val="o"/>
      <w:lvlJc w:val="left"/>
      <w:pPr>
        <w:ind w:left="1440" w:hanging="360"/>
      </w:pPr>
      <w:rPr>
        <w:rFonts w:ascii="Courier New" w:hAnsi="Courier New" w:hint="default"/>
      </w:rPr>
    </w:lvl>
    <w:lvl w:ilvl="2" w:tplc="3B78F16C">
      <w:start w:val="1"/>
      <w:numFmt w:val="bullet"/>
      <w:lvlText w:val=""/>
      <w:lvlJc w:val="left"/>
      <w:pPr>
        <w:ind w:left="2160" w:hanging="360"/>
      </w:pPr>
      <w:rPr>
        <w:rFonts w:ascii="Wingdings" w:hAnsi="Wingdings" w:hint="default"/>
      </w:rPr>
    </w:lvl>
    <w:lvl w:ilvl="3" w:tplc="4626740A">
      <w:start w:val="1"/>
      <w:numFmt w:val="bullet"/>
      <w:lvlText w:val=""/>
      <w:lvlJc w:val="left"/>
      <w:pPr>
        <w:ind w:left="2880" w:hanging="360"/>
      </w:pPr>
      <w:rPr>
        <w:rFonts w:ascii="Symbol" w:hAnsi="Symbol" w:hint="default"/>
      </w:rPr>
    </w:lvl>
    <w:lvl w:ilvl="4" w:tplc="23305BA4">
      <w:start w:val="1"/>
      <w:numFmt w:val="bullet"/>
      <w:lvlText w:val="o"/>
      <w:lvlJc w:val="left"/>
      <w:pPr>
        <w:ind w:left="3600" w:hanging="360"/>
      </w:pPr>
      <w:rPr>
        <w:rFonts w:ascii="Courier New" w:hAnsi="Courier New" w:hint="default"/>
      </w:rPr>
    </w:lvl>
    <w:lvl w:ilvl="5" w:tplc="29A4D780">
      <w:start w:val="1"/>
      <w:numFmt w:val="bullet"/>
      <w:lvlText w:val=""/>
      <w:lvlJc w:val="left"/>
      <w:pPr>
        <w:ind w:left="4320" w:hanging="360"/>
      </w:pPr>
      <w:rPr>
        <w:rFonts w:ascii="Wingdings" w:hAnsi="Wingdings" w:hint="default"/>
      </w:rPr>
    </w:lvl>
    <w:lvl w:ilvl="6" w:tplc="F8D0CB06">
      <w:start w:val="1"/>
      <w:numFmt w:val="bullet"/>
      <w:lvlText w:val=""/>
      <w:lvlJc w:val="left"/>
      <w:pPr>
        <w:ind w:left="5040" w:hanging="360"/>
      </w:pPr>
      <w:rPr>
        <w:rFonts w:ascii="Symbol" w:hAnsi="Symbol" w:hint="default"/>
      </w:rPr>
    </w:lvl>
    <w:lvl w:ilvl="7" w:tplc="2EF826B6">
      <w:start w:val="1"/>
      <w:numFmt w:val="bullet"/>
      <w:lvlText w:val="o"/>
      <w:lvlJc w:val="left"/>
      <w:pPr>
        <w:ind w:left="5760" w:hanging="360"/>
      </w:pPr>
      <w:rPr>
        <w:rFonts w:ascii="Courier New" w:hAnsi="Courier New" w:hint="default"/>
      </w:rPr>
    </w:lvl>
    <w:lvl w:ilvl="8" w:tplc="8DAEF2C8">
      <w:start w:val="1"/>
      <w:numFmt w:val="bullet"/>
      <w:lvlText w:val=""/>
      <w:lvlJc w:val="left"/>
      <w:pPr>
        <w:ind w:left="6480" w:hanging="360"/>
      </w:pPr>
      <w:rPr>
        <w:rFonts w:ascii="Wingdings" w:hAnsi="Wingdings" w:hint="default"/>
      </w:rPr>
    </w:lvl>
  </w:abstractNum>
  <w:abstractNum w:abstractNumId="20" w15:restartNumberingAfterBreak="0">
    <w:nsid w:val="45D54C56"/>
    <w:multiLevelType w:val="hybridMultilevel"/>
    <w:tmpl w:val="AD0C46A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479C5CA4"/>
    <w:multiLevelType w:val="hybridMultilevel"/>
    <w:tmpl w:val="AABEF0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C1330EB"/>
    <w:multiLevelType w:val="hybridMultilevel"/>
    <w:tmpl w:val="00B6B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464D89"/>
    <w:multiLevelType w:val="hybridMultilevel"/>
    <w:tmpl w:val="92009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E4B46F9"/>
    <w:multiLevelType w:val="hybridMultilevel"/>
    <w:tmpl w:val="DFE263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FEF4984"/>
    <w:multiLevelType w:val="hybridMultilevel"/>
    <w:tmpl w:val="5B7E8272"/>
    <w:lvl w:ilvl="0" w:tplc="847A9F86">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C11B46"/>
    <w:multiLevelType w:val="hybridMultilevel"/>
    <w:tmpl w:val="0FEC4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B80E15"/>
    <w:multiLevelType w:val="hybridMultilevel"/>
    <w:tmpl w:val="ECA042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5E0336E"/>
    <w:multiLevelType w:val="hybridMultilevel"/>
    <w:tmpl w:val="8F705D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B4E1092"/>
    <w:multiLevelType w:val="hybridMultilevel"/>
    <w:tmpl w:val="C2BC1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C6977DD"/>
    <w:multiLevelType w:val="hybridMultilevel"/>
    <w:tmpl w:val="709A3A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DA07D92"/>
    <w:multiLevelType w:val="hybridMultilevel"/>
    <w:tmpl w:val="583456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E246729"/>
    <w:multiLevelType w:val="hybridMultilevel"/>
    <w:tmpl w:val="B2E0E6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E691BFC"/>
    <w:multiLevelType w:val="hybridMultilevel"/>
    <w:tmpl w:val="6F880F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1390766"/>
    <w:multiLevelType w:val="hybridMultilevel"/>
    <w:tmpl w:val="FEEE8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6A219AC"/>
    <w:multiLevelType w:val="hybridMultilevel"/>
    <w:tmpl w:val="5A780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D60807"/>
    <w:multiLevelType w:val="hybridMultilevel"/>
    <w:tmpl w:val="64EC13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F7E7206"/>
    <w:multiLevelType w:val="hybridMultilevel"/>
    <w:tmpl w:val="47A63F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0610424"/>
    <w:multiLevelType w:val="hybridMultilevel"/>
    <w:tmpl w:val="FAE6C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F23CF2"/>
    <w:multiLevelType w:val="hybridMultilevel"/>
    <w:tmpl w:val="B7D6FA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37F169D"/>
    <w:multiLevelType w:val="hybridMultilevel"/>
    <w:tmpl w:val="8690DA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45A5EE6"/>
    <w:multiLevelType w:val="hybridMultilevel"/>
    <w:tmpl w:val="B830B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47A434C"/>
    <w:multiLevelType w:val="hybridMultilevel"/>
    <w:tmpl w:val="1D803E30"/>
    <w:lvl w:ilvl="0" w:tplc="0A92017C">
      <w:start w:val="1"/>
      <w:numFmt w:val="bullet"/>
      <w:lvlText w:val=""/>
      <w:lvlJc w:val="left"/>
      <w:pPr>
        <w:ind w:left="720" w:hanging="360"/>
      </w:pPr>
      <w:rPr>
        <w:rFonts w:ascii="Symbol" w:hAnsi="Symbol" w:hint="default"/>
      </w:rPr>
    </w:lvl>
    <w:lvl w:ilvl="1" w:tplc="7004B1C2">
      <w:start w:val="1"/>
      <w:numFmt w:val="bullet"/>
      <w:lvlText w:val="o"/>
      <w:lvlJc w:val="left"/>
      <w:pPr>
        <w:ind w:left="1440" w:hanging="360"/>
      </w:pPr>
      <w:rPr>
        <w:rFonts w:ascii="Courier New" w:hAnsi="Courier New" w:hint="default"/>
      </w:rPr>
    </w:lvl>
    <w:lvl w:ilvl="2" w:tplc="0CAEE716">
      <w:start w:val="1"/>
      <w:numFmt w:val="bullet"/>
      <w:lvlText w:val=""/>
      <w:lvlJc w:val="left"/>
      <w:pPr>
        <w:ind w:left="2160" w:hanging="360"/>
      </w:pPr>
      <w:rPr>
        <w:rFonts w:ascii="Wingdings" w:hAnsi="Wingdings" w:hint="default"/>
      </w:rPr>
    </w:lvl>
    <w:lvl w:ilvl="3" w:tplc="DD10402A">
      <w:start w:val="1"/>
      <w:numFmt w:val="bullet"/>
      <w:lvlText w:val=""/>
      <w:lvlJc w:val="left"/>
      <w:pPr>
        <w:ind w:left="2880" w:hanging="360"/>
      </w:pPr>
      <w:rPr>
        <w:rFonts w:ascii="Symbol" w:hAnsi="Symbol" w:hint="default"/>
      </w:rPr>
    </w:lvl>
    <w:lvl w:ilvl="4" w:tplc="E56E3D4E">
      <w:start w:val="1"/>
      <w:numFmt w:val="bullet"/>
      <w:lvlText w:val="o"/>
      <w:lvlJc w:val="left"/>
      <w:pPr>
        <w:ind w:left="3600" w:hanging="360"/>
      </w:pPr>
      <w:rPr>
        <w:rFonts w:ascii="Courier New" w:hAnsi="Courier New" w:hint="default"/>
      </w:rPr>
    </w:lvl>
    <w:lvl w:ilvl="5" w:tplc="689C991E">
      <w:start w:val="1"/>
      <w:numFmt w:val="bullet"/>
      <w:lvlText w:val=""/>
      <w:lvlJc w:val="left"/>
      <w:pPr>
        <w:ind w:left="4320" w:hanging="360"/>
      </w:pPr>
      <w:rPr>
        <w:rFonts w:ascii="Wingdings" w:hAnsi="Wingdings" w:hint="default"/>
      </w:rPr>
    </w:lvl>
    <w:lvl w:ilvl="6" w:tplc="8696B630">
      <w:start w:val="1"/>
      <w:numFmt w:val="bullet"/>
      <w:lvlText w:val=""/>
      <w:lvlJc w:val="left"/>
      <w:pPr>
        <w:ind w:left="5040" w:hanging="360"/>
      </w:pPr>
      <w:rPr>
        <w:rFonts w:ascii="Symbol" w:hAnsi="Symbol" w:hint="default"/>
      </w:rPr>
    </w:lvl>
    <w:lvl w:ilvl="7" w:tplc="E9286A6C">
      <w:start w:val="1"/>
      <w:numFmt w:val="bullet"/>
      <w:lvlText w:val="o"/>
      <w:lvlJc w:val="left"/>
      <w:pPr>
        <w:ind w:left="5760" w:hanging="360"/>
      </w:pPr>
      <w:rPr>
        <w:rFonts w:ascii="Courier New" w:hAnsi="Courier New" w:hint="default"/>
      </w:rPr>
    </w:lvl>
    <w:lvl w:ilvl="8" w:tplc="1C3A4724">
      <w:start w:val="1"/>
      <w:numFmt w:val="bullet"/>
      <w:lvlText w:val=""/>
      <w:lvlJc w:val="left"/>
      <w:pPr>
        <w:ind w:left="6480" w:hanging="360"/>
      </w:pPr>
      <w:rPr>
        <w:rFonts w:ascii="Wingdings" w:hAnsi="Wingdings" w:hint="default"/>
      </w:rPr>
    </w:lvl>
  </w:abstractNum>
  <w:abstractNum w:abstractNumId="43" w15:restartNumberingAfterBreak="0">
    <w:nsid w:val="773A415D"/>
    <w:multiLevelType w:val="hybridMultilevel"/>
    <w:tmpl w:val="D66A27F6"/>
    <w:lvl w:ilvl="0" w:tplc="55727B76">
      <w:start w:val="1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AEA34AF"/>
    <w:multiLevelType w:val="hybridMultilevel"/>
    <w:tmpl w:val="92CE51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CB15AED"/>
    <w:multiLevelType w:val="hybridMultilevel"/>
    <w:tmpl w:val="908E1F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E140ED5"/>
    <w:multiLevelType w:val="hybridMultilevel"/>
    <w:tmpl w:val="46BAB5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0"/>
  </w:num>
  <w:num w:numId="2">
    <w:abstractNumId w:val="42"/>
  </w:num>
  <w:num w:numId="3">
    <w:abstractNumId w:val="19"/>
  </w:num>
  <w:num w:numId="4">
    <w:abstractNumId w:val="18"/>
  </w:num>
  <w:num w:numId="5">
    <w:abstractNumId w:val="0"/>
  </w:num>
  <w:num w:numId="6">
    <w:abstractNumId w:val="1"/>
  </w:num>
  <w:num w:numId="7">
    <w:abstractNumId w:val="4"/>
  </w:num>
  <w:num w:numId="8">
    <w:abstractNumId w:val="6"/>
  </w:num>
  <w:num w:numId="9">
    <w:abstractNumId w:val="34"/>
  </w:num>
  <w:num w:numId="10">
    <w:abstractNumId w:val="30"/>
  </w:num>
  <w:num w:numId="11">
    <w:abstractNumId w:val="44"/>
  </w:num>
  <w:num w:numId="12">
    <w:abstractNumId w:val="38"/>
  </w:num>
  <w:num w:numId="13">
    <w:abstractNumId w:val="39"/>
  </w:num>
  <w:num w:numId="14">
    <w:abstractNumId w:val="46"/>
  </w:num>
  <w:num w:numId="15">
    <w:abstractNumId w:val="5"/>
  </w:num>
  <w:num w:numId="16">
    <w:abstractNumId w:val="33"/>
  </w:num>
  <w:num w:numId="17">
    <w:abstractNumId w:val="17"/>
  </w:num>
  <w:num w:numId="18">
    <w:abstractNumId w:val="28"/>
  </w:num>
  <w:num w:numId="19">
    <w:abstractNumId w:val="29"/>
  </w:num>
  <w:num w:numId="20">
    <w:abstractNumId w:val="9"/>
  </w:num>
  <w:num w:numId="21">
    <w:abstractNumId w:val="32"/>
  </w:num>
  <w:num w:numId="22">
    <w:abstractNumId w:val="24"/>
  </w:num>
  <w:num w:numId="23">
    <w:abstractNumId w:val="8"/>
  </w:num>
  <w:num w:numId="24">
    <w:abstractNumId w:val="27"/>
  </w:num>
  <w:num w:numId="25">
    <w:abstractNumId w:val="31"/>
  </w:num>
  <w:num w:numId="26">
    <w:abstractNumId w:val="36"/>
  </w:num>
  <w:num w:numId="27">
    <w:abstractNumId w:val="37"/>
  </w:num>
  <w:num w:numId="28">
    <w:abstractNumId w:val="23"/>
  </w:num>
  <w:num w:numId="29">
    <w:abstractNumId w:val="15"/>
  </w:num>
  <w:num w:numId="30">
    <w:abstractNumId w:val="21"/>
  </w:num>
  <w:num w:numId="31">
    <w:abstractNumId w:val="12"/>
  </w:num>
  <w:num w:numId="32">
    <w:abstractNumId w:val="35"/>
  </w:num>
  <w:num w:numId="33">
    <w:abstractNumId w:val="40"/>
  </w:num>
  <w:num w:numId="34">
    <w:abstractNumId w:val="40"/>
  </w:num>
  <w:num w:numId="35">
    <w:abstractNumId w:val="7"/>
  </w:num>
  <w:num w:numId="36">
    <w:abstractNumId w:val="45"/>
  </w:num>
  <w:num w:numId="37">
    <w:abstractNumId w:val="20"/>
  </w:num>
  <w:num w:numId="38">
    <w:abstractNumId w:val="25"/>
  </w:num>
  <w:num w:numId="39">
    <w:abstractNumId w:val="2"/>
  </w:num>
  <w:num w:numId="40">
    <w:abstractNumId w:val="14"/>
  </w:num>
  <w:num w:numId="41">
    <w:abstractNumId w:val="26"/>
  </w:num>
  <w:num w:numId="42">
    <w:abstractNumId w:val="13"/>
  </w:num>
  <w:num w:numId="43">
    <w:abstractNumId w:val="11"/>
  </w:num>
  <w:num w:numId="44">
    <w:abstractNumId w:val="41"/>
  </w:num>
  <w:num w:numId="45">
    <w:abstractNumId w:val="43"/>
  </w:num>
  <w:num w:numId="46">
    <w:abstractNumId w:val="16"/>
  </w:num>
  <w:num w:numId="47">
    <w:abstractNumId w:val="22"/>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F38"/>
    <w:rsid w:val="00002508"/>
    <w:rsid w:val="000025A7"/>
    <w:rsid w:val="00002896"/>
    <w:rsid w:val="00002D47"/>
    <w:rsid w:val="000035A5"/>
    <w:rsid w:val="00003E13"/>
    <w:rsid w:val="000043DB"/>
    <w:rsid w:val="0000564C"/>
    <w:rsid w:val="00013FA6"/>
    <w:rsid w:val="0001613D"/>
    <w:rsid w:val="000169ED"/>
    <w:rsid w:val="00020C7E"/>
    <w:rsid w:val="000235A8"/>
    <w:rsid w:val="000324EC"/>
    <w:rsid w:val="00047C30"/>
    <w:rsid w:val="000522A3"/>
    <w:rsid w:val="00064868"/>
    <w:rsid w:val="00064D3A"/>
    <w:rsid w:val="000679D3"/>
    <w:rsid w:val="000749B7"/>
    <w:rsid w:val="00074F31"/>
    <w:rsid w:val="00091239"/>
    <w:rsid w:val="0009464B"/>
    <w:rsid w:val="00094E12"/>
    <w:rsid w:val="000A2125"/>
    <w:rsid w:val="000A24E6"/>
    <w:rsid w:val="000A68BE"/>
    <w:rsid w:val="000B49C2"/>
    <w:rsid w:val="000C11D1"/>
    <w:rsid w:val="000C2CE6"/>
    <w:rsid w:val="000D01DB"/>
    <w:rsid w:val="000D0BEA"/>
    <w:rsid w:val="000D1738"/>
    <w:rsid w:val="000D1962"/>
    <w:rsid w:val="000D1FF4"/>
    <w:rsid w:val="000D2583"/>
    <w:rsid w:val="000D34ED"/>
    <w:rsid w:val="000D4177"/>
    <w:rsid w:val="000D7FA4"/>
    <w:rsid w:val="000E1EAF"/>
    <w:rsid w:val="000F16CD"/>
    <w:rsid w:val="000F7431"/>
    <w:rsid w:val="00102579"/>
    <w:rsid w:val="00103002"/>
    <w:rsid w:val="0010691F"/>
    <w:rsid w:val="00106EB9"/>
    <w:rsid w:val="00107E05"/>
    <w:rsid w:val="00110C3A"/>
    <w:rsid w:val="00110CAD"/>
    <w:rsid w:val="00114338"/>
    <w:rsid w:val="00123A5C"/>
    <w:rsid w:val="00124D47"/>
    <w:rsid w:val="00125DC4"/>
    <w:rsid w:val="0013191E"/>
    <w:rsid w:val="001336FF"/>
    <w:rsid w:val="00135AEF"/>
    <w:rsid w:val="0013660A"/>
    <w:rsid w:val="00136BC7"/>
    <w:rsid w:val="00137D44"/>
    <w:rsid w:val="00142010"/>
    <w:rsid w:val="00142110"/>
    <w:rsid w:val="0014517E"/>
    <w:rsid w:val="00151008"/>
    <w:rsid w:val="0016002D"/>
    <w:rsid w:val="001616BD"/>
    <w:rsid w:val="00163F7E"/>
    <w:rsid w:val="00166F22"/>
    <w:rsid w:val="0017339A"/>
    <w:rsid w:val="001740FC"/>
    <w:rsid w:val="0017474F"/>
    <w:rsid w:val="0018277A"/>
    <w:rsid w:val="00182F7F"/>
    <w:rsid w:val="0018706D"/>
    <w:rsid w:val="001A2545"/>
    <w:rsid w:val="001A25DB"/>
    <w:rsid w:val="001A44DF"/>
    <w:rsid w:val="001A7DBD"/>
    <w:rsid w:val="001B130B"/>
    <w:rsid w:val="001B35FF"/>
    <w:rsid w:val="001C0571"/>
    <w:rsid w:val="001C123D"/>
    <w:rsid w:val="001C21CF"/>
    <w:rsid w:val="001C24CA"/>
    <w:rsid w:val="001C39BE"/>
    <w:rsid w:val="001C43EB"/>
    <w:rsid w:val="001C7CDF"/>
    <w:rsid w:val="001D10ED"/>
    <w:rsid w:val="001D1ECD"/>
    <w:rsid w:val="001D2B5F"/>
    <w:rsid w:val="001D5151"/>
    <w:rsid w:val="001D629D"/>
    <w:rsid w:val="001E451C"/>
    <w:rsid w:val="001E4C24"/>
    <w:rsid w:val="001F1456"/>
    <w:rsid w:val="001F485D"/>
    <w:rsid w:val="001F5DDD"/>
    <w:rsid w:val="001F7B5A"/>
    <w:rsid w:val="002045FD"/>
    <w:rsid w:val="00206FE8"/>
    <w:rsid w:val="00214762"/>
    <w:rsid w:val="00214AE5"/>
    <w:rsid w:val="002168A4"/>
    <w:rsid w:val="0021734D"/>
    <w:rsid w:val="0022287F"/>
    <w:rsid w:val="0022682E"/>
    <w:rsid w:val="00230787"/>
    <w:rsid w:val="00232100"/>
    <w:rsid w:val="0023242A"/>
    <w:rsid w:val="00242EAC"/>
    <w:rsid w:val="00246B5A"/>
    <w:rsid w:val="00250F05"/>
    <w:rsid w:val="00253B06"/>
    <w:rsid w:val="00255B15"/>
    <w:rsid w:val="00262360"/>
    <w:rsid w:val="00262F07"/>
    <w:rsid w:val="00263FFB"/>
    <w:rsid w:val="002664C0"/>
    <w:rsid w:val="00270567"/>
    <w:rsid w:val="002718CE"/>
    <w:rsid w:val="00274F38"/>
    <w:rsid w:val="00277E81"/>
    <w:rsid w:val="00280AC6"/>
    <w:rsid w:val="00282AFD"/>
    <w:rsid w:val="00286BD3"/>
    <w:rsid w:val="00292D8C"/>
    <w:rsid w:val="002A3535"/>
    <w:rsid w:val="002A58D1"/>
    <w:rsid w:val="002A785D"/>
    <w:rsid w:val="002B357D"/>
    <w:rsid w:val="002B5487"/>
    <w:rsid w:val="002C29A8"/>
    <w:rsid w:val="002C365B"/>
    <w:rsid w:val="002D0FDD"/>
    <w:rsid w:val="002D2263"/>
    <w:rsid w:val="002D2ACD"/>
    <w:rsid w:val="002D30C1"/>
    <w:rsid w:val="002D3200"/>
    <w:rsid w:val="002E12B8"/>
    <w:rsid w:val="002E1DE5"/>
    <w:rsid w:val="002E24DE"/>
    <w:rsid w:val="002E2942"/>
    <w:rsid w:val="002E6988"/>
    <w:rsid w:val="002F2636"/>
    <w:rsid w:val="00303B81"/>
    <w:rsid w:val="00311413"/>
    <w:rsid w:val="003137A1"/>
    <w:rsid w:val="00320C45"/>
    <w:rsid w:val="00324FF7"/>
    <w:rsid w:val="00327787"/>
    <w:rsid w:val="0033357D"/>
    <w:rsid w:val="00336DC4"/>
    <w:rsid w:val="00337D88"/>
    <w:rsid w:val="0034626D"/>
    <w:rsid w:val="003462CA"/>
    <w:rsid w:val="00353452"/>
    <w:rsid w:val="003555F0"/>
    <w:rsid w:val="003557EF"/>
    <w:rsid w:val="0036184B"/>
    <w:rsid w:val="00370D08"/>
    <w:rsid w:val="00372ABA"/>
    <w:rsid w:val="003750C1"/>
    <w:rsid w:val="003762CE"/>
    <w:rsid w:val="00376867"/>
    <w:rsid w:val="00376890"/>
    <w:rsid w:val="003807D0"/>
    <w:rsid w:val="00382638"/>
    <w:rsid w:val="00382E40"/>
    <w:rsid w:val="00386095"/>
    <w:rsid w:val="003864D2"/>
    <w:rsid w:val="0038674D"/>
    <w:rsid w:val="00387B6F"/>
    <w:rsid w:val="00392310"/>
    <w:rsid w:val="00392A76"/>
    <w:rsid w:val="00392FC5"/>
    <w:rsid w:val="003A1A88"/>
    <w:rsid w:val="003A5F9C"/>
    <w:rsid w:val="003B3C33"/>
    <w:rsid w:val="003B6804"/>
    <w:rsid w:val="003C0785"/>
    <w:rsid w:val="003D00C7"/>
    <w:rsid w:val="003D0FD4"/>
    <w:rsid w:val="003D132C"/>
    <w:rsid w:val="003D38C7"/>
    <w:rsid w:val="003D3E10"/>
    <w:rsid w:val="003D6995"/>
    <w:rsid w:val="003D7570"/>
    <w:rsid w:val="003D79AD"/>
    <w:rsid w:val="003E3CB1"/>
    <w:rsid w:val="003E54DE"/>
    <w:rsid w:val="003E5F0A"/>
    <w:rsid w:val="003E6FE2"/>
    <w:rsid w:val="003F016B"/>
    <w:rsid w:val="003F3A94"/>
    <w:rsid w:val="004007D6"/>
    <w:rsid w:val="00401B4B"/>
    <w:rsid w:val="004079F2"/>
    <w:rsid w:val="00410B7E"/>
    <w:rsid w:val="004148E3"/>
    <w:rsid w:val="004204EB"/>
    <w:rsid w:val="0042147F"/>
    <w:rsid w:val="00427369"/>
    <w:rsid w:val="004302B6"/>
    <w:rsid w:val="004319B4"/>
    <w:rsid w:val="00436660"/>
    <w:rsid w:val="0044000F"/>
    <w:rsid w:val="00440D32"/>
    <w:rsid w:val="0044133E"/>
    <w:rsid w:val="00450449"/>
    <w:rsid w:val="00451472"/>
    <w:rsid w:val="004520C3"/>
    <w:rsid w:val="00452BB2"/>
    <w:rsid w:val="00454182"/>
    <w:rsid w:val="00454EA0"/>
    <w:rsid w:val="0045682A"/>
    <w:rsid w:val="0045776D"/>
    <w:rsid w:val="00457774"/>
    <w:rsid w:val="00460303"/>
    <w:rsid w:val="00461F97"/>
    <w:rsid w:val="004674F9"/>
    <w:rsid w:val="00467761"/>
    <w:rsid w:val="00470AEC"/>
    <w:rsid w:val="00474020"/>
    <w:rsid w:val="00474E85"/>
    <w:rsid w:val="00482E5F"/>
    <w:rsid w:val="004942C4"/>
    <w:rsid w:val="0049635A"/>
    <w:rsid w:val="00496B06"/>
    <w:rsid w:val="004A4078"/>
    <w:rsid w:val="004A5FD7"/>
    <w:rsid w:val="004B1275"/>
    <w:rsid w:val="004B2244"/>
    <w:rsid w:val="004B25BE"/>
    <w:rsid w:val="004B43F9"/>
    <w:rsid w:val="004B48BD"/>
    <w:rsid w:val="004C0455"/>
    <w:rsid w:val="004D6E55"/>
    <w:rsid w:val="004E35EE"/>
    <w:rsid w:val="004E4208"/>
    <w:rsid w:val="004E4229"/>
    <w:rsid w:val="004E6DE9"/>
    <w:rsid w:val="004E70D1"/>
    <w:rsid w:val="004E7247"/>
    <w:rsid w:val="004F0A1D"/>
    <w:rsid w:val="004F1DDE"/>
    <w:rsid w:val="004F2F84"/>
    <w:rsid w:val="004F3E4F"/>
    <w:rsid w:val="00500E1A"/>
    <w:rsid w:val="00511885"/>
    <w:rsid w:val="00512023"/>
    <w:rsid w:val="00514625"/>
    <w:rsid w:val="00520656"/>
    <w:rsid w:val="00520F5C"/>
    <w:rsid w:val="00525CD3"/>
    <w:rsid w:val="005264D0"/>
    <w:rsid w:val="00532B88"/>
    <w:rsid w:val="00534499"/>
    <w:rsid w:val="00535034"/>
    <w:rsid w:val="0053602C"/>
    <w:rsid w:val="00537D01"/>
    <w:rsid w:val="00541AA7"/>
    <w:rsid w:val="005428E4"/>
    <w:rsid w:val="00543825"/>
    <w:rsid w:val="00546FDB"/>
    <w:rsid w:val="00555DAA"/>
    <w:rsid w:val="005571C6"/>
    <w:rsid w:val="00566FA8"/>
    <w:rsid w:val="0057295C"/>
    <w:rsid w:val="0057377F"/>
    <w:rsid w:val="00574E3A"/>
    <w:rsid w:val="00582158"/>
    <w:rsid w:val="00592000"/>
    <w:rsid w:val="00592714"/>
    <w:rsid w:val="005B422D"/>
    <w:rsid w:val="005B5883"/>
    <w:rsid w:val="005B61F3"/>
    <w:rsid w:val="005B6288"/>
    <w:rsid w:val="005B684A"/>
    <w:rsid w:val="005B7F1F"/>
    <w:rsid w:val="005C2458"/>
    <w:rsid w:val="005C29C1"/>
    <w:rsid w:val="005C4504"/>
    <w:rsid w:val="005D2162"/>
    <w:rsid w:val="005D46A1"/>
    <w:rsid w:val="005D46D1"/>
    <w:rsid w:val="005D7154"/>
    <w:rsid w:val="005E0BDC"/>
    <w:rsid w:val="005E2F65"/>
    <w:rsid w:val="005E77A8"/>
    <w:rsid w:val="005F1FCD"/>
    <w:rsid w:val="005F2FD3"/>
    <w:rsid w:val="006006EA"/>
    <w:rsid w:val="00604B72"/>
    <w:rsid w:val="00604FB4"/>
    <w:rsid w:val="0060522D"/>
    <w:rsid w:val="00605D68"/>
    <w:rsid w:val="00610291"/>
    <w:rsid w:val="00613EEF"/>
    <w:rsid w:val="006173F1"/>
    <w:rsid w:val="006212DA"/>
    <w:rsid w:val="00642992"/>
    <w:rsid w:val="006500FB"/>
    <w:rsid w:val="00654E63"/>
    <w:rsid w:val="0066329F"/>
    <w:rsid w:val="0066369B"/>
    <w:rsid w:val="006652F2"/>
    <w:rsid w:val="00665FE7"/>
    <w:rsid w:val="006663D8"/>
    <w:rsid w:val="00671D93"/>
    <w:rsid w:val="00671E61"/>
    <w:rsid w:val="00673DEF"/>
    <w:rsid w:val="00673F72"/>
    <w:rsid w:val="0068264B"/>
    <w:rsid w:val="006855CE"/>
    <w:rsid w:val="006907FC"/>
    <w:rsid w:val="00691880"/>
    <w:rsid w:val="006918C7"/>
    <w:rsid w:val="00695A6D"/>
    <w:rsid w:val="006A6C82"/>
    <w:rsid w:val="006B1638"/>
    <w:rsid w:val="006B585A"/>
    <w:rsid w:val="006B5D22"/>
    <w:rsid w:val="006C0418"/>
    <w:rsid w:val="006C16E5"/>
    <w:rsid w:val="006E0477"/>
    <w:rsid w:val="006E0F74"/>
    <w:rsid w:val="006E2E8E"/>
    <w:rsid w:val="006F1F71"/>
    <w:rsid w:val="006F4CA3"/>
    <w:rsid w:val="00701F60"/>
    <w:rsid w:val="00705DB0"/>
    <w:rsid w:val="00714B29"/>
    <w:rsid w:val="00717B1A"/>
    <w:rsid w:val="00720BCD"/>
    <w:rsid w:val="00732A39"/>
    <w:rsid w:val="007330F0"/>
    <w:rsid w:val="00734BC0"/>
    <w:rsid w:val="00750A2C"/>
    <w:rsid w:val="00751DF8"/>
    <w:rsid w:val="007613CC"/>
    <w:rsid w:val="00761B1C"/>
    <w:rsid w:val="00764C6B"/>
    <w:rsid w:val="007659A9"/>
    <w:rsid w:val="00766780"/>
    <w:rsid w:val="00767883"/>
    <w:rsid w:val="007709BF"/>
    <w:rsid w:val="007717A5"/>
    <w:rsid w:val="0077315B"/>
    <w:rsid w:val="00775166"/>
    <w:rsid w:val="0078223E"/>
    <w:rsid w:val="00785346"/>
    <w:rsid w:val="00790E71"/>
    <w:rsid w:val="00791209"/>
    <w:rsid w:val="0079292D"/>
    <w:rsid w:val="00794C55"/>
    <w:rsid w:val="00795873"/>
    <w:rsid w:val="007A0647"/>
    <w:rsid w:val="007A3B7A"/>
    <w:rsid w:val="007A6F8D"/>
    <w:rsid w:val="007B4550"/>
    <w:rsid w:val="007B78A8"/>
    <w:rsid w:val="007B7CD5"/>
    <w:rsid w:val="007C03A6"/>
    <w:rsid w:val="007C14C8"/>
    <w:rsid w:val="007C1F79"/>
    <w:rsid w:val="007D23E2"/>
    <w:rsid w:val="007D384E"/>
    <w:rsid w:val="007D632E"/>
    <w:rsid w:val="007E055B"/>
    <w:rsid w:val="007E4251"/>
    <w:rsid w:val="007E4E02"/>
    <w:rsid w:val="007F7A8F"/>
    <w:rsid w:val="007F7CD5"/>
    <w:rsid w:val="00801DC8"/>
    <w:rsid w:val="00807581"/>
    <w:rsid w:val="008138DE"/>
    <w:rsid w:val="00814BDF"/>
    <w:rsid w:val="00816782"/>
    <w:rsid w:val="008226FE"/>
    <w:rsid w:val="00822D3E"/>
    <w:rsid w:val="00823465"/>
    <w:rsid w:val="00823D93"/>
    <w:rsid w:val="00824346"/>
    <w:rsid w:val="0082765F"/>
    <w:rsid w:val="00830A0F"/>
    <w:rsid w:val="00832479"/>
    <w:rsid w:val="008341B6"/>
    <w:rsid w:val="00836198"/>
    <w:rsid w:val="00846948"/>
    <w:rsid w:val="00853A51"/>
    <w:rsid w:val="0085481C"/>
    <w:rsid w:val="00855F22"/>
    <w:rsid w:val="0086788F"/>
    <w:rsid w:val="008711F1"/>
    <w:rsid w:val="00874829"/>
    <w:rsid w:val="00874DB9"/>
    <w:rsid w:val="008773EC"/>
    <w:rsid w:val="008778E7"/>
    <w:rsid w:val="00880501"/>
    <w:rsid w:val="00887870"/>
    <w:rsid w:val="00890C35"/>
    <w:rsid w:val="0089382C"/>
    <w:rsid w:val="00896F5B"/>
    <w:rsid w:val="008A3D4E"/>
    <w:rsid w:val="008A5DB4"/>
    <w:rsid w:val="008B24B2"/>
    <w:rsid w:val="008B39F0"/>
    <w:rsid w:val="008B66E6"/>
    <w:rsid w:val="008C044A"/>
    <w:rsid w:val="008C0E51"/>
    <w:rsid w:val="008C1865"/>
    <w:rsid w:val="008C2818"/>
    <w:rsid w:val="008C2AF6"/>
    <w:rsid w:val="008D2E34"/>
    <w:rsid w:val="008D7848"/>
    <w:rsid w:val="008E36B6"/>
    <w:rsid w:val="008F2EE1"/>
    <w:rsid w:val="008F3C1B"/>
    <w:rsid w:val="008F6104"/>
    <w:rsid w:val="00901990"/>
    <w:rsid w:val="009032B6"/>
    <w:rsid w:val="009113A9"/>
    <w:rsid w:val="009138D8"/>
    <w:rsid w:val="009139B7"/>
    <w:rsid w:val="009337E0"/>
    <w:rsid w:val="00935BD3"/>
    <w:rsid w:val="00946B57"/>
    <w:rsid w:val="00952C2E"/>
    <w:rsid w:val="00952C92"/>
    <w:rsid w:val="009532A4"/>
    <w:rsid w:val="009627EE"/>
    <w:rsid w:val="00964D38"/>
    <w:rsid w:val="00964EC5"/>
    <w:rsid w:val="00966D30"/>
    <w:rsid w:val="00972ECE"/>
    <w:rsid w:val="00974412"/>
    <w:rsid w:val="00983C7C"/>
    <w:rsid w:val="00984DF8"/>
    <w:rsid w:val="00996435"/>
    <w:rsid w:val="009A050A"/>
    <w:rsid w:val="009A112E"/>
    <w:rsid w:val="009A36B2"/>
    <w:rsid w:val="009A5001"/>
    <w:rsid w:val="009B1266"/>
    <w:rsid w:val="009B2C64"/>
    <w:rsid w:val="009B4B37"/>
    <w:rsid w:val="009B4EE5"/>
    <w:rsid w:val="009B588F"/>
    <w:rsid w:val="009B59CF"/>
    <w:rsid w:val="009C2A28"/>
    <w:rsid w:val="009C3DA1"/>
    <w:rsid w:val="009C4AB3"/>
    <w:rsid w:val="009C4B9A"/>
    <w:rsid w:val="009C4DFB"/>
    <w:rsid w:val="009C7374"/>
    <w:rsid w:val="009C7A0E"/>
    <w:rsid w:val="009D2DA8"/>
    <w:rsid w:val="009E1263"/>
    <w:rsid w:val="009F5B9D"/>
    <w:rsid w:val="009F7A0A"/>
    <w:rsid w:val="00A00DEA"/>
    <w:rsid w:val="00A017C2"/>
    <w:rsid w:val="00A03814"/>
    <w:rsid w:val="00A04EAC"/>
    <w:rsid w:val="00A0697D"/>
    <w:rsid w:val="00A129BA"/>
    <w:rsid w:val="00A13868"/>
    <w:rsid w:val="00A15A89"/>
    <w:rsid w:val="00A20186"/>
    <w:rsid w:val="00A268AB"/>
    <w:rsid w:val="00A309BE"/>
    <w:rsid w:val="00A30EB6"/>
    <w:rsid w:val="00A36D7A"/>
    <w:rsid w:val="00A42177"/>
    <w:rsid w:val="00A42F39"/>
    <w:rsid w:val="00A43414"/>
    <w:rsid w:val="00A43F48"/>
    <w:rsid w:val="00A50FBE"/>
    <w:rsid w:val="00A605DE"/>
    <w:rsid w:val="00A60B92"/>
    <w:rsid w:val="00A61C2F"/>
    <w:rsid w:val="00A62731"/>
    <w:rsid w:val="00A63B31"/>
    <w:rsid w:val="00A64AE6"/>
    <w:rsid w:val="00A64F6E"/>
    <w:rsid w:val="00A738A7"/>
    <w:rsid w:val="00A77301"/>
    <w:rsid w:val="00A77837"/>
    <w:rsid w:val="00A808D0"/>
    <w:rsid w:val="00A94411"/>
    <w:rsid w:val="00A94F98"/>
    <w:rsid w:val="00A97A06"/>
    <w:rsid w:val="00AA2665"/>
    <w:rsid w:val="00AA2E48"/>
    <w:rsid w:val="00AA4895"/>
    <w:rsid w:val="00AB0FEF"/>
    <w:rsid w:val="00AB54BD"/>
    <w:rsid w:val="00AC12DA"/>
    <w:rsid w:val="00AC5CEE"/>
    <w:rsid w:val="00AC617B"/>
    <w:rsid w:val="00AC6EBA"/>
    <w:rsid w:val="00AC7139"/>
    <w:rsid w:val="00AD44B6"/>
    <w:rsid w:val="00AD4512"/>
    <w:rsid w:val="00AD7D13"/>
    <w:rsid w:val="00AE0AC6"/>
    <w:rsid w:val="00AF2F80"/>
    <w:rsid w:val="00AF3B22"/>
    <w:rsid w:val="00B0420F"/>
    <w:rsid w:val="00B05E3F"/>
    <w:rsid w:val="00B06FFD"/>
    <w:rsid w:val="00B13195"/>
    <w:rsid w:val="00B13675"/>
    <w:rsid w:val="00B2417F"/>
    <w:rsid w:val="00B2502F"/>
    <w:rsid w:val="00B25D22"/>
    <w:rsid w:val="00B32107"/>
    <w:rsid w:val="00B3477B"/>
    <w:rsid w:val="00B35871"/>
    <w:rsid w:val="00B408E0"/>
    <w:rsid w:val="00B42F8F"/>
    <w:rsid w:val="00B432C7"/>
    <w:rsid w:val="00B4364F"/>
    <w:rsid w:val="00B44DCD"/>
    <w:rsid w:val="00B50410"/>
    <w:rsid w:val="00B54884"/>
    <w:rsid w:val="00B61E6A"/>
    <w:rsid w:val="00B636AB"/>
    <w:rsid w:val="00B66298"/>
    <w:rsid w:val="00B715C4"/>
    <w:rsid w:val="00B75CCC"/>
    <w:rsid w:val="00B80A68"/>
    <w:rsid w:val="00B84A58"/>
    <w:rsid w:val="00B85919"/>
    <w:rsid w:val="00B9043F"/>
    <w:rsid w:val="00BC0358"/>
    <w:rsid w:val="00BC1C59"/>
    <w:rsid w:val="00BC45FF"/>
    <w:rsid w:val="00BD1B48"/>
    <w:rsid w:val="00BD2009"/>
    <w:rsid w:val="00BD4DCD"/>
    <w:rsid w:val="00BD62E6"/>
    <w:rsid w:val="00BD7436"/>
    <w:rsid w:val="00BE10C3"/>
    <w:rsid w:val="00BE1EFF"/>
    <w:rsid w:val="00BE31B7"/>
    <w:rsid w:val="00BE53BE"/>
    <w:rsid w:val="00BE74B0"/>
    <w:rsid w:val="00BF093F"/>
    <w:rsid w:val="00C04D19"/>
    <w:rsid w:val="00C057BB"/>
    <w:rsid w:val="00C060BE"/>
    <w:rsid w:val="00C105E7"/>
    <w:rsid w:val="00C11D05"/>
    <w:rsid w:val="00C13A1C"/>
    <w:rsid w:val="00C1473F"/>
    <w:rsid w:val="00C16D12"/>
    <w:rsid w:val="00C17465"/>
    <w:rsid w:val="00C21A3F"/>
    <w:rsid w:val="00C24E89"/>
    <w:rsid w:val="00C24FCC"/>
    <w:rsid w:val="00C259D0"/>
    <w:rsid w:val="00C25D15"/>
    <w:rsid w:val="00C25EE0"/>
    <w:rsid w:val="00C26D9B"/>
    <w:rsid w:val="00C31117"/>
    <w:rsid w:val="00C365BA"/>
    <w:rsid w:val="00C365D9"/>
    <w:rsid w:val="00C411E6"/>
    <w:rsid w:val="00C437E2"/>
    <w:rsid w:val="00C43994"/>
    <w:rsid w:val="00C46A18"/>
    <w:rsid w:val="00C55289"/>
    <w:rsid w:val="00C6181A"/>
    <w:rsid w:val="00C61AB6"/>
    <w:rsid w:val="00C63380"/>
    <w:rsid w:val="00C70CEF"/>
    <w:rsid w:val="00C71890"/>
    <w:rsid w:val="00C7280B"/>
    <w:rsid w:val="00C72D15"/>
    <w:rsid w:val="00C73AF0"/>
    <w:rsid w:val="00C74301"/>
    <w:rsid w:val="00C763F6"/>
    <w:rsid w:val="00C9015E"/>
    <w:rsid w:val="00C918A0"/>
    <w:rsid w:val="00C91B40"/>
    <w:rsid w:val="00C95756"/>
    <w:rsid w:val="00C96123"/>
    <w:rsid w:val="00CA01DF"/>
    <w:rsid w:val="00CA0243"/>
    <w:rsid w:val="00CA370C"/>
    <w:rsid w:val="00CA4C72"/>
    <w:rsid w:val="00CA4FB4"/>
    <w:rsid w:val="00CA605F"/>
    <w:rsid w:val="00CA707D"/>
    <w:rsid w:val="00CC4DCA"/>
    <w:rsid w:val="00CD0D49"/>
    <w:rsid w:val="00CD2A4E"/>
    <w:rsid w:val="00CD3CF9"/>
    <w:rsid w:val="00CD3F79"/>
    <w:rsid w:val="00CD55A7"/>
    <w:rsid w:val="00CE2DAD"/>
    <w:rsid w:val="00CF7613"/>
    <w:rsid w:val="00D0253F"/>
    <w:rsid w:val="00D025E3"/>
    <w:rsid w:val="00D02B55"/>
    <w:rsid w:val="00D06ABC"/>
    <w:rsid w:val="00D07D87"/>
    <w:rsid w:val="00D142F2"/>
    <w:rsid w:val="00D1603F"/>
    <w:rsid w:val="00D16A0F"/>
    <w:rsid w:val="00D22D57"/>
    <w:rsid w:val="00D237DF"/>
    <w:rsid w:val="00D33BFF"/>
    <w:rsid w:val="00D47014"/>
    <w:rsid w:val="00D51538"/>
    <w:rsid w:val="00D51BE5"/>
    <w:rsid w:val="00D65D85"/>
    <w:rsid w:val="00D675DA"/>
    <w:rsid w:val="00D723CA"/>
    <w:rsid w:val="00D777A7"/>
    <w:rsid w:val="00D80FAB"/>
    <w:rsid w:val="00D82365"/>
    <w:rsid w:val="00D83793"/>
    <w:rsid w:val="00D86DAA"/>
    <w:rsid w:val="00D90565"/>
    <w:rsid w:val="00D92352"/>
    <w:rsid w:val="00D95BB3"/>
    <w:rsid w:val="00DA194C"/>
    <w:rsid w:val="00DA5776"/>
    <w:rsid w:val="00DA5A63"/>
    <w:rsid w:val="00DA743D"/>
    <w:rsid w:val="00DB20AC"/>
    <w:rsid w:val="00DC0189"/>
    <w:rsid w:val="00DC3FB8"/>
    <w:rsid w:val="00DD2E7A"/>
    <w:rsid w:val="00DD4DA1"/>
    <w:rsid w:val="00DD6D75"/>
    <w:rsid w:val="00DE339D"/>
    <w:rsid w:val="00DE36BB"/>
    <w:rsid w:val="00DE4087"/>
    <w:rsid w:val="00DE49F3"/>
    <w:rsid w:val="00DE4F75"/>
    <w:rsid w:val="00DE5F9F"/>
    <w:rsid w:val="00DE633F"/>
    <w:rsid w:val="00DE741D"/>
    <w:rsid w:val="00DF2A55"/>
    <w:rsid w:val="00E0205B"/>
    <w:rsid w:val="00E020EA"/>
    <w:rsid w:val="00E02162"/>
    <w:rsid w:val="00E03C70"/>
    <w:rsid w:val="00E06441"/>
    <w:rsid w:val="00E0740D"/>
    <w:rsid w:val="00E12FA6"/>
    <w:rsid w:val="00E17F8A"/>
    <w:rsid w:val="00E24756"/>
    <w:rsid w:val="00E256A5"/>
    <w:rsid w:val="00E40157"/>
    <w:rsid w:val="00E43619"/>
    <w:rsid w:val="00E44998"/>
    <w:rsid w:val="00E46829"/>
    <w:rsid w:val="00E542FD"/>
    <w:rsid w:val="00E577C4"/>
    <w:rsid w:val="00E60238"/>
    <w:rsid w:val="00E63508"/>
    <w:rsid w:val="00E67FFD"/>
    <w:rsid w:val="00E7262F"/>
    <w:rsid w:val="00E7774E"/>
    <w:rsid w:val="00E81822"/>
    <w:rsid w:val="00E830F2"/>
    <w:rsid w:val="00E83B8E"/>
    <w:rsid w:val="00E8582C"/>
    <w:rsid w:val="00E939A6"/>
    <w:rsid w:val="00E93DF1"/>
    <w:rsid w:val="00E94A9B"/>
    <w:rsid w:val="00E94BBB"/>
    <w:rsid w:val="00EA228E"/>
    <w:rsid w:val="00EA76AB"/>
    <w:rsid w:val="00EA7FBE"/>
    <w:rsid w:val="00EC16A3"/>
    <w:rsid w:val="00EC3F0B"/>
    <w:rsid w:val="00ED48F5"/>
    <w:rsid w:val="00ED6582"/>
    <w:rsid w:val="00ED690D"/>
    <w:rsid w:val="00EE1C67"/>
    <w:rsid w:val="00EE4493"/>
    <w:rsid w:val="00EE46BF"/>
    <w:rsid w:val="00EE6834"/>
    <w:rsid w:val="00EF0051"/>
    <w:rsid w:val="00EF27AC"/>
    <w:rsid w:val="00F006B6"/>
    <w:rsid w:val="00F022A3"/>
    <w:rsid w:val="00F059C5"/>
    <w:rsid w:val="00F07AC1"/>
    <w:rsid w:val="00F124C3"/>
    <w:rsid w:val="00F1257C"/>
    <w:rsid w:val="00F125C5"/>
    <w:rsid w:val="00F127A6"/>
    <w:rsid w:val="00F12AB6"/>
    <w:rsid w:val="00F15DB5"/>
    <w:rsid w:val="00F226C7"/>
    <w:rsid w:val="00F248B8"/>
    <w:rsid w:val="00F24972"/>
    <w:rsid w:val="00F25C5C"/>
    <w:rsid w:val="00F312EB"/>
    <w:rsid w:val="00F33150"/>
    <w:rsid w:val="00F3379A"/>
    <w:rsid w:val="00F36604"/>
    <w:rsid w:val="00F370F0"/>
    <w:rsid w:val="00F42BC0"/>
    <w:rsid w:val="00F43ECC"/>
    <w:rsid w:val="00F445E6"/>
    <w:rsid w:val="00F50E45"/>
    <w:rsid w:val="00F57963"/>
    <w:rsid w:val="00F60632"/>
    <w:rsid w:val="00F60B7C"/>
    <w:rsid w:val="00F67F31"/>
    <w:rsid w:val="00F77159"/>
    <w:rsid w:val="00F804FF"/>
    <w:rsid w:val="00F869F4"/>
    <w:rsid w:val="00F87AAE"/>
    <w:rsid w:val="00F90FAD"/>
    <w:rsid w:val="00F9174C"/>
    <w:rsid w:val="00F92731"/>
    <w:rsid w:val="00F9318E"/>
    <w:rsid w:val="00FA5DAF"/>
    <w:rsid w:val="00FA6385"/>
    <w:rsid w:val="00FB14CA"/>
    <w:rsid w:val="00FB3066"/>
    <w:rsid w:val="00FB4FCD"/>
    <w:rsid w:val="00FB6D28"/>
    <w:rsid w:val="00FC0A33"/>
    <w:rsid w:val="00FC0F9C"/>
    <w:rsid w:val="00FC10FE"/>
    <w:rsid w:val="00FC3D2C"/>
    <w:rsid w:val="00FD0B2D"/>
    <w:rsid w:val="00FD0DB9"/>
    <w:rsid w:val="00FD14AE"/>
    <w:rsid w:val="00FD73DF"/>
    <w:rsid w:val="00FE4014"/>
    <w:rsid w:val="00FE5CE0"/>
    <w:rsid w:val="00FE72A4"/>
    <w:rsid w:val="00FF120C"/>
    <w:rsid w:val="00FF2F09"/>
    <w:rsid w:val="00FF2F55"/>
    <w:rsid w:val="00FF324B"/>
    <w:rsid w:val="00FF62A6"/>
    <w:rsid w:val="01985F7F"/>
    <w:rsid w:val="03738ACF"/>
    <w:rsid w:val="04392DAA"/>
    <w:rsid w:val="045A7214"/>
    <w:rsid w:val="04A17A65"/>
    <w:rsid w:val="04FA550C"/>
    <w:rsid w:val="052864E4"/>
    <w:rsid w:val="0757A60F"/>
    <w:rsid w:val="07E5CADF"/>
    <w:rsid w:val="08DFF609"/>
    <w:rsid w:val="0AD30ED0"/>
    <w:rsid w:val="0AD806FE"/>
    <w:rsid w:val="0B43D3E0"/>
    <w:rsid w:val="0C443F8F"/>
    <w:rsid w:val="0E71B745"/>
    <w:rsid w:val="0EA0AE00"/>
    <w:rsid w:val="1085951C"/>
    <w:rsid w:val="114A3DDA"/>
    <w:rsid w:val="126B8AB4"/>
    <w:rsid w:val="14362917"/>
    <w:rsid w:val="143E169D"/>
    <w:rsid w:val="145266C7"/>
    <w:rsid w:val="18618CCC"/>
    <w:rsid w:val="19A85A57"/>
    <w:rsid w:val="1AF5E6EA"/>
    <w:rsid w:val="1BCD1B7C"/>
    <w:rsid w:val="1DAE80BF"/>
    <w:rsid w:val="1E7E3270"/>
    <w:rsid w:val="206C9EB1"/>
    <w:rsid w:val="22B86A06"/>
    <w:rsid w:val="22C7B31A"/>
    <w:rsid w:val="239CE614"/>
    <w:rsid w:val="252ED4FD"/>
    <w:rsid w:val="25B735BF"/>
    <w:rsid w:val="26CAA55E"/>
    <w:rsid w:val="27F754E8"/>
    <w:rsid w:val="28935846"/>
    <w:rsid w:val="29DA2307"/>
    <w:rsid w:val="2A037C78"/>
    <w:rsid w:val="2C0C2682"/>
    <w:rsid w:val="2D2145D2"/>
    <w:rsid w:val="2F7FCEFD"/>
    <w:rsid w:val="30289463"/>
    <w:rsid w:val="336F983E"/>
    <w:rsid w:val="33A92866"/>
    <w:rsid w:val="33CC0E4E"/>
    <w:rsid w:val="3476E4BE"/>
    <w:rsid w:val="39ADD202"/>
    <w:rsid w:val="3DE6DD43"/>
    <w:rsid w:val="3F4CA949"/>
    <w:rsid w:val="421240F8"/>
    <w:rsid w:val="426B869F"/>
    <w:rsid w:val="43030E93"/>
    <w:rsid w:val="43DBAAD1"/>
    <w:rsid w:val="44FBCF50"/>
    <w:rsid w:val="45478D5B"/>
    <w:rsid w:val="467EAE29"/>
    <w:rsid w:val="47307BD5"/>
    <w:rsid w:val="478D7748"/>
    <w:rsid w:val="480034DA"/>
    <w:rsid w:val="481CA06B"/>
    <w:rsid w:val="4A0E1044"/>
    <w:rsid w:val="4B5794C3"/>
    <w:rsid w:val="4B6063B9"/>
    <w:rsid w:val="4B8FE41F"/>
    <w:rsid w:val="4C6130AC"/>
    <w:rsid w:val="4DB3B400"/>
    <w:rsid w:val="4DB3DF13"/>
    <w:rsid w:val="5000B4C0"/>
    <w:rsid w:val="50FB01DE"/>
    <w:rsid w:val="5270621C"/>
    <w:rsid w:val="535CFA5C"/>
    <w:rsid w:val="540CF550"/>
    <w:rsid w:val="54F8CABD"/>
    <w:rsid w:val="558C7696"/>
    <w:rsid w:val="57E7AB52"/>
    <w:rsid w:val="57EF98D8"/>
    <w:rsid w:val="581769B4"/>
    <w:rsid w:val="58927B04"/>
    <w:rsid w:val="59529D3C"/>
    <w:rsid w:val="5D324260"/>
    <w:rsid w:val="5DFEFC1E"/>
    <w:rsid w:val="5EF5ACF3"/>
    <w:rsid w:val="5F08F216"/>
    <w:rsid w:val="6245BCDC"/>
    <w:rsid w:val="62935BB1"/>
    <w:rsid w:val="6466E119"/>
    <w:rsid w:val="67C928F3"/>
    <w:rsid w:val="67F8E8FC"/>
    <w:rsid w:val="693F91E5"/>
    <w:rsid w:val="698864A6"/>
    <w:rsid w:val="69E0676C"/>
    <w:rsid w:val="69F5A372"/>
    <w:rsid w:val="6A424309"/>
    <w:rsid w:val="6CEA3F8C"/>
    <w:rsid w:val="6D0706A3"/>
    <w:rsid w:val="6DDD3A58"/>
    <w:rsid w:val="6E3C291D"/>
    <w:rsid w:val="6E616C7A"/>
    <w:rsid w:val="6E8AC5EB"/>
    <w:rsid w:val="6F03E337"/>
    <w:rsid w:val="717E8389"/>
    <w:rsid w:val="71D5B2A7"/>
    <w:rsid w:val="7350D5F0"/>
    <w:rsid w:val="76079A6D"/>
    <w:rsid w:val="7644787B"/>
    <w:rsid w:val="776FFF61"/>
    <w:rsid w:val="7870A193"/>
    <w:rsid w:val="7FAD1B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B6F2E8"/>
  <w15:chartTrackingRefBased/>
  <w15:docId w15:val="{78EE105A-3DC4-4F50-A6C3-6B17DC72F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38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1E61"/>
    <w:rPr>
      <w:color w:val="0563C1" w:themeColor="hyperlink"/>
      <w:u w:val="single"/>
    </w:rPr>
  </w:style>
  <w:style w:type="character" w:styleId="UnresolvedMention">
    <w:name w:val="Unresolved Mention"/>
    <w:basedOn w:val="DefaultParagraphFont"/>
    <w:uiPriority w:val="99"/>
    <w:semiHidden/>
    <w:unhideWhenUsed/>
    <w:rsid w:val="00671E61"/>
    <w:rPr>
      <w:color w:val="605E5C"/>
      <w:shd w:val="clear" w:color="auto" w:fill="E1DFDD"/>
    </w:rPr>
  </w:style>
  <w:style w:type="table" w:styleId="TableGrid">
    <w:name w:val="Table Grid"/>
    <w:basedOn w:val="TableNormal"/>
    <w:uiPriority w:val="39"/>
    <w:rsid w:val="00671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682E"/>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B14CA"/>
    <w:rPr>
      <w:sz w:val="16"/>
      <w:szCs w:val="16"/>
    </w:rPr>
  </w:style>
  <w:style w:type="paragraph" w:styleId="CommentText">
    <w:name w:val="annotation text"/>
    <w:basedOn w:val="Normal"/>
    <w:link w:val="CommentTextChar"/>
    <w:uiPriority w:val="99"/>
    <w:semiHidden/>
    <w:unhideWhenUsed/>
    <w:rsid w:val="00FB14CA"/>
    <w:pPr>
      <w:spacing w:line="240" w:lineRule="auto"/>
    </w:pPr>
    <w:rPr>
      <w:sz w:val="20"/>
      <w:szCs w:val="20"/>
    </w:rPr>
  </w:style>
  <w:style w:type="character" w:customStyle="1" w:styleId="CommentTextChar">
    <w:name w:val="Comment Text Char"/>
    <w:basedOn w:val="DefaultParagraphFont"/>
    <w:link w:val="CommentText"/>
    <w:uiPriority w:val="99"/>
    <w:semiHidden/>
    <w:rsid w:val="00FB14CA"/>
    <w:rPr>
      <w:sz w:val="20"/>
      <w:szCs w:val="20"/>
    </w:rPr>
  </w:style>
  <w:style w:type="paragraph" w:styleId="CommentSubject">
    <w:name w:val="annotation subject"/>
    <w:basedOn w:val="CommentText"/>
    <w:next w:val="CommentText"/>
    <w:link w:val="CommentSubjectChar"/>
    <w:uiPriority w:val="99"/>
    <w:semiHidden/>
    <w:unhideWhenUsed/>
    <w:rsid w:val="00FB14CA"/>
    <w:rPr>
      <w:b/>
      <w:bCs/>
    </w:rPr>
  </w:style>
  <w:style w:type="character" w:customStyle="1" w:styleId="CommentSubjectChar">
    <w:name w:val="Comment Subject Char"/>
    <w:basedOn w:val="CommentTextChar"/>
    <w:link w:val="CommentSubject"/>
    <w:uiPriority w:val="99"/>
    <w:semiHidden/>
    <w:rsid w:val="00FB14CA"/>
    <w:rPr>
      <w:b/>
      <w:bCs/>
      <w:sz w:val="20"/>
      <w:szCs w:val="20"/>
    </w:rPr>
  </w:style>
  <w:style w:type="paragraph" w:styleId="BalloonText">
    <w:name w:val="Balloon Text"/>
    <w:basedOn w:val="Normal"/>
    <w:link w:val="BalloonTextChar"/>
    <w:uiPriority w:val="99"/>
    <w:semiHidden/>
    <w:unhideWhenUsed/>
    <w:rsid w:val="00FB14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4CA"/>
    <w:rPr>
      <w:rFonts w:ascii="Segoe UI" w:hAnsi="Segoe UI" w:cs="Segoe UI"/>
      <w:sz w:val="18"/>
      <w:szCs w:val="18"/>
    </w:rPr>
  </w:style>
  <w:style w:type="paragraph" w:styleId="ListParagraph">
    <w:name w:val="List Paragraph"/>
    <w:basedOn w:val="Normal"/>
    <w:uiPriority w:val="34"/>
    <w:qFormat/>
    <w:rsid w:val="00FB14CA"/>
    <w:pPr>
      <w:ind w:left="720"/>
      <w:contextualSpacing/>
    </w:pPr>
  </w:style>
  <w:style w:type="character" w:customStyle="1" w:styleId="Heading1Char">
    <w:name w:val="Heading 1 Char"/>
    <w:basedOn w:val="DefaultParagraphFont"/>
    <w:link w:val="Heading1"/>
    <w:uiPriority w:val="9"/>
    <w:rsid w:val="00A738A7"/>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2D3200"/>
    <w:pPr>
      <w:outlineLvl w:val="9"/>
    </w:pPr>
    <w:rPr>
      <w:lang w:val="en-US"/>
    </w:rPr>
  </w:style>
  <w:style w:type="paragraph" w:styleId="TOC1">
    <w:name w:val="toc 1"/>
    <w:basedOn w:val="Normal"/>
    <w:next w:val="Normal"/>
    <w:autoRedefine/>
    <w:uiPriority w:val="39"/>
    <w:unhideWhenUsed/>
    <w:rsid w:val="002D3200"/>
    <w:pPr>
      <w:spacing w:after="100"/>
    </w:pPr>
  </w:style>
  <w:style w:type="paragraph" w:styleId="Header">
    <w:name w:val="header"/>
    <w:basedOn w:val="Normal"/>
    <w:link w:val="HeaderChar"/>
    <w:uiPriority w:val="99"/>
    <w:unhideWhenUsed/>
    <w:rsid w:val="002D32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3200"/>
  </w:style>
  <w:style w:type="paragraph" w:styleId="Footer">
    <w:name w:val="footer"/>
    <w:basedOn w:val="Normal"/>
    <w:link w:val="FooterChar"/>
    <w:uiPriority w:val="99"/>
    <w:unhideWhenUsed/>
    <w:rsid w:val="002D32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3200"/>
  </w:style>
  <w:style w:type="paragraph" w:styleId="FootnoteText">
    <w:name w:val="footnote text"/>
    <w:basedOn w:val="Normal"/>
    <w:link w:val="FootnoteTextChar"/>
    <w:uiPriority w:val="99"/>
    <w:semiHidden/>
    <w:unhideWhenUsed/>
    <w:rsid w:val="002E69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6988"/>
    <w:rPr>
      <w:sz w:val="20"/>
      <w:szCs w:val="20"/>
    </w:rPr>
  </w:style>
  <w:style w:type="character" w:styleId="FootnoteReference">
    <w:name w:val="footnote reference"/>
    <w:basedOn w:val="DefaultParagraphFont"/>
    <w:uiPriority w:val="99"/>
    <w:semiHidden/>
    <w:unhideWhenUsed/>
    <w:rsid w:val="002E6988"/>
    <w:rPr>
      <w:vertAlign w:val="superscript"/>
    </w:rPr>
  </w:style>
  <w:style w:type="paragraph" w:customStyle="1" w:styleId="Registered">
    <w:name w:val="Registered"/>
    <w:basedOn w:val="Normal"/>
    <w:qFormat/>
    <w:rsid w:val="00F24972"/>
    <w:pPr>
      <w:widowControl w:val="0"/>
      <w:autoSpaceDE w:val="0"/>
      <w:autoSpaceDN w:val="0"/>
      <w:adjustRightInd w:val="0"/>
      <w:spacing w:after="0" w:line="160" w:lineRule="exact"/>
    </w:pPr>
    <w:rPr>
      <w:rFonts w:cs="InvescoInterstate-Light"/>
      <w:sz w:val="15"/>
      <w:szCs w:val="15"/>
    </w:rPr>
  </w:style>
  <w:style w:type="paragraph" w:customStyle="1" w:styleId="Style1">
    <w:name w:val="Style1"/>
    <w:basedOn w:val="Heading1"/>
    <w:link w:val="Style1Char"/>
    <w:qFormat/>
    <w:rsid w:val="00F24972"/>
    <w:pPr>
      <w:spacing w:before="480" w:line="199" w:lineRule="exact"/>
    </w:pPr>
    <w:rPr>
      <w:b/>
      <w:bCs/>
      <w:sz w:val="28"/>
      <w:szCs w:val="28"/>
    </w:rPr>
  </w:style>
  <w:style w:type="character" w:customStyle="1" w:styleId="Style1Char">
    <w:name w:val="Style1 Char"/>
    <w:basedOn w:val="Heading1Char"/>
    <w:link w:val="Style1"/>
    <w:rsid w:val="00F24972"/>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3532184">
      <w:bodyDiv w:val="1"/>
      <w:marLeft w:val="0"/>
      <w:marRight w:val="0"/>
      <w:marTop w:val="0"/>
      <w:marBottom w:val="0"/>
      <w:divBdr>
        <w:top w:val="none" w:sz="0" w:space="0" w:color="auto"/>
        <w:left w:val="none" w:sz="0" w:space="0" w:color="auto"/>
        <w:bottom w:val="none" w:sz="0" w:space="0" w:color="auto"/>
        <w:right w:val="none" w:sz="0" w:space="0" w:color="auto"/>
      </w:divBdr>
    </w:div>
    <w:div w:id="184308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vescoperpetual.co.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2522163B128944AA4C747431F256EFF" ma:contentTypeVersion="4" ma:contentTypeDescription="Create a new document." ma:contentTypeScope="" ma:versionID="2e2f175d51c704b8613287e581c8fe12">
  <xsd:schema xmlns:xsd="http://www.w3.org/2001/XMLSchema" xmlns:xs="http://www.w3.org/2001/XMLSchema" xmlns:p="http://schemas.microsoft.com/office/2006/metadata/properties" xmlns:ns2="c00fc66d-c981-4673-bb43-776fa1b4d41e" targetNamespace="http://schemas.microsoft.com/office/2006/metadata/properties" ma:root="true" ma:fieldsID="1be98411e6c8670c90c1fcadc25e614e" ns2:_="">
    <xsd:import namespace="c00fc66d-c981-4673-bb43-776fa1b4d4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0fc66d-c981-4673-bb43-776fa1b4d4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82D29A-ABBC-4403-9351-C12F8472D720}">
  <ds:schemaRefs>
    <ds:schemaRef ds:uri="http://schemas.openxmlformats.org/officeDocument/2006/bibliography"/>
  </ds:schemaRefs>
</ds:datastoreItem>
</file>

<file path=customXml/itemProps2.xml><?xml version="1.0" encoding="utf-8"?>
<ds:datastoreItem xmlns:ds="http://schemas.openxmlformats.org/officeDocument/2006/customXml" ds:itemID="{A7C0FC48-AD45-4AB4-9236-C1E7127D5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0fc66d-c981-4673-bb43-776fa1b4d4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3DF870-A301-455E-A28A-7614628E97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9128B1-C635-4F53-9194-5277DA7451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1276</Words>
  <Characters>7276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Invesco</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O'Shea, Michael</dc:creator>
  <cp:keywords/>
  <dc:description/>
  <cp:lastModifiedBy>O'Shea, Michael</cp:lastModifiedBy>
  <cp:revision>10</cp:revision>
  <cp:lastPrinted>2021-01-29T19:17:00Z</cp:lastPrinted>
  <dcterms:created xsi:type="dcterms:W3CDTF">2021-02-02T18:01:00Z</dcterms:created>
  <dcterms:modified xsi:type="dcterms:W3CDTF">2021-02-02T18:22:00Z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0x01010052522163B128944AA4C747431F256EFF</vt:lpwstr>
  </property>
</Properties>
</file>