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B" w:rsidRDefault="008C431B" w:rsidP="008C431B">
      <w:bookmarkStart w:id="0" w:name="_GoBack"/>
      <w:bookmarkEnd w:id="0"/>
    </w:p>
    <w:p w:rsidR="008C431B" w:rsidRDefault="008C431B">
      <w:pPr>
        <w:jc w:val="center"/>
      </w:pPr>
      <w:r>
        <w:rPr>
          <w:snapToGrid/>
        </w:rPr>
        <w:t>Proceduri de lichidare</w:t>
      </w:r>
    </w:p>
    <w:p w:rsidR="008C431B" w:rsidRDefault="008C431B">
      <w:pPr>
        <w:jc w:val="center"/>
      </w:pPr>
    </w:p>
    <w:p w:rsidR="008C431B" w:rsidRDefault="008C431B">
      <w:pPr>
        <w:jc w:val="center"/>
      </w:pPr>
    </w:p>
    <w:p w:rsidR="008C431B" w:rsidRDefault="008C431B" w:rsidP="00E7423C">
      <w:pPr>
        <w:jc w:val="both"/>
      </w:pPr>
      <w:r>
        <w:rPr>
          <w:snapToGrid/>
        </w:rPr>
        <w:t xml:space="preserve">Decizia de a deschide procedurile de </w:t>
      </w:r>
      <w:r w:rsidR="00C62C13">
        <w:rPr>
          <w:snapToGrid/>
        </w:rPr>
        <w:t>lichidare</w:t>
      </w:r>
      <w:r>
        <w:rPr>
          <w:snapToGrid/>
        </w:rPr>
        <w:t xml:space="preserve"> în ceea ce prive</w:t>
      </w:r>
      <w:r w:rsidR="008C5BCC">
        <w:rPr>
          <w:snapToGrid/>
        </w:rPr>
        <w:t>ș</w:t>
      </w:r>
      <w:r>
        <w:rPr>
          <w:snapToGrid/>
        </w:rPr>
        <w:t xml:space="preserve">te [denumirea întreprinderii de asigurare] </w:t>
      </w:r>
    </w:p>
    <w:p w:rsidR="008C431B" w:rsidRDefault="008C431B" w:rsidP="00E7423C">
      <w:pPr>
        <w:jc w:val="both"/>
      </w:pPr>
    </w:p>
    <w:p w:rsidR="00D047F1" w:rsidRDefault="00D047F1" w:rsidP="00E7423C">
      <w:pPr>
        <w:jc w:val="both"/>
      </w:pPr>
    </w:p>
    <w:p w:rsidR="008C431B" w:rsidRDefault="005869FB" w:rsidP="00E7423C">
      <w:pPr>
        <w:jc w:val="both"/>
      </w:pPr>
      <w:r>
        <w:rPr>
          <w:snapToGrid/>
        </w:rPr>
        <w:t xml:space="preserve">Publicare efectuată în conformitate cu articolul </w:t>
      </w:r>
      <w:r w:rsidRPr="008A3015">
        <w:rPr>
          <w:snapToGrid/>
        </w:rPr>
        <w:t>280</w:t>
      </w:r>
      <w:r>
        <w:rPr>
          <w:snapToGrid/>
        </w:rPr>
        <w:t xml:space="preserve"> din Directiva </w:t>
      </w:r>
      <w:r w:rsidRPr="008A3015">
        <w:rPr>
          <w:snapToGrid/>
        </w:rPr>
        <w:t>2009</w:t>
      </w:r>
      <w:r>
        <w:rPr>
          <w:snapToGrid/>
        </w:rPr>
        <w:t>/</w:t>
      </w:r>
      <w:r w:rsidRPr="008A3015">
        <w:rPr>
          <w:snapToGrid/>
        </w:rPr>
        <w:t>138</w:t>
      </w:r>
      <w:r>
        <w:rPr>
          <w:snapToGrid/>
        </w:rPr>
        <w:t xml:space="preserve">/CE a Parlamentului European </w:t>
      </w:r>
      <w:r w:rsidR="008C5BCC">
        <w:rPr>
          <w:snapToGrid/>
        </w:rPr>
        <w:t>ș</w:t>
      </w:r>
      <w:r>
        <w:rPr>
          <w:snapToGrid/>
        </w:rPr>
        <w:t xml:space="preserve">i a Consiliului din </w:t>
      </w:r>
      <w:r w:rsidRPr="008A3015">
        <w:rPr>
          <w:snapToGrid/>
        </w:rPr>
        <w:t>25</w:t>
      </w:r>
      <w:r>
        <w:rPr>
          <w:snapToGrid/>
        </w:rPr>
        <w:t xml:space="preserve"> noiembrie </w:t>
      </w:r>
      <w:r w:rsidRPr="008A3015">
        <w:rPr>
          <w:snapToGrid/>
        </w:rPr>
        <w:t>2009</w:t>
      </w:r>
      <w:r>
        <w:rPr>
          <w:snapToGrid/>
        </w:rPr>
        <w:t xml:space="preserve"> privind accesul la activitate </w:t>
      </w:r>
      <w:r w:rsidR="008C5BCC">
        <w:rPr>
          <w:snapToGrid/>
        </w:rPr>
        <w:t>ș</w:t>
      </w:r>
      <w:r>
        <w:rPr>
          <w:snapToGrid/>
        </w:rPr>
        <w:t>i desfă</w:t>
      </w:r>
      <w:r w:rsidR="008C5BCC">
        <w:rPr>
          <w:snapToGrid/>
        </w:rPr>
        <w:t>ș</w:t>
      </w:r>
      <w:r>
        <w:rPr>
          <w:snapToGrid/>
        </w:rPr>
        <w:t>urarea activită</w:t>
      </w:r>
      <w:r w:rsidR="008C5BCC">
        <w:rPr>
          <w:snapToGrid/>
        </w:rPr>
        <w:t>ț</w:t>
      </w:r>
      <w:r>
        <w:rPr>
          <w:snapToGrid/>
        </w:rPr>
        <w:t xml:space="preserve">ii de asigurare </w:t>
      </w:r>
      <w:r w:rsidR="008C5BCC">
        <w:rPr>
          <w:snapToGrid/>
        </w:rPr>
        <w:t>ș</w:t>
      </w:r>
      <w:r>
        <w:rPr>
          <w:snapToGrid/>
        </w:rPr>
        <w:t>i de reasigurare (Solvabilitate II).</w:t>
      </w:r>
    </w:p>
    <w:p w:rsidR="008C431B" w:rsidRDefault="008C431B"/>
    <w:p w:rsidR="008C431B" w:rsidRDefault="008C4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8C431B" w:rsidRPr="006331F1" w:rsidTr="008C431B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Întreprinderea de asigurare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 xml:space="preserve">[denumirea oficială, denumirea comercială </w:t>
            </w:r>
            <w:r w:rsidR="008C5BCC">
              <w:rPr>
                <w:snapToGrid/>
              </w:rPr>
              <w:t>ș</w:t>
            </w:r>
            <w:r>
              <w:rPr>
                <w:snapToGrid/>
              </w:rPr>
              <w:t>i adresa sediului social sau, dacă nu există sediu social, sediul central]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C15BCB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 xml:space="preserve">Data, intrarea în vigoare </w:t>
            </w:r>
            <w:r w:rsidR="008C5BCC">
              <w:rPr>
                <w:snapToGrid/>
              </w:rPr>
              <w:t>ș</w:t>
            </w:r>
            <w:r>
              <w:rPr>
                <w:snapToGrid/>
              </w:rPr>
              <w:t xml:space="preserve">i natura deciziei 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 xml:space="preserve">[data, data intrării în vigoare </w:t>
            </w:r>
            <w:r w:rsidR="008C5BCC">
              <w:rPr>
                <w:snapToGrid/>
              </w:rPr>
              <w:t>ș</w:t>
            </w:r>
            <w:r>
              <w:rPr>
                <w:snapToGrid/>
              </w:rPr>
              <w:t>i natura deciziei]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Autorită</w:t>
            </w:r>
            <w:r w:rsidR="008C5BCC">
              <w:rPr>
                <w:snapToGrid/>
              </w:rPr>
              <w:t>ț</w:t>
            </w:r>
            <w:r>
              <w:rPr>
                <w:snapToGrid/>
              </w:rPr>
              <w:t>i competente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Default="00D047F1" w:rsidP="00D047F1">
            <w:pPr>
              <w:pStyle w:val="ListNumber"/>
              <w:numPr>
                <w:ilvl w:val="0"/>
                <w:numId w:val="0"/>
              </w:numPr>
              <w:rPr>
                <w:snapToGrid/>
              </w:rPr>
            </w:pPr>
            <w:r>
              <w:rPr>
                <w:snapToGrid/>
              </w:rPr>
              <w:t xml:space="preserve">[denumirea </w:t>
            </w:r>
            <w:r w:rsidR="008C5BCC">
              <w:rPr>
                <w:snapToGrid/>
              </w:rPr>
              <w:t>ș</w:t>
            </w:r>
            <w:r>
              <w:rPr>
                <w:snapToGrid/>
              </w:rPr>
              <w:t>i adresa]</w:t>
            </w:r>
          </w:p>
          <w:p w:rsidR="00D047F1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Autoritatea de supraveghere</w:t>
            </w:r>
            <w:r>
              <w:rPr>
                <w:snapToGrid/>
              </w:rPr>
              <w:br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 xml:space="preserve">[denumirea </w:t>
            </w:r>
            <w:r w:rsidR="008C5BCC">
              <w:rPr>
                <w:snapToGrid/>
              </w:rPr>
              <w:t>ș</w:t>
            </w:r>
            <w:r>
              <w:rPr>
                <w:snapToGrid/>
              </w:rPr>
              <w:t>i adresa]</w:t>
            </w:r>
          </w:p>
        </w:tc>
      </w:tr>
      <w:tr w:rsidR="008C431B" w:rsidRPr="00D047F1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20A94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Administratorul desemnat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D047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 xml:space="preserve">[numele, adresa </w:t>
            </w:r>
            <w:r w:rsidR="008C5BCC">
              <w:rPr>
                <w:snapToGrid/>
              </w:rPr>
              <w:t>ș</w:t>
            </w:r>
            <w:r>
              <w:rPr>
                <w:snapToGrid/>
              </w:rPr>
              <w:t>i datele de contact; dacă este vorba de o persoană juridică, persoana fizică ce ac</w:t>
            </w:r>
            <w:r w:rsidR="008C5BCC">
              <w:rPr>
                <w:snapToGrid/>
              </w:rPr>
              <w:t>ț</w:t>
            </w:r>
            <w:r>
              <w:rPr>
                <w:snapToGrid/>
              </w:rPr>
              <w:t>ionează în numele său]</w:t>
            </w:r>
          </w:p>
          <w:p w:rsidR="008C431B" w:rsidRPr="00D047F1" w:rsidRDefault="008C431B" w:rsidP="008C431B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w:rsidR="008C431B" w:rsidRPr="006331F1" w:rsidTr="008C431B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Legisla</w:t>
            </w:r>
            <w:r w:rsidR="008C5BCC">
              <w:rPr>
                <w:snapToGrid/>
              </w:rPr>
              <w:t>ț</w:t>
            </w:r>
            <w:r>
              <w:rPr>
                <w:snapToGrid/>
              </w:rPr>
              <w:t>ia aplicabilă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</w:t>
            </w:r>
            <w:r w:rsidR="008C5BCC">
              <w:rPr>
                <w:snapToGrid/>
              </w:rPr>
              <w:t>ț</w:t>
            </w:r>
            <w:r>
              <w:rPr>
                <w:snapToGrid/>
              </w:rPr>
              <w:t xml:space="preserve">ara </w:t>
            </w:r>
            <w:r w:rsidR="008C5BCC">
              <w:rPr>
                <w:snapToGrid/>
              </w:rPr>
              <w:t>ș</w:t>
            </w:r>
            <w:r>
              <w:rPr>
                <w:snapToGrid/>
              </w:rPr>
              <w:t>i referin</w:t>
            </w:r>
            <w:r w:rsidR="008C5BCC">
              <w:rPr>
                <w:snapToGrid/>
              </w:rPr>
              <w:t>ț</w:t>
            </w:r>
            <w:r>
              <w:rPr>
                <w:snapToGrid/>
              </w:rPr>
              <w:t>a la dispozi</w:t>
            </w:r>
            <w:r w:rsidR="008C5BCC">
              <w:rPr>
                <w:snapToGrid/>
              </w:rPr>
              <w:t>ț</w:t>
            </w:r>
            <w:r>
              <w:rPr>
                <w:snapToGrid/>
              </w:rPr>
              <w:t>ia (dispozi</w:t>
            </w:r>
            <w:r w:rsidR="008C5BCC">
              <w:rPr>
                <w:snapToGrid/>
              </w:rPr>
              <w:t>ț</w:t>
            </w:r>
            <w:r>
              <w:rPr>
                <w:snapToGrid/>
              </w:rPr>
              <w:t>iile) de reglementare relevantă (relevante)]</w:t>
            </w:r>
          </w:p>
        </w:tc>
      </w:tr>
    </w:tbl>
    <w:p w:rsidR="008C431B" w:rsidRDefault="008C431B"/>
    <w:p w:rsidR="008C431B" w:rsidRDefault="008C431B"/>
    <w:sectPr w:rsidR="008C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024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23451"/>
    <w:rsid w:val="001C5DDE"/>
    <w:rsid w:val="00394E81"/>
    <w:rsid w:val="004258C5"/>
    <w:rsid w:val="005869FB"/>
    <w:rsid w:val="00711404"/>
    <w:rsid w:val="0086012E"/>
    <w:rsid w:val="008A3015"/>
    <w:rsid w:val="008C431B"/>
    <w:rsid w:val="008C5BCC"/>
    <w:rsid w:val="00BA3AFF"/>
    <w:rsid w:val="00C62C13"/>
    <w:rsid w:val="00D047F1"/>
    <w:rsid w:val="00D20A94"/>
    <w:rsid w:val="00D34830"/>
    <w:rsid w:val="00E7423C"/>
    <w:rsid w:val="00E757B6"/>
    <w:rsid w:val="00E83527"/>
    <w:rsid w:val="00F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ro-RO" w:eastAsia="ro-RO"/>
    </w:rPr>
  </w:style>
  <w:style w:type="character" w:customStyle="1" w:styleId="tw4winError">
    <w:name w:val="tw4winError"/>
    <w:rPr>
      <w:color w:val="00FF00"/>
      <w:sz w:val="40"/>
      <w:szCs w:val="40"/>
      <w:lang w:val="ro-RO" w:eastAsia="ro-RO"/>
    </w:rPr>
  </w:style>
  <w:style w:type="character" w:customStyle="1" w:styleId="tw4winTerm">
    <w:name w:val="tw4winTerm"/>
    <w:rPr>
      <w:color w:val="0000FF"/>
      <w:lang w:val="ro-RO" w:eastAsia="ro-RO"/>
    </w:rPr>
  </w:style>
  <w:style w:type="character" w:customStyle="1" w:styleId="tw4winPopup">
    <w:name w:val="tw4winPopup"/>
    <w:rPr>
      <w:noProof/>
      <w:color w:val="008000"/>
      <w:lang w:val="ro-RO" w:eastAsia="ro-RO"/>
    </w:rPr>
  </w:style>
  <w:style w:type="character" w:customStyle="1" w:styleId="tw4winJump">
    <w:name w:val="tw4winJump"/>
    <w:rPr>
      <w:noProof/>
      <w:color w:val="008080"/>
      <w:lang w:val="ro-RO" w:eastAsia="ro-RO"/>
    </w:rPr>
  </w:style>
  <w:style w:type="character" w:customStyle="1" w:styleId="tw4winExternal">
    <w:name w:val="tw4winExternal"/>
    <w:rPr>
      <w:noProof/>
      <w:color w:val="808080"/>
      <w:lang w:val="ro-RO" w:eastAsia="ro-RO"/>
    </w:rPr>
  </w:style>
  <w:style w:type="character" w:customStyle="1" w:styleId="tw4winInternal">
    <w:name w:val="tw4winInternal"/>
    <w:rPr>
      <w:noProof/>
      <w:color w:val="FF0000"/>
      <w:lang w:val="ro-RO" w:eastAsia="ro-RO"/>
    </w:rPr>
  </w:style>
  <w:style w:type="character" w:customStyle="1" w:styleId="DONOTTRANSLATE">
    <w:name w:val="DO_NOT_TRANSLATE"/>
    <w:rPr>
      <w:noProof/>
      <w:color w:val="800000"/>
      <w:lang w:val="ro-RO" w:eastAsia="ro-RO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ro-RO" w:eastAsia="ro-RO"/>
    </w:rPr>
  </w:style>
  <w:style w:type="character" w:customStyle="1" w:styleId="tw4winError">
    <w:name w:val="tw4winError"/>
    <w:rPr>
      <w:color w:val="00FF00"/>
      <w:sz w:val="40"/>
      <w:szCs w:val="40"/>
      <w:lang w:val="ro-RO" w:eastAsia="ro-RO"/>
    </w:rPr>
  </w:style>
  <w:style w:type="character" w:customStyle="1" w:styleId="tw4winTerm">
    <w:name w:val="tw4winTerm"/>
    <w:rPr>
      <w:color w:val="0000FF"/>
      <w:lang w:val="ro-RO" w:eastAsia="ro-RO"/>
    </w:rPr>
  </w:style>
  <w:style w:type="character" w:customStyle="1" w:styleId="tw4winPopup">
    <w:name w:val="tw4winPopup"/>
    <w:rPr>
      <w:noProof/>
      <w:color w:val="008000"/>
      <w:lang w:val="ro-RO" w:eastAsia="ro-RO"/>
    </w:rPr>
  </w:style>
  <w:style w:type="character" w:customStyle="1" w:styleId="tw4winJump">
    <w:name w:val="tw4winJump"/>
    <w:rPr>
      <w:noProof/>
      <w:color w:val="008080"/>
      <w:lang w:val="ro-RO" w:eastAsia="ro-RO"/>
    </w:rPr>
  </w:style>
  <w:style w:type="character" w:customStyle="1" w:styleId="tw4winExternal">
    <w:name w:val="tw4winExternal"/>
    <w:rPr>
      <w:noProof/>
      <w:color w:val="808080"/>
      <w:lang w:val="ro-RO" w:eastAsia="ro-RO"/>
    </w:rPr>
  </w:style>
  <w:style w:type="character" w:customStyle="1" w:styleId="tw4winInternal">
    <w:name w:val="tw4winInternal"/>
    <w:rPr>
      <w:noProof/>
      <w:color w:val="FF0000"/>
      <w:lang w:val="ro-RO" w:eastAsia="ro-RO"/>
    </w:rPr>
  </w:style>
  <w:style w:type="character" w:customStyle="1" w:styleId="DONOTTRANSLATE">
    <w:name w:val="DO_NOT_TRANSLATE"/>
    <w:rPr>
      <w:noProof/>
      <w:color w:val="800000"/>
      <w:lang w:val="ro-RO" w:eastAsia="ro-RO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9C85-7B75-48CF-92BB-6FAB2B0E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creator>michaela suchardova</dc:creator>
  <cp:lastModifiedBy>POPOVICI Ioana (DGT)</cp:lastModifiedBy>
  <cp:revision>4</cp:revision>
  <cp:lastPrinted>2016-07-28T13:19:00Z</cp:lastPrinted>
  <dcterms:created xsi:type="dcterms:W3CDTF">2016-08-19T12:09:00Z</dcterms:created>
  <dcterms:modified xsi:type="dcterms:W3CDTF">2016-08-19T12:31:00Z</dcterms:modified>
</cp:coreProperties>
</file>