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7F801" w14:textId="77777777" w:rsidR="006C0348" w:rsidRDefault="006C0348" w:rsidP="003519E1">
      <w:pPr>
        <w:rPr>
          <w:u w:val="single"/>
        </w:rPr>
      </w:pPr>
    </w:p>
    <w:p w14:paraId="606DD6AE" w14:textId="0997709D" w:rsidR="003519E1" w:rsidRPr="003B6BED" w:rsidRDefault="003519E1" w:rsidP="003519E1">
      <w:pPr>
        <w:rPr>
          <w:u w:val="single"/>
        </w:rPr>
      </w:pPr>
      <w:r>
        <w:rPr>
          <w:u w:val="single"/>
        </w:rPr>
        <w:t>About FSI</w:t>
      </w:r>
    </w:p>
    <w:p w14:paraId="19F8080F" w14:textId="2666BC93" w:rsidR="003519E1" w:rsidRDefault="003519E1">
      <w:r w:rsidRPr="00B47F67">
        <w:t>Financial Service</w:t>
      </w:r>
      <w:r w:rsidR="005E0E41">
        <w:t xml:space="preserve">s </w:t>
      </w:r>
      <w:r w:rsidRPr="00B47F67">
        <w:t xml:space="preserve">Ireland is a constituent part of </w:t>
      </w:r>
      <w:proofErr w:type="spellStart"/>
      <w:r w:rsidRPr="00B47F67">
        <w:t>Ibec</w:t>
      </w:r>
      <w:proofErr w:type="spellEnd"/>
      <w:r>
        <w:t>, Ireland’s largest business representative group. FSI is the only trade association representing the totality of the financial services industry in Ireland, with 1</w:t>
      </w:r>
      <w:r w:rsidR="007804C6">
        <w:t>5</w:t>
      </w:r>
      <w:r w:rsidR="00B129FC">
        <w:t>5</w:t>
      </w:r>
      <w:r>
        <w:t xml:space="preserve"> members across domestic and international banking, insurance, fund and asset management, payments, fintech and aircraft leasing.</w:t>
      </w:r>
    </w:p>
    <w:p w14:paraId="3B8845C5" w14:textId="76C423B6" w:rsidR="00C07393" w:rsidRPr="00C07393" w:rsidRDefault="0044168A">
      <w:proofErr w:type="gramStart"/>
      <w:r>
        <w:t>As a whole, the</w:t>
      </w:r>
      <w:proofErr w:type="gramEnd"/>
      <w:r w:rsidR="00C07393" w:rsidRPr="00C07393">
        <w:t xml:space="preserve"> financial services industry in Ireland </w:t>
      </w:r>
      <w:r>
        <w:t xml:space="preserve">employs over 70,000 people. The IFS industry </w:t>
      </w:r>
      <w:r w:rsidR="00C07393" w:rsidRPr="00C07393">
        <w:t xml:space="preserve">benefits from a structured engagement </w:t>
      </w:r>
      <w:r>
        <w:t>system</w:t>
      </w:r>
      <w:r w:rsidR="00C07393" w:rsidRPr="00C07393">
        <w:t xml:space="preserve"> with government</w:t>
      </w:r>
      <w:r>
        <w:t>,</w:t>
      </w:r>
      <w:r w:rsidR="00C07393" w:rsidRPr="00C07393">
        <w:t xml:space="preserve"> through </w:t>
      </w:r>
      <w:r>
        <w:t xml:space="preserve">the </w:t>
      </w:r>
      <w:r w:rsidR="00C07393" w:rsidRPr="00C07393">
        <w:t>joint industry-government strategy, ‘Ireland for Finance’.</w:t>
      </w:r>
      <w:r>
        <w:t xml:space="preserve"> </w:t>
      </w:r>
    </w:p>
    <w:p w14:paraId="300D670A" w14:textId="77777777" w:rsidR="004D1197" w:rsidRDefault="004D1197">
      <w:pPr>
        <w:rPr>
          <w:u w:val="single"/>
        </w:rPr>
      </w:pPr>
    </w:p>
    <w:p w14:paraId="50D6026A" w14:textId="05412AA3" w:rsidR="00B47F67" w:rsidRDefault="003519E1">
      <w:pPr>
        <w:rPr>
          <w:u w:val="single"/>
        </w:rPr>
      </w:pPr>
      <w:r>
        <w:rPr>
          <w:u w:val="single"/>
        </w:rPr>
        <w:t>Context – the European Digital Finance Framework</w:t>
      </w:r>
    </w:p>
    <w:p w14:paraId="28246F94" w14:textId="5110264F" w:rsidR="00B47F67" w:rsidRDefault="00B47F67" w:rsidP="00B47F67">
      <w:pPr>
        <w:pStyle w:val="ListParagraph"/>
        <w:numPr>
          <w:ilvl w:val="0"/>
          <w:numId w:val="1"/>
        </w:numPr>
      </w:pPr>
      <w:r w:rsidRPr="00B47F67">
        <w:t xml:space="preserve">The </w:t>
      </w:r>
      <w:r>
        <w:t xml:space="preserve">Single Market is </w:t>
      </w:r>
      <w:r w:rsidR="00F24ACB">
        <w:t>in</w:t>
      </w:r>
      <w:r>
        <w:t>complete</w:t>
      </w:r>
    </w:p>
    <w:p w14:paraId="441C6629" w14:textId="70B1E004" w:rsidR="00B47F67" w:rsidRDefault="00B47F67" w:rsidP="00B47F67">
      <w:pPr>
        <w:pStyle w:val="ListParagraph"/>
        <w:numPr>
          <w:ilvl w:val="0"/>
          <w:numId w:val="1"/>
        </w:numPr>
      </w:pPr>
      <w:r>
        <w:t>The playing field is not level</w:t>
      </w:r>
    </w:p>
    <w:p w14:paraId="72EBDEE7" w14:textId="30836CCC" w:rsidR="00B47F67" w:rsidRDefault="00B47F67" w:rsidP="00B47F67">
      <w:pPr>
        <w:pStyle w:val="ListParagraph"/>
        <w:numPr>
          <w:ilvl w:val="0"/>
          <w:numId w:val="1"/>
        </w:numPr>
      </w:pPr>
      <w:r>
        <w:t xml:space="preserve">The </w:t>
      </w:r>
      <w:r w:rsidR="00B129FC">
        <w:t xml:space="preserve">(innovation) </w:t>
      </w:r>
      <w:r>
        <w:t>target is moving</w:t>
      </w:r>
    </w:p>
    <w:p w14:paraId="6383C027" w14:textId="3FD4974E" w:rsidR="00B47F67" w:rsidRDefault="00B129FC" w:rsidP="00B47F67">
      <w:pPr>
        <w:pStyle w:val="ListParagraph"/>
        <w:numPr>
          <w:ilvl w:val="0"/>
          <w:numId w:val="1"/>
        </w:numPr>
      </w:pPr>
      <w:r>
        <w:t xml:space="preserve">The </w:t>
      </w:r>
      <w:r w:rsidR="00A15673">
        <w:t xml:space="preserve">opportunity exists for Europe to assume </w:t>
      </w:r>
      <w:r>
        <w:t xml:space="preserve">digital </w:t>
      </w:r>
      <w:r w:rsidR="00A15673">
        <w:t>leadership on global scale</w:t>
      </w:r>
    </w:p>
    <w:p w14:paraId="0536B482" w14:textId="77777777" w:rsidR="004D1197" w:rsidRDefault="004D1197" w:rsidP="00B47F67">
      <w:pPr>
        <w:rPr>
          <w:u w:val="single"/>
        </w:rPr>
      </w:pPr>
    </w:p>
    <w:p w14:paraId="0A2AED9E" w14:textId="0D36AA7A" w:rsidR="003B6BED" w:rsidRDefault="003B6BED" w:rsidP="00B47F67">
      <w:pPr>
        <w:rPr>
          <w:u w:val="single"/>
        </w:rPr>
      </w:pPr>
      <w:r w:rsidRPr="003B6BED">
        <w:rPr>
          <w:u w:val="single"/>
        </w:rPr>
        <w:t xml:space="preserve">Irish </w:t>
      </w:r>
      <w:r w:rsidR="003519E1">
        <w:rPr>
          <w:u w:val="single"/>
        </w:rPr>
        <w:t>B</w:t>
      </w:r>
      <w:r w:rsidRPr="003B6BED">
        <w:rPr>
          <w:u w:val="single"/>
        </w:rPr>
        <w:t xml:space="preserve">usiness </w:t>
      </w:r>
      <w:r w:rsidR="003519E1">
        <w:rPr>
          <w:u w:val="single"/>
        </w:rPr>
        <w:t>P</w:t>
      </w:r>
      <w:r w:rsidRPr="003B6BED">
        <w:rPr>
          <w:u w:val="single"/>
        </w:rPr>
        <w:t xml:space="preserve">riorities </w:t>
      </w:r>
      <w:r w:rsidR="003519E1">
        <w:rPr>
          <w:u w:val="single"/>
        </w:rPr>
        <w:t>-</w:t>
      </w:r>
      <w:r w:rsidRPr="003B6BED">
        <w:rPr>
          <w:u w:val="single"/>
        </w:rPr>
        <w:t xml:space="preserve"> Europe’s Digital Future</w:t>
      </w:r>
    </w:p>
    <w:p w14:paraId="65DE68CB" w14:textId="571CB898" w:rsidR="00B47F67" w:rsidRDefault="003519E1" w:rsidP="00B47F67">
      <w:proofErr w:type="spellStart"/>
      <w:r>
        <w:t>Ibec</w:t>
      </w:r>
      <w:proofErr w:type="spellEnd"/>
      <w:r>
        <w:t xml:space="preserve"> represents thousands of companies across Ireland, from indigenous regional enterprises, to tech start-ups, to some of the largest globally recognised brands. </w:t>
      </w:r>
      <w:r w:rsidR="007B71F5">
        <w:t xml:space="preserve">Ireland is currently ranked </w:t>
      </w:r>
      <w:r w:rsidR="00B129FC">
        <w:t>6</w:t>
      </w:r>
      <w:r w:rsidR="007B71F5" w:rsidRPr="007B71F5">
        <w:rPr>
          <w:vertAlign w:val="superscript"/>
        </w:rPr>
        <w:t>th</w:t>
      </w:r>
      <w:r w:rsidR="007B71F5">
        <w:t xml:space="preserve"> among EU Member States for overall digital performance. </w:t>
      </w:r>
      <w:r w:rsidR="00B47F67">
        <w:t>In its</w:t>
      </w:r>
      <w:r w:rsidR="00B129FC">
        <w:t xml:space="preserve"> Digital</w:t>
      </w:r>
      <w:r w:rsidR="00B47F67">
        <w:t xml:space="preserve"> </w:t>
      </w:r>
      <w:hyperlink r:id="rId7" w:history="1">
        <w:r w:rsidR="00B129FC" w:rsidRPr="00B129FC">
          <w:rPr>
            <w:rStyle w:val="Hyperlink"/>
          </w:rPr>
          <w:t>Strategy</w:t>
        </w:r>
      </w:hyperlink>
      <w:r w:rsidR="00B129FC">
        <w:t xml:space="preserve"> </w:t>
      </w:r>
      <w:r w:rsidR="00B47F67">
        <w:t xml:space="preserve">for the years 2020-2024, </w:t>
      </w:r>
      <w:proofErr w:type="spellStart"/>
      <w:r w:rsidR="00B47F67">
        <w:t>Ibec</w:t>
      </w:r>
      <w:proofErr w:type="spellEnd"/>
      <w:r w:rsidR="00B47F67">
        <w:t xml:space="preserve"> has set out nine key recommendations </w:t>
      </w:r>
      <w:r>
        <w:t xml:space="preserve">– common to all </w:t>
      </w:r>
      <w:r w:rsidR="003D0905">
        <w:t>industries</w:t>
      </w:r>
      <w:r>
        <w:t xml:space="preserve">, large and small - </w:t>
      </w:r>
      <w:r w:rsidR="00B47F67">
        <w:t>for Europe’s Digital Future:</w:t>
      </w:r>
    </w:p>
    <w:p w14:paraId="30037623" w14:textId="77777777" w:rsidR="00B47F67" w:rsidRDefault="00B47F67" w:rsidP="00B47F67">
      <w:r w:rsidRPr="00B47F67">
        <w:rPr>
          <w:b/>
          <w:bCs/>
        </w:rPr>
        <w:t>Priority 1. Lead an era of further digital transformation</w:t>
      </w:r>
      <w:r>
        <w:t xml:space="preserve">. Specifically: </w:t>
      </w:r>
    </w:p>
    <w:p w14:paraId="6BD54ED9" w14:textId="77777777" w:rsidR="00B47F67" w:rsidRDefault="00B47F67" w:rsidP="00B47F67">
      <w:pPr>
        <w:ind w:firstLine="720"/>
      </w:pPr>
      <w:r>
        <w:t xml:space="preserve">1. Prioritise further digital development across the EU and complete the Single Market. </w:t>
      </w:r>
    </w:p>
    <w:p w14:paraId="136E59B5" w14:textId="77777777" w:rsidR="00B47F67" w:rsidRDefault="00B47F67" w:rsidP="00B47F67">
      <w:pPr>
        <w:ind w:firstLine="720"/>
      </w:pPr>
      <w:r>
        <w:t xml:space="preserve">2. Work with, not against, technology in governance. </w:t>
      </w:r>
    </w:p>
    <w:p w14:paraId="02662F0A" w14:textId="77777777" w:rsidR="00B47F67" w:rsidRDefault="00B47F67" w:rsidP="00B47F67">
      <w:pPr>
        <w:ind w:firstLine="720"/>
      </w:pPr>
      <w:r>
        <w:t xml:space="preserve">3. Intensify collaboration in developing international digital standards. </w:t>
      </w:r>
    </w:p>
    <w:p w14:paraId="70461FFF" w14:textId="77777777" w:rsidR="00B47F67" w:rsidRDefault="00B47F67" w:rsidP="00B47F67">
      <w:pPr>
        <w:ind w:firstLine="720"/>
      </w:pPr>
      <w:r>
        <w:t xml:space="preserve">4. Lead by example in eGovernment and digitalised public services, share best practice. </w:t>
      </w:r>
    </w:p>
    <w:p w14:paraId="22612E94" w14:textId="77777777" w:rsidR="00B47F67" w:rsidRDefault="00B47F67" w:rsidP="00B47F67">
      <w:r w:rsidRPr="00B47F67">
        <w:rPr>
          <w:b/>
          <w:bCs/>
        </w:rPr>
        <w:t>Priority 2. Enable everyone to reach their potential in a digital era</w:t>
      </w:r>
      <w:r>
        <w:t xml:space="preserve">. Specifically: </w:t>
      </w:r>
    </w:p>
    <w:p w14:paraId="356D800C" w14:textId="77777777" w:rsidR="00B47F67" w:rsidRDefault="00B47F67" w:rsidP="00B47F67">
      <w:pPr>
        <w:ind w:firstLine="720"/>
      </w:pPr>
      <w:r>
        <w:t xml:space="preserve">5. Maintain trust and security in accessing further digital opportunities. </w:t>
      </w:r>
    </w:p>
    <w:p w14:paraId="6522B41B" w14:textId="77777777" w:rsidR="00B47F67" w:rsidRDefault="00B47F67" w:rsidP="00B47F67">
      <w:pPr>
        <w:ind w:firstLine="720"/>
      </w:pPr>
      <w:r>
        <w:t xml:space="preserve">6. Ensure further investment and innovation in secure digital infrastructure and services. </w:t>
      </w:r>
    </w:p>
    <w:p w14:paraId="469249A8" w14:textId="77777777" w:rsidR="00B47F67" w:rsidRDefault="00B47F67" w:rsidP="00B47F67">
      <w:pPr>
        <w:ind w:firstLine="720"/>
      </w:pPr>
      <w:r>
        <w:t xml:space="preserve">7. Enable everyone to accomplish more through the right knowledge training and skills. </w:t>
      </w:r>
    </w:p>
    <w:p w14:paraId="7C358098" w14:textId="77777777" w:rsidR="00B47F67" w:rsidRDefault="00B47F67" w:rsidP="00B47F67">
      <w:r w:rsidRPr="00B47F67">
        <w:rPr>
          <w:b/>
          <w:bCs/>
        </w:rPr>
        <w:t xml:space="preserve">Priority 3. Champion innovation, </w:t>
      </w:r>
      <w:proofErr w:type="gramStart"/>
      <w:r w:rsidRPr="00B47F67">
        <w:rPr>
          <w:b/>
          <w:bCs/>
        </w:rPr>
        <w:t>enterprise</w:t>
      </w:r>
      <w:proofErr w:type="gramEnd"/>
      <w:r w:rsidRPr="00B47F67">
        <w:rPr>
          <w:b/>
          <w:bCs/>
        </w:rPr>
        <w:t xml:space="preserve"> and trade in a digital era</w:t>
      </w:r>
      <w:r>
        <w:t xml:space="preserve">. Specifically: </w:t>
      </w:r>
    </w:p>
    <w:p w14:paraId="4C8F4753" w14:textId="77777777" w:rsidR="00B47F67" w:rsidRDefault="00B47F67" w:rsidP="00B47F67">
      <w:pPr>
        <w:ind w:firstLine="720"/>
      </w:pPr>
      <w:r>
        <w:t xml:space="preserve">8. Invest and collaborate in further digital innovation, </w:t>
      </w:r>
      <w:proofErr w:type="gramStart"/>
      <w:r>
        <w:t>deployment</w:t>
      </w:r>
      <w:proofErr w:type="gramEnd"/>
      <w:r>
        <w:t xml:space="preserve"> and adoption. </w:t>
      </w:r>
    </w:p>
    <w:p w14:paraId="1C4E0D9E" w14:textId="7EA79344" w:rsidR="00B47F67" w:rsidRDefault="00B47F67" w:rsidP="00B47F67">
      <w:pPr>
        <w:ind w:firstLine="720"/>
      </w:pPr>
      <w:r>
        <w:t>9. Intensify work with partners to lower global barriers to digital trade and innovation.</w:t>
      </w:r>
    </w:p>
    <w:p w14:paraId="0790D179" w14:textId="77777777" w:rsidR="004D1197" w:rsidRDefault="004D1197" w:rsidP="00B47F67">
      <w:pPr>
        <w:rPr>
          <w:u w:val="single"/>
        </w:rPr>
      </w:pPr>
    </w:p>
    <w:p w14:paraId="42FD82A2" w14:textId="6C0B4632" w:rsidR="00B47F67" w:rsidRDefault="00E47966" w:rsidP="00B47F67">
      <w:pPr>
        <w:rPr>
          <w:u w:val="single"/>
        </w:rPr>
      </w:pPr>
      <w:r w:rsidRPr="00E47966">
        <w:rPr>
          <w:u w:val="single"/>
        </w:rPr>
        <w:t xml:space="preserve">Key considerations </w:t>
      </w:r>
      <w:r>
        <w:rPr>
          <w:u w:val="single"/>
        </w:rPr>
        <w:t>-</w:t>
      </w:r>
      <w:r w:rsidRPr="00E47966">
        <w:rPr>
          <w:u w:val="single"/>
        </w:rPr>
        <w:t xml:space="preserve"> FS </w:t>
      </w:r>
      <w:r>
        <w:rPr>
          <w:u w:val="single"/>
        </w:rPr>
        <w:t>industry</w:t>
      </w:r>
      <w:r w:rsidRPr="00E47966">
        <w:rPr>
          <w:u w:val="single"/>
        </w:rPr>
        <w:t xml:space="preserve"> </w:t>
      </w:r>
      <w:r>
        <w:rPr>
          <w:u w:val="single"/>
        </w:rPr>
        <w:t xml:space="preserve">priorities </w:t>
      </w:r>
      <w:r w:rsidRPr="00E47966">
        <w:rPr>
          <w:u w:val="single"/>
        </w:rPr>
        <w:t>for a renewed Digital Finance Action Plan</w:t>
      </w:r>
    </w:p>
    <w:p w14:paraId="1A880F59" w14:textId="2B53FE3A" w:rsidR="00E0255A" w:rsidRDefault="00E47966" w:rsidP="00E47966">
      <w:r w:rsidRPr="005A1923">
        <w:rPr>
          <w:b/>
          <w:bCs/>
        </w:rPr>
        <w:t>Level the playing field</w:t>
      </w:r>
    </w:p>
    <w:p w14:paraId="7C995BBA" w14:textId="5629BEC2" w:rsidR="00FE7299" w:rsidRDefault="00A15673" w:rsidP="00E47966">
      <w:r>
        <w:t xml:space="preserve">Currently, the pace and differing interpretation of EU policies applicable to this industry are unsustainable for new entrants and small companies. </w:t>
      </w:r>
    </w:p>
    <w:p w14:paraId="32393F3A" w14:textId="088F1E8A" w:rsidR="00E47966" w:rsidRDefault="00FE7299" w:rsidP="00E47966">
      <w:r>
        <w:t>E</w:t>
      </w:r>
      <w:r w:rsidR="00E47966">
        <w:t>xample</w:t>
      </w:r>
      <w:r>
        <w:t xml:space="preserve">: </w:t>
      </w:r>
      <w:r w:rsidR="00E47966">
        <w:t xml:space="preserve">a German </w:t>
      </w:r>
      <w:proofErr w:type="spellStart"/>
      <w:r w:rsidR="006A1493">
        <w:t>neo</w:t>
      </w:r>
      <w:r w:rsidR="00E47966">
        <w:t>bank</w:t>
      </w:r>
      <w:proofErr w:type="spellEnd"/>
      <w:r w:rsidR="00E47966">
        <w:t xml:space="preserve"> can offer products to Irish consumers, but if they were an Irish company, they would not be able to offer products to German consumers. </w:t>
      </w:r>
      <w:r w:rsidR="00A15673">
        <w:t xml:space="preserve">Differences in national rules have a direct, immediate impact on Europe’s single market for financial services. </w:t>
      </w:r>
    </w:p>
    <w:p w14:paraId="593B7028" w14:textId="3957322A" w:rsidR="00E47966" w:rsidRDefault="00A15673" w:rsidP="00E47966">
      <w:r>
        <w:t>Harmonisation across national lines is important</w:t>
      </w:r>
      <w:r w:rsidR="00E47966">
        <w:t xml:space="preserve">. </w:t>
      </w:r>
      <w:r w:rsidR="006038E6">
        <w:t xml:space="preserve">The </w:t>
      </w:r>
      <w:r w:rsidR="006038E6" w:rsidRPr="006038E6">
        <w:t>EU has both a Euro/Non</w:t>
      </w:r>
      <w:r w:rsidR="006038E6">
        <w:t>-</w:t>
      </w:r>
      <w:r w:rsidR="006038E6" w:rsidRPr="006038E6">
        <w:t xml:space="preserve">Euro denominated area. </w:t>
      </w:r>
      <w:r w:rsidR="006038E6">
        <w:t>The development of</w:t>
      </w:r>
      <w:r w:rsidR="006038E6" w:rsidRPr="006038E6">
        <w:t xml:space="preserve"> a Euro currency Fintech sandbox where there is closer alignment on monies in/out</w:t>
      </w:r>
      <w:r w:rsidR="006038E6">
        <w:t xml:space="preserve"> would be helpful to industry.</w:t>
      </w:r>
      <w:r>
        <w:t xml:space="preserve"> </w:t>
      </w:r>
      <w:r w:rsidR="006038E6">
        <w:t>It</w:t>
      </w:r>
      <w:r>
        <w:t xml:space="preserve"> would </w:t>
      </w:r>
      <w:r w:rsidR="006038E6">
        <w:t>help to level</w:t>
      </w:r>
      <w:r>
        <w:t xml:space="preserve"> the playing field for new entrants. </w:t>
      </w:r>
      <w:r w:rsidR="005F67BD">
        <w:t>It is important to note however, that the popular and</w:t>
      </w:r>
      <w:r>
        <w:t xml:space="preserve"> oft-cited </w:t>
      </w:r>
      <w:r w:rsidR="003F7EA0">
        <w:t xml:space="preserve">successful </w:t>
      </w:r>
      <w:r>
        <w:t>examples</w:t>
      </w:r>
      <w:r w:rsidR="005F67BD">
        <w:t xml:space="preserve"> of Fintech sandboxes</w:t>
      </w:r>
      <w:r>
        <w:t xml:space="preserve"> </w:t>
      </w:r>
      <w:r w:rsidR="003F7EA0">
        <w:t>have been</w:t>
      </w:r>
      <w:r>
        <w:t xml:space="preserve"> </w:t>
      </w:r>
      <w:proofErr w:type="gramStart"/>
      <w:r>
        <w:t>nationally-focussed</w:t>
      </w:r>
      <w:proofErr w:type="gramEnd"/>
      <w:r w:rsidR="005F67BD">
        <w:t xml:space="preserve">. This has enabled </w:t>
      </w:r>
      <w:r>
        <w:t xml:space="preserve">a </w:t>
      </w:r>
      <w:r w:rsidR="006038E6">
        <w:t>very</w:t>
      </w:r>
      <w:r>
        <w:t xml:space="preserve"> hands-on approach by regulatory authorities. A European-level sandbox would have far-reaching consequences for the EU-27, and </w:t>
      </w:r>
      <w:r w:rsidR="0094538E">
        <w:t xml:space="preserve">the guiding role of the regulator could </w:t>
      </w:r>
      <w:r w:rsidR="00FE7299">
        <w:t>prove more challenging</w:t>
      </w:r>
      <w:r w:rsidR="0094538E">
        <w:t xml:space="preserve"> to implement</w:t>
      </w:r>
      <w:r w:rsidR="00FE7299">
        <w:t>. A</w:t>
      </w:r>
      <w:r>
        <w:t>ppropriate controls would need to be in place</w:t>
      </w:r>
      <w:r w:rsidR="00FE7299">
        <w:t xml:space="preserve">, striking a balance between the need to develop new entrants at a reasonable pace, and the very open nature and implications for the Single Market of </w:t>
      </w:r>
      <w:r w:rsidR="00311CCA">
        <w:t>this kind of</w:t>
      </w:r>
      <w:r w:rsidR="00FE7299">
        <w:t xml:space="preserve"> pipeline.</w:t>
      </w:r>
      <w:r w:rsidR="003F7EA0">
        <w:t xml:space="preserve"> </w:t>
      </w:r>
    </w:p>
    <w:p w14:paraId="21DCEDF5" w14:textId="1C021EE2" w:rsidR="00311CCA" w:rsidRDefault="00311CCA" w:rsidP="00E47966">
      <w:r>
        <w:t xml:space="preserve">Lastly, the consideration of an EU sandbox should address the current challenge for new entrants when leaving the </w:t>
      </w:r>
      <w:r w:rsidR="005F67BD">
        <w:t xml:space="preserve">incubatory </w:t>
      </w:r>
      <w:r>
        <w:t>process. There is a large gap between leaving the sandbox and entering the market as a fledgling, and many companies and opportunities are</w:t>
      </w:r>
      <w:r w:rsidR="00316D20">
        <w:t xml:space="preserve"> unfairly</w:t>
      </w:r>
      <w:r>
        <w:t xml:space="preserve"> lost as a result. A continued remote engagement tool of some kind is needed, to ensure that</w:t>
      </w:r>
      <w:r w:rsidR="00316D20">
        <w:t xml:space="preserve"> viable</w:t>
      </w:r>
      <w:r>
        <w:t xml:space="preserve"> companies</w:t>
      </w:r>
      <w:r w:rsidR="00316D20">
        <w:t xml:space="preserve"> can survive their first few years</w:t>
      </w:r>
      <w:r>
        <w:t>.</w:t>
      </w:r>
    </w:p>
    <w:p w14:paraId="46BF54A0" w14:textId="7FCB5B08" w:rsidR="00E0255A" w:rsidRDefault="004E14F8" w:rsidP="004E14F8">
      <w:r w:rsidRPr="005A1923">
        <w:rPr>
          <w:b/>
          <w:bCs/>
        </w:rPr>
        <w:t>Identity Services</w:t>
      </w:r>
    </w:p>
    <w:p w14:paraId="77F96513" w14:textId="48AE9F2F" w:rsidR="004E14F8" w:rsidRDefault="004E14F8" w:rsidP="004E14F8">
      <w:r>
        <w:t>We need a common, accepted Digital ID approach</w:t>
      </w:r>
      <w:r w:rsidR="00DA7AA7">
        <w:t xml:space="preserve"> in Europe</w:t>
      </w:r>
      <w:r>
        <w:t xml:space="preserve">. </w:t>
      </w:r>
      <w:proofErr w:type="gramStart"/>
      <w:r>
        <w:t>At the moment</w:t>
      </w:r>
      <w:proofErr w:type="gramEnd"/>
      <w:r>
        <w:t xml:space="preserve">, </w:t>
      </w:r>
      <w:r w:rsidR="00D308EA">
        <w:t>Member States are at different stages of developme</w:t>
      </w:r>
      <w:r w:rsidR="00DA7AA7">
        <w:t>nt. F</w:t>
      </w:r>
      <w:r w:rsidR="00210CDC">
        <w:t xml:space="preserve">inancial services companies </w:t>
      </w:r>
      <w:r w:rsidR="00AD0FDD">
        <w:t>mainly require and use</w:t>
      </w:r>
      <w:r w:rsidR="00210CDC">
        <w:t xml:space="preserve"> these</w:t>
      </w:r>
      <w:r w:rsidR="00AD0FDD">
        <w:t xml:space="preserve"> as part of </w:t>
      </w:r>
      <w:r w:rsidR="00210CDC">
        <w:t>Customer Due Diligence</w:t>
      </w:r>
      <w:r w:rsidR="00AD0FDD">
        <w:t xml:space="preserve"> under </w:t>
      </w:r>
      <w:r w:rsidR="00210CDC">
        <w:t>Anti-Money Laundering rules</w:t>
      </w:r>
      <w:r>
        <w:t xml:space="preserve">. </w:t>
      </w:r>
      <w:r w:rsidR="00210CDC">
        <w:t>Heavy reliance</w:t>
      </w:r>
      <w:r>
        <w:t xml:space="preserve"> on a paper-based system, using corporate documents or passports to verify identities, etc. </w:t>
      </w:r>
      <w:r w:rsidR="00210CDC">
        <w:t xml:space="preserve">is not reconcilable with the global, increasingly digital nature of the industry. Ultimately, digital identity will be required for the provision of end-to-end financial services to a global client base. </w:t>
      </w:r>
      <w:r w:rsidR="00DA7AA7">
        <w:t xml:space="preserve">The Action Plan must acknowledge </w:t>
      </w:r>
      <w:r w:rsidR="00B2026B">
        <w:t>this and</w:t>
      </w:r>
      <w:r w:rsidR="00DA7AA7">
        <w:t xml:space="preserve"> </w:t>
      </w:r>
      <w:r w:rsidR="00155E08">
        <w:t>should announce a move away from</w:t>
      </w:r>
      <w:r w:rsidR="00DA7AA7">
        <w:t xml:space="preserve"> </w:t>
      </w:r>
      <w:r w:rsidR="00210CDC">
        <w:t xml:space="preserve">the traditional assumption that </w:t>
      </w:r>
      <w:r w:rsidR="00B2026B">
        <w:t xml:space="preserve">all </w:t>
      </w:r>
      <w:r w:rsidR="00210CDC">
        <w:t xml:space="preserve">transactions are face-to-face. </w:t>
      </w:r>
      <w:r w:rsidR="00AD77EA">
        <w:t xml:space="preserve">In turn, this will pave the way for easier cross-border access to products for consumers, </w:t>
      </w:r>
      <w:r w:rsidR="00DA2FB6">
        <w:t>e.g.</w:t>
      </w:r>
      <w:r w:rsidR="00AD77EA">
        <w:t xml:space="preserve"> app-based financial services. </w:t>
      </w:r>
      <w:r w:rsidR="00210CDC">
        <w:t>A</w:t>
      </w:r>
      <w:r w:rsidR="006A1493">
        <w:t>n acceptable</w:t>
      </w:r>
      <w:r>
        <w:t xml:space="preserve"> </w:t>
      </w:r>
      <w:r w:rsidR="00210CDC">
        <w:t xml:space="preserve">digital </w:t>
      </w:r>
      <w:r>
        <w:t>solution</w:t>
      </w:r>
      <w:r w:rsidR="006A1493">
        <w:t xml:space="preserve"> </w:t>
      </w:r>
      <w:r>
        <w:t xml:space="preserve">will pave the way for a true Single Market for Digital </w:t>
      </w:r>
      <w:r w:rsidR="00210CDC">
        <w:t>financial services</w:t>
      </w:r>
      <w:r w:rsidR="00E0255A">
        <w:t>.</w:t>
      </w:r>
    </w:p>
    <w:p w14:paraId="336CDB5A" w14:textId="77777777" w:rsidR="00E0255A" w:rsidRDefault="004E14F8" w:rsidP="004E14F8">
      <w:r w:rsidRPr="005A1923">
        <w:rPr>
          <w:b/>
          <w:bCs/>
        </w:rPr>
        <w:t>Supervisory Technology</w:t>
      </w:r>
      <w:r>
        <w:t xml:space="preserve"> </w:t>
      </w:r>
    </w:p>
    <w:p w14:paraId="4D0F807A" w14:textId="7FD2361E" w:rsidR="004E14F8" w:rsidRDefault="004E14F8" w:rsidP="004E14F8">
      <w:r>
        <w:t xml:space="preserve">National Competent Authorities are about to be hit with a massive wave of data. They will falter if they do not have the right technological solutions to manage and harness this data in their decision-making. </w:t>
      </w:r>
      <w:r w:rsidR="00AD0FDD">
        <w:t>It is a potential risk for industry and consumers.</w:t>
      </w:r>
    </w:p>
    <w:p w14:paraId="35503E2A" w14:textId="59C0B23F" w:rsidR="004D1197" w:rsidRDefault="004D1197" w:rsidP="00E47966">
      <w:pPr>
        <w:rPr>
          <w:b/>
          <w:bCs/>
        </w:rPr>
      </w:pPr>
    </w:p>
    <w:p w14:paraId="508309EE" w14:textId="77777777" w:rsidR="004D1197" w:rsidRDefault="004D1197" w:rsidP="00E47966">
      <w:pPr>
        <w:rPr>
          <w:b/>
          <w:bCs/>
        </w:rPr>
      </w:pPr>
    </w:p>
    <w:p w14:paraId="76BA0051" w14:textId="1F8B1278" w:rsidR="00E0255A" w:rsidRDefault="00E47966" w:rsidP="00E47966">
      <w:r w:rsidRPr="005A1923">
        <w:rPr>
          <w:b/>
          <w:bCs/>
        </w:rPr>
        <w:t>Regulation</w:t>
      </w:r>
      <w:r>
        <w:t xml:space="preserve"> </w:t>
      </w:r>
    </w:p>
    <w:p w14:paraId="18AA7957" w14:textId="16C110C5" w:rsidR="00E0255A" w:rsidRDefault="00E0255A" w:rsidP="00E0255A">
      <w:pPr>
        <w:pStyle w:val="ListParagraph"/>
        <w:numPr>
          <w:ilvl w:val="0"/>
          <w:numId w:val="3"/>
        </w:numPr>
      </w:pPr>
      <w:r>
        <w:t xml:space="preserve">A different approach is needed to cater to digital financial services. Regulation cannot and will not keep pace with digital innovation. It must </w:t>
      </w:r>
      <w:r w:rsidR="00E47966">
        <w:t xml:space="preserve">be written in acknowledgement of </w:t>
      </w:r>
      <w:r>
        <w:t>this pace, among large and small actors in the market</w:t>
      </w:r>
      <w:r w:rsidR="00E47966">
        <w:t xml:space="preserve">. </w:t>
      </w:r>
    </w:p>
    <w:p w14:paraId="584A916F" w14:textId="0C17C707" w:rsidR="00E47966" w:rsidRDefault="00E47966" w:rsidP="00E0255A">
      <w:pPr>
        <w:pStyle w:val="ListParagraph"/>
        <w:numPr>
          <w:ilvl w:val="0"/>
          <w:numId w:val="3"/>
        </w:numPr>
      </w:pPr>
      <w:r>
        <w:t xml:space="preserve">Regulation must also acknowledge </w:t>
      </w:r>
      <w:r w:rsidR="007D76EA">
        <w:t>the level of</w:t>
      </w:r>
      <w:r>
        <w:t xml:space="preserve"> investment of energy and resources, and a high degree of failure</w:t>
      </w:r>
      <w:r w:rsidR="00C24736">
        <w:t xml:space="preserve"> that comes with innovation. </w:t>
      </w:r>
      <w:r w:rsidR="005D6045">
        <w:t xml:space="preserve">The burden is too heavy for new entrants at present. A light-touch, risk-based approach is needed for new entrants. </w:t>
      </w:r>
    </w:p>
    <w:p w14:paraId="36D40A46" w14:textId="28133343" w:rsidR="00E0255A" w:rsidRDefault="00E0255A" w:rsidP="00E0255A">
      <w:pPr>
        <w:pStyle w:val="ListParagraph"/>
        <w:numPr>
          <w:ilvl w:val="0"/>
          <w:numId w:val="3"/>
        </w:numPr>
      </w:pPr>
      <w:r>
        <w:t xml:space="preserve">There are very different approaches taken by regulatory authorities across Europe at present regarding the relationship between data protection and anti-money laundering rules. Industry is receiving mixed messages on </w:t>
      </w:r>
      <w:r w:rsidR="007D76EA">
        <w:t xml:space="preserve">how these requirements inter-relate in day-to-day compliance. </w:t>
      </w:r>
      <w:r w:rsidR="003F7EA0">
        <w:t>This is a problem common to all Member States and therefore requires an EU solution.</w:t>
      </w:r>
    </w:p>
    <w:p w14:paraId="22A3DE5C" w14:textId="77777777" w:rsidR="00E0255A" w:rsidRDefault="00E47966" w:rsidP="00E47966">
      <w:r w:rsidRPr="005A1923">
        <w:rPr>
          <w:b/>
          <w:bCs/>
        </w:rPr>
        <w:t>Education</w:t>
      </w:r>
      <w:r>
        <w:t xml:space="preserve"> </w:t>
      </w:r>
    </w:p>
    <w:p w14:paraId="5E6998A2" w14:textId="765F1375" w:rsidR="00E47966" w:rsidRDefault="00E0255A" w:rsidP="00E47966">
      <w:r>
        <w:t>S</w:t>
      </w:r>
      <w:r w:rsidR="00E47966">
        <w:t xml:space="preserve">uccessful financial services companies </w:t>
      </w:r>
      <w:r w:rsidR="00F206EF">
        <w:t>often</w:t>
      </w:r>
      <w:r w:rsidR="00E47966">
        <w:t xml:space="preserve"> have close connections with their nearby educational institutions and authorities. </w:t>
      </w:r>
      <w:r w:rsidR="00AD0FDD">
        <w:t xml:space="preserve">This will be an important piece to build into an EU-level action plan. Acknowledge the role of education – and engagement between industry, </w:t>
      </w:r>
      <w:proofErr w:type="gramStart"/>
      <w:r w:rsidR="00AD0FDD">
        <w:t>regulators</w:t>
      </w:r>
      <w:proofErr w:type="gramEnd"/>
      <w:r w:rsidR="00AD0FDD">
        <w:t xml:space="preserve"> and educational institutions - to keep </w:t>
      </w:r>
      <w:r w:rsidR="00DB01E4">
        <w:t xml:space="preserve">a strong digital/cyber/technology </w:t>
      </w:r>
      <w:r w:rsidR="00AD0FDD">
        <w:t>skills pipeline in place</w:t>
      </w:r>
      <w:r w:rsidR="00E47966">
        <w:t xml:space="preserve">. </w:t>
      </w:r>
    </w:p>
    <w:p w14:paraId="722A37FA" w14:textId="217165F2" w:rsidR="006F3438" w:rsidRDefault="006F3438" w:rsidP="00E47966">
      <w:r>
        <w:t xml:space="preserve">This is particularly important in the context of the ever-increasing need for </w:t>
      </w:r>
      <w:r w:rsidR="00B226EC">
        <w:t xml:space="preserve">cyber resilience and </w:t>
      </w:r>
      <w:r>
        <w:t>cybersecurity skills</w:t>
      </w:r>
      <w:r w:rsidR="00DB01E4">
        <w:t xml:space="preserve">. </w:t>
      </w:r>
      <w:r w:rsidR="00913309">
        <w:t>Regarding the latter, i</w:t>
      </w:r>
      <w:r w:rsidR="00DB01E4">
        <w:t xml:space="preserve">nternational threats to </w:t>
      </w:r>
      <w:r>
        <w:t>consumers, and public and private institutions</w:t>
      </w:r>
      <w:r w:rsidR="00DB01E4">
        <w:t xml:space="preserve"> will continue to increase</w:t>
      </w:r>
      <w:r>
        <w:t xml:space="preserve">. </w:t>
      </w:r>
      <w:r w:rsidR="005D51A5">
        <w:t>Many</w:t>
      </w:r>
      <w:r>
        <w:t xml:space="preserve"> jurisdictions are </w:t>
      </w:r>
      <w:r w:rsidR="005D51A5">
        <w:t xml:space="preserve">strategically </w:t>
      </w:r>
      <w:r>
        <w:t>investing</w:t>
      </w:r>
      <w:r w:rsidR="005D51A5">
        <w:t xml:space="preserve"> </w:t>
      </w:r>
      <w:r>
        <w:t>huge amounts</w:t>
      </w:r>
      <w:r w:rsidR="005D51A5">
        <w:t xml:space="preserve"> </w:t>
      </w:r>
      <w:r>
        <w:t>resources in</w:t>
      </w:r>
      <w:r w:rsidR="00F206EF">
        <w:t xml:space="preserve"> </w:t>
      </w:r>
      <w:r w:rsidR="005D51A5">
        <w:t xml:space="preserve">cybersecurity </w:t>
      </w:r>
      <w:r>
        <w:t>skills, and Europe must take a globally leading role t</w:t>
      </w:r>
      <w:r w:rsidR="00605C24">
        <w:t>oo.</w:t>
      </w:r>
      <w:r w:rsidR="00B407DD">
        <w:t xml:space="preserve"> At present, the development of expert skills in this space happens in an uncoordinated way. The Action Plan will be a useful place in which to commit to a more co-ordinated, strategic approach</w:t>
      </w:r>
      <w:r w:rsidR="00913309">
        <w:t xml:space="preserve"> with the </w:t>
      </w:r>
      <w:proofErr w:type="gramStart"/>
      <w:r w:rsidR="00913309">
        <w:t>ultimate aim</w:t>
      </w:r>
      <w:proofErr w:type="gramEnd"/>
      <w:r w:rsidR="00913309">
        <w:t xml:space="preserve"> of developing our local skills pipeline</w:t>
      </w:r>
      <w:r w:rsidR="00B407DD">
        <w:t>.</w:t>
      </w:r>
    </w:p>
    <w:p w14:paraId="52BAE021" w14:textId="4ECC6D02" w:rsidR="00605C24" w:rsidRDefault="00605C24" w:rsidP="00E47966">
      <w:r>
        <w:t xml:space="preserve">It is also through </w:t>
      </w:r>
      <w:r w:rsidR="00CF5620">
        <w:t>industry-education-regulator</w:t>
      </w:r>
      <w:r w:rsidR="00B129FC">
        <w:t>y</w:t>
      </w:r>
      <w:r w:rsidR="00CF5620">
        <w:t xml:space="preserve"> </w:t>
      </w:r>
      <w:r>
        <w:t xml:space="preserve">partnerships that we can diversify the supply of </w:t>
      </w:r>
      <w:r w:rsidR="00913309">
        <w:t>talent for our digital future</w:t>
      </w:r>
      <w:r w:rsidR="00F434F0">
        <w:t>. This includes the provision of opportunities for minorities, and</w:t>
      </w:r>
      <w:r w:rsidR="000008C3">
        <w:t xml:space="preserve"> new access points for mid-career professionals who </w:t>
      </w:r>
      <w:r w:rsidR="00F206EF">
        <w:t xml:space="preserve">can </w:t>
      </w:r>
      <w:r w:rsidR="000008C3">
        <w:t>find it challen</w:t>
      </w:r>
      <w:r w:rsidR="00F434F0">
        <w:t>g</w:t>
      </w:r>
      <w:r w:rsidR="000008C3">
        <w:t xml:space="preserve">ing to </w:t>
      </w:r>
      <w:r w:rsidR="00F206EF">
        <w:t>re-</w:t>
      </w:r>
      <w:r w:rsidR="000008C3">
        <w:t xml:space="preserve">join </w:t>
      </w:r>
      <w:r w:rsidR="00F206EF">
        <w:t xml:space="preserve">the workforce after </w:t>
      </w:r>
      <w:r w:rsidR="00EC150C">
        <w:t xml:space="preserve">an </w:t>
      </w:r>
      <w:r w:rsidR="00F206EF">
        <w:t>absence</w:t>
      </w:r>
      <w:r w:rsidR="000008C3">
        <w:t>.</w:t>
      </w:r>
      <w:r w:rsidR="00DB01E4">
        <w:t xml:space="preserve"> </w:t>
      </w:r>
      <w:r w:rsidR="00F206EF">
        <w:t xml:space="preserve">There are specific, proven examples of this in many European Member States. Ireland for example, has an International Financial Services Apprenticeship Programme for school leavers, </w:t>
      </w:r>
      <w:proofErr w:type="gramStart"/>
      <w:r w:rsidR="00F206EF">
        <w:t>graduates</w:t>
      </w:r>
      <w:proofErr w:type="gramEnd"/>
      <w:r w:rsidR="00F206EF">
        <w:t xml:space="preserve"> and career-changers. </w:t>
      </w:r>
      <w:r w:rsidR="007E63BF">
        <w:t>P</w:t>
      </w:r>
      <w:r w:rsidR="00F206EF">
        <w:t xml:space="preserve">rogrammes such as this </w:t>
      </w:r>
      <w:r w:rsidR="007E63BF">
        <w:t xml:space="preserve">already </w:t>
      </w:r>
      <w:r w:rsidR="00F206EF">
        <w:t>receive EU funding,</w:t>
      </w:r>
      <w:r w:rsidR="007E63BF">
        <w:t xml:space="preserve"> but</w:t>
      </w:r>
      <w:r w:rsidR="00F206EF">
        <w:t xml:space="preserve"> the Digital Finance Action Plan ought to enshrine and promote these initiatives as </w:t>
      </w:r>
      <w:r w:rsidR="007E63BF">
        <w:t xml:space="preserve">an enabling </w:t>
      </w:r>
      <w:r w:rsidR="00F206EF">
        <w:t xml:space="preserve">part of Europe’s digital future. </w:t>
      </w:r>
    </w:p>
    <w:p w14:paraId="4C8799AE" w14:textId="77777777" w:rsidR="008C7E40" w:rsidRDefault="008C7E40" w:rsidP="008C7E40">
      <w:pPr>
        <w:rPr>
          <w:b/>
          <w:bCs/>
        </w:rPr>
      </w:pPr>
      <w:r w:rsidRPr="005A1923">
        <w:rPr>
          <w:b/>
          <w:bCs/>
        </w:rPr>
        <w:t xml:space="preserve">Digital currency </w:t>
      </w:r>
    </w:p>
    <w:p w14:paraId="091F92C3" w14:textId="77777777" w:rsidR="008C7E40" w:rsidRPr="004E14F8" w:rsidRDefault="008C7E40" w:rsidP="008C7E40">
      <w:pPr>
        <w:rPr>
          <w:highlight w:val="yellow"/>
        </w:rPr>
      </w:pPr>
      <w:r w:rsidRPr="004E14F8">
        <w:t>W</w:t>
      </w:r>
      <w:r>
        <w:t>e</w:t>
      </w:r>
      <w:r w:rsidRPr="004E14F8">
        <w:t xml:space="preserve"> need to be ambitious about the development of a digital currenc</w:t>
      </w:r>
      <w:r>
        <w:t>y. A digital euro is rightly on the agenda, but we need to consider being more ambitious and aiming for sponsoring a global digital currency.</w:t>
      </w:r>
      <w:r w:rsidRPr="004E14F8">
        <w:t xml:space="preserve"> The EU is uniquely placed to play a leadership role, which will not be assumed by any other major jurisdiction at this time.</w:t>
      </w:r>
      <w:r>
        <w:t xml:space="preserve"> The IMF Special Drawing Right (SDR) is an ideal starting place.</w:t>
      </w:r>
    </w:p>
    <w:p w14:paraId="779FF55E" w14:textId="77777777" w:rsidR="006C0348" w:rsidRDefault="006C0348" w:rsidP="008C7E40">
      <w:pPr>
        <w:rPr>
          <w:b/>
          <w:bCs/>
        </w:rPr>
      </w:pPr>
    </w:p>
    <w:p w14:paraId="48C1C89D" w14:textId="77777777" w:rsidR="006C0348" w:rsidRDefault="006C0348" w:rsidP="008C7E40">
      <w:pPr>
        <w:rPr>
          <w:b/>
          <w:bCs/>
        </w:rPr>
      </w:pPr>
    </w:p>
    <w:p w14:paraId="4426058F" w14:textId="77777777" w:rsidR="006C0348" w:rsidRDefault="006C0348" w:rsidP="008C7E40">
      <w:pPr>
        <w:rPr>
          <w:b/>
          <w:bCs/>
        </w:rPr>
      </w:pPr>
    </w:p>
    <w:p w14:paraId="1B4E018F" w14:textId="4D39F983" w:rsidR="008C7E40" w:rsidRDefault="008C7E40" w:rsidP="008C7E40">
      <w:r w:rsidRPr="005A1923">
        <w:rPr>
          <w:b/>
          <w:bCs/>
        </w:rPr>
        <w:t>Sustainability</w:t>
      </w:r>
      <w:r>
        <w:t xml:space="preserve"> </w:t>
      </w:r>
    </w:p>
    <w:p w14:paraId="1A9E7FB4" w14:textId="5C72323B" w:rsidR="008C7E40" w:rsidRDefault="005A1923" w:rsidP="008C7E40">
      <w:r>
        <w:t>We must not</w:t>
      </w:r>
      <w:r w:rsidR="008C7E40">
        <w:t xml:space="preserve"> automatically assume</w:t>
      </w:r>
      <w:r>
        <w:t xml:space="preserve"> that</w:t>
      </w:r>
      <w:r w:rsidR="008C7E40">
        <w:t xml:space="preserve"> digital finance will offer </w:t>
      </w:r>
      <w:r w:rsidR="00B129FC">
        <w:t xml:space="preserve">sustainability: </w:t>
      </w:r>
      <w:r w:rsidR="008C7E40">
        <w:t>we must incentivise business to include sustainability targets within their innovation projects. The two do not marry automatically.</w:t>
      </w:r>
      <w:r w:rsidR="00B97DFA">
        <w:t xml:space="preserve"> </w:t>
      </w:r>
      <w:r w:rsidR="00D5502D">
        <w:t>DG FISMA’s</w:t>
      </w:r>
      <w:r w:rsidR="00B97DFA">
        <w:t xml:space="preserve"> planned integration of the Sustainable Finance and Digital Finance Action Plans in 2020 must be done in concert with industry to ensure a workable approach.</w:t>
      </w:r>
    </w:p>
    <w:sectPr w:rsidR="008C7E40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EFAEE" w14:textId="77777777" w:rsidR="000705FA" w:rsidRDefault="000705FA" w:rsidP="00B47F67">
      <w:pPr>
        <w:spacing w:after="0" w:line="240" w:lineRule="auto"/>
      </w:pPr>
      <w:r>
        <w:separator/>
      </w:r>
    </w:p>
  </w:endnote>
  <w:endnote w:type="continuationSeparator" w:id="0">
    <w:p w14:paraId="2E6267D1" w14:textId="77777777" w:rsidR="000705FA" w:rsidRDefault="000705FA" w:rsidP="00B4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6880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CE2F7" w14:textId="1B20D97D" w:rsidR="006C0348" w:rsidRDefault="006C0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EABE86" w14:textId="77777777" w:rsidR="006C0348" w:rsidRDefault="006C03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E8C8C" w14:textId="77777777" w:rsidR="000705FA" w:rsidRDefault="000705FA" w:rsidP="00B47F67">
      <w:pPr>
        <w:spacing w:after="0" w:line="240" w:lineRule="auto"/>
      </w:pPr>
      <w:r>
        <w:separator/>
      </w:r>
    </w:p>
  </w:footnote>
  <w:footnote w:type="continuationSeparator" w:id="0">
    <w:p w14:paraId="4AB14D52" w14:textId="77777777" w:rsidR="000705FA" w:rsidRDefault="000705FA" w:rsidP="00B47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D0C98" w14:textId="0B9F770F" w:rsidR="00B47F67" w:rsidRDefault="00B47F67">
    <w:pPr>
      <w:pStyle w:val="Header"/>
    </w:pPr>
    <w:r>
      <w:t xml:space="preserve">Digital Finance </w:t>
    </w:r>
    <w:r w:rsidR="0045038D">
      <w:tab/>
      <w:t xml:space="preserve">           </w:t>
    </w:r>
    <w:r w:rsidR="005A1923">
      <w:t>S</w:t>
    </w:r>
    <w:r w:rsidR="0045038D">
      <w:t>ubmission</w:t>
    </w:r>
    <w:r>
      <w:t xml:space="preserve"> to EC </w:t>
    </w:r>
    <w:r w:rsidR="005A1923">
      <w:t xml:space="preserve">Action Plan </w:t>
    </w:r>
    <w:r w:rsidR="00E37A59">
      <w:t xml:space="preserve">June </w:t>
    </w:r>
    <w:r>
      <w:t>2020</w:t>
    </w:r>
    <w:r w:rsidR="009924EF">
      <w:t xml:space="preserve">                           </w:t>
    </w:r>
    <w:r w:rsidR="009924EF">
      <w:rPr>
        <w:noProof/>
      </w:rPr>
      <w:drawing>
        <wp:inline distT="0" distB="0" distL="0" distR="0" wp14:anchorId="0B2C2C16" wp14:editId="28C43736">
          <wp:extent cx="1190627" cy="5778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07" cy="639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00C605" w14:textId="77777777" w:rsidR="00812D67" w:rsidRDefault="00812D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312AC"/>
    <w:multiLevelType w:val="hybridMultilevel"/>
    <w:tmpl w:val="EFA655C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E28EA"/>
    <w:multiLevelType w:val="hybridMultilevel"/>
    <w:tmpl w:val="5E683984"/>
    <w:lvl w:ilvl="0" w:tplc="6E8E984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62F66"/>
    <w:multiLevelType w:val="hybridMultilevel"/>
    <w:tmpl w:val="1F4C10B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01AAA"/>
    <w:multiLevelType w:val="hybridMultilevel"/>
    <w:tmpl w:val="29982A7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E424B"/>
    <w:multiLevelType w:val="hybridMultilevel"/>
    <w:tmpl w:val="F130547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F67"/>
    <w:rsid w:val="000008C3"/>
    <w:rsid w:val="00016DA4"/>
    <w:rsid w:val="00020D07"/>
    <w:rsid w:val="000705FA"/>
    <w:rsid w:val="000B6044"/>
    <w:rsid w:val="000F33FA"/>
    <w:rsid w:val="0013671F"/>
    <w:rsid w:val="00155E08"/>
    <w:rsid w:val="001D5C3F"/>
    <w:rsid w:val="00210CDC"/>
    <w:rsid w:val="00311CCA"/>
    <w:rsid w:val="00316D20"/>
    <w:rsid w:val="003519E1"/>
    <w:rsid w:val="00361FFB"/>
    <w:rsid w:val="0037242C"/>
    <w:rsid w:val="003B6BED"/>
    <w:rsid w:val="003D0905"/>
    <w:rsid w:val="003E6A50"/>
    <w:rsid w:val="003F7EA0"/>
    <w:rsid w:val="0044168A"/>
    <w:rsid w:val="0045038D"/>
    <w:rsid w:val="00475A91"/>
    <w:rsid w:val="004D1197"/>
    <w:rsid w:val="004E14F8"/>
    <w:rsid w:val="005A1923"/>
    <w:rsid w:val="005D51A5"/>
    <w:rsid w:val="005D6045"/>
    <w:rsid w:val="005E0E41"/>
    <w:rsid w:val="005F67BD"/>
    <w:rsid w:val="005F6812"/>
    <w:rsid w:val="00602FD7"/>
    <w:rsid w:val="006038E6"/>
    <w:rsid w:val="00605C24"/>
    <w:rsid w:val="00664B7D"/>
    <w:rsid w:val="00664F67"/>
    <w:rsid w:val="006677C1"/>
    <w:rsid w:val="006A1493"/>
    <w:rsid w:val="006B65B9"/>
    <w:rsid w:val="006C0348"/>
    <w:rsid w:val="006F3438"/>
    <w:rsid w:val="00726E0B"/>
    <w:rsid w:val="007804C6"/>
    <w:rsid w:val="007B71F5"/>
    <w:rsid w:val="007D76EA"/>
    <w:rsid w:val="007E63BF"/>
    <w:rsid w:val="00812D67"/>
    <w:rsid w:val="00886C61"/>
    <w:rsid w:val="00897A4A"/>
    <w:rsid w:val="008C7E40"/>
    <w:rsid w:val="00913309"/>
    <w:rsid w:val="00941608"/>
    <w:rsid w:val="00941EE3"/>
    <w:rsid w:val="0094538E"/>
    <w:rsid w:val="00950052"/>
    <w:rsid w:val="009870BB"/>
    <w:rsid w:val="009924EF"/>
    <w:rsid w:val="00A15673"/>
    <w:rsid w:val="00A46035"/>
    <w:rsid w:val="00AD0FDD"/>
    <w:rsid w:val="00AD77EA"/>
    <w:rsid w:val="00B129FC"/>
    <w:rsid w:val="00B2026B"/>
    <w:rsid w:val="00B226EC"/>
    <w:rsid w:val="00B407DD"/>
    <w:rsid w:val="00B47F67"/>
    <w:rsid w:val="00B942FE"/>
    <w:rsid w:val="00B97DFA"/>
    <w:rsid w:val="00BA5078"/>
    <w:rsid w:val="00C07393"/>
    <w:rsid w:val="00C24736"/>
    <w:rsid w:val="00CF5620"/>
    <w:rsid w:val="00D308EA"/>
    <w:rsid w:val="00D5502D"/>
    <w:rsid w:val="00DA2FB6"/>
    <w:rsid w:val="00DA7AA7"/>
    <w:rsid w:val="00DB01E4"/>
    <w:rsid w:val="00E0255A"/>
    <w:rsid w:val="00E37A59"/>
    <w:rsid w:val="00E47966"/>
    <w:rsid w:val="00E65D01"/>
    <w:rsid w:val="00EC150C"/>
    <w:rsid w:val="00F206EF"/>
    <w:rsid w:val="00F24ACB"/>
    <w:rsid w:val="00F434F0"/>
    <w:rsid w:val="00FE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07D60"/>
  <w15:chartTrackingRefBased/>
  <w15:docId w15:val="{AA3C4713-E2FC-4D5D-A648-61136B44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7F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F67"/>
  </w:style>
  <w:style w:type="paragraph" w:styleId="Footer">
    <w:name w:val="footer"/>
    <w:basedOn w:val="Normal"/>
    <w:link w:val="FooterChar"/>
    <w:uiPriority w:val="99"/>
    <w:unhideWhenUsed/>
    <w:rsid w:val="00B47F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F67"/>
  </w:style>
  <w:style w:type="paragraph" w:styleId="ListParagraph">
    <w:name w:val="List Paragraph"/>
    <w:basedOn w:val="Normal"/>
    <w:uiPriority w:val="34"/>
    <w:qFormat/>
    <w:rsid w:val="00B47F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7F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7F6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bec.ie/influencing-for-business/ibec-campaigns/brexit-and-the-future-of-europe/europes-digital-future-open-for-busin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Crummy</dc:creator>
  <cp:keywords/>
  <dc:description/>
  <cp:lastModifiedBy>Audrey Crummy</cp:lastModifiedBy>
  <cp:revision>2</cp:revision>
  <dcterms:created xsi:type="dcterms:W3CDTF">2020-06-26T14:24:00Z</dcterms:created>
  <dcterms:modified xsi:type="dcterms:W3CDTF">2020-06-26T14:24:00Z</dcterms:modified>
</cp:coreProperties>
</file>