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DC5A8" w14:textId="5EC86F8B" w:rsidR="0008312E" w:rsidRPr="00E8011B" w:rsidRDefault="00D334E9" w:rsidP="0008312E">
      <w:pPr>
        <w:jc w:val="right"/>
        <w:rPr>
          <w:rFonts w:ascii="Arial" w:hAnsi="Arial" w:cs="Arial"/>
          <w:sz w:val="16"/>
          <w:szCs w:val="16"/>
          <w:lang w:val="en-GB"/>
        </w:rPr>
      </w:pPr>
      <w:bookmarkStart w:id="0" w:name="_Hlk526927391"/>
      <w:r w:rsidRPr="00E8011B">
        <w:rPr>
          <w:rFonts w:ascii="Arial" w:hAnsi="Arial" w:cs="Arial"/>
          <w:sz w:val="16"/>
          <w:szCs w:val="16"/>
          <w:lang w:val="en-GB"/>
        </w:rPr>
        <w:t>26</w:t>
      </w:r>
      <w:r w:rsidR="0008312E" w:rsidRPr="00E8011B">
        <w:rPr>
          <w:rFonts w:ascii="Arial" w:hAnsi="Arial" w:cs="Arial"/>
          <w:sz w:val="16"/>
          <w:szCs w:val="16"/>
          <w:lang w:val="en-GB"/>
        </w:rPr>
        <w:t>.0</w:t>
      </w:r>
      <w:r w:rsidRPr="00E8011B">
        <w:rPr>
          <w:rFonts w:ascii="Arial" w:hAnsi="Arial" w:cs="Arial"/>
          <w:sz w:val="16"/>
          <w:szCs w:val="16"/>
          <w:lang w:val="en-GB"/>
        </w:rPr>
        <w:t>6</w:t>
      </w:r>
      <w:r w:rsidR="0008312E" w:rsidRPr="00E8011B">
        <w:rPr>
          <w:rFonts w:ascii="Arial" w:hAnsi="Arial" w:cs="Arial"/>
          <w:sz w:val="16"/>
          <w:szCs w:val="16"/>
          <w:lang w:val="en-GB"/>
        </w:rPr>
        <w:t>.20</w:t>
      </w:r>
      <w:r w:rsidRPr="00E8011B">
        <w:rPr>
          <w:rFonts w:ascii="Arial" w:hAnsi="Arial" w:cs="Arial"/>
          <w:sz w:val="16"/>
          <w:szCs w:val="16"/>
          <w:lang w:val="en-GB"/>
        </w:rPr>
        <w:t>20</w:t>
      </w:r>
    </w:p>
    <w:p w14:paraId="460D689F" w14:textId="066B1BED" w:rsidR="0008312E" w:rsidRPr="009A3A8A" w:rsidRDefault="0008312E" w:rsidP="00C43F24">
      <w:pPr>
        <w:widowControl w:val="0"/>
        <w:autoSpaceDE w:val="0"/>
        <w:autoSpaceDN w:val="0"/>
        <w:contextualSpacing/>
        <w:rPr>
          <w:rFonts w:ascii="Arial" w:hAnsi="Arial"/>
          <w:color w:val="A04644"/>
          <w:spacing w:val="-10"/>
          <w:kern w:val="28"/>
          <w:sz w:val="48"/>
          <w:szCs w:val="48"/>
          <w:lang w:val="en-GB"/>
        </w:rPr>
      </w:pPr>
      <w:r w:rsidRPr="009A3A8A">
        <w:rPr>
          <w:rFonts w:ascii="Arial" w:hAnsi="Arial"/>
          <w:color w:val="A04644"/>
          <w:spacing w:val="-10"/>
          <w:kern w:val="28"/>
          <w:sz w:val="48"/>
          <w:szCs w:val="48"/>
          <w:lang w:val="en-GB"/>
        </w:rPr>
        <w:t>Report: Data Sharing in Credit Markets: Does comprehensiveness matter?</w:t>
      </w:r>
    </w:p>
    <w:p w14:paraId="1CCE5D9C" w14:textId="77777777" w:rsidR="00E8011B" w:rsidRDefault="00E8011B" w:rsidP="00D334E9">
      <w:pPr>
        <w:widowControl w:val="0"/>
        <w:autoSpaceDE w:val="0"/>
        <w:autoSpaceDN w:val="0"/>
        <w:outlineLvl w:val="1"/>
        <w:rPr>
          <w:rFonts w:ascii="Arial" w:hAnsi="Arial" w:cs="Arial"/>
          <w:color w:val="A04644"/>
          <w:spacing w:val="-10"/>
          <w:kern w:val="28"/>
          <w:sz w:val="28"/>
          <w:szCs w:val="28"/>
          <w:lang w:val="en-GB"/>
        </w:rPr>
      </w:pPr>
    </w:p>
    <w:p w14:paraId="076E5488" w14:textId="7C195B6F" w:rsidR="00D334E9" w:rsidRPr="00D334E9" w:rsidRDefault="00D334E9" w:rsidP="00D334E9">
      <w:pPr>
        <w:widowControl w:val="0"/>
        <w:autoSpaceDE w:val="0"/>
        <w:autoSpaceDN w:val="0"/>
        <w:outlineLvl w:val="1"/>
        <w:rPr>
          <w:rFonts w:ascii="Arial" w:hAnsi="Arial" w:cs="Arial"/>
          <w:color w:val="A04644"/>
          <w:spacing w:val="-10"/>
          <w:kern w:val="28"/>
          <w:sz w:val="28"/>
          <w:szCs w:val="28"/>
          <w:lang w:val="en-GB"/>
        </w:rPr>
      </w:pPr>
      <w:r>
        <w:rPr>
          <w:rFonts w:ascii="Arial" w:hAnsi="Arial" w:cs="Arial"/>
          <w:color w:val="A04644"/>
          <w:spacing w:val="-10"/>
          <w:kern w:val="28"/>
          <w:sz w:val="28"/>
          <w:szCs w:val="28"/>
          <w:lang w:val="en-GB"/>
        </w:rPr>
        <w:t xml:space="preserve">Introduction </w:t>
      </w:r>
    </w:p>
    <w:p w14:paraId="6453C477" w14:textId="77777777" w:rsidR="00D334E9" w:rsidRDefault="00D334E9" w:rsidP="00D334E9">
      <w:pPr>
        <w:rPr>
          <w:rFonts w:ascii="Arial" w:hAnsi="Arial"/>
          <w:b/>
          <w:bCs/>
          <w:color w:val="A04644"/>
          <w:spacing w:val="-10"/>
          <w:kern w:val="28"/>
          <w:sz w:val="36"/>
          <w:szCs w:val="36"/>
          <w:lang w:val="en-GB"/>
        </w:rPr>
      </w:pPr>
    </w:p>
    <w:p w14:paraId="2B489A1A" w14:textId="6223A962" w:rsidR="00D334E9" w:rsidRPr="009A3A8A" w:rsidRDefault="00D334E9" w:rsidP="00D334E9">
      <w:pPr>
        <w:rPr>
          <w:rFonts w:ascii="Arial" w:hAnsi="Arial" w:cs="Arial"/>
          <w:sz w:val="20"/>
          <w:szCs w:val="20"/>
          <w:lang w:val="en-GB"/>
        </w:rPr>
      </w:pPr>
      <w:r>
        <w:rPr>
          <w:rFonts w:ascii="Arial" w:hAnsi="Arial" w:cs="Arial"/>
          <w:sz w:val="20"/>
          <w:szCs w:val="20"/>
          <w:lang w:val="en-GB"/>
        </w:rPr>
        <w:t xml:space="preserve">As background information to the public consultation on an European Data Strategy and for reference, ACCIS would like to bring the European Commission’s attention to an </w:t>
      </w:r>
      <w:r w:rsidRPr="009A3A8A">
        <w:rPr>
          <w:rFonts w:ascii="Arial" w:hAnsi="Arial" w:cs="Arial"/>
          <w:b/>
          <w:bCs/>
          <w:sz w:val="20"/>
          <w:szCs w:val="20"/>
          <w:lang w:val="en-GB"/>
        </w:rPr>
        <w:t>independent</w:t>
      </w:r>
      <w:r w:rsidRPr="009A3A8A">
        <w:rPr>
          <w:rFonts w:ascii="Arial" w:hAnsi="Arial" w:cs="Arial"/>
          <w:sz w:val="20"/>
          <w:szCs w:val="20"/>
          <w:lang w:val="en-GB"/>
        </w:rPr>
        <w:t xml:space="preserve"> study </w:t>
      </w:r>
      <w:r>
        <w:rPr>
          <w:rFonts w:ascii="Arial" w:hAnsi="Arial" w:cs="Arial"/>
          <w:sz w:val="20"/>
          <w:szCs w:val="20"/>
          <w:lang w:val="en-GB"/>
        </w:rPr>
        <w:t xml:space="preserve">prepared by </w:t>
      </w:r>
      <w:r w:rsidRPr="009A3A8A">
        <w:rPr>
          <w:rFonts w:ascii="Arial" w:hAnsi="Arial" w:cs="Arial"/>
          <w:sz w:val="20"/>
          <w:szCs w:val="20"/>
          <w:lang w:val="en-GB"/>
        </w:rPr>
        <w:t>the European Credit Research Institute (ECRI) and the University of Edinburg</w:t>
      </w:r>
      <w:r>
        <w:rPr>
          <w:rFonts w:ascii="Arial" w:hAnsi="Arial" w:cs="Arial"/>
          <w:sz w:val="20"/>
          <w:szCs w:val="20"/>
          <w:lang w:val="en-GB"/>
        </w:rPr>
        <w:t xml:space="preserve">h </w:t>
      </w:r>
      <w:r w:rsidRPr="009A3A8A">
        <w:rPr>
          <w:rFonts w:ascii="Arial" w:hAnsi="Arial" w:cs="Arial"/>
          <w:sz w:val="20"/>
          <w:szCs w:val="20"/>
          <w:lang w:val="en-GB"/>
        </w:rPr>
        <w:t xml:space="preserve">on the relationship between the comprehensiveness of a credit reporting system and the fulfilment of the role of credit reporting. </w:t>
      </w:r>
    </w:p>
    <w:p w14:paraId="1B4C968A" w14:textId="6856EDD3" w:rsidR="00D334E9" w:rsidRDefault="00D334E9" w:rsidP="00D334E9">
      <w:pPr>
        <w:rPr>
          <w:rFonts w:ascii="Arial" w:hAnsi="Arial" w:cs="Arial"/>
          <w:sz w:val="20"/>
          <w:szCs w:val="20"/>
          <w:lang w:val="en-GB"/>
        </w:rPr>
      </w:pPr>
    </w:p>
    <w:p w14:paraId="69EE9A41" w14:textId="2C2E8314" w:rsidR="00E8011B" w:rsidRDefault="00E8011B" w:rsidP="00D334E9">
      <w:pPr>
        <w:rPr>
          <w:rFonts w:ascii="Arial" w:hAnsi="Arial" w:cs="Arial"/>
          <w:sz w:val="20"/>
          <w:szCs w:val="20"/>
          <w:lang w:val="en-GB"/>
        </w:rPr>
      </w:pPr>
      <w:r>
        <w:rPr>
          <w:rFonts w:ascii="Arial" w:hAnsi="Arial" w:cs="Arial"/>
          <w:sz w:val="20"/>
          <w:szCs w:val="20"/>
          <w:lang w:val="en-GB"/>
        </w:rPr>
        <w:t>The report can be found here:</w:t>
      </w:r>
      <w:r w:rsidRPr="00E8011B">
        <w:t xml:space="preserve"> </w:t>
      </w:r>
      <w:hyperlink r:id="rId8" w:history="1">
        <w:r w:rsidRPr="008520BC">
          <w:rPr>
            <w:rStyle w:val="Hyperlink"/>
            <w:rFonts w:ascii="Arial" w:hAnsi="Arial" w:cs="Arial"/>
            <w:sz w:val="20"/>
            <w:szCs w:val="20"/>
            <w:lang w:val="en-GB"/>
          </w:rPr>
          <w:t>http://www.ecri.eu/sites/default/files/accis_ecri-ceps-ue_data_sharing_in_credit_markets-web_0.pdf</w:t>
        </w:r>
      </w:hyperlink>
    </w:p>
    <w:p w14:paraId="5BCB914B" w14:textId="2B91E461" w:rsidR="00E8011B" w:rsidRDefault="00E8011B" w:rsidP="00D334E9">
      <w:pPr>
        <w:rPr>
          <w:rFonts w:ascii="Arial" w:hAnsi="Arial" w:cs="Arial"/>
          <w:sz w:val="20"/>
          <w:szCs w:val="20"/>
          <w:lang w:val="en-GB"/>
        </w:rPr>
      </w:pPr>
    </w:p>
    <w:p w14:paraId="16F339ED" w14:textId="1C3FD00D" w:rsidR="00E8011B" w:rsidRDefault="00E8011B" w:rsidP="00D334E9">
      <w:pPr>
        <w:rPr>
          <w:rFonts w:ascii="Arial" w:hAnsi="Arial" w:cs="Arial"/>
          <w:sz w:val="20"/>
          <w:szCs w:val="20"/>
          <w:lang w:val="en-GB"/>
        </w:rPr>
      </w:pPr>
      <w:r>
        <w:rPr>
          <w:rFonts w:ascii="Arial" w:hAnsi="Arial" w:cs="Arial"/>
          <w:sz w:val="20"/>
          <w:szCs w:val="20"/>
          <w:lang w:val="en-GB"/>
        </w:rPr>
        <w:t>It has also been attached with our response to the consultation survey.</w:t>
      </w:r>
    </w:p>
    <w:p w14:paraId="0CBF3404" w14:textId="77777777" w:rsidR="00E8011B" w:rsidRPr="009A3A8A" w:rsidRDefault="00E8011B" w:rsidP="00D334E9">
      <w:pPr>
        <w:rPr>
          <w:rFonts w:ascii="Arial" w:hAnsi="Arial" w:cs="Arial"/>
          <w:sz w:val="20"/>
          <w:szCs w:val="20"/>
          <w:lang w:val="en-GB"/>
        </w:rPr>
      </w:pPr>
    </w:p>
    <w:p w14:paraId="6437DD5C" w14:textId="4DC1E31A" w:rsidR="00D334E9" w:rsidRPr="009A3A8A" w:rsidRDefault="00D334E9" w:rsidP="00D334E9">
      <w:pPr>
        <w:rPr>
          <w:rFonts w:ascii="Arial" w:hAnsi="Arial" w:cs="Arial"/>
          <w:sz w:val="20"/>
          <w:szCs w:val="20"/>
          <w:lang w:val="en-GB"/>
        </w:rPr>
      </w:pPr>
      <w:r w:rsidRPr="009A3A8A">
        <w:rPr>
          <w:rFonts w:ascii="Arial" w:hAnsi="Arial" w:cs="Arial"/>
          <w:sz w:val="20"/>
          <w:szCs w:val="20"/>
          <w:lang w:val="en-GB"/>
        </w:rPr>
        <w:t xml:space="preserve">The initial </w:t>
      </w:r>
      <w:r w:rsidRPr="009A3A8A">
        <w:rPr>
          <w:rFonts w:ascii="Arial" w:hAnsi="Arial" w:cs="Arial"/>
          <w:b/>
          <w:bCs/>
          <w:sz w:val="20"/>
          <w:szCs w:val="20"/>
          <w:lang w:val="en-GB"/>
        </w:rPr>
        <w:t>hypothesis</w:t>
      </w:r>
      <w:r w:rsidRPr="009A3A8A">
        <w:rPr>
          <w:rFonts w:ascii="Arial" w:hAnsi="Arial" w:cs="Arial"/>
          <w:sz w:val="20"/>
          <w:szCs w:val="20"/>
          <w:lang w:val="en-GB"/>
        </w:rPr>
        <w:t xml:space="preserve"> to test </w:t>
      </w:r>
      <w:r>
        <w:rPr>
          <w:rFonts w:ascii="Arial" w:hAnsi="Arial" w:cs="Arial"/>
          <w:sz w:val="20"/>
          <w:szCs w:val="20"/>
          <w:lang w:val="en-GB"/>
        </w:rPr>
        <w:t xml:space="preserve">was </w:t>
      </w:r>
      <w:r w:rsidRPr="009A3A8A">
        <w:rPr>
          <w:rFonts w:ascii="Arial" w:hAnsi="Arial" w:cs="Arial"/>
          <w:sz w:val="20"/>
          <w:szCs w:val="20"/>
          <w:lang w:val="en-GB"/>
        </w:rPr>
        <w:t>that (</w:t>
      </w:r>
      <w:proofErr w:type="spellStart"/>
      <w:r w:rsidRPr="009A3A8A">
        <w:rPr>
          <w:rFonts w:ascii="Arial" w:hAnsi="Arial" w:cs="Arial"/>
          <w:sz w:val="20"/>
          <w:szCs w:val="20"/>
          <w:lang w:val="en-GB"/>
        </w:rPr>
        <w:t>i</w:t>
      </w:r>
      <w:proofErr w:type="spellEnd"/>
      <w:r w:rsidRPr="009A3A8A">
        <w:rPr>
          <w:rFonts w:ascii="Arial" w:hAnsi="Arial" w:cs="Arial"/>
          <w:sz w:val="20"/>
          <w:szCs w:val="20"/>
          <w:lang w:val="en-GB"/>
        </w:rPr>
        <w:t>) the more comprehensive a credit reporting the better the interest of consumers and lenders could be safeguarded; and that (ii) non-traditional data sources can complement creditworthiness assessment for all types of borrowers and, in particular, for borrowers with “thin credit files” .</w:t>
      </w:r>
    </w:p>
    <w:p w14:paraId="6287B330" w14:textId="77777777" w:rsidR="00D334E9" w:rsidRDefault="00D334E9" w:rsidP="00D334E9">
      <w:pPr>
        <w:widowControl w:val="0"/>
        <w:autoSpaceDE w:val="0"/>
        <w:autoSpaceDN w:val="0"/>
        <w:outlineLvl w:val="1"/>
        <w:rPr>
          <w:rFonts w:ascii="Arial" w:hAnsi="Arial" w:cs="Arial"/>
          <w:sz w:val="20"/>
          <w:szCs w:val="20"/>
          <w:lang w:val="en-GB"/>
        </w:rPr>
      </w:pPr>
    </w:p>
    <w:p w14:paraId="3F6B5807" w14:textId="6BACE2DA" w:rsidR="00D334E9" w:rsidRPr="00D334E9" w:rsidRDefault="00D334E9" w:rsidP="00D334E9">
      <w:pPr>
        <w:widowControl w:val="0"/>
        <w:autoSpaceDE w:val="0"/>
        <w:autoSpaceDN w:val="0"/>
        <w:outlineLvl w:val="1"/>
        <w:rPr>
          <w:rFonts w:ascii="Arial" w:hAnsi="Arial" w:cs="Arial"/>
          <w:color w:val="A04644"/>
          <w:spacing w:val="-10"/>
          <w:kern w:val="28"/>
          <w:sz w:val="28"/>
          <w:szCs w:val="28"/>
          <w:lang w:val="en-GB"/>
        </w:rPr>
      </w:pPr>
      <w:r w:rsidRPr="00D334E9">
        <w:rPr>
          <w:rFonts w:ascii="Arial" w:hAnsi="Arial" w:cs="Arial"/>
          <w:color w:val="A04644"/>
          <w:spacing w:val="-10"/>
          <w:kern w:val="28"/>
          <w:sz w:val="28"/>
          <w:szCs w:val="28"/>
          <w:lang w:val="en-GB"/>
        </w:rPr>
        <w:t>Key findings</w:t>
      </w:r>
    </w:p>
    <w:p w14:paraId="141CC98E" w14:textId="139006C4" w:rsidR="00D334E9" w:rsidRDefault="00D334E9" w:rsidP="00D334E9">
      <w:pPr>
        <w:widowControl w:val="0"/>
        <w:autoSpaceDE w:val="0"/>
        <w:autoSpaceDN w:val="0"/>
        <w:rPr>
          <w:rFonts w:ascii="Arial" w:hAnsi="Arial" w:cs="Arial"/>
          <w:b/>
          <w:bCs/>
          <w:color w:val="A04644"/>
          <w:spacing w:val="-10"/>
          <w:kern w:val="28"/>
          <w:sz w:val="28"/>
          <w:szCs w:val="28"/>
          <w:lang w:val="en-GB"/>
        </w:rPr>
      </w:pPr>
    </w:p>
    <w:p w14:paraId="17603EE2" w14:textId="2E78BA93" w:rsidR="00D334E9" w:rsidRDefault="00D334E9" w:rsidP="00D334E9">
      <w:pPr>
        <w:widowControl w:val="0"/>
        <w:autoSpaceDE w:val="0"/>
        <w:autoSpaceDN w:val="0"/>
        <w:rPr>
          <w:rFonts w:ascii="Arial" w:hAnsi="Arial" w:cs="Arial"/>
          <w:sz w:val="20"/>
          <w:szCs w:val="20"/>
          <w:lang w:val="en-GB"/>
        </w:rPr>
      </w:pPr>
      <w:r w:rsidRPr="009A3A8A">
        <w:rPr>
          <w:rFonts w:ascii="Arial" w:hAnsi="Arial" w:cs="Arial"/>
          <w:sz w:val="20"/>
          <w:szCs w:val="20"/>
          <w:lang w:val="en-GB"/>
        </w:rPr>
        <w:t xml:space="preserve">The report demonstrates that expanding the collection of data for seven additional items by </w:t>
      </w:r>
      <w:r>
        <w:rPr>
          <w:rFonts w:ascii="Arial" w:hAnsi="Arial" w:cs="Arial"/>
          <w:sz w:val="20"/>
          <w:szCs w:val="20"/>
          <w:lang w:val="en-GB"/>
        </w:rPr>
        <w:t>credit reference agencies</w:t>
      </w:r>
      <w:r w:rsidRPr="009A3A8A">
        <w:rPr>
          <w:rFonts w:ascii="Arial" w:hAnsi="Arial" w:cs="Arial"/>
          <w:sz w:val="20"/>
          <w:szCs w:val="20"/>
          <w:lang w:val="en-GB"/>
        </w:rPr>
        <w:t xml:space="preserve"> </w:t>
      </w:r>
      <w:r>
        <w:rPr>
          <w:rFonts w:ascii="Arial" w:hAnsi="Arial" w:cs="Arial"/>
          <w:sz w:val="20"/>
          <w:szCs w:val="20"/>
          <w:lang w:val="en-GB"/>
        </w:rPr>
        <w:t>(</w:t>
      </w:r>
      <w:r w:rsidRPr="009A3A8A">
        <w:rPr>
          <w:rFonts w:ascii="Arial" w:hAnsi="Arial" w:cs="Arial"/>
          <w:sz w:val="20"/>
          <w:szCs w:val="20"/>
          <w:lang w:val="en-GB"/>
        </w:rPr>
        <w:t xml:space="preserve">e.g. number of missed payments in utility bills, the outstanding amount in credit lines on current accounts, etc.) </w:t>
      </w:r>
      <w:r w:rsidR="00E8011B">
        <w:rPr>
          <w:rFonts w:ascii="Arial" w:hAnsi="Arial" w:cs="Arial"/>
          <w:sz w:val="20"/>
          <w:szCs w:val="20"/>
          <w:lang w:val="en-GB"/>
        </w:rPr>
        <w:t xml:space="preserve">in the EU </w:t>
      </w:r>
      <w:r w:rsidRPr="009A3A8A">
        <w:rPr>
          <w:rFonts w:ascii="Arial" w:hAnsi="Arial" w:cs="Arial"/>
          <w:sz w:val="20"/>
          <w:szCs w:val="20"/>
          <w:lang w:val="en-GB"/>
        </w:rPr>
        <w:t>would</w:t>
      </w:r>
      <w:r>
        <w:rPr>
          <w:rFonts w:ascii="Arial" w:hAnsi="Arial" w:cs="Arial"/>
          <w:sz w:val="20"/>
          <w:szCs w:val="20"/>
          <w:lang w:val="en-GB"/>
        </w:rPr>
        <w:t>:</w:t>
      </w:r>
    </w:p>
    <w:p w14:paraId="0D9AEDE6" w14:textId="0BA55857" w:rsidR="00D334E9" w:rsidRDefault="00D334E9" w:rsidP="00D334E9">
      <w:pPr>
        <w:widowControl w:val="0"/>
        <w:autoSpaceDE w:val="0"/>
        <w:autoSpaceDN w:val="0"/>
        <w:rPr>
          <w:rFonts w:ascii="Arial" w:hAnsi="Arial" w:cs="Arial"/>
          <w:sz w:val="20"/>
          <w:szCs w:val="20"/>
          <w:lang w:val="en-GB"/>
        </w:rPr>
      </w:pPr>
    </w:p>
    <w:p w14:paraId="3D1AA75A" w14:textId="6FA70008" w:rsidR="00D334E9" w:rsidRPr="00E8011B" w:rsidRDefault="00D334E9" w:rsidP="00E8011B">
      <w:pPr>
        <w:pStyle w:val="ListParagraph"/>
        <w:numPr>
          <w:ilvl w:val="0"/>
          <w:numId w:val="43"/>
        </w:numPr>
        <w:rPr>
          <w:rFonts w:ascii="Arial" w:hAnsi="Arial" w:cs="Arial"/>
          <w:b/>
          <w:bCs/>
          <w:color w:val="000000" w:themeColor="text1"/>
          <w:spacing w:val="-10"/>
          <w:kern w:val="28"/>
          <w:sz w:val="20"/>
          <w:szCs w:val="20"/>
          <w:lang w:val="en-GB"/>
        </w:rPr>
      </w:pPr>
      <w:r w:rsidRPr="00E8011B">
        <w:rPr>
          <w:rFonts w:ascii="Arial" w:hAnsi="Arial" w:cs="Arial"/>
          <w:color w:val="000000" w:themeColor="text1"/>
          <w:sz w:val="20"/>
          <w:szCs w:val="20"/>
          <w:lang w:val="en-GB"/>
        </w:rPr>
        <w:t xml:space="preserve">lead to an increase of the consumer credit to GDP ratio in the EU, from 7.8% to 8.1% (an increase of 0.26 percentage points). So, </w:t>
      </w:r>
      <w:r w:rsidRPr="00E8011B">
        <w:rPr>
          <w:rFonts w:ascii="Arial" w:hAnsi="Arial" w:cs="Arial"/>
          <w:b/>
          <w:bCs/>
          <w:color w:val="000000" w:themeColor="text1"/>
          <w:sz w:val="20"/>
          <w:szCs w:val="20"/>
          <w:lang w:val="en-GB"/>
        </w:rPr>
        <w:t>more comprehensive credit data boosts the access of consumers to credit</w:t>
      </w:r>
    </w:p>
    <w:p w14:paraId="69E40E3A" w14:textId="4293032F" w:rsidR="00D334E9" w:rsidRPr="00E8011B" w:rsidRDefault="00D334E9" w:rsidP="00D334E9">
      <w:pPr>
        <w:rPr>
          <w:rFonts w:ascii="Arial" w:hAnsi="Arial" w:cs="Arial"/>
          <w:color w:val="000000" w:themeColor="text1"/>
          <w:sz w:val="20"/>
          <w:szCs w:val="20"/>
          <w:lang w:val="en-GB"/>
        </w:rPr>
      </w:pPr>
    </w:p>
    <w:p w14:paraId="6EB2F76B" w14:textId="366B8FB6" w:rsidR="00D334E9" w:rsidRPr="00E8011B" w:rsidRDefault="00D334E9" w:rsidP="00E8011B">
      <w:pPr>
        <w:pStyle w:val="ListParagraph"/>
        <w:numPr>
          <w:ilvl w:val="0"/>
          <w:numId w:val="43"/>
        </w:numPr>
        <w:rPr>
          <w:rFonts w:ascii="Arial" w:hAnsi="Arial" w:cs="Arial"/>
          <w:b/>
          <w:bCs/>
          <w:color w:val="000000" w:themeColor="text1"/>
          <w:sz w:val="20"/>
          <w:szCs w:val="20"/>
          <w:lang w:val="en-GB"/>
        </w:rPr>
      </w:pPr>
      <w:r w:rsidRPr="00E8011B">
        <w:rPr>
          <w:rFonts w:ascii="Arial" w:hAnsi="Arial" w:cs="Arial"/>
          <w:color w:val="000000" w:themeColor="text1"/>
          <w:sz w:val="20"/>
          <w:szCs w:val="20"/>
          <w:lang w:val="en-GB"/>
        </w:rPr>
        <w:t>grow the inclusion of poorer consumers on average from 32.2% to 33.7% (an increase of 1.53 percentage points)</w:t>
      </w:r>
      <w:r w:rsidR="00E8011B" w:rsidRPr="00E8011B">
        <w:rPr>
          <w:rFonts w:ascii="Arial" w:hAnsi="Arial" w:cs="Arial"/>
          <w:color w:val="000000" w:themeColor="text1"/>
          <w:sz w:val="20"/>
          <w:szCs w:val="20"/>
          <w:lang w:val="en-GB"/>
        </w:rPr>
        <w:t xml:space="preserve"> or over 2,5 million vulnerable consumers. </w:t>
      </w:r>
      <w:r w:rsidRPr="00E8011B">
        <w:rPr>
          <w:rFonts w:ascii="Arial" w:hAnsi="Arial" w:cs="Arial"/>
          <w:color w:val="000000" w:themeColor="text1"/>
          <w:sz w:val="20"/>
          <w:szCs w:val="20"/>
          <w:lang w:val="en-GB"/>
        </w:rPr>
        <w:t>The average inclusion of richer consumers would rise from 43.2% to 44.5% (growth of 1.26 percentage points).</w:t>
      </w:r>
      <w:r w:rsidRPr="00E8011B" w:rsidDel="00DE12D7">
        <w:rPr>
          <w:rFonts w:ascii="Arial" w:hAnsi="Arial" w:cs="Arial"/>
          <w:color w:val="000000" w:themeColor="text1"/>
          <w:sz w:val="20"/>
          <w:szCs w:val="20"/>
          <w:lang w:val="en-GB"/>
        </w:rPr>
        <w:t xml:space="preserve"> </w:t>
      </w:r>
      <w:r w:rsidRPr="00E8011B">
        <w:rPr>
          <w:rFonts w:ascii="Arial" w:hAnsi="Arial" w:cs="Arial"/>
          <w:color w:val="000000" w:themeColor="text1"/>
          <w:sz w:val="20"/>
          <w:szCs w:val="20"/>
          <w:lang w:val="en-GB"/>
        </w:rPr>
        <w:t xml:space="preserve"> So, m</w:t>
      </w:r>
      <w:r w:rsidRPr="00E8011B">
        <w:rPr>
          <w:rFonts w:ascii="Arial" w:hAnsi="Arial" w:cs="Arial"/>
          <w:b/>
          <w:bCs/>
          <w:color w:val="000000" w:themeColor="text1"/>
          <w:sz w:val="20"/>
          <w:szCs w:val="20"/>
          <w:lang w:val="en-GB"/>
        </w:rPr>
        <w:t>ore comprehensive credit data facilitate</w:t>
      </w:r>
      <w:r w:rsidR="00E8011B" w:rsidRPr="00E8011B">
        <w:rPr>
          <w:rFonts w:ascii="Arial" w:hAnsi="Arial" w:cs="Arial"/>
          <w:b/>
          <w:bCs/>
          <w:color w:val="000000" w:themeColor="text1"/>
          <w:sz w:val="20"/>
          <w:szCs w:val="20"/>
          <w:lang w:val="en-GB"/>
        </w:rPr>
        <w:t>s</w:t>
      </w:r>
      <w:r w:rsidRPr="00E8011B">
        <w:rPr>
          <w:rFonts w:ascii="Arial" w:hAnsi="Arial" w:cs="Arial"/>
          <w:b/>
          <w:bCs/>
          <w:color w:val="000000" w:themeColor="text1"/>
          <w:sz w:val="20"/>
          <w:szCs w:val="20"/>
          <w:lang w:val="en-GB"/>
        </w:rPr>
        <w:t xml:space="preserve"> access to credit</w:t>
      </w:r>
      <w:r w:rsidR="00E8011B" w:rsidRPr="00E8011B">
        <w:rPr>
          <w:rFonts w:ascii="Arial" w:hAnsi="Arial" w:cs="Arial"/>
          <w:b/>
          <w:bCs/>
          <w:color w:val="000000" w:themeColor="text1"/>
          <w:sz w:val="20"/>
          <w:szCs w:val="20"/>
          <w:lang w:val="en-GB"/>
        </w:rPr>
        <w:t xml:space="preserve">, especially for </w:t>
      </w:r>
      <w:r w:rsidRPr="00E8011B">
        <w:rPr>
          <w:rFonts w:ascii="Arial" w:hAnsi="Arial" w:cs="Arial"/>
          <w:b/>
          <w:bCs/>
          <w:color w:val="000000" w:themeColor="text1"/>
          <w:sz w:val="20"/>
          <w:szCs w:val="20"/>
          <w:lang w:val="en-GB"/>
        </w:rPr>
        <w:t xml:space="preserve">vulnerable consumers </w:t>
      </w:r>
    </w:p>
    <w:p w14:paraId="4677D100" w14:textId="77777777" w:rsidR="00E8011B" w:rsidRPr="00E8011B" w:rsidRDefault="00E8011B" w:rsidP="00D334E9">
      <w:pPr>
        <w:rPr>
          <w:rFonts w:ascii="Arial" w:hAnsi="Arial" w:cs="Arial"/>
          <w:b/>
          <w:bCs/>
          <w:color w:val="000000" w:themeColor="text1"/>
          <w:spacing w:val="-10"/>
          <w:kern w:val="28"/>
          <w:sz w:val="20"/>
          <w:szCs w:val="20"/>
          <w:lang w:val="en-GB"/>
        </w:rPr>
      </w:pPr>
    </w:p>
    <w:p w14:paraId="4C0EF457" w14:textId="77777777" w:rsidR="00E8011B" w:rsidRPr="00E8011B" w:rsidRDefault="00E8011B" w:rsidP="00E8011B">
      <w:pPr>
        <w:pStyle w:val="ListParagraph"/>
        <w:numPr>
          <w:ilvl w:val="0"/>
          <w:numId w:val="43"/>
        </w:numPr>
        <w:rPr>
          <w:rFonts w:ascii="Arial" w:hAnsi="Arial" w:cs="Arial"/>
          <w:b/>
          <w:bCs/>
          <w:color w:val="000000" w:themeColor="text1"/>
          <w:sz w:val="20"/>
          <w:szCs w:val="20"/>
          <w:lang w:val="en-GB"/>
        </w:rPr>
      </w:pPr>
      <w:r w:rsidRPr="00E8011B">
        <w:rPr>
          <w:rFonts w:ascii="Arial" w:hAnsi="Arial" w:cs="Arial"/>
          <w:color w:val="000000" w:themeColor="text1"/>
          <w:sz w:val="20"/>
          <w:szCs w:val="20"/>
          <w:lang w:val="en-GB"/>
        </w:rPr>
        <w:t>lead to an increase in the consumer credit to deposit ratio of 0.93 percentage points i.e. from 16.2 to 17.2 percent. If CRAs collect more comprehensive data, banks channel more savings into consumer credit rather than into other financial activities. So, m</w:t>
      </w:r>
      <w:r w:rsidRPr="00E8011B">
        <w:rPr>
          <w:rFonts w:ascii="Arial" w:hAnsi="Arial" w:cs="Arial"/>
          <w:b/>
          <w:bCs/>
          <w:color w:val="000000" w:themeColor="text1"/>
          <w:sz w:val="20"/>
          <w:szCs w:val="20"/>
          <w:lang w:val="en-GB"/>
        </w:rPr>
        <w:t>ore comprehensive credit data encourages banks to channel more savings to consumer credit</w:t>
      </w:r>
    </w:p>
    <w:p w14:paraId="055B64B2" w14:textId="74C0983A" w:rsidR="00E8011B" w:rsidRPr="00E8011B" w:rsidRDefault="00E8011B" w:rsidP="00E8011B">
      <w:pPr>
        <w:rPr>
          <w:rFonts w:ascii="Arial" w:hAnsi="Arial" w:cs="Arial"/>
          <w:color w:val="000000" w:themeColor="text1"/>
          <w:sz w:val="20"/>
          <w:szCs w:val="20"/>
          <w:lang w:val="en-GB"/>
        </w:rPr>
      </w:pPr>
    </w:p>
    <w:p w14:paraId="7650B3B6" w14:textId="3B593A2E" w:rsidR="00E8011B" w:rsidRPr="00E8011B" w:rsidRDefault="00E8011B" w:rsidP="00E8011B">
      <w:pPr>
        <w:pStyle w:val="ListParagraph"/>
        <w:numPr>
          <w:ilvl w:val="0"/>
          <w:numId w:val="43"/>
        </w:numPr>
        <w:rPr>
          <w:rFonts w:ascii="Arial" w:hAnsi="Arial" w:cs="Arial"/>
          <w:b/>
          <w:bCs/>
          <w:color w:val="000000" w:themeColor="text1"/>
          <w:sz w:val="20"/>
          <w:szCs w:val="20"/>
          <w:lang w:val="en-GB"/>
        </w:rPr>
      </w:pPr>
      <w:r w:rsidRPr="00E8011B">
        <w:rPr>
          <w:rFonts w:ascii="Arial" w:hAnsi="Arial" w:cs="Arial"/>
          <w:color w:val="000000" w:themeColor="text1"/>
          <w:sz w:val="20"/>
          <w:szCs w:val="20"/>
          <w:lang w:val="en-GB"/>
        </w:rPr>
        <w:t>decreases 0.77 percentage points the future non-performing loan ratio (for example from 8.2% to 7.45 %). So, m</w:t>
      </w:r>
      <w:r w:rsidRPr="00E8011B">
        <w:rPr>
          <w:rFonts w:ascii="Arial" w:hAnsi="Arial" w:cs="Arial"/>
          <w:b/>
          <w:bCs/>
          <w:color w:val="000000" w:themeColor="text1"/>
          <w:sz w:val="20"/>
          <w:szCs w:val="20"/>
          <w:lang w:val="en-GB"/>
        </w:rPr>
        <w:t>ore comprehensive credit data decreases the risk of missed repayments</w:t>
      </w:r>
    </w:p>
    <w:p w14:paraId="752309AF" w14:textId="5C376C91" w:rsidR="00E8011B" w:rsidRDefault="00E8011B" w:rsidP="00D334E9">
      <w:pPr>
        <w:rPr>
          <w:rFonts w:ascii="Arial" w:hAnsi="Arial" w:cs="Arial"/>
          <w:i/>
          <w:iCs/>
          <w:sz w:val="20"/>
          <w:szCs w:val="20"/>
          <w:lang w:val="en-GB"/>
        </w:rPr>
      </w:pPr>
    </w:p>
    <w:p w14:paraId="554CE964" w14:textId="02A27EB1" w:rsidR="00E8011B" w:rsidRDefault="00E8011B" w:rsidP="00D334E9">
      <w:pPr>
        <w:rPr>
          <w:rFonts w:ascii="Arial" w:hAnsi="Arial" w:cs="Arial"/>
          <w:i/>
          <w:iCs/>
          <w:sz w:val="20"/>
          <w:szCs w:val="20"/>
          <w:lang w:val="en-GB"/>
        </w:rPr>
      </w:pPr>
    </w:p>
    <w:p w14:paraId="2EE30C37" w14:textId="5758717F" w:rsidR="00E8011B" w:rsidRDefault="00E8011B" w:rsidP="00D334E9">
      <w:pPr>
        <w:rPr>
          <w:rFonts w:ascii="Arial" w:hAnsi="Arial" w:cs="Arial"/>
          <w:i/>
          <w:iCs/>
          <w:sz w:val="20"/>
          <w:szCs w:val="20"/>
          <w:lang w:val="en-GB"/>
        </w:rPr>
      </w:pPr>
    </w:p>
    <w:p w14:paraId="77070BF8" w14:textId="64632C71" w:rsidR="00E8011B" w:rsidRDefault="00E8011B" w:rsidP="00D334E9">
      <w:pPr>
        <w:rPr>
          <w:rFonts w:ascii="Arial" w:hAnsi="Arial" w:cs="Arial"/>
          <w:i/>
          <w:iCs/>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E8011B" w14:paraId="616D7484" w14:textId="77777777" w:rsidTr="005015F5">
        <w:trPr>
          <w:jc w:val="center"/>
        </w:trPr>
        <w:tc>
          <w:tcPr>
            <w:tcW w:w="4530" w:type="dxa"/>
          </w:tcPr>
          <w:p w14:paraId="0DB0DFAB" w14:textId="097A3923" w:rsidR="00E8011B" w:rsidRDefault="00E8011B" w:rsidP="00E8011B">
            <w:pPr>
              <w:jc w:val="center"/>
              <w:rPr>
                <w:rFonts w:ascii="Arial" w:hAnsi="Arial" w:cs="Arial"/>
                <w:i/>
                <w:iCs/>
                <w:sz w:val="20"/>
                <w:szCs w:val="20"/>
                <w:lang w:val="en-GB"/>
              </w:rPr>
            </w:pPr>
          </w:p>
        </w:tc>
        <w:tc>
          <w:tcPr>
            <w:tcW w:w="4530" w:type="dxa"/>
          </w:tcPr>
          <w:p w14:paraId="55816E33" w14:textId="345DF9DE" w:rsidR="00E8011B" w:rsidRDefault="00E8011B" w:rsidP="00E8011B">
            <w:pPr>
              <w:jc w:val="center"/>
              <w:rPr>
                <w:rFonts w:ascii="Arial" w:hAnsi="Arial" w:cs="Arial"/>
                <w:i/>
                <w:iCs/>
                <w:sz w:val="20"/>
                <w:szCs w:val="20"/>
                <w:lang w:val="en-GB"/>
              </w:rPr>
            </w:pPr>
          </w:p>
        </w:tc>
      </w:tr>
    </w:tbl>
    <w:p w14:paraId="56CFFC7E" w14:textId="6AEB462F" w:rsidR="00E8011B" w:rsidRPr="005015F5" w:rsidRDefault="005015F5" w:rsidP="005015F5">
      <w:pPr>
        <w:widowControl w:val="0"/>
        <w:autoSpaceDE w:val="0"/>
        <w:autoSpaceDN w:val="0"/>
        <w:rPr>
          <w:rFonts w:ascii="Arial" w:hAnsi="Arial" w:cs="Arial"/>
          <w:sz w:val="20"/>
          <w:szCs w:val="20"/>
          <w:lang w:val="en-GB"/>
        </w:rPr>
      </w:pPr>
      <w:r w:rsidRPr="005015F5">
        <w:rPr>
          <w:rFonts w:ascii="Arial" w:hAnsi="Arial" w:cs="Arial"/>
          <w:sz w:val="20"/>
          <w:szCs w:val="20"/>
          <w:lang w:val="en-GB"/>
        </w:rPr>
        <w:t>Other key findings of the report are:</w:t>
      </w:r>
    </w:p>
    <w:p w14:paraId="5EF06BB7" w14:textId="48612206" w:rsidR="005015F5" w:rsidRPr="005015F5" w:rsidRDefault="005015F5" w:rsidP="005015F5">
      <w:pPr>
        <w:widowControl w:val="0"/>
        <w:autoSpaceDE w:val="0"/>
        <w:autoSpaceDN w:val="0"/>
        <w:rPr>
          <w:rFonts w:ascii="Arial" w:hAnsi="Arial" w:cs="Arial"/>
          <w:sz w:val="20"/>
          <w:szCs w:val="20"/>
          <w:lang w:val="en-GB"/>
        </w:rPr>
      </w:pPr>
    </w:p>
    <w:p w14:paraId="60BC3111" w14:textId="77777777" w:rsidR="005015F5" w:rsidRPr="005015F5" w:rsidRDefault="005015F5" w:rsidP="005015F5">
      <w:pPr>
        <w:pStyle w:val="ListParagraph"/>
        <w:widowControl w:val="0"/>
        <w:numPr>
          <w:ilvl w:val="0"/>
          <w:numId w:val="45"/>
        </w:numPr>
        <w:autoSpaceDE w:val="0"/>
        <w:autoSpaceDN w:val="0"/>
        <w:rPr>
          <w:rFonts w:ascii="Arial" w:hAnsi="Arial" w:cs="Arial"/>
          <w:sz w:val="20"/>
          <w:szCs w:val="20"/>
          <w:lang w:val="en-GB"/>
        </w:rPr>
      </w:pPr>
      <w:r w:rsidRPr="005015F5">
        <w:rPr>
          <w:rFonts w:ascii="Arial" w:hAnsi="Arial" w:cs="Arial"/>
          <w:sz w:val="20"/>
          <w:szCs w:val="20"/>
          <w:lang w:val="en-GB"/>
        </w:rPr>
        <w:t>Stakeholders in credit markets perceive non-traditional credit data as data that increases the predictive accuracy of credit risk models, increases financial inclusion, and offers a holistic view of a customer.</w:t>
      </w:r>
    </w:p>
    <w:p w14:paraId="74DC3A08" w14:textId="77777777" w:rsidR="005015F5" w:rsidRPr="005015F5" w:rsidRDefault="005015F5" w:rsidP="005015F5">
      <w:pPr>
        <w:widowControl w:val="0"/>
        <w:autoSpaceDE w:val="0"/>
        <w:autoSpaceDN w:val="0"/>
        <w:rPr>
          <w:rFonts w:ascii="Arial" w:hAnsi="Arial" w:cs="Arial"/>
          <w:sz w:val="20"/>
          <w:szCs w:val="20"/>
          <w:lang w:val="en-GB"/>
        </w:rPr>
      </w:pPr>
    </w:p>
    <w:p w14:paraId="28BAD298" w14:textId="0680967C" w:rsidR="005015F5" w:rsidRPr="005015F5" w:rsidRDefault="005015F5" w:rsidP="005015F5">
      <w:pPr>
        <w:pStyle w:val="ListParagraph"/>
        <w:widowControl w:val="0"/>
        <w:numPr>
          <w:ilvl w:val="0"/>
          <w:numId w:val="45"/>
        </w:numPr>
        <w:autoSpaceDE w:val="0"/>
        <w:autoSpaceDN w:val="0"/>
        <w:rPr>
          <w:rFonts w:ascii="Arial" w:hAnsi="Arial" w:cs="Arial"/>
          <w:sz w:val="20"/>
          <w:szCs w:val="20"/>
          <w:lang w:val="en-GB"/>
        </w:rPr>
      </w:pPr>
      <w:r w:rsidRPr="005015F5">
        <w:rPr>
          <w:rFonts w:ascii="Arial" w:hAnsi="Arial" w:cs="Arial"/>
          <w:sz w:val="20"/>
          <w:szCs w:val="20"/>
          <w:lang w:val="en-GB"/>
        </w:rPr>
        <w:t>The use of non-traditional data should be complementary to traditional types, since the latter is still more powerful.</w:t>
      </w:r>
    </w:p>
    <w:p w14:paraId="523B82B0" w14:textId="77777777" w:rsidR="005015F5" w:rsidRPr="005015F5" w:rsidRDefault="005015F5" w:rsidP="005015F5">
      <w:pPr>
        <w:widowControl w:val="0"/>
        <w:autoSpaceDE w:val="0"/>
        <w:autoSpaceDN w:val="0"/>
        <w:rPr>
          <w:rFonts w:ascii="Arial" w:hAnsi="Arial" w:cs="Arial"/>
          <w:sz w:val="20"/>
          <w:szCs w:val="20"/>
          <w:lang w:val="en-GB"/>
        </w:rPr>
      </w:pPr>
    </w:p>
    <w:p w14:paraId="50117367" w14:textId="77777777" w:rsidR="005015F5" w:rsidRPr="005015F5" w:rsidRDefault="005015F5" w:rsidP="005015F5">
      <w:pPr>
        <w:pStyle w:val="ListParagraph"/>
        <w:widowControl w:val="0"/>
        <w:numPr>
          <w:ilvl w:val="0"/>
          <w:numId w:val="45"/>
        </w:numPr>
        <w:autoSpaceDE w:val="0"/>
        <w:autoSpaceDN w:val="0"/>
        <w:rPr>
          <w:rFonts w:ascii="Arial" w:hAnsi="Arial" w:cs="Arial"/>
          <w:sz w:val="20"/>
          <w:szCs w:val="20"/>
          <w:lang w:val="en-GB"/>
        </w:rPr>
      </w:pPr>
      <w:r w:rsidRPr="005015F5">
        <w:rPr>
          <w:rFonts w:ascii="Arial" w:hAnsi="Arial" w:cs="Arial"/>
          <w:sz w:val="20"/>
          <w:szCs w:val="20"/>
          <w:lang w:val="en-GB"/>
        </w:rPr>
        <w:t>Stakeholders in credit markets perceive structured non-traditional data (e.g. data on payments, transactional data) as the most useful type of data for affordability assessments and the most socially/legally acceptable.</w:t>
      </w:r>
    </w:p>
    <w:p w14:paraId="648CD1CD" w14:textId="77777777" w:rsidR="00E8011B" w:rsidRPr="009A3A8A" w:rsidRDefault="00E8011B" w:rsidP="00D334E9">
      <w:pPr>
        <w:rPr>
          <w:rFonts w:ascii="Arial" w:hAnsi="Arial" w:cs="Arial"/>
          <w:i/>
          <w:iCs/>
          <w:sz w:val="20"/>
          <w:szCs w:val="20"/>
          <w:lang w:val="en-GB"/>
        </w:rPr>
      </w:pPr>
    </w:p>
    <w:p w14:paraId="17C07FA9" w14:textId="72B6B5B5" w:rsidR="005015F5" w:rsidRPr="005015F5" w:rsidRDefault="005015F5" w:rsidP="005015F5">
      <w:pPr>
        <w:widowControl w:val="0"/>
        <w:autoSpaceDE w:val="0"/>
        <w:autoSpaceDN w:val="0"/>
        <w:outlineLvl w:val="1"/>
        <w:rPr>
          <w:rFonts w:ascii="Arial" w:hAnsi="Arial" w:cs="Arial"/>
          <w:color w:val="A04644"/>
          <w:spacing w:val="-10"/>
          <w:kern w:val="28"/>
          <w:sz w:val="28"/>
          <w:szCs w:val="28"/>
          <w:lang w:val="en-GB"/>
        </w:rPr>
      </w:pPr>
      <w:r w:rsidRPr="009A3A8A">
        <w:rPr>
          <w:rFonts w:ascii="Arial" w:hAnsi="Arial" w:cs="Arial"/>
          <w:color w:val="A04644"/>
          <w:spacing w:val="-10"/>
          <w:kern w:val="28"/>
          <w:sz w:val="28"/>
          <w:szCs w:val="28"/>
          <w:lang w:val="en-GB"/>
        </w:rPr>
        <w:t>Policy recommendations</w:t>
      </w:r>
    </w:p>
    <w:p w14:paraId="6A40ADAE" w14:textId="77777777" w:rsidR="005015F5" w:rsidRDefault="005015F5" w:rsidP="005015F5">
      <w:pPr>
        <w:widowControl w:val="0"/>
        <w:autoSpaceDE w:val="0"/>
        <w:autoSpaceDN w:val="0"/>
        <w:rPr>
          <w:rFonts w:ascii="Arial" w:hAnsi="Arial" w:cs="Arial"/>
          <w:sz w:val="20"/>
          <w:szCs w:val="20"/>
          <w:lang w:val="en-GB"/>
        </w:rPr>
      </w:pPr>
    </w:p>
    <w:p w14:paraId="7789284B" w14:textId="33CD4F8B" w:rsidR="005015F5" w:rsidRDefault="005015F5" w:rsidP="005015F5">
      <w:pPr>
        <w:widowControl w:val="0"/>
        <w:autoSpaceDE w:val="0"/>
        <w:autoSpaceDN w:val="0"/>
        <w:rPr>
          <w:rFonts w:ascii="Arial" w:hAnsi="Arial" w:cs="Arial"/>
          <w:sz w:val="20"/>
          <w:szCs w:val="20"/>
          <w:lang w:val="en-GB"/>
        </w:rPr>
      </w:pPr>
      <w:r w:rsidRPr="005015F5">
        <w:rPr>
          <w:rFonts w:ascii="Arial" w:hAnsi="Arial" w:cs="Arial"/>
          <w:sz w:val="20"/>
          <w:szCs w:val="20"/>
          <w:lang w:val="en-GB"/>
        </w:rPr>
        <w:t>The report lists the following policy recommendations</w:t>
      </w:r>
      <w:r>
        <w:rPr>
          <w:rFonts w:ascii="Arial" w:hAnsi="Arial" w:cs="Arial"/>
          <w:sz w:val="20"/>
          <w:szCs w:val="20"/>
          <w:lang w:val="en-GB"/>
        </w:rPr>
        <w:t xml:space="preserve">, all of them very relevant in the context of the EU future Digital Finance Strategy. </w:t>
      </w:r>
    </w:p>
    <w:p w14:paraId="04709262" w14:textId="77777777" w:rsidR="005015F5" w:rsidRPr="005015F5" w:rsidRDefault="005015F5" w:rsidP="005015F5">
      <w:pPr>
        <w:widowControl w:val="0"/>
        <w:autoSpaceDE w:val="0"/>
        <w:autoSpaceDN w:val="0"/>
        <w:rPr>
          <w:rFonts w:ascii="Arial" w:hAnsi="Arial" w:cs="Arial"/>
          <w:sz w:val="20"/>
          <w:szCs w:val="20"/>
          <w:lang w:val="en-GB"/>
        </w:rPr>
      </w:pPr>
    </w:p>
    <w:p w14:paraId="121CF51B" w14:textId="77777777" w:rsidR="005015F5" w:rsidRPr="009A3A8A" w:rsidRDefault="005015F5" w:rsidP="005015F5">
      <w:pPr>
        <w:pStyle w:val="ListParagraph"/>
        <w:numPr>
          <w:ilvl w:val="0"/>
          <w:numId w:val="37"/>
        </w:numPr>
        <w:jc w:val="both"/>
        <w:rPr>
          <w:rFonts w:ascii="Arial" w:hAnsi="Arial" w:cs="Arial"/>
          <w:color w:val="000000"/>
          <w:sz w:val="20"/>
          <w:szCs w:val="20"/>
          <w:lang w:val="en-GB"/>
        </w:rPr>
      </w:pPr>
      <w:r w:rsidRPr="009A3A8A">
        <w:rPr>
          <w:rFonts w:ascii="Arial" w:hAnsi="Arial" w:cs="Arial"/>
          <w:color w:val="000000"/>
          <w:sz w:val="20"/>
          <w:szCs w:val="20"/>
          <w:lang w:val="en-GB"/>
        </w:rPr>
        <w:t xml:space="preserve">To boost financial inclusion, </w:t>
      </w:r>
      <w:proofErr w:type="gramStart"/>
      <w:r w:rsidRPr="009A3A8A">
        <w:rPr>
          <w:rFonts w:ascii="Arial" w:hAnsi="Arial" w:cs="Arial"/>
          <w:color w:val="000000"/>
          <w:sz w:val="20"/>
          <w:szCs w:val="20"/>
          <w:lang w:val="en-GB"/>
        </w:rPr>
        <w:t>policy-makers</w:t>
      </w:r>
      <w:proofErr w:type="gramEnd"/>
      <w:r w:rsidRPr="009A3A8A">
        <w:rPr>
          <w:rFonts w:ascii="Arial" w:hAnsi="Arial" w:cs="Arial"/>
          <w:color w:val="000000"/>
          <w:sz w:val="20"/>
          <w:szCs w:val="20"/>
          <w:lang w:val="en-GB"/>
        </w:rPr>
        <w:t xml:space="preserve"> should facilitate the availability of more comprehensive credit data, notably structured non-loan data.</w:t>
      </w:r>
    </w:p>
    <w:p w14:paraId="7BF3C8D3" w14:textId="77777777" w:rsidR="005015F5" w:rsidRPr="009A3A8A" w:rsidRDefault="005015F5" w:rsidP="005015F5">
      <w:pPr>
        <w:jc w:val="both"/>
        <w:rPr>
          <w:rFonts w:ascii="Arial" w:hAnsi="Arial" w:cs="Arial"/>
          <w:color w:val="000000"/>
          <w:sz w:val="20"/>
          <w:szCs w:val="20"/>
          <w:lang w:val="en-GB"/>
        </w:rPr>
      </w:pPr>
    </w:p>
    <w:p w14:paraId="526C3373" w14:textId="77777777" w:rsidR="005015F5" w:rsidRPr="009A3A8A" w:rsidRDefault="005015F5" w:rsidP="005015F5">
      <w:pPr>
        <w:pStyle w:val="ListParagraph"/>
        <w:numPr>
          <w:ilvl w:val="0"/>
          <w:numId w:val="37"/>
        </w:numPr>
        <w:jc w:val="both"/>
        <w:rPr>
          <w:rFonts w:ascii="Arial" w:hAnsi="Arial" w:cs="Arial"/>
          <w:color w:val="000000"/>
          <w:sz w:val="20"/>
          <w:szCs w:val="20"/>
          <w:lang w:val="en-GB"/>
        </w:rPr>
      </w:pPr>
      <w:r w:rsidRPr="009A3A8A">
        <w:rPr>
          <w:rFonts w:ascii="Arial" w:hAnsi="Arial" w:cs="Arial"/>
          <w:color w:val="000000"/>
          <w:sz w:val="20"/>
          <w:szCs w:val="20"/>
          <w:lang w:val="en-GB"/>
        </w:rPr>
        <w:t>More attention should be paid to the extent of credit data sharing in the analysis of borrowers’ solvency and the accessibility of credit.</w:t>
      </w:r>
    </w:p>
    <w:p w14:paraId="1BFE92BA" w14:textId="77777777" w:rsidR="005015F5" w:rsidRPr="009A3A8A" w:rsidRDefault="005015F5" w:rsidP="005015F5">
      <w:pPr>
        <w:jc w:val="both"/>
        <w:rPr>
          <w:rFonts w:ascii="Arial" w:hAnsi="Arial" w:cs="Arial"/>
          <w:color w:val="000000"/>
          <w:sz w:val="20"/>
          <w:szCs w:val="20"/>
          <w:lang w:val="en-GB"/>
        </w:rPr>
      </w:pPr>
    </w:p>
    <w:p w14:paraId="104FBC25" w14:textId="77777777" w:rsidR="005015F5" w:rsidRPr="009A3A8A" w:rsidRDefault="005015F5" w:rsidP="005015F5">
      <w:pPr>
        <w:pStyle w:val="ListParagraph"/>
        <w:numPr>
          <w:ilvl w:val="0"/>
          <w:numId w:val="37"/>
        </w:numPr>
        <w:jc w:val="both"/>
        <w:rPr>
          <w:rFonts w:ascii="Arial" w:hAnsi="Arial" w:cs="Arial"/>
          <w:color w:val="000000"/>
          <w:sz w:val="20"/>
          <w:szCs w:val="20"/>
          <w:lang w:val="en-GB"/>
        </w:rPr>
      </w:pPr>
      <w:r w:rsidRPr="009A3A8A">
        <w:rPr>
          <w:rFonts w:ascii="Arial" w:hAnsi="Arial" w:cs="Arial"/>
          <w:color w:val="000000"/>
          <w:sz w:val="20"/>
          <w:szCs w:val="20"/>
          <w:lang w:val="en-GB"/>
        </w:rPr>
        <w:t xml:space="preserve">Policy changes should be introduced to enable wider data sharing in credit markets, particularly those markets with a high degree of concentration and relatively low barriers to entry. </w:t>
      </w:r>
    </w:p>
    <w:p w14:paraId="5DF1915C" w14:textId="77777777" w:rsidR="005015F5" w:rsidRPr="009A3A8A" w:rsidRDefault="005015F5" w:rsidP="005015F5">
      <w:pPr>
        <w:jc w:val="both"/>
        <w:rPr>
          <w:rFonts w:ascii="Arial" w:hAnsi="Arial" w:cs="Arial"/>
          <w:color w:val="000000"/>
          <w:sz w:val="20"/>
          <w:szCs w:val="20"/>
          <w:lang w:val="en-GB"/>
        </w:rPr>
      </w:pPr>
    </w:p>
    <w:p w14:paraId="17625FEC" w14:textId="77777777" w:rsidR="005015F5" w:rsidRPr="009A3A8A" w:rsidRDefault="005015F5" w:rsidP="005015F5">
      <w:pPr>
        <w:pStyle w:val="ListParagraph"/>
        <w:numPr>
          <w:ilvl w:val="0"/>
          <w:numId w:val="37"/>
        </w:numPr>
        <w:jc w:val="both"/>
        <w:rPr>
          <w:rFonts w:ascii="Arial" w:hAnsi="Arial" w:cs="Arial"/>
          <w:color w:val="000000"/>
          <w:sz w:val="20"/>
          <w:szCs w:val="20"/>
          <w:lang w:val="en-GB"/>
        </w:rPr>
      </w:pPr>
      <w:r w:rsidRPr="009A3A8A">
        <w:rPr>
          <w:rFonts w:ascii="Arial" w:hAnsi="Arial" w:cs="Arial"/>
          <w:color w:val="000000"/>
          <w:sz w:val="20"/>
          <w:szCs w:val="20"/>
          <w:lang w:val="en-GB"/>
        </w:rPr>
        <w:t>Legislation should not promote information that is only “up to date and accurate”, as mandated by data protection legislation, but also “comprehensive”.</w:t>
      </w:r>
    </w:p>
    <w:p w14:paraId="3406B0FC" w14:textId="77777777" w:rsidR="005015F5" w:rsidRPr="009A3A8A" w:rsidRDefault="005015F5" w:rsidP="005015F5">
      <w:pPr>
        <w:jc w:val="both"/>
        <w:rPr>
          <w:rFonts w:ascii="Arial" w:hAnsi="Arial" w:cs="Arial"/>
          <w:color w:val="000000"/>
          <w:sz w:val="20"/>
          <w:szCs w:val="20"/>
          <w:lang w:val="en-GB"/>
        </w:rPr>
      </w:pPr>
    </w:p>
    <w:p w14:paraId="7FC07BA0" w14:textId="77777777" w:rsidR="005015F5" w:rsidRPr="009A3A8A" w:rsidRDefault="005015F5" w:rsidP="005015F5">
      <w:pPr>
        <w:pStyle w:val="ListParagraph"/>
        <w:numPr>
          <w:ilvl w:val="0"/>
          <w:numId w:val="37"/>
        </w:numPr>
        <w:jc w:val="both"/>
        <w:rPr>
          <w:rFonts w:ascii="Arial" w:hAnsi="Arial" w:cs="Arial"/>
          <w:sz w:val="20"/>
          <w:szCs w:val="20"/>
          <w:lang w:val="en-GB"/>
        </w:rPr>
      </w:pPr>
      <w:r w:rsidRPr="009A3A8A">
        <w:rPr>
          <w:rFonts w:ascii="Arial" w:hAnsi="Arial" w:cs="Arial"/>
          <w:sz w:val="20"/>
          <w:szCs w:val="20"/>
          <w:lang w:val="en-GB"/>
        </w:rPr>
        <w:t>If unstructured, non-traditional information, such as social media data, is to be used as an input to determine creditworthiness, it should be done within a clearer ethical framework and with a better understanding of societal preferences.</w:t>
      </w:r>
    </w:p>
    <w:p w14:paraId="16539F4A" w14:textId="77777777" w:rsidR="005015F5" w:rsidRPr="009A3A8A" w:rsidRDefault="005015F5" w:rsidP="005015F5">
      <w:pPr>
        <w:jc w:val="both"/>
        <w:rPr>
          <w:rFonts w:ascii="Arial" w:hAnsi="Arial" w:cs="Arial"/>
          <w:sz w:val="20"/>
          <w:szCs w:val="20"/>
          <w:lang w:val="en-GB"/>
        </w:rPr>
      </w:pPr>
    </w:p>
    <w:p w14:paraId="21129E98" w14:textId="77777777" w:rsidR="005015F5" w:rsidRPr="009A3A8A" w:rsidRDefault="005015F5" w:rsidP="005015F5">
      <w:pPr>
        <w:pStyle w:val="ListParagraph"/>
        <w:numPr>
          <w:ilvl w:val="0"/>
          <w:numId w:val="37"/>
        </w:numPr>
        <w:jc w:val="both"/>
        <w:rPr>
          <w:rFonts w:ascii="Arial" w:hAnsi="Arial" w:cs="Arial"/>
          <w:sz w:val="20"/>
          <w:szCs w:val="20"/>
          <w:lang w:val="en-GB"/>
        </w:rPr>
      </w:pPr>
      <w:r w:rsidRPr="009A3A8A">
        <w:rPr>
          <w:rFonts w:ascii="Arial" w:hAnsi="Arial" w:cs="Arial"/>
          <w:sz w:val="20"/>
          <w:szCs w:val="20"/>
          <w:lang w:val="en-GB"/>
        </w:rPr>
        <w:t>Further research should investigate the impact of non-loan data for specific segments of the population.</w:t>
      </w:r>
    </w:p>
    <w:p w14:paraId="625AF659" w14:textId="77777777" w:rsidR="005015F5" w:rsidRPr="009A3A8A" w:rsidRDefault="005015F5" w:rsidP="005015F5">
      <w:pPr>
        <w:pStyle w:val="ListParagraph"/>
        <w:widowControl w:val="0"/>
        <w:autoSpaceDE w:val="0"/>
        <w:autoSpaceDN w:val="0"/>
        <w:ind w:left="360"/>
        <w:rPr>
          <w:rFonts w:ascii="Arial" w:hAnsi="Arial" w:cs="Arial"/>
          <w:b/>
          <w:bCs/>
          <w:color w:val="A04644"/>
          <w:spacing w:val="-10"/>
          <w:kern w:val="28"/>
          <w:sz w:val="28"/>
          <w:szCs w:val="28"/>
          <w:lang w:val="en-GB"/>
        </w:rPr>
      </w:pPr>
    </w:p>
    <w:p w14:paraId="0FB5B4E1" w14:textId="77777777" w:rsidR="00D334E9" w:rsidRPr="009A3A8A" w:rsidRDefault="00D334E9" w:rsidP="00D334E9">
      <w:pPr>
        <w:rPr>
          <w:rFonts w:ascii="Arial" w:hAnsi="Arial" w:cs="Arial"/>
          <w:sz w:val="20"/>
          <w:szCs w:val="20"/>
          <w:lang w:val="en-GB"/>
        </w:rPr>
      </w:pPr>
    </w:p>
    <w:p w14:paraId="48E8E0D2" w14:textId="2832D95D" w:rsidR="00D334E9" w:rsidRPr="009A3A8A" w:rsidRDefault="00D334E9" w:rsidP="00D334E9">
      <w:pPr>
        <w:rPr>
          <w:rFonts w:ascii="Arial" w:hAnsi="Arial" w:cs="Arial"/>
          <w:sz w:val="20"/>
          <w:szCs w:val="20"/>
          <w:lang w:val="en-GB"/>
        </w:rPr>
      </w:pPr>
    </w:p>
    <w:p w14:paraId="2905C443" w14:textId="77777777" w:rsidR="00D334E9" w:rsidRPr="009A3A8A" w:rsidRDefault="00D334E9" w:rsidP="00D334E9">
      <w:pPr>
        <w:rPr>
          <w:rFonts w:ascii="Arial" w:hAnsi="Arial" w:cs="Arial"/>
          <w:sz w:val="20"/>
          <w:szCs w:val="20"/>
          <w:lang w:val="en-GB"/>
        </w:rPr>
      </w:pPr>
    </w:p>
    <w:p w14:paraId="76BF9B95" w14:textId="697656C1" w:rsidR="00D334E9" w:rsidRDefault="00D334E9" w:rsidP="00D334E9">
      <w:pPr>
        <w:rPr>
          <w:rFonts w:ascii="Arial" w:hAnsi="Arial" w:cs="Arial"/>
          <w:sz w:val="20"/>
          <w:szCs w:val="20"/>
          <w:lang w:val="en-GB"/>
        </w:rPr>
      </w:pPr>
    </w:p>
    <w:p w14:paraId="416A6F9C" w14:textId="7D5404AA" w:rsidR="00D334E9" w:rsidRDefault="00D334E9" w:rsidP="00D334E9">
      <w:pPr>
        <w:rPr>
          <w:rFonts w:ascii="Arial" w:hAnsi="Arial" w:cs="Arial"/>
          <w:sz w:val="20"/>
          <w:szCs w:val="20"/>
          <w:lang w:val="en-GB"/>
        </w:rPr>
      </w:pPr>
    </w:p>
    <w:p w14:paraId="1B43DB15" w14:textId="153868B5" w:rsidR="00D334E9" w:rsidRDefault="00D334E9" w:rsidP="00D334E9">
      <w:pPr>
        <w:rPr>
          <w:rFonts w:ascii="Arial" w:hAnsi="Arial" w:cs="Arial"/>
          <w:sz w:val="20"/>
          <w:szCs w:val="20"/>
          <w:lang w:val="en-GB"/>
        </w:rPr>
      </w:pPr>
    </w:p>
    <w:p w14:paraId="3015A472" w14:textId="49528833" w:rsidR="00D334E9" w:rsidRDefault="00D334E9" w:rsidP="00D334E9">
      <w:pPr>
        <w:rPr>
          <w:rFonts w:ascii="Arial" w:hAnsi="Arial" w:cs="Arial"/>
          <w:sz w:val="20"/>
          <w:szCs w:val="20"/>
          <w:lang w:val="en-GB"/>
        </w:rPr>
      </w:pPr>
    </w:p>
    <w:p w14:paraId="7E3FDDBF" w14:textId="732AE4B1" w:rsidR="00D334E9" w:rsidRDefault="00D334E9" w:rsidP="00D334E9">
      <w:pPr>
        <w:rPr>
          <w:rFonts w:ascii="Arial" w:hAnsi="Arial" w:cs="Arial"/>
          <w:sz w:val="20"/>
          <w:szCs w:val="20"/>
          <w:lang w:val="en-GB"/>
        </w:rPr>
      </w:pPr>
    </w:p>
    <w:p w14:paraId="4F944154" w14:textId="77777777" w:rsidR="00D334E9" w:rsidRDefault="00D334E9" w:rsidP="00D334E9">
      <w:pPr>
        <w:rPr>
          <w:rFonts w:ascii="Arial" w:hAnsi="Arial" w:cs="Arial"/>
          <w:sz w:val="20"/>
          <w:szCs w:val="20"/>
          <w:lang w:val="en-GB"/>
        </w:rPr>
      </w:pPr>
    </w:p>
    <w:bookmarkEnd w:id="0"/>
    <w:p w14:paraId="462B9CD0" w14:textId="4D1D7185" w:rsidR="00DC6448" w:rsidRPr="009A3A8A" w:rsidRDefault="00DC6448" w:rsidP="00A75593">
      <w:pPr>
        <w:rPr>
          <w:rFonts w:ascii="Arial" w:hAnsi="Arial" w:cs="Arial"/>
          <w:sz w:val="20"/>
          <w:szCs w:val="20"/>
          <w:lang w:val="en-GB"/>
        </w:rPr>
      </w:pPr>
    </w:p>
    <w:sectPr w:rsidR="00DC6448" w:rsidRPr="009A3A8A" w:rsidSect="000F36E2">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1418" w:left="1418" w:header="34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CAC27" w14:textId="77777777" w:rsidR="00A638E0" w:rsidRDefault="00A638E0" w:rsidP="00137764">
      <w:r>
        <w:separator/>
      </w:r>
    </w:p>
  </w:endnote>
  <w:endnote w:type="continuationSeparator" w:id="0">
    <w:p w14:paraId="40B70A33" w14:textId="77777777" w:rsidR="00A638E0" w:rsidRDefault="00A638E0" w:rsidP="00137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8AC64" w14:textId="77777777" w:rsidR="009C130C" w:rsidRDefault="009C13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3C5CE" w14:textId="1C8DB6EB" w:rsidR="009E656A" w:rsidRPr="00BB742E" w:rsidRDefault="009E656A" w:rsidP="00BB742E">
    <w:pPr>
      <w:pStyle w:val="Header"/>
      <w:pBdr>
        <w:bottom w:val="single" w:sz="4" w:space="1" w:color="A04644"/>
      </w:pBdr>
      <w:jc w:val="right"/>
      <w:rPr>
        <w:rFonts w:ascii="Arial" w:hAnsi="Arial" w:cs="Arial"/>
        <w:spacing w:val="-45"/>
        <w:sz w:val="16"/>
        <w:szCs w:val="16"/>
        <w:lang w:val="fr-BE"/>
      </w:rPr>
    </w:pPr>
    <w:r w:rsidRPr="009D690B">
      <w:rPr>
        <w:rFonts w:ascii="Arial" w:hAnsi="Arial" w:cs="Arial"/>
        <w:spacing w:val="-45"/>
        <w:sz w:val="16"/>
        <w:szCs w:val="16"/>
      </w:rPr>
      <w:fldChar w:fldCharType="begin"/>
    </w:r>
    <w:r w:rsidRPr="00BB742E">
      <w:rPr>
        <w:rFonts w:ascii="Arial" w:hAnsi="Arial" w:cs="Arial"/>
        <w:spacing w:val="-45"/>
        <w:sz w:val="16"/>
        <w:szCs w:val="16"/>
        <w:lang w:val="fr-BE"/>
      </w:rPr>
      <w:instrText xml:space="preserve"> PAGE   \* MERGEFORMAT </w:instrText>
    </w:r>
    <w:r w:rsidRPr="009D690B">
      <w:rPr>
        <w:rFonts w:ascii="Arial" w:hAnsi="Arial" w:cs="Arial"/>
        <w:spacing w:val="-45"/>
        <w:sz w:val="16"/>
        <w:szCs w:val="16"/>
      </w:rPr>
      <w:fldChar w:fldCharType="separate"/>
    </w:r>
    <w:r w:rsidR="00E34D52">
      <w:rPr>
        <w:rFonts w:ascii="Arial" w:hAnsi="Arial" w:cs="Arial"/>
        <w:noProof/>
        <w:spacing w:val="-45"/>
        <w:sz w:val="16"/>
        <w:szCs w:val="16"/>
        <w:lang w:val="fr-BE"/>
      </w:rPr>
      <w:t>1</w:t>
    </w:r>
    <w:r w:rsidRPr="009D690B">
      <w:rPr>
        <w:rFonts w:ascii="Arial" w:hAnsi="Arial" w:cs="Arial"/>
        <w:noProof/>
        <w:spacing w:val="-45"/>
        <w:sz w:val="16"/>
        <w:szCs w:val="16"/>
      </w:rPr>
      <w:fldChar w:fldCharType="end"/>
    </w:r>
  </w:p>
  <w:p w14:paraId="05D81A40" w14:textId="2FDDA0D4" w:rsidR="009E656A" w:rsidRPr="00BB742E" w:rsidRDefault="009E656A" w:rsidP="006E2A4B">
    <w:pPr>
      <w:rPr>
        <w:rFonts w:ascii="Arial" w:eastAsia="Arial" w:hAnsi="Arial" w:cs="Arial"/>
        <w:b/>
        <w:noProof/>
        <w:sz w:val="16"/>
        <w:szCs w:val="16"/>
        <w:lang w:val="fr-BE"/>
      </w:rPr>
    </w:pPr>
    <w:r w:rsidRPr="00BB742E">
      <w:rPr>
        <w:rFonts w:ascii="Arial" w:eastAsia="Arial" w:hAnsi="Arial" w:cs="Arial"/>
        <w:b/>
        <w:noProof/>
        <w:sz w:val="16"/>
        <w:szCs w:val="16"/>
        <w:lang w:val="fr-BE"/>
      </w:rPr>
      <w:t xml:space="preserve">ACCIS IVZW </w:t>
    </w:r>
    <w:r w:rsidRPr="009D690B">
      <w:rPr>
        <w:rFonts w:ascii="Arial" w:eastAsia="Arial" w:hAnsi="Arial" w:cs="Arial"/>
        <w:b/>
        <w:noProof/>
        <w:sz w:val="16"/>
        <w:szCs w:val="16"/>
      </w:rPr>
      <w:sym w:font="Wingdings" w:char="F09F"/>
    </w:r>
    <w:r w:rsidRPr="00BB742E">
      <w:rPr>
        <w:rFonts w:ascii="Arial" w:eastAsia="Arial" w:hAnsi="Arial" w:cs="Arial"/>
        <w:b/>
        <w:noProof/>
        <w:sz w:val="16"/>
        <w:szCs w:val="16"/>
        <w:lang w:val="fr-BE"/>
      </w:rPr>
      <w:t xml:space="preserve"> p/a Interel </w:t>
    </w:r>
    <w:r w:rsidRPr="009D690B">
      <w:rPr>
        <w:rFonts w:ascii="Arial" w:eastAsia="Arial" w:hAnsi="Arial" w:cs="Arial"/>
        <w:b/>
        <w:noProof/>
        <w:sz w:val="16"/>
        <w:szCs w:val="16"/>
      </w:rPr>
      <w:sym w:font="Wingdings" w:char="F09F"/>
    </w:r>
    <w:r w:rsidRPr="00BB742E">
      <w:rPr>
        <w:rFonts w:ascii="Arial" w:eastAsia="Arial" w:hAnsi="Arial" w:cs="Arial"/>
        <w:b/>
        <w:noProof/>
        <w:sz w:val="16"/>
        <w:szCs w:val="16"/>
        <w:lang w:val="fr-BE"/>
      </w:rPr>
      <w:t xml:space="preserve"> Rue du Luxembourg 22-24 </w:t>
    </w:r>
    <w:r w:rsidRPr="009D690B">
      <w:rPr>
        <w:rFonts w:ascii="Arial" w:eastAsia="Arial" w:hAnsi="Arial" w:cs="Arial"/>
        <w:b/>
        <w:noProof/>
        <w:sz w:val="16"/>
        <w:szCs w:val="16"/>
      </w:rPr>
      <w:sym w:font="Wingdings" w:char="F09F"/>
    </w:r>
    <w:r w:rsidRPr="00BB742E">
      <w:rPr>
        <w:rFonts w:ascii="Arial" w:eastAsia="Arial" w:hAnsi="Arial" w:cs="Arial"/>
        <w:b/>
        <w:noProof/>
        <w:sz w:val="16"/>
        <w:szCs w:val="16"/>
        <w:lang w:val="fr-BE"/>
      </w:rPr>
      <w:t xml:space="preserve"> 1000 Brussels</w:t>
    </w:r>
  </w:p>
  <w:p w14:paraId="04416913" w14:textId="4047EC0A" w:rsidR="009E656A" w:rsidRPr="00D334E9" w:rsidRDefault="009E656A" w:rsidP="00C876DD">
    <w:pPr>
      <w:spacing w:after="160"/>
      <w:rPr>
        <w:rFonts w:ascii="Arial" w:hAnsi="Arial" w:cs="Arial"/>
        <w:color w:val="000000"/>
        <w:sz w:val="16"/>
        <w:szCs w:val="16"/>
        <w:lang w:val="es-ES"/>
      </w:rPr>
    </w:pPr>
    <w:r w:rsidRPr="00D334E9">
      <w:rPr>
        <w:rFonts w:ascii="Arial" w:hAnsi="Arial" w:cs="Arial"/>
        <w:color w:val="000000"/>
        <w:sz w:val="16"/>
        <w:szCs w:val="16"/>
        <w:lang w:val="es-ES"/>
      </w:rPr>
      <w:t xml:space="preserve">+ 32 2 761 66 93 / </w:t>
    </w:r>
    <w:hyperlink r:id="rId1" w:history="1">
      <w:r w:rsidRPr="00D334E9">
        <w:rPr>
          <w:rStyle w:val="Hyperlink"/>
          <w:rFonts w:ascii="Arial" w:hAnsi="Arial" w:cs="Arial"/>
          <w:sz w:val="16"/>
          <w:szCs w:val="16"/>
          <w:lang w:val="es-ES"/>
        </w:rPr>
        <w:t>secretariat@accis.eu</w:t>
      </w:r>
    </w:hyperlink>
    <w:r w:rsidRPr="00D334E9">
      <w:rPr>
        <w:rFonts w:ascii="Arial" w:hAnsi="Arial" w:cs="Arial"/>
        <w:color w:val="000000"/>
        <w:sz w:val="16"/>
        <w:szCs w:val="16"/>
        <w:lang w:val="es-ES"/>
      </w:rPr>
      <w:t xml:space="preserve"> / </w:t>
    </w:r>
    <w:hyperlink r:id="rId2" w:history="1">
      <w:r w:rsidRPr="00D334E9">
        <w:rPr>
          <w:rStyle w:val="Hyperlink"/>
          <w:rFonts w:ascii="Arial" w:hAnsi="Arial" w:cs="Arial"/>
          <w:sz w:val="16"/>
          <w:szCs w:val="16"/>
          <w:lang w:val="es-ES"/>
        </w:rPr>
        <w:t>www.accis.eu</w:t>
      </w:r>
    </w:hyperlink>
    <w:r w:rsidRPr="00D334E9">
      <w:rPr>
        <w:rFonts w:ascii="Arial" w:hAnsi="Arial" w:cs="Arial"/>
        <w:color w:val="0070C0"/>
        <w:sz w:val="16"/>
        <w:szCs w:val="16"/>
        <w:lang w:val="es-ES"/>
      </w:rPr>
      <w:t xml:space="preserve"> </w:t>
    </w:r>
    <w:r w:rsidRPr="00D334E9">
      <w:rPr>
        <w:rFonts w:ascii="Arial" w:hAnsi="Arial" w:cs="Arial"/>
        <w:color w:val="000000"/>
        <w:sz w:val="16"/>
        <w:szCs w:val="16"/>
        <w:lang w:val="es-ES"/>
      </w:rPr>
      <w:t xml:space="preserve">/ EU </w:t>
    </w:r>
    <w:proofErr w:type="spellStart"/>
    <w:r w:rsidRPr="00D334E9">
      <w:rPr>
        <w:rFonts w:ascii="Arial" w:hAnsi="Arial" w:cs="Arial"/>
        <w:color w:val="000000"/>
        <w:sz w:val="16"/>
        <w:szCs w:val="16"/>
        <w:lang w:val="es-ES"/>
      </w:rPr>
      <w:t>Transparency</w:t>
    </w:r>
    <w:proofErr w:type="spellEnd"/>
    <w:r w:rsidRPr="00D334E9">
      <w:rPr>
        <w:rFonts w:ascii="Arial" w:hAnsi="Arial" w:cs="Arial"/>
        <w:color w:val="000000"/>
        <w:sz w:val="16"/>
        <w:szCs w:val="16"/>
        <w:lang w:val="es-ES"/>
      </w:rPr>
      <w:t xml:space="preserve"> </w:t>
    </w:r>
    <w:proofErr w:type="spellStart"/>
    <w:r w:rsidRPr="00D334E9">
      <w:rPr>
        <w:rFonts w:ascii="Arial" w:hAnsi="Arial" w:cs="Arial"/>
        <w:color w:val="000000"/>
        <w:sz w:val="16"/>
        <w:szCs w:val="16"/>
        <w:lang w:val="es-ES"/>
      </w:rPr>
      <w:t>Register</w:t>
    </w:r>
    <w:proofErr w:type="spellEnd"/>
    <w:r w:rsidRPr="00D334E9">
      <w:rPr>
        <w:rFonts w:ascii="Arial" w:hAnsi="Arial" w:cs="Arial"/>
        <w:color w:val="000000"/>
        <w:sz w:val="16"/>
        <w:szCs w:val="16"/>
        <w:lang w:val="es-ES"/>
      </w:rPr>
      <w:t>: 21868711871-63 </w:t>
    </w:r>
  </w:p>
  <w:p w14:paraId="4802556A" w14:textId="77777777" w:rsidR="009E656A" w:rsidRPr="00C35277" w:rsidRDefault="009E656A" w:rsidP="006E2A4B">
    <w:pPr>
      <w:rPr>
        <w:rFonts w:cs="Arial"/>
        <w:color w:val="000000"/>
        <w:sz w:val="16"/>
        <w:szCs w:val="16"/>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282D0" w14:textId="77777777" w:rsidR="009C130C" w:rsidRDefault="009C1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29813" w14:textId="77777777" w:rsidR="00A638E0" w:rsidRDefault="00A638E0" w:rsidP="00137764">
      <w:r>
        <w:separator/>
      </w:r>
    </w:p>
  </w:footnote>
  <w:footnote w:type="continuationSeparator" w:id="0">
    <w:p w14:paraId="30430303" w14:textId="77777777" w:rsidR="00A638E0" w:rsidRDefault="00A638E0" w:rsidP="00137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DC399" w14:textId="77777777" w:rsidR="009C130C" w:rsidRDefault="009C13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DC4A1" w14:textId="77777777" w:rsidR="009E656A" w:rsidRDefault="009E656A" w:rsidP="000F36E2">
    <w:pPr>
      <w:pStyle w:val="Header"/>
    </w:pPr>
    <w:r>
      <w:rPr>
        <w:noProof/>
        <w:lang w:val="it-IT" w:eastAsia="it-IT"/>
      </w:rPr>
      <w:drawing>
        <wp:anchor distT="0" distB="0" distL="114300" distR="114300" simplePos="0" relativeHeight="251662848" behindDoc="0" locked="0" layoutInCell="1" allowOverlap="1" wp14:anchorId="6FE7C7E1" wp14:editId="2EBACDFA">
          <wp:simplePos x="0" y="0"/>
          <wp:positionH relativeFrom="column">
            <wp:posOffset>-80645</wp:posOffset>
          </wp:positionH>
          <wp:positionV relativeFrom="paragraph">
            <wp:posOffset>236855</wp:posOffset>
          </wp:positionV>
          <wp:extent cx="5976000" cy="980518"/>
          <wp:effectExtent l="0" t="0" r="571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6000" cy="980518"/>
                  </a:xfrm>
                  <a:prstGeom prst="rect">
                    <a:avLst/>
                  </a:prstGeom>
                  <a:noFill/>
                  <a:ln>
                    <a:noFill/>
                  </a:ln>
                </pic:spPr>
              </pic:pic>
            </a:graphicData>
          </a:graphic>
        </wp:anchor>
      </w:drawing>
    </w:r>
  </w:p>
  <w:p w14:paraId="74BD3CC9" w14:textId="77777777" w:rsidR="009E656A" w:rsidRDefault="009E65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DED46" w14:textId="77777777" w:rsidR="009C130C" w:rsidRDefault="009C1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970C7"/>
    <w:multiLevelType w:val="hybridMultilevel"/>
    <w:tmpl w:val="18DE82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BD6529"/>
    <w:multiLevelType w:val="hybridMultilevel"/>
    <w:tmpl w:val="60C01AF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0E190CFB"/>
    <w:multiLevelType w:val="hybridMultilevel"/>
    <w:tmpl w:val="6B3440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CF5E44"/>
    <w:multiLevelType w:val="multilevel"/>
    <w:tmpl w:val="26C4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236985"/>
    <w:multiLevelType w:val="multilevel"/>
    <w:tmpl w:val="B488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630E97"/>
    <w:multiLevelType w:val="hybridMultilevel"/>
    <w:tmpl w:val="F6E8E9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6904F3"/>
    <w:multiLevelType w:val="hybridMultilevel"/>
    <w:tmpl w:val="DB7490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0F6E1F"/>
    <w:multiLevelType w:val="multilevel"/>
    <w:tmpl w:val="C586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4708CF"/>
    <w:multiLevelType w:val="multilevel"/>
    <w:tmpl w:val="3AE6D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7435AA"/>
    <w:multiLevelType w:val="hybridMultilevel"/>
    <w:tmpl w:val="D01A08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A46FCD"/>
    <w:multiLevelType w:val="multilevel"/>
    <w:tmpl w:val="B7F4C4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8A039D"/>
    <w:multiLevelType w:val="hybridMultilevel"/>
    <w:tmpl w:val="D0D28304"/>
    <w:lvl w:ilvl="0" w:tplc="3164381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0E39BE"/>
    <w:multiLevelType w:val="hybridMultilevel"/>
    <w:tmpl w:val="31C22C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257539"/>
    <w:multiLevelType w:val="hybridMultilevel"/>
    <w:tmpl w:val="DB749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8D06D8"/>
    <w:multiLevelType w:val="hybridMultilevel"/>
    <w:tmpl w:val="50FC39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BD53C60"/>
    <w:multiLevelType w:val="hybridMultilevel"/>
    <w:tmpl w:val="27B499E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CF43ED9"/>
    <w:multiLevelType w:val="multilevel"/>
    <w:tmpl w:val="787C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B040D5"/>
    <w:multiLevelType w:val="multilevel"/>
    <w:tmpl w:val="ED2E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C045C5"/>
    <w:multiLevelType w:val="hybridMultilevel"/>
    <w:tmpl w:val="D8F25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063A0E"/>
    <w:multiLevelType w:val="multilevel"/>
    <w:tmpl w:val="DA104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173D45"/>
    <w:multiLevelType w:val="multilevel"/>
    <w:tmpl w:val="A3BE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FA21707"/>
    <w:multiLevelType w:val="hybridMultilevel"/>
    <w:tmpl w:val="19C0195C"/>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63A02EF"/>
    <w:multiLevelType w:val="multilevel"/>
    <w:tmpl w:val="56988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124CAB"/>
    <w:multiLevelType w:val="hybridMultilevel"/>
    <w:tmpl w:val="B75CEB3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97E6763"/>
    <w:multiLevelType w:val="hybridMultilevel"/>
    <w:tmpl w:val="3998FD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392770A"/>
    <w:multiLevelType w:val="hybridMultilevel"/>
    <w:tmpl w:val="DB749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03298"/>
    <w:multiLevelType w:val="multilevel"/>
    <w:tmpl w:val="74DC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EC63990"/>
    <w:multiLevelType w:val="hybridMultilevel"/>
    <w:tmpl w:val="17768D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CB6A53"/>
    <w:multiLevelType w:val="multilevel"/>
    <w:tmpl w:val="5F16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3775391"/>
    <w:multiLevelType w:val="hybridMultilevel"/>
    <w:tmpl w:val="17768D3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5555DF2"/>
    <w:multiLevelType w:val="hybridMultilevel"/>
    <w:tmpl w:val="CA3C1758"/>
    <w:lvl w:ilvl="0" w:tplc="6FA2FB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C33783"/>
    <w:multiLevelType w:val="hybridMultilevel"/>
    <w:tmpl w:val="AA3C7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8F5FB5"/>
    <w:multiLevelType w:val="hybridMultilevel"/>
    <w:tmpl w:val="DB749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394915"/>
    <w:multiLevelType w:val="multilevel"/>
    <w:tmpl w:val="E6143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737045"/>
    <w:multiLevelType w:val="multilevel"/>
    <w:tmpl w:val="A7D29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D9451AB"/>
    <w:multiLevelType w:val="hybridMultilevel"/>
    <w:tmpl w:val="19C0195C"/>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84315A3"/>
    <w:multiLevelType w:val="hybridMultilevel"/>
    <w:tmpl w:val="9A80CE96"/>
    <w:lvl w:ilvl="0" w:tplc="04090017">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9181D4B"/>
    <w:multiLevelType w:val="hybridMultilevel"/>
    <w:tmpl w:val="F72A9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9471991"/>
    <w:multiLevelType w:val="hybridMultilevel"/>
    <w:tmpl w:val="DB749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B37FE8"/>
    <w:multiLevelType w:val="multilevel"/>
    <w:tmpl w:val="944489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19E13ED"/>
    <w:multiLevelType w:val="hybridMultilevel"/>
    <w:tmpl w:val="5852D49A"/>
    <w:lvl w:ilvl="0" w:tplc="0409000F">
      <w:start w:val="1"/>
      <w:numFmt w:val="decimal"/>
      <w:lvlText w:val="%1."/>
      <w:lvlJc w:val="left"/>
      <w:pPr>
        <w:ind w:left="36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1" w15:restartNumberingAfterBreak="0">
    <w:nsid w:val="758A7F7C"/>
    <w:multiLevelType w:val="hybridMultilevel"/>
    <w:tmpl w:val="19C0195C"/>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A317F7E"/>
    <w:multiLevelType w:val="hybridMultilevel"/>
    <w:tmpl w:val="BCE4E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AA4E40"/>
    <w:multiLevelType w:val="hybridMultilevel"/>
    <w:tmpl w:val="702A9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C842D3"/>
    <w:multiLevelType w:val="hybridMultilevel"/>
    <w:tmpl w:val="17768D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1"/>
  </w:num>
  <w:num w:numId="3">
    <w:abstractNumId w:val="14"/>
  </w:num>
  <w:num w:numId="4">
    <w:abstractNumId w:val="43"/>
  </w:num>
  <w:num w:numId="5">
    <w:abstractNumId w:val="32"/>
  </w:num>
  <w:num w:numId="6">
    <w:abstractNumId w:val="6"/>
  </w:num>
  <w:num w:numId="7">
    <w:abstractNumId w:val="3"/>
  </w:num>
  <w:num w:numId="8">
    <w:abstractNumId w:val="7"/>
  </w:num>
  <w:num w:numId="9">
    <w:abstractNumId w:val="20"/>
  </w:num>
  <w:num w:numId="10">
    <w:abstractNumId w:val="28"/>
  </w:num>
  <w:num w:numId="11">
    <w:abstractNumId w:val="26"/>
  </w:num>
  <w:num w:numId="12">
    <w:abstractNumId w:val="17"/>
  </w:num>
  <w:num w:numId="13">
    <w:abstractNumId w:val="19"/>
  </w:num>
  <w:num w:numId="14">
    <w:abstractNumId w:val="8"/>
  </w:num>
  <w:num w:numId="15">
    <w:abstractNumId w:val="16"/>
  </w:num>
  <w:num w:numId="16">
    <w:abstractNumId w:val="34"/>
  </w:num>
  <w:num w:numId="17">
    <w:abstractNumId w:val="22"/>
  </w:num>
  <w:num w:numId="18">
    <w:abstractNumId w:val="42"/>
  </w:num>
  <w:num w:numId="19">
    <w:abstractNumId w:val="36"/>
  </w:num>
  <w:num w:numId="20">
    <w:abstractNumId w:val="38"/>
  </w:num>
  <w:num w:numId="21">
    <w:abstractNumId w:val="10"/>
  </w:num>
  <w:num w:numId="22">
    <w:abstractNumId w:val="13"/>
  </w:num>
  <w:num w:numId="23">
    <w:abstractNumId w:val="39"/>
  </w:num>
  <w:num w:numId="24">
    <w:abstractNumId w:val="4"/>
  </w:num>
  <w:num w:numId="25">
    <w:abstractNumId w:val="33"/>
  </w:num>
  <w:num w:numId="26">
    <w:abstractNumId w:val="23"/>
  </w:num>
  <w:num w:numId="27">
    <w:abstractNumId w:val="25"/>
  </w:num>
  <w:num w:numId="28">
    <w:abstractNumId w:val="29"/>
  </w:num>
  <w:num w:numId="29">
    <w:abstractNumId w:val="12"/>
  </w:num>
  <w:num w:numId="30">
    <w:abstractNumId w:val="27"/>
  </w:num>
  <w:num w:numId="31">
    <w:abstractNumId w:val="44"/>
  </w:num>
  <w:num w:numId="32">
    <w:abstractNumId w:val="9"/>
  </w:num>
  <w:num w:numId="33">
    <w:abstractNumId w:val="30"/>
  </w:num>
  <w:num w:numId="34">
    <w:abstractNumId w:val="11"/>
  </w:num>
  <w:num w:numId="35">
    <w:abstractNumId w:val="15"/>
  </w:num>
  <w:num w:numId="36">
    <w:abstractNumId w:val="35"/>
  </w:num>
  <w:num w:numId="37">
    <w:abstractNumId w:val="5"/>
  </w:num>
  <w:num w:numId="38">
    <w:abstractNumId w:val="0"/>
  </w:num>
  <w:num w:numId="39">
    <w:abstractNumId w:val="41"/>
  </w:num>
  <w:num w:numId="40">
    <w:abstractNumId w:val="18"/>
  </w:num>
  <w:num w:numId="41">
    <w:abstractNumId w:val="31"/>
  </w:num>
  <w:num w:numId="42">
    <w:abstractNumId w:val="21"/>
  </w:num>
  <w:num w:numId="43">
    <w:abstractNumId w:val="37"/>
  </w:num>
  <w:num w:numId="44">
    <w:abstractNumId w:val="24"/>
  </w:num>
  <w:num w:numId="4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764"/>
    <w:rsid w:val="000064DA"/>
    <w:rsid w:val="000209FC"/>
    <w:rsid w:val="0006122F"/>
    <w:rsid w:val="000623DC"/>
    <w:rsid w:val="00066DD6"/>
    <w:rsid w:val="0008312E"/>
    <w:rsid w:val="00096D6A"/>
    <w:rsid w:val="000A3481"/>
    <w:rsid w:val="000B50A5"/>
    <w:rsid w:val="000D514A"/>
    <w:rsid w:val="000F36E2"/>
    <w:rsid w:val="0010666C"/>
    <w:rsid w:val="00115FCF"/>
    <w:rsid w:val="00122003"/>
    <w:rsid w:val="00125350"/>
    <w:rsid w:val="001355F6"/>
    <w:rsid w:val="00137764"/>
    <w:rsid w:val="001645CD"/>
    <w:rsid w:val="00175EED"/>
    <w:rsid w:val="00183A0E"/>
    <w:rsid w:val="001E1E71"/>
    <w:rsid w:val="001E67A6"/>
    <w:rsid w:val="0020429B"/>
    <w:rsid w:val="002323F8"/>
    <w:rsid w:val="002337C2"/>
    <w:rsid w:val="00235308"/>
    <w:rsid w:val="00263A88"/>
    <w:rsid w:val="00264AE3"/>
    <w:rsid w:val="002A1735"/>
    <w:rsid w:val="002F00E3"/>
    <w:rsid w:val="00302A48"/>
    <w:rsid w:val="00321548"/>
    <w:rsid w:val="00323D2B"/>
    <w:rsid w:val="00332782"/>
    <w:rsid w:val="0034056A"/>
    <w:rsid w:val="00357DFD"/>
    <w:rsid w:val="003676FA"/>
    <w:rsid w:val="00382DE8"/>
    <w:rsid w:val="003A60E5"/>
    <w:rsid w:val="003B3439"/>
    <w:rsid w:val="003B7240"/>
    <w:rsid w:val="003D00BC"/>
    <w:rsid w:val="003D6BF9"/>
    <w:rsid w:val="004126BC"/>
    <w:rsid w:val="00412C4C"/>
    <w:rsid w:val="00413300"/>
    <w:rsid w:val="0042572B"/>
    <w:rsid w:val="00483538"/>
    <w:rsid w:val="00491C32"/>
    <w:rsid w:val="004B4FAF"/>
    <w:rsid w:val="004D3EE1"/>
    <w:rsid w:val="004E067A"/>
    <w:rsid w:val="004E1FCE"/>
    <w:rsid w:val="005015F5"/>
    <w:rsid w:val="00525EC9"/>
    <w:rsid w:val="005568F5"/>
    <w:rsid w:val="00560799"/>
    <w:rsid w:val="00564A80"/>
    <w:rsid w:val="00576118"/>
    <w:rsid w:val="005A46E2"/>
    <w:rsid w:val="005B2990"/>
    <w:rsid w:val="005B6717"/>
    <w:rsid w:val="005E31B2"/>
    <w:rsid w:val="00602772"/>
    <w:rsid w:val="00607D7F"/>
    <w:rsid w:val="006226FE"/>
    <w:rsid w:val="00646DF5"/>
    <w:rsid w:val="00656C3A"/>
    <w:rsid w:val="006608BD"/>
    <w:rsid w:val="006641DF"/>
    <w:rsid w:val="00664EE5"/>
    <w:rsid w:val="00665DC4"/>
    <w:rsid w:val="006967C8"/>
    <w:rsid w:val="006C5AF7"/>
    <w:rsid w:val="006D1486"/>
    <w:rsid w:val="006E2A4B"/>
    <w:rsid w:val="006F63B9"/>
    <w:rsid w:val="00716541"/>
    <w:rsid w:val="007236D7"/>
    <w:rsid w:val="0075322B"/>
    <w:rsid w:val="00785EA6"/>
    <w:rsid w:val="007C6A94"/>
    <w:rsid w:val="007E03A8"/>
    <w:rsid w:val="00821320"/>
    <w:rsid w:val="0082470C"/>
    <w:rsid w:val="008426FD"/>
    <w:rsid w:val="008535F0"/>
    <w:rsid w:val="008629A2"/>
    <w:rsid w:val="008808E9"/>
    <w:rsid w:val="00885E11"/>
    <w:rsid w:val="008976A5"/>
    <w:rsid w:val="008B1051"/>
    <w:rsid w:val="008C5414"/>
    <w:rsid w:val="008C5A37"/>
    <w:rsid w:val="0090490D"/>
    <w:rsid w:val="0091449B"/>
    <w:rsid w:val="00951797"/>
    <w:rsid w:val="00961554"/>
    <w:rsid w:val="00970019"/>
    <w:rsid w:val="0099383B"/>
    <w:rsid w:val="009A318D"/>
    <w:rsid w:val="009A3205"/>
    <w:rsid w:val="009A3A8A"/>
    <w:rsid w:val="009A5213"/>
    <w:rsid w:val="009C0155"/>
    <w:rsid w:val="009C130C"/>
    <w:rsid w:val="009D690B"/>
    <w:rsid w:val="009E297A"/>
    <w:rsid w:val="009E2CFE"/>
    <w:rsid w:val="009E47E4"/>
    <w:rsid w:val="009E6218"/>
    <w:rsid w:val="009E656A"/>
    <w:rsid w:val="009E7100"/>
    <w:rsid w:val="009F0BFC"/>
    <w:rsid w:val="009F3333"/>
    <w:rsid w:val="00A100A2"/>
    <w:rsid w:val="00A23464"/>
    <w:rsid w:val="00A3511A"/>
    <w:rsid w:val="00A567EF"/>
    <w:rsid w:val="00A638E0"/>
    <w:rsid w:val="00A67AAD"/>
    <w:rsid w:val="00A75593"/>
    <w:rsid w:val="00A9449F"/>
    <w:rsid w:val="00AB511E"/>
    <w:rsid w:val="00AC72DF"/>
    <w:rsid w:val="00AD1F2A"/>
    <w:rsid w:val="00AF5FFD"/>
    <w:rsid w:val="00B119FE"/>
    <w:rsid w:val="00B16BE5"/>
    <w:rsid w:val="00B669F7"/>
    <w:rsid w:val="00B918E5"/>
    <w:rsid w:val="00BB5E96"/>
    <w:rsid w:val="00BB742E"/>
    <w:rsid w:val="00BD0FA4"/>
    <w:rsid w:val="00BE4F55"/>
    <w:rsid w:val="00C17ED4"/>
    <w:rsid w:val="00C303A6"/>
    <w:rsid w:val="00C35277"/>
    <w:rsid w:val="00C43F24"/>
    <w:rsid w:val="00C771A7"/>
    <w:rsid w:val="00C876DD"/>
    <w:rsid w:val="00CA6450"/>
    <w:rsid w:val="00CC1948"/>
    <w:rsid w:val="00CC2D56"/>
    <w:rsid w:val="00CC6F8B"/>
    <w:rsid w:val="00D3047D"/>
    <w:rsid w:val="00D334E9"/>
    <w:rsid w:val="00D34E92"/>
    <w:rsid w:val="00D46B73"/>
    <w:rsid w:val="00D562A1"/>
    <w:rsid w:val="00D80797"/>
    <w:rsid w:val="00D849AF"/>
    <w:rsid w:val="00DC6448"/>
    <w:rsid w:val="00DD3079"/>
    <w:rsid w:val="00DD7C93"/>
    <w:rsid w:val="00DF7760"/>
    <w:rsid w:val="00E30D7C"/>
    <w:rsid w:val="00E34D52"/>
    <w:rsid w:val="00E366D4"/>
    <w:rsid w:val="00E43731"/>
    <w:rsid w:val="00E44352"/>
    <w:rsid w:val="00E67D1E"/>
    <w:rsid w:val="00E73991"/>
    <w:rsid w:val="00E8011B"/>
    <w:rsid w:val="00E9098F"/>
    <w:rsid w:val="00EA5E96"/>
    <w:rsid w:val="00EA6BA7"/>
    <w:rsid w:val="00EC10E3"/>
    <w:rsid w:val="00F0241C"/>
    <w:rsid w:val="00F05447"/>
    <w:rsid w:val="00F21B18"/>
    <w:rsid w:val="00F31FE6"/>
    <w:rsid w:val="00F40E0A"/>
    <w:rsid w:val="00F46716"/>
    <w:rsid w:val="00F62086"/>
    <w:rsid w:val="00F6425E"/>
    <w:rsid w:val="00F70518"/>
    <w:rsid w:val="00F92FDE"/>
    <w:rsid w:val="00FA7CFE"/>
    <w:rsid w:val="00FF2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27EBF"/>
  <w15:chartTrackingRefBased/>
  <w15:docId w15:val="{89DB0AA6-EED0-4E58-B830-9DE57F173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086"/>
    <w:pPr>
      <w:spacing w:after="0"/>
    </w:pPr>
    <w:rPr>
      <w:rFonts w:ascii="Times New Roman" w:eastAsia="Times New Roman" w:hAnsi="Times New Roman" w:cs="Times New Roman"/>
      <w:sz w:val="24"/>
      <w:szCs w:val="24"/>
      <w:lang w:val="en-US" w:eastAsia="en-GB"/>
    </w:rPr>
  </w:style>
  <w:style w:type="paragraph" w:styleId="Heading1">
    <w:name w:val="heading 1"/>
    <w:basedOn w:val="Normal"/>
    <w:next w:val="Normal"/>
    <w:link w:val="Heading1Char"/>
    <w:uiPriority w:val="9"/>
    <w:qFormat/>
    <w:rsid w:val="00D34E92"/>
    <w:pPr>
      <w:keepNext/>
      <w:keepLines/>
      <w:spacing w:before="480"/>
      <w:outlineLvl w:val="0"/>
    </w:pPr>
    <w:rPr>
      <w:rFonts w:asciiTheme="majorHAnsi" w:eastAsiaTheme="majorEastAsia" w:hAnsiTheme="majorHAnsi" w:cstheme="majorBidi"/>
      <w:b/>
      <w:bCs/>
      <w:color w:val="798F23" w:themeColor="accent1" w:themeShade="BF"/>
      <w:sz w:val="28"/>
      <w:szCs w:val="28"/>
    </w:rPr>
  </w:style>
  <w:style w:type="paragraph" w:styleId="Heading2">
    <w:name w:val="heading 2"/>
    <w:basedOn w:val="Normal"/>
    <w:next w:val="Normal"/>
    <w:link w:val="Heading2Char"/>
    <w:uiPriority w:val="9"/>
    <w:semiHidden/>
    <w:unhideWhenUsed/>
    <w:qFormat/>
    <w:rsid w:val="00D34E92"/>
    <w:pPr>
      <w:keepNext/>
      <w:keepLines/>
      <w:spacing w:before="200"/>
      <w:outlineLvl w:val="1"/>
    </w:pPr>
    <w:rPr>
      <w:rFonts w:asciiTheme="majorHAnsi" w:eastAsiaTheme="majorEastAsia" w:hAnsiTheme="majorHAnsi" w:cstheme="majorBidi"/>
      <w:b/>
      <w:bCs/>
      <w:color w:val="A2C02F" w:themeColor="accent1"/>
      <w:sz w:val="26"/>
      <w:szCs w:val="26"/>
    </w:rPr>
  </w:style>
  <w:style w:type="paragraph" w:styleId="Heading3">
    <w:name w:val="heading 3"/>
    <w:basedOn w:val="Normal"/>
    <w:next w:val="Normal"/>
    <w:link w:val="Heading3Char"/>
    <w:uiPriority w:val="9"/>
    <w:semiHidden/>
    <w:unhideWhenUsed/>
    <w:qFormat/>
    <w:rsid w:val="00D34E92"/>
    <w:pPr>
      <w:keepNext/>
      <w:keepLines/>
      <w:spacing w:before="200"/>
      <w:outlineLvl w:val="2"/>
    </w:pPr>
    <w:rPr>
      <w:rFonts w:asciiTheme="majorHAnsi" w:eastAsiaTheme="majorEastAsia" w:hAnsiTheme="majorHAnsi" w:cstheme="majorBidi"/>
      <w:b/>
      <w:bCs/>
      <w:color w:val="A2C02F" w:themeColor="accent1"/>
    </w:rPr>
  </w:style>
  <w:style w:type="paragraph" w:styleId="Heading4">
    <w:name w:val="heading 4"/>
    <w:basedOn w:val="Normal"/>
    <w:next w:val="Normal"/>
    <w:link w:val="Heading4Char"/>
    <w:uiPriority w:val="9"/>
    <w:semiHidden/>
    <w:unhideWhenUsed/>
    <w:qFormat/>
    <w:rsid w:val="00D34E92"/>
    <w:pPr>
      <w:keepNext/>
      <w:keepLines/>
      <w:spacing w:before="200"/>
      <w:outlineLvl w:val="3"/>
    </w:pPr>
    <w:rPr>
      <w:rFonts w:asciiTheme="majorHAnsi" w:eastAsiaTheme="majorEastAsia" w:hAnsiTheme="majorHAnsi" w:cstheme="majorBidi"/>
      <w:b/>
      <w:bCs/>
      <w:i/>
      <w:iCs/>
      <w:color w:val="A2C02F" w:themeColor="accent1"/>
    </w:rPr>
  </w:style>
  <w:style w:type="paragraph" w:styleId="Heading5">
    <w:name w:val="heading 5"/>
    <w:basedOn w:val="Normal"/>
    <w:next w:val="Normal"/>
    <w:link w:val="Heading5Char"/>
    <w:uiPriority w:val="9"/>
    <w:semiHidden/>
    <w:unhideWhenUsed/>
    <w:qFormat/>
    <w:rsid w:val="00D34E92"/>
    <w:pPr>
      <w:keepNext/>
      <w:keepLines/>
      <w:spacing w:before="200"/>
      <w:outlineLvl w:val="4"/>
    </w:pPr>
    <w:rPr>
      <w:rFonts w:asciiTheme="majorHAnsi" w:eastAsiaTheme="majorEastAsia" w:hAnsiTheme="majorHAnsi" w:cstheme="majorBidi"/>
      <w:color w:val="505F17" w:themeColor="accent1" w:themeShade="7F"/>
    </w:rPr>
  </w:style>
  <w:style w:type="paragraph" w:styleId="Heading6">
    <w:name w:val="heading 6"/>
    <w:basedOn w:val="Normal"/>
    <w:next w:val="Normal"/>
    <w:link w:val="Heading6Char"/>
    <w:uiPriority w:val="9"/>
    <w:semiHidden/>
    <w:unhideWhenUsed/>
    <w:qFormat/>
    <w:rsid w:val="00D34E92"/>
    <w:pPr>
      <w:keepNext/>
      <w:keepLines/>
      <w:spacing w:before="200"/>
      <w:outlineLvl w:val="5"/>
    </w:pPr>
    <w:rPr>
      <w:rFonts w:asciiTheme="majorHAnsi" w:eastAsiaTheme="majorEastAsia" w:hAnsiTheme="majorHAnsi" w:cstheme="majorBidi"/>
      <w:i/>
      <w:iCs/>
      <w:color w:val="505F17" w:themeColor="accent1" w:themeShade="7F"/>
    </w:rPr>
  </w:style>
  <w:style w:type="paragraph" w:styleId="Heading7">
    <w:name w:val="heading 7"/>
    <w:basedOn w:val="Normal"/>
    <w:next w:val="Normal"/>
    <w:link w:val="Heading7Char"/>
    <w:uiPriority w:val="9"/>
    <w:semiHidden/>
    <w:unhideWhenUsed/>
    <w:qFormat/>
    <w:rsid w:val="00D34E9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34E92"/>
    <w:pPr>
      <w:keepNext/>
      <w:keepLines/>
      <w:spacing w:before="200"/>
      <w:outlineLvl w:val="7"/>
    </w:pPr>
    <w:rPr>
      <w:rFonts w:asciiTheme="majorHAnsi" w:eastAsiaTheme="majorEastAsia" w:hAnsiTheme="majorHAnsi" w:cstheme="majorBidi"/>
      <w:color w:val="A2C02F" w:themeColor="accent1"/>
      <w:sz w:val="20"/>
      <w:szCs w:val="20"/>
    </w:rPr>
  </w:style>
  <w:style w:type="paragraph" w:styleId="Heading9">
    <w:name w:val="heading 9"/>
    <w:basedOn w:val="Normal"/>
    <w:next w:val="Normal"/>
    <w:link w:val="Heading9Char"/>
    <w:uiPriority w:val="9"/>
    <w:semiHidden/>
    <w:unhideWhenUsed/>
    <w:qFormat/>
    <w:rsid w:val="00D34E9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E92"/>
    <w:rPr>
      <w:rFonts w:asciiTheme="majorHAnsi" w:eastAsiaTheme="majorEastAsia" w:hAnsiTheme="majorHAnsi" w:cstheme="majorBidi"/>
      <w:b/>
      <w:bCs/>
      <w:color w:val="798F23" w:themeColor="accent1" w:themeShade="BF"/>
      <w:sz w:val="28"/>
      <w:szCs w:val="28"/>
    </w:rPr>
  </w:style>
  <w:style w:type="character" w:customStyle="1" w:styleId="Heading2Char">
    <w:name w:val="Heading 2 Char"/>
    <w:basedOn w:val="DefaultParagraphFont"/>
    <w:link w:val="Heading2"/>
    <w:uiPriority w:val="9"/>
    <w:semiHidden/>
    <w:rsid w:val="00D34E92"/>
    <w:rPr>
      <w:rFonts w:asciiTheme="majorHAnsi" w:eastAsiaTheme="majorEastAsia" w:hAnsiTheme="majorHAnsi" w:cstheme="majorBidi"/>
      <w:b/>
      <w:bCs/>
      <w:color w:val="A2C02F" w:themeColor="accent1"/>
      <w:sz w:val="26"/>
      <w:szCs w:val="26"/>
    </w:rPr>
  </w:style>
  <w:style w:type="character" w:customStyle="1" w:styleId="Heading3Char">
    <w:name w:val="Heading 3 Char"/>
    <w:basedOn w:val="DefaultParagraphFont"/>
    <w:link w:val="Heading3"/>
    <w:uiPriority w:val="9"/>
    <w:semiHidden/>
    <w:rsid w:val="00D34E92"/>
    <w:rPr>
      <w:rFonts w:asciiTheme="majorHAnsi" w:eastAsiaTheme="majorEastAsia" w:hAnsiTheme="majorHAnsi" w:cstheme="majorBidi"/>
      <w:b/>
      <w:bCs/>
      <w:color w:val="A2C02F" w:themeColor="accent1"/>
    </w:rPr>
  </w:style>
  <w:style w:type="character" w:customStyle="1" w:styleId="Heading4Char">
    <w:name w:val="Heading 4 Char"/>
    <w:basedOn w:val="DefaultParagraphFont"/>
    <w:link w:val="Heading4"/>
    <w:uiPriority w:val="9"/>
    <w:semiHidden/>
    <w:rsid w:val="00D34E92"/>
    <w:rPr>
      <w:rFonts w:asciiTheme="majorHAnsi" w:eastAsiaTheme="majorEastAsia" w:hAnsiTheme="majorHAnsi" w:cstheme="majorBidi"/>
      <w:b/>
      <w:bCs/>
      <w:i/>
      <w:iCs/>
      <w:color w:val="A2C02F" w:themeColor="accent1"/>
    </w:rPr>
  </w:style>
  <w:style w:type="character" w:customStyle="1" w:styleId="Heading5Char">
    <w:name w:val="Heading 5 Char"/>
    <w:basedOn w:val="DefaultParagraphFont"/>
    <w:link w:val="Heading5"/>
    <w:uiPriority w:val="9"/>
    <w:semiHidden/>
    <w:rsid w:val="00D34E92"/>
    <w:rPr>
      <w:rFonts w:asciiTheme="majorHAnsi" w:eastAsiaTheme="majorEastAsia" w:hAnsiTheme="majorHAnsi" w:cstheme="majorBidi"/>
      <w:color w:val="505F17" w:themeColor="accent1" w:themeShade="7F"/>
    </w:rPr>
  </w:style>
  <w:style w:type="character" w:customStyle="1" w:styleId="Heading6Char">
    <w:name w:val="Heading 6 Char"/>
    <w:basedOn w:val="DefaultParagraphFont"/>
    <w:link w:val="Heading6"/>
    <w:uiPriority w:val="9"/>
    <w:semiHidden/>
    <w:rsid w:val="00D34E92"/>
    <w:rPr>
      <w:rFonts w:asciiTheme="majorHAnsi" w:eastAsiaTheme="majorEastAsia" w:hAnsiTheme="majorHAnsi" w:cstheme="majorBidi"/>
      <w:i/>
      <w:iCs/>
      <w:color w:val="505F17" w:themeColor="accent1" w:themeShade="7F"/>
    </w:rPr>
  </w:style>
  <w:style w:type="character" w:customStyle="1" w:styleId="Heading7Char">
    <w:name w:val="Heading 7 Char"/>
    <w:basedOn w:val="DefaultParagraphFont"/>
    <w:link w:val="Heading7"/>
    <w:uiPriority w:val="9"/>
    <w:semiHidden/>
    <w:rsid w:val="00D34E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34E92"/>
    <w:rPr>
      <w:rFonts w:asciiTheme="majorHAnsi" w:eastAsiaTheme="majorEastAsia" w:hAnsiTheme="majorHAnsi" w:cstheme="majorBidi"/>
      <w:color w:val="A2C02F" w:themeColor="accent1"/>
      <w:sz w:val="20"/>
      <w:szCs w:val="20"/>
    </w:rPr>
  </w:style>
  <w:style w:type="character" w:customStyle="1" w:styleId="Heading9Char">
    <w:name w:val="Heading 9 Char"/>
    <w:basedOn w:val="DefaultParagraphFont"/>
    <w:link w:val="Heading9"/>
    <w:uiPriority w:val="9"/>
    <w:semiHidden/>
    <w:rsid w:val="00D34E9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34E92"/>
    <w:rPr>
      <w:b/>
      <w:bCs/>
      <w:color w:val="A2C02F" w:themeColor="accent1"/>
      <w:sz w:val="18"/>
      <w:szCs w:val="18"/>
    </w:rPr>
  </w:style>
  <w:style w:type="paragraph" w:styleId="Title">
    <w:name w:val="Title"/>
    <w:basedOn w:val="Normal"/>
    <w:next w:val="Normal"/>
    <w:link w:val="TitleChar"/>
    <w:uiPriority w:val="10"/>
    <w:qFormat/>
    <w:rsid w:val="00D34E92"/>
    <w:pPr>
      <w:pBdr>
        <w:bottom w:val="single" w:sz="8" w:space="4" w:color="A2C02F"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34E9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34E92"/>
    <w:pPr>
      <w:numPr>
        <w:ilvl w:val="1"/>
      </w:numPr>
    </w:pPr>
    <w:rPr>
      <w:rFonts w:asciiTheme="majorHAnsi" w:eastAsiaTheme="majorEastAsia" w:hAnsiTheme="majorHAnsi" w:cstheme="majorBidi"/>
      <w:i/>
      <w:iCs/>
      <w:color w:val="A2C02F" w:themeColor="accent1"/>
      <w:spacing w:val="15"/>
    </w:rPr>
  </w:style>
  <w:style w:type="character" w:customStyle="1" w:styleId="SubtitleChar">
    <w:name w:val="Subtitle Char"/>
    <w:basedOn w:val="DefaultParagraphFont"/>
    <w:link w:val="Subtitle"/>
    <w:uiPriority w:val="11"/>
    <w:rsid w:val="00D34E92"/>
    <w:rPr>
      <w:rFonts w:asciiTheme="majorHAnsi" w:eastAsiaTheme="majorEastAsia" w:hAnsiTheme="majorHAnsi" w:cstheme="majorBidi"/>
      <w:i/>
      <w:iCs/>
      <w:color w:val="A2C02F" w:themeColor="accent1"/>
      <w:spacing w:val="15"/>
      <w:sz w:val="24"/>
      <w:szCs w:val="24"/>
    </w:rPr>
  </w:style>
  <w:style w:type="character" w:styleId="Strong">
    <w:name w:val="Strong"/>
    <w:basedOn w:val="DefaultParagraphFont"/>
    <w:uiPriority w:val="22"/>
    <w:qFormat/>
    <w:rsid w:val="00D34E92"/>
    <w:rPr>
      <w:b/>
      <w:bCs/>
    </w:rPr>
  </w:style>
  <w:style w:type="character" w:styleId="Emphasis">
    <w:name w:val="Emphasis"/>
    <w:basedOn w:val="DefaultParagraphFont"/>
    <w:uiPriority w:val="20"/>
    <w:qFormat/>
    <w:rsid w:val="00D34E92"/>
    <w:rPr>
      <w:i/>
      <w:iCs/>
    </w:rPr>
  </w:style>
  <w:style w:type="paragraph" w:styleId="NoSpacing">
    <w:name w:val="No Spacing"/>
    <w:uiPriority w:val="1"/>
    <w:qFormat/>
    <w:rsid w:val="00D34E92"/>
    <w:pPr>
      <w:spacing w:after="0"/>
    </w:pPr>
  </w:style>
  <w:style w:type="paragraph" w:styleId="ListParagraph">
    <w:name w:val="List Paragraph"/>
    <w:aliases w:val="List Paragraph 1,NUMBERED PARAGRAPH"/>
    <w:basedOn w:val="Normal"/>
    <w:link w:val="ListParagraphChar"/>
    <w:uiPriority w:val="34"/>
    <w:qFormat/>
    <w:rsid w:val="00D34E92"/>
    <w:pPr>
      <w:ind w:left="720"/>
      <w:contextualSpacing/>
    </w:pPr>
  </w:style>
  <w:style w:type="paragraph" w:styleId="Quote">
    <w:name w:val="Quote"/>
    <w:basedOn w:val="Normal"/>
    <w:next w:val="Normal"/>
    <w:link w:val="QuoteChar"/>
    <w:uiPriority w:val="29"/>
    <w:qFormat/>
    <w:rsid w:val="00D34E92"/>
    <w:rPr>
      <w:i/>
      <w:iCs/>
      <w:color w:val="000000" w:themeColor="text1"/>
    </w:rPr>
  </w:style>
  <w:style w:type="character" w:customStyle="1" w:styleId="QuoteChar">
    <w:name w:val="Quote Char"/>
    <w:basedOn w:val="DefaultParagraphFont"/>
    <w:link w:val="Quote"/>
    <w:uiPriority w:val="29"/>
    <w:rsid w:val="00D34E92"/>
    <w:rPr>
      <w:i/>
      <w:iCs/>
      <w:color w:val="000000" w:themeColor="text1"/>
    </w:rPr>
  </w:style>
  <w:style w:type="paragraph" w:styleId="IntenseQuote">
    <w:name w:val="Intense Quote"/>
    <w:basedOn w:val="Normal"/>
    <w:next w:val="Normal"/>
    <w:link w:val="IntenseQuoteChar"/>
    <w:uiPriority w:val="30"/>
    <w:qFormat/>
    <w:rsid w:val="00D34E92"/>
    <w:pPr>
      <w:pBdr>
        <w:bottom w:val="single" w:sz="4" w:space="4" w:color="A2C02F" w:themeColor="accent1"/>
      </w:pBdr>
      <w:spacing w:before="200" w:after="280"/>
      <w:ind w:left="936" w:right="936"/>
    </w:pPr>
    <w:rPr>
      <w:b/>
      <w:bCs/>
      <w:i/>
      <w:iCs/>
      <w:color w:val="A2C02F" w:themeColor="accent1"/>
    </w:rPr>
  </w:style>
  <w:style w:type="character" w:customStyle="1" w:styleId="IntenseQuoteChar">
    <w:name w:val="Intense Quote Char"/>
    <w:basedOn w:val="DefaultParagraphFont"/>
    <w:link w:val="IntenseQuote"/>
    <w:uiPriority w:val="30"/>
    <w:rsid w:val="00D34E92"/>
    <w:rPr>
      <w:b/>
      <w:bCs/>
      <w:i/>
      <w:iCs/>
      <w:color w:val="A2C02F" w:themeColor="accent1"/>
    </w:rPr>
  </w:style>
  <w:style w:type="character" w:styleId="SubtleEmphasis">
    <w:name w:val="Subtle Emphasis"/>
    <w:basedOn w:val="DefaultParagraphFont"/>
    <w:uiPriority w:val="19"/>
    <w:qFormat/>
    <w:rsid w:val="00D34E92"/>
    <w:rPr>
      <w:i/>
      <w:iCs/>
      <w:color w:val="808080" w:themeColor="text1" w:themeTint="7F"/>
    </w:rPr>
  </w:style>
  <w:style w:type="character" w:styleId="IntenseEmphasis">
    <w:name w:val="Intense Emphasis"/>
    <w:basedOn w:val="DefaultParagraphFont"/>
    <w:uiPriority w:val="21"/>
    <w:qFormat/>
    <w:rsid w:val="00D34E92"/>
    <w:rPr>
      <w:b/>
      <w:bCs/>
      <w:i/>
      <w:iCs/>
      <w:color w:val="A2C02F" w:themeColor="accent1"/>
    </w:rPr>
  </w:style>
  <w:style w:type="character" w:styleId="SubtleReference">
    <w:name w:val="Subtle Reference"/>
    <w:basedOn w:val="DefaultParagraphFont"/>
    <w:uiPriority w:val="31"/>
    <w:qFormat/>
    <w:rsid w:val="00D34E92"/>
    <w:rPr>
      <w:smallCaps/>
      <w:color w:val="414042" w:themeColor="accent2"/>
      <w:u w:val="single"/>
    </w:rPr>
  </w:style>
  <w:style w:type="character" w:styleId="IntenseReference">
    <w:name w:val="Intense Reference"/>
    <w:basedOn w:val="DefaultParagraphFont"/>
    <w:uiPriority w:val="32"/>
    <w:qFormat/>
    <w:rsid w:val="00D34E92"/>
    <w:rPr>
      <w:b/>
      <w:bCs/>
      <w:smallCaps/>
      <w:color w:val="414042" w:themeColor="accent2"/>
      <w:spacing w:val="5"/>
      <w:u w:val="single"/>
    </w:rPr>
  </w:style>
  <w:style w:type="character" w:styleId="BookTitle">
    <w:name w:val="Book Title"/>
    <w:basedOn w:val="DefaultParagraphFont"/>
    <w:uiPriority w:val="33"/>
    <w:qFormat/>
    <w:rsid w:val="00D34E92"/>
    <w:rPr>
      <w:b/>
      <w:bCs/>
      <w:smallCaps/>
      <w:spacing w:val="5"/>
    </w:rPr>
  </w:style>
  <w:style w:type="paragraph" w:styleId="TOCHeading">
    <w:name w:val="TOC Heading"/>
    <w:basedOn w:val="Heading1"/>
    <w:next w:val="Normal"/>
    <w:uiPriority w:val="39"/>
    <w:unhideWhenUsed/>
    <w:qFormat/>
    <w:rsid w:val="00D34E92"/>
    <w:pPr>
      <w:outlineLvl w:val="9"/>
    </w:pPr>
  </w:style>
  <w:style w:type="paragraph" w:styleId="Header">
    <w:name w:val="header"/>
    <w:basedOn w:val="Normal"/>
    <w:link w:val="HeaderChar"/>
    <w:uiPriority w:val="99"/>
    <w:unhideWhenUsed/>
    <w:rsid w:val="00137764"/>
    <w:pPr>
      <w:tabs>
        <w:tab w:val="center" w:pos="4536"/>
        <w:tab w:val="right" w:pos="9072"/>
      </w:tabs>
    </w:pPr>
  </w:style>
  <w:style w:type="character" w:customStyle="1" w:styleId="HeaderChar">
    <w:name w:val="Header Char"/>
    <w:basedOn w:val="DefaultParagraphFont"/>
    <w:link w:val="Header"/>
    <w:uiPriority w:val="99"/>
    <w:rsid w:val="00137764"/>
  </w:style>
  <w:style w:type="paragraph" w:styleId="Footer">
    <w:name w:val="footer"/>
    <w:basedOn w:val="Normal"/>
    <w:link w:val="FooterChar"/>
    <w:uiPriority w:val="99"/>
    <w:unhideWhenUsed/>
    <w:rsid w:val="00137764"/>
    <w:pPr>
      <w:tabs>
        <w:tab w:val="center" w:pos="4536"/>
        <w:tab w:val="right" w:pos="9072"/>
      </w:tabs>
    </w:pPr>
  </w:style>
  <w:style w:type="character" w:customStyle="1" w:styleId="FooterChar">
    <w:name w:val="Footer Char"/>
    <w:basedOn w:val="DefaultParagraphFont"/>
    <w:link w:val="Footer"/>
    <w:uiPriority w:val="99"/>
    <w:rsid w:val="00137764"/>
  </w:style>
  <w:style w:type="character" w:styleId="Hyperlink">
    <w:name w:val="Hyperlink"/>
    <w:basedOn w:val="DefaultParagraphFont"/>
    <w:uiPriority w:val="99"/>
    <w:unhideWhenUsed/>
    <w:rsid w:val="00137764"/>
    <w:rPr>
      <w:color w:val="0000FF"/>
      <w:u w:val="single"/>
    </w:rPr>
  </w:style>
  <w:style w:type="table" w:customStyle="1" w:styleId="ListTable3-Accent21">
    <w:name w:val="List Table 3 - Accent 21"/>
    <w:basedOn w:val="TableNormal"/>
    <w:next w:val="ListTable3-Accent2"/>
    <w:uiPriority w:val="48"/>
    <w:rsid w:val="009F0BFC"/>
    <w:pPr>
      <w:widowControl w:val="0"/>
      <w:autoSpaceDE w:val="0"/>
      <w:autoSpaceDN w:val="0"/>
      <w:spacing w:after="0"/>
    </w:pPr>
    <w:rPr>
      <w:lang w:val="en-US"/>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character" w:styleId="CommentReference">
    <w:name w:val="annotation reference"/>
    <w:basedOn w:val="DefaultParagraphFont"/>
    <w:uiPriority w:val="99"/>
    <w:semiHidden/>
    <w:unhideWhenUsed/>
    <w:rsid w:val="009F0BFC"/>
    <w:rPr>
      <w:sz w:val="16"/>
      <w:szCs w:val="16"/>
    </w:rPr>
  </w:style>
  <w:style w:type="paragraph" w:styleId="CommentText">
    <w:name w:val="annotation text"/>
    <w:basedOn w:val="Normal"/>
    <w:link w:val="CommentTextChar"/>
    <w:uiPriority w:val="99"/>
    <w:unhideWhenUsed/>
    <w:rsid w:val="009F0BFC"/>
    <w:pPr>
      <w:widowControl w:val="0"/>
      <w:autoSpaceDE w:val="0"/>
      <w:autoSpaceDN w:val="0"/>
    </w:pPr>
    <w:rPr>
      <w:rFonts w:ascii="Arial" w:eastAsia="Georgia" w:hAnsi="Arial" w:cs="Georgia"/>
      <w:sz w:val="20"/>
      <w:szCs w:val="20"/>
    </w:rPr>
  </w:style>
  <w:style w:type="character" w:customStyle="1" w:styleId="CommentTextChar">
    <w:name w:val="Comment Text Char"/>
    <w:basedOn w:val="DefaultParagraphFont"/>
    <w:link w:val="CommentText"/>
    <w:uiPriority w:val="99"/>
    <w:rsid w:val="009F0BFC"/>
    <w:rPr>
      <w:rFonts w:ascii="Arial" w:eastAsia="Georgia" w:hAnsi="Arial" w:cs="Georgia"/>
      <w:sz w:val="20"/>
      <w:szCs w:val="20"/>
      <w:lang w:val="en-US"/>
    </w:rPr>
  </w:style>
  <w:style w:type="table" w:styleId="ListTable3-Accent2">
    <w:name w:val="List Table 3 Accent 2"/>
    <w:basedOn w:val="TableNormal"/>
    <w:uiPriority w:val="48"/>
    <w:rsid w:val="009F0BFC"/>
    <w:pPr>
      <w:spacing w:after="0"/>
    </w:pPr>
    <w:tblPr>
      <w:tblStyleRowBandSize w:val="1"/>
      <w:tblStyleColBandSize w:val="1"/>
      <w:tblBorders>
        <w:top w:val="single" w:sz="4" w:space="0" w:color="414042" w:themeColor="accent2"/>
        <w:left w:val="single" w:sz="4" w:space="0" w:color="414042" w:themeColor="accent2"/>
        <w:bottom w:val="single" w:sz="4" w:space="0" w:color="414042" w:themeColor="accent2"/>
        <w:right w:val="single" w:sz="4" w:space="0" w:color="414042" w:themeColor="accent2"/>
      </w:tblBorders>
    </w:tblPr>
    <w:tblStylePr w:type="firstRow">
      <w:rPr>
        <w:b/>
        <w:bCs/>
        <w:color w:val="FFFFFF" w:themeColor="background1"/>
      </w:rPr>
      <w:tblPr/>
      <w:tcPr>
        <w:shd w:val="clear" w:color="auto" w:fill="414042" w:themeFill="accent2"/>
      </w:tcPr>
    </w:tblStylePr>
    <w:tblStylePr w:type="lastRow">
      <w:rPr>
        <w:b/>
        <w:bCs/>
      </w:rPr>
      <w:tblPr/>
      <w:tcPr>
        <w:tcBorders>
          <w:top w:val="double" w:sz="4" w:space="0" w:color="41404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accent2"/>
          <w:right w:val="single" w:sz="4" w:space="0" w:color="414042" w:themeColor="accent2"/>
        </w:tcBorders>
      </w:tcPr>
    </w:tblStylePr>
    <w:tblStylePr w:type="band1Horz">
      <w:tblPr/>
      <w:tcPr>
        <w:tcBorders>
          <w:top w:val="single" w:sz="4" w:space="0" w:color="414042" w:themeColor="accent2"/>
          <w:bottom w:val="single" w:sz="4" w:space="0" w:color="41404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accent2"/>
          <w:left w:val="nil"/>
        </w:tcBorders>
      </w:tcPr>
    </w:tblStylePr>
    <w:tblStylePr w:type="swCell">
      <w:tblPr/>
      <w:tcPr>
        <w:tcBorders>
          <w:top w:val="double" w:sz="4" w:space="0" w:color="414042" w:themeColor="accent2"/>
          <w:right w:val="nil"/>
        </w:tcBorders>
      </w:tcPr>
    </w:tblStylePr>
  </w:style>
  <w:style w:type="paragraph" w:styleId="BalloonText">
    <w:name w:val="Balloon Text"/>
    <w:basedOn w:val="Normal"/>
    <w:link w:val="BalloonTextChar"/>
    <w:uiPriority w:val="99"/>
    <w:semiHidden/>
    <w:unhideWhenUsed/>
    <w:rsid w:val="009F0B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0BFC"/>
    <w:rPr>
      <w:rFonts w:ascii="Segoe UI" w:hAnsi="Segoe UI" w:cs="Segoe UI"/>
      <w:sz w:val="18"/>
      <w:szCs w:val="18"/>
    </w:rPr>
  </w:style>
  <w:style w:type="table" w:customStyle="1" w:styleId="ListTable3-Accent22">
    <w:name w:val="List Table 3 - Accent 22"/>
    <w:basedOn w:val="TableNormal"/>
    <w:next w:val="ListTable3-Accent2"/>
    <w:uiPriority w:val="48"/>
    <w:rsid w:val="00C35277"/>
    <w:pPr>
      <w:widowControl w:val="0"/>
      <w:autoSpaceDE w:val="0"/>
      <w:autoSpaceDN w:val="0"/>
      <w:spacing w:after="0"/>
    </w:pPr>
    <w:rPr>
      <w:lang w:val="en-US"/>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table" w:customStyle="1" w:styleId="GridTable4-Accent21">
    <w:name w:val="Grid Table 4 - Accent 21"/>
    <w:basedOn w:val="TableNormal"/>
    <w:next w:val="GridTable4-Accent2"/>
    <w:uiPriority w:val="49"/>
    <w:rsid w:val="00C35277"/>
    <w:pPr>
      <w:widowControl w:val="0"/>
      <w:autoSpaceDE w:val="0"/>
      <w:autoSpaceDN w:val="0"/>
      <w:spacing w:after="0"/>
    </w:pPr>
    <w:rPr>
      <w:lang w:val="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styleId="GridTable4-Accent2">
    <w:name w:val="Grid Table 4 Accent 2"/>
    <w:basedOn w:val="TableNormal"/>
    <w:uiPriority w:val="49"/>
    <w:rsid w:val="00C35277"/>
    <w:pPr>
      <w:spacing w:after="0"/>
    </w:pPr>
    <w:tblPr>
      <w:tblStyleRowBandSize w:val="1"/>
      <w:tblStyleColBandSize w:val="1"/>
      <w:tblBorders>
        <w:top w:val="single" w:sz="4" w:space="0" w:color="8C8B8E" w:themeColor="accent2" w:themeTint="99"/>
        <w:left w:val="single" w:sz="4" w:space="0" w:color="8C8B8E" w:themeColor="accent2" w:themeTint="99"/>
        <w:bottom w:val="single" w:sz="4" w:space="0" w:color="8C8B8E" w:themeColor="accent2" w:themeTint="99"/>
        <w:right w:val="single" w:sz="4" w:space="0" w:color="8C8B8E" w:themeColor="accent2" w:themeTint="99"/>
        <w:insideH w:val="single" w:sz="4" w:space="0" w:color="8C8B8E" w:themeColor="accent2" w:themeTint="99"/>
        <w:insideV w:val="single" w:sz="4" w:space="0" w:color="8C8B8E" w:themeColor="accent2" w:themeTint="99"/>
      </w:tblBorders>
    </w:tblPr>
    <w:tblStylePr w:type="firstRow">
      <w:rPr>
        <w:b/>
        <w:bCs/>
        <w:color w:val="FFFFFF" w:themeColor="background1"/>
      </w:rPr>
      <w:tblPr/>
      <w:tcPr>
        <w:tcBorders>
          <w:top w:val="single" w:sz="4" w:space="0" w:color="414042" w:themeColor="accent2"/>
          <w:left w:val="single" w:sz="4" w:space="0" w:color="414042" w:themeColor="accent2"/>
          <w:bottom w:val="single" w:sz="4" w:space="0" w:color="414042" w:themeColor="accent2"/>
          <w:right w:val="single" w:sz="4" w:space="0" w:color="414042" w:themeColor="accent2"/>
          <w:insideH w:val="nil"/>
          <w:insideV w:val="nil"/>
        </w:tcBorders>
        <w:shd w:val="clear" w:color="auto" w:fill="414042" w:themeFill="accent2"/>
      </w:tcPr>
    </w:tblStylePr>
    <w:tblStylePr w:type="lastRow">
      <w:rPr>
        <w:b/>
        <w:bCs/>
      </w:rPr>
      <w:tblPr/>
      <w:tcPr>
        <w:tcBorders>
          <w:top w:val="double" w:sz="4" w:space="0" w:color="414042" w:themeColor="accent2"/>
        </w:tcBorders>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paragraph" w:styleId="NormalWeb">
    <w:name w:val="Normal (Web)"/>
    <w:basedOn w:val="Normal"/>
    <w:uiPriority w:val="99"/>
    <w:unhideWhenUsed/>
    <w:rsid w:val="005A46E2"/>
    <w:pPr>
      <w:spacing w:before="100" w:beforeAutospacing="1" w:after="100" w:afterAutospacing="1"/>
    </w:pPr>
    <w:rPr>
      <w:lang w:val="es-ES" w:eastAsia="es-ES"/>
    </w:rPr>
  </w:style>
  <w:style w:type="table" w:customStyle="1" w:styleId="ListTable3-Accent23">
    <w:name w:val="List Table 3 - Accent 23"/>
    <w:basedOn w:val="TableNormal"/>
    <w:next w:val="ListTable3-Accent2"/>
    <w:uiPriority w:val="48"/>
    <w:rsid w:val="00A9449F"/>
    <w:pPr>
      <w:widowControl w:val="0"/>
      <w:autoSpaceDE w:val="0"/>
      <w:autoSpaceDN w:val="0"/>
      <w:spacing w:after="0"/>
    </w:pPr>
    <w:rPr>
      <w:lang w:val="en-US"/>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character" w:customStyle="1" w:styleId="UnresolvedMention1">
    <w:name w:val="Unresolved Mention1"/>
    <w:basedOn w:val="DefaultParagraphFont"/>
    <w:uiPriority w:val="99"/>
    <w:semiHidden/>
    <w:unhideWhenUsed/>
    <w:rsid w:val="009D690B"/>
    <w:rPr>
      <w:color w:val="605E5C"/>
      <w:shd w:val="clear" w:color="auto" w:fill="E1DFDD"/>
    </w:rPr>
  </w:style>
  <w:style w:type="paragraph" w:styleId="BodyText">
    <w:name w:val="Body Text"/>
    <w:basedOn w:val="Normal"/>
    <w:link w:val="BodyTextChar"/>
    <w:uiPriority w:val="1"/>
    <w:qFormat/>
    <w:rsid w:val="000A3481"/>
    <w:pPr>
      <w:widowControl w:val="0"/>
      <w:autoSpaceDE w:val="0"/>
      <w:autoSpaceDN w:val="0"/>
    </w:pPr>
    <w:rPr>
      <w:rFonts w:ascii="Arial" w:eastAsia="Georgia" w:hAnsi="Arial" w:cs="Georgia"/>
      <w:sz w:val="23"/>
      <w:szCs w:val="23"/>
    </w:rPr>
  </w:style>
  <w:style w:type="character" w:customStyle="1" w:styleId="BodyTextChar">
    <w:name w:val="Body Text Char"/>
    <w:basedOn w:val="DefaultParagraphFont"/>
    <w:link w:val="BodyText"/>
    <w:uiPriority w:val="1"/>
    <w:rsid w:val="000A3481"/>
    <w:rPr>
      <w:rFonts w:ascii="Arial" w:eastAsia="Georgia" w:hAnsi="Arial" w:cs="Georgia"/>
      <w:sz w:val="23"/>
      <w:szCs w:val="23"/>
      <w:lang w:val="en-US"/>
    </w:rPr>
  </w:style>
  <w:style w:type="paragraph" w:customStyle="1" w:styleId="Default">
    <w:name w:val="Default"/>
    <w:rsid w:val="009F3333"/>
    <w:pPr>
      <w:autoSpaceDE w:val="0"/>
      <w:autoSpaceDN w:val="0"/>
      <w:adjustRightInd w:val="0"/>
      <w:spacing w:after="0"/>
    </w:pPr>
    <w:rPr>
      <w:rFonts w:ascii="Arial" w:eastAsia="Times New Roman" w:hAnsi="Arial" w:cs="Arial"/>
      <w:color w:val="000000"/>
      <w:sz w:val="24"/>
      <w:szCs w:val="24"/>
      <w:lang w:val="en-US" w:eastAsia="en-GB"/>
    </w:rPr>
  </w:style>
  <w:style w:type="table" w:styleId="TableGrid">
    <w:name w:val="Table Grid"/>
    <w:basedOn w:val="TableNormal"/>
    <w:uiPriority w:val="39"/>
    <w:rsid w:val="00C303A6"/>
    <w:pPr>
      <w:spacing w:after="0"/>
    </w:pPr>
    <w:rPr>
      <w:rFonts w:ascii="Times" w:eastAsia="Times New Roman" w:hAnsi="Times" w:cs="Times New Roman"/>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1 Char,NUMBERED PARAGRAPH Char"/>
    <w:basedOn w:val="DefaultParagraphFont"/>
    <w:link w:val="ListParagraph"/>
    <w:uiPriority w:val="34"/>
    <w:locked/>
    <w:rsid w:val="00C303A6"/>
    <w:rPr>
      <w:rFonts w:ascii="Times New Roman" w:eastAsia="Calibri" w:hAnsi="Times New Roman" w:cs="Times New Roman"/>
      <w:sz w:val="24"/>
      <w:szCs w:val="24"/>
      <w:lang w:eastAsia="en-GB"/>
    </w:rPr>
  </w:style>
  <w:style w:type="character" w:customStyle="1" w:styleId="apple-converted-space">
    <w:name w:val="apple-converted-space"/>
    <w:basedOn w:val="DefaultParagraphFont"/>
    <w:rsid w:val="00C303A6"/>
  </w:style>
  <w:style w:type="character" w:customStyle="1" w:styleId="highlight">
    <w:name w:val="highlight"/>
    <w:basedOn w:val="DefaultParagraphFont"/>
    <w:rsid w:val="009E47E4"/>
  </w:style>
  <w:style w:type="paragraph" w:styleId="FootnoteText">
    <w:name w:val="footnote text"/>
    <w:basedOn w:val="Normal"/>
    <w:link w:val="FootnoteTextChar"/>
    <w:uiPriority w:val="99"/>
    <w:semiHidden/>
    <w:unhideWhenUsed/>
    <w:rsid w:val="00F31FE6"/>
    <w:pPr>
      <w:jc w:val="both"/>
    </w:pPr>
    <w:rPr>
      <w:rFonts w:ascii="Calibri Light" w:eastAsiaTheme="minorHAnsi" w:hAnsi="Calibri Light" w:cstheme="minorBidi"/>
      <w:sz w:val="20"/>
      <w:szCs w:val="20"/>
      <w:lang w:eastAsia="en-US"/>
    </w:rPr>
  </w:style>
  <w:style w:type="character" w:customStyle="1" w:styleId="FootnoteTextChar">
    <w:name w:val="Footnote Text Char"/>
    <w:basedOn w:val="DefaultParagraphFont"/>
    <w:link w:val="FootnoteText"/>
    <w:uiPriority w:val="99"/>
    <w:semiHidden/>
    <w:rsid w:val="00F31FE6"/>
    <w:rPr>
      <w:rFonts w:ascii="Calibri Light" w:hAnsi="Calibri Light"/>
      <w:sz w:val="20"/>
      <w:szCs w:val="20"/>
      <w:lang w:val="en-US"/>
    </w:rPr>
  </w:style>
  <w:style w:type="character" w:styleId="FootnoteReference">
    <w:name w:val="footnote reference"/>
    <w:basedOn w:val="DefaultParagraphFont"/>
    <w:uiPriority w:val="99"/>
    <w:semiHidden/>
    <w:unhideWhenUsed/>
    <w:rsid w:val="00F31FE6"/>
    <w:rPr>
      <w:vertAlign w:val="superscript"/>
    </w:rPr>
  </w:style>
  <w:style w:type="character" w:customStyle="1" w:styleId="css-901oao">
    <w:name w:val="css-901oao"/>
    <w:basedOn w:val="DefaultParagraphFont"/>
    <w:rsid w:val="00F62086"/>
  </w:style>
  <w:style w:type="character" w:customStyle="1" w:styleId="r-18u37iz">
    <w:name w:val="r-18u37iz"/>
    <w:basedOn w:val="DefaultParagraphFont"/>
    <w:rsid w:val="00F62086"/>
  </w:style>
  <w:style w:type="paragraph" w:styleId="TOC1">
    <w:name w:val="toc 1"/>
    <w:basedOn w:val="Normal"/>
    <w:next w:val="Normal"/>
    <w:autoRedefine/>
    <w:uiPriority w:val="39"/>
    <w:unhideWhenUsed/>
    <w:rsid w:val="00F62086"/>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F62086"/>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semiHidden/>
    <w:unhideWhenUsed/>
    <w:rsid w:val="00F62086"/>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F62086"/>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F62086"/>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F62086"/>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F62086"/>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F62086"/>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F62086"/>
    <w:pPr>
      <w:ind w:left="1920"/>
    </w:pPr>
    <w:rPr>
      <w:rFonts w:asciiTheme="minorHAnsi" w:hAnsiTheme="minorHAnsi" w:cstheme="minorHAnsi"/>
      <w:sz w:val="20"/>
      <w:szCs w:val="20"/>
    </w:rPr>
  </w:style>
  <w:style w:type="character" w:styleId="UnresolvedMention">
    <w:name w:val="Unresolved Mention"/>
    <w:basedOn w:val="DefaultParagraphFont"/>
    <w:uiPriority w:val="99"/>
    <w:semiHidden/>
    <w:unhideWhenUsed/>
    <w:rsid w:val="00E801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15499">
      <w:bodyDiv w:val="1"/>
      <w:marLeft w:val="0"/>
      <w:marRight w:val="0"/>
      <w:marTop w:val="0"/>
      <w:marBottom w:val="0"/>
      <w:divBdr>
        <w:top w:val="none" w:sz="0" w:space="0" w:color="auto"/>
        <w:left w:val="none" w:sz="0" w:space="0" w:color="auto"/>
        <w:bottom w:val="none" w:sz="0" w:space="0" w:color="auto"/>
        <w:right w:val="none" w:sz="0" w:space="0" w:color="auto"/>
      </w:divBdr>
    </w:div>
    <w:div w:id="264658307">
      <w:bodyDiv w:val="1"/>
      <w:marLeft w:val="0"/>
      <w:marRight w:val="0"/>
      <w:marTop w:val="0"/>
      <w:marBottom w:val="0"/>
      <w:divBdr>
        <w:top w:val="none" w:sz="0" w:space="0" w:color="auto"/>
        <w:left w:val="none" w:sz="0" w:space="0" w:color="auto"/>
        <w:bottom w:val="none" w:sz="0" w:space="0" w:color="auto"/>
        <w:right w:val="none" w:sz="0" w:space="0" w:color="auto"/>
      </w:divBdr>
      <w:divsChild>
        <w:div w:id="1149636639">
          <w:marLeft w:val="0"/>
          <w:marRight w:val="0"/>
          <w:marTop w:val="0"/>
          <w:marBottom w:val="0"/>
          <w:divBdr>
            <w:top w:val="none" w:sz="0" w:space="0" w:color="auto"/>
            <w:left w:val="none" w:sz="0" w:space="0" w:color="auto"/>
            <w:bottom w:val="none" w:sz="0" w:space="0" w:color="auto"/>
            <w:right w:val="none" w:sz="0" w:space="0" w:color="auto"/>
          </w:divBdr>
        </w:div>
      </w:divsChild>
    </w:div>
    <w:div w:id="554389762">
      <w:bodyDiv w:val="1"/>
      <w:marLeft w:val="0"/>
      <w:marRight w:val="0"/>
      <w:marTop w:val="0"/>
      <w:marBottom w:val="0"/>
      <w:divBdr>
        <w:top w:val="none" w:sz="0" w:space="0" w:color="auto"/>
        <w:left w:val="none" w:sz="0" w:space="0" w:color="auto"/>
        <w:bottom w:val="none" w:sz="0" w:space="0" w:color="auto"/>
        <w:right w:val="none" w:sz="0" w:space="0" w:color="auto"/>
      </w:divBdr>
    </w:div>
    <w:div w:id="668944096">
      <w:bodyDiv w:val="1"/>
      <w:marLeft w:val="0"/>
      <w:marRight w:val="0"/>
      <w:marTop w:val="0"/>
      <w:marBottom w:val="0"/>
      <w:divBdr>
        <w:top w:val="none" w:sz="0" w:space="0" w:color="auto"/>
        <w:left w:val="none" w:sz="0" w:space="0" w:color="auto"/>
        <w:bottom w:val="none" w:sz="0" w:space="0" w:color="auto"/>
        <w:right w:val="none" w:sz="0" w:space="0" w:color="auto"/>
      </w:divBdr>
      <w:divsChild>
        <w:div w:id="1188717600">
          <w:marLeft w:val="0"/>
          <w:marRight w:val="0"/>
          <w:marTop w:val="0"/>
          <w:marBottom w:val="0"/>
          <w:divBdr>
            <w:top w:val="none" w:sz="0" w:space="0" w:color="auto"/>
            <w:left w:val="none" w:sz="0" w:space="0" w:color="auto"/>
            <w:bottom w:val="none" w:sz="0" w:space="0" w:color="auto"/>
            <w:right w:val="none" w:sz="0" w:space="0" w:color="auto"/>
          </w:divBdr>
        </w:div>
        <w:div w:id="1352492523">
          <w:marLeft w:val="0"/>
          <w:marRight w:val="0"/>
          <w:marTop w:val="0"/>
          <w:marBottom w:val="0"/>
          <w:divBdr>
            <w:top w:val="none" w:sz="0" w:space="0" w:color="auto"/>
            <w:left w:val="none" w:sz="0" w:space="0" w:color="auto"/>
            <w:bottom w:val="none" w:sz="0" w:space="0" w:color="auto"/>
            <w:right w:val="none" w:sz="0" w:space="0" w:color="auto"/>
          </w:divBdr>
        </w:div>
        <w:div w:id="35664264">
          <w:marLeft w:val="0"/>
          <w:marRight w:val="0"/>
          <w:marTop w:val="0"/>
          <w:marBottom w:val="0"/>
          <w:divBdr>
            <w:top w:val="none" w:sz="0" w:space="0" w:color="auto"/>
            <w:left w:val="none" w:sz="0" w:space="0" w:color="auto"/>
            <w:bottom w:val="none" w:sz="0" w:space="0" w:color="auto"/>
            <w:right w:val="none" w:sz="0" w:space="0" w:color="auto"/>
          </w:divBdr>
        </w:div>
        <w:div w:id="917053725">
          <w:marLeft w:val="0"/>
          <w:marRight w:val="0"/>
          <w:marTop w:val="0"/>
          <w:marBottom w:val="0"/>
          <w:divBdr>
            <w:top w:val="none" w:sz="0" w:space="0" w:color="auto"/>
            <w:left w:val="none" w:sz="0" w:space="0" w:color="auto"/>
            <w:bottom w:val="none" w:sz="0" w:space="0" w:color="auto"/>
            <w:right w:val="none" w:sz="0" w:space="0" w:color="auto"/>
          </w:divBdr>
        </w:div>
        <w:div w:id="1655449241">
          <w:marLeft w:val="0"/>
          <w:marRight w:val="0"/>
          <w:marTop w:val="0"/>
          <w:marBottom w:val="0"/>
          <w:divBdr>
            <w:top w:val="none" w:sz="0" w:space="0" w:color="auto"/>
            <w:left w:val="none" w:sz="0" w:space="0" w:color="auto"/>
            <w:bottom w:val="none" w:sz="0" w:space="0" w:color="auto"/>
            <w:right w:val="none" w:sz="0" w:space="0" w:color="auto"/>
          </w:divBdr>
        </w:div>
        <w:div w:id="1402409714">
          <w:marLeft w:val="0"/>
          <w:marRight w:val="0"/>
          <w:marTop w:val="0"/>
          <w:marBottom w:val="0"/>
          <w:divBdr>
            <w:top w:val="none" w:sz="0" w:space="0" w:color="auto"/>
            <w:left w:val="none" w:sz="0" w:space="0" w:color="auto"/>
            <w:bottom w:val="none" w:sz="0" w:space="0" w:color="auto"/>
            <w:right w:val="none" w:sz="0" w:space="0" w:color="auto"/>
          </w:divBdr>
        </w:div>
        <w:div w:id="1762213259">
          <w:marLeft w:val="0"/>
          <w:marRight w:val="0"/>
          <w:marTop w:val="0"/>
          <w:marBottom w:val="0"/>
          <w:divBdr>
            <w:top w:val="none" w:sz="0" w:space="0" w:color="auto"/>
            <w:left w:val="none" w:sz="0" w:space="0" w:color="auto"/>
            <w:bottom w:val="none" w:sz="0" w:space="0" w:color="auto"/>
            <w:right w:val="none" w:sz="0" w:space="0" w:color="auto"/>
          </w:divBdr>
        </w:div>
        <w:div w:id="196430226">
          <w:marLeft w:val="0"/>
          <w:marRight w:val="0"/>
          <w:marTop w:val="0"/>
          <w:marBottom w:val="0"/>
          <w:divBdr>
            <w:top w:val="none" w:sz="0" w:space="0" w:color="auto"/>
            <w:left w:val="none" w:sz="0" w:space="0" w:color="auto"/>
            <w:bottom w:val="none" w:sz="0" w:space="0" w:color="auto"/>
            <w:right w:val="none" w:sz="0" w:space="0" w:color="auto"/>
          </w:divBdr>
        </w:div>
        <w:div w:id="2004964164">
          <w:marLeft w:val="0"/>
          <w:marRight w:val="0"/>
          <w:marTop w:val="0"/>
          <w:marBottom w:val="0"/>
          <w:divBdr>
            <w:top w:val="none" w:sz="0" w:space="0" w:color="auto"/>
            <w:left w:val="none" w:sz="0" w:space="0" w:color="auto"/>
            <w:bottom w:val="none" w:sz="0" w:space="0" w:color="auto"/>
            <w:right w:val="none" w:sz="0" w:space="0" w:color="auto"/>
          </w:divBdr>
        </w:div>
        <w:div w:id="189537880">
          <w:marLeft w:val="0"/>
          <w:marRight w:val="0"/>
          <w:marTop w:val="0"/>
          <w:marBottom w:val="0"/>
          <w:divBdr>
            <w:top w:val="none" w:sz="0" w:space="0" w:color="auto"/>
            <w:left w:val="none" w:sz="0" w:space="0" w:color="auto"/>
            <w:bottom w:val="none" w:sz="0" w:space="0" w:color="auto"/>
            <w:right w:val="none" w:sz="0" w:space="0" w:color="auto"/>
          </w:divBdr>
        </w:div>
        <w:div w:id="638262186">
          <w:marLeft w:val="0"/>
          <w:marRight w:val="0"/>
          <w:marTop w:val="0"/>
          <w:marBottom w:val="0"/>
          <w:divBdr>
            <w:top w:val="none" w:sz="0" w:space="0" w:color="auto"/>
            <w:left w:val="none" w:sz="0" w:space="0" w:color="auto"/>
            <w:bottom w:val="none" w:sz="0" w:space="0" w:color="auto"/>
            <w:right w:val="none" w:sz="0" w:space="0" w:color="auto"/>
          </w:divBdr>
        </w:div>
        <w:div w:id="1572812068">
          <w:marLeft w:val="0"/>
          <w:marRight w:val="0"/>
          <w:marTop w:val="0"/>
          <w:marBottom w:val="0"/>
          <w:divBdr>
            <w:top w:val="none" w:sz="0" w:space="0" w:color="auto"/>
            <w:left w:val="none" w:sz="0" w:space="0" w:color="auto"/>
            <w:bottom w:val="none" w:sz="0" w:space="0" w:color="auto"/>
            <w:right w:val="none" w:sz="0" w:space="0" w:color="auto"/>
          </w:divBdr>
        </w:div>
        <w:div w:id="849026836">
          <w:marLeft w:val="0"/>
          <w:marRight w:val="0"/>
          <w:marTop w:val="0"/>
          <w:marBottom w:val="0"/>
          <w:divBdr>
            <w:top w:val="none" w:sz="0" w:space="0" w:color="auto"/>
            <w:left w:val="none" w:sz="0" w:space="0" w:color="auto"/>
            <w:bottom w:val="none" w:sz="0" w:space="0" w:color="auto"/>
            <w:right w:val="none" w:sz="0" w:space="0" w:color="auto"/>
          </w:divBdr>
        </w:div>
        <w:div w:id="1363746023">
          <w:marLeft w:val="0"/>
          <w:marRight w:val="0"/>
          <w:marTop w:val="0"/>
          <w:marBottom w:val="0"/>
          <w:divBdr>
            <w:top w:val="none" w:sz="0" w:space="0" w:color="auto"/>
            <w:left w:val="none" w:sz="0" w:space="0" w:color="auto"/>
            <w:bottom w:val="none" w:sz="0" w:space="0" w:color="auto"/>
            <w:right w:val="none" w:sz="0" w:space="0" w:color="auto"/>
          </w:divBdr>
        </w:div>
        <w:div w:id="1722098543">
          <w:marLeft w:val="0"/>
          <w:marRight w:val="0"/>
          <w:marTop w:val="0"/>
          <w:marBottom w:val="0"/>
          <w:divBdr>
            <w:top w:val="none" w:sz="0" w:space="0" w:color="auto"/>
            <w:left w:val="none" w:sz="0" w:space="0" w:color="auto"/>
            <w:bottom w:val="none" w:sz="0" w:space="0" w:color="auto"/>
            <w:right w:val="none" w:sz="0" w:space="0" w:color="auto"/>
          </w:divBdr>
        </w:div>
        <w:div w:id="1959870438">
          <w:marLeft w:val="0"/>
          <w:marRight w:val="0"/>
          <w:marTop w:val="0"/>
          <w:marBottom w:val="0"/>
          <w:divBdr>
            <w:top w:val="none" w:sz="0" w:space="0" w:color="auto"/>
            <w:left w:val="none" w:sz="0" w:space="0" w:color="auto"/>
            <w:bottom w:val="none" w:sz="0" w:space="0" w:color="auto"/>
            <w:right w:val="none" w:sz="0" w:space="0" w:color="auto"/>
          </w:divBdr>
        </w:div>
        <w:div w:id="1950116030">
          <w:marLeft w:val="0"/>
          <w:marRight w:val="0"/>
          <w:marTop w:val="0"/>
          <w:marBottom w:val="0"/>
          <w:divBdr>
            <w:top w:val="none" w:sz="0" w:space="0" w:color="auto"/>
            <w:left w:val="none" w:sz="0" w:space="0" w:color="auto"/>
            <w:bottom w:val="none" w:sz="0" w:space="0" w:color="auto"/>
            <w:right w:val="none" w:sz="0" w:space="0" w:color="auto"/>
          </w:divBdr>
        </w:div>
        <w:div w:id="1842235850">
          <w:marLeft w:val="0"/>
          <w:marRight w:val="0"/>
          <w:marTop w:val="0"/>
          <w:marBottom w:val="0"/>
          <w:divBdr>
            <w:top w:val="none" w:sz="0" w:space="0" w:color="auto"/>
            <w:left w:val="none" w:sz="0" w:space="0" w:color="auto"/>
            <w:bottom w:val="none" w:sz="0" w:space="0" w:color="auto"/>
            <w:right w:val="none" w:sz="0" w:space="0" w:color="auto"/>
          </w:divBdr>
        </w:div>
        <w:div w:id="1926956887">
          <w:marLeft w:val="0"/>
          <w:marRight w:val="0"/>
          <w:marTop w:val="0"/>
          <w:marBottom w:val="0"/>
          <w:divBdr>
            <w:top w:val="none" w:sz="0" w:space="0" w:color="auto"/>
            <w:left w:val="none" w:sz="0" w:space="0" w:color="auto"/>
            <w:bottom w:val="none" w:sz="0" w:space="0" w:color="auto"/>
            <w:right w:val="none" w:sz="0" w:space="0" w:color="auto"/>
          </w:divBdr>
        </w:div>
        <w:div w:id="735513059">
          <w:marLeft w:val="0"/>
          <w:marRight w:val="0"/>
          <w:marTop w:val="0"/>
          <w:marBottom w:val="0"/>
          <w:divBdr>
            <w:top w:val="none" w:sz="0" w:space="0" w:color="auto"/>
            <w:left w:val="none" w:sz="0" w:space="0" w:color="auto"/>
            <w:bottom w:val="none" w:sz="0" w:space="0" w:color="auto"/>
            <w:right w:val="none" w:sz="0" w:space="0" w:color="auto"/>
          </w:divBdr>
        </w:div>
        <w:div w:id="1263301968">
          <w:marLeft w:val="0"/>
          <w:marRight w:val="0"/>
          <w:marTop w:val="0"/>
          <w:marBottom w:val="0"/>
          <w:divBdr>
            <w:top w:val="none" w:sz="0" w:space="0" w:color="auto"/>
            <w:left w:val="none" w:sz="0" w:space="0" w:color="auto"/>
            <w:bottom w:val="none" w:sz="0" w:space="0" w:color="auto"/>
            <w:right w:val="none" w:sz="0" w:space="0" w:color="auto"/>
          </w:divBdr>
        </w:div>
      </w:divsChild>
    </w:div>
    <w:div w:id="773600098">
      <w:bodyDiv w:val="1"/>
      <w:marLeft w:val="0"/>
      <w:marRight w:val="0"/>
      <w:marTop w:val="0"/>
      <w:marBottom w:val="0"/>
      <w:divBdr>
        <w:top w:val="none" w:sz="0" w:space="0" w:color="auto"/>
        <w:left w:val="none" w:sz="0" w:space="0" w:color="auto"/>
        <w:bottom w:val="none" w:sz="0" w:space="0" w:color="auto"/>
        <w:right w:val="none" w:sz="0" w:space="0" w:color="auto"/>
      </w:divBdr>
    </w:div>
    <w:div w:id="775639955">
      <w:bodyDiv w:val="1"/>
      <w:marLeft w:val="0"/>
      <w:marRight w:val="0"/>
      <w:marTop w:val="0"/>
      <w:marBottom w:val="0"/>
      <w:divBdr>
        <w:top w:val="none" w:sz="0" w:space="0" w:color="auto"/>
        <w:left w:val="none" w:sz="0" w:space="0" w:color="auto"/>
        <w:bottom w:val="none" w:sz="0" w:space="0" w:color="auto"/>
        <w:right w:val="none" w:sz="0" w:space="0" w:color="auto"/>
      </w:divBdr>
    </w:div>
    <w:div w:id="883517937">
      <w:bodyDiv w:val="1"/>
      <w:marLeft w:val="0"/>
      <w:marRight w:val="0"/>
      <w:marTop w:val="0"/>
      <w:marBottom w:val="0"/>
      <w:divBdr>
        <w:top w:val="none" w:sz="0" w:space="0" w:color="auto"/>
        <w:left w:val="none" w:sz="0" w:space="0" w:color="auto"/>
        <w:bottom w:val="none" w:sz="0" w:space="0" w:color="auto"/>
        <w:right w:val="none" w:sz="0" w:space="0" w:color="auto"/>
      </w:divBdr>
    </w:div>
    <w:div w:id="1054616655">
      <w:bodyDiv w:val="1"/>
      <w:marLeft w:val="0"/>
      <w:marRight w:val="0"/>
      <w:marTop w:val="0"/>
      <w:marBottom w:val="0"/>
      <w:divBdr>
        <w:top w:val="none" w:sz="0" w:space="0" w:color="auto"/>
        <w:left w:val="none" w:sz="0" w:space="0" w:color="auto"/>
        <w:bottom w:val="none" w:sz="0" w:space="0" w:color="auto"/>
        <w:right w:val="none" w:sz="0" w:space="0" w:color="auto"/>
      </w:divBdr>
    </w:div>
    <w:div w:id="1081826784">
      <w:bodyDiv w:val="1"/>
      <w:marLeft w:val="0"/>
      <w:marRight w:val="0"/>
      <w:marTop w:val="0"/>
      <w:marBottom w:val="0"/>
      <w:divBdr>
        <w:top w:val="none" w:sz="0" w:space="0" w:color="auto"/>
        <w:left w:val="none" w:sz="0" w:space="0" w:color="auto"/>
        <w:bottom w:val="none" w:sz="0" w:space="0" w:color="auto"/>
        <w:right w:val="none" w:sz="0" w:space="0" w:color="auto"/>
      </w:divBdr>
    </w:div>
    <w:div w:id="1112549744">
      <w:bodyDiv w:val="1"/>
      <w:marLeft w:val="0"/>
      <w:marRight w:val="0"/>
      <w:marTop w:val="0"/>
      <w:marBottom w:val="0"/>
      <w:divBdr>
        <w:top w:val="none" w:sz="0" w:space="0" w:color="auto"/>
        <w:left w:val="none" w:sz="0" w:space="0" w:color="auto"/>
        <w:bottom w:val="none" w:sz="0" w:space="0" w:color="auto"/>
        <w:right w:val="none" w:sz="0" w:space="0" w:color="auto"/>
      </w:divBdr>
    </w:div>
    <w:div w:id="1117065899">
      <w:bodyDiv w:val="1"/>
      <w:marLeft w:val="0"/>
      <w:marRight w:val="0"/>
      <w:marTop w:val="0"/>
      <w:marBottom w:val="0"/>
      <w:divBdr>
        <w:top w:val="none" w:sz="0" w:space="0" w:color="auto"/>
        <w:left w:val="none" w:sz="0" w:space="0" w:color="auto"/>
        <w:bottom w:val="none" w:sz="0" w:space="0" w:color="auto"/>
        <w:right w:val="none" w:sz="0" w:space="0" w:color="auto"/>
      </w:divBdr>
      <w:divsChild>
        <w:div w:id="1494221252">
          <w:marLeft w:val="0"/>
          <w:marRight w:val="0"/>
          <w:marTop w:val="0"/>
          <w:marBottom w:val="0"/>
          <w:divBdr>
            <w:top w:val="none" w:sz="0" w:space="0" w:color="auto"/>
            <w:left w:val="none" w:sz="0" w:space="0" w:color="auto"/>
            <w:bottom w:val="none" w:sz="0" w:space="0" w:color="auto"/>
            <w:right w:val="none" w:sz="0" w:space="0" w:color="auto"/>
          </w:divBdr>
          <w:divsChild>
            <w:div w:id="1647472073">
              <w:marLeft w:val="0"/>
              <w:marRight w:val="0"/>
              <w:marTop w:val="0"/>
              <w:marBottom w:val="0"/>
              <w:divBdr>
                <w:top w:val="none" w:sz="0" w:space="0" w:color="auto"/>
                <w:left w:val="none" w:sz="0" w:space="0" w:color="auto"/>
                <w:bottom w:val="none" w:sz="0" w:space="0" w:color="auto"/>
                <w:right w:val="none" w:sz="0" w:space="0" w:color="auto"/>
              </w:divBdr>
              <w:divsChild>
                <w:div w:id="167498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7552">
      <w:bodyDiv w:val="1"/>
      <w:marLeft w:val="0"/>
      <w:marRight w:val="0"/>
      <w:marTop w:val="0"/>
      <w:marBottom w:val="0"/>
      <w:divBdr>
        <w:top w:val="none" w:sz="0" w:space="0" w:color="auto"/>
        <w:left w:val="none" w:sz="0" w:space="0" w:color="auto"/>
        <w:bottom w:val="none" w:sz="0" w:space="0" w:color="auto"/>
        <w:right w:val="none" w:sz="0" w:space="0" w:color="auto"/>
      </w:divBdr>
    </w:div>
    <w:div w:id="1151674854">
      <w:bodyDiv w:val="1"/>
      <w:marLeft w:val="0"/>
      <w:marRight w:val="0"/>
      <w:marTop w:val="0"/>
      <w:marBottom w:val="0"/>
      <w:divBdr>
        <w:top w:val="none" w:sz="0" w:space="0" w:color="auto"/>
        <w:left w:val="none" w:sz="0" w:space="0" w:color="auto"/>
        <w:bottom w:val="none" w:sz="0" w:space="0" w:color="auto"/>
        <w:right w:val="none" w:sz="0" w:space="0" w:color="auto"/>
      </w:divBdr>
    </w:div>
    <w:div w:id="1152909425">
      <w:bodyDiv w:val="1"/>
      <w:marLeft w:val="0"/>
      <w:marRight w:val="0"/>
      <w:marTop w:val="0"/>
      <w:marBottom w:val="0"/>
      <w:divBdr>
        <w:top w:val="none" w:sz="0" w:space="0" w:color="auto"/>
        <w:left w:val="none" w:sz="0" w:space="0" w:color="auto"/>
        <w:bottom w:val="none" w:sz="0" w:space="0" w:color="auto"/>
        <w:right w:val="none" w:sz="0" w:space="0" w:color="auto"/>
      </w:divBdr>
    </w:div>
    <w:div w:id="1267663004">
      <w:bodyDiv w:val="1"/>
      <w:marLeft w:val="0"/>
      <w:marRight w:val="0"/>
      <w:marTop w:val="0"/>
      <w:marBottom w:val="0"/>
      <w:divBdr>
        <w:top w:val="none" w:sz="0" w:space="0" w:color="auto"/>
        <w:left w:val="none" w:sz="0" w:space="0" w:color="auto"/>
        <w:bottom w:val="none" w:sz="0" w:space="0" w:color="auto"/>
        <w:right w:val="none" w:sz="0" w:space="0" w:color="auto"/>
      </w:divBdr>
    </w:div>
    <w:div w:id="1267932452">
      <w:bodyDiv w:val="1"/>
      <w:marLeft w:val="0"/>
      <w:marRight w:val="0"/>
      <w:marTop w:val="0"/>
      <w:marBottom w:val="0"/>
      <w:divBdr>
        <w:top w:val="none" w:sz="0" w:space="0" w:color="auto"/>
        <w:left w:val="none" w:sz="0" w:space="0" w:color="auto"/>
        <w:bottom w:val="none" w:sz="0" w:space="0" w:color="auto"/>
        <w:right w:val="none" w:sz="0" w:space="0" w:color="auto"/>
      </w:divBdr>
    </w:div>
    <w:div w:id="1340616108">
      <w:bodyDiv w:val="1"/>
      <w:marLeft w:val="0"/>
      <w:marRight w:val="0"/>
      <w:marTop w:val="0"/>
      <w:marBottom w:val="0"/>
      <w:divBdr>
        <w:top w:val="none" w:sz="0" w:space="0" w:color="auto"/>
        <w:left w:val="none" w:sz="0" w:space="0" w:color="auto"/>
        <w:bottom w:val="none" w:sz="0" w:space="0" w:color="auto"/>
        <w:right w:val="none" w:sz="0" w:space="0" w:color="auto"/>
      </w:divBdr>
    </w:div>
    <w:div w:id="1385955669">
      <w:bodyDiv w:val="1"/>
      <w:marLeft w:val="0"/>
      <w:marRight w:val="0"/>
      <w:marTop w:val="0"/>
      <w:marBottom w:val="0"/>
      <w:divBdr>
        <w:top w:val="none" w:sz="0" w:space="0" w:color="auto"/>
        <w:left w:val="none" w:sz="0" w:space="0" w:color="auto"/>
        <w:bottom w:val="none" w:sz="0" w:space="0" w:color="auto"/>
        <w:right w:val="none" w:sz="0" w:space="0" w:color="auto"/>
      </w:divBdr>
    </w:div>
    <w:div w:id="1439719686">
      <w:bodyDiv w:val="1"/>
      <w:marLeft w:val="0"/>
      <w:marRight w:val="0"/>
      <w:marTop w:val="0"/>
      <w:marBottom w:val="0"/>
      <w:divBdr>
        <w:top w:val="none" w:sz="0" w:space="0" w:color="auto"/>
        <w:left w:val="none" w:sz="0" w:space="0" w:color="auto"/>
        <w:bottom w:val="none" w:sz="0" w:space="0" w:color="auto"/>
        <w:right w:val="none" w:sz="0" w:space="0" w:color="auto"/>
      </w:divBdr>
    </w:div>
    <w:div w:id="1481456720">
      <w:bodyDiv w:val="1"/>
      <w:marLeft w:val="0"/>
      <w:marRight w:val="0"/>
      <w:marTop w:val="0"/>
      <w:marBottom w:val="0"/>
      <w:divBdr>
        <w:top w:val="none" w:sz="0" w:space="0" w:color="auto"/>
        <w:left w:val="none" w:sz="0" w:space="0" w:color="auto"/>
        <w:bottom w:val="none" w:sz="0" w:space="0" w:color="auto"/>
        <w:right w:val="none" w:sz="0" w:space="0" w:color="auto"/>
      </w:divBdr>
    </w:div>
    <w:div w:id="1578516949">
      <w:bodyDiv w:val="1"/>
      <w:marLeft w:val="0"/>
      <w:marRight w:val="0"/>
      <w:marTop w:val="0"/>
      <w:marBottom w:val="0"/>
      <w:divBdr>
        <w:top w:val="none" w:sz="0" w:space="0" w:color="auto"/>
        <w:left w:val="none" w:sz="0" w:space="0" w:color="auto"/>
        <w:bottom w:val="none" w:sz="0" w:space="0" w:color="auto"/>
        <w:right w:val="none" w:sz="0" w:space="0" w:color="auto"/>
      </w:divBdr>
    </w:div>
    <w:div w:id="1599603631">
      <w:bodyDiv w:val="1"/>
      <w:marLeft w:val="0"/>
      <w:marRight w:val="0"/>
      <w:marTop w:val="0"/>
      <w:marBottom w:val="0"/>
      <w:divBdr>
        <w:top w:val="none" w:sz="0" w:space="0" w:color="auto"/>
        <w:left w:val="none" w:sz="0" w:space="0" w:color="auto"/>
        <w:bottom w:val="none" w:sz="0" w:space="0" w:color="auto"/>
        <w:right w:val="none" w:sz="0" w:space="0" w:color="auto"/>
      </w:divBdr>
    </w:div>
    <w:div w:id="1639410828">
      <w:bodyDiv w:val="1"/>
      <w:marLeft w:val="0"/>
      <w:marRight w:val="0"/>
      <w:marTop w:val="0"/>
      <w:marBottom w:val="0"/>
      <w:divBdr>
        <w:top w:val="none" w:sz="0" w:space="0" w:color="auto"/>
        <w:left w:val="none" w:sz="0" w:space="0" w:color="auto"/>
        <w:bottom w:val="none" w:sz="0" w:space="0" w:color="auto"/>
        <w:right w:val="none" w:sz="0" w:space="0" w:color="auto"/>
      </w:divBdr>
    </w:div>
    <w:div w:id="1718358932">
      <w:bodyDiv w:val="1"/>
      <w:marLeft w:val="0"/>
      <w:marRight w:val="0"/>
      <w:marTop w:val="0"/>
      <w:marBottom w:val="0"/>
      <w:divBdr>
        <w:top w:val="none" w:sz="0" w:space="0" w:color="auto"/>
        <w:left w:val="none" w:sz="0" w:space="0" w:color="auto"/>
        <w:bottom w:val="none" w:sz="0" w:space="0" w:color="auto"/>
        <w:right w:val="none" w:sz="0" w:space="0" w:color="auto"/>
      </w:divBdr>
    </w:div>
    <w:div w:id="1764036144">
      <w:bodyDiv w:val="1"/>
      <w:marLeft w:val="0"/>
      <w:marRight w:val="0"/>
      <w:marTop w:val="0"/>
      <w:marBottom w:val="0"/>
      <w:divBdr>
        <w:top w:val="none" w:sz="0" w:space="0" w:color="auto"/>
        <w:left w:val="none" w:sz="0" w:space="0" w:color="auto"/>
        <w:bottom w:val="none" w:sz="0" w:space="0" w:color="auto"/>
        <w:right w:val="none" w:sz="0" w:space="0" w:color="auto"/>
      </w:divBdr>
    </w:div>
    <w:div w:id="1813714641">
      <w:bodyDiv w:val="1"/>
      <w:marLeft w:val="0"/>
      <w:marRight w:val="0"/>
      <w:marTop w:val="0"/>
      <w:marBottom w:val="0"/>
      <w:divBdr>
        <w:top w:val="none" w:sz="0" w:space="0" w:color="auto"/>
        <w:left w:val="none" w:sz="0" w:space="0" w:color="auto"/>
        <w:bottom w:val="none" w:sz="0" w:space="0" w:color="auto"/>
        <w:right w:val="none" w:sz="0" w:space="0" w:color="auto"/>
      </w:divBdr>
    </w:div>
    <w:div w:id="1867861365">
      <w:bodyDiv w:val="1"/>
      <w:marLeft w:val="0"/>
      <w:marRight w:val="0"/>
      <w:marTop w:val="0"/>
      <w:marBottom w:val="0"/>
      <w:divBdr>
        <w:top w:val="none" w:sz="0" w:space="0" w:color="auto"/>
        <w:left w:val="none" w:sz="0" w:space="0" w:color="auto"/>
        <w:bottom w:val="none" w:sz="0" w:space="0" w:color="auto"/>
        <w:right w:val="none" w:sz="0" w:space="0" w:color="auto"/>
      </w:divBdr>
    </w:div>
    <w:div w:id="1886403915">
      <w:bodyDiv w:val="1"/>
      <w:marLeft w:val="0"/>
      <w:marRight w:val="0"/>
      <w:marTop w:val="0"/>
      <w:marBottom w:val="0"/>
      <w:divBdr>
        <w:top w:val="none" w:sz="0" w:space="0" w:color="auto"/>
        <w:left w:val="none" w:sz="0" w:space="0" w:color="auto"/>
        <w:bottom w:val="none" w:sz="0" w:space="0" w:color="auto"/>
        <w:right w:val="none" w:sz="0" w:space="0" w:color="auto"/>
      </w:divBdr>
    </w:div>
    <w:div w:id="1892157064">
      <w:bodyDiv w:val="1"/>
      <w:marLeft w:val="0"/>
      <w:marRight w:val="0"/>
      <w:marTop w:val="0"/>
      <w:marBottom w:val="0"/>
      <w:divBdr>
        <w:top w:val="none" w:sz="0" w:space="0" w:color="auto"/>
        <w:left w:val="none" w:sz="0" w:space="0" w:color="auto"/>
        <w:bottom w:val="none" w:sz="0" w:space="0" w:color="auto"/>
        <w:right w:val="none" w:sz="0" w:space="0" w:color="auto"/>
      </w:divBdr>
    </w:div>
    <w:div w:id="1928344102">
      <w:bodyDiv w:val="1"/>
      <w:marLeft w:val="0"/>
      <w:marRight w:val="0"/>
      <w:marTop w:val="0"/>
      <w:marBottom w:val="0"/>
      <w:divBdr>
        <w:top w:val="none" w:sz="0" w:space="0" w:color="auto"/>
        <w:left w:val="none" w:sz="0" w:space="0" w:color="auto"/>
        <w:bottom w:val="none" w:sz="0" w:space="0" w:color="auto"/>
        <w:right w:val="none" w:sz="0" w:space="0" w:color="auto"/>
      </w:divBdr>
    </w:div>
    <w:div w:id="1997487120">
      <w:bodyDiv w:val="1"/>
      <w:marLeft w:val="0"/>
      <w:marRight w:val="0"/>
      <w:marTop w:val="0"/>
      <w:marBottom w:val="0"/>
      <w:divBdr>
        <w:top w:val="none" w:sz="0" w:space="0" w:color="auto"/>
        <w:left w:val="none" w:sz="0" w:space="0" w:color="auto"/>
        <w:bottom w:val="none" w:sz="0" w:space="0" w:color="auto"/>
        <w:right w:val="none" w:sz="0" w:space="0" w:color="auto"/>
      </w:divBdr>
    </w:div>
    <w:div w:id="2008364498">
      <w:bodyDiv w:val="1"/>
      <w:marLeft w:val="0"/>
      <w:marRight w:val="0"/>
      <w:marTop w:val="0"/>
      <w:marBottom w:val="0"/>
      <w:divBdr>
        <w:top w:val="none" w:sz="0" w:space="0" w:color="auto"/>
        <w:left w:val="none" w:sz="0" w:space="0" w:color="auto"/>
        <w:bottom w:val="none" w:sz="0" w:space="0" w:color="auto"/>
        <w:right w:val="none" w:sz="0" w:space="0" w:color="auto"/>
      </w:divBdr>
    </w:div>
    <w:div w:id="2013026483">
      <w:bodyDiv w:val="1"/>
      <w:marLeft w:val="0"/>
      <w:marRight w:val="0"/>
      <w:marTop w:val="0"/>
      <w:marBottom w:val="0"/>
      <w:divBdr>
        <w:top w:val="none" w:sz="0" w:space="0" w:color="auto"/>
        <w:left w:val="none" w:sz="0" w:space="0" w:color="auto"/>
        <w:bottom w:val="none" w:sz="0" w:space="0" w:color="auto"/>
        <w:right w:val="none" w:sz="0" w:space="0" w:color="auto"/>
      </w:divBdr>
    </w:div>
    <w:div w:id="209743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ri.eu/sites/default/files/accis_ecri-ceps-ue_data_sharing_in_credit_markets-web_0.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ccis.eu" TargetMode="External"/><Relationship Id="rId1" Type="http://schemas.openxmlformats.org/officeDocument/2006/relationships/hyperlink" Target="mailto:secretariat@accis.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rel">
  <a:themeElements>
    <a:clrScheme name="Interel 2013">
      <a:dk1>
        <a:sysClr val="windowText" lastClr="000000"/>
      </a:dk1>
      <a:lt1>
        <a:sysClr val="window" lastClr="FFFFFF"/>
      </a:lt1>
      <a:dk2>
        <a:srgbClr val="1F497D"/>
      </a:dk2>
      <a:lt2>
        <a:srgbClr val="EEECE1"/>
      </a:lt2>
      <a:accent1>
        <a:srgbClr val="A2C02F"/>
      </a:accent1>
      <a:accent2>
        <a:srgbClr val="414042"/>
      </a:accent2>
      <a:accent3>
        <a:srgbClr val="A61B6A"/>
      </a:accent3>
      <a:accent4>
        <a:srgbClr val="E4891B"/>
      </a:accent4>
      <a:accent5>
        <a:srgbClr val="62A0B4"/>
      </a:accent5>
      <a:accent6>
        <a:srgbClr val="9B8579"/>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Interel" id="{E1ACB9B9-826A-4B40-A225-596AE2248917}" vid="{8CD58424-19BA-4FD5-B31B-033336378E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B2777-7DDC-2F44-ABD6-9CEBB885F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655</Words>
  <Characters>3616</Characters>
  <Application>Microsoft Office Word</Application>
  <DocSecurity>0</DocSecurity>
  <Lines>59</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Jarvinen, Janne</dc:creator>
  <cp:keywords/>
  <dc:description/>
  <cp:lastModifiedBy>e.velazquez</cp:lastModifiedBy>
  <cp:revision>6</cp:revision>
  <cp:lastPrinted>2019-05-06T11:37:00Z</cp:lastPrinted>
  <dcterms:created xsi:type="dcterms:W3CDTF">2020-06-26T16:26:00Z</dcterms:created>
  <dcterms:modified xsi:type="dcterms:W3CDTF">2020-06-26T17:08:00Z</dcterms:modified>
</cp:coreProperties>
</file>