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F6EEF42" w14:textId="195A0E24" w:rsidR="00B93526" w:rsidRDefault="00B93526">
      <w:pPr>
        <w:pStyle w:val="Body"/>
        <w:rPr>
          <w:lang w:val="en-US"/>
        </w:rPr>
      </w:pPr>
    </w:p>
    <w:tbl>
      <w:tblPr>
        <w:tblW w:w="368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BCFD4"/>
        <w:tblLayout w:type="fixed"/>
        <w:tblLook w:val="04A0" w:firstRow="1" w:lastRow="0" w:firstColumn="1" w:lastColumn="0" w:noHBand="0" w:noVBand="1"/>
      </w:tblPr>
      <w:tblGrid>
        <w:gridCol w:w="3686"/>
      </w:tblGrid>
      <w:tr w:rsidR="00B93526" w14:paraId="235AC987" w14:textId="77777777" w:rsidTr="00C20C0F">
        <w:trPr>
          <w:trHeight w:val="219"/>
        </w:trPr>
        <w:tc>
          <w:tcPr>
            <w:tcW w:w="3686" w:type="dxa"/>
            <w:tcBorders>
              <w:top w:val="nil"/>
              <w:left w:val="nil"/>
              <w:bottom w:val="single" w:sz="4" w:space="0" w:color="A6A6A6"/>
              <w:right w:val="nil"/>
            </w:tcBorders>
            <w:shd w:val="clear" w:color="auto" w:fill="FFFFFF"/>
            <w:tcMar>
              <w:top w:w="80" w:type="dxa"/>
              <w:left w:w="80" w:type="dxa"/>
              <w:bottom w:w="80" w:type="dxa"/>
              <w:right w:w="80" w:type="dxa"/>
            </w:tcMar>
          </w:tcPr>
          <w:p w14:paraId="2DDD7192" w14:textId="6DD551FA" w:rsidR="00B93526" w:rsidRDefault="00685FBC" w:rsidP="00C2431E">
            <w:pPr>
              <w:pStyle w:val="Body"/>
            </w:pPr>
            <w:r w:rsidRPr="00DA39A8">
              <w:rPr>
                <w:highlight w:val="yellow"/>
              </w:rPr>
              <w:t>[</w:t>
            </w:r>
            <w:r w:rsidR="00960FC3">
              <w:rPr>
                <w:highlight w:val="yellow"/>
              </w:rPr>
              <w:t xml:space="preserve">FOR </w:t>
            </w:r>
            <w:r w:rsidR="00C2431E">
              <w:rPr>
                <w:highlight w:val="yellow"/>
              </w:rPr>
              <w:t>PUBLICATION</w:t>
            </w:r>
            <w:r w:rsidRPr="00DA39A8">
              <w:rPr>
                <w:highlight w:val="yellow"/>
              </w:rPr>
              <w:t>]</w:t>
            </w:r>
          </w:p>
        </w:tc>
      </w:tr>
      <w:tr w:rsidR="00B93526" w14:paraId="1D98B322" w14:textId="77777777">
        <w:trPr>
          <w:trHeight w:val="250"/>
        </w:trPr>
        <w:tc>
          <w:tcPr>
            <w:tcW w:w="3686" w:type="dxa"/>
            <w:tcBorders>
              <w:top w:val="single" w:sz="4" w:space="0" w:color="A6A6A6"/>
              <w:left w:val="nil"/>
              <w:bottom w:val="single" w:sz="4" w:space="0" w:color="A6A6A6"/>
              <w:right w:val="nil"/>
            </w:tcBorders>
            <w:shd w:val="clear" w:color="auto" w:fill="auto"/>
            <w:tcMar>
              <w:top w:w="80" w:type="dxa"/>
              <w:left w:w="80" w:type="dxa"/>
              <w:bottom w:w="80" w:type="dxa"/>
              <w:right w:w="80" w:type="dxa"/>
            </w:tcMar>
          </w:tcPr>
          <w:p w14:paraId="6CF21190" w14:textId="70674BAA" w:rsidR="00B93526" w:rsidRDefault="00C2431E" w:rsidP="00960FC3">
            <w:pPr>
              <w:pStyle w:val="Body"/>
            </w:pPr>
            <w:r>
              <w:t>26</w:t>
            </w:r>
            <w:r w:rsidR="0089757A">
              <w:t xml:space="preserve"> June 2020</w:t>
            </w:r>
          </w:p>
        </w:tc>
      </w:tr>
      <w:tr w:rsidR="00B93526" w14:paraId="1A526661" w14:textId="77777777">
        <w:trPr>
          <w:trHeight w:val="250"/>
        </w:trPr>
        <w:tc>
          <w:tcPr>
            <w:tcW w:w="3686" w:type="dxa"/>
            <w:tcBorders>
              <w:top w:val="single" w:sz="4" w:space="0" w:color="A6A6A6"/>
              <w:left w:val="nil"/>
              <w:bottom w:val="single" w:sz="4" w:space="0" w:color="A6A6A6"/>
              <w:right w:val="nil"/>
            </w:tcBorders>
            <w:shd w:val="clear" w:color="auto" w:fill="auto"/>
            <w:tcMar>
              <w:top w:w="80" w:type="dxa"/>
              <w:left w:w="80" w:type="dxa"/>
              <w:bottom w:w="80" w:type="dxa"/>
              <w:right w:w="80" w:type="dxa"/>
            </w:tcMar>
          </w:tcPr>
          <w:p w14:paraId="061CCF89" w14:textId="77777777" w:rsidR="00B93526" w:rsidRDefault="000A4F12">
            <w:pPr>
              <w:pStyle w:val="Body"/>
            </w:pPr>
            <w:r>
              <w:rPr>
                <w:lang w:val="de-DE"/>
              </w:rPr>
              <w:t>EBA Staff</w:t>
            </w:r>
          </w:p>
        </w:tc>
      </w:tr>
      <w:tr w:rsidR="00B93526" w14:paraId="1D1130D2" w14:textId="77777777">
        <w:trPr>
          <w:trHeight w:val="250"/>
        </w:trPr>
        <w:tc>
          <w:tcPr>
            <w:tcW w:w="3686" w:type="dxa"/>
            <w:tcBorders>
              <w:top w:val="single" w:sz="4" w:space="0" w:color="A6A6A6"/>
              <w:left w:val="nil"/>
              <w:bottom w:val="single" w:sz="4" w:space="0" w:color="A6A6A6"/>
              <w:right w:val="nil"/>
            </w:tcBorders>
            <w:shd w:val="clear" w:color="auto" w:fill="auto"/>
            <w:tcMar>
              <w:top w:w="80" w:type="dxa"/>
              <w:left w:w="80" w:type="dxa"/>
              <w:bottom w:w="80" w:type="dxa"/>
              <w:right w:w="80" w:type="dxa"/>
            </w:tcMar>
          </w:tcPr>
          <w:p w14:paraId="662E6623" w14:textId="77777777" w:rsidR="00B93526" w:rsidRDefault="000A4F12">
            <w:pPr>
              <w:pStyle w:val="Body"/>
            </w:pPr>
            <w:r>
              <w:rPr>
                <w:lang w:val="de-DE"/>
              </w:rPr>
              <w:t>EBA Regular Use</w:t>
            </w:r>
          </w:p>
        </w:tc>
      </w:tr>
    </w:tbl>
    <w:p w14:paraId="378AB58A" w14:textId="77777777" w:rsidR="00B93526" w:rsidRDefault="00B93526">
      <w:pPr>
        <w:pStyle w:val="Body"/>
        <w:widowControl w:val="0"/>
        <w:rPr>
          <w:lang w:val="en-US"/>
        </w:rPr>
      </w:pPr>
    </w:p>
    <w:p w14:paraId="5F635363" w14:textId="77777777" w:rsidR="00B93526" w:rsidRDefault="00B93526">
      <w:pPr>
        <w:pStyle w:val="Title"/>
      </w:pPr>
    </w:p>
    <w:p w14:paraId="0082D828" w14:textId="0BB34689" w:rsidR="00B93526" w:rsidRDefault="00631677">
      <w:pPr>
        <w:pStyle w:val="Title"/>
      </w:pPr>
      <w:r>
        <w:t>EBA response</w:t>
      </w:r>
    </w:p>
    <w:p w14:paraId="36AB2C2E" w14:textId="4227C2AC" w:rsidR="00024463" w:rsidRDefault="00685FBC">
      <w:pPr>
        <w:pStyle w:val="Titlelevel2"/>
        <w:jc w:val="both"/>
      </w:pPr>
      <w:r>
        <w:t>EC consultation on the digital finance strategy</w:t>
      </w:r>
      <w:r w:rsidR="00342E24">
        <w:t>/action plan</w:t>
      </w:r>
    </w:p>
    <w:p w14:paraId="2F9B85B5" w14:textId="38FF2A7D" w:rsidR="00D40C33" w:rsidRPr="00821BA5" w:rsidRDefault="00D40C33" w:rsidP="00D40C33">
      <w:pPr>
        <w:jc w:val="both"/>
        <w:rPr>
          <w:rFonts w:ascii="Calibri" w:hAnsi="Calibri" w:cs="Calibri"/>
          <w:sz w:val="22"/>
          <w:szCs w:val="22"/>
        </w:rPr>
      </w:pPr>
      <w:r w:rsidRPr="00E57172">
        <w:rPr>
          <w:rFonts w:ascii="Calibri" w:hAnsi="Calibri" w:cs="Calibri"/>
          <w:i/>
          <w:sz w:val="22"/>
          <w:szCs w:val="22"/>
        </w:rPr>
        <w:t xml:space="preserve">The EBA </w:t>
      </w:r>
      <w:r>
        <w:rPr>
          <w:rFonts w:ascii="Calibri" w:hAnsi="Calibri" w:cs="Calibri"/>
          <w:i/>
          <w:sz w:val="22"/>
          <w:szCs w:val="22"/>
        </w:rPr>
        <w:t>used</w:t>
      </w:r>
      <w:r w:rsidRPr="00E57172">
        <w:rPr>
          <w:rFonts w:ascii="Calibri" w:hAnsi="Calibri" w:cs="Calibri"/>
          <w:i/>
          <w:sz w:val="22"/>
          <w:szCs w:val="22"/>
        </w:rPr>
        <w:t xml:space="preserve"> the European Commission’s consultation response tool to submit its response.</w:t>
      </w:r>
      <w:r w:rsidR="00A61584">
        <w:rPr>
          <w:rFonts w:ascii="Calibri" w:hAnsi="Calibri" w:cs="Calibri"/>
          <w:i/>
          <w:sz w:val="22"/>
          <w:szCs w:val="22"/>
        </w:rPr>
        <w:t xml:space="preserve"> However, the response is also published in Word format for ease of access.</w:t>
      </w:r>
      <w:r w:rsidRPr="00E57172">
        <w:rPr>
          <w:rFonts w:ascii="Calibri" w:hAnsi="Calibri" w:cs="Calibri"/>
          <w:i/>
          <w:sz w:val="22"/>
          <w:szCs w:val="22"/>
        </w:rPr>
        <w:t xml:space="preserve"> For background to each of the Commission’s questions please refer to the </w:t>
      </w:r>
      <w:hyperlink r:id="rId11" w:history="1">
        <w:r w:rsidRPr="00E57172">
          <w:rPr>
            <w:rStyle w:val="Hyperlink"/>
            <w:rFonts w:ascii="Calibri" w:hAnsi="Calibri" w:cs="Calibri"/>
            <w:i/>
            <w:sz w:val="22"/>
            <w:szCs w:val="22"/>
          </w:rPr>
          <w:t>consultation paper</w:t>
        </w:r>
      </w:hyperlink>
      <w:r w:rsidRPr="00E57172">
        <w:rPr>
          <w:rFonts w:ascii="Calibri" w:hAnsi="Calibri" w:cs="Calibri"/>
          <w:i/>
          <w:sz w:val="22"/>
          <w:szCs w:val="22"/>
        </w:rPr>
        <w:t>.</w:t>
      </w:r>
      <w:r w:rsidR="00A61584">
        <w:rPr>
          <w:rStyle w:val="FootnoteReference"/>
          <w:rFonts w:ascii="Calibri" w:hAnsi="Calibri" w:cs="Calibri"/>
          <w:i/>
          <w:sz w:val="22"/>
          <w:szCs w:val="22"/>
        </w:rPr>
        <w:footnoteReference w:id="2"/>
      </w:r>
      <w:r w:rsidRPr="00E57172">
        <w:rPr>
          <w:rFonts w:ascii="Calibri" w:hAnsi="Calibri" w:cs="Calibri"/>
          <w:i/>
          <w:sz w:val="22"/>
          <w:szCs w:val="22"/>
        </w:rPr>
        <w:t xml:space="preserve"> </w:t>
      </w:r>
      <w:r w:rsidR="00A61584">
        <w:rPr>
          <w:rFonts w:ascii="Calibri" w:hAnsi="Calibri" w:cs="Calibri"/>
          <w:i/>
          <w:sz w:val="22"/>
          <w:szCs w:val="22"/>
        </w:rPr>
        <w:t>A</w:t>
      </w:r>
      <w:r w:rsidRPr="00E57172">
        <w:rPr>
          <w:rFonts w:ascii="Calibri" w:hAnsi="Calibri" w:cs="Calibri"/>
          <w:i/>
          <w:sz w:val="22"/>
          <w:szCs w:val="22"/>
        </w:rPr>
        <w:t xml:space="preserve"> 5000 char</w:t>
      </w:r>
      <w:r w:rsidR="00A61584">
        <w:rPr>
          <w:rFonts w:ascii="Calibri" w:hAnsi="Calibri" w:cs="Calibri"/>
          <w:i/>
          <w:sz w:val="22"/>
          <w:szCs w:val="22"/>
        </w:rPr>
        <w:t>acter limit (including spaces) w</w:t>
      </w:r>
      <w:r w:rsidRPr="00E57172">
        <w:rPr>
          <w:rFonts w:ascii="Calibri" w:hAnsi="Calibri" w:cs="Calibri"/>
          <w:i/>
          <w:sz w:val="22"/>
          <w:szCs w:val="22"/>
        </w:rPr>
        <w:t>as been imposed for the majority of questions.</w:t>
      </w:r>
    </w:p>
    <w:p w14:paraId="579AE532" w14:textId="37A72A16" w:rsidR="00631677" w:rsidRDefault="00631677" w:rsidP="00024463">
      <w:pPr>
        <w:rPr>
          <w:rFonts w:ascii="Calibri" w:hAnsi="Calibri" w:cs="Arial"/>
          <w:b/>
          <w:bCs/>
          <w:color w:val="2F5773" w:themeColor="accent1"/>
          <w:lang w:eastAsia="en-GB"/>
        </w:rPr>
      </w:pPr>
    </w:p>
    <w:p w14:paraId="1581A22F" w14:textId="150E0DB6" w:rsidR="00DA39A8" w:rsidRPr="00E73445" w:rsidRDefault="00DA39A8" w:rsidP="00E73445">
      <w:pPr>
        <w:pStyle w:val="Heading2"/>
        <w:tabs>
          <w:tab w:val="left" w:pos="4936"/>
          <w:tab w:val="left" w:pos="9548"/>
        </w:tabs>
        <w:ind w:left="0" w:right="139"/>
        <w:jc w:val="both"/>
        <w:rPr>
          <w:rFonts w:ascii="Calibri" w:hAnsi="Calibri" w:cs="Calibri"/>
          <w:color w:val="FF0000"/>
          <w:spacing w:val="-17"/>
          <w:sz w:val="24"/>
          <w:szCs w:val="24"/>
        </w:rPr>
      </w:pPr>
      <w:r w:rsidRPr="00E73445">
        <w:rPr>
          <w:rFonts w:ascii="Calibri" w:hAnsi="Calibri" w:cs="Calibri"/>
          <w:sz w:val="24"/>
          <w:szCs w:val="24"/>
        </w:rPr>
        <w:t>Question 1. What are the main obstacles to fully reap the opportunities of innovative technologies in the European financial sector (please mention no more than 4)?</w:t>
      </w:r>
      <w:r w:rsidRPr="00E73445">
        <w:rPr>
          <w:rFonts w:ascii="Calibri" w:hAnsi="Calibri" w:cs="Calibri"/>
          <w:color w:val="FF0000"/>
          <w:spacing w:val="-17"/>
          <w:sz w:val="24"/>
          <w:szCs w:val="24"/>
        </w:rPr>
        <w:t xml:space="preserve"> </w:t>
      </w:r>
      <w:r w:rsidRPr="00E73445">
        <w:rPr>
          <w:rFonts w:ascii="Calibri" w:hAnsi="Calibri" w:cs="Calibri"/>
          <w:sz w:val="24"/>
          <w:szCs w:val="24"/>
        </w:rPr>
        <w:t xml:space="preserve">Please also take into account the </w:t>
      </w:r>
      <w:r w:rsidRPr="00E73445">
        <w:rPr>
          <w:rFonts w:ascii="Calibri" w:hAnsi="Calibri" w:cs="Calibri"/>
          <w:color w:val="004493"/>
          <w:sz w:val="24"/>
          <w:szCs w:val="24"/>
          <w:u w:val="single" w:color="004493"/>
        </w:rPr>
        <w:t>analysis of the expert group on Regulatory</w:t>
      </w:r>
      <w:r w:rsidRPr="00E73445">
        <w:rPr>
          <w:rFonts w:ascii="Calibri" w:hAnsi="Calibri" w:cs="Calibri"/>
          <w:color w:val="004493"/>
          <w:sz w:val="24"/>
          <w:szCs w:val="24"/>
        </w:rPr>
        <w:t xml:space="preserve"> </w:t>
      </w:r>
      <w:r w:rsidRPr="00E73445">
        <w:rPr>
          <w:rFonts w:ascii="Calibri" w:hAnsi="Calibri" w:cs="Calibri"/>
          <w:color w:val="004493"/>
          <w:sz w:val="24"/>
          <w:szCs w:val="24"/>
          <w:u w:val="single" w:color="004493"/>
        </w:rPr>
        <w:t>Obstacles to Financial Innovation</w:t>
      </w:r>
      <w:r w:rsidRPr="00E73445">
        <w:rPr>
          <w:rFonts w:ascii="Calibri" w:hAnsi="Calibri" w:cs="Calibri"/>
          <w:color w:val="004493"/>
          <w:sz w:val="24"/>
          <w:szCs w:val="24"/>
        </w:rPr>
        <w:t xml:space="preserve"> </w:t>
      </w:r>
      <w:r w:rsidRPr="00E73445">
        <w:rPr>
          <w:rFonts w:ascii="Calibri" w:hAnsi="Calibri" w:cs="Calibri"/>
          <w:sz w:val="24"/>
          <w:szCs w:val="24"/>
        </w:rPr>
        <w:t>in that respect.</w:t>
      </w:r>
    </w:p>
    <w:p w14:paraId="29379C5F" w14:textId="77777777" w:rsidR="00DA39A8" w:rsidRPr="00DA39A8" w:rsidRDefault="00DA39A8" w:rsidP="00DA39A8">
      <w:pPr>
        <w:jc w:val="both"/>
        <w:rPr>
          <w:rFonts w:ascii="Calibri" w:hAnsi="Calibri" w:cs="Calibri"/>
          <w:sz w:val="22"/>
          <w:szCs w:val="22"/>
        </w:rPr>
      </w:pPr>
    </w:p>
    <w:p w14:paraId="5576C44C" w14:textId="37FB528E" w:rsidR="00DA39A8" w:rsidRPr="00DA39A8" w:rsidRDefault="00DA39A8" w:rsidP="00DA39A8">
      <w:pPr>
        <w:spacing w:line="276" w:lineRule="auto"/>
        <w:jc w:val="both"/>
        <w:rPr>
          <w:rFonts w:ascii="Calibri" w:hAnsi="Calibri" w:cs="Calibri"/>
          <w:sz w:val="22"/>
          <w:szCs w:val="22"/>
        </w:rPr>
      </w:pPr>
      <w:r w:rsidRPr="00DA39A8">
        <w:rPr>
          <w:rFonts w:ascii="Calibri" w:hAnsi="Calibri" w:cs="Calibri"/>
          <w:sz w:val="22"/>
          <w:szCs w:val="22"/>
        </w:rPr>
        <w:t xml:space="preserve">The EBA identifies four main groups of obstacles </w:t>
      </w:r>
      <w:r w:rsidR="00DE11B2">
        <w:rPr>
          <w:rFonts w:ascii="Calibri" w:hAnsi="Calibri" w:cs="Calibri"/>
          <w:sz w:val="22"/>
          <w:szCs w:val="22"/>
        </w:rPr>
        <w:t>potentially</w:t>
      </w:r>
      <w:r w:rsidR="00DE11B2" w:rsidRPr="00DA39A8">
        <w:rPr>
          <w:rFonts w:ascii="Calibri" w:hAnsi="Calibri" w:cs="Calibri"/>
          <w:sz w:val="22"/>
          <w:szCs w:val="22"/>
        </w:rPr>
        <w:t xml:space="preserve"> </w:t>
      </w:r>
      <w:r w:rsidRPr="00DA39A8">
        <w:rPr>
          <w:rFonts w:ascii="Calibri" w:hAnsi="Calibri" w:cs="Calibri"/>
          <w:sz w:val="22"/>
          <w:szCs w:val="22"/>
        </w:rPr>
        <w:t>impeding the capacity of the European financial sector to fully reap the opportunities of innovative technologies:</w:t>
      </w:r>
    </w:p>
    <w:p w14:paraId="48558501" w14:textId="77777777" w:rsidR="00DA39A8" w:rsidRPr="00E73445" w:rsidRDefault="00DA39A8" w:rsidP="00DA39A8">
      <w:pPr>
        <w:pStyle w:val="bullet1"/>
        <w:numPr>
          <w:ilvl w:val="0"/>
          <w:numId w:val="0"/>
        </w:numPr>
        <w:rPr>
          <w:rFonts w:ascii="Calibri" w:eastAsia="Times New Roman" w:hAnsi="Calibri" w:cs="Calibri"/>
          <w:b/>
          <w:i/>
        </w:rPr>
      </w:pPr>
      <w:r w:rsidRPr="00E73445">
        <w:rPr>
          <w:rFonts w:ascii="Calibri" w:eastAsia="Times New Roman" w:hAnsi="Calibri" w:cs="Calibri"/>
          <w:b/>
          <w:i/>
        </w:rPr>
        <w:t>1. Existing regulation – or the absence of regulation – resulting in outcomes that are not technologically neutral</w:t>
      </w:r>
    </w:p>
    <w:p w14:paraId="7E4EC55C" w14:textId="3F9ADBEA" w:rsidR="0096677A" w:rsidRPr="008E3C6D" w:rsidRDefault="0096677A" w:rsidP="008940C2">
      <w:pPr>
        <w:pStyle w:val="bullet1"/>
        <w:numPr>
          <w:ilvl w:val="0"/>
          <w:numId w:val="0"/>
        </w:numPr>
        <w:rPr>
          <w:rFonts w:ascii="Calibri" w:hAnsi="Calibri" w:cs="Calibri"/>
        </w:rPr>
      </w:pPr>
      <w:r w:rsidRPr="008E3C6D">
        <w:rPr>
          <w:rFonts w:ascii="Calibri" w:hAnsi="Calibri" w:cs="Calibri"/>
        </w:rPr>
        <w:t xml:space="preserve">Technological neutrality is about achieving </w:t>
      </w:r>
      <w:r w:rsidR="00243BE8">
        <w:rPr>
          <w:rFonts w:ascii="Calibri" w:hAnsi="Calibri" w:cs="Calibri"/>
        </w:rPr>
        <w:t>the right</w:t>
      </w:r>
      <w:r w:rsidRPr="008E3C6D">
        <w:rPr>
          <w:rFonts w:ascii="Calibri" w:hAnsi="Calibri" w:cs="Calibri"/>
        </w:rPr>
        <w:t xml:space="preserve"> balance between facilitating innovation, scalability and competition across the EU Single Market whilst continuing to achieve the central regulatory objectives of consumer protection, prudential resilience</w:t>
      </w:r>
      <w:r w:rsidR="00DE11B2">
        <w:rPr>
          <w:rFonts w:ascii="Calibri" w:hAnsi="Calibri" w:cs="Calibri"/>
        </w:rPr>
        <w:t>, market integrity</w:t>
      </w:r>
      <w:r w:rsidRPr="008E3C6D">
        <w:rPr>
          <w:rFonts w:ascii="Calibri" w:hAnsi="Calibri" w:cs="Calibri"/>
        </w:rPr>
        <w:t xml:space="preserve"> and ultimately financial stability.</w:t>
      </w:r>
    </w:p>
    <w:p w14:paraId="3CD9F40B" w14:textId="305430DE" w:rsidR="0096677A" w:rsidRPr="0096677A" w:rsidRDefault="0096677A" w:rsidP="008940C2">
      <w:pPr>
        <w:pStyle w:val="bullet1"/>
        <w:numPr>
          <w:ilvl w:val="0"/>
          <w:numId w:val="0"/>
        </w:numPr>
        <w:rPr>
          <w:rFonts w:ascii="Calibri" w:hAnsi="Calibri" w:cs="Calibri"/>
          <w:color w:val="000000" w:themeColor="text1"/>
        </w:rPr>
      </w:pPr>
      <w:r w:rsidRPr="008E3C6D">
        <w:rPr>
          <w:rFonts w:ascii="Calibri" w:hAnsi="Calibri" w:cs="Calibri"/>
        </w:rPr>
        <w:t>In simple terms this should mean that</w:t>
      </w:r>
      <w:r w:rsidR="00F74FFC">
        <w:rPr>
          <w:rFonts w:ascii="Calibri" w:hAnsi="Calibri" w:cs="Calibri"/>
        </w:rPr>
        <w:t xml:space="preserve"> (i) the use of a specific technology is neither preferred nor prejudiced and (ii)</w:t>
      </w:r>
      <w:r w:rsidRPr="008E3C6D">
        <w:rPr>
          <w:rFonts w:ascii="Calibri" w:hAnsi="Calibri" w:cs="Calibri"/>
        </w:rPr>
        <w:t xml:space="preserve"> regardless of the technology or business model deployed, activities presenting similar risks should be subject to similar regulation and supervision (i.e. an </w:t>
      </w:r>
      <w:r w:rsidR="008940C2">
        <w:rPr>
          <w:rFonts w:ascii="Calibri" w:hAnsi="Calibri" w:cs="Calibri"/>
        </w:rPr>
        <w:t>‘</w:t>
      </w:r>
      <w:r w:rsidRPr="008E3C6D">
        <w:rPr>
          <w:rFonts w:ascii="Calibri" w:hAnsi="Calibri" w:cs="Calibri"/>
        </w:rPr>
        <w:t>activities-based</w:t>
      </w:r>
      <w:r w:rsidR="008940C2">
        <w:rPr>
          <w:rFonts w:ascii="Calibri" w:hAnsi="Calibri" w:cs="Calibri"/>
        </w:rPr>
        <w:t>’</w:t>
      </w:r>
      <w:r w:rsidRPr="008E3C6D">
        <w:rPr>
          <w:rFonts w:ascii="Calibri" w:hAnsi="Calibri" w:cs="Calibri"/>
        </w:rPr>
        <w:t xml:space="preserve"> approach to regulation and supervision</w:t>
      </w:r>
      <w:r w:rsidR="00941715">
        <w:rPr>
          <w:rFonts w:ascii="Calibri" w:hAnsi="Calibri" w:cs="Calibri"/>
        </w:rPr>
        <w:t>, rather than regulation of the underlying technology</w:t>
      </w:r>
      <w:r w:rsidRPr="008E3C6D">
        <w:rPr>
          <w:rFonts w:ascii="Calibri" w:hAnsi="Calibri" w:cs="Calibri"/>
        </w:rPr>
        <w:t xml:space="preserve">). </w:t>
      </w:r>
      <w:r w:rsidRPr="008E3C6D">
        <w:rPr>
          <w:rFonts w:ascii="Calibri" w:hAnsi="Calibri" w:cs="Calibri"/>
          <w:color w:val="000000" w:themeColor="text1"/>
        </w:rPr>
        <w:t>For instance, consumers should always benefit from t</w:t>
      </w:r>
      <w:r>
        <w:rPr>
          <w:rFonts w:ascii="Calibri" w:hAnsi="Calibri" w:cs="Calibri"/>
          <w:color w:val="000000" w:themeColor="text1"/>
        </w:rPr>
        <w:t>he same standard of protection</w:t>
      </w:r>
      <w:r w:rsidR="00BF5E5A">
        <w:rPr>
          <w:rFonts w:ascii="Calibri" w:hAnsi="Calibri" w:cs="Calibri"/>
          <w:color w:val="000000" w:themeColor="text1"/>
        </w:rPr>
        <w:t xml:space="preserve"> when accessing </w:t>
      </w:r>
      <w:r w:rsidR="00BF5E5A">
        <w:rPr>
          <w:rFonts w:ascii="Calibri" w:hAnsi="Calibri" w:cs="Calibri"/>
          <w:color w:val="000000" w:themeColor="text1"/>
        </w:rPr>
        <w:lastRenderedPageBreak/>
        <w:t xml:space="preserve">the same products and services, regardless of who </w:t>
      </w:r>
      <w:r w:rsidR="008940C2">
        <w:rPr>
          <w:rFonts w:ascii="Calibri" w:hAnsi="Calibri" w:cs="Calibri"/>
          <w:color w:val="000000" w:themeColor="text1"/>
        </w:rPr>
        <w:t>is providing the service</w:t>
      </w:r>
      <w:r>
        <w:rPr>
          <w:rFonts w:ascii="Calibri" w:hAnsi="Calibri" w:cs="Calibri"/>
          <w:color w:val="000000" w:themeColor="text1"/>
        </w:rPr>
        <w:t xml:space="preserve">. </w:t>
      </w:r>
      <w:r w:rsidRPr="008E3C6D">
        <w:rPr>
          <w:rFonts w:ascii="Calibri" w:hAnsi="Calibri" w:cs="Calibri"/>
        </w:rPr>
        <w:t xml:space="preserve">This does not mean that the ‘entities-based’ approach </w:t>
      </w:r>
      <w:r>
        <w:rPr>
          <w:rFonts w:ascii="Calibri" w:hAnsi="Calibri" w:cs="Calibri"/>
        </w:rPr>
        <w:t xml:space="preserve">for prudential purposes </w:t>
      </w:r>
      <w:r w:rsidRPr="008E3C6D">
        <w:rPr>
          <w:rFonts w:ascii="Calibri" w:hAnsi="Calibri" w:cs="Calibri"/>
        </w:rPr>
        <w:t xml:space="preserve">should be disregarded. </w:t>
      </w:r>
      <w:r w:rsidR="00F74FFC">
        <w:rPr>
          <w:rFonts w:ascii="Calibri" w:hAnsi="Calibri" w:cs="Calibri"/>
        </w:rPr>
        <w:t>Rather, i</w:t>
      </w:r>
      <w:r w:rsidRPr="008E3C6D">
        <w:rPr>
          <w:rFonts w:ascii="Calibri" w:hAnsi="Calibri" w:cs="Calibri"/>
        </w:rPr>
        <w:t xml:space="preserve">t should exist in parallel to the activities-based approach to ensure that </w:t>
      </w:r>
      <w:r>
        <w:rPr>
          <w:rFonts w:ascii="Calibri" w:hAnsi="Calibri" w:cs="Calibri"/>
        </w:rPr>
        <w:t xml:space="preserve">combination of activities provided by an entity and </w:t>
      </w:r>
      <w:r w:rsidRPr="008E3C6D">
        <w:rPr>
          <w:rFonts w:ascii="Calibri" w:hAnsi="Calibri" w:cs="Calibri"/>
        </w:rPr>
        <w:t xml:space="preserve">aggregate risks are appropriately regulated and supervised, in particular from a prudential perspective taking account of the impact of </w:t>
      </w:r>
      <w:r w:rsidR="00DE11B2">
        <w:rPr>
          <w:rFonts w:ascii="Calibri" w:hAnsi="Calibri" w:cs="Calibri"/>
        </w:rPr>
        <w:t>businesses failing</w:t>
      </w:r>
      <w:r w:rsidRPr="008E3C6D">
        <w:rPr>
          <w:rFonts w:ascii="Calibri" w:hAnsi="Calibri" w:cs="Calibri"/>
        </w:rPr>
        <w:t>.</w:t>
      </w:r>
    </w:p>
    <w:p w14:paraId="13DC58B3" w14:textId="6D8D6FA7" w:rsidR="00DA39A8" w:rsidRPr="00DA39A8" w:rsidRDefault="0096677A" w:rsidP="008940C2">
      <w:pPr>
        <w:pStyle w:val="bullet1"/>
        <w:numPr>
          <w:ilvl w:val="0"/>
          <w:numId w:val="0"/>
        </w:numPr>
        <w:rPr>
          <w:rFonts w:ascii="Calibri" w:eastAsia="Times New Roman" w:hAnsi="Calibri" w:cs="Calibri"/>
        </w:rPr>
      </w:pPr>
      <w:r>
        <w:rPr>
          <w:rFonts w:ascii="Calibri" w:eastAsia="Times New Roman" w:hAnsi="Calibri" w:cs="Calibri"/>
        </w:rPr>
        <w:t>Applying this approach,</w:t>
      </w:r>
      <w:r w:rsidR="00F74FFC">
        <w:rPr>
          <w:rFonts w:ascii="Calibri" w:eastAsia="Times New Roman" w:hAnsi="Calibri" w:cs="Calibri"/>
        </w:rPr>
        <w:t xml:space="preserve"> throughout the EBA’s work pursuant to the March 201</w:t>
      </w:r>
      <w:r w:rsidR="00081216">
        <w:rPr>
          <w:rFonts w:ascii="Calibri" w:eastAsia="Times New Roman" w:hAnsi="Calibri" w:cs="Calibri"/>
        </w:rPr>
        <w:t>8</w:t>
      </w:r>
      <w:r w:rsidR="00F74FFC">
        <w:rPr>
          <w:rFonts w:ascii="Calibri" w:eastAsia="Times New Roman" w:hAnsi="Calibri" w:cs="Calibri"/>
        </w:rPr>
        <w:t xml:space="preserve"> European Commission FinTech Action P</w:t>
      </w:r>
      <w:r w:rsidR="0020127E">
        <w:rPr>
          <w:rFonts w:ascii="Calibri" w:eastAsia="Times New Roman" w:hAnsi="Calibri" w:cs="Calibri"/>
        </w:rPr>
        <w:t>lan and the EBA FinTec</w:t>
      </w:r>
      <w:r w:rsidR="00F74FFC">
        <w:rPr>
          <w:rFonts w:ascii="Calibri" w:eastAsia="Times New Roman" w:hAnsi="Calibri" w:cs="Calibri"/>
        </w:rPr>
        <w:t>h Roadmap,</w:t>
      </w:r>
      <w:r>
        <w:rPr>
          <w:rFonts w:ascii="Calibri" w:eastAsia="Times New Roman" w:hAnsi="Calibri" w:cs="Calibri"/>
        </w:rPr>
        <w:t xml:space="preserve"> the EBA has identified cases where existing EU regulation, or the absence of regulation</w:t>
      </w:r>
      <w:r w:rsidR="00DA39A8" w:rsidRPr="00DA39A8">
        <w:rPr>
          <w:rFonts w:ascii="Calibri" w:eastAsia="Times New Roman" w:hAnsi="Calibri" w:cs="Calibri"/>
        </w:rPr>
        <w:t xml:space="preserve"> may be:</w:t>
      </w:r>
    </w:p>
    <w:p w14:paraId="07437CA2" w14:textId="26C14BAF" w:rsidR="00DA39A8" w:rsidRPr="00DA39A8" w:rsidRDefault="00DA39A8" w:rsidP="008940C2">
      <w:pPr>
        <w:pStyle w:val="bullet1"/>
        <w:numPr>
          <w:ilvl w:val="0"/>
          <w:numId w:val="13"/>
        </w:numPr>
        <w:rPr>
          <w:rFonts w:ascii="Calibri" w:eastAsia="Times New Roman" w:hAnsi="Calibri" w:cs="Calibri"/>
        </w:rPr>
      </w:pPr>
      <w:r w:rsidRPr="00DA39A8">
        <w:rPr>
          <w:rFonts w:ascii="Calibri" w:eastAsia="Times New Roman" w:hAnsi="Calibri" w:cs="Calibri"/>
        </w:rPr>
        <w:t>unintentional</w:t>
      </w:r>
      <w:r w:rsidR="008940C2">
        <w:rPr>
          <w:rFonts w:ascii="Calibri" w:eastAsia="Times New Roman" w:hAnsi="Calibri" w:cs="Calibri"/>
        </w:rPr>
        <w:t xml:space="preserve">ly impeding the roll out of </w:t>
      </w:r>
      <w:r w:rsidRPr="00DA39A8">
        <w:rPr>
          <w:rFonts w:ascii="Calibri" w:eastAsia="Times New Roman" w:hAnsi="Calibri" w:cs="Calibri"/>
        </w:rPr>
        <w:t>technology-enable</w:t>
      </w:r>
      <w:r w:rsidR="00E73445">
        <w:rPr>
          <w:rFonts w:ascii="Calibri" w:eastAsia="Times New Roman" w:hAnsi="Calibri" w:cs="Calibri"/>
        </w:rPr>
        <w:t>d</w:t>
      </w:r>
      <w:r w:rsidRPr="00DA39A8">
        <w:rPr>
          <w:rFonts w:ascii="Calibri" w:eastAsia="Times New Roman" w:hAnsi="Calibri" w:cs="Calibri"/>
        </w:rPr>
        <w:t xml:space="preserve"> financial services and products;</w:t>
      </w:r>
    </w:p>
    <w:p w14:paraId="43110FC5" w14:textId="4EB607EF" w:rsidR="00DA39A8" w:rsidRPr="00DA39A8" w:rsidRDefault="00DA39A8" w:rsidP="008940C2">
      <w:pPr>
        <w:pStyle w:val="bullet1"/>
        <w:numPr>
          <w:ilvl w:val="0"/>
          <w:numId w:val="13"/>
        </w:numPr>
        <w:rPr>
          <w:rFonts w:ascii="Calibri" w:eastAsia="Times New Roman" w:hAnsi="Calibri" w:cs="Calibri"/>
        </w:rPr>
      </w:pPr>
      <w:r w:rsidRPr="00DA39A8">
        <w:rPr>
          <w:rFonts w:ascii="Calibri" w:eastAsia="Times New Roman" w:hAnsi="Calibri" w:cs="Calibri"/>
        </w:rPr>
        <w:t>hindering the scaling of activities across t</w:t>
      </w:r>
      <w:r w:rsidR="00E73445">
        <w:rPr>
          <w:rFonts w:ascii="Calibri" w:eastAsia="Times New Roman" w:hAnsi="Calibri" w:cs="Calibri"/>
        </w:rPr>
        <w:t xml:space="preserve">he </w:t>
      </w:r>
      <w:r w:rsidR="008940C2">
        <w:rPr>
          <w:rFonts w:ascii="Calibri" w:eastAsia="Times New Roman" w:hAnsi="Calibri" w:cs="Calibri"/>
        </w:rPr>
        <w:t xml:space="preserve">EU </w:t>
      </w:r>
      <w:r w:rsidR="00E73445">
        <w:rPr>
          <w:rFonts w:ascii="Calibri" w:eastAsia="Times New Roman" w:hAnsi="Calibri" w:cs="Calibri"/>
        </w:rPr>
        <w:t>Single Market to the benefit</w:t>
      </w:r>
      <w:r w:rsidRPr="00DA39A8">
        <w:rPr>
          <w:rFonts w:ascii="Calibri" w:eastAsia="Times New Roman" w:hAnsi="Calibri" w:cs="Calibri"/>
        </w:rPr>
        <w:t xml:space="preserve"> of consumers; or</w:t>
      </w:r>
    </w:p>
    <w:p w14:paraId="0096C5E6" w14:textId="77777777" w:rsidR="00DA39A8" w:rsidRPr="00DA39A8" w:rsidRDefault="00DA39A8" w:rsidP="008940C2">
      <w:pPr>
        <w:pStyle w:val="bullet1"/>
        <w:numPr>
          <w:ilvl w:val="0"/>
          <w:numId w:val="13"/>
        </w:numPr>
        <w:rPr>
          <w:rFonts w:ascii="Calibri" w:eastAsia="Times New Roman" w:hAnsi="Calibri" w:cs="Calibri"/>
        </w:rPr>
      </w:pPr>
      <w:r w:rsidRPr="00DA39A8">
        <w:rPr>
          <w:rFonts w:ascii="Calibri" w:eastAsia="Times New Roman" w:hAnsi="Calibri" w:cs="Calibri"/>
        </w:rPr>
        <w:t xml:space="preserve">posing a barrier to new entrants. </w:t>
      </w:r>
    </w:p>
    <w:p w14:paraId="3332A70D" w14:textId="55206CDE" w:rsidR="00DA39A8" w:rsidRPr="00DA39A8" w:rsidRDefault="00DA39A8" w:rsidP="008940C2">
      <w:pPr>
        <w:pStyle w:val="bullet1"/>
        <w:numPr>
          <w:ilvl w:val="0"/>
          <w:numId w:val="0"/>
        </w:numPr>
        <w:rPr>
          <w:rFonts w:ascii="Calibri" w:hAnsi="Calibri" w:cs="Calibri"/>
        </w:rPr>
      </w:pPr>
      <w:r w:rsidRPr="00DA39A8">
        <w:rPr>
          <w:rFonts w:ascii="Calibri" w:eastAsia="Times New Roman" w:hAnsi="Calibri" w:cs="Calibri"/>
        </w:rPr>
        <w:t xml:space="preserve">Notably, the EBA has identified that significant divergences in </w:t>
      </w:r>
      <w:r w:rsidRPr="00DA39A8">
        <w:rPr>
          <w:rFonts w:ascii="Calibri" w:hAnsi="Calibri" w:cs="Calibri"/>
        </w:rPr>
        <w:t xml:space="preserve">conduct of business requirements and approaches to remote customer onboarding </w:t>
      </w:r>
      <w:r w:rsidR="007F5656">
        <w:rPr>
          <w:rFonts w:ascii="Calibri" w:hAnsi="Calibri" w:cs="Calibri"/>
        </w:rPr>
        <w:t>present potential impediments to</w:t>
      </w:r>
      <w:r w:rsidRPr="00DA39A8">
        <w:rPr>
          <w:rFonts w:ascii="Calibri" w:hAnsi="Calibri" w:cs="Calibri"/>
        </w:rPr>
        <w:t xml:space="preserve"> the</w:t>
      </w:r>
      <w:r w:rsidR="00DE11B2">
        <w:rPr>
          <w:rFonts w:ascii="Calibri" w:hAnsi="Calibri" w:cs="Calibri"/>
        </w:rPr>
        <w:t xml:space="preserve"> </w:t>
      </w:r>
      <w:r w:rsidRPr="00DA39A8">
        <w:rPr>
          <w:rFonts w:ascii="Calibri" w:hAnsi="Calibri" w:cs="Calibri"/>
        </w:rPr>
        <w:t>scaling up of activities cross-border</w:t>
      </w:r>
      <w:r w:rsidR="008940C2">
        <w:rPr>
          <w:rFonts w:ascii="Calibri" w:hAnsi="Calibri" w:cs="Calibri"/>
        </w:rPr>
        <w:t>, and result in firms struggling</w:t>
      </w:r>
      <w:r w:rsidRPr="00DA39A8">
        <w:rPr>
          <w:rFonts w:ascii="Calibri" w:hAnsi="Calibri" w:cs="Calibri"/>
        </w:rPr>
        <w:t xml:space="preserve"> to navigate a patchwork of domestic requirements</w:t>
      </w:r>
      <w:r w:rsidR="008940C2">
        <w:rPr>
          <w:rFonts w:ascii="Calibri" w:hAnsi="Calibri" w:cs="Calibri"/>
        </w:rPr>
        <w:t xml:space="preserve"> in order to </w:t>
      </w:r>
      <w:r w:rsidR="007F5656">
        <w:rPr>
          <w:rFonts w:ascii="Calibri" w:hAnsi="Calibri" w:cs="Calibri"/>
        </w:rPr>
        <w:t>roll-out digital solutions (</w:t>
      </w:r>
      <w:r w:rsidR="008940C2">
        <w:rPr>
          <w:rFonts w:ascii="Calibri" w:hAnsi="Calibri" w:cs="Calibri"/>
        </w:rPr>
        <w:t>e.g. for customer on-boarding)</w:t>
      </w:r>
      <w:r w:rsidRPr="00DA39A8">
        <w:rPr>
          <w:rFonts w:ascii="Calibri" w:hAnsi="Calibri" w:cs="Calibri"/>
        </w:rPr>
        <w:t>.</w:t>
      </w:r>
      <w:r w:rsidRPr="00DA39A8">
        <w:rPr>
          <w:rStyle w:val="FootnoteReference"/>
          <w:rFonts w:ascii="Calibri" w:hAnsi="Calibri" w:cs="Calibri"/>
        </w:rPr>
        <w:footnoteReference w:id="3"/>
      </w:r>
      <w:r w:rsidRPr="00DA39A8">
        <w:rPr>
          <w:rFonts w:ascii="Calibri" w:hAnsi="Calibri" w:cs="Calibri"/>
        </w:rPr>
        <w:t xml:space="preserve"> These</w:t>
      </w:r>
      <w:r w:rsidR="007F5656">
        <w:rPr>
          <w:rFonts w:ascii="Calibri" w:hAnsi="Calibri" w:cs="Calibri"/>
        </w:rPr>
        <w:t xml:space="preserve"> impediments</w:t>
      </w:r>
      <w:r w:rsidRPr="00DA39A8">
        <w:rPr>
          <w:rFonts w:ascii="Calibri" w:hAnsi="Calibri" w:cs="Calibri"/>
        </w:rPr>
        <w:t xml:space="preserve"> need to be tackled in order to meaningfully improve the functioning of the </w:t>
      </w:r>
      <w:r w:rsidR="008940C2">
        <w:rPr>
          <w:rFonts w:ascii="Calibri" w:hAnsi="Calibri" w:cs="Calibri"/>
        </w:rPr>
        <w:t xml:space="preserve">EU </w:t>
      </w:r>
      <w:r w:rsidRPr="00DA39A8">
        <w:rPr>
          <w:rFonts w:ascii="Calibri" w:hAnsi="Calibri" w:cs="Calibri"/>
        </w:rPr>
        <w:t>Single Market</w:t>
      </w:r>
      <w:r w:rsidR="008940C2">
        <w:rPr>
          <w:rFonts w:ascii="Calibri" w:hAnsi="Calibri" w:cs="Calibri"/>
        </w:rPr>
        <w:t xml:space="preserve"> for financial services</w:t>
      </w:r>
      <w:r w:rsidR="00243BE8">
        <w:rPr>
          <w:rFonts w:ascii="Calibri" w:hAnsi="Calibri" w:cs="Calibri"/>
        </w:rPr>
        <w:t xml:space="preserve"> whilst preserving an approach that enables local </w:t>
      </w:r>
      <w:r w:rsidR="007F5656">
        <w:rPr>
          <w:rFonts w:ascii="Calibri" w:hAnsi="Calibri" w:cs="Calibri"/>
        </w:rPr>
        <w:t xml:space="preserve">risk </w:t>
      </w:r>
      <w:r w:rsidR="00243BE8">
        <w:rPr>
          <w:rFonts w:ascii="Calibri" w:hAnsi="Calibri" w:cs="Calibri"/>
        </w:rPr>
        <w:t>specificities</w:t>
      </w:r>
      <w:r w:rsidR="007F5656">
        <w:rPr>
          <w:rFonts w:ascii="Calibri" w:hAnsi="Calibri" w:cs="Calibri"/>
        </w:rPr>
        <w:t xml:space="preserve"> (e.g. on ML/TF)</w:t>
      </w:r>
      <w:r w:rsidR="00243BE8">
        <w:rPr>
          <w:rFonts w:ascii="Calibri" w:hAnsi="Calibri" w:cs="Calibri"/>
        </w:rPr>
        <w:t xml:space="preserve"> to be addressed</w:t>
      </w:r>
      <w:r w:rsidRPr="00DA39A8">
        <w:rPr>
          <w:rFonts w:ascii="Calibri" w:hAnsi="Calibri" w:cs="Calibri"/>
        </w:rPr>
        <w:t>.</w:t>
      </w:r>
    </w:p>
    <w:p w14:paraId="393F74CB" w14:textId="51D12531" w:rsidR="00DA39A8" w:rsidRPr="00E73445" w:rsidRDefault="00DA39A8" w:rsidP="008940C2">
      <w:pPr>
        <w:spacing w:before="240" w:line="276" w:lineRule="auto"/>
        <w:jc w:val="both"/>
        <w:rPr>
          <w:rFonts w:ascii="Calibri" w:hAnsi="Calibri" w:cs="Calibri"/>
          <w:b/>
          <w:i/>
          <w:sz w:val="22"/>
          <w:szCs w:val="22"/>
        </w:rPr>
      </w:pPr>
      <w:r w:rsidRPr="00E73445">
        <w:rPr>
          <w:rFonts w:ascii="Calibri" w:hAnsi="Calibri" w:cs="Calibri"/>
          <w:b/>
          <w:i/>
          <w:sz w:val="22"/>
          <w:szCs w:val="22"/>
        </w:rPr>
        <w:t>2. Areas of existing regulation that require clarification in their application to use cases involving</w:t>
      </w:r>
      <w:r w:rsidR="008940C2">
        <w:rPr>
          <w:rFonts w:ascii="Calibri" w:hAnsi="Calibri" w:cs="Calibri"/>
          <w:b/>
          <w:i/>
          <w:sz w:val="22"/>
          <w:szCs w:val="22"/>
        </w:rPr>
        <w:t xml:space="preserve"> innovative technologies</w:t>
      </w:r>
      <w:r w:rsidRPr="00E73445">
        <w:rPr>
          <w:rFonts w:ascii="Calibri" w:hAnsi="Calibri" w:cs="Calibri"/>
          <w:b/>
          <w:i/>
          <w:sz w:val="22"/>
          <w:szCs w:val="22"/>
        </w:rPr>
        <w:t xml:space="preserve"> in the financial sector</w:t>
      </w:r>
    </w:p>
    <w:p w14:paraId="3B68F3F4" w14:textId="1B5C4DE0" w:rsidR="00BF5E5A" w:rsidRDefault="00E73445" w:rsidP="008940C2">
      <w:pPr>
        <w:spacing w:before="240" w:line="276" w:lineRule="auto"/>
        <w:jc w:val="both"/>
        <w:rPr>
          <w:rFonts w:ascii="Calibri" w:eastAsiaTheme="minorEastAsia" w:hAnsi="Calibri" w:cs="Calibri"/>
          <w:sz w:val="22"/>
          <w:szCs w:val="22"/>
        </w:rPr>
      </w:pPr>
      <w:r>
        <w:rPr>
          <w:rFonts w:ascii="Calibri" w:eastAsiaTheme="minorEastAsia" w:hAnsi="Calibri" w:cs="Calibri"/>
          <w:sz w:val="22"/>
          <w:szCs w:val="22"/>
        </w:rPr>
        <w:t>On the whole</w:t>
      </w:r>
      <w:r w:rsidR="00DA39A8" w:rsidRPr="00DA39A8">
        <w:rPr>
          <w:rFonts w:ascii="Calibri" w:eastAsiaTheme="minorEastAsia" w:hAnsi="Calibri" w:cs="Calibri"/>
          <w:sz w:val="22"/>
          <w:szCs w:val="22"/>
        </w:rPr>
        <w:t xml:space="preserve">, the existing EU regulatory framework does not seem to </w:t>
      </w:r>
      <w:r w:rsidR="00BF5E5A">
        <w:rPr>
          <w:rFonts w:ascii="Calibri" w:eastAsiaTheme="minorEastAsia" w:hAnsi="Calibri" w:cs="Calibri"/>
          <w:sz w:val="22"/>
          <w:szCs w:val="22"/>
        </w:rPr>
        <w:t>impede</w:t>
      </w:r>
      <w:r w:rsidR="00DA39A8" w:rsidRPr="00DA39A8">
        <w:rPr>
          <w:rFonts w:ascii="Calibri" w:eastAsiaTheme="minorEastAsia" w:hAnsi="Calibri" w:cs="Calibri"/>
          <w:sz w:val="22"/>
          <w:szCs w:val="22"/>
        </w:rPr>
        <w:t xml:space="preserve"> </w:t>
      </w:r>
      <w:r>
        <w:rPr>
          <w:rFonts w:ascii="Calibri" w:eastAsiaTheme="minorEastAsia" w:hAnsi="Calibri" w:cs="Calibri"/>
          <w:sz w:val="22"/>
          <w:szCs w:val="22"/>
        </w:rPr>
        <w:t>the application of innovative technologies in the financial sector</w:t>
      </w:r>
      <w:r w:rsidR="00036D35">
        <w:rPr>
          <w:rFonts w:ascii="Calibri" w:eastAsiaTheme="minorEastAsia" w:hAnsi="Calibri" w:cs="Calibri"/>
          <w:sz w:val="22"/>
          <w:szCs w:val="22"/>
        </w:rPr>
        <w:t>.</w:t>
      </w:r>
      <w:r w:rsidR="00DA39A8" w:rsidRPr="00DA39A8">
        <w:rPr>
          <w:rFonts w:ascii="Calibri" w:eastAsiaTheme="minorEastAsia" w:hAnsi="Calibri" w:cs="Calibri"/>
          <w:sz w:val="22"/>
          <w:szCs w:val="22"/>
        </w:rPr>
        <w:t xml:space="preserve"> </w:t>
      </w:r>
      <w:r w:rsidR="00036D35">
        <w:rPr>
          <w:rFonts w:ascii="Calibri" w:eastAsiaTheme="minorEastAsia" w:hAnsi="Calibri" w:cs="Calibri"/>
          <w:sz w:val="22"/>
          <w:szCs w:val="22"/>
        </w:rPr>
        <w:t>H</w:t>
      </w:r>
      <w:r w:rsidR="00DA39A8" w:rsidRPr="00DA39A8">
        <w:rPr>
          <w:rFonts w:ascii="Calibri" w:eastAsiaTheme="minorEastAsia" w:hAnsi="Calibri" w:cs="Calibri"/>
          <w:sz w:val="22"/>
          <w:szCs w:val="22"/>
        </w:rPr>
        <w:t>owever</w:t>
      </w:r>
      <w:r w:rsidR="00036D35">
        <w:rPr>
          <w:rFonts w:ascii="Calibri" w:eastAsiaTheme="minorEastAsia" w:hAnsi="Calibri" w:cs="Calibri"/>
          <w:sz w:val="22"/>
          <w:szCs w:val="22"/>
        </w:rPr>
        <w:t>,</w:t>
      </w:r>
      <w:r w:rsidR="00DA39A8" w:rsidRPr="00DA39A8">
        <w:rPr>
          <w:rFonts w:ascii="Calibri" w:eastAsiaTheme="minorEastAsia" w:hAnsi="Calibri" w:cs="Calibri"/>
          <w:sz w:val="22"/>
          <w:szCs w:val="22"/>
        </w:rPr>
        <w:t xml:space="preserve"> targeted clarity and consistent interpretation of certain provisions could further </w:t>
      </w:r>
      <w:r w:rsidR="00BF5E5A">
        <w:rPr>
          <w:rFonts w:ascii="Calibri" w:eastAsiaTheme="minorEastAsia" w:hAnsi="Calibri" w:cs="Calibri"/>
          <w:sz w:val="22"/>
          <w:szCs w:val="22"/>
        </w:rPr>
        <w:t>facilitate</w:t>
      </w:r>
      <w:r w:rsidR="00BF5E5A" w:rsidRPr="00DA39A8">
        <w:rPr>
          <w:rFonts w:ascii="Calibri" w:eastAsiaTheme="minorEastAsia" w:hAnsi="Calibri" w:cs="Calibri"/>
          <w:sz w:val="22"/>
          <w:szCs w:val="22"/>
        </w:rPr>
        <w:t xml:space="preserve"> </w:t>
      </w:r>
      <w:r w:rsidR="00DA39A8" w:rsidRPr="00DA39A8">
        <w:rPr>
          <w:rFonts w:ascii="Calibri" w:eastAsiaTheme="minorEastAsia" w:hAnsi="Calibri" w:cs="Calibri"/>
          <w:sz w:val="22"/>
          <w:szCs w:val="22"/>
        </w:rPr>
        <w:t xml:space="preserve">the </w:t>
      </w:r>
      <w:r w:rsidR="008940C2">
        <w:rPr>
          <w:rFonts w:ascii="Calibri" w:eastAsiaTheme="minorEastAsia" w:hAnsi="Calibri" w:cs="Calibri"/>
          <w:sz w:val="22"/>
          <w:szCs w:val="22"/>
        </w:rPr>
        <w:t>application</w:t>
      </w:r>
      <w:r w:rsidR="00DA39A8" w:rsidRPr="00DA39A8">
        <w:rPr>
          <w:rFonts w:ascii="Calibri" w:eastAsiaTheme="minorEastAsia" w:hAnsi="Calibri" w:cs="Calibri"/>
          <w:sz w:val="22"/>
          <w:szCs w:val="22"/>
        </w:rPr>
        <w:t xml:space="preserve"> of innovative technologies. </w:t>
      </w:r>
    </w:p>
    <w:p w14:paraId="6A4E20EB" w14:textId="0499ECCB" w:rsidR="007F5656" w:rsidRDefault="00DA39A8" w:rsidP="008940C2">
      <w:pPr>
        <w:spacing w:before="240" w:line="276" w:lineRule="auto"/>
        <w:jc w:val="both"/>
        <w:rPr>
          <w:rFonts w:ascii="Calibri" w:hAnsi="Calibri" w:cs="Calibri"/>
          <w:color w:val="000000"/>
          <w:sz w:val="22"/>
          <w:szCs w:val="22"/>
        </w:rPr>
      </w:pPr>
      <w:r w:rsidRPr="00DA39A8">
        <w:rPr>
          <w:rFonts w:ascii="Calibri" w:eastAsiaTheme="minorEastAsia" w:hAnsi="Calibri" w:cs="Calibri"/>
          <w:sz w:val="22"/>
          <w:szCs w:val="22"/>
        </w:rPr>
        <w:t xml:space="preserve">For example, the implementation of </w:t>
      </w:r>
      <w:r w:rsidR="008940C2">
        <w:rPr>
          <w:rFonts w:ascii="Calibri" w:eastAsiaTheme="minorEastAsia" w:hAnsi="Calibri" w:cs="Calibri"/>
          <w:sz w:val="22"/>
          <w:szCs w:val="22"/>
        </w:rPr>
        <w:t xml:space="preserve">the </w:t>
      </w:r>
      <w:r w:rsidRPr="00DA39A8">
        <w:rPr>
          <w:rFonts w:ascii="Calibri" w:eastAsiaTheme="minorEastAsia" w:hAnsi="Calibri" w:cs="Calibri"/>
          <w:sz w:val="22"/>
          <w:szCs w:val="22"/>
        </w:rPr>
        <w:t xml:space="preserve">GDPR has </w:t>
      </w:r>
      <w:r w:rsidR="008940C2">
        <w:rPr>
          <w:rFonts w:ascii="Calibri" w:eastAsiaTheme="minorEastAsia" w:hAnsi="Calibri" w:cs="Calibri"/>
          <w:sz w:val="22"/>
          <w:szCs w:val="22"/>
        </w:rPr>
        <w:t xml:space="preserve">created </w:t>
      </w:r>
      <w:r w:rsidRPr="00DA39A8">
        <w:rPr>
          <w:rFonts w:ascii="Calibri" w:eastAsiaTheme="minorEastAsia" w:hAnsi="Calibri" w:cs="Calibri"/>
          <w:sz w:val="22"/>
          <w:szCs w:val="22"/>
        </w:rPr>
        <w:t>a strong</w:t>
      </w:r>
      <w:r w:rsidR="008940C2">
        <w:rPr>
          <w:rFonts w:ascii="Calibri" w:eastAsiaTheme="minorEastAsia" w:hAnsi="Calibri" w:cs="Calibri"/>
          <w:sz w:val="22"/>
          <w:szCs w:val="22"/>
        </w:rPr>
        <w:t xml:space="preserve"> framework for</w:t>
      </w:r>
      <w:r w:rsidRPr="00DA39A8">
        <w:rPr>
          <w:rFonts w:ascii="Calibri" w:eastAsiaTheme="minorEastAsia" w:hAnsi="Calibri" w:cs="Calibri"/>
          <w:sz w:val="22"/>
          <w:szCs w:val="22"/>
        </w:rPr>
        <w:t xml:space="preserve"> the protecti</w:t>
      </w:r>
      <w:r w:rsidR="008940C2">
        <w:rPr>
          <w:rFonts w:ascii="Calibri" w:eastAsiaTheme="minorEastAsia" w:hAnsi="Calibri" w:cs="Calibri"/>
          <w:sz w:val="22"/>
          <w:szCs w:val="22"/>
        </w:rPr>
        <w:t>on of personal data, but</w:t>
      </w:r>
      <w:r w:rsidRPr="00DA39A8">
        <w:rPr>
          <w:rFonts w:ascii="Calibri" w:eastAsiaTheme="minorEastAsia" w:hAnsi="Calibri" w:cs="Calibri"/>
          <w:sz w:val="22"/>
          <w:szCs w:val="22"/>
        </w:rPr>
        <w:t xml:space="preserve"> the use of </w:t>
      </w:r>
      <w:r w:rsidR="00E73445">
        <w:rPr>
          <w:rFonts w:ascii="Calibri" w:eastAsiaTheme="minorEastAsia" w:hAnsi="Calibri" w:cs="Calibri"/>
          <w:sz w:val="22"/>
          <w:szCs w:val="22"/>
        </w:rPr>
        <w:t>artificial intelligence</w:t>
      </w:r>
      <w:r w:rsidRPr="00DA39A8">
        <w:rPr>
          <w:rFonts w:ascii="Calibri" w:eastAsiaTheme="minorEastAsia" w:hAnsi="Calibri" w:cs="Calibri"/>
          <w:sz w:val="22"/>
          <w:szCs w:val="22"/>
        </w:rPr>
        <w:t xml:space="preserve"> in the financial sector </w:t>
      </w:r>
      <w:r w:rsidR="008940C2">
        <w:rPr>
          <w:rFonts w:ascii="Calibri" w:eastAsiaTheme="minorEastAsia" w:hAnsi="Calibri" w:cs="Calibri"/>
          <w:sz w:val="22"/>
          <w:szCs w:val="22"/>
        </w:rPr>
        <w:t xml:space="preserve">could be further </w:t>
      </w:r>
      <w:r w:rsidR="00D64D1D">
        <w:rPr>
          <w:rFonts w:ascii="Calibri" w:eastAsiaTheme="minorEastAsia" w:hAnsi="Calibri" w:cs="Calibri"/>
          <w:sz w:val="22"/>
          <w:szCs w:val="22"/>
        </w:rPr>
        <w:t>facilitated</w:t>
      </w:r>
      <w:r w:rsidR="008940C2">
        <w:rPr>
          <w:rFonts w:ascii="Calibri" w:eastAsiaTheme="minorEastAsia" w:hAnsi="Calibri" w:cs="Calibri"/>
          <w:sz w:val="22"/>
          <w:szCs w:val="22"/>
        </w:rPr>
        <w:t xml:space="preserve"> </w:t>
      </w:r>
      <w:r w:rsidRPr="00DA39A8">
        <w:rPr>
          <w:rFonts w:ascii="Calibri" w:eastAsiaTheme="minorEastAsia" w:hAnsi="Calibri" w:cs="Calibri"/>
          <w:sz w:val="22"/>
          <w:szCs w:val="22"/>
        </w:rPr>
        <w:t>through targeted guidance and consistent interpretation of provisions related to the use, process</w:t>
      </w:r>
      <w:r w:rsidR="008940C2">
        <w:rPr>
          <w:rFonts w:ascii="Calibri" w:eastAsiaTheme="minorEastAsia" w:hAnsi="Calibri" w:cs="Calibri"/>
          <w:sz w:val="22"/>
          <w:szCs w:val="22"/>
        </w:rPr>
        <w:t>ing</w:t>
      </w:r>
      <w:r w:rsidRPr="00DA39A8">
        <w:rPr>
          <w:rFonts w:ascii="Calibri" w:eastAsiaTheme="minorEastAsia" w:hAnsi="Calibri" w:cs="Calibri"/>
          <w:sz w:val="22"/>
          <w:szCs w:val="22"/>
        </w:rPr>
        <w:t xml:space="preserve"> and sharing of data for AI purposes</w:t>
      </w:r>
      <w:r w:rsidR="00BF5E5A">
        <w:rPr>
          <w:rFonts w:ascii="Calibri" w:eastAsiaTheme="minorEastAsia" w:hAnsi="Calibri" w:cs="Calibri"/>
          <w:sz w:val="22"/>
          <w:szCs w:val="22"/>
        </w:rPr>
        <w:t xml:space="preserve"> (indeed, the EBA is currently working with the EDPB to help clarify aspects relating to the GDPR and PSD2)</w:t>
      </w:r>
      <w:r w:rsidRPr="00DA39A8">
        <w:rPr>
          <w:rFonts w:ascii="Calibri" w:eastAsiaTheme="minorEastAsia" w:hAnsi="Calibri" w:cs="Calibri"/>
          <w:sz w:val="22"/>
          <w:szCs w:val="22"/>
        </w:rPr>
        <w:t>. For m</w:t>
      </w:r>
      <w:r w:rsidR="00E73445">
        <w:rPr>
          <w:rFonts w:ascii="Calibri" w:eastAsiaTheme="minorEastAsia" w:hAnsi="Calibri" w:cs="Calibri"/>
          <w:sz w:val="22"/>
          <w:szCs w:val="22"/>
        </w:rPr>
        <w:t>ore details, please refer to the</w:t>
      </w:r>
      <w:r w:rsidR="0020127E">
        <w:rPr>
          <w:rFonts w:ascii="Calibri" w:eastAsiaTheme="minorEastAsia" w:hAnsi="Calibri" w:cs="Calibri"/>
          <w:sz w:val="22"/>
          <w:szCs w:val="22"/>
        </w:rPr>
        <w:t xml:space="preserve"> EBA’s</w:t>
      </w:r>
      <w:r w:rsidR="00E73445">
        <w:rPr>
          <w:rFonts w:ascii="Calibri" w:eastAsiaTheme="minorEastAsia" w:hAnsi="Calibri" w:cs="Calibri"/>
          <w:sz w:val="22"/>
          <w:szCs w:val="22"/>
        </w:rPr>
        <w:t xml:space="preserve"> response to</w:t>
      </w:r>
      <w:r w:rsidRPr="00DA39A8">
        <w:rPr>
          <w:rFonts w:ascii="Calibri" w:eastAsiaTheme="minorEastAsia" w:hAnsi="Calibri" w:cs="Calibri"/>
          <w:sz w:val="22"/>
          <w:szCs w:val="22"/>
        </w:rPr>
        <w:t xml:space="preserve"> Q</w:t>
      </w:r>
      <w:r w:rsidR="00E73445">
        <w:rPr>
          <w:rFonts w:ascii="Calibri" w:eastAsiaTheme="minorEastAsia" w:hAnsi="Calibri" w:cs="Calibri"/>
          <w:sz w:val="22"/>
          <w:szCs w:val="22"/>
        </w:rPr>
        <w:t xml:space="preserve">uestion </w:t>
      </w:r>
      <w:r w:rsidR="00213AFC">
        <w:rPr>
          <w:rFonts w:ascii="Calibri" w:eastAsiaTheme="minorEastAsia" w:hAnsi="Calibri" w:cs="Calibri"/>
          <w:sz w:val="22"/>
          <w:szCs w:val="22"/>
        </w:rPr>
        <w:t>40</w:t>
      </w:r>
      <w:r w:rsidRPr="00DA39A8">
        <w:rPr>
          <w:rFonts w:ascii="Calibri" w:eastAsiaTheme="minorEastAsia" w:hAnsi="Calibri" w:cs="Calibri"/>
          <w:sz w:val="22"/>
          <w:szCs w:val="22"/>
        </w:rPr>
        <w:t>.</w:t>
      </w:r>
      <w:r w:rsidRPr="00DA39A8">
        <w:rPr>
          <w:rFonts w:ascii="Calibri" w:hAnsi="Calibri" w:cs="Calibri"/>
          <w:color w:val="000000"/>
          <w:sz w:val="22"/>
          <w:szCs w:val="22"/>
        </w:rPr>
        <w:t xml:space="preserve"> </w:t>
      </w:r>
      <w:r w:rsidR="00941715">
        <w:rPr>
          <w:rFonts w:ascii="Calibri" w:hAnsi="Calibri" w:cs="Calibri"/>
          <w:color w:val="000000"/>
          <w:sz w:val="22"/>
          <w:szCs w:val="22"/>
        </w:rPr>
        <w:t xml:space="preserve">Similarly, although this consultation does not cover crypto-assets, as </w:t>
      </w:r>
      <w:r w:rsidR="00941715">
        <w:rPr>
          <w:rFonts w:ascii="Calibri" w:hAnsi="Calibri" w:cs="Calibri"/>
          <w:color w:val="000000"/>
          <w:sz w:val="22"/>
          <w:szCs w:val="22"/>
        </w:rPr>
        <w:lastRenderedPageBreak/>
        <w:t>referred to in the EBA’s January 2019 report, the EBA notes the need for clarification around the applicability of existing EU law to crypto-assets.</w:t>
      </w:r>
      <w:r w:rsidR="00941715" w:rsidRPr="00941715">
        <w:rPr>
          <w:rStyle w:val="FootnoteReference"/>
          <w:rFonts w:ascii="Calibri" w:eastAsia="Times New Roman" w:hAnsi="Calibri" w:cs="Calibri"/>
          <w:color w:val="000000" w:themeColor="text1"/>
          <w:sz w:val="22"/>
          <w:szCs w:val="22"/>
        </w:rPr>
        <w:t xml:space="preserve"> </w:t>
      </w:r>
      <w:r w:rsidR="00941715">
        <w:rPr>
          <w:rStyle w:val="FootnoteReference"/>
          <w:rFonts w:ascii="Calibri" w:eastAsia="Times New Roman" w:hAnsi="Calibri" w:cs="Calibri"/>
          <w:color w:val="000000" w:themeColor="text1"/>
          <w:sz w:val="22"/>
          <w:szCs w:val="22"/>
        </w:rPr>
        <w:footnoteReference w:id="4"/>
      </w:r>
    </w:p>
    <w:p w14:paraId="04C639AD" w14:textId="32C533EA" w:rsidR="00BF5E5A" w:rsidRPr="007F5656" w:rsidRDefault="001D5DB7" w:rsidP="008940C2">
      <w:pPr>
        <w:spacing w:before="240" w:line="276" w:lineRule="auto"/>
        <w:jc w:val="both"/>
        <w:rPr>
          <w:rFonts w:ascii="Calibri" w:hAnsi="Calibri" w:cs="Calibri"/>
          <w:color w:val="000000"/>
          <w:sz w:val="22"/>
          <w:szCs w:val="22"/>
        </w:rPr>
      </w:pPr>
      <w:r>
        <w:rPr>
          <w:rFonts w:ascii="Calibri" w:hAnsi="Calibri" w:cs="Calibri"/>
          <w:color w:val="000000"/>
          <w:sz w:val="22"/>
          <w:szCs w:val="22"/>
        </w:rPr>
        <w:t xml:space="preserve">Additionally, </w:t>
      </w:r>
      <w:r w:rsidR="007F5656">
        <w:rPr>
          <w:rFonts w:ascii="Calibri" w:hAnsi="Calibri" w:cs="Calibri"/>
          <w:color w:val="000000"/>
          <w:sz w:val="22"/>
          <w:szCs w:val="22"/>
        </w:rPr>
        <w:t>s</w:t>
      </w:r>
      <w:r>
        <w:rPr>
          <w:rFonts w:ascii="Calibri" w:hAnsi="Calibri" w:cs="Calibri"/>
          <w:color w:val="000000"/>
          <w:sz w:val="22"/>
          <w:szCs w:val="22"/>
        </w:rPr>
        <w:t>upervisory practice</w:t>
      </w:r>
      <w:r w:rsidR="007F5656">
        <w:rPr>
          <w:rFonts w:ascii="Calibri" w:hAnsi="Calibri" w:cs="Calibri"/>
          <w:color w:val="000000"/>
          <w:sz w:val="22"/>
          <w:szCs w:val="22"/>
        </w:rPr>
        <w:t>s and the overall ambit of EU regulation</w:t>
      </w:r>
      <w:r>
        <w:rPr>
          <w:rFonts w:ascii="Calibri" w:hAnsi="Calibri" w:cs="Calibri"/>
          <w:color w:val="000000"/>
          <w:sz w:val="22"/>
          <w:szCs w:val="22"/>
        </w:rPr>
        <w:t xml:space="preserve"> should be kept under constant review in light of fast-evolving technological developments in order to ensure that the EU framework remains fit for purpose (on which see further the</w:t>
      </w:r>
      <w:r w:rsidR="0020127E">
        <w:rPr>
          <w:rFonts w:ascii="Calibri" w:hAnsi="Calibri" w:cs="Calibri"/>
          <w:color w:val="000000"/>
          <w:sz w:val="22"/>
          <w:szCs w:val="22"/>
        </w:rPr>
        <w:t xml:space="preserve"> EBA’s response</w:t>
      </w:r>
      <w:r>
        <w:rPr>
          <w:rFonts w:ascii="Calibri" w:hAnsi="Calibri" w:cs="Calibri"/>
          <w:color w:val="000000"/>
          <w:sz w:val="22"/>
          <w:szCs w:val="22"/>
        </w:rPr>
        <w:t xml:space="preserve"> to Questions </w:t>
      </w:r>
      <w:r w:rsidR="00FF542A">
        <w:rPr>
          <w:rFonts w:ascii="Calibri" w:hAnsi="Calibri" w:cs="Calibri"/>
          <w:color w:val="000000"/>
          <w:sz w:val="22"/>
          <w:szCs w:val="22"/>
        </w:rPr>
        <w:t xml:space="preserve">11, 13, </w:t>
      </w:r>
      <w:r>
        <w:rPr>
          <w:rFonts w:ascii="Calibri" w:hAnsi="Calibri" w:cs="Calibri"/>
          <w:color w:val="000000"/>
          <w:sz w:val="22"/>
          <w:szCs w:val="22"/>
        </w:rPr>
        <w:t>21 and 22</w:t>
      </w:r>
      <w:r w:rsidR="00FF542A">
        <w:rPr>
          <w:rFonts w:ascii="Calibri" w:hAnsi="Calibri" w:cs="Calibri"/>
          <w:color w:val="000000"/>
          <w:sz w:val="22"/>
          <w:szCs w:val="22"/>
        </w:rPr>
        <w:t>, including as regards the EBA’s role in this context</w:t>
      </w:r>
      <w:r>
        <w:rPr>
          <w:rFonts w:ascii="Calibri" w:hAnsi="Calibri" w:cs="Calibri"/>
          <w:color w:val="000000"/>
          <w:sz w:val="22"/>
          <w:szCs w:val="22"/>
        </w:rPr>
        <w:t>)</w:t>
      </w:r>
      <w:r w:rsidR="00BF5E5A">
        <w:rPr>
          <w:rFonts w:ascii="Calibri" w:hAnsi="Calibri" w:cs="Calibri"/>
          <w:color w:val="000000"/>
          <w:sz w:val="22"/>
          <w:szCs w:val="22"/>
        </w:rPr>
        <w:t>.</w:t>
      </w:r>
    </w:p>
    <w:p w14:paraId="39EAAB2B" w14:textId="2DCF8065" w:rsidR="00DA39A8" w:rsidRPr="00E73445" w:rsidRDefault="00DA39A8" w:rsidP="008940C2">
      <w:pPr>
        <w:spacing w:before="240" w:line="276" w:lineRule="auto"/>
        <w:jc w:val="both"/>
        <w:rPr>
          <w:rFonts w:ascii="Calibri" w:hAnsi="Calibri" w:cs="Calibri"/>
          <w:b/>
          <w:i/>
          <w:sz w:val="22"/>
          <w:szCs w:val="22"/>
        </w:rPr>
      </w:pPr>
      <w:r w:rsidRPr="00E73445">
        <w:rPr>
          <w:rFonts w:ascii="Calibri" w:hAnsi="Calibri" w:cs="Calibri"/>
          <w:b/>
          <w:i/>
          <w:sz w:val="22"/>
          <w:szCs w:val="22"/>
        </w:rPr>
        <w:t>3. Divergences between Member States in terms of the acceptability and regulation of the use of specific technologies</w:t>
      </w:r>
      <w:r w:rsidR="00243BE8">
        <w:rPr>
          <w:rFonts w:ascii="Calibri" w:hAnsi="Calibri" w:cs="Calibri"/>
          <w:b/>
          <w:i/>
          <w:sz w:val="22"/>
          <w:szCs w:val="22"/>
        </w:rPr>
        <w:t>, which might hinder innovation and impede technological neutrality</w:t>
      </w:r>
    </w:p>
    <w:p w14:paraId="01298671" w14:textId="07FC70BE" w:rsidR="00DA39A8" w:rsidRDefault="00DA39A8" w:rsidP="008940C2">
      <w:pPr>
        <w:spacing w:before="240" w:line="276" w:lineRule="auto"/>
        <w:jc w:val="both"/>
        <w:rPr>
          <w:rFonts w:ascii="Calibri" w:hAnsi="Calibri" w:cs="Calibri"/>
          <w:sz w:val="22"/>
          <w:szCs w:val="22"/>
        </w:rPr>
      </w:pPr>
      <w:r w:rsidRPr="00DA39A8">
        <w:rPr>
          <w:rFonts w:ascii="Calibri" w:hAnsi="Calibri" w:cs="Calibri"/>
          <w:sz w:val="22"/>
          <w:szCs w:val="22"/>
        </w:rPr>
        <w:t>Some divergences in approach</w:t>
      </w:r>
      <w:r w:rsidR="00FF5D6E">
        <w:rPr>
          <w:rFonts w:ascii="Calibri" w:hAnsi="Calibri" w:cs="Calibri"/>
          <w:sz w:val="22"/>
          <w:szCs w:val="22"/>
        </w:rPr>
        <w:t xml:space="preserve"> between supervisory authorities as regards the acceptability and regulation of specific technologies (e.g. DLT, use of crypto-assets, AI etc.)</w:t>
      </w:r>
      <w:r w:rsidRPr="00DA39A8">
        <w:rPr>
          <w:rFonts w:ascii="Calibri" w:hAnsi="Calibri" w:cs="Calibri"/>
          <w:sz w:val="22"/>
          <w:szCs w:val="22"/>
        </w:rPr>
        <w:t xml:space="preserve"> in the context of the provision of financial services are impacting firms’ capacity to integrate technological solutions into their business</w:t>
      </w:r>
      <w:r>
        <w:rPr>
          <w:rFonts w:ascii="Calibri" w:hAnsi="Calibri" w:cs="Calibri"/>
          <w:sz w:val="22"/>
          <w:szCs w:val="22"/>
        </w:rPr>
        <w:t>es and across group structures.</w:t>
      </w:r>
    </w:p>
    <w:p w14:paraId="41F5489C" w14:textId="77777777" w:rsidR="00DA39A8" w:rsidRDefault="00DA39A8" w:rsidP="008940C2">
      <w:pPr>
        <w:spacing w:line="276" w:lineRule="auto"/>
        <w:jc w:val="both"/>
        <w:rPr>
          <w:rFonts w:ascii="Calibri" w:hAnsi="Calibri" w:cs="Calibri"/>
          <w:sz w:val="22"/>
          <w:szCs w:val="22"/>
        </w:rPr>
      </w:pPr>
    </w:p>
    <w:p w14:paraId="2D7237AF" w14:textId="7D5D6352" w:rsidR="003640FB" w:rsidRDefault="008F6345" w:rsidP="008940C2">
      <w:pPr>
        <w:spacing w:line="276" w:lineRule="auto"/>
        <w:jc w:val="both"/>
        <w:rPr>
          <w:rFonts w:ascii="Calibri" w:hAnsi="Calibri" w:cs="Calibri"/>
          <w:sz w:val="22"/>
          <w:szCs w:val="22"/>
        </w:rPr>
      </w:pPr>
      <w:r w:rsidRPr="00DA39A8">
        <w:rPr>
          <w:rFonts w:ascii="Calibri" w:hAnsi="Calibri" w:cs="Calibri"/>
          <w:sz w:val="22"/>
          <w:szCs w:val="22"/>
        </w:rPr>
        <w:t>The EBA has made some progress in addressing this problem. For instance</w:t>
      </w:r>
      <w:r w:rsidRPr="00DA39A8">
        <w:rPr>
          <w:rFonts w:ascii="Calibri" w:hAnsi="Calibri" w:cs="Calibri"/>
          <w:color w:val="000000" w:themeColor="text1"/>
          <w:sz w:val="22"/>
          <w:szCs w:val="22"/>
        </w:rPr>
        <w:t>, the EBA’s Guidelines on outsourcing arrangements, which incorpo</w:t>
      </w:r>
      <w:r w:rsidR="009203A7">
        <w:rPr>
          <w:rFonts w:ascii="Calibri" w:hAnsi="Calibri" w:cs="Calibri"/>
          <w:color w:val="000000" w:themeColor="text1"/>
          <w:sz w:val="22"/>
          <w:szCs w:val="22"/>
        </w:rPr>
        <w:t>rated the EBA Recommendations on</w:t>
      </w:r>
      <w:r w:rsidRPr="00DA39A8">
        <w:rPr>
          <w:rFonts w:ascii="Calibri" w:hAnsi="Calibri" w:cs="Calibri"/>
          <w:color w:val="000000" w:themeColor="text1"/>
          <w:sz w:val="22"/>
          <w:szCs w:val="22"/>
        </w:rPr>
        <w:t xml:space="preserve"> cloud outsourcing, have promoted consistency in</w:t>
      </w:r>
      <w:r w:rsidR="00FE289E">
        <w:rPr>
          <w:rFonts w:ascii="Calibri" w:hAnsi="Calibri" w:cs="Calibri"/>
          <w:color w:val="000000" w:themeColor="text1"/>
          <w:sz w:val="22"/>
          <w:szCs w:val="22"/>
        </w:rPr>
        <w:t xml:space="preserve"> the</w:t>
      </w:r>
      <w:r w:rsidRPr="00DA39A8">
        <w:rPr>
          <w:rFonts w:ascii="Calibri" w:hAnsi="Calibri" w:cs="Calibri"/>
          <w:color w:val="000000" w:themeColor="text1"/>
          <w:sz w:val="22"/>
          <w:szCs w:val="22"/>
        </w:rPr>
        <w:t xml:space="preserve"> </w:t>
      </w:r>
      <w:r>
        <w:rPr>
          <w:rFonts w:ascii="Calibri" w:hAnsi="Calibri" w:cs="Calibri"/>
          <w:color w:val="000000" w:themeColor="text1"/>
          <w:sz w:val="22"/>
          <w:szCs w:val="22"/>
        </w:rPr>
        <w:t>application of regulatory framework and supervisory approach</w:t>
      </w:r>
      <w:r w:rsidRPr="00DA39A8">
        <w:rPr>
          <w:rFonts w:ascii="Calibri" w:eastAsia="Times New Roman" w:hAnsi="Calibri" w:cs="Calibri"/>
          <w:color w:val="000000" w:themeColor="text1"/>
          <w:sz w:val="22"/>
          <w:szCs w:val="22"/>
        </w:rPr>
        <w:t xml:space="preserve">, </w:t>
      </w:r>
      <w:r w:rsidR="009203A7">
        <w:rPr>
          <w:rFonts w:ascii="Calibri" w:eastAsia="Times New Roman" w:hAnsi="Calibri" w:cs="Calibri"/>
          <w:color w:val="000000" w:themeColor="text1"/>
          <w:sz w:val="22"/>
          <w:szCs w:val="22"/>
        </w:rPr>
        <w:t>facilitating</w:t>
      </w:r>
      <w:r w:rsidRPr="00DA39A8">
        <w:rPr>
          <w:rFonts w:ascii="Calibri" w:eastAsia="Times New Roman" w:hAnsi="Calibri" w:cs="Calibri"/>
          <w:color w:val="000000" w:themeColor="text1"/>
          <w:sz w:val="22"/>
          <w:szCs w:val="22"/>
        </w:rPr>
        <w:t xml:space="preserve"> the use of this type of service. </w:t>
      </w:r>
      <w:r w:rsidR="00D46C65">
        <w:rPr>
          <w:rFonts w:ascii="Calibri" w:eastAsia="Times New Roman" w:hAnsi="Calibri" w:cs="Calibri"/>
          <w:color w:val="000000" w:themeColor="text1"/>
          <w:sz w:val="22"/>
          <w:szCs w:val="22"/>
        </w:rPr>
        <w:t xml:space="preserve">This greater convergence </w:t>
      </w:r>
      <w:r w:rsidR="009203A7">
        <w:rPr>
          <w:rFonts w:ascii="Calibri" w:eastAsia="Times New Roman" w:hAnsi="Calibri" w:cs="Calibri"/>
          <w:color w:val="000000" w:themeColor="text1"/>
          <w:sz w:val="22"/>
          <w:szCs w:val="22"/>
        </w:rPr>
        <w:t>aids</w:t>
      </w:r>
      <w:r w:rsidR="00D46C65">
        <w:rPr>
          <w:rFonts w:ascii="Calibri" w:eastAsia="Times New Roman" w:hAnsi="Calibri" w:cs="Calibri"/>
          <w:color w:val="000000" w:themeColor="text1"/>
          <w:sz w:val="22"/>
          <w:szCs w:val="22"/>
        </w:rPr>
        <w:t xml:space="preserve"> the roll-out of cloud computing</w:t>
      </w:r>
      <w:r w:rsidR="007F5656">
        <w:rPr>
          <w:rFonts w:ascii="Calibri" w:eastAsia="Times New Roman" w:hAnsi="Calibri" w:cs="Calibri"/>
          <w:color w:val="000000" w:themeColor="text1"/>
          <w:sz w:val="22"/>
          <w:szCs w:val="22"/>
        </w:rPr>
        <w:t>; i</w:t>
      </w:r>
      <w:r w:rsidR="00DA39A8" w:rsidRPr="00DA39A8">
        <w:rPr>
          <w:rFonts w:ascii="Calibri" w:eastAsia="Times New Roman" w:hAnsi="Calibri" w:cs="Calibri"/>
          <w:color w:val="000000" w:themeColor="text1"/>
          <w:sz w:val="22"/>
          <w:szCs w:val="22"/>
        </w:rPr>
        <w:t xml:space="preserve">ndicatively, </w:t>
      </w:r>
      <w:r w:rsidR="007F5656">
        <w:rPr>
          <w:rFonts w:ascii="Calibri" w:eastAsia="Times New Roman" w:hAnsi="Calibri" w:cs="Calibri"/>
          <w:color w:val="000000" w:themeColor="text1"/>
          <w:sz w:val="22"/>
          <w:szCs w:val="22"/>
        </w:rPr>
        <w:t>the EBA has</w:t>
      </w:r>
      <w:r w:rsidR="00DA39A8" w:rsidRPr="00DA39A8">
        <w:rPr>
          <w:rFonts w:ascii="Calibri" w:eastAsia="Times New Roman" w:hAnsi="Calibri" w:cs="Calibri"/>
          <w:color w:val="000000" w:themeColor="text1"/>
          <w:sz w:val="22"/>
          <w:szCs w:val="22"/>
        </w:rPr>
        <w:t xml:space="preserve"> observed 12% growth in the use of cloud compu</w:t>
      </w:r>
      <w:r w:rsidR="00E73445">
        <w:rPr>
          <w:rFonts w:ascii="Calibri" w:eastAsia="Times New Roman" w:hAnsi="Calibri" w:cs="Calibri"/>
          <w:color w:val="000000" w:themeColor="text1"/>
          <w:sz w:val="22"/>
          <w:szCs w:val="22"/>
        </w:rPr>
        <w:t>ting across the largest EU bank</w:t>
      </w:r>
      <w:r w:rsidR="00243BE8">
        <w:rPr>
          <w:rFonts w:ascii="Calibri" w:eastAsia="Times New Roman" w:hAnsi="Calibri" w:cs="Calibri"/>
          <w:color w:val="000000" w:themeColor="text1"/>
          <w:sz w:val="22"/>
          <w:szCs w:val="22"/>
        </w:rPr>
        <w:t>s</w:t>
      </w:r>
      <w:r w:rsidR="00DA39A8" w:rsidRPr="00DA39A8">
        <w:rPr>
          <w:rStyle w:val="FootnoteReference"/>
          <w:rFonts w:ascii="Calibri" w:eastAsia="Times New Roman" w:hAnsi="Calibri" w:cs="Calibri"/>
          <w:color w:val="000000" w:themeColor="text1"/>
          <w:sz w:val="22"/>
          <w:szCs w:val="22"/>
        </w:rPr>
        <w:footnoteReference w:id="5"/>
      </w:r>
      <w:r w:rsidR="00DA39A8" w:rsidRPr="00DA39A8">
        <w:rPr>
          <w:rFonts w:ascii="Calibri" w:eastAsia="Times New Roman" w:hAnsi="Calibri" w:cs="Calibri"/>
          <w:color w:val="000000" w:themeColor="text1"/>
          <w:sz w:val="22"/>
          <w:szCs w:val="22"/>
        </w:rPr>
        <w:t xml:space="preserve"> following the implementation of the EBA Recommendations.</w:t>
      </w:r>
    </w:p>
    <w:p w14:paraId="6B06588C" w14:textId="77777777" w:rsidR="003640FB" w:rsidRDefault="003640FB" w:rsidP="008940C2">
      <w:pPr>
        <w:spacing w:line="276" w:lineRule="auto"/>
        <w:jc w:val="both"/>
        <w:rPr>
          <w:rFonts w:ascii="Calibri" w:hAnsi="Calibri" w:cs="Calibri"/>
          <w:sz w:val="22"/>
          <w:szCs w:val="22"/>
        </w:rPr>
      </w:pPr>
    </w:p>
    <w:p w14:paraId="18F15BB7" w14:textId="672E4025" w:rsidR="007F5656" w:rsidRDefault="00DA39A8" w:rsidP="008940C2">
      <w:pPr>
        <w:spacing w:line="276" w:lineRule="auto"/>
        <w:jc w:val="both"/>
        <w:rPr>
          <w:rFonts w:ascii="Calibri" w:eastAsia="Times New Roman" w:hAnsi="Calibri" w:cs="Calibri"/>
          <w:color w:val="000000" w:themeColor="text1"/>
          <w:sz w:val="22"/>
          <w:szCs w:val="22"/>
        </w:rPr>
      </w:pPr>
      <w:r w:rsidRPr="00DA39A8">
        <w:rPr>
          <w:rFonts w:ascii="Calibri" w:eastAsia="Times New Roman" w:hAnsi="Calibri" w:cs="Calibri"/>
          <w:color w:val="000000" w:themeColor="text1"/>
          <w:sz w:val="22"/>
          <w:szCs w:val="22"/>
        </w:rPr>
        <w:t xml:space="preserve">But in areas such as </w:t>
      </w:r>
      <w:r w:rsidR="009203A7">
        <w:rPr>
          <w:rFonts w:ascii="Calibri" w:eastAsia="Times New Roman" w:hAnsi="Calibri" w:cs="Calibri"/>
          <w:color w:val="000000" w:themeColor="text1"/>
          <w:sz w:val="22"/>
          <w:szCs w:val="22"/>
        </w:rPr>
        <w:t>AI and</w:t>
      </w:r>
      <w:r w:rsidRPr="00DA39A8">
        <w:rPr>
          <w:rFonts w:ascii="Calibri" w:eastAsia="Times New Roman" w:hAnsi="Calibri" w:cs="Calibri"/>
          <w:color w:val="000000" w:themeColor="text1"/>
          <w:sz w:val="22"/>
          <w:szCs w:val="22"/>
        </w:rPr>
        <w:t xml:space="preserve"> distributed ledger technology</w:t>
      </w:r>
      <w:r w:rsidR="009203A7">
        <w:rPr>
          <w:rFonts w:ascii="Calibri" w:eastAsia="Times New Roman" w:hAnsi="Calibri" w:cs="Calibri"/>
          <w:color w:val="000000" w:themeColor="text1"/>
          <w:sz w:val="22"/>
          <w:szCs w:val="22"/>
        </w:rPr>
        <w:t>,</w:t>
      </w:r>
      <w:r w:rsidRPr="00DA39A8">
        <w:rPr>
          <w:rFonts w:ascii="Calibri" w:eastAsia="Times New Roman" w:hAnsi="Calibri" w:cs="Calibri"/>
          <w:color w:val="000000" w:themeColor="text1"/>
          <w:sz w:val="22"/>
          <w:szCs w:val="22"/>
        </w:rPr>
        <w:t xml:space="preserve"> </w:t>
      </w:r>
      <w:r w:rsidR="00DE11B2">
        <w:rPr>
          <w:rFonts w:ascii="Calibri" w:eastAsia="Times New Roman" w:hAnsi="Calibri" w:cs="Calibri"/>
          <w:color w:val="000000" w:themeColor="text1"/>
          <w:sz w:val="22"/>
          <w:szCs w:val="22"/>
        </w:rPr>
        <w:t>further</w:t>
      </w:r>
      <w:r w:rsidRPr="00DA39A8">
        <w:rPr>
          <w:rFonts w:ascii="Calibri" w:eastAsia="Times New Roman" w:hAnsi="Calibri" w:cs="Calibri"/>
          <w:color w:val="000000" w:themeColor="text1"/>
          <w:sz w:val="22"/>
          <w:szCs w:val="22"/>
        </w:rPr>
        <w:t xml:space="preserve"> efforts are needed to promote consistency in </w:t>
      </w:r>
      <w:r w:rsidR="009203A7">
        <w:rPr>
          <w:rFonts w:ascii="Calibri" w:eastAsia="Times New Roman" w:hAnsi="Calibri" w:cs="Calibri"/>
          <w:color w:val="000000" w:themeColor="text1"/>
          <w:sz w:val="22"/>
          <w:szCs w:val="22"/>
        </w:rPr>
        <w:t xml:space="preserve">the </w:t>
      </w:r>
      <w:r w:rsidRPr="00DA39A8">
        <w:rPr>
          <w:rFonts w:ascii="Calibri" w:eastAsia="Times New Roman" w:hAnsi="Calibri" w:cs="Calibri"/>
          <w:color w:val="000000" w:themeColor="text1"/>
          <w:sz w:val="22"/>
          <w:szCs w:val="22"/>
        </w:rPr>
        <w:t xml:space="preserve">acceptability </w:t>
      </w:r>
      <w:r w:rsidR="003640FB">
        <w:rPr>
          <w:rFonts w:ascii="Calibri" w:eastAsia="Times New Roman" w:hAnsi="Calibri" w:cs="Calibri"/>
          <w:color w:val="000000" w:themeColor="text1"/>
          <w:sz w:val="22"/>
          <w:szCs w:val="22"/>
        </w:rPr>
        <w:t xml:space="preserve">and regulation </w:t>
      </w:r>
      <w:r w:rsidRPr="00DA39A8">
        <w:rPr>
          <w:rFonts w:ascii="Calibri" w:eastAsia="Times New Roman" w:hAnsi="Calibri" w:cs="Calibri"/>
          <w:color w:val="000000" w:themeColor="text1"/>
          <w:sz w:val="22"/>
          <w:szCs w:val="22"/>
        </w:rPr>
        <w:t>of new technologies</w:t>
      </w:r>
      <w:r w:rsidR="009203A7">
        <w:rPr>
          <w:rFonts w:ascii="Calibri" w:eastAsia="Times New Roman" w:hAnsi="Calibri" w:cs="Calibri"/>
          <w:color w:val="000000" w:themeColor="text1"/>
          <w:sz w:val="22"/>
          <w:szCs w:val="22"/>
        </w:rPr>
        <w:t>,</w:t>
      </w:r>
      <w:r w:rsidRPr="00DA39A8">
        <w:rPr>
          <w:rFonts w:ascii="Calibri" w:eastAsia="Times New Roman" w:hAnsi="Calibri" w:cs="Calibri"/>
          <w:color w:val="000000" w:themeColor="text1"/>
          <w:sz w:val="22"/>
          <w:szCs w:val="22"/>
        </w:rPr>
        <w:t xml:space="preserve"> not only within the financial sector but across industry sectors</w:t>
      </w:r>
      <w:r w:rsidR="0020127E">
        <w:rPr>
          <w:rFonts w:ascii="Calibri" w:eastAsia="Times New Roman" w:hAnsi="Calibri" w:cs="Calibri"/>
          <w:color w:val="000000" w:themeColor="text1"/>
          <w:sz w:val="22"/>
          <w:szCs w:val="22"/>
        </w:rPr>
        <w:t xml:space="preserve"> (</w:t>
      </w:r>
      <w:r w:rsidR="00075320">
        <w:rPr>
          <w:rFonts w:ascii="Calibri" w:eastAsia="Times New Roman" w:hAnsi="Calibri" w:cs="Calibri"/>
          <w:color w:val="000000" w:themeColor="text1"/>
          <w:sz w:val="22"/>
          <w:szCs w:val="22"/>
        </w:rPr>
        <w:t>for example</w:t>
      </w:r>
      <w:r w:rsidR="0020127E">
        <w:rPr>
          <w:rFonts w:ascii="Calibri" w:eastAsia="Times New Roman" w:hAnsi="Calibri" w:cs="Calibri"/>
          <w:color w:val="000000" w:themeColor="text1"/>
          <w:sz w:val="22"/>
          <w:szCs w:val="22"/>
        </w:rPr>
        <w:t>,</w:t>
      </w:r>
      <w:r w:rsidR="00075320">
        <w:rPr>
          <w:rFonts w:ascii="Calibri" w:eastAsia="Times New Roman" w:hAnsi="Calibri" w:cs="Calibri"/>
          <w:color w:val="000000" w:themeColor="text1"/>
          <w:sz w:val="22"/>
          <w:szCs w:val="22"/>
        </w:rPr>
        <w:t xml:space="preserve"> via guidance or principles-based regulation reflecting the nascent nature of many of these technologies and </w:t>
      </w:r>
      <w:r w:rsidR="00E3031A">
        <w:rPr>
          <w:rFonts w:ascii="Calibri" w:eastAsia="Times New Roman" w:hAnsi="Calibri" w:cs="Calibri"/>
          <w:color w:val="000000" w:themeColor="text1"/>
          <w:sz w:val="22"/>
          <w:szCs w:val="22"/>
        </w:rPr>
        <w:t xml:space="preserve">the </w:t>
      </w:r>
      <w:r w:rsidR="00075320">
        <w:rPr>
          <w:rFonts w:ascii="Calibri" w:eastAsia="Times New Roman" w:hAnsi="Calibri" w:cs="Calibri"/>
          <w:color w:val="000000" w:themeColor="text1"/>
          <w:sz w:val="22"/>
          <w:szCs w:val="22"/>
        </w:rPr>
        <w:t>wide range of potential use cases)</w:t>
      </w:r>
      <w:r w:rsidRPr="00DA39A8">
        <w:rPr>
          <w:rFonts w:ascii="Calibri" w:eastAsia="Times New Roman" w:hAnsi="Calibri" w:cs="Calibri"/>
          <w:color w:val="000000" w:themeColor="text1"/>
          <w:sz w:val="22"/>
          <w:szCs w:val="22"/>
        </w:rPr>
        <w:t>.</w:t>
      </w:r>
      <w:r w:rsidR="003640FB">
        <w:rPr>
          <w:rFonts w:ascii="Calibri" w:eastAsia="Times New Roman" w:hAnsi="Calibri" w:cs="Calibri"/>
          <w:color w:val="000000" w:themeColor="text1"/>
          <w:sz w:val="22"/>
          <w:szCs w:val="22"/>
        </w:rPr>
        <w:t xml:space="preserve"> </w:t>
      </w:r>
    </w:p>
    <w:p w14:paraId="0CCBB856" w14:textId="77777777" w:rsidR="007F5656" w:rsidRDefault="007F5656" w:rsidP="008940C2">
      <w:pPr>
        <w:spacing w:line="276" w:lineRule="auto"/>
        <w:jc w:val="both"/>
        <w:rPr>
          <w:rFonts w:ascii="Calibri" w:eastAsia="Times New Roman" w:hAnsi="Calibri" w:cs="Calibri"/>
          <w:color w:val="000000" w:themeColor="text1"/>
          <w:sz w:val="22"/>
          <w:szCs w:val="22"/>
        </w:rPr>
      </w:pPr>
    </w:p>
    <w:p w14:paraId="1C6606AE" w14:textId="6D0B9A8B" w:rsidR="00DA39A8" w:rsidRPr="00DA39A8" w:rsidRDefault="0020127E" w:rsidP="008940C2">
      <w:pPr>
        <w:spacing w:line="276" w:lineRule="auto"/>
        <w:jc w:val="both"/>
        <w:rPr>
          <w:rFonts w:ascii="Calibri" w:eastAsia="Times New Roman" w:hAnsi="Calibri" w:cs="Calibri"/>
          <w:color w:val="000000" w:themeColor="text1"/>
          <w:sz w:val="22"/>
          <w:szCs w:val="22"/>
        </w:rPr>
      </w:pPr>
      <w:r>
        <w:rPr>
          <w:rFonts w:ascii="Calibri" w:eastAsia="Times New Roman" w:hAnsi="Calibri" w:cs="Calibri"/>
          <w:color w:val="000000" w:themeColor="text1"/>
          <w:sz w:val="22"/>
          <w:szCs w:val="22"/>
        </w:rPr>
        <w:t xml:space="preserve">Additionally, EU </w:t>
      </w:r>
      <w:r w:rsidR="007F5656">
        <w:rPr>
          <w:rFonts w:ascii="Calibri" w:eastAsia="Times New Roman" w:hAnsi="Calibri" w:cs="Calibri"/>
          <w:color w:val="000000" w:themeColor="text1"/>
          <w:sz w:val="22"/>
          <w:szCs w:val="22"/>
        </w:rPr>
        <w:t>frameworks for the regulation of new financial services supported by innovative technologies should be developed on a timely basis in order to ensure a common approach to the mitigation of risk</w:t>
      </w:r>
      <w:r w:rsidR="009203A7">
        <w:rPr>
          <w:rFonts w:ascii="Calibri" w:eastAsia="Times New Roman" w:hAnsi="Calibri" w:cs="Calibri"/>
          <w:color w:val="000000" w:themeColor="text1"/>
          <w:sz w:val="22"/>
          <w:szCs w:val="22"/>
        </w:rPr>
        <w:t xml:space="preserve"> on which see</w:t>
      </w:r>
      <w:r w:rsidR="007F5656">
        <w:rPr>
          <w:rFonts w:ascii="Calibri" w:eastAsia="Times New Roman" w:hAnsi="Calibri" w:cs="Calibri"/>
          <w:color w:val="000000" w:themeColor="text1"/>
          <w:sz w:val="22"/>
          <w:szCs w:val="22"/>
        </w:rPr>
        <w:t>, for example, t</w:t>
      </w:r>
      <w:r w:rsidR="003640FB">
        <w:rPr>
          <w:rFonts w:ascii="Calibri" w:eastAsia="Times New Roman" w:hAnsi="Calibri" w:cs="Calibri"/>
          <w:color w:val="000000" w:themeColor="text1"/>
          <w:sz w:val="22"/>
          <w:szCs w:val="22"/>
        </w:rPr>
        <w:t>he EBA’s January 2019 report with advice for the European Commission</w:t>
      </w:r>
      <w:r w:rsidR="007F5656">
        <w:rPr>
          <w:rFonts w:ascii="Calibri" w:eastAsia="Times New Roman" w:hAnsi="Calibri" w:cs="Calibri"/>
          <w:color w:val="000000" w:themeColor="text1"/>
          <w:sz w:val="22"/>
          <w:szCs w:val="22"/>
        </w:rPr>
        <w:t xml:space="preserve"> on crypto-assets</w:t>
      </w:r>
      <w:r w:rsidR="003640FB">
        <w:rPr>
          <w:rFonts w:ascii="Calibri" w:eastAsia="Times New Roman" w:hAnsi="Calibri" w:cs="Calibri"/>
          <w:color w:val="000000" w:themeColor="text1"/>
          <w:sz w:val="22"/>
          <w:szCs w:val="22"/>
        </w:rPr>
        <w:t>.</w:t>
      </w:r>
    </w:p>
    <w:p w14:paraId="6F191377" w14:textId="77777777" w:rsidR="00DA39A8" w:rsidRDefault="00DA39A8" w:rsidP="008940C2">
      <w:pPr>
        <w:spacing w:line="276" w:lineRule="auto"/>
        <w:jc w:val="both"/>
        <w:rPr>
          <w:rFonts w:ascii="Calibri" w:eastAsia="Times New Roman" w:hAnsi="Calibri" w:cs="Calibri"/>
          <w:b/>
          <w:color w:val="000000" w:themeColor="text1"/>
          <w:sz w:val="22"/>
          <w:szCs w:val="22"/>
        </w:rPr>
      </w:pPr>
    </w:p>
    <w:p w14:paraId="111B052D" w14:textId="79EF5EE9" w:rsidR="00DA39A8" w:rsidRPr="00E73445" w:rsidRDefault="00DA39A8" w:rsidP="008940C2">
      <w:pPr>
        <w:spacing w:line="276" w:lineRule="auto"/>
        <w:jc w:val="both"/>
        <w:rPr>
          <w:rFonts w:ascii="Calibri" w:eastAsia="Times New Roman" w:hAnsi="Calibri" w:cs="Calibri"/>
          <w:b/>
          <w:i/>
          <w:color w:val="000000" w:themeColor="text1"/>
          <w:sz w:val="22"/>
          <w:szCs w:val="22"/>
        </w:rPr>
      </w:pPr>
      <w:r w:rsidRPr="00E73445">
        <w:rPr>
          <w:rFonts w:ascii="Calibri" w:eastAsia="Times New Roman" w:hAnsi="Calibri" w:cs="Calibri"/>
          <w:b/>
          <w:i/>
          <w:color w:val="000000" w:themeColor="text1"/>
          <w:sz w:val="22"/>
          <w:szCs w:val="22"/>
        </w:rPr>
        <w:t>4. Access to knowledge and expertise on innovative technologies</w:t>
      </w:r>
    </w:p>
    <w:p w14:paraId="7480363D" w14:textId="77777777" w:rsidR="00DA39A8" w:rsidRDefault="00DA39A8" w:rsidP="008940C2">
      <w:pPr>
        <w:spacing w:line="276" w:lineRule="auto"/>
        <w:jc w:val="both"/>
        <w:rPr>
          <w:rFonts w:ascii="Calibri" w:eastAsia="Times New Roman" w:hAnsi="Calibri" w:cs="Calibri"/>
          <w:color w:val="000000" w:themeColor="text1"/>
          <w:sz w:val="22"/>
          <w:szCs w:val="22"/>
        </w:rPr>
      </w:pPr>
    </w:p>
    <w:p w14:paraId="54A23928" w14:textId="7A570EEC" w:rsidR="00DA39A8" w:rsidRPr="00DA39A8" w:rsidRDefault="00D46C65" w:rsidP="008940C2">
      <w:pPr>
        <w:spacing w:line="276" w:lineRule="auto"/>
        <w:jc w:val="both"/>
        <w:rPr>
          <w:rFonts w:ascii="Calibri" w:eastAsia="Times New Roman" w:hAnsi="Calibri" w:cs="Calibri"/>
          <w:color w:val="000000" w:themeColor="text1"/>
          <w:sz w:val="22"/>
          <w:szCs w:val="22"/>
        </w:rPr>
      </w:pPr>
      <w:r>
        <w:rPr>
          <w:rFonts w:ascii="Calibri" w:eastAsia="Times New Roman" w:hAnsi="Calibri" w:cs="Calibri"/>
          <w:color w:val="000000" w:themeColor="text1"/>
          <w:sz w:val="22"/>
          <w:szCs w:val="22"/>
        </w:rPr>
        <w:t>B</w:t>
      </w:r>
      <w:r w:rsidR="00DA39A8" w:rsidRPr="00DA39A8">
        <w:rPr>
          <w:rFonts w:ascii="Calibri" w:eastAsia="Times New Roman" w:hAnsi="Calibri" w:cs="Calibri"/>
          <w:color w:val="000000" w:themeColor="text1"/>
          <w:sz w:val="22"/>
          <w:szCs w:val="22"/>
        </w:rPr>
        <w:t>uilding knowledge and expertise on innovative technologies</w:t>
      </w:r>
      <w:r>
        <w:rPr>
          <w:rFonts w:ascii="Calibri" w:eastAsia="Times New Roman" w:hAnsi="Calibri" w:cs="Calibri"/>
          <w:color w:val="000000" w:themeColor="text1"/>
          <w:sz w:val="22"/>
          <w:szCs w:val="22"/>
        </w:rPr>
        <w:t xml:space="preserve"> can be</w:t>
      </w:r>
      <w:r w:rsidR="00DE11B2">
        <w:rPr>
          <w:rFonts w:ascii="Calibri" w:eastAsia="Times New Roman" w:hAnsi="Calibri" w:cs="Calibri"/>
          <w:color w:val="000000" w:themeColor="text1"/>
          <w:sz w:val="22"/>
          <w:szCs w:val="22"/>
        </w:rPr>
        <w:t xml:space="preserve"> challenging for</w:t>
      </w:r>
      <w:r>
        <w:rPr>
          <w:rFonts w:ascii="Calibri" w:eastAsia="Times New Roman" w:hAnsi="Calibri" w:cs="Calibri"/>
          <w:color w:val="000000" w:themeColor="text1"/>
          <w:sz w:val="22"/>
          <w:szCs w:val="22"/>
        </w:rPr>
        <w:t xml:space="preserve"> supervisors</w:t>
      </w:r>
      <w:r w:rsidR="00BF5E5A">
        <w:rPr>
          <w:rFonts w:ascii="Calibri" w:eastAsia="Times New Roman" w:hAnsi="Calibri" w:cs="Calibri"/>
          <w:color w:val="000000" w:themeColor="text1"/>
          <w:sz w:val="22"/>
          <w:szCs w:val="22"/>
        </w:rPr>
        <w:t xml:space="preserve"> and regulators</w:t>
      </w:r>
      <w:r w:rsidR="00DA39A8" w:rsidRPr="00DA39A8">
        <w:rPr>
          <w:rFonts w:ascii="Calibri" w:eastAsia="Times New Roman" w:hAnsi="Calibri" w:cs="Calibri"/>
          <w:color w:val="000000" w:themeColor="text1"/>
          <w:sz w:val="22"/>
          <w:szCs w:val="22"/>
        </w:rPr>
        <w:t>.</w:t>
      </w:r>
    </w:p>
    <w:p w14:paraId="260EDB39" w14:textId="77777777" w:rsidR="00DA39A8" w:rsidRDefault="00DA39A8" w:rsidP="008940C2">
      <w:pPr>
        <w:spacing w:line="276" w:lineRule="auto"/>
        <w:jc w:val="both"/>
        <w:rPr>
          <w:rFonts w:ascii="Calibri" w:eastAsia="Times New Roman" w:hAnsi="Calibri" w:cs="Calibri"/>
          <w:color w:val="000000" w:themeColor="text1"/>
          <w:sz w:val="22"/>
          <w:szCs w:val="22"/>
        </w:rPr>
      </w:pPr>
    </w:p>
    <w:p w14:paraId="6E779B01" w14:textId="78E4604D" w:rsidR="00DA39A8" w:rsidRPr="00DA39A8" w:rsidRDefault="00DA39A8" w:rsidP="008940C2">
      <w:pPr>
        <w:spacing w:line="276" w:lineRule="auto"/>
        <w:jc w:val="both"/>
        <w:rPr>
          <w:rFonts w:ascii="Calibri" w:eastAsia="Times New Roman" w:hAnsi="Calibri" w:cs="Calibri"/>
          <w:color w:val="000000" w:themeColor="text1"/>
          <w:sz w:val="22"/>
          <w:szCs w:val="22"/>
        </w:rPr>
      </w:pPr>
      <w:r w:rsidRPr="00DA39A8">
        <w:rPr>
          <w:rFonts w:ascii="Calibri" w:eastAsia="Times New Roman" w:hAnsi="Calibri" w:cs="Calibri"/>
          <w:color w:val="000000" w:themeColor="text1"/>
          <w:sz w:val="22"/>
          <w:szCs w:val="22"/>
        </w:rPr>
        <w:lastRenderedPageBreak/>
        <w:t>Bridging knowledge gaps between the industry</w:t>
      </w:r>
      <w:r w:rsidR="00BF5E5A">
        <w:rPr>
          <w:rFonts w:ascii="Calibri" w:eastAsia="Times New Roman" w:hAnsi="Calibri" w:cs="Calibri"/>
          <w:color w:val="000000" w:themeColor="text1"/>
          <w:sz w:val="22"/>
          <w:szCs w:val="22"/>
        </w:rPr>
        <w:t>,</w:t>
      </w:r>
      <w:r w:rsidRPr="00DA39A8">
        <w:rPr>
          <w:rFonts w:ascii="Calibri" w:eastAsia="Times New Roman" w:hAnsi="Calibri" w:cs="Calibri"/>
          <w:color w:val="000000" w:themeColor="text1"/>
          <w:sz w:val="22"/>
          <w:szCs w:val="22"/>
        </w:rPr>
        <w:t xml:space="preserve"> supervisors</w:t>
      </w:r>
      <w:r w:rsidR="00BF5E5A">
        <w:rPr>
          <w:rFonts w:ascii="Calibri" w:eastAsia="Times New Roman" w:hAnsi="Calibri" w:cs="Calibri"/>
          <w:color w:val="000000" w:themeColor="text1"/>
          <w:sz w:val="22"/>
          <w:szCs w:val="22"/>
        </w:rPr>
        <w:t xml:space="preserve"> and regulators</w:t>
      </w:r>
      <w:r w:rsidRPr="00DA39A8">
        <w:rPr>
          <w:rFonts w:ascii="Calibri" w:eastAsia="Times New Roman" w:hAnsi="Calibri" w:cs="Calibri"/>
          <w:color w:val="000000" w:themeColor="text1"/>
          <w:sz w:val="22"/>
          <w:szCs w:val="22"/>
        </w:rPr>
        <w:t xml:space="preserve"> on FinTech-related developments, and between supervisors, is essential in order to ensure that the opportunities and risks from new technologies can be identified at an early stage thereby enabling timely and consistent adjustments to regulatory and supervisory stances</w:t>
      </w:r>
      <w:r w:rsidR="0086409B">
        <w:rPr>
          <w:rFonts w:ascii="Calibri" w:eastAsia="Times New Roman" w:hAnsi="Calibri" w:cs="Calibri"/>
          <w:color w:val="000000" w:themeColor="text1"/>
          <w:sz w:val="22"/>
          <w:szCs w:val="22"/>
        </w:rPr>
        <w:t xml:space="preserve"> and effective supervision and risk assessment</w:t>
      </w:r>
      <w:r w:rsidRPr="00DA39A8">
        <w:rPr>
          <w:rFonts w:ascii="Calibri" w:eastAsia="Times New Roman" w:hAnsi="Calibri" w:cs="Calibri"/>
          <w:color w:val="000000" w:themeColor="text1"/>
          <w:sz w:val="22"/>
          <w:szCs w:val="22"/>
        </w:rPr>
        <w:t>.</w:t>
      </w:r>
    </w:p>
    <w:p w14:paraId="5FD5ACE7" w14:textId="1F12119C" w:rsidR="00E73445" w:rsidRDefault="00DA39A8" w:rsidP="008940C2">
      <w:pPr>
        <w:pStyle w:val="bullet1"/>
        <w:numPr>
          <w:ilvl w:val="0"/>
          <w:numId w:val="0"/>
        </w:numPr>
        <w:tabs>
          <w:tab w:val="left" w:pos="720"/>
        </w:tabs>
        <w:rPr>
          <w:rFonts w:ascii="Calibri" w:eastAsia="Times New Roman" w:hAnsi="Calibri" w:cs="Calibri"/>
        </w:rPr>
      </w:pPr>
      <w:r w:rsidRPr="00DA39A8">
        <w:rPr>
          <w:rFonts w:ascii="Calibri" w:eastAsia="Times New Roman" w:hAnsi="Calibri" w:cs="Calibri"/>
        </w:rPr>
        <w:t>To help bridge supervisors on innovation-related issues, the EBA has established its</w:t>
      </w:r>
      <w:r w:rsidR="00E73445">
        <w:rPr>
          <w:rFonts w:ascii="Calibri" w:hAnsi="Calibri" w:cs="Calibri"/>
          <w:color w:val="000000" w:themeColor="text1"/>
        </w:rPr>
        <w:t xml:space="preserve"> ‘</w:t>
      </w:r>
      <w:hyperlink r:id="rId12" w:history="1">
        <w:r w:rsidR="00E73445" w:rsidRPr="00EB4843">
          <w:rPr>
            <w:rStyle w:val="Hyperlink"/>
            <w:rFonts w:ascii="Calibri" w:hAnsi="Calibri" w:cs="Calibri"/>
          </w:rPr>
          <w:t>FinTech Knowledge Hub</w:t>
        </w:r>
      </w:hyperlink>
      <w:r w:rsidR="00E73445">
        <w:rPr>
          <w:rFonts w:ascii="Calibri" w:hAnsi="Calibri" w:cs="Calibri"/>
          <w:color w:val="000000" w:themeColor="text1"/>
        </w:rPr>
        <w:t xml:space="preserve">’. Knowledge-sharing </w:t>
      </w:r>
      <w:r w:rsidRPr="00DA39A8">
        <w:rPr>
          <w:rFonts w:ascii="Calibri" w:hAnsi="Calibri" w:cs="Calibri"/>
          <w:color w:val="000000" w:themeColor="text1"/>
        </w:rPr>
        <w:t xml:space="preserve">is </w:t>
      </w:r>
      <w:r w:rsidR="00E73445">
        <w:rPr>
          <w:rFonts w:ascii="Calibri" w:hAnsi="Calibri" w:cs="Calibri"/>
          <w:color w:val="000000" w:themeColor="text1"/>
        </w:rPr>
        <w:t xml:space="preserve">also </w:t>
      </w:r>
      <w:r w:rsidRPr="00DA39A8">
        <w:rPr>
          <w:rFonts w:ascii="Calibri" w:hAnsi="Calibri" w:cs="Calibri"/>
          <w:color w:val="000000" w:themeColor="text1"/>
        </w:rPr>
        <w:t xml:space="preserve">reinforced by our efforts </w:t>
      </w:r>
      <w:r w:rsidRPr="00DA39A8">
        <w:rPr>
          <w:rFonts w:ascii="Calibri" w:eastAsia="Times New Roman" w:hAnsi="Calibri" w:cs="Calibri"/>
        </w:rPr>
        <w:t xml:space="preserve">to gather the latest trends in technology developments and supervision and share them widely to enable supervisors to ask the right questions in a constructive way, for example with reports on outsourcing to cloud </w:t>
      </w:r>
      <w:r w:rsidR="00E3031A">
        <w:rPr>
          <w:rFonts w:ascii="Calibri" w:eastAsia="Times New Roman" w:hAnsi="Calibri" w:cs="Calibri"/>
        </w:rPr>
        <w:t>service providers,</w:t>
      </w:r>
      <w:r w:rsidRPr="00DA39A8">
        <w:rPr>
          <w:rFonts w:ascii="Calibri" w:eastAsia="Times New Roman" w:hAnsi="Calibri" w:cs="Calibri"/>
        </w:rPr>
        <w:t xml:space="preserve"> the use of </w:t>
      </w:r>
      <w:r w:rsidR="00E73445">
        <w:rPr>
          <w:rFonts w:ascii="Calibri" w:eastAsia="Times New Roman" w:hAnsi="Calibri" w:cs="Calibri"/>
        </w:rPr>
        <w:t xml:space="preserve">innovative </w:t>
      </w:r>
      <w:r w:rsidRPr="00DA39A8">
        <w:rPr>
          <w:rFonts w:ascii="Calibri" w:eastAsia="Times New Roman" w:hAnsi="Calibri" w:cs="Calibri"/>
        </w:rPr>
        <w:t xml:space="preserve">technology </w:t>
      </w:r>
      <w:r w:rsidR="00E73445">
        <w:rPr>
          <w:rFonts w:ascii="Calibri" w:eastAsia="Times New Roman" w:hAnsi="Calibri" w:cs="Calibri"/>
        </w:rPr>
        <w:t>for</w:t>
      </w:r>
      <w:r w:rsidRPr="00DA39A8">
        <w:rPr>
          <w:rFonts w:ascii="Calibri" w:eastAsia="Times New Roman" w:hAnsi="Calibri" w:cs="Calibri"/>
        </w:rPr>
        <w:t xml:space="preserve"> customer due diligence</w:t>
      </w:r>
      <w:r w:rsidR="00E3031A">
        <w:rPr>
          <w:rFonts w:ascii="Calibri" w:eastAsia="Times New Roman" w:hAnsi="Calibri" w:cs="Calibri"/>
        </w:rPr>
        <w:t>,</w:t>
      </w:r>
      <w:r w:rsidR="002B70BF">
        <w:rPr>
          <w:rFonts w:ascii="Calibri" w:eastAsia="Times New Roman" w:hAnsi="Calibri" w:cs="Calibri"/>
        </w:rPr>
        <w:t xml:space="preserve"> and</w:t>
      </w:r>
      <w:r w:rsidRPr="00DA39A8">
        <w:rPr>
          <w:rFonts w:ascii="Calibri" w:eastAsia="Times New Roman" w:hAnsi="Calibri" w:cs="Calibri"/>
        </w:rPr>
        <w:t xml:space="preserve"> Big Data and Advanced Analytics</w:t>
      </w:r>
      <w:r w:rsidR="00E73445">
        <w:rPr>
          <w:rFonts w:ascii="Calibri" w:eastAsia="Times New Roman" w:hAnsi="Calibri" w:cs="Calibri"/>
        </w:rPr>
        <w:t xml:space="preserve"> </w:t>
      </w:r>
      <w:r w:rsidR="00E3031A">
        <w:rPr>
          <w:rFonts w:ascii="Calibri" w:eastAsia="Times New Roman" w:hAnsi="Calibri" w:cs="Calibri"/>
        </w:rPr>
        <w:t>(</w:t>
      </w:r>
      <w:r w:rsidR="00E73445">
        <w:rPr>
          <w:rFonts w:ascii="Calibri" w:eastAsia="Times New Roman" w:hAnsi="Calibri" w:cs="Calibri"/>
        </w:rPr>
        <w:t>all of which are accessible via the Hub</w:t>
      </w:r>
      <w:r w:rsidR="00E73445">
        <w:rPr>
          <w:rStyle w:val="FootnoteReference"/>
          <w:rFonts w:ascii="Calibri" w:eastAsia="Times New Roman" w:hAnsi="Calibri" w:cs="Calibri"/>
        </w:rPr>
        <w:footnoteReference w:id="6"/>
      </w:r>
      <w:r w:rsidR="00E3031A">
        <w:rPr>
          <w:rFonts w:ascii="Calibri" w:eastAsia="Times New Roman" w:hAnsi="Calibri" w:cs="Calibri"/>
        </w:rPr>
        <w:t>)</w:t>
      </w:r>
      <w:r w:rsidR="00E3031A" w:rsidRPr="00DA39A8">
        <w:rPr>
          <w:rFonts w:ascii="Calibri" w:eastAsia="Times New Roman" w:hAnsi="Calibri" w:cs="Calibri"/>
        </w:rPr>
        <w:t>.</w:t>
      </w:r>
      <w:r w:rsidRPr="00DA39A8">
        <w:rPr>
          <w:rFonts w:ascii="Calibri" w:eastAsia="Times New Roman" w:hAnsi="Calibri" w:cs="Calibri"/>
        </w:rPr>
        <w:t xml:space="preserve"> </w:t>
      </w:r>
    </w:p>
    <w:p w14:paraId="78426E95" w14:textId="5B333CC1" w:rsidR="00BD6FD2" w:rsidRDefault="00EB4843" w:rsidP="008940C2">
      <w:pPr>
        <w:pStyle w:val="bullet1"/>
        <w:numPr>
          <w:ilvl w:val="0"/>
          <w:numId w:val="0"/>
        </w:numPr>
        <w:tabs>
          <w:tab w:val="left" w:pos="720"/>
        </w:tabs>
        <w:rPr>
          <w:rFonts w:ascii="Calibri" w:eastAsia="Times New Roman" w:hAnsi="Calibri" w:cs="Calibri"/>
        </w:rPr>
      </w:pPr>
      <w:r>
        <w:rPr>
          <w:rFonts w:ascii="Calibri" w:eastAsia="Times New Roman" w:hAnsi="Calibri" w:cs="Calibri"/>
        </w:rPr>
        <w:t>The</w:t>
      </w:r>
      <w:r w:rsidR="00DA39A8" w:rsidRPr="00DA39A8">
        <w:rPr>
          <w:rFonts w:ascii="Calibri" w:eastAsia="Times New Roman" w:hAnsi="Calibri" w:cs="Calibri"/>
        </w:rPr>
        <w:t xml:space="preserve"> EBA has </w:t>
      </w:r>
      <w:r>
        <w:rPr>
          <w:rFonts w:ascii="Calibri" w:eastAsia="Times New Roman" w:hAnsi="Calibri" w:cs="Calibri"/>
        </w:rPr>
        <w:t xml:space="preserve">also </w:t>
      </w:r>
      <w:r w:rsidR="00DA39A8" w:rsidRPr="00DA39A8">
        <w:rPr>
          <w:rFonts w:ascii="Calibri" w:eastAsia="Times New Roman" w:hAnsi="Calibri" w:cs="Calibri"/>
        </w:rPr>
        <w:t xml:space="preserve">established on a joint basis with the other ESAs a </w:t>
      </w:r>
      <w:hyperlink r:id="rId13" w:history="1">
        <w:r w:rsidR="00DA39A8" w:rsidRPr="00EB4843">
          <w:rPr>
            <w:rStyle w:val="Hyperlink"/>
            <w:rFonts w:ascii="Calibri" w:eastAsia="Times New Roman" w:hAnsi="Calibri" w:cs="Calibri"/>
          </w:rPr>
          <w:t>European Forum for Innovation Facilitators</w:t>
        </w:r>
      </w:hyperlink>
      <w:r w:rsidR="00DA39A8" w:rsidRPr="00DA39A8">
        <w:rPr>
          <w:rFonts w:ascii="Calibri" w:eastAsia="Times New Roman" w:hAnsi="Calibri" w:cs="Calibri"/>
        </w:rPr>
        <w:t xml:space="preserve"> (EFIF) where supervisors </w:t>
      </w:r>
      <w:r w:rsidR="00BF5E5A">
        <w:rPr>
          <w:rFonts w:ascii="Calibri" w:eastAsia="Times New Roman" w:hAnsi="Calibri" w:cs="Calibri"/>
        </w:rPr>
        <w:t xml:space="preserve">and regulators </w:t>
      </w:r>
      <w:r w:rsidR="00E73445">
        <w:rPr>
          <w:rFonts w:ascii="Calibri" w:eastAsia="Times New Roman" w:hAnsi="Calibri" w:cs="Calibri"/>
        </w:rPr>
        <w:t xml:space="preserve">can </w:t>
      </w:r>
      <w:r w:rsidR="00DA39A8" w:rsidRPr="00DA39A8">
        <w:rPr>
          <w:rFonts w:ascii="Calibri" w:eastAsia="Times New Roman" w:hAnsi="Calibri" w:cs="Calibri"/>
        </w:rPr>
        <w:t>meet to share experiences, technological expertise, and their reactions to the latest technology and innovations</w:t>
      </w:r>
      <w:r w:rsidR="00FF739C">
        <w:rPr>
          <w:rFonts w:ascii="Calibri" w:eastAsia="Times New Roman" w:hAnsi="Calibri" w:cs="Calibri"/>
        </w:rPr>
        <w:t xml:space="preserve"> as observed through their local innovation facilitators</w:t>
      </w:r>
      <w:r w:rsidR="00DA39A8" w:rsidRPr="00DA39A8">
        <w:rPr>
          <w:rFonts w:ascii="Calibri" w:eastAsia="Times New Roman" w:hAnsi="Calibri" w:cs="Calibri"/>
        </w:rPr>
        <w:t>.</w:t>
      </w:r>
    </w:p>
    <w:p w14:paraId="1BF478D9" w14:textId="0F777450" w:rsidR="00BD6FD2" w:rsidRDefault="00213AFC" w:rsidP="008940C2">
      <w:pPr>
        <w:pStyle w:val="bullet1"/>
        <w:numPr>
          <w:ilvl w:val="0"/>
          <w:numId w:val="0"/>
        </w:numPr>
        <w:tabs>
          <w:tab w:val="left" w:pos="720"/>
        </w:tabs>
        <w:rPr>
          <w:rFonts w:ascii="Calibri" w:hAnsi="Calibri" w:cs="Calibri"/>
        </w:rPr>
      </w:pPr>
      <w:r w:rsidRPr="00DA39A8">
        <w:rPr>
          <w:rFonts w:ascii="Calibri" w:hAnsi="Calibri" w:cs="Calibri"/>
        </w:rPr>
        <w:t>Nevertheless, existing initiatives should be strengthen</w:t>
      </w:r>
      <w:r>
        <w:rPr>
          <w:rFonts w:ascii="Calibri" w:hAnsi="Calibri" w:cs="Calibri"/>
        </w:rPr>
        <w:t>ed</w:t>
      </w:r>
      <w:r w:rsidRPr="00DA39A8">
        <w:rPr>
          <w:rFonts w:ascii="Calibri" w:hAnsi="Calibri" w:cs="Calibri"/>
        </w:rPr>
        <w:t xml:space="preserve"> and new initiatives</w:t>
      </w:r>
      <w:r>
        <w:rPr>
          <w:rFonts w:ascii="Calibri" w:hAnsi="Calibri" w:cs="Calibri"/>
        </w:rPr>
        <w:t xml:space="preserve"> - such as the establishment of cross-sectoral EU teams on topics cutting across all sectors e.g. </w:t>
      </w:r>
      <w:r w:rsidR="00EB4843">
        <w:rPr>
          <w:rFonts w:ascii="Calibri" w:hAnsi="Calibri" w:cs="Calibri"/>
        </w:rPr>
        <w:t xml:space="preserve">AI, </w:t>
      </w:r>
      <w:r>
        <w:rPr>
          <w:rFonts w:ascii="Calibri" w:hAnsi="Calibri" w:cs="Calibri"/>
        </w:rPr>
        <w:t xml:space="preserve">cyber security, </w:t>
      </w:r>
      <w:r w:rsidR="00122BE2">
        <w:rPr>
          <w:rFonts w:ascii="Calibri" w:hAnsi="Calibri" w:cs="Calibri"/>
        </w:rPr>
        <w:t xml:space="preserve">e-ID, </w:t>
      </w:r>
      <w:r>
        <w:rPr>
          <w:rFonts w:ascii="Calibri" w:hAnsi="Calibri" w:cs="Calibri"/>
        </w:rPr>
        <w:t>data protection</w:t>
      </w:r>
      <w:r w:rsidR="00EB4843">
        <w:rPr>
          <w:rFonts w:ascii="Calibri" w:hAnsi="Calibri" w:cs="Calibri"/>
        </w:rPr>
        <w:t xml:space="preserve"> </w:t>
      </w:r>
      <w:r w:rsidR="0020127E">
        <w:rPr>
          <w:rFonts w:ascii="Calibri" w:hAnsi="Calibri" w:cs="Calibri"/>
        </w:rPr>
        <w:t>–</w:t>
      </w:r>
      <w:r w:rsidR="003640FB">
        <w:rPr>
          <w:rFonts w:ascii="Calibri" w:hAnsi="Calibri" w:cs="Calibri"/>
        </w:rPr>
        <w:t xml:space="preserve"> </w:t>
      </w:r>
      <w:r w:rsidR="0020127E">
        <w:rPr>
          <w:rFonts w:ascii="Calibri" w:hAnsi="Calibri" w:cs="Calibri"/>
        </w:rPr>
        <w:t>could be considered</w:t>
      </w:r>
      <w:r w:rsidR="00EB4843">
        <w:rPr>
          <w:rFonts w:ascii="Calibri" w:hAnsi="Calibri" w:cs="Calibri"/>
        </w:rPr>
        <w:t>. T</w:t>
      </w:r>
      <w:r>
        <w:rPr>
          <w:rFonts w:ascii="Calibri" w:hAnsi="Calibri" w:cs="Calibri"/>
        </w:rPr>
        <w:t>argeted training programs across the EU, technical workshops</w:t>
      </w:r>
      <w:r w:rsidRPr="004578EA">
        <w:rPr>
          <w:rFonts w:ascii="Calibri" w:hAnsi="Calibri" w:cs="Calibri"/>
          <w:lang w:val="en-GB"/>
        </w:rPr>
        <w:t xml:space="preserve"> organised</w:t>
      </w:r>
      <w:r>
        <w:rPr>
          <w:rFonts w:ascii="Calibri" w:hAnsi="Calibri" w:cs="Calibri"/>
        </w:rPr>
        <w:t xml:space="preserve"> by relevant authorities (e.g. ESAs, EDPS, ENISA),</w:t>
      </w:r>
      <w:r w:rsidR="003640FB">
        <w:rPr>
          <w:rFonts w:ascii="Calibri" w:hAnsi="Calibri" w:cs="Calibri"/>
        </w:rPr>
        <w:t xml:space="preserve"> and webinars</w:t>
      </w:r>
      <w:r>
        <w:rPr>
          <w:rFonts w:ascii="Calibri" w:hAnsi="Calibri" w:cs="Calibri"/>
        </w:rPr>
        <w:t xml:space="preserve"> </w:t>
      </w:r>
      <w:r w:rsidR="00EB4843">
        <w:rPr>
          <w:rFonts w:ascii="Calibri" w:hAnsi="Calibri" w:cs="Calibri"/>
        </w:rPr>
        <w:t xml:space="preserve">could also be considered </w:t>
      </w:r>
      <w:r>
        <w:rPr>
          <w:rFonts w:ascii="Calibri" w:hAnsi="Calibri" w:cs="Calibri"/>
        </w:rPr>
        <w:t xml:space="preserve">along with sufficient allocation of human and technical resources </w:t>
      </w:r>
      <w:r w:rsidR="00EB4843">
        <w:rPr>
          <w:rFonts w:ascii="Calibri" w:hAnsi="Calibri" w:cs="Calibri"/>
        </w:rPr>
        <w:t>in order</w:t>
      </w:r>
      <w:r w:rsidR="002E2E08">
        <w:rPr>
          <w:rFonts w:ascii="Calibri" w:hAnsi="Calibri" w:cs="Calibri"/>
        </w:rPr>
        <w:t xml:space="preserve"> to </w:t>
      </w:r>
      <w:r w:rsidRPr="00DA39A8">
        <w:rPr>
          <w:rFonts w:ascii="Calibri" w:hAnsi="Calibri" w:cs="Calibri"/>
        </w:rPr>
        <w:t xml:space="preserve">build </w:t>
      </w:r>
      <w:r w:rsidR="002E2E08">
        <w:rPr>
          <w:rFonts w:ascii="Calibri" w:hAnsi="Calibri" w:cs="Calibri"/>
        </w:rPr>
        <w:t xml:space="preserve">and foster </w:t>
      </w:r>
      <w:r w:rsidRPr="00DA39A8">
        <w:rPr>
          <w:rFonts w:ascii="Calibri" w:hAnsi="Calibri" w:cs="Calibri"/>
        </w:rPr>
        <w:t>knowledge and expertise on in</w:t>
      </w:r>
      <w:r w:rsidR="00EB4843">
        <w:rPr>
          <w:rFonts w:ascii="Calibri" w:hAnsi="Calibri" w:cs="Calibri"/>
        </w:rPr>
        <w:t>novative technologies among consumers,</w:t>
      </w:r>
      <w:r w:rsidRPr="00DA39A8">
        <w:rPr>
          <w:rFonts w:ascii="Calibri" w:hAnsi="Calibri" w:cs="Calibri"/>
        </w:rPr>
        <w:t xml:space="preserve"> fina</w:t>
      </w:r>
      <w:r>
        <w:rPr>
          <w:rFonts w:ascii="Calibri" w:hAnsi="Calibri" w:cs="Calibri"/>
        </w:rPr>
        <w:t xml:space="preserve">ncial institutions, </w:t>
      </w:r>
      <w:r w:rsidR="00EB4843">
        <w:rPr>
          <w:rFonts w:ascii="Calibri" w:hAnsi="Calibri" w:cs="Calibri"/>
        </w:rPr>
        <w:t>supervisors and</w:t>
      </w:r>
      <w:r>
        <w:rPr>
          <w:rFonts w:ascii="Calibri" w:hAnsi="Calibri" w:cs="Calibri"/>
        </w:rPr>
        <w:t xml:space="preserve"> </w:t>
      </w:r>
      <w:r w:rsidR="00EB4843">
        <w:rPr>
          <w:rFonts w:ascii="Calibri" w:hAnsi="Calibri" w:cs="Calibri"/>
        </w:rPr>
        <w:t>regulators</w:t>
      </w:r>
      <w:r w:rsidRPr="00DA39A8">
        <w:rPr>
          <w:rFonts w:ascii="Calibri" w:hAnsi="Calibri" w:cs="Calibri"/>
        </w:rPr>
        <w:t>.</w:t>
      </w:r>
    </w:p>
    <w:p w14:paraId="0C324809" w14:textId="3ECE44E7" w:rsidR="00DA39A8" w:rsidRPr="00DA39A8" w:rsidRDefault="00DA39A8" w:rsidP="008940C2">
      <w:pPr>
        <w:pStyle w:val="bullet1"/>
        <w:numPr>
          <w:ilvl w:val="0"/>
          <w:numId w:val="0"/>
        </w:numPr>
        <w:tabs>
          <w:tab w:val="left" w:pos="720"/>
        </w:tabs>
        <w:spacing w:after="0"/>
        <w:rPr>
          <w:rFonts w:ascii="Calibri" w:hAnsi="Calibri" w:cs="Calibri"/>
        </w:rPr>
      </w:pPr>
      <w:r w:rsidRPr="00DA39A8">
        <w:rPr>
          <w:rFonts w:ascii="Calibri" w:hAnsi="Calibri" w:cs="Calibri"/>
        </w:rPr>
        <w:t xml:space="preserve">The themes </w:t>
      </w:r>
      <w:r w:rsidR="00E73445">
        <w:rPr>
          <w:rFonts w:ascii="Calibri" w:hAnsi="Calibri" w:cs="Calibri"/>
        </w:rPr>
        <w:t xml:space="preserve">identified above </w:t>
      </w:r>
      <w:r w:rsidRPr="00DA39A8">
        <w:rPr>
          <w:rFonts w:ascii="Calibri" w:hAnsi="Calibri" w:cs="Calibri"/>
        </w:rPr>
        <w:t>are reflected throughout the ROFIEG report.</w:t>
      </w:r>
      <w:r>
        <w:rPr>
          <w:rFonts w:ascii="Calibri" w:hAnsi="Calibri" w:cs="Calibri"/>
        </w:rPr>
        <w:t xml:space="preserve"> </w:t>
      </w:r>
      <w:r w:rsidR="00AF7985">
        <w:rPr>
          <w:rFonts w:ascii="Calibri" w:hAnsi="Calibri" w:cs="Calibri"/>
        </w:rPr>
        <w:t>However, they require even higher attention and greater urgency</w:t>
      </w:r>
      <w:r w:rsidR="00AF7985" w:rsidRPr="00DA39A8">
        <w:rPr>
          <w:rFonts w:ascii="Calibri" w:hAnsi="Calibri" w:cs="Calibri"/>
        </w:rPr>
        <w:t xml:space="preserve"> given the </w:t>
      </w:r>
      <w:r w:rsidR="00AF7985">
        <w:rPr>
          <w:rFonts w:ascii="Calibri" w:hAnsi="Calibri" w:cs="Calibri"/>
        </w:rPr>
        <w:t>acceleration of financial activity to digital settings</w:t>
      </w:r>
      <w:r w:rsidR="00AF7985" w:rsidRPr="00DA39A8">
        <w:rPr>
          <w:rFonts w:ascii="Calibri" w:hAnsi="Calibri" w:cs="Calibri"/>
        </w:rPr>
        <w:t xml:space="preserve"> </w:t>
      </w:r>
      <w:r w:rsidR="00FF739C">
        <w:rPr>
          <w:rFonts w:ascii="Calibri" w:hAnsi="Calibri" w:cs="Calibri"/>
        </w:rPr>
        <w:t>triggered</w:t>
      </w:r>
      <w:r w:rsidR="00FF739C" w:rsidRPr="00DA39A8">
        <w:rPr>
          <w:rFonts w:ascii="Calibri" w:hAnsi="Calibri" w:cs="Calibri"/>
        </w:rPr>
        <w:t xml:space="preserve"> </w:t>
      </w:r>
      <w:r w:rsidR="00AF7985" w:rsidRPr="00DA39A8">
        <w:rPr>
          <w:rFonts w:ascii="Calibri" w:hAnsi="Calibri" w:cs="Calibri"/>
        </w:rPr>
        <w:t>by the</w:t>
      </w:r>
      <w:r w:rsidR="00AF7985">
        <w:rPr>
          <w:rFonts w:ascii="Calibri" w:hAnsi="Calibri" w:cs="Calibri"/>
        </w:rPr>
        <w:t xml:space="preserve"> COVID-19 pandemic</w:t>
      </w:r>
      <w:r w:rsidR="00AF7985" w:rsidRPr="00DA39A8">
        <w:rPr>
          <w:rFonts w:ascii="Calibri" w:hAnsi="Calibri" w:cs="Calibri"/>
        </w:rPr>
        <w:t>.</w:t>
      </w:r>
    </w:p>
    <w:p w14:paraId="362051E9" w14:textId="77777777" w:rsidR="00DA39A8" w:rsidRDefault="00DA39A8" w:rsidP="008E3C6D">
      <w:pPr>
        <w:jc w:val="both"/>
        <w:rPr>
          <w:rFonts w:ascii="Calibri" w:hAnsi="Calibri" w:cs="Calibri"/>
          <w:b/>
          <w:sz w:val="22"/>
          <w:szCs w:val="22"/>
        </w:rPr>
      </w:pPr>
    </w:p>
    <w:p w14:paraId="6B2BBEEE" w14:textId="4FB0EBA1" w:rsidR="00660780" w:rsidRPr="00AE7376" w:rsidRDefault="00660780" w:rsidP="00660780">
      <w:pPr>
        <w:pStyle w:val="Heading2"/>
        <w:tabs>
          <w:tab w:val="left" w:pos="3202"/>
          <w:tab w:val="left" w:pos="5095"/>
          <w:tab w:val="left" w:pos="7461"/>
          <w:tab w:val="left" w:pos="9736"/>
        </w:tabs>
        <w:spacing w:before="125" w:line="232" w:lineRule="auto"/>
        <w:ind w:left="0" w:right="-8"/>
        <w:jc w:val="both"/>
        <w:rPr>
          <w:rFonts w:ascii="Calibri" w:hAnsi="Calibri" w:cs="Calibri"/>
          <w:spacing w:val="2"/>
          <w:sz w:val="24"/>
          <w:szCs w:val="24"/>
        </w:rPr>
      </w:pPr>
      <w:r w:rsidRPr="00AE7376">
        <w:rPr>
          <w:rFonts w:ascii="Calibri" w:hAnsi="Calibri" w:cs="Calibri"/>
          <w:sz w:val="24"/>
          <w:szCs w:val="24"/>
        </w:rPr>
        <w:t xml:space="preserve">Question 2. What are the key advantages and challenges consumers are </w:t>
      </w:r>
      <w:r w:rsidRPr="00AE7376">
        <w:rPr>
          <w:rFonts w:ascii="Calibri" w:hAnsi="Calibri" w:cs="Calibri"/>
          <w:spacing w:val="2"/>
          <w:sz w:val="24"/>
          <w:szCs w:val="24"/>
        </w:rPr>
        <w:t xml:space="preserve">facing  with  </w:t>
      </w:r>
      <w:r w:rsidRPr="00AE7376">
        <w:rPr>
          <w:rFonts w:ascii="Calibri" w:hAnsi="Calibri" w:cs="Calibri"/>
          <w:sz w:val="24"/>
          <w:szCs w:val="24"/>
        </w:rPr>
        <w:t xml:space="preserve">the  </w:t>
      </w:r>
      <w:r w:rsidRPr="00AE7376">
        <w:rPr>
          <w:rFonts w:ascii="Calibri" w:hAnsi="Calibri" w:cs="Calibri"/>
          <w:spacing w:val="2"/>
          <w:sz w:val="24"/>
          <w:szCs w:val="24"/>
        </w:rPr>
        <w:t xml:space="preserve">increasing  </w:t>
      </w:r>
      <w:r w:rsidRPr="004578EA">
        <w:rPr>
          <w:rFonts w:ascii="Calibri" w:hAnsi="Calibri" w:cs="Calibri"/>
          <w:spacing w:val="2"/>
          <w:sz w:val="24"/>
          <w:szCs w:val="24"/>
          <w:lang w:val="en-GB"/>
        </w:rPr>
        <w:t>digitalisation</w:t>
      </w:r>
      <w:r w:rsidRPr="00AE7376">
        <w:rPr>
          <w:rFonts w:ascii="Calibri" w:hAnsi="Calibri" w:cs="Calibri"/>
          <w:spacing w:val="2"/>
          <w:sz w:val="24"/>
          <w:szCs w:val="24"/>
        </w:rPr>
        <w:t xml:space="preserve">  </w:t>
      </w:r>
      <w:r w:rsidRPr="00AE7376">
        <w:rPr>
          <w:rFonts w:ascii="Calibri" w:hAnsi="Calibri" w:cs="Calibri"/>
          <w:sz w:val="24"/>
          <w:szCs w:val="24"/>
        </w:rPr>
        <w:t xml:space="preserve">of  the  </w:t>
      </w:r>
      <w:r w:rsidRPr="00AE7376">
        <w:rPr>
          <w:rFonts w:ascii="Calibri" w:hAnsi="Calibri" w:cs="Calibri"/>
          <w:spacing w:val="2"/>
          <w:sz w:val="24"/>
          <w:szCs w:val="24"/>
        </w:rPr>
        <w:t>financial  sector (please mention no more than 4)?</w:t>
      </w:r>
    </w:p>
    <w:p w14:paraId="5D5264CA" w14:textId="42104036" w:rsidR="00660780" w:rsidRPr="00AE7376" w:rsidRDefault="00660780" w:rsidP="00660780">
      <w:pPr>
        <w:pStyle w:val="Heading2"/>
        <w:tabs>
          <w:tab w:val="left" w:pos="3202"/>
          <w:tab w:val="left" w:pos="5095"/>
          <w:tab w:val="left" w:pos="7461"/>
          <w:tab w:val="left" w:pos="9736"/>
        </w:tabs>
        <w:spacing w:before="125" w:line="232" w:lineRule="auto"/>
        <w:ind w:left="0" w:right="-8"/>
        <w:jc w:val="both"/>
        <w:rPr>
          <w:rFonts w:ascii="Calibri" w:hAnsi="Calibri" w:cs="Calibri"/>
          <w:sz w:val="24"/>
          <w:szCs w:val="24"/>
        </w:rPr>
      </w:pPr>
      <w:r w:rsidRPr="00AE7376">
        <w:rPr>
          <w:rFonts w:ascii="Calibri" w:hAnsi="Calibri" w:cs="Calibri"/>
          <w:sz w:val="24"/>
          <w:szCs w:val="24"/>
        </w:rPr>
        <w:t xml:space="preserve">For </w:t>
      </w:r>
      <w:r w:rsidRPr="00AE7376">
        <w:rPr>
          <w:rFonts w:ascii="Calibri" w:hAnsi="Calibri" w:cs="Calibri"/>
          <w:spacing w:val="2"/>
          <w:sz w:val="24"/>
          <w:szCs w:val="24"/>
        </w:rPr>
        <w:t xml:space="preserve">each </w:t>
      </w:r>
      <w:r w:rsidRPr="00AE7376">
        <w:rPr>
          <w:rFonts w:ascii="Calibri" w:hAnsi="Calibri" w:cs="Calibri"/>
          <w:sz w:val="24"/>
          <w:szCs w:val="24"/>
        </w:rPr>
        <w:t xml:space="preserve">of </w:t>
      </w:r>
      <w:r w:rsidRPr="00AE7376">
        <w:rPr>
          <w:rFonts w:ascii="Calibri" w:hAnsi="Calibri" w:cs="Calibri"/>
          <w:spacing w:val="2"/>
          <w:sz w:val="24"/>
          <w:szCs w:val="24"/>
        </w:rPr>
        <w:t xml:space="preserve">them, what </w:t>
      </w:r>
      <w:r w:rsidRPr="00AE7376">
        <w:rPr>
          <w:rFonts w:ascii="Calibri" w:hAnsi="Calibri" w:cs="Calibri"/>
          <w:sz w:val="24"/>
          <w:szCs w:val="24"/>
        </w:rPr>
        <w:t xml:space="preserve">if any  are  the  </w:t>
      </w:r>
      <w:r w:rsidRPr="00AE7376">
        <w:rPr>
          <w:rFonts w:ascii="Calibri" w:hAnsi="Calibri" w:cs="Calibri"/>
          <w:spacing w:val="2"/>
          <w:sz w:val="24"/>
          <w:szCs w:val="24"/>
        </w:rPr>
        <w:t xml:space="preserve">initiatives that should </w:t>
      </w:r>
      <w:r w:rsidRPr="00AE7376">
        <w:rPr>
          <w:rFonts w:ascii="Calibri" w:hAnsi="Calibri" w:cs="Calibri"/>
          <w:sz w:val="24"/>
          <w:szCs w:val="24"/>
        </w:rPr>
        <w:t xml:space="preserve">be  </w:t>
      </w:r>
      <w:r w:rsidRPr="00AE7376">
        <w:rPr>
          <w:rFonts w:ascii="Calibri" w:hAnsi="Calibri" w:cs="Calibri"/>
          <w:spacing w:val="2"/>
          <w:sz w:val="24"/>
          <w:szCs w:val="24"/>
        </w:rPr>
        <w:t xml:space="preserve">taken </w:t>
      </w:r>
      <w:r w:rsidRPr="00AE7376">
        <w:rPr>
          <w:rFonts w:ascii="Calibri" w:hAnsi="Calibri" w:cs="Calibri"/>
          <w:sz w:val="24"/>
          <w:szCs w:val="24"/>
        </w:rPr>
        <w:t>at  EU level?</w:t>
      </w:r>
    </w:p>
    <w:p w14:paraId="47A873A4" w14:textId="03661F73" w:rsidR="00660780" w:rsidRDefault="00660780" w:rsidP="008E3C6D">
      <w:pPr>
        <w:jc w:val="both"/>
        <w:rPr>
          <w:rFonts w:ascii="Calibri" w:hAnsi="Calibri" w:cs="Calibri"/>
          <w:b/>
        </w:rPr>
      </w:pPr>
    </w:p>
    <w:p w14:paraId="3077F02F" w14:textId="366D1256" w:rsidR="00E044BE" w:rsidRDefault="00E044BE" w:rsidP="00B379CB">
      <w:pPr>
        <w:spacing w:line="276" w:lineRule="auto"/>
        <w:jc w:val="both"/>
        <w:rPr>
          <w:rFonts w:ascii="Calibri" w:hAnsi="Calibri" w:cs="Calibri"/>
          <w:sz w:val="22"/>
          <w:szCs w:val="22"/>
        </w:rPr>
      </w:pPr>
      <w:r>
        <w:rPr>
          <w:rFonts w:ascii="Calibri" w:hAnsi="Calibri" w:cs="Calibri"/>
          <w:sz w:val="22"/>
          <w:szCs w:val="22"/>
        </w:rPr>
        <w:t>The EBA recognises that increased digiti</w:t>
      </w:r>
      <w:r w:rsidR="00F00E20">
        <w:rPr>
          <w:rFonts w:ascii="Calibri" w:hAnsi="Calibri" w:cs="Calibri"/>
          <w:sz w:val="22"/>
          <w:szCs w:val="22"/>
        </w:rPr>
        <w:t>s</w:t>
      </w:r>
      <w:r>
        <w:rPr>
          <w:rFonts w:ascii="Calibri" w:hAnsi="Calibri" w:cs="Calibri"/>
          <w:sz w:val="22"/>
          <w:szCs w:val="22"/>
        </w:rPr>
        <w:t>ation can offer many advantages for consumers as acknowledged</w:t>
      </w:r>
      <w:r>
        <w:rPr>
          <w:rFonts w:ascii="Calibri" w:hAnsi="Calibri" w:cs="Calibri"/>
        </w:rPr>
        <w:t xml:space="preserve"> throughout the EBA’s response. However, as other respondents are likely to identify advantages</w:t>
      </w:r>
      <w:r>
        <w:rPr>
          <w:rFonts w:ascii="Calibri" w:hAnsi="Calibri" w:cs="Calibri"/>
          <w:sz w:val="22"/>
          <w:szCs w:val="22"/>
        </w:rPr>
        <w:t>, in order to help ensure balanced feedback, the EBA will focus on t</w:t>
      </w:r>
      <w:r w:rsidRPr="00660780">
        <w:rPr>
          <w:rFonts w:ascii="Calibri" w:hAnsi="Calibri" w:cs="Calibri"/>
          <w:sz w:val="22"/>
          <w:szCs w:val="22"/>
        </w:rPr>
        <w:t xml:space="preserve">he main challenges consumers </w:t>
      </w:r>
      <w:r>
        <w:rPr>
          <w:rFonts w:ascii="Calibri" w:hAnsi="Calibri" w:cs="Calibri"/>
          <w:sz w:val="22"/>
          <w:szCs w:val="22"/>
        </w:rPr>
        <w:t>(and, in fact, any customers)</w:t>
      </w:r>
      <w:r w:rsidR="00F00E20">
        <w:rPr>
          <w:rFonts w:ascii="Calibri" w:hAnsi="Calibri" w:cs="Calibri"/>
          <w:sz w:val="22"/>
          <w:szCs w:val="22"/>
        </w:rPr>
        <w:t xml:space="preserve"> </w:t>
      </w:r>
      <w:r>
        <w:rPr>
          <w:rFonts w:ascii="Calibri" w:hAnsi="Calibri" w:cs="Calibri"/>
          <w:sz w:val="22"/>
          <w:szCs w:val="22"/>
        </w:rPr>
        <w:t>may face as a result of the digital transformation of the financial sector.</w:t>
      </w:r>
    </w:p>
    <w:p w14:paraId="117DD6C5" w14:textId="77777777" w:rsidR="00E044BE" w:rsidRDefault="00E044BE" w:rsidP="00B379CB">
      <w:pPr>
        <w:spacing w:line="276" w:lineRule="auto"/>
        <w:jc w:val="both"/>
        <w:rPr>
          <w:rFonts w:ascii="Calibri" w:hAnsi="Calibri" w:cs="Calibri"/>
          <w:sz w:val="22"/>
          <w:szCs w:val="22"/>
        </w:rPr>
      </w:pPr>
    </w:p>
    <w:p w14:paraId="23A50A3A" w14:textId="77777777" w:rsidR="00E044BE" w:rsidRPr="00660780" w:rsidRDefault="00E044BE" w:rsidP="00B379CB">
      <w:pPr>
        <w:spacing w:line="276" w:lineRule="auto"/>
        <w:jc w:val="both"/>
        <w:rPr>
          <w:rFonts w:ascii="Calibri" w:hAnsi="Calibri" w:cs="Calibri"/>
          <w:sz w:val="22"/>
          <w:szCs w:val="22"/>
        </w:rPr>
      </w:pPr>
      <w:r>
        <w:rPr>
          <w:rFonts w:ascii="Calibri" w:hAnsi="Calibri" w:cs="Calibri"/>
          <w:sz w:val="22"/>
          <w:szCs w:val="22"/>
        </w:rPr>
        <w:lastRenderedPageBreak/>
        <w:t>By way of main challenges (which are not ranked), the EBA identifies:</w:t>
      </w:r>
      <w:r w:rsidRPr="00660780" w:rsidDel="00704F94">
        <w:rPr>
          <w:rFonts w:ascii="Calibri" w:hAnsi="Calibri" w:cs="Calibri"/>
          <w:sz w:val="22"/>
          <w:szCs w:val="22"/>
        </w:rPr>
        <w:t xml:space="preserve"> </w:t>
      </w:r>
    </w:p>
    <w:p w14:paraId="0D861190" w14:textId="77777777" w:rsidR="00E044BE" w:rsidRPr="00660780" w:rsidRDefault="00E044BE" w:rsidP="00B379CB">
      <w:pPr>
        <w:spacing w:line="276" w:lineRule="auto"/>
        <w:jc w:val="both"/>
        <w:rPr>
          <w:rFonts w:ascii="Calibri" w:hAnsi="Calibri" w:cs="Calibri"/>
          <w:sz w:val="22"/>
          <w:szCs w:val="22"/>
        </w:rPr>
      </w:pPr>
    </w:p>
    <w:p w14:paraId="6B5C8785" w14:textId="75117D7B" w:rsidR="00E044BE" w:rsidRPr="00660780" w:rsidRDefault="00E044BE" w:rsidP="00F00E20">
      <w:pPr>
        <w:pStyle w:val="Default"/>
        <w:numPr>
          <w:ilvl w:val="0"/>
          <w:numId w:val="48"/>
        </w:numPr>
        <w:spacing w:line="276" w:lineRule="auto"/>
        <w:jc w:val="both"/>
        <w:rPr>
          <w:rFonts w:ascii="Calibri" w:hAnsi="Calibri" w:cs="Calibri"/>
        </w:rPr>
      </w:pPr>
      <w:r w:rsidRPr="00660780">
        <w:rPr>
          <w:rFonts w:ascii="Calibri" w:hAnsi="Calibri" w:cs="Calibri"/>
          <w:i/>
          <w:iCs/>
        </w:rPr>
        <w:t xml:space="preserve">Data breaches and cyber-security. </w:t>
      </w:r>
      <w:r>
        <w:rPr>
          <w:rFonts w:ascii="Calibri" w:hAnsi="Calibri" w:cs="Calibri"/>
        </w:rPr>
        <w:t>I</w:t>
      </w:r>
      <w:r w:rsidRPr="00660780">
        <w:rPr>
          <w:rFonts w:ascii="Calibri" w:hAnsi="Calibri" w:cs="Calibri"/>
        </w:rPr>
        <w:t xml:space="preserve">ncreasing digitalisation </w:t>
      </w:r>
      <w:r>
        <w:rPr>
          <w:rFonts w:ascii="Calibri" w:hAnsi="Calibri" w:cs="Calibri"/>
        </w:rPr>
        <w:t xml:space="preserve">can facilitate easy access to financial services. However, </w:t>
      </w:r>
      <w:r w:rsidRPr="00660780">
        <w:rPr>
          <w:rFonts w:ascii="Calibri" w:hAnsi="Calibri" w:cs="Calibri"/>
        </w:rPr>
        <w:t xml:space="preserve">consumers </w:t>
      </w:r>
      <w:r>
        <w:rPr>
          <w:rFonts w:ascii="Calibri" w:hAnsi="Calibri" w:cs="Calibri"/>
        </w:rPr>
        <w:t>may be</w:t>
      </w:r>
      <w:r w:rsidRPr="00660780">
        <w:rPr>
          <w:rFonts w:ascii="Calibri" w:hAnsi="Calibri" w:cs="Calibri"/>
        </w:rPr>
        <w:t xml:space="preserve"> exposed to newer risks in comparison with traditional </w:t>
      </w:r>
      <w:r>
        <w:rPr>
          <w:rFonts w:ascii="Calibri" w:hAnsi="Calibri" w:cs="Calibri"/>
        </w:rPr>
        <w:t>means of access</w:t>
      </w:r>
      <w:r w:rsidRPr="00660780">
        <w:rPr>
          <w:rFonts w:ascii="Calibri" w:hAnsi="Calibri" w:cs="Calibri"/>
        </w:rPr>
        <w:t xml:space="preserve">, including </w:t>
      </w:r>
      <w:r>
        <w:rPr>
          <w:rFonts w:ascii="Calibri" w:hAnsi="Calibri" w:cs="Calibri"/>
        </w:rPr>
        <w:t>increased</w:t>
      </w:r>
      <w:r w:rsidRPr="00660780">
        <w:rPr>
          <w:rFonts w:ascii="Calibri" w:hAnsi="Calibri" w:cs="Calibri"/>
        </w:rPr>
        <w:t xml:space="preserve"> risk of </w:t>
      </w:r>
      <w:r>
        <w:rPr>
          <w:rFonts w:ascii="Calibri" w:hAnsi="Calibri" w:cs="Calibri"/>
        </w:rPr>
        <w:t xml:space="preserve">cyber-crime, fraud, </w:t>
      </w:r>
      <w:r w:rsidRPr="00660780">
        <w:rPr>
          <w:rFonts w:ascii="Calibri" w:hAnsi="Calibri" w:cs="Calibri"/>
        </w:rPr>
        <w:t xml:space="preserve">misuse </w:t>
      </w:r>
      <w:r>
        <w:rPr>
          <w:rFonts w:ascii="Calibri" w:hAnsi="Calibri" w:cs="Calibri"/>
        </w:rPr>
        <w:t xml:space="preserve">or theft </w:t>
      </w:r>
      <w:r w:rsidRPr="00660780">
        <w:rPr>
          <w:rFonts w:ascii="Calibri" w:hAnsi="Calibri" w:cs="Calibri"/>
        </w:rPr>
        <w:t>of data</w:t>
      </w:r>
      <w:r>
        <w:rPr>
          <w:rFonts w:ascii="Calibri" w:hAnsi="Calibri" w:cs="Calibri"/>
        </w:rPr>
        <w:t xml:space="preserve"> and disruptions to service provision as a result of </w:t>
      </w:r>
      <w:r w:rsidR="00F00E20">
        <w:rPr>
          <w:rFonts w:ascii="Calibri" w:hAnsi="Calibri" w:cs="Calibri"/>
        </w:rPr>
        <w:t>cyber-attacks</w:t>
      </w:r>
      <w:r w:rsidRPr="00660780">
        <w:rPr>
          <w:rFonts w:ascii="Calibri" w:hAnsi="Calibri" w:cs="Calibri"/>
        </w:rPr>
        <w:t xml:space="preserve">. </w:t>
      </w:r>
      <w:r>
        <w:rPr>
          <w:rFonts w:ascii="Calibri" w:hAnsi="Calibri" w:cs="Calibri"/>
        </w:rPr>
        <w:t>These risks</w:t>
      </w:r>
      <w:r w:rsidRPr="00660780">
        <w:rPr>
          <w:rFonts w:ascii="Calibri" w:hAnsi="Calibri" w:cs="Calibri"/>
        </w:rPr>
        <w:t xml:space="preserve"> may emerge if stringent security systems are not in place</w:t>
      </w:r>
      <w:r>
        <w:rPr>
          <w:rFonts w:ascii="Calibri" w:hAnsi="Calibri" w:cs="Calibri"/>
        </w:rPr>
        <w:t>.</w:t>
      </w:r>
      <w:r w:rsidRPr="00660780">
        <w:rPr>
          <w:rFonts w:ascii="Calibri" w:hAnsi="Calibri" w:cs="Calibri"/>
        </w:rPr>
        <w:t xml:space="preserve"> </w:t>
      </w:r>
    </w:p>
    <w:p w14:paraId="57C7DAB9" w14:textId="77777777" w:rsidR="00E044BE" w:rsidRPr="00663BB6" w:rsidRDefault="00E044BE" w:rsidP="00B379CB">
      <w:pPr>
        <w:spacing w:line="276" w:lineRule="auto"/>
        <w:jc w:val="both"/>
        <w:rPr>
          <w:rFonts w:ascii="Calibri" w:hAnsi="Calibri"/>
          <w:sz w:val="22"/>
        </w:rPr>
      </w:pPr>
    </w:p>
    <w:p w14:paraId="0BF495AD" w14:textId="57ED894D" w:rsidR="00E044BE" w:rsidRPr="00F00E20" w:rsidRDefault="00E044BE" w:rsidP="00F00E20">
      <w:pPr>
        <w:pStyle w:val="Default"/>
        <w:numPr>
          <w:ilvl w:val="0"/>
          <w:numId w:val="27"/>
        </w:numPr>
        <w:spacing w:line="276" w:lineRule="auto"/>
        <w:jc w:val="both"/>
        <w:rPr>
          <w:rFonts w:ascii="Calibri" w:hAnsi="Calibri" w:cs="Calibri"/>
          <w:iCs/>
        </w:rPr>
      </w:pPr>
      <w:r>
        <w:rPr>
          <w:rFonts w:ascii="Calibri" w:hAnsi="Calibri" w:cs="Calibri"/>
          <w:i/>
          <w:iCs/>
        </w:rPr>
        <w:t>Financial exclusion</w:t>
      </w:r>
      <w:r w:rsidR="00F00E20">
        <w:rPr>
          <w:rFonts w:ascii="Calibri" w:hAnsi="Calibri" w:cs="Calibri"/>
          <w:i/>
          <w:iCs/>
        </w:rPr>
        <w:t>.</w:t>
      </w:r>
      <w:r w:rsidRPr="00BD7FFD">
        <w:rPr>
          <w:rFonts w:ascii="Calibri" w:hAnsi="Calibri" w:cs="Calibri"/>
          <w:i/>
          <w:iCs/>
        </w:rPr>
        <w:t xml:space="preserve"> </w:t>
      </w:r>
      <w:r w:rsidRPr="00F00E20">
        <w:rPr>
          <w:rFonts w:ascii="Calibri" w:hAnsi="Calibri" w:cs="Calibri"/>
          <w:iCs/>
        </w:rPr>
        <w:t xml:space="preserve">As explained in the ROFIEG report, </w:t>
      </w:r>
      <w:r w:rsidRPr="00F00E20">
        <w:rPr>
          <w:rFonts w:ascii="Calibri" w:hAnsi="Calibri" w:cs="Calibri"/>
        </w:rPr>
        <w:t xml:space="preserve">although innovation in the financial sector is typically viewed as contributing a net positive towards addressing the issue of financial exclusion, it is important to remain mindful of risks that may exacerbate exclusion. </w:t>
      </w:r>
    </w:p>
    <w:p w14:paraId="411EBDBA" w14:textId="77777777" w:rsidR="00E044BE" w:rsidRPr="00443DD3" w:rsidRDefault="00E044BE" w:rsidP="00B379CB">
      <w:pPr>
        <w:pStyle w:val="Default"/>
        <w:spacing w:line="276" w:lineRule="auto"/>
        <w:ind w:left="720"/>
        <w:jc w:val="both"/>
        <w:rPr>
          <w:rFonts w:ascii="Calibri" w:hAnsi="Calibri" w:cs="Calibri"/>
        </w:rPr>
      </w:pPr>
    </w:p>
    <w:p w14:paraId="53616508" w14:textId="77777777" w:rsidR="00E044BE" w:rsidRPr="00443DD3" w:rsidRDefault="00E044BE" w:rsidP="00B379CB">
      <w:pPr>
        <w:pStyle w:val="Default"/>
        <w:spacing w:line="276" w:lineRule="auto"/>
        <w:ind w:left="720"/>
        <w:jc w:val="both"/>
        <w:rPr>
          <w:rFonts w:ascii="Calibri" w:hAnsi="Calibri" w:cs="Calibri"/>
        </w:rPr>
      </w:pPr>
      <w:r w:rsidRPr="00443DD3">
        <w:rPr>
          <w:rFonts w:ascii="Calibri" w:hAnsi="Calibri" w:cs="Calibri"/>
        </w:rPr>
        <w:t xml:space="preserve">First, not all consumers have access to electronic devices such as computers and smart phones. As the financial </w:t>
      </w:r>
      <w:r>
        <w:rPr>
          <w:rFonts w:ascii="Calibri" w:hAnsi="Calibri" w:cs="Calibri"/>
        </w:rPr>
        <w:t>sector</w:t>
      </w:r>
      <w:r w:rsidRPr="00443DD3">
        <w:rPr>
          <w:rFonts w:ascii="Calibri" w:hAnsi="Calibri" w:cs="Calibri"/>
        </w:rPr>
        <w:t xml:space="preserve"> becomes increasingly digitalised, efforts </w:t>
      </w:r>
      <w:r>
        <w:rPr>
          <w:rFonts w:ascii="Calibri" w:hAnsi="Calibri" w:cs="Calibri"/>
        </w:rPr>
        <w:t xml:space="preserve">are needed </w:t>
      </w:r>
      <w:r w:rsidRPr="00443DD3">
        <w:rPr>
          <w:rFonts w:ascii="Calibri" w:hAnsi="Calibri" w:cs="Calibri"/>
        </w:rPr>
        <w:t>to promote digital inclusion in parallel with efforts to provide other means to access financial services for those who may not have capabilities to use the internet or card- or mobile-based payment solutions. Second, n</w:t>
      </w:r>
      <w:r w:rsidRPr="00443DD3">
        <w:rPr>
          <w:rFonts w:ascii="Calibri" w:hAnsi="Calibri" w:cs="Calibri"/>
          <w:iCs/>
        </w:rPr>
        <w:t>ew technologies, in particular AI, machine learning and Big Data offer the potential for a broader, deeper and faster analysis of large data sets, including “soft data” (e.g. harvested from social media) relevant to the assessment of</w:t>
      </w:r>
      <w:r>
        <w:rPr>
          <w:rFonts w:ascii="Calibri" w:hAnsi="Calibri" w:cs="Calibri"/>
          <w:iCs/>
        </w:rPr>
        <w:t>, for example,</w:t>
      </w:r>
      <w:r w:rsidRPr="00443DD3">
        <w:rPr>
          <w:rFonts w:ascii="Calibri" w:hAnsi="Calibri" w:cs="Calibri"/>
          <w:iCs/>
        </w:rPr>
        <w:t xml:space="preserve"> creditworthiness.</w:t>
      </w:r>
      <w:r>
        <w:rPr>
          <w:rFonts w:ascii="Calibri" w:hAnsi="Calibri" w:cs="Calibri"/>
          <w:iCs/>
        </w:rPr>
        <w:t xml:space="preserve"> It will be important to ensure the appropriate oversight and regulation of applications of technology to ensure ethical use of data and avoidance of bias as further explained in the EBA’s report on Big Data and advanced analytics.</w:t>
      </w:r>
      <w:r>
        <w:rPr>
          <w:rStyle w:val="FootnoteReference"/>
          <w:rFonts w:ascii="Calibri" w:hAnsi="Calibri" w:cs="Calibri"/>
          <w:iCs/>
        </w:rPr>
        <w:footnoteReference w:id="7"/>
      </w:r>
    </w:p>
    <w:p w14:paraId="5A6DC34A" w14:textId="77777777" w:rsidR="00E044BE" w:rsidRDefault="00E044BE" w:rsidP="00B379CB">
      <w:pPr>
        <w:pStyle w:val="Default"/>
        <w:spacing w:line="276" w:lineRule="auto"/>
        <w:ind w:left="720"/>
        <w:jc w:val="both"/>
        <w:rPr>
          <w:rFonts w:ascii="Calibri" w:hAnsi="Calibri" w:cs="Calibri"/>
          <w:iCs/>
        </w:rPr>
      </w:pPr>
    </w:p>
    <w:p w14:paraId="3FE9D07D" w14:textId="77777777" w:rsidR="00E044BE" w:rsidRPr="00660780" w:rsidRDefault="00E044BE" w:rsidP="00B379CB">
      <w:pPr>
        <w:pStyle w:val="Default"/>
        <w:spacing w:line="276" w:lineRule="auto"/>
        <w:ind w:left="720"/>
        <w:jc w:val="both"/>
        <w:rPr>
          <w:rFonts w:ascii="Calibri" w:hAnsi="Calibri" w:cs="Calibri"/>
          <w:iCs/>
        </w:rPr>
      </w:pPr>
      <w:r>
        <w:rPr>
          <w:rFonts w:ascii="Calibri" w:hAnsi="Calibri" w:cs="Calibri"/>
          <w:iCs/>
        </w:rPr>
        <w:t>Additionally, t</w:t>
      </w:r>
      <w:r w:rsidRPr="00DC481C">
        <w:rPr>
          <w:rFonts w:ascii="Calibri" w:hAnsi="Calibri" w:cs="Calibri"/>
          <w:iCs/>
        </w:rPr>
        <w:t xml:space="preserve">he EBA is of the view that financial education and </w:t>
      </w:r>
      <w:r>
        <w:rPr>
          <w:rFonts w:ascii="Calibri" w:hAnsi="Calibri" w:cs="Calibri"/>
          <w:iCs/>
        </w:rPr>
        <w:t xml:space="preserve">digital and </w:t>
      </w:r>
      <w:r w:rsidRPr="00DC481C">
        <w:rPr>
          <w:rFonts w:ascii="Calibri" w:hAnsi="Calibri" w:cs="Calibri"/>
          <w:iCs/>
        </w:rPr>
        <w:t xml:space="preserve">financial literacy should be a complementary tool to any regulatory policy </w:t>
      </w:r>
      <w:r>
        <w:rPr>
          <w:rFonts w:ascii="Calibri" w:hAnsi="Calibri" w:cs="Calibri"/>
          <w:iCs/>
        </w:rPr>
        <w:t>on which see further the EBA’s response to Question 24</w:t>
      </w:r>
      <w:r w:rsidRPr="00660780">
        <w:rPr>
          <w:rFonts w:ascii="Calibri" w:hAnsi="Calibri" w:cs="Calibri"/>
          <w:iCs/>
        </w:rPr>
        <w:t xml:space="preserve">. </w:t>
      </w:r>
    </w:p>
    <w:p w14:paraId="7A09FBDC" w14:textId="77777777" w:rsidR="00E044BE" w:rsidRPr="00660780" w:rsidRDefault="00E044BE" w:rsidP="00B379CB">
      <w:pPr>
        <w:pStyle w:val="Default"/>
        <w:spacing w:line="276" w:lineRule="auto"/>
        <w:jc w:val="both"/>
        <w:rPr>
          <w:rFonts w:ascii="Calibri" w:hAnsi="Calibri" w:cs="Calibri"/>
          <w:iCs/>
        </w:rPr>
      </w:pPr>
    </w:p>
    <w:p w14:paraId="6C10252C" w14:textId="31687AA5" w:rsidR="00E044BE" w:rsidRDefault="00E044BE" w:rsidP="00B379CB">
      <w:pPr>
        <w:pStyle w:val="Defaul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Calibri" w:hAnsi="Calibri" w:cs="Calibri"/>
          <w:i/>
          <w:iCs/>
        </w:rPr>
      </w:pPr>
      <w:r w:rsidRPr="00DC481C">
        <w:rPr>
          <w:rFonts w:ascii="Calibri" w:hAnsi="Calibri" w:cs="Calibri"/>
          <w:i/>
          <w:iCs/>
        </w:rPr>
        <w:t xml:space="preserve">Transparency and disclosure of information. </w:t>
      </w:r>
      <w:r w:rsidRPr="00DC481C">
        <w:rPr>
          <w:rFonts w:ascii="Calibri" w:hAnsi="Calibri" w:cs="Calibri"/>
          <w:iCs/>
        </w:rPr>
        <w:t>Consumer detriment may arise from inadequate</w:t>
      </w:r>
      <w:r>
        <w:rPr>
          <w:rFonts w:ascii="Calibri" w:hAnsi="Calibri" w:cs="Calibri"/>
          <w:iCs/>
        </w:rPr>
        <w:t>, incomplete</w:t>
      </w:r>
      <w:r w:rsidR="00F00E20">
        <w:rPr>
          <w:rFonts w:ascii="Calibri" w:hAnsi="Calibri" w:cs="Calibri"/>
          <w:iCs/>
        </w:rPr>
        <w:t xml:space="preserve"> and non-suitable formats for</w:t>
      </w:r>
      <w:r w:rsidRPr="00DC481C">
        <w:rPr>
          <w:rFonts w:ascii="Calibri" w:hAnsi="Calibri" w:cs="Calibri"/>
          <w:iCs/>
        </w:rPr>
        <w:t xml:space="preserve"> the provision of information to consumers through digital</w:t>
      </w:r>
      <w:r w:rsidR="00F00E20">
        <w:rPr>
          <w:rFonts w:ascii="Calibri" w:hAnsi="Calibri" w:cs="Calibri"/>
          <w:iCs/>
        </w:rPr>
        <w:t xml:space="preserve"> </w:t>
      </w:r>
      <w:r w:rsidRPr="00DC481C">
        <w:rPr>
          <w:rFonts w:ascii="Calibri" w:hAnsi="Calibri" w:cs="Calibri"/>
          <w:iCs/>
        </w:rPr>
        <w:t>channels, resulting in consumers</w:t>
      </w:r>
      <w:r>
        <w:rPr>
          <w:rFonts w:ascii="Calibri" w:hAnsi="Calibri" w:cs="Calibri"/>
          <w:iCs/>
        </w:rPr>
        <w:t>’</w:t>
      </w:r>
      <w:r w:rsidRPr="00DC481C">
        <w:rPr>
          <w:rFonts w:ascii="Calibri" w:hAnsi="Calibri" w:cs="Calibri"/>
          <w:iCs/>
        </w:rPr>
        <w:t xml:space="preserve"> informed consent</w:t>
      </w:r>
      <w:r>
        <w:rPr>
          <w:rFonts w:ascii="Calibri" w:hAnsi="Calibri" w:cs="Calibri"/>
          <w:iCs/>
        </w:rPr>
        <w:t xml:space="preserve"> not being guaranteed</w:t>
      </w:r>
      <w:r w:rsidRPr="00DC481C">
        <w:rPr>
          <w:rFonts w:ascii="Calibri" w:hAnsi="Calibri" w:cs="Calibri"/>
          <w:iCs/>
        </w:rPr>
        <w:t>.</w:t>
      </w:r>
      <w:r w:rsidRPr="00DC481C" w:rsidDel="00A93342">
        <w:rPr>
          <w:rFonts w:ascii="Calibri" w:hAnsi="Calibri" w:cs="Calibri"/>
          <w:iCs/>
        </w:rPr>
        <w:t xml:space="preserve"> </w:t>
      </w:r>
      <w:r w:rsidRPr="00DC481C">
        <w:rPr>
          <w:rFonts w:ascii="Calibri" w:hAnsi="Calibri" w:cs="Calibri"/>
          <w:iCs/>
        </w:rPr>
        <w:t xml:space="preserve">The disclosure of pre-contractual and contractual information to consumers buying financial services through digital means should be adapted in order to focus much more on the presentational aspects </w:t>
      </w:r>
      <w:r>
        <w:rPr>
          <w:rFonts w:ascii="Calibri" w:hAnsi="Calibri" w:cs="Calibri"/>
          <w:iCs/>
        </w:rPr>
        <w:t>to ensure effective transmission of information via</w:t>
      </w:r>
      <w:r w:rsidR="00F00E20">
        <w:rPr>
          <w:rFonts w:ascii="Calibri" w:hAnsi="Calibri" w:cs="Calibri"/>
          <w:iCs/>
        </w:rPr>
        <w:t xml:space="preserve"> these</w:t>
      </w:r>
      <w:r w:rsidRPr="00DC481C">
        <w:rPr>
          <w:rFonts w:ascii="Calibri" w:hAnsi="Calibri" w:cs="Calibri"/>
          <w:iCs/>
        </w:rPr>
        <w:t xml:space="preserve"> channels. More specifically, the form, prominence and timing of disclosures should be adapted to the specific product or service, the digital channel(s), and the consumer’s device</w:t>
      </w:r>
      <w:r w:rsidRPr="00DC481C">
        <w:rPr>
          <w:rFonts w:ascii="Calibri" w:hAnsi="Calibri" w:cs="Calibri"/>
          <w:i/>
          <w:iCs/>
        </w:rPr>
        <w:t xml:space="preserve">. </w:t>
      </w:r>
    </w:p>
    <w:p w14:paraId="426F0BBC" w14:textId="77777777" w:rsidR="00E044BE" w:rsidRPr="00DC481C" w:rsidRDefault="00E044BE" w:rsidP="00B379CB">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720"/>
        <w:jc w:val="both"/>
        <w:rPr>
          <w:rFonts w:ascii="Calibri" w:hAnsi="Calibri" w:cs="Calibri"/>
          <w:i/>
          <w:iCs/>
        </w:rPr>
      </w:pPr>
    </w:p>
    <w:p w14:paraId="10AE39E9" w14:textId="3699FDE8" w:rsidR="00E044BE" w:rsidRPr="00660780" w:rsidRDefault="00E044BE" w:rsidP="00E044BE">
      <w:pPr>
        <w:pStyle w:val="Default"/>
        <w:spacing w:line="276" w:lineRule="auto"/>
        <w:ind w:left="720"/>
        <w:jc w:val="both"/>
        <w:rPr>
          <w:rFonts w:ascii="Calibri" w:hAnsi="Calibri" w:cs="Calibri"/>
          <w:iCs/>
        </w:rPr>
      </w:pPr>
      <w:r w:rsidRPr="00660780">
        <w:rPr>
          <w:rFonts w:ascii="Calibri" w:hAnsi="Calibri" w:cs="Calibri"/>
          <w:iCs/>
        </w:rPr>
        <w:t xml:space="preserve">The </w:t>
      </w:r>
      <w:r>
        <w:rPr>
          <w:rFonts w:ascii="Calibri" w:hAnsi="Calibri" w:cs="Calibri"/>
          <w:iCs/>
        </w:rPr>
        <w:t xml:space="preserve">preliminary approach to this topic is reflected in the </w:t>
      </w:r>
      <w:r w:rsidRPr="00660780">
        <w:rPr>
          <w:rFonts w:ascii="Calibri" w:hAnsi="Calibri" w:cs="Calibri"/>
          <w:iCs/>
        </w:rPr>
        <w:t>EBA</w:t>
      </w:r>
      <w:r w:rsidR="00F00E20">
        <w:rPr>
          <w:rFonts w:ascii="Calibri" w:hAnsi="Calibri" w:cs="Calibri"/>
          <w:iCs/>
        </w:rPr>
        <w:t>’s</w:t>
      </w:r>
      <w:r w:rsidRPr="00660780">
        <w:rPr>
          <w:rFonts w:ascii="Calibri" w:hAnsi="Calibri" w:cs="Calibri"/>
          <w:iCs/>
        </w:rPr>
        <w:t xml:space="preserve"> </w:t>
      </w:r>
      <w:hyperlink r:id="rId14" w:history="1">
        <w:r w:rsidRPr="00347630">
          <w:rPr>
            <w:rStyle w:val="Hyperlink"/>
            <w:rFonts w:ascii="Calibri" w:eastAsia="Arial Unicode MS" w:hAnsi="Calibri" w:cs="Calibri"/>
            <w:color w:val="0070C0"/>
            <w:shd w:val="clear" w:color="auto" w:fill="FFFFFF"/>
            <w:lang w:val="en-US" w:eastAsia="en-US"/>
          </w:rPr>
          <w:t>Opinion</w:t>
        </w:r>
        <w:r w:rsidRPr="00347630">
          <w:rPr>
            <w:rStyle w:val="Hyperlink"/>
            <w:rFonts w:ascii="Calibri" w:hAnsi="Calibri" w:cs="Calibri"/>
            <w:iCs/>
            <w:color w:val="0070C0"/>
          </w:rPr>
          <w:t xml:space="preserve"> on disclosure to consumers of banking services through digital means</w:t>
        </w:r>
      </w:hyperlink>
      <w:r>
        <w:rPr>
          <w:rFonts w:ascii="Calibri" w:hAnsi="Calibri" w:cs="Calibri"/>
          <w:iCs/>
        </w:rPr>
        <w:t xml:space="preserve"> published</w:t>
      </w:r>
      <w:r w:rsidRPr="00660780">
        <w:rPr>
          <w:rFonts w:ascii="Calibri" w:hAnsi="Calibri" w:cs="Calibri"/>
          <w:iCs/>
        </w:rPr>
        <w:t xml:space="preserve"> in October 2019.</w:t>
      </w:r>
      <w:r w:rsidRPr="005A5476">
        <w:rPr>
          <w:rFonts w:ascii="Calibri" w:hAnsi="Calibri" w:cs="Calibri"/>
          <w:iCs/>
        </w:rPr>
        <w:t xml:space="preserve"> </w:t>
      </w:r>
      <w:r>
        <w:rPr>
          <w:rFonts w:ascii="Calibri" w:hAnsi="Calibri" w:cs="Calibri"/>
          <w:iCs/>
        </w:rPr>
        <w:t>However, the EBA stands ready to work with the</w:t>
      </w:r>
      <w:r w:rsidR="00F00E20">
        <w:rPr>
          <w:rFonts w:ascii="Calibri" w:hAnsi="Calibri" w:cs="Calibri"/>
          <w:iCs/>
        </w:rPr>
        <w:t xml:space="preserve"> European</w:t>
      </w:r>
      <w:r>
        <w:rPr>
          <w:rFonts w:ascii="Calibri" w:hAnsi="Calibri" w:cs="Calibri"/>
          <w:iCs/>
        </w:rPr>
        <w:t xml:space="preserve"> Commission to strengthen supervisory </w:t>
      </w:r>
      <w:r>
        <w:rPr>
          <w:rFonts w:ascii="Calibri" w:hAnsi="Calibri" w:cs="Calibri"/>
          <w:iCs/>
        </w:rPr>
        <w:lastRenderedPageBreak/>
        <w:t xml:space="preserve">convergence in this field and thus help enhance the functioning of the </w:t>
      </w:r>
      <w:r w:rsidR="00401D12">
        <w:rPr>
          <w:rFonts w:ascii="Calibri" w:hAnsi="Calibri" w:cs="Calibri"/>
          <w:iCs/>
        </w:rPr>
        <w:t>EU (digital)</w:t>
      </w:r>
      <w:r>
        <w:rPr>
          <w:rFonts w:ascii="Calibri" w:hAnsi="Calibri" w:cs="Calibri"/>
          <w:iCs/>
        </w:rPr>
        <w:t xml:space="preserve"> Single Market.</w:t>
      </w:r>
      <w:r w:rsidRPr="00660780" w:rsidDel="004951F2">
        <w:rPr>
          <w:rFonts w:ascii="Calibri" w:hAnsi="Calibri" w:cs="Calibri"/>
          <w:iCs/>
        </w:rPr>
        <w:t xml:space="preserve"> </w:t>
      </w:r>
    </w:p>
    <w:p w14:paraId="06F04B55" w14:textId="77777777" w:rsidR="00E044BE" w:rsidRPr="00660780" w:rsidRDefault="00E044BE" w:rsidP="00E044BE">
      <w:pPr>
        <w:pStyle w:val="Default"/>
        <w:spacing w:line="276" w:lineRule="auto"/>
        <w:ind w:left="720"/>
        <w:jc w:val="both"/>
        <w:rPr>
          <w:rFonts w:ascii="Calibri" w:hAnsi="Calibri" w:cs="Calibri"/>
        </w:rPr>
      </w:pPr>
    </w:p>
    <w:p w14:paraId="4B86AB62" w14:textId="0C0019AC" w:rsidR="00E044BE" w:rsidRPr="00660780" w:rsidRDefault="00E044BE" w:rsidP="00E044BE">
      <w:pPr>
        <w:pStyle w:val="Defaul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Calibri" w:hAnsi="Calibri" w:cs="Calibri"/>
        </w:rPr>
      </w:pPr>
      <w:r w:rsidRPr="00660780">
        <w:rPr>
          <w:rFonts w:ascii="Calibri" w:hAnsi="Calibri" w:cs="Calibri"/>
          <w:i/>
          <w:iCs/>
        </w:rPr>
        <w:t>Lack of definition of cross-border provision of financial services.</w:t>
      </w:r>
      <w:r w:rsidRPr="00660780">
        <w:rPr>
          <w:rFonts w:ascii="Calibri" w:hAnsi="Calibri" w:cs="Calibri"/>
          <w:iCs/>
        </w:rPr>
        <w:t xml:space="preserve"> EU legislation lacks clear criteria for determining the location </w:t>
      </w:r>
      <w:r w:rsidR="00401D12">
        <w:rPr>
          <w:rFonts w:ascii="Calibri" w:hAnsi="Calibri" w:cs="Calibri"/>
          <w:iCs/>
        </w:rPr>
        <w:t xml:space="preserve">of </w:t>
      </w:r>
      <w:r w:rsidRPr="00660780">
        <w:rPr>
          <w:rFonts w:ascii="Calibri" w:hAnsi="Calibri" w:cs="Calibri"/>
          <w:iCs/>
        </w:rPr>
        <w:t xml:space="preserve">where </w:t>
      </w:r>
      <w:r>
        <w:rPr>
          <w:rFonts w:ascii="Calibri" w:hAnsi="Calibri" w:cs="Calibri"/>
          <w:iCs/>
        </w:rPr>
        <w:t>a</w:t>
      </w:r>
      <w:r w:rsidRPr="00660780">
        <w:rPr>
          <w:rFonts w:ascii="Calibri" w:hAnsi="Calibri" w:cs="Calibri"/>
          <w:iCs/>
        </w:rPr>
        <w:t xml:space="preserve"> service is </w:t>
      </w:r>
      <w:r>
        <w:rPr>
          <w:rFonts w:ascii="Calibri" w:hAnsi="Calibri" w:cs="Calibri"/>
          <w:iCs/>
        </w:rPr>
        <w:t xml:space="preserve">being </w:t>
      </w:r>
      <w:r w:rsidRPr="00660780">
        <w:rPr>
          <w:rFonts w:ascii="Calibri" w:hAnsi="Calibri" w:cs="Calibri"/>
          <w:iCs/>
        </w:rPr>
        <w:t xml:space="preserve">provided, which is key to determining whether there is cross-border provision of services and whether it falls under the freedom to provide services </w:t>
      </w:r>
      <w:r>
        <w:rPr>
          <w:rFonts w:ascii="Calibri" w:hAnsi="Calibri" w:cs="Calibri"/>
          <w:iCs/>
        </w:rPr>
        <w:t>or</w:t>
      </w:r>
      <w:r w:rsidRPr="00660780">
        <w:rPr>
          <w:rFonts w:ascii="Calibri" w:hAnsi="Calibri" w:cs="Calibri"/>
          <w:iCs/>
        </w:rPr>
        <w:t xml:space="preserve"> the right of establishment. This lack of clear criteria is even more problematic when services and products are provided through digital </w:t>
      </w:r>
      <w:r w:rsidRPr="00DC481C">
        <w:rPr>
          <w:rFonts w:ascii="Calibri" w:hAnsi="Calibri" w:cs="Calibri"/>
          <w:iCs/>
        </w:rPr>
        <w:t xml:space="preserve">means. </w:t>
      </w:r>
      <w:r>
        <w:rPr>
          <w:rFonts w:ascii="Calibri" w:hAnsi="Calibri" w:cs="Calibri"/>
          <w:iCs/>
        </w:rPr>
        <w:t>As a result,</w:t>
      </w:r>
      <w:r w:rsidRPr="00660780">
        <w:rPr>
          <w:rFonts w:ascii="Calibri" w:hAnsi="Calibri" w:cs="Calibri"/>
          <w:iCs/>
        </w:rPr>
        <w:t xml:space="preserve"> consumers </w:t>
      </w:r>
      <w:r>
        <w:rPr>
          <w:rFonts w:ascii="Calibri" w:hAnsi="Calibri" w:cs="Calibri"/>
          <w:iCs/>
        </w:rPr>
        <w:t xml:space="preserve">may </w:t>
      </w:r>
      <w:r w:rsidRPr="00660780">
        <w:rPr>
          <w:rFonts w:ascii="Calibri" w:hAnsi="Calibri" w:cs="Calibri"/>
          <w:iCs/>
        </w:rPr>
        <w:t>not be aware of</w:t>
      </w:r>
      <w:r>
        <w:rPr>
          <w:rFonts w:ascii="Calibri" w:hAnsi="Calibri" w:cs="Calibri"/>
          <w:iCs/>
        </w:rPr>
        <w:t>, or may be confused about, their applicable rights and protections</w:t>
      </w:r>
      <w:r w:rsidRPr="00660780">
        <w:rPr>
          <w:rFonts w:ascii="Calibri" w:hAnsi="Calibri" w:cs="Calibri"/>
          <w:iCs/>
        </w:rPr>
        <w:t>.</w:t>
      </w:r>
      <w:r>
        <w:rPr>
          <w:rFonts w:ascii="Calibri" w:hAnsi="Calibri" w:cs="Calibri"/>
          <w:iCs/>
        </w:rPr>
        <w:t xml:space="preserve"> </w:t>
      </w:r>
    </w:p>
    <w:p w14:paraId="0869AE97" w14:textId="77777777" w:rsidR="00E044BE" w:rsidRPr="00660780" w:rsidRDefault="00E044BE" w:rsidP="00E044BE">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720"/>
        <w:jc w:val="both"/>
        <w:rPr>
          <w:rFonts w:ascii="Calibri" w:hAnsi="Calibri" w:cs="Calibri"/>
        </w:rPr>
      </w:pPr>
    </w:p>
    <w:p w14:paraId="19036491" w14:textId="35DD9CE2" w:rsidR="00AE7376" w:rsidRPr="00AE7376" w:rsidRDefault="00E044BE" w:rsidP="00E044BE">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720"/>
        <w:jc w:val="both"/>
        <w:rPr>
          <w:rFonts w:ascii="Calibri" w:hAnsi="Calibri" w:cs="Calibri"/>
        </w:rPr>
      </w:pPr>
      <w:r w:rsidRPr="00660780">
        <w:rPr>
          <w:rFonts w:ascii="Calibri" w:hAnsi="Calibri" w:cs="Calibri"/>
        </w:rPr>
        <w:t xml:space="preserve">In July 2019, the EBA, together with the other ESAs, published a </w:t>
      </w:r>
      <w:hyperlink r:id="rId15" w:history="1">
        <w:r w:rsidRPr="00663BB6">
          <w:rPr>
            <w:rStyle w:val="Hyperlink"/>
            <w:rFonts w:ascii="Calibri" w:hAnsi="Calibri"/>
            <w:color w:val="0070C0"/>
          </w:rPr>
          <w:t>Joint Report</w:t>
        </w:r>
        <w:r w:rsidRPr="00CF4D6A">
          <w:rPr>
            <w:rStyle w:val="Hyperlink"/>
            <w:rFonts w:ascii="Calibri" w:hAnsi="Calibri" w:cs="Calibri"/>
            <w:color w:val="0070C0"/>
          </w:rPr>
          <w:t xml:space="preserve"> on cross-border supervision of retail financial services</w:t>
        </w:r>
      </w:hyperlink>
      <w:r w:rsidR="008F04D5" w:rsidRPr="008F04D5">
        <w:rPr>
          <w:rStyle w:val="Hyperlink"/>
          <w:rFonts w:ascii="Calibri" w:hAnsi="Calibri" w:cs="Calibri"/>
          <w:color w:val="000000" w:themeColor="text1"/>
          <w:u w:val="none"/>
        </w:rPr>
        <w:t>, which</w:t>
      </w:r>
      <w:r w:rsidRPr="008F04D5">
        <w:rPr>
          <w:rStyle w:val="Hyperlink"/>
          <w:rFonts w:ascii="Calibri" w:hAnsi="Calibri" w:cs="Calibri"/>
          <w:color w:val="000000" w:themeColor="text1"/>
          <w:u w:val="none"/>
        </w:rPr>
        <w:t xml:space="preserve"> highlighted the issues</w:t>
      </w:r>
      <w:r>
        <w:rPr>
          <w:rFonts w:ascii="Calibri" w:hAnsi="Calibri" w:cs="Calibri"/>
        </w:rPr>
        <w:t xml:space="preserve"> and</w:t>
      </w:r>
      <w:r w:rsidRPr="00660780">
        <w:rPr>
          <w:rFonts w:ascii="Calibri" w:hAnsi="Calibri" w:cs="Calibri"/>
        </w:rPr>
        <w:t xml:space="preserve"> encouraged the EU co-legislators to provide more clarity, especially in the light of the growing phenomenon of the digitalisation of financial services</w:t>
      </w:r>
      <w:r>
        <w:rPr>
          <w:rFonts w:ascii="Calibri" w:hAnsi="Calibri" w:cs="Calibri"/>
        </w:rPr>
        <w:t xml:space="preserve">. Similar findings and recommendations were highlighted in the </w:t>
      </w:r>
      <w:hyperlink r:id="rId16" w:history="1">
        <w:r w:rsidRPr="00CF4D6A">
          <w:rPr>
            <w:rStyle w:val="Hyperlink"/>
            <w:rFonts w:ascii="Calibri" w:hAnsi="Calibri" w:cs="Calibri"/>
            <w:color w:val="0070C0"/>
          </w:rPr>
          <w:t>EBA report</w:t>
        </w:r>
        <w:r w:rsidRPr="00CF4D6A">
          <w:rPr>
            <w:rStyle w:val="Hyperlink"/>
            <w:color w:val="0070C0"/>
          </w:rPr>
          <w:t xml:space="preserve"> </w:t>
        </w:r>
        <w:r w:rsidRPr="00CF4D6A">
          <w:rPr>
            <w:rStyle w:val="Hyperlink"/>
            <w:rFonts w:ascii="Calibri" w:hAnsi="Calibri" w:cs="Calibri"/>
            <w:color w:val="0070C0"/>
          </w:rPr>
          <w:t>on potential impediments to the cross-border provision of banking and payment services</w:t>
        </w:r>
      </w:hyperlink>
      <w:r>
        <w:rPr>
          <w:rFonts w:ascii="Calibri" w:hAnsi="Calibri" w:cs="Calibri"/>
        </w:rPr>
        <w:t xml:space="preserve"> published in October 2019. The EBA urges the European Commission to take urgent action in this area.</w:t>
      </w:r>
    </w:p>
    <w:p w14:paraId="720644CC" w14:textId="77777777" w:rsidR="00AE7376" w:rsidRDefault="00AE7376" w:rsidP="008E3C6D">
      <w:pPr>
        <w:jc w:val="both"/>
        <w:rPr>
          <w:rFonts w:ascii="Calibri" w:hAnsi="Calibri" w:cs="Calibri"/>
          <w:b/>
        </w:rPr>
      </w:pPr>
    </w:p>
    <w:p w14:paraId="369D2261" w14:textId="353EDCC6" w:rsidR="0019769E" w:rsidRPr="00E73445" w:rsidRDefault="0019769E" w:rsidP="008E3C6D">
      <w:pPr>
        <w:jc w:val="both"/>
        <w:rPr>
          <w:rFonts w:ascii="Calibri" w:hAnsi="Calibri" w:cs="Calibri"/>
          <w:b/>
        </w:rPr>
      </w:pPr>
      <w:r w:rsidRPr="00E73445">
        <w:rPr>
          <w:rFonts w:ascii="Calibri" w:hAnsi="Calibri" w:cs="Calibri"/>
          <w:b/>
        </w:rPr>
        <w:t>Question 3. Do you agree with the choice of [the following] priority areas?</w:t>
      </w:r>
    </w:p>
    <w:p w14:paraId="453CAB2B" w14:textId="77777777" w:rsidR="0019769E" w:rsidRPr="008E3C6D" w:rsidRDefault="0019769E" w:rsidP="008E3C6D">
      <w:pPr>
        <w:pStyle w:val="BodyText"/>
        <w:spacing w:before="6"/>
        <w:jc w:val="both"/>
        <w:rPr>
          <w:rFonts w:ascii="Calibri" w:hAnsi="Calibri" w:cs="Calibri"/>
          <w:sz w:val="22"/>
          <w:szCs w:val="22"/>
        </w:rPr>
      </w:pPr>
    </w:p>
    <w:p w14:paraId="437F78D9" w14:textId="77777777" w:rsidR="0019769E" w:rsidRPr="008E3C6D" w:rsidRDefault="0019769E" w:rsidP="008E3C6D">
      <w:pPr>
        <w:pStyle w:val="ListParagraph"/>
        <w:widowControl w:val="0"/>
        <w:numPr>
          <w:ilvl w:val="0"/>
          <w:numId w:val="14"/>
        </w:numPr>
        <w:tabs>
          <w:tab w:val="left" w:pos="835"/>
        </w:tabs>
        <w:autoSpaceDE w:val="0"/>
        <w:autoSpaceDN w:val="0"/>
        <w:spacing w:before="34" w:after="0" w:line="240" w:lineRule="auto"/>
        <w:rPr>
          <w:rFonts w:ascii="Calibri" w:hAnsi="Calibri" w:cs="Calibri"/>
          <w:szCs w:val="22"/>
        </w:rPr>
      </w:pPr>
      <w:r w:rsidRPr="008E3C6D">
        <w:rPr>
          <w:rFonts w:ascii="Calibri" w:hAnsi="Calibri" w:cs="Calibri"/>
          <w:szCs w:val="22"/>
        </w:rPr>
        <w:t>ensuring that the EU financial services regulatory framework is technology-neutral and innovation</w:t>
      </w:r>
      <w:r w:rsidRPr="008E3C6D">
        <w:rPr>
          <w:rFonts w:ascii="Calibri" w:hAnsi="Calibri" w:cs="Calibri"/>
          <w:spacing w:val="-33"/>
          <w:szCs w:val="22"/>
        </w:rPr>
        <w:t xml:space="preserve"> </w:t>
      </w:r>
      <w:r w:rsidRPr="008E3C6D">
        <w:rPr>
          <w:rFonts w:ascii="Calibri" w:hAnsi="Calibri" w:cs="Calibri"/>
          <w:szCs w:val="22"/>
        </w:rPr>
        <w:t>friendly;</w:t>
      </w:r>
    </w:p>
    <w:p w14:paraId="0C4BE9B6" w14:textId="77777777" w:rsidR="0019769E" w:rsidRPr="008E3C6D" w:rsidRDefault="0019769E" w:rsidP="008E3C6D">
      <w:pPr>
        <w:pStyle w:val="ListParagraph"/>
        <w:widowControl w:val="0"/>
        <w:numPr>
          <w:ilvl w:val="0"/>
          <w:numId w:val="14"/>
        </w:numPr>
        <w:tabs>
          <w:tab w:val="left" w:pos="835"/>
        </w:tabs>
        <w:autoSpaceDE w:val="0"/>
        <w:autoSpaceDN w:val="0"/>
        <w:spacing w:before="163" w:after="0" w:line="177" w:lineRule="auto"/>
        <w:ind w:right="209"/>
        <w:rPr>
          <w:rFonts w:ascii="Calibri" w:hAnsi="Calibri" w:cs="Calibri"/>
          <w:szCs w:val="22"/>
        </w:rPr>
      </w:pPr>
      <w:r w:rsidRPr="008E3C6D">
        <w:rPr>
          <w:rFonts w:ascii="Calibri" w:hAnsi="Calibri" w:cs="Calibri"/>
          <w:szCs w:val="22"/>
        </w:rPr>
        <w:t>reaping the opportunities offered by the EU-wide Single Market for digital financial services for consumers and firms;</w:t>
      </w:r>
    </w:p>
    <w:p w14:paraId="5751AC87" w14:textId="77777777" w:rsidR="0019769E" w:rsidRPr="008E3C6D" w:rsidRDefault="0019769E" w:rsidP="008E3C6D">
      <w:pPr>
        <w:pStyle w:val="ListParagraph"/>
        <w:widowControl w:val="0"/>
        <w:numPr>
          <w:ilvl w:val="0"/>
          <w:numId w:val="14"/>
        </w:numPr>
        <w:tabs>
          <w:tab w:val="left" w:pos="835"/>
        </w:tabs>
        <w:autoSpaceDE w:val="0"/>
        <w:autoSpaceDN w:val="0"/>
        <w:spacing w:before="123" w:after="0" w:line="240" w:lineRule="auto"/>
        <w:rPr>
          <w:rFonts w:ascii="Calibri" w:hAnsi="Calibri" w:cs="Calibri"/>
          <w:szCs w:val="22"/>
        </w:rPr>
      </w:pPr>
      <w:r w:rsidRPr="008E3C6D">
        <w:rPr>
          <w:rFonts w:ascii="Calibri" w:hAnsi="Calibri" w:cs="Calibri"/>
          <w:szCs w:val="22"/>
        </w:rPr>
        <w:t>promoting a data-driven financial sector for the benefit of EU consumers and firms;</w:t>
      </w:r>
      <w:r w:rsidRPr="008E3C6D">
        <w:rPr>
          <w:rFonts w:ascii="Calibri" w:hAnsi="Calibri" w:cs="Calibri"/>
          <w:spacing w:val="-22"/>
          <w:szCs w:val="22"/>
        </w:rPr>
        <w:t xml:space="preserve"> </w:t>
      </w:r>
      <w:r w:rsidRPr="008E3C6D">
        <w:rPr>
          <w:rFonts w:ascii="Calibri" w:hAnsi="Calibri" w:cs="Calibri"/>
          <w:szCs w:val="22"/>
        </w:rPr>
        <w:t>and</w:t>
      </w:r>
    </w:p>
    <w:p w14:paraId="7354A6D5" w14:textId="77777777" w:rsidR="0019769E" w:rsidRPr="008E3C6D" w:rsidRDefault="0019769E" w:rsidP="008E3C6D">
      <w:pPr>
        <w:pStyle w:val="ListParagraph"/>
        <w:widowControl w:val="0"/>
        <w:numPr>
          <w:ilvl w:val="0"/>
          <w:numId w:val="14"/>
        </w:numPr>
        <w:tabs>
          <w:tab w:val="left" w:pos="835"/>
        </w:tabs>
        <w:autoSpaceDE w:val="0"/>
        <w:autoSpaceDN w:val="0"/>
        <w:spacing w:before="96" w:after="0" w:line="240" w:lineRule="auto"/>
        <w:rPr>
          <w:rFonts w:ascii="Calibri" w:hAnsi="Calibri" w:cs="Calibri"/>
          <w:szCs w:val="22"/>
        </w:rPr>
      </w:pPr>
      <w:r w:rsidRPr="008E3C6D">
        <w:rPr>
          <w:rFonts w:ascii="Calibri" w:hAnsi="Calibri" w:cs="Calibri"/>
          <w:szCs w:val="22"/>
        </w:rPr>
        <w:t>enhancing the operational resilience of the financial</w:t>
      </w:r>
      <w:r w:rsidRPr="008E3C6D">
        <w:rPr>
          <w:rFonts w:ascii="Calibri" w:hAnsi="Calibri" w:cs="Calibri"/>
          <w:spacing w:val="-9"/>
          <w:szCs w:val="22"/>
        </w:rPr>
        <w:t xml:space="preserve"> </w:t>
      </w:r>
      <w:r w:rsidRPr="008E3C6D">
        <w:rPr>
          <w:rFonts w:ascii="Calibri" w:hAnsi="Calibri" w:cs="Calibri"/>
          <w:szCs w:val="22"/>
        </w:rPr>
        <w:t>sector.</w:t>
      </w:r>
    </w:p>
    <w:p w14:paraId="7DAEDB7A" w14:textId="02B516A9" w:rsidR="0019769E" w:rsidRDefault="0019769E" w:rsidP="008E3C6D">
      <w:pPr>
        <w:spacing w:before="227" w:line="232" w:lineRule="auto"/>
        <w:jc w:val="center"/>
        <w:rPr>
          <w:rFonts w:cstheme="minorHAnsi"/>
          <w:b/>
        </w:rPr>
      </w:pPr>
      <w:r w:rsidRPr="008475DD">
        <w:rPr>
          <w:rFonts w:cstheme="minorHAnsi"/>
          <w:b/>
          <w:noProof/>
          <w:lang w:val="en-GB" w:eastAsia="en-GB"/>
        </w:rPr>
        <w:drawing>
          <wp:inline distT="0" distB="0" distL="0" distR="0" wp14:anchorId="7832F7C1" wp14:editId="5657A751">
            <wp:extent cx="3277057" cy="67636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057" cy="676369"/>
                    </a:xfrm>
                    <a:prstGeom prst="rect">
                      <a:avLst/>
                    </a:prstGeom>
                  </pic:spPr>
                </pic:pic>
              </a:graphicData>
            </a:graphic>
          </wp:inline>
        </w:drawing>
      </w:r>
    </w:p>
    <w:p w14:paraId="565393D8" w14:textId="57FF716A" w:rsidR="0019769E" w:rsidRPr="00E73445" w:rsidRDefault="0019769E" w:rsidP="0019769E">
      <w:pPr>
        <w:spacing w:before="227" w:line="232" w:lineRule="auto"/>
        <w:jc w:val="both"/>
        <w:rPr>
          <w:rFonts w:ascii="Calibri" w:hAnsi="Calibri" w:cs="Calibri"/>
          <w:b/>
        </w:rPr>
      </w:pPr>
      <w:r w:rsidRPr="00E73445">
        <w:rPr>
          <w:rFonts w:ascii="Calibri" w:hAnsi="Calibri" w:cs="Calibri"/>
          <w:b/>
        </w:rPr>
        <w:t>Question 3.1 Please explain your answer to question 3 and specify if you see other areas that would merit further attention from the Commission:</w:t>
      </w:r>
    </w:p>
    <w:p w14:paraId="2AB0BFA4" w14:textId="47A24EC8" w:rsidR="00D35440" w:rsidRDefault="00830ECA" w:rsidP="0019769E">
      <w:pPr>
        <w:spacing w:before="227" w:line="232" w:lineRule="auto"/>
        <w:jc w:val="both"/>
        <w:rPr>
          <w:rFonts w:ascii="Calibri" w:hAnsi="Calibri" w:cs="Calibri"/>
          <w:b/>
          <w:sz w:val="22"/>
          <w:szCs w:val="22"/>
        </w:rPr>
      </w:pPr>
      <w:r>
        <w:rPr>
          <w:rFonts w:ascii="Calibri" w:hAnsi="Calibri" w:cs="Calibri"/>
          <w:sz w:val="22"/>
          <w:szCs w:val="22"/>
        </w:rPr>
        <w:t>The EBA refers to its response to Questions 1 and 2 by way of explanation of the EBA’s answer to Question 3.</w:t>
      </w:r>
    </w:p>
    <w:p w14:paraId="58B94E58" w14:textId="389DD3FD" w:rsidR="0019769E" w:rsidRPr="00E73445" w:rsidRDefault="0019769E" w:rsidP="0019769E">
      <w:pPr>
        <w:spacing w:before="227" w:line="232" w:lineRule="auto"/>
        <w:jc w:val="both"/>
        <w:rPr>
          <w:rFonts w:ascii="Calibri" w:hAnsi="Calibri" w:cs="Calibri"/>
          <w:b/>
        </w:rPr>
      </w:pPr>
      <w:r w:rsidRPr="00E73445">
        <w:rPr>
          <w:rFonts w:ascii="Calibri" w:hAnsi="Calibri" w:cs="Calibri"/>
          <w:b/>
        </w:rPr>
        <w:t>Question 4. Do you consider the existing EU financial services regulatory framework to be technology neutral and innovation friendly?</w:t>
      </w:r>
    </w:p>
    <w:p w14:paraId="07BEA99F" w14:textId="77777777" w:rsidR="0019769E" w:rsidRDefault="0019769E" w:rsidP="00024463">
      <w:pPr>
        <w:rPr>
          <w:rFonts w:ascii="Calibri" w:hAnsi="Calibri" w:cs="Arial"/>
          <w:b/>
          <w:bCs/>
          <w:color w:val="2F5773" w:themeColor="accent1"/>
          <w:lang w:eastAsia="en-GB"/>
        </w:rPr>
      </w:pPr>
    </w:p>
    <w:p w14:paraId="4FFB84BF" w14:textId="3616D726" w:rsidR="0019769E" w:rsidRDefault="0019769E" w:rsidP="008E3C6D">
      <w:pPr>
        <w:jc w:val="center"/>
        <w:rPr>
          <w:rFonts w:ascii="Calibri" w:hAnsi="Calibri" w:cs="Arial"/>
          <w:b/>
          <w:bCs/>
          <w:color w:val="2F5773" w:themeColor="accent1"/>
          <w:lang w:eastAsia="en-GB"/>
        </w:rPr>
      </w:pPr>
      <w:r w:rsidRPr="008475DD">
        <w:rPr>
          <w:rFonts w:cstheme="minorHAnsi"/>
          <w:b/>
          <w:noProof/>
          <w:lang w:val="en-GB" w:eastAsia="en-GB"/>
        </w:rPr>
        <w:lastRenderedPageBreak/>
        <w:drawing>
          <wp:inline distT="0" distB="0" distL="0" distR="0" wp14:anchorId="2548A43F" wp14:editId="6ED1DDC0">
            <wp:extent cx="3277057" cy="676369"/>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057" cy="676369"/>
                    </a:xfrm>
                    <a:prstGeom prst="rect">
                      <a:avLst/>
                    </a:prstGeom>
                  </pic:spPr>
                </pic:pic>
              </a:graphicData>
            </a:graphic>
          </wp:inline>
        </w:drawing>
      </w:r>
    </w:p>
    <w:p w14:paraId="07103B0C" w14:textId="0434F8ED" w:rsidR="0019769E" w:rsidRPr="00E73445" w:rsidRDefault="0019769E" w:rsidP="008E3C6D">
      <w:pPr>
        <w:spacing w:before="227" w:line="276" w:lineRule="auto"/>
        <w:ind w:right="279"/>
        <w:jc w:val="both"/>
        <w:rPr>
          <w:rFonts w:ascii="Calibri" w:hAnsi="Calibri" w:cs="Calibri"/>
          <w:b/>
        </w:rPr>
      </w:pPr>
      <w:r w:rsidRPr="00E73445">
        <w:rPr>
          <w:rFonts w:ascii="Calibri" w:hAnsi="Calibri" w:cs="Calibri"/>
          <w:b/>
        </w:rPr>
        <w:t>Question 4.1 If not, please provide specific examples of provisions and requirements that are not technologically neutral or hinder innovation:</w:t>
      </w:r>
    </w:p>
    <w:p w14:paraId="486EFB5A" w14:textId="77777777" w:rsidR="0023437F" w:rsidRDefault="0023437F" w:rsidP="0023437F">
      <w:pPr>
        <w:jc w:val="both"/>
        <w:rPr>
          <w:rFonts w:cstheme="minorHAnsi"/>
          <w:b/>
        </w:rPr>
      </w:pPr>
    </w:p>
    <w:p w14:paraId="773B7A54" w14:textId="2C4118C0" w:rsidR="0023437F" w:rsidRPr="0023437F" w:rsidRDefault="0023437F" w:rsidP="0023437F">
      <w:pPr>
        <w:spacing w:line="276" w:lineRule="auto"/>
        <w:jc w:val="both"/>
        <w:rPr>
          <w:rFonts w:ascii="Calibri" w:hAnsi="Calibri" w:cs="Calibri"/>
          <w:color w:val="000000" w:themeColor="text1"/>
          <w:sz w:val="22"/>
          <w:szCs w:val="22"/>
        </w:rPr>
      </w:pPr>
      <w:r w:rsidRPr="0023437F">
        <w:rPr>
          <w:rFonts w:ascii="Calibri" w:hAnsi="Calibri" w:cs="Calibri"/>
          <w:sz w:val="22"/>
          <w:szCs w:val="22"/>
        </w:rPr>
        <w:t xml:space="preserve">Technological neutrality demands that we should </w:t>
      </w:r>
      <w:r w:rsidRPr="0023437F">
        <w:rPr>
          <w:rFonts w:ascii="Calibri" w:eastAsia="Times New Roman" w:hAnsi="Calibri" w:cs="Calibri"/>
          <w:sz w:val="22"/>
          <w:szCs w:val="22"/>
        </w:rPr>
        <w:t xml:space="preserve">not inadvertently prefer or prevent the adoption </w:t>
      </w:r>
      <w:r w:rsidRPr="0023437F">
        <w:rPr>
          <w:rFonts w:ascii="Calibri" w:eastAsia="Times New Roman" w:hAnsi="Calibri" w:cs="Calibri"/>
          <w:color w:val="000000" w:themeColor="text1"/>
          <w:sz w:val="22"/>
          <w:szCs w:val="22"/>
        </w:rPr>
        <w:t>of a specific technology nor prefer or prejudice a specific business model or service provider, whilst still continuing to ensure that our regulatory objectives, such as consumer protection, prudential robustness</w:t>
      </w:r>
      <w:r w:rsidR="005F4A65">
        <w:rPr>
          <w:rFonts w:ascii="Calibri" w:eastAsia="Times New Roman" w:hAnsi="Calibri" w:cs="Calibri"/>
          <w:color w:val="000000" w:themeColor="text1"/>
          <w:sz w:val="22"/>
          <w:szCs w:val="22"/>
        </w:rPr>
        <w:t>, market integrity</w:t>
      </w:r>
      <w:r w:rsidRPr="0023437F">
        <w:rPr>
          <w:rFonts w:ascii="Calibri" w:eastAsia="Times New Roman" w:hAnsi="Calibri" w:cs="Calibri"/>
          <w:color w:val="000000" w:themeColor="text1"/>
          <w:sz w:val="22"/>
          <w:szCs w:val="22"/>
        </w:rPr>
        <w:t xml:space="preserve"> and financial stability, continue to be met</w:t>
      </w:r>
      <w:r w:rsidR="004B4D44">
        <w:rPr>
          <w:rFonts w:ascii="Calibri" w:eastAsia="Times New Roman" w:hAnsi="Calibri" w:cs="Calibri"/>
          <w:color w:val="000000" w:themeColor="text1"/>
          <w:sz w:val="22"/>
          <w:szCs w:val="22"/>
        </w:rPr>
        <w:t xml:space="preserve"> (see further the EBA’s response to Question 1)</w:t>
      </w:r>
      <w:r w:rsidRPr="0023437F">
        <w:rPr>
          <w:rFonts w:ascii="Calibri" w:eastAsia="Times New Roman" w:hAnsi="Calibri" w:cs="Calibri"/>
          <w:color w:val="000000" w:themeColor="text1"/>
          <w:sz w:val="22"/>
          <w:szCs w:val="22"/>
        </w:rPr>
        <w:t>.</w:t>
      </w:r>
      <w:r w:rsidRPr="0023437F">
        <w:rPr>
          <w:rFonts w:ascii="Calibri" w:hAnsi="Calibri" w:cs="Calibri"/>
          <w:color w:val="000000" w:themeColor="text1"/>
          <w:sz w:val="22"/>
          <w:szCs w:val="22"/>
        </w:rPr>
        <w:t xml:space="preserve"> </w:t>
      </w:r>
    </w:p>
    <w:p w14:paraId="06BB84C5" w14:textId="1D92EA73" w:rsidR="0023437F" w:rsidRPr="0023437F" w:rsidRDefault="0023437F" w:rsidP="000D0A0A">
      <w:pPr>
        <w:pStyle w:val="bullet1"/>
        <w:numPr>
          <w:ilvl w:val="0"/>
          <w:numId w:val="0"/>
        </w:numPr>
        <w:tabs>
          <w:tab w:val="left" w:pos="720"/>
        </w:tabs>
        <w:rPr>
          <w:rFonts w:ascii="Calibri" w:eastAsia="Times New Roman" w:hAnsi="Calibri" w:cs="Calibri"/>
        </w:rPr>
      </w:pPr>
      <w:r w:rsidRPr="0023437F">
        <w:rPr>
          <w:rFonts w:ascii="Calibri" w:eastAsia="Times New Roman" w:hAnsi="Calibri" w:cs="Calibri"/>
        </w:rPr>
        <w:t xml:space="preserve">On the whole, the EBA regards the existing EU financial services regulatory framework to be technologically neutral, </w:t>
      </w:r>
      <w:r w:rsidR="000D0A0A">
        <w:rPr>
          <w:rFonts w:ascii="Calibri" w:eastAsia="Times New Roman" w:hAnsi="Calibri" w:cs="Calibri"/>
        </w:rPr>
        <w:t>albeit</w:t>
      </w:r>
      <w:r w:rsidRPr="0023437F">
        <w:rPr>
          <w:rFonts w:ascii="Calibri" w:eastAsia="Times New Roman" w:hAnsi="Calibri" w:cs="Calibri"/>
        </w:rPr>
        <w:t xml:space="preserve"> </w:t>
      </w:r>
      <w:r w:rsidR="000E04F5">
        <w:rPr>
          <w:rFonts w:ascii="Calibri" w:eastAsia="Times New Roman" w:hAnsi="Calibri" w:cs="Calibri"/>
        </w:rPr>
        <w:t>the framework</w:t>
      </w:r>
      <w:r w:rsidRPr="0023437F">
        <w:rPr>
          <w:rFonts w:ascii="Calibri" w:eastAsia="Times New Roman" w:hAnsi="Calibri" w:cs="Calibri"/>
        </w:rPr>
        <w:t xml:space="preserve"> </w:t>
      </w:r>
      <w:r w:rsidR="000E04F5">
        <w:rPr>
          <w:rFonts w:ascii="Calibri" w:eastAsia="Times New Roman" w:hAnsi="Calibri" w:cs="Calibri"/>
        </w:rPr>
        <w:t>must be kept under review to take account of emerging technology developments. Howe</w:t>
      </w:r>
      <w:r w:rsidRPr="0023437F">
        <w:rPr>
          <w:rFonts w:ascii="Calibri" w:eastAsia="Times New Roman" w:hAnsi="Calibri" w:cs="Calibri"/>
        </w:rPr>
        <w:t>ver, the EBA has identified in its work cases where existing regulation – or the absence of regulation – may:</w:t>
      </w:r>
    </w:p>
    <w:p w14:paraId="62E13D99" w14:textId="77777777" w:rsidR="0023437F" w:rsidRPr="0023437F" w:rsidRDefault="0023437F" w:rsidP="0023437F">
      <w:pPr>
        <w:pStyle w:val="bullet1"/>
        <w:numPr>
          <w:ilvl w:val="0"/>
          <w:numId w:val="13"/>
        </w:numPr>
        <w:tabs>
          <w:tab w:val="left" w:pos="720"/>
        </w:tabs>
        <w:spacing w:line="240" w:lineRule="auto"/>
        <w:rPr>
          <w:rFonts w:ascii="Calibri" w:eastAsia="Times New Roman" w:hAnsi="Calibri" w:cs="Calibri"/>
        </w:rPr>
      </w:pPr>
      <w:r w:rsidRPr="0023437F">
        <w:rPr>
          <w:rFonts w:ascii="Calibri" w:eastAsia="Times New Roman" w:hAnsi="Calibri" w:cs="Calibri"/>
        </w:rPr>
        <w:t>unintentionally impede the roll out of new technology-enabled financial services;</w:t>
      </w:r>
    </w:p>
    <w:p w14:paraId="070EF505" w14:textId="64E42223" w:rsidR="0019769E" w:rsidRPr="008E3C6D" w:rsidRDefault="0019769E" w:rsidP="008E3C6D">
      <w:pPr>
        <w:pStyle w:val="bullet1"/>
        <w:numPr>
          <w:ilvl w:val="0"/>
          <w:numId w:val="13"/>
        </w:numPr>
        <w:tabs>
          <w:tab w:val="left" w:pos="720"/>
        </w:tabs>
        <w:rPr>
          <w:rFonts w:ascii="Calibri" w:eastAsia="Times New Roman" w:hAnsi="Calibri" w:cs="Calibri"/>
        </w:rPr>
      </w:pPr>
      <w:r w:rsidRPr="008E3C6D">
        <w:rPr>
          <w:rFonts w:ascii="Calibri" w:eastAsia="Times New Roman" w:hAnsi="Calibri" w:cs="Calibri"/>
        </w:rPr>
        <w:t>hinder the scaling of activities across the</w:t>
      </w:r>
      <w:r w:rsidR="000D0A0A">
        <w:rPr>
          <w:rFonts w:ascii="Calibri" w:eastAsia="Times New Roman" w:hAnsi="Calibri" w:cs="Calibri"/>
        </w:rPr>
        <w:t xml:space="preserve"> EU</w:t>
      </w:r>
      <w:r w:rsidRPr="008E3C6D">
        <w:rPr>
          <w:rFonts w:ascii="Calibri" w:eastAsia="Times New Roman" w:hAnsi="Calibri" w:cs="Calibri"/>
        </w:rPr>
        <w:t xml:space="preserve"> Single Market to the benefits of consumers; or</w:t>
      </w:r>
    </w:p>
    <w:p w14:paraId="63DA7078" w14:textId="77777777" w:rsidR="0019769E" w:rsidRPr="008E3C6D" w:rsidRDefault="0019769E" w:rsidP="008E3C6D">
      <w:pPr>
        <w:pStyle w:val="bullet1"/>
        <w:numPr>
          <w:ilvl w:val="0"/>
          <w:numId w:val="13"/>
        </w:numPr>
        <w:tabs>
          <w:tab w:val="left" w:pos="720"/>
        </w:tabs>
        <w:rPr>
          <w:rFonts w:ascii="Calibri" w:eastAsia="Times New Roman" w:hAnsi="Calibri" w:cs="Calibri"/>
        </w:rPr>
      </w:pPr>
      <w:r w:rsidRPr="008E3C6D">
        <w:rPr>
          <w:rFonts w:ascii="Calibri" w:eastAsia="Times New Roman" w:hAnsi="Calibri" w:cs="Calibri"/>
        </w:rPr>
        <w:t>pose a barrier to new entrants.</w:t>
      </w:r>
    </w:p>
    <w:p w14:paraId="4E199983" w14:textId="75E06070" w:rsidR="0019769E" w:rsidRPr="008E3C6D" w:rsidRDefault="00F20316" w:rsidP="008E3C6D">
      <w:pPr>
        <w:pStyle w:val="bullet1"/>
        <w:numPr>
          <w:ilvl w:val="0"/>
          <w:numId w:val="0"/>
        </w:numPr>
        <w:tabs>
          <w:tab w:val="left" w:pos="720"/>
        </w:tabs>
        <w:rPr>
          <w:rFonts w:ascii="Calibri" w:hAnsi="Calibri" w:cs="Calibri"/>
          <w:color w:val="000000" w:themeColor="text1"/>
          <w:lang w:val="en"/>
        </w:rPr>
      </w:pPr>
      <w:r>
        <w:rPr>
          <w:rFonts w:ascii="Calibri" w:hAnsi="Calibri" w:cs="Calibri"/>
        </w:rPr>
        <w:t>T</w:t>
      </w:r>
      <w:r w:rsidRPr="008E3C6D">
        <w:rPr>
          <w:rFonts w:ascii="Calibri" w:hAnsi="Calibri" w:cs="Calibri"/>
        </w:rPr>
        <w:t>he EBA draws attention to its report on potential impediments to cross-b</w:t>
      </w:r>
      <w:r w:rsidRPr="008E3C6D">
        <w:rPr>
          <w:rFonts w:ascii="Calibri" w:hAnsi="Calibri" w:cs="Calibri"/>
          <w:color w:val="000000" w:themeColor="text1"/>
        </w:rPr>
        <w:t>order activity</w:t>
      </w:r>
      <w:r w:rsidRPr="008E3C6D">
        <w:rPr>
          <w:rStyle w:val="FootnoteReference"/>
          <w:rFonts w:ascii="Calibri" w:hAnsi="Calibri" w:cs="Calibri"/>
          <w:color w:val="000000" w:themeColor="text1"/>
        </w:rPr>
        <w:footnoteReference w:id="8"/>
      </w:r>
      <w:r w:rsidRPr="008E3C6D">
        <w:rPr>
          <w:rFonts w:ascii="Calibri" w:hAnsi="Calibri" w:cs="Calibri"/>
          <w:color w:val="000000" w:themeColor="text1"/>
        </w:rPr>
        <w:t xml:space="preserve"> which explains that the full potential of digital solutions has not yet been achieved in the EU, in part due to </w:t>
      </w:r>
      <w:r w:rsidRPr="008E3C6D">
        <w:rPr>
          <w:rFonts w:ascii="Calibri" w:hAnsi="Calibri" w:cs="Calibri"/>
          <w:color w:val="000000" w:themeColor="text1"/>
          <w:lang w:val="en"/>
        </w:rPr>
        <w:t>divergences in regulatory requirements and supervisory practices across the Member States</w:t>
      </w:r>
      <w:r w:rsidR="005B2DAC">
        <w:rPr>
          <w:rFonts w:ascii="Calibri" w:hAnsi="Calibri" w:cs="Calibri"/>
          <w:color w:val="000000" w:themeColor="text1"/>
          <w:lang w:val="en"/>
        </w:rPr>
        <w:t xml:space="preserve"> which may undermine the functioning of the </w:t>
      </w:r>
      <w:r w:rsidR="00A80914">
        <w:rPr>
          <w:rFonts w:ascii="Calibri" w:hAnsi="Calibri" w:cs="Calibri"/>
          <w:color w:val="000000" w:themeColor="text1"/>
          <w:lang w:val="en"/>
        </w:rPr>
        <w:t>Single Market</w:t>
      </w:r>
      <w:r w:rsidRPr="008E3C6D">
        <w:rPr>
          <w:rFonts w:ascii="Calibri" w:hAnsi="Calibri" w:cs="Calibri"/>
          <w:color w:val="000000" w:themeColor="text1"/>
          <w:lang w:val="en"/>
        </w:rPr>
        <w:t>.</w:t>
      </w:r>
      <w:r w:rsidRPr="00F20316">
        <w:rPr>
          <w:rFonts w:ascii="Calibri" w:hAnsi="Calibri" w:cs="Calibri"/>
        </w:rPr>
        <w:t xml:space="preserve"> </w:t>
      </w:r>
      <w:r w:rsidRPr="008E3C6D">
        <w:rPr>
          <w:rFonts w:ascii="Calibri" w:hAnsi="Calibri" w:cs="Calibri"/>
        </w:rPr>
        <w:t>Additionally</w:t>
      </w:r>
      <w:r>
        <w:rPr>
          <w:rFonts w:ascii="Calibri" w:hAnsi="Calibri" w:cs="Calibri"/>
        </w:rPr>
        <w:t>,</w:t>
      </w:r>
      <w:r w:rsidR="000E04F5">
        <w:rPr>
          <w:rFonts w:ascii="Calibri" w:hAnsi="Calibri" w:cs="Calibri"/>
        </w:rPr>
        <w:t xml:space="preserve"> a</w:t>
      </w:r>
      <w:r w:rsidRPr="008E3C6D">
        <w:rPr>
          <w:rFonts w:ascii="Calibri" w:eastAsia="Times New Roman" w:hAnsi="Calibri" w:cs="Calibri"/>
        </w:rPr>
        <w:t xml:space="preserve"> </w:t>
      </w:r>
      <w:r>
        <w:rPr>
          <w:rFonts w:ascii="Calibri" w:eastAsia="Times New Roman" w:hAnsi="Calibri" w:cs="Calibri"/>
        </w:rPr>
        <w:t>number of</w:t>
      </w:r>
      <w:r w:rsidR="0019769E" w:rsidRPr="008E3C6D">
        <w:rPr>
          <w:rFonts w:ascii="Calibri" w:eastAsia="Times New Roman" w:hAnsi="Calibri" w:cs="Calibri"/>
        </w:rPr>
        <w:t xml:space="preserve"> </w:t>
      </w:r>
      <w:r>
        <w:rPr>
          <w:rFonts w:ascii="Calibri" w:eastAsia="Times New Roman" w:hAnsi="Calibri" w:cs="Calibri"/>
        </w:rPr>
        <w:t xml:space="preserve">relevant </w:t>
      </w:r>
      <w:r w:rsidR="0019769E" w:rsidRPr="008E3C6D">
        <w:rPr>
          <w:rFonts w:ascii="Calibri" w:eastAsia="Times New Roman" w:hAnsi="Calibri" w:cs="Calibri"/>
        </w:rPr>
        <w:t>examples are reflected in the ROFIEG report.</w:t>
      </w:r>
      <w:r w:rsidR="0019769E" w:rsidRPr="008E3C6D">
        <w:rPr>
          <w:rFonts w:ascii="Calibri" w:hAnsi="Calibri" w:cs="Calibri"/>
        </w:rPr>
        <w:t xml:space="preserve"> </w:t>
      </w:r>
    </w:p>
    <w:p w14:paraId="47232256" w14:textId="71C7754A" w:rsidR="0019769E" w:rsidRDefault="0019769E" w:rsidP="008E3C6D">
      <w:pPr>
        <w:pStyle w:val="bullet1"/>
        <w:numPr>
          <w:ilvl w:val="0"/>
          <w:numId w:val="0"/>
        </w:numPr>
        <w:tabs>
          <w:tab w:val="left" w:pos="720"/>
        </w:tabs>
        <w:rPr>
          <w:rFonts w:ascii="Calibri" w:hAnsi="Calibri" w:cs="Calibri"/>
          <w:color w:val="000000" w:themeColor="text1"/>
          <w:lang w:val="en"/>
        </w:rPr>
      </w:pPr>
      <w:r w:rsidRPr="008E3C6D">
        <w:rPr>
          <w:rFonts w:ascii="Calibri" w:hAnsi="Calibri" w:cs="Calibri"/>
          <w:color w:val="000000" w:themeColor="text1"/>
          <w:lang w:val="en"/>
        </w:rPr>
        <w:t>I</w:t>
      </w:r>
      <w:r w:rsidR="000E04F5">
        <w:rPr>
          <w:rFonts w:ascii="Calibri" w:hAnsi="Calibri" w:cs="Calibri"/>
          <w:color w:val="000000" w:themeColor="text1"/>
          <w:lang w:val="en"/>
        </w:rPr>
        <w:t>n particular, the EBA identifies</w:t>
      </w:r>
      <w:r w:rsidRPr="008E3C6D">
        <w:rPr>
          <w:rFonts w:ascii="Calibri" w:hAnsi="Calibri" w:cs="Calibri"/>
          <w:color w:val="000000" w:themeColor="text1"/>
          <w:lang w:val="en"/>
        </w:rPr>
        <w:t xml:space="preserve"> </w:t>
      </w:r>
      <w:r w:rsidR="0023437F">
        <w:rPr>
          <w:rFonts w:ascii="Calibri" w:hAnsi="Calibri" w:cs="Calibri"/>
          <w:color w:val="000000" w:themeColor="text1"/>
          <w:lang w:val="en"/>
        </w:rPr>
        <w:t xml:space="preserve">in </w:t>
      </w:r>
      <w:r w:rsidR="000E04F5">
        <w:rPr>
          <w:rFonts w:ascii="Calibri" w:hAnsi="Calibri" w:cs="Calibri"/>
          <w:color w:val="000000" w:themeColor="text1"/>
          <w:lang w:val="en"/>
        </w:rPr>
        <w:t xml:space="preserve">its </w:t>
      </w:r>
      <w:r w:rsidR="0023437F">
        <w:rPr>
          <w:rFonts w:ascii="Calibri" w:hAnsi="Calibri" w:cs="Calibri"/>
          <w:color w:val="000000" w:themeColor="text1"/>
          <w:lang w:val="en"/>
        </w:rPr>
        <w:t>report a case for further</w:t>
      </w:r>
      <w:r w:rsidR="0023437F" w:rsidRPr="004578EA">
        <w:rPr>
          <w:rFonts w:ascii="Calibri" w:hAnsi="Calibri" w:cs="Calibri"/>
          <w:color w:val="000000" w:themeColor="text1"/>
          <w:lang w:val="en-GB"/>
        </w:rPr>
        <w:t xml:space="preserve"> harmonisation</w:t>
      </w:r>
      <w:r w:rsidR="0023437F">
        <w:rPr>
          <w:rFonts w:ascii="Calibri" w:hAnsi="Calibri" w:cs="Calibri"/>
          <w:color w:val="000000" w:themeColor="text1"/>
          <w:lang w:val="en"/>
        </w:rPr>
        <w:t xml:space="preserve"> of</w:t>
      </w:r>
      <w:r w:rsidRPr="008E3C6D">
        <w:rPr>
          <w:rFonts w:ascii="Calibri" w:hAnsi="Calibri" w:cs="Calibri"/>
          <w:color w:val="000000" w:themeColor="text1"/>
          <w:lang w:val="en"/>
        </w:rPr>
        <w:t xml:space="preserve"> consumer protection, conduct of business requirements and anti-money laundering (AML) and countering the financing of terrorism (CFT)</w:t>
      </w:r>
      <w:r w:rsidR="0023437F">
        <w:rPr>
          <w:rFonts w:ascii="Calibri" w:hAnsi="Calibri" w:cs="Calibri"/>
          <w:color w:val="000000" w:themeColor="text1"/>
          <w:lang w:val="en"/>
        </w:rPr>
        <w:t xml:space="preserve"> measures</w:t>
      </w:r>
      <w:r w:rsidRPr="008E3C6D">
        <w:rPr>
          <w:rFonts w:ascii="Calibri" w:hAnsi="Calibri" w:cs="Calibri"/>
          <w:color w:val="000000" w:themeColor="text1"/>
          <w:lang w:val="en"/>
        </w:rPr>
        <w:t>.</w:t>
      </w:r>
      <w:r w:rsidR="0055630E">
        <w:rPr>
          <w:rFonts w:ascii="Calibri" w:hAnsi="Calibri" w:cs="Calibri"/>
          <w:color w:val="000000" w:themeColor="text1"/>
          <w:lang w:val="en"/>
        </w:rPr>
        <w:t xml:space="preserve"> Specifically, the EBA observes in that report:</w:t>
      </w:r>
    </w:p>
    <w:p w14:paraId="7C436698" w14:textId="14B1C610" w:rsidR="0055630E" w:rsidRPr="004B4D44" w:rsidRDefault="0055630E" w:rsidP="00393018">
      <w:pPr>
        <w:ind w:left="720"/>
        <w:jc w:val="both"/>
        <w:rPr>
          <w:i/>
          <w:lang w:val="en"/>
        </w:rPr>
      </w:pPr>
      <w:r w:rsidRPr="004B4D44">
        <w:rPr>
          <w:rFonts w:asciiTheme="majorHAnsi" w:hAnsiTheme="majorHAnsi" w:cstheme="majorHAnsi"/>
          <w:i/>
          <w:sz w:val="22"/>
          <w:szCs w:val="22"/>
        </w:rPr>
        <w:t>‘</w:t>
      </w:r>
      <w:r w:rsidRPr="00A80914">
        <w:rPr>
          <w:rFonts w:asciiTheme="majorHAnsi" w:hAnsiTheme="majorHAnsi" w:cstheme="majorHAnsi"/>
          <w:sz w:val="22"/>
          <w:szCs w:val="22"/>
        </w:rPr>
        <w:t>[d]</w:t>
      </w:r>
      <w:r w:rsidRPr="004B4D44">
        <w:rPr>
          <w:rFonts w:asciiTheme="majorHAnsi" w:hAnsiTheme="majorHAnsi" w:cstheme="majorHAnsi"/>
          <w:i/>
          <w:sz w:val="22"/>
          <w:szCs w:val="22"/>
        </w:rPr>
        <w:t>ivergences may emerge between jurisdictions in response to national specificities. However, in some cases, issues may emerge that, alone or in combination, may have negative unintended effects, potentially creating complexities that impede consumer choice and the cross-border provision of services, in turn hampering the functioning of the EU Single Market. In the context of consumer protection and conduct of business requirements, greater</w:t>
      </w:r>
      <w:r w:rsidRPr="004578EA">
        <w:rPr>
          <w:rFonts w:asciiTheme="majorHAnsi" w:hAnsiTheme="majorHAnsi" w:cstheme="majorHAnsi"/>
          <w:i/>
          <w:sz w:val="22"/>
          <w:szCs w:val="22"/>
          <w:lang w:val="en-GB"/>
        </w:rPr>
        <w:t xml:space="preserve"> harmonisation</w:t>
      </w:r>
      <w:r w:rsidRPr="004B4D44">
        <w:rPr>
          <w:rFonts w:asciiTheme="majorHAnsi" w:hAnsiTheme="majorHAnsi" w:cstheme="majorHAnsi"/>
          <w:i/>
          <w:sz w:val="22"/>
          <w:szCs w:val="22"/>
        </w:rPr>
        <w:t xml:space="preserve"> at Level 1, particularly related to imposed in host jurisdictions disclosure requirements and the allocation of imposed in host jurisdictions responsibilities for the supervision of complaints handling, would be required to mitigate challenges faced by firms when seeking to provide financial services cross-border whilst maintaining high </w:t>
      </w:r>
      <w:r w:rsidRPr="004B4D44">
        <w:rPr>
          <w:rFonts w:asciiTheme="majorHAnsi" w:hAnsiTheme="majorHAnsi" w:cstheme="majorHAnsi"/>
          <w:i/>
          <w:sz w:val="22"/>
          <w:szCs w:val="22"/>
        </w:rPr>
        <w:lastRenderedPageBreak/>
        <w:t>standards of consumer protection. Further analysis of materiality would be needed to conclude whether these differences actively hamper the provision of cross-border services. In order to facilitate and possibly enable the scaling up of services provision across the EU Single Market and ensure an adequate and uniform level of consumer protection across the EU, further</w:t>
      </w:r>
      <w:r w:rsidRPr="004578EA">
        <w:rPr>
          <w:rFonts w:asciiTheme="majorHAnsi" w:hAnsiTheme="majorHAnsi" w:cstheme="majorHAnsi"/>
          <w:i/>
          <w:sz w:val="22"/>
          <w:szCs w:val="22"/>
          <w:lang w:val="en-GB"/>
        </w:rPr>
        <w:t xml:space="preserve"> harmonisation</w:t>
      </w:r>
      <w:r w:rsidRPr="004B4D44">
        <w:rPr>
          <w:rFonts w:asciiTheme="majorHAnsi" w:hAnsiTheme="majorHAnsi" w:cstheme="majorHAnsi"/>
          <w:i/>
          <w:sz w:val="22"/>
          <w:szCs w:val="22"/>
        </w:rPr>
        <w:t xml:space="preserve"> in the area of the conduct of business, and consumer protection requirements would be required, while still respecting national competencies and local market specificities.’</w:t>
      </w:r>
    </w:p>
    <w:p w14:paraId="7ECEE6FC" w14:textId="77777777" w:rsidR="0055630E" w:rsidRPr="007F3CC8" w:rsidRDefault="0055630E" w:rsidP="007F3CC8">
      <w:pPr>
        <w:rPr>
          <w:lang w:val="en"/>
        </w:rPr>
      </w:pPr>
    </w:p>
    <w:p w14:paraId="241FCF96" w14:textId="4785B23A" w:rsidR="008E3C6D" w:rsidRPr="008E3C6D" w:rsidRDefault="008E3C6D" w:rsidP="000E04F5">
      <w:pPr>
        <w:spacing w:line="276" w:lineRule="auto"/>
        <w:jc w:val="both"/>
        <w:rPr>
          <w:rFonts w:ascii="Calibri" w:hAnsi="Calibri" w:cs="Calibri"/>
          <w:sz w:val="22"/>
          <w:szCs w:val="22"/>
          <w:lang w:val="en"/>
        </w:rPr>
      </w:pPr>
      <w:r w:rsidRPr="008E3C6D">
        <w:rPr>
          <w:rFonts w:ascii="Calibri" w:hAnsi="Calibri" w:cs="Calibri"/>
          <w:sz w:val="22"/>
          <w:szCs w:val="22"/>
          <w:lang w:val="en"/>
        </w:rPr>
        <w:t xml:space="preserve">Additionally, </w:t>
      </w:r>
      <w:r w:rsidRPr="008E3C6D">
        <w:rPr>
          <w:rFonts w:ascii="Calibri" w:eastAsiaTheme="minorHAnsi" w:hAnsi="Calibri" w:cs="Calibri"/>
          <w:color w:val="000000"/>
          <w:sz w:val="22"/>
          <w:szCs w:val="22"/>
          <w:lang w:val="en-GB"/>
        </w:rPr>
        <w:t>the implementation of GD</w:t>
      </w:r>
      <w:r w:rsidR="00A80914">
        <w:rPr>
          <w:rFonts w:ascii="Calibri" w:eastAsiaTheme="minorHAnsi" w:hAnsi="Calibri" w:cs="Calibri"/>
          <w:color w:val="000000"/>
          <w:sz w:val="22"/>
          <w:szCs w:val="22"/>
          <w:lang w:val="en-GB"/>
        </w:rPr>
        <w:t>PR has set a strong framework for</w:t>
      </w:r>
      <w:r w:rsidRPr="008E3C6D">
        <w:rPr>
          <w:rFonts w:ascii="Calibri" w:eastAsiaTheme="minorHAnsi" w:hAnsi="Calibri" w:cs="Calibri"/>
          <w:color w:val="000000"/>
          <w:sz w:val="22"/>
          <w:szCs w:val="22"/>
          <w:lang w:val="en-GB"/>
        </w:rPr>
        <w:t xml:space="preserve"> the protection of personal data, which could be clarified in certain cases to support innovation. In particular, when </w:t>
      </w:r>
      <w:r w:rsidR="000E04F5">
        <w:rPr>
          <w:rFonts w:ascii="Calibri" w:eastAsiaTheme="minorHAnsi" w:hAnsi="Calibri" w:cs="Calibri"/>
          <w:color w:val="000000"/>
          <w:sz w:val="22"/>
          <w:szCs w:val="22"/>
          <w:lang w:val="en-GB"/>
        </w:rPr>
        <w:t xml:space="preserve">it comes to the use of </w:t>
      </w:r>
      <w:r w:rsidR="00A80914">
        <w:rPr>
          <w:rFonts w:ascii="Calibri" w:eastAsiaTheme="minorHAnsi" w:hAnsi="Calibri" w:cs="Calibri"/>
          <w:color w:val="000000"/>
          <w:sz w:val="22"/>
          <w:szCs w:val="22"/>
          <w:lang w:val="en-GB"/>
        </w:rPr>
        <w:t>AI</w:t>
      </w:r>
      <w:r w:rsidR="000E04F5">
        <w:rPr>
          <w:rFonts w:ascii="Calibri" w:eastAsiaTheme="minorHAnsi" w:hAnsi="Calibri" w:cs="Calibri"/>
          <w:color w:val="000000"/>
          <w:sz w:val="22"/>
          <w:szCs w:val="22"/>
          <w:lang w:val="en-GB"/>
        </w:rPr>
        <w:t xml:space="preserve"> in</w:t>
      </w:r>
      <w:r w:rsidRPr="008E3C6D">
        <w:rPr>
          <w:rFonts w:ascii="Calibri" w:eastAsiaTheme="minorHAnsi" w:hAnsi="Calibri" w:cs="Calibri"/>
          <w:color w:val="000000"/>
          <w:sz w:val="22"/>
          <w:szCs w:val="22"/>
          <w:lang w:val="en-GB"/>
        </w:rPr>
        <w:t xml:space="preserve"> financial services, guidance on </w:t>
      </w:r>
      <w:r w:rsidR="00A80914">
        <w:rPr>
          <w:rFonts w:ascii="Calibri" w:eastAsiaTheme="minorHAnsi" w:hAnsi="Calibri" w:cs="Calibri"/>
          <w:color w:val="000000"/>
          <w:sz w:val="22"/>
          <w:szCs w:val="22"/>
          <w:lang w:val="en-GB"/>
        </w:rPr>
        <w:t>the applicability of the</w:t>
      </w:r>
      <w:r w:rsidRPr="008E3C6D">
        <w:rPr>
          <w:rFonts w:ascii="Calibri" w:eastAsiaTheme="minorHAnsi" w:hAnsi="Calibri" w:cs="Calibri"/>
          <w:color w:val="000000"/>
          <w:sz w:val="22"/>
          <w:szCs w:val="22"/>
          <w:lang w:val="en-GB"/>
        </w:rPr>
        <w:t xml:space="preserve"> GDPR coul</w:t>
      </w:r>
      <w:r w:rsidR="00A80914">
        <w:rPr>
          <w:rFonts w:ascii="Calibri" w:eastAsiaTheme="minorHAnsi" w:hAnsi="Calibri" w:cs="Calibri"/>
          <w:color w:val="000000"/>
          <w:sz w:val="22"/>
          <w:szCs w:val="22"/>
          <w:lang w:val="en-GB"/>
        </w:rPr>
        <w:t>d further foster an innovation-</w:t>
      </w:r>
      <w:r w:rsidRPr="008E3C6D">
        <w:rPr>
          <w:rFonts w:ascii="Calibri" w:eastAsiaTheme="minorHAnsi" w:hAnsi="Calibri" w:cs="Calibri"/>
          <w:color w:val="000000"/>
          <w:sz w:val="22"/>
          <w:szCs w:val="22"/>
          <w:lang w:val="en-GB"/>
        </w:rPr>
        <w:t>friendly regulatory environment.</w:t>
      </w:r>
      <w:r w:rsidR="009052C5">
        <w:rPr>
          <w:rFonts w:ascii="Calibri" w:eastAsiaTheme="minorHAnsi" w:hAnsi="Calibri" w:cs="Calibri"/>
          <w:color w:val="000000"/>
          <w:sz w:val="22"/>
          <w:szCs w:val="22"/>
          <w:lang w:val="en-GB"/>
        </w:rPr>
        <w:t xml:space="preserve"> </w:t>
      </w:r>
      <w:r w:rsidR="00A80914">
        <w:rPr>
          <w:rFonts w:ascii="Calibri" w:eastAsiaTheme="minorHAnsi" w:hAnsi="Calibri" w:cs="Calibri"/>
          <w:color w:val="000000"/>
          <w:sz w:val="22"/>
          <w:szCs w:val="22"/>
          <w:lang w:val="en-GB"/>
        </w:rPr>
        <w:t>Moreover, t</w:t>
      </w:r>
      <w:r w:rsidR="0055630E">
        <w:rPr>
          <w:rFonts w:ascii="Calibri" w:eastAsiaTheme="minorHAnsi" w:hAnsi="Calibri" w:cs="Calibri"/>
          <w:color w:val="000000"/>
          <w:sz w:val="22"/>
          <w:szCs w:val="22"/>
          <w:lang w:val="en-GB"/>
        </w:rPr>
        <w:t>he right</w:t>
      </w:r>
      <w:r w:rsidR="0055630E" w:rsidRPr="00094BC3">
        <w:rPr>
          <w:rFonts w:ascii="Calibri" w:eastAsiaTheme="minorHAnsi" w:hAnsi="Calibri" w:cs="Calibri"/>
          <w:color w:val="000000"/>
          <w:sz w:val="22"/>
          <w:szCs w:val="22"/>
          <w:lang w:val="en-GB"/>
        </w:rPr>
        <w:t xml:space="preserve"> balance between the framework for access to, processing and sharin</w:t>
      </w:r>
      <w:r w:rsidR="008F04D5">
        <w:rPr>
          <w:rFonts w:ascii="Calibri" w:eastAsiaTheme="minorHAnsi" w:hAnsi="Calibri" w:cs="Calibri"/>
          <w:color w:val="000000"/>
          <w:sz w:val="22"/>
          <w:szCs w:val="22"/>
          <w:lang w:val="en-GB"/>
        </w:rPr>
        <w:t>g of data through the use of AI</w:t>
      </w:r>
      <w:r w:rsidR="0055630E" w:rsidRPr="00094BC3">
        <w:rPr>
          <w:rFonts w:ascii="Calibri" w:eastAsiaTheme="minorHAnsi" w:hAnsi="Calibri" w:cs="Calibri"/>
          <w:color w:val="000000"/>
          <w:sz w:val="22"/>
          <w:szCs w:val="22"/>
          <w:lang w:val="en-GB"/>
        </w:rPr>
        <w:t xml:space="preserve"> </w:t>
      </w:r>
      <w:r w:rsidR="0055630E">
        <w:rPr>
          <w:rFonts w:ascii="Calibri" w:eastAsiaTheme="minorHAnsi" w:hAnsi="Calibri" w:cs="Calibri"/>
          <w:color w:val="000000"/>
          <w:sz w:val="22"/>
          <w:szCs w:val="22"/>
          <w:lang w:val="en-GB"/>
        </w:rPr>
        <w:t xml:space="preserve">should also be struck </w:t>
      </w:r>
      <w:r w:rsidR="0055630E" w:rsidRPr="00094BC3">
        <w:rPr>
          <w:rFonts w:ascii="Calibri" w:eastAsiaTheme="minorHAnsi" w:hAnsi="Calibri" w:cs="Calibri"/>
          <w:color w:val="000000"/>
          <w:sz w:val="22"/>
          <w:szCs w:val="22"/>
          <w:lang w:val="en-GB"/>
        </w:rPr>
        <w:t xml:space="preserve">in order to promote innovation and competition and establish a level playing field amongst actors while at the same time ensuring the </w:t>
      </w:r>
      <w:r w:rsidR="0055630E">
        <w:rPr>
          <w:rFonts w:ascii="Calibri" w:eastAsiaTheme="minorHAnsi" w:hAnsi="Calibri" w:cs="Calibri"/>
          <w:color w:val="000000"/>
          <w:sz w:val="22"/>
          <w:szCs w:val="22"/>
          <w:lang w:val="en-GB"/>
        </w:rPr>
        <w:t xml:space="preserve">ethical </w:t>
      </w:r>
      <w:r w:rsidR="0055630E" w:rsidRPr="00094BC3">
        <w:rPr>
          <w:rFonts w:ascii="Calibri" w:eastAsiaTheme="minorHAnsi" w:hAnsi="Calibri" w:cs="Calibri"/>
          <w:color w:val="000000"/>
          <w:sz w:val="22"/>
          <w:szCs w:val="22"/>
          <w:lang w:val="en-GB"/>
        </w:rPr>
        <w:t>use of personal data</w:t>
      </w:r>
      <w:r w:rsidR="0055630E">
        <w:rPr>
          <w:rFonts w:ascii="Calibri" w:eastAsiaTheme="minorHAnsi" w:hAnsi="Calibri" w:cs="Calibri"/>
          <w:color w:val="000000"/>
          <w:sz w:val="22"/>
          <w:szCs w:val="22"/>
          <w:lang w:val="en-GB"/>
        </w:rPr>
        <w:t xml:space="preserve">. </w:t>
      </w:r>
      <w:r w:rsidRPr="008E3C6D">
        <w:rPr>
          <w:rFonts w:ascii="Calibri" w:eastAsiaTheme="minorHAnsi" w:hAnsi="Calibri" w:cs="Calibri"/>
          <w:color w:val="000000"/>
          <w:sz w:val="22"/>
          <w:szCs w:val="22"/>
          <w:lang w:val="en-GB"/>
        </w:rPr>
        <w:t>For mo</w:t>
      </w:r>
      <w:r w:rsidR="000E04F5">
        <w:rPr>
          <w:rFonts w:ascii="Calibri" w:eastAsiaTheme="minorHAnsi" w:hAnsi="Calibri" w:cs="Calibri"/>
          <w:color w:val="000000"/>
          <w:sz w:val="22"/>
          <w:szCs w:val="22"/>
          <w:lang w:val="en-GB"/>
        </w:rPr>
        <w:t>re details, please refer to the</w:t>
      </w:r>
      <w:r w:rsidR="00F059D6">
        <w:rPr>
          <w:rFonts w:ascii="Calibri" w:eastAsiaTheme="minorHAnsi" w:hAnsi="Calibri" w:cs="Calibri"/>
          <w:color w:val="000000"/>
          <w:sz w:val="22"/>
          <w:szCs w:val="22"/>
          <w:lang w:val="en-GB"/>
        </w:rPr>
        <w:t xml:space="preserve"> EBA’s</w:t>
      </w:r>
      <w:r w:rsidR="000E04F5">
        <w:rPr>
          <w:rFonts w:ascii="Calibri" w:eastAsiaTheme="minorHAnsi" w:hAnsi="Calibri" w:cs="Calibri"/>
          <w:color w:val="000000"/>
          <w:sz w:val="22"/>
          <w:szCs w:val="22"/>
          <w:lang w:val="en-GB"/>
        </w:rPr>
        <w:t xml:space="preserve"> response to Question </w:t>
      </w:r>
      <w:r w:rsidRPr="008E3C6D">
        <w:rPr>
          <w:rFonts w:ascii="Calibri" w:eastAsiaTheme="minorHAnsi" w:hAnsi="Calibri" w:cs="Calibri"/>
          <w:color w:val="000000"/>
          <w:sz w:val="22"/>
          <w:szCs w:val="22"/>
          <w:lang w:val="en-GB"/>
        </w:rPr>
        <w:t>6.1.</w:t>
      </w:r>
    </w:p>
    <w:p w14:paraId="695029D8" w14:textId="4E45AB36" w:rsidR="004648A9" w:rsidRDefault="0019769E" w:rsidP="00F059D6">
      <w:pPr>
        <w:pStyle w:val="bullet1"/>
        <w:numPr>
          <w:ilvl w:val="0"/>
          <w:numId w:val="0"/>
        </w:numPr>
        <w:spacing w:after="0"/>
        <w:rPr>
          <w:rFonts w:ascii="Calibri" w:hAnsi="Calibri" w:cs="Calibri"/>
          <w:color w:val="000000" w:themeColor="text1"/>
        </w:rPr>
      </w:pPr>
      <w:r w:rsidRPr="008E3C6D">
        <w:rPr>
          <w:rFonts w:ascii="Calibri" w:eastAsia="Times New Roman" w:hAnsi="Calibri" w:cs="Calibri"/>
        </w:rPr>
        <w:t>The EBA’s FinTech work has also exposed areas where supervisors have adopted different policies or stances that show an inadvertent bias towards the status quo, quite often stemming from a lack of familiarity with newer technologies and the opportunities and risks involved</w:t>
      </w:r>
      <w:r w:rsidR="002E2E08">
        <w:rPr>
          <w:rFonts w:ascii="Calibri" w:eastAsia="Times New Roman" w:hAnsi="Calibri" w:cs="Calibri"/>
        </w:rPr>
        <w:t xml:space="preserve"> (the EBA’s work in relation to outsourcing to the cloud provides a good example in this regard)</w:t>
      </w:r>
      <w:r w:rsidRPr="008E3C6D">
        <w:rPr>
          <w:rFonts w:ascii="Calibri" w:eastAsia="Times New Roman" w:hAnsi="Calibri" w:cs="Calibri"/>
        </w:rPr>
        <w:t>. Differing approaches, and sometimes a lack of knowledge, can pose a very significant barrier for the scaling up of new technologies (for instance, taking the case of a banking group with a presence in multiple jurisdictions receiving different answers when asking whether it could pilot blockchain for intra-group transactions). For this reason, the EBA is taking steps to promote greater consistency in supervisory stances through specific initiatives to promote knowledge-sharing between supervisors (e.g. the EBA’s FinTech Knowledge Hub</w:t>
      </w:r>
      <w:r w:rsidRPr="008E3C6D">
        <w:rPr>
          <w:rStyle w:val="FootnoteReference"/>
          <w:rFonts w:ascii="Calibri" w:eastAsia="Times New Roman" w:hAnsi="Calibri" w:cs="Calibri"/>
        </w:rPr>
        <w:footnoteReference w:id="9"/>
      </w:r>
      <w:r w:rsidRPr="008E3C6D">
        <w:rPr>
          <w:rFonts w:ascii="Calibri" w:eastAsia="Times New Roman" w:hAnsi="Calibri" w:cs="Calibri"/>
        </w:rPr>
        <w:t xml:space="preserve"> and the European Forum for Innovation Facilitators (EFIF)</w:t>
      </w:r>
      <w:r w:rsidRPr="008E3C6D">
        <w:rPr>
          <w:rStyle w:val="FootnoteReference"/>
          <w:rFonts w:ascii="Calibri" w:eastAsia="Times New Roman" w:hAnsi="Calibri" w:cs="Calibri"/>
        </w:rPr>
        <w:footnoteReference w:id="10"/>
      </w:r>
      <w:r w:rsidRPr="008E3C6D">
        <w:rPr>
          <w:rFonts w:ascii="Calibri" w:eastAsia="Times New Roman" w:hAnsi="Calibri" w:cs="Calibri"/>
        </w:rPr>
        <w:t xml:space="preserve">) and to </w:t>
      </w:r>
      <w:r w:rsidRPr="008E3C6D">
        <w:rPr>
          <w:rFonts w:ascii="Calibri" w:hAnsi="Calibri" w:cs="Calibri"/>
          <w:color w:val="000000" w:themeColor="text1"/>
        </w:rPr>
        <w:t xml:space="preserve">promote common regulatory and supervisory </w:t>
      </w:r>
      <w:r w:rsidR="00067D9A">
        <w:rPr>
          <w:rFonts w:ascii="Calibri" w:hAnsi="Calibri" w:cs="Calibri"/>
          <w:color w:val="000000" w:themeColor="text1"/>
        </w:rPr>
        <w:t xml:space="preserve">approaches </w:t>
      </w:r>
      <w:r w:rsidRPr="008E3C6D">
        <w:rPr>
          <w:rFonts w:ascii="Calibri" w:hAnsi="Calibri" w:cs="Calibri"/>
          <w:color w:val="000000" w:themeColor="text1"/>
        </w:rPr>
        <w:t>(e.g. by updating guidance and regulation as needed, for instance, in relation to outsourcing to the cloud).</w:t>
      </w:r>
      <w:r w:rsidR="0023437F">
        <w:rPr>
          <w:rFonts w:ascii="Calibri" w:hAnsi="Calibri" w:cs="Calibri"/>
          <w:color w:val="000000" w:themeColor="text1"/>
        </w:rPr>
        <w:t xml:space="preserve"> However, actions to strengthen these </w:t>
      </w:r>
      <w:r w:rsidR="00036D35">
        <w:rPr>
          <w:rFonts w:ascii="Calibri" w:hAnsi="Calibri" w:cs="Calibri"/>
          <w:color w:val="000000" w:themeColor="text1"/>
        </w:rPr>
        <w:t>initiatives</w:t>
      </w:r>
      <w:r w:rsidR="0023437F">
        <w:rPr>
          <w:rFonts w:ascii="Calibri" w:hAnsi="Calibri" w:cs="Calibri"/>
          <w:color w:val="000000" w:themeColor="text1"/>
        </w:rPr>
        <w:t xml:space="preserve"> are strongly recommended (see </w:t>
      </w:r>
      <w:r w:rsidR="00F059D6">
        <w:rPr>
          <w:rFonts w:ascii="Calibri" w:hAnsi="Calibri" w:cs="Calibri"/>
          <w:color w:val="000000" w:themeColor="text1"/>
        </w:rPr>
        <w:t xml:space="preserve">the EBA’s </w:t>
      </w:r>
      <w:r w:rsidR="0023437F">
        <w:rPr>
          <w:rFonts w:ascii="Calibri" w:hAnsi="Calibri" w:cs="Calibri"/>
          <w:color w:val="000000" w:themeColor="text1"/>
        </w:rPr>
        <w:t>response to Question 14)</w:t>
      </w:r>
      <w:r w:rsidR="00E57172">
        <w:rPr>
          <w:rFonts w:ascii="Calibri" w:hAnsi="Calibri" w:cs="Calibri"/>
          <w:color w:val="000000" w:themeColor="text1"/>
        </w:rPr>
        <w:t xml:space="preserve"> and the EBA stands ready </w:t>
      </w:r>
      <w:r w:rsidR="00E83B51">
        <w:rPr>
          <w:rFonts w:ascii="Calibri" w:hAnsi="Calibri" w:cs="Calibri"/>
          <w:color w:val="000000" w:themeColor="text1"/>
        </w:rPr>
        <w:t xml:space="preserve">to </w:t>
      </w:r>
      <w:r w:rsidR="00E57172">
        <w:rPr>
          <w:rFonts w:ascii="Calibri" w:hAnsi="Calibri" w:cs="Calibri"/>
          <w:color w:val="000000" w:themeColor="text1"/>
        </w:rPr>
        <w:t>play its part and would welcome further mandates in this area</w:t>
      </w:r>
      <w:r w:rsidR="0023437F">
        <w:rPr>
          <w:rFonts w:ascii="Calibri" w:hAnsi="Calibri" w:cs="Calibri"/>
          <w:color w:val="000000" w:themeColor="text1"/>
        </w:rPr>
        <w:t xml:space="preserve">. </w:t>
      </w:r>
    </w:p>
    <w:p w14:paraId="6DE2D050" w14:textId="18042DB0" w:rsidR="004648A9" w:rsidRDefault="004648A9" w:rsidP="004648A9"/>
    <w:p w14:paraId="73597687" w14:textId="61886F91" w:rsidR="004648A9" w:rsidRPr="00851D35" w:rsidRDefault="004648A9" w:rsidP="004648A9">
      <w:pPr>
        <w:jc w:val="both"/>
        <w:rPr>
          <w:rFonts w:ascii="Calibri" w:hAnsi="Calibri" w:cs="Calibri"/>
          <w:b/>
        </w:rPr>
      </w:pPr>
      <w:r w:rsidRPr="00851D35">
        <w:rPr>
          <w:rFonts w:ascii="Calibri" w:hAnsi="Calibri" w:cs="Calibri"/>
          <w:b/>
        </w:rPr>
        <w:t>Question 5. Do you consider that the current level of consumer protection for the retail financial products and services established by the EU regulatory framework is technology neutral and should be also applied to innovative ones using new technologies, although adapted to the features of these products and to the distribution models?</w:t>
      </w:r>
    </w:p>
    <w:p w14:paraId="4A2D002A" w14:textId="77777777" w:rsidR="004648A9" w:rsidRPr="004648A9" w:rsidRDefault="004648A9" w:rsidP="004648A9">
      <w:pPr>
        <w:jc w:val="both"/>
        <w:rPr>
          <w:rFonts w:ascii="Calibri" w:hAnsi="Calibri" w:cs="Calibri"/>
          <w:b/>
          <w:sz w:val="22"/>
          <w:szCs w:val="22"/>
        </w:rPr>
      </w:pPr>
    </w:p>
    <w:p w14:paraId="7BDE6BA1" w14:textId="7C175953" w:rsidR="004648A9" w:rsidRDefault="004648A9" w:rsidP="004648A9">
      <w:pPr>
        <w:jc w:val="center"/>
        <w:rPr>
          <w:rFonts w:ascii="Calibri" w:hAnsi="Calibri" w:cs="Calibri"/>
          <w:b/>
          <w:spacing w:val="2"/>
        </w:rPr>
      </w:pPr>
      <w:r w:rsidRPr="008475DD">
        <w:rPr>
          <w:rFonts w:cstheme="minorHAnsi"/>
          <w:b/>
          <w:noProof/>
          <w:lang w:val="en-GB" w:eastAsia="en-GB"/>
        </w:rPr>
        <w:drawing>
          <wp:inline distT="0" distB="0" distL="0" distR="0" wp14:anchorId="26CAD05F" wp14:editId="4DA892DE">
            <wp:extent cx="3277057" cy="676369"/>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057" cy="676369"/>
                    </a:xfrm>
                    <a:prstGeom prst="rect">
                      <a:avLst/>
                    </a:prstGeom>
                  </pic:spPr>
                </pic:pic>
              </a:graphicData>
            </a:graphic>
          </wp:inline>
        </w:drawing>
      </w:r>
    </w:p>
    <w:p w14:paraId="2AC5224E" w14:textId="5AC5318E" w:rsidR="004648A9" w:rsidRDefault="004648A9" w:rsidP="007444D7">
      <w:pPr>
        <w:jc w:val="both"/>
        <w:rPr>
          <w:rFonts w:ascii="Calibri" w:hAnsi="Calibri" w:cs="Calibri"/>
          <w:b/>
          <w:spacing w:val="2"/>
        </w:rPr>
      </w:pPr>
    </w:p>
    <w:p w14:paraId="75A95128" w14:textId="77777777" w:rsidR="00851D35" w:rsidRPr="00851D35" w:rsidRDefault="00851D35" w:rsidP="00851D35">
      <w:pPr>
        <w:spacing w:before="227"/>
        <w:ind w:right="-8"/>
        <w:jc w:val="both"/>
        <w:rPr>
          <w:rFonts w:ascii="Calibri" w:hAnsi="Calibri" w:cs="Calibri"/>
          <w:b/>
        </w:rPr>
      </w:pPr>
      <w:r w:rsidRPr="00851D35">
        <w:rPr>
          <w:rFonts w:ascii="Calibri" w:hAnsi="Calibri" w:cs="Calibri"/>
          <w:b/>
        </w:rPr>
        <w:t>Question 5.1 Please explain your reasoning on your answer to question 5, and where relevant explain the necessary adaptations:</w:t>
      </w:r>
    </w:p>
    <w:p w14:paraId="5A0B0234" w14:textId="23A33C05" w:rsidR="004648A9" w:rsidRDefault="004648A9" w:rsidP="007444D7">
      <w:pPr>
        <w:jc w:val="both"/>
        <w:rPr>
          <w:rFonts w:ascii="Calibri" w:hAnsi="Calibri" w:cs="Calibri"/>
          <w:b/>
          <w:spacing w:val="2"/>
        </w:rPr>
      </w:pPr>
    </w:p>
    <w:p w14:paraId="657D3FC0" w14:textId="2F0E6B62" w:rsidR="00E044BE" w:rsidRDefault="00E044BE" w:rsidP="00E044BE">
      <w:pPr>
        <w:spacing w:line="276" w:lineRule="auto"/>
        <w:jc w:val="both"/>
        <w:rPr>
          <w:rFonts w:ascii="Calibri" w:hAnsi="Calibri" w:cs="Calibri"/>
          <w:sz w:val="22"/>
          <w:szCs w:val="22"/>
        </w:rPr>
      </w:pPr>
      <w:r w:rsidRPr="009968AD">
        <w:rPr>
          <w:rFonts w:ascii="Calibri" w:hAnsi="Calibri" w:cs="Calibri"/>
          <w:sz w:val="22"/>
          <w:szCs w:val="22"/>
        </w:rPr>
        <w:t>The EBA is of the view that the principle of technological neutrality is</w:t>
      </w:r>
      <w:r>
        <w:rPr>
          <w:rFonts w:ascii="Calibri" w:hAnsi="Calibri" w:cs="Calibri"/>
          <w:sz w:val="22"/>
          <w:szCs w:val="22"/>
        </w:rPr>
        <w:t>, on the whole,</w:t>
      </w:r>
      <w:r w:rsidRPr="009968AD">
        <w:rPr>
          <w:rFonts w:ascii="Calibri" w:hAnsi="Calibri" w:cs="Calibri"/>
          <w:sz w:val="22"/>
          <w:szCs w:val="22"/>
        </w:rPr>
        <w:t xml:space="preserve"> sufficiently embedded in the EU regulatory framework </w:t>
      </w:r>
      <w:r>
        <w:rPr>
          <w:rFonts w:ascii="Calibri" w:hAnsi="Calibri" w:cs="Calibri"/>
          <w:sz w:val="22"/>
          <w:szCs w:val="22"/>
        </w:rPr>
        <w:t>within the scope of action of the EBA</w:t>
      </w:r>
      <w:r w:rsidR="00F059D6">
        <w:rPr>
          <w:rFonts w:ascii="Calibri" w:hAnsi="Calibri" w:cs="Calibri"/>
          <w:sz w:val="22"/>
          <w:szCs w:val="22"/>
        </w:rPr>
        <w:t>,</w:t>
      </w:r>
      <w:r>
        <w:rPr>
          <w:rFonts w:ascii="Calibri" w:hAnsi="Calibri" w:cs="Calibri"/>
          <w:sz w:val="22"/>
          <w:szCs w:val="22"/>
        </w:rPr>
        <w:t xml:space="preserve"> albeit that continuous monitoring is required to ensure that any inadvertent obstacles can be identified and addressed on a timely basis (e.g. by avoiding the inclusion of p</w:t>
      </w:r>
      <w:r w:rsidR="00F059D6">
        <w:rPr>
          <w:rFonts w:ascii="Calibri" w:hAnsi="Calibri" w:cs="Calibri"/>
          <w:sz w:val="22"/>
          <w:szCs w:val="22"/>
        </w:rPr>
        <w:t>aper-by-default requirements and</w:t>
      </w:r>
      <w:r>
        <w:rPr>
          <w:rFonts w:ascii="Calibri" w:hAnsi="Calibri" w:cs="Calibri"/>
          <w:sz w:val="22"/>
          <w:szCs w:val="22"/>
        </w:rPr>
        <w:t xml:space="preserve"> reviewing the concept of ‘durable medium’)</w:t>
      </w:r>
      <w:r w:rsidRPr="009968AD">
        <w:rPr>
          <w:rFonts w:ascii="Calibri" w:hAnsi="Calibri" w:cs="Calibri"/>
          <w:sz w:val="22"/>
          <w:szCs w:val="22"/>
        </w:rPr>
        <w:t xml:space="preserve">. </w:t>
      </w:r>
    </w:p>
    <w:p w14:paraId="1103A6B5" w14:textId="77777777" w:rsidR="00E044BE" w:rsidRDefault="00E044BE" w:rsidP="00E044BE">
      <w:pPr>
        <w:spacing w:line="276" w:lineRule="auto"/>
        <w:jc w:val="both"/>
        <w:rPr>
          <w:rFonts w:ascii="Calibri" w:hAnsi="Calibri" w:cs="Calibri"/>
          <w:sz w:val="22"/>
          <w:szCs w:val="22"/>
        </w:rPr>
      </w:pPr>
    </w:p>
    <w:p w14:paraId="541F2E31" w14:textId="77777777" w:rsidR="00E044BE" w:rsidRPr="009968AD" w:rsidRDefault="00E044BE" w:rsidP="00E044BE">
      <w:pPr>
        <w:spacing w:line="276" w:lineRule="auto"/>
        <w:jc w:val="both"/>
        <w:rPr>
          <w:rFonts w:ascii="Calibri" w:hAnsi="Calibri" w:cs="Calibri"/>
          <w:sz w:val="22"/>
          <w:szCs w:val="22"/>
        </w:rPr>
      </w:pPr>
      <w:r w:rsidRPr="009968AD">
        <w:rPr>
          <w:rFonts w:ascii="Calibri" w:hAnsi="Calibri" w:cs="Calibri"/>
          <w:sz w:val="22"/>
          <w:szCs w:val="22"/>
        </w:rPr>
        <w:t>The EBA has always been</w:t>
      </w:r>
      <w:r>
        <w:rPr>
          <w:rFonts w:ascii="Calibri" w:hAnsi="Calibri" w:cs="Calibri"/>
          <w:sz w:val="22"/>
          <w:szCs w:val="22"/>
        </w:rPr>
        <w:t xml:space="preserve"> a strong proponent of the principle of</w:t>
      </w:r>
      <w:r w:rsidRPr="009968AD">
        <w:rPr>
          <w:rFonts w:ascii="Calibri" w:hAnsi="Calibri" w:cs="Calibri"/>
          <w:sz w:val="22"/>
          <w:szCs w:val="22"/>
        </w:rPr>
        <w:t xml:space="preserve"> technological neutrality and has always </w:t>
      </w:r>
      <w:r>
        <w:rPr>
          <w:rFonts w:ascii="Calibri" w:hAnsi="Calibri" w:cs="Calibri"/>
          <w:sz w:val="22"/>
          <w:szCs w:val="22"/>
        </w:rPr>
        <w:t>sought to</w:t>
      </w:r>
      <w:r w:rsidRPr="009968AD">
        <w:rPr>
          <w:rFonts w:ascii="Calibri" w:hAnsi="Calibri" w:cs="Calibri"/>
          <w:sz w:val="22"/>
          <w:szCs w:val="22"/>
        </w:rPr>
        <w:t xml:space="preserve"> promote</w:t>
      </w:r>
      <w:r>
        <w:rPr>
          <w:rFonts w:ascii="Calibri" w:hAnsi="Calibri" w:cs="Calibri"/>
          <w:sz w:val="22"/>
          <w:szCs w:val="22"/>
        </w:rPr>
        <w:t xml:space="preserve"> this principle</w:t>
      </w:r>
      <w:r w:rsidRPr="009968AD">
        <w:rPr>
          <w:rFonts w:ascii="Calibri" w:hAnsi="Calibri" w:cs="Calibri"/>
          <w:sz w:val="22"/>
          <w:szCs w:val="22"/>
        </w:rPr>
        <w:t xml:space="preserve"> in regulatory and supervisory approaches, including in the area of consumer protection, with a view to ensur</w:t>
      </w:r>
      <w:r>
        <w:rPr>
          <w:rFonts w:ascii="Calibri" w:hAnsi="Calibri" w:cs="Calibri"/>
          <w:sz w:val="22"/>
          <w:szCs w:val="22"/>
        </w:rPr>
        <w:t>ing</w:t>
      </w:r>
      <w:r w:rsidRPr="009968AD">
        <w:rPr>
          <w:rFonts w:ascii="Calibri" w:hAnsi="Calibri" w:cs="Calibri"/>
          <w:sz w:val="22"/>
          <w:szCs w:val="22"/>
        </w:rPr>
        <w:t xml:space="preserve"> a level playing field between (competing types of) </w:t>
      </w:r>
      <w:r>
        <w:rPr>
          <w:rFonts w:ascii="Calibri" w:hAnsi="Calibri" w:cs="Calibri"/>
          <w:sz w:val="22"/>
          <w:szCs w:val="22"/>
        </w:rPr>
        <w:t>financial services</w:t>
      </w:r>
      <w:r w:rsidRPr="009968AD">
        <w:rPr>
          <w:rFonts w:ascii="Calibri" w:hAnsi="Calibri" w:cs="Calibri"/>
          <w:sz w:val="22"/>
          <w:szCs w:val="22"/>
        </w:rPr>
        <w:t xml:space="preserve"> providers and to facilitate innovation. </w:t>
      </w:r>
    </w:p>
    <w:p w14:paraId="4B3BEFBB" w14:textId="77777777" w:rsidR="00E044BE" w:rsidRPr="009968AD" w:rsidRDefault="00E044BE" w:rsidP="00E044BE">
      <w:pPr>
        <w:spacing w:line="276" w:lineRule="auto"/>
        <w:jc w:val="both"/>
        <w:rPr>
          <w:rFonts w:ascii="Calibri" w:hAnsi="Calibri" w:cs="Calibri"/>
          <w:sz w:val="22"/>
          <w:szCs w:val="22"/>
        </w:rPr>
      </w:pPr>
    </w:p>
    <w:p w14:paraId="5568C248" w14:textId="1EFC574F" w:rsidR="00E044BE" w:rsidRPr="009968AD" w:rsidRDefault="00E044BE" w:rsidP="00E044BE">
      <w:pPr>
        <w:spacing w:line="276" w:lineRule="auto"/>
        <w:jc w:val="both"/>
        <w:rPr>
          <w:rFonts w:ascii="Calibri" w:hAnsi="Calibri" w:cs="Calibri"/>
          <w:sz w:val="22"/>
          <w:szCs w:val="22"/>
        </w:rPr>
      </w:pPr>
      <w:r w:rsidRPr="009968AD">
        <w:rPr>
          <w:rFonts w:ascii="Calibri" w:hAnsi="Calibri" w:cs="Calibri"/>
          <w:sz w:val="22"/>
          <w:szCs w:val="22"/>
        </w:rPr>
        <w:t xml:space="preserve">As stated in the </w:t>
      </w:r>
      <w:hyperlink r:id="rId18" w:history="1">
        <w:r w:rsidRPr="00663BB6">
          <w:rPr>
            <w:rStyle w:val="Hyperlink"/>
            <w:rFonts w:ascii="Calibri" w:hAnsi="Calibri"/>
            <w:color w:val="0070C0"/>
            <w:sz w:val="22"/>
          </w:rPr>
          <w:t>EBA FinTech Roadmap</w:t>
        </w:r>
      </w:hyperlink>
      <w:r w:rsidRPr="009968AD">
        <w:rPr>
          <w:rFonts w:ascii="Calibri" w:hAnsi="Calibri" w:cs="Calibri"/>
          <w:sz w:val="22"/>
          <w:szCs w:val="22"/>
        </w:rPr>
        <w:t xml:space="preserve">, technological neutrality and proportionality can be pursued via three main avenues. The first is when reviewing existing EU measures/developing new measures and during ongoing monitoring of regulation and supervisory guidance, typically designed at the entity rather than the activity level. The second is in the authorisations space generally and, in particular, in understanding how sandboxing regimes and </w:t>
      </w:r>
      <w:r>
        <w:rPr>
          <w:rFonts w:ascii="Calibri" w:hAnsi="Calibri" w:cs="Calibri"/>
          <w:sz w:val="22"/>
          <w:szCs w:val="22"/>
        </w:rPr>
        <w:t>supervisory discretions and</w:t>
      </w:r>
      <w:r w:rsidRPr="009968AD">
        <w:rPr>
          <w:rFonts w:ascii="Calibri" w:hAnsi="Calibri" w:cs="Calibri"/>
          <w:sz w:val="22"/>
          <w:szCs w:val="22"/>
        </w:rPr>
        <w:t xml:space="preserve"> </w:t>
      </w:r>
      <w:r>
        <w:rPr>
          <w:rFonts w:ascii="Calibri" w:hAnsi="Calibri" w:cs="Calibri"/>
          <w:sz w:val="22"/>
          <w:szCs w:val="22"/>
        </w:rPr>
        <w:t>levers to achieve proportionality in authorisation and regulation</w:t>
      </w:r>
      <w:r w:rsidRPr="009968AD">
        <w:rPr>
          <w:rFonts w:ascii="Calibri" w:hAnsi="Calibri" w:cs="Calibri"/>
          <w:sz w:val="22"/>
          <w:szCs w:val="22"/>
        </w:rPr>
        <w:t xml:space="preserve"> are working to create the space for emerging technologies </w:t>
      </w:r>
      <w:r w:rsidR="00F059D6">
        <w:rPr>
          <w:rFonts w:ascii="Calibri" w:hAnsi="Calibri" w:cs="Calibri"/>
          <w:sz w:val="22"/>
          <w:szCs w:val="22"/>
        </w:rPr>
        <w:t xml:space="preserve">and new delivery mechanisms </w:t>
      </w:r>
      <w:r w:rsidRPr="009968AD">
        <w:rPr>
          <w:rFonts w:ascii="Calibri" w:hAnsi="Calibri" w:cs="Calibri"/>
          <w:sz w:val="22"/>
          <w:szCs w:val="22"/>
        </w:rPr>
        <w:t>while maintaining robust and consistent entry criteria. The third is the sharing of supervisory knowledge and experience in assessing, and responding to, new technologies, which is critical in promoting technological neutrality in the daily work of supervisors.</w:t>
      </w:r>
    </w:p>
    <w:p w14:paraId="2EF22CD5" w14:textId="77777777" w:rsidR="00E044BE" w:rsidRPr="009968AD" w:rsidRDefault="00E044BE" w:rsidP="00E044BE">
      <w:pPr>
        <w:spacing w:line="276" w:lineRule="auto"/>
        <w:ind w:left="385"/>
        <w:jc w:val="both"/>
        <w:rPr>
          <w:rFonts w:ascii="Calibri" w:hAnsi="Calibri" w:cs="Calibri"/>
          <w:sz w:val="22"/>
          <w:szCs w:val="22"/>
        </w:rPr>
      </w:pPr>
    </w:p>
    <w:p w14:paraId="7B55569A" w14:textId="3FB08289" w:rsidR="009968AD" w:rsidRDefault="00E044BE" w:rsidP="00E044BE">
      <w:pPr>
        <w:spacing w:line="276" w:lineRule="auto"/>
        <w:jc w:val="both"/>
        <w:rPr>
          <w:rFonts w:ascii="Calibri" w:hAnsi="Calibri" w:cs="Calibri"/>
          <w:sz w:val="22"/>
          <w:szCs w:val="22"/>
        </w:rPr>
      </w:pPr>
      <w:r>
        <w:rPr>
          <w:rFonts w:ascii="Calibri" w:hAnsi="Calibri" w:cs="Calibri"/>
          <w:sz w:val="22"/>
          <w:szCs w:val="22"/>
        </w:rPr>
        <w:t>In any context</w:t>
      </w:r>
      <w:r w:rsidR="002C19E3">
        <w:rPr>
          <w:rFonts w:ascii="Calibri" w:hAnsi="Calibri" w:cs="Calibri"/>
          <w:sz w:val="22"/>
          <w:szCs w:val="22"/>
        </w:rPr>
        <w:t>,</w:t>
      </w:r>
      <w:r>
        <w:rPr>
          <w:rFonts w:ascii="Calibri" w:hAnsi="Calibri" w:cs="Calibri"/>
          <w:sz w:val="22"/>
          <w:szCs w:val="22"/>
        </w:rPr>
        <w:t xml:space="preserve"> the EBA advocates for a high standard of consumer protection. This</w:t>
      </w:r>
      <w:r w:rsidRPr="009968AD">
        <w:rPr>
          <w:rFonts w:ascii="Calibri" w:hAnsi="Calibri" w:cs="Calibri"/>
          <w:sz w:val="22"/>
          <w:szCs w:val="22"/>
        </w:rPr>
        <w:t xml:space="preserve"> does not mean that the exact same rules must be applied across all distribution channels</w:t>
      </w:r>
      <w:r>
        <w:rPr>
          <w:rFonts w:ascii="Calibri" w:hAnsi="Calibri" w:cs="Calibri"/>
          <w:sz w:val="22"/>
          <w:szCs w:val="22"/>
        </w:rPr>
        <w:t xml:space="preserve"> in order to achieve technological neutrality since</w:t>
      </w:r>
      <w:r w:rsidRPr="009968AD">
        <w:rPr>
          <w:rFonts w:ascii="Calibri" w:hAnsi="Calibri" w:cs="Calibri"/>
          <w:sz w:val="22"/>
          <w:szCs w:val="22"/>
        </w:rPr>
        <w:t xml:space="preserve"> the</w:t>
      </w:r>
      <w:r>
        <w:rPr>
          <w:rFonts w:ascii="Calibri" w:hAnsi="Calibri" w:cs="Calibri"/>
          <w:sz w:val="22"/>
          <w:szCs w:val="22"/>
        </w:rPr>
        <w:t>y</w:t>
      </w:r>
      <w:r w:rsidRPr="009968AD">
        <w:rPr>
          <w:rFonts w:ascii="Calibri" w:hAnsi="Calibri" w:cs="Calibri"/>
          <w:sz w:val="22"/>
          <w:szCs w:val="22"/>
        </w:rPr>
        <w:t xml:space="preserve"> may need to be adapted to the</w:t>
      </w:r>
      <w:r>
        <w:rPr>
          <w:rFonts w:ascii="Calibri" w:hAnsi="Calibri" w:cs="Calibri"/>
          <w:sz w:val="22"/>
          <w:szCs w:val="22"/>
        </w:rPr>
        <w:t xml:space="preserve"> specific</w:t>
      </w:r>
      <w:r w:rsidRPr="009968AD">
        <w:rPr>
          <w:rFonts w:ascii="Calibri" w:hAnsi="Calibri" w:cs="Calibri"/>
          <w:sz w:val="22"/>
          <w:szCs w:val="22"/>
        </w:rPr>
        <w:t xml:space="preserve"> features</w:t>
      </w:r>
      <w:r>
        <w:rPr>
          <w:rFonts w:ascii="Calibri" w:hAnsi="Calibri" w:cs="Calibri"/>
          <w:sz w:val="22"/>
          <w:szCs w:val="22"/>
        </w:rPr>
        <w:t xml:space="preserve"> and risks</w:t>
      </w:r>
      <w:r w:rsidRPr="009968AD">
        <w:rPr>
          <w:rFonts w:ascii="Calibri" w:hAnsi="Calibri" w:cs="Calibri"/>
          <w:sz w:val="22"/>
          <w:szCs w:val="22"/>
        </w:rPr>
        <w:t xml:space="preserve"> of the products and distribution channels with the aim of assuring the same outcomes in terms of consumer protection.</w:t>
      </w:r>
      <w:r w:rsidRPr="00EC2D43">
        <w:rPr>
          <w:rFonts w:ascii="Calibri" w:hAnsi="Calibri" w:cs="Calibri"/>
          <w:sz w:val="22"/>
          <w:szCs w:val="22"/>
        </w:rPr>
        <w:t xml:space="preserve"> </w:t>
      </w:r>
      <w:r>
        <w:rPr>
          <w:rFonts w:ascii="Calibri" w:hAnsi="Calibri" w:cs="Calibri"/>
          <w:sz w:val="22"/>
          <w:szCs w:val="22"/>
        </w:rPr>
        <w:t>This may be particularly relevant in the case of</w:t>
      </w:r>
      <w:r w:rsidRPr="00FE6EC8">
        <w:rPr>
          <w:rFonts w:ascii="Calibri" w:hAnsi="Calibri" w:cs="Calibri"/>
          <w:sz w:val="22"/>
          <w:szCs w:val="22"/>
        </w:rPr>
        <w:t xml:space="preserve"> the internet of things (IoT) </w:t>
      </w:r>
      <w:r>
        <w:rPr>
          <w:rFonts w:ascii="Calibri" w:hAnsi="Calibri" w:cs="Calibri"/>
          <w:sz w:val="22"/>
          <w:szCs w:val="22"/>
        </w:rPr>
        <w:t>applied</w:t>
      </w:r>
      <w:r w:rsidRPr="00FE6EC8">
        <w:rPr>
          <w:rFonts w:ascii="Calibri" w:hAnsi="Calibri" w:cs="Calibri"/>
          <w:sz w:val="22"/>
          <w:szCs w:val="22"/>
        </w:rPr>
        <w:t xml:space="preserve"> </w:t>
      </w:r>
      <w:r>
        <w:rPr>
          <w:rFonts w:ascii="Calibri" w:hAnsi="Calibri" w:cs="Calibri"/>
          <w:sz w:val="22"/>
          <w:szCs w:val="22"/>
        </w:rPr>
        <w:t>to</w:t>
      </w:r>
      <w:r w:rsidRPr="00FE6EC8">
        <w:rPr>
          <w:rFonts w:ascii="Calibri" w:hAnsi="Calibri" w:cs="Calibri"/>
          <w:sz w:val="22"/>
          <w:szCs w:val="22"/>
        </w:rPr>
        <w:t xml:space="preserve"> financial services. Customers can currently perform transactions very easily using wearable IoT devices, open bank accounts or access financial products and services via smart speakers which offer voice commands.</w:t>
      </w:r>
      <w:r>
        <w:rPr>
          <w:rFonts w:ascii="Calibri" w:hAnsi="Calibri" w:cs="Calibri"/>
          <w:sz w:val="22"/>
          <w:szCs w:val="22"/>
        </w:rPr>
        <w:t xml:space="preserve"> In order to mitigate</w:t>
      </w:r>
      <w:r w:rsidRPr="00FE6EC8">
        <w:rPr>
          <w:rFonts w:ascii="Calibri" w:hAnsi="Calibri" w:cs="Calibri"/>
          <w:sz w:val="22"/>
          <w:szCs w:val="22"/>
        </w:rPr>
        <w:t xml:space="preserve"> </w:t>
      </w:r>
      <w:r>
        <w:rPr>
          <w:rFonts w:ascii="Calibri" w:hAnsi="Calibri" w:cs="Calibri"/>
          <w:sz w:val="22"/>
          <w:szCs w:val="22"/>
        </w:rPr>
        <w:t xml:space="preserve">the potential risk of </w:t>
      </w:r>
      <w:r w:rsidRPr="00FE6EC8">
        <w:rPr>
          <w:rFonts w:ascii="Calibri" w:hAnsi="Calibri" w:cs="Calibri"/>
          <w:sz w:val="22"/>
          <w:szCs w:val="22"/>
        </w:rPr>
        <w:t xml:space="preserve">consumers </w:t>
      </w:r>
      <w:r>
        <w:rPr>
          <w:rFonts w:ascii="Calibri" w:hAnsi="Calibri" w:cs="Calibri"/>
          <w:sz w:val="22"/>
          <w:szCs w:val="22"/>
        </w:rPr>
        <w:t xml:space="preserve">not being provided with </w:t>
      </w:r>
      <w:r w:rsidRPr="00FE6EC8">
        <w:rPr>
          <w:rFonts w:ascii="Calibri" w:hAnsi="Calibri" w:cs="Calibri"/>
          <w:sz w:val="22"/>
          <w:szCs w:val="22"/>
        </w:rPr>
        <w:t xml:space="preserve">the required information or advice before purchasing a product, </w:t>
      </w:r>
      <w:r>
        <w:rPr>
          <w:rFonts w:ascii="Calibri" w:hAnsi="Calibri" w:cs="Calibri"/>
          <w:sz w:val="22"/>
          <w:szCs w:val="22"/>
        </w:rPr>
        <w:t>or suffering detriment from potential</w:t>
      </w:r>
      <w:r w:rsidRPr="00FE6EC8">
        <w:rPr>
          <w:rFonts w:ascii="Calibri" w:hAnsi="Calibri" w:cs="Calibri"/>
          <w:sz w:val="22"/>
          <w:szCs w:val="22"/>
        </w:rPr>
        <w:t xml:space="preserve"> new privacy and cybersecurity risks</w:t>
      </w:r>
      <w:r>
        <w:rPr>
          <w:rFonts w:ascii="Calibri" w:hAnsi="Calibri" w:cs="Calibri"/>
          <w:sz w:val="22"/>
          <w:szCs w:val="22"/>
        </w:rPr>
        <w:t>, online scams</w:t>
      </w:r>
      <w:r w:rsidRPr="00FE6EC8">
        <w:rPr>
          <w:rFonts w:ascii="Calibri" w:hAnsi="Calibri" w:cs="Calibri"/>
          <w:sz w:val="22"/>
          <w:szCs w:val="22"/>
        </w:rPr>
        <w:t xml:space="preserve"> or lack of transparency regarding how those products and services are selected by the intermediary</w:t>
      </w:r>
      <w:r>
        <w:rPr>
          <w:rFonts w:ascii="Calibri" w:hAnsi="Calibri" w:cs="Calibri"/>
          <w:sz w:val="22"/>
          <w:szCs w:val="22"/>
        </w:rPr>
        <w:t>, the EU regulatory framework should be continuously assessed to ensure it remains fit for purpose</w:t>
      </w:r>
      <w:r w:rsidRPr="00FE6EC8">
        <w:rPr>
          <w:rFonts w:ascii="Calibri" w:hAnsi="Calibri" w:cs="Calibri"/>
          <w:sz w:val="22"/>
          <w:szCs w:val="22"/>
        </w:rPr>
        <w:t>.</w:t>
      </w:r>
    </w:p>
    <w:p w14:paraId="213558A1" w14:textId="77777777" w:rsidR="00AE7376" w:rsidRDefault="00AE7376" w:rsidP="00AE7376">
      <w:pPr>
        <w:spacing w:line="276" w:lineRule="auto"/>
        <w:jc w:val="both"/>
        <w:rPr>
          <w:rFonts w:ascii="Calibri" w:hAnsi="Calibri" w:cs="Calibri"/>
          <w:sz w:val="22"/>
          <w:szCs w:val="22"/>
        </w:rPr>
      </w:pPr>
    </w:p>
    <w:p w14:paraId="441A147A" w14:textId="7AE9F163" w:rsidR="00147A22" w:rsidRPr="007444D7" w:rsidRDefault="00147A22" w:rsidP="007444D7">
      <w:pPr>
        <w:jc w:val="both"/>
        <w:rPr>
          <w:rFonts w:ascii="Calibri" w:hAnsi="Calibri" w:cs="Calibri"/>
          <w:b/>
        </w:rPr>
      </w:pPr>
      <w:r w:rsidRPr="007444D7">
        <w:rPr>
          <w:rFonts w:ascii="Calibri" w:hAnsi="Calibri" w:cs="Calibri"/>
          <w:b/>
          <w:spacing w:val="2"/>
        </w:rPr>
        <w:t xml:space="preserve">Question </w:t>
      </w:r>
      <w:r w:rsidRPr="007444D7">
        <w:rPr>
          <w:rFonts w:ascii="Calibri" w:hAnsi="Calibri" w:cs="Calibri"/>
          <w:b/>
        </w:rPr>
        <w:t xml:space="preserve">6. In </w:t>
      </w:r>
      <w:r w:rsidRPr="007444D7">
        <w:rPr>
          <w:rFonts w:ascii="Calibri" w:hAnsi="Calibri" w:cs="Calibri"/>
          <w:b/>
          <w:spacing w:val="2"/>
        </w:rPr>
        <w:t xml:space="preserve">your opinion, </w:t>
      </w:r>
      <w:r w:rsidRPr="007444D7">
        <w:rPr>
          <w:rFonts w:ascii="Calibri" w:hAnsi="Calibri" w:cs="Calibri"/>
          <w:b/>
        </w:rPr>
        <w:t xml:space="preserve">is the use for </w:t>
      </w:r>
      <w:r w:rsidRPr="007444D7">
        <w:rPr>
          <w:rFonts w:ascii="Calibri" w:hAnsi="Calibri" w:cs="Calibri"/>
          <w:b/>
          <w:spacing w:val="2"/>
        </w:rPr>
        <w:t xml:space="preserve">financial services </w:t>
      </w:r>
      <w:r w:rsidRPr="007444D7">
        <w:rPr>
          <w:rFonts w:ascii="Calibri" w:hAnsi="Calibri" w:cs="Calibri"/>
          <w:b/>
        </w:rPr>
        <w:t xml:space="preserve">of the new technologies listed below limited due to obstacles stemming from the EU </w:t>
      </w:r>
      <w:r w:rsidRPr="007444D7">
        <w:rPr>
          <w:rFonts w:ascii="Calibri" w:hAnsi="Calibri" w:cs="Calibri"/>
          <w:b/>
          <w:spacing w:val="3"/>
        </w:rPr>
        <w:t xml:space="preserve">financial services regulatory </w:t>
      </w:r>
      <w:r w:rsidRPr="007444D7">
        <w:rPr>
          <w:rFonts w:ascii="Calibri" w:hAnsi="Calibri" w:cs="Calibri"/>
          <w:b/>
          <w:spacing w:val="3"/>
        </w:rPr>
        <w:lastRenderedPageBreak/>
        <w:t xml:space="preserve">framework </w:t>
      </w:r>
      <w:r w:rsidRPr="007444D7">
        <w:rPr>
          <w:rFonts w:ascii="Calibri" w:hAnsi="Calibri" w:cs="Calibri"/>
          <w:b/>
        </w:rPr>
        <w:t xml:space="preserve">or </w:t>
      </w:r>
      <w:r w:rsidRPr="007444D7">
        <w:rPr>
          <w:rFonts w:ascii="Calibri" w:hAnsi="Calibri" w:cs="Calibri"/>
          <w:b/>
          <w:spacing w:val="3"/>
        </w:rPr>
        <w:t xml:space="preserve">other </w:t>
      </w:r>
      <w:r w:rsidRPr="007444D7">
        <w:rPr>
          <w:rFonts w:ascii="Calibri" w:hAnsi="Calibri" w:cs="Calibri"/>
          <w:b/>
        </w:rPr>
        <w:t xml:space="preserve">EU </w:t>
      </w:r>
      <w:r w:rsidRPr="007444D7">
        <w:rPr>
          <w:rFonts w:ascii="Calibri" w:hAnsi="Calibri" w:cs="Calibri"/>
          <w:b/>
          <w:spacing w:val="3"/>
        </w:rPr>
        <w:t xml:space="preserve">level regulatory </w:t>
      </w:r>
      <w:r w:rsidRPr="007444D7">
        <w:rPr>
          <w:rFonts w:ascii="Calibri" w:hAnsi="Calibri" w:cs="Calibri"/>
          <w:b/>
          <w:spacing w:val="7"/>
        </w:rPr>
        <w:t xml:space="preserve">requirements </w:t>
      </w:r>
      <w:r w:rsidRPr="007444D7">
        <w:rPr>
          <w:rFonts w:ascii="Calibri" w:hAnsi="Calibri" w:cs="Calibri"/>
          <w:b/>
          <w:spacing w:val="6"/>
        </w:rPr>
        <w:t xml:space="preserve">that also apply </w:t>
      </w:r>
      <w:r w:rsidR="007444D7">
        <w:rPr>
          <w:rFonts w:ascii="Calibri" w:hAnsi="Calibri" w:cs="Calibri"/>
          <w:b/>
          <w:spacing w:val="4"/>
        </w:rPr>
        <w:t xml:space="preserve">to </w:t>
      </w:r>
      <w:r w:rsidRPr="007444D7">
        <w:rPr>
          <w:rFonts w:ascii="Calibri" w:hAnsi="Calibri" w:cs="Calibri"/>
          <w:b/>
          <w:spacing w:val="7"/>
        </w:rPr>
        <w:t xml:space="preserve">financial services </w:t>
      </w:r>
      <w:r w:rsidRPr="007444D7">
        <w:rPr>
          <w:rFonts w:ascii="Calibri" w:hAnsi="Calibri" w:cs="Calibri"/>
          <w:b/>
          <w:spacing w:val="5"/>
        </w:rPr>
        <w:t>providers?</w:t>
      </w:r>
    </w:p>
    <w:p w14:paraId="3AD6F71E" w14:textId="7398CAF6" w:rsidR="00147A22" w:rsidRDefault="00147A22" w:rsidP="00147A22"/>
    <w:p w14:paraId="47AF408B" w14:textId="2FE349E7" w:rsidR="00147A22" w:rsidRPr="00273A6B" w:rsidRDefault="00147A22" w:rsidP="00147A22">
      <w:pPr>
        <w:rPr>
          <w:rFonts w:ascii="Calibri" w:hAnsi="Calibri" w:cs="Calibri"/>
          <w:sz w:val="22"/>
          <w:szCs w:val="22"/>
        </w:rPr>
      </w:pPr>
    </w:p>
    <w:tbl>
      <w:tblPr>
        <w:tblW w:w="0" w:type="auto"/>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545"/>
        <w:gridCol w:w="1113"/>
        <w:gridCol w:w="1103"/>
        <w:gridCol w:w="938"/>
        <w:gridCol w:w="966"/>
        <w:gridCol w:w="966"/>
        <w:gridCol w:w="587"/>
      </w:tblGrid>
      <w:tr w:rsidR="00147A22" w14:paraId="5B33902D" w14:textId="77777777" w:rsidTr="00147A22">
        <w:trPr>
          <w:trHeight w:val="1447"/>
          <w:jc w:val="center"/>
        </w:trPr>
        <w:tc>
          <w:tcPr>
            <w:tcW w:w="2545" w:type="dxa"/>
          </w:tcPr>
          <w:p w14:paraId="4C197A81" w14:textId="77777777" w:rsidR="00147A22" w:rsidRDefault="00147A22" w:rsidP="00147A22">
            <w:pPr>
              <w:pStyle w:val="TableParagraph"/>
              <w:rPr>
                <w:rFonts w:ascii="Times New Roman"/>
              </w:rPr>
            </w:pPr>
          </w:p>
        </w:tc>
        <w:tc>
          <w:tcPr>
            <w:tcW w:w="1113" w:type="dxa"/>
          </w:tcPr>
          <w:p w14:paraId="087D8101" w14:textId="77777777" w:rsidR="00147A22" w:rsidRPr="00F91133" w:rsidRDefault="00147A22" w:rsidP="00147A22">
            <w:pPr>
              <w:pStyle w:val="TableParagraph"/>
              <w:spacing w:before="258" w:line="695" w:lineRule="exact"/>
              <w:ind w:left="18"/>
              <w:jc w:val="center"/>
              <w:rPr>
                <w:sz w:val="14"/>
                <w:szCs w:val="14"/>
              </w:rPr>
            </w:pPr>
            <w:r w:rsidRPr="00F91133">
              <w:rPr>
                <w:w w:val="99"/>
                <w:sz w:val="14"/>
                <w:szCs w:val="14"/>
              </w:rPr>
              <w:t>1</w:t>
            </w:r>
          </w:p>
          <w:p w14:paraId="51CACA8B" w14:textId="77777777" w:rsidR="00147A22" w:rsidRPr="00F91133" w:rsidRDefault="00147A22" w:rsidP="00147A22">
            <w:pPr>
              <w:pStyle w:val="TableParagraph"/>
              <w:spacing w:line="318" w:lineRule="exact"/>
              <w:ind w:left="153" w:right="134"/>
              <w:jc w:val="center"/>
              <w:rPr>
                <w:sz w:val="14"/>
                <w:szCs w:val="14"/>
              </w:rPr>
            </w:pPr>
            <w:r w:rsidRPr="00F91133">
              <w:rPr>
                <w:w w:val="105"/>
                <w:sz w:val="14"/>
                <w:szCs w:val="14"/>
              </w:rPr>
              <w:t>(irrelevant)</w:t>
            </w:r>
          </w:p>
        </w:tc>
        <w:tc>
          <w:tcPr>
            <w:tcW w:w="1103" w:type="dxa"/>
          </w:tcPr>
          <w:p w14:paraId="6BC925C3" w14:textId="77777777" w:rsidR="00147A22" w:rsidRPr="00F91133" w:rsidRDefault="00147A22" w:rsidP="00147A22">
            <w:pPr>
              <w:pStyle w:val="TableParagraph"/>
              <w:spacing w:line="657" w:lineRule="exact"/>
              <w:ind w:left="17"/>
              <w:jc w:val="center"/>
              <w:rPr>
                <w:sz w:val="14"/>
                <w:szCs w:val="14"/>
              </w:rPr>
            </w:pPr>
            <w:r w:rsidRPr="00F91133">
              <w:rPr>
                <w:w w:val="99"/>
                <w:sz w:val="14"/>
                <w:szCs w:val="14"/>
              </w:rPr>
              <w:t>2</w:t>
            </w:r>
          </w:p>
          <w:p w14:paraId="1EBA9FEE" w14:textId="77777777" w:rsidR="00147A22" w:rsidRPr="00F91133" w:rsidRDefault="00147A22" w:rsidP="00147A22">
            <w:pPr>
              <w:pStyle w:val="TableParagraph"/>
              <w:spacing w:before="4" w:line="199" w:lineRule="auto"/>
              <w:ind w:left="265" w:right="245" w:hanging="54"/>
              <w:jc w:val="center"/>
              <w:rPr>
                <w:sz w:val="14"/>
                <w:szCs w:val="14"/>
              </w:rPr>
            </w:pPr>
            <w:r w:rsidRPr="00F91133">
              <w:rPr>
                <w:w w:val="105"/>
                <w:sz w:val="14"/>
                <w:szCs w:val="14"/>
              </w:rPr>
              <w:t xml:space="preserve">(rather not </w:t>
            </w:r>
            <w:r w:rsidRPr="00F91133">
              <w:rPr>
                <w:sz w:val="14"/>
                <w:szCs w:val="14"/>
              </w:rPr>
              <w:t>relevant)</w:t>
            </w:r>
          </w:p>
        </w:tc>
        <w:tc>
          <w:tcPr>
            <w:tcW w:w="938" w:type="dxa"/>
          </w:tcPr>
          <w:p w14:paraId="78962B20" w14:textId="77777777" w:rsidR="00147A22" w:rsidRPr="00F91133" w:rsidRDefault="00147A22" w:rsidP="00147A22">
            <w:pPr>
              <w:pStyle w:val="TableParagraph"/>
              <w:spacing w:before="258" w:line="695" w:lineRule="exact"/>
              <w:ind w:left="17"/>
              <w:jc w:val="center"/>
              <w:rPr>
                <w:sz w:val="14"/>
                <w:szCs w:val="14"/>
              </w:rPr>
            </w:pPr>
            <w:r w:rsidRPr="00F91133">
              <w:rPr>
                <w:w w:val="99"/>
                <w:sz w:val="14"/>
                <w:szCs w:val="14"/>
              </w:rPr>
              <w:t>3</w:t>
            </w:r>
          </w:p>
          <w:p w14:paraId="34015746" w14:textId="77777777" w:rsidR="00147A22" w:rsidRPr="00F91133" w:rsidRDefault="00147A22" w:rsidP="00147A22">
            <w:pPr>
              <w:pStyle w:val="TableParagraph"/>
              <w:spacing w:line="318" w:lineRule="exact"/>
              <w:ind w:left="154" w:right="137"/>
              <w:jc w:val="center"/>
              <w:rPr>
                <w:sz w:val="14"/>
                <w:szCs w:val="14"/>
              </w:rPr>
            </w:pPr>
            <w:r w:rsidRPr="00F91133">
              <w:rPr>
                <w:w w:val="105"/>
                <w:sz w:val="14"/>
                <w:szCs w:val="14"/>
              </w:rPr>
              <w:t>(neutral)</w:t>
            </w:r>
          </w:p>
        </w:tc>
        <w:tc>
          <w:tcPr>
            <w:tcW w:w="966" w:type="dxa"/>
          </w:tcPr>
          <w:p w14:paraId="327DDA98" w14:textId="77777777" w:rsidR="00147A22" w:rsidRPr="00F91133" w:rsidRDefault="00147A22" w:rsidP="00147A22">
            <w:pPr>
              <w:pStyle w:val="TableParagraph"/>
              <w:spacing w:before="110" w:line="695" w:lineRule="exact"/>
              <w:ind w:left="15"/>
              <w:jc w:val="center"/>
              <w:rPr>
                <w:sz w:val="14"/>
                <w:szCs w:val="14"/>
              </w:rPr>
            </w:pPr>
            <w:r w:rsidRPr="00F91133">
              <w:rPr>
                <w:w w:val="99"/>
                <w:sz w:val="14"/>
                <w:szCs w:val="14"/>
              </w:rPr>
              <w:t>4</w:t>
            </w:r>
          </w:p>
          <w:p w14:paraId="2137BB9C" w14:textId="77777777" w:rsidR="00147A22" w:rsidRPr="00F91133" w:rsidRDefault="00147A22" w:rsidP="00147A22">
            <w:pPr>
              <w:pStyle w:val="TableParagraph"/>
              <w:spacing w:before="4" w:line="199" w:lineRule="auto"/>
              <w:ind w:left="183" w:right="165" w:hanging="54"/>
              <w:jc w:val="center"/>
              <w:rPr>
                <w:sz w:val="14"/>
                <w:szCs w:val="14"/>
              </w:rPr>
            </w:pPr>
            <w:r w:rsidRPr="00F91133">
              <w:rPr>
                <w:w w:val="105"/>
                <w:sz w:val="14"/>
                <w:szCs w:val="14"/>
              </w:rPr>
              <w:t xml:space="preserve">(rather </w:t>
            </w:r>
            <w:r w:rsidRPr="00F91133">
              <w:rPr>
                <w:sz w:val="14"/>
                <w:szCs w:val="14"/>
              </w:rPr>
              <w:t>relevant)</w:t>
            </w:r>
          </w:p>
        </w:tc>
        <w:tc>
          <w:tcPr>
            <w:tcW w:w="966" w:type="dxa"/>
          </w:tcPr>
          <w:p w14:paraId="72250099" w14:textId="77777777" w:rsidR="00147A22" w:rsidRPr="00F91133" w:rsidRDefault="00147A22" w:rsidP="00147A22">
            <w:pPr>
              <w:pStyle w:val="TableParagraph"/>
              <w:spacing w:before="110" w:line="695" w:lineRule="exact"/>
              <w:ind w:left="14"/>
              <w:jc w:val="center"/>
              <w:rPr>
                <w:sz w:val="14"/>
                <w:szCs w:val="14"/>
              </w:rPr>
            </w:pPr>
            <w:r w:rsidRPr="00F91133">
              <w:rPr>
                <w:w w:val="99"/>
                <w:sz w:val="14"/>
                <w:szCs w:val="14"/>
              </w:rPr>
              <w:t>5</w:t>
            </w:r>
          </w:p>
          <w:p w14:paraId="1094DEE0" w14:textId="77777777" w:rsidR="00147A22" w:rsidRPr="00F91133" w:rsidRDefault="00147A22" w:rsidP="00147A22">
            <w:pPr>
              <w:pStyle w:val="TableParagraph"/>
              <w:spacing w:before="4" w:line="199" w:lineRule="auto"/>
              <w:ind w:left="182" w:right="166" w:hanging="55"/>
              <w:jc w:val="center"/>
              <w:rPr>
                <w:sz w:val="14"/>
                <w:szCs w:val="14"/>
              </w:rPr>
            </w:pPr>
            <w:r w:rsidRPr="00F91133">
              <w:rPr>
                <w:w w:val="105"/>
                <w:sz w:val="14"/>
                <w:szCs w:val="14"/>
              </w:rPr>
              <w:t xml:space="preserve">(fully </w:t>
            </w:r>
            <w:r w:rsidRPr="00F91133">
              <w:rPr>
                <w:sz w:val="14"/>
                <w:szCs w:val="14"/>
              </w:rPr>
              <w:t>relevant)</w:t>
            </w:r>
          </w:p>
        </w:tc>
        <w:tc>
          <w:tcPr>
            <w:tcW w:w="587" w:type="dxa"/>
          </w:tcPr>
          <w:p w14:paraId="3A37036E" w14:textId="77777777" w:rsidR="00147A22" w:rsidRPr="00F91133" w:rsidRDefault="00147A22" w:rsidP="00147A22">
            <w:pPr>
              <w:pStyle w:val="TableParagraph"/>
              <w:spacing w:before="254" w:line="529" w:lineRule="exact"/>
              <w:ind w:left="181"/>
              <w:rPr>
                <w:sz w:val="14"/>
                <w:szCs w:val="14"/>
              </w:rPr>
            </w:pPr>
            <w:r w:rsidRPr="00F91133">
              <w:rPr>
                <w:sz w:val="14"/>
                <w:szCs w:val="14"/>
              </w:rPr>
              <w:t>N.</w:t>
            </w:r>
          </w:p>
          <w:p w14:paraId="6B8B5472" w14:textId="77777777" w:rsidR="00147A22" w:rsidRPr="00F91133" w:rsidRDefault="00147A22" w:rsidP="00147A22">
            <w:pPr>
              <w:pStyle w:val="TableParagraph"/>
              <w:spacing w:line="529" w:lineRule="exact"/>
              <w:ind w:left="190"/>
              <w:rPr>
                <w:sz w:val="14"/>
                <w:szCs w:val="14"/>
              </w:rPr>
            </w:pPr>
            <w:r w:rsidRPr="00F91133">
              <w:rPr>
                <w:sz w:val="14"/>
                <w:szCs w:val="14"/>
              </w:rPr>
              <w:t>A.</w:t>
            </w:r>
          </w:p>
        </w:tc>
      </w:tr>
      <w:tr w:rsidR="00147A22" w14:paraId="25FAE3B9" w14:textId="77777777" w:rsidTr="00147A22">
        <w:trPr>
          <w:trHeight w:val="1060"/>
          <w:jc w:val="center"/>
        </w:trPr>
        <w:tc>
          <w:tcPr>
            <w:tcW w:w="2545" w:type="dxa"/>
          </w:tcPr>
          <w:p w14:paraId="642EE470" w14:textId="77777777" w:rsidR="00147A22" w:rsidRDefault="00147A22" w:rsidP="00147A22">
            <w:pPr>
              <w:pStyle w:val="TableParagraph"/>
              <w:spacing w:before="69" w:line="199" w:lineRule="auto"/>
              <w:ind w:left="185" w:right="358"/>
              <w:rPr>
                <w:sz w:val="19"/>
              </w:rPr>
            </w:pPr>
            <w:r>
              <w:rPr>
                <w:w w:val="105"/>
                <w:sz w:val="19"/>
              </w:rPr>
              <w:t>Distributed Ledger Technology (except crypto- assets)</w:t>
            </w:r>
          </w:p>
        </w:tc>
        <w:tc>
          <w:tcPr>
            <w:tcW w:w="1113" w:type="dxa"/>
          </w:tcPr>
          <w:p w14:paraId="75FE9193" w14:textId="77777777" w:rsidR="00147A22" w:rsidRDefault="00147A22" w:rsidP="00147A22">
            <w:pPr>
              <w:pStyle w:val="TableParagraph"/>
              <w:rPr>
                <w:rFonts w:ascii="Arial"/>
                <w:b/>
                <w:sz w:val="20"/>
              </w:rPr>
            </w:pPr>
          </w:p>
          <w:p w14:paraId="42239C07" w14:textId="77777777" w:rsidR="00147A22" w:rsidRDefault="00147A22" w:rsidP="00147A22">
            <w:pPr>
              <w:pStyle w:val="TableParagraph"/>
              <w:spacing w:before="5"/>
              <w:rPr>
                <w:rFonts w:ascii="Arial"/>
                <w:b/>
                <w:sz w:val="19"/>
              </w:rPr>
            </w:pPr>
          </w:p>
          <w:p w14:paraId="6B259A79"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30A7D8D" wp14:editId="147F3635">
                  <wp:extent cx="114300" cy="114300"/>
                  <wp:effectExtent l="0" t="0" r="0" b="0"/>
                  <wp:docPr id="6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03" w:type="dxa"/>
          </w:tcPr>
          <w:p w14:paraId="1CA3FD4F" w14:textId="77777777" w:rsidR="00147A22" w:rsidRDefault="00147A22" w:rsidP="00147A22">
            <w:pPr>
              <w:pStyle w:val="TableParagraph"/>
              <w:rPr>
                <w:rFonts w:ascii="Arial"/>
                <w:b/>
                <w:sz w:val="20"/>
              </w:rPr>
            </w:pPr>
          </w:p>
          <w:p w14:paraId="5A398229" w14:textId="77777777" w:rsidR="00147A22" w:rsidRDefault="00147A22" w:rsidP="00147A22">
            <w:pPr>
              <w:pStyle w:val="TableParagraph"/>
              <w:spacing w:before="5"/>
              <w:rPr>
                <w:rFonts w:ascii="Arial"/>
                <w:b/>
                <w:sz w:val="19"/>
              </w:rPr>
            </w:pPr>
          </w:p>
          <w:p w14:paraId="6B433D27" w14:textId="77777777" w:rsidR="00147A22" w:rsidRDefault="00147A22" w:rsidP="00147A22">
            <w:pPr>
              <w:pStyle w:val="TableParagraph"/>
              <w:spacing w:line="180" w:lineRule="exact"/>
              <w:ind w:left="547"/>
              <w:rPr>
                <w:rFonts w:ascii="Arial"/>
                <w:sz w:val="18"/>
              </w:rPr>
            </w:pPr>
            <w:r>
              <w:rPr>
                <w:rFonts w:ascii="Arial"/>
                <w:noProof/>
                <w:position w:val="-3"/>
                <w:sz w:val="18"/>
                <w:lang w:val="en-GB" w:eastAsia="en-GB"/>
              </w:rPr>
              <w:drawing>
                <wp:inline distT="0" distB="0" distL="0" distR="0" wp14:anchorId="6F4F5AA1" wp14:editId="5254C85A">
                  <wp:extent cx="114300" cy="114300"/>
                  <wp:effectExtent l="0" t="0" r="0" b="0"/>
                  <wp:docPr id="6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38" w:type="dxa"/>
          </w:tcPr>
          <w:p w14:paraId="0D8DEE58" w14:textId="77777777" w:rsidR="00147A22" w:rsidRDefault="00147A22" w:rsidP="00147A22">
            <w:pPr>
              <w:pStyle w:val="TableParagraph"/>
              <w:rPr>
                <w:rFonts w:ascii="Arial"/>
                <w:b/>
                <w:sz w:val="20"/>
              </w:rPr>
            </w:pPr>
          </w:p>
          <w:p w14:paraId="18FD4C1C" w14:textId="77777777" w:rsidR="00147A22" w:rsidRDefault="00147A22" w:rsidP="00147A22">
            <w:pPr>
              <w:pStyle w:val="TableParagraph"/>
              <w:spacing w:before="5"/>
              <w:rPr>
                <w:rFonts w:ascii="Arial"/>
                <w:b/>
                <w:sz w:val="19"/>
              </w:rPr>
            </w:pPr>
          </w:p>
          <w:p w14:paraId="485D931B" w14:textId="085C2DB7" w:rsidR="00147A22" w:rsidRDefault="00BB0252" w:rsidP="00BB0252">
            <w:pPr>
              <w:pStyle w:val="TableParagraph"/>
              <w:spacing w:line="180" w:lineRule="exact"/>
              <w:ind w:left="449"/>
              <w:rPr>
                <w:rFonts w:ascii="Arial"/>
                <w:sz w:val="18"/>
              </w:rPr>
            </w:pPr>
            <w:r>
              <w:rPr>
                <w:rFonts w:ascii="Arial"/>
                <w:noProof/>
                <w:position w:val="-3"/>
                <w:sz w:val="18"/>
                <w:lang w:val="en-GB" w:eastAsia="en-GB"/>
              </w:rPr>
              <w:t>X</w:t>
            </w:r>
          </w:p>
        </w:tc>
        <w:tc>
          <w:tcPr>
            <w:tcW w:w="966" w:type="dxa"/>
          </w:tcPr>
          <w:p w14:paraId="48E150D8" w14:textId="77777777" w:rsidR="00147A22" w:rsidRDefault="00147A22" w:rsidP="00147A22">
            <w:pPr>
              <w:pStyle w:val="TableParagraph"/>
              <w:rPr>
                <w:rFonts w:ascii="Arial"/>
                <w:b/>
                <w:sz w:val="20"/>
              </w:rPr>
            </w:pPr>
          </w:p>
          <w:p w14:paraId="06E746BD" w14:textId="77777777" w:rsidR="00147A22" w:rsidRDefault="00147A22" w:rsidP="00147A22">
            <w:pPr>
              <w:pStyle w:val="TableParagraph"/>
              <w:spacing w:before="5"/>
              <w:rPr>
                <w:rFonts w:ascii="Arial"/>
                <w:b/>
                <w:sz w:val="19"/>
              </w:rPr>
            </w:pPr>
          </w:p>
          <w:p w14:paraId="71917316" w14:textId="5C77EE46" w:rsidR="00147A22" w:rsidRDefault="00BB025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2F218307" wp14:editId="33AC80D4">
                  <wp:extent cx="114300" cy="114300"/>
                  <wp:effectExtent l="0" t="0" r="0" b="0"/>
                  <wp:docPr id="275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73F8F632" w14:textId="77777777" w:rsidR="00147A22" w:rsidRDefault="00147A22" w:rsidP="00147A22">
            <w:pPr>
              <w:pStyle w:val="TableParagraph"/>
              <w:rPr>
                <w:rFonts w:ascii="Arial"/>
                <w:b/>
                <w:sz w:val="20"/>
              </w:rPr>
            </w:pPr>
          </w:p>
          <w:p w14:paraId="3109C8E3" w14:textId="77777777" w:rsidR="00147A22" w:rsidRDefault="00147A22" w:rsidP="00147A22">
            <w:pPr>
              <w:pStyle w:val="TableParagraph"/>
              <w:spacing w:before="5"/>
              <w:rPr>
                <w:rFonts w:ascii="Arial"/>
                <w:b/>
                <w:sz w:val="19"/>
              </w:rPr>
            </w:pPr>
          </w:p>
          <w:p w14:paraId="5F6C7585"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056BC527" wp14:editId="12771920">
                  <wp:extent cx="114300" cy="114300"/>
                  <wp:effectExtent l="0" t="0" r="0" b="0"/>
                  <wp:docPr id="6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7" w:type="dxa"/>
          </w:tcPr>
          <w:p w14:paraId="5EE54CFA" w14:textId="77777777" w:rsidR="00147A22" w:rsidRDefault="00147A22" w:rsidP="00147A22">
            <w:pPr>
              <w:pStyle w:val="TableParagraph"/>
              <w:rPr>
                <w:rFonts w:ascii="Arial"/>
                <w:b/>
                <w:sz w:val="20"/>
              </w:rPr>
            </w:pPr>
          </w:p>
          <w:p w14:paraId="1DC6EE9C" w14:textId="77777777" w:rsidR="00147A22" w:rsidRDefault="00147A22" w:rsidP="00147A22">
            <w:pPr>
              <w:pStyle w:val="TableParagraph"/>
              <w:spacing w:before="5"/>
              <w:rPr>
                <w:rFonts w:ascii="Arial"/>
                <w:b/>
                <w:sz w:val="19"/>
              </w:rPr>
            </w:pPr>
          </w:p>
          <w:p w14:paraId="73BC9DB3"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7E0B9DB0" wp14:editId="1EAD6A91">
                  <wp:extent cx="114300" cy="114300"/>
                  <wp:effectExtent l="0" t="0" r="0" b="0"/>
                  <wp:docPr id="6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7A22" w14:paraId="0FBE6423" w14:textId="77777777" w:rsidTr="00147A22">
        <w:trPr>
          <w:trHeight w:val="534"/>
          <w:jc w:val="center"/>
        </w:trPr>
        <w:tc>
          <w:tcPr>
            <w:tcW w:w="2545" w:type="dxa"/>
          </w:tcPr>
          <w:p w14:paraId="24FF0840" w14:textId="77777777" w:rsidR="00147A22" w:rsidRDefault="00147A22" w:rsidP="00147A22">
            <w:pPr>
              <w:pStyle w:val="TableParagraph"/>
              <w:spacing w:before="25"/>
              <w:ind w:left="185"/>
              <w:rPr>
                <w:sz w:val="19"/>
              </w:rPr>
            </w:pPr>
            <w:r>
              <w:rPr>
                <w:w w:val="105"/>
                <w:sz w:val="19"/>
              </w:rPr>
              <w:t>Cloud computing</w:t>
            </w:r>
          </w:p>
        </w:tc>
        <w:tc>
          <w:tcPr>
            <w:tcW w:w="1113" w:type="dxa"/>
          </w:tcPr>
          <w:p w14:paraId="66EC4322" w14:textId="77777777" w:rsidR="00147A22" w:rsidRDefault="00147A22" w:rsidP="00147A22">
            <w:pPr>
              <w:pStyle w:val="TableParagraph"/>
              <w:spacing w:before="8"/>
              <w:rPr>
                <w:rFonts w:ascii="Arial"/>
                <w:b/>
                <w:sz w:val="13"/>
              </w:rPr>
            </w:pPr>
          </w:p>
          <w:p w14:paraId="10D85EEC"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7DDDF970" wp14:editId="47B749CE">
                  <wp:extent cx="114299" cy="114300"/>
                  <wp:effectExtent l="0" t="0" r="0" b="0"/>
                  <wp:docPr id="6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1103" w:type="dxa"/>
          </w:tcPr>
          <w:p w14:paraId="57BE48F8" w14:textId="77777777" w:rsidR="00147A22" w:rsidRDefault="00147A22" w:rsidP="00147A22">
            <w:pPr>
              <w:pStyle w:val="TableParagraph"/>
              <w:spacing w:before="8"/>
              <w:rPr>
                <w:rFonts w:ascii="Arial"/>
                <w:b/>
                <w:sz w:val="13"/>
              </w:rPr>
            </w:pPr>
          </w:p>
          <w:p w14:paraId="3A0225A4" w14:textId="76A490B1" w:rsidR="00147A22" w:rsidRDefault="00147A22" w:rsidP="00147A22">
            <w:pPr>
              <w:pStyle w:val="TableParagraph"/>
              <w:spacing w:line="180" w:lineRule="exact"/>
              <w:ind w:left="547"/>
              <w:rPr>
                <w:rFonts w:ascii="Arial"/>
                <w:sz w:val="18"/>
              </w:rPr>
            </w:pPr>
            <w:r>
              <w:rPr>
                <w:rFonts w:ascii="Arial"/>
                <w:noProof/>
                <w:position w:val="-3"/>
                <w:sz w:val="18"/>
                <w:lang w:val="en-GB" w:eastAsia="en-GB"/>
              </w:rPr>
              <w:t>X</w:t>
            </w:r>
          </w:p>
        </w:tc>
        <w:tc>
          <w:tcPr>
            <w:tcW w:w="938" w:type="dxa"/>
          </w:tcPr>
          <w:p w14:paraId="7F6ACC5B" w14:textId="77777777" w:rsidR="00147A22" w:rsidRDefault="00147A22" w:rsidP="00147A22">
            <w:pPr>
              <w:pStyle w:val="TableParagraph"/>
              <w:spacing w:before="8"/>
              <w:rPr>
                <w:rFonts w:ascii="Arial"/>
                <w:b/>
                <w:sz w:val="13"/>
              </w:rPr>
            </w:pPr>
          </w:p>
          <w:p w14:paraId="3F2EBFB6" w14:textId="77777777" w:rsidR="00147A22" w:rsidRDefault="00147A22" w:rsidP="00147A22">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00FA3514" wp14:editId="19D2F5EB">
                  <wp:extent cx="114299" cy="114300"/>
                  <wp:effectExtent l="0" t="0" r="0" b="0"/>
                  <wp:docPr id="6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966" w:type="dxa"/>
          </w:tcPr>
          <w:p w14:paraId="7F7D7E4F" w14:textId="77777777" w:rsidR="00147A22" w:rsidRDefault="00147A22" w:rsidP="00147A22">
            <w:pPr>
              <w:pStyle w:val="TableParagraph"/>
              <w:spacing w:before="8"/>
              <w:rPr>
                <w:rFonts w:ascii="Arial"/>
                <w:b/>
                <w:sz w:val="13"/>
              </w:rPr>
            </w:pPr>
          </w:p>
          <w:p w14:paraId="0C638AB3" w14:textId="77777777" w:rsidR="00147A22" w:rsidRDefault="00147A2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4D30EDF2" wp14:editId="69253D62">
                  <wp:extent cx="114299" cy="114300"/>
                  <wp:effectExtent l="0" t="0" r="0" b="0"/>
                  <wp:docPr id="6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966" w:type="dxa"/>
          </w:tcPr>
          <w:p w14:paraId="61CC9B04" w14:textId="77777777" w:rsidR="00147A22" w:rsidRDefault="00147A22" w:rsidP="00147A22">
            <w:pPr>
              <w:pStyle w:val="TableParagraph"/>
              <w:spacing w:before="8"/>
              <w:rPr>
                <w:rFonts w:ascii="Arial"/>
                <w:b/>
                <w:sz w:val="13"/>
              </w:rPr>
            </w:pPr>
          </w:p>
          <w:p w14:paraId="0163C5D1"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54B0C04D" wp14:editId="1BCE32CD">
                  <wp:extent cx="114299" cy="114300"/>
                  <wp:effectExtent l="0" t="0" r="0" b="0"/>
                  <wp:docPr id="6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587" w:type="dxa"/>
          </w:tcPr>
          <w:p w14:paraId="6BA8A2D6" w14:textId="77777777" w:rsidR="00147A22" w:rsidRDefault="00147A22" w:rsidP="00147A22">
            <w:pPr>
              <w:pStyle w:val="TableParagraph"/>
              <w:spacing w:before="8"/>
              <w:rPr>
                <w:rFonts w:ascii="Arial"/>
                <w:b/>
                <w:sz w:val="13"/>
              </w:rPr>
            </w:pPr>
          </w:p>
          <w:p w14:paraId="3F7BE9A0"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507F9A5E" wp14:editId="4A51F552">
                  <wp:extent cx="114300" cy="114300"/>
                  <wp:effectExtent l="0" t="0" r="0" b="0"/>
                  <wp:docPr id="6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7A22" w14:paraId="4C66BF25" w14:textId="77777777" w:rsidTr="00147A22">
        <w:trPr>
          <w:trHeight w:val="797"/>
          <w:jc w:val="center"/>
        </w:trPr>
        <w:tc>
          <w:tcPr>
            <w:tcW w:w="2545" w:type="dxa"/>
          </w:tcPr>
          <w:p w14:paraId="1614515C" w14:textId="77777777" w:rsidR="00147A22" w:rsidRDefault="00147A22" w:rsidP="00147A22">
            <w:pPr>
              <w:pStyle w:val="TableParagraph"/>
              <w:spacing w:before="69" w:line="199" w:lineRule="auto"/>
              <w:ind w:left="185"/>
              <w:rPr>
                <w:sz w:val="19"/>
              </w:rPr>
            </w:pPr>
            <w:r>
              <w:rPr>
                <w:sz w:val="19"/>
              </w:rPr>
              <w:t xml:space="preserve">Artificial Intelligence/Machine </w:t>
            </w:r>
            <w:r>
              <w:rPr>
                <w:w w:val="105"/>
                <w:sz w:val="19"/>
              </w:rPr>
              <w:t>learning</w:t>
            </w:r>
          </w:p>
        </w:tc>
        <w:tc>
          <w:tcPr>
            <w:tcW w:w="1113" w:type="dxa"/>
          </w:tcPr>
          <w:p w14:paraId="2481E434" w14:textId="77777777" w:rsidR="00147A22" w:rsidRDefault="00147A22" w:rsidP="00147A22">
            <w:pPr>
              <w:pStyle w:val="TableParagraph"/>
              <w:spacing w:before="7"/>
              <w:rPr>
                <w:rFonts w:ascii="Arial"/>
                <w:b/>
                <w:sz w:val="26"/>
              </w:rPr>
            </w:pPr>
          </w:p>
          <w:p w14:paraId="261C780F"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453D1737" wp14:editId="53B07D4F">
                  <wp:extent cx="114300" cy="114300"/>
                  <wp:effectExtent l="0" t="0" r="0" b="0"/>
                  <wp:docPr id="6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03" w:type="dxa"/>
          </w:tcPr>
          <w:p w14:paraId="2D3690C5" w14:textId="77777777" w:rsidR="00147A22" w:rsidRDefault="00147A22" w:rsidP="00147A22">
            <w:pPr>
              <w:pStyle w:val="TableParagraph"/>
              <w:spacing w:before="7"/>
              <w:rPr>
                <w:rFonts w:ascii="Arial"/>
                <w:b/>
                <w:sz w:val="26"/>
              </w:rPr>
            </w:pPr>
          </w:p>
          <w:p w14:paraId="215CADAF" w14:textId="77777777" w:rsidR="00147A22" w:rsidRDefault="00147A22" w:rsidP="00147A22">
            <w:pPr>
              <w:pStyle w:val="TableParagraph"/>
              <w:spacing w:line="180" w:lineRule="exact"/>
              <w:ind w:left="547"/>
              <w:rPr>
                <w:rFonts w:ascii="Arial"/>
                <w:sz w:val="18"/>
              </w:rPr>
            </w:pPr>
            <w:r>
              <w:rPr>
                <w:rFonts w:ascii="Arial"/>
                <w:noProof/>
                <w:position w:val="-3"/>
                <w:sz w:val="18"/>
                <w:lang w:val="en-GB" w:eastAsia="en-GB"/>
              </w:rPr>
              <w:drawing>
                <wp:inline distT="0" distB="0" distL="0" distR="0" wp14:anchorId="34C421DB" wp14:editId="6353A673">
                  <wp:extent cx="114300" cy="114300"/>
                  <wp:effectExtent l="0" t="0" r="0" b="0"/>
                  <wp:docPr id="6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38" w:type="dxa"/>
          </w:tcPr>
          <w:p w14:paraId="7B7FDD6D" w14:textId="77777777" w:rsidR="00147A22" w:rsidRDefault="00147A22" w:rsidP="00147A22">
            <w:pPr>
              <w:pStyle w:val="TableParagraph"/>
              <w:spacing w:before="7"/>
              <w:rPr>
                <w:rFonts w:ascii="Arial"/>
                <w:b/>
                <w:sz w:val="26"/>
              </w:rPr>
            </w:pPr>
          </w:p>
          <w:p w14:paraId="735E8A0B" w14:textId="6CAB3B9C" w:rsidR="00147A22" w:rsidRDefault="00147A22" w:rsidP="00147A22">
            <w:pPr>
              <w:pStyle w:val="TableParagraph"/>
              <w:spacing w:line="180" w:lineRule="exact"/>
              <w:ind w:left="449"/>
              <w:rPr>
                <w:rFonts w:ascii="Arial"/>
                <w:sz w:val="18"/>
              </w:rPr>
            </w:pPr>
            <w:r>
              <w:rPr>
                <w:rFonts w:ascii="Arial"/>
                <w:noProof/>
                <w:position w:val="-3"/>
                <w:sz w:val="18"/>
                <w:lang w:val="en-GB" w:eastAsia="en-GB"/>
              </w:rPr>
              <w:t>X</w:t>
            </w:r>
          </w:p>
        </w:tc>
        <w:tc>
          <w:tcPr>
            <w:tcW w:w="966" w:type="dxa"/>
          </w:tcPr>
          <w:p w14:paraId="0CE2B41F" w14:textId="77777777" w:rsidR="00147A22" w:rsidRDefault="00147A22" w:rsidP="00147A22">
            <w:pPr>
              <w:pStyle w:val="TableParagraph"/>
              <w:spacing w:before="7"/>
              <w:rPr>
                <w:rFonts w:ascii="Arial"/>
                <w:b/>
                <w:sz w:val="26"/>
              </w:rPr>
            </w:pPr>
          </w:p>
          <w:p w14:paraId="7024C0EE" w14:textId="77777777" w:rsidR="00147A22" w:rsidRDefault="00147A2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60B11052" wp14:editId="03CBF462">
                  <wp:extent cx="114300" cy="114300"/>
                  <wp:effectExtent l="0" t="0" r="0" b="0"/>
                  <wp:docPr id="6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4D0A6917" w14:textId="77777777" w:rsidR="00147A22" w:rsidRDefault="00147A22" w:rsidP="00147A22">
            <w:pPr>
              <w:pStyle w:val="TableParagraph"/>
              <w:spacing w:before="7"/>
              <w:rPr>
                <w:rFonts w:ascii="Arial"/>
                <w:b/>
                <w:sz w:val="26"/>
              </w:rPr>
            </w:pPr>
          </w:p>
          <w:p w14:paraId="236E704C"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426AF7DE" wp14:editId="1CB3D631">
                  <wp:extent cx="114300" cy="114300"/>
                  <wp:effectExtent l="0" t="0" r="0" b="0"/>
                  <wp:docPr id="6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7" w:type="dxa"/>
          </w:tcPr>
          <w:p w14:paraId="5ED6DE63" w14:textId="77777777" w:rsidR="00147A22" w:rsidRDefault="00147A22" w:rsidP="00147A22">
            <w:pPr>
              <w:pStyle w:val="TableParagraph"/>
              <w:spacing w:before="7"/>
              <w:rPr>
                <w:rFonts w:ascii="Arial"/>
                <w:b/>
                <w:sz w:val="26"/>
              </w:rPr>
            </w:pPr>
          </w:p>
          <w:p w14:paraId="741E6071"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3A2CE7C6" wp14:editId="67C465D4">
                  <wp:extent cx="114300" cy="114300"/>
                  <wp:effectExtent l="0" t="0" r="0" b="0"/>
                  <wp:docPr id="6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7A22" w14:paraId="041B331A" w14:textId="77777777" w:rsidTr="00147A22">
        <w:trPr>
          <w:trHeight w:val="534"/>
          <w:jc w:val="center"/>
        </w:trPr>
        <w:tc>
          <w:tcPr>
            <w:tcW w:w="2545" w:type="dxa"/>
          </w:tcPr>
          <w:p w14:paraId="1CBFBE18" w14:textId="77777777" w:rsidR="00147A22" w:rsidRDefault="00147A22" w:rsidP="00147A22">
            <w:pPr>
              <w:pStyle w:val="TableParagraph"/>
              <w:spacing w:before="25"/>
              <w:ind w:left="185"/>
              <w:rPr>
                <w:sz w:val="19"/>
              </w:rPr>
            </w:pPr>
            <w:r>
              <w:rPr>
                <w:w w:val="105"/>
                <w:sz w:val="19"/>
              </w:rPr>
              <w:t>Internet Of Things (IoT)</w:t>
            </w:r>
          </w:p>
        </w:tc>
        <w:tc>
          <w:tcPr>
            <w:tcW w:w="1113" w:type="dxa"/>
          </w:tcPr>
          <w:p w14:paraId="02EC556C" w14:textId="77777777" w:rsidR="00147A22" w:rsidRDefault="00147A22" w:rsidP="00147A22">
            <w:pPr>
              <w:pStyle w:val="TableParagraph"/>
              <w:spacing w:before="8"/>
              <w:rPr>
                <w:rFonts w:ascii="Arial"/>
                <w:b/>
                <w:sz w:val="13"/>
              </w:rPr>
            </w:pPr>
          </w:p>
          <w:p w14:paraId="3F95B446"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74835A1E" wp14:editId="6E252483">
                  <wp:extent cx="114300" cy="114300"/>
                  <wp:effectExtent l="0" t="0" r="0" b="0"/>
                  <wp:docPr id="6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03" w:type="dxa"/>
          </w:tcPr>
          <w:p w14:paraId="6D31C96E" w14:textId="77777777" w:rsidR="00147A22" w:rsidRDefault="00147A22" w:rsidP="00147A22">
            <w:pPr>
              <w:pStyle w:val="TableParagraph"/>
              <w:spacing w:before="8"/>
              <w:rPr>
                <w:rFonts w:ascii="Arial"/>
                <w:b/>
                <w:sz w:val="13"/>
              </w:rPr>
            </w:pPr>
          </w:p>
          <w:p w14:paraId="2A09764D" w14:textId="1D35D243" w:rsidR="00147A22" w:rsidRDefault="00147A22" w:rsidP="00147A22">
            <w:pPr>
              <w:pStyle w:val="TableParagraph"/>
              <w:spacing w:line="180" w:lineRule="exact"/>
              <w:ind w:left="547"/>
              <w:rPr>
                <w:rFonts w:ascii="Arial"/>
                <w:sz w:val="18"/>
              </w:rPr>
            </w:pPr>
            <w:r>
              <w:rPr>
                <w:rFonts w:ascii="Arial"/>
                <w:noProof/>
                <w:position w:val="-3"/>
                <w:sz w:val="18"/>
                <w:lang w:val="en-GB" w:eastAsia="en-GB"/>
              </w:rPr>
              <w:t>X</w:t>
            </w:r>
          </w:p>
        </w:tc>
        <w:tc>
          <w:tcPr>
            <w:tcW w:w="938" w:type="dxa"/>
          </w:tcPr>
          <w:p w14:paraId="480C2CD5" w14:textId="77777777" w:rsidR="00147A22" w:rsidRDefault="00147A22" w:rsidP="00147A22">
            <w:pPr>
              <w:pStyle w:val="TableParagraph"/>
              <w:spacing w:before="8"/>
              <w:rPr>
                <w:rFonts w:ascii="Arial"/>
                <w:b/>
                <w:sz w:val="13"/>
              </w:rPr>
            </w:pPr>
          </w:p>
          <w:p w14:paraId="1620BE73" w14:textId="77777777" w:rsidR="00147A22" w:rsidRDefault="00147A22" w:rsidP="00147A22">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7FE628CD" wp14:editId="3BB83F07">
                  <wp:extent cx="114300" cy="114300"/>
                  <wp:effectExtent l="0" t="0" r="0" b="0"/>
                  <wp:docPr id="6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0136F7CE" w14:textId="77777777" w:rsidR="00147A22" w:rsidRDefault="00147A22" w:rsidP="00147A22">
            <w:pPr>
              <w:pStyle w:val="TableParagraph"/>
              <w:spacing w:before="8"/>
              <w:rPr>
                <w:rFonts w:ascii="Arial"/>
                <w:b/>
                <w:sz w:val="13"/>
              </w:rPr>
            </w:pPr>
          </w:p>
          <w:p w14:paraId="34CD4BE4" w14:textId="77777777" w:rsidR="00147A22" w:rsidRDefault="00147A2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2656C171" wp14:editId="6947D3FB">
                  <wp:extent cx="114300" cy="114300"/>
                  <wp:effectExtent l="0" t="0" r="0" b="0"/>
                  <wp:docPr id="6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42E52A31" w14:textId="77777777" w:rsidR="00147A22" w:rsidRDefault="00147A22" w:rsidP="00147A22">
            <w:pPr>
              <w:pStyle w:val="TableParagraph"/>
              <w:spacing w:before="8"/>
              <w:rPr>
                <w:rFonts w:ascii="Arial"/>
                <w:b/>
                <w:sz w:val="13"/>
              </w:rPr>
            </w:pPr>
          </w:p>
          <w:p w14:paraId="6C908043"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039C2C6A" wp14:editId="19608506">
                  <wp:extent cx="114300" cy="114300"/>
                  <wp:effectExtent l="0" t="0" r="0" b="0"/>
                  <wp:docPr id="6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7" w:type="dxa"/>
          </w:tcPr>
          <w:p w14:paraId="7E95866B" w14:textId="77777777" w:rsidR="00147A22" w:rsidRDefault="00147A22" w:rsidP="00147A22">
            <w:pPr>
              <w:pStyle w:val="TableParagraph"/>
              <w:spacing w:before="8"/>
              <w:rPr>
                <w:rFonts w:ascii="Arial"/>
                <w:b/>
                <w:sz w:val="13"/>
              </w:rPr>
            </w:pPr>
          </w:p>
          <w:p w14:paraId="4952AF48"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26DBF898" wp14:editId="5FDCA8A6">
                  <wp:extent cx="114300" cy="114300"/>
                  <wp:effectExtent l="0" t="0" r="0" b="0"/>
                  <wp:docPr id="6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7A22" w14:paraId="2C3822CD" w14:textId="77777777" w:rsidTr="00147A22">
        <w:trPr>
          <w:trHeight w:val="534"/>
          <w:jc w:val="center"/>
        </w:trPr>
        <w:tc>
          <w:tcPr>
            <w:tcW w:w="2545" w:type="dxa"/>
          </w:tcPr>
          <w:p w14:paraId="22842D09" w14:textId="77777777" w:rsidR="00147A22" w:rsidRDefault="00147A22" w:rsidP="00147A22">
            <w:pPr>
              <w:pStyle w:val="TableParagraph"/>
              <w:spacing w:before="25"/>
              <w:ind w:left="185"/>
              <w:rPr>
                <w:sz w:val="19"/>
              </w:rPr>
            </w:pPr>
            <w:r>
              <w:rPr>
                <w:w w:val="105"/>
                <w:sz w:val="19"/>
              </w:rPr>
              <w:t>Biometrics</w:t>
            </w:r>
          </w:p>
        </w:tc>
        <w:tc>
          <w:tcPr>
            <w:tcW w:w="1113" w:type="dxa"/>
          </w:tcPr>
          <w:p w14:paraId="43C07BC6" w14:textId="77777777" w:rsidR="00147A22" w:rsidRDefault="00147A22" w:rsidP="00147A22">
            <w:pPr>
              <w:pStyle w:val="TableParagraph"/>
              <w:spacing w:before="8"/>
              <w:rPr>
                <w:rFonts w:ascii="Arial"/>
                <w:b/>
                <w:sz w:val="13"/>
              </w:rPr>
            </w:pPr>
          </w:p>
          <w:p w14:paraId="4A593C09"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2F3EC272" wp14:editId="15B65699">
                  <wp:extent cx="114300" cy="114300"/>
                  <wp:effectExtent l="0" t="0" r="0" b="0"/>
                  <wp:docPr id="6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03" w:type="dxa"/>
          </w:tcPr>
          <w:p w14:paraId="5C610EB1" w14:textId="77777777" w:rsidR="00147A22" w:rsidRDefault="00147A22" w:rsidP="00147A22">
            <w:pPr>
              <w:pStyle w:val="TableParagraph"/>
              <w:spacing w:before="8"/>
              <w:rPr>
                <w:rFonts w:ascii="Arial"/>
                <w:b/>
                <w:sz w:val="13"/>
              </w:rPr>
            </w:pPr>
          </w:p>
          <w:p w14:paraId="127D8BF2" w14:textId="34794A6E" w:rsidR="00147A22" w:rsidRDefault="00147A22" w:rsidP="00147A22">
            <w:pPr>
              <w:pStyle w:val="TableParagraph"/>
              <w:spacing w:line="180" w:lineRule="exact"/>
              <w:ind w:left="547"/>
              <w:rPr>
                <w:rFonts w:ascii="Arial"/>
                <w:sz w:val="18"/>
              </w:rPr>
            </w:pPr>
            <w:r>
              <w:rPr>
                <w:rFonts w:ascii="Arial"/>
                <w:noProof/>
                <w:position w:val="-3"/>
                <w:sz w:val="18"/>
                <w:lang w:val="en-GB" w:eastAsia="en-GB"/>
              </w:rPr>
              <w:t>X</w:t>
            </w:r>
          </w:p>
        </w:tc>
        <w:tc>
          <w:tcPr>
            <w:tcW w:w="938" w:type="dxa"/>
          </w:tcPr>
          <w:p w14:paraId="756E8F1D" w14:textId="77777777" w:rsidR="00147A22" w:rsidRDefault="00147A22" w:rsidP="00147A22">
            <w:pPr>
              <w:pStyle w:val="TableParagraph"/>
              <w:spacing w:before="8"/>
              <w:rPr>
                <w:rFonts w:ascii="Arial"/>
                <w:b/>
                <w:sz w:val="13"/>
              </w:rPr>
            </w:pPr>
          </w:p>
          <w:p w14:paraId="2D754153" w14:textId="77777777" w:rsidR="00147A22" w:rsidRDefault="00147A22" w:rsidP="00147A22">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5C510F61" wp14:editId="2CC7E8E3">
                  <wp:extent cx="114300" cy="114300"/>
                  <wp:effectExtent l="0" t="0" r="0" b="0"/>
                  <wp:docPr id="6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0657D550" w14:textId="77777777" w:rsidR="00147A22" w:rsidRDefault="00147A22" w:rsidP="00147A22">
            <w:pPr>
              <w:pStyle w:val="TableParagraph"/>
              <w:spacing w:before="8"/>
              <w:rPr>
                <w:rFonts w:ascii="Arial"/>
                <w:b/>
                <w:sz w:val="13"/>
              </w:rPr>
            </w:pPr>
          </w:p>
          <w:p w14:paraId="729F0E77" w14:textId="77777777" w:rsidR="00147A22" w:rsidRDefault="00147A2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0C3E0E7B" wp14:editId="43BE3922">
                  <wp:extent cx="114300" cy="114300"/>
                  <wp:effectExtent l="0" t="0" r="0" b="0"/>
                  <wp:docPr id="6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5AFAD21B" w14:textId="77777777" w:rsidR="00147A22" w:rsidRDefault="00147A22" w:rsidP="00147A22">
            <w:pPr>
              <w:pStyle w:val="TableParagraph"/>
              <w:spacing w:before="8"/>
              <w:rPr>
                <w:rFonts w:ascii="Arial"/>
                <w:b/>
                <w:sz w:val="13"/>
              </w:rPr>
            </w:pPr>
          </w:p>
          <w:p w14:paraId="635B3EC8"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73A2ACE2" wp14:editId="42CF4AA5">
                  <wp:extent cx="114300" cy="114300"/>
                  <wp:effectExtent l="0" t="0" r="0" b="0"/>
                  <wp:docPr id="6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7" w:type="dxa"/>
          </w:tcPr>
          <w:p w14:paraId="3E846ADA" w14:textId="77777777" w:rsidR="00147A22" w:rsidRDefault="00147A22" w:rsidP="00147A22">
            <w:pPr>
              <w:pStyle w:val="TableParagraph"/>
              <w:spacing w:before="8"/>
              <w:rPr>
                <w:rFonts w:ascii="Arial"/>
                <w:b/>
                <w:sz w:val="13"/>
              </w:rPr>
            </w:pPr>
          </w:p>
          <w:p w14:paraId="7904121F"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256F6F30" wp14:editId="3F0956B6">
                  <wp:extent cx="114300" cy="114300"/>
                  <wp:effectExtent l="0" t="0" r="0" b="0"/>
                  <wp:docPr id="7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7A22" w14:paraId="72CAA127" w14:textId="77777777" w:rsidTr="00147A22">
        <w:trPr>
          <w:trHeight w:val="534"/>
          <w:jc w:val="center"/>
        </w:trPr>
        <w:tc>
          <w:tcPr>
            <w:tcW w:w="2545" w:type="dxa"/>
          </w:tcPr>
          <w:p w14:paraId="009BEFEA" w14:textId="77777777" w:rsidR="00147A22" w:rsidRDefault="00147A22" w:rsidP="00147A22">
            <w:pPr>
              <w:pStyle w:val="TableParagraph"/>
              <w:spacing w:before="25"/>
              <w:ind w:left="185"/>
              <w:rPr>
                <w:sz w:val="19"/>
              </w:rPr>
            </w:pPr>
            <w:r>
              <w:rPr>
                <w:w w:val="105"/>
                <w:sz w:val="19"/>
              </w:rPr>
              <w:t>Quantum computing</w:t>
            </w:r>
          </w:p>
        </w:tc>
        <w:tc>
          <w:tcPr>
            <w:tcW w:w="1113" w:type="dxa"/>
          </w:tcPr>
          <w:p w14:paraId="794F8486" w14:textId="77777777" w:rsidR="00147A22" w:rsidRDefault="00147A22" w:rsidP="00147A22">
            <w:pPr>
              <w:pStyle w:val="TableParagraph"/>
              <w:spacing w:before="8"/>
              <w:rPr>
                <w:rFonts w:ascii="Arial"/>
                <w:b/>
                <w:sz w:val="13"/>
              </w:rPr>
            </w:pPr>
          </w:p>
          <w:p w14:paraId="7A9C0270"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4504886" wp14:editId="76FB36A9">
                  <wp:extent cx="114300" cy="114300"/>
                  <wp:effectExtent l="0" t="0" r="0" b="0"/>
                  <wp:docPr id="7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03" w:type="dxa"/>
          </w:tcPr>
          <w:p w14:paraId="4E166E82" w14:textId="77777777" w:rsidR="00147A22" w:rsidRDefault="00147A22" w:rsidP="00147A22">
            <w:pPr>
              <w:pStyle w:val="TableParagraph"/>
              <w:spacing w:before="8"/>
              <w:rPr>
                <w:rFonts w:ascii="Arial"/>
                <w:b/>
                <w:sz w:val="13"/>
              </w:rPr>
            </w:pPr>
          </w:p>
          <w:p w14:paraId="4D9A59C0" w14:textId="7FFCE0AC" w:rsidR="00147A22" w:rsidRDefault="00BB0252" w:rsidP="007F3CC8">
            <w:pPr>
              <w:pStyle w:val="TableParagraph"/>
              <w:spacing w:line="180" w:lineRule="exact"/>
              <w:jc w:val="center"/>
              <w:rPr>
                <w:rFonts w:ascii="Arial"/>
                <w:sz w:val="18"/>
              </w:rPr>
            </w:pPr>
            <w:r>
              <w:rPr>
                <w:rFonts w:ascii="Arial"/>
                <w:noProof/>
                <w:position w:val="-3"/>
                <w:sz w:val="18"/>
                <w:lang w:val="en-GB" w:eastAsia="en-GB"/>
              </w:rPr>
              <w:t>X</w:t>
            </w:r>
          </w:p>
        </w:tc>
        <w:tc>
          <w:tcPr>
            <w:tcW w:w="938" w:type="dxa"/>
          </w:tcPr>
          <w:p w14:paraId="35720380" w14:textId="77777777" w:rsidR="00147A22" w:rsidRDefault="00147A22" w:rsidP="00147A22">
            <w:pPr>
              <w:pStyle w:val="TableParagraph"/>
              <w:spacing w:before="8"/>
              <w:rPr>
                <w:rFonts w:ascii="Arial"/>
                <w:b/>
                <w:sz w:val="13"/>
              </w:rPr>
            </w:pPr>
          </w:p>
          <w:p w14:paraId="71FD1CCA" w14:textId="77777777" w:rsidR="00147A22" w:rsidRDefault="00147A22" w:rsidP="00147A22">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2530DB0F" wp14:editId="5E508778">
                  <wp:extent cx="114300" cy="114300"/>
                  <wp:effectExtent l="0" t="0" r="0" b="0"/>
                  <wp:docPr id="7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164662AD" w14:textId="77777777" w:rsidR="00147A22" w:rsidRDefault="00147A22" w:rsidP="00147A22">
            <w:pPr>
              <w:pStyle w:val="TableParagraph"/>
              <w:spacing w:before="8"/>
              <w:rPr>
                <w:rFonts w:ascii="Arial"/>
                <w:b/>
                <w:sz w:val="13"/>
              </w:rPr>
            </w:pPr>
          </w:p>
          <w:p w14:paraId="254452E7" w14:textId="77777777" w:rsidR="00147A22" w:rsidRDefault="00147A2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5269E933" wp14:editId="442424DD">
                  <wp:extent cx="114300" cy="114300"/>
                  <wp:effectExtent l="0" t="0" r="0" b="0"/>
                  <wp:docPr id="7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492D2968" w14:textId="77777777" w:rsidR="00147A22" w:rsidRDefault="00147A22" w:rsidP="00147A22">
            <w:pPr>
              <w:pStyle w:val="TableParagraph"/>
              <w:spacing w:before="8"/>
              <w:rPr>
                <w:rFonts w:ascii="Arial"/>
                <w:b/>
                <w:sz w:val="13"/>
              </w:rPr>
            </w:pPr>
          </w:p>
          <w:p w14:paraId="649A4B2D"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39A71C3C" wp14:editId="5AF2FD7E">
                  <wp:extent cx="114300" cy="114300"/>
                  <wp:effectExtent l="0" t="0" r="0" b="0"/>
                  <wp:docPr id="7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7" w:type="dxa"/>
          </w:tcPr>
          <w:p w14:paraId="0E42F9BB" w14:textId="77777777" w:rsidR="00147A22" w:rsidRDefault="00147A22" w:rsidP="00147A22">
            <w:pPr>
              <w:pStyle w:val="TableParagraph"/>
              <w:spacing w:before="8"/>
              <w:rPr>
                <w:rFonts w:ascii="Arial"/>
                <w:b/>
                <w:sz w:val="13"/>
              </w:rPr>
            </w:pPr>
          </w:p>
          <w:p w14:paraId="3A73427E"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36F3A07E" wp14:editId="3B60D3D2">
                  <wp:extent cx="114300" cy="114300"/>
                  <wp:effectExtent l="0" t="0" r="0" b="0"/>
                  <wp:docPr id="7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7A22" w14:paraId="767574B0" w14:textId="77777777" w:rsidTr="00147A22">
        <w:trPr>
          <w:trHeight w:val="534"/>
          <w:jc w:val="center"/>
        </w:trPr>
        <w:tc>
          <w:tcPr>
            <w:tcW w:w="2545" w:type="dxa"/>
          </w:tcPr>
          <w:p w14:paraId="62955D03" w14:textId="77777777" w:rsidR="00147A22" w:rsidRDefault="00147A22" w:rsidP="00147A22">
            <w:pPr>
              <w:pStyle w:val="TableParagraph"/>
              <w:spacing w:before="25"/>
              <w:ind w:left="185"/>
              <w:rPr>
                <w:sz w:val="19"/>
              </w:rPr>
            </w:pPr>
            <w:r>
              <w:rPr>
                <w:w w:val="105"/>
                <w:sz w:val="19"/>
              </w:rPr>
              <w:t>Other</w:t>
            </w:r>
          </w:p>
        </w:tc>
        <w:tc>
          <w:tcPr>
            <w:tcW w:w="1113" w:type="dxa"/>
          </w:tcPr>
          <w:p w14:paraId="171E2212" w14:textId="77777777" w:rsidR="00147A22" w:rsidRDefault="00147A22" w:rsidP="00147A22">
            <w:pPr>
              <w:pStyle w:val="TableParagraph"/>
              <w:spacing w:before="8"/>
              <w:rPr>
                <w:rFonts w:ascii="Arial"/>
                <w:b/>
                <w:sz w:val="13"/>
              </w:rPr>
            </w:pPr>
          </w:p>
          <w:p w14:paraId="7A0DC82E" w14:textId="77777777" w:rsidR="00147A22" w:rsidRDefault="00147A22"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0CAAF529" wp14:editId="158BDF84">
                  <wp:extent cx="114300" cy="114300"/>
                  <wp:effectExtent l="0" t="0" r="0" b="0"/>
                  <wp:docPr id="7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03" w:type="dxa"/>
          </w:tcPr>
          <w:p w14:paraId="7DC57D06" w14:textId="77777777" w:rsidR="00147A22" w:rsidRDefault="00147A22" w:rsidP="00147A22">
            <w:pPr>
              <w:pStyle w:val="TableParagraph"/>
              <w:spacing w:before="8"/>
              <w:rPr>
                <w:rFonts w:ascii="Arial"/>
                <w:b/>
                <w:sz w:val="13"/>
              </w:rPr>
            </w:pPr>
          </w:p>
          <w:p w14:paraId="1C5A5A2D" w14:textId="77777777" w:rsidR="00147A22" w:rsidRDefault="00147A22" w:rsidP="00147A22">
            <w:pPr>
              <w:pStyle w:val="TableParagraph"/>
              <w:spacing w:line="180" w:lineRule="exact"/>
              <w:ind w:left="547"/>
              <w:rPr>
                <w:rFonts w:ascii="Arial"/>
                <w:sz w:val="18"/>
              </w:rPr>
            </w:pPr>
            <w:r>
              <w:rPr>
                <w:rFonts w:ascii="Arial"/>
                <w:noProof/>
                <w:position w:val="-3"/>
                <w:sz w:val="18"/>
                <w:lang w:val="en-GB" w:eastAsia="en-GB"/>
              </w:rPr>
              <w:drawing>
                <wp:inline distT="0" distB="0" distL="0" distR="0" wp14:anchorId="320A9894" wp14:editId="5B8C467F">
                  <wp:extent cx="114300" cy="114300"/>
                  <wp:effectExtent l="0" t="0" r="0" b="0"/>
                  <wp:docPr id="7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38" w:type="dxa"/>
          </w:tcPr>
          <w:p w14:paraId="514221BA" w14:textId="77777777" w:rsidR="00147A22" w:rsidRDefault="00147A22" w:rsidP="00147A22">
            <w:pPr>
              <w:pStyle w:val="TableParagraph"/>
              <w:spacing w:before="8"/>
              <w:rPr>
                <w:rFonts w:ascii="Arial"/>
                <w:b/>
                <w:sz w:val="13"/>
              </w:rPr>
            </w:pPr>
          </w:p>
          <w:p w14:paraId="7114AAF1" w14:textId="77777777" w:rsidR="00147A22" w:rsidRDefault="00147A22" w:rsidP="00147A22">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2F796315" wp14:editId="5EDAFA83">
                  <wp:extent cx="114300" cy="114300"/>
                  <wp:effectExtent l="0" t="0" r="0" b="0"/>
                  <wp:docPr id="7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40EEDF9A" w14:textId="77777777" w:rsidR="00147A22" w:rsidRDefault="00147A22" w:rsidP="00147A22">
            <w:pPr>
              <w:pStyle w:val="TableParagraph"/>
              <w:spacing w:before="8"/>
              <w:rPr>
                <w:rFonts w:ascii="Arial"/>
                <w:b/>
                <w:sz w:val="13"/>
              </w:rPr>
            </w:pPr>
          </w:p>
          <w:p w14:paraId="2705011F" w14:textId="77777777" w:rsidR="00147A22" w:rsidRDefault="00147A22" w:rsidP="00147A22">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11C96449" wp14:editId="7618FF2F">
                  <wp:extent cx="114300" cy="114300"/>
                  <wp:effectExtent l="0" t="0" r="0" b="0"/>
                  <wp:docPr id="7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6" w:type="dxa"/>
          </w:tcPr>
          <w:p w14:paraId="0608C481" w14:textId="77777777" w:rsidR="00147A22" w:rsidRDefault="00147A22" w:rsidP="00147A22">
            <w:pPr>
              <w:pStyle w:val="TableParagraph"/>
              <w:spacing w:before="8"/>
              <w:rPr>
                <w:rFonts w:ascii="Arial"/>
                <w:b/>
                <w:sz w:val="13"/>
              </w:rPr>
            </w:pPr>
          </w:p>
          <w:p w14:paraId="19672BDC" w14:textId="77777777" w:rsidR="00147A22" w:rsidRDefault="00147A22" w:rsidP="00147A22">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3802B6E5" wp14:editId="5B2F3CBE">
                  <wp:extent cx="114300" cy="114300"/>
                  <wp:effectExtent l="0" t="0" r="0" b="0"/>
                  <wp:docPr id="7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7" w:type="dxa"/>
          </w:tcPr>
          <w:p w14:paraId="260A43BB" w14:textId="77777777" w:rsidR="00147A22" w:rsidRDefault="00147A22" w:rsidP="00147A22">
            <w:pPr>
              <w:pStyle w:val="TableParagraph"/>
              <w:spacing w:before="8"/>
              <w:rPr>
                <w:rFonts w:ascii="Arial"/>
                <w:b/>
                <w:sz w:val="13"/>
              </w:rPr>
            </w:pPr>
          </w:p>
          <w:p w14:paraId="72D5283C" w14:textId="77777777" w:rsidR="00147A22" w:rsidRDefault="00147A22" w:rsidP="00147A22">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3E3A1ECA" wp14:editId="56BBF616">
                  <wp:extent cx="114300" cy="114300"/>
                  <wp:effectExtent l="0" t="0" r="0" b="0"/>
                  <wp:docPr id="7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3D96E4C8" w14:textId="60D39988" w:rsidR="00147A22" w:rsidRDefault="00147A22" w:rsidP="00147A22"/>
    <w:p w14:paraId="75D0B135" w14:textId="77777777" w:rsidR="00147A22" w:rsidRPr="00F91133" w:rsidRDefault="00147A22" w:rsidP="00F91133">
      <w:pPr>
        <w:spacing w:before="107"/>
        <w:ind w:right="220"/>
        <w:jc w:val="both"/>
        <w:rPr>
          <w:rFonts w:ascii="Calibri" w:hAnsi="Calibri" w:cs="Calibri"/>
          <w:b/>
        </w:rPr>
      </w:pPr>
      <w:r w:rsidRPr="00F91133">
        <w:rPr>
          <w:rFonts w:ascii="Calibri" w:hAnsi="Calibri" w:cs="Calibri"/>
          <w:b/>
        </w:rPr>
        <w:t>If you see other technologies whose use would be limited in the financial services due to obstacles stemming from the EU financial services legislative framework, please specify and explain:</w:t>
      </w:r>
    </w:p>
    <w:p w14:paraId="30B5DE2F" w14:textId="622B4619" w:rsidR="00147A22" w:rsidRPr="00147A22" w:rsidRDefault="00147A22" w:rsidP="00147A22">
      <w:pPr>
        <w:rPr>
          <w:rFonts w:ascii="Calibri" w:hAnsi="Calibri" w:cs="Calibri"/>
          <w:sz w:val="22"/>
          <w:szCs w:val="22"/>
        </w:rPr>
      </w:pPr>
    </w:p>
    <w:p w14:paraId="312D1E9A" w14:textId="07C46A36" w:rsidR="00147A22" w:rsidRDefault="00147A22" w:rsidP="00147A22">
      <w:pPr>
        <w:rPr>
          <w:rFonts w:ascii="Calibri" w:hAnsi="Calibri" w:cs="Calibri"/>
          <w:sz w:val="22"/>
          <w:szCs w:val="22"/>
        </w:rPr>
      </w:pPr>
      <w:r w:rsidRPr="00147A22">
        <w:rPr>
          <w:rFonts w:ascii="Calibri" w:hAnsi="Calibri" w:cs="Calibri"/>
          <w:sz w:val="22"/>
          <w:szCs w:val="22"/>
        </w:rPr>
        <w:t>N/A</w:t>
      </w:r>
    </w:p>
    <w:p w14:paraId="152B3DBC" w14:textId="36EC1DE7" w:rsidR="00147A22" w:rsidRDefault="00147A22" w:rsidP="00147A22">
      <w:pPr>
        <w:rPr>
          <w:rFonts w:ascii="Calibri" w:hAnsi="Calibri" w:cs="Calibri"/>
          <w:sz w:val="22"/>
          <w:szCs w:val="22"/>
        </w:rPr>
      </w:pPr>
    </w:p>
    <w:p w14:paraId="7E8EC11F" w14:textId="77777777" w:rsidR="00147A22" w:rsidRPr="00F91133" w:rsidRDefault="00147A22" w:rsidP="00F91133">
      <w:pPr>
        <w:pStyle w:val="Heading2"/>
        <w:tabs>
          <w:tab w:val="left" w:pos="3118"/>
          <w:tab w:val="left" w:pos="8931"/>
        </w:tabs>
        <w:spacing w:before="89"/>
        <w:ind w:left="0" w:right="95"/>
        <w:jc w:val="both"/>
        <w:rPr>
          <w:rFonts w:ascii="Calibri" w:eastAsiaTheme="minorHAnsi" w:hAnsi="Calibri" w:cs="Calibri"/>
          <w:bCs w:val="0"/>
          <w:sz w:val="24"/>
          <w:szCs w:val="24"/>
          <w:lang w:val="en-GB"/>
        </w:rPr>
      </w:pPr>
      <w:r w:rsidRPr="00F91133">
        <w:rPr>
          <w:rFonts w:ascii="Calibri" w:eastAsiaTheme="minorHAnsi" w:hAnsi="Calibri" w:cs="Calibri"/>
          <w:bCs w:val="0"/>
          <w:sz w:val="24"/>
          <w:szCs w:val="24"/>
          <w:lang w:val="en-GB"/>
        </w:rPr>
        <w:t xml:space="preserve">Question 6.1 Please explain your answer to question 6, specify the specific provisions and legislation you are referring to and indicate your views on how it should be addressed: </w:t>
      </w:r>
    </w:p>
    <w:p w14:paraId="4593C742" w14:textId="6BB3917B"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The EBA Risk Assessment Report 2019</w:t>
      </w:r>
      <w:r w:rsidRPr="00147A22">
        <w:rPr>
          <w:rStyle w:val="FootnoteReference"/>
          <w:rFonts w:ascii="Calibri" w:eastAsiaTheme="minorHAnsi" w:hAnsi="Calibri" w:cs="Calibri"/>
          <w:b w:val="0"/>
          <w:bCs w:val="0"/>
          <w:color w:val="000000"/>
          <w:sz w:val="22"/>
          <w:szCs w:val="22"/>
          <w:lang w:val="en-GB"/>
        </w:rPr>
        <w:footnoteReference w:id="11"/>
      </w:r>
      <w:r w:rsidRPr="00147A22">
        <w:rPr>
          <w:rFonts w:ascii="Calibri" w:eastAsiaTheme="minorHAnsi" w:hAnsi="Calibri" w:cs="Calibri"/>
          <w:b w:val="0"/>
          <w:bCs w:val="0"/>
          <w:color w:val="000000"/>
          <w:sz w:val="22"/>
          <w:szCs w:val="22"/>
          <w:lang w:val="en-GB"/>
        </w:rPr>
        <w:t xml:space="preserve"> presented the status of adoption of new technologies in large EU banks, noting that cloud computing, </w:t>
      </w:r>
      <w:r w:rsidR="00556FA4">
        <w:rPr>
          <w:rFonts w:ascii="Calibri" w:eastAsiaTheme="minorHAnsi" w:hAnsi="Calibri" w:cs="Calibri"/>
          <w:b w:val="0"/>
          <w:bCs w:val="0"/>
          <w:color w:val="000000"/>
          <w:sz w:val="22"/>
          <w:szCs w:val="22"/>
          <w:lang w:val="en-GB"/>
        </w:rPr>
        <w:t>AI</w:t>
      </w:r>
      <w:r w:rsidRPr="00147A22">
        <w:rPr>
          <w:rFonts w:ascii="Calibri" w:eastAsiaTheme="minorHAnsi" w:hAnsi="Calibri" w:cs="Calibri"/>
          <w:b w:val="0"/>
          <w:bCs w:val="0"/>
          <w:color w:val="000000"/>
          <w:sz w:val="22"/>
          <w:szCs w:val="22"/>
          <w:lang w:val="en-GB"/>
        </w:rPr>
        <w:t xml:space="preserve"> and biometric applications are already in use by more than 55% of EU banks</w:t>
      </w:r>
      <w:r w:rsidR="008F702C">
        <w:rPr>
          <w:rStyle w:val="FootnoteReference"/>
          <w:rFonts w:ascii="Calibri" w:eastAsiaTheme="minorHAnsi" w:hAnsi="Calibri" w:cs="Calibri"/>
          <w:b w:val="0"/>
          <w:bCs w:val="0"/>
          <w:color w:val="000000"/>
          <w:sz w:val="22"/>
          <w:szCs w:val="22"/>
          <w:lang w:val="en-GB"/>
        </w:rPr>
        <w:footnoteReference w:id="12"/>
      </w:r>
      <w:r w:rsidRPr="00147A22">
        <w:rPr>
          <w:rFonts w:ascii="Calibri" w:eastAsiaTheme="minorHAnsi" w:hAnsi="Calibri" w:cs="Calibri"/>
          <w:b w:val="0"/>
          <w:bCs w:val="0"/>
          <w:color w:val="000000"/>
          <w:sz w:val="22"/>
          <w:szCs w:val="22"/>
          <w:lang w:val="en-GB"/>
        </w:rPr>
        <w:t xml:space="preserve"> while </w:t>
      </w:r>
      <w:r w:rsidR="00556FA4">
        <w:rPr>
          <w:rFonts w:ascii="Calibri" w:eastAsiaTheme="minorHAnsi" w:hAnsi="Calibri" w:cs="Calibri"/>
          <w:b w:val="0"/>
          <w:bCs w:val="0"/>
          <w:color w:val="000000"/>
          <w:sz w:val="22"/>
          <w:szCs w:val="22"/>
          <w:lang w:val="en-GB"/>
        </w:rPr>
        <w:t>DLT</w:t>
      </w:r>
      <w:r w:rsidRPr="00147A22">
        <w:rPr>
          <w:rFonts w:ascii="Calibri" w:eastAsiaTheme="minorHAnsi" w:hAnsi="Calibri" w:cs="Calibri"/>
          <w:b w:val="0"/>
          <w:bCs w:val="0"/>
          <w:color w:val="000000"/>
          <w:sz w:val="22"/>
          <w:szCs w:val="22"/>
          <w:lang w:val="en-GB"/>
        </w:rPr>
        <w:t xml:space="preserve"> is still </w:t>
      </w:r>
      <w:r w:rsidR="007A4150">
        <w:rPr>
          <w:rFonts w:ascii="Calibri" w:eastAsiaTheme="minorHAnsi" w:hAnsi="Calibri" w:cs="Calibri"/>
          <w:b w:val="0"/>
          <w:bCs w:val="0"/>
          <w:color w:val="000000"/>
          <w:sz w:val="22"/>
          <w:szCs w:val="22"/>
          <w:lang w:val="en-GB"/>
        </w:rPr>
        <w:t xml:space="preserve">largely </w:t>
      </w:r>
      <w:r w:rsidRPr="00147A22">
        <w:rPr>
          <w:rFonts w:ascii="Calibri" w:eastAsiaTheme="minorHAnsi" w:hAnsi="Calibri" w:cs="Calibri"/>
          <w:b w:val="0"/>
          <w:bCs w:val="0"/>
          <w:color w:val="000000"/>
          <w:sz w:val="22"/>
          <w:szCs w:val="22"/>
          <w:lang w:val="en-GB"/>
        </w:rPr>
        <w:t xml:space="preserve">in development phase, used by around 25% </w:t>
      </w:r>
      <w:r w:rsidRPr="00147A22">
        <w:rPr>
          <w:rFonts w:ascii="Calibri" w:eastAsiaTheme="minorHAnsi" w:hAnsi="Calibri" w:cs="Calibri"/>
          <w:b w:val="0"/>
          <w:bCs w:val="0"/>
          <w:color w:val="000000"/>
          <w:sz w:val="22"/>
          <w:szCs w:val="22"/>
          <w:lang w:val="en-GB"/>
        </w:rPr>
        <w:lastRenderedPageBreak/>
        <w:t xml:space="preserve">EU banks. </w:t>
      </w:r>
      <w:r w:rsidR="004C033C">
        <w:rPr>
          <w:rFonts w:ascii="Calibri" w:eastAsiaTheme="minorHAnsi" w:hAnsi="Calibri" w:cs="Calibri"/>
          <w:b w:val="0"/>
          <w:bCs w:val="0"/>
          <w:color w:val="000000"/>
          <w:sz w:val="22"/>
          <w:szCs w:val="22"/>
          <w:lang w:val="en-GB"/>
        </w:rPr>
        <w:t xml:space="preserve">Nevertheless, smaller banks, payment institutions, e-money institutions and other FinTech institutions may face certain challenges in complying with supervisory expectations, therefore affecting the adoption of new technologies. </w:t>
      </w:r>
    </w:p>
    <w:p w14:paraId="515018B3" w14:textId="2E7727CC"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u w:val="single"/>
          <w:lang w:val="en-GB"/>
        </w:rPr>
      </w:pPr>
      <w:r w:rsidRPr="00147A22">
        <w:rPr>
          <w:rFonts w:ascii="Calibri" w:eastAsiaTheme="minorHAnsi" w:hAnsi="Calibri" w:cs="Calibri"/>
          <w:b w:val="0"/>
          <w:bCs w:val="0"/>
          <w:color w:val="000000"/>
          <w:sz w:val="22"/>
          <w:szCs w:val="22"/>
          <w:u w:val="single"/>
          <w:lang w:val="en-GB"/>
        </w:rPr>
        <w:t>Distributed Ledger Technology</w:t>
      </w:r>
    </w:p>
    <w:p w14:paraId="08D0702F" w14:textId="6F9E4945" w:rsid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 xml:space="preserve">Based on </w:t>
      </w:r>
      <w:r w:rsidR="00F91133">
        <w:rPr>
          <w:rFonts w:ascii="Calibri" w:eastAsiaTheme="minorHAnsi" w:hAnsi="Calibri" w:cs="Calibri"/>
          <w:b w:val="0"/>
          <w:bCs w:val="0"/>
          <w:color w:val="000000"/>
          <w:sz w:val="22"/>
          <w:szCs w:val="22"/>
          <w:lang w:val="en-GB"/>
        </w:rPr>
        <w:t>the EBA’s</w:t>
      </w:r>
      <w:r w:rsidRPr="00147A22">
        <w:rPr>
          <w:rFonts w:ascii="Calibri" w:eastAsiaTheme="minorHAnsi" w:hAnsi="Calibri" w:cs="Calibri"/>
          <w:b w:val="0"/>
          <w:bCs w:val="0"/>
          <w:color w:val="000000"/>
          <w:sz w:val="22"/>
          <w:szCs w:val="22"/>
          <w:lang w:val="en-GB"/>
        </w:rPr>
        <w:t xml:space="preserve"> </w:t>
      </w:r>
      <w:r w:rsidR="00F91133">
        <w:rPr>
          <w:rFonts w:ascii="Calibri" w:eastAsiaTheme="minorHAnsi" w:hAnsi="Calibri" w:cs="Calibri"/>
          <w:b w:val="0"/>
          <w:bCs w:val="0"/>
          <w:color w:val="000000"/>
          <w:sz w:val="22"/>
          <w:szCs w:val="22"/>
          <w:lang w:val="en-GB"/>
        </w:rPr>
        <w:t>analysis, the main challenges to</w:t>
      </w:r>
      <w:r w:rsidRPr="00147A22">
        <w:rPr>
          <w:rFonts w:ascii="Calibri" w:eastAsiaTheme="minorHAnsi" w:hAnsi="Calibri" w:cs="Calibri"/>
          <w:b w:val="0"/>
          <w:bCs w:val="0"/>
          <w:color w:val="000000"/>
          <w:sz w:val="22"/>
          <w:szCs w:val="22"/>
          <w:lang w:val="en-GB"/>
        </w:rPr>
        <w:t xml:space="preserve"> the use of DLT relate to </w:t>
      </w:r>
      <w:r w:rsidR="004C033C">
        <w:rPr>
          <w:rFonts w:ascii="Calibri" w:eastAsiaTheme="minorHAnsi" w:hAnsi="Calibri" w:cs="Calibri"/>
          <w:b w:val="0"/>
          <w:bCs w:val="0"/>
          <w:color w:val="000000"/>
          <w:sz w:val="22"/>
          <w:szCs w:val="22"/>
          <w:lang w:val="en-GB"/>
        </w:rPr>
        <w:t xml:space="preserve">certain </w:t>
      </w:r>
      <w:r w:rsidRPr="00147A22">
        <w:rPr>
          <w:rFonts w:ascii="Calibri" w:eastAsiaTheme="minorHAnsi" w:hAnsi="Calibri" w:cs="Calibri"/>
          <w:b w:val="0"/>
          <w:bCs w:val="0"/>
          <w:color w:val="000000"/>
          <w:sz w:val="22"/>
          <w:szCs w:val="22"/>
          <w:lang w:val="en-GB"/>
        </w:rPr>
        <w:t>transparency aspects</w:t>
      </w:r>
      <w:r w:rsidR="002C19E3">
        <w:rPr>
          <w:rStyle w:val="FootnoteReference"/>
          <w:rFonts w:ascii="Calibri" w:eastAsiaTheme="minorHAnsi" w:hAnsi="Calibri" w:cs="Calibri"/>
          <w:b w:val="0"/>
          <w:bCs w:val="0"/>
          <w:color w:val="000000"/>
          <w:sz w:val="22"/>
          <w:szCs w:val="22"/>
          <w:lang w:val="en-GB"/>
        </w:rPr>
        <w:footnoteReference w:id="13"/>
      </w:r>
      <w:r w:rsidRPr="00147A22">
        <w:rPr>
          <w:rFonts w:ascii="Calibri" w:eastAsiaTheme="minorHAnsi" w:hAnsi="Calibri" w:cs="Calibri"/>
          <w:b w:val="0"/>
          <w:bCs w:val="0"/>
          <w:color w:val="000000"/>
          <w:sz w:val="22"/>
          <w:szCs w:val="22"/>
          <w:lang w:val="en-GB"/>
        </w:rPr>
        <w:t xml:space="preserve"> as well as the multi-party network environment, including the governance framework that should be established for this purpose. For example, such a framework should require participants to define and agree on data aspects, processes, roles and responsibilities, and dispute mechanisms. </w:t>
      </w:r>
    </w:p>
    <w:p w14:paraId="237282B5" w14:textId="72EE47E6" w:rsidR="007A4150" w:rsidRPr="00147A22" w:rsidRDefault="007A4150"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Pr>
          <w:rFonts w:ascii="Calibri" w:eastAsiaTheme="minorHAnsi" w:hAnsi="Calibri" w:cs="Calibri"/>
          <w:b w:val="0"/>
          <w:bCs w:val="0"/>
          <w:color w:val="000000"/>
          <w:sz w:val="22"/>
          <w:szCs w:val="22"/>
          <w:lang w:val="en-GB"/>
        </w:rPr>
        <w:t>In addition, certain requirements of the GDPR appear</w:t>
      </w:r>
      <w:r w:rsidR="00F059D6">
        <w:rPr>
          <w:rFonts w:ascii="Calibri" w:eastAsiaTheme="minorHAnsi" w:hAnsi="Calibri" w:cs="Calibri"/>
          <w:b w:val="0"/>
          <w:bCs w:val="0"/>
          <w:color w:val="000000"/>
          <w:sz w:val="22"/>
          <w:szCs w:val="22"/>
          <w:lang w:val="en-GB"/>
        </w:rPr>
        <w:t xml:space="preserve"> to pose some challenges for</w:t>
      </w:r>
      <w:r>
        <w:rPr>
          <w:rFonts w:ascii="Calibri" w:eastAsiaTheme="minorHAnsi" w:hAnsi="Calibri" w:cs="Calibri"/>
          <w:b w:val="0"/>
          <w:bCs w:val="0"/>
          <w:color w:val="000000"/>
          <w:sz w:val="22"/>
          <w:szCs w:val="22"/>
          <w:lang w:val="en-GB"/>
        </w:rPr>
        <w:t xml:space="preserve"> the development of DLT</w:t>
      </w:r>
      <w:r w:rsidR="00F059D6">
        <w:rPr>
          <w:rFonts w:ascii="Calibri" w:eastAsiaTheme="minorHAnsi" w:hAnsi="Calibri" w:cs="Calibri"/>
          <w:b w:val="0"/>
          <w:bCs w:val="0"/>
          <w:color w:val="000000"/>
          <w:sz w:val="22"/>
          <w:szCs w:val="22"/>
          <w:lang w:val="en-GB"/>
        </w:rPr>
        <w:t>,</w:t>
      </w:r>
      <w:r>
        <w:rPr>
          <w:rFonts w:ascii="Calibri" w:eastAsiaTheme="minorHAnsi" w:hAnsi="Calibri" w:cs="Calibri"/>
          <w:b w:val="0"/>
          <w:bCs w:val="0"/>
          <w:color w:val="000000"/>
          <w:sz w:val="22"/>
          <w:szCs w:val="22"/>
          <w:lang w:val="en-GB"/>
        </w:rPr>
        <w:t xml:space="preserve"> such as the right to be forgotten</w:t>
      </w:r>
      <w:r w:rsidR="007C2C53">
        <w:rPr>
          <w:rFonts w:ascii="Calibri" w:eastAsiaTheme="minorHAnsi" w:hAnsi="Calibri" w:cs="Calibri"/>
          <w:b w:val="0"/>
          <w:bCs w:val="0"/>
          <w:color w:val="000000"/>
          <w:sz w:val="22"/>
          <w:szCs w:val="22"/>
          <w:lang w:val="en-GB"/>
        </w:rPr>
        <w:t>, which might not be technically feasible for the records/data stored on the nodes.</w:t>
      </w:r>
      <w:r>
        <w:rPr>
          <w:rFonts w:ascii="Calibri" w:eastAsiaTheme="minorHAnsi" w:hAnsi="Calibri" w:cs="Calibri"/>
          <w:b w:val="0"/>
          <w:bCs w:val="0"/>
          <w:color w:val="000000"/>
          <w:sz w:val="22"/>
          <w:szCs w:val="22"/>
          <w:lang w:val="en-GB"/>
        </w:rPr>
        <w:t xml:space="preserve"> </w:t>
      </w:r>
    </w:p>
    <w:p w14:paraId="3F6C76CB" w14:textId="6771C7D7" w:rsid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Moreover, in case of DLT cross-border applications, legal uncertainties may exist</w:t>
      </w:r>
      <w:r w:rsidR="004C033C">
        <w:rPr>
          <w:rFonts w:ascii="Calibri" w:eastAsiaTheme="minorHAnsi" w:hAnsi="Calibri" w:cs="Calibri"/>
          <w:b w:val="0"/>
          <w:bCs w:val="0"/>
          <w:color w:val="000000"/>
          <w:sz w:val="22"/>
          <w:szCs w:val="22"/>
          <w:lang w:val="en-GB"/>
        </w:rPr>
        <w:t xml:space="preserve"> with </w:t>
      </w:r>
      <w:r w:rsidRPr="00147A22">
        <w:rPr>
          <w:rFonts w:ascii="Calibri" w:eastAsiaTheme="minorHAnsi" w:hAnsi="Calibri" w:cs="Calibri"/>
          <w:b w:val="0"/>
          <w:bCs w:val="0"/>
          <w:color w:val="000000"/>
          <w:sz w:val="22"/>
          <w:szCs w:val="22"/>
          <w:lang w:val="en-GB"/>
        </w:rPr>
        <w:t xml:space="preserve">regard to the applicable legislation, accompanied by uncertainties on the legal value of smart contracts (where applicable) and the lack of a clear applicable jurisdiction, as the DLT nodes could be located in different jurisdictions with potential </w:t>
      </w:r>
      <w:r w:rsidR="00F059D6">
        <w:rPr>
          <w:rFonts w:ascii="Calibri" w:eastAsiaTheme="minorHAnsi" w:hAnsi="Calibri" w:cs="Calibri"/>
          <w:b w:val="0"/>
          <w:bCs w:val="0"/>
          <w:color w:val="000000"/>
          <w:sz w:val="22"/>
          <w:szCs w:val="22"/>
          <w:lang w:val="en-GB"/>
        </w:rPr>
        <w:t>for conflict of law issues</w:t>
      </w:r>
      <w:r w:rsidRPr="00147A22">
        <w:rPr>
          <w:rFonts w:ascii="Calibri" w:eastAsiaTheme="minorHAnsi" w:hAnsi="Calibri" w:cs="Calibri"/>
          <w:b w:val="0"/>
          <w:bCs w:val="0"/>
          <w:color w:val="000000"/>
          <w:sz w:val="22"/>
          <w:szCs w:val="22"/>
          <w:lang w:val="en-GB"/>
        </w:rPr>
        <w:t xml:space="preserve">. For example, a digitally signed contract might not be enforceable in all the relevant jurisdictions. </w:t>
      </w:r>
    </w:p>
    <w:p w14:paraId="57912BB3" w14:textId="419F5185" w:rsidR="00633F81" w:rsidRPr="00B907E2" w:rsidRDefault="00F91133" w:rsidP="00633F81">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Pr>
          <w:rFonts w:ascii="Calibri" w:eastAsiaTheme="minorHAnsi" w:hAnsi="Calibri" w:cs="Calibri"/>
          <w:b w:val="0"/>
          <w:bCs w:val="0"/>
          <w:color w:val="000000"/>
          <w:sz w:val="22"/>
          <w:szCs w:val="22"/>
          <w:lang w:val="en-GB"/>
        </w:rPr>
        <w:t xml:space="preserve">Furthermore, the EBA has </w:t>
      </w:r>
      <w:r w:rsidR="00633F81">
        <w:rPr>
          <w:rFonts w:ascii="Calibri" w:eastAsiaTheme="minorHAnsi" w:hAnsi="Calibri" w:cs="Calibri"/>
          <w:b w:val="0"/>
          <w:bCs w:val="0"/>
          <w:color w:val="000000"/>
          <w:sz w:val="22"/>
          <w:szCs w:val="22"/>
          <w:lang w:val="en-GB"/>
        </w:rPr>
        <w:t xml:space="preserve">observed a growing interest in the development of DLT-based solutions </w:t>
      </w:r>
      <w:r w:rsidR="00633F81" w:rsidRPr="00B907E2">
        <w:rPr>
          <w:rFonts w:ascii="Calibri" w:eastAsiaTheme="minorHAnsi" w:hAnsi="Calibri" w:cs="Calibri"/>
          <w:b w:val="0"/>
          <w:bCs w:val="0"/>
          <w:color w:val="000000"/>
          <w:sz w:val="22"/>
          <w:szCs w:val="22"/>
          <w:lang w:val="en-GB"/>
        </w:rPr>
        <w:t xml:space="preserve">for the clearing and settlement of exchange-traded and OTC securities, </w:t>
      </w:r>
      <w:r w:rsidR="00633F81">
        <w:rPr>
          <w:rFonts w:ascii="Calibri" w:eastAsiaTheme="minorHAnsi" w:hAnsi="Calibri" w:cs="Calibri"/>
          <w:b w:val="0"/>
          <w:bCs w:val="0"/>
          <w:color w:val="000000"/>
          <w:sz w:val="22"/>
          <w:szCs w:val="22"/>
          <w:lang w:val="en-GB"/>
        </w:rPr>
        <w:t xml:space="preserve">which could benefit from </w:t>
      </w:r>
      <w:r w:rsidR="007A4150">
        <w:rPr>
          <w:rFonts w:ascii="Calibri" w:eastAsiaTheme="minorHAnsi" w:hAnsi="Calibri" w:cs="Calibri"/>
          <w:b w:val="0"/>
          <w:bCs w:val="0"/>
          <w:color w:val="000000"/>
          <w:sz w:val="22"/>
          <w:szCs w:val="22"/>
          <w:lang w:val="en-GB"/>
        </w:rPr>
        <w:t xml:space="preserve">removal of </w:t>
      </w:r>
      <w:r w:rsidR="00633F81" w:rsidRPr="00B907E2">
        <w:rPr>
          <w:rFonts w:ascii="Calibri" w:eastAsiaTheme="minorHAnsi" w:hAnsi="Calibri" w:cs="Calibri"/>
          <w:b w:val="0"/>
          <w:bCs w:val="0"/>
          <w:color w:val="000000"/>
          <w:sz w:val="22"/>
          <w:szCs w:val="22"/>
          <w:lang w:val="en-GB"/>
        </w:rPr>
        <w:t>potential regulatory barriers for DLT to be fully adopted.</w:t>
      </w:r>
      <w:r w:rsidR="00633F81">
        <w:rPr>
          <w:rFonts w:ascii="Calibri" w:eastAsiaTheme="minorHAnsi" w:hAnsi="Calibri" w:cs="Calibri"/>
          <w:b w:val="0"/>
          <w:bCs w:val="0"/>
          <w:color w:val="000000"/>
          <w:sz w:val="22"/>
          <w:szCs w:val="22"/>
          <w:lang w:val="en-GB"/>
        </w:rPr>
        <w:t xml:space="preserve"> In addition, the potential implementation of DLT </w:t>
      </w:r>
      <w:r w:rsidR="00633F81" w:rsidRPr="00B907E2">
        <w:rPr>
          <w:rFonts w:ascii="Calibri" w:eastAsiaTheme="minorHAnsi" w:hAnsi="Calibri" w:cs="Calibri"/>
          <w:b w:val="0"/>
          <w:bCs w:val="0"/>
          <w:color w:val="000000"/>
          <w:sz w:val="22"/>
          <w:szCs w:val="22"/>
          <w:lang w:val="en-GB"/>
        </w:rPr>
        <w:t xml:space="preserve">might introduce prudential and conduct risks that are insufficiently addressed by the existing </w:t>
      </w:r>
      <w:r w:rsidR="00633F81">
        <w:rPr>
          <w:rFonts w:ascii="Calibri" w:eastAsiaTheme="minorHAnsi" w:hAnsi="Calibri" w:cs="Calibri"/>
          <w:b w:val="0"/>
          <w:bCs w:val="0"/>
          <w:color w:val="000000"/>
          <w:sz w:val="22"/>
          <w:szCs w:val="22"/>
          <w:lang w:val="en-GB"/>
        </w:rPr>
        <w:t>EU regulatory framework</w:t>
      </w:r>
      <w:r w:rsidR="00633F81" w:rsidRPr="00B907E2">
        <w:rPr>
          <w:rFonts w:ascii="Calibri" w:eastAsiaTheme="minorHAnsi" w:hAnsi="Calibri" w:cs="Calibri"/>
          <w:b w:val="0"/>
          <w:bCs w:val="0"/>
          <w:color w:val="000000"/>
          <w:sz w:val="22"/>
          <w:szCs w:val="22"/>
          <w:lang w:val="en-GB"/>
        </w:rPr>
        <w:t>.</w:t>
      </w:r>
    </w:p>
    <w:p w14:paraId="3F161AAB" w14:textId="77777777"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u w:val="single"/>
          <w:lang w:val="en-GB"/>
        </w:rPr>
      </w:pPr>
      <w:r w:rsidRPr="00147A22">
        <w:rPr>
          <w:rFonts w:ascii="Calibri" w:eastAsiaTheme="minorHAnsi" w:hAnsi="Calibri" w:cs="Calibri"/>
          <w:b w:val="0"/>
          <w:bCs w:val="0"/>
          <w:color w:val="000000"/>
          <w:sz w:val="22"/>
          <w:szCs w:val="22"/>
          <w:u w:val="single"/>
          <w:lang w:val="en-GB"/>
        </w:rPr>
        <w:t>Cloud computing</w:t>
      </w:r>
    </w:p>
    <w:p w14:paraId="4E09F28E" w14:textId="040D5321"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 xml:space="preserve">EU banks consider cloud computing an important enabler for the implementation of their digital strategies, growth and competitiveness. Following the implementation of the </w:t>
      </w:r>
      <w:r w:rsidRPr="00F059D6">
        <w:rPr>
          <w:rFonts w:ascii="Calibri" w:eastAsiaTheme="minorHAnsi" w:hAnsi="Calibri" w:cs="Calibri"/>
          <w:b w:val="0"/>
          <w:bCs w:val="0"/>
          <w:color w:val="000000"/>
          <w:sz w:val="22"/>
          <w:szCs w:val="22"/>
          <w:lang w:val="en-GB"/>
        </w:rPr>
        <w:t>EBA Recommendations on cloud outsourcing</w:t>
      </w:r>
      <w:r w:rsidRPr="00147A22">
        <w:rPr>
          <w:rFonts w:ascii="Calibri" w:eastAsiaTheme="minorHAnsi" w:hAnsi="Calibri" w:cs="Calibri"/>
          <w:b w:val="0"/>
          <w:bCs w:val="0"/>
          <w:color w:val="000000"/>
          <w:sz w:val="22"/>
          <w:szCs w:val="22"/>
          <w:lang w:val="en-GB"/>
        </w:rPr>
        <w:t>, an increase of 12% was noted in the adoption of cloud computing across the large EU ba</w:t>
      </w:r>
      <w:r w:rsidRPr="00F91133">
        <w:rPr>
          <w:rFonts w:ascii="Calibri" w:eastAsiaTheme="minorHAnsi" w:hAnsi="Calibri" w:cs="Calibri"/>
          <w:b w:val="0"/>
          <w:bCs w:val="0"/>
          <w:color w:val="000000"/>
          <w:sz w:val="22"/>
          <w:szCs w:val="22"/>
          <w:lang w:val="en-GB"/>
        </w:rPr>
        <w:t xml:space="preserve">nks. </w:t>
      </w:r>
      <w:r w:rsidR="00081216" w:rsidRPr="00F91133">
        <w:rPr>
          <w:rFonts w:ascii="Calibri" w:eastAsiaTheme="minorHAnsi" w:hAnsi="Calibri" w:cs="Calibri"/>
          <w:b w:val="0"/>
          <w:bCs w:val="0"/>
          <w:color w:val="000000"/>
          <w:sz w:val="22"/>
          <w:szCs w:val="22"/>
          <w:lang w:val="en-GB"/>
        </w:rPr>
        <w:t>Nevertheless, further actions could be taken to strengthen the legal certainty for industry participants on the use of cloud computing in the financial sector</w:t>
      </w:r>
      <w:r w:rsidR="00081216">
        <w:rPr>
          <w:rFonts w:ascii="Calibri" w:eastAsiaTheme="minorHAnsi" w:hAnsi="Calibri" w:cs="Calibri"/>
          <w:b w:val="0"/>
          <w:bCs w:val="0"/>
          <w:color w:val="000000"/>
          <w:sz w:val="22"/>
          <w:szCs w:val="22"/>
          <w:lang w:val="en-GB"/>
        </w:rPr>
        <w:t xml:space="preserve"> and to facilitate adoption by smaller institutions</w:t>
      </w:r>
      <w:r w:rsidR="00081216" w:rsidRPr="00F91133">
        <w:rPr>
          <w:rFonts w:ascii="Calibri" w:eastAsiaTheme="minorHAnsi" w:hAnsi="Calibri" w:cs="Calibri"/>
          <w:b w:val="0"/>
          <w:bCs w:val="0"/>
          <w:color w:val="000000"/>
          <w:sz w:val="22"/>
          <w:szCs w:val="22"/>
          <w:lang w:val="en-GB"/>
        </w:rPr>
        <w:t>,</w:t>
      </w:r>
      <w:r w:rsidR="00081216" w:rsidRPr="00147A22">
        <w:rPr>
          <w:rFonts w:ascii="Calibri" w:eastAsiaTheme="minorHAnsi" w:hAnsi="Calibri" w:cs="Calibri"/>
          <w:b w:val="0"/>
          <w:bCs w:val="0"/>
          <w:color w:val="000000"/>
          <w:sz w:val="22"/>
          <w:szCs w:val="22"/>
          <w:lang w:val="en-GB"/>
        </w:rPr>
        <w:t xml:space="preserve"> in particular</w:t>
      </w:r>
      <w:r w:rsidR="00081216">
        <w:rPr>
          <w:rFonts w:ascii="Calibri" w:eastAsiaTheme="minorHAnsi" w:hAnsi="Calibri" w:cs="Calibri"/>
          <w:b w:val="0"/>
          <w:bCs w:val="0"/>
          <w:color w:val="000000"/>
          <w:sz w:val="22"/>
          <w:szCs w:val="22"/>
          <w:lang w:val="en-GB"/>
        </w:rPr>
        <w:t xml:space="preserve"> by</w:t>
      </w:r>
      <w:r w:rsidR="00081216" w:rsidRPr="00147A22">
        <w:rPr>
          <w:rFonts w:ascii="Calibri" w:eastAsiaTheme="minorHAnsi" w:hAnsi="Calibri" w:cs="Calibri"/>
          <w:b w:val="0"/>
          <w:bCs w:val="0"/>
          <w:color w:val="000000"/>
          <w:sz w:val="22"/>
          <w:szCs w:val="22"/>
          <w:lang w:val="en-GB"/>
        </w:rPr>
        <w:t xml:space="preserve"> reduc</w:t>
      </w:r>
      <w:r w:rsidR="00081216">
        <w:rPr>
          <w:rFonts w:ascii="Calibri" w:eastAsiaTheme="minorHAnsi" w:hAnsi="Calibri" w:cs="Calibri"/>
          <w:b w:val="0"/>
          <w:bCs w:val="0"/>
          <w:color w:val="000000"/>
          <w:sz w:val="22"/>
          <w:szCs w:val="22"/>
          <w:lang w:val="en-GB"/>
        </w:rPr>
        <w:t>ing</w:t>
      </w:r>
      <w:r w:rsidR="00081216" w:rsidRPr="00147A22">
        <w:rPr>
          <w:rFonts w:ascii="Calibri" w:eastAsiaTheme="minorHAnsi" w:hAnsi="Calibri" w:cs="Calibri"/>
          <w:b w:val="0"/>
          <w:bCs w:val="0"/>
          <w:color w:val="000000"/>
          <w:sz w:val="22"/>
          <w:szCs w:val="22"/>
          <w:lang w:val="en-GB"/>
        </w:rPr>
        <w:t xml:space="preserve"> the ‘negotiation’ gap in concluding cloud outsourcing contracts between small/medium-size EU </w:t>
      </w:r>
      <w:r w:rsidR="00081216">
        <w:rPr>
          <w:rFonts w:ascii="Calibri" w:eastAsiaTheme="minorHAnsi" w:hAnsi="Calibri" w:cs="Calibri"/>
          <w:b w:val="0"/>
          <w:bCs w:val="0"/>
          <w:color w:val="000000"/>
          <w:sz w:val="22"/>
          <w:szCs w:val="22"/>
          <w:lang w:val="en-GB"/>
        </w:rPr>
        <w:t>financial institutions</w:t>
      </w:r>
      <w:r w:rsidR="00081216" w:rsidRPr="00147A22">
        <w:rPr>
          <w:rFonts w:ascii="Calibri" w:eastAsiaTheme="minorHAnsi" w:hAnsi="Calibri" w:cs="Calibri"/>
          <w:b w:val="0"/>
          <w:bCs w:val="0"/>
          <w:color w:val="000000"/>
          <w:sz w:val="22"/>
          <w:szCs w:val="22"/>
          <w:lang w:val="en-GB"/>
        </w:rPr>
        <w:t xml:space="preserve"> and big cloud service providers.</w:t>
      </w:r>
      <w:r w:rsidR="00081216">
        <w:rPr>
          <w:rFonts w:ascii="Calibri" w:eastAsiaTheme="minorHAnsi" w:hAnsi="Calibri" w:cs="Calibri"/>
          <w:b w:val="0"/>
          <w:bCs w:val="0"/>
          <w:color w:val="000000"/>
          <w:sz w:val="22"/>
          <w:szCs w:val="22"/>
          <w:lang w:val="en-GB"/>
        </w:rPr>
        <w:t xml:space="preserve"> </w:t>
      </w:r>
      <w:r w:rsidRPr="00147A22">
        <w:rPr>
          <w:rFonts w:ascii="Calibri" w:eastAsiaTheme="minorHAnsi" w:hAnsi="Calibri" w:cs="Calibri"/>
          <w:b w:val="0"/>
          <w:bCs w:val="0"/>
          <w:color w:val="000000"/>
          <w:sz w:val="22"/>
          <w:szCs w:val="22"/>
          <w:lang w:val="en-GB"/>
        </w:rPr>
        <w:t>Such actions could include the finalisation of the standard contractual clauses initiative, as per the European Commission’s FinTech Action Plan</w:t>
      </w:r>
      <w:r w:rsidRPr="00147A22">
        <w:rPr>
          <w:rStyle w:val="FootnoteReference"/>
          <w:rFonts w:ascii="Calibri" w:eastAsiaTheme="minorHAnsi" w:hAnsi="Calibri" w:cs="Calibri"/>
          <w:b w:val="0"/>
          <w:bCs w:val="0"/>
          <w:color w:val="000000"/>
          <w:sz w:val="22"/>
          <w:szCs w:val="22"/>
          <w:lang w:val="en-GB"/>
        </w:rPr>
        <w:footnoteReference w:id="14"/>
      </w:r>
      <w:r w:rsidRPr="00147A22">
        <w:rPr>
          <w:rFonts w:ascii="Calibri" w:eastAsiaTheme="minorHAnsi" w:hAnsi="Calibri" w:cs="Calibri"/>
          <w:b w:val="0"/>
          <w:bCs w:val="0"/>
          <w:color w:val="000000"/>
          <w:sz w:val="22"/>
          <w:szCs w:val="22"/>
          <w:lang w:val="en-GB"/>
        </w:rPr>
        <w:t xml:space="preserve"> accompanied by </w:t>
      </w:r>
      <w:r w:rsidRPr="00147A22">
        <w:rPr>
          <w:rFonts w:ascii="Calibri" w:eastAsiaTheme="minorHAnsi" w:hAnsi="Calibri" w:cs="Calibri"/>
          <w:b w:val="0"/>
          <w:bCs w:val="0"/>
          <w:color w:val="000000"/>
          <w:sz w:val="22"/>
          <w:szCs w:val="22"/>
          <w:lang w:val="en-GB"/>
        </w:rPr>
        <w:lastRenderedPageBreak/>
        <w:t>adequate endorsement from the European Commission and the national authorities. This initiative could also promote the supervisory convergence of prudential supervision of financial institutions across the spectrum of the financial services market.</w:t>
      </w:r>
      <w:r w:rsidR="00242415">
        <w:rPr>
          <w:rFonts w:ascii="Calibri" w:eastAsiaTheme="minorHAnsi" w:hAnsi="Calibri" w:cs="Calibri"/>
          <w:b w:val="0"/>
          <w:bCs w:val="0"/>
          <w:color w:val="000000"/>
          <w:sz w:val="22"/>
          <w:szCs w:val="22"/>
          <w:lang w:val="en-GB"/>
        </w:rPr>
        <w:t xml:space="preserve"> Moreover, the potential oversight framework</w:t>
      </w:r>
      <w:r w:rsidR="004578EA">
        <w:rPr>
          <w:rFonts w:ascii="Calibri" w:eastAsiaTheme="minorHAnsi" w:hAnsi="Calibri" w:cs="Calibri"/>
          <w:b w:val="0"/>
          <w:bCs w:val="0"/>
          <w:color w:val="000000"/>
          <w:sz w:val="22"/>
          <w:szCs w:val="22"/>
          <w:lang w:val="en-GB"/>
        </w:rPr>
        <w:t xml:space="preserve"> on</w:t>
      </w:r>
      <w:r w:rsidR="00242415">
        <w:rPr>
          <w:rFonts w:ascii="Calibri" w:eastAsiaTheme="minorHAnsi" w:hAnsi="Calibri" w:cs="Calibri"/>
          <w:b w:val="0"/>
          <w:bCs w:val="0"/>
          <w:color w:val="000000"/>
          <w:sz w:val="22"/>
          <w:szCs w:val="22"/>
          <w:lang w:val="en-GB"/>
        </w:rPr>
        <w:t xml:space="preserve"> third party providers (including CSPs) envisaged </w:t>
      </w:r>
      <w:r w:rsidR="0014388C">
        <w:rPr>
          <w:rFonts w:ascii="Calibri" w:eastAsiaTheme="minorHAnsi" w:hAnsi="Calibri" w:cs="Calibri"/>
          <w:b w:val="0"/>
          <w:bCs w:val="0"/>
          <w:color w:val="000000"/>
          <w:sz w:val="22"/>
          <w:szCs w:val="22"/>
          <w:lang w:val="en-GB"/>
        </w:rPr>
        <w:t xml:space="preserve">by </w:t>
      </w:r>
      <w:r w:rsidR="00242415">
        <w:rPr>
          <w:rFonts w:ascii="Calibri" w:eastAsiaTheme="minorHAnsi" w:hAnsi="Calibri" w:cs="Calibri"/>
          <w:b w:val="0"/>
          <w:bCs w:val="0"/>
          <w:color w:val="000000"/>
          <w:sz w:val="22"/>
          <w:szCs w:val="22"/>
          <w:lang w:val="en-GB"/>
        </w:rPr>
        <w:t>the European Commission Digital Operational Resilience framework</w:t>
      </w:r>
      <w:r w:rsidR="00242415">
        <w:rPr>
          <w:rStyle w:val="FootnoteReference"/>
          <w:rFonts w:ascii="Calibri" w:eastAsiaTheme="minorHAnsi" w:hAnsi="Calibri" w:cs="Calibri"/>
          <w:b w:val="0"/>
          <w:bCs w:val="0"/>
          <w:color w:val="000000"/>
          <w:sz w:val="22"/>
          <w:szCs w:val="22"/>
          <w:lang w:val="en-GB"/>
        </w:rPr>
        <w:footnoteReference w:id="15"/>
      </w:r>
      <w:r w:rsidR="002C19E3">
        <w:rPr>
          <w:rFonts w:ascii="Calibri" w:eastAsiaTheme="minorHAnsi" w:hAnsi="Calibri" w:cs="Calibri"/>
          <w:b w:val="0"/>
          <w:bCs w:val="0"/>
          <w:color w:val="000000"/>
          <w:sz w:val="22"/>
          <w:szCs w:val="22"/>
          <w:lang w:val="en-GB"/>
        </w:rPr>
        <w:t xml:space="preserve"> could </w:t>
      </w:r>
      <w:r w:rsidR="0014388C">
        <w:rPr>
          <w:rFonts w:ascii="Calibri" w:eastAsiaTheme="minorHAnsi" w:hAnsi="Calibri" w:cs="Calibri"/>
          <w:b w:val="0"/>
          <w:bCs w:val="0"/>
          <w:color w:val="000000"/>
          <w:sz w:val="22"/>
          <w:szCs w:val="22"/>
          <w:lang w:val="en-GB"/>
        </w:rPr>
        <w:t>further alleviate these concerns.</w:t>
      </w:r>
    </w:p>
    <w:p w14:paraId="5D73C5EF" w14:textId="68230A87" w:rsidR="006874BA" w:rsidRDefault="00147A22" w:rsidP="006874BA">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In additio</w:t>
      </w:r>
      <w:r w:rsidRPr="00AC7E1A">
        <w:rPr>
          <w:rFonts w:ascii="Calibri" w:eastAsiaTheme="minorHAnsi" w:hAnsi="Calibri" w:cs="Calibri"/>
          <w:b w:val="0"/>
          <w:bCs w:val="0"/>
          <w:color w:val="000000"/>
          <w:sz w:val="22"/>
          <w:szCs w:val="22"/>
          <w:lang w:val="en-GB"/>
        </w:rPr>
        <w:t xml:space="preserve">n, the EU regulatory framework could </w:t>
      </w:r>
      <w:r w:rsidR="00AC7E1A" w:rsidRPr="00AC7E1A">
        <w:rPr>
          <w:rFonts w:ascii="Calibri" w:eastAsiaTheme="minorHAnsi" w:hAnsi="Calibri" w:cs="Calibri"/>
          <w:b w:val="0"/>
          <w:bCs w:val="0"/>
          <w:color w:val="000000"/>
          <w:sz w:val="22"/>
          <w:szCs w:val="22"/>
          <w:lang w:val="en-GB"/>
        </w:rPr>
        <w:t xml:space="preserve">be </w:t>
      </w:r>
      <w:r w:rsidRPr="00AC7E1A">
        <w:rPr>
          <w:rFonts w:ascii="Calibri" w:eastAsiaTheme="minorHAnsi" w:hAnsi="Calibri" w:cs="Calibri"/>
          <w:b w:val="0"/>
          <w:bCs w:val="0"/>
          <w:color w:val="000000"/>
          <w:sz w:val="22"/>
          <w:szCs w:val="22"/>
          <w:lang w:val="en-GB"/>
        </w:rPr>
        <w:t>further strengthen</w:t>
      </w:r>
      <w:r w:rsidR="00AC7E1A" w:rsidRPr="00AC7E1A">
        <w:rPr>
          <w:rFonts w:ascii="Calibri" w:eastAsiaTheme="minorHAnsi" w:hAnsi="Calibri" w:cs="Calibri"/>
          <w:b w:val="0"/>
          <w:bCs w:val="0"/>
          <w:color w:val="000000"/>
          <w:sz w:val="22"/>
          <w:szCs w:val="22"/>
          <w:lang w:val="en-GB"/>
        </w:rPr>
        <w:t>ed</w:t>
      </w:r>
      <w:r w:rsidRPr="00AC7E1A">
        <w:rPr>
          <w:rFonts w:ascii="Calibri" w:eastAsiaTheme="minorHAnsi" w:hAnsi="Calibri" w:cs="Calibri"/>
          <w:b w:val="0"/>
          <w:bCs w:val="0"/>
          <w:color w:val="000000"/>
          <w:sz w:val="22"/>
          <w:szCs w:val="22"/>
          <w:lang w:val="en-GB"/>
        </w:rPr>
        <w:t xml:space="preserve"> to address the growing market concentration risk that may arise from large non-EU cloud service providers,</w:t>
      </w:r>
      <w:r w:rsidR="001F79A2">
        <w:rPr>
          <w:rFonts w:ascii="Calibri" w:eastAsiaTheme="minorHAnsi" w:hAnsi="Calibri" w:cs="Calibri"/>
          <w:b w:val="0"/>
          <w:bCs w:val="0"/>
          <w:color w:val="000000"/>
          <w:sz w:val="22"/>
          <w:szCs w:val="22"/>
          <w:lang w:val="en-GB"/>
        </w:rPr>
        <w:t xml:space="preserve"> as well as the potential dependency </w:t>
      </w:r>
      <w:r w:rsidR="001F79A2" w:rsidRPr="007F3CC8">
        <w:rPr>
          <w:rFonts w:ascii="Calibri" w:eastAsiaTheme="minorHAnsi" w:hAnsi="Calibri" w:cs="Calibri"/>
          <w:b w:val="0"/>
          <w:bCs w:val="0"/>
          <w:color w:val="000000"/>
          <w:sz w:val="22"/>
          <w:szCs w:val="22"/>
          <w:lang w:val="en-GB"/>
        </w:rPr>
        <w:t>of EU finan</w:t>
      </w:r>
      <w:r w:rsidR="001F79A2" w:rsidRPr="001F79A2">
        <w:rPr>
          <w:rFonts w:ascii="Calibri" w:eastAsiaTheme="minorHAnsi" w:hAnsi="Calibri" w:cs="Calibri"/>
          <w:b w:val="0"/>
          <w:bCs w:val="0"/>
          <w:color w:val="000000"/>
          <w:sz w:val="22"/>
          <w:szCs w:val="22"/>
          <w:lang w:val="en-GB"/>
        </w:rPr>
        <w:t xml:space="preserve">cial stability on </w:t>
      </w:r>
      <w:r w:rsidR="001F79A2">
        <w:rPr>
          <w:rFonts w:ascii="Calibri" w:eastAsiaTheme="minorHAnsi" w:hAnsi="Calibri" w:cs="Calibri"/>
          <w:b w:val="0"/>
          <w:bCs w:val="0"/>
          <w:color w:val="000000"/>
          <w:sz w:val="22"/>
          <w:szCs w:val="22"/>
          <w:lang w:val="en-GB"/>
        </w:rPr>
        <w:t>n</w:t>
      </w:r>
      <w:r w:rsidR="001F79A2" w:rsidRPr="007F3CC8">
        <w:rPr>
          <w:rFonts w:ascii="Calibri" w:eastAsiaTheme="minorHAnsi" w:hAnsi="Calibri" w:cs="Calibri"/>
          <w:b w:val="0"/>
          <w:bCs w:val="0"/>
          <w:color w:val="000000"/>
          <w:sz w:val="22"/>
          <w:szCs w:val="22"/>
          <w:lang w:val="en-GB"/>
        </w:rPr>
        <w:t>on-EU countries</w:t>
      </w:r>
      <w:r w:rsidR="001F79A2">
        <w:rPr>
          <w:rFonts w:ascii="Calibri" w:eastAsiaTheme="minorHAnsi" w:hAnsi="Calibri" w:cs="Calibri"/>
          <w:b w:val="0"/>
          <w:bCs w:val="0"/>
          <w:color w:val="000000"/>
          <w:sz w:val="22"/>
          <w:szCs w:val="22"/>
          <w:lang w:val="en-GB"/>
        </w:rPr>
        <w:t xml:space="preserve">. In addition, such a framework could address </w:t>
      </w:r>
      <w:r w:rsidRPr="00AC7E1A">
        <w:rPr>
          <w:rFonts w:ascii="Calibri" w:eastAsiaTheme="minorHAnsi" w:hAnsi="Calibri" w:cs="Calibri"/>
          <w:b w:val="0"/>
          <w:bCs w:val="0"/>
          <w:color w:val="000000"/>
          <w:sz w:val="22"/>
          <w:szCs w:val="22"/>
          <w:lang w:val="en-GB"/>
        </w:rPr>
        <w:t>the supervisory concerns on the practical performance of supervisory work in relation to the assessment of outsourcing arrangements with cloud services providers</w:t>
      </w:r>
      <w:r w:rsidRPr="00147A22">
        <w:rPr>
          <w:rFonts w:ascii="Calibri" w:eastAsiaTheme="minorHAnsi" w:hAnsi="Calibri" w:cs="Calibri"/>
          <w:b w:val="0"/>
          <w:bCs w:val="0"/>
          <w:color w:val="000000"/>
          <w:sz w:val="22"/>
          <w:szCs w:val="22"/>
          <w:lang w:val="en-GB"/>
        </w:rPr>
        <w:t>, when they provide cloud services to supervised financial institutions. For example, while</w:t>
      </w:r>
      <w:r w:rsidR="00AC7E1A">
        <w:rPr>
          <w:rFonts w:ascii="Calibri" w:eastAsiaTheme="minorHAnsi" w:hAnsi="Calibri" w:cs="Calibri"/>
          <w:b w:val="0"/>
          <w:bCs w:val="0"/>
          <w:color w:val="000000"/>
          <w:sz w:val="22"/>
          <w:szCs w:val="22"/>
          <w:lang w:val="en-GB"/>
        </w:rPr>
        <w:t xml:space="preserve"> the</w:t>
      </w:r>
      <w:r w:rsidRPr="00147A22">
        <w:rPr>
          <w:rFonts w:ascii="Calibri" w:eastAsiaTheme="minorHAnsi" w:hAnsi="Calibri" w:cs="Calibri"/>
          <w:b w:val="0"/>
          <w:bCs w:val="0"/>
          <w:color w:val="000000"/>
          <w:sz w:val="22"/>
          <w:szCs w:val="22"/>
          <w:lang w:val="en-GB"/>
        </w:rPr>
        <w:t xml:space="preserve"> legal framework provides the supervisory authorities with access rights to the cloud service provider’s business premises, including the full range of devices, systems, networks and data used for providing the services to the supervised financial institution, in practice competent authorities noted that ‘conditional’ </w:t>
      </w:r>
      <w:r w:rsidR="004C033C">
        <w:rPr>
          <w:rFonts w:ascii="Calibri" w:eastAsiaTheme="minorHAnsi" w:hAnsi="Calibri" w:cs="Calibri"/>
          <w:b w:val="0"/>
          <w:bCs w:val="0"/>
          <w:color w:val="000000"/>
          <w:sz w:val="22"/>
          <w:szCs w:val="22"/>
          <w:lang w:val="en-GB"/>
        </w:rPr>
        <w:t xml:space="preserve">or limited </w:t>
      </w:r>
      <w:r w:rsidRPr="00147A22">
        <w:rPr>
          <w:rFonts w:ascii="Calibri" w:eastAsiaTheme="minorHAnsi" w:hAnsi="Calibri" w:cs="Calibri"/>
          <w:b w:val="0"/>
          <w:bCs w:val="0"/>
          <w:color w:val="000000"/>
          <w:sz w:val="22"/>
          <w:szCs w:val="22"/>
          <w:lang w:val="en-GB"/>
        </w:rPr>
        <w:t>access is provided by some</w:t>
      </w:r>
      <w:r w:rsidR="006874BA">
        <w:rPr>
          <w:rFonts w:ascii="Calibri" w:eastAsiaTheme="minorHAnsi" w:hAnsi="Calibri" w:cs="Calibri"/>
          <w:b w:val="0"/>
          <w:bCs w:val="0"/>
          <w:color w:val="000000"/>
          <w:sz w:val="22"/>
          <w:szCs w:val="22"/>
          <w:lang w:val="en-GB"/>
        </w:rPr>
        <w:t xml:space="preserve"> CSPs</w:t>
      </w:r>
      <w:r w:rsidRPr="00147A22">
        <w:rPr>
          <w:rFonts w:ascii="Calibri" w:eastAsiaTheme="minorHAnsi" w:hAnsi="Calibri" w:cs="Calibri"/>
          <w:b w:val="0"/>
          <w:bCs w:val="0"/>
          <w:color w:val="000000"/>
          <w:sz w:val="22"/>
          <w:szCs w:val="22"/>
          <w:lang w:val="en-GB"/>
        </w:rPr>
        <w:t xml:space="preserve">. </w:t>
      </w:r>
    </w:p>
    <w:p w14:paraId="69DBD367" w14:textId="281B0A40" w:rsidR="00F00CDD" w:rsidRPr="007F3CC8" w:rsidRDefault="006874BA" w:rsidP="007F3CC8">
      <w:pPr>
        <w:pStyle w:val="Heading2"/>
        <w:tabs>
          <w:tab w:val="left" w:pos="3118"/>
          <w:tab w:val="left" w:pos="8931"/>
        </w:tabs>
        <w:spacing w:before="240" w:after="120" w:line="276" w:lineRule="auto"/>
        <w:ind w:left="0" w:right="96"/>
        <w:jc w:val="both"/>
        <w:rPr>
          <w:rFonts w:ascii="Calibri" w:eastAsiaTheme="minorHAnsi" w:hAnsi="Calibri" w:cs="Calibri"/>
          <w:color w:val="000000"/>
          <w:sz w:val="22"/>
          <w:szCs w:val="22"/>
          <w:lang w:val="en-GB"/>
        </w:rPr>
      </w:pPr>
      <w:r>
        <w:rPr>
          <w:rFonts w:ascii="Calibri" w:eastAsiaTheme="minorHAnsi" w:hAnsi="Calibri" w:cs="Calibri"/>
          <w:b w:val="0"/>
          <w:bCs w:val="0"/>
          <w:color w:val="000000"/>
          <w:sz w:val="22"/>
          <w:szCs w:val="22"/>
          <w:lang w:val="en-GB"/>
        </w:rPr>
        <w:t xml:space="preserve">It is noted that even when CSPs provide unconditional access, more coordination, cooperation and supervision on an EU level might be needed, due to the market power and the cross-border nature of some CSPs. This raises the need for more </w:t>
      </w:r>
      <w:r w:rsidR="00F00CDD">
        <w:rPr>
          <w:rFonts w:ascii="Calibri" w:eastAsiaTheme="minorHAnsi" w:hAnsi="Calibri" w:cs="Calibri"/>
          <w:b w:val="0"/>
          <w:bCs w:val="0"/>
          <w:color w:val="000000"/>
          <w:sz w:val="22"/>
          <w:szCs w:val="22"/>
          <w:lang w:val="en-GB"/>
        </w:rPr>
        <w:t>c</w:t>
      </w:r>
      <w:r w:rsidR="00F00CDD" w:rsidRPr="00F00CDD">
        <w:rPr>
          <w:rFonts w:ascii="Calibri" w:eastAsiaTheme="minorHAnsi" w:hAnsi="Calibri" w:cs="Calibri"/>
          <w:b w:val="0"/>
          <w:bCs w:val="0"/>
          <w:color w:val="000000"/>
          <w:sz w:val="22"/>
          <w:szCs w:val="22"/>
          <w:lang w:val="en-GB"/>
        </w:rPr>
        <w:t>oordina</w:t>
      </w:r>
      <w:r w:rsidR="00F00CDD">
        <w:rPr>
          <w:rFonts w:ascii="Calibri" w:eastAsiaTheme="minorHAnsi" w:hAnsi="Calibri" w:cs="Calibri"/>
          <w:b w:val="0"/>
          <w:bCs w:val="0"/>
          <w:color w:val="000000"/>
          <w:sz w:val="22"/>
          <w:szCs w:val="22"/>
          <w:lang w:val="en-GB"/>
        </w:rPr>
        <w:t xml:space="preserve">ted </w:t>
      </w:r>
      <w:r w:rsidR="00F00CDD" w:rsidRPr="00F00CDD">
        <w:rPr>
          <w:rFonts w:ascii="Calibri" w:eastAsiaTheme="minorHAnsi" w:hAnsi="Calibri" w:cs="Calibri"/>
          <w:b w:val="0"/>
          <w:bCs w:val="0"/>
          <w:color w:val="000000"/>
          <w:sz w:val="22"/>
          <w:szCs w:val="22"/>
          <w:lang w:val="en-GB"/>
        </w:rPr>
        <w:t>supervisory action</w:t>
      </w:r>
      <w:r w:rsidR="00F00CDD" w:rsidRPr="007F3CC8">
        <w:rPr>
          <w:rFonts w:ascii="Calibri" w:eastAsiaTheme="minorHAnsi" w:hAnsi="Calibri" w:cs="Calibri"/>
          <w:b w:val="0"/>
          <w:bCs w:val="0"/>
          <w:color w:val="000000"/>
          <w:sz w:val="22"/>
          <w:szCs w:val="22"/>
          <w:lang w:val="en-GB"/>
        </w:rPr>
        <w:t xml:space="preserve"> when CSPs operate in different Member States in order to ensure a consistent approach and share experiences/knowledge among</w:t>
      </w:r>
      <w:r w:rsidR="00F00CDD">
        <w:rPr>
          <w:rFonts w:ascii="Calibri" w:eastAsiaTheme="minorHAnsi" w:hAnsi="Calibri" w:cs="Calibri"/>
          <w:b w:val="0"/>
          <w:bCs w:val="0"/>
          <w:color w:val="000000"/>
          <w:sz w:val="22"/>
          <w:szCs w:val="22"/>
          <w:lang w:val="en-GB"/>
        </w:rPr>
        <w:t xml:space="preserve"> the</w:t>
      </w:r>
      <w:r w:rsidR="00F00CDD" w:rsidRPr="007F3CC8">
        <w:rPr>
          <w:rFonts w:ascii="Calibri" w:eastAsiaTheme="minorHAnsi" w:hAnsi="Calibri" w:cs="Calibri"/>
          <w:b w:val="0"/>
          <w:bCs w:val="0"/>
          <w:color w:val="000000"/>
          <w:sz w:val="22"/>
          <w:szCs w:val="22"/>
          <w:lang w:val="en-GB"/>
        </w:rPr>
        <w:t xml:space="preserve"> competent authorities.</w:t>
      </w:r>
    </w:p>
    <w:p w14:paraId="1B440122" w14:textId="44DCCDB3" w:rsidR="00147A22" w:rsidRPr="00CF2684" w:rsidRDefault="00147A22" w:rsidP="00633F81">
      <w:pPr>
        <w:pStyle w:val="Heading2"/>
        <w:tabs>
          <w:tab w:val="left" w:pos="3118"/>
          <w:tab w:val="left" w:pos="8931"/>
        </w:tabs>
        <w:spacing w:before="240" w:after="120" w:line="276" w:lineRule="auto"/>
        <w:ind w:left="0" w:right="96"/>
        <w:jc w:val="both"/>
        <w:rPr>
          <w:rFonts w:ascii="Calibri" w:hAnsi="Calibri" w:cs="Calibri"/>
          <w:b w:val="0"/>
          <w:sz w:val="22"/>
          <w:szCs w:val="22"/>
        </w:rPr>
      </w:pPr>
      <w:r w:rsidRPr="00147A22">
        <w:rPr>
          <w:rFonts w:ascii="Calibri" w:eastAsiaTheme="minorHAnsi" w:hAnsi="Calibri" w:cs="Calibri"/>
          <w:b w:val="0"/>
          <w:bCs w:val="0"/>
          <w:color w:val="000000"/>
          <w:sz w:val="22"/>
          <w:szCs w:val="22"/>
          <w:u w:val="single"/>
          <w:lang w:val="en-GB"/>
        </w:rPr>
        <w:t>Artificial Intelligence</w:t>
      </w:r>
      <w:r w:rsidR="008F7022">
        <w:rPr>
          <w:rFonts w:ascii="Calibri" w:eastAsiaTheme="minorHAnsi" w:hAnsi="Calibri" w:cs="Calibri"/>
          <w:b w:val="0"/>
          <w:bCs w:val="0"/>
          <w:color w:val="000000"/>
          <w:sz w:val="22"/>
          <w:szCs w:val="22"/>
          <w:lang w:val="en-GB"/>
        </w:rPr>
        <w:t xml:space="preserve"> -&gt; </w:t>
      </w:r>
      <w:r w:rsidR="00633F81">
        <w:rPr>
          <w:rFonts w:ascii="Calibri" w:eastAsiaTheme="minorHAnsi" w:hAnsi="Calibri" w:cs="Calibri"/>
          <w:b w:val="0"/>
          <w:bCs w:val="0"/>
          <w:color w:val="000000"/>
          <w:sz w:val="22"/>
          <w:szCs w:val="22"/>
          <w:lang w:val="en-GB"/>
        </w:rPr>
        <w:t>Please refer to Question 40.</w:t>
      </w:r>
    </w:p>
    <w:p w14:paraId="6F4C851B" w14:textId="77777777" w:rsidR="0019769E" w:rsidRPr="00A00E77" w:rsidRDefault="0019769E" w:rsidP="00A00E77">
      <w:pPr>
        <w:spacing w:before="227"/>
        <w:jc w:val="both"/>
        <w:rPr>
          <w:rFonts w:ascii="Calibri" w:hAnsi="Calibri" w:cs="Calibri"/>
          <w:b/>
        </w:rPr>
      </w:pPr>
      <w:r w:rsidRPr="00A00E77">
        <w:rPr>
          <w:rFonts w:ascii="Calibri" w:hAnsi="Calibri" w:cs="Calibri"/>
          <w:b/>
        </w:rPr>
        <w:t>Question 7. Building on your experience, what are the best ways (regulatory and non-regulatory measures) for the EU to support the uptake of nascent technologies and business models relying on them while also mitigating the risks they may pose?</w:t>
      </w:r>
    </w:p>
    <w:p w14:paraId="659B5E35" w14:textId="77777777" w:rsidR="0019769E" w:rsidRPr="00A00E77" w:rsidRDefault="0019769E" w:rsidP="00A00E77">
      <w:pPr>
        <w:spacing w:before="227"/>
        <w:jc w:val="both"/>
        <w:rPr>
          <w:rFonts w:ascii="Calibri" w:hAnsi="Calibri" w:cs="Calibri"/>
          <w:b/>
        </w:rPr>
      </w:pPr>
      <w:r w:rsidRPr="00A00E77">
        <w:rPr>
          <w:rFonts w:ascii="Calibri" w:hAnsi="Calibri" w:cs="Calibri"/>
          <w:b/>
        </w:rPr>
        <w:t>Please rate each proposal from 1 to 5:</w:t>
      </w:r>
    </w:p>
    <w:p w14:paraId="6682B534" w14:textId="77777777" w:rsidR="0019769E" w:rsidRPr="00024463" w:rsidRDefault="0019769E" w:rsidP="00024463">
      <w:pPr>
        <w:rPr>
          <w:rFonts w:ascii="Calibri" w:hAnsi="Calibri" w:cs="Arial"/>
          <w:b/>
          <w:bCs/>
          <w:lang w:eastAsia="en-GB"/>
        </w:rPr>
      </w:pPr>
    </w:p>
    <w:tbl>
      <w:tblPr>
        <w:tblW w:w="5000" w:type="pct"/>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CellMar>
          <w:left w:w="0" w:type="dxa"/>
          <w:right w:w="0" w:type="dxa"/>
        </w:tblCellMar>
        <w:tblLook w:val="01E0" w:firstRow="1" w:lastRow="1" w:firstColumn="1" w:lastColumn="1" w:noHBand="0" w:noVBand="0"/>
      </w:tblPr>
      <w:tblGrid>
        <w:gridCol w:w="2855"/>
        <w:gridCol w:w="1185"/>
        <w:gridCol w:w="1029"/>
        <w:gridCol w:w="999"/>
        <w:gridCol w:w="1029"/>
        <w:gridCol w:w="1029"/>
        <w:gridCol w:w="625"/>
      </w:tblGrid>
      <w:tr w:rsidR="0019769E" w14:paraId="3668C713" w14:textId="77777777" w:rsidTr="00147A22">
        <w:trPr>
          <w:trHeight w:val="1632"/>
          <w:jc w:val="center"/>
        </w:trPr>
        <w:tc>
          <w:tcPr>
            <w:tcW w:w="1631" w:type="pct"/>
          </w:tcPr>
          <w:p w14:paraId="5BD492D1" w14:textId="77777777" w:rsidR="0019769E" w:rsidRDefault="0019769E" w:rsidP="00147A22">
            <w:pPr>
              <w:pStyle w:val="TableParagraph"/>
              <w:rPr>
                <w:rFonts w:ascii="Times New Roman"/>
              </w:rPr>
            </w:pPr>
          </w:p>
        </w:tc>
        <w:tc>
          <w:tcPr>
            <w:tcW w:w="677" w:type="pct"/>
          </w:tcPr>
          <w:p w14:paraId="051144D4" w14:textId="77777777" w:rsidR="0019769E" w:rsidRPr="00A00E77" w:rsidRDefault="0019769E" w:rsidP="00147A22">
            <w:pPr>
              <w:pStyle w:val="TableParagraph"/>
              <w:spacing w:before="258" w:line="695" w:lineRule="exact"/>
              <w:ind w:left="20"/>
              <w:jc w:val="center"/>
              <w:rPr>
                <w:sz w:val="14"/>
                <w:szCs w:val="14"/>
              </w:rPr>
            </w:pPr>
            <w:r w:rsidRPr="00A00E77">
              <w:rPr>
                <w:w w:val="99"/>
                <w:sz w:val="14"/>
                <w:szCs w:val="14"/>
              </w:rPr>
              <w:t>1</w:t>
            </w:r>
          </w:p>
          <w:p w14:paraId="028A37E2" w14:textId="77777777" w:rsidR="0019769E" w:rsidRPr="00A00E77" w:rsidRDefault="0019769E" w:rsidP="00147A22">
            <w:pPr>
              <w:pStyle w:val="TableParagraph"/>
              <w:spacing w:line="318" w:lineRule="exact"/>
              <w:ind w:left="153" w:right="133"/>
              <w:jc w:val="center"/>
              <w:rPr>
                <w:sz w:val="14"/>
                <w:szCs w:val="14"/>
              </w:rPr>
            </w:pPr>
            <w:r w:rsidRPr="00A00E77">
              <w:rPr>
                <w:w w:val="105"/>
                <w:sz w:val="14"/>
                <w:szCs w:val="14"/>
              </w:rPr>
              <w:t>(irrelevant)</w:t>
            </w:r>
          </w:p>
        </w:tc>
        <w:tc>
          <w:tcPr>
            <w:tcW w:w="588" w:type="pct"/>
          </w:tcPr>
          <w:p w14:paraId="0B8E9BCB" w14:textId="77777777" w:rsidR="0019769E" w:rsidRPr="00A00E77" w:rsidRDefault="0019769E" w:rsidP="00147A22">
            <w:pPr>
              <w:pStyle w:val="TableParagraph"/>
              <w:spacing w:line="657" w:lineRule="exact"/>
              <w:ind w:left="21"/>
              <w:jc w:val="center"/>
              <w:rPr>
                <w:sz w:val="14"/>
                <w:szCs w:val="14"/>
              </w:rPr>
            </w:pPr>
            <w:r w:rsidRPr="00A00E77">
              <w:rPr>
                <w:w w:val="99"/>
                <w:sz w:val="14"/>
                <w:szCs w:val="14"/>
              </w:rPr>
              <w:t>2</w:t>
            </w:r>
          </w:p>
          <w:p w14:paraId="78FB612F" w14:textId="77777777" w:rsidR="0019769E" w:rsidRPr="00A00E77" w:rsidRDefault="0019769E" w:rsidP="00147A22">
            <w:pPr>
              <w:pStyle w:val="TableParagraph"/>
              <w:spacing w:before="4" w:line="199" w:lineRule="auto"/>
              <w:ind w:left="185" w:right="162" w:hanging="54"/>
              <w:jc w:val="center"/>
              <w:rPr>
                <w:sz w:val="14"/>
                <w:szCs w:val="14"/>
              </w:rPr>
            </w:pPr>
            <w:r w:rsidRPr="00A00E77">
              <w:rPr>
                <w:w w:val="105"/>
                <w:sz w:val="14"/>
                <w:szCs w:val="14"/>
              </w:rPr>
              <w:t xml:space="preserve">(rather not </w:t>
            </w:r>
            <w:r w:rsidRPr="00A00E77">
              <w:rPr>
                <w:sz w:val="14"/>
                <w:szCs w:val="14"/>
              </w:rPr>
              <w:t>relevant)</w:t>
            </w:r>
          </w:p>
        </w:tc>
        <w:tc>
          <w:tcPr>
            <w:tcW w:w="571" w:type="pct"/>
          </w:tcPr>
          <w:p w14:paraId="5ECC3FE0" w14:textId="77777777" w:rsidR="0019769E" w:rsidRPr="00A00E77" w:rsidRDefault="0019769E" w:rsidP="00147A22">
            <w:pPr>
              <w:pStyle w:val="TableParagraph"/>
              <w:spacing w:before="258" w:line="695" w:lineRule="exact"/>
              <w:ind w:left="22"/>
              <w:jc w:val="center"/>
              <w:rPr>
                <w:sz w:val="14"/>
                <w:szCs w:val="14"/>
              </w:rPr>
            </w:pPr>
            <w:r w:rsidRPr="00A00E77">
              <w:rPr>
                <w:w w:val="99"/>
                <w:sz w:val="14"/>
                <w:szCs w:val="14"/>
              </w:rPr>
              <w:t>3</w:t>
            </w:r>
          </w:p>
          <w:p w14:paraId="5CBB5003" w14:textId="77777777" w:rsidR="0019769E" w:rsidRPr="00A00E77" w:rsidRDefault="0019769E" w:rsidP="00147A22">
            <w:pPr>
              <w:pStyle w:val="TableParagraph"/>
              <w:spacing w:line="318" w:lineRule="exact"/>
              <w:ind w:left="157" w:right="135"/>
              <w:jc w:val="center"/>
              <w:rPr>
                <w:sz w:val="14"/>
                <w:szCs w:val="14"/>
              </w:rPr>
            </w:pPr>
            <w:r w:rsidRPr="00A00E77">
              <w:rPr>
                <w:w w:val="105"/>
                <w:sz w:val="14"/>
                <w:szCs w:val="14"/>
              </w:rPr>
              <w:t>(neutral)</w:t>
            </w:r>
          </w:p>
        </w:tc>
        <w:tc>
          <w:tcPr>
            <w:tcW w:w="588" w:type="pct"/>
          </w:tcPr>
          <w:p w14:paraId="18F9628D" w14:textId="77777777" w:rsidR="0019769E" w:rsidRPr="00A00E77" w:rsidRDefault="0019769E" w:rsidP="00147A22">
            <w:pPr>
              <w:pStyle w:val="TableParagraph"/>
              <w:spacing w:before="110" w:line="695" w:lineRule="exact"/>
              <w:ind w:left="22"/>
              <w:jc w:val="center"/>
              <w:rPr>
                <w:sz w:val="14"/>
                <w:szCs w:val="14"/>
              </w:rPr>
            </w:pPr>
            <w:r w:rsidRPr="00A00E77">
              <w:rPr>
                <w:w w:val="99"/>
                <w:sz w:val="14"/>
                <w:szCs w:val="14"/>
              </w:rPr>
              <w:t>4</w:t>
            </w:r>
          </w:p>
          <w:p w14:paraId="32467E6F" w14:textId="77777777" w:rsidR="0019769E" w:rsidRPr="00A00E77" w:rsidRDefault="0019769E" w:rsidP="00147A22">
            <w:pPr>
              <w:pStyle w:val="TableParagraph"/>
              <w:spacing w:before="4" w:line="199" w:lineRule="auto"/>
              <w:ind w:left="186" w:right="161" w:hanging="54"/>
              <w:jc w:val="center"/>
              <w:rPr>
                <w:sz w:val="14"/>
                <w:szCs w:val="14"/>
              </w:rPr>
            </w:pPr>
            <w:r w:rsidRPr="00A00E77">
              <w:rPr>
                <w:w w:val="105"/>
                <w:sz w:val="14"/>
                <w:szCs w:val="14"/>
              </w:rPr>
              <w:t xml:space="preserve">(rather </w:t>
            </w:r>
            <w:r w:rsidRPr="00A00E77">
              <w:rPr>
                <w:sz w:val="14"/>
                <w:szCs w:val="14"/>
              </w:rPr>
              <w:t>relevant)</w:t>
            </w:r>
          </w:p>
        </w:tc>
        <w:tc>
          <w:tcPr>
            <w:tcW w:w="588" w:type="pct"/>
          </w:tcPr>
          <w:p w14:paraId="556D3F8A" w14:textId="77777777" w:rsidR="0019769E" w:rsidRPr="00A00E77" w:rsidRDefault="0019769E" w:rsidP="00147A22">
            <w:pPr>
              <w:pStyle w:val="TableParagraph"/>
              <w:spacing w:before="110" w:line="695" w:lineRule="exact"/>
              <w:ind w:left="23"/>
              <w:jc w:val="center"/>
              <w:rPr>
                <w:sz w:val="14"/>
                <w:szCs w:val="14"/>
              </w:rPr>
            </w:pPr>
            <w:r w:rsidRPr="00A00E77">
              <w:rPr>
                <w:w w:val="99"/>
                <w:sz w:val="14"/>
                <w:szCs w:val="14"/>
              </w:rPr>
              <w:t>5</w:t>
            </w:r>
          </w:p>
          <w:p w14:paraId="5B2B7B74" w14:textId="77777777" w:rsidR="0019769E" w:rsidRPr="00A00E77" w:rsidRDefault="0019769E" w:rsidP="00147A22">
            <w:pPr>
              <w:pStyle w:val="TableParagraph"/>
              <w:spacing w:before="4" w:line="199" w:lineRule="auto"/>
              <w:ind w:left="186" w:right="161" w:hanging="55"/>
              <w:jc w:val="center"/>
              <w:rPr>
                <w:sz w:val="14"/>
                <w:szCs w:val="14"/>
              </w:rPr>
            </w:pPr>
            <w:r w:rsidRPr="00A00E77">
              <w:rPr>
                <w:w w:val="105"/>
                <w:sz w:val="14"/>
                <w:szCs w:val="14"/>
              </w:rPr>
              <w:t xml:space="preserve">(fully </w:t>
            </w:r>
            <w:r w:rsidRPr="00A00E77">
              <w:rPr>
                <w:sz w:val="14"/>
                <w:szCs w:val="14"/>
              </w:rPr>
              <w:t>relevant)</w:t>
            </w:r>
          </w:p>
        </w:tc>
        <w:tc>
          <w:tcPr>
            <w:tcW w:w="357" w:type="pct"/>
          </w:tcPr>
          <w:p w14:paraId="2E2C07AE" w14:textId="77777777" w:rsidR="0019769E" w:rsidRPr="00A00E77" w:rsidRDefault="0019769E" w:rsidP="00147A22">
            <w:pPr>
              <w:pStyle w:val="TableParagraph"/>
              <w:spacing w:before="254" w:line="529" w:lineRule="exact"/>
              <w:ind w:left="186"/>
              <w:rPr>
                <w:sz w:val="14"/>
                <w:szCs w:val="14"/>
              </w:rPr>
            </w:pPr>
            <w:r w:rsidRPr="00A00E77">
              <w:rPr>
                <w:sz w:val="14"/>
                <w:szCs w:val="14"/>
              </w:rPr>
              <w:t>N.</w:t>
            </w:r>
          </w:p>
          <w:p w14:paraId="6A2F5F52" w14:textId="77777777" w:rsidR="0019769E" w:rsidRPr="00A00E77" w:rsidRDefault="0019769E" w:rsidP="00147A22">
            <w:pPr>
              <w:pStyle w:val="TableParagraph"/>
              <w:spacing w:line="529" w:lineRule="exact"/>
              <w:ind w:left="195"/>
              <w:rPr>
                <w:sz w:val="14"/>
                <w:szCs w:val="14"/>
              </w:rPr>
            </w:pPr>
            <w:r w:rsidRPr="00A00E77">
              <w:rPr>
                <w:sz w:val="14"/>
                <w:szCs w:val="14"/>
              </w:rPr>
              <w:t>A.</w:t>
            </w:r>
          </w:p>
        </w:tc>
      </w:tr>
      <w:tr w:rsidR="0019769E" w14:paraId="6D1776F4" w14:textId="77777777" w:rsidTr="00147A22">
        <w:trPr>
          <w:trHeight w:val="2084"/>
          <w:jc w:val="center"/>
        </w:trPr>
        <w:tc>
          <w:tcPr>
            <w:tcW w:w="1631" w:type="pct"/>
          </w:tcPr>
          <w:p w14:paraId="6CA9E829" w14:textId="77777777" w:rsidR="0019769E" w:rsidRDefault="0019769E" w:rsidP="00147A22">
            <w:pPr>
              <w:pStyle w:val="TableParagraph"/>
              <w:spacing w:before="69" w:line="199" w:lineRule="auto"/>
              <w:ind w:left="185" w:right="173"/>
              <w:rPr>
                <w:sz w:val="19"/>
              </w:rPr>
            </w:pPr>
            <w:r>
              <w:rPr>
                <w:w w:val="105"/>
                <w:sz w:val="19"/>
              </w:rPr>
              <w:lastRenderedPageBreak/>
              <w:t>Setting up dedicated observatories to monitor technological and market trends (e.g. EU Blockchain Observatory &amp; Forum; Platform Observatory)</w:t>
            </w:r>
          </w:p>
        </w:tc>
        <w:tc>
          <w:tcPr>
            <w:tcW w:w="677" w:type="pct"/>
          </w:tcPr>
          <w:p w14:paraId="4D3C58F1" w14:textId="77777777" w:rsidR="0019769E" w:rsidRDefault="0019769E" w:rsidP="00147A22">
            <w:pPr>
              <w:pStyle w:val="TableParagraph"/>
              <w:rPr>
                <w:rFonts w:ascii="Arial"/>
                <w:b/>
                <w:sz w:val="20"/>
              </w:rPr>
            </w:pPr>
          </w:p>
          <w:p w14:paraId="1F2CECB2" w14:textId="77777777" w:rsidR="0019769E" w:rsidRDefault="0019769E" w:rsidP="00147A22">
            <w:pPr>
              <w:pStyle w:val="TableParagraph"/>
              <w:rPr>
                <w:rFonts w:ascii="Arial"/>
                <w:b/>
                <w:sz w:val="20"/>
              </w:rPr>
            </w:pPr>
          </w:p>
          <w:p w14:paraId="198125A9" w14:textId="77777777" w:rsidR="0019769E" w:rsidRDefault="0019769E" w:rsidP="00147A22">
            <w:pPr>
              <w:pStyle w:val="TableParagraph"/>
              <w:rPr>
                <w:rFonts w:ascii="Arial"/>
                <w:b/>
                <w:sz w:val="20"/>
              </w:rPr>
            </w:pPr>
          </w:p>
          <w:p w14:paraId="0A8E7254" w14:textId="77777777" w:rsidR="0019769E" w:rsidRDefault="0019769E" w:rsidP="00147A22">
            <w:pPr>
              <w:pStyle w:val="TableParagraph"/>
              <w:spacing w:before="1" w:after="1"/>
              <w:rPr>
                <w:rFonts w:ascii="Arial"/>
                <w:b/>
                <w:sz w:val="18"/>
              </w:rPr>
            </w:pPr>
          </w:p>
          <w:p w14:paraId="15C4C142" w14:textId="77777777" w:rsidR="0019769E" w:rsidRDefault="0019769E"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503A7BE8" wp14:editId="6EB04061">
                  <wp:extent cx="114300" cy="114300"/>
                  <wp:effectExtent l="0" t="0" r="0" b="0"/>
                  <wp:docPr id="7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Pr>
          <w:p w14:paraId="3836B20E" w14:textId="77777777" w:rsidR="0019769E" w:rsidRDefault="0019769E" w:rsidP="00147A22">
            <w:pPr>
              <w:pStyle w:val="TableParagraph"/>
              <w:rPr>
                <w:rFonts w:ascii="Arial"/>
                <w:b/>
                <w:sz w:val="20"/>
              </w:rPr>
            </w:pPr>
          </w:p>
          <w:p w14:paraId="25599BF4" w14:textId="77777777" w:rsidR="0019769E" w:rsidRDefault="0019769E" w:rsidP="00147A22">
            <w:pPr>
              <w:pStyle w:val="TableParagraph"/>
              <w:rPr>
                <w:rFonts w:ascii="Arial"/>
                <w:b/>
                <w:sz w:val="20"/>
              </w:rPr>
            </w:pPr>
          </w:p>
          <w:p w14:paraId="79C0A373" w14:textId="77777777" w:rsidR="0019769E" w:rsidRDefault="0019769E" w:rsidP="00147A22">
            <w:pPr>
              <w:pStyle w:val="TableParagraph"/>
              <w:rPr>
                <w:rFonts w:ascii="Arial"/>
                <w:b/>
                <w:sz w:val="20"/>
              </w:rPr>
            </w:pPr>
          </w:p>
          <w:p w14:paraId="6E4B5B60" w14:textId="77777777" w:rsidR="0019769E" w:rsidRDefault="0019769E" w:rsidP="00147A22">
            <w:pPr>
              <w:pStyle w:val="TableParagraph"/>
              <w:spacing w:before="1" w:after="1"/>
              <w:rPr>
                <w:rFonts w:ascii="Arial"/>
                <w:b/>
                <w:sz w:val="18"/>
              </w:rPr>
            </w:pPr>
          </w:p>
          <w:p w14:paraId="5BFD6197"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AA2C5EA" wp14:editId="518FABCD">
                  <wp:extent cx="114300" cy="114300"/>
                  <wp:effectExtent l="0" t="0" r="0" b="0"/>
                  <wp:docPr id="7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Pr>
          <w:p w14:paraId="2295D777" w14:textId="77777777" w:rsidR="0019769E" w:rsidRDefault="0019769E" w:rsidP="00147A22">
            <w:pPr>
              <w:pStyle w:val="TableParagraph"/>
              <w:rPr>
                <w:rFonts w:ascii="Arial"/>
                <w:b/>
                <w:sz w:val="20"/>
              </w:rPr>
            </w:pPr>
          </w:p>
          <w:p w14:paraId="6977C280" w14:textId="77777777" w:rsidR="0019769E" w:rsidRDefault="0019769E" w:rsidP="00147A22">
            <w:pPr>
              <w:pStyle w:val="TableParagraph"/>
              <w:rPr>
                <w:rFonts w:ascii="Arial"/>
                <w:b/>
                <w:sz w:val="20"/>
              </w:rPr>
            </w:pPr>
          </w:p>
          <w:p w14:paraId="326D9346" w14:textId="77777777" w:rsidR="0019769E" w:rsidRDefault="0019769E" w:rsidP="00147A22">
            <w:pPr>
              <w:pStyle w:val="TableParagraph"/>
              <w:rPr>
                <w:rFonts w:ascii="Arial"/>
                <w:b/>
                <w:sz w:val="20"/>
              </w:rPr>
            </w:pPr>
          </w:p>
          <w:p w14:paraId="30B7B80D" w14:textId="77777777" w:rsidR="0019769E" w:rsidRDefault="0019769E" w:rsidP="00147A22">
            <w:pPr>
              <w:pStyle w:val="TableParagraph"/>
              <w:spacing w:before="1" w:after="1"/>
              <w:rPr>
                <w:rFonts w:ascii="Arial"/>
                <w:b/>
                <w:sz w:val="18"/>
              </w:rPr>
            </w:pPr>
          </w:p>
          <w:p w14:paraId="131C997A" w14:textId="77777777" w:rsidR="0019769E" w:rsidRDefault="0019769E"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0FBEB2D0" wp14:editId="21DE9926">
                  <wp:extent cx="114300" cy="114300"/>
                  <wp:effectExtent l="0" t="0" r="0" b="0"/>
                  <wp:docPr id="7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Pr>
          <w:p w14:paraId="4B388D20" w14:textId="77777777" w:rsidR="0019769E" w:rsidRDefault="0019769E" w:rsidP="00147A22">
            <w:pPr>
              <w:pStyle w:val="TableParagraph"/>
              <w:rPr>
                <w:rFonts w:ascii="Arial"/>
                <w:b/>
                <w:sz w:val="20"/>
              </w:rPr>
            </w:pPr>
          </w:p>
          <w:p w14:paraId="538ADA1E" w14:textId="77777777" w:rsidR="0019769E" w:rsidRDefault="0019769E" w:rsidP="00147A22">
            <w:pPr>
              <w:pStyle w:val="TableParagraph"/>
              <w:rPr>
                <w:rFonts w:ascii="Arial"/>
                <w:b/>
                <w:sz w:val="20"/>
              </w:rPr>
            </w:pPr>
          </w:p>
          <w:p w14:paraId="10DE9468" w14:textId="77777777" w:rsidR="0019769E" w:rsidRDefault="0019769E" w:rsidP="00147A22">
            <w:pPr>
              <w:pStyle w:val="TableParagraph"/>
              <w:rPr>
                <w:rFonts w:ascii="Arial"/>
                <w:b/>
                <w:sz w:val="20"/>
              </w:rPr>
            </w:pPr>
          </w:p>
          <w:p w14:paraId="45F015A6" w14:textId="77777777" w:rsidR="0019769E" w:rsidRDefault="0019769E" w:rsidP="00147A22">
            <w:pPr>
              <w:pStyle w:val="TableParagraph"/>
              <w:spacing w:before="1" w:after="1"/>
              <w:rPr>
                <w:rFonts w:ascii="Arial"/>
                <w:b/>
                <w:sz w:val="18"/>
              </w:rPr>
            </w:pPr>
          </w:p>
          <w:p w14:paraId="267B602A"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3A61A7F" wp14:editId="46537638">
                  <wp:extent cx="114300" cy="114300"/>
                  <wp:effectExtent l="0" t="0" r="0" b="0"/>
                  <wp:docPr id="7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Pr>
          <w:p w14:paraId="66250372" w14:textId="77777777" w:rsidR="0019769E" w:rsidRDefault="0019769E" w:rsidP="00147A22">
            <w:pPr>
              <w:pStyle w:val="TableParagraph"/>
              <w:rPr>
                <w:rFonts w:ascii="Arial"/>
                <w:b/>
                <w:sz w:val="20"/>
              </w:rPr>
            </w:pPr>
          </w:p>
          <w:p w14:paraId="3502249A" w14:textId="77777777" w:rsidR="0019769E" w:rsidRDefault="0019769E" w:rsidP="00147A22">
            <w:pPr>
              <w:pStyle w:val="TableParagraph"/>
              <w:rPr>
                <w:rFonts w:ascii="Arial"/>
                <w:b/>
                <w:sz w:val="20"/>
              </w:rPr>
            </w:pPr>
          </w:p>
          <w:p w14:paraId="2E42E8E9" w14:textId="77777777" w:rsidR="0019769E" w:rsidRDefault="0019769E" w:rsidP="00147A22">
            <w:pPr>
              <w:pStyle w:val="TableParagraph"/>
              <w:rPr>
                <w:rFonts w:ascii="Arial"/>
                <w:b/>
                <w:sz w:val="20"/>
              </w:rPr>
            </w:pPr>
          </w:p>
          <w:p w14:paraId="57EDF8A0" w14:textId="77777777" w:rsidR="0019769E" w:rsidRDefault="0019769E" w:rsidP="00147A22">
            <w:pPr>
              <w:pStyle w:val="TableParagraph"/>
              <w:spacing w:before="1" w:after="1"/>
              <w:rPr>
                <w:rFonts w:ascii="Arial"/>
                <w:b/>
                <w:sz w:val="18"/>
              </w:rPr>
            </w:pPr>
          </w:p>
          <w:p w14:paraId="5F6804FD"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t>X</w:t>
            </w:r>
          </w:p>
        </w:tc>
        <w:tc>
          <w:tcPr>
            <w:tcW w:w="357" w:type="pct"/>
          </w:tcPr>
          <w:p w14:paraId="34944935" w14:textId="77777777" w:rsidR="0019769E" w:rsidRDefault="0019769E" w:rsidP="00147A22">
            <w:pPr>
              <w:pStyle w:val="TableParagraph"/>
              <w:rPr>
                <w:rFonts w:ascii="Arial"/>
                <w:b/>
                <w:sz w:val="20"/>
              </w:rPr>
            </w:pPr>
          </w:p>
          <w:p w14:paraId="37C9544A" w14:textId="77777777" w:rsidR="0019769E" w:rsidRDefault="0019769E" w:rsidP="00147A22">
            <w:pPr>
              <w:pStyle w:val="TableParagraph"/>
              <w:rPr>
                <w:rFonts w:ascii="Arial"/>
                <w:b/>
                <w:sz w:val="20"/>
              </w:rPr>
            </w:pPr>
          </w:p>
          <w:p w14:paraId="41B37326" w14:textId="77777777" w:rsidR="0019769E" w:rsidRDefault="0019769E" w:rsidP="00147A22">
            <w:pPr>
              <w:pStyle w:val="TableParagraph"/>
              <w:rPr>
                <w:rFonts w:ascii="Arial"/>
                <w:b/>
                <w:sz w:val="20"/>
              </w:rPr>
            </w:pPr>
          </w:p>
          <w:p w14:paraId="1C555199" w14:textId="77777777" w:rsidR="0019769E" w:rsidRDefault="0019769E" w:rsidP="00147A22">
            <w:pPr>
              <w:pStyle w:val="TableParagraph"/>
              <w:spacing w:before="1" w:after="1"/>
              <w:rPr>
                <w:rFonts w:ascii="Arial"/>
                <w:b/>
                <w:sz w:val="18"/>
              </w:rPr>
            </w:pPr>
          </w:p>
          <w:p w14:paraId="1028176D" w14:textId="77777777" w:rsidR="0019769E" w:rsidRDefault="0019769E"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0AEB1465" wp14:editId="777A1631">
                  <wp:extent cx="114300" cy="114300"/>
                  <wp:effectExtent l="0" t="0" r="0" b="0"/>
                  <wp:docPr id="7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593AF9D1" w14:textId="77777777" w:rsidTr="00147A22">
        <w:trPr>
          <w:trHeight w:val="2084"/>
          <w:jc w:val="center"/>
        </w:trPr>
        <w:tc>
          <w:tcPr>
            <w:tcW w:w="1631" w:type="pct"/>
            <w:tcBorders>
              <w:top w:val="single" w:sz="12" w:space="0" w:color="BABABA"/>
              <w:left w:val="single" w:sz="12" w:space="0" w:color="BABABA"/>
              <w:bottom w:val="single" w:sz="12" w:space="0" w:color="BABABA"/>
              <w:right w:val="single" w:sz="12" w:space="0" w:color="BABABA"/>
            </w:tcBorders>
          </w:tcPr>
          <w:p w14:paraId="383B5DFC" w14:textId="77777777" w:rsidR="0019769E" w:rsidRPr="00926EDA" w:rsidRDefault="0019769E" w:rsidP="00147A22">
            <w:pPr>
              <w:pStyle w:val="TableParagraph"/>
              <w:spacing w:before="69" w:line="199" w:lineRule="auto"/>
              <w:ind w:left="185" w:right="173"/>
              <w:rPr>
                <w:w w:val="105"/>
                <w:sz w:val="19"/>
              </w:rPr>
            </w:pPr>
            <w:r>
              <w:rPr>
                <w:w w:val="105"/>
                <w:sz w:val="19"/>
              </w:rPr>
              <w:t>Funding experimentation on certain applications of new technologies in finance (e.g blockchain use cases)</w:t>
            </w:r>
          </w:p>
        </w:tc>
        <w:tc>
          <w:tcPr>
            <w:tcW w:w="677" w:type="pct"/>
            <w:tcBorders>
              <w:top w:val="single" w:sz="12" w:space="0" w:color="BABABA"/>
              <w:left w:val="single" w:sz="12" w:space="0" w:color="BABABA"/>
              <w:bottom w:val="single" w:sz="12" w:space="0" w:color="BABABA"/>
              <w:right w:val="single" w:sz="12" w:space="0" w:color="BABABA"/>
            </w:tcBorders>
          </w:tcPr>
          <w:p w14:paraId="58916363" w14:textId="77777777" w:rsidR="0019769E" w:rsidRDefault="0019769E" w:rsidP="00147A22">
            <w:pPr>
              <w:pStyle w:val="TableParagraph"/>
              <w:jc w:val="center"/>
              <w:rPr>
                <w:rFonts w:ascii="Arial"/>
                <w:b/>
                <w:sz w:val="20"/>
              </w:rPr>
            </w:pPr>
          </w:p>
          <w:p w14:paraId="5C9EBACF" w14:textId="77777777" w:rsidR="0019769E" w:rsidRDefault="0019769E" w:rsidP="00147A22">
            <w:pPr>
              <w:pStyle w:val="TableParagraph"/>
              <w:jc w:val="center"/>
              <w:rPr>
                <w:rFonts w:ascii="Arial"/>
                <w:b/>
                <w:sz w:val="20"/>
              </w:rPr>
            </w:pPr>
          </w:p>
          <w:p w14:paraId="50717BFA" w14:textId="77777777" w:rsidR="0019769E" w:rsidRPr="00926EDA" w:rsidRDefault="0019769E" w:rsidP="00147A22">
            <w:pPr>
              <w:pStyle w:val="TableParagraph"/>
              <w:jc w:val="center"/>
              <w:rPr>
                <w:rFonts w:ascii="Arial"/>
                <w:b/>
                <w:sz w:val="20"/>
              </w:rPr>
            </w:pPr>
          </w:p>
          <w:p w14:paraId="2CAE0B6D"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21B25C26" wp14:editId="5285EB81">
                  <wp:extent cx="114300" cy="114300"/>
                  <wp:effectExtent l="0" t="0" r="0" b="0"/>
                  <wp:docPr id="7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2BF913C4" w14:textId="77777777" w:rsidR="0019769E" w:rsidRDefault="0019769E" w:rsidP="00147A22">
            <w:pPr>
              <w:pStyle w:val="TableParagraph"/>
              <w:jc w:val="center"/>
              <w:rPr>
                <w:rFonts w:ascii="Arial"/>
                <w:b/>
                <w:sz w:val="20"/>
              </w:rPr>
            </w:pPr>
          </w:p>
          <w:p w14:paraId="0D77FE67" w14:textId="77777777" w:rsidR="0019769E" w:rsidRDefault="0019769E" w:rsidP="00147A22">
            <w:pPr>
              <w:pStyle w:val="TableParagraph"/>
              <w:jc w:val="center"/>
              <w:rPr>
                <w:rFonts w:ascii="Arial"/>
                <w:b/>
                <w:sz w:val="20"/>
              </w:rPr>
            </w:pPr>
          </w:p>
          <w:p w14:paraId="4F6771BC" w14:textId="77777777" w:rsidR="0019769E" w:rsidRPr="00926EDA" w:rsidRDefault="0019769E" w:rsidP="00147A22">
            <w:pPr>
              <w:pStyle w:val="TableParagraph"/>
              <w:jc w:val="center"/>
              <w:rPr>
                <w:rFonts w:ascii="Arial"/>
                <w:b/>
                <w:sz w:val="20"/>
              </w:rPr>
            </w:pPr>
          </w:p>
          <w:p w14:paraId="4E831B9A"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76A89B90" wp14:editId="3D64CC23">
                  <wp:extent cx="114300" cy="114300"/>
                  <wp:effectExtent l="0" t="0" r="0" b="0"/>
                  <wp:docPr id="7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Borders>
              <w:top w:val="single" w:sz="12" w:space="0" w:color="BABABA"/>
              <w:left w:val="single" w:sz="12" w:space="0" w:color="BABABA"/>
              <w:bottom w:val="single" w:sz="12" w:space="0" w:color="BABABA"/>
              <w:right w:val="single" w:sz="12" w:space="0" w:color="BABABA"/>
            </w:tcBorders>
          </w:tcPr>
          <w:p w14:paraId="16C6C8C7" w14:textId="77777777" w:rsidR="0019769E" w:rsidRDefault="0019769E" w:rsidP="00147A22">
            <w:pPr>
              <w:pStyle w:val="TableParagraph"/>
              <w:jc w:val="center"/>
              <w:rPr>
                <w:rFonts w:ascii="Arial"/>
                <w:b/>
                <w:sz w:val="20"/>
              </w:rPr>
            </w:pPr>
          </w:p>
          <w:p w14:paraId="631127FF" w14:textId="77777777" w:rsidR="0019769E" w:rsidRDefault="0019769E" w:rsidP="00147A22">
            <w:pPr>
              <w:pStyle w:val="TableParagraph"/>
              <w:jc w:val="center"/>
              <w:rPr>
                <w:rFonts w:ascii="Arial"/>
                <w:b/>
                <w:sz w:val="20"/>
              </w:rPr>
            </w:pPr>
          </w:p>
          <w:p w14:paraId="24385A33" w14:textId="77777777" w:rsidR="0019769E" w:rsidRPr="00926EDA" w:rsidRDefault="0019769E" w:rsidP="00147A22">
            <w:pPr>
              <w:pStyle w:val="TableParagraph"/>
              <w:jc w:val="center"/>
              <w:rPr>
                <w:rFonts w:ascii="Arial"/>
                <w:b/>
                <w:sz w:val="20"/>
              </w:rPr>
            </w:pPr>
          </w:p>
          <w:p w14:paraId="20E913F9"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5EF8390C" wp14:editId="73B1757F">
                  <wp:extent cx="114300" cy="114300"/>
                  <wp:effectExtent l="0" t="0" r="0" b="0"/>
                  <wp:docPr id="7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28AFE8D6" w14:textId="77777777" w:rsidR="0019769E" w:rsidRDefault="0019769E" w:rsidP="00147A22">
            <w:pPr>
              <w:pStyle w:val="TableParagraph"/>
              <w:jc w:val="center"/>
              <w:rPr>
                <w:rFonts w:ascii="Arial"/>
                <w:b/>
                <w:sz w:val="20"/>
              </w:rPr>
            </w:pPr>
          </w:p>
          <w:p w14:paraId="7F84281D" w14:textId="77777777" w:rsidR="0019769E" w:rsidRDefault="0019769E" w:rsidP="00147A22">
            <w:pPr>
              <w:pStyle w:val="TableParagraph"/>
              <w:jc w:val="center"/>
              <w:rPr>
                <w:rFonts w:ascii="Arial"/>
                <w:b/>
                <w:sz w:val="20"/>
              </w:rPr>
            </w:pPr>
          </w:p>
          <w:p w14:paraId="0C03E097" w14:textId="77777777" w:rsidR="0019769E" w:rsidRPr="00926EDA" w:rsidRDefault="0019769E" w:rsidP="00147A22">
            <w:pPr>
              <w:pStyle w:val="TableParagraph"/>
              <w:jc w:val="center"/>
              <w:rPr>
                <w:rFonts w:ascii="Arial"/>
                <w:b/>
                <w:sz w:val="20"/>
              </w:rPr>
            </w:pPr>
          </w:p>
          <w:p w14:paraId="0BCBC4AB" w14:textId="77777777" w:rsidR="0019769E" w:rsidRPr="00446A58" w:rsidRDefault="0019769E" w:rsidP="00147A22">
            <w:pPr>
              <w:pStyle w:val="TableParagraph"/>
              <w:jc w:val="center"/>
              <w:rPr>
                <w:rFonts w:ascii="Arial"/>
                <w:sz w:val="18"/>
                <w:szCs w:val="18"/>
              </w:rPr>
            </w:pPr>
            <w:r w:rsidRPr="00446A58">
              <w:rPr>
                <w:rFonts w:ascii="Arial"/>
                <w:sz w:val="18"/>
                <w:szCs w:val="18"/>
              </w:rPr>
              <w:t>X</w:t>
            </w:r>
          </w:p>
        </w:tc>
        <w:tc>
          <w:tcPr>
            <w:tcW w:w="588" w:type="pct"/>
            <w:tcBorders>
              <w:top w:val="single" w:sz="12" w:space="0" w:color="BABABA"/>
              <w:left w:val="single" w:sz="12" w:space="0" w:color="BABABA"/>
              <w:bottom w:val="single" w:sz="12" w:space="0" w:color="BABABA"/>
              <w:right w:val="single" w:sz="12" w:space="0" w:color="BABABA"/>
            </w:tcBorders>
          </w:tcPr>
          <w:p w14:paraId="2344965C" w14:textId="77777777" w:rsidR="0019769E" w:rsidRDefault="0019769E" w:rsidP="00147A22">
            <w:pPr>
              <w:pStyle w:val="TableParagraph"/>
              <w:jc w:val="center"/>
              <w:rPr>
                <w:rFonts w:ascii="Arial"/>
                <w:b/>
                <w:sz w:val="20"/>
              </w:rPr>
            </w:pPr>
          </w:p>
          <w:p w14:paraId="194910C8" w14:textId="77777777" w:rsidR="0019769E" w:rsidRDefault="0019769E" w:rsidP="00147A22">
            <w:pPr>
              <w:pStyle w:val="TableParagraph"/>
              <w:jc w:val="center"/>
              <w:rPr>
                <w:rFonts w:ascii="Arial"/>
                <w:b/>
                <w:sz w:val="20"/>
              </w:rPr>
            </w:pPr>
          </w:p>
          <w:p w14:paraId="23157577" w14:textId="77777777" w:rsidR="0019769E" w:rsidRPr="00926EDA" w:rsidRDefault="0019769E" w:rsidP="00147A22">
            <w:pPr>
              <w:pStyle w:val="TableParagraph"/>
              <w:jc w:val="center"/>
              <w:rPr>
                <w:rFonts w:ascii="Arial"/>
                <w:b/>
                <w:sz w:val="20"/>
              </w:rPr>
            </w:pPr>
          </w:p>
          <w:p w14:paraId="09482189"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79F577CD" wp14:editId="5901FE9D">
                  <wp:extent cx="114300" cy="114300"/>
                  <wp:effectExtent l="0" t="0" r="0" b="0"/>
                  <wp:docPr id="7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357" w:type="pct"/>
            <w:tcBorders>
              <w:top w:val="single" w:sz="12" w:space="0" w:color="BABABA"/>
              <w:left w:val="single" w:sz="12" w:space="0" w:color="BABABA"/>
              <w:bottom w:val="single" w:sz="12" w:space="0" w:color="BABABA"/>
              <w:right w:val="single" w:sz="12" w:space="0" w:color="BABABA"/>
            </w:tcBorders>
          </w:tcPr>
          <w:p w14:paraId="2F3B4D4D" w14:textId="77777777" w:rsidR="0019769E" w:rsidRDefault="0019769E" w:rsidP="00147A22">
            <w:pPr>
              <w:pStyle w:val="TableParagraph"/>
              <w:jc w:val="center"/>
              <w:rPr>
                <w:rFonts w:ascii="Arial"/>
                <w:b/>
                <w:sz w:val="20"/>
              </w:rPr>
            </w:pPr>
          </w:p>
          <w:p w14:paraId="11115639" w14:textId="77777777" w:rsidR="0019769E" w:rsidRDefault="0019769E" w:rsidP="00147A22">
            <w:pPr>
              <w:pStyle w:val="TableParagraph"/>
              <w:jc w:val="center"/>
              <w:rPr>
                <w:rFonts w:ascii="Arial"/>
                <w:b/>
                <w:sz w:val="20"/>
              </w:rPr>
            </w:pPr>
          </w:p>
          <w:p w14:paraId="6125749D" w14:textId="77777777" w:rsidR="0019769E" w:rsidRPr="00926EDA" w:rsidRDefault="0019769E" w:rsidP="00147A22">
            <w:pPr>
              <w:pStyle w:val="TableParagraph"/>
              <w:jc w:val="center"/>
              <w:rPr>
                <w:rFonts w:ascii="Arial"/>
                <w:b/>
                <w:sz w:val="20"/>
              </w:rPr>
            </w:pPr>
          </w:p>
          <w:p w14:paraId="74F795CE"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3C91B2B7" wp14:editId="3C81DC9D">
                  <wp:extent cx="114300" cy="114300"/>
                  <wp:effectExtent l="0" t="0" r="0" b="0"/>
                  <wp:docPr id="7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18176685" w14:textId="77777777" w:rsidTr="00147A22">
        <w:trPr>
          <w:trHeight w:val="2084"/>
          <w:jc w:val="center"/>
        </w:trPr>
        <w:tc>
          <w:tcPr>
            <w:tcW w:w="1631" w:type="pct"/>
            <w:tcBorders>
              <w:top w:val="single" w:sz="12" w:space="0" w:color="BABABA"/>
              <w:left w:val="single" w:sz="12" w:space="0" w:color="BABABA"/>
              <w:bottom w:val="single" w:sz="12" w:space="0" w:color="BABABA"/>
              <w:right w:val="single" w:sz="12" w:space="0" w:color="BABABA"/>
            </w:tcBorders>
          </w:tcPr>
          <w:p w14:paraId="468EBC0A" w14:textId="77777777" w:rsidR="0019769E" w:rsidRPr="00926EDA" w:rsidRDefault="0019769E" w:rsidP="00147A22">
            <w:pPr>
              <w:pStyle w:val="TableParagraph"/>
              <w:spacing w:before="69" w:line="199" w:lineRule="auto"/>
              <w:ind w:left="185" w:right="173"/>
              <w:rPr>
                <w:w w:val="105"/>
                <w:sz w:val="19"/>
              </w:rPr>
            </w:pPr>
            <w:r>
              <w:rPr>
                <w:w w:val="105"/>
                <w:sz w:val="19"/>
              </w:rPr>
              <w:t>Promoting supervisory innovation hubs and sandboxes</w:t>
            </w:r>
          </w:p>
        </w:tc>
        <w:tc>
          <w:tcPr>
            <w:tcW w:w="677" w:type="pct"/>
            <w:tcBorders>
              <w:top w:val="single" w:sz="12" w:space="0" w:color="BABABA"/>
              <w:left w:val="single" w:sz="12" w:space="0" w:color="BABABA"/>
              <w:bottom w:val="single" w:sz="12" w:space="0" w:color="BABABA"/>
              <w:right w:val="single" w:sz="12" w:space="0" w:color="BABABA"/>
            </w:tcBorders>
          </w:tcPr>
          <w:p w14:paraId="6CD0A1CC" w14:textId="77777777" w:rsidR="0019769E" w:rsidRPr="00926EDA" w:rsidRDefault="0019769E" w:rsidP="00147A22">
            <w:pPr>
              <w:pStyle w:val="TableParagraph"/>
              <w:jc w:val="center"/>
              <w:rPr>
                <w:rFonts w:ascii="Arial"/>
                <w:b/>
                <w:sz w:val="20"/>
              </w:rPr>
            </w:pPr>
          </w:p>
          <w:p w14:paraId="1ADC0AF8"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5CF94D79" wp14:editId="631DFE03">
                  <wp:extent cx="114300" cy="114300"/>
                  <wp:effectExtent l="0" t="0" r="0" b="0"/>
                  <wp:docPr id="7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069D8950" w14:textId="77777777" w:rsidR="0019769E" w:rsidRPr="00926EDA" w:rsidRDefault="0019769E" w:rsidP="00147A22">
            <w:pPr>
              <w:pStyle w:val="TableParagraph"/>
              <w:jc w:val="center"/>
              <w:rPr>
                <w:rFonts w:ascii="Arial"/>
                <w:b/>
                <w:sz w:val="20"/>
              </w:rPr>
            </w:pPr>
          </w:p>
          <w:p w14:paraId="64A984E6"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10A697E1" wp14:editId="621D3D98">
                  <wp:extent cx="114300" cy="114300"/>
                  <wp:effectExtent l="0" t="0" r="0" b="0"/>
                  <wp:docPr id="7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Borders>
              <w:top w:val="single" w:sz="12" w:space="0" w:color="BABABA"/>
              <w:left w:val="single" w:sz="12" w:space="0" w:color="BABABA"/>
              <w:bottom w:val="single" w:sz="12" w:space="0" w:color="BABABA"/>
              <w:right w:val="single" w:sz="12" w:space="0" w:color="BABABA"/>
            </w:tcBorders>
          </w:tcPr>
          <w:p w14:paraId="565C464B" w14:textId="77777777" w:rsidR="0019769E" w:rsidRPr="00926EDA" w:rsidRDefault="0019769E" w:rsidP="00147A22">
            <w:pPr>
              <w:pStyle w:val="TableParagraph"/>
              <w:jc w:val="center"/>
              <w:rPr>
                <w:rFonts w:ascii="Arial"/>
                <w:b/>
                <w:sz w:val="20"/>
              </w:rPr>
            </w:pPr>
          </w:p>
          <w:p w14:paraId="2D0183D0"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16D0EC87" wp14:editId="680EB7A1">
                  <wp:extent cx="114300" cy="114300"/>
                  <wp:effectExtent l="0" t="0" r="0" b="0"/>
                  <wp:docPr id="7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2E2A90DD" w14:textId="77777777" w:rsidR="0019769E" w:rsidRPr="00926EDA" w:rsidRDefault="0019769E" w:rsidP="00147A22">
            <w:pPr>
              <w:pStyle w:val="TableParagraph"/>
              <w:jc w:val="center"/>
              <w:rPr>
                <w:rFonts w:ascii="Arial"/>
                <w:b/>
                <w:sz w:val="20"/>
              </w:rPr>
            </w:pPr>
          </w:p>
          <w:p w14:paraId="32044102"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17A78B5C" wp14:editId="119A032B">
                  <wp:extent cx="114300" cy="114300"/>
                  <wp:effectExtent l="0" t="0" r="0" b="0"/>
                  <wp:docPr id="7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683EB195" w14:textId="77777777" w:rsidR="0019769E" w:rsidRPr="00926EDA" w:rsidRDefault="0019769E" w:rsidP="00147A22">
            <w:pPr>
              <w:pStyle w:val="TableParagraph"/>
              <w:jc w:val="center"/>
              <w:rPr>
                <w:rFonts w:ascii="Arial"/>
                <w:b/>
                <w:sz w:val="20"/>
              </w:rPr>
            </w:pPr>
          </w:p>
          <w:p w14:paraId="482F8263" w14:textId="77777777" w:rsidR="0019769E" w:rsidRPr="00926EDA" w:rsidRDefault="0019769E" w:rsidP="00147A22">
            <w:pPr>
              <w:pStyle w:val="TableParagraph"/>
              <w:jc w:val="center"/>
              <w:rPr>
                <w:rFonts w:ascii="Arial"/>
                <w:b/>
                <w:sz w:val="20"/>
              </w:rPr>
            </w:pPr>
            <w:r w:rsidRPr="00446A58">
              <w:rPr>
                <w:rFonts w:ascii="Arial"/>
                <w:sz w:val="18"/>
                <w:szCs w:val="18"/>
              </w:rPr>
              <w:t>X</w:t>
            </w:r>
          </w:p>
        </w:tc>
        <w:tc>
          <w:tcPr>
            <w:tcW w:w="357" w:type="pct"/>
            <w:tcBorders>
              <w:top w:val="single" w:sz="12" w:space="0" w:color="BABABA"/>
              <w:left w:val="single" w:sz="12" w:space="0" w:color="BABABA"/>
              <w:bottom w:val="single" w:sz="12" w:space="0" w:color="BABABA"/>
              <w:right w:val="single" w:sz="12" w:space="0" w:color="BABABA"/>
            </w:tcBorders>
          </w:tcPr>
          <w:p w14:paraId="61A9E0F6" w14:textId="77777777" w:rsidR="0019769E" w:rsidRPr="00926EDA" w:rsidRDefault="0019769E" w:rsidP="00147A22">
            <w:pPr>
              <w:pStyle w:val="TableParagraph"/>
              <w:jc w:val="center"/>
              <w:rPr>
                <w:rFonts w:ascii="Arial"/>
                <w:b/>
                <w:sz w:val="20"/>
              </w:rPr>
            </w:pPr>
          </w:p>
          <w:p w14:paraId="4D2824C5"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5C784BAE" wp14:editId="0DFC41DC">
                  <wp:extent cx="114300" cy="114300"/>
                  <wp:effectExtent l="0" t="0" r="0" b="0"/>
                  <wp:docPr id="7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5D3E97B4" w14:textId="77777777" w:rsidTr="00147A22">
        <w:trPr>
          <w:trHeight w:val="2084"/>
          <w:jc w:val="center"/>
        </w:trPr>
        <w:tc>
          <w:tcPr>
            <w:tcW w:w="1631" w:type="pct"/>
            <w:tcBorders>
              <w:top w:val="single" w:sz="12" w:space="0" w:color="BABABA"/>
              <w:left w:val="single" w:sz="12" w:space="0" w:color="BABABA"/>
              <w:bottom w:val="single" w:sz="12" w:space="0" w:color="BABABA"/>
              <w:right w:val="single" w:sz="12" w:space="0" w:color="BABABA"/>
            </w:tcBorders>
          </w:tcPr>
          <w:p w14:paraId="54C4C4B2" w14:textId="77777777" w:rsidR="0019769E" w:rsidRPr="00926EDA" w:rsidRDefault="0019769E" w:rsidP="00147A22">
            <w:pPr>
              <w:pStyle w:val="TableParagraph"/>
              <w:spacing w:before="69" w:line="199" w:lineRule="auto"/>
              <w:ind w:left="185" w:right="173"/>
              <w:rPr>
                <w:w w:val="105"/>
                <w:sz w:val="19"/>
              </w:rPr>
            </w:pPr>
            <w:r>
              <w:rPr>
                <w:w w:val="105"/>
                <w:sz w:val="19"/>
              </w:rPr>
              <w:t>Supporting industry codes of conduct on certain applications of new technologies in finance</w:t>
            </w:r>
          </w:p>
        </w:tc>
        <w:tc>
          <w:tcPr>
            <w:tcW w:w="677" w:type="pct"/>
            <w:tcBorders>
              <w:top w:val="single" w:sz="12" w:space="0" w:color="BABABA"/>
              <w:left w:val="single" w:sz="12" w:space="0" w:color="BABABA"/>
              <w:bottom w:val="single" w:sz="12" w:space="0" w:color="BABABA"/>
              <w:right w:val="single" w:sz="12" w:space="0" w:color="BABABA"/>
            </w:tcBorders>
          </w:tcPr>
          <w:p w14:paraId="1BBACC57" w14:textId="77777777" w:rsidR="0019769E" w:rsidRDefault="0019769E" w:rsidP="00147A22">
            <w:pPr>
              <w:pStyle w:val="TableParagraph"/>
              <w:jc w:val="center"/>
              <w:rPr>
                <w:rFonts w:ascii="Arial"/>
                <w:b/>
                <w:sz w:val="20"/>
              </w:rPr>
            </w:pPr>
          </w:p>
          <w:p w14:paraId="683DD9C1" w14:textId="77777777" w:rsidR="0019769E" w:rsidRPr="00926EDA" w:rsidRDefault="0019769E" w:rsidP="00147A22">
            <w:pPr>
              <w:pStyle w:val="TableParagraph"/>
              <w:jc w:val="center"/>
              <w:rPr>
                <w:rFonts w:ascii="Arial"/>
                <w:b/>
                <w:sz w:val="20"/>
              </w:rPr>
            </w:pPr>
          </w:p>
          <w:p w14:paraId="27D7AB23"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21773AC3" wp14:editId="76161A43">
                  <wp:extent cx="114300" cy="114300"/>
                  <wp:effectExtent l="0" t="0" r="0" b="0"/>
                  <wp:docPr id="7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17CD3861" w14:textId="77777777" w:rsidR="0019769E" w:rsidRDefault="0019769E" w:rsidP="00147A22">
            <w:pPr>
              <w:pStyle w:val="TableParagraph"/>
              <w:jc w:val="center"/>
              <w:rPr>
                <w:rFonts w:ascii="Arial"/>
                <w:b/>
                <w:sz w:val="20"/>
              </w:rPr>
            </w:pPr>
          </w:p>
          <w:p w14:paraId="36F8B2D6" w14:textId="77777777" w:rsidR="0019769E" w:rsidRPr="00926EDA" w:rsidRDefault="0019769E" w:rsidP="00147A22">
            <w:pPr>
              <w:pStyle w:val="TableParagraph"/>
              <w:jc w:val="center"/>
              <w:rPr>
                <w:rFonts w:ascii="Arial"/>
                <w:b/>
                <w:sz w:val="20"/>
              </w:rPr>
            </w:pPr>
          </w:p>
          <w:p w14:paraId="7DF18E29"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48FA6ADC" wp14:editId="49E250C3">
                  <wp:extent cx="114300" cy="114300"/>
                  <wp:effectExtent l="0" t="0" r="0" b="0"/>
                  <wp:docPr id="7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Borders>
              <w:top w:val="single" w:sz="12" w:space="0" w:color="BABABA"/>
              <w:left w:val="single" w:sz="12" w:space="0" w:color="BABABA"/>
              <w:bottom w:val="single" w:sz="12" w:space="0" w:color="BABABA"/>
              <w:right w:val="single" w:sz="12" w:space="0" w:color="BABABA"/>
            </w:tcBorders>
          </w:tcPr>
          <w:p w14:paraId="36E7B39B" w14:textId="77777777" w:rsidR="0019769E" w:rsidRDefault="0019769E" w:rsidP="00147A22">
            <w:pPr>
              <w:pStyle w:val="TableParagraph"/>
              <w:jc w:val="center"/>
              <w:rPr>
                <w:rFonts w:ascii="Arial"/>
                <w:b/>
                <w:sz w:val="20"/>
              </w:rPr>
            </w:pPr>
          </w:p>
          <w:p w14:paraId="71E20CC2" w14:textId="77777777" w:rsidR="0019769E" w:rsidRPr="00926EDA" w:rsidRDefault="0019769E" w:rsidP="00147A22">
            <w:pPr>
              <w:pStyle w:val="TableParagraph"/>
              <w:jc w:val="center"/>
              <w:rPr>
                <w:rFonts w:ascii="Arial"/>
                <w:b/>
                <w:sz w:val="20"/>
              </w:rPr>
            </w:pPr>
          </w:p>
          <w:p w14:paraId="08106B50" w14:textId="77777777" w:rsidR="0019769E" w:rsidRPr="00446A58" w:rsidRDefault="0019769E" w:rsidP="00147A22">
            <w:pPr>
              <w:pStyle w:val="TableParagraph"/>
              <w:jc w:val="center"/>
              <w:rPr>
                <w:rFonts w:ascii="Arial"/>
                <w:sz w:val="18"/>
                <w:szCs w:val="18"/>
              </w:rPr>
            </w:pPr>
            <w:r w:rsidRPr="00926EDA">
              <w:rPr>
                <w:rFonts w:ascii="Arial"/>
                <w:b/>
                <w:noProof/>
                <w:sz w:val="20"/>
                <w:lang w:val="en-GB" w:eastAsia="en-GB"/>
              </w:rPr>
              <w:drawing>
                <wp:inline distT="0" distB="0" distL="0" distR="0" wp14:anchorId="0A4136B0" wp14:editId="02DBBC5B">
                  <wp:extent cx="114300" cy="114300"/>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78F180D9" w14:textId="77777777" w:rsidR="0019769E" w:rsidRDefault="0019769E" w:rsidP="00147A22">
            <w:pPr>
              <w:pStyle w:val="TableParagraph"/>
              <w:jc w:val="center"/>
              <w:rPr>
                <w:rFonts w:ascii="Arial"/>
                <w:b/>
                <w:sz w:val="20"/>
              </w:rPr>
            </w:pPr>
          </w:p>
          <w:p w14:paraId="63E90C27" w14:textId="77777777" w:rsidR="0019769E" w:rsidRPr="00926EDA" w:rsidRDefault="0019769E" w:rsidP="00147A22">
            <w:pPr>
              <w:pStyle w:val="TableParagraph"/>
              <w:jc w:val="center"/>
              <w:rPr>
                <w:rFonts w:ascii="Arial"/>
                <w:b/>
                <w:sz w:val="20"/>
              </w:rPr>
            </w:pPr>
          </w:p>
          <w:p w14:paraId="7E840FCD" w14:textId="77777777" w:rsidR="0019769E" w:rsidRPr="00926EDA" w:rsidRDefault="0019769E" w:rsidP="00147A22">
            <w:pPr>
              <w:pStyle w:val="TableParagraph"/>
              <w:jc w:val="center"/>
              <w:rPr>
                <w:rFonts w:ascii="Arial"/>
                <w:b/>
                <w:sz w:val="20"/>
              </w:rPr>
            </w:pPr>
            <w:r>
              <w:rPr>
                <w:rFonts w:ascii="Arial"/>
                <w:sz w:val="18"/>
                <w:szCs w:val="18"/>
              </w:rPr>
              <w:t>X</w:t>
            </w:r>
          </w:p>
        </w:tc>
        <w:tc>
          <w:tcPr>
            <w:tcW w:w="588" w:type="pct"/>
            <w:tcBorders>
              <w:top w:val="single" w:sz="12" w:space="0" w:color="BABABA"/>
              <w:left w:val="single" w:sz="12" w:space="0" w:color="BABABA"/>
              <w:bottom w:val="single" w:sz="12" w:space="0" w:color="BABABA"/>
              <w:right w:val="single" w:sz="12" w:space="0" w:color="BABABA"/>
            </w:tcBorders>
          </w:tcPr>
          <w:p w14:paraId="2B5F314C" w14:textId="77777777" w:rsidR="0019769E" w:rsidRDefault="0019769E" w:rsidP="00147A22">
            <w:pPr>
              <w:pStyle w:val="TableParagraph"/>
              <w:jc w:val="center"/>
              <w:rPr>
                <w:rFonts w:ascii="Arial"/>
                <w:b/>
                <w:sz w:val="20"/>
              </w:rPr>
            </w:pPr>
          </w:p>
          <w:p w14:paraId="7DF2F3F7" w14:textId="77777777" w:rsidR="0019769E" w:rsidRPr="00926EDA" w:rsidRDefault="0019769E" w:rsidP="00147A22">
            <w:pPr>
              <w:pStyle w:val="TableParagraph"/>
              <w:jc w:val="center"/>
              <w:rPr>
                <w:rFonts w:ascii="Arial"/>
                <w:b/>
                <w:sz w:val="20"/>
              </w:rPr>
            </w:pPr>
          </w:p>
          <w:p w14:paraId="6C86563F"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42D5AE4C" wp14:editId="1A8C7F24">
                  <wp:extent cx="114300" cy="114300"/>
                  <wp:effectExtent l="0" t="0" r="0" b="0"/>
                  <wp:docPr id="7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357" w:type="pct"/>
            <w:tcBorders>
              <w:top w:val="single" w:sz="12" w:space="0" w:color="BABABA"/>
              <w:left w:val="single" w:sz="12" w:space="0" w:color="BABABA"/>
              <w:bottom w:val="single" w:sz="12" w:space="0" w:color="BABABA"/>
              <w:right w:val="single" w:sz="12" w:space="0" w:color="BABABA"/>
            </w:tcBorders>
          </w:tcPr>
          <w:p w14:paraId="78A7911D" w14:textId="77777777" w:rsidR="0019769E" w:rsidRDefault="0019769E" w:rsidP="00147A22">
            <w:pPr>
              <w:pStyle w:val="TableParagraph"/>
              <w:jc w:val="center"/>
              <w:rPr>
                <w:rFonts w:ascii="Arial"/>
                <w:b/>
                <w:sz w:val="20"/>
              </w:rPr>
            </w:pPr>
          </w:p>
          <w:p w14:paraId="4F770AD5" w14:textId="77777777" w:rsidR="0019769E" w:rsidRPr="00926EDA" w:rsidRDefault="0019769E" w:rsidP="00147A22">
            <w:pPr>
              <w:pStyle w:val="TableParagraph"/>
              <w:jc w:val="center"/>
              <w:rPr>
                <w:rFonts w:ascii="Arial"/>
                <w:b/>
                <w:sz w:val="20"/>
              </w:rPr>
            </w:pPr>
          </w:p>
          <w:p w14:paraId="24E76C9D"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1AF65748" wp14:editId="777F1867">
                  <wp:extent cx="114300" cy="114300"/>
                  <wp:effectExtent l="0" t="0" r="0" b="0"/>
                  <wp:docPr id="7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2E830264" w14:textId="77777777" w:rsidTr="00147A22">
        <w:trPr>
          <w:trHeight w:val="2084"/>
          <w:jc w:val="center"/>
        </w:trPr>
        <w:tc>
          <w:tcPr>
            <w:tcW w:w="1631" w:type="pct"/>
            <w:tcBorders>
              <w:top w:val="single" w:sz="12" w:space="0" w:color="BABABA"/>
              <w:left w:val="single" w:sz="12" w:space="0" w:color="BABABA"/>
              <w:bottom w:val="single" w:sz="12" w:space="0" w:color="BABABA"/>
              <w:right w:val="single" w:sz="12" w:space="0" w:color="BABABA"/>
            </w:tcBorders>
          </w:tcPr>
          <w:p w14:paraId="454EB7F8" w14:textId="77777777" w:rsidR="0019769E" w:rsidRPr="00926EDA" w:rsidRDefault="0019769E" w:rsidP="00147A22">
            <w:pPr>
              <w:pStyle w:val="TableParagraph"/>
              <w:spacing w:before="69" w:line="199" w:lineRule="auto"/>
              <w:ind w:left="185" w:right="173"/>
              <w:rPr>
                <w:w w:val="105"/>
                <w:sz w:val="19"/>
              </w:rPr>
            </w:pPr>
            <w:r>
              <w:rPr>
                <w:w w:val="105"/>
                <w:sz w:val="19"/>
              </w:rPr>
              <w:t>Enhancing legal clarity through guidance at EU level for specific technologies and/or use cases</w:t>
            </w:r>
          </w:p>
        </w:tc>
        <w:tc>
          <w:tcPr>
            <w:tcW w:w="677" w:type="pct"/>
            <w:tcBorders>
              <w:top w:val="single" w:sz="12" w:space="0" w:color="BABABA"/>
              <w:left w:val="single" w:sz="12" w:space="0" w:color="BABABA"/>
              <w:bottom w:val="single" w:sz="12" w:space="0" w:color="BABABA"/>
              <w:right w:val="single" w:sz="12" w:space="0" w:color="BABABA"/>
            </w:tcBorders>
          </w:tcPr>
          <w:p w14:paraId="77F48E4A" w14:textId="77777777" w:rsidR="0019769E" w:rsidRDefault="0019769E" w:rsidP="00147A22">
            <w:pPr>
              <w:pStyle w:val="TableParagraph"/>
              <w:jc w:val="center"/>
              <w:rPr>
                <w:rFonts w:ascii="Arial"/>
                <w:b/>
                <w:sz w:val="20"/>
              </w:rPr>
            </w:pPr>
          </w:p>
          <w:p w14:paraId="7C03ADFB" w14:textId="77777777" w:rsidR="0019769E" w:rsidRDefault="0019769E" w:rsidP="00147A22">
            <w:pPr>
              <w:pStyle w:val="TableParagraph"/>
              <w:jc w:val="center"/>
              <w:rPr>
                <w:rFonts w:ascii="Arial"/>
                <w:b/>
                <w:sz w:val="20"/>
              </w:rPr>
            </w:pPr>
          </w:p>
          <w:p w14:paraId="34367530" w14:textId="77777777" w:rsidR="0019769E" w:rsidRPr="00926EDA" w:rsidRDefault="0019769E" w:rsidP="00147A22">
            <w:pPr>
              <w:pStyle w:val="TableParagraph"/>
              <w:jc w:val="center"/>
              <w:rPr>
                <w:rFonts w:ascii="Arial"/>
                <w:b/>
                <w:sz w:val="20"/>
              </w:rPr>
            </w:pPr>
          </w:p>
          <w:p w14:paraId="283A87C8"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61D830E9" wp14:editId="3DD94079">
                  <wp:extent cx="114300" cy="114300"/>
                  <wp:effectExtent l="0" t="0" r="0" b="0"/>
                  <wp:docPr id="7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6877D939" w14:textId="77777777" w:rsidR="0019769E" w:rsidRDefault="0019769E" w:rsidP="00147A22">
            <w:pPr>
              <w:pStyle w:val="TableParagraph"/>
              <w:jc w:val="center"/>
              <w:rPr>
                <w:rFonts w:ascii="Arial"/>
                <w:b/>
                <w:sz w:val="20"/>
              </w:rPr>
            </w:pPr>
          </w:p>
          <w:p w14:paraId="58D54A2E" w14:textId="77777777" w:rsidR="0019769E" w:rsidRDefault="0019769E" w:rsidP="00147A22">
            <w:pPr>
              <w:pStyle w:val="TableParagraph"/>
              <w:jc w:val="center"/>
              <w:rPr>
                <w:rFonts w:ascii="Arial"/>
                <w:b/>
                <w:sz w:val="20"/>
              </w:rPr>
            </w:pPr>
          </w:p>
          <w:p w14:paraId="098BA4D3" w14:textId="77777777" w:rsidR="0019769E" w:rsidRPr="00926EDA" w:rsidRDefault="0019769E" w:rsidP="00147A22">
            <w:pPr>
              <w:pStyle w:val="TableParagraph"/>
              <w:jc w:val="center"/>
              <w:rPr>
                <w:rFonts w:ascii="Arial"/>
                <w:b/>
                <w:sz w:val="20"/>
              </w:rPr>
            </w:pPr>
          </w:p>
          <w:p w14:paraId="4D3EEB86"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528B3607" wp14:editId="41A47CBD">
                  <wp:extent cx="114300" cy="114300"/>
                  <wp:effectExtent l="0" t="0" r="0" b="0"/>
                  <wp:docPr id="7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Borders>
              <w:top w:val="single" w:sz="12" w:space="0" w:color="BABABA"/>
              <w:left w:val="single" w:sz="12" w:space="0" w:color="BABABA"/>
              <w:bottom w:val="single" w:sz="12" w:space="0" w:color="BABABA"/>
              <w:right w:val="single" w:sz="12" w:space="0" w:color="BABABA"/>
            </w:tcBorders>
          </w:tcPr>
          <w:p w14:paraId="01DE485A" w14:textId="77777777" w:rsidR="0019769E" w:rsidRDefault="0019769E" w:rsidP="00147A22">
            <w:pPr>
              <w:pStyle w:val="TableParagraph"/>
              <w:jc w:val="center"/>
              <w:rPr>
                <w:rFonts w:ascii="Arial"/>
                <w:b/>
                <w:sz w:val="20"/>
              </w:rPr>
            </w:pPr>
          </w:p>
          <w:p w14:paraId="478A61E9" w14:textId="77777777" w:rsidR="0019769E" w:rsidRDefault="0019769E" w:rsidP="00147A22">
            <w:pPr>
              <w:pStyle w:val="TableParagraph"/>
              <w:jc w:val="center"/>
              <w:rPr>
                <w:rFonts w:ascii="Arial"/>
                <w:b/>
                <w:sz w:val="20"/>
              </w:rPr>
            </w:pPr>
          </w:p>
          <w:p w14:paraId="22DB10D9" w14:textId="77777777" w:rsidR="0019769E" w:rsidRPr="00926EDA" w:rsidRDefault="0019769E" w:rsidP="00147A22">
            <w:pPr>
              <w:pStyle w:val="TableParagraph"/>
              <w:jc w:val="center"/>
              <w:rPr>
                <w:rFonts w:ascii="Arial"/>
                <w:b/>
                <w:sz w:val="20"/>
              </w:rPr>
            </w:pPr>
          </w:p>
          <w:p w14:paraId="49222036"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5E524277" wp14:editId="14CCA6F9">
                  <wp:extent cx="114300" cy="114300"/>
                  <wp:effectExtent l="0" t="0" r="0" b="0"/>
                  <wp:docPr id="7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3D3A871E" w14:textId="77777777" w:rsidR="0019769E" w:rsidRDefault="0019769E" w:rsidP="00147A22">
            <w:pPr>
              <w:pStyle w:val="TableParagraph"/>
              <w:jc w:val="center"/>
              <w:rPr>
                <w:rFonts w:ascii="Arial"/>
                <w:b/>
                <w:sz w:val="20"/>
              </w:rPr>
            </w:pPr>
          </w:p>
          <w:p w14:paraId="095E5907" w14:textId="77777777" w:rsidR="0019769E" w:rsidRDefault="0019769E" w:rsidP="00147A22">
            <w:pPr>
              <w:pStyle w:val="TableParagraph"/>
              <w:jc w:val="center"/>
              <w:rPr>
                <w:rFonts w:ascii="Arial"/>
                <w:b/>
                <w:sz w:val="20"/>
              </w:rPr>
            </w:pPr>
          </w:p>
          <w:p w14:paraId="038A0DD4" w14:textId="77777777" w:rsidR="0019769E" w:rsidRPr="00926EDA" w:rsidRDefault="0019769E" w:rsidP="00147A22">
            <w:pPr>
              <w:pStyle w:val="TableParagraph"/>
              <w:jc w:val="center"/>
              <w:rPr>
                <w:rFonts w:ascii="Arial"/>
                <w:b/>
                <w:sz w:val="20"/>
              </w:rPr>
            </w:pPr>
          </w:p>
          <w:p w14:paraId="62413EE7"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0A2E6CD6" wp14:editId="32120112">
                  <wp:extent cx="114300" cy="114300"/>
                  <wp:effectExtent l="0" t="0" r="0" b="0"/>
                  <wp:docPr id="7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7C17094B" w14:textId="77777777" w:rsidR="0019769E" w:rsidRDefault="0019769E" w:rsidP="00147A22">
            <w:pPr>
              <w:pStyle w:val="TableParagraph"/>
              <w:jc w:val="center"/>
              <w:rPr>
                <w:rFonts w:ascii="Arial"/>
                <w:b/>
                <w:sz w:val="20"/>
              </w:rPr>
            </w:pPr>
          </w:p>
          <w:p w14:paraId="1ACC793C" w14:textId="77777777" w:rsidR="0019769E" w:rsidRDefault="0019769E" w:rsidP="00147A22">
            <w:pPr>
              <w:pStyle w:val="TableParagraph"/>
              <w:jc w:val="center"/>
              <w:rPr>
                <w:rFonts w:ascii="Arial"/>
                <w:b/>
                <w:sz w:val="20"/>
              </w:rPr>
            </w:pPr>
          </w:p>
          <w:p w14:paraId="3153B75C" w14:textId="77777777" w:rsidR="0019769E" w:rsidRPr="00926EDA" w:rsidRDefault="0019769E" w:rsidP="00147A22">
            <w:pPr>
              <w:pStyle w:val="TableParagraph"/>
              <w:jc w:val="center"/>
              <w:rPr>
                <w:rFonts w:ascii="Arial"/>
                <w:b/>
                <w:sz w:val="20"/>
              </w:rPr>
            </w:pPr>
          </w:p>
          <w:p w14:paraId="73ADFF9D" w14:textId="77777777" w:rsidR="0019769E" w:rsidRPr="00446A58" w:rsidRDefault="0019769E" w:rsidP="00147A22">
            <w:pPr>
              <w:pStyle w:val="TableParagraph"/>
              <w:jc w:val="center"/>
              <w:rPr>
                <w:rFonts w:ascii="Arial"/>
                <w:sz w:val="18"/>
                <w:szCs w:val="18"/>
              </w:rPr>
            </w:pPr>
            <w:r>
              <w:rPr>
                <w:rFonts w:ascii="Arial"/>
                <w:sz w:val="18"/>
                <w:szCs w:val="18"/>
              </w:rPr>
              <w:t>X</w:t>
            </w:r>
          </w:p>
        </w:tc>
        <w:tc>
          <w:tcPr>
            <w:tcW w:w="357" w:type="pct"/>
            <w:tcBorders>
              <w:top w:val="single" w:sz="12" w:space="0" w:color="BABABA"/>
              <w:left w:val="single" w:sz="12" w:space="0" w:color="BABABA"/>
              <w:bottom w:val="single" w:sz="12" w:space="0" w:color="BABABA"/>
              <w:right w:val="single" w:sz="12" w:space="0" w:color="BABABA"/>
            </w:tcBorders>
          </w:tcPr>
          <w:p w14:paraId="753416E7" w14:textId="77777777" w:rsidR="0019769E" w:rsidRDefault="0019769E" w:rsidP="00147A22">
            <w:pPr>
              <w:pStyle w:val="TableParagraph"/>
              <w:jc w:val="center"/>
              <w:rPr>
                <w:rFonts w:ascii="Arial"/>
                <w:b/>
                <w:sz w:val="20"/>
              </w:rPr>
            </w:pPr>
          </w:p>
          <w:p w14:paraId="6A5F9945" w14:textId="77777777" w:rsidR="0019769E" w:rsidRDefault="0019769E" w:rsidP="00147A22">
            <w:pPr>
              <w:pStyle w:val="TableParagraph"/>
              <w:jc w:val="center"/>
              <w:rPr>
                <w:rFonts w:ascii="Arial"/>
                <w:b/>
                <w:sz w:val="20"/>
              </w:rPr>
            </w:pPr>
          </w:p>
          <w:p w14:paraId="7087E7EC" w14:textId="77777777" w:rsidR="0019769E" w:rsidRPr="00926EDA" w:rsidRDefault="0019769E" w:rsidP="00147A22">
            <w:pPr>
              <w:pStyle w:val="TableParagraph"/>
              <w:jc w:val="center"/>
              <w:rPr>
                <w:rFonts w:ascii="Arial"/>
                <w:b/>
                <w:sz w:val="20"/>
              </w:rPr>
            </w:pPr>
          </w:p>
          <w:p w14:paraId="28D92C3E" w14:textId="77777777" w:rsidR="0019769E" w:rsidRPr="00926EDA" w:rsidRDefault="0019769E" w:rsidP="00147A22">
            <w:pPr>
              <w:pStyle w:val="TableParagraph"/>
              <w:jc w:val="center"/>
              <w:rPr>
                <w:rFonts w:ascii="Arial"/>
                <w:b/>
                <w:sz w:val="20"/>
              </w:rPr>
            </w:pPr>
            <w:r w:rsidRPr="00926EDA">
              <w:rPr>
                <w:rFonts w:ascii="Arial"/>
                <w:b/>
                <w:noProof/>
                <w:sz w:val="20"/>
                <w:lang w:val="en-GB" w:eastAsia="en-GB"/>
              </w:rPr>
              <w:drawing>
                <wp:inline distT="0" distB="0" distL="0" distR="0" wp14:anchorId="77BFD345" wp14:editId="15190610">
                  <wp:extent cx="114300" cy="114300"/>
                  <wp:effectExtent l="0" t="0" r="0" b="0"/>
                  <wp:docPr id="7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0CBF97E2" w14:textId="77777777" w:rsidTr="00147A22">
        <w:trPr>
          <w:trHeight w:val="2084"/>
          <w:jc w:val="center"/>
        </w:trPr>
        <w:tc>
          <w:tcPr>
            <w:tcW w:w="1631" w:type="pct"/>
            <w:tcBorders>
              <w:top w:val="single" w:sz="12" w:space="0" w:color="BABABA"/>
              <w:left w:val="single" w:sz="12" w:space="0" w:color="BABABA"/>
              <w:bottom w:val="single" w:sz="12" w:space="0" w:color="BABABA"/>
              <w:right w:val="single" w:sz="12" w:space="0" w:color="BABABA"/>
            </w:tcBorders>
          </w:tcPr>
          <w:p w14:paraId="72FF952F" w14:textId="77777777" w:rsidR="0019769E" w:rsidRPr="00926EDA" w:rsidRDefault="0019769E" w:rsidP="00147A22">
            <w:pPr>
              <w:pStyle w:val="TableParagraph"/>
              <w:spacing w:before="69" w:line="199" w:lineRule="auto"/>
              <w:ind w:left="185" w:right="173"/>
              <w:rPr>
                <w:w w:val="105"/>
                <w:sz w:val="19"/>
              </w:rPr>
            </w:pPr>
            <w:r>
              <w:rPr>
                <w:w w:val="105"/>
                <w:sz w:val="19"/>
              </w:rPr>
              <w:t>Creating bespoke EU regimes adapted to nascent markets, possibly on a temporary basis</w:t>
            </w:r>
          </w:p>
        </w:tc>
        <w:tc>
          <w:tcPr>
            <w:tcW w:w="677" w:type="pct"/>
            <w:tcBorders>
              <w:top w:val="single" w:sz="12" w:space="0" w:color="BABABA"/>
              <w:left w:val="single" w:sz="12" w:space="0" w:color="BABABA"/>
              <w:bottom w:val="single" w:sz="12" w:space="0" w:color="BABABA"/>
              <w:right w:val="single" w:sz="12" w:space="0" w:color="BABABA"/>
            </w:tcBorders>
          </w:tcPr>
          <w:p w14:paraId="520B2AA1" w14:textId="77777777" w:rsidR="0019769E" w:rsidRPr="00446A58" w:rsidRDefault="0019769E" w:rsidP="00147A22">
            <w:pPr>
              <w:pStyle w:val="TableParagraph"/>
              <w:jc w:val="center"/>
              <w:rPr>
                <w:rFonts w:ascii="Arial"/>
                <w:sz w:val="20"/>
              </w:rPr>
            </w:pPr>
          </w:p>
          <w:p w14:paraId="116F3463" w14:textId="77777777" w:rsidR="0019769E" w:rsidRPr="00446A58" w:rsidRDefault="0019769E" w:rsidP="00147A22">
            <w:pPr>
              <w:pStyle w:val="TableParagraph"/>
              <w:jc w:val="center"/>
              <w:rPr>
                <w:rFonts w:ascii="Arial"/>
                <w:sz w:val="20"/>
              </w:rPr>
            </w:pPr>
          </w:p>
          <w:p w14:paraId="723981E5" w14:textId="77777777" w:rsidR="0019769E" w:rsidRPr="00446A58" w:rsidRDefault="0019769E" w:rsidP="00147A22">
            <w:pPr>
              <w:pStyle w:val="TableParagraph"/>
              <w:jc w:val="center"/>
              <w:rPr>
                <w:rFonts w:ascii="Arial"/>
                <w:sz w:val="20"/>
              </w:rPr>
            </w:pPr>
            <w:r w:rsidRPr="00446A58">
              <w:rPr>
                <w:rFonts w:ascii="Arial"/>
                <w:noProof/>
                <w:sz w:val="20"/>
                <w:lang w:val="en-GB" w:eastAsia="en-GB"/>
              </w:rPr>
              <w:drawing>
                <wp:inline distT="0" distB="0" distL="0" distR="0" wp14:anchorId="7C0A615C" wp14:editId="3546068D">
                  <wp:extent cx="114300" cy="114300"/>
                  <wp:effectExtent l="0" t="0" r="0" b="0"/>
                  <wp:docPr id="7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2339166B" w14:textId="77777777" w:rsidR="0019769E" w:rsidRPr="00446A58" w:rsidRDefault="0019769E" w:rsidP="00147A22">
            <w:pPr>
              <w:pStyle w:val="TableParagraph"/>
              <w:jc w:val="center"/>
              <w:rPr>
                <w:rFonts w:ascii="Arial"/>
                <w:sz w:val="20"/>
              </w:rPr>
            </w:pPr>
          </w:p>
          <w:p w14:paraId="601DD3D2" w14:textId="77777777" w:rsidR="0019769E" w:rsidRPr="00446A58" w:rsidRDefault="0019769E" w:rsidP="00147A22">
            <w:pPr>
              <w:pStyle w:val="TableParagraph"/>
              <w:jc w:val="center"/>
              <w:rPr>
                <w:rFonts w:ascii="Arial"/>
                <w:sz w:val="20"/>
              </w:rPr>
            </w:pPr>
          </w:p>
          <w:p w14:paraId="73540E08" w14:textId="77777777" w:rsidR="0019769E" w:rsidRPr="00446A58" w:rsidRDefault="0019769E" w:rsidP="00147A22">
            <w:pPr>
              <w:pStyle w:val="TableParagraph"/>
              <w:jc w:val="center"/>
              <w:rPr>
                <w:rFonts w:ascii="Arial"/>
                <w:sz w:val="20"/>
              </w:rPr>
            </w:pPr>
            <w:r w:rsidRPr="00446A58">
              <w:rPr>
                <w:rFonts w:ascii="Arial"/>
                <w:noProof/>
                <w:sz w:val="20"/>
                <w:lang w:val="en-GB" w:eastAsia="en-GB"/>
              </w:rPr>
              <w:drawing>
                <wp:inline distT="0" distB="0" distL="0" distR="0" wp14:anchorId="5A761A13" wp14:editId="7FD33659">
                  <wp:extent cx="114300" cy="114300"/>
                  <wp:effectExtent l="0" t="0" r="0" b="0"/>
                  <wp:docPr id="7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Borders>
              <w:top w:val="single" w:sz="12" w:space="0" w:color="BABABA"/>
              <w:left w:val="single" w:sz="12" w:space="0" w:color="BABABA"/>
              <w:bottom w:val="single" w:sz="12" w:space="0" w:color="BABABA"/>
              <w:right w:val="single" w:sz="12" w:space="0" w:color="BABABA"/>
            </w:tcBorders>
          </w:tcPr>
          <w:p w14:paraId="7AAB3493" w14:textId="77777777" w:rsidR="0019769E" w:rsidRPr="00446A58" w:rsidRDefault="0019769E" w:rsidP="00147A22">
            <w:pPr>
              <w:pStyle w:val="TableParagraph"/>
              <w:jc w:val="center"/>
              <w:rPr>
                <w:rFonts w:ascii="Arial"/>
                <w:sz w:val="20"/>
              </w:rPr>
            </w:pPr>
          </w:p>
          <w:p w14:paraId="150CEC5B" w14:textId="77777777" w:rsidR="0019769E" w:rsidRPr="00446A58" w:rsidRDefault="0019769E" w:rsidP="00147A22">
            <w:pPr>
              <w:pStyle w:val="TableParagraph"/>
              <w:jc w:val="center"/>
              <w:rPr>
                <w:rFonts w:ascii="Arial"/>
                <w:sz w:val="20"/>
              </w:rPr>
            </w:pPr>
          </w:p>
          <w:p w14:paraId="2BD429C3" w14:textId="77777777" w:rsidR="0019769E" w:rsidRPr="00446A58" w:rsidRDefault="0019769E" w:rsidP="00147A22">
            <w:pPr>
              <w:pStyle w:val="TableParagraph"/>
              <w:jc w:val="center"/>
              <w:rPr>
                <w:rFonts w:ascii="Arial"/>
                <w:sz w:val="18"/>
                <w:szCs w:val="18"/>
              </w:rPr>
            </w:pPr>
            <w:r w:rsidRPr="00446A58">
              <w:rPr>
                <w:rFonts w:ascii="Arial"/>
                <w:sz w:val="18"/>
                <w:szCs w:val="18"/>
              </w:rPr>
              <w:t>X</w:t>
            </w:r>
          </w:p>
        </w:tc>
        <w:tc>
          <w:tcPr>
            <w:tcW w:w="588" w:type="pct"/>
            <w:tcBorders>
              <w:top w:val="single" w:sz="12" w:space="0" w:color="BABABA"/>
              <w:left w:val="single" w:sz="12" w:space="0" w:color="BABABA"/>
              <w:bottom w:val="single" w:sz="12" w:space="0" w:color="BABABA"/>
              <w:right w:val="single" w:sz="12" w:space="0" w:color="BABABA"/>
            </w:tcBorders>
          </w:tcPr>
          <w:p w14:paraId="0552FB5B" w14:textId="77777777" w:rsidR="0019769E" w:rsidRPr="00446A58" w:rsidRDefault="0019769E" w:rsidP="00147A22">
            <w:pPr>
              <w:pStyle w:val="TableParagraph"/>
              <w:jc w:val="center"/>
              <w:rPr>
                <w:rFonts w:ascii="Arial"/>
                <w:sz w:val="20"/>
              </w:rPr>
            </w:pPr>
          </w:p>
          <w:p w14:paraId="5B81798B" w14:textId="77777777" w:rsidR="0019769E" w:rsidRPr="00446A58" w:rsidRDefault="0019769E" w:rsidP="00147A22">
            <w:pPr>
              <w:pStyle w:val="TableParagraph"/>
              <w:jc w:val="center"/>
              <w:rPr>
                <w:rFonts w:ascii="Arial"/>
                <w:sz w:val="20"/>
              </w:rPr>
            </w:pPr>
          </w:p>
          <w:p w14:paraId="1120BF23" w14:textId="77777777" w:rsidR="0019769E" w:rsidRPr="00446A58" w:rsidRDefault="0019769E" w:rsidP="00147A22">
            <w:pPr>
              <w:pStyle w:val="TableParagraph"/>
              <w:jc w:val="center"/>
              <w:rPr>
                <w:rFonts w:ascii="Arial"/>
                <w:sz w:val="20"/>
              </w:rPr>
            </w:pPr>
            <w:r w:rsidRPr="00446A58">
              <w:rPr>
                <w:rFonts w:ascii="Arial"/>
                <w:noProof/>
                <w:sz w:val="20"/>
                <w:lang w:val="en-GB" w:eastAsia="en-GB"/>
              </w:rPr>
              <w:drawing>
                <wp:inline distT="0" distB="0" distL="0" distR="0" wp14:anchorId="64D8E04D" wp14:editId="6F21E06F">
                  <wp:extent cx="114300" cy="114300"/>
                  <wp:effectExtent l="0" t="0" r="0" b="0"/>
                  <wp:docPr id="7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30515BEF" w14:textId="77777777" w:rsidR="0019769E" w:rsidRPr="00446A58" w:rsidRDefault="0019769E" w:rsidP="00147A22">
            <w:pPr>
              <w:pStyle w:val="TableParagraph"/>
              <w:jc w:val="center"/>
              <w:rPr>
                <w:rFonts w:ascii="Arial"/>
                <w:sz w:val="20"/>
              </w:rPr>
            </w:pPr>
          </w:p>
          <w:p w14:paraId="3C40BED5" w14:textId="77777777" w:rsidR="0019769E" w:rsidRPr="00446A58" w:rsidRDefault="0019769E" w:rsidP="00147A22">
            <w:pPr>
              <w:pStyle w:val="TableParagraph"/>
              <w:jc w:val="center"/>
              <w:rPr>
                <w:rFonts w:ascii="Arial"/>
                <w:sz w:val="20"/>
              </w:rPr>
            </w:pPr>
          </w:p>
          <w:p w14:paraId="1AE5D782" w14:textId="77777777" w:rsidR="0019769E" w:rsidRPr="00446A58" w:rsidRDefault="0019769E" w:rsidP="00147A22">
            <w:pPr>
              <w:pStyle w:val="TableParagraph"/>
              <w:jc w:val="center"/>
              <w:rPr>
                <w:rFonts w:ascii="Arial"/>
                <w:sz w:val="20"/>
              </w:rPr>
            </w:pPr>
            <w:r w:rsidRPr="00446A58">
              <w:rPr>
                <w:rFonts w:ascii="Arial"/>
                <w:noProof/>
                <w:sz w:val="20"/>
                <w:lang w:val="en-GB" w:eastAsia="en-GB"/>
              </w:rPr>
              <w:drawing>
                <wp:inline distT="0" distB="0" distL="0" distR="0" wp14:anchorId="01ABE2D6" wp14:editId="3A29DD6C">
                  <wp:extent cx="114300" cy="114300"/>
                  <wp:effectExtent l="0" t="0" r="0" b="0"/>
                  <wp:docPr id="7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357" w:type="pct"/>
            <w:tcBorders>
              <w:top w:val="single" w:sz="12" w:space="0" w:color="BABABA"/>
              <w:left w:val="single" w:sz="12" w:space="0" w:color="BABABA"/>
              <w:bottom w:val="single" w:sz="12" w:space="0" w:color="BABABA"/>
              <w:right w:val="single" w:sz="12" w:space="0" w:color="BABABA"/>
            </w:tcBorders>
          </w:tcPr>
          <w:p w14:paraId="7E895FCD" w14:textId="77777777" w:rsidR="0019769E" w:rsidRPr="00446A58" w:rsidRDefault="0019769E" w:rsidP="00147A22">
            <w:pPr>
              <w:pStyle w:val="TableParagraph"/>
              <w:jc w:val="center"/>
              <w:rPr>
                <w:rFonts w:ascii="Arial"/>
                <w:sz w:val="20"/>
              </w:rPr>
            </w:pPr>
          </w:p>
          <w:p w14:paraId="772D49E9" w14:textId="77777777" w:rsidR="0019769E" w:rsidRPr="00446A58" w:rsidRDefault="0019769E" w:rsidP="00147A22">
            <w:pPr>
              <w:pStyle w:val="TableParagraph"/>
              <w:jc w:val="center"/>
              <w:rPr>
                <w:rFonts w:ascii="Arial"/>
                <w:sz w:val="20"/>
              </w:rPr>
            </w:pPr>
          </w:p>
          <w:p w14:paraId="1F795506" w14:textId="77777777" w:rsidR="0019769E" w:rsidRPr="00446A58" w:rsidRDefault="0019769E" w:rsidP="00147A22">
            <w:pPr>
              <w:pStyle w:val="TableParagraph"/>
              <w:jc w:val="center"/>
              <w:rPr>
                <w:rFonts w:ascii="Arial"/>
                <w:sz w:val="20"/>
              </w:rPr>
            </w:pPr>
            <w:r w:rsidRPr="00446A58">
              <w:rPr>
                <w:rFonts w:ascii="Arial"/>
                <w:noProof/>
                <w:sz w:val="20"/>
                <w:lang w:val="en-GB" w:eastAsia="en-GB"/>
              </w:rPr>
              <w:drawing>
                <wp:inline distT="0" distB="0" distL="0" distR="0" wp14:anchorId="73203C1E" wp14:editId="36AF5178">
                  <wp:extent cx="114300" cy="114300"/>
                  <wp:effectExtent l="0" t="0" r="0" b="0"/>
                  <wp:docPr id="7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5C875E53" w14:textId="77777777" w:rsidTr="00147A22">
        <w:trPr>
          <w:trHeight w:val="2084"/>
          <w:jc w:val="center"/>
        </w:trPr>
        <w:tc>
          <w:tcPr>
            <w:tcW w:w="1631" w:type="pct"/>
            <w:tcBorders>
              <w:top w:val="single" w:sz="12" w:space="0" w:color="BABABA"/>
              <w:left w:val="single" w:sz="12" w:space="0" w:color="BABABA"/>
              <w:bottom w:val="single" w:sz="12" w:space="0" w:color="BABABA"/>
              <w:right w:val="single" w:sz="12" w:space="0" w:color="BABABA"/>
            </w:tcBorders>
          </w:tcPr>
          <w:p w14:paraId="2D325E44" w14:textId="77777777" w:rsidR="0019769E" w:rsidRPr="00926EDA" w:rsidRDefault="0019769E" w:rsidP="00147A22">
            <w:pPr>
              <w:pStyle w:val="TableParagraph"/>
              <w:spacing w:before="69" w:line="199" w:lineRule="auto"/>
              <w:ind w:left="185" w:right="173"/>
              <w:rPr>
                <w:w w:val="105"/>
                <w:sz w:val="19"/>
              </w:rPr>
            </w:pPr>
            <w:r>
              <w:rPr>
                <w:w w:val="105"/>
                <w:sz w:val="19"/>
              </w:rPr>
              <w:lastRenderedPageBreak/>
              <w:t>Other</w:t>
            </w:r>
          </w:p>
        </w:tc>
        <w:tc>
          <w:tcPr>
            <w:tcW w:w="677" w:type="pct"/>
            <w:tcBorders>
              <w:top w:val="single" w:sz="12" w:space="0" w:color="BABABA"/>
              <w:left w:val="single" w:sz="12" w:space="0" w:color="BABABA"/>
              <w:bottom w:val="single" w:sz="12" w:space="0" w:color="BABABA"/>
              <w:right w:val="single" w:sz="12" w:space="0" w:color="BABABA"/>
            </w:tcBorders>
          </w:tcPr>
          <w:p w14:paraId="00573425" w14:textId="77777777" w:rsidR="0019769E" w:rsidRPr="00926EDA" w:rsidRDefault="0019769E" w:rsidP="00147A22">
            <w:pPr>
              <w:pStyle w:val="TableParagraph"/>
              <w:rPr>
                <w:rFonts w:ascii="Arial"/>
                <w:b/>
                <w:sz w:val="20"/>
              </w:rPr>
            </w:pPr>
          </w:p>
          <w:p w14:paraId="2C780FF6" w14:textId="77777777" w:rsidR="0019769E" w:rsidRPr="00926EDA" w:rsidRDefault="0019769E" w:rsidP="00147A22">
            <w:pPr>
              <w:pStyle w:val="TableParagraph"/>
              <w:rPr>
                <w:rFonts w:ascii="Arial"/>
                <w:b/>
                <w:sz w:val="20"/>
              </w:rPr>
            </w:pPr>
            <w:r w:rsidRPr="00926EDA">
              <w:rPr>
                <w:rFonts w:ascii="Arial"/>
                <w:b/>
                <w:noProof/>
                <w:sz w:val="20"/>
                <w:lang w:val="en-GB" w:eastAsia="en-GB"/>
              </w:rPr>
              <w:drawing>
                <wp:inline distT="0" distB="0" distL="0" distR="0" wp14:anchorId="7ED54B1F" wp14:editId="57AFDEFE">
                  <wp:extent cx="114300" cy="114300"/>
                  <wp:effectExtent l="0" t="0" r="0" b="0"/>
                  <wp:docPr id="7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150923C4" w14:textId="77777777" w:rsidR="0019769E" w:rsidRPr="00926EDA" w:rsidRDefault="0019769E" w:rsidP="00147A22">
            <w:pPr>
              <w:pStyle w:val="TableParagraph"/>
              <w:rPr>
                <w:rFonts w:ascii="Arial"/>
                <w:b/>
                <w:sz w:val="20"/>
              </w:rPr>
            </w:pPr>
          </w:p>
          <w:p w14:paraId="1AADDE70" w14:textId="77777777" w:rsidR="0019769E" w:rsidRPr="00926EDA" w:rsidRDefault="0019769E" w:rsidP="00147A22">
            <w:pPr>
              <w:pStyle w:val="TableParagraph"/>
              <w:rPr>
                <w:rFonts w:ascii="Arial"/>
                <w:b/>
                <w:sz w:val="20"/>
              </w:rPr>
            </w:pPr>
            <w:r w:rsidRPr="00926EDA">
              <w:rPr>
                <w:rFonts w:ascii="Arial"/>
                <w:b/>
                <w:noProof/>
                <w:sz w:val="20"/>
                <w:lang w:val="en-GB" w:eastAsia="en-GB"/>
              </w:rPr>
              <w:drawing>
                <wp:inline distT="0" distB="0" distL="0" distR="0" wp14:anchorId="110AA47F" wp14:editId="60555707">
                  <wp:extent cx="114300" cy="114300"/>
                  <wp:effectExtent l="0" t="0" r="0" b="0"/>
                  <wp:docPr id="8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71" w:type="pct"/>
            <w:tcBorders>
              <w:top w:val="single" w:sz="12" w:space="0" w:color="BABABA"/>
              <w:left w:val="single" w:sz="12" w:space="0" w:color="BABABA"/>
              <w:bottom w:val="single" w:sz="12" w:space="0" w:color="BABABA"/>
              <w:right w:val="single" w:sz="12" w:space="0" w:color="BABABA"/>
            </w:tcBorders>
          </w:tcPr>
          <w:p w14:paraId="1B3B2610" w14:textId="77777777" w:rsidR="0019769E" w:rsidRPr="00926EDA" w:rsidRDefault="0019769E" w:rsidP="00147A22">
            <w:pPr>
              <w:pStyle w:val="TableParagraph"/>
              <w:rPr>
                <w:rFonts w:ascii="Arial"/>
                <w:b/>
                <w:sz w:val="20"/>
              </w:rPr>
            </w:pPr>
          </w:p>
          <w:p w14:paraId="472FF034" w14:textId="77777777" w:rsidR="0019769E" w:rsidRPr="00926EDA" w:rsidRDefault="0019769E" w:rsidP="00147A22">
            <w:pPr>
              <w:pStyle w:val="TableParagraph"/>
              <w:rPr>
                <w:rFonts w:ascii="Arial"/>
                <w:b/>
                <w:sz w:val="20"/>
              </w:rPr>
            </w:pPr>
            <w:r w:rsidRPr="00926EDA">
              <w:rPr>
                <w:rFonts w:ascii="Arial"/>
                <w:b/>
                <w:noProof/>
                <w:sz w:val="20"/>
                <w:lang w:val="en-GB" w:eastAsia="en-GB"/>
              </w:rPr>
              <w:drawing>
                <wp:inline distT="0" distB="0" distL="0" distR="0" wp14:anchorId="44F89EE7" wp14:editId="10F4EB52">
                  <wp:extent cx="114300" cy="114300"/>
                  <wp:effectExtent l="0" t="0" r="0" b="0"/>
                  <wp:docPr id="8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151EE42B" w14:textId="77777777" w:rsidR="0019769E" w:rsidRPr="00926EDA" w:rsidRDefault="0019769E" w:rsidP="00147A22">
            <w:pPr>
              <w:pStyle w:val="TableParagraph"/>
              <w:rPr>
                <w:rFonts w:ascii="Arial"/>
                <w:b/>
                <w:sz w:val="20"/>
              </w:rPr>
            </w:pPr>
          </w:p>
          <w:p w14:paraId="5D2400F6" w14:textId="77777777" w:rsidR="0019769E" w:rsidRPr="00926EDA" w:rsidRDefault="0019769E" w:rsidP="00147A22">
            <w:pPr>
              <w:pStyle w:val="TableParagraph"/>
              <w:rPr>
                <w:rFonts w:ascii="Arial"/>
                <w:b/>
                <w:sz w:val="20"/>
              </w:rPr>
            </w:pPr>
            <w:r w:rsidRPr="00926EDA">
              <w:rPr>
                <w:rFonts w:ascii="Arial"/>
                <w:b/>
                <w:noProof/>
                <w:sz w:val="20"/>
                <w:lang w:val="en-GB" w:eastAsia="en-GB"/>
              </w:rPr>
              <w:drawing>
                <wp:inline distT="0" distB="0" distL="0" distR="0" wp14:anchorId="1EF475BE" wp14:editId="2355C268">
                  <wp:extent cx="114300" cy="114300"/>
                  <wp:effectExtent l="0" t="0" r="0" b="0"/>
                  <wp:docPr id="8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pct"/>
            <w:tcBorders>
              <w:top w:val="single" w:sz="12" w:space="0" w:color="BABABA"/>
              <w:left w:val="single" w:sz="12" w:space="0" w:color="BABABA"/>
              <w:bottom w:val="single" w:sz="12" w:space="0" w:color="BABABA"/>
              <w:right w:val="single" w:sz="12" w:space="0" w:color="BABABA"/>
            </w:tcBorders>
          </w:tcPr>
          <w:p w14:paraId="4945D82D" w14:textId="77777777" w:rsidR="0019769E" w:rsidRPr="00926EDA" w:rsidRDefault="0019769E" w:rsidP="00147A22">
            <w:pPr>
              <w:pStyle w:val="TableParagraph"/>
              <w:rPr>
                <w:rFonts w:ascii="Arial"/>
                <w:b/>
                <w:sz w:val="20"/>
              </w:rPr>
            </w:pPr>
          </w:p>
          <w:p w14:paraId="17830506" w14:textId="77777777" w:rsidR="0019769E" w:rsidRPr="00926EDA" w:rsidRDefault="0019769E" w:rsidP="00147A22">
            <w:pPr>
              <w:pStyle w:val="TableParagraph"/>
              <w:rPr>
                <w:rFonts w:ascii="Arial"/>
                <w:b/>
                <w:sz w:val="20"/>
              </w:rPr>
            </w:pPr>
            <w:r w:rsidRPr="00926EDA">
              <w:rPr>
                <w:rFonts w:ascii="Arial"/>
                <w:b/>
                <w:noProof/>
                <w:sz w:val="20"/>
                <w:lang w:val="en-GB" w:eastAsia="en-GB"/>
              </w:rPr>
              <w:drawing>
                <wp:inline distT="0" distB="0" distL="0" distR="0" wp14:anchorId="2C0FD517" wp14:editId="766EADDE">
                  <wp:extent cx="114300" cy="114300"/>
                  <wp:effectExtent l="0" t="0" r="0" b="0"/>
                  <wp:docPr id="8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357" w:type="pct"/>
            <w:tcBorders>
              <w:top w:val="single" w:sz="12" w:space="0" w:color="BABABA"/>
              <w:left w:val="single" w:sz="12" w:space="0" w:color="BABABA"/>
              <w:bottom w:val="single" w:sz="12" w:space="0" w:color="BABABA"/>
              <w:right w:val="single" w:sz="12" w:space="0" w:color="BABABA"/>
            </w:tcBorders>
          </w:tcPr>
          <w:p w14:paraId="18648662" w14:textId="77777777" w:rsidR="0019769E" w:rsidRPr="00926EDA" w:rsidRDefault="0019769E" w:rsidP="00147A22">
            <w:pPr>
              <w:pStyle w:val="TableParagraph"/>
              <w:rPr>
                <w:rFonts w:ascii="Arial"/>
                <w:b/>
                <w:sz w:val="20"/>
              </w:rPr>
            </w:pPr>
          </w:p>
          <w:p w14:paraId="638410DA" w14:textId="65CC32AD" w:rsidR="0019769E" w:rsidRPr="00926EDA" w:rsidRDefault="006A7191" w:rsidP="00147A22">
            <w:pPr>
              <w:pStyle w:val="TableParagraph"/>
              <w:rPr>
                <w:rFonts w:ascii="Arial"/>
                <w:b/>
                <w:sz w:val="20"/>
              </w:rPr>
            </w:pPr>
            <w:r w:rsidRPr="00446A58">
              <w:rPr>
                <w:rFonts w:ascii="Arial"/>
                <w:sz w:val="18"/>
                <w:szCs w:val="18"/>
              </w:rPr>
              <w:t xml:space="preserve"> X</w:t>
            </w:r>
          </w:p>
        </w:tc>
      </w:tr>
    </w:tbl>
    <w:p w14:paraId="0DC15C2E" w14:textId="77F241E5" w:rsidR="006A7191" w:rsidRPr="00287727" w:rsidRDefault="006A7191" w:rsidP="00AB5A3B">
      <w:pPr>
        <w:spacing w:before="227" w:line="276" w:lineRule="auto"/>
        <w:jc w:val="both"/>
        <w:rPr>
          <w:rFonts w:ascii="Calibri" w:hAnsi="Calibri" w:cs="Calibri"/>
          <w:sz w:val="22"/>
          <w:szCs w:val="22"/>
        </w:rPr>
      </w:pPr>
      <w:r w:rsidRPr="00287727">
        <w:rPr>
          <w:rFonts w:ascii="Calibri" w:hAnsi="Calibri" w:cs="Calibri"/>
          <w:sz w:val="22"/>
          <w:szCs w:val="22"/>
        </w:rPr>
        <w:t xml:space="preserve">‘Other’ has been indicated to note the benefits of </w:t>
      </w:r>
      <w:r w:rsidR="00AF159D">
        <w:rPr>
          <w:rFonts w:ascii="Calibri" w:hAnsi="Calibri" w:cs="Calibri"/>
          <w:sz w:val="22"/>
          <w:szCs w:val="22"/>
        </w:rPr>
        <w:t xml:space="preserve">EU </w:t>
      </w:r>
      <w:r w:rsidRPr="00287727">
        <w:rPr>
          <w:rFonts w:ascii="Calibri" w:hAnsi="Calibri" w:cs="Calibri"/>
          <w:sz w:val="22"/>
          <w:szCs w:val="22"/>
        </w:rPr>
        <w:t>regulatory perimeter expansion, for example, relating to crypto-asset activities (on which see further</w:t>
      </w:r>
      <w:r w:rsidR="00AF159D">
        <w:rPr>
          <w:rFonts w:ascii="Calibri" w:hAnsi="Calibri" w:cs="Calibri"/>
          <w:sz w:val="22"/>
          <w:szCs w:val="22"/>
        </w:rPr>
        <w:t xml:space="preserve"> EBA’s</w:t>
      </w:r>
      <w:r w:rsidRPr="00287727">
        <w:rPr>
          <w:rFonts w:ascii="Calibri" w:hAnsi="Calibri" w:cs="Calibri"/>
          <w:sz w:val="22"/>
          <w:szCs w:val="22"/>
        </w:rPr>
        <w:t xml:space="preserve"> the response to Question</w:t>
      </w:r>
      <w:r w:rsidR="00B8197B">
        <w:rPr>
          <w:rFonts w:ascii="Calibri" w:hAnsi="Calibri" w:cs="Calibri"/>
          <w:sz w:val="22"/>
          <w:szCs w:val="22"/>
        </w:rPr>
        <w:t>s 12 and</w:t>
      </w:r>
      <w:r w:rsidRPr="00287727">
        <w:rPr>
          <w:rFonts w:ascii="Calibri" w:hAnsi="Calibri" w:cs="Calibri"/>
          <w:sz w:val="22"/>
          <w:szCs w:val="22"/>
        </w:rPr>
        <w:t xml:space="preserve"> 22).</w:t>
      </w:r>
    </w:p>
    <w:p w14:paraId="7D20A252" w14:textId="0F938234" w:rsidR="0019769E" w:rsidRPr="00A00E77" w:rsidRDefault="0019769E" w:rsidP="0019769E">
      <w:pPr>
        <w:spacing w:before="227" w:line="232" w:lineRule="auto"/>
        <w:jc w:val="both"/>
        <w:rPr>
          <w:rFonts w:ascii="Calibri" w:hAnsi="Calibri" w:cs="Calibri"/>
          <w:b/>
        </w:rPr>
      </w:pPr>
      <w:r w:rsidRPr="00A00E77">
        <w:rPr>
          <w:rFonts w:ascii="Calibri" w:hAnsi="Calibri" w:cs="Calibri"/>
          <w:b/>
        </w:rPr>
        <w:t>Question 9. Do you see specific financial services areas where the principle of “same activity creating the same risks should be regulated in the same way” is not respected?</w:t>
      </w:r>
    </w:p>
    <w:p w14:paraId="2C68A815" w14:textId="4E8A169D" w:rsidR="0019769E" w:rsidRDefault="009F1272" w:rsidP="008E3C6D">
      <w:pPr>
        <w:pStyle w:val="body0"/>
        <w:jc w:val="center"/>
      </w:pPr>
      <w:r w:rsidRPr="009F1272">
        <w:rPr>
          <w:noProof/>
          <w:lang w:val="en-GB"/>
        </w:rPr>
        <w:drawing>
          <wp:inline distT="0" distB="0" distL="0" distR="0" wp14:anchorId="22925B5B" wp14:editId="63C76F20">
            <wp:extent cx="3448531" cy="76210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448531" cy="762106"/>
                    </a:xfrm>
                    <a:prstGeom prst="rect">
                      <a:avLst/>
                    </a:prstGeom>
                  </pic:spPr>
                </pic:pic>
              </a:graphicData>
            </a:graphic>
          </wp:inline>
        </w:drawing>
      </w:r>
    </w:p>
    <w:p w14:paraId="7397DCF4" w14:textId="77777777" w:rsidR="0019769E" w:rsidRPr="00A00E77" w:rsidRDefault="0019769E" w:rsidP="008E3C6D">
      <w:pPr>
        <w:spacing w:before="227" w:line="276" w:lineRule="auto"/>
        <w:ind w:right="223"/>
        <w:jc w:val="both"/>
        <w:rPr>
          <w:rFonts w:ascii="Calibri" w:hAnsi="Calibri" w:cs="Calibri"/>
          <w:b/>
        </w:rPr>
      </w:pPr>
      <w:r w:rsidRPr="00A00E77">
        <w:rPr>
          <w:rFonts w:ascii="Calibri" w:hAnsi="Calibri" w:cs="Calibri"/>
          <w:b/>
        </w:rPr>
        <w:t>Question 9.1 Please explain your answer to question 9 and provide examples if needed:</w:t>
      </w:r>
    </w:p>
    <w:p w14:paraId="23F6E4E1" w14:textId="77777777" w:rsidR="008E3C6D" w:rsidRPr="008E3C6D" w:rsidRDefault="008E3C6D" w:rsidP="008E3C6D">
      <w:pPr>
        <w:spacing w:line="276" w:lineRule="auto"/>
        <w:jc w:val="both"/>
        <w:rPr>
          <w:rFonts w:ascii="Calibri" w:hAnsi="Calibri" w:cs="Calibri"/>
          <w:sz w:val="22"/>
          <w:szCs w:val="22"/>
        </w:rPr>
      </w:pPr>
    </w:p>
    <w:p w14:paraId="24046BB0" w14:textId="191A608E" w:rsidR="0019769E" w:rsidRPr="008E3C6D" w:rsidRDefault="0019769E" w:rsidP="008E3C6D">
      <w:pPr>
        <w:spacing w:line="276" w:lineRule="auto"/>
        <w:jc w:val="both"/>
        <w:rPr>
          <w:rFonts w:ascii="Calibri" w:hAnsi="Calibri" w:cs="Calibri"/>
          <w:sz w:val="22"/>
          <w:szCs w:val="22"/>
        </w:rPr>
      </w:pPr>
      <w:r w:rsidRPr="008E3C6D">
        <w:rPr>
          <w:rFonts w:ascii="Calibri" w:hAnsi="Calibri" w:cs="Calibri"/>
          <w:sz w:val="22"/>
          <w:szCs w:val="22"/>
        </w:rPr>
        <w:t>The EBA is a strong proponent of the principle of technological neutrality in regulatory and supervisory approaches.</w:t>
      </w:r>
    </w:p>
    <w:p w14:paraId="58A3F9E8" w14:textId="35B28545" w:rsidR="0019769E" w:rsidRPr="008E3C6D" w:rsidRDefault="0019769E" w:rsidP="008E3C6D">
      <w:pPr>
        <w:pStyle w:val="bullet1"/>
        <w:numPr>
          <w:ilvl w:val="0"/>
          <w:numId w:val="0"/>
        </w:numPr>
        <w:rPr>
          <w:rFonts w:ascii="Calibri" w:hAnsi="Calibri" w:cs="Calibri"/>
        </w:rPr>
      </w:pPr>
      <w:r w:rsidRPr="008E3C6D">
        <w:rPr>
          <w:rFonts w:ascii="Calibri" w:hAnsi="Calibri" w:cs="Calibri"/>
        </w:rPr>
        <w:t xml:space="preserve">Technological neutrality is about achieving </w:t>
      </w:r>
      <w:r w:rsidR="006B208E">
        <w:rPr>
          <w:rFonts w:ascii="Calibri" w:hAnsi="Calibri" w:cs="Calibri"/>
        </w:rPr>
        <w:t>the right</w:t>
      </w:r>
      <w:r w:rsidRPr="008E3C6D">
        <w:rPr>
          <w:rFonts w:ascii="Calibri" w:hAnsi="Calibri" w:cs="Calibri"/>
        </w:rPr>
        <w:t xml:space="preserve"> balance between facilitating innovation, scalability and competition across the EU Single Market whilst continuing to achieve the central regulatory objectives of consumer protection, prudential resilience</w:t>
      </w:r>
      <w:r w:rsidR="0056114E">
        <w:rPr>
          <w:rFonts w:ascii="Calibri" w:hAnsi="Calibri" w:cs="Calibri"/>
        </w:rPr>
        <w:t>, market integrity,</w:t>
      </w:r>
      <w:r w:rsidRPr="008E3C6D">
        <w:rPr>
          <w:rFonts w:ascii="Calibri" w:hAnsi="Calibri" w:cs="Calibri"/>
        </w:rPr>
        <w:t xml:space="preserve"> and ultimately financial stability.</w:t>
      </w:r>
    </w:p>
    <w:p w14:paraId="25B71140" w14:textId="14CA2574" w:rsidR="0019769E" w:rsidRPr="008E3C6D" w:rsidRDefault="0056114E" w:rsidP="008E3C6D">
      <w:pPr>
        <w:pStyle w:val="bullet1"/>
        <w:numPr>
          <w:ilvl w:val="0"/>
          <w:numId w:val="0"/>
        </w:numPr>
        <w:rPr>
          <w:rFonts w:ascii="Calibri" w:hAnsi="Calibri" w:cs="Calibri"/>
          <w:color w:val="000000" w:themeColor="text1"/>
        </w:rPr>
      </w:pPr>
      <w:r>
        <w:rPr>
          <w:rFonts w:ascii="Calibri" w:hAnsi="Calibri" w:cs="Calibri"/>
        </w:rPr>
        <w:t>This means that</w:t>
      </w:r>
      <w:r w:rsidR="0019769E" w:rsidRPr="008E3C6D">
        <w:rPr>
          <w:rFonts w:ascii="Calibri" w:hAnsi="Calibri" w:cs="Calibri"/>
        </w:rPr>
        <w:t xml:space="preserve">, regardless of the technology or business model deployed, </w:t>
      </w:r>
      <w:r w:rsidR="0019769E" w:rsidRPr="00E36F5B">
        <w:rPr>
          <w:rFonts w:ascii="Calibri" w:hAnsi="Calibri" w:cs="Calibri"/>
          <w:i/>
        </w:rPr>
        <w:t>activities</w:t>
      </w:r>
      <w:r w:rsidR="0019769E" w:rsidRPr="008E3C6D">
        <w:rPr>
          <w:rFonts w:ascii="Calibri" w:hAnsi="Calibri" w:cs="Calibri"/>
        </w:rPr>
        <w:t xml:space="preserve"> presenting similar risks should be subject to similar regulation and supervision (i.e. an activities-based approach to regulation and supervision). </w:t>
      </w:r>
      <w:r w:rsidR="0019769E" w:rsidRPr="008E3C6D">
        <w:rPr>
          <w:rFonts w:ascii="Calibri" w:hAnsi="Calibri" w:cs="Calibri"/>
          <w:color w:val="000000" w:themeColor="text1"/>
        </w:rPr>
        <w:t>For instance, consumers should always benefit from the same standard of protection</w:t>
      </w:r>
      <w:r w:rsidR="005430B3">
        <w:rPr>
          <w:rFonts w:ascii="Calibri" w:hAnsi="Calibri" w:cs="Calibri"/>
          <w:color w:val="000000" w:themeColor="text1"/>
        </w:rPr>
        <w:t xml:space="preserve"> </w:t>
      </w:r>
      <w:r w:rsidR="005430B3" w:rsidRPr="00F3574A">
        <w:rPr>
          <w:rFonts w:ascii="Calibri" w:hAnsi="Calibri" w:cs="Calibri"/>
          <w:color w:val="000000" w:themeColor="text1"/>
        </w:rPr>
        <w:t>while accessing the same products and serv</w:t>
      </w:r>
      <w:r w:rsidR="005430B3">
        <w:rPr>
          <w:rFonts w:ascii="Calibri" w:hAnsi="Calibri" w:cs="Calibri"/>
          <w:color w:val="000000" w:themeColor="text1"/>
        </w:rPr>
        <w:t xml:space="preserve">ices, </w:t>
      </w:r>
      <w:r w:rsidR="005430B3" w:rsidRPr="00F3574A">
        <w:rPr>
          <w:rFonts w:ascii="Calibri" w:hAnsi="Calibri" w:cs="Calibri"/>
          <w:color w:val="000000" w:themeColor="text1"/>
        </w:rPr>
        <w:t>regardless of the service provider</w:t>
      </w:r>
      <w:r w:rsidR="00E36F5B">
        <w:rPr>
          <w:rFonts w:ascii="Calibri" w:hAnsi="Calibri" w:cs="Calibri"/>
          <w:color w:val="000000" w:themeColor="text1"/>
        </w:rPr>
        <w:t xml:space="preserve"> and regardless of the technology applied</w:t>
      </w:r>
      <w:r w:rsidR="0019769E" w:rsidRPr="008E3C6D">
        <w:rPr>
          <w:rFonts w:ascii="Calibri" w:hAnsi="Calibri" w:cs="Calibri"/>
          <w:color w:val="000000" w:themeColor="text1"/>
        </w:rPr>
        <w:t>.</w:t>
      </w:r>
    </w:p>
    <w:p w14:paraId="3181FAF8" w14:textId="6CC6CD35" w:rsidR="008F6345" w:rsidRPr="008E3C6D" w:rsidRDefault="008F6345" w:rsidP="008F6345">
      <w:pPr>
        <w:pStyle w:val="bullet1"/>
        <w:numPr>
          <w:ilvl w:val="0"/>
          <w:numId w:val="0"/>
        </w:numPr>
        <w:rPr>
          <w:rFonts w:ascii="Calibri" w:hAnsi="Calibri" w:cs="Calibri"/>
        </w:rPr>
      </w:pPr>
      <w:r w:rsidRPr="008E3C6D">
        <w:rPr>
          <w:rFonts w:ascii="Calibri" w:hAnsi="Calibri" w:cs="Calibri"/>
        </w:rPr>
        <w:t>This does not mean that the ‘</w:t>
      </w:r>
      <w:r w:rsidRPr="00E57172">
        <w:rPr>
          <w:rFonts w:ascii="Calibri" w:hAnsi="Calibri" w:cs="Calibri"/>
          <w:i/>
        </w:rPr>
        <w:t>entities</w:t>
      </w:r>
      <w:r w:rsidRPr="008E3C6D">
        <w:rPr>
          <w:rFonts w:ascii="Calibri" w:hAnsi="Calibri" w:cs="Calibri"/>
        </w:rPr>
        <w:t xml:space="preserve">-based’ approach </w:t>
      </w:r>
      <w:r>
        <w:rPr>
          <w:rFonts w:ascii="Calibri" w:hAnsi="Calibri" w:cs="Calibri"/>
        </w:rPr>
        <w:t xml:space="preserve">for prudential </w:t>
      </w:r>
      <w:r w:rsidR="00E36F5B">
        <w:rPr>
          <w:rFonts w:ascii="Calibri" w:hAnsi="Calibri" w:cs="Calibri"/>
        </w:rPr>
        <w:t xml:space="preserve">regulation </w:t>
      </w:r>
      <w:r w:rsidRPr="008E3C6D">
        <w:rPr>
          <w:rFonts w:ascii="Calibri" w:hAnsi="Calibri" w:cs="Calibri"/>
        </w:rPr>
        <w:t xml:space="preserve">should be disregarded. It should exist in parallel to the activities-based approach to ensure that </w:t>
      </w:r>
      <w:r>
        <w:rPr>
          <w:rFonts w:ascii="Calibri" w:hAnsi="Calibri" w:cs="Calibri"/>
        </w:rPr>
        <w:t xml:space="preserve">combination of activities provided by an entity and </w:t>
      </w:r>
      <w:r w:rsidRPr="008E3C6D">
        <w:rPr>
          <w:rFonts w:ascii="Calibri" w:hAnsi="Calibri" w:cs="Calibri"/>
        </w:rPr>
        <w:t xml:space="preserve">aggregate risks are appropriately regulated and supervised, in particular taking account of the impact </w:t>
      </w:r>
      <w:r w:rsidR="00E36F5B">
        <w:rPr>
          <w:rFonts w:ascii="Calibri" w:hAnsi="Calibri" w:cs="Calibri"/>
        </w:rPr>
        <w:t>across all business lines</w:t>
      </w:r>
      <w:r w:rsidR="00E36F5B" w:rsidRPr="008E3C6D">
        <w:rPr>
          <w:rFonts w:ascii="Calibri" w:hAnsi="Calibri" w:cs="Calibri"/>
        </w:rPr>
        <w:t xml:space="preserve"> </w:t>
      </w:r>
      <w:r w:rsidRPr="008E3C6D">
        <w:rPr>
          <w:rFonts w:ascii="Calibri" w:hAnsi="Calibri" w:cs="Calibri"/>
        </w:rPr>
        <w:t xml:space="preserve">of </w:t>
      </w:r>
      <w:r w:rsidR="00E36F5B">
        <w:rPr>
          <w:rFonts w:ascii="Calibri" w:hAnsi="Calibri" w:cs="Calibri"/>
        </w:rPr>
        <w:t>the</w:t>
      </w:r>
      <w:r w:rsidR="006425EB">
        <w:rPr>
          <w:rFonts w:ascii="Calibri" w:hAnsi="Calibri" w:cs="Calibri"/>
        </w:rPr>
        <w:t xml:space="preserve"> </w:t>
      </w:r>
      <w:r w:rsidRPr="008E3C6D">
        <w:rPr>
          <w:rFonts w:ascii="Calibri" w:hAnsi="Calibri" w:cs="Calibri"/>
        </w:rPr>
        <w:t>failure</w:t>
      </w:r>
      <w:r w:rsidR="00E36F5B">
        <w:rPr>
          <w:rFonts w:ascii="Calibri" w:hAnsi="Calibri" w:cs="Calibri"/>
        </w:rPr>
        <w:t xml:space="preserve"> of that entity</w:t>
      </w:r>
      <w:r w:rsidRPr="008E3C6D">
        <w:rPr>
          <w:rFonts w:ascii="Calibri" w:hAnsi="Calibri" w:cs="Calibri"/>
        </w:rPr>
        <w:t>.</w:t>
      </w:r>
    </w:p>
    <w:p w14:paraId="35F11BF3" w14:textId="159B9882" w:rsidR="0019769E" w:rsidRDefault="001736F6" w:rsidP="00AB5A3B">
      <w:pPr>
        <w:pStyle w:val="bullet1"/>
        <w:numPr>
          <w:ilvl w:val="0"/>
          <w:numId w:val="0"/>
        </w:numPr>
        <w:spacing w:after="0"/>
        <w:rPr>
          <w:rFonts w:ascii="Calibri" w:hAnsi="Calibri" w:cs="Calibri"/>
        </w:rPr>
      </w:pPr>
      <w:r>
        <w:rPr>
          <w:rFonts w:ascii="Calibri" w:hAnsi="Calibri" w:cs="Calibri"/>
        </w:rPr>
        <w:t>On the whole, the EBA considers</w:t>
      </w:r>
      <w:r w:rsidR="00E36F5B">
        <w:rPr>
          <w:rFonts w:ascii="Calibri" w:hAnsi="Calibri" w:cs="Calibri"/>
        </w:rPr>
        <w:t xml:space="preserve"> that </w:t>
      </w:r>
      <w:r>
        <w:rPr>
          <w:rFonts w:ascii="Calibri" w:hAnsi="Calibri" w:cs="Calibri"/>
        </w:rPr>
        <w:t xml:space="preserve">the EU regulatory framework </w:t>
      </w:r>
      <w:r w:rsidR="00E36F5B">
        <w:rPr>
          <w:rFonts w:ascii="Calibri" w:hAnsi="Calibri" w:cs="Calibri"/>
        </w:rPr>
        <w:t>is</w:t>
      </w:r>
      <w:r>
        <w:rPr>
          <w:rFonts w:ascii="Calibri" w:hAnsi="Calibri" w:cs="Calibri"/>
        </w:rPr>
        <w:t xml:space="preserve"> technology neutral. However, i</w:t>
      </w:r>
      <w:r w:rsidR="0019769E" w:rsidRPr="008E3C6D">
        <w:rPr>
          <w:rFonts w:ascii="Calibri" w:hAnsi="Calibri" w:cs="Calibri"/>
        </w:rPr>
        <w:t>n order to ensure the regulatory framework remains fit-for-purpose, the EBA is continuously monitoring</w:t>
      </w:r>
      <w:r w:rsidR="00E36F5B">
        <w:rPr>
          <w:rFonts w:ascii="Calibri" w:hAnsi="Calibri" w:cs="Calibri"/>
        </w:rPr>
        <w:t xml:space="preserve"> market developments and</w:t>
      </w:r>
      <w:r w:rsidR="0019769E" w:rsidRPr="008E3C6D">
        <w:rPr>
          <w:rFonts w:ascii="Calibri" w:hAnsi="Calibri" w:cs="Calibri"/>
        </w:rPr>
        <w:t xml:space="preserve"> the</w:t>
      </w:r>
      <w:r w:rsidR="00E36F5B">
        <w:rPr>
          <w:rFonts w:ascii="Calibri" w:hAnsi="Calibri" w:cs="Calibri"/>
        </w:rPr>
        <w:t xml:space="preserve"> application of the</w:t>
      </w:r>
      <w:r w:rsidR="0019769E" w:rsidRPr="008E3C6D">
        <w:rPr>
          <w:rFonts w:ascii="Calibri" w:hAnsi="Calibri" w:cs="Calibri"/>
        </w:rPr>
        <w:t xml:space="preserve"> regulatory perimeter</w:t>
      </w:r>
      <w:r w:rsidR="008141AF">
        <w:rPr>
          <w:rFonts w:ascii="Calibri" w:hAnsi="Calibri" w:cs="Calibri"/>
        </w:rPr>
        <w:t xml:space="preserve">. For example, </w:t>
      </w:r>
      <w:r w:rsidR="0019769E" w:rsidRPr="008E3C6D">
        <w:rPr>
          <w:rFonts w:ascii="Calibri" w:hAnsi="Calibri" w:cs="Calibri"/>
        </w:rPr>
        <w:t xml:space="preserve">in 2020, </w:t>
      </w:r>
      <w:r w:rsidR="008141AF">
        <w:rPr>
          <w:rFonts w:ascii="Calibri" w:hAnsi="Calibri" w:cs="Calibri"/>
        </w:rPr>
        <w:t>the EBA will</w:t>
      </w:r>
      <w:r w:rsidR="008141AF" w:rsidRPr="008E3C6D">
        <w:rPr>
          <w:rFonts w:ascii="Calibri" w:hAnsi="Calibri" w:cs="Calibri"/>
        </w:rPr>
        <w:t xml:space="preserve"> </w:t>
      </w:r>
      <w:r w:rsidR="0019769E" w:rsidRPr="008E3C6D">
        <w:rPr>
          <w:rFonts w:ascii="Calibri" w:hAnsi="Calibri" w:cs="Calibri"/>
        </w:rPr>
        <w:t xml:space="preserve">carry out work focusing on the role of digital platforms in financial services </w:t>
      </w:r>
      <w:r w:rsidR="0019769E" w:rsidRPr="008E3C6D">
        <w:rPr>
          <w:rFonts w:ascii="Calibri" w:hAnsi="Calibri" w:cs="Calibri"/>
        </w:rPr>
        <w:lastRenderedPageBreak/>
        <w:t xml:space="preserve">provision with </w:t>
      </w:r>
      <w:r w:rsidR="00AE1C5A">
        <w:rPr>
          <w:rFonts w:ascii="Calibri" w:hAnsi="Calibri" w:cs="Calibri"/>
        </w:rPr>
        <w:t>the</w:t>
      </w:r>
      <w:r w:rsidR="0019769E" w:rsidRPr="008E3C6D">
        <w:rPr>
          <w:rFonts w:ascii="Calibri" w:hAnsi="Calibri" w:cs="Calibri"/>
        </w:rPr>
        <w:t xml:space="preserve"> specific objective of assessing whether emerging bundles of activity are regulated in a comparable manner</w:t>
      </w:r>
      <w:r w:rsidR="00E36F5B">
        <w:rPr>
          <w:rFonts w:ascii="Calibri" w:hAnsi="Calibri" w:cs="Calibri"/>
        </w:rPr>
        <w:t xml:space="preserve"> </w:t>
      </w:r>
      <w:r w:rsidR="002C19E3">
        <w:rPr>
          <w:rFonts w:ascii="Calibri" w:hAnsi="Calibri" w:cs="Calibri"/>
        </w:rPr>
        <w:t xml:space="preserve">and </w:t>
      </w:r>
      <w:r w:rsidR="0019769E" w:rsidRPr="008E3C6D">
        <w:rPr>
          <w:rFonts w:ascii="Calibri" w:hAnsi="Calibri" w:cs="Calibri"/>
        </w:rPr>
        <w:t>if existing approaches toward consolidated supervision remain fit for purpose and technology neutral.</w:t>
      </w:r>
      <w:r w:rsidR="00E36F5B">
        <w:rPr>
          <w:rFonts w:ascii="Calibri" w:hAnsi="Calibri" w:cs="Calibri"/>
        </w:rPr>
        <w:t xml:space="preserve"> The EBA also draws attention to </w:t>
      </w:r>
      <w:r w:rsidR="00DD3D7E">
        <w:rPr>
          <w:rFonts w:ascii="Calibri" w:hAnsi="Calibri" w:cs="Calibri"/>
        </w:rPr>
        <w:t>its</w:t>
      </w:r>
      <w:r w:rsidR="00E36F5B">
        <w:rPr>
          <w:rFonts w:ascii="Calibri" w:hAnsi="Calibri" w:cs="Calibri"/>
        </w:rPr>
        <w:t xml:space="preserve"> response to Question 22.</w:t>
      </w:r>
    </w:p>
    <w:p w14:paraId="672EB13E" w14:textId="77777777" w:rsidR="00E36F5B" w:rsidRPr="00E36F5B" w:rsidRDefault="00E36F5B" w:rsidP="00E36F5B"/>
    <w:p w14:paraId="4AFF1D99" w14:textId="77777777" w:rsidR="00AF7985" w:rsidRPr="006E5452" w:rsidRDefault="00AF7985" w:rsidP="00AF7985">
      <w:pPr>
        <w:pStyle w:val="Heading2"/>
        <w:spacing w:line="232" w:lineRule="auto"/>
        <w:ind w:left="0" w:right="240"/>
        <w:jc w:val="both"/>
        <w:rPr>
          <w:rFonts w:ascii="Calibri" w:hAnsi="Calibri" w:cs="Calibri"/>
          <w:sz w:val="24"/>
          <w:szCs w:val="24"/>
        </w:rPr>
      </w:pPr>
      <w:r w:rsidRPr="006E5452">
        <w:rPr>
          <w:rFonts w:ascii="Calibri" w:hAnsi="Calibri" w:cs="Calibri"/>
          <w:sz w:val="24"/>
          <w:szCs w:val="24"/>
        </w:rPr>
        <w:t>Question 10. Which prudential and conduct risks do you expect to change with technology companies gaining significant market share in financial services in the EU in the five upcoming years?</w:t>
      </w:r>
    </w:p>
    <w:p w14:paraId="381F4BDA" w14:textId="77777777" w:rsidR="00AF7985" w:rsidRPr="00AF7985" w:rsidRDefault="00AF7985" w:rsidP="00AF7985">
      <w:pPr>
        <w:pStyle w:val="Heading2"/>
        <w:spacing w:line="232" w:lineRule="auto"/>
        <w:ind w:left="0" w:right="240"/>
        <w:jc w:val="both"/>
        <w:rPr>
          <w:rFonts w:ascii="Calibri" w:hAnsi="Calibri" w:cs="Calibri"/>
          <w:sz w:val="22"/>
          <w:szCs w:val="22"/>
        </w:rPr>
      </w:pPr>
    </w:p>
    <w:p w14:paraId="3BFA8584" w14:textId="00843AE1" w:rsidR="00AF7985" w:rsidRDefault="00AF7985" w:rsidP="00AF7985">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sz w:val="24"/>
          <w:szCs w:val="24"/>
        </w:rPr>
      </w:pPr>
      <w:r w:rsidRPr="006E5452">
        <w:rPr>
          <w:rFonts w:ascii="Calibri" w:hAnsi="Calibri" w:cs="Calibri"/>
          <w:sz w:val="24"/>
          <w:szCs w:val="24"/>
        </w:rPr>
        <w:t>Please rate each proposal from 1 to 5:</w:t>
      </w:r>
    </w:p>
    <w:p w14:paraId="6BD36E60" w14:textId="682B499C" w:rsidR="00C25258" w:rsidRDefault="00C25258" w:rsidP="00AF7985">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sz w:val="24"/>
          <w:szCs w:val="24"/>
        </w:rPr>
      </w:pPr>
    </w:p>
    <w:p w14:paraId="5FB3C9B3" w14:textId="532FD4C5" w:rsidR="00C25258" w:rsidRPr="00C25258" w:rsidRDefault="00C25258" w:rsidP="00AF7985">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b w:val="0"/>
          <w:sz w:val="24"/>
          <w:szCs w:val="24"/>
        </w:rPr>
      </w:pPr>
      <w:r w:rsidRPr="00C25258">
        <w:rPr>
          <w:rFonts w:ascii="Calibri" w:hAnsi="Calibri" w:cs="Calibri"/>
          <w:b w:val="0"/>
          <w:sz w:val="24"/>
          <w:szCs w:val="24"/>
        </w:rPr>
        <w:t>[</w:t>
      </w:r>
      <w:r>
        <w:rPr>
          <w:rFonts w:ascii="Calibri" w:hAnsi="Calibri" w:cs="Calibri"/>
          <w:b w:val="0"/>
          <w:i/>
          <w:sz w:val="24"/>
          <w:szCs w:val="24"/>
        </w:rPr>
        <w:t>We do no</w:t>
      </w:r>
      <w:r w:rsidR="002C19E3">
        <w:rPr>
          <w:rFonts w:ascii="Calibri" w:hAnsi="Calibri" w:cs="Calibri"/>
          <w:b w:val="0"/>
          <w:i/>
          <w:sz w:val="24"/>
          <w:szCs w:val="24"/>
        </w:rPr>
        <w:t>t</w:t>
      </w:r>
      <w:r>
        <w:rPr>
          <w:rFonts w:ascii="Calibri" w:hAnsi="Calibri" w:cs="Calibri"/>
          <w:b w:val="0"/>
          <w:i/>
          <w:sz w:val="24"/>
          <w:szCs w:val="24"/>
        </w:rPr>
        <w:t xml:space="preserve"> respond to the table as we do not consider that any of the options for the answers are suitable based on the question asked.</w:t>
      </w:r>
      <w:r w:rsidRPr="00C25258">
        <w:rPr>
          <w:rFonts w:ascii="Calibri" w:hAnsi="Calibri" w:cs="Calibri"/>
          <w:b w:val="0"/>
          <w:sz w:val="24"/>
          <w:szCs w:val="24"/>
        </w:rPr>
        <w:t>]</w:t>
      </w:r>
    </w:p>
    <w:p w14:paraId="00AEAF27" w14:textId="48821B92" w:rsidR="00AF7985" w:rsidRDefault="00AF7985" w:rsidP="00AF7985">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sz w:val="22"/>
          <w:szCs w:val="22"/>
        </w:rPr>
      </w:pPr>
    </w:p>
    <w:tbl>
      <w:tblPr>
        <w:tblW w:w="0" w:type="auto"/>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499"/>
        <w:gridCol w:w="1156"/>
        <w:gridCol w:w="1099"/>
        <w:gridCol w:w="975"/>
        <w:gridCol w:w="1043"/>
        <w:gridCol w:w="1157"/>
        <w:gridCol w:w="611"/>
      </w:tblGrid>
      <w:tr w:rsidR="00AF7985" w14:paraId="1327B47A" w14:textId="77777777" w:rsidTr="00AF7985">
        <w:trPr>
          <w:trHeight w:val="1638"/>
          <w:jc w:val="center"/>
        </w:trPr>
        <w:tc>
          <w:tcPr>
            <w:tcW w:w="2499" w:type="dxa"/>
          </w:tcPr>
          <w:p w14:paraId="7CFFC85E" w14:textId="77777777" w:rsidR="00AF7985" w:rsidRDefault="00AF7985" w:rsidP="00AF7985">
            <w:pPr>
              <w:pStyle w:val="TableParagraph"/>
              <w:rPr>
                <w:rFonts w:ascii="Times New Roman"/>
              </w:rPr>
            </w:pPr>
          </w:p>
        </w:tc>
        <w:tc>
          <w:tcPr>
            <w:tcW w:w="1156" w:type="dxa"/>
          </w:tcPr>
          <w:p w14:paraId="7BB6A71F" w14:textId="77777777" w:rsidR="00AF7985" w:rsidRPr="006E5452" w:rsidRDefault="00AF7985" w:rsidP="00AF7985">
            <w:pPr>
              <w:pStyle w:val="TableParagraph"/>
              <w:spacing w:line="657" w:lineRule="exact"/>
              <w:ind w:left="541"/>
              <w:rPr>
                <w:sz w:val="16"/>
                <w:szCs w:val="16"/>
              </w:rPr>
            </w:pPr>
            <w:r w:rsidRPr="006E5452">
              <w:rPr>
                <w:w w:val="99"/>
                <w:sz w:val="16"/>
                <w:szCs w:val="16"/>
              </w:rPr>
              <w:t>1</w:t>
            </w:r>
          </w:p>
          <w:p w14:paraId="29363C89" w14:textId="77777777" w:rsidR="00AF7985" w:rsidRPr="006E5452" w:rsidRDefault="00AF7985" w:rsidP="00AF7985">
            <w:pPr>
              <w:pStyle w:val="TableParagraph"/>
              <w:spacing w:before="4" w:line="199" w:lineRule="auto"/>
              <w:ind w:left="249" w:right="164" w:hanging="65"/>
              <w:jc w:val="both"/>
              <w:rPr>
                <w:sz w:val="16"/>
                <w:szCs w:val="16"/>
              </w:rPr>
            </w:pPr>
            <w:r w:rsidRPr="006E5452">
              <w:rPr>
                <w:sz w:val="16"/>
                <w:szCs w:val="16"/>
              </w:rPr>
              <w:t xml:space="preserve">(significant </w:t>
            </w:r>
            <w:r w:rsidRPr="006E5452">
              <w:rPr>
                <w:w w:val="105"/>
                <w:sz w:val="16"/>
                <w:szCs w:val="16"/>
              </w:rPr>
              <w:t>reduction in risks)</w:t>
            </w:r>
          </w:p>
        </w:tc>
        <w:tc>
          <w:tcPr>
            <w:tcW w:w="1099" w:type="dxa"/>
          </w:tcPr>
          <w:p w14:paraId="20BD1961" w14:textId="77777777" w:rsidR="00AF7985" w:rsidRPr="006E5452" w:rsidRDefault="00AF7985" w:rsidP="00AF7985">
            <w:pPr>
              <w:pStyle w:val="TableParagraph"/>
              <w:spacing w:line="668" w:lineRule="exact"/>
              <w:ind w:left="16"/>
              <w:jc w:val="center"/>
              <w:rPr>
                <w:sz w:val="16"/>
                <w:szCs w:val="16"/>
              </w:rPr>
            </w:pPr>
            <w:r w:rsidRPr="006E5452">
              <w:rPr>
                <w:w w:val="99"/>
                <w:sz w:val="16"/>
                <w:szCs w:val="16"/>
              </w:rPr>
              <w:t>2</w:t>
            </w:r>
          </w:p>
          <w:p w14:paraId="11836E44" w14:textId="77777777" w:rsidR="00AF7985" w:rsidRPr="006E5452" w:rsidRDefault="00AF7985" w:rsidP="00AF7985">
            <w:pPr>
              <w:pStyle w:val="TableParagraph"/>
              <w:spacing w:before="4" w:line="199" w:lineRule="auto"/>
              <w:ind w:left="183" w:right="163"/>
              <w:jc w:val="center"/>
              <w:rPr>
                <w:sz w:val="16"/>
                <w:szCs w:val="16"/>
              </w:rPr>
            </w:pPr>
            <w:r w:rsidRPr="006E5452">
              <w:rPr>
                <w:sz w:val="16"/>
                <w:szCs w:val="16"/>
              </w:rPr>
              <w:t xml:space="preserve">(reduction </w:t>
            </w:r>
            <w:r w:rsidRPr="006E5452">
              <w:rPr>
                <w:w w:val="105"/>
                <w:sz w:val="16"/>
                <w:szCs w:val="16"/>
              </w:rPr>
              <w:t>in risks)</w:t>
            </w:r>
          </w:p>
        </w:tc>
        <w:tc>
          <w:tcPr>
            <w:tcW w:w="975" w:type="dxa"/>
          </w:tcPr>
          <w:p w14:paraId="7A29D9E0" w14:textId="77777777" w:rsidR="00AF7985" w:rsidRPr="006E5452" w:rsidRDefault="00AF7985" w:rsidP="00AF7985">
            <w:pPr>
              <w:pStyle w:val="TableParagraph"/>
              <w:spacing w:before="5" w:line="695" w:lineRule="exact"/>
              <w:ind w:left="15"/>
              <w:jc w:val="center"/>
              <w:rPr>
                <w:sz w:val="16"/>
                <w:szCs w:val="16"/>
              </w:rPr>
            </w:pPr>
            <w:r w:rsidRPr="006E5452">
              <w:rPr>
                <w:w w:val="99"/>
                <w:sz w:val="16"/>
                <w:szCs w:val="16"/>
              </w:rPr>
              <w:t>3</w:t>
            </w:r>
          </w:p>
          <w:p w14:paraId="329868E7" w14:textId="77777777" w:rsidR="00AF7985" w:rsidRPr="006E5452" w:rsidRDefault="00AF7985" w:rsidP="00AF7985">
            <w:pPr>
              <w:pStyle w:val="TableParagraph"/>
              <w:spacing w:line="318" w:lineRule="exact"/>
              <w:ind w:left="154" w:right="138"/>
              <w:jc w:val="center"/>
              <w:rPr>
                <w:sz w:val="16"/>
                <w:szCs w:val="16"/>
              </w:rPr>
            </w:pPr>
            <w:r w:rsidRPr="006E5452">
              <w:rPr>
                <w:w w:val="105"/>
                <w:sz w:val="16"/>
                <w:szCs w:val="16"/>
              </w:rPr>
              <w:t>(neutral)</w:t>
            </w:r>
          </w:p>
        </w:tc>
        <w:tc>
          <w:tcPr>
            <w:tcW w:w="1043" w:type="dxa"/>
          </w:tcPr>
          <w:p w14:paraId="1BFD2995" w14:textId="77777777" w:rsidR="00AF7985" w:rsidRPr="006E5452" w:rsidRDefault="00AF7985" w:rsidP="00AF7985">
            <w:pPr>
              <w:pStyle w:val="TableParagraph"/>
              <w:spacing w:line="668" w:lineRule="exact"/>
              <w:ind w:left="13"/>
              <w:jc w:val="center"/>
              <w:rPr>
                <w:sz w:val="16"/>
                <w:szCs w:val="16"/>
              </w:rPr>
            </w:pPr>
            <w:r w:rsidRPr="006E5452">
              <w:rPr>
                <w:w w:val="99"/>
                <w:sz w:val="16"/>
                <w:szCs w:val="16"/>
              </w:rPr>
              <w:t>4</w:t>
            </w:r>
          </w:p>
          <w:p w14:paraId="5A30ED6D" w14:textId="77777777" w:rsidR="00AF7985" w:rsidRPr="006E5452" w:rsidRDefault="00AF7985" w:rsidP="00AF7985">
            <w:pPr>
              <w:pStyle w:val="TableParagraph"/>
              <w:spacing w:before="4" w:line="199" w:lineRule="auto"/>
              <w:ind w:left="182" w:right="167"/>
              <w:jc w:val="center"/>
              <w:rPr>
                <w:sz w:val="16"/>
                <w:szCs w:val="16"/>
              </w:rPr>
            </w:pPr>
            <w:r w:rsidRPr="006E5452">
              <w:rPr>
                <w:sz w:val="16"/>
                <w:szCs w:val="16"/>
              </w:rPr>
              <w:t xml:space="preserve">(increase </w:t>
            </w:r>
            <w:r w:rsidRPr="006E5452">
              <w:rPr>
                <w:w w:val="105"/>
                <w:sz w:val="16"/>
                <w:szCs w:val="16"/>
              </w:rPr>
              <w:t>in risks)</w:t>
            </w:r>
          </w:p>
        </w:tc>
        <w:tc>
          <w:tcPr>
            <w:tcW w:w="1157" w:type="dxa"/>
          </w:tcPr>
          <w:p w14:paraId="2211668F" w14:textId="77777777" w:rsidR="00AF7985" w:rsidRPr="006E5452" w:rsidRDefault="00AF7985" w:rsidP="00AF7985">
            <w:pPr>
              <w:pStyle w:val="TableParagraph"/>
              <w:spacing w:line="657" w:lineRule="exact"/>
              <w:ind w:left="10"/>
              <w:jc w:val="center"/>
              <w:rPr>
                <w:sz w:val="16"/>
                <w:szCs w:val="16"/>
              </w:rPr>
            </w:pPr>
            <w:r w:rsidRPr="006E5452">
              <w:rPr>
                <w:w w:val="99"/>
                <w:sz w:val="16"/>
                <w:szCs w:val="16"/>
              </w:rPr>
              <w:t>5</w:t>
            </w:r>
          </w:p>
          <w:p w14:paraId="10984E60" w14:textId="77777777" w:rsidR="00AF7985" w:rsidRPr="006E5452" w:rsidRDefault="00AF7985" w:rsidP="00AF7985">
            <w:pPr>
              <w:pStyle w:val="TableParagraph"/>
              <w:spacing w:before="4" w:line="199" w:lineRule="auto"/>
              <w:ind w:left="193" w:right="180"/>
              <w:jc w:val="center"/>
              <w:rPr>
                <w:sz w:val="16"/>
                <w:szCs w:val="16"/>
              </w:rPr>
            </w:pPr>
            <w:r w:rsidRPr="006E5452">
              <w:rPr>
                <w:sz w:val="16"/>
                <w:szCs w:val="16"/>
              </w:rPr>
              <w:t xml:space="preserve">(significant </w:t>
            </w:r>
            <w:r w:rsidRPr="006E5452">
              <w:rPr>
                <w:w w:val="105"/>
                <w:sz w:val="16"/>
                <w:szCs w:val="16"/>
              </w:rPr>
              <w:t>increase in</w:t>
            </w:r>
            <w:r w:rsidRPr="006E5452">
              <w:rPr>
                <w:spacing w:val="-5"/>
                <w:w w:val="105"/>
                <w:sz w:val="16"/>
                <w:szCs w:val="16"/>
              </w:rPr>
              <w:t xml:space="preserve"> </w:t>
            </w:r>
            <w:r w:rsidRPr="006E5452">
              <w:rPr>
                <w:w w:val="105"/>
                <w:sz w:val="16"/>
                <w:szCs w:val="16"/>
              </w:rPr>
              <w:t>risks</w:t>
            </w:r>
          </w:p>
        </w:tc>
        <w:tc>
          <w:tcPr>
            <w:tcW w:w="611" w:type="dxa"/>
          </w:tcPr>
          <w:p w14:paraId="3E0364DC" w14:textId="77777777" w:rsidR="00AF7985" w:rsidRPr="006E5452" w:rsidRDefault="00AF7985" w:rsidP="00AF7985">
            <w:pPr>
              <w:pStyle w:val="TableParagraph"/>
              <w:spacing w:before="254" w:line="529" w:lineRule="exact"/>
              <w:ind w:left="180"/>
              <w:rPr>
                <w:sz w:val="16"/>
                <w:szCs w:val="16"/>
              </w:rPr>
            </w:pPr>
            <w:r w:rsidRPr="006E5452">
              <w:rPr>
                <w:sz w:val="16"/>
                <w:szCs w:val="16"/>
              </w:rPr>
              <w:t>N.</w:t>
            </w:r>
          </w:p>
          <w:p w14:paraId="2341174D" w14:textId="77777777" w:rsidR="00AF7985" w:rsidRPr="006E5452" w:rsidRDefault="00AF7985" w:rsidP="00AF7985">
            <w:pPr>
              <w:pStyle w:val="TableParagraph"/>
              <w:spacing w:line="529" w:lineRule="exact"/>
              <w:ind w:left="188"/>
              <w:rPr>
                <w:sz w:val="16"/>
                <w:szCs w:val="16"/>
              </w:rPr>
            </w:pPr>
            <w:r w:rsidRPr="006E5452">
              <w:rPr>
                <w:sz w:val="16"/>
                <w:szCs w:val="16"/>
              </w:rPr>
              <w:t>A.</w:t>
            </w:r>
          </w:p>
        </w:tc>
      </w:tr>
      <w:tr w:rsidR="00AF7985" w14:paraId="3D148CA0" w14:textId="77777777" w:rsidTr="00AF7985">
        <w:trPr>
          <w:trHeight w:val="1199"/>
          <w:jc w:val="center"/>
        </w:trPr>
        <w:tc>
          <w:tcPr>
            <w:tcW w:w="2499" w:type="dxa"/>
          </w:tcPr>
          <w:p w14:paraId="75435514" w14:textId="77777777" w:rsidR="00AF7985" w:rsidRDefault="00AF7985" w:rsidP="00AF7985">
            <w:pPr>
              <w:pStyle w:val="TableParagraph"/>
              <w:spacing w:before="69" w:line="199" w:lineRule="auto"/>
              <w:ind w:left="185" w:right="417"/>
              <w:rPr>
                <w:sz w:val="19"/>
              </w:rPr>
            </w:pPr>
            <w:r>
              <w:rPr>
                <w:w w:val="105"/>
                <w:sz w:val="19"/>
              </w:rPr>
              <w:t>Liquidity risk in interbank market (e.g. increased volatility)</w:t>
            </w:r>
          </w:p>
        </w:tc>
        <w:tc>
          <w:tcPr>
            <w:tcW w:w="1156" w:type="dxa"/>
          </w:tcPr>
          <w:p w14:paraId="3323D947" w14:textId="77777777" w:rsidR="00AF7985" w:rsidRDefault="00AF7985" w:rsidP="00AF7985">
            <w:pPr>
              <w:pStyle w:val="TableParagraph"/>
              <w:rPr>
                <w:rFonts w:ascii="Arial"/>
                <w:b/>
                <w:sz w:val="20"/>
              </w:rPr>
            </w:pPr>
          </w:p>
          <w:p w14:paraId="015339C3" w14:textId="77777777" w:rsidR="00AF7985" w:rsidRDefault="00AF7985" w:rsidP="00AF7985">
            <w:pPr>
              <w:pStyle w:val="TableParagraph"/>
              <w:spacing w:before="5"/>
              <w:rPr>
                <w:rFonts w:ascii="Arial"/>
                <w:b/>
                <w:sz w:val="19"/>
              </w:rPr>
            </w:pPr>
          </w:p>
          <w:p w14:paraId="70DB8D75"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5F6936D1" wp14:editId="6268DE12">
                  <wp:extent cx="114300" cy="114300"/>
                  <wp:effectExtent l="0" t="0" r="0" b="0"/>
                  <wp:docPr id="10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31CEB45F" w14:textId="77777777" w:rsidR="00AF7985" w:rsidRDefault="00AF7985" w:rsidP="00AF7985">
            <w:pPr>
              <w:pStyle w:val="TableParagraph"/>
              <w:rPr>
                <w:rFonts w:ascii="Arial"/>
                <w:b/>
                <w:sz w:val="20"/>
              </w:rPr>
            </w:pPr>
          </w:p>
          <w:p w14:paraId="61EA710F" w14:textId="77777777" w:rsidR="00AF7985" w:rsidRDefault="00AF7985" w:rsidP="00AF7985">
            <w:pPr>
              <w:pStyle w:val="TableParagraph"/>
              <w:spacing w:before="5"/>
              <w:rPr>
                <w:rFonts w:ascii="Arial"/>
                <w:b/>
                <w:sz w:val="19"/>
              </w:rPr>
            </w:pPr>
          </w:p>
          <w:p w14:paraId="7A003066"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6C1C32D3" wp14:editId="10D6C423">
                  <wp:extent cx="114300" cy="114300"/>
                  <wp:effectExtent l="0" t="0" r="0" b="0"/>
                  <wp:docPr id="10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744DC518" w14:textId="77777777" w:rsidR="00AF7985" w:rsidRDefault="00AF7985" w:rsidP="00AF7985">
            <w:pPr>
              <w:pStyle w:val="TableParagraph"/>
              <w:rPr>
                <w:rFonts w:ascii="Arial"/>
                <w:b/>
                <w:sz w:val="20"/>
              </w:rPr>
            </w:pPr>
          </w:p>
          <w:p w14:paraId="668F164A" w14:textId="77777777" w:rsidR="00AF7985" w:rsidRDefault="00AF7985" w:rsidP="00AF7985">
            <w:pPr>
              <w:pStyle w:val="TableParagraph"/>
              <w:spacing w:before="5"/>
              <w:rPr>
                <w:rFonts w:ascii="Arial"/>
                <w:b/>
                <w:sz w:val="19"/>
              </w:rPr>
            </w:pPr>
          </w:p>
          <w:p w14:paraId="1A56F65E" w14:textId="4BFFAB27" w:rsidR="00AF7985" w:rsidRDefault="008F6345"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2A55C7F1" wp14:editId="37E43B0C">
                  <wp:extent cx="114300" cy="114300"/>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153633B1" w14:textId="77777777" w:rsidR="00AF7985" w:rsidRDefault="00AF7985" w:rsidP="00AF7985">
            <w:pPr>
              <w:pStyle w:val="TableParagraph"/>
              <w:rPr>
                <w:rFonts w:ascii="Arial"/>
                <w:b/>
                <w:sz w:val="20"/>
              </w:rPr>
            </w:pPr>
          </w:p>
          <w:p w14:paraId="5B69C1F9" w14:textId="77777777" w:rsidR="00AF7985" w:rsidRDefault="00AF7985" w:rsidP="00AF7985">
            <w:pPr>
              <w:pStyle w:val="TableParagraph"/>
              <w:spacing w:before="5"/>
              <w:rPr>
                <w:rFonts w:ascii="Arial"/>
                <w:b/>
                <w:sz w:val="19"/>
              </w:rPr>
            </w:pPr>
          </w:p>
          <w:p w14:paraId="034361E6"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1A2F3361" wp14:editId="1FD2E0B7">
                  <wp:extent cx="114300" cy="114300"/>
                  <wp:effectExtent l="0" t="0" r="0" b="0"/>
                  <wp:docPr id="10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4B0F725F" w14:textId="77777777" w:rsidR="00AF7985" w:rsidRDefault="00AF7985" w:rsidP="00AF7985">
            <w:pPr>
              <w:pStyle w:val="TableParagraph"/>
              <w:rPr>
                <w:rFonts w:ascii="Arial"/>
                <w:b/>
                <w:sz w:val="20"/>
              </w:rPr>
            </w:pPr>
          </w:p>
          <w:p w14:paraId="2AA37ABC" w14:textId="77777777" w:rsidR="00AF7985" w:rsidRDefault="00AF7985" w:rsidP="00AF7985">
            <w:pPr>
              <w:pStyle w:val="TableParagraph"/>
              <w:spacing w:before="5"/>
              <w:rPr>
                <w:rFonts w:ascii="Arial"/>
                <w:b/>
                <w:sz w:val="19"/>
              </w:rPr>
            </w:pPr>
          </w:p>
          <w:p w14:paraId="5CA84F11"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7803831A" wp14:editId="39C9663F">
                  <wp:extent cx="114300" cy="114300"/>
                  <wp:effectExtent l="0" t="0" r="0" b="0"/>
                  <wp:docPr id="10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3FEE3809" w14:textId="77777777" w:rsidR="00AF7985" w:rsidRDefault="00AF7985" w:rsidP="00AF7985">
            <w:pPr>
              <w:pStyle w:val="TableParagraph"/>
              <w:rPr>
                <w:rFonts w:ascii="Arial"/>
                <w:b/>
                <w:sz w:val="20"/>
              </w:rPr>
            </w:pPr>
          </w:p>
          <w:p w14:paraId="30E88A96" w14:textId="77777777" w:rsidR="00AF7985" w:rsidRDefault="00AF7985" w:rsidP="00AF7985">
            <w:pPr>
              <w:pStyle w:val="TableParagraph"/>
              <w:spacing w:before="5"/>
              <w:rPr>
                <w:rFonts w:ascii="Arial"/>
                <w:b/>
                <w:sz w:val="19"/>
              </w:rPr>
            </w:pPr>
          </w:p>
          <w:p w14:paraId="641963BF"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7E6444A4" wp14:editId="67AA4BE6">
                  <wp:extent cx="114300" cy="114300"/>
                  <wp:effectExtent l="0" t="0" r="0" b="0"/>
                  <wp:docPr id="10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AF7985" w14:paraId="7361974A" w14:textId="77777777" w:rsidTr="00AF7985">
        <w:trPr>
          <w:trHeight w:val="902"/>
          <w:jc w:val="center"/>
        </w:trPr>
        <w:tc>
          <w:tcPr>
            <w:tcW w:w="2499" w:type="dxa"/>
          </w:tcPr>
          <w:p w14:paraId="5863A1BA" w14:textId="77777777" w:rsidR="00AF7985" w:rsidRDefault="00AF7985" w:rsidP="00AF7985">
            <w:pPr>
              <w:pStyle w:val="TableParagraph"/>
              <w:spacing w:before="69" w:line="199" w:lineRule="auto"/>
              <w:ind w:left="185" w:right="340"/>
              <w:rPr>
                <w:sz w:val="19"/>
              </w:rPr>
            </w:pPr>
            <w:r>
              <w:rPr>
                <w:w w:val="105"/>
                <w:sz w:val="19"/>
              </w:rPr>
              <w:t>Liquidity risk for particular credit institutions</w:t>
            </w:r>
          </w:p>
        </w:tc>
        <w:tc>
          <w:tcPr>
            <w:tcW w:w="1156" w:type="dxa"/>
          </w:tcPr>
          <w:p w14:paraId="014040FA" w14:textId="77777777" w:rsidR="00AF7985" w:rsidRDefault="00AF7985" w:rsidP="00AF7985">
            <w:pPr>
              <w:pStyle w:val="TableParagraph"/>
              <w:spacing w:before="7"/>
              <w:rPr>
                <w:rFonts w:ascii="Arial"/>
                <w:b/>
                <w:sz w:val="26"/>
              </w:rPr>
            </w:pPr>
          </w:p>
          <w:p w14:paraId="19097996"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0B2EAE5E" wp14:editId="18E410A3">
                  <wp:extent cx="114300" cy="114300"/>
                  <wp:effectExtent l="0" t="0" r="0" b="0"/>
                  <wp:docPr id="10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1B8A1CE7" w14:textId="77777777" w:rsidR="00AF7985" w:rsidRDefault="00AF7985" w:rsidP="00AF7985">
            <w:pPr>
              <w:pStyle w:val="TableParagraph"/>
              <w:spacing w:before="7"/>
              <w:rPr>
                <w:rFonts w:ascii="Arial"/>
                <w:b/>
                <w:sz w:val="26"/>
              </w:rPr>
            </w:pPr>
          </w:p>
          <w:p w14:paraId="1C838BBF"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005EF172" wp14:editId="556146AE">
                  <wp:extent cx="114300" cy="114300"/>
                  <wp:effectExtent l="0" t="0" r="0" b="0"/>
                  <wp:docPr id="10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7D94D498" w14:textId="77777777" w:rsidR="00AF7985" w:rsidRDefault="00AF7985" w:rsidP="00AF7985">
            <w:pPr>
              <w:pStyle w:val="TableParagraph"/>
              <w:spacing w:before="7"/>
              <w:rPr>
                <w:rFonts w:ascii="Arial"/>
                <w:b/>
                <w:sz w:val="26"/>
              </w:rPr>
            </w:pPr>
          </w:p>
          <w:p w14:paraId="51ACC83C" w14:textId="66B5F3AE" w:rsidR="00AF7985" w:rsidRDefault="008F6345"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D524C2D" wp14:editId="094155C2">
                  <wp:extent cx="114300" cy="114300"/>
                  <wp:effectExtent l="0" t="0" r="0" b="0"/>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6C8A9583" w14:textId="77777777" w:rsidR="00AF7985" w:rsidRDefault="00AF7985" w:rsidP="00AF7985">
            <w:pPr>
              <w:pStyle w:val="TableParagraph"/>
              <w:spacing w:before="7"/>
              <w:rPr>
                <w:rFonts w:ascii="Arial"/>
                <w:b/>
                <w:sz w:val="26"/>
              </w:rPr>
            </w:pPr>
          </w:p>
          <w:p w14:paraId="1B96BC20"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0FE157C2" wp14:editId="52F06778">
                  <wp:extent cx="114300" cy="114300"/>
                  <wp:effectExtent l="0" t="0" r="0" b="0"/>
                  <wp:docPr id="10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00BBE315" w14:textId="77777777" w:rsidR="00AF7985" w:rsidRDefault="00AF7985" w:rsidP="00AF7985">
            <w:pPr>
              <w:pStyle w:val="TableParagraph"/>
              <w:spacing w:before="7"/>
              <w:rPr>
                <w:rFonts w:ascii="Arial"/>
                <w:b/>
                <w:sz w:val="26"/>
              </w:rPr>
            </w:pPr>
          </w:p>
          <w:p w14:paraId="43034CBC"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6BBE570F" wp14:editId="001ECCF2">
                  <wp:extent cx="114300" cy="114300"/>
                  <wp:effectExtent l="0" t="0" r="0" b="0"/>
                  <wp:docPr id="10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70A3934C" w14:textId="77777777" w:rsidR="00AF7985" w:rsidRDefault="00AF7985" w:rsidP="00AF7985">
            <w:pPr>
              <w:pStyle w:val="TableParagraph"/>
              <w:spacing w:before="7"/>
              <w:rPr>
                <w:rFonts w:ascii="Arial"/>
                <w:b/>
                <w:sz w:val="26"/>
              </w:rPr>
            </w:pPr>
          </w:p>
          <w:p w14:paraId="4E56CF75"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38A90202" wp14:editId="46BED301">
                  <wp:extent cx="114300" cy="114300"/>
                  <wp:effectExtent l="0" t="0" r="0" b="0"/>
                  <wp:docPr id="10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AF7985" w14:paraId="50A4C0F3" w14:textId="77777777" w:rsidTr="00AF7985">
        <w:trPr>
          <w:trHeight w:val="902"/>
          <w:jc w:val="center"/>
        </w:trPr>
        <w:tc>
          <w:tcPr>
            <w:tcW w:w="2499" w:type="dxa"/>
          </w:tcPr>
          <w:p w14:paraId="01F5DF48" w14:textId="77777777" w:rsidR="00AF7985" w:rsidRDefault="00AF7985" w:rsidP="00AF7985">
            <w:pPr>
              <w:pStyle w:val="TableParagraph"/>
              <w:spacing w:before="69" w:line="199" w:lineRule="auto"/>
              <w:ind w:left="185" w:right="417"/>
              <w:rPr>
                <w:sz w:val="19"/>
              </w:rPr>
            </w:pPr>
            <w:r>
              <w:rPr>
                <w:w w:val="105"/>
                <w:sz w:val="19"/>
              </w:rPr>
              <w:t xml:space="preserve">Liquidity risk for asset </w:t>
            </w:r>
            <w:r>
              <w:rPr>
                <w:sz w:val="19"/>
              </w:rPr>
              <w:t>management companies</w:t>
            </w:r>
          </w:p>
        </w:tc>
        <w:tc>
          <w:tcPr>
            <w:tcW w:w="1156" w:type="dxa"/>
          </w:tcPr>
          <w:p w14:paraId="50838820" w14:textId="77777777" w:rsidR="00AF7985" w:rsidRDefault="00AF7985" w:rsidP="00AF7985">
            <w:pPr>
              <w:pStyle w:val="TableParagraph"/>
              <w:spacing w:before="7"/>
              <w:rPr>
                <w:rFonts w:ascii="Arial"/>
                <w:b/>
                <w:sz w:val="26"/>
              </w:rPr>
            </w:pPr>
          </w:p>
          <w:p w14:paraId="610A0B97"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21B1B225" wp14:editId="390BF4AE">
                  <wp:extent cx="114300" cy="114300"/>
                  <wp:effectExtent l="0" t="0" r="0" b="0"/>
                  <wp:docPr id="10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596B9A23" w14:textId="77777777" w:rsidR="00AF7985" w:rsidRDefault="00AF7985" w:rsidP="00AF7985">
            <w:pPr>
              <w:pStyle w:val="TableParagraph"/>
              <w:spacing w:before="7"/>
              <w:rPr>
                <w:rFonts w:ascii="Arial"/>
                <w:b/>
                <w:sz w:val="26"/>
              </w:rPr>
            </w:pPr>
          </w:p>
          <w:p w14:paraId="10051B57"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1AB69CBE" wp14:editId="6AA7DD38">
                  <wp:extent cx="114300" cy="114300"/>
                  <wp:effectExtent l="0" t="0" r="0" b="0"/>
                  <wp:docPr id="10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2EF69E4A" w14:textId="77777777" w:rsidR="00AF7985" w:rsidRDefault="00AF7985" w:rsidP="00AF7985">
            <w:pPr>
              <w:pStyle w:val="TableParagraph"/>
              <w:spacing w:before="7"/>
              <w:rPr>
                <w:rFonts w:ascii="Arial"/>
                <w:b/>
                <w:sz w:val="26"/>
              </w:rPr>
            </w:pPr>
          </w:p>
          <w:p w14:paraId="462353E0" w14:textId="6C9B8544" w:rsidR="00AF7985" w:rsidRDefault="008F6345"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25546F66" wp14:editId="334272E6">
                  <wp:extent cx="114300" cy="11430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54558DCB" w14:textId="77777777" w:rsidR="00AF7985" w:rsidRDefault="00AF7985" w:rsidP="00AF7985">
            <w:pPr>
              <w:pStyle w:val="TableParagraph"/>
              <w:spacing w:before="7"/>
              <w:rPr>
                <w:rFonts w:ascii="Arial"/>
                <w:b/>
                <w:sz w:val="26"/>
              </w:rPr>
            </w:pPr>
          </w:p>
          <w:p w14:paraId="712D8148"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44DE9006" wp14:editId="2948187D">
                  <wp:extent cx="114300" cy="114300"/>
                  <wp:effectExtent l="0" t="0" r="0" b="0"/>
                  <wp:docPr id="10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79C58D81" w14:textId="77777777" w:rsidR="00AF7985" w:rsidRDefault="00AF7985" w:rsidP="00AF7985">
            <w:pPr>
              <w:pStyle w:val="TableParagraph"/>
              <w:spacing w:before="7"/>
              <w:rPr>
                <w:rFonts w:ascii="Arial"/>
                <w:b/>
                <w:sz w:val="26"/>
              </w:rPr>
            </w:pPr>
          </w:p>
          <w:p w14:paraId="2AD292DD"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4DE032E0" wp14:editId="2D0C8F72">
                  <wp:extent cx="114300" cy="114300"/>
                  <wp:effectExtent l="0" t="0" r="0" b="0"/>
                  <wp:docPr id="1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6B58EBA5" w14:textId="77777777" w:rsidR="00AF7985" w:rsidRDefault="00AF7985" w:rsidP="00AF7985">
            <w:pPr>
              <w:pStyle w:val="TableParagraph"/>
              <w:spacing w:before="7"/>
              <w:rPr>
                <w:rFonts w:ascii="Arial"/>
                <w:b/>
                <w:sz w:val="26"/>
              </w:rPr>
            </w:pPr>
          </w:p>
          <w:p w14:paraId="4D54FE18"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55E7DA9C" wp14:editId="3ABA767A">
                  <wp:extent cx="114300" cy="114300"/>
                  <wp:effectExtent l="0" t="0" r="0" b="0"/>
                  <wp:docPr id="1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AF7985" w14:paraId="51317908" w14:textId="77777777" w:rsidTr="00AF7985">
        <w:trPr>
          <w:trHeight w:val="902"/>
          <w:jc w:val="center"/>
        </w:trPr>
        <w:tc>
          <w:tcPr>
            <w:tcW w:w="2499" w:type="dxa"/>
          </w:tcPr>
          <w:p w14:paraId="5B8B0923" w14:textId="77777777" w:rsidR="00AF7985" w:rsidRDefault="00AF7985" w:rsidP="00AF7985">
            <w:pPr>
              <w:pStyle w:val="TableParagraph"/>
              <w:spacing w:before="69" w:line="199" w:lineRule="auto"/>
              <w:ind w:left="185" w:right="417"/>
              <w:rPr>
                <w:sz w:val="19"/>
              </w:rPr>
            </w:pPr>
            <w:r>
              <w:rPr>
                <w:w w:val="105"/>
                <w:sz w:val="19"/>
              </w:rPr>
              <w:t>Credit risk: household lending</w:t>
            </w:r>
          </w:p>
        </w:tc>
        <w:tc>
          <w:tcPr>
            <w:tcW w:w="1156" w:type="dxa"/>
          </w:tcPr>
          <w:p w14:paraId="7FEA5BE7" w14:textId="77777777" w:rsidR="00AF7985" w:rsidRDefault="00AF7985" w:rsidP="00AF7985">
            <w:pPr>
              <w:pStyle w:val="TableParagraph"/>
              <w:spacing w:before="7"/>
              <w:rPr>
                <w:rFonts w:ascii="Arial"/>
                <w:b/>
                <w:sz w:val="26"/>
              </w:rPr>
            </w:pPr>
          </w:p>
          <w:p w14:paraId="5CD4A51A"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E5FFE10" wp14:editId="63A27A30">
                  <wp:extent cx="114300" cy="114300"/>
                  <wp:effectExtent l="0" t="0" r="0" b="0"/>
                  <wp:docPr id="1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64CEBDC5" w14:textId="77777777" w:rsidR="00AF7985" w:rsidRDefault="00AF7985" w:rsidP="00AF7985">
            <w:pPr>
              <w:pStyle w:val="TableParagraph"/>
              <w:spacing w:before="7"/>
              <w:rPr>
                <w:rFonts w:ascii="Arial"/>
                <w:b/>
                <w:sz w:val="26"/>
              </w:rPr>
            </w:pPr>
          </w:p>
          <w:p w14:paraId="6A531AE9"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6B365D20" wp14:editId="1F9F7EBA">
                  <wp:extent cx="114300" cy="114300"/>
                  <wp:effectExtent l="0" t="0" r="0" b="0"/>
                  <wp:docPr id="1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113C4F83" w14:textId="77777777" w:rsidR="00AF7985" w:rsidRDefault="00AF7985" w:rsidP="00AF7985">
            <w:pPr>
              <w:pStyle w:val="TableParagraph"/>
              <w:spacing w:before="7"/>
              <w:rPr>
                <w:rFonts w:ascii="Arial"/>
                <w:b/>
                <w:sz w:val="26"/>
              </w:rPr>
            </w:pPr>
          </w:p>
          <w:p w14:paraId="51C31986" w14:textId="2666E8F7" w:rsidR="00AF7985" w:rsidRDefault="008F6345"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55040AE5" wp14:editId="1722D1C1">
                  <wp:extent cx="114300" cy="114300"/>
                  <wp:effectExtent l="0" t="0" r="0" b="0"/>
                  <wp:docPr id="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44B707B7" w14:textId="77777777" w:rsidR="00AF7985" w:rsidRDefault="00AF7985" w:rsidP="00AF7985">
            <w:pPr>
              <w:pStyle w:val="TableParagraph"/>
              <w:spacing w:before="7"/>
              <w:rPr>
                <w:rFonts w:ascii="Arial"/>
                <w:b/>
                <w:sz w:val="26"/>
              </w:rPr>
            </w:pPr>
          </w:p>
          <w:p w14:paraId="3CAFCFBF"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44CD60D7" wp14:editId="1608E596">
                  <wp:extent cx="114300" cy="114300"/>
                  <wp:effectExtent l="0" t="0" r="0" b="0"/>
                  <wp:docPr id="1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3FC1AB2D" w14:textId="77777777" w:rsidR="00AF7985" w:rsidRDefault="00AF7985" w:rsidP="00AF7985">
            <w:pPr>
              <w:pStyle w:val="TableParagraph"/>
              <w:spacing w:before="7"/>
              <w:rPr>
                <w:rFonts w:ascii="Arial"/>
                <w:b/>
                <w:sz w:val="26"/>
              </w:rPr>
            </w:pPr>
          </w:p>
          <w:p w14:paraId="03D0C08F"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6E5C57EC" wp14:editId="67A5EDEC">
                  <wp:extent cx="114300" cy="114300"/>
                  <wp:effectExtent l="0" t="0" r="0" b="0"/>
                  <wp:docPr id="1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7A77CDF1" w14:textId="77777777" w:rsidR="00AF7985" w:rsidRDefault="00AF7985" w:rsidP="00AF7985">
            <w:pPr>
              <w:pStyle w:val="TableParagraph"/>
              <w:spacing w:before="7"/>
              <w:rPr>
                <w:rFonts w:ascii="Arial"/>
                <w:b/>
                <w:sz w:val="26"/>
              </w:rPr>
            </w:pPr>
          </w:p>
          <w:p w14:paraId="612485E4"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63A553DE" wp14:editId="588F6362">
                  <wp:extent cx="114300" cy="114300"/>
                  <wp:effectExtent l="0" t="0" r="0" b="0"/>
                  <wp:docPr id="1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AF7985" w14:paraId="23B44925" w14:textId="77777777" w:rsidTr="00AF7985">
        <w:trPr>
          <w:trHeight w:val="605"/>
          <w:jc w:val="center"/>
        </w:trPr>
        <w:tc>
          <w:tcPr>
            <w:tcW w:w="2499" w:type="dxa"/>
          </w:tcPr>
          <w:p w14:paraId="71FD15C0" w14:textId="77777777" w:rsidR="00AF7985" w:rsidRDefault="00AF7985" w:rsidP="00AF7985">
            <w:pPr>
              <w:pStyle w:val="TableParagraph"/>
              <w:spacing w:before="25"/>
              <w:ind w:left="185"/>
              <w:rPr>
                <w:sz w:val="19"/>
              </w:rPr>
            </w:pPr>
            <w:r>
              <w:rPr>
                <w:w w:val="105"/>
                <w:sz w:val="19"/>
              </w:rPr>
              <w:t>Credit risk: SME lending</w:t>
            </w:r>
          </w:p>
        </w:tc>
        <w:tc>
          <w:tcPr>
            <w:tcW w:w="1156" w:type="dxa"/>
          </w:tcPr>
          <w:p w14:paraId="15384B88" w14:textId="77777777" w:rsidR="00AF7985" w:rsidRDefault="00AF7985" w:rsidP="00AF7985">
            <w:pPr>
              <w:pStyle w:val="TableParagraph"/>
              <w:spacing w:before="8"/>
              <w:rPr>
                <w:rFonts w:ascii="Arial"/>
                <w:b/>
                <w:sz w:val="13"/>
              </w:rPr>
            </w:pPr>
          </w:p>
          <w:p w14:paraId="2BB65FB9"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0FE48A7C" wp14:editId="4DA16F64">
                  <wp:extent cx="114300" cy="114300"/>
                  <wp:effectExtent l="0" t="0" r="0" b="0"/>
                  <wp:docPr id="11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0E830258" w14:textId="77777777" w:rsidR="00AF7985" w:rsidRDefault="00AF7985" w:rsidP="00AF7985">
            <w:pPr>
              <w:pStyle w:val="TableParagraph"/>
              <w:spacing w:before="8"/>
              <w:rPr>
                <w:rFonts w:ascii="Arial"/>
                <w:b/>
                <w:sz w:val="13"/>
              </w:rPr>
            </w:pPr>
          </w:p>
          <w:p w14:paraId="52FD9E0B"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453B3FF2" wp14:editId="0D1100FB">
                  <wp:extent cx="114300" cy="114300"/>
                  <wp:effectExtent l="0" t="0" r="0" b="0"/>
                  <wp:docPr id="1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66A4EF0D" w14:textId="77777777" w:rsidR="00AF7985" w:rsidRDefault="00AF7985" w:rsidP="00AF7985">
            <w:pPr>
              <w:pStyle w:val="TableParagraph"/>
              <w:spacing w:before="8"/>
              <w:rPr>
                <w:rFonts w:ascii="Arial"/>
                <w:b/>
                <w:sz w:val="13"/>
              </w:rPr>
            </w:pPr>
          </w:p>
          <w:p w14:paraId="6073A481" w14:textId="4538556C" w:rsidR="00AF7985" w:rsidRDefault="00C25258"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1D31DB17" wp14:editId="1CAEC671">
                  <wp:extent cx="114300" cy="11430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4F7AE073" w14:textId="77777777" w:rsidR="00AF7985" w:rsidRDefault="00AF7985" w:rsidP="00AF7985">
            <w:pPr>
              <w:pStyle w:val="TableParagraph"/>
              <w:spacing w:before="8"/>
              <w:rPr>
                <w:rFonts w:ascii="Arial"/>
                <w:b/>
                <w:sz w:val="13"/>
              </w:rPr>
            </w:pPr>
          </w:p>
          <w:p w14:paraId="380171B9"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605F5D65" wp14:editId="458EDF15">
                  <wp:extent cx="114300" cy="114300"/>
                  <wp:effectExtent l="0" t="0" r="0" b="0"/>
                  <wp:docPr id="1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2A7486CC" w14:textId="77777777" w:rsidR="00AF7985" w:rsidRDefault="00AF7985" w:rsidP="00AF7985">
            <w:pPr>
              <w:pStyle w:val="TableParagraph"/>
              <w:spacing w:before="8"/>
              <w:rPr>
                <w:rFonts w:ascii="Arial"/>
                <w:b/>
                <w:sz w:val="13"/>
              </w:rPr>
            </w:pPr>
          </w:p>
          <w:p w14:paraId="5364099D"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1510F7FB" wp14:editId="4706195F">
                  <wp:extent cx="114300" cy="114300"/>
                  <wp:effectExtent l="0" t="0" r="0" b="0"/>
                  <wp:docPr id="1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3FD1AD24" w14:textId="77777777" w:rsidR="00AF7985" w:rsidRDefault="00AF7985" w:rsidP="00AF7985">
            <w:pPr>
              <w:pStyle w:val="TableParagraph"/>
              <w:spacing w:before="8"/>
              <w:rPr>
                <w:rFonts w:ascii="Arial"/>
                <w:b/>
                <w:sz w:val="13"/>
              </w:rPr>
            </w:pPr>
          </w:p>
          <w:p w14:paraId="69EC2780"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50082C66" wp14:editId="649C2B8E">
                  <wp:extent cx="114300" cy="114300"/>
                  <wp:effectExtent l="0" t="0" r="0" b="0"/>
                  <wp:docPr id="11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AF7985" w14:paraId="25F1CA6C" w14:textId="77777777" w:rsidTr="00AF7985">
        <w:trPr>
          <w:trHeight w:val="902"/>
          <w:jc w:val="center"/>
        </w:trPr>
        <w:tc>
          <w:tcPr>
            <w:tcW w:w="2499" w:type="dxa"/>
          </w:tcPr>
          <w:p w14:paraId="5666DCA4" w14:textId="77777777" w:rsidR="00AF7985" w:rsidRDefault="00AF7985" w:rsidP="00AF7985">
            <w:pPr>
              <w:pStyle w:val="TableParagraph"/>
              <w:spacing w:before="69" w:line="199" w:lineRule="auto"/>
              <w:ind w:left="185" w:right="417"/>
              <w:rPr>
                <w:sz w:val="19"/>
              </w:rPr>
            </w:pPr>
            <w:r>
              <w:rPr>
                <w:w w:val="105"/>
                <w:sz w:val="19"/>
              </w:rPr>
              <w:t>Credit risk: corporate lending</w:t>
            </w:r>
          </w:p>
        </w:tc>
        <w:tc>
          <w:tcPr>
            <w:tcW w:w="1156" w:type="dxa"/>
          </w:tcPr>
          <w:p w14:paraId="432B755E" w14:textId="77777777" w:rsidR="00AF7985" w:rsidRDefault="00AF7985" w:rsidP="00AF7985">
            <w:pPr>
              <w:pStyle w:val="TableParagraph"/>
              <w:spacing w:before="7"/>
              <w:rPr>
                <w:rFonts w:ascii="Arial"/>
                <w:b/>
                <w:sz w:val="26"/>
              </w:rPr>
            </w:pPr>
          </w:p>
          <w:p w14:paraId="75425F4D"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563FD302" wp14:editId="698EC732">
                  <wp:extent cx="114300" cy="114300"/>
                  <wp:effectExtent l="0" t="0" r="0" b="0"/>
                  <wp:docPr id="11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0E4F0A1B" w14:textId="77777777" w:rsidR="00AF7985" w:rsidRDefault="00AF7985" w:rsidP="00AF7985">
            <w:pPr>
              <w:pStyle w:val="TableParagraph"/>
              <w:spacing w:before="7"/>
              <w:rPr>
                <w:rFonts w:ascii="Arial"/>
                <w:b/>
                <w:sz w:val="26"/>
              </w:rPr>
            </w:pPr>
          </w:p>
          <w:p w14:paraId="09436E7A"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257CB058" wp14:editId="3B85D804">
                  <wp:extent cx="114300" cy="114300"/>
                  <wp:effectExtent l="0" t="0" r="0" b="0"/>
                  <wp:docPr id="11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7AF1E86D" w14:textId="77777777" w:rsidR="00AF7985" w:rsidRDefault="00AF7985" w:rsidP="00AF7985">
            <w:pPr>
              <w:pStyle w:val="TableParagraph"/>
              <w:spacing w:before="7"/>
              <w:rPr>
                <w:rFonts w:ascii="Arial"/>
                <w:b/>
                <w:sz w:val="26"/>
              </w:rPr>
            </w:pPr>
          </w:p>
          <w:p w14:paraId="2D6EA0F3" w14:textId="7179CB68" w:rsidR="00AF7985" w:rsidRDefault="00C25258"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87D574E" wp14:editId="2B8B355C">
                  <wp:extent cx="114300" cy="114300"/>
                  <wp:effectExtent l="0" t="0" r="0" b="0"/>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08214DCB" w14:textId="77777777" w:rsidR="00AF7985" w:rsidRDefault="00AF7985" w:rsidP="00AF7985">
            <w:pPr>
              <w:pStyle w:val="TableParagraph"/>
              <w:spacing w:before="7"/>
              <w:rPr>
                <w:rFonts w:ascii="Arial"/>
                <w:b/>
                <w:sz w:val="26"/>
              </w:rPr>
            </w:pPr>
          </w:p>
          <w:p w14:paraId="00B20B1D"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18BCE633" wp14:editId="21D7F6B7">
                  <wp:extent cx="114300" cy="114300"/>
                  <wp:effectExtent l="0" t="0" r="0" b="0"/>
                  <wp:docPr id="11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49610B03" w14:textId="77777777" w:rsidR="00AF7985" w:rsidRDefault="00AF7985" w:rsidP="00AF7985">
            <w:pPr>
              <w:pStyle w:val="TableParagraph"/>
              <w:spacing w:before="7"/>
              <w:rPr>
                <w:rFonts w:ascii="Arial"/>
                <w:b/>
                <w:sz w:val="26"/>
              </w:rPr>
            </w:pPr>
          </w:p>
          <w:p w14:paraId="2AF043C4"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75208931" wp14:editId="7C3C1E46">
                  <wp:extent cx="114300" cy="114300"/>
                  <wp:effectExtent l="0" t="0" r="0" b="0"/>
                  <wp:docPr id="11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5E6474B1" w14:textId="77777777" w:rsidR="00AF7985" w:rsidRDefault="00AF7985" w:rsidP="00AF7985">
            <w:pPr>
              <w:pStyle w:val="TableParagraph"/>
              <w:spacing w:before="7"/>
              <w:rPr>
                <w:rFonts w:ascii="Arial"/>
                <w:b/>
                <w:sz w:val="26"/>
              </w:rPr>
            </w:pPr>
          </w:p>
          <w:p w14:paraId="4EDD96DF"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29625ED7" wp14:editId="3DDD17E0">
                  <wp:extent cx="114300" cy="114300"/>
                  <wp:effectExtent l="0" t="0" r="0" b="0"/>
                  <wp:docPr id="11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AF7985" w14:paraId="20A46FFE" w14:textId="77777777" w:rsidTr="00AF7985">
        <w:trPr>
          <w:trHeight w:val="604"/>
          <w:jc w:val="center"/>
        </w:trPr>
        <w:tc>
          <w:tcPr>
            <w:tcW w:w="2499" w:type="dxa"/>
          </w:tcPr>
          <w:p w14:paraId="47EF49CE" w14:textId="77777777" w:rsidR="00AF7985" w:rsidRDefault="00AF7985" w:rsidP="00AF7985">
            <w:pPr>
              <w:pStyle w:val="TableParagraph"/>
              <w:spacing w:before="25"/>
              <w:ind w:left="185"/>
              <w:rPr>
                <w:sz w:val="19"/>
              </w:rPr>
            </w:pPr>
            <w:r>
              <w:rPr>
                <w:w w:val="105"/>
                <w:sz w:val="19"/>
              </w:rPr>
              <w:t>Pro-cyclical credit provision</w:t>
            </w:r>
          </w:p>
        </w:tc>
        <w:tc>
          <w:tcPr>
            <w:tcW w:w="1156" w:type="dxa"/>
          </w:tcPr>
          <w:p w14:paraId="41EF42FF" w14:textId="77777777" w:rsidR="00AF7985" w:rsidRDefault="00AF7985" w:rsidP="00AF7985">
            <w:pPr>
              <w:pStyle w:val="TableParagraph"/>
              <w:spacing w:before="8"/>
              <w:rPr>
                <w:rFonts w:ascii="Arial"/>
                <w:b/>
                <w:sz w:val="13"/>
              </w:rPr>
            </w:pPr>
          </w:p>
          <w:p w14:paraId="12E9FE57" w14:textId="77777777" w:rsidR="00AF7985" w:rsidRDefault="00AF7985" w:rsidP="00AF7985">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5E9C7EF" wp14:editId="54A81AAD">
                  <wp:extent cx="114300" cy="114300"/>
                  <wp:effectExtent l="0" t="0" r="0" b="0"/>
                  <wp:docPr id="11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9" w:type="dxa"/>
          </w:tcPr>
          <w:p w14:paraId="35CF10F2" w14:textId="77777777" w:rsidR="00AF7985" w:rsidRDefault="00AF7985" w:rsidP="00AF7985">
            <w:pPr>
              <w:pStyle w:val="TableParagraph"/>
              <w:spacing w:before="8"/>
              <w:rPr>
                <w:rFonts w:ascii="Arial"/>
                <w:b/>
                <w:sz w:val="13"/>
              </w:rPr>
            </w:pPr>
          </w:p>
          <w:p w14:paraId="63C9D660" w14:textId="77777777" w:rsidR="00AF7985" w:rsidRDefault="00AF7985" w:rsidP="00AF7985">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50144C8B" wp14:editId="35C94757">
                  <wp:extent cx="114300" cy="114300"/>
                  <wp:effectExtent l="0" t="0" r="0" b="0"/>
                  <wp:docPr id="11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Pr>
          <w:p w14:paraId="5131FF22" w14:textId="77777777" w:rsidR="00AF7985" w:rsidRDefault="00AF7985" w:rsidP="00AF7985">
            <w:pPr>
              <w:pStyle w:val="TableParagraph"/>
              <w:spacing w:before="8"/>
              <w:rPr>
                <w:rFonts w:ascii="Arial"/>
                <w:b/>
                <w:sz w:val="13"/>
              </w:rPr>
            </w:pPr>
          </w:p>
          <w:p w14:paraId="0615A887" w14:textId="6D6AC946" w:rsidR="00AF7985" w:rsidRDefault="00C25258" w:rsidP="00AF7985">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34B87B24" wp14:editId="2458DF88">
                  <wp:extent cx="114300" cy="114300"/>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3" w:type="dxa"/>
          </w:tcPr>
          <w:p w14:paraId="07EEE91C" w14:textId="77777777" w:rsidR="00AF7985" w:rsidRDefault="00AF7985" w:rsidP="00AF7985">
            <w:pPr>
              <w:pStyle w:val="TableParagraph"/>
              <w:spacing w:before="8"/>
              <w:rPr>
                <w:rFonts w:ascii="Arial"/>
                <w:b/>
                <w:sz w:val="13"/>
              </w:rPr>
            </w:pPr>
          </w:p>
          <w:p w14:paraId="73719522" w14:textId="77777777" w:rsidR="00AF7985" w:rsidRDefault="00AF7985" w:rsidP="00AF7985">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05C29C17" wp14:editId="15EADCC6">
                  <wp:extent cx="114300" cy="114300"/>
                  <wp:effectExtent l="0" t="0" r="0" b="0"/>
                  <wp:docPr id="11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7" w:type="dxa"/>
          </w:tcPr>
          <w:p w14:paraId="677341DE" w14:textId="77777777" w:rsidR="00AF7985" w:rsidRDefault="00AF7985" w:rsidP="00AF7985">
            <w:pPr>
              <w:pStyle w:val="TableParagraph"/>
              <w:spacing w:before="8"/>
              <w:rPr>
                <w:rFonts w:ascii="Arial"/>
                <w:b/>
                <w:sz w:val="13"/>
              </w:rPr>
            </w:pPr>
          </w:p>
          <w:p w14:paraId="4BB2E00D" w14:textId="77777777" w:rsidR="00AF7985" w:rsidRDefault="00AF7985" w:rsidP="00AF7985">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6E24572B" wp14:editId="0330F227">
                  <wp:extent cx="114300" cy="114300"/>
                  <wp:effectExtent l="0" t="0" r="0" b="0"/>
                  <wp:docPr id="11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1" w:type="dxa"/>
          </w:tcPr>
          <w:p w14:paraId="284A3CF9" w14:textId="77777777" w:rsidR="00AF7985" w:rsidRDefault="00AF7985" w:rsidP="00AF7985">
            <w:pPr>
              <w:pStyle w:val="TableParagraph"/>
              <w:spacing w:before="8"/>
              <w:rPr>
                <w:rFonts w:ascii="Arial"/>
                <w:b/>
                <w:sz w:val="13"/>
              </w:rPr>
            </w:pPr>
          </w:p>
          <w:p w14:paraId="4311E5AA" w14:textId="77777777" w:rsidR="00AF7985" w:rsidRDefault="00AF7985" w:rsidP="00AF7985">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07C67A71" wp14:editId="64540456">
                  <wp:extent cx="114300" cy="114300"/>
                  <wp:effectExtent l="0" t="0" r="0" b="0"/>
                  <wp:docPr id="11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2F846A34" w14:textId="77777777" w:rsidR="006E5452" w:rsidRDefault="006E5452" w:rsidP="00AF7985">
      <w:pPr>
        <w:spacing w:before="107" w:line="232" w:lineRule="auto"/>
        <w:ind w:right="273"/>
        <w:jc w:val="both"/>
        <w:rPr>
          <w:rFonts w:ascii="Calibri" w:hAnsi="Calibri" w:cs="Calibri"/>
          <w:b/>
        </w:rPr>
      </w:pPr>
    </w:p>
    <w:p w14:paraId="266B78C3" w14:textId="149EEA04" w:rsidR="00AF7985" w:rsidRPr="006E5452" w:rsidRDefault="00AF7985" w:rsidP="00AF7985">
      <w:pPr>
        <w:spacing w:before="107" w:line="232" w:lineRule="auto"/>
        <w:ind w:right="273"/>
        <w:jc w:val="both"/>
        <w:rPr>
          <w:rFonts w:ascii="Calibri" w:hAnsi="Calibri" w:cs="Calibri"/>
          <w:b/>
        </w:rPr>
      </w:pPr>
      <w:r w:rsidRPr="006E5452">
        <w:rPr>
          <w:rFonts w:ascii="Calibri" w:hAnsi="Calibri" w:cs="Calibri"/>
          <w:b/>
        </w:rPr>
        <w:lastRenderedPageBreak/>
        <w:t>Please specify which other prudential and conduct risk(s) you expect to change with technology companies gaining significant market share in financial services in the EU in the five upcoming years:</w:t>
      </w:r>
    </w:p>
    <w:p w14:paraId="11345A28" w14:textId="77777777" w:rsidR="00AF7985" w:rsidRDefault="00AF7985" w:rsidP="00AF7985">
      <w:pPr>
        <w:pStyle w:val="Heading2"/>
        <w:spacing w:line="232" w:lineRule="auto"/>
        <w:ind w:left="0" w:right="240"/>
        <w:jc w:val="both"/>
        <w:rPr>
          <w:rFonts w:ascii="Calibri" w:hAnsi="Calibri" w:cs="Calibri"/>
          <w:b w:val="0"/>
          <w:sz w:val="22"/>
          <w:szCs w:val="22"/>
        </w:rPr>
      </w:pPr>
    </w:p>
    <w:p w14:paraId="040491CF" w14:textId="257FA6B5" w:rsidR="00AF7985" w:rsidRPr="00AF7985" w:rsidRDefault="00C25258" w:rsidP="00AF7985">
      <w:pPr>
        <w:pStyle w:val="Heading2"/>
        <w:spacing w:line="232" w:lineRule="auto"/>
        <w:ind w:left="0" w:right="240"/>
        <w:jc w:val="both"/>
        <w:rPr>
          <w:rFonts w:ascii="Calibri" w:hAnsi="Calibri" w:cs="Calibri"/>
          <w:b w:val="0"/>
          <w:sz w:val="22"/>
          <w:szCs w:val="22"/>
        </w:rPr>
      </w:pPr>
      <w:r>
        <w:rPr>
          <w:rFonts w:ascii="Calibri" w:hAnsi="Calibri" w:cs="Calibri"/>
          <w:b w:val="0"/>
          <w:sz w:val="22"/>
          <w:szCs w:val="22"/>
        </w:rPr>
        <w:t>[</w:t>
      </w:r>
      <w:r>
        <w:rPr>
          <w:rFonts w:ascii="Calibri" w:hAnsi="Calibri" w:cs="Calibri"/>
          <w:b w:val="0"/>
          <w:i/>
          <w:sz w:val="22"/>
          <w:szCs w:val="22"/>
        </w:rPr>
        <w:t>See comment above.</w:t>
      </w:r>
      <w:r>
        <w:rPr>
          <w:rFonts w:ascii="Calibri" w:hAnsi="Calibri" w:cs="Calibri"/>
          <w:b w:val="0"/>
          <w:sz w:val="22"/>
          <w:szCs w:val="22"/>
        </w:rPr>
        <w:t>]</w:t>
      </w:r>
    </w:p>
    <w:p w14:paraId="3E5A51D2" w14:textId="77777777" w:rsidR="00AF7985" w:rsidRPr="00AF7985" w:rsidRDefault="00AF7985" w:rsidP="00AF7985">
      <w:pPr>
        <w:pStyle w:val="Heading2"/>
        <w:spacing w:line="232" w:lineRule="auto"/>
        <w:ind w:left="0" w:right="240"/>
        <w:jc w:val="both"/>
        <w:rPr>
          <w:rFonts w:ascii="Calibri" w:hAnsi="Calibri" w:cs="Calibri"/>
          <w:sz w:val="22"/>
          <w:szCs w:val="22"/>
        </w:rPr>
      </w:pPr>
    </w:p>
    <w:p w14:paraId="2A01B1CB" w14:textId="77777777" w:rsidR="00AF7985" w:rsidRPr="006E5452" w:rsidRDefault="00AF7985" w:rsidP="00AF7985">
      <w:pPr>
        <w:pStyle w:val="Heading2"/>
        <w:spacing w:line="232" w:lineRule="auto"/>
        <w:ind w:left="0" w:right="240"/>
        <w:jc w:val="both"/>
        <w:rPr>
          <w:rFonts w:ascii="Calibri" w:hAnsi="Calibri" w:cs="Calibri"/>
          <w:sz w:val="24"/>
          <w:szCs w:val="24"/>
        </w:rPr>
      </w:pPr>
      <w:r w:rsidRPr="006E5452">
        <w:rPr>
          <w:rFonts w:ascii="Calibri" w:hAnsi="Calibri" w:cs="Calibri"/>
          <w:sz w:val="24"/>
          <w:szCs w:val="24"/>
        </w:rPr>
        <w:t>Question 10.1 Please explain your answer to question 10 and, if necessary, please describe how the risks would emerge, decrease or increase with the higher activity of technology companies in financial services and which market participants would face these increased risks:</w:t>
      </w:r>
    </w:p>
    <w:p w14:paraId="1E0E7DAF" w14:textId="77777777" w:rsidR="00AF7985" w:rsidRPr="00AF7985" w:rsidRDefault="00AF7985" w:rsidP="00AF7985">
      <w:pPr>
        <w:jc w:val="both"/>
        <w:rPr>
          <w:rFonts w:ascii="Calibri" w:hAnsi="Calibri" w:cs="Calibri"/>
          <w:sz w:val="22"/>
          <w:szCs w:val="22"/>
        </w:rPr>
      </w:pPr>
    </w:p>
    <w:p w14:paraId="2CF85A3F" w14:textId="206A8D56" w:rsidR="00AF7985" w:rsidRPr="00AF7985" w:rsidRDefault="00AF7985" w:rsidP="006E5452">
      <w:pPr>
        <w:spacing w:line="276" w:lineRule="auto"/>
        <w:jc w:val="both"/>
        <w:rPr>
          <w:rFonts w:ascii="Calibri" w:hAnsi="Calibri" w:cs="Calibri"/>
          <w:sz w:val="22"/>
          <w:szCs w:val="22"/>
        </w:rPr>
      </w:pPr>
      <w:r w:rsidRPr="00AF7985">
        <w:rPr>
          <w:rFonts w:ascii="Calibri" w:hAnsi="Calibri" w:cs="Calibri"/>
          <w:sz w:val="22"/>
          <w:szCs w:val="22"/>
        </w:rPr>
        <w:t xml:space="preserve">The EBA has </w:t>
      </w:r>
      <w:r w:rsidR="00240F39">
        <w:rPr>
          <w:rFonts w:ascii="Calibri" w:hAnsi="Calibri" w:cs="Calibri"/>
          <w:sz w:val="22"/>
          <w:szCs w:val="22"/>
        </w:rPr>
        <w:t>not provided</w:t>
      </w:r>
      <w:r w:rsidR="00E57172">
        <w:rPr>
          <w:rFonts w:ascii="Calibri" w:hAnsi="Calibri" w:cs="Calibri"/>
          <w:sz w:val="22"/>
          <w:szCs w:val="22"/>
        </w:rPr>
        <w:t xml:space="preserve"> a response in relation to</w:t>
      </w:r>
      <w:r w:rsidR="00240F39">
        <w:rPr>
          <w:rFonts w:ascii="Calibri" w:hAnsi="Calibri" w:cs="Calibri"/>
          <w:sz w:val="22"/>
          <w:szCs w:val="22"/>
        </w:rPr>
        <w:t xml:space="preserve"> the first part of Q</w:t>
      </w:r>
      <w:r w:rsidR="00AB5A3B">
        <w:rPr>
          <w:rFonts w:ascii="Calibri" w:hAnsi="Calibri" w:cs="Calibri"/>
          <w:sz w:val="22"/>
          <w:szCs w:val="22"/>
        </w:rPr>
        <w:t xml:space="preserve">uestion </w:t>
      </w:r>
      <w:r w:rsidR="00240F39">
        <w:rPr>
          <w:rFonts w:ascii="Calibri" w:hAnsi="Calibri" w:cs="Calibri"/>
          <w:sz w:val="22"/>
          <w:szCs w:val="22"/>
        </w:rPr>
        <w:t xml:space="preserve">10 as we </w:t>
      </w:r>
      <w:r w:rsidRPr="00AF7985">
        <w:rPr>
          <w:rFonts w:ascii="Calibri" w:hAnsi="Calibri" w:cs="Calibri"/>
          <w:sz w:val="22"/>
          <w:szCs w:val="22"/>
        </w:rPr>
        <w:t xml:space="preserve">consider the question to be </w:t>
      </w:r>
      <w:r w:rsidR="00287779">
        <w:rPr>
          <w:rFonts w:ascii="Calibri" w:hAnsi="Calibri" w:cs="Calibri"/>
          <w:sz w:val="22"/>
          <w:szCs w:val="22"/>
        </w:rPr>
        <w:t>an insufficient</w:t>
      </w:r>
      <w:r w:rsidRPr="00AF7985">
        <w:rPr>
          <w:rFonts w:ascii="Calibri" w:hAnsi="Calibri" w:cs="Calibri"/>
          <w:sz w:val="22"/>
          <w:szCs w:val="22"/>
        </w:rPr>
        <w:t xml:space="preserve"> presentation of the potential issues</w:t>
      </w:r>
      <w:r w:rsidR="00240F39">
        <w:rPr>
          <w:rFonts w:ascii="Calibri" w:hAnsi="Calibri" w:cs="Calibri"/>
          <w:sz w:val="22"/>
          <w:szCs w:val="22"/>
        </w:rPr>
        <w:t xml:space="preserve"> and do not consider any of the options presented in the table to describe </w:t>
      </w:r>
      <w:r w:rsidR="00AE1C5A">
        <w:rPr>
          <w:rFonts w:ascii="Calibri" w:hAnsi="Calibri" w:cs="Calibri"/>
          <w:sz w:val="22"/>
          <w:szCs w:val="22"/>
        </w:rPr>
        <w:t xml:space="preserve">suitably </w:t>
      </w:r>
      <w:r w:rsidR="00240F39">
        <w:rPr>
          <w:rFonts w:ascii="Calibri" w:hAnsi="Calibri" w:cs="Calibri"/>
          <w:sz w:val="22"/>
          <w:szCs w:val="22"/>
        </w:rPr>
        <w:t>the situation</w:t>
      </w:r>
      <w:r w:rsidRPr="00AF7985">
        <w:rPr>
          <w:rFonts w:ascii="Calibri" w:hAnsi="Calibri" w:cs="Calibri"/>
          <w:sz w:val="22"/>
          <w:szCs w:val="22"/>
        </w:rPr>
        <w:t>.</w:t>
      </w:r>
    </w:p>
    <w:p w14:paraId="05ADF3F4" w14:textId="77777777" w:rsidR="00AF7985" w:rsidRDefault="00AF7985" w:rsidP="006E5452">
      <w:pPr>
        <w:spacing w:line="276" w:lineRule="auto"/>
        <w:jc w:val="both"/>
        <w:rPr>
          <w:rFonts w:ascii="Calibri" w:hAnsi="Calibri" w:cs="Calibri"/>
          <w:sz w:val="22"/>
          <w:szCs w:val="22"/>
        </w:rPr>
      </w:pPr>
    </w:p>
    <w:p w14:paraId="4EAAFB27" w14:textId="1ADCC7B3" w:rsidR="00AF7985" w:rsidRPr="00AF7985" w:rsidRDefault="00240F39" w:rsidP="006E5452">
      <w:pPr>
        <w:spacing w:line="276" w:lineRule="auto"/>
        <w:jc w:val="both"/>
        <w:rPr>
          <w:rFonts w:ascii="Calibri" w:hAnsi="Calibri" w:cs="Calibri"/>
          <w:sz w:val="22"/>
          <w:szCs w:val="22"/>
        </w:rPr>
      </w:pPr>
      <w:r>
        <w:rPr>
          <w:rFonts w:ascii="Calibri" w:hAnsi="Calibri" w:cs="Calibri"/>
          <w:sz w:val="22"/>
          <w:szCs w:val="22"/>
        </w:rPr>
        <w:t>However, by way of general remarks,</w:t>
      </w:r>
      <w:r w:rsidR="00AF7985" w:rsidRPr="00AF7985">
        <w:rPr>
          <w:rFonts w:ascii="Calibri" w:hAnsi="Calibri" w:cs="Calibri"/>
          <w:sz w:val="22"/>
          <w:szCs w:val="22"/>
        </w:rPr>
        <w:t xml:space="preserve"> the EBA notes that any firm intending to carry out </w:t>
      </w:r>
      <w:r w:rsidR="00AE1C5A">
        <w:rPr>
          <w:rFonts w:ascii="Calibri" w:hAnsi="Calibri" w:cs="Calibri"/>
          <w:sz w:val="22"/>
          <w:szCs w:val="22"/>
        </w:rPr>
        <w:t>deposit-taking</w:t>
      </w:r>
      <w:r w:rsidR="00AF7985" w:rsidRPr="00AF7985">
        <w:rPr>
          <w:rFonts w:ascii="Calibri" w:hAnsi="Calibri" w:cs="Calibri"/>
          <w:sz w:val="22"/>
          <w:szCs w:val="22"/>
        </w:rPr>
        <w:t>,</w:t>
      </w:r>
      <w:r w:rsidR="006425EB">
        <w:rPr>
          <w:rFonts w:ascii="Calibri" w:hAnsi="Calibri" w:cs="Calibri"/>
          <w:sz w:val="22"/>
          <w:szCs w:val="22"/>
        </w:rPr>
        <w:t xml:space="preserve"> investment,</w:t>
      </w:r>
      <w:r w:rsidR="00AF7985" w:rsidRPr="00AF7985">
        <w:rPr>
          <w:rFonts w:ascii="Calibri" w:hAnsi="Calibri" w:cs="Calibri"/>
          <w:sz w:val="22"/>
          <w:szCs w:val="22"/>
        </w:rPr>
        <w:t xml:space="preserve"> payments or e-money services in the EU must first obtain the appropriate</w:t>
      </w:r>
      <w:r w:rsidR="00AF7985" w:rsidRPr="004578EA">
        <w:rPr>
          <w:rFonts w:ascii="Calibri" w:hAnsi="Calibri" w:cs="Calibri"/>
          <w:sz w:val="22"/>
          <w:szCs w:val="22"/>
          <w:lang w:val="en-GB"/>
        </w:rPr>
        <w:t xml:space="preserve"> licence</w:t>
      </w:r>
      <w:r w:rsidR="00AF7985" w:rsidRPr="00AF7985">
        <w:rPr>
          <w:rFonts w:ascii="Calibri" w:hAnsi="Calibri" w:cs="Calibri"/>
          <w:sz w:val="22"/>
          <w:szCs w:val="22"/>
        </w:rPr>
        <w:t xml:space="preserve"> under EU law. Therefore, regardless of the identity of the provider of the service, the same regulatory requirements will apply to each </w:t>
      </w:r>
      <w:r w:rsidR="00AE1C5A">
        <w:rPr>
          <w:rFonts w:ascii="Calibri" w:hAnsi="Calibri" w:cs="Calibri"/>
          <w:sz w:val="22"/>
          <w:szCs w:val="22"/>
        </w:rPr>
        <w:t>firm holding the</w:t>
      </w:r>
      <w:r w:rsidR="006425EB">
        <w:rPr>
          <w:rFonts w:ascii="Calibri" w:hAnsi="Calibri" w:cs="Calibri"/>
          <w:sz w:val="22"/>
          <w:szCs w:val="22"/>
        </w:rPr>
        <w:t xml:space="preserve"> </w:t>
      </w:r>
      <w:r w:rsidR="00AE1C5A">
        <w:rPr>
          <w:rFonts w:ascii="Calibri" w:hAnsi="Calibri" w:cs="Calibri"/>
          <w:sz w:val="22"/>
          <w:szCs w:val="22"/>
        </w:rPr>
        <w:t>relevant</w:t>
      </w:r>
      <w:r w:rsidR="006425EB" w:rsidRPr="004578EA">
        <w:rPr>
          <w:rFonts w:ascii="Calibri" w:hAnsi="Calibri" w:cs="Calibri"/>
          <w:sz w:val="22"/>
          <w:szCs w:val="22"/>
          <w:lang w:val="en-GB"/>
        </w:rPr>
        <w:t xml:space="preserve"> </w:t>
      </w:r>
      <w:r w:rsidR="00AF7985" w:rsidRPr="004578EA">
        <w:rPr>
          <w:rFonts w:ascii="Calibri" w:hAnsi="Calibri" w:cs="Calibri"/>
          <w:sz w:val="22"/>
          <w:szCs w:val="22"/>
          <w:lang w:val="en-GB"/>
        </w:rPr>
        <w:t>licence</w:t>
      </w:r>
      <w:r w:rsidR="00AF7985" w:rsidRPr="00AF7985">
        <w:rPr>
          <w:rFonts w:ascii="Calibri" w:hAnsi="Calibri" w:cs="Calibri"/>
          <w:sz w:val="22"/>
          <w:szCs w:val="22"/>
        </w:rPr>
        <w:t xml:space="preserve"> type.</w:t>
      </w:r>
    </w:p>
    <w:p w14:paraId="1071DFF6" w14:textId="38AF6B1F" w:rsidR="00AF7985" w:rsidRDefault="00AE1C5A" w:rsidP="0089757A">
      <w:pPr>
        <w:pStyle w:val="bullet1"/>
        <w:numPr>
          <w:ilvl w:val="0"/>
          <w:numId w:val="0"/>
        </w:numPr>
        <w:spacing w:after="0"/>
        <w:rPr>
          <w:rFonts w:ascii="Calibri" w:hAnsi="Calibri" w:cs="Calibri"/>
        </w:rPr>
      </w:pPr>
      <w:r>
        <w:rPr>
          <w:rFonts w:ascii="Calibri" w:hAnsi="Calibri" w:cs="Calibri"/>
        </w:rPr>
        <w:t>I</w:t>
      </w:r>
      <w:r w:rsidR="00AF7985" w:rsidRPr="00AF7985">
        <w:rPr>
          <w:rFonts w:ascii="Calibri" w:hAnsi="Calibri" w:cs="Calibri"/>
        </w:rPr>
        <w:t>n order to ensure</w:t>
      </w:r>
      <w:r w:rsidR="002C19E3">
        <w:rPr>
          <w:rFonts w:ascii="Calibri" w:hAnsi="Calibri" w:cs="Calibri"/>
        </w:rPr>
        <w:t xml:space="preserve"> that</w:t>
      </w:r>
      <w:r w:rsidR="00AF7985" w:rsidRPr="00AF7985">
        <w:rPr>
          <w:rFonts w:ascii="Calibri" w:hAnsi="Calibri" w:cs="Calibri"/>
        </w:rPr>
        <w:t xml:space="preserve"> the regulatory framework remains fit-for-purpose, the EBA is continuously monitoring the regulatory perimeter and, in 2020, will carry out work focusing on the role of digital platforms in financial services provision with </w:t>
      </w:r>
      <w:r>
        <w:rPr>
          <w:rFonts w:ascii="Calibri" w:hAnsi="Calibri" w:cs="Calibri"/>
        </w:rPr>
        <w:t>the</w:t>
      </w:r>
      <w:r w:rsidR="00AF7985" w:rsidRPr="00AF7985">
        <w:rPr>
          <w:rFonts w:ascii="Calibri" w:hAnsi="Calibri" w:cs="Calibri"/>
        </w:rPr>
        <w:t xml:space="preserve"> specific objective</w:t>
      </w:r>
      <w:r>
        <w:rPr>
          <w:rFonts w:ascii="Calibri" w:hAnsi="Calibri" w:cs="Calibri"/>
        </w:rPr>
        <w:t>s</w:t>
      </w:r>
      <w:r w:rsidR="00AF7985" w:rsidRPr="00AF7985">
        <w:rPr>
          <w:rFonts w:ascii="Calibri" w:hAnsi="Calibri" w:cs="Calibri"/>
        </w:rPr>
        <w:t xml:space="preserve"> of </w:t>
      </w:r>
      <w:r>
        <w:rPr>
          <w:rFonts w:ascii="Calibri" w:hAnsi="Calibri" w:cs="Calibri"/>
        </w:rPr>
        <w:t xml:space="preserve">(i) </w:t>
      </w:r>
      <w:r w:rsidR="002611DB" w:rsidRPr="00AF7985">
        <w:rPr>
          <w:rFonts w:ascii="Calibri" w:hAnsi="Calibri" w:cs="Calibri"/>
        </w:rPr>
        <w:t xml:space="preserve">assessing </w:t>
      </w:r>
      <w:r w:rsidR="00AF7985" w:rsidRPr="00AF7985">
        <w:rPr>
          <w:rFonts w:ascii="Calibri" w:hAnsi="Calibri" w:cs="Calibri"/>
        </w:rPr>
        <w:t>whether emerging bundles of activity are regulated in a comparable manner</w:t>
      </w:r>
      <w:r>
        <w:rPr>
          <w:rFonts w:ascii="Calibri" w:hAnsi="Calibri" w:cs="Calibri"/>
        </w:rPr>
        <w:t xml:space="preserve">, (ii) </w:t>
      </w:r>
      <w:r w:rsidR="002611DB">
        <w:rPr>
          <w:rFonts w:ascii="Calibri" w:hAnsi="Calibri" w:cs="Calibri"/>
        </w:rPr>
        <w:t xml:space="preserve">reviewing </w:t>
      </w:r>
      <w:r>
        <w:rPr>
          <w:rFonts w:ascii="Calibri" w:hAnsi="Calibri" w:cs="Calibri"/>
        </w:rPr>
        <w:t xml:space="preserve">consumer protection </w:t>
      </w:r>
      <w:r w:rsidR="0089757A">
        <w:rPr>
          <w:rFonts w:ascii="Calibri" w:hAnsi="Calibri" w:cs="Calibri"/>
        </w:rPr>
        <w:t xml:space="preserve">and conduct of business </w:t>
      </w:r>
      <w:r>
        <w:rPr>
          <w:rFonts w:ascii="Calibri" w:hAnsi="Calibri" w:cs="Calibri"/>
        </w:rPr>
        <w:t xml:space="preserve">aspects (e.g. </w:t>
      </w:r>
      <w:r w:rsidR="003C7954">
        <w:rPr>
          <w:rFonts w:ascii="Calibri" w:hAnsi="Calibri" w:cs="Calibri"/>
        </w:rPr>
        <w:t xml:space="preserve">conflicts of interest management, </w:t>
      </w:r>
      <w:r>
        <w:rPr>
          <w:rFonts w:ascii="Calibri" w:hAnsi="Calibri" w:cs="Calibri"/>
        </w:rPr>
        <w:t>disclosures</w:t>
      </w:r>
      <w:r w:rsidR="003C7954">
        <w:rPr>
          <w:rFonts w:ascii="Calibri" w:hAnsi="Calibri" w:cs="Calibri"/>
        </w:rPr>
        <w:t>,</w:t>
      </w:r>
      <w:r>
        <w:rPr>
          <w:rFonts w:ascii="Calibri" w:hAnsi="Calibri" w:cs="Calibri"/>
        </w:rPr>
        <w:t xml:space="preserve"> complaints and redress arrangements), interconnectedness and operational resilience aspects,</w:t>
      </w:r>
      <w:r w:rsidR="00AF7985" w:rsidRPr="00AF7985">
        <w:rPr>
          <w:rFonts w:ascii="Calibri" w:hAnsi="Calibri" w:cs="Calibri"/>
        </w:rPr>
        <w:t xml:space="preserve"> and</w:t>
      </w:r>
      <w:r>
        <w:rPr>
          <w:rFonts w:ascii="Calibri" w:hAnsi="Calibri" w:cs="Calibri"/>
        </w:rPr>
        <w:t xml:space="preserve"> (iii) considering</w:t>
      </w:r>
      <w:r w:rsidR="00AF7985" w:rsidRPr="00AF7985">
        <w:rPr>
          <w:rFonts w:ascii="Calibri" w:hAnsi="Calibri" w:cs="Calibri"/>
        </w:rPr>
        <w:t xml:space="preserve"> if existing approaches toward consolidated supervision remain fit for purpose and technology neutral.</w:t>
      </w:r>
    </w:p>
    <w:p w14:paraId="686025C1" w14:textId="4B9548C9" w:rsidR="00240F39" w:rsidRDefault="00240F39" w:rsidP="00240F39"/>
    <w:p w14:paraId="39162189" w14:textId="19046CB1" w:rsidR="00240F39" w:rsidRDefault="00240F39" w:rsidP="00240F39">
      <w:pPr>
        <w:spacing w:line="276" w:lineRule="auto"/>
        <w:jc w:val="both"/>
        <w:rPr>
          <w:rFonts w:ascii="Calibri" w:hAnsi="Calibri" w:cs="Calibri"/>
          <w:sz w:val="22"/>
          <w:szCs w:val="22"/>
        </w:rPr>
      </w:pPr>
      <w:r w:rsidRPr="00240F39">
        <w:rPr>
          <w:rFonts w:ascii="Calibri" w:hAnsi="Calibri" w:cs="Calibri"/>
          <w:sz w:val="22"/>
          <w:szCs w:val="22"/>
        </w:rPr>
        <w:t>Turning specifically to the impact of the application of new technologies and processes for the delivery of financial services on market, liquidity</w:t>
      </w:r>
      <w:r w:rsidR="00807AA7">
        <w:rPr>
          <w:rFonts w:ascii="Calibri" w:hAnsi="Calibri" w:cs="Calibri"/>
          <w:sz w:val="22"/>
          <w:szCs w:val="22"/>
        </w:rPr>
        <w:t>, operational (including conduct)</w:t>
      </w:r>
      <w:r w:rsidRPr="00240F39">
        <w:rPr>
          <w:rFonts w:ascii="Calibri" w:hAnsi="Calibri" w:cs="Calibri"/>
          <w:sz w:val="22"/>
          <w:szCs w:val="22"/>
        </w:rPr>
        <w:t xml:space="preserve"> and other risks, the EBA notes that it is quite possible</w:t>
      </w:r>
      <w:r w:rsidR="002C19E3">
        <w:rPr>
          <w:rFonts w:ascii="Calibri" w:hAnsi="Calibri" w:cs="Calibri"/>
          <w:sz w:val="22"/>
          <w:szCs w:val="22"/>
        </w:rPr>
        <w:t xml:space="preserve"> that</w:t>
      </w:r>
      <w:r w:rsidRPr="00240F39">
        <w:rPr>
          <w:rFonts w:ascii="Calibri" w:hAnsi="Calibri" w:cs="Calibri"/>
          <w:sz w:val="22"/>
          <w:szCs w:val="22"/>
        </w:rPr>
        <w:t xml:space="preserve"> digital transformation may impact</w:t>
      </w:r>
      <w:r w:rsidR="006425EB">
        <w:rPr>
          <w:rFonts w:ascii="Calibri" w:hAnsi="Calibri" w:cs="Calibri"/>
          <w:sz w:val="22"/>
          <w:szCs w:val="22"/>
        </w:rPr>
        <w:t xml:space="preserve"> these</w:t>
      </w:r>
      <w:r w:rsidRPr="00240F39">
        <w:rPr>
          <w:rFonts w:ascii="Calibri" w:hAnsi="Calibri" w:cs="Calibri"/>
          <w:sz w:val="22"/>
          <w:szCs w:val="22"/>
        </w:rPr>
        <w:t xml:space="preserve"> risk</w:t>
      </w:r>
      <w:r w:rsidR="006425EB">
        <w:rPr>
          <w:rFonts w:ascii="Calibri" w:hAnsi="Calibri" w:cs="Calibri"/>
          <w:sz w:val="22"/>
          <w:szCs w:val="22"/>
        </w:rPr>
        <w:t>s</w:t>
      </w:r>
      <w:r w:rsidRPr="00240F39">
        <w:rPr>
          <w:rFonts w:ascii="Calibri" w:hAnsi="Calibri" w:cs="Calibri"/>
          <w:sz w:val="22"/>
          <w:szCs w:val="22"/>
        </w:rPr>
        <w:t xml:space="preserve"> (potentially increasing or decreasing risk depending on a wide range of factors such as scale of application, relevant market, consumer behavior</w:t>
      </w:r>
      <w:r w:rsidR="006425EB">
        <w:rPr>
          <w:rFonts w:ascii="Calibri" w:hAnsi="Calibri" w:cs="Calibri"/>
          <w:sz w:val="22"/>
          <w:szCs w:val="22"/>
        </w:rPr>
        <w:t>, market concentration</w:t>
      </w:r>
      <w:r w:rsidRPr="004578EA">
        <w:rPr>
          <w:rFonts w:ascii="Calibri" w:hAnsi="Calibri" w:cs="Calibri"/>
          <w:sz w:val="22"/>
          <w:szCs w:val="22"/>
          <w:lang w:val="en-GB"/>
        </w:rPr>
        <w:t xml:space="preserve"> etc</w:t>
      </w:r>
      <w:r w:rsidRPr="00240F39">
        <w:rPr>
          <w:rFonts w:ascii="Calibri" w:hAnsi="Calibri" w:cs="Calibri"/>
          <w:sz w:val="22"/>
          <w:szCs w:val="22"/>
        </w:rPr>
        <w:t xml:space="preserve">). However, this is not so much a factor of </w:t>
      </w:r>
      <w:r w:rsidRPr="00240F39">
        <w:rPr>
          <w:rFonts w:ascii="Calibri" w:hAnsi="Calibri" w:cs="Calibri"/>
          <w:i/>
          <w:sz w:val="22"/>
          <w:szCs w:val="22"/>
        </w:rPr>
        <w:t>who</w:t>
      </w:r>
      <w:r w:rsidRPr="00240F39">
        <w:rPr>
          <w:rFonts w:ascii="Calibri" w:hAnsi="Calibri" w:cs="Calibri"/>
          <w:sz w:val="22"/>
          <w:szCs w:val="22"/>
        </w:rPr>
        <w:t xml:space="preserve"> is using the technologies, but rather </w:t>
      </w:r>
      <w:r w:rsidRPr="00240F39">
        <w:rPr>
          <w:rFonts w:ascii="Calibri" w:hAnsi="Calibri" w:cs="Calibri"/>
          <w:i/>
          <w:sz w:val="22"/>
          <w:szCs w:val="22"/>
        </w:rPr>
        <w:t xml:space="preserve">how </w:t>
      </w:r>
      <w:r w:rsidRPr="00240F39">
        <w:rPr>
          <w:rFonts w:ascii="Calibri" w:hAnsi="Calibri" w:cs="Calibri"/>
          <w:sz w:val="22"/>
          <w:szCs w:val="22"/>
        </w:rPr>
        <w:t>the</w:t>
      </w:r>
      <w:r w:rsidR="00287779">
        <w:rPr>
          <w:rFonts w:ascii="Calibri" w:hAnsi="Calibri" w:cs="Calibri"/>
          <w:sz w:val="22"/>
          <w:szCs w:val="22"/>
        </w:rPr>
        <w:t>y</w:t>
      </w:r>
      <w:r w:rsidRPr="00240F39">
        <w:rPr>
          <w:rFonts w:ascii="Calibri" w:hAnsi="Calibri" w:cs="Calibri"/>
          <w:sz w:val="22"/>
          <w:szCs w:val="22"/>
        </w:rPr>
        <w:t xml:space="preserve"> are applied. For instance, </w:t>
      </w:r>
      <w:r>
        <w:rPr>
          <w:rFonts w:ascii="Calibri" w:hAnsi="Calibri" w:cs="Calibri"/>
          <w:sz w:val="22"/>
          <w:szCs w:val="22"/>
        </w:rPr>
        <w:t>it is well</w:t>
      </w:r>
      <w:r w:rsidRPr="004578EA">
        <w:rPr>
          <w:rFonts w:ascii="Calibri" w:hAnsi="Calibri" w:cs="Calibri"/>
          <w:sz w:val="22"/>
          <w:szCs w:val="22"/>
          <w:lang w:val="en-GB"/>
        </w:rPr>
        <w:t>-recognised</w:t>
      </w:r>
      <w:r>
        <w:rPr>
          <w:rFonts w:ascii="Calibri" w:hAnsi="Calibri" w:cs="Calibri"/>
          <w:sz w:val="22"/>
          <w:szCs w:val="22"/>
        </w:rPr>
        <w:t xml:space="preserve"> that the dynamics created as a result of technologies applied to facilitate faster payments necessarily allow consumers to make faster withdrawals with an impact for liquidity modelling. Therefore, as is the case for the regulatory perimeter, market developments need to be continuously monitored to ensure regulatory requirements are </w:t>
      </w:r>
      <w:r w:rsidR="00C33C5D">
        <w:rPr>
          <w:rFonts w:ascii="Calibri" w:hAnsi="Calibri" w:cs="Calibri"/>
          <w:sz w:val="22"/>
          <w:szCs w:val="22"/>
        </w:rPr>
        <w:t xml:space="preserve">calibrated </w:t>
      </w:r>
      <w:r>
        <w:rPr>
          <w:rFonts w:ascii="Calibri" w:hAnsi="Calibri" w:cs="Calibri"/>
          <w:sz w:val="22"/>
          <w:szCs w:val="22"/>
        </w:rPr>
        <w:t xml:space="preserve">appropriately to mitigate any changed or new risks emerging from the application of new technologies. </w:t>
      </w:r>
    </w:p>
    <w:p w14:paraId="1C0EA207" w14:textId="64CF5D68" w:rsidR="006425EB" w:rsidRDefault="006425EB" w:rsidP="00240F39">
      <w:pPr>
        <w:spacing w:line="276" w:lineRule="auto"/>
        <w:jc w:val="both"/>
        <w:rPr>
          <w:rFonts w:ascii="Calibri" w:hAnsi="Calibri" w:cs="Calibri"/>
          <w:sz w:val="22"/>
          <w:szCs w:val="22"/>
        </w:rPr>
      </w:pPr>
    </w:p>
    <w:p w14:paraId="40E365CC" w14:textId="3BFF1D7F" w:rsidR="00067D9A" w:rsidRPr="00BC2D22" w:rsidRDefault="00AE1C5A" w:rsidP="00067D9A">
      <w:pPr>
        <w:spacing w:line="276" w:lineRule="auto"/>
        <w:jc w:val="both"/>
      </w:pPr>
      <w:r>
        <w:rPr>
          <w:rFonts w:ascii="Calibri" w:hAnsi="Calibri" w:cs="Calibri"/>
          <w:sz w:val="22"/>
          <w:szCs w:val="22"/>
        </w:rPr>
        <w:t>For completeness</w:t>
      </w:r>
      <w:r w:rsidR="002C19E3">
        <w:rPr>
          <w:rFonts w:ascii="Calibri" w:hAnsi="Calibri" w:cs="Calibri"/>
          <w:sz w:val="22"/>
          <w:szCs w:val="22"/>
        </w:rPr>
        <w:t>,</w:t>
      </w:r>
      <w:r>
        <w:rPr>
          <w:rFonts w:ascii="Calibri" w:hAnsi="Calibri" w:cs="Calibri"/>
          <w:sz w:val="22"/>
          <w:szCs w:val="22"/>
        </w:rPr>
        <w:t xml:space="preserve"> t</w:t>
      </w:r>
      <w:r w:rsidR="006425EB">
        <w:rPr>
          <w:rFonts w:ascii="Calibri" w:hAnsi="Calibri" w:cs="Calibri"/>
          <w:sz w:val="22"/>
          <w:szCs w:val="22"/>
        </w:rPr>
        <w:t xml:space="preserve">he EBA also </w:t>
      </w:r>
      <w:r>
        <w:rPr>
          <w:rFonts w:ascii="Calibri" w:hAnsi="Calibri" w:cs="Calibri"/>
          <w:sz w:val="22"/>
          <w:szCs w:val="22"/>
        </w:rPr>
        <w:t>draws attention</w:t>
      </w:r>
      <w:r w:rsidR="006425EB">
        <w:rPr>
          <w:rFonts w:ascii="Calibri" w:hAnsi="Calibri" w:cs="Calibri"/>
          <w:sz w:val="22"/>
          <w:szCs w:val="22"/>
        </w:rPr>
        <w:t xml:space="preserve"> to its response to Question 11 </w:t>
      </w:r>
      <w:r>
        <w:rPr>
          <w:rFonts w:ascii="Calibri" w:hAnsi="Calibri" w:cs="Calibri"/>
          <w:sz w:val="22"/>
          <w:szCs w:val="22"/>
        </w:rPr>
        <w:t>and</w:t>
      </w:r>
      <w:r w:rsidR="006425EB">
        <w:rPr>
          <w:rFonts w:ascii="Calibri" w:hAnsi="Calibri" w:cs="Calibri"/>
          <w:sz w:val="22"/>
          <w:szCs w:val="22"/>
        </w:rPr>
        <w:t xml:space="preserve"> the impact on incumbent institutions.</w:t>
      </w:r>
      <w:r w:rsidR="00067D9A">
        <w:rPr>
          <w:rFonts w:ascii="Calibri" w:hAnsi="Calibri" w:cs="Calibri"/>
          <w:sz w:val="22"/>
          <w:szCs w:val="22"/>
        </w:rPr>
        <w:t xml:space="preserve"> In particular, the EBA notes that increased access to the financial services </w:t>
      </w:r>
      <w:r w:rsidR="00067D9A">
        <w:rPr>
          <w:rFonts w:ascii="Calibri" w:hAnsi="Calibri" w:cs="Calibri"/>
          <w:sz w:val="22"/>
          <w:szCs w:val="22"/>
        </w:rPr>
        <w:lastRenderedPageBreak/>
        <w:t>sector by technology companies, either directly or by establishing group companies, may, in the short term, increase the number of participants in the financial sector. However, longer term, competition within the sector may be impaired if</w:t>
      </w:r>
      <w:r w:rsidR="00BC2D22">
        <w:rPr>
          <w:rFonts w:ascii="Calibri" w:hAnsi="Calibri" w:cs="Calibri"/>
          <w:sz w:val="22"/>
          <w:szCs w:val="22"/>
        </w:rPr>
        <w:t xml:space="preserve"> a very wide varie</w:t>
      </w:r>
      <w:r>
        <w:rPr>
          <w:rFonts w:ascii="Calibri" w:hAnsi="Calibri" w:cs="Calibri"/>
          <w:sz w:val="22"/>
          <w:szCs w:val="22"/>
        </w:rPr>
        <w:t>ty of financial and non-financial customer data is</w:t>
      </w:r>
      <w:r w:rsidRPr="004578EA">
        <w:rPr>
          <w:rFonts w:ascii="Calibri" w:hAnsi="Calibri" w:cs="Calibri"/>
          <w:sz w:val="22"/>
          <w:szCs w:val="22"/>
          <w:lang w:val="en-GB"/>
        </w:rPr>
        <w:t xml:space="preserve"> monopolis</w:t>
      </w:r>
      <w:r w:rsidR="00BC2D22" w:rsidRPr="004578EA">
        <w:rPr>
          <w:rFonts w:ascii="Calibri" w:hAnsi="Calibri" w:cs="Calibri"/>
          <w:sz w:val="22"/>
          <w:szCs w:val="22"/>
          <w:lang w:val="en-GB"/>
        </w:rPr>
        <w:t>ed</w:t>
      </w:r>
      <w:r w:rsidR="00BC2D22">
        <w:rPr>
          <w:rFonts w:ascii="Calibri" w:hAnsi="Calibri" w:cs="Calibri"/>
          <w:sz w:val="22"/>
          <w:szCs w:val="22"/>
        </w:rPr>
        <w:t xml:space="preserve"> by a small number of market participants.</w:t>
      </w:r>
      <w:r w:rsidR="00BC2D22">
        <w:t xml:space="preserve"> </w:t>
      </w:r>
    </w:p>
    <w:p w14:paraId="7BA99D35" w14:textId="56E50B45" w:rsidR="00AF7985" w:rsidRDefault="00AF7985" w:rsidP="00AF7985">
      <w:pPr>
        <w:jc w:val="both"/>
        <w:rPr>
          <w:rFonts w:ascii="Calibri" w:hAnsi="Calibri" w:cs="Calibri"/>
          <w:sz w:val="22"/>
          <w:szCs w:val="22"/>
        </w:rPr>
      </w:pPr>
    </w:p>
    <w:p w14:paraId="295116A1" w14:textId="6F3E1C40" w:rsidR="009968AD" w:rsidRPr="009968AD" w:rsidRDefault="009968AD" w:rsidP="009968AD">
      <w:pPr>
        <w:tabs>
          <w:tab w:val="left" w:pos="1457"/>
          <w:tab w:val="left" w:pos="2729"/>
          <w:tab w:val="left" w:pos="8789"/>
          <w:tab w:val="left" w:pos="9084"/>
        </w:tabs>
        <w:spacing w:before="89"/>
        <w:ind w:right="-8"/>
        <w:jc w:val="both"/>
        <w:rPr>
          <w:rFonts w:ascii="Calibri" w:hAnsi="Calibri" w:cs="Calibri"/>
          <w:b/>
        </w:rPr>
      </w:pPr>
      <w:r w:rsidRPr="009968AD">
        <w:rPr>
          <w:rFonts w:ascii="Calibri" w:hAnsi="Calibri" w:cs="Calibri"/>
          <w:b/>
          <w:spacing w:val="4"/>
        </w:rPr>
        <w:t xml:space="preserve">Question </w:t>
      </w:r>
      <w:r w:rsidRPr="009968AD">
        <w:rPr>
          <w:rFonts w:ascii="Calibri" w:hAnsi="Calibri" w:cs="Calibri"/>
          <w:b/>
          <w:spacing w:val="3"/>
        </w:rPr>
        <w:t xml:space="preserve">11. </w:t>
      </w:r>
      <w:r w:rsidRPr="009968AD">
        <w:rPr>
          <w:rFonts w:ascii="Calibri" w:hAnsi="Calibri" w:cs="Calibri"/>
          <w:b/>
          <w:spacing w:val="4"/>
        </w:rPr>
        <w:t xml:space="preserve">Which consumer risks </w:t>
      </w:r>
      <w:r w:rsidRPr="009968AD">
        <w:rPr>
          <w:rFonts w:ascii="Calibri" w:hAnsi="Calibri" w:cs="Calibri"/>
          <w:b/>
          <w:spacing w:val="2"/>
        </w:rPr>
        <w:t xml:space="preserve">do </w:t>
      </w:r>
      <w:r w:rsidRPr="009968AD">
        <w:rPr>
          <w:rFonts w:ascii="Calibri" w:hAnsi="Calibri" w:cs="Calibri"/>
          <w:b/>
          <w:spacing w:val="3"/>
        </w:rPr>
        <w:t xml:space="preserve">you </w:t>
      </w:r>
      <w:r w:rsidRPr="009968AD">
        <w:rPr>
          <w:rFonts w:ascii="Calibri" w:hAnsi="Calibri" w:cs="Calibri"/>
          <w:b/>
          <w:spacing w:val="4"/>
        </w:rPr>
        <w:t xml:space="preserve">expect </w:t>
      </w:r>
      <w:r w:rsidRPr="009968AD">
        <w:rPr>
          <w:rFonts w:ascii="Calibri" w:hAnsi="Calibri" w:cs="Calibri"/>
          <w:b/>
          <w:spacing w:val="2"/>
        </w:rPr>
        <w:t xml:space="preserve">to </w:t>
      </w:r>
      <w:r w:rsidRPr="009968AD">
        <w:rPr>
          <w:rFonts w:ascii="Calibri" w:hAnsi="Calibri" w:cs="Calibri"/>
          <w:b/>
          <w:spacing w:val="4"/>
        </w:rPr>
        <w:t xml:space="preserve">change </w:t>
      </w:r>
      <w:r w:rsidRPr="009968AD">
        <w:rPr>
          <w:rFonts w:ascii="Calibri" w:hAnsi="Calibri" w:cs="Calibri"/>
          <w:b/>
          <w:spacing w:val="3"/>
        </w:rPr>
        <w:t xml:space="preserve">when </w:t>
      </w:r>
      <w:r w:rsidRPr="009968AD">
        <w:rPr>
          <w:rFonts w:ascii="Calibri" w:hAnsi="Calibri" w:cs="Calibri"/>
          <w:b/>
        </w:rPr>
        <w:t>technology companies gain significant market share in financial services in the EU in the five upcoming years?</w:t>
      </w:r>
      <w:r w:rsidRPr="009968AD">
        <w:rPr>
          <w:rFonts w:ascii="Calibri" w:hAnsi="Calibri" w:cs="Calibri"/>
          <w:b/>
          <w:spacing w:val="-34"/>
        </w:rPr>
        <w:t xml:space="preserve"> </w:t>
      </w:r>
    </w:p>
    <w:p w14:paraId="67FBDB7E" w14:textId="5ABBC505" w:rsidR="008D1013" w:rsidRDefault="008D1013" w:rsidP="009968AD">
      <w:pPr>
        <w:pStyle w:val="BodyText"/>
        <w:tabs>
          <w:tab w:val="left" w:pos="8789"/>
        </w:tabs>
        <w:spacing w:before="3"/>
        <w:ind w:right="-8"/>
        <w:jc w:val="both"/>
        <w:rPr>
          <w:rFonts w:ascii="Calibri" w:hAnsi="Calibri" w:cs="Calibri"/>
          <w:b/>
          <w:sz w:val="24"/>
          <w:szCs w:val="24"/>
        </w:rPr>
      </w:pPr>
    </w:p>
    <w:p w14:paraId="70822ED9" w14:textId="221BC84A" w:rsidR="008D1013" w:rsidRDefault="008D1013" w:rsidP="008D1013">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b w:val="0"/>
          <w:sz w:val="24"/>
          <w:szCs w:val="24"/>
        </w:rPr>
      </w:pPr>
      <w:r w:rsidRPr="00810752">
        <w:rPr>
          <w:rFonts w:ascii="Calibri" w:hAnsi="Calibri" w:cs="Calibri"/>
          <w:b w:val="0"/>
          <w:sz w:val="24"/>
          <w:szCs w:val="24"/>
        </w:rPr>
        <w:t>[</w:t>
      </w:r>
      <w:r w:rsidRPr="00810752">
        <w:rPr>
          <w:rFonts w:ascii="Calibri" w:hAnsi="Calibri" w:cs="Calibri"/>
          <w:b w:val="0"/>
          <w:i/>
          <w:sz w:val="24"/>
          <w:szCs w:val="24"/>
        </w:rPr>
        <w:t>We do not propose to respond to</w:t>
      </w:r>
      <w:r w:rsidR="00810752" w:rsidRPr="00810752">
        <w:rPr>
          <w:rFonts w:ascii="Calibri" w:hAnsi="Calibri" w:cs="Calibri"/>
          <w:b w:val="0"/>
          <w:i/>
          <w:sz w:val="24"/>
          <w:szCs w:val="24"/>
        </w:rPr>
        <w:t xml:space="preserve"> some risk factors as identified in the table for the same reason as stated for the table under Q10</w:t>
      </w:r>
      <w:r w:rsidR="00810752">
        <w:rPr>
          <w:rFonts w:ascii="Calibri" w:hAnsi="Calibri" w:cs="Calibri"/>
          <w:b w:val="0"/>
          <w:i/>
          <w:sz w:val="24"/>
          <w:szCs w:val="24"/>
        </w:rPr>
        <w:t xml:space="preserve"> and in view of the mandate of the EBA</w:t>
      </w:r>
      <w:r w:rsidRPr="00810752">
        <w:rPr>
          <w:rFonts w:ascii="Calibri" w:hAnsi="Calibri" w:cs="Calibri"/>
          <w:b w:val="0"/>
          <w:i/>
          <w:sz w:val="24"/>
          <w:szCs w:val="24"/>
        </w:rPr>
        <w:t>.</w:t>
      </w:r>
      <w:r w:rsidRPr="00810752">
        <w:rPr>
          <w:rFonts w:ascii="Calibri" w:hAnsi="Calibri" w:cs="Calibri"/>
          <w:b w:val="0"/>
          <w:sz w:val="24"/>
          <w:szCs w:val="24"/>
        </w:rPr>
        <w:t>]</w:t>
      </w:r>
    </w:p>
    <w:p w14:paraId="70703114" w14:textId="77777777" w:rsidR="008D1013" w:rsidRPr="009968AD" w:rsidRDefault="008D1013" w:rsidP="009968AD">
      <w:pPr>
        <w:pStyle w:val="BodyText"/>
        <w:tabs>
          <w:tab w:val="left" w:pos="8789"/>
        </w:tabs>
        <w:spacing w:before="3"/>
        <w:ind w:right="-8"/>
        <w:jc w:val="both"/>
        <w:rPr>
          <w:rFonts w:ascii="Calibri" w:hAnsi="Calibri" w:cs="Calibri"/>
          <w:b/>
          <w:sz w:val="24"/>
          <w:szCs w:val="24"/>
        </w:rPr>
      </w:pPr>
    </w:p>
    <w:p w14:paraId="2992C276" w14:textId="77777777" w:rsidR="009968AD" w:rsidRPr="009968AD" w:rsidRDefault="009968AD" w:rsidP="009968AD">
      <w:pPr>
        <w:tabs>
          <w:tab w:val="left" w:pos="8789"/>
        </w:tabs>
        <w:ind w:right="-8"/>
        <w:jc w:val="both"/>
        <w:rPr>
          <w:rFonts w:ascii="Calibri" w:hAnsi="Calibri" w:cs="Calibri"/>
          <w:b/>
        </w:rPr>
      </w:pPr>
      <w:r w:rsidRPr="009968AD">
        <w:rPr>
          <w:rFonts w:ascii="Calibri" w:hAnsi="Calibri" w:cs="Calibri"/>
          <w:b/>
        </w:rPr>
        <w:t>Please rate each proposal from 1 to 5:</w:t>
      </w:r>
    </w:p>
    <w:p w14:paraId="2BEE44F6" w14:textId="56ABFE16" w:rsidR="009968AD" w:rsidRPr="009968AD" w:rsidRDefault="009968AD" w:rsidP="00AF7985">
      <w:pPr>
        <w:jc w:val="both"/>
        <w:rPr>
          <w:rFonts w:ascii="Calibri" w:hAnsi="Calibri" w:cs="Calibri"/>
          <w:sz w:val="22"/>
          <w:szCs w:val="22"/>
        </w:rPr>
      </w:pPr>
    </w:p>
    <w:tbl>
      <w:tblPr>
        <w:tblW w:w="0" w:type="auto"/>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486"/>
        <w:gridCol w:w="1150"/>
        <w:gridCol w:w="1093"/>
        <w:gridCol w:w="970"/>
        <w:gridCol w:w="1037"/>
        <w:gridCol w:w="1151"/>
        <w:gridCol w:w="608"/>
      </w:tblGrid>
      <w:tr w:rsidR="00145083" w14:paraId="59FD993B" w14:textId="77777777" w:rsidTr="00145083">
        <w:trPr>
          <w:trHeight w:val="1646"/>
          <w:jc w:val="center"/>
        </w:trPr>
        <w:tc>
          <w:tcPr>
            <w:tcW w:w="2486" w:type="dxa"/>
          </w:tcPr>
          <w:p w14:paraId="11BB28F7" w14:textId="77777777" w:rsidR="00145083" w:rsidRDefault="00145083" w:rsidP="00BA1111">
            <w:pPr>
              <w:pStyle w:val="TableParagraph"/>
              <w:rPr>
                <w:rFonts w:ascii="Times New Roman"/>
              </w:rPr>
            </w:pPr>
          </w:p>
        </w:tc>
        <w:tc>
          <w:tcPr>
            <w:tcW w:w="1150" w:type="dxa"/>
          </w:tcPr>
          <w:p w14:paraId="541F3E62" w14:textId="77777777" w:rsidR="00145083" w:rsidRPr="00952C27" w:rsidRDefault="00145083" w:rsidP="00BA1111">
            <w:pPr>
              <w:pStyle w:val="TableParagraph"/>
              <w:spacing w:line="657" w:lineRule="exact"/>
              <w:ind w:left="541"/>
              <w:rPr>
                <w:sz w:val="16"/>
                <w:szCs w:val="16"/>
              </w:rPr>
            </w:pPr>
            <w:r w:rsidRPr="00952C27">
              <w:rPr>
                <w:w w:val="99"/>
                <w:sz w:val="16"/>
                <w:szCs w:val="16"/>
              </w:rPr>
              <w:t>1</w:t>
            </w:r>
          </w:p>
          <w:p w14:paraId="4DA90759" w14:textId="77777777" w:rsidR="00145083" w:rsidRPr="00952C27" w:rsidRDefault="00145083" w:rsidP="00BA1111">
            <w:pPr>
              <w:pStyle w:val="TableParagraph"/>
              <w:spacing w:before="4" w:line="199" w:lineRule="auto"/>
              <w:ind w:left="249" w:right="164" w:hanging="65"/>
              <w:jc w:val="both"/>
              <w:rPr>
                <w:sz w:val="16"/>
                <w:szCs w:val="16"/>
              </w:rPr>
            </w:pPr>
            <w:r w:rsidRPr="00952C27">
              <w:rPr>
                <w:sz w:val="16"/>
                <w:szCs w:val="16"/>
              </w:rPr>
              <w:t xml:space="preserve">(significant </w:t>
            </w:r>
            <w:r w:rsidRPr="00952C27">
              <w:rPr>
                <w:w w:val="105"/>
                <w:sz w:val="16"/>
                <w:szCs w:val="16"/>
              </w:rPr>
              <w:t>reduction in risks)</w:t>
            </w:r>
          </w:p>
        </w:tc>
        <w:tc>
          <w:tcPr>
            <w:tcW w:w="1093" w:type="dxa"/>
          </w:tcPr>
          <w:p w14:paraId="688BC1B0" w14:textId="77777777" w:rsidR="00145083" w:rsidRPr="00952C27" w:rsidRDefault="00145083" w:rsidP="00BA1111">
            <w:pPr>
              <w:pStyle w:val="TableParagraph"/>
              <w:spacing w:line="668" w:lineRule="exact"/>
              <w:ind w:left="16"/>
              <w:jc w:val="center"/>
              <w:rPr>
                <w:sz w:val="16"/>
                <w:szCs w:val="16"/>
              </w:rPr>
            </w:pPr>
            <w:r w:rsidRPr="00952C27">
              <w:rPr>
                <w:w w:val="99"/>
                <w:sz w:val="16"/>
                <w:szCs w:val="16"/>
              </w:rPr>
              <w:t>2</w:t>
            </w:r>
          </w:p>
          <w:p w14:paraId="54926D67" w14:textId="77777777" w:rsidR="00145083" w:rsidRPr="00952C27" w:rsidRDefault="00145083" w:rsidP="00BA1111">
            <w:pPr>
              <w:pStyle w:val="TableParagraph"/>
              <w:spacing w:before="4" w:line="199" w:lineRule="auto"/>
              <w:ind w:left="183" w:right="163"/>
              <w:jc w:val="center"/>
              <w:rPr>
                <w:sz w:val="16"/>
                <w:szCs w:val="16"/>
              </w:rPr>
            </w:pPr>
            <w:r w:rsidRPr="00952C27">
              <w:rPr>
                <w:sz w:val="16"/>
                <w:szCs w:val="16"/>
              </w:rPr>
              <w:t xml:space="preserve">(reduction </w:t>
            </w:r>
            <w:r w:rsidRPr="00952C27">
              <w:rPr>
                <w:w w:val="105"/>
                <w:sz w:val="16"/>
                <w:szCs w:val="16"/>
              </w:rPr>
              <w:t>in risks)</w:t>
            </w:r>
          </w:p>
        </w:tc>
        <w:tc>
          <w:tcPr>
            <w:tcW w:w="970" w:type="dxa"/>
          </w:tcPr>
          <w:p w14:paraId="107BFAE9" w14:textId="77777777" w:rsidR="00145083" w:rsidRPr="00952C27" w:rsidRDefault="00145083" w:rsidP="00BA1111">
            <w:pPr>
              <w:pStyle w:val="TableParagraph"/>
              <w:spacing w:before="5" w:line="695" w:lineRule="exact"/>
              <w:ind w:left="15"/>
              <w:jc w:val="center"/>
              <w:rPr>
                <w:sz w:val="16"/>
                <w:szCs w:val="16"/>
              </w:rPr>
            </w:pPr>
            <w:r w:rsidRPr="00952C27">
              <w:rPr>
                <w:w w:val="99"/>
                <w:sz w:val="16"/>
                <w:szCs w:val="16"/>
              </w:rPr>
              <w:t>3</w:t>
            </w:r>
          </w:p>
          <w:p w14:paraId="7F558519" w14:textId="77777777" w:rsidR="00145083" w:rsidRPr="00952C27" w:rsidRDefault="00145083" w:rsidP="00BA1111">
            <w:pPr>
              <w:pStyle w:val="TableParagraph"/>
              <w:spacing w:line="318" w:lineRule="exact"/>
              <w:ind w:left="154" w:right="138"/>
              <w:jc w:val="center"/>
              <w:rPr>
                <w:sz w:val="16"/>
                <w:szCs w:val="16"/>
              </w:rPr>
            </w:pPr>
            <w:r w:rsidRPr="00952C27">
              <w:rPr>
                <w:w w:val="105"/>
                <w:sz w:val="16"/>
                <w:szCs w:val="16"/>
              </w:rPr>
              <w:t>(neutral)</w:t>
            </w:r>
          </w:p>
        </w:tc>
        <w:tc>
          <w:tcPr>
            <w:tcW w:w="1037" w:type="dxa"/>
          </w:tcPr>
          <w:p w14:paraId="0EE002BA" w14:textId="77777777" w:rsidR="00145083" w:rsidRPr="00952C27" w:rsidRDefault="00145083" w:rsidP="00BA1111">
            <w:pPr>
              <w:pStyle w:val="TableParagraph"/>
              <w:spacing w:line="668" w:lineRule="exact"/>
              <w:ind w:left="13"/>
              <w:jc w:val="center"/>
              <w:rPr>
                <w:sz w:val="16"/>
                <w:szCs w:val="16"/>
              </w:rPr>
            </w:pPr>
            <w:r w:rsidRPr="00952C27">
              <w:rPr>
                <w:w w:val="99"/>
                <w:sz w:val="16"/>
                <w:szCs w:val="16"/>
              </w:rPr>
              <w:t>4</w:t>
            </w:r>
          </w:p>
          <w:p w14:paraId="42D549C0" w14:textId="77777777" w:rsidR="00145083" w:rsidRPr="00952C27" w:rsidRDefault="00145083" w:rsidP="00BA1111">
            <w:pPr>
              <w:pStyle w:val="TableParagraph"/>
              <w:spacing w:before="4" w:line="199" w:lineRule="auto"/>
              <w:ind w:left="182" w:right="167"/>
              <w:jc w:val="center"/>
              <w:rPr>
                <w:sz w:val="16"/>
                <w:szCs w:val="16"/>
              </w:rPr>
            </w:pPr>
            <w:r w:rsidRPr="00952C27">
              <w:rPr>
                <w:sz w:val="16"/>
                <w:szCs w:val="16"/>
              </w:rPr>
              <w:t xml:space="preserve">(increase </w:t>
            </w:r>
            <w:r w:rsidRPr="00952C27">
              <w:rPr>
                <w:w w:val="105"/>
                <w:sz w:val="16"/>
                <w:szCs w:val="16"/>
              </w:rPr>
              <w:t>in risks)</w:t>
            </w:r>
          </w:p>
        </w:tc>
        <w:tc>
          <w:tcPr>
            <w:tcW w:w="1151" w:type="dxa"/>
          </w:tcPr>
          <w:p w14:paraId="0B7B1CBA" w14:textId="77777777" w:rsidR="00145083" w:rsidRPr="00952C27" w:rsidRDefault="00145083" w:rsidP="00BA1111">
            <w:pPr>
              <w:pStyle w:val="TableParagraph"/>
              <w:spacing w:line="657" w:lineRule="exact"/>
              <w:ind w:left="10"/>
              <w:jc w:val="center"/>
              <w:rPr>
                <w:sz w:val="16"/>
                <w:szCs w:val="16"/>
              </w:rPr>
            </w:pPr>
            <w:r w:rsidRPr="00952C27">
              <w:rPr>
                <w:w w:val="99"/>
                <w:sz w:val="16"/>
                <w:szCs w:val="16"/>
              </w:rPr>
              <w:t>5</w:t>
            </w:r>
          </w:p>
          <w:p w14:paraId="0D09B41C" w14:textId="77777777" w:rsidR="00145083" w:rsidRPr="00952C27" w:rsidRDefault="00145083" w:rsidP="00BA1111">
            <w:pPr>
              <w:pStyle w:val="TableParagraph"/>
              <w:spacing w:before="4" w:line="199" w:lineRule="auto"/>
              <w:ind w:left="193" w:right="180"/>
              <w:jc w:val="center"/>
              <w:rPr>
                <w:sz w:val="16"/>
                <w:szCs w:val="16"/>
              </w:rPr>
            </w:pPr>
            <w:r w:rsidRPr="00952C27">
              <w:rPr>
                <w:sz w:val="16"/>
                <w:szCs w:val="16"/>
              </w:rPr>
              <w:t xml:space="preserve">(significant </w:t>
            </w:r>
            <w:r w:rsidRPr="00952C27">
              <w:rPr>
                <w:w w:val="105"/>
                <w:sz w:val="16"/>
                <w:szCs w:val="16"/>
              </w:rPr>
              <w:t>increase in</w:t>
            </w:r>
            <w:r w:rsidRPr="00952C27">
              <w:rPr>
                <w:spacing w:val="-5"/>
                <w:w w:val="105"/>
                <w:sz w:val="16"/>
                <w:szCs w:val="16"/>
              </w:rPr>
              <w:t xml:space="preserve"> </w:t>
            </w:r>
            <w:r w:rsidRPr="00952C27">
              <w:rPr>
                <w:w w:val="105"/>
                <w:sz w:val="16"/>
                <w:szCs w:val="16"/>
              </w:rPr>
              <w:t>risks</w:t>
            </w:r>
          </w:p>
        </w:tc>
        <w:tc>
          <w:tcPr>
            <w:tcW w:w="608" w:type="dxa"/>
          </w:tcPr>
          <w:p w14:paraId="484F53EA" w14:textId="77777777" w:rsidR="00145083" w:rsidRPr="00952C27" w:rsidRDefault="00145083" w:rsidP="00BA1111">
            <w:pPr>
              <w:pStyle w:val="TableParagraph"/>
              <w:spacing w:before="254" w:line="529" w:lineRule="exact"/>
              <w:ind w:left="180"/>
              <w:rPr>
                <w:sz w:val="16"/>
                <w:szCs w:val="16"/>
              </w:rPr>
            </w:pPr>
            <w:r w:rsidRPr="00952C27">
              <w:rPr>
                <w:sz w:val="16"/>
                <w:szCs w:val="16"/>
              </w:rPr>
              <w:t>N.</w:t>
            </w:r>
          </w:p>
          <w:p w14:paraId="26530543" w14:textId="77777777" w:rsidR="00145083" w:rsidRPr="00952C27" w:rsidRDefault="00145083" w:rsidP="00BA1111">
            <w:pPr>
              <w:pStyle w:val="TableParagraph"/>
              <w:spacing w:line="529" w:lineRule="exact"/>
              <w:ind w:left="188"/>
              <w:rPr>
                <w:sz w:val="16"/>
                <w:szCs w:val="16"/>
              </w:rPr>
            </w:pPr>
            <w:r w:rsidRPr="00952C27">
              <w:rPr>
                <w:sz w:val="16"/>
                <w:szCs w:val="16"/>
              </w:rPr>
              <w:t>A.</w:t>
            </w:r>
          </w:p>
        </w:tc>
      </w:tr>
      <w:tr w:rsidR="00145083" w14:paraId="227E9115" w14:textId="77777777" w:rsidTr="00145083">
        <w:trPr>
          <w:trHeight w:val="1504"/>
          <w:jc w:val="center"/>
        </w:trPr>
        <w:tc>
          <w:tcPr>
            <w:tcW w:w="2486" w:type="dxa"/>
          </w:tcPr>
          <w:p w14:paraId="70EC479E" w14:textId="77777777" w:rsidR="00145083" w:rsidRDefault="00145083" w:rsidP="00BA1111">
            <w:pPr>
              <w:pStyle w:val="TableParagraph"/>
              <w:spacing w:before="69" w:line="199" w:lineRule="auto"/>
              <w:ind w:left="185" w:right="339"/>
              <w:rPr>
                <w:sz w:val="19"/>
              </w:rPr>
            </w:pPr>
            <w:r>
              <w:rPr>
                <w:w w:val="105"/>
                <w:sz w:val="19"/>
              </w:rPr>
              <w:t>Default risk for funds held in non-banks and not protected by Deposit Guarantee Scheme</w:t>
            </w:r>
          </w:p>
        </w:tc>
        <w:tc>
          <w:tcPr>
            <w:tcW w:w="1150" w:type="dxa"/>
          </w:tcPr>
          <w:p w14:paraId="33847AC6" w14:textId="77777777" w:rsidR="00145083" w:rsidRDefault="00145083" w:rsidP="00BA1111">
            <w:pPr>
              <w:pStyle w:val="TableParagraph"/>
              <w:rPr>
                <w:rFonts w:ascii="Arial"/>
                <w:b/>
                <w:sz w:val="20"/>
              </w:rPr>
            </w:pPr>
          </w:p>
          <w:p w14:paraId="7C66D9DD" w14:textId="77777777" w:rsidR="00145083" w:rsidRDefault="00145083" w:rsidP="00BA1111">
            <w:pPr>
              <w:pStyle w:val="TableParagraph"/>
              <w:rPr>
                <w:rFonts w:ascii="Arial"/>
                <w:b/>
                <w:sz w:val="20"/>
              </w:rPr>
            </w:pPr>
          </w:p>
          <w:p w14:paraId="10C0EE9F" w14:textId="77777777" w:rsidR="00145083" w:rsidRDefault="00145083" w:rsidP="00BA1111">
            <w:pPr>
              <w:pStyle w:val="TableParagraph"/>
              <w:spacing w:before="4"/>
              <w:rPr>
                <w:rFonts w:ascii="Arial"/>
                <w:b/>
                <w:sz w:val="12"/>
              </w:rPr>
            </w:pPr>
          </w:p>
          <w:p w14:paraId="548EFCA3"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20E22A64" wp14:editId="1F81104D">
                  <wp:extent cx="114300" cy="114300"/>
                  <wp:effectExtent l="0" t="0" r="0" b="0"/>
                  <wp:docPr id="12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0C7EDFDF" w14:textId="77777777" w:rsidR="00145083" w:rsidRDefault="00145083" w:rsidP="00BA1111">
            <w:pPr>
              <w:pStyle w:val="TableParagraph"/>
              <w:rPr>
                <w:rFonts w:ascii="Arial"/>
                <w:b/>
                <w:sz w:val="20"/>
              </w:rPr>
            </w:pPr>
          </w:p>
          <w:p w14:paraId="7A5F1BA4" w14:textId="77777777" w:rsidR="00145083" w:rsidRDefault="00145083" w:rsidP="00BA1111">
            <w:pPr>
              <w:pStyle w:val="TableParagraph"/>
              <w:rPr>
                <w:rFonts w:ascii="Arial"/>
                <w:b/>
                <w:sz w:val="20"/>
              </w:rPr>
            </w:pPr>
          </w:p>
          <w:p w14:paraId="2DB4542C" w14:textId="77777777" w:rsidR="00145083" w:rsidRDefault="00145083" w:rsidP="00BA1111">
            <w:pPr>
              <w:pStyle w:val="TableParagraph"/>
              <w:spacing w:before="4"/>
              <w:rPr>
                <w:rFonts w:ascii="Arial"/>
                <w:b/>
                <w:sz w:val="12"/>
              </w:rPr>
            </w:pPr>
          </w:p>
          <w:p w14:paraId="7A0DDD8B"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355B28E0" wp14:editId="053BD71F">
                  <wp:extent cx="114300" cy="114300"/>
                  <wp:effectExtent l="0" t="0" r="0" b="0"/>
                  <wp:docPr id="12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00F91B3B" w14:textId="77777777" w:rsidR="00145083" w:rsidRDefault="00145083" w:rsidP="00BA1111">
            <w:pPr>
              <w:pStyle w:val="TableParagraph"/>
              <w:rPr>
                <w:rFonts w:ascii="Arial"/>
                <w:b/>
                <w:sz w:val="20"/>
              </w:rPr>
            </w:pPr>
          </w:p>
          <w:p w14:paraId="6F96521D" w14:textId="77777777" w:rsidR="00145083" w:rsidRDefault="00145083" w:rsidP="00BA1111">
            <w:pPr>
              <w:pStyle w:val="TableParagraph"/>
              <w:rPr>
                <w:rFonts w:ascii="Arial"/>
                <w:b/>
                <w:sz w:val="20"/>
              </w:rPr>
            </w:pPr>
          </w:p>
          <w:p w14:paraId="74D91EC4" w14:textId="77777777" w:rsidR="00145083" w:rsidRDefault="00145083" w:rsidP="00BA1111">
            <w:pPr>
              <w:pStyle w:val="TableParagraph"/>
              <w:spacing w:before="4"/>
              <w:rPr>
                <w:rFonts w:ascii="Arial"/>
                <w:b/>
                <w:sz w:val="12"/>
              </w:rPr>
            </w:pPr>
          </w:p>
          <w:p w14:paraId="487E30BA" w14:textId="4CC95D79" w:rsidR="00145083" w:rsidRDefault="00803699"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413BEF3" wp14:editId="649161DE">
                  <wp:extent cx="114300" cy="114300"/>
                  <wp:effectExtent l="0" t="0" r="0" b="0"/>
                  <wp:docPr id="276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2C201C39" w14:textId="77777777" w:rsidR="00145083" w:rsidRDefault="00145083" w:rsidP="00BA1111">
            <w:pPr>
              <w:pStyle w:val="TableParagraph"/>
              <w:rPr>
                <w:rFonts w:ascii="Arial"/>
                <w:b/>
                <w:sz w:val="20"/>
              </w:rPr>
            </w:pPr>
          </w:p>
          <w:p w14:paraId="66E78993" w14:textId="77777777" w:rsidR="00145083" w:rsidRDefault="00145083" w:rsidP="00BA1111">
            <w:pPr>
              <w:pStyle w:val="TableParagraph"/>
              <w:rPr>
                <w:rFonts w:ascii="Arial"/>
                <w:b/>
                <w:sz w:val="20"/>
              </w:rPr>
            </w:pPr>
          </w:p>
          <w:p w14:paraId="5B95C88F" w14:textId="77777777" w:rsidR="00145083" w:rsidRDefault="00145083" w:rsidP="00BA1111">
            <w:pPr>
              <w:pStyle w:val="TableParagraph"/>
              <w:spacing w:before="4"/>
              <w:rPr>
                <w:rFonts w:ascii="Arial"/>
                <w:b/>
                <w:sz w:val="12"/>
              </w:rPr>
            </w:pPr>
          </w:p>
          <w:p w14:paraId="1C3BEEF7"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63B86726" wp14:editId="345A010F">
                  <wp:extent cx="114300" cy="114300"/>
                  <wp:effectExtent l="0" t="0" r="0" b="0"/>
                  <wp:docPr id="12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1" w:type="dxa"/>
          </w:tcPr>
          <w:p w14:paraId="424B4B7A" w14:textId="77777777" w:rsidR="00145083" w:rsidRDefault="00145083" w:rsidP="00BA1111">
            <w:pPr>
              <w:pStyle w:val="TableParagraph"/>
              <w:rPr>
                <w:rFonts w:ascii="Arial"/>
                <w:b/>
                <w:sz w:val="20"/>
              </w:rPr>
            </w:pPr>
          </w:p>
          <w:p w14:paraId="5D9B67AD" w14:textId="77777777" w:rsidR="00145083" w:rsidRDefault="00145083" w:rsidP="00BA1111">
            <w:pPr>
              <w:pStyle w:val="TableParagraph"/>
              <w:rPr>
                <w:rFonts w:ascii="Arial"/>
                <w:b/>
                <w:sz w:val="20"/>
              </w:rPr>
            </w:pPr>
          </w:p>
          <w:p w14:paraId="2DE54851" w14:textId="77777777" w:rsidR="00145083" w:rsidRDefault="00145083" w:rsidP="00BA1111">
            <w:pPr>
              <w:pStyle w:val="TableParagraph"/>
              <w:spacing w:before="4"/>
              <w:rPr>
                <w:rFonts w:ascii="Arial"/>
                <w:b/>
                <w:sz w:val="12"/>
              </w:rPr>
            </w:pPr>
          </w:p>
          <w:p w14:paraId="5014178D" w14:textId="78C9880F" w:rsidR="00145083" w:rsidRDefault="00803699" w:rsidP="00BA1111">
            <w:pPr>
              <w:pStyle w:val="TableParagraph"/>
              <w:spacing w:line="180" w:lineRule="exact"/>
              <w:ind w:left="549"/>
              <w:rPr>
                <w:rFonts w:ascii="Arial"/>
                <w:sz w:val="18"/>
              </w:rPr>
            </w:pPr>
            <w:r>
              <w:rPr>
                <w:rFonts w:ascii="Arial"/>
                <w:noProof/>
                <w:position w:val="-3"/>
                <w:sz w:val="18"/>
                <w:lang w:val="en-GB" w:eastAsia="en-GB"/>
              </w:rPr>
              <w:t>X</w:t>
            </w:r>
          </w:p>
        </w:tc>
        <w:tc>
          <w:tcPr>
            <w:tcW w:w="608" w:type="dxa"/>
          </w:tcPr>
          <w:p w14:paraId="2DD86B0B" w14:textId="77777777" w:rsidR="00145083" w:rsidRDefault="00145083" w:rsidP="00BA1111">
            <w:pPr>
              <w:pStyle w:val="TableParagraph"/>
              <w:rPr>
                <w:rFonts w:ascii="Arial"/>
                <w:b/>
                <w:sz w:val="20"/>
              </w:rPr>
            </w:pPr>
          </w:p>
          <w:p w14:paraId="628F5145" w14:textId="77777777" w:rsidR="00145083" w:rsidRDefault="00145083" w:rsidP="00BA1111">
            <w:pPr>
              <w:pStyle w:val="TableParagraph"/>
              <w:rPr>
                <w:rFonts w:ascii="Arial"/>
                <w:b/>
                <w:sz w:val="20"/>
              </w:rPr>
            </w:pPr>
          </w:p>
          <w:p w14:paraId="2F2DC0D3" w14:textId="77777777" w:rsidR="00145083" w:rsidRDefault="00145083" w:rsidP="00BA1111">
            <w:pPr>
              <w:pStyle w:val="TableParagraph"/>
              <w:spacing w:before="4"/>
              <w:rPr>
                <w:rFonts w:ascii="Arial"/>
                <w:b/>
                <w:sz w:val="12"/>
              </w:rPr>
            </w:pPr>
          </w:p>
          <w:p w14:paraId="094B22B1"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750E8101" wp14:editId="4877FEC5">
                  <wp:extent cx="114300" cy="114300"/>
                  <wp:effectExtent l="0" t="0" r="0" b="0"/>
                  <wp:docPr id="12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3C1FD3F4" w14:textId="77777777" w:rsidTr="00145083">
        <w:trPr>
          <w:trHeight w:val="608"/>
          <w:jc w:val="center"/>
        </w:trPr>
        <w:tc>
          <w:tcPr>
            <w:tcW w:w="2486" w:type="dxa"/>
          </w:tcPr>
          <w:p w14:paraId="6C908F9E" w14:textId="77777777" w:rsidR="00145083" w:rsidRDefault="00145083" w:rsidP="00BA1111">
            <w:pPr>
              <w:pStyle w:val="TableParagraph"/>
              <w:spacing w:before="25"/>
              <w:ind w:left="185"/>
              <w:rPr>
                <w:sz w:val="19"/>
              </w:rPr>
            </w:pPr>
            <w:r>
              <w:rPr>
                <w:w w:val="105"/>
                <w:sz w:val="19"/>
              </w:rPr>
              <w:t>Liquidity risk</w:t>
            </w:r>
          </w:p>
        </w:tc>
        <w:tc>
          <w:tcPr>
            <w:tcW w:w="1150" w:type="dxa"/>
          </w:tcPr>
          <w:p w14:paraId="00E29B0F" w14:textId="77777777" w:rsidR="00145083" w:rsidRDefault="00145083" w:rsidP="00BA1111">
            <w:pPr>
              <w:pStyle w:val="TableParagraph"/>
              <w:spacing w:before="8"/>
              <w:rPr>
                <w:rFonts w:ascii="Arial"/>
                <w:b/>
                <w:sz w:val="13"/>
              </w:rPr>
            </w:pPr>
          </w:p>
          <w:p w14:paraId="10634F44"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3E75ABB3" wp14:editId="4348CD97">
                  <wp:extent cx="114300" cy="114300"/>
                  <wp:effectExtent l="0" t="0" r="0" b="0"/>
                  <wp:docPr id="12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4CE49BC0" w14:textId="77777777" w:rsidR="00145083" w:rsidRDefault="00145083" w:rsidP="00BA1111">
            <w:pPr>
              <w:pStyle w:val="TableParagraph"/>
              <w:spacing w:before="8"/>
              <w:rPr>
                <w:rFonts w:ascii="Arial"/>
                <w:b/>
                <w:sz w:val="13"/>
              </w:rPr>
            </w:pPr>
          </w:p>
          <w:p w14:paraId="7937F4FE"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5B03F258" wp14:editId="417507AA">
                  <wp:extent cx="114300" cy="114300"/>
                  <wp:effectExtent l="0" t="0" r="0" b="0"/>
                  <wp:docPr id="12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72BEAD81" w14:textId="77777777" w:rsidR="00145083" w:rsidRDefault="00145083" w:rsidP="00BA1111">
            <w:pPr>
              <w:pStyle w:val="TableParagraph"/>
              <w:spacing w:before="8"/>
              <w:rPr>
                <w:rFonts w:ascii="Arial"/>
                <w:b/>
                <w:sz w:val="13"/>
              </w:rPr>
            </w:pPr>
          </w:p>
          <w:p w14:paraId="18132A2C" w14:textId="7DA8CC97" w:rsidR="00145083" w:rsidRDefault="00810752"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4FBDB14B" wp14:editId="3B476E93">
                  <wp:extent cx="114300" cy="11430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32459AA6" w14:textId="77777777" w:rsidR="00145083" w:rsidRDefault="00145083" w:rsidP="00BA1111">
            <w:pPr>
              <w:pStyle w:val="TableParagraph"/>
              <w:spacing w:before="8"/>
              <w:rPr>
                <w:rFonts w:ascii="Arial"/>
                <w:b/>
                <w:sz w:val="13"/>
              </w:rPr>
            </w:pPr>
          </w:p>
          <w:p w14:paraId="334AA2C7"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41B3DB9A" wp14:editId="2BFC6A6E">
                  <wp:extent cx="114300" cy="114300"/>
                  <wp:effectExtent l="0" t="0" r="0" b="0"/>
                  <wp:docPr id="12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1" w:type="dxa"/>
          </w:tcPr>
          <w:p w14:paraId="51538947" w14:textId="77777777" w:rsidR="00145083" w:rsidRDefault="00145083" w:rsidP="00BA1111">
            <w:pPr>
              <w:pStyle w:val="TableParagraph"/>
              <w:spacing w:before="8"/>
              <w:rPr>
                <w:rFonts w:ascii="Arial"/>
                <w:b/>
                <w:sz w:val="13"/>
              </w:rPr>
            </w:pPr>
          </w:p>
          <w:p w14:paraId="0CC65298"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0D8BBC61" wp14:editId="44C6947A">
                  <wp:extent cx="114300" cy="114300"/>
                  <wp:effectExtent l="0" t="0" r="0" b="0"/>
                  <wp:docPr id="12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2F5B56FA" w14:textId="77777777" w:rsidR="00145083" w:rsidRDefault="00145083" w:rsidP="00BA1111">
            <w:pPr>
              <w:pStyle w:val="TableParagraph"/>
              <w:spacing w:before="8"/>
              <w:rPr>
                <w:rFonts w:ascii="Arial"/>
                <w:b/>
                <w:sz w:val="13"/>
              </w:rPr>
            </w:pPr>
          </w:p>
          <w:p w14:paraId="5E2492C7"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113AF1DA" wp14:editId="1D5CF065">
                  <wp:extent cx="114300" cy="114300"/>
                  <wp:effectExtent l="0" t="0" r="0" b="0"/>
                  <wp:docPr id="12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0A8B480B" w14:textId="77777777" w:rsidTr="00145083">
        <w:trPr>
          <w:trHeight w:val="906"/>
          <w:jc w:val="center"/>
        </w:trPr>
        <w:tc>
          <w:tcPr>
            <w:tcW w:w="2486" w:type="dxa"/>
          </w:tcPr>
          <w:p w14:paraId="2C13148E" w14:textId="77777777" w:rsidR="00145083" w:rsidRDefault="00145083" w:rsidP="00BA1111">
            <w:pPr>
              <w:pStyle w:val="TableParagraph"/>
              <w:spacing w:before="69" w:line="199" w:lineRule="auto"/>
              <w:ind w:left="185" w:right="583"/>
              <w:rPr>
                <w:sz w:val="19"/>
              </w:rPr>
            </w:pPr>
            <w:r>
              <w:rPr>
                <w:w w:val="105"/>
                <w:sz w:val="19"/>
              </w:rPr>
              <w:t>Misselling of insurance products</w:t>
            </w:r>
          </w:p>
        </w:tc>
        <w:tc>
          <w:tcPr>
            <w:tcW w:w="1150" w:type="dxa"/>
          </w:tcPr>
          <w:p w14:paraId="7308480D" w14:textId="77777777" w:rsidR="00145083" w:rsidRDefault="00145083" w:rsidP="00BA1111">
            <w:pPr>
              <w:pStyle w:val="TableParagraph"/>
              <w:spacing w:before="7"/>
              <w:rPr>
                <w:rFonts w:ascii="Arial"/>
                <w:b/>
                <w:sz w:val="26"/>
              </w:rPr>
            </w:pPr>
          </w:p>
          <w:p w14:paraId="1FC10AF8"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17F0F03" wp14:editId="526FA208">
                  <wp:extent cx="114300" cy="114300"/>
                  <wp:effectExtent l="0" t="0" r="0" b="0"/>
                  <wp:docPr id="12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4BCE8377" w14:textId="77777777" w:rsidR="00145083" w:rsidRDefault="00145083" w:rsidP="00BA1111">
            <w:pPr>
              <w:pStyle w:val="TableParagraph"/>
              <w:spacing w:before="7"/>
              <w:rPr>
                <w:rFonts w:ascii="Arial"/>
                <w:b/>
                <w:sz w:val="26"/>
              </w:rPr>
            </w:pPr>
          </w:p>
          <w:p w14:paraId="4C964EFC"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1FA7F2BC" wp14:editId="0917EA5F">
                  <wp:extent cx="114300" cy="114300"/>
                  <wp:effectExtent l="0" t="0" r="0" b="0"/>
                  <wp:docPr id="12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3D6102D2" w14:textId="77777777" w:rsidR="00145083" w:rsidRDefault="00145083" w:rsidP="00BA1111">
            <w:pPr>
              <w:pStyle w:val="TableParagraph"/>
              <w:spacing w:before="7"/>
              <w:rPr>
                <w:rFonts w:ascii="Arial"/>
                <w:b/>
                <w:sz w:val="26"/>
              </w:rPr>
            </w:pPr>
          </w:p>
          <w:p w14:paraId="4DB613FF" w14:textId="379BB629" w:rsidR="00145083" w:rsidRDefault="00810752"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BA82533" wp14:editId="2CA7FB5B">
                  <wp:extent cx="114300" cy="114300"/>
                  <wp:effectExtent l="0" t="0" r="0" b="0"/>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5D29F214" w14:textId="77777777" w:rsidR="00145083" w:rsidRDefault="00145083" w:rsidP="00BA1111">
            <w:pPr>
              <w:pStyle w:val="TableParagraph"/>
              <w:spacing w:before="7"/>
              <w:rPr>
                <w:rFonts w:ascii="Arial"/>
                <w:b/>
                <w:sz w:val="26"/>
              </w:rPr>
            </w:pPr>
          </w:p>
          <w:p w14:paraId="2D38DE4E"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7586EA58" wp14:editId="53D915C6">
                  <wp:extent cx="114300" cy="114300"/>
                  <wp:effectExtent l="0" t="0" r="0" b="0"/>
                  <wp:docPr id="12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1" w:type="dxa"/>
          </w:tcPr>
          <w:p w14:paraId="79B52588" w14:textId="77777777" w:rsidR="00145083" w:rsidRDefault="00145083" w:rsidP="00BA1111">
            <w:pPr>
              <w:pStyle w:val="TableParagraph"/>
              <w:spacing w:before="7"/>
              <w:rPr>
                <w:rFonts w:ascii="Arial"/>
                <w:b/>
                <w:sz w:val="26"/>
              </w:rPr>
            </w:pPr>
          </w:p>
          <w:p w14:paraId="356DD262"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4A2524AC" wp14:editId="0DFCA8DD">
                  <wp:extent cx="114300" cy="114300"/>
                  <wp:effectExtent l="0" t="0" r="0" b="0"/>
                  <wp:docPr id="12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512CDCBB" w14:textId="77777777" w:rsidR="00145083" w:rsidRDefault="00145083" w:rsidP="00BA1111">
            <w:pPr>
              <w:pStyle w:val="TableParagraph"/>
              <w:spacing w:before="7"/>
              <w:rPr>
                <w:rFonts w:ascii="Arial"/>
                <w:b/>
                <w:sz w:val="26"/>
              </w:rPr>
            </w:pPr>
          </w:p>
          <w:p w14:paraId="411CD7B0"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30E6D99D" wp14:editId="23371FC6">
                  <wp:extent cx="114300" cy="114300"/>
                  <wp:effectExtent l="0" t="0" r="0" b="0"/>
                  <wp:docPr id="12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628BB484" w14:textId="77777777" w:rsidTr="00145083">
        <w:trPr>
          <w:trHeight w:val="906"/>
          <w:jc w:val="center"/>
        </w:trPr>
        <w:tc>
          <w:tcPr>
            <w:tcW w:w="2486" w:type="dxa"/>
          </w:tcPr>
          <w:p w14:paraId="1C577DF4" w14:textId="77777777" w:rsidR="00145083" w:rsidRDefault="00145083" w:rsidP="00BA1111">
            <w:pPr>
              <w:pStyle w:val="TableParagraph"/>
              <w:spacing w:before="69" w:line="199" w:lineRule="auto"/>
              <w:ind w:left="185" w:right="484"/>
              <w:rPr>
                <w:sz w:val="19"/>
              </w:rPr>
            </w:pPr>
            <w:r>
              <w:rPr>
                <w:w w:val="105"/>
                <w:sz w:val="19"/>
              </w:rPr>
              <w:t>Misselling of investment products</w:t>
            </w:r>
          </w:p>
        </w:tc>
        <w:tc>
          <w:tcPr>
            <w:tcW w:w="1150" w:type="dxa"/>
          </w:tcPr>
          <w:p w14:paraId="6387B6B5" w14:textId="77777777" w:rsidR="00145083" w:rsidRDefault="00145083" w:rsidP="00BA1111">
            <w:pPr>
              <w:pStyle w:val="TableParagraph"/>
              <w:spacing w:before="7"/>
              <w:rPr>
                <w:rFonts w:ascii="Arial"/>
                <w:b/>
                <w:sz w:val="26"/>
              </w:rPr>
            </w:pPr>
          </w:p>
          <w:p w14:paraId="68791904"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4CAAA33" wp14:editId="3DF03401">
                  <wp:extent cx="114300" cy="114300"/>
                  <wp:effectExtent l="0" t="0" r="0" b="0"/>
                  <wp:docPr id="12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08C19170" w14:textId="77777777" w:rsidR="00145083" w:rsidRDefault="00145083" w:rsidP="00BA1111">
            <w:pPr>
              <w:pStyle w:val="TableParagraph"/>
              <w:spacing w:before="7"/>
              <w:rPr>
                <w:rFonts w:ascii="Arial"/>
                <w:b/>
                <w:sz w:val="26"/>
              </w:rPr>
            </w:pPr>
          </w:p>
          <w:p w14:paraId="04F52725"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4307DD29" wp14:editId="1FBC3CB9">
                  <wp:extent cx="114300" cy="114300"/>
                  <wp:effectExtent l="0" t="0" r="0" b="0"/>
                  <wp:docPr id="12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4BEB656C" w14:textId="77777777" w:rsidR="00145083" w:rsidRDefault="00145083" w:rsidP="00BA1111">
            <w:pPr>
              <w:pStyle w:val="TableParagraph"/>
              <w:spacing w:before="7"/>
              <w:rPr>
                <w:rFonts w:ascii="Arial"/>
                <w:b/>
                <w:sz w:val="26"/>
              </w:rPr>
            </w:pPr>
          </w:p>
          <w:p w14:paraId="209EB5CE" w14:textId="6157562E" w:rsidR="00145083" w:rsidRDefault="00810752"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E921905" wp14:editId="75D6CDBF">
                  <wp:extent cx="114300" cy="11430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03B163F3" w14:textId="77777777" w:rsidR="00145083" w:rsidRDefault="00145083" w:rsidP="00BA1111">
            <w:pPr>
              <w:pStyle w:val="TableParagraph"/>
              <w:spacing w:before="7"/>
              <w:rPr>
                <w:rFonts w:ascii="Arial"/>
                <w:b/>
                <w:sz w:val="26"/>
              </w:rPr>
            </w:pPr>
          </w:p>
          <w:p w14:paraId="47541906" w14:textId="7A362E2C" w:rsidR="00145083" w:rsidRDefault="0086553D" w:rsidP="00BA1111">
            <w:pPr>
              <w:pStyle w:val="TableParagraph"/>
              <w:spacing w:line="180" w:lineRule="exact"/>
              <w:ind w:left="486"/>
              <w:rPr>
                <w:rFonts w:ascii="Arial"/>
                <w:sz w:val="18"/>
              </w:rPr>
            </w:pPr>
            <w:r>
              <w:rPr>
                <w:rFonts w:ascii="Arial"/>
                <w:noProof/>
                <w:position w:val="-3"/>
                <w:sz w:val="18"/>
                <w:lang w:val="en-GB" w:eastAsia="en-GB"/>
              </w:rPr>
              <w:t xml:space="preserve"> X</w:t>
            </w:r>
          </w:p>
        </w:tc>
        <w:tc>
          <w:tcPr>
            <w:tcW w:w="1151" w:type="dxa"/>
          </w:tcPr>
          <w:p w14:paraId="0050DA6B" w14:textId="77777777" w:rsidR="00145083" w:rsidRDefault="00145083" w:rsidP="00BA1111">
            <w:pPr>
              <w:pStyle w:val="TableParagraph"/>
              <w:spacing w:before="7"/>
              <w:rPr>
                <w:rFonts w:ascii="Arial"/>
                <w:b/>
                <w:sz w:val="26"/>
              </w:rPr>
            </w:pPr>
          </w:p>
          <w:p w14:paraId="38D7E92D"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18077478" wp14:editId="710BD7F0">
                  <wp:extent cx="114300" cy="114300"/>
                  <wp:effectExtent l="0" t="0" r="0" b="0"/>
                  <wp:docPr id="13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4E1946EE" w14:textId="77777777" w:rsidR="00145083" w:rsidRDefault="00145083" w:rsidP="00BA1111">
            <w:pPr>
              <w:pStyle w:val="TableParagraph"/>
              <w:spacing w:before="7"/>
              <w:rPr>
                <w:rFonts w:ascii="Arial"/>
                <w:b/>
                <w:sz w:val="26"/>
              </w:rPr>
            </w:pPr>
          </w:p>
          <w:p w14:paraId="3AC2E9AF"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6E6802CD" wp14:editId="274072FA">
                  <wp:extent cx="114300" cy="114300"/>
                  <wp:effectExtent l="0" t="0" r="0" b="0"/>
                  <wp:docPr id="13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650CD8E7" w14:textId="77777777" w:rsidTr="00145083">
        <w:trPr>
          <w:trHeight w:val="608"/>
          <w:jc w:val="center"/>
        </w:trPr>
        <w:tc>
          <w:tcPr>
            <w:tcW w:w="2486" w:type="dxa"/>
          </w:tcPr>
          <w:p w14:paraId="249912E8" w14:textId="77777777" w:rsidR="00145083" w:rsidRDefault="00145083" w:rsidP="00BA1111">
            <w:pPr>
              <w:pStyle w:val="TableParagraph"/>
              <w:spacing w:before="25"/>
              <w:ind w:left="185"/>
              <w:rPr>
                <w:sz w:val="19"/>
              </w:rPr>
            </w:pPr>
            <w:r>
              <w:rPr>
                <w:w w:val="105"/>
                <w:sz w:val="19"/>
              </w:rPr>
              <w:t>Misselling of credit products</w:t>
            </w:r>
          </w:p>
        </w:tc>
        <w:tc>
          <w:tcPr>
            <w:tcW w:w="1150" w:type="dxa"/>
          </w:tcPr>
          <w:p w14:paraId="1F7717CA" w14:textId="77777777" w:rsidR="00145083" w:rsidRDefault="00145083" w:rsidP="00BA1111">
            <w:pPr>
              <w:pStyle w:val="TableParagraph"/>
              <w:spacing w:before="8"/>
              <w:rPr>
                <w:rFonts w:ascii="Arial"/>
                <w:b/>
                <w:sz w:val="13"/>
              </w:rPr>
            </w:pPr>
          </w:p>
          <w:p w14:paraId="36D85B21"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E87A813" wp14:editId="6547D723">
                  <wp:extent cx="114300" cy="114300"/>
                  <wp:effectExtent l="0" t="0" r="0" b="0"/>
                  <wp:docPr id="13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252CC40D" w14:textId="77777777" w:rsidR="00145083" w:rsidRDefault="00145083" w:rsidP="00BA1111">
            <w:pPr>
              <w:pStyle w:val="TableParagraph"/>
              <w:spacing w:before="8"/>
              <w:rPr>
                <w:rFonts w:ascii="Arial"/>
                <w:b/>
                <w:sz w:val="13"/>
              </w:rPr>
            </w:pPr>
          </w:p>
          <w:p w14:paraId="4169F001"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10154BD5" wp14:editId="1C0AF65C">
                  <wp:extent cx="114300" cy="114300"/>
                  <wp:effectExtent l="0" t="0" r="0" b="0"/>
                  <wp:docPr id="13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18292291" w14:textId="77777777" w:rsidR="00145083" w:rsidRDefault="00145083" w:rsidP="00BA1111">
            <w:pPr>
              <w:pStyle w:val="TableParagraph"/>
              <w:spacing w:before="8"/>
              <w:rPr>
                <w:rFonts w:ascii="Arial"/>
                <w:b/>
                <w:sz w:val="13"/>
              </w:rPr>
            </w:pPr>
          </w:p>
          <w:p w14:paraId="7D1FE419" w14:textId="77777777" w:rsidR="00145083" w:rsidRDefault="00145083"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B99E1F0" wp14:editId="097DAF13">
                  <wp:extent cx="114300" cy="114300"/>
                  <wp:effectExtent l="0" t="0" r="0" b="0"/>
                  <wp:docPr id="13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4B7E819A" w14:textId="77777777" w:rsidR="00145083" w:rsidRDefault="00145083" w:rsidP="00BA1111">
            <w:pPr>
              <w:pStyle w:val="TableParagraph"/>
              <w:spacing w:before="8"/>
              <w:rPr>
                <w:rFonts w:ascii="Arial"/>
                <w:b/>
                <w:sz w:val="13"/>
              </w:rPr>
            </w:pPr>
          </w:p>
          <w:p w14:paraId="4F3EC7C9"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t>X</w:t>
            </w:r>
          </w:p>
        </w:tc>
        <w:tc>
          <w:tcPr>
            <w:tcW w:w="1151" w:type="dxa"/>
          </w:tcPr>
          <w:p w14:paraId="368357DE" w14:textId="77777777" w:rsidR="00145083" w:rsidRDefault="00145083" w:rsidP="00BA1111">
            <w:pPr>
              <w:pStyle w:val="TableParagraph"/>
              <w:spacing w:before="8"/>
              <w:rPr>
                <w:rFonts w:ascii="Arial"/>
                <w:b/>
                <w:sz w:val="13"/>
              </w:rPr>
            </w:pPr>
          </w:p>
          <w:p w14:paraId="67CE9E10"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35B21B2F" wp14:editId="0CC9A528">
                  <wp:extent cx="114300" cy="114300"/>
                  <wp:effectExtent l="0" t="0" r="0" b="0"/>
                  <wp:docPr id="13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7C92B169" w14:textId="77777777" w:rsidR="00145083" w:rsidRDefault="00145083" w:rsidP="00BA1111">
            <w:pPr>
              <w:pStyle w:val="TableParagraph"/>
              <w:spacing w:before="8"/>
              <w:rPr>
                <w:rFonts w:ascii="Arial"/>
                <w:b/>
                <w:sz w:val="13"/>
              </w:rPr>
            </w:pPr>
          </w:p>
          <w:p w14:paraId="22AD150A"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2ED1A329" wp14:editId="3B6D1524">
                  <wp:extent cx="114300" cy="114300"/>
                  <wp:effectExtent l="0" t="0" r="0" b="0"/>
                  <wp:docPr id="13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578221E3" w14:textId="77777777" w:rsidTr="00145083">
        <w:trPr>
          <w:trHeight w:val="906"/>
          <w:jc w:val="center"/>
        </w:trPr>
        <w:tc>
          <w:tcPr>
            <w:tcW w:w="2486" w:type="dxa"/>
          </w:tcPr>
          <w:p w14:paraId="38E9FF91" w14:textId="77777777" w:rsidR="00145083" w:rsidRDefault="00145083" w:rsidP="00BA1111">
            <w:pPr>
              <w:pStyle w:val="TableParagraph"/>
              <w:spacing w:before="69" w:line="199" w:lineRule="auto"/>
              <w:ind w:left="185" w:right="417"/>
              <w:rPr>
                <w:sz w:val="19"/>
              </w:rPr>
            </w:pPr>
            <w:r>
              <w:rPr>
                <w:w w:val="105"/>
                <w:sz w:val="19"/>
              </w:rPr>
              <w:t>Misselling of pension products</w:t>
            </w:r>
          </w:p>
        </w:tc>
        <w:tc>
          <w:tcPr>
            <w:tcW w:w="1150" w:type="dxa"/>
          </w:tcPr>
          <w:p w14:paraId="03FE3BDD" w14:textId="77777777" w:rsidR="00145083" w:rsidRDefault="00145083" w:rsidP="00BA1111">
            <w:pPr>
              <w:pStyle w:val="TableParagraph"/>
              <w:spacing w:before="7"/>
              <w:rPr>
                <w:rFonts w:ascii="Arial"/>
                <w:b/>
                <w:sz w:val="26"/>
              </w:rPr>
            </w:pPr>
          </w:p>
          <w:p w14:paraId="4B4B4D20"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2D0D739" wp14:editId="00DD9B0D">
                  <wp:extent cx="114300" cy="114300"/>
                  <wp:effectExtent l="0" t="0" r="0" b="0"/>
                  <wp:docPr id="13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22DA952D" w14:textId="77777777" w:rsidR="00145083" w:rsidRDefault="00145083" w:rsidP="00BA1111">
            <w:pPr>
              <w:pStyle w:val="TableParagraph"/>
              <w:spacing w:before="7"/>
              <w:rPr>
                <w:rFonts w:ascii="Arial"/>
                <w:b/>
                <w:sz w:val="26"/>
              </w:rPr>
            </w:pPr>
          </w:p>
          <w:p w14:paraId="36999CF1"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5091E011" wp14:editId="074DDBAD">
                  <wp:extent cx="114300" cy="114300"/>
                  <wp:effectExtent l="0" t="0" r="0" b="0"/>
                  <wp:docPr id="13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3E2688DE" w14:textId="77777777" w:rsidR="00145083" w:rsidRDefault="00145083" w:rsidP="00BA1111">
            <w:pPr>
              <w:pStyle w:val="TableParagraph"/>
              <w:spacing w:before="7"/>
              <w:rPr>
                <w:rFonts w:ascii="Arial"/>
                <w:b/>
                <w:sz w:val="26"/>
              </w:rPr>
            </w:pPr>
          </w:p>
          <w:p w14:paraId="675D72C7" w14:textId="40846CD5" w:rsidR="00145083" w:rsidRDefault="00CD048F"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334FEF63" wp14:editId="1C9F71CC">
                  <wp:extent cx="114300" cy="114300"/>
                  <wp:effectExtent l="0" t="0" r="0" b="0"/>
                  <wp:docPr id="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07093D19" w14:textId="77777777" w:rsidR="00145083" w:rsidRDefault="00145083" w:rsidP="00BA1111">
            <w:pPr>
              <w:pStyle w:val="TableParagraph"/>
              <w:spacing w:before="7"/>
              <w:rPr>
                <w:rFonts w:ascii="Arial"/>
                <w:b/>
                <w:sz w:val="26"/>
              </w:rPr>
            </w:pPr>
          </w:p>
          <w:p w14:paraId="0879A4C7"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50F11F37" wp14:editId="4D4750A1">
                  <wp:extent cx="114300" cy="114300"/>
                  <wp:effectExtent l="0" t="0" r="0" b="0"/>
                  <wp:docPr id="13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1" w:type="dxa"/>
          </w:tcPr>
          <w:p w14:paraId="3DB31EB7" w14:textId="77777777" w:rsidR="00145083" w:rsidRDefault="00145083" w:rsidP="00BA1111">
            <w:pPr>
              <w:pStyle w:val="TableParagraph"/>
              <w:spacing w:before="7"/>
              <w:rPr>
                <w:rFonts w:ascii="Arial"/>
                <w:b/>
                <w:sz w:val="26"/>
              </w:rPr>
            </w:pPr>
          </w:p>
          <w:p w14:paraId="1BAE23B5"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43ED0D8D" wp14:editId="782DA4A0">
                  <wp:extent cx="114300" cy="114300"/>
                  <wp:effectExtent l="0" t="0" r="0" b="0"/>
                  <wp:docPr id="13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029C8656" w14:textId="77777777" w:rsidR="00145083" w:rsidRDefault="00145083" w:rsidP="00BA1111">
            <w:pPr>
              <w:pStyle w:val="TableParagraph"/>
              <w:spacing w:before="7"/>
              <w:rPr>
                <w:rFonts w:ascii="Arial"/>
                <w:b/>
                <w:sz w:val="26"/>
              </w:rPr>
            </w:pPr>
          </w:p>
          <w:p w14:paraId="49DA51D5"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0A117621" wp14:editId="5AED87F5">
                  <wp:extent cx="114300" cy="114300"/>
                  <wp:effectExtent l="0" t="0" r="0" b="0"/>
                  <wp:docPr id="13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3E4A0027" w14:textId="77777777" w:rsidTr="00145083">
        <w:trPr>
          <w:trHeight w:val="713"/>
          <w:jc w:val="center"/>
        </w:trPr>
        <w:tc>
          <w:tcPr>
            <w:tcW w:w="2486" w:type="dxa"/>
            <w:tcBorders>
              <w:bottom w:val="nil"/>
            </w:tcBorders>
          </w:tcPr>
          <w:p w14:paraId="365AD336" w14:textId="77777777" w:rsidR="00145083" w:rsidRDefault="00145083" w:rsidP="00BA1111">
            <w:pPr>
              <w:pStyle w:val="TableParagraph"/>
              <w:spacing w:before="69" w:line="199" w:lineRule="auto"/>
              <w:ind w:left="185" w:right="527"/>
              <w:rPr>
                <w:sz w:val="19"/>
              </w:rPr>
            </w:pPr>
            <w:r>
              <w:rPr>
                <w:w w:val="105"/>
                <w:sz w:val="19"/>
              </w:rPr>
              <w:t>Inadequate provision of information</w:t>
            </w:r>
          </w:p>
        </w:tc>
        <w:tc>
          <w:tcPr>
            <w:tcW w:w="1150" w:type="dxa"/>
            <w:tcBorders>
              <w:bottom w:val="nil"/>
            </w:tcBorders>
          </w:tcPr>
          <w:p w14:paraId="55659EF9" w14:textId="77777777" w:rsidR="00145083" w:rsidRDefault="00145083" w:rsidP="00BA1111">
            <w:pPr>
              <w:pStyle w:val="TableParagraph"/>
              <w:spacing w:before="7"/>
              <w:rPr>
                <w:rFonts w:ascii="Arial"/>
                <w:b/>
                <w:sz w:val="26"/>
              </w:rPr>
            </w:pPr>
          </w:p>
          <w:p w14:paraId="3690A6ED"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585B624" wp14:editId="55A971BF">
                  <wp:extent cx="114300" cy="114300"/>
                  <wp:effectExtent l="0" t="0" r="0" b="0"/>
                  <wp:docPr id="13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Borders>
              <w:bottom w:val="nil"/>
            </w:tcBorders>
          </w:tcPr>
          <w:p w14:paraId="66609E39" w14:textId="77777777" w:rsidR="00145083" w:rsidRDefault="00145083" w:rsidP="00BA1111">
            <w:pPr>
              <w:pStyle w:val="TableParagraph"/>
              <w:spacing w:before="7"/>
              <w:rPr>
                <w:rFonts w:ascii="Arial"/>
                <w:b/>
                <w:sz w:val="26"/>
              </w:rPr>
            </w:pPr>
          </w:p>
          <w:p w14:paraId="23A2DF87"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607D9117" wp14:editId="4C33FDFD">
                  <wp:extent cx="114300" cy="114300"/>
                  <wp:effectExtent l="0" t="0" r="0" b="0"/>
                  <wp:docPr id="13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Borders>
              <w:bottom w:val="nil"/>
            </w:tcBorders>
          </w:tcPr>
          <w:p w14:paraId="3A660A52" w14:textId="77777777" w:rsidR="00145083" w:rsidRDefault="00145083" w:rsidP="00BA1111">
            <w:pPr>
              <w:pStyle w:val="TableParagraph"/>
              <w:spacing w:before="7"/>
              <w:rPr>
                <w:rFonts w:ascii="Arial"/>
                <w:b/>
                <w:sz w:val="26"/>
              </w:rPr>
            </w:pPr>
          </w:p>
          <w:p w14:paraId="77A6C22E" w14:textId="77777777" w:rsidR="00145083" w:rsidRDefault="00145083"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01A3BC90" wp14:editId="01859823">
                  <wp:extent cx="114300" cy="114300"/>
                  <wp:effectExtent l="0" t="0" r="0" b="0"/>
                  <wp:docPr id="13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Borders>
              <w:bottom w:val="nil"/>
            </w:tcBorders>
          </w:tcPr>
          <w:p w14:paraId="5374491C" w14:textId="77777777" w:rsidR="00145083" w:rsidRDefault="00145083" w:rsidP="00BA1111">
            <w:pPr>
              <w:pStyle w:val="TableParagraph"/>
              <w:spacing w:before="7"/>
              <w:rPr>
                <w:rFonts w:ascii="Arial"/>
                <w:b/>
                <w:sz w:val="26"/>
              </w:rPr>
            </w:pPr>
          </w:p>
          <w:p w14:paraId="2F258E51"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t>X</w:t>
            </w:r>
          </w:p>
        </w:tc>
        <w:tc>
          <w:tcPr>
            <w:tcW w:w="1151" w:type="dxa"/>
            <w:tcBorders>
              <w:bottom w:val="nil"/>
            </w:tcBorders>
          </w:tcPr>
          <w:p w14:paraId="4ED1766B" w14:textId="77777777" w:rsidR="00145083" w:rsidRDefault="00145083" w:rsidP="00BA1111">
            <w:pPr>
              <w:pStyle w:val="TableParagraph"/>
              <w:spacing w:before="7"/>
              <w:rPr>
                <w:rFonts w:ascii="Arial"/>
                <w:b/>
                <w:sz w:val="26"/>
              </w:rPr>
            </w:pPr>
          </w:p>
          <w:p w14:paraId="54B8BB2A"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7D2A368D" wp14:editId="577BC1A2">
                  <wp:extent cx="114300" cy="114300"/>
                  <wp:effectExtent l="0" t="0" r="0" b="0"/>
                  <wp:docPr id="13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Borders>
              <w:bottom w:val="nil"/>
            </w:tcBorders>
          </w:tcPr>
          <w:p w14:paraId="4DF1215C" w14:textId="77777777" w:rsidR="00145083" w:rsidRDefault="00145083" w:rsidP="00BA1111">
            <w:pPr>
              <w:pStyle w:val="TableParagraph"/>
              <w:spacing w:before="7"/>
              <w:rPr>
                <w:rFonts w:ascii="Arial"/>
                <w:b/>
                <w:sz w:val="26"/>
              </w:rPr>
            </w:pPr>
          </w:p>
          <w:p w14:paraId="36999DDD"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41C03F7D" wp14:editId="07507DDF">
                  <wp:extent cx="114300" cy="114300"/>
                  <wp:effectExtent l="0" t="0" r="0" b="0"/>
                  <wp:docPr id="13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12F0CE2E" w14:textId="77777777" w:rsidTr="00145083">
        <w:trPr>
          <w:trHeight w:val="191"/>
          <w:jc w:val="center"/>
        </w:trPr>
        <w:tc>
          <w:tcPr>
            <w:tcW w:w="2486" w:type="dxa"/>
            <w:tcBorders>
              <w:top w:val="nil"/>
            </w:tcBorders>
          </w:tcPr>
          <w:p w14:paraId="37F49BFB" w14:textId="77777777" w:rsidR="00145083" w:rsidRDefault="00145083" w:rsidP="00BA1111">
            <w:pPr>
              <w:pStyle w:val="TableParagraph"/>
              <w:rPr>
                <w:rFonts w:ascii="Times New Roman"/>
                <w:sz w:val="12"/>
              </w:rPr>
            </w:pPr>
          </w:p>
        </w:tc>
        <w:tc>
          <w:tcPr>
            <w:tcW w:w="1150" w:type="dxa"/>
            <w:tcBorders>
              <w:top w:val="nil"/>
            </w:tcBorders>
          </w:tcPr>
          <w:p w14:paraId="3E10AE6C" w14:textId="77777777" w:rsidR="00145083" w:rsidRDefault="00145083" w:rsidP="00BA1111">
            <w:pPr>
              <w:pStyle w:val="TableParagraph"/>
              <w:rPr>
                <w:rFonts w:ascii="Times New Roman"/>
                <w:sz w:val="12"/>
              </w:rPr>
            </w:pPr>
          </w:p>
        </w:tc>
        <w:tc>
          <w:tcPr>
            <w:tcW w:w="1093" w:type="dxa"/>
            <w:tcBorders>
              <w:top w:val="nil"/>
            </w:tcBorders>
          </w:tcPr>
          <w:p w14:paraId="21002E97" w14:textId="77777777" w:rsidR="00145083" w:rsidRDefault="00145083" w:rsidP="00BA1111">
            <w:pPr>
              <w:pStyle w:val="TableParagraph"/>
              <w:rPr>
                <w:rFonts w:ascii="Times New Roman"/>
                <w:sz w:val="12"/>
              </w:rPr>
            </w:pPr>
          </w:p>
        </w:tc>
        <w:tc>
          <w:tcPr>
            <w:tcW w:w="970" w:type="dxa"/>
            <w:tcBorders>
              <w:top w:val="nil"/>
            </w:tcBorders>
          </w:tcPr>
          <w:p w14:paraId="1F082A07" w14:textId="77777777" w:rsidR="00145083" w:rsidRDefault="00145083" w:rsidP="00BA1111">
            <w:pPr>
              <w:pStyle w:val="TableParagraph"/>
              <w:rPr>
                <w:rFonts w:ascii="Times New Roman"/>
                <w:sz w:val="12"/>
              </w:rPr>
            </w:pPr>
          </w:p>
        </w:tc>
        <w:tc>
          <w:tcPr>
            <w:tcW w:w="1037" w:type="dxa"/>
            <w:tcBorders>
              <w:top w:val="nil"/>
            </w:tcBorders>
          </w:tcPr>
          <w:p w14:paraId="174119D9" w14:textId="77777777" w:rsidR="00145083" w:rsidRDefault="00145083" w:rsidP="00BA1111">
            <w:pPr>
              <w:pStyle w:val="TableParagraph"/>
              <w:rPr>
                <w:rFonts w:ascii="Times New Roman"/>
                <w:sz w:val="12"/>
              </w:rPr>
            </w:pPr>
          </w:p>
        </w:tc>
        <w:tc>
          <w:tcPr>
            <w:tcW w:w="1151" w:type="dxa"/>
            <w:tcBorders>
              <w:top w:val="nil"/>
            </w:tcBorders>
          </w:tcPr>
          <w:p w14:paraId="3789625D" w14:textId="77777777" w:rsidR="00145083" w:rsidRDefault="00145083" w:rsidP="00BA1111">
            <w:pPr>
              <w:pStyle w:val="TableParagraph"/>
              <w:rPr>
                <w:rFonts w:ascii="Times New Roman"/>
                <w:sz w:val="12"/>
              </w:rPr>
            </w:pPr>
          </w:p>
        </w:tc>
        <w:tc>
          <w:tcPr>
            <w:tcW w:w="608" w:type="dxa"/>
            <w:tcBorders>
              <w:top w:val="nil"/>
            </w:tcBorders>
          </w:tcPr>
          <w:p w14:paraId="2C8F5D08" w14:textId="77777777" w:rsidR="00145083" w:rsidRDefault="00145083" w:rsidP="00BA1111">
            <w:pPr>
              <w:pStyle w:val="TableParagraph"/>
              <w:rPr>
                <w:rFonts w:ascii="Times New Roman"/>
                <w:sz w:val="12"/>
              </w:rPr>
            </w:pPr>
          </w:p>
        </w:tc>
      </w:tr>
      <w:tr w:rsidR="00145083" w14:paraId="17C7517A" w14:textId="77777777" w:rsidTr="00145083">
        <w:trPr>
          <w:trHeight w:val="1205"/>
          <w:jc w:val="center"/>
        </w:trPr>
        <w:tc>
          <w:tcPr>
            <w:tcW w:w="2486" w:type="dxa"/>
          </w:tcPr>
          <w:p w14:paraId="3B227F1F" w14:textId="77777777" w:rsidR="00145083" w:rsidRDefault="00145083" w:rsidP="00BA1111">
            <w:pPr>
              <w:pStyle w:val="TableParagraph"/>
              <w:spacing w:before="69" w:line="199" w:lineRule="auto"/>
              <w:ind w:left="185" w:right="306"/>
              <w:rPr>
                <w:sz w:val="19"/>
              </w:rPr>
            </w:pPr>
            <w:r>
              <w:rPr>
                <w:w w:val="105"/>
                <w:sz w:val="19"/>
              </w:rPr>
              <w:lastRenderedPageBreak/>
              <w:t>Inadequate complaint and redress process and management</w:t>
            </w:r>
          </w:p>
        </w:tc>
        <w:tc>
          <w:tcPr>
            <w:tcW w:w="1150" w:type="dxa"/>
          </w:tcPr>
          <w:p w14:paraId="35739BE2" w14:textId="77777777" w:rsidR="00145083" w:rsidRDefault="00145083" w:rsidP="00BA1111">
            <w:pPr>
              <w:pStyle w:val="TableParagraph"/>
              <w:rPr>
                <w:rFonts w:ascii="Arial"/>
                <w:b/>
                <w:sz w:val="20"/>
              </w:rPr>
            </w:pPr>
          </w:p>
          <w:p w14:paraId="2F2FFBDA" w14:textId="77777777" w:rsidR="00145083" w:rsidRDefault="00145083" w:rsidP="00BA1111">
            <w:pPr>
              <w:pStyle w:val="TableParagraph"/>
              <w:spacing w:before="5"/>
              <w:rPr>
                <w:rFonts w:ascii="Arial"/>
                <w:b/>
                <w:sz w:val="19"/>
              </w:rPr>
            </w:pPr>
          </w:p>
          <w:p w14:paraId="5EDDB05C"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35F99739" wp14:editId="432B3CEC">
                  <wp:extent cx="114300" cy="114300"/>
                  <wp:effectExtent l="0" t="0" r="0" b="0"/>
                  <wp:docPr id="13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79C3B546" w14:textId="77777777" w:rsidR="00145083" w:rsidRDefault="00145083" w:rsidP="00BA1111">
            <w:pPr>
              <w:pStyle w:val="TableParagraph"/>
              <w:rPr>
                <w:rFonts w:ascii="Arial"/>
                <w:b/>
                <w:sz w:val="20"/>
              </w:rPr>
            </w:pPr>
          </w:p>
          <w:p w14:paraId="640E484C" w14:textId="77777777" w:rsidR="00145083" w:rsidRDefault="00145083" w:rsidP="00BA1111">
            <w:pPr>
              <w:pStyle w:val="TableParagraph"/>
              <w:spacing w:before="5"/>
              <w:rPr>
                <w:rFonts w:ascii="Arial"/>
                <w:b/>
                <w:sz w:val="19"/>
              </w:rPr>
            </w:pPr>
          </w:p>
          <w:p w14:paraId="12F86DD8"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6CCD140E" wp14:editId="128753A0">
                  <wp:extent cx="114300" cy="114300"/>
                  <wp:effectExtent l="0" t="0" r="0" b="0"/>
                  <wp:docPr id="13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5F9AAFF7" w14:textId="77777777" w:rsidR="00145083" w:rsidRDefault="00145083" w:rsidP="00BA1111">
            <w:pPr>
              <w:pStyle w:val="TableParagraph"/>
              <w:rPr>
                <w:rFonts w:ascii="Arial"/>
                <w:b/>
                <w:sz w:val="20"/>
              </w:rPr>
            </w:pPr>
          </w:p>
          <w:p w14:paraId="4C5D6EEC" w14:textId="77777777" w:rsidR="00145083" w:rsidRDefault="00145083" w:rsidP="00BA1111">
            <w:pPr>
              <w:pStyle w:val="TableParagraph"/>
              <w:spacing w:before="5"/>
              <w:rPr>
                <w:rFonts w:ascii="Arial"/>
                <w:b/>
                <w:sz w:val="19"/>
              </w:rPr>
            </w:pPr>
          </w:p>
          <w:p w14:paraId="3775258F" w14:textId="62C72B51" w:rsidR="00145083" w:rsidRDefault="00803699"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0DD5AEED" wp14:editId="59A46E2C">
                  <wp:extent cx="114300" cy="114300"/>
                  <wp:effectExtent l="0" t="0" r="0" b="0"/>
                  <wp:docPr id="13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242E9FEA" w14:textId="77777777" w:rsidR="00145083" w:rsidRDefault="00145083" w:rsidP="00BA1111">
            <w:pPr>
              <w:pStyle w:val="TableParagraph"/>
              <w:rPr>
                <w:rFonts w:ascii="Arial"/>
                <w:b/>
                <w:sz w:val="20"/>
              </w:rPr>
            </w:pPr>
          </w:p>
          <w:p w14:paraId="042D0588" w14:textId="77777777" w:rsidR="00803699" w:rsidRDefault="00803699" w:rsidP="00BA1111">
            <w:pPr>
              <w:pStyle w:val="TableParagraph"/>
              <w:rPr>
                <w:rFonts w:ascii="Arial"/>
                <w:b/>
                <w:sz w:val="20"/>
              </w:rPr>
            </w:pPr>
          </w:p>
          <w:p w14:paraId="2BB999FE" w14:textId="15C18F41" w:rsidR="00145083" w:rsidRDefault="00803699" w:rsidP="00803699">
            <w:pPr>
              <w:pStyle w:val="TableParagraph"/>
              <w:spacing w:before="5"/>
              <w:jc w:val="center"/>
              <w:rPr>
                <w:rFonts w:ascii="Arial"/>
                <w:b/>
                <w:sz w:val="19"/>
              </w:rPr>
            </w:pPr>
            <w:r>
              <w:rPr>
                <w:rFonts w:ascii="Arial"/>
                <w:noProof/>
                <w:position w:val="-3"/>
                <w:sz w:val="18"/>
                <w:lang w:val="en-GB" w:eastAsia="en-GB"/>
              </w:rPr>
              <w:t>X</w:t>
            </w:r>
          </w:p>
          <w:p w14:paraId="0A5571C7" w14:textId="2164F144" w:rsidR="00145083" w:rsidRDefault="00145083" w:rsidP="00BA1111">
            <w:pPr>
              <w:pStyle w:val="TableParagraph"/>
              <w:spacing w:line="180" w:lineRule="exact"/>
              <w:ind w:left="486"/>
              <w:rPr>
                <w:rFonts w:ascii="Arial"/>
                <w:sz w:val="18"/>
              </w:rPr>
            </w:pPr>
          </w:p>
        </w:tc>
        <w:tc>
          <w:tcPr>
            <w:tcW w:w="1151" w:type="dxa"/>
          </w:tcPr>
          <w:p w14:paraId="0AFAA43B" w14:textId="77777777" w:rsidR="00145083" w:rsidRDefault="00145083" w:rsidP="00BA1111">
            <w:pPr>
              <w:pStyle w:val="TableParagraph"/>
              <w:rPr>
                <w:rFonts w:ascii="Arial"/>
                <w:b/>
                <w:sz w:val="20"/>
              </w:rPr>
            </w:pPr>
          </w:p>
          <w:p w14:paraId="4C7B231B" w14:textId="77777777" w:rsidR="00145083" w:rsidRDefault="00145083" w:rsidP="00BA1111">
            <w:pPr>
              <w:pStyle w:val="TableParagraph"/>
              <w:spacing w:before="5"/>
              <w:rPr>
                <w:rFonts w:ascii="Arial"/>
                <w:b/>
                <w:sz w:val="19"/>
              </w:rPr>
            </w:pPr>
          </w:p>
          <w:p w14:paraId="2AFE9B13"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02CA47D3" wp14:editId="253217A9">
                  <wp:extent cx="114300" cy="114300"/>
                  <wp:effectExtent l="0" t="0" r="0" b="0"/>
                  <wp:docPr id="13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049000B2" w14:textId="77777777" w:rsidR="00145083" w:rsidRDefault="00145083" w:rsidP="00BA1111">
            <w:pPr>
              <w:pStyle w:val="TableParagraph"/>
              <w:rPr>
                <w:rFonts w:ascii="Arial"/>
                <w:b/>
                <w:sz w:val="20"/>
              </w:rPr>
            </w:pPr>
          </w:p>
          <w:p w14:paraId="23776982" w14:textId="77777777" w:rsidR="00145083" w:rsidRDefault="00145083" w:rsidP="00BA1111">
            <w:pPr>
              <w:pStyle w:val="TableParagraph"/>
              <w:spacing w:before="5"/>
              <w:rPr>
                <w:rFonts w:ascii="Arial"/>
                <w:b/>
                <w:sz w:val="19"/>
              </w:rPr>
            </w:pPr>
          </w:p>
          <w:p w14:paraId="37176696"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0DC2761B" wp14:editId="7839ADC4">
                  <wp:extent cx="114300" cy="114300"/>
                  <wp:effectExtent l="0" t="0" r="0" b="0"/>
                  <wp:docPr id="13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7A325208" w14:textId="77777777" w:rsidTr="00145083">
        <w:trPr>
          <w:trHeight w:val="1205"/>
          <w:jc w:val="center"/>
        </w:trPr>
        <w:tc>
          <w:tcPr>
            <w:tcW w:w="2486" w:type="dxa"/>
          </w:tcPr>
          <w:p w14:paraId="548D65A6" w14:textId="77777777" w:rsidR="00145083" w:rsidRDefault="00145083" w:rsidP="00BA1111">
            <w:pPr>
              <w:pStyle w:val="TableParagraph"/>
              <w:spacing w:before="69" w:line="199" w:lineRule="auto"/>
              <w:ind w:left="185" w:right="162"/>
              <w:rPr>
                <w:sz w:val="19"/>
              </w:rPr>
            </w:pPr>
            <w:r>
              <w:rPr>
                <w:w w:val="105"/>
                <w:sz w:val="19"/>
              </w:rPr>
              <w:t>Use/abuse of personal data for financial commercial purposes</w:t>
            </w:r>
          </w:p>
        </w:tc>
        <w:tc>
          <w:tcPr>
            <w:tcW w:w="1150" w:type="dxa"/>
          </w:tcPr>
          <w:p w14:paraId="4F817136" w14:textId="77777777" w:rsidR="00145083" w:rsidRDefault="00145083" w:rsidP="00BA1111">
            <w:pPr>
              <w:pStyle w:val="TableParagraph"/>
              <w:rPr>
                <w:rFonts w:ascii="Arial"/>
                <w:b/>
                <w:sz w:val="20"/>
              </w:rPr>
            </w:pPr>
          </w:p>
          <w:p w14:paraId="33E111A4" w14:textId="77777777" w:rsidR="00145083" w:rsidRDefault="00145083" w:rsidP="00BA1111">
            <w:pPr>
              <w:pStyle w:val="TableParagraph"/>
              <w:spacing w:before="5"/>
              <w:rPr>
                <w:rFonts w:ascii="Arial"/>
                <w:b/>
                <w:sz w:val="19"/>
              </w:rPr>
            </w:pPr>
          </w:p>
          <w:p w14:paraId="5C6E7F11"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57CC2EBD" wp14:editId="4F29F049">
                  <wp:extent cx="114300" cy="114300"/>
                  <wp:effectExtent l="0" t="0" r="0" b="0"/>
                  <wp:docPr id="13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160D9BC0" w14:textId="77777777" w:rsidR="00145083" w:rsidRDefault="00145083" w:rsidP="00BA1111">
            <w:pPr>
              <w:pStyle w:val="TableParagraph"/>
              <w:rPr>
                <w:rFonts w:ascii="Arial"/>
                <w:b/>
                <w:sz w:val="20"/>
              </w:rPr>
            </w:pPr>
          </w:p>
          <w:p w14:paraId="231CCFCC" w14:textId="77777777" w:rsidR="00145083" w:rsidRDefault="00145083" w:rsidP="00BA1111">
            <w:pPr>
              <w:pStyle w:val="TableParagraph"/>
              <w:spacing w:before="5"/>
              <w:rPr>
                <w:rFonts w:ascii="Arial"/>
                <w:b/>
                <w:sz w:val="19"/>
              </w:rPr>
            </w:pPr>
          </w:p>
          <w:p w14:paraId="235C7DAF"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16F40261" wp14:editId="2A0BFF42">
                  <wp:extent cx="114300" cy="114300"/>
                  <wp:effectExtent l="0" t="0" r="0" b="0"/>
                  <wp:docPr id="13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2E4E5B5F" w14:textId="77777777" w:rsidR="00145083" w:rsidRDefault="00145083" w:rsidP="00BA1111">
            <w:pPr>
              <w:pStyle w:val="TableParagraph"/>
              <w:rPr>
                <w:rFonts w:ascii="Arial"/>
                <w:b/>
                <w:sz w:val="20"/>
              </w:rPr>
            </w:pPr>
          </w:p>
          <w:p w14:paraId="0F141937" w14:textId="77777777" w:rsidR="00145083" w:rsidRDefault="00145083" w:rsidP="00BA1111">
            <w:pPr>
              <w:pStyle w:val="TableParagraph"/>
              <w:spacing w:before="5"/>
              <w:rPr>
                <w:rFonts w:ascii="Arial"/>
                <w:b/>
                <w:sz w:val="19"/>
              </w:rPr>
            </w:pPr>
          </w:p>
          <w:p w14:paraId="11181452" w14:textId="77777777" w:rsidR="00145083" w:rsidRDefault="00145083"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294C4D69" wp14:editId="6F428517">
                  <wp:extent cx="114300" cy="114300"/>
                  <wp:effectExtent l="0" t="0" r="0" b="0"/>
                  <wp:docPr id="13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63D05040" w14:textId="77777777" w:rsidR="00145083" w:rsidRDefault="00145083" w:rsidP="00BA1111">
            <w:pPr>
              <w:pStyle w:val="TableParagraph"/>
              <w:rPr>
                <w:rFonts w:ascii="Arial"/>
                <w:b/>
                <w:sz w:val="20"/>
              </w:rPr>
            </w:pPr>
          </w:p>
          <w:p w14:paraId="49A38582" w14:textId="77777777" w:rsidR="00145083" w:rsidRDefault="00145083" w:rsidP="00BA1111">
            <w:pPr>
              <w:pStyle w:val="TableParagraph"/>
              <w:spacing w:before="5"/>
              <w:rPr>
                <w:rFonts w:ascii="Arial"/>
                <w:b/>
                <w:sz w:val="19"/>
              </w:rPr>
            </w:pPr>
          </w:p>
          <w:p w14:paraId="2145B966"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drawing>
                <wp:inline distT="0" distB="0" distL="0" distR="0" wp14:anchorId="65F8BC4A" wp14:editId="125C4352">
                  <wp:extent cx="114300" cy="114300"/>
                  <wp:effectExtent l="0" t="0" r="0" b="0"/>
                  <wp:docPr id="13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151" w:type="dxa"/>
          </w:tcPr>
          <w:p w14:paraId="0AE64A7C" w14:textId="77777777" w:rsidR="00145083" w:rsidRDefault="00145083" w:rsidP="00BA1111">
            <w:pPr>
              <w:pStyle w:val="TableParagraph"/>
              <w:rPr>
                <w:rFonts w:ascii="Arial"/>
                <w:b/>
                <w:sz w:val="20"/>
              </w:rPr>
            </w:pPr>
          </w:p>
          <w:p w14:paraId="3FC43503" w14:textId="77777777" w:rsidR="00145083" w:rsidRDefault="00145083" w:rsidP="00BA1111">
            <w:pPr>
              <w:pStyle w:val="TableParagraph"/>
              <w:spacing w:before="5"/>
              <w:rPr>
                <w:rFonts w:ascii="Arial"/>
                <w:b/>
                <w:sz w:val="19"/>
              </w:rPr>
            </w:pPr>
          </w:p>
          <w:p w14:paraId="6532963E"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t>X</w:t>
            </w:r>
          </w:p>
        </w:tc>
        <w:tc>
          <w:tcPr>
            <w:tcW w:w="608" w:type="dxa"/>
          </w:tcPr>
          <w:p w14:paraId="60BAC6C7" w14:textId="77777777" w:rsidR="00145083" w:rsidRDefault="00145083" w:rsidP="00BA1111">
            <w:pPr>
              <w:pStyle w:val="TableParagraph"/>
              <w:rPr>
                <w:rFonts w:ascii="Arial"/>
                <w:b/>
                <w:sz w:val="20"/>
              </w:rPr>
            </w:pPr>
          </w:p>
          <w:p w14:paraId="78689C9A" w14:textId="77777777" w:rsidR="00145083" w:rsidRDefault="00145083" w:rsidP="00BA1111">
            <w:pPr>
              <w:pStyle w:val="TableParagraph"/>
              <w:spacing w:before="5"/>
              <w:rPr>
                <w:rFonts w:ascii="Arial"/>
                <w:b/>
                <w:sz w:val="19"/>
              </w:rPr>
            </w:pPr>
          </w:p>
          <w:p w14:paraId="604CB7C1"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788F4B7F" wp14:editId="2C503582">
                  <wp:extent cx="114300" cy="114300"/>
                  <wp:effectExtent l="0" t="0" r="0" b="0"/>
                  <wp:docPr id="13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2B1C8A4E" w14:textId="77777777" w:rsidTr="00145083">
        <w:trPr>
          <w:trHeight w:val="906"/>
          <w:jc w:val="center"/>
        </w:trPr>
        <w:tc>
          <w:tcPr>
            <w:tcW w:w="2486" w:type="dxa"/>
          </w:tcPr>
          <w:p w14:paraId="778204D3" w14:textId="77777777" w:rsidR="00145083" w:rsidRDefault="00145083" w:rsidP="00BA1111">
            <w:pPr>
              <w:pStyle w:val="TableParagraph"/>
              <w:spacing w:before="69" w:line="199" w:lineRule="auto"/>
              <w:ind w:left="185" w:right="362"/>
              <w:rPr>
                <w:sz w:val="19"/>
              </w:rPr>
            </w:pPr>
            <w:r>
              <w:rPr>
                <w:w w:val="105"/>
                <w:sz w:val="19"/>
              </w:rPr>
              <w:t>Discrimination e.g. based on profiles</w:t>
            </w:r>
          </w:p>
        </w:tc>
        <w:tc>
          <w:tcPr>
            <w:tcW w:w="1150" w:type="dxa"/>
          </w:tcPr>
          <w:p w14:paraId="51FFFFAC" w14:textId="77777777" w:rsidR="00145083" w:rsidRDefault="00145083" w:rsidP="00BA1111">
            <w:pPr>
              <w:pStyle w:val="TableParagraph"/>
              <w:spacing w:before="7"/>
              <w:rPr>
                <w:rFonts w:ascii="Arial"/>
                <w:b/>
                <w:sz w:val="26"/>
              </w:rPr>
            </w:pPr>
          </w:p>
          <w:p w14:paraId="65004E69"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C218522" wp14:editId="4CFD3913">
                  <wp:extent cx="114300" cy="114300"/>
                  <wp:effectExtent l="0" t="0" r="0" b="0"/>
                  <wp:docPr id="13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57CD05AF" w14:textId="77777777" w:rsidR="00145083" w:rsidRDefault="00145083" w:rsidP="00BA1111">
            <w:pPr>
              <w:pStyle w:val="TableParagraph"/>
              <w:spacing w:before="7"/>
              <w:rPr>
                <w:rFonts w:ascii="Arial"/>
                <w:b/>
                <w:sz w:val="26"/>
              </w:rPr>
            </w:pPr>
          </w:p>
          <w:p w14:paraId="6F5FE7DB"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298371EF" wp14:editId="32B6A41C">
                  <wp:extent cx="114300" cy="114300"/>
                  <wp:effectExtent l="0" t="0" r="0" b="0"/>
                  <wp:docPr id="13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4D4EC23B" w14:textId="77777777" w:rsidR="00145083" w:rsidRDefault="00145083" w:rsidP="00BA1111">
            <w:pPr>
              <w:pStyle w:val="TableParagraph"/>
              <w:spacing w:before="7"/>
              <w:rPr>
                <w:rFonts w:ascii="Arial"/>
                <w:b/>
                <w:sz w:val="26"/>
              </w:rPr>
            </w:pPr>
          </w:p>
          <w:p w14:paraId="617E2D12" w14:textId="77777777" w:rsidR="00145083" w:rsidRDefault="00145083"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23C28830" wp14:editId="78EF4DE2">
                  <wp:extent cx="114300" cy="114300"/>
                  <wp:effectExtent l="0" t="0" r="0" b="0"/>
                  <wp:docPr id="13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4093EAFF" w14:textId="77777777" w:rsidR="00145083" w:rsidRDefault="00145083" w:rsidP="00BA1111">
            <w:pPr>
              <w:pStyle w:val="TableParagraph"/>
              <w:spacing w:before="7"/>
              <w:rPr>
                <w:rFonts w:ascii="Arial"/>
                <w:b/>
                <w:sz w:val="26"/>
              </w:rPr>
            </w:pPr>
          </w:p>
          <w:p w14:paraId="05AB2237"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t>X</w:t>
            </w:r>
          </w:p>
        </w:tc>
        <w:tc>
          <w:tcPr>
            <w:tcW w:w="1151" w:type="dxa"/>
          </w:tcPr>
          <w:p w14:paraId="114C48D6" w14:textId="77777777" w:rsidR="00145083" w:rsidRDefault="00145083" w:rsidP="00BA1111">
            <w:pPr>
              <w:pStyle w:val="TableParagraph"/>
              <w:spacing w:before="7"/>
              <w:rPr>
                <w:rFonts w:ascii="Arial"/>
                <w:b/>
                <w:sz w:val="26"/>
              </w:rPr>
            </w:pPr>
          </w:p>
          <w:p w14:paraId="3692FDB4"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0F8BDD00" wp14:editId="03AA1342">
                  <wp:extent cx="114300" cy="114300"/>
                  <wp:effectExtent l="0" t="0" r="0" b="0"/>
                  <wp:docPr id="13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401BB290" w14:textId="77777777" w:rsidR="00145083" w:rsidRDefault="00145083" w:rsidP="00BA1111">
            <w:pPr>
              <w:pStyle w:val="TableParagraph"/>
              <w:spacing w:before="7"/>
              <w:rPr>
                <w:rFonts w:ascii="Arial"/>
                <w:b/>
                <w:sz w:val="26"/>
              </w:rPr>
            </w:pPr>
          </w:p>
          <w:p w14:paraId="019E25CB"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2EB17EAE" wp14:editId="6A55996C">
                  <wp:extent cx="114300" cy="114300"/>
                  <wp:effectExtent l="0" t="0" r="0" b="0"/>
                  <wp:docPr id="13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24E869C1" w14:textId="77777777" w:rsidTr="00145083">
        <w:trPr>
          <w:trHeight w:val="1205"/>
          <w:jc w:val="center"/>
        </w:trPr>
        <w:tc>
          <w:tcPr>
            <w:tcW w:w="2486" w:type="dxa"/>
          </w:tcPr>
          <w:p w14:paraId="00F2969A" w14:textId="77777777" w:rsidR="00145083" w:rsidRDefault="00145083" w:rsidP="00BA1111">
            <w:pPr>
              <w:pStyle w:val="TableParagraph"/>
              <w:spacing w:before="69" w:line="199" w:lineRule="auto"/>
              <w:ind w:left="185" w:right="273"/>
              <w:rPr>
                <w:sz w:val="19"/>
              </w:rPr>
            </w:pPr>
            <w:r>
              <w:rPr>
                <w:w w:val="105"/>
                <w:sz w:val="19"/>
              </w:rPr>
              <w:t>Operational risk e.g. interrupted service, loss of data</w:t>
            </w:r>
          </w:p>
        </w:tc>
        <w:tc>
          <w:tcPr>
            <w:tcW w:w="1150" w:type="dxa"/>
          </w:tcPr>
          <w:p w14:paraId="75883CC4" w14:textId="77777777" w:rsidR="00145083" w:rsidRDefault="00145083" w:rsidP="00BA1111">
            <w:pPr>
              <w:pStyle w:val="TableParagraph"/>
              <w:rPr>
                <w:rFonts w:ascii="Arial"/>
                <w:b/>
                <w:sz w:val="20"/>
              </w:rPr>
            </w:pPr>
          </w:p>
          <w:p w14:paraId="069010D9" w14:textId="77777777" w:rsidR="00145083" w:rsidRDefault="00145083" w:rsidP="00BA1111">
            <w:pPr>
              <w:pStyle w:val="TableParagraph"/>
              <w:spacing w:before="5"/>
              <w:rPr>
                <w:rFonts w:ascii="Arial"/>
                <w:b/>
                <w:sz w:val="19"/>
              </w:rPr>
            </w:pPr>
          </w:p>
          <w:p w14:paraId="5FE30FCD"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70EBB79F" wp14:editId="1DF0447A">
                  <wp:extent cx="114300" cy="114300"/>
                  <wp:effectExtent l="0" t="0" r="0" b="0"/>
                  <wp:docPr id="13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24E20371" w14:textId="77777777" w:rsidR="00145083" w:rsidRDefault="00145083" w:rsidP="00BA1111">
            <w:pPr>
              <w:pStyle w:val="TableParagraph"/>
              <w:rPr>
                <w:rFonts w:ascii="Arial"/>
                <w:b/>
                <w:sz w:val="20"/>
              </w:rPr>
            </w:pPr>
          </w:p>
          <w:p w14:paraId="0DAAC2F9" w14:textId="77777777" w:rsidR="00145083" w:rsidRDefault="00145083" w:rsidP="00BA1111">
            <w:pPr>
              <w:pStyle w:val="TableParagraph"/>
              <w:spacing w:before="5"/>
              <w:rPr>
                <w:rFonts w:ascii="Arial"/>
                <w:b/>
                <w:sz w:val="19"/>
              </w:rPr>
            </w:pPr>
          </w:p>
          <w:p w14:paraId="6B06716B"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257FBD96" wp14:editId="3098DEFD">
                  <wp:extent cx="114300" cy="114300"/>
                  <wp:effectExtent l="0" t="0" r="0" b="0"/>
                  <wp:docPr id="13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713A0117" w14:textId="77777777" w:rsidR="00145083" w:rsidRDefault="00145083" w:rsidP="00BA1111">
            <w:pPr>
              <w:pStyle w:val="TableParagraph"/>
              <w:rPr>
                <w:rFonts w:ascii="Arial"/>
                <w:b/>
                <w:sz w:val="20"/>
              </w:rPr>
            </w:pPr>
          </w:p>
          <w:p w14:paraId="5948CCDC" w14:textId="77777777" w:rsidR="00145083" w:rsidRDefault="00145083" w:rsidP="00BA1111">
            <w:pPr>
              <w:pStyle w:val="TableParagraph"/>
              <w:spacing w:before="5"/>
              <w:rPr>
                <w:rFonts w:ascii="Arial"/>
                <w:b/>
                <w:sz w:val="19"/>
              </w:rPr>
            </w:pPr>
          </w:p>
          <w:p w14:paraId="58E7F75A" w14:textId="77777777" w:rsidR="00145083" w:rsidRDefault="00145083"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73AF4BED" wp14:editId="2700AFE5">
                  <wp:extent cx="114300" cy="114300"/>
                  <wp:effectExtent l="0" t="0" r="0" b="0"/>
                  <wp:docPr id="267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560912F5" w14:textId="77777777" w:rsidR="00145083" w:rsidRDefault="00145083" w:rsidP="00BA1111">
            <w:pPr>
              <w:pStyle w:val="TableParagraph"/>
              <w:rPr>
                <w:rFonts w:ascii="Arial"/>
                <w:b/>
                <w:sz w:val="20"/>
              </w:rPr>
            </w:pPr>
          </w:p>
          <w:p w14:paraId="352923FC" w14:textId="77777777" w:rsidR="00145083" w:rsidRDefault="00145083" w:rsidP="00BA1111">
            <w:pPr>
              <w:pStyle w:val="TableParagraph"/>
              <w:spacing w:before="5"/>
              <w:rPr>
                <w:rFonts w:ascii="Arial"/>
                <w:b/>
                <w:sz w:val="19"/>
              </w:rPr>
            </w:pPr>
          </w:p>
          <w:p w14:paraId="0656525E" w14:textId="77777777" w:rsidR="00145083" w:rsidRDefault="00145083" w:rsidP="00BA1111">
            <w:pPr>
              <w:pStyle w:val="TableParagraph"/>
              <w:spacing w:line="180" w:lineRule="exact"/>
              <w:ind w:left="486"/>
              <w:rPr>
                <w:rFonts w:ascii="Arial"/>
                <w:sz w:val="18"/>
              </w:rPr>
            </w:pPr>
            <w:r>
              <w:rPr>
                <w:rFonts w:ascii="Arial"/>
                <w:sz w:val="18"/>
              </w:rPr>
              <w:t xml:space="preserve">X </w:t>
            </w:r>
          </w:p>
        </w:tc>
        <w:tc>
          <w:tcPr>
            <w:tcW w:w="1151" w:type="dxa"/>
          </w:tcPr>
          <w:p w14:paraId="38A28F21" w14:textId="77777777" w:rsidR="00145083" w:rsidRDefault="00145083" w:rsidP="00BA1111">
            <w:pPr>
              <w:pStyle w:val="TableParagraph"/>
              <w:rPr>
                <w:rFonts w:ascii="Arial"/>
                <w:b/>
                <w:sz w:val="20"/>
              </w:rPr>
            </w:pPr>
          </w:p>
          <w:p w14:paraId="4F59BA8E" w14:textId="77777777" w:rsidR="00145083" w:rsidRDefault="00145083" w:rsidP="00BA1111">
            <w:pPr>
              <w:pStyle w:val="TableParagraph"/>
              <w:spacing w:before="5"/>
              <w:rPr>
                <w:rFonts w:ascii="Arial"/>
                <w:b/>
                <w:sz w:val="19"/>
              </w:rPr>
            </w:pPr>
          </w:p>
          <w:p w14:paraId="4056C40F"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6068B423" wp14:editId="2BD39BA7">
                  <wp:extent cx="114300" cy="114300"/>
                  <wp:effectExtent l="0" t="0" r="0" b="0"/>
                  <wp:docPr id="13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5BAC518F" w14:textId="77777777" w:rsidR="00145083" w:rsidRDefault="00145083" w:rsidP="00BA1111">
            <w:pPr>
              <w:pStyle w:val="TableParagraph"/>
              <w:rPr>
                <w:rFonts w:ascii="Arial"/>
                <w:b/>
                <w:sz w:val="20"/>
              </w:rPr>
            </w:pPr>
          </w:p>
          <w:p w14:paraId="7CC1BA2E" w14:textId="77777777" w:rsidR="00145083" w:rsidRDefault="00145083" w:rsidP="00BA1111">
            <w:pPr>
              <w:pStyle w:val="TableParagraph"/>
              <w:spacing w:before="5"/>
              <w:rPr>
                <w:rFonts w:ascii="Arial"/>
                <w:b/>
                <w:sz w:val="19"/>
              </w:rPr>
            </w:pPr>
          </w:p>
          <w:p w14:paraId="2F1071BF"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70070F96" wp14:editId="59EDD6FD">
                  <wp:extent cx="114300" cy="114300"/>
                  <wp:effectExtent l="0" t="0" r="0" b="0"/>
                  <wp:docPr id="13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45083" w14:paraId="4B4493AD" w14:textId="77777777" w:rsidTr="00145083">
        <w:trPr>
          <w:trHeight w:val="607"/>
          <w:jc w:val="center"/>
        </w:trPr>
        <w:tc>
          <w:tcPr>
            <w:tcW w:w="2486" w:type="dxa"/>
          </w:tcPr>
          <w:p w14:paraId="032DE1E4" w14:textId="77777777" w:rsidR="00145083" w:rsidRDefault="00145083" w:rsidP="00BA1111">
            <w:pPr>
              <w:pStyle w:val="TableParagraph"/>
              <w:spacing w:before="25"/>
              <w:ind w:left="185"/>
              <w:rPr>
                <w:sz w:val="19"/>
              </w:rPr>
            </w:pPr>
            <w:r>
              <w:rPr>
                <w:w w:val="105"/>
                <w:sz w:val="19"/>
              </w:rPr>
              <w:t>Other</w:t>
            </w:r>
          </w:p>
        </w:tc>
        <w:tc>
          <w:tcPr>
            <w:tcW w:w="1150" w:type="dxa"/>
          </w:tcPr>
          <w:p w14:paraId="123F93F7" w14:textId="77777777" w:rsidR="00145083" w:rsidRDefault="00145083" w:rsidP="00BA1111">
            <w:pPr>
              <w:pStyle w:val="TableParagraph"/>
              <w:spacing w:before="8"/>
              <w:rPr>
                <w:rFonts w:ascii="Arial"/>
                <w:b/>
                <w:sz w:val="13"/>
              </w:rPr>
            </w:pPr>
          </w:p>
          <w:p w14:paraId="2C1C1DB0" w14:textId="77777777" w:rsidR="00145083" w:rsidRDefault="00145083"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45D9E86" wp14:editId="669742C2">
                  <wp:extent cx="114300" cy="114300"/>
                  <wp:effectExtent l="0" t="0" r="0" b="0"/>
                  <wp:docPr id="13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93" w:type="dxa"/>
          </w:tcPr>
          <w:p w14:paraId="4DABA0D5" w14:textId="77777777" w:rsidR="00145083" w:rsidRDefault="00145083" w:rsidP="00BA1111">
            <w:pPr>
              <w:pStyle w:val="TableParagraph"/>
              <w:spacing w:before="8"/>
              <w:rPr>
                <w:rFonts w:ascii="Arial"/>
                <w:b/>
                <w:sz w:val="13"/>
              </w:rPr>
            </w:pPr>
          </w:p>
          <w:p w14:paraId="4C45F88D" w14:textId="77777777" w:rsidR="00145083" w:rsidRDefault="00145083" w:rsidP="00BA1111">
            <w:pPr>
              <w:pStyle w:val="TableParagraph"/>
              <w:spacing w:line="180" w:lineRule="exact"/>
              <w:ind w:left="520"/>
              <w:rPr>
                <w:rFonts w:ascii="Arial"/>
                <w:sz w:val="18"/>
              </w:rPr>
            </w:pPr>
            <w:r>
              <w:rPr>
                <w:rFonts w:ascii="Arial"/>
                <w:noProof/>
                <w:position w:val="-3"/>
                <w:sz w:val="18"/>
                <w:lang w:val="en-GB" w:eastAsia="en-GB"/>
              </w:rPr>
              <w:drawing>
                <wp:inline distT="0" distB="0" distL="0" distR="0" wp14:anchorId="53E902A3" wp14:editId="2D171237">
                  <wp:extent cx="114300" cy="114300"/>
                  <wp:effectExtent l="0" t="0" r="0" b="0"/>
                  <wp:docPr id="13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0" w:type="dxa"/>
          </w:tcPr>
          <w:p w14:paraId="335D05A7" w14:textId="77777777" w:rsidR="00145083" w:rsidRDefault="00145083" w:rsidP="00BA1111">
            <w:pPr>
              <w:pStyle w:val="TableParagraph"/>
              <w:spacing w:before="8"/>
              <w:rPr>
                <w:rFonts w:ascii="Arial"/>
                <w:b/>
                <w:sz w:val="13"/>
              </w:rPr>
            </w:pPr>
          </w:p>
          <w:p w14:paraId="12AE95A3" w14:textId="77777777" w:rsidR="00145083" w:rsidRDefault="00145083" w:rsidP="00BA1111">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69228A24" wp14:editId="6D1A6FD3">
                  <wp:extent cx="114300" cy="114300"/>
                  <wp:effectExtent l="0" t="0" r="0" b="0"/>
                  <wp:docPr id="13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37" w:type="dxa"/>
          </w:tcPr>
          <w:p w14:paraId="4EAF4A02" w14:textId="77777777" w:rsidR="00145083" w:rsidRDefault="00145083" w:rsidP="00BA1111">
            <w:pPr>
              <w:pStyle w:val="TableParagraph"/>
              <w:spacing w:before="8"/>
              <w:rPr>
                <w:rFonts w:ascii="Arial"/>
                <w:b/>
                <w:sz w:val="13"/>
              </w:rPr>
            </w:pPr>
          </w:p>
          <w:p w14:paraId="35B7069E" w14:textId="77777777" w:rsidR="00145083" w:rsidRDefault="00145083" w:rsidP="00BA1111">
            <w:pPr>
              <w:pStyle w:val="TableParagraph"/>
              <w:spacing w:line="180" w:lineRule="exact"/>
              <w:ind w:left="486"/>
              <w:rPr>
                <w:rFonts w:ascii="Arial"/>
                <w:sz w:val="18"/>
              </w:rPr>
            </w:pPr>
            <w:r>
              <w:rPr>
                <w:rFonts w:ascii="Arial"/>
                <w:noProof/>
                <w:position w:val="-3"/>
                <w:sz w:val="18"/>
                <w:lang w:val="en-GB" w:eastAsia="en-GB"/>
              </w:rPr>
              <w:t>X</w:t>
            </w:r>
          </w:p>
        </w:tc>
        <w:tc>
          <w:tcPr>
            <w:tcW w:w="1151" w:type="dxa"/>
          </w:tcPr>
          <w:p w14:paraId="4985B7B6" w14:textId="77777777" w:rsidR="00145083" w:rsidRDefault="00145083" w:rsidP="00BA1111">
            <w:pPr>
              <w:pStyle w:val="TableParagraph"/>
              <w:spacing w:before="8"/>
              <w:rPr>
                <w:rFonts w:ascii="Arial"/>
                <w:b/>
                <w:sz w:val="13"/>
              </w:rPr>
            </w:pPr>
          </w:p>
          <w:p w14:paraId="29E59291" w14:textId="77777777" w:rsidR="00145083" w:rsidRDefault="00145083" w:rsidP="00BA1111">
            <w:pPr>
              <w:pStyle w:val="TableParagraph"/>
              <w:spacing w:line="180" w:lineRule="exact"/>
              <w:ind w:left="549"/>
              <w:rPr>
                <w:rFonts w:ascii="Arial"/>
                <w:sz w:val="18"/>
              </w:rPr>
            </w:pPr>
            <w:r>
              <w:rPr>
                <w:rFonts w:ascii="Arial"/>
                <w:noProof/>
                <w:position w:val="-3"/>
                <w:sz w:val="18"/>
                <w:lang w:val="en-GB" w:eastAsia="en-GB"/>
              </w:rPr>
              <w:drawing>
                <wp:inline distT="0" distB="0" distL="0" distR="0" wp14:anchorId="2A40EF4F" wp14:editId="182974B5">
                  <wp:extent cx="114300" cy="114300"/>
                  <wp:effectExtent l="0" t="0" r="0" b="0"/>
                  <wp:docPr id="14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08" w:type="dxa"/>
          </w:tcPr>
          <w:p w14:paraId="67348928" w14:textId="77777777" w:rsidR="00145083" w:rsidRDefault="00145083" w:rsidP="00BA1111">
            <w:pPr>
              <w:pStyle w:val="TableParagraph"/>
              <w:spacing w:before="8"/>
              <w:rPr>
                <w:rFonts w:ascii="Arial"/>
                <w:b/>
                <w:sz w:val="13"/>
              </w:rPr>
            </w:pPr>
          </w:p>
          <w:p w14:paraId="657EC47B" w14:textId="77777777" w:rsidR="00145083" w:rsidRDefault="00145083" w:rsidP="00BA1111">
            <w:pPr>
              <w:pStyle w:val="TableParagraph"/>
              <w:spacing w:line="180" w:lineRule="exact"/>
              <w:ind w:left="238"/>
              <w:rPr>
                <w:rFonts w:ascii="Arial"/>
                <w:sz w:val="18"/>
              </w:rPr>
            </w:pPr>
            <w:r>
              <w:rPr>
                <w:rFonts w:ascii="Arial"/>
                <w:noProof/>
                <w:position w:val="-3"/>
                <w:sz w:val="18"/>
                <w:lang w:val="en-GB" w:eastAsia="en-GB"/>
              </w:rPr>
              <w:drawing>
                <wp:inline distT="0" distB="0" distL="0" distR="0" wp14:anchorId="096EF06A" wp14:editId="0009CFE1">
                  <wp:extent cx="114300" cy="114300"/>
                  <wp:effectExtent l="0" t="0" r="0" b="0"/>
                  <wp:docPr id="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6CEF9C8C" w14:textId="77777777" w:rsidR="00C63911" w:rsidRDefault="00C63911" w:rsidP="00AF7985">
      <w:pPr>
        <w:jc w:val="both"/>
        <w:rPr>
          <w:rFonts w:ascii="Calibri" w:hAnsi="Calibri" w:cs="Calibri"/>
          <w:b/>
        </w:rPr>
      </w:pPr>
    </w:p>
    <w:p w14:paraId="75EAD50E" w14:textId="758809DA" w:rsidR="00BF5787" w:rsidRDefault="00C63911" w:rsidP="00AF7985">
      <w:pPr>
        <w:jc w:val="both"/>
        <w:rPr>
          <w:rFonts w:ascii="Calibri" w:hAnsi="Calibri" w:cs="Calibri"/>
          <w:b/>
        </w:rPr>
      </w:pPr>
      <w:r w:rsidRPr="00C63911">
        <w:rPr>
          <w:rFonts w:ascii="Calibri" w:hAnsi="Calibri" w:cs="Calibri"/>
          <w:b/>
        </w:rPr>
        <w:t>Please specify which other consumer risk(s) you expect to change when technology companies gain significant market share in financial services in the EU in the five upcoming years</w:t>
      </w:r>
      <w:r>
        <w:rPr>
          <w:rFonts w:ascii="Calibri" w:hAnsi="Calibri" w:cs="Calibri"/>
          <w:b/>
        </w:rPr>
        <w:t>:</w:t>
      </w:r>
    </w:p>
    <w:p w14:paraId="7EEEF0FF" w14:textId="77777777" w:rsidR="00C63911" w:rsidRPr="00C63911" w:rsidRDefault="00C63911" w:rsidP="00AF7985">
      <w:pPr>
        <w:jc w:val="both"/>
        <w:rPr>
          <w:rFonts w:ascii="Calibri" w:hAnsi="Calibri" w:cs="Calibri"/>
        </w:rPr>
      </w:pPr>
    </w:p>
    <w:p w14:paraId="76D54DE1" w14:textId="77777777" w:rsidR="00803699" w:rsidRPr="00AF7985" w:rsidRDefault="00803699" w:rsidP="00803699">
      <w:pPr>
        <w:spacing w:line="276" w:lineRule="auto"/>
        <w:jc w:val="both"/>
        <w:rPr>
          <w:rFonts w:ascii="Calibri" w:hAnsi="Calibri" w:cs="Calibri"/>
          <w:sz w:val="22"/>
          <w:szCs w:val="22"/>
        </w:rPr>
      </w:pPr>
      <w:r>
        <w:rPr>
          <w:rFonts w:ascii="Calibri" w:hAnsi="Calibri" w:cs="Calibri"/>
          <w:sz w:val="22"/>
          <w:szCs w:val="22"/>
        </w:rPr>
        <w:t>T</w:t>
      </w:r>
      <w:r w:rsidRPr="00AF7985">
        <w:rPr>
          <w:rFonts w:ascii="Calibri" w:hAnsi="Calibri" w:cs="Calibri"/>
          <w:sz w:val="22"/>
          <w:szCs w:val="22"/>
        </w:rPr>
        <w:t xml:space="preserve">he EBA notes that any firm intending to carry out </w:t>
      </w:r>
      <w:r>
        <w:rPr>
          <w:rFonts w:ascii="Calibri" w:hAnsi="Calibri" w:cs="Calibri"/>
          <w:sz w:val="22"/>
          <w:szCs w:val="22"/>
        </w:rPr>
        <w:t>deposit-taking activity</w:t>
      </w:r>
      <w:r w:rsidRPr="00AF7985">
        <w:rPr>
          <w:rFonts w:ascii="Calibri" w:hAnsi="Calibri" w:cs="Calibri"/>
          <w:sz w:val="22"/>
          <w:szCs w:val="22"/>
        </w:rPr>
        <w:t xml:space="preserve">, payments or e-money services in the EU must first obtain the appropriate licence under EU law. Therefore, regardless of the identity of the provider of the service, the same regulatory requirements will apply to each </w:t>
      </w:r>
      <w:r>
        <w:rPr>
          <w:rFonts w:ascii="Calibri" w:hAnsi="Calibri" w:cs="Calibri"/>
          <w:sz w:val="22"/>
          <w:szCs w:val="22"/>
        </w:rPr>
        <w:t xml:space="preserve">firm holding the specific </w:t>
      </w:r>
      <w:r w:rsidRPr="00AF7985">
        <w:rPr>
          <w:rFonts w:ascii="Calibri" w:hAnsi="Calibri" w:cs="Calibri"/>
          <w:sz w:val="22"/>
          <w:szCs w:val="22"/>
        </w:rPr>
        <w:t>licence type.</w:t>
      </w:r>
    </w:p>
    <w:p w14:paraId="4F4E7B74" w14:textId="17C7AC0C" w:rsidR="002611DB" w:rsidRDefault="00803699" w:rsidP="002611DB">
      <w:pPr>
        <w:pStyle w:val="bullet1"/>
        <w:numPr>
          <w:ilvl w:val="0"/>
          <w:numId w:val="0"/>
        </w:numPr>
        <w:rPr>
          <w:rFonts w:ascii="Calibri" w:hAnsi="Calibri" w:cs="Calibri"/>
        </w:rPr>
      </w:pPr>
      <w:r w:rsidRPr="00AF7985">
        <w:rPr>
          <w:rFonts w:ascii="Calibri" w:hAnsi="Calibri" w:cs="Calibri"/>
        </w:rPr>
        <w:t xml:space="preserve">However, in order to ensure </w:t>
      </w:r>
      <w:r w:rsidR="00011CA0">
        <w:rPr>
          <w:rFonts w:ascii="Calibri" w:hAnsi="Calibri" w:cs="Calibri"/>
        </w:rPr>
        <w:t xml:space="preserve">that </w:t>
      </w:r>
      <w:r w:rsidRPr="00AF7985">
        <w:rPr>
          <w:rFonts w:ascii="Calibri" w:hAnsi="Calibri" w:cs="Calibri"/>
        </w:rPr>
        <w:t>the regulatory framework remains fit-for-purpose, the EBA is continuously monitoring the regulatory perimeter and, in 2020, will carry out work focusing on the role of digital platforms</w:t>
      </w:r>
      <w:r w:rsidR="002611DB">
        <w:rPr>
          <w:rFonts w:ascii="Calibri" w:hAnsi="Calibri" w:cs="Calibri"/>
        </w:rPr>
        <w:t xml:space="preserve"> (see further the EBA’s response to Question 10)</w:t>
      </w:r>
      <w:r>
        <w:rPr>
          <w:rFonts w:ascii="Calibri" w:hAnsi="Calibri" w:cs="Calibri"/>
        </w:rPr>
        <w:t>.</w:t>
      </w:r>
    </w:p>
    <w:p w14:paraId="258BD4F4" w14:textId="214AD808" w:rsidR="00803699" w:rsidRPr="00C63911" w:rsidRDefault="00803699" w:rsidP="002611DB">
      <w:pPr>
        <w:pStyle w:val="bullet1"/>
        <w:numPr>
          <w:ilvl w:val="0"/>
          <w:numId w:val="0"/>
        </w:numPr>
        <w:spacing w:after="0"/>
        <w:rPr>
          <w:rFonts w:ascii="Calibri" w:hAnsi="Calibri" w:cs="Calibri"/>
        </w:rPr>
      </w:pPr>
      <w:r>
        <w:rPr>
          <w:rFonts w:ascii="Calibri" w:hAnsi="Calibri" w:cs="Calibri"/>
        </w:rPr>
        <w:t>Referring to the question about other ‘consumer risks’</w:t>
      </w:r>
      <w:r w:rsidRPr="00C63911">
        <w:rPr>
          <w:rFonts w:ascii="Calibri" w:hAnsi="Calibri" w:cs="Calibri"/>
        </w:rPr>
        <w:t xml:space="preserve">, the EBA </w:t>
      </w:r>
      <w:r>
        <w:rPr>
          <w:rFonts w:ascii="Calibri" w:hAnsi="Calibri" w:cs="Calibri"/>
        </w:rPr>
        <w:t>identifies potential issues stemming from</w:t>
      </w:r>
      <w:r w:rsidRPr="00C63911">
        <w:rPr>
          <w:rFonts w:ascii="Calibri" w:hAnsi="Calibri" w:cs="Calibri"/>
        </w:rPr>
        <w:t>:</w:t>
      </w:r>
    </w:p>
    <w:p w14:paraId="00755E4D" w14:textId="77777777" w:rsidR="00803699" w:rsidRPr="00C63911" w:rsidRDefault="00803699" w:rsidP="00803699">
      <w:pPr>
        <w:spacing w:line="276" w:lineRule="auto"/>
        <w:ind w:left="385"/>
        <w:jc w:val="both"/>
        <w:rPr>
          <w:rFonts w:ascii="Calibri" w:hAnsi="Calibri" w:cs="Calibri"/>
          <w:sz w:val="22"/>
          <w:szCs w:val="22"/>
        </w:rPr>
      </w:pPr>
    </w:p>
    <w:p w14:paraId="31AF524B" w14:textId="297D4A35" w:rsidR="00803699" w:rsidRPr="00C63911" w:rsidRDefault="00803699" w:rsidP="00803699">
      <w:pPr>
        <w:pStyle w:val="ListParagraph"/>
        <w:widowControl w:val="0"/>
        <w:numPr>
          <w:ilvl w:val="0"/>
          <w:numId w:val="28"/>
        </w:numPr>
        <w:autoSpaceDE w:val="0"/>
        <w:autoSpaceDN w:val="0"/>
        <w:spacing w:before="9" w:after="0"/>
        <w:ind w:left="360"/>
        <w:rPr>
          <w:rFonts w:ascii="Calibri" w:hAnsi="Calibri" w:cs="Calibri"/>
          <w:szCs w:val="22"/>
        </w:rPr>
      </w:pPr>
      <w:r w:rsidRPr="00803699">
        <w:rPr>
          <w:rFonts w:ascii="Calibri" w:hAnsi="Calibri" w:cs="Calibri"/>
          <w:i/>
          <w:szCs w:val="22"/>
        </w:rPr>
        <w:t>Risk of market concentration</w:t>
      </w:r>
      <w:r w:rsidRPr="00C63911">
        <w:rPr>
          <w:rFonts w:ascii="Calibri" w:hAnsi="Calibri" w:cs="Calibri"/>
          <w:szCs w:val="22"/>
        </w:rPr>
        <w:t xml:space="preserve">. </w:t>
      </w:r>
      <w:r>
        <w:rPr>
          <w:rFonts w:ascii="Calibri" w:hAnsi="Calibri" w:cs="Calibri"/>
          <w:szCs w:val="22"/>
        </w:rPr>
        <w:t>Technology companies</w:t>
      </w:r>
      <w:r w:rsidRPr="00C63911">
        <w:rPr>
          <w:rFonts w:ascii="Calibri" w:hAnsi="Calibri" w:cs="Calibri"/>
          <w:szCs w:val="22"/>
        </w:rPr>
        <w:t xml:space="preserve">, </w:t>
      </w:r>
      <w:r>
        <w:rPr>
          <w:rFonts w:ascii="Calibri" w:hAnsi="Calibri" w:cs="Calibri"/>
          <w:szCs w:val="22"/>
        </w:rPr>
        <w:t>and especially those that already have a</w:t>
      </w:r>
      <w:r w:rsidRPr="00C63911">
        <w:rPr>
          <w:rFonts w:ascii="Calibri" w:hAnsi="Calibri" w:cs="Calibri"/>
          <w:szCs w:val="22"/>
        </w:rPr>
        <w:t xml:space="preserve"> large market share and customer base, could </w:t>
      </w:r>
      <w:r>
        <w:rPr>
          <w:rFonts w:ascii="Calibri" w:hAnsi="Calibri" w:cs="Calibri"/>
          <w:szCs w:val="22"/>
        </w:rPr>
        <w:t xml:space="preserve">leverage this customer base and </w:t>
      </w:r>
      <w:r w:rsidRPr="00C63911">
        <w:rPr>
          <w:rFonts w:ascii="Calibri" w:hAnsi="Calibri" w:cs="Calibri"/>
          <w:szCs w:val="22"/>
        </w:rPr>
        <w:t>gain significant market share in financial services, which</w:t>
      </w:r>
      <w:r>
        <w:rPr>
          <w:rFonts w:ascii="Calibri" w:hAnsi="Calibri" w:cs="Calibri"/>
          <w:szCs w:val="22"/>
        </w:rPr>
        <w:t>,</w:t>
      </w:r>
      <w:r w:rsidRPr="00C63911">
        <w:rPr>
          <w:rFonts w:ascii="Calibri" w:hAnsi="Calibri" w:cs="Calibri"/>
          <w:szCs w:val="22"/>
        </w:rPr>
        <w:t xml:space="preserve"> may</w:t>
      </w:r>
      <w:r>
        <w:rPr>
          <w:rFonts w:ascii="Calibri" w:hAnsi="Calibri" w:cs="Calibri"/>
          <w:szCs w:val="22"/>
        </w:rPr>
        <w:t xml:space="preserve"> (albeit depending on a range of factors including the response of incumbent financial institutions and, for example, any collaboration or partnership with tech companies)</w:t>
      </w:r>
      <w:r w:rsidRPr="00C63911">
        <w:rPr>
          <w:rFonts w:ascii="Calibri" w:hAnsi="Calibri" w:cs="Calibri"/>
          <w:szCs w:val="22"/>
        </w:rPr>
        <w:t xml:space="preserve"> result in less competition between providers of financial service</w:t>
      </w:r>
      <w:r w:rsidR="00066208">
        <w:rPr>
          <w:rFonts w:ascii="Calibri" w:hAnsi="Calibri" w:cs="Calibri"/>
          <w:szCs w:val="22"/>
        </w:rPr>
        <w:t>s and with consumers having fewer</w:t>
      </w:r>
      <w:r w:rsidRPr="00C63911">
        <w:rPr>
          <w:rFonts w:ascii="Calibri" w:hAnsi="Calibri" w:cs="Calibri"/>
          <w:szCs w:val="22"/>
        </w:rPr>
        <w:t xml:space="preserve"> financial institutions with </w:t>
      </w:r>
      <w:r w:rsidR="00066208">
        <w:rPr>
          <w:rFonts w:ascii="Calibri" w:hAnsi="Calibri" w:cs="Calibri"/>
          <w:szCs w:val="22"/>
        </w:rPr>
        <w:t>whom</w:t>
      </w:r>
      <w:r w:rsidRPr="00C63911">
        <w:rPr>
          <w:rFonts w:ascii="Calibri" w:hAnsi="Calibri" w:cs="Calibri"/>
          <w:szCs w:val="22"/>
        </w:rPr>
        <w:t xml:space="preserve"> they could interact, less choices in terms of financial products and services</w:t>
      </w:r>
      <w:r w:rsidR="00066208">
        <w:rPr>
          <w:rFonts w:ascii="Calibri" w:hAnsi="Calibri" w:cs="Calibri"/>
          <w:szCs w:val="22"/>
        </w:rPr>
        <w:t>,</w:t>
      </w:r>
      <w:r w:rsidRPr="00C63911">
        <w:rPr>
          <w:rFonts w:ascii="Calibri" w:hAnsi="Calibri" w:cs="Calibri"/>
          <w:szCs w:val="22"/>
        </w:rPr>
        <w:t xml:space="preserve"> and potentially face an increase of prices.</w:t>
      </w:r>
    </w:p>
    <w:p w14:paraId="2DF4C211" w14:textId="77777777" w:rsidR="00803699" w:rsidRPr="00663BB6" w:rsidRDefault="00803699" w:rsidP="00803699">
      <w:pPr>
        <w:pStyle w:val="ListParagraph"/>
        <w:widowControl w:val="0"/>
        <w:autoSpaceDE w:val="0"/>
        <w:autoSpaceDN w:val="0"/>
        <w:spacing w:before="9" w:after="0"/>
        <w:ind w:left="360"/>
        <w:rPr>
          <w:rFonts w:ascii="Calibri" w:hAnsi="Calibri"/>
        </w:rPr>
      </w:pPr>
    </w:p>
    <w:p w14:paraId="03C8C78C" w14:textId="77777777" w:rsidR="00803699" w:rsidRPr="00C63911" w:rsidRDefault="00803699" w:rsidP="00803699">
      <w:pPr>
        <w:pStyle w:val="ListParagraph"/>
        <w:widowControl w:val="0"/>
        <w:numPr>
          <w:ilvl w:val="0"/>
          <w:numId w:val="28"/>
        </w:numPr>
        <w:autoSpaceDE w:val="0"/>
        <w:autoSpaceDN w:val="0"/>
        <w:spacing w:before="9" w:after="0"/>
        <w:ind w:left="360"/>
        <w:rPr>
          <w:rFonts w:ascii="Calibri" w:hAnsi="Calibri" w:cs="Calibri"/>
          <w:szCs w:val="22"/>
        </w:rPr>
      </w:pPr>
      <w:r w:rsidRPr="00803699">
        <w:rPr>
          <w:rFonts w:ascii="Calibri" w:hAnsi="Calibri" w:cs="Calibri"/>
          <w:i/>
          <w:szCs w:val="22"/>
        </w:rPr>
        <w:t>Risk of over-indebtedness</w:t>
      </w:r>
      <w:r>
        <w:rPr>
          <w:rFonts w:ascii="Calibri" w:hAnsi="Calibri" w:cs="Calibri"/>
          <w:szCs w:val="22"/>
        </w:rPr>
        <w:t xml:space="preserve">. </w:t>
      </w:r>
      <w:r w:rsidRPr="00A27414">
        <w:rPr>
          <w:rFonts w:ascii="Calibri" w:hAnsi="Calibri" w:cs="Calibri"/>
          <w:szCs w:val="22"/>
        </w:rPr>
        <w:t>The increased relevance of technological companies</w:t>
      </w:r>
      <w:r>
        <w:rPr>
          <w:rFonts w:ascii="Calibri" w:hAnsi="Calibri" w:cs="Calibri"/>
          <w:szCs w:val="22"/>
        </w:rPr>
        <w:t xml:space="preserve"> and other suppliers applying innovative technologies to enable the increased and faster availability of consumer credit online may also imply, in the absence of appropriate safeguards </w:t>
      </w:r>
      <w:r w:rsidRPr="009F4C2E">
        <w:rPr>
          <w:rFonts w:ascii="Calibri" w:hAnsi="Calibri" w:cs="Calibri"/>
          <w:szCs w:val="22"/>
        </w:rPr>
        <w:t>and of harmonised licencing and supervisory regime</w:t>
      </w:r>
      <w:r>
        <w:rPr>
          <w:rFonts w:ascii="Calibri" w:hAnsi="Calibri" w:cs="Calibri"/>
          <w:szCs w:val="22"/>
        </w:rPr>
        <w:t>s</w:t>
      </w:r>
      <w:r w:rsidRPr="009F4C2E">
        <w:rPr>
          <w:rFonts w:ascii="Calibri" w:hAnsi="Calibri" w:cs="Calibri"/>
          <w:szCs w:val="22"/>
        </w:rPr>
        <w:t xml:space="preserve"> for</w:t>
      </w:r>
      <w:r>
        <w:rPr>
          <w:rFonts w:ascii="Calibri" w:hAnsi="Calibri" w:cs="Calibri"/>
          <w:szCs w:val="22"/>
        </w:rPr>
        <w:t xml:space="preserve"> non-bank</w:t>
      </w:r>
      <w:r w:rsidRPr="009F4C2E">
        <w:rPr>
          <w:rFonts w:ascii="Calibri" w:hAnsi="Calibri" w:cs="Calibri"/>
          <w:szCs w:val="22"/>
        </w:rPr>
        <w:t xml:space="preserve"> credit providers (including harmonised loan origination and arrears handling framework)</w:t>
      </w:r>
      <w:r>
        <w:rPr>
          <w:rFonts w:ascii="Calibri" w:hAnsi="Calibri" w:cs="Calibri"/>
          <w:szCs w:val="22"/>
        </w:rPr>
        <w:t>, a risk of over-indebtedness of some consumers.</w:t>
      </w:r>
    </w:p>
    <w:p w14:paraId="6D5D93CF" w14:textId="77777777" w:rsidR="00803699" w:rsidRPr="00C63911" w:rsidRDefault="00803699" w:rsidP="00803699">
      <w:pPr>
        <w:spacing w:line="276" w:lineRule="auto"/>
        <w:jc w:val="both"/>
        <w:rPr>
          <w:rFonts w:ascii="Calibri" w:hAnsi="Calibri" w:cs="Calibri"/>
          <w:sz w:val="22"/>
          <w:szCs w:val="22"/>
        </w:rPr>
      </w:pPr>
    </w:p>
    <w:p w14:paraId="35D9522A" w14:textId="3F9EC875" w:rsidR="00803699" w:rsidRDefault="00803699" w:rsidP="00803699">
      <w:pPr>
        <w:pStyle w:val="ListParagraph"/>
        <w:widowControl w:val="0"/>
        <w:numPr>
          <w:ilvl w:val="0"/>
          <w:numId w:val="28"/>
        </w:numPr>
        <w:autoSpaceDE w:val="0"/>
        <w:autoSpaceDN w:val="0"/>
        <w:spacing w:before="9" w:after="0"/>
        <w:ind w:left="360"/>
        <w:rPr>
          <w:rFonts w:ascii="Calibri" w:hAnsi="Calibri" w:cs="Calibri"/>
          <w:szCs w:val="22"/>
        </w:rPr>
      </w:pPr>
      <w:r w:rsidRPr="00803699">
        <w:rPr>
          <w:rFonts w:ascii="Calibri" w:hAnsi="Calibri" w:cs="Calibri"/>
          <w:i/>
          <w:szCs w:val="22"/>
        </w:rPr>
        <w:t>Risks of ineffective disclosures</w:t>
      </w:r>
      <w:r w:rsidR="0086553D">
        <w:rPr>
          <w:rFonts w:ascii="Calibri" w:hAnsi="Calibri" w:cs="Calibri"/>
          <w:i/>
          <w:szCs w:val="22"/>
        </w:rPr>
        <w:t xml:space="preserve"> and mis-selling</w:t>
      </w:r>
      <w:r>
        <w:rPr>
          <w:rFonts w:ascii="Calibri" w:hAnsi="Calibri" w:cs="Calibri"/>
          <w:szCs w:val="22"/>
        </w:rPr>
        <w:t xml:space="preserve">. </w:t>
      </w:r>
      <w:r w:rsidR="00066208">
        <w:rPr>
          <w:rFonts w:ascii="Calibri" w:hAnsi="Calibri" w:cs="Calibri"/>
          <w:szCs w:val="22"/>
        </w:rPr>
        <w:t>Consumers</w:t>
      </w:r>
      <w:r w:rsidRPr="00C63911">
        <w:rPr>
          <w:rFonts w:ascii="Calibri" w:hAnsi="Calibri" w:cs="Calibri"/>
          <w:szCs w:val="22"/>
        </w:rPr>
        <w:t xml:space="preserve"> can currently perform </w:t>
      </w:r>
      <w:r>
        <w:rPr>
          <w:rFonts w:ascii="Calibri" w:hAnsi="Calibri" w:cs="Calibri"/>
          <w:szCs w:val="22"/>
        </w:rPr>
        <w:t xml:space="preserve">(and are increasingly) carrying out </w:t>
      </w:r>
      <w:r w:rsidRPr="00C63911">
        <w:rPr>
          <w:rFonts w:ascii="Calibri" w:hAnsi="Calibri" w:cs="Calibri"/>
          <w:szCs w:val="22"/>
        </w:rPr>
        <w:t xml:space="preserve">transactions using wearable IoT devices, </w:t>
      </w:r>
      <w:r>
        <w:rPr>
          <w:rFonts w:ascii="Calibri" w:hAnsi="Calibri" w:cs="Calibri"/>
          <w:szCs w:val="22"/>
        </w:rPr>
        <w:t xml:space="preserve">and </w:t>
      </w:r>
      <w:r w:rsidRPr="00C63911">
        <w:rPr>
          <w:rFonts w:ascii="Calibri" w:hAnsi="Calibri" w:cs="Calibri"/>
          <w:szCs w:val="22"/>
        </w:rPr>
        <w:t xml:space="preserve">open bank accounts or access financial products and services via smart speakers which offer voice commands. </w:t>
      </w:r>
      <w:r w:rsidRPr="00F2669F">
        <w:rPr>
          <w:rFonts w:ascii="Calibri" w:hAnsi="Calibri" w:cs="Calibri"/>
          <w:szCs w:val="22"/>
        </w:rPr>
        <w:t xml:space="preserve">The EBA notes that the increased reliance on </w:t>
      </w:r>
      <w:r>
        <w:rPr>
          <w:rFonts w:ascii="Calibri" w:hAnsi="Calibri" w:cs="Calibri"/>
          <w:szCs w:val="22"/>
        </w:rPr>
        <w:t xml:space="preserve">digital interfaces and </w:t>
      </w:r>
      <w:r w:rsidRPr="00F2669F">
        <w:rPr>
          <w:rFonts w:ascii="Calibri" w:hAnsi="Calibri" w:cs="Calibri"/>
          <w:szCs w:val="22"/>
        </w:rPr>
        <w:t xml:space="preserve">the internet of things (IoT) for </w:t>
      </w:r>
      <w:r>
        <w:rPr>
          <w:rFonts w:ascii="Calibri" w:hAnsi="Calibri" w:cs="Calibri"/>
          <w:szCs w:val="22"/>
        </w:rPr>
        <w:t>access to and</w:t>
      </w:r>
      <w:r w:rsidRPr="00F2669F">
        <w:rPr>
          <w:rFonts w:ascii="Calibri" w:hAnsi="Calibri" w:cs="Calibri"/>
          <w:szCs w:val="22"/>
        </w:rPr>
        <w:t xml:space="preserve"> use of financial services could create many opportunities but also could create additional risks for consumers in the absence of appropriate safeguards to ensure the effective disclosure regarding the suitability and risks of financial products and services.</w:t>
      </w:r>
      <w:r>
        <w:rPr>
          <w:rFonts w:ascii="Calibri" w:hAnsi="Calibri" w:cs="Calibri"/>
          <w:szCs w:val="22"/>
        </w:rPr>
        <w:t xml:space="preserve"> </w:t>
      </w:r>
      <w:r w:rsidRPr="00F2669F">
        <w:rPr>
          <w:rFonts w:ascii="Calibri" w:hAnsi="Calibri" w:cs="Calibri"/>
          <w:szCs w:val="22"/>
        </w:rPr>
        <w:t>It is essential that the EU r</w:t>
      </w:r>
      <w:r w:rsidR="00066208">
        <w:rPr>
          <w:rFonts w:ascii="Calibri" w:hAnsi="Calibri" w:cs="Calibri"/>
          <w:szCs w:val="22"/>
        </w:rPr>
        <w:t>egulatory framework is</w:t>
      </w:r>
      <w:r w:rsidRPr="00F2669F">
        <w:rPr>
          <w:rFonts w:ascii="Calibri" w:hAnsi="Calibri" w:cs="Calibri"/>
          <w:szCs w:val="22"/>
        </w:rPr>
        <w:t xml:space="preserve"> adapted </w:t>
      </w:r>
      <w:r>
        <w:rPr>
          <w:rFonts w:ascii="Calibri" w:hAnsi="Calibri" w:cs="Calibri"/>
          <w:szCs w:val="22"/>
        </w:rPr>
        <w:t>appropriately</w:t>
      </w:r>
      <w:r w:rsidRPr="00F2669F">
        <w:rPr>
          <w:rFonts w:ascii="Calibri" w:hAnsi="Calibri" w:cs="Calibri"/>
          <w:szCs w:val="22"/>
        </w:rPr>
        <w:t xml:space="preserve">. </w:t>
      </w:r>
      <w:r w:rsidR="0086553D">
        <w:rPr>
          <w:rFonts w:ascii="Calibri" w:hAnsi="Calibri" w:cs="Calibri"/>
          <w:szCs w:val="22"/>
        </w:rPr>
        <w:t>The importance of identifying appropriate target markets and sufficiently testing products before launch is also emphasised in order to effectively mitigate the risks of customers being offered unsuitable products and services.</w:t>
      </w:r>
    </w:p>
    <w:p w14:paraId="28EC7345" w14:textId="77777777" w:rsidR="00803699" w:rsidRPr="00803699" w:rsidRDefault="00803699" w:rsidP="00803699">
      <w:pPr>
        <w:pStyle w:val="ListParagraph"/>
        <w:spacing w:after="0"/>
        <w:rPr>
          <w:rFonts w:ascii="Calibri" w:hAnsi="Calibri" w:cs="Calibri"/>
          <w:color w:val="1F497D"/>
        </w:rPr>
      </w:pPr>
    </w:p>
    <w:p w14:paraId="62D2F72D" w14:textId="08342DEA" w:rsidR="00C63911" w:rsidRPr="00803699" w:rsidRDefault="0086553D" w:rsidP="00803699">
      <w:pPr>
        <w:pStyle w:val="ListParagraph"/>
        <w:widowControl w:val="0"/>
        <w:numPr>
          <w:ilvl w:val="0"/>
          <w:numId w:val="28"/>
        </w:numPr>
        <w:autoSpaceDE w:val="0"/>
        <w:autoSpaceDN w:val="0"/>
        <w:spacing w:before="9" w:after="0"/>
        <w:ind w:left="360"/>
        <w:rPr>
          <w:rFonts w:ascii="Calibri" w:hAnsi="Calibri" w:cs="Calibri"/>
          <w:color w:val="000000" w:themeColor="text1"/>
          <w:szCs w:val="22"/>
        </w:rPr>
      </w:pPr>
      <w:r>
        <w:rPr>
          <w:rFonts w:ascii="Calibri" w:hAnsi="Calibri" w:cs="Calibri"/>
          <w:i/>
          <w:color w:val="000000" w:themeColor="text1"/>
        </w:rPr>
        <w:t>Other r</w:t>
      </w:r>
      <w:r w:rsidR="00803699" w:rsidRPr="00803699">
        <w:rPr>
          <w:rFonts w:ascii="Calibri" w:hAnsi="Calibri" w:cs="Calibri"/>
          <w:i/>
          <w:color w:val="000000" w:themeColor="text1"/>
        </w:rPr>
        <w:t xml:space="preserve">isks </w:t>
      </w:r>
      <w:r>
        <w:rPr>
          <w:rFonts w:ascii="Calibri" w:hAnsi="Calibri" w:cs="Calibri"/>
          <w:i/>
          <w:color w:val="000000" w:themeColor="text1"/>
        </w:rPr>
        <w:t>arising from digital interfaces</w:t>
      </w:r>
      <w:r w:rsidR="00803699">
        <w:rPr>
          <w:rFonts w:ascii="Calibri" w:hAnsi="Calibri" w:cs="Calibri"/>
          <w:color w:val="000000" w:themeColor="text1"/>
        </w:rPr>
        <w:t>.</w:t>
      </w:r>
      <w:r w:rsidR="00357AF7">
        <w:rPr>
          <w:rFonts w:ascii="Calibri" w:hAnsi="Calibri" w:cs="Calibri"/>
          <w:color w:val="000000" w:themeColor="text1"/>
        </w:rPr>
        <w:t xml:space="preserve"> </w:t>
      </w:r>
      <w:r w:rsidR="001C37A0">
        <w:rPr>
          <w:rFonts w:ascii="Calibri" w:hAnsi="Calibri" w:cs="Calibri"/>
          <w:color w:val="000000" w:themeColor="text1"/>
        </w:rPr>
        <w:t>As outlined in other parts of the EBA’s response (see in particular Question 2), without appropriate safeguards, the increasing utilisation of digital interfaces to access financial services may expose consumers to increased risks of fraud, data loss and theft. Additionally, consumers may face challenges in identifying the relevant service provider and point of contact</w:t>
      </w:r>
      <w:r w:rsidR="00F20374">
        <w:rPr>
          <w:rFonts w:ascii="Calibri" w:hAnsi="Calibri" w:cs="Calibri"/>
          <w:color w:val="000000" w:themeColor="text1"/>
        </w:rPr>
        <w:t>/applicable law</w:t>
      </w:r>
      <w:r w:rsidR="001C37A0">
        <w:rPr>
          <w:rFonts w:ascii="Calibri" w:hAnsi="Calibri" w:cs="Calibri"/>
          <w:color w:val="000000" w:themeColor="text1"/>
        </w:rPr>
        <w:t xml:space="preserve"> in the event of complaint or need for redress.</w:t>
      </w:r>
      <w:r w:rsidR="001C37A0">
        <w:t xml:space="preserve"> </w:t>
      </w:r>
      <w:r w:rsidR="00357AF7" w:rsidRPr="00211E04">
        <w:t xml:space="preserve">  </w:t>
      </w:r>
    </w:p>
    <w:p w14:paraId="37402F63" w14:textId="77777777" w:rsidR="00AE7376" w:rsidRPr="00D73C83" w:rsidRDefault="00AE7376" w:rsidP="00AF7985">
      <w:pPr>
        <w:jc w:val="both"/>
        <w:rPr>
          <w:rFonts w:ascii="Calibri" w:hAnsi="Calibri" w:cs="Calibri"/>
          <w:sz w:val="22"/>
          <w:szCs w:val="22"/>
        </w:rPr>
      </w:pPr>
    </w:p>
    <w:p w14:paraId="219A9E0E" w14:textId="62ECFD6A" w:rsidR="00C63911" w:rsidRDefault="00C63911" w:rsidP="00AF7985">
      <w:pPr>
        <w:jc w:val="both"/>
        <w:rPr>
          <w:rFonts w:ascii="Calibri" w:hAnsi="Calibri" w:cs="Calibri"/>
          <w:b/>
        </w:rPr>
      </w:pPr>
      <w:r w:rsidRPr="00D73C83">
        <w:rPr>
          <w:rFonts w:ascii="Calibri" w:hAnsi="Calibri" w:cs="Calibri"/>
          <w:b/>
        </w:rPr>
        <w:t>Question 11.1 If necessary, please describe how the risks would emerge, decrease or increase with the higher activity of technology companies in financial services and which market participants would face these increased risks:</w:t>
      </w:r>
    </w:p>
    <w:p w14:paraId="3EFAD337" w14:textId="14C6A1BF" w:rsidR="00C63911" w:rsidRPr="00C63911" w:rsidRDefault="00C63911" w:rsidP="00AB33B5">
      <w:pPr>
        <w:spacing w:line="276" w:lineRule="auto"/>
        <w:jc w:val="both"/>
        <w:rPr>
          <w:rFonts w:ascii="Calibri" w:hAnsi="Calibri" w:cs="Calibri"/>
          <w:sz w:val="22"/>
          <w:szCs w:val="22"/>
        </w:rPr>
      </w:pPr>
    </w:p>
    <w:p w14:paraId="1693CB21" w14:textId="315C25F5" w:rsidR="00803699" w:rsidRPr="00C63911" w:rsidRDefault="00803699" w:rsidP="00803699">
      <w:pPr>
        <w:spacing w:line="276" w:lineRule="auto"/>
        <w:jc w:val="both"/>
        <w:rPr>
          <w:rFonts w:ascii="Calibri" w:hAnsi="Calibri" w:cs="Calibri"/>
          <w:sz w:val="22"/>
          <w:szCs w:val="22"/>
        </w:rPr>
      </w:pPr>
      <w:r w:rsidRPr="00C63911">
        <w:rPr>
          <w:rFonts w:ascii="Calibri" w:hAnsi="Calibri" w:cs="Calibri"/>
          <w:sz w:val="22"/>
          <w:szCs w:val="22"/>
        </w:rPr>
        <w:t xml:space="preserve">The EBA is of the view that </w:t>
      </w:r>
      <w:r>
        <w:rPr>
          <w:rFonts w:ascii="Calibri" w:hAnsi="Calibri" w:cs="Calibri"/>
          <w:sz w:val="22"/>
          <w:szCs w:val="22"/>
        </w:rPr>
        <w:t>technology companies</w:t>
      </w:r>
      <w:r w:rsidRPr="00C63911">
        <w:rPr>
          <w:rFonts w:ascii="Calibri" w:hAnsi="Calibri" w:cs="Calibri"/>
          <w:sz w:val="22"/>
          <w:szCs w:val="22"/>
        </w:rPr>
        <w:t xml:space="preserve"> have the potential to become significant competitors in the provision of financial services.</w:t>
      </w:r>
      <w:r w:rsidRPr="00663BB6">
        <w:t xml:space="preserve"> </w:t>
      </w:r>
      <w:r>
        <w:rPr>
          <w:rFonts w:ascii="Calibri" w:hAnsi="Calibri" w:cs="Calibri"/>
          <w:sz w:val="22"/>
          <w:szCs w:val="22"/>
        </w:rPr>
        <w:t xml:space="preserve">The </w:t>
      </w:r>
      <w:r w:rsidRPr="00B96814">
        <w:rPr>
          <w:rFonts w:ascii="Calibri" w:hAnsi="Calibri" w:cs="Calibri"/>
          <w:sz w:val="22"/>
          <w:szCs w:val="22"/>
        </w:rPr>
        <w:t xml:space="preserve">increased </w:t>
      </w:r>
      <w:r>
        <w:rPr>
          <w:rFonts w:ascii="Calibri" w:hAnsi="Calibri" w:cs="Calibri"/>
          <w:sz w:val="22"/>
          <w:szCs w:val="22"/>
        </w:rPr>
        <w:t>number of competitors in the</w:t>
      </w:r>
      <w:r w:rsidRPr="00B96814">
        <w:rPr>
          <w:rFonts w:ascii="Calibri" w:hAnsi="Calibri" w:cs="Calibri"/>
          <w:sz w:val="22"/>
          <w:szCs w:val="22"/>
        </w:rPr>
        <w:t xml:space="preserve"> financial services sector may bring several benefits to </w:t>
      </w:r>
      <w:r>
        <w:rPr>
          <w:rFonts w:ascii="Calibri" w:hAnsi="Calibri" w:cs="Calibri"/>
          <w:sz w:val="22"/>
          <w:szCs w:val="22"/>
        </w:rPr>
        <w:t>consumers</w:t>
      </w:r>
      <w:r w:rsidR="00066208">
        <w:rPr>
          <w:rFonts w:ascii="Calibri" w:hAnsi="Calibri" w:cs="Calibri"/>
          <w:sz w:val="22"/>
          <w:szCs w:val="22"/>
        </w:rPr>
        <w:t xml:space="preserve"> but</w:t>
      </w:r>
      <w:r>
        <w:rPr>
          <w:rFonts w:ascii="Calibri" w:hAnsi="Calibri" w:cs="Calibri"/>
          <w:sz w:val="22"/>
          <w:szCs w:val="22"/>
        </w:rPr>
        <w:t>, at</w:t>
      </w:r>
      <w:r w:rsidRPr="00B96814">
        <w:rPr>
          <w:rFonts w:ascii="Calibri" w:hAnsi="Calibri" w:cs="Calibri"/>
          <w:sz w:val="22"/>
          <w:szCs w:val="22"/>
        </w:rPr>
        <w:t xml:space="preserve"> the same time</w:t>
      </w:r>
      <w:r w:rsidR="00066208">
        <w:rPr>
          <w:rFonts w:ascii="Calibri" w:hAnsi="Calibri" w:cs="Calibri"/>
          <w:sz w:val="22"/>
          <w:szCs w:val="22"/>
        </w:rPr>
        <w:t>,</w:t>
      </w:r>
      <w:r w:rsidRPr="00B96814">
        <w:rPr>
          <w:rFonts w:ascii="Calibri" w:hAnsi="Calibri" w:cs="Calibri"/>
          <w:sz w:val="22"/>
          <w:szCs w:val="22"/>
        </w:rPr>
        <w:t xml:space="preserve"> may result </w:t>
      </w:r>
      <w:r>
        <w:rPr>
          <w:rFonts w:ascii="Calibri" w:hAnsi="Calibri" w:cs="Calibri"/>
          <w:sz w:val="22"/>
          <w:szCs w:val="22"/>
        </w:rPr>
        <w:t>in some risks for them.</w:t>
      </w:r>
      <w:r w:rsidRPr="00C63911">
        <w:rPr>
          <w:rFonts w:ascii="Calibri" w:hAnsi="Calibri" w:cs="Calibri"/>
          <w:sz w:val="22"/>
          <w:szCs w:val="22"/>
        </w:rPr>
        <w:t xml:space="preserve"> </w:t>
      </w:r>
      <w:r>
        <w:rPr>
          <w:rFonts w:ascii="Calibri" w:hAnsi="Calibri" w:cs="Calibri"/>
          <w:sz w:val="22"/>
          <w:szCs w:val="22"/>
        </w:rPr>
        <w:t>Technology companies can further increase the current competitive pressure for current incumbents</w:t>
      </w:r>
      <w:r w:rsidRPr="00C63911">
        <w:rPr>
          <w:rFonts w:ascii="Calibri" w:hAnsi="Calibri" w:cs="Calibri"/>
          <w:sz w:val="22"/>
          <w:szCs w:val="22"/>
        </w:rPr>
        <w:t xml:space="preserve"> </w:t>
      </w:r>
      <w:r>
        <w:rPr>
          <w:rFonts w:ascii="Calibri" w:hAnsi="Calibri" w:cs="Calibri"/>
          <w:sz w:val="22"/>
          <w:szCs w:val="22"/>
        </w:rPr>
        <w:t>since</w:t>
      </w:r>
      <w:r w:rsidRPr="00C63911">
        <w:rPr>
          <w:rFonts w:ascii="Calibri" w:hAnsi="Calibri" w:cs="Calibri"/>
          <w:sz w:val="22"/>
          <w:szCs w:val="22"/>
        </w:rPr>
        <w:t xml:space="preserve"> </w:t>
      </w:r>
      <w:r>
        <w:rPr>
          <w:rFonts w:ascii="Calibri" w:hAnsi="Calibri" w:cs="Calibri"/>
          <w:sz w:val="22"/>
          <w:szCs w:val="22"/>
        </w:rPr>
        <w:t>some of these</w:t>
      </w:r>
      <w:r w:rsidRPr="00C63911">
        <w:rPr>
          <w:rFonts w:ascii="Calibri" w:hAnsi="Calibri" w:cs="Calibri"/>
          <w:sz w:val="22"/>
          <w:szCs w:val="22"/>
        </w:rPr>
        <w:t xml:space="preserve"> </w:t>
      </w:r>
      <w:r>
        <w:rPr>
          <w:rFonts w:ascii="Calibri" w:hAnsi="Calibri" w:cs="Calibri"/>
          <w:sz w:val="22"/>
          <w:szCs w:val="22"/>
        </w:rPr>
        <w:t>companies have</w:t>
      </w:r>
      <w:r w:rsidRPr="00C63911">
        <w:rPr>
          <w:rFonts w:ascii="Calibri" w:hAnsi="Calibri" w:cs="Calibri"/>
          <w:sz w:val="22"/>
          <w:szCs w:val="22"/>
        </w:rPr>
        <w:t xml:space="preserve"> significant investment capacity, technological knowledge and expertise, as well as scaling experience to provide services at lower costs in large volumes</w:t>
      </w:r>
      <w:r>
        <w:rPr>
          <w:rFonts w:ascii="Calibri" w:hAnsi="Calibri" w:cs="Calibri"/>
          <w:sz w:val="22"/>
          <w:szCs w:val="22"/>
        </w:rPr>
        <w:t>.</w:t>
      </w:r>
      <w:r w:rsidRPr="00C63911">
        <w:rPr>
          <w:rFonts w:ascii="Calibri" w:hAnsi="Calibri" w:cs="Calibri"/>
          <w:sz w:val="22"/>
          <w:szCs w:val="22"/>
        </w:rPr>
        <w:t xml:space="preserve"> </w:t>
      </w:r>
      <w:r>
        <w:rPr>
          <w:rFonts w:ascii="Calibri" w:hAnsi="Calibri" w:cs="Calibri"/>
          <w:sz w:val="22"/>
          <w:szCs w:val="22"/>
        </w:rPr>
        <w:t xml:space="preserve"> Over time, t</w:t>
      </w:r>
      <w:r w:rsidRPr="00C63911">
        <w:rPr>
          <w:rFonts w:ascii="Calibri" w:hAnsi="Calibri" w:cs="Calibri"/>
          <w:sz w:val="22"/>
          <w:szCs w:val="22"/>
        </w:rPr>
        <w:t xml:space="preserve">his may </w:t>
      </w:r>
      <w:r>
        <w:rPr>
          <w:rFonts w:ascii="Calibri" w:hAnsi="Calibri" w:cs="Calibri"/>
          <w:sz w:val="22"/>
          <w:szCs w:val="22"/>
        </w:rPr>
        <w:t xml:space="preserve">erode competition within the sector and </w:t>
      </w:r>
      <w:r w:rsidRPr="00C63911">
        <w:rPr>
          <w:rFonts w:ascii="Calibri" w:hAnsi="Calibri" w:cs="Calibri"/>
          <w:sz w:val="22"/>
          <w:szCs w:val="22"/>
        </w:rPr>
        <w:t>result in having</w:t>
      </w:r>
      <w:r>
        <w:rPr>
          <w:rFonts w:ascii="Calibri" w:hAnsi="Calibri" w:cs="Calibri"/>
          <w:sz w:val="22"/>
          <w:szCs w:val="22"/>
        </w:rPr>
        <w:t xml:space="preserve"> fewer</w:t>
      </w:r>
      <w:r w:rsidRPr="00C63911">
        <w:rPr>
          <w:rFonts w:ascii="Calibri" w:hAnsi="Calibri" w:cs="Calibri"/>
          <w:sz w:val="22"/>
          <w:szCs w:val="22"/>
        </w:rPr>
        <w:t xml:space="preserve"> providers of financial services in the EU in the coming years, with less competition and with consumers having a more limited choice of providers </w:t>
      </w:r>
      <w:r w:rsidR="00066208">
        <w:rPr>
          <w:rFonts w:ascii="Calibri" w:hAnsi="Calibri" w:cs="Calibri"/>
          <w:sz w:val="22"/>
          <w:szCs w:val="22"/>
        </w:rPr>
        <w:t>for</w:t>
      </w:r>
      <w:r w:rsidRPr="00C63911">
        <w:rPr>
          <w:rFonts w:ascii="Calibri" w:hAnsi="Calibri" w:cs="Calibri"/>
          <w:sz w:val="22"/>
          <w:szCs w:val="22"/>
        </w:rPr>
        <w:t xml:space="preserve"> financial services </w:t>
      </w:r>
      <w:r>
        <w:rPr>
          <w:rFonts w:ascii="Calibri" w:hAnsi="Calibri" w:cs="Calibri"/>
          <w:sz w:val="22"/>
          <w:szCs w:val="22"/>
        </w:rPr>
        <w:t xml:space="preserve">and </w:t>
      </w:r>
      <w:r w:rsidRPr="00C63911">
        <w:rPr>
          <w:rFonts w:ascii="Calibri" w:hAnsi="Calibri" w:cs="Calibri"/>
          <w:sz w:val="22"/>
          <w:szCs w:val="22"/>
        </w:rPr>
        <w:t xml:space="preserve">financial products. </w:t>
      </w:r>
      <w:r w:rsidR="00066208">
        <w:rPr>
          <w:rFonts w:ascii="Calibri" w:hAnsi="Calibri" w:cs="Calibri"/>
          <w:sz w:val="22"/>
          <w:szCs w:val="22"/>
        </w:rPr>
        <w:t xml:space="preserve"> (</w:t>
      </w:r>
      <w:r w:rsidRPr="00C63911">
        <w:rPr>
          <w:rFonts w:ascii="Calibri" w:hAnsi="Calibri" w:cs="Calibri"/>
          <w:sz w:val="22"/>
          <w:szCs w:val="22"/>
        </w:rPr>
        <w:t xml:space="preserve">The EBA has noticed </w:t>
      </w:r>
      <w:r>
        <w:rPr>
          <w:rFonts w:ascii="Calibri" w:hAnsi="Calibri" w:cs="Calibri"/>
          <w:sz w:val="22"/>
          <w:szCs w:val="22"/>
        </w:rPr>
        <w:t xml:space="preserve">so far, </w:t>
      </w:r>
      <w:r w:rsidRPr="00C63911">
        <w:rPr>
          <w:rFonts w:ascii="Calibri" w:hAnsi="Calibri" w:cs="Calibri"/>
          <w:sz w:val="22"/>
          <w:szCs w:val="22"/>
        </w:rPr>
        <w:t xml:space="preserve">that </w:t>
      </w:r>
      <w:r>
        <w:rPr>
          <w:rFonts w:ascii="Calibri" w:hAnsi="Calibri" w:cs="Calibri"/>
          <w:sz w:val="22"/>
          <w:szCs w:val="22"/>
        </w:rPr>
        <w:t>technology companies</w:t>
      </w:r>
      <w:r w:rsidRPr="00C63911">
        <w:rPr>
          <w:rFonts w:ascii="Calibri" w:hAnsi="Calibri" w:cs="Calibri"/>
          <w:sz w:val="22"/>
          <w:szCs w:val="22"/>
        </w:rPr>
        <w:t xml:space="preserve"> have become more active in the payments market than in the banking sector</w:t>
      </w:r>
      <w:r>
        <w:rPr>
          <w:rFonts w:ascii="Calibri" w:hAnsi="Calibri" w:cs="Calibri"/>
          <w:sz w:val="22"/>
          <w:szCs w:val="22"/>
        </w:rPr>
        <w:t>, potentially leveraging the</w:t>
      </w:r>
      <w:r w:rsidRPr="00C63911">
        <w:rPr>
          <w:rFonts w:ascii="Calibri" w:hAnsi="Calibri" w:cs="Calibri"/>
          <w:sz w:val="22"/>
          <w:szCs w:val="22"/>
        </w:rPr>
        <w:t xml:space="preserve"> PSD2 and data sharing through application programming interfaces (APIs) to enter the payment</w:t>
      </w:r>
      <w:r w:rsidR="00066208">
        <w:rPr>
          <w:rFonts w:ascii="Calibri" w:hAnsi="Calibri" w:cs="Calibri"/>
          <w:sz w:val="22"/>
          <w:szCs w:val="22"/>
        </w:rPr>
        <w:t>s</w:t>
      </w:r>
      <w:r w:rsidRPr="00C63911">
        <w:rPr>
          <w:rFonts w:ascii="Calibri" w:hAnsi="Calibri" w:cs="Calibri"/>
          <w:sz w:val="22"/>
          <w:szCs w:val="22"/>
        </w:rPr>
        <w:t xml:space="preserve"> market given their existing customer base, scaling experience and available technology tools.</w:t>
      </w:r>
      <w:r w:rsidR="00066208">
        <w:rPr>
          <w:rFonts w:ascii="Calibri" w:hAnsi="Calibri" w:cs="Calibri"/>
          <w:sz w:val="22"/>
          <w:szCs w:val="22"/>
        </w:rPr>
        <w:t>)</w:t>
      </w:r>
      <w:r w:rsidRPr="00C63911">
        <w:rPr>
          <w:rFonts w:ascii="Calibri" w:hAnsi="Calibri" w:cs="Calibri"/>
          <w:sz w:val="22"/>
          <w:szCs w:val="22"/>
        </w:rPr>
        <w:t xml:space="preserve"> </w:t>
      </w:r>
    </w:p>
    <w:p w14:paraId="3EE462E4" w14:textId="77777777" w:rsidR="00803699" w:rsidRPr="00C63911" w:rsidRDefault="00803699" w:rsidP="00803699">
      <w:pPr>
        <w:spacing w:line="276" w:lineRule="auto"/>
        <w:ind w:left="385"/>
        <w:jc w:val="both"/>
        <w:rPr>
          <w:rFonts w:ascii="Calibri" w:hAnsi="Calibri" w:cs="Calibri"/>
          <w:sz w:val="22"/>
          <w:szCs w:val="22"/>
        </w:rPr>
      </w:pPr>
    </w:p>
    <w:p w14:paraId="3DD1FFC4" w14:textId="69F0B097" w:rsidR="00AE7376" w:rsidRPr="00C63911" w:rsidRDefault="00066208" w:rsidP="00803699">
      <w:pPr>
        <w:spacing w:line="276" w:lineRule="auto"/>
        <w:jc w:val="both"/>
        <w:rPr>
          <w:rFonts w:ascii="Calibri" w:hAnsi="Calibri" w:cs="Calibri"/>
          <w:b/>
          <w:sz w:val="22"/>
          <w:szCs w:val="22"/>
        </w:rPr>
      </w:pPr>
      <w:r>
        <w:rPr>
          <w:rFonts w:ascii="Calibri" w:hAnsi="Calibri" w:cs="Calibri"/>
          <w:sz w:val="22"/>
          <w:szCs w:val="22"/>
        </w:rPr>
        <w:t>The</w:t>
      </w:r>
      <w:r w:rsidR="00803699" w:rsidRPr="00C63911">
        <w:rPr>
          <w:rFonts w:ascii="Calibri" w:hAnsi="Calibri" w:cs="Calibri"/>
          <w:sz w:val="22"/>
          <w:szCs w:val="22"/>
        </w:rPr>
        <w:t xml:space="preserve"> potential use of consumer data, currently held by </w:t>
      </w:r>
      <w:r w:rsidR="00803699">
        <w:rPr>
          <w:rFonts w:ascii="Calibri" w:hAnsi="Calibri" w:cs="Calibri"/>
          <w:sz w:val="22"/>
          <w:szCs w:val="22"/>
        </w:rPr>
        <w:t>technology companies</w:t>
      </w:r>
      <w:r w:rsidR="00803699" w:rsidRPr="00C63911">
        <w:rPr>
          <w:rFonts w:ascii="Calibri" w:hAnsi="Calibri" w:cs="Calibri"/>
          <w:sz w:val="22"/>
          <w:szCs w:val="22"/>
        </w:rPr>
        <w:t>, for payment and banking services</w:t>
      </w:r>
      <w:r w:rsidR="00673C3A">
        <w:rPr>
          <w:rFonts w:ascii="Calibri" w:hAnsi="Calibri" w:cs="Calibri"/>
          <w:sz w:val="22"/>
          <w:szCs w:val="22"/>
        </w:rPr>
        <w:t>, and combined with other forms of personal and non-personal data</w:t>
      </w:r>
      <w:r w:rsidR="00803699" w:rsidRPr="00C63911">
        <w:rPr>
          <w:rFonts w:ascii="Calibri" w:hAnsi="Calibri" w:cs="Calibri"/>
          <w:sz w:val="22"/>
          <w:szCs w:val="22"/>
        </w:rPr>
        <w:t xml:space="preserve"> </w:t>
      </w:r>
      <w:r w:rsidR="00803699">
        <w:rPr>
          <w:rFonts w:ascii="Calibri" w:hAnsi="Calibri" w:cs="Calibri"/>
          <w:sz w:val="22"/>
          <w:szCs w:val="22"/>
        </w:rPr>
        <w:t>may raise</w:t>
      </w:r>
      <w:r w:rsidR="00803699" w:rsidRPr="00C63911">
        <w:rPr>
          <w:rFonts w:ascii="Calibri" w:hAnsi="Calibri" w:cs="Calibri"/>
          <w:sz w:val="22"/>
          <w:szCs w:val="22"/>
        </w:rPr>
        <w:t xml:space="preserve"> concerns. Although some practices </w:t>
      </w:r>
      <w:r w:rsidR="00673C3A">
        <w:rPr>
          <w:rFonts w:ascii="Calibri" w:hAnsi="Calibri" w:cs="Calibri"/>
          <w:sz w:val="22"/>
          <w:szCs w:val="22"/>
        </w:rPr>
        <w:t>are subject to EU regulation,</w:t>
      </w:r>
      <w:r w:rsidR="00803699" w:rsidRPr="00C63911">
        <w:rPr>
          <w:rFonts w:ascii="Calibri" w:hAnsi="Calibri" w:cs="Calibri"/>
          <w:sz w:val="22"/>
          <w:szCs w:val="22"/>
        </w:rPr>
        <w:t xml:space="preserve"> such as the GDPR,</w:t>
      </w:r>
      <w:r w:rsidR="00803699">
        <w:rPr>
          <w:rFonts w:ascii="Calibri" w:hAnsi="Calibri" w:cs="Calibri"/>
          <w:sz w:val="22"/>
          <w:szCs w:val="22"/>
        </w:rPr>
        <w:t xml:space="preserve"> the risks are still there and require further consideration.</w:t>
      </w:r>
    </w:p>
    <w:p w14:paraId="0C428551" w14:textId="77777777" w:rsidR="009968AD" w:rsidRPr="00AF7985" w:rsidRDefault="009968AD" w:rsidP="00AF7985">
      <w:pPr>
        <w:jc w:val="both"/>
        <w:rPr>
          <w:rFonts w:ascii="Calibri" w:hAnsi="Calibri" w:cs="Calibri"/>
          <w:sz w:val="22"/>
          <w:szCs w:val="22"/>
        </w:rPr>
      </w:pPr>
    </w:p>
    <w:p w14:paraId="3500E6FA" w14:textId="3E273863" w:rsidR="00AF7985" w:rsidRDefault="00AF7985" w:rsidP="00AF7985">
      <w:pPr>
        <w:jc w:val="both"/>
        <w:rPr>
          <w:rFonts w:ascii="Calibri" w:hAnsi="Calibri" w:cs="Calibri"/>
          <w:b/>
        </w:rPr>
      </w:pPr>
      <w:r w:rsidRPr="006E5452">
        <w:rPr>
          <w:rFonts w:ascii="Calibri" w:hAnsi="Calibri" w:cs="Calibri"/>
          <w:b/>
        </w:rPr>
        <w:t>Question 12. Do you consider that any of the developments referred to in the questions 8 to 11 require adjusting the regulatory approach in the EU (for example by moving to more activity-based regulation, extending the regulatory perimeter to certain entities, adjusting certain parts of the EU single rulebook)?</w:t>
      </w:r>
    </w:p>
    <w:p w14:paraId="01AB13B9" w14:textId="77777777" w:rsidR="006E5452" w:rsidRPr="006E5452" w:rsidRDefault="006E5452" w:rsidP="00AF7985">
      <w:pPr>
        <w:jc w:val="both"/>
        <w:rPr>
          <w:rFonts w:ascii="Calibri" w:hAnsi="Calibri" w:cs="Calibri"/>
          <w:b/>
        </w:rPr>
      </w:pPr>
    </w:p>
    <w:p w14:paraId="7EA9CDDF" w14:textId="77777777" w:rsidR="00AF7985" w:rsidRPr="00AF7985" w:rsidRDefault="00AF7985" w:rsidP="00AF7985">
      <w:pPr>
        <w:jc w:val="center"/>
        <w:rPr>
          <w:rFonts w:ascii="Calibri" w:hAnsi="Calibri" w:cs="Calibri"/>
          <w:sz w:val="22"/>
          <w:szCs w:val="22"/>
        </w:rPr>
      </w:pPr>
      <w:r w:rsidRPr="00AF7985">
        <w:rPr>
          <w:rFonts w:ascii="Calibri" w:hAnsi="Calibri" w:cs="Calibri"/>
          <w:b/>
          <w:noProof/>
          <w:sz w:val="22"/>
          <w:szCs w:val="22"/>
          <w:lang w:val="en-GB" w:eastAsia="en-GB"/>
        </w:rPr>
        <w:drawing>
          <wp:inline distT="0" distB="0" distL="0" distR="0" wp14:anchorId="6747B86B" wp14:editId="457AD396">
            <wp:extent cx="3277057" cy="676369"/>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057" cy="676369"/>
                    </a:xfrm>
                    <a:prstGeom prst="rect">
                      <a:avLst/>
                    </a:prstGeom>
                  </pic:spPr>
                </pic:pic>
              </a:graphicData>
            </a:graphic>
          </wp:inline>
        </w:drawing>
      </w:r>
    </w:p>
    <w:p w14:paraId="534BE809" w14:textId="77777777" w:rsidR="00AF7985" w:rsidRPr="006E5452" w:rsidRDefault="00AF7985" w:rsidP="00AF7985">
      <w:pPr>
        <w:spacing w:before="227" w:line="232" w:lineRule="auto"/>
        <w:ind w:right="266"/>
        <w:jc w:val="both"/>
        <w:rPr>
          <w:rFonts w:ascii="Calibri" w:hAnsi="Calibri" w:cs="Calibri"/>
          <w:b/>
        </w:rPr>
      </w:pPr>
      <w:r w:rsidRPr="006E5452">
        <w:rPr>
          <w:rFonts w:ascii="Calibri" w:hAnsi="Calibri" w:cs="Calibri"/>
          <w:b/>
        </w:rPr>
        <w:t>Question 12.1 Please explain your answer to question 12, elaborating on specific areas and providing specific examples:</w:t>
      </w:r>
    </w:p>
    <w:p w14:paraId="7CA1FD34" w14:textId="77777777" w:rsidR="00AF7985" w:rsidRDefault="00AF7985" w:rsidP="00AF7985">
      <w:pPr>
        <w:jc w:val="both"/>
        <w:rPr>
          <w:rFonts w:ascii="Calibri" w:hAnsi="Calibri" w:cs="Calibri"/>
          <w:sz w:val="22"/>
          <w:szCs w:val="22"/>
        </w:rPr>
      </w:pPr>
    </w:p>
    <w:p w14:paraId="22117D35" w14:textId="256F349B" w:rsidR="00AF7985" w:rsidRPr="00AF7985" w:rsidRDefault="00AF7985" w:rsidP="006E5452">
      <w:pPr>
        <w:spacing w:line="276" w:lineRule="auto"/>
        <w:jc w:val="both"/>
        <w:rPr>
          <w:rFonts w:ascii="Calibri" w:hAnsi="Calibri" w:cs="Calibri"/>
          <w:sz w:val="22"/>
          <w:szCs w:val="22"/>
        </w:rPr>
      </w:pPr>
      <w:r w:rsidRPr="00AF7985">
        <w:rPr>
          <w:rFonts w:ascii="Calibri" w:hAnsi="Calibri" w:cs="Calibri"/>
          <w:sz w:val="22"/>
          <w:szCs w:val="22"/>
        </w:rPr>
        <w:t>In accordance with the EBA’s general tasks and functions, the EBA carries out continuous monitoring of the regulatory perimeter in order to ensure that the taking of credit and other risks is appropriately regulated and supervised. In the context of this work, the EBA has previo</w:t>
      </w:r>
      <w:r w:rsidR="00673C3A">
        <w:rPr>
          <w:rFonts w:ascii="Calibri" w:hAnsi="Calibri" w:cs="Calibri"/>
          <w:sz w:val="22"/>
          <w:szCs w:val="22"/>
        </w:rPr>
        <w:t>usly set out the rationale for</w:t>
      </w:r>
      <w:r w:rsidRPr="00AF7985">
        <w:rPr>
          <w:rFonts w:ascii="Calibri" w:hAnsi="Calibri" w:cs="Calibri"/>
          <w:sz w:val="22"/>
          <w:szCs w:val="22"/>
        </w:rPr>
        <w:t xml:space="preserve"> common EU framework</w:t>
      </w:r>
      <w:r w:rsidR="00673C3A">
        <w:rPr>
          <w:rFonts w:ascii="Calibri" w:hAnsi="Calibri" w:cs="Calibri"/>
          <w:sz w:val="22"/>
          <w:szCs w:val="22"/>
        </w:rPr>
        <w:t>s</w:t>
      </w:r>
      <w:r w:rsidRPr="00AF7985">
        <w:rPr>
          <w:rFonts w:ascii="Calibri" w:hAnsi="Calibri" w:cs="Calibri"/>
          <w:sz w:val="22"/>
          <w:szCs w:val="22"/>
        </w:rPr>
        <w:t xml:space="preserve"> for the regulation of crowdfunding and crypto-asset activities</w:t>
      </w:r>
      <w:r w:rsidRPr="00AF7985">
        <w:rPr>
          <w:rStyle w:val="FootnoteReference"/>
          <w:rFonts w:ascii="Calibri" w:hAnsi="Calibri" w:cs="Calibri"/>
          <w:sz w:val="22"/>
          <w:szCs w:val="22"/>
        </w:rPr>
        <w:footnoteReference w:id="16"/>
      </w:r>
      <w:r w:rsidRPr="00AF7985">
        <w:rPr>
          <w:rFonts w:ascii="Calibri" w:hAnsi="Calibri" w:cs="Calibri"/>
          <w:sz w:val="22"/>
          <w:szCs w:val="22"/>
        </w:rPr>
        <w:t xml:space="preserve"> to ensure the consistent regulation and supervision of risks and to facilitate the scaling of these activities cross-border. However, the outcome of the most recent monitoring did not expose a need for adjustment of the regulatory perimeter at EU level for other FinTech activities.</w:t>
      </w:r>
      <w:r w:rsidRPr="00AF7985">
        <w:rPr>
          <w:rStyle w:val="FootnoteReference"/>
          <w:rFonts w:ascii="Calibri" w:hAnsi="Calibri" w:cs="Calibri"/>
          <w:sz w:val="22"/>
          <w:szCs w:val="22"/>
        </w:rPr>
        <w:footnoteReference w:id="17"/>
      </w:r>
      <w:r w:rsidRPr="00AF7985">
        <w:rPr>
          <w:rFonts w:ascii="Calibri" w:hAnsi="Calibri" w:cs="Calibri"/>
          <w:sz w:val="22"/>
          <w:szCs w:val="22"/>
        </w:rPr>
        <w:t xml:space="preserve"> In 2020 the EBA will be continuing its monitoring work, including in the context of digital platforms</w:t>
      </w:r>
      <w:r w:rsidR="00237C5D">
        <w:rPr>
          <w:rFonts w:ascii="Calibri" w:hAnsi="Calibri" w:cs="Calibri"/>
          <w:sz w:val="22"/>
          <w:szCs w:val="22"/>
        </w:rPr>
        <w:t>,</w:t>
      </w:r>
      <w:r w:rsidRPr="00AF7985">
        <w:rPr>
          <w:rFonts w:ascii="Calibri" w:hAnsi="Calibri" w:cs="Calibri"/>
          <w:sz w:val="22"/>
          <w:szCs w:val="22"/>
        </w:rPr>
        <w:t xml:space="preserve"> and will report on the outcome of that work.</w:t>
      </w:r>
    </w:p>
    <w:p w14:paraId="3C31E00E" w14:textId="77777777" w:rsidR="00AF7985" w:rsidRDefault="00AF7985" w:rsidP="006E5452">
      <w:pPr>
        <w:spacing w:line="276" w:lineRule="auto"/>
        <w:jc w:val="both"/>
        <w:rPr>
          <w:rFonts w:ascii="Calibri" w:hAnsi="Calibri" w:cs="Calibri"/>
          <w:sz w:val="22"/>
          <w:szCs w:val="22"/>
        </w:rPr>
      </w:pPr>
    </w:p>
    <w:p w14:paraId="13FD2F3A" w14:textId="570D4775" w:rsidR="00AF7985" w:rsidRPr="00AF7985" w:rsidRDefault="00AF7985" w:rsidP="006E5452">
      <w:pPr>
        <w:spacing w:line="276" w:lineRule="auto"/>
        <w:jc w:val="both"/>
        <w:rPr>
          <w:rFonts w:ascii="Calibri" w:hAnsi="Calibri" w:cs="Calibri"/>
          <w:b/>
          <w:sz w:val="22"/>
          <w:szCs w:val="22"/>
        </w:rPr>
      </w:pPr>
      <w:r w:rsidRPr="00AF7985">
        <w:rPr>
          <w:rFonts w:ascii="Calibri" w:hAnsi="Calibri" w:cs="Calibri"/>
          <w:sz w:val="22"/>
          <w:szCs w:val="22"/>
        </w:rPr>
        <w:t>Please also refer to the EBA’s</w:t>
      </w:r>
      <w:r w:rsidR="006F6D35">
        <w:rPr>
          <w:rFonts w:ascii="Calibri" w:hAnsi="Calibri" w:cs="Calibri"/>
          <w:sz w:val="22"/>
          <w:szCs w:val="22"/>
        </w:rPr>
        <w:t xml:space="preserve"> response to Question</w:t>
      </w:r>
      <w:r w:rsidR="00673C3A">
        <w:rPr>
          <w:rFonts w:ascii="Calibri" w:hAnsi="Calibri" w:cs="Calibri"/>
          <w:sz w:val="22"/>
          <w:szCs w:val="22"/>
        </w:rPr>
        <w:t>s</w:t>
      </w:r>
      <w:r w:rsidR="006F6D35">
        <w:rPr>
          <w:rFonts w:ascii="Calibri" w:hAnsi="Calibri" w:cs="Calibri"/>
          <w:sz w:val="22"/>
          <w:szCs w:val="22"/>
        </w:rPr>
        <w:t xml:space="preserve"> 1</w:t>
      </w:r>
      <w:r w:rsidR="00673C3A">
        <w:rPr>
          <w:rFonts w:ascii="Calibri" w:hAnsi="Calibri" w:cs="Calibri"/>
          <w:sz w:val="22"/>
          <w:szCs w:val="22"/>
        </w:rPr>
        <w:t>, 10 and</w:t>
      </w:r>
      <w:r w:rsidR="006E5452">
        <w:rPr>
          <w:rFonts w:ascii="Calibri" w:hAnsi="Calibri" w:cs="Calibri"/>
          <w:sz w:val="22"/>
          <w:szCs w:val="22"/>
        </w:rPr>
        <w:t xml:space="preserve"> </w:t>
      </w:r>
      <w:r w:rsidRPr="00AF7985">
        <w:rPr>
          <w:rFonts w:ascii="Calibri" w:hAnsi="Calibri" w:cs="Calibri"/>
          <w:sz w:val="22"/>
          <w:szCs w:val="22"/>
        </w:rPr>
        <w:t>22.</w:t>
      </w:r>
    </w:p>
    <w:p w14:paraId="5BD12E41" w14:textId="77777777" w:rsidR="00AF7985" w:rsidRDefault="00AF7985" w:rsidP="00AF7985">
      <w:pPr>
        <w:jc w:val="both"/>
        <w:rPr>
          <w:rFonts w:ascii="Calibri" w:hAnsi="Calibri" w:cs="Calibri"/>
          <w:b/>
          <w:sz w:val="22"/>
          <w:szCs w:val="22"/>
        </w:rPr>
      </w:pPr>
    </w:p>
    <w:p w14:paraId="7DC9FE22" w14:textId="776B2FBE" w:rsidR="0019769E" w:rsidRPr="006E5452" w:rsidRDefault="0019769E" w:rsidP="00CC6A0F">
      <w:pPr>
        <w:pStyle w:val="Heading2"/>
        <w:tabs>
          <w:tab w:val="left" w:pos="1650"/>
          <w:tab w:val="left" w:pos="3245"/>
          <w:tab w:val="left" w:pos="5306"/>
          <w:tab w:val="left" w:pos="6956"/>
          <w:tab w:val="left" w:pos="8287"/>
        </w:tabs>
        <w:spacing w:before="1"/>
        <w:ind w:left="0" w:right="141"/>
        <w:jc w:val="both"/>
        <w:rPr>
          <w:rFonts w:ascii="Calibri" w:hAnsi="Calibri" w:cs="Calibri"/>
          <w:sz w:val="24"/>
          <w:szCs w:val="24"/>
        </w:rPr>
      </w:pPr>
      <w:r w:rsidRPr="006E5452">
        <w:rPr>
          <w:rFonts w:ascii="Calibri" w:hAnsi="Calibri" w:cs="Calibri"/>
          <w:sz w:val="24"/>
          <w:szCs w:val="24"/>
        </w:rPr>
        <w:t>Question 13. Building on your experience, what are the main challenges authorities are facing while supervising innovative/digital players in finance a</w:t>
      </w:r>
      <w:r w:rsidRPr="006E5452">
        <w:rPr>
          <w:rFonts w:ascii="Calibri" w:hAnsi="Calibri" w:cs="Calibri"/>
          <w:spacing w:val="-36"/>
          <w:sz w:val="24"/>
          <w:szCs w:val="24"/>
        </w:rPr>
        <w:t xml:space="preserve"> </w:t>
      </w:r>
      <w:r w:rsidRPr="006E5452">
        <w:rPr>
          <w:rFonts w:ascii="Calibri" w:hAnsi="Calibri" w:cs="Calibri"/>
          <w:sz w:val="24"/>
          <w:szCs w:val="24"/>
        </w:rPr>
        <w:t>n</w:t>
      </w:r>
      <w:r w:rsidRPr="006E5452">
        <w:rPr>
          <w:rFonts w:ascii="Calibri" w:hAnsi="Calibri" w:cs="Calibri"/>
          <w:spacing w:val="-36"/>
          <w:sz w:val="24"/>
          <w:szCs w:val="24"/>
        </w:rPr>
        <w:t xml:space="preserve"> </w:t>
      </w:r>
      <w:r w:rsidRPr="006E5452">
        <w:rPr>
          <w:rFonts w:ascii="Calibri" w:hAnsi="Calibri" w:cs="Calibri"/>
          <w:sz w:val="24"/>
          <w:szCs w:val="24"/>
        </w:rPr>
        <w:t>d h</w:t>
      </w:r>
      <w:r w:rsidRPr="006E5452">
        <w:rPr>
          <w:rFonts w:ascii="Calibri" w:hAnsi="Calibri" w:cs="Calibri"/>
          <w:spacing w:val="-36"/>
          <w:sz w:val="24"/>
          <w:szCs w:val="24"/>
        </w:rPr>
        <w:t xml:space="preserve"> </w:t>
      </w:r>
      <w:r w:rsidRPr="006E5452">
        <w:rPr>
          <w:rFonts w:ascii="Calibri" w:hAnsi="Calibri" w:cs="Calibri"/>
          <w:sz w:val="24"/>
          <w:szCs w:val="24"/>
        </w:rPr>
        <w:t>o</w:t>
      </w:r>
      <w:r w:rsidRPr="006E5452">
        <w:rPr>
          <w:rFonts w:ascii="Calibri" w:hAnsi="Calibri" w:cs="Calibri"/>
          <w:spacing w:val="-36"/>
          <w:sz w:val="24"/>
          <w:szCs w:val="24"/>
        </w:rPr>
        <w:t xml:space="preserve"> </w:t>
      </w:r>
      <w:r w:rsidRPr="006E5452">
        <w:rPr>
          <w:rFonts w:ascii="Calibri" w:hAnsi="Calibri" w:cs="Calibri"/>
          <w:sz w:val="24"/>
          <w:szCs w:val="24"/>
        </w:rPr>
        <w:t>w s</w:t>
      </w:r>
      <w:r w:rsidRPr="006E5452">
        <w:rPr>
          <w:rFonts w:ascii="Calibri" w:hAnsi="Calibri" w:cs="Calibri"/>
          <w:spacing w:val="-36"/>
          <w:sz w:val="24"/>
          <w:szCs w:val="24"/>
        </w:rPr>
        <w:t xml:space="preserve"> </w:t>
      </w:r>
      <w:r w:rsidRPr="006E5452">
        <w:rPr>
          <w:rFonts w:ascii="Calibri" w:hAnsi="Calibri" w:cs="Calibri"/>
          <w:sz w:val="24"/>
          <w:szCs w:val="24"/>
        </w:rPr>
        <w:t>h</w:t>
      </w:r>
      <w:r w:rsidRPr="006E5452">
        <w:rPr>
          <w:rFonts w:ascii="Calibri" w:hAnsi="Calibri" w:cs="Calibri"/>
          <w:spacing w:val="-36"/>
          <w:sz w:val="24"/>
          <w:szCs w:val="24"/>
        </w:rPr>
        <w:t xml:space="preserve"> </w:t>
      </w:r>
      <w:r w:rsidRPr="006E5452">
        <w:rPr>
          <w:rFonts w:ascii="Calibri" w:hAnsi="Calibri" w:cs="Calibri"/>
          <w:sz w:val="24"/>
          <w:szCs w:val="24"/>
        </w:rPr>
        <w:t>o</w:t>
      </w:r>
      <w:r w:rsidRPr="006E5452">
        <w:rPr>
          <w:rFonts w:ascii="Calibri" w:hAnsi="Calibri" w:cs="Calibri"/>
          <w:spacing w:val="-36"/>
          <w:sz w:val="24"/>
          <w:szCs w:val="24"/>
        </w:rPr>
        <w:t xml:space="preserve"> </w:t>
      </w:r>
      <w:r w:rsidRPr="006E5452">
        <w:rPr>
          <w:rFonts w:ascii="Calibri" w:hAnsi="Calibri" w:cs="Calibri"/>
          <w:sz w:val="24"/>
          <w:szCs w:val="24"/>
        </w:rPr>
        <w:t>u</w:t>
      </w:r>
      <w:r w:rsidRPr="006E5452">
        <w:rPr>
          <w:rFonts w:ascii="Calibri" w:hAnsi="Calibri" w:cs="Calibri"/>
          <w:spacing w:val="-36"/>
          <w:sz w:val="24"/>
          <w:szCs w:val="24"/>
        </w:rPr>
        <w:t xml:space="preserve"> </w:t>
      </w:r>
      <w:r w:rsidRPr="006E5452">
        <w:rPr>
          <w:rFonts w:ascii="Calibri" w:hAnsi="Calibri" w:cs="Calibri"/>
          <w:sz w:val="24"/>
          <w:szCs w:val="24"/>
        </w:rPr>
        <w:t>l</w:t>
      </w:r>
      <w:r w:rsidRPr="006E5452">
        <w:rPr>
          <w:rFonts w:ascii="Calibri" w:hAnsi="Calibri" w:cs="Calibri"/>
          <w:spacing w:val="-36"/>
          <w:sz w:val="24"/>
          <w:szCs w:val="24"/>
        </w:rPr>
        <w:t xml:space="preserve"> </w:t>
      </w:r>
      <w:r w:rsidRPr="006E5452">
        <w:rPr>
          <w:rFonts w:ascii="Calibri" w:hAnsi="Calibri" w:cs="Calibri"/>
          <w:sz w:val="24"/>
          <w:szCs w:val="24"/>
        </w:rPr>
        <w:t>d t</w:t>
      </w:r>
      <w:r w:rsidRPr="006E5452">
        <w:rPr>
          <w:rFonts w:ascii="Calibri" w:hAnsi="Calibri" w:cs="Calibri"/>
          <w:spacing w:val="-36"/>
          <w:sz w:val="24"/>
          <w:szCs w:val="24"/>
        </w:rPr>
        <w:t xml:space="preserve"> </w:t>
      </w:r>
      <w:r w:rsidRPr="006E5452">
        <w:rPr>
          <w:rFonts w:ascii="Calibri" w:hAnsi="Calibri" w:cs="Calibri"/>
          <w:sz w:val="24"/>
          <w:szCs w:val="24"/>
        </w:rPr>
        <w:t>h</w:t>
      </w:r>
      <w:r w:rsidRPr="006E5452">
        <w:rPr>
          <w:rFonts w:ascii="Calibri" w:hAnsi="Calibri" w:cs="Calibri"/>
          <w:spacing w:val="-36"/>
          <w:sz w:val="24"/>
          <w:szCs w:val="24"/>
        </w:rPr>
        <w:t xml:space="preserve"> </w:t>
      </w:r>
      <w:r w:rsidRPr="006E5452">
        <w:rPr>
          <w:rFonts w:ascii="Calibri" w:hAnsi="Calibri" w:cs="Calibri"/>
          <w:sz w:val="24"/>
          <w:szCs w:val="24"/>
        </w:rPr>
        <w:t>e</w:t>
      </w:r>
      <w:r w:rsidRPr="006E5452">
        <w:rPr>
          <w:rFonts w:ascii="Calibri" w:hAnsi="Calibri" w:cs="Calibri"/>
          <w:spacing w:val="-36"/>
          <w:sz w:val="24"/>
          <w:szCs w:val="24"/>
        </w:rPr>
        <w:t xml:space="preserve"> </w:t>
      </w:r>
      <w:r w:rsidRPr="006E5452">
        <w:rPr>
          <w:rFonts w:ascii="Calibri" w:hAnsi="Calibri" w:cs="Calibri"/>
          <w:sz w:val="24"/>
          <w:szCs w:val="24"/>
        </w:rPr>
        <w:t>y be addressed</w:t>
      </w:r>
      <w:r w:rsidRPr="006E5452">
        <w:rPr>
          <w:rFonts w:ascii="Calibri" w:hAnsi="Calibri" w:cs="Calibri"/>
          <w:spacing w:val="-36"/>
          <w:sz w:val="24"/>
          <w:szCs w:val="24"/>
        </w:rPr>
        <w:t xml:space="preserve"> </w:t>
      </w:r>
      <w:r w:rsidRPr="006E5452">
        <w:rPr>
          <w:rFonts w:ascii="Calibri" w:hAnsi="Calibri" w:cs="Calibri"/>
          <w:sz w:val="24"/>
          <w:szCs w:val="24"/>
        </w:rPr>
        <w:t>? Please explain your reasoning and provide examples for each sector you are referring to (e.g. banking, insurance, pension, capital markets):</w:t>
      </w:r>
    </w:p>
    <w:p w14:paraId="49275BC8" w14:textId="77777777" w:rsidR="0019769E" w:rsidRPr="008E3C6D" w:rsidRDefault="0019769E" w:rsidP="0019769E">
      <w:pPr>
        <w:pStyle w:val="Heading2"/>
        <w:tabs>
          <w:tab w:val="left" w:pos="1650"/>
          <w:tab w:val="left" w:pos="3245"/>
          <w:tab w:val="left" w:pos="5306"/>
          <w:tab w:val="left" w:pos="6956"/>
          <w:tab w:val="left" w:pos="8287"/>
        </w:tabs>
        <w:spacing w:before="1" w:line="232" w:lineRule="auto"/>
        <w:ind w:left="0" w:right="141"/>
        <w:jc w:val="both"/>
        <w:rPr>
          <w:rFonts w:ascii="Calibri" w:hAnsi="Calibri" w:cs="Calibri"/>
          <w:sz w:val="22"/>
          <w:szCs w:val="22"/>
        </w:rPr>
      </w:pPr>
    </w:p>
    <w:p w14:paraId="05F8E432" w14:textId="6C4E4359" w:rsidR="0019769E" w:rsidRDefault="0019769E" w:rsidP="0019769E">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b w:val="0"/>
          <w:color w:val="000000" w:themeColor="text1"/>
          <w:sz w:val="22"/>
          <w:szCs w:val="22"/>
        </w:rPr>
      </w:pPr>
      <w:r w:rsidRPr="008E3C6D">
        <w:rPr>
          <w:rFonts w:ascii="Calibri" w:hAnsi="Calibri" w:cs="Calibri"/>
          <w:b w:val="0"/>
          <w:color w:val="000000" w:themeColor="text1"/>
          <w:sz w:val="22"/>
          <w:szCs w:val="22"/>
        </w:rPr>
        <w:t>The EBA identifies</w:t>
      </w:r>
      <w:r w:rsidR="00145553">
        <w:rPr>
          <w:rFonts w:ascii="Calibri" w:hAnsi="Calibri" w:cs="Calibri"/>
          <w:b w:val="0"/>
          <w:color w:val="000000" w:themeColor="text1"/>
          <w:sz w:val="22"/>
          <w:szCs w:val="22"/>
        </w:rPr>
        <w:t xml:space="preserve"> four</w:t>
      </w:r>
      <w:r w:rsidRPr="008E3C6D">
        <w:rPr>
          <w:rFonts w:ascii="Calibri" w:hAnsi="Calibri" w:cs="Calibri"/>
          <w:b w:val="0"/>
          <w:color w:val="000000" w:themeColor="text1"/>
          <w:sz w:val="22"/>
          <w:szCs w:val="22"/>
        </w:rPr>
        <w:t xml:space="preserve"> key challenges for supervisors:</w:t>
      </w:r>
    </w:p>
    <w:p w14:paraId="117AA00D" w14:textId="77777777" w:rsidR="00673C3A" w:rsidRPr="008E3C6D" w:rsidRDefault="00673C3A" w:rsidP="0019769E">
      <w:pPr>
        <w:pStyle w:val="Heading2"/>
        <w:tabs>
          <w:tab w:val="left" w:pos="1650"/>
          <w:tab w:val="left" w:pos="3245"/>
          <w:tab w:val="left" w:pos="5306"/>
          <w:tab w:val="left" w:pos="6956"/>
          <w:tab w:val="left" w:pos="8287"/>
        </w:tabs>
        <w:spacing w:before="1" w:line="276" w:lineRule="auto"/>
        <w:ind w:left="0" w:right="141"/>
        <w:jc w:val="both"/>
        <w:rPr>
          <w:rFonts w:ascii="Calibri" w:hAnsi="Calibri" w:cs="Calibri"/>
          <w:b w:val="0"/>
          <w:color w:val="000000" w:themeColor="text1"/>
          <w:sz w:val="22"/>
          <w:szCs w:val="22"/>
        </w:rPr>
      </w:pPr>
    </w:p>
    <w:p w14:paraId="7F6040A6" w14:textId="1FF7BA6F" w:rsidR="0019769E" w:rsidRDefault="0019769E" w:rsidP="00145553">
      <w:pPr>
        <w:pStyle w:val="Heading2"/>
        <w:numPr>
          <w:ilvl w:val="0"/>
          <w:numId w:val="11"/>
        </w:numPr>
        <w:tabs>
          <w:tab w:val="left" w:pos="1650"/>
          <w:tab w:val="left" w:pos="3245"/>
          <w:tab w:val="left" w:pos="5306"/>
          <w:tab w:val="left" w:pos="6956"/>
          <w:tab w:val="left" w:pos="8287"/>
        </w:tabs>
        <w:spacing w:before="1" w:line="276" w:lineRule="auto"/>
        <w:ind w:right="141"/>
        <w:jc w:val="both"/>
        <w:rPr>
          <w:rFonts w:ascii="Calibri" w:hAnsi="Calibri" w:cs="Calibri"/>
          <w:b w:val="0"/>
          <w:color w:val="000000" w:themeColor="text1"/>
          <w:sz w:val="22"/>
          <w:szCs w:val="22"/>
        </w:rPr>
      </w:pPr>
      <w:r w:rsidRPr="008E3C6D">
        <w:rPr>
          <w:rFonts w:ascii="Calibri" w:hAnsi="Calibri" w:cs="Calibri"/>
          <w:b w:val="0"/>
          <w:color w:val="000000" w:themeColor="text1"/>
          <w:sz w:val="22"/>
          <w:szCs w:val="22"/>
        </w:rPr>
        <w:t xml:space="preserve">maintaining visibility over financial activities that </w:t>
      </w:r>
      <w:r w:rsidR="00EF2764">
        <w:rPr>
          <w:rFonts w:ascii="Calibri" w:hAnsi="Calibri" w:cs="Calibri"/>
          <w:b w:val="0"/>
          <w:color w:val="000000" w:themeColor="text1"/>
          <w:sz w:val="22"/>
          <w:szCs w:val="22"/>
        </w:rPr>
        <w:t xml:space="preserve">are </w:t>
      </w:r>
      <w:r w:rsidR="00673C3A">
        <w:rPr>
          <w:rFonts w:ascii="Calibri" w:hAnsi="Calibri" w:cs="Calibri"/>
          <w:b w:val="0"/>
          <w:color w:val="000000" w:themeColor="text1"/>
          <w:sz w:val="22"/>
          <w:szCs w:val="22"/>
        </w:rPr>
        <w:t xml:space="preserve">(a) </w:t>
      </w:r>
      <w:r w:rsidR="00EF2764">
        <w:rPr>
          <w:rFonts w:ascii="Calibri" w:hAnsi="Calibri" w:cs="Calibri"/>
          <w:b w:val="0"/>
          <w:color w:val="000000" w:themeColor="text1"/>
          <w:sz w:val="22"/>
          <w:szCs w:val="22"/>
        </w:rPr>
        <w:t xml:space="preserve">provided in a jurisdiction through digital means or </w:t>
      </w:r>
      <w:r w:rsidR="00673C3A">
        <w:rPr>
          <w:rFonts w:ascii="Calibri" w:hAnsi="Calibri" w:cs="Calibri"/>
          <w:b w:val="0"/>
          <w:color w:val="000000" w:themeColor="text1"/>
          <w:sz w:val="22"/>
          <w:szCs w:val="22"/>
        </w:rPr>
        <w:t xml:space="preserve">(b) </w:t>
      </w:r>
      <w:r w:rsidRPr="008E3C6D">
        <w:rPr>
          <w:rFonts w:ascii="Calibri" w:hAnsi="Calibri" w:cs="Calibri"/>
          <w:b w:val="0"/>
          <w:color w:val="000000" w:themeColor="text1"/>
          <w:sz w:val="22"/>
          <w:szCs w:val="22"/>
        </w:rPr>
        <w:t xml:space="preserve">may exist beyond supervisors’ regulatory perimeter (e.g. crypto-asset </w:t>
      </w:r>
      <w:r w:rsidRPr="008E3C6D">
        <w:rPr>
          <w:rFonts w:ascii="Calibri" w:hAnsi="Calibri" w:cs="Calibri"/>
          <w:b w:val="0"/>
          <w:color w:val="000000" w:themeColor="text1"/>
          <w:sz w:val="22"/>
          <w:szCs w:val="22"/>
        </w:rPr>
        <w:lastRenderedPageBreak/>
        <w:t>activities)</w:t>
      </w:r>
      <w:r w:rsidR="00673C3A">
        <w:rPr>
          <w:rFonts w:ascii="Calibri" w:hAnsi="Calibri" w:cs="Calibri"/>
          <w:b w:val="0"/>
          <w:color w:val="000000" w:themeColor="text1"/>
          <w:sz w:val="22"/>
          <w:szCs w:val="22"/>
        </w:rPr>
        <w:t>,</w:t>
      </w:r>
      <w:r w:rsidRPr="008E3C6D">
        <w:rPr>
          <w:rFonts w:ascii="Calibri" w:hAnsi="Calibri" w:cs="Calibri"/>
          <w:b w:val="0"/>
          <w:color w:val="000000" w:themeColor="text1"/>
          <w:sz w:val="22"/>
          <w:szCs w:val="22"/>
        </w:rPr>
        <w:t xml:space="preserve"> in order to assess if changes to the </w:t>
      </w:r>
      <w:r w:rsidR="00145553">
        <w:rPr>
          <w:rFonts w:ascii="Calibri" w:hAnsi="Calibri" w:cs="Calibri"/>
          <w:b w:val="0"/>
          <w:color w:val="000000" w:themeColor="text1"/>
          <w:sz w:val="22"/>
          <w:szCs w:val="22"/>
        </w:rPr>
        <w:t xml:space="preserve">regulatory perimeter are needed and </w:t>
      </w:r>
      <w:r w:rsidRPr="00145553">
        <w:rPr>
          <w:rFonts w:ascii="Calibri" w:hAnsi="Calibri" w:cs="Calibri"/>
          <w:b w:val="0"/>
          <w:color w:val="000000" w:themeColor="text1"/>
          <w:sz w:val="22"/>
          <w:szCs w:val="22"/>
        </w:rPr>
        <w:t>identify and monitor interconnectedness in the financial sector arising from dependencies on technology providers (e.g. third party technology providers, digital platforms etc.)</w:t>
      </w:r>
      <w:r w:rsidR="00EA1327" w:rsidRPr="00145553">
        <w:rPr>
          <w:rFonts w:ascii="Calibri" w:hAnsi="Calibri" w:cs="Calibri"/>
          <w:b w:val="0"/>
          <w:color w:val="000000" w:themeColor="text1"/>
          <w:sz w:val="22"/>
          <w:szCs w:val="22"/>
        </w:rPr>
        <w:t xml:space="preserve"> at national, EU and global level</w:t>
      </w:r>
      <w:r w:rsidRPr="00145553">
        <w:rPr>
          <w:rFonts w:ascii="Calibri" w:hAnsi="Calibri" w:cs="Calibri"/>
          <w:b w:val="0"/>
          <w:color w:val="000000" w:themeColor="text1"/>
          <w:sz w:val="22"/>
          <w:szCs w:val="22"/>
        </w:rPr>
        <w:t>;</w:t>
      </w:r>
    </w:p>
    <w:p w14:paraId="7DB7EAA5" w14:textId="77777777" w:rsidR="00673C3A" w:rsidRPr="00145553" w:rsidRDefault="00673C3A" w:rsidP="00673C3A">
      <w:pPr>
        <w:pStyle w:val="Heading2"/>
        <w:tabs>
          <w:tab w:val="left" w:pos="1650"/>
          <w:tab w:val="left" w:pos="3245"/>
          <w:tab w:val="left" w:pos="5306"/>
          <w:tab w:val="left" w:pos="6956"/>
          <w:tab w:val="left" w:pos="8287"/>
        </w:tabs>
        <w:spacing w:before="1" w:line="276" w:lineRule="auto"/>
        <w:ind w:left="720" w:right="141"/>
        <w:jc w:val="both"/>
        <w:rPr>
          <w:rFonts w:ascii="Calibri" w:hAnsi="Calibri" w:cs="Calibri"/>
          <w:b w:val="0"/>
          <w:color w:val="000000" w:themeColor="text1"/>
          <w:sz w:val="22"/>
          <w:szCs w:val="22"/>
        </w:rPr>
      </w:pPr>
    </w:p>
    <w:p w14:paraId="693CC9AA" w14:textId="10F962E4" w:rsidR="0019769E" w:rsidRDefault="00F24EAE" w:rsidP="00145553">
      <w:pPr>
        <w:pStyle w:val="Heading2"/>
        <w:numPr>
          <w:ilvl w:val="0"/>
          <w:numId w:val="11"/>
        </w:numPr>
        <w:tabs>
          <w:tab w:val="left" w:pos="1650"/>
          <w:tab w:val="left" w:pos="3245"/>
          <w:tab w:val="left" w:pos="5306"/>
          <w:tab w:val="left" w:pos="6956"/>
          <w:tab w:val="left" w:pos="8287"/>
        </w:tabs>
        <w:spacing w:before="1" w:line="276" w:lineRule="auto"/>
        <w:ind w:right="141"/>
        <w:jc w:val="both"/>
        <w:rPr>
          <w:rFonts w:ascii="Calibri" w:hAnsi="Calibri" w:cs="Calibri"/>
          <w:b w:val="0"/>
          <w:color w:val="000000" w:themeColor="text1"/>
          <w:sz w:val="22"/>
          <w:szCs w:val="22"/>
        </w:rPr>
      </w:pPr>
      <w:r>
        <w:rPr>
          <w:rFonts w:ascii="Calibri" w:hAnsi="Calibri" w:cs="Calibri"/>
          <w:b w:val="0"/>
          <w:color w:val="000000" w:themeColor="text1"/>
          <w:sz w:val="22"/>
          <w:szCs w:val="22"/>
        </w:rPr>
        <w:t>identify</w:t>
      </w:r>
      <w:r w:rsidR="00060E45">
        <w:rPr>
          <w:rFonts w:ascii="Calibri" w:hAnsi="Calibri" w:cs="Calibri"/>
          <w:b w:val="0"/>
          <w:color w:val="000000" w:themeColor="text1"/>
          <w:sz w:val="22"/>
          <w:szCs w:val="22"/>
        </w:rPr>
        <w:t>ing</w:t>
      </w:r>
      <w:r>
        <w:rPr>
          <w:rFonts w:ascii="Calibri" w:hAnsi="Calibri" w:cs="Calibri"/>
          <w:b w:val="0"/>
          <w:color w:val="000000" w:themeColor="text1"/>
          <w:sz w:val="22"/>
          <w:szCs w:val="22"/>
        </w:rPr>
        <w:t xml:space="preserve"> risks and </w:t>
      </w:r>
      <w:r w:rsidR="0019769E" w:rsidRPr="008E3C6D">
        <w:rPr>
          <w:rFonts w:ascii="Calibri" w:hAnsi="Calibri" w:cs="Calibri"/>
          <w:b w:val="0"/>
          <w:color w:val="000000" w:themeColor="text1"/>
          <w:sz w:val="22"/>
          <w:szCs w:val="22"/>
        </w:rPr>
        <w:t>coordinating supervisory actions where entities may be providing different types of financial and non-financial products and servic</w:t>
      </w:r>
      <w:r w:rsidR="00145553">
        <w:rPr>
          <w:rFonts w:ascii="Calibri" w:hAnsi="Calibri" w:cs="Calibri"/>
          <w:b w:val="0"/>
          <w:color w:val="000000" w:themeColor="text1"/>
          <w:sz w:val="22"/>
          <w:szCs w:val="22"/>
        </w:rPr>
        <w:t>es (e.g. via digital platforms)</w:t>
      </w:r>
      <w:r>
        <w:rPr>
          <w:rFonts w:ascii="Calibri" w:hAnsi="Calibri" w:cs="Calibri"/>
          <w:b w:val="0"/>
          <w:color w:val="000000" w:themeColor="text1"/>
          <w:sz w:val="22"/>
          <w:szCs w:val="22"/>
        </w:rPr>
        <w:t xml:space="preserve"> </w:t>
      </w:r>
      <w:r w:rsidR="00060E45">
        <w:rPr>
          <w:rFonts w:ascii="Calibri" w:hAnsi="Calibri" w:cs="Calibri"/>
          <w:b w:val="0"/>
          <w:color w:val="000000" w:themeColor="text1"/>
          <w:sz w:val="22"/>
          <w:szCs w:val="22"/>
        </w:rPr>
        <w:t xml:space="preserve">in multiple jurisdictions </w:t>
      </w:r>
      <w:r>
        <w:rPr>
          <w:rFonts w:ascii="Calibri" w:hAnsi="Calibri" w:cs="Calibri"/>
          <w:b w:val="0"/>
          <w:color w:val="000000" w:themeColor="text1"/>
          <w:sz w:val="22"/>
          <w:szCs w:val="22"/>
        </w:rPr>
        <w:t xml:space="preserve">and </w:t>
      </w:r>
      <w:r w:rsidR="00E25787">
        <w:rPr>
          <w:rFonts w:ascii="Calibri" w:hAnsi="Calibri" w:cs="Calibri"/>
          <w:b w:val="0"/>
          <w:color w:val="000000" w:themeColor="text1"/>
          <w:sz w:val="22"/>
          <w:szCs w:val="22"/>
        </w:rPr>
        <w:t xml:space="preserve">may </w:t>
      </w:r>
      <w:r w:rsidR="00237C5D">
        <w:rPr>
          <w:rFonts w:ascii="Calibri" w:hAnsi="Calibri" w:cs="Calibri"/>
          <w:b w:val="0"/>
          <w:color w:val="000000" w:themeColor="text1"/>
          <w:sz w:val="22"/>
          <w:szCs w:val="22"/>
        </w:rPr>
        <w:t>(a</w:t>
      </w:r>
      <w:r w:rsidR="00060E45">
        <w:rPr>
          <w:rFonts w:ascii="Calibri" w:hAnsi="Calibri" w:cs="Calibri"/>
          <w:b w:val="0"/>
          <w:color w:val="000000" w:themeColor="text1"/>
          <w:sz w:val="22"/>
          <w:szCs w:val="22"/>
        </w:rPr>
        <w:t xml:space="preserve">) fall </w:t>
      </w:r>
      <w:r>
        <w:rPr>
          <w:rFonts w:ascii="Calibri" w:hAnsi="Calibri" w:cs="Calibri"/>
          <w:b w:val="0"/>
          <w:color w:val="000000" w:themeColor="text1"/>
          <w:sz w:val="22"/>
          <w:szCs w:val="22"/>
        </w:rPr>
        <w:t>within the ambit of different sectoral supervisors</w:t>
      </w:r>
      <w:r w:rsidR="0019769E" w:rsidRPr="008E3C6D">
        <w:rPr>
          <w:rFonts w:ascii="Calibri" w:hAnsi="Calibri" w:cs="Calibri"/>
          <w:b w:val="0"/>
          <w:color w:val="000000" w:themeColor="text1"/>
          <w:sz w:val="22"/>
          <w:szCs w:val="22"/>
        </w:rPr>
        <w:t xml:space="preserve"> (e.g. data protection authorities on the permissibility and use of </w:t>
      </w:r>
      <w:r w:rsidR="006F6D35">
        <w:rPr>
          <w:rFonts w:ascii="Calibri" w:hAnsi="Calibri" w:cs="Calibri"/>
          <w:b w:val="0"/>
          <w:color w:val="000000" w:themeColor="text1"/>
          <w:sz w:val="22"/>
          <w:szCs w:val="22"/>
        </w:rPr>
        <w:t xml:space="preserve">public </w:t>
      </w:r>
      <w:r w:rsidR="0019769E" w:rsidRPr="008E3C6D">
        <w:rPr>
          <w:rFonts w:ascii="Calibri" w:hAnsi="Calibri" w:cs="Calibri"/>
          <w:b w:val="0"/>
          <w:color w:val="000000" w:themeColor="text1"/>
          <w:sz w:val="22"/>
          <w:szCs w:val="22"/>
        </w:rPr>
        <w:t>Blockchain applications</w:t>
      </w:r>
      <w:r w:rsidR="006F6D35">
        <w:rPr>
          <w:rFonts w:ascii="Calibri" w:hAnsi="Calibri" w:cs="Calibri"/>
          <w:b w:val="0"/>
          <w:color w:val="000000" w:themeColor="text1"/>
          <w:sz w:val="22"/>
          <w:szCs w:val="22"/>
        </w:rPr>
        <w:t xml:space="preserve"> handling sensitive personal data</w:t>
      </w:r>
      <w:r w:rsidR="0019769E" w:rsidRPr="008E3C6D">
        <w:rPr>
          <w:rFonts w:ascii="Calibri" w:hAnsi="Calibri" w:cs="Calibri"/>
          <w:b w:val="0"/>
          <w:color w:val="000000" w:themeColor="text1"/>
          <w:sz w:val="22"/>
          <w:szCs w:val="22"/>
        </w:rPr>
        <w:t>)</w:t>
      </w:r>
      <w:r w:rsidR="00237C5D">
        <w:rPr>
          <w:rFonts w:ascii="Calibri" w:hAnsi="Calibri" w:cs="Calibri"/>
          <w:b w:val="0"/>
          <w:color w:val="000000" w:themeColor="text1"/>
          <w:sz w:val="22"/>
          <w:szCs w:val="22"/>
        </w:rPr>
        <w:t xml:space="preserve"> and (b</w:t>
      </w:r>
      <w:r w:rsidR="00060E45">
        <w:rPr>
          <w:rFonts w:ascii="Calibri" w:hAnsi="Calibri" w:cs="Calibri"/>
          <w:b w:val="0"/>
          <w:color w:val="000000" w:themeColor="text1"/>
          <w:sz w:val="22"/>
          <w:szCs w:val="22"/>
        </w:rPr>
        <w:t>) be subject to different regulatory requirements and supervisory expectations (e.g. regarding remote customer onboarding)</w:t>
      </w:r>
      <w:r w:rsidR="00E25787">
        <w:rPr>
          <w:rFonts w:ascii="Calibri" w:hAnsi="Calibri" w:cs="Calibri"/>
          <w:b w:val="0"/>
          <w:color w:val="000000" w:themeColor="text1"/>
          <w:sz w:val="22"/>
          <w:szCs w:val="22"/>
        </w:rPr>
        <w:t>. This poses a significant and growing challenge, particularly, with the increasing entry of technology firms and retailers to the financial sector and the need, among other things, for the close monitoring of, for example, ‘tied sale’ activity</w:t>
      </w:r>
      <w:r w:rsidR="00237C5D">
        <w:rPr>
          <w:rFonts w:ascii="Calibri" w:hAnsi="Calibri" w:cs="Calibri"/>
          <w:b w:val="0"/>
          <w:color w:val="000000" w:themeColor="text1"/>
          <w:sz w:val="22"/>
          <w:szCs w:val="22"/>
        </w:rPr>
        <w:t>,</w:t>
      </w:r>
      <w:r w:rsidR="00E25787">
        <w:rPr>
          <w:rFonts w:ascii="Calibri" w:hAnsi="Calibri" w:cs="Calibri"/>
          <w:b w:val="0"/>
          <w:color w:val="000000" w:themeColor="text1"/>
          <w:sz w:val="22"/>
          <w:szCs w:val="22"/>
        </w:rPr>
        <w:t xml:space="preserve"> in order to ensure consumers remain appropriately protected (including as regards the use of their data) and risks to competition and financial stability are mitigated</w:t>
      </w:r>
      <w:r w:rsidR="0019769E" w:rsidRPr="008E3C6D">
        <w:rPr>
          <w:rFonts w:ascii="Calibri" w:hAnsi="Calibri" w:cs="Calibri"/>
          <w:b w:val="0"/>
          <w:color w:val="000000" w:themeColor="text1"/>
          <w:sz w:val="22"/>
          <w:szCs w:val="22"/>
        </w:rPr>
        <w:t>;</w:t>
      </w:r>
    </w:p>
    <w:p w14:paraId="18AA9C40" w14:textId="77777777" w:rsidR="00673C3A" w:rsidRPr="008E3C6D" w:rsidRDefault="00673C3A" w:rsidP="00673C3A">
      <w:pPr>
        <w:pStyle w:val="Heading2"/>
        <w:tabs>
          <w:tab w:val="left" w:pos="1650"/>
          <w:tab w:val="left" w:pos="3245"/>
          <w:tab w:val="left" w:pos="5306"/>
          <w:tab w:val="left" w:pos="6956"/>
          <w:tab w:val="left" w:pos="8287"/>
        </w:tabs>
        <w:spacing w:before="1" w:line="276" w:lineRule="auto"/>
        <w:ind w:left="720" w:right="141"/>
        <w:jc w:val="both"/>
        <w:rPr>
          <w:rFonts w:ascii="Calibri" w:hAnsi="Calibri" w:cs="Calibri"/>
          <w:b w:val="0"/>
          <w:color w:val="000000" w:themeColor="text1"/>
          <w:sz w:val="22"/>
          <w:szCs w:val="22"/>
        </w:rPr>
      </w:pPr>
    </w:p>
    <w:p w14:paraId="17A6B663" w14:textId="54D21FA8" w:rsidR="00782871" w:rsidRPr="00673C3A" w:rsidRDefault="0019769E" w:rsidP="0019769E">
      <w:pPr>
        <w:pStyle w:val="Heading2"/>
        <w:numPr>
          <w:ilvl w:val="0"/>
          <w:numId w:val="11"/>
        </w:numPr>
        <w:tabs>
          <w:tab w:val="left" w:pos="1650"/>
          <w:tab w:val="left" w:pos="3245"/>
          <w:tab w:val="left" w:pos="5306"/>
          <w:tab w:val="left" w:pos="6956"/>
          <w:tab w:val="left" w:pos="8287"/>
        </w:tabs>
        <w:spacing w:before="1" w:line="276" w:lineRule="auto"/>
        <w:ind w:right="141"/>
        <w:jc w:val="both"/>
        <w:rPr>
          <w:rFonts w:ascii="Calibri" w:hAnsi="Calibri" w:cs="Calibri"/>
          <w:b w:val="0"/>
          <w:color w:val="000000" w:themeColor="text1"/>
          <w:sz w:val="22"/>
          <w:szCs w:val="22"/>
        </w:rPr>
      </w:pPr>
      <w:r w:rsidRPr="008E3C6D">
        <w:rPr>
          <w:rFonts w:ascii="Calibri" w:hAnsi="Calibri" w:cs="Calibri"/>
          <w:b w:val="0"/>
          <w:sz w:val="22"/>
          <w:szCs w:val="22"/>
        </w:rPr>
        <w:t xml:space="preserve">securing adequate knowledge, skills and expertise when it comes to the supervision of innovative </w:t>
      </w:r>
      <w:r w:rsidR="006F6D35">
        <w:rPr>
          <w:rFonts w:ascii="Calibri" w:hAnsi="Calibri" w:cs="Calibri"/>
          <w:b w:val="0"/>
          <w:sz w:val="22"/>
          <w:szCs w:val="22"/>
        </w:rPr>
        <w:t>technologies</w:t>
      </w:r>
      <w:r w:rsidR="001D5DB7">
        <w:rPr>
          <w:rFonts w:ascii="Calibri" w:hAnsi="Calibri" w:cs="Calibri"/>
          <w:b w:val="0"/>
          <w:sz w:val="22"/>
          <w:szCs w:val="22"/>
        </w:rPr>
        <w:t xml:space="preserve">, including for the purposes of assessing </w:t>
      </w:r>
      <w:r w:rsidR="00F20374">
        <w:rPr>
          <w:rFonts w:ascii="Calibri" w:hAnsi="Calibri" w:cs="Calibri"/>
          <w:b w:val="0"/>
          <w:sz w:val="22"/>
          <w:szCs w:val="22"/>
        </w:rPr>
        <w:t>the acceptability of the use of technologies in the context of the provision of financial services and</w:t>
      </w:r>
      <w:r w:rsidR="001D5DB7">
        <w:rPr>
          <w:rFonts w:ascii="Calibri" w:hAnsi="Calibri" w:cs="Calibri"/>
          <w:b w:val="0"/>
          <w:sz w:val="22"/>
          <w:szCs w:val="22"/>
        </w:rPr>
        <w:t xml:space="preserve"> whether and when to update any supervisory guidance or regulatory requirements</w:t>
      </w:r>
      <w:r w:rsidR="006A7191">
        <w:rPr>
          <w:rFonts w:ascii="Calibri" w:hAnsi="Calibri" w:cs="Calibri"/>
          <w:b w:val="0"/>
          <w:sz w:val="22"/>
          <w:szCs w:val="22"/>
        </w:rPr>
        <w:t xml:space="preserve"> in accordance with the principle of technological neutrality as described in the response to Question 1</w:t>
      </w:r>
      <w:r w:rsidR="00F20374">
        <w:rPr>
          <w:rFonts w:ascii="Calibri" w:hAnsi="Calibri" w:cs="Calibri"/>
          <w:b w:val="0"/>
          <w:sz w:val="22"/>
          <w:szCs w:val="22"/>
        </w:rPr>
        <w:t xml:space="preserve"> (noting, in particular, that</w:t>
      </w:r>
      <w:r w:rsidR="00295AD1">
        <w:rPr>
          <w:rFonts w:ascii="Calibri" w:hAnsi="Calibri" w:cs="Calibri"/>
          <w:b w:val="0"/>
          <w:sz w:val="22"/>
          <w:szCs w:val="22"/>
        </w:rPr>
        <w:t xml:space="preserve"> presently there is limited EU-level regulation, guidance or other measures on the acceptability of technologies and appropriate supervisory/regulation expectations and requirements</w:t>
      </w:r>
      <w:r w:rsidR="00F20374">
        <w:rPr>
          <w:rFonts w:ascii="Calibri" w:hAnsi="Calibri" w:cs="Calibri"/>
          <w:b w:val="0"/>
          <w:sz w:val="22"/>
          <w:szCs w:val="22"/>
        </w:rPr>
        <w:t>)</w:t>
      </w:r>
      <w:r w:rsidR="00782871">
        <w:rPr>
          <w:rFonts w:ascii="Calibri" w:hAnsi="Calibri" w:cs="Calibri"/>
          <w:b w:val="0"/>
          <w:sz w:val="22"/>
          <w:szCs w:val="22"/>
        </w:rPr>
        <w:t>;</w:t>
      </w:r>
    </w:p>
    <w:p w14:paraId="1C29E1C4" w14:textId="77777777" w:rsidR="00673C3A" w:rsidRPr="00782871" w:rsidRDefault="00673C3A" w:rsidP="00673C3A">
      <w:pPr>
        <w:pStyle w:val="Heading2"/>
        <w:tabs>
          <w:tab w:val="left" w:pos="1650"/>
          <w:tab w:val="left" w:pos="3245"/>
          <w:tab w:val="left" w:pos="5306"/>
          <w:tab w:val="left" w:pos="6956"/>
          <w:tab w:val="left" w:pos="8287"/>
        </w:tabs>
        <w:spacing w:before="1" w:line="276" w:lineRule="auto"/>
        <w:ind w:left="720" w:right="141"/>
        <w:jc w:val="both"/>
        <w:rPr>
          <w:rFonts w:ascii="Calibri" w:hAnsi="Calibri" w:cs="Calibri"/>
          <w:b w:val="0"/>
          <w:color w:val="000000" w:themeColor="text1"/>
          <w:sz w:val="22"/>
          <w:szCs w:val="22"/>
        </w:rPr>
      </w:pPr>
    </w:p>
    <w:p w14:paraId="5C116436" w14:textId="1C154BF9" w:rsidR="0019769E" w:rsidRPr="008E3C6D" w:rsidRDefault="00FF14DA" w:rsidP="0019769E">
      <w:pPr>
        <w:pStyle w:val="Heading2"/>
        <w:numPr>
          <w:ilvl w:val="0"/>
          <w:numId w:val="11"/>
        </w:numPr>
        <w:tabs>
          <w:tab w:val="left" w:pos="1650"/>
          <w:tab w:val="left" w:pos="3245"/>
          <w:tab w:val="left" w:pos="5306"/>
          <w:tab w:val="left" w:pos="6956"/>
          <w:tab w:val="left" w:pos="8287"/>
        </w:tabs>
        <w:spacing w:before="1" w:line="276" w:lineRule="auto"/>
        <w:ind w:right="141"/>
        <w:jc w:val="both"/>
        <w:rPr>
          <w:rFonts w:ascii="Calibri" w:hAnsi="Calibri" w:cs="Calibri"/>
          <w:b w:val="0"/>
          <w:color w:val="000000" w:themeColor="text1"/>
          <w:sz w:val="22"/>
          <w:szCs w:val="22"/>
        </w:rPr>
      </w:pPr>
      <w:r>
        <w:rPr>
          <w:rFonts w:ascii="Calibri" w:hAnsi="Calibri" w:cs="Calibri"/>
          <w:b w:val="0"/>
          <w:sz w:val="22"/>
          <w:szCs w:val="22"/>
        </w:rPr>
        <w:t>leveraging</w:t>
      </w:r>
      <w:r w:rsidRPr="00767BA6">
        <w:rPr>
          <w:rFonts w:ascii="Calibri" w:hAnsi="Calibri" w:cs="Calibri"/>
          <w:b w:val="0"/>
          <w:sz w:val="22"/>
          <w:szCs w:val="22"/>
        </w:rPr>
        <w:t xml:space="preserve"> </w:t>
      </w:r>
      <w:r w:rsidR="00767BA6" w:rsidRPr="00767BA6">
        <w:rPr>
          <w:rFonts w:ascii="Calibri" w:hAnsi="Calibri" w:cs="Calibri"/>
          <w:b w:val="0"/>
          <w:sz w:val="22"/>
          <w:szCs w:val="22"/>
        </w:rPr>
        <w:t>any potential coming from Sup</w:t>
      </w:r>
      <w:r w:rsidR="00767BA6">
        <w:rPr>
          <w:rFonts w:ascii="Calibri" w:hAnsi="Calibri" w:cs="Calibri"/>
          <w:b w:val="0"/>
          <w:sz w:val="22"/>
          <w:szCs w:val="22"/>
        </w:rPr>
        <w:t>Tech and Re</w:t>
      </w:r>
      <w:r w:rsidR="004578EA">
        <w:rPr>
          <w:rFonts w:ascii="Calibri" w:hAnsi="Calibri" w:cs="Calibri"/>
          <w:b w:val="0"/>
          <w:sz w:val="22"/>
          <w:szCs w:val="22"/>
        </w:rPr>
        <w:t>g</w:t>
      </w:r>
      <w:r w:rsidR="00767BA6">
        <w:rPr>
          <w:rFonts w:ascii="Calibri" w:hAnsi="Calibri" w:cs="Calibri"/>
          <w:b w:val="0"/>
          <w:sz w:val="22"/>
          <w:szCs w:val="22"/>
        </w:rPr>
        <w:t>T</w:t>
      </w:r>
      <w:r w:rsidR="00767BA6" w:rsidRPr="00767BA6">
        <w:rPr>
          <w:rFonts w:ascii="Calibri" w:hAnsi="Calibri" w:cs="Calibri"/>
          <w:b w:val="0"/>
          <w:sz w:val="22"/>
          <w:szCs w:val="22"/>
        </w:rPr>
        <w:t xml:space="preserve">ech and develop initiatives in a </w:t>
      </w:r>
      <w:r w:rsidR="00782871">
        <w:rPr>
          <w:rFonts w:ascii="Calibri" w:hAnsi="Calibri" w:cs="Calibri"/>
          <w:b w:val="0"/>
          <w:sz w:val="22"/>
          <w:szCs w:val="22"/>
        </w:rPr>
        <w:t>consistent, coordinated and timely manner</w:t>
      </w:r>
      <w:r w:rsidR="00EA1327">
        <w:rPr>
          <w:rFonts w:ascii="Calibri" w:hAnsi="Calibri" w:cs="Calibri"/>
          <w:b w:val="0"/>
          <w:sz w:val="22"/>
          <w:szCs w:val="22"/>
        </w:rPr>
        <w:t xml:space="preserve"> across the EU and globally</w:t>
      </w:r>
      <w:r w:rsidR="00767BA6">
        <w:rPr>
          <w:rFonts w:ascii="Calibri" w:hAnsi="Calibri" w:cs="Calibri"/>
          <w:b w:val="0"/>
          <w:sz w:val="22"/>
          <w:szCs w:val="22"/>
        </w:rPr>
        <w:t>, including with a view to enhancing supervisory capacity over firms/groups with a multi-sectoral and multi-jurisdictional reach</w:t>
      </w:r>
      <w:r w:rsidR="0019769E" w:rsidRPr="008E3C6D">
        <w:rPr>
          <w:rFonts w:ascii="Calibri" w:hAnsi="Calibri" w:cs="Calibri"/>
          <w:b w:val="0"/>
          <w:sz w:val="22"/>
          <w:szCs w:val="22"/>
        </w:rPr>
        <w:t>.</w:t>
      </w:r>
      <w:r w:rsidR="0019769E" w:rsidRPr="008E3C6D">
        <w:rPr>
          <w:rFonts w:ascii="Calibri" w:hAnsi="Calibri" w:cs="Calibri"/>
          <w:b w:val="0"/>
          <w:color w:val="000000" w:themeColor="text1"/>
          <w:sz w:val="22"/>
          <w:szCs w:val="22"/>
        </w:rPr>
        <w:t xml:space="preserve"> </w:t>
      </w:r>
    </w:p>
    <w:p w14:paraId="57765DFE" w14:textId="748E2E80" w:rsidR="008E3C6D" w:rsidRPr="00E57172" w:rsidRDefault="008E3C6D" w:rsidP="0019769E">
      <w:pPr>
        <w:pStyle w:val="Heading2"/>
        <w:spacing w:line="276" w:lineRule="auto"/>
        <w:ind w:left="0" w:right="-46"/>
        <w:jc w:val="both"/>
        <w:rPr>
          <w:rFonts w:ascii="Calibri" w:hAnsi="Calibri" w:cs="Calibri"/>
          <w:b w:val="0"/>
          <w:sz w:val="22"/>
          <w:szCs w:val="22"/>
        </w:rPr>
      </w:pPr>
    </w:p>
    <w:p w14:paraId="0D9ACE61" w14:textId="33243685" w:rsidR="00E57172" w:rsidRDefault="00FF542A" w:rsidP="0019769E">
      <w:pPr>
        <w:pStyle w:val="Heading2"/>
        <w:spacing w:line="276" w:lineRule="auto"/>
        <w:ind w:left="0" w:right="-46"/>
        <w:jc w:val="both"/>
        <w:rPr>
          <w:rFonts w:ascii="Calibri" w:hAnsi="Calibri" w:cs="Calibri"/>
          <w:sz w:val="22"/>
          <w:szCs w:val="22"/>
        </w:rPr>
      </w:pPr>
      <w:r w:rsidRPr="00237C5D">
        <w:rPr>
          <w:rFonts w:ascii="Calibri" w:hAnsi="Calibri" w:cs="Calibri"/>
          <w:b w:val="0"/>
          <w:sz w:val="22"/>
          <w:szCs w:val="22"/>
        </w:rPr>
        <w:t>A</w:t>
      </w:r>
      <w:r w:rsidR="003C7954" w:rsidRPr="00237C5D">
        <w:rPr>
          <w:rFonts w:ascii="Calibri" w:hAnsi="Calibri" w:cs="Calibri"/>
          <w:b w:val="0"/>
          <w:sz w:val="22"/>
          <w:szCs w:val="22"/>
        </w:rPr>
        <w:t>s</w:t>
      </w:r>
      <w:r w:rsidR="003C7954">
        <w:rPr>
          <w:rFonts w:ascii="Calibri" w:hAnsi="Calibri" w:cs="Calibri"/>
          <w:b w:val="0"/>
          <w:sz w:val="22"/>
          <w:szCs w:val="22"/>
        </w:rPr>
        <w:t xml:space="preserve"> noted above, supervisors face challenges in responding to cross-border innovative busi</w:t>
      </w:r>
      <w:r w:rsidR="009349D2">
        <w:rPr>
          <w:rFonts w:ascii="Calibri" w:hAnsi="Calibri" w:cs="Calibri"/>
          <w:b w:val="0"/>
          <w:sz w:val="22"/>
          <w:szCs w:val="22"/>
        </w:rPr>
        <w:t>ness models and the EBA highlights the need for further efforts on both a sectoral and cross-sectoral basis to support supervisors in horizon scanning and developing consistent and coordinated supervisory responses</w:t>
      </w:r>
      <w:r w:rsidR="00941715">
        <w:rPr>
          <w:rFonts w:ascii="Calibri" w:hAnsi="Calibri" w:cs="Calibri"/>
          <w:b w:val="0"/>
          <w:sz w:val="22"/>
          <w:szCs w:val="22"/>
        </w:rPr>
        <w:t xml:space="preserve"> in accordance with the principle of technological neutrality as set out in </w:t>
      </w:r>
      <w:r w:rsidR="001E64E0">
        <w:rPr>
          <w:rFonts w:ascii="Calibri" w:hAnsi="Calibri" w:cs="Calibri"/>
          <w:b w:val="0"/>
          <w:sz w:val="22"/>
          <w:szCs w:val="22"/>
        </w:rPr>
        <w:t xml:space="preserve">the EBA’s response to </w:t>
      </w:r>
      <w:r w:rsidR="00941715">
        <w:rPr>
          <w:rFonts w:ascii="Calibri" w:hAnsi="Calibri" w:cs="Calibri"/>
          <w:b w:val="0"/>
          <w:sz w:val="22"/>
          <w:szCs w:val="22"/>
        </w:rPr>
        <w:t>Question 1</w:t>
      </w:r>
      <w:r w:rsidR="009349D2">
        <w:rPr>
          <w:rFonts w:ascii="Calibri" w:hAnsi="Calibri" w:cs="Calibri"/>
          <w:b w:val="0"/>
          <w:sz w:val="22"/>
          <w:szCs w:val="22"/>
        </w:rPr>
        <w:t>.</w:t>
      </w:r>
      <w:r>
        <w:rPr>
          <w:rFonts w:ascii="Calibri" w:hAnsi="Calibri" w:cs="Calibri"/>
          <w:b w:val="0"/>
          <w:sz w:val="22"/>
          <w:szCs w:val="22"/>
        </w:rPr>
        <w:t xml:space="preserve"> Additionally, these horizon scanning efforts should be carried out on an inter-temporal basis, first to ensure that obstacles to financial innovation can be identified and addressed on a timely basis, and second to ensure risks are addressed on a consistent, effective and proportionate basis; together contributing to ensuring the regulatory and supervisory framework is technology neutral and fit for purpose in the digital age. In line with the EBA’s core tasks and functions</w:t>
      </w:r>
      <w:r w:rsidR="00C219F9">
        <w:rPr>
          <w:rFonts w:ascii="Calibri" w:hAnsi="Calibri" w:cs="Calibri"/>
          <w:b w:val="0"/>
          <w:sz w:val="22"/>
          <w:szCs w:val="22"/>
        </w:rPr>
        <w:t>,</w:t>
      </w:r>
      <w:r>
        <w:rPr>
          <w:rFonts w:ascii="Calibri" w:hAnsi="Calibri" w:cs="Calibri"/>
          <w:b w:val="0"/>
          <w:sz w:val="22"/>
          <w:szCs w:val="22"/>
        </w:rPr>
        <w:t xml:space="preserve"> the EBA carries out regular perimeter monitoring exercises. However, </w:t>
      </w:r>
      <w:r w:rsidRPr="00E57172">
        <w:rPr>
          <w:rFonts w:ascii="Calibri" w:hAnsi="Calibri" w:cs="Calibri"/>
          <w:b w:val="0"/>
          <w:sz w:val="22"/>
          <w:szCs w:val="22"/>
        </w:rPr>
        <w:t>EBA would welcome further mandates in these areas</w:t>
      </w:r>
      <w:r>
        <w:rPr>
          <w:rFonts w:ascii="Calibri" w:hAnsi="Calibri" w:cs="Calibri"/>
          <w:b w:val="0"/>
          <w:sz w:val="22"/>
          <w:szCs w:val="22"/>
        </w:rPr>
        <w:t xml:space="preserve"> in order to promote convergence of supervisory practices </w:t>
      </w:r>
      <w:r>
        <w:rPr>
          <w:rFonts w:ascii="Calibri" w:hAnsi="Calibri" w:cs="Calibri"/>
          <w:b w:val="0"/>
          <w:sz w:val="22"/>
          <w:szCs w:val="22"/>
        </w:rPr>
        <w:lastRenderedPageBreak/>
        <w:t xml:space="preserve">and help rise to the challenge of continuing to monitor and supervise effectively a fast-evolving financial sector.  </w:t>
      </w:r>
    </w:p>
    <w:p w14:paraId="0BF7C60B" w14:textId="77777777" w:rsidR="00E57172" w:rsidRDefault="00E57172" w:rsidP="0019769E">
      <w:pPr>
        <w:pStyle w:val="Heading2"/>
        <w:spacing w:line="276" w:lineRule="auto"/>
        <w:ind w:left="0" w:right="-46"/>
        <w:jc w:val="both"/>
        <w:rPr>
          <w:rFonts w:ascii="Calibri" w:hAnsi="Calibri" w:cs="Calibri"/>
          <w:sz w:val="22"/>
          <w:szCs w:val="22"/>
        </w:rPr>
      </w:pPr>
    </w:p>
    <w:p w14:paraId="3527A2A1" w14:textId="2EBB0332" w:rsidR="0019769E" w:rsidRPr="006E5452" w:rsidRDefault="0019769E" w:rsidP="00CC6A0F">
      <w:pPr>
        <w:pStyle w:val="Heading2"/>
        <w:ind w:left="0" w:right="-46"/>
        <w:jc w:val="both"/>
        <w:rPr>
          <w:rFonts w:ascii="Calibri" w:hAnsi="Calibri" w:cs="Calibri"/>
          <w:sz w:val="24"/>
          <w:szCs w:val="24"/>
        </w:rPr>
      </w:pPr>
      <w:r w:rsidRPr="006E5452">
        <w:rPr>
          <w:rFonts w:ascii="Calibri" w:hAnsi="Calibri" w:cs="Calibri"/>
          <w:sz w:val="24"/>
          <w:szCs w:val="24"/>
        </w:rPr>
        <w:t>Question 14. According to you, which initiatives could be put in place at EU level to enhance this multi-disciplinary cooperation between authorities? Please explain your reasoning and provide examples if needed:</w:t>
      </w:r>
    </w:p>
    <w:p w14:paraId="4C96CF88" w14:textId="4064FCFB" w:rsidR="0019769E" w:rsidRDefault="0019769E" w:rsidP="0019769E">
      <w:pPr>
        <w:pStyle w:val="Heading2"/>
        <w:spacing w:line="276" w:lineRule="auto"/>
        <w:ind w:left="0" w:right="141"/>
        <w:jc w:val="both"/>
        <w:rPr>
          <w:rFonts w:ascii="Calibri" w:hAnsi="Calibri" w:cs="Calibri"/>
          <w:sz w:val="22"/>
          <w:szCs w:val="22"/>
        </w:rPr>
      </w:pPr>
    </w:p>
    <w:p w14:paraId="15DB652F" w14:textId="32F7C2DB" w:rsidR="0070668B" w:rsidRDefault="0070668B" w:rsidP="00C219F9">
      <w:pPr>
        <w:pStyle w:val="Heading2"/>
        <w:spacing w:line="276" w:lineRule="auto"/>
        <w:ind w:left="0" w:right="-8"/>
        <w:jc w:val="both"/>
        <w:rPr>
          <w:rFonts w:ascii="Calibri" w:hAnsi="Calibri" w:cs="Calibri"/>
          <w:b w:val="0"/>
          <w:sz w:val="22"/>
          <w:szCs w:val="22"/>
        </w:rPr>
      </w:pPr>
      <w:r>
        <w:rPr>
          <w:rFonts w:ascii="Calibri" w:hAnsi="Calibri" w:cs="Calibri"/>
          <w:b w:val="0"/>
          <w:sz w:val="22"/>
          <w:szCs w:val="22"/>
        </w:rPr>
        <w:t>T</w:t>
      </w:r>
      <w:r w:rsidRPr="00E31192">
        <w:rPr>
          <w:rFonts w:ascii="Calibri" w:hAnsi="Calibri" w:cs="Calibri"/>
          <w:b w:val="0"/>
          <w:sz w:val="22"/>
          <w:szCs w:val="22"/>
        </w:rPr>
        <w:t>he EBA</w:t>
      </w:r>
      <w:r>
        <w:rPr>
          <w:rFonts w:ascii="Calibri" w:hAnsi="Calibri" w:cs="Calibri"/>
          <w:b w:val="0"/>
          <w:sz w:val="22"/>
          <w:szCs w:val="22"/>
        </w:rPr>
        <w:t xml:space="preserve"> highlight</w:t>
      </w:r>
      <w:r w:rsidRPr="00E31192">
        <w:rPr>
          <w:rFonts w:ascii="Calibri" w:hAnsi="Calibri" w:cs="Calibri"/>
          <w:b w:val="0"/>
          <w:sz w:val="22"/>
          <w:szCs w:val="22"/>
        </w:rPr>
        <w:t xml:space="preserve">s </w:t>
      </w:r>
      <w:r>
        <w:rPr>
          <w:rFonts w:ascii="Calibri" w:hAnsi="Calibri" w:cs="Calibri"/>
          <w:b w:val="0"/>
          <w:sz w:val="22"/>
          <w:szCs w:val="22"/>
        </w:rPr>
        <w:t>the important role of capacity-building initiatives for industry and supervisory a</w:t>
      </w:r>
      <w:r w:rsidR="00673C3A">
        <w:rPr>
          <w:rFonts w:ascii="Calibri" w:hAnsi="Calibri" w:cs="Calibri"/>
          <w:b w:val="0"/>
          <w:sz w:val="22"/>
          <w:szCs w:val="22"/>
        </w:rPr>
        <w:t xml:space="preserve">uthorities on understanding </w:t>
      </w:r>
      <w:r w:rsidR="00004524">
        <w:rPr>
          <w:rFonts w:ascii="Calibri" w:hAnsi="Calibri" w:cs="Calibri"/>
          <w:b w:val="0"/>
          <w:sz w:val="22"/>
          <w:szCs w:val="22"/>
        </w:rPr>
        <w:t>innovative technologies and</w:t>
      </w:r>
      <w:r>
        <w:rPr>
          <w:rFonts w:ascii="Calibri" w:hAnsi="Calibri" w:cs="Calibri"/>
          <w:b w:val="0"/>
          <w:sz w:val="22"/>
          <w:szCs w:val="22"/>
        </w:rPr>
        <w:t xml:space="preserve"> the opportuniti</w:t>
      </w:r>
      <w:r w:rsidR="00673C3A">
        <w:rPr>
          <w:rFonts w:ascii="Calibri" w:hAnsi="Calibri" w:cs="Calibri"/>
          <w:b w:val="0"/>
          <w:sz w:val="22"/>
          <w:szCs w:val="22"/>
        </w:rPr>
        <w:t>es and risks they present</w:t>
      </w:r>
      <w:r>
        <w:rPr>
          <w:rFonts w:ascii="Calibri" w:hAnsi="Calibri" w:cs="Calibri"/>
          <w:b w:val="0"/>
          <w:sz w:val="22"/>
          <w:szCs w:val="22"/>
        </w:rPr>
        <w:t xml:space="preserve">, along with the appropriate regulatory and supervisory measures. </w:t>
      </w:r>
    </w:p>
    <w:p w14:paraId="1CC57A6B" w14:textId="77777777" w:rsidR="0070668B" w:rsidRDefault="0070668B" w:rsidP="0070668B">
      <w:pPr>
        <w:pStyle w:val="Heading2"/>
        <w:spacing w:line="276" w:lineRule="auto"/>
        <w:ind w:left="0" w:right="141"/>
        <w:jc w:val="both"/>
        <w:rPr>
          <w:rFonts w:ascii="Calibri" w:hAnsi="Calibri" w:cs="Calibri"/>
          <w:b w:val="0"/>
          <w:sz w:val="22"/>
          <w:szCs w:val="22"/>
        </w:rPr>
      </w:pPr>
    </w:p>
    <w:p w14:paraId="5EF61324" w14:textId="0B4BCF3D" w:rsidR="0070668B" w:rsidRDefault="0070668B" w:rsidP="00C219F9">
      <w:pPr>
        <w:pStyle w:val="Heading2"/>
        <w:spacing w:line="276" w:lineRule="auto"/>
        <w:ind w:left="0" w:right="-8"/>
        <w:jc w:val="both"/>
        <w:rPr>
          <w:rFonts w:ascii="Calibri" w:hAnsi="Calibri" w:cs="Calibri"/>
          <w:b w:val="0"/>
          <w:sz w:val="22"/>
          <w:szCs w:val="22"/>
        </w:rPr>
      </w:pPr>
      <w:r>
        <w:rPr>
          <w:rFonts w:ascii="Calibri" w:hAnsi="Calibri" w:cs="Calibri"/>
          <w:b w:val="0"/>
          <w:sz w:val="22"/>
          <w:szCs w:val="22"/>
        </w:rPr>
        <w:t xml:space="preserve">Further to the </w:t>
      </w:r>
      <w:r w:rsidR="00673C3A">
        <w:rPr>
          <w:rFonts w:ascii="Calibri" w:hAnsi="Calibri" w:cs="Calibri"/>
          <w:b w:val="0"/>
          <w:sz w:val="22"/>
          <w:szCs w:val="22"/>
        </w:rPr>
        <w:t>March 2018</w:t>
      </w:r>
      <w:r>
        <w:rPr>
          <w:rFonts w:ascii="Calibri" w:hAnsi="Calibri" w:cs="Calibri"/>
          <w:b w:val="0"/>
          <w:sz w:val="22"/>
          <w:szCs w:val="22"/>
        </w:rPr>
        <w:t xml:space="preserve"> FinTech Action Plan and the EBA’s FinTech Roadmap, the EBA has taken a number of steps (both on a sector-specific basis and in coordination with the other ESAs) to support greater information exchange, knowledge sharing, coordination and cooperation between industry and supervisory authorities on FinTech-related issues. In terms of EBA-specific initiatives, this includes the establishment of EBA’s </w:t>
      </w:r>
      <w:r w:rsidRPr="00E31192">
        <w:rPr>
          <w:rFonts w:ascii="Calibri" w:hAnsi="Calibri" w:cs="Calibri"/>
          <w:b w:val="0"/>
          <w:sz w:val="22"/>
          <w:szCs w:val="22"/>
        </w:rPr>
        <w:t>FinTech Knowledge Hub and technology-specific training initiatives (e.</w:t>
      </w:r>
      <w:r>
        <w:rPr>
          <w:rFonts w:ascii="Calibri" w:hAnsi="Calibri" w:cs="Calibri"/>
          <w:b w:val="0"/>
          <w:sz w:val="22"/>
          <w:szCs w:val="22"/>
        </w:rPr>
        <w:t>g. impact of FinTech on business models, cloud, cyber etc.) - for cross-sectoral initiatives, see below on EFIF.</w:t>
      </w:r>
    </w:p>
    <w:p w14:paraId="214935BB" w14:textId="77777777" w:rsidR="0070668B" w:rsidRDefault="0070668B" w:rsidP="00C219F9">
      <w:pPr>
        <w:pStyle w:val="Heading2"/>
        <w:spacing w:line="276" w:lineRule="auto"/>
        <w:ind w:left="0" w:right="-8"/>
        <w:jc w:val="both"/>
        <w:rPr>
          <w:rFonts w:ascii="Calibri" w:hAnsi="Calibri" w:cs="Calibri"/>
          <w:b w:val="0"/>
          <w:sz w:val="22"/>
          <w:szCs w:val="22"/>
        </w:rPr>
      </w:pPr>
    </w:p>
    <w:p w14:paraId="109EFEC2" w14:textId="07ECFB35" w:rsidR="0070668B" w:rsidRDefault="00673C3A" w:rsidP="00C219F9">
      <w:pPr>
        <w:pStyle w:val="Heading2"/>
        <w:spacing w:line="276" w:lineRule="auto"/>
        <w:ind w:left="0" w:right="-8"/>
        <w:jc w:val="both"/>
        <w:rPr>
          <w:rFonts w:ascii="Calibri" w:hAnsi="Calibri" w:cs="Calibri"/>
          <w:b w:val="0"/>
          <w:sz w:val="22"/>
          <w:szCs w:val="22"/>
        </w:rPr>
      </w:pPr>
      <w:r>
        <w:rPr>
          <w:rFonts w:ascii="Calibri" w:hAnsi="Calibri" w:cs="Calibri"/>
          <w:b w:val="0"/>
          <w:sz w:val="22"/>
          <w:szCs w:val="22"/>
        </w:rPr>
        <w:t>Going forward</w:t>
      </w:r>
      <w:r w:rsidR="00004524">
        <w:rPr>
          <w:rFonts w:ascii="Calibri" w:hAnsi="Calibri" w:cs="Calibri"/>
          <w:b w:val="0"/>
          <w:sz w:val="22"/>
          <w:szCs w:val="22"/>
        </w:rPr>
        <w:t>,</w:t>
      </w:r>
      <w:r w:rsidR="0070668B">
        <w:rPr>
          <w:rFonts w:ascii="Calibri" w:hAnsi="Calibri" w:cs="Calibri"/>
          <w:b w:val="0"/>
          <w:sz w:val="22"/>
          <w:szCs w:val="22"/>
        </w:rPr>
        <w:t xml:space="preserve"> the EBA considers there would be significant benefit in substantially expanding such initiatives – in terms of both ambition and frequency.</w:t>
      </w:r>
    </w:p>
    <w:p w14:paraId="3EA01851" w14:textId="77777777" w:rsidR="0070668B" w:rsidRDefault="0070668B" w:rsidP="00C219F9">
      <w:pPr>
        <w:pStyle w:val="Heading2"/>
        <w:spacing w:line="276" w:lineRule="auto"/>
        <w:ind w:left="0" w:right="-8"/>
        <w:jc w:val="both"/>
        <w:rPr>
          <w:rFonts w:ascii="Calibri" w:hAnsi="Calibri" w:cs="Calibri"/>
          <w:b w:val="0"/>
          <w:sz w:val="22"/>
          <w:szCs w:val="22"/>
        </w:rPr>
      </w:pPr>
    </w:p>
    <w:p w14:paraId="1ED1ABFA" w14:textId="09BCCB26" w:rsidR="0070668B" w:rsidRDefault="0070668B" w:rsidP="00C219F9">
      <w:pPr>
        <w:pStyle w:val="Heading2"/>
        <w:spacing w:line="276" w:lineRule="auto"/>
        <w:ind w:left="0" w:right="-8"/>
        <w:jc w:val="both"/>
        <w:rPr>
          <w:rFonts w:ascii="Calibri" w:hAnsi="Calibri" w:cs="Calibri"/>
          <w:b w:val="0"/>
          <w:sz w:val="22"/>
          <w:szCs w:val="22"/>
        </w:rPr>
      </w:pPr>
      <w:r>
        <w:rPr>
          <w:rFonts w:ascii="Calibri" w:hAnsi="Calibri" w:cs="Calibri"/>
          <w:b w:val="0"/>
          <w:sz w:val="22"/>
          <w:szCs w:val="22"/>
        </w:rPr>
        <w:t>This would require additional resources and responsibilities, accompanied by increased funding, with regard to the role and activities of the EBA’s FinTech Knowledge Hub, for example, to enable the EBA:</w:t>
      </w:r>
    </w:p>
    <w:p w14:paraId="2ACA1F56" w14:textId="77777777" w:rsidR="00434393" w:rsidRDefault="00434393" w:rsidP="00C219F9">
      <w:pPr>
        <w:pStyle w:val="Heading2"/>
        <w:spacing w:line="276" w:lineRule="auto"/>
        <w:ind w:left="0" w:right="-8"/>
        <w:jc w:val="both"/>
        <w:rPr>
          <w:rFonts w:ascii="Calibri" w:hAnsi="Calibri" w:cs="Calibri"/>
          <w:b w:val="0"/>
          <w:sz w:val="22"/>
          <w:szCs w:val="22"/>
        </w:rPr>
      </w:pPr>
    </w:p>
    <w:p w14:paraId="6CBF5369" w14:textId="66B8F946" w:rsidR="0070668B" w:rsidRDefault="0070668B" w:rsidP="00C219F9">
      <w:pPr>
        <w:pStyle w:val="Heading2"/>
        <w:numPr>
          <w:ilvl w:val="0"/>
          <w:numId w:val="13"/>
        </w:numPr>
        <w:spacing w:line="276" w:lineRule="auto"/>
        <w:ind w:right="-8"/>
        <w:jc w:val="both"/>
        <w:rPr>
          <w:rFonts w:ascii="Calibri" w:hAnsi="Calibri" w:cs="Calibri"/>
          <w:b w:val="0"/>
          <w:sz w:val="22"/>
          <w:szCs w:val="22"/>
        </w:rPr>
      </w:pPr>
      <w:r>
        <w:rPr>
          <w:rFonts w:ascii="Calibri" w:hAnsi="Calibri" w:cs="Calibri"/>
          <w:b w:val="0"/>
          <w:sz w:val="22"/>
          <w:szCs w:val="22"/>
        </w:rPr>
        <w:t>to expand its capacity to monitor closely technological developments in the financial sector (e.g. by following more closely pilot initiatives in the financial sector within, and potentially beyond, the EU);</w:t>
      </w:r>
    </w:p>
    <w:p w14:paraId="613FE658" w14:textId="77777777" w:rsidR="00434393" w:rsidRDefault="00434393" w:rsidP="00C219F9">
      <w:pPr>
        <w:pStyle w:val="Heading2"/>
        <w:spacing w:line="276" w:lineRule="auto"/>
        <w:ind w:left="720" w:right="-8"/>
        <w:jc w:val="both"/>
        <w:rPr>
          <w:rFonts w:ascii="Calibri" w:hAnsi="Calibri" w:cs="Calibri"/>
          <w:b w:val="0"/>
          <w:sz w:val="22"/>
          <w:szCs w:val="22"/>
        </w:rPr>
      </w:pPr>
    </w:p>
    <w:p w14:paraId="02EFC8D4" w14:textId="4BC0EE76" w:rsidR="0070668B" w:rsidRPr="00434393" w:rsidRDefault="00434393" w:rsidP="00C219F9">
      <w:pPr>
        <w:pStyle w:val="Heading2"/>
        <w:numPr>
          <w:ilvl w:val="0"/>
          <w:numId w:val="13"/>
        </w:numPr>
        <w:spacing w:line="276" w:lineRule="auto"/>
        <w:ind w:right="-8"/>
        <w:jc w:val="both"/>
        <w:rPr>
          <w:rFonts w:ascii="Calibri" w:hAnsi="Calibri" w:cs="Calibri"/>
          <w:b w:val="0"/>
          <w:sz w:val="22"/>
          <w:szCs w:val="22"/>
        </w:rPr>
      </w:pPr>
      <w:r>
        <w:rPr>
          <w:rFonts w:ascii="Calibri" w:hAnsi="Calibri" w:cs="Calibri"/>
          <w:b w:val="0"/>
          <w:sz w:val="22"/>
          <w:szCs w:val="22"/>
          <w:lang w:val="en-GB"/>
        </w:rPr>
        <w:t>to refine and formalis</w:t>
      </w:r>
      <w:r w:rsidR="0070668B" w:rsidRPr="004578EA">
        <w:rPr>
          <w:rFonts w:ascii="Calibri" w:hAnsi="Calibri" w:cs="Calibri"/>
          <w:b w:val="0"/>
          <w:sz w:val="22"/>
          <w:szCs w:val="22"/>
          <w:lang w:val="en-GB"/>
        </w:rPr>
        <w:t>e the EBA’s function in identifying obstacles to the application of FinTech in the EU financial sector;</w:t>
      </w:r>
    </w:p>
    <w:p w14:paraId="43890AA8" w14:textId="48E3FE28" w:rsidR="00434393" w:rsidRDefault="00434393" w:rsidP="00C219F9">
      <w:pPr>
        <w:pStyle w:val="Heading2"/>
        <w:spacing w:line="276" w:lineRule="auto"/>
        <w:ind w:left="0" w:right="-8"/>
        <w:jc w:val="both"/>
        <w:rPr>
          <w:rFonts w:ascii="Calibri" w:hAnsi="Calibri" w:cs="Calibri"/>
          <w:b w:val="0"/>
          <w:sz w:val="22"/>
          <w:szCs w:val="22"/>
        </w:rPr>
      </w:pPr>
    </w:p>
    <w:p w14:paraId="0766E129" w14:textId="3532626F" w:rsidR="00434393" w:rsidRDefault="0070668B" w:rsidP="00C219F9">
      <w:pPr>
        <w:pStyle w:val="Heading2"/>
        <w:numPr>
          <w:ilvl w:val="0"/>
          <w:numId w:val="13"/>
        </w:numPr>
        <w:spacing w:line="276" w:lineRule="auto"/>
        <w:ind w:right="-8"/>
        <w:jc w:val="both"/>
        <w:rPr>
          <w:rFonts w:ascii="Calibri" w:hAnsi="Calibri" w:cs="Calibri"/>
          <w:b w:val="0"/>
          <w:sz w:val="22"/>
          <w:szCs w:val="22"/>
        </w:rPr>
      </w:pPr>
      <w:r>
        <w:rPr>
          <w:rFonts w:ascii="Calibri" w:hAnsi="Calibri" w:cs="Calibri"/>
          <w:b w:val="0"/>
          <w:sz w:val="22"/>
          <w:szCs w:val="22"/>
        </w:rPr>
        <w:t>to enhance technical capacity (for instance, via new recruitments and secondment arrangements) to focus in greater depth on technology developments and support dissemination of information about such developments with supervisory authorities;</w:t>
      </w:r>
    </w:p>
    <w:p w14:paraId="68F70ED1" w14:textId="58D8CEA1" w:rsidR="00434393" w:rsidRPr="00434393" w:rsidRDefault="00434393" w:rsidP="00C219F9">
      <w:pPr>
        <w:pStyle w:val="Heading2"/>
        <w:spacing w:line="276" w:lineRule="auto"/>
        <w:ind w:left="0" w:right="-8"/>
        <w:jc w:val="both"/>
        <w:rPr>
          <w:rFonts w:ascii="Calibri" w:hAnsi="Calibri" w:cs="Calibri"/>
          <w:b w:val="0"/>
          <w:sz w:val="22"/>
          <w:szCs w:val="22"/>
        </w:rPr>
      </w:pPr>
    </w:p>
    <w:p w14:paraId="1E123555" w14:textId="77777777" w:rsidR="0070668B" w:rsidRDefault="0070668B" w:rsidP="00C219F9">
      <w:pPr>
        <w:pStyle w:val="Heading2"/>
        <w:numPr>
          <w:ilvl w:val="0"/>
          <w:numId w:val="13"/>
        </w:numPr>
        <w:spacing w:line="276" w:lineRule="auto"/>
        <w:ind w:right="-8"/>
        <w:jc w:val="both"/>
        <w:rPr>
          <w:rFonts w:ascii="Calibri" w:hAnsi="Calibri" w:cs="Calibri"/>
          <w:b w:val="0"/>
          <w:sz w:val="22"/>
          <w:szCs w:val="22"/>
        </w:rPr>
      </w:pPr>
      <w:r>
        <w:rPr>
          <w:rFonts w:ascii="Calibri" w:hAnsi="Calibri" w:cs="Calibri"/>
          <w:b w:val="0"/>
          <w:sz w:val="22"/>
          <w:szCs w:val="22"/>
        </w:rPr>
        <w:t>to act as a central point of contact on information and knowledge sharing through extending cooperation and coordination with a broader set of</w:t>
      </w:r>
      <w:r w:rsidRPr="00BA1111">
        <w:rPr>
          <w:rFonts w:ascii="Calibri" w:hAnsi="Calibri" w:cs="Calibri"/>
          <w:b w:val="0"/>
          <w:sz w:val="22"/>
          <w:szCs w:val="22"/>
        </w:rPr>
        <w:t xml:space="preserve"> authorities (including financial sector supervisors, national central b</w:t>
      </w:r>
      <w:r w:rsidRPr="00BA1111">
        <w:rPr>
          <w:rFonts w:ascii="Calibri" w:hAnsi="Calibri" w:cs="Calibri"/>
          <w:b w:val="0"/>
          <w:color w:val="000000" w:themeColor="text1"/>
          <w:sz w:val="22"/>
          <w:szCs w:val="22"/>
        </w:rPr>
        <w:t>anks and potentially other</w:t>
      </w:r>
      <w:r w:rsidRPr="004578EA">
        <w:rPr>
          <w:rFonts w:ascii="Calibri" w:hAnsi="Calibri" w:cs="Calibri"/>
          <w:b w:val="0"/>
          <w:color w:val="000000" w:themeColor="text1"/>
          <w:sz w:val="22"/>
          <w:szCs w:val="22"/>
          <w:lang w:val="en-GB"/>
        </w:rPr>
        <w:t xml:space="preserve"> organisations</w:t>
      </w:r>
      <w:r w:rsidRPr="00BA1111">
        <w:rPr>
          <w:rFonts w:ascii="Calibri" w:hAnsi="Calibri" w:cs="Calibri"/>
          <w:b w:val="0"/>
          <w:color w:val="000000" w:themeColor="text1"/>
          <w:sz w:val="22"/>
          <w:szCs w:val="22"/>
        </w:rPr>
        <w:t xml:space="preserve"> such as other disciplinary/sector-specific regulators)</w:t>
      </w:r>
      <w:r>
        <w:rPr>
          <w:rFonts w:ascii="Calibri" w:hAnsi="Calibri" w:cs="Calibri"/>
          <w:b w:val="0"/>
          <w:color w:val="000000" w:themeColor="text1"/>
          <w:sz w:val="22"/>
          <w:szCs w:val="22"/>
        </w:rPr>
        <w:t xml:space="preserve"> in order to facilitate the much-needed multi-disciplinary approach</w:t>
      </w:r>
      <w:r w:rsidRPr="00BA1111">
        <w:rPr>
          <w:rFonts w:ascii="Calibri" w:hAnsi="Calibri" w:cs="Calibri"/>
          <w:b w:val="0"/>
          <w:color w:val="000000" w:themeColor="text1"/>
          <w:sz w:val="22"/>
          <w:szCs w:val="22"/>
        </w:rPr>
        <w:t xml:space="preserve">. </w:t>
      </w:r>
    </w:p>
    <w:p w14:paraId="3B94CD74" w14:textId="77777777" w:rsidR="0070668B" w:rsidRDefault="0070668B" w:rsidP="00C219F9">
      <w:pPr>
        <w:pStyle w:val="Heading2"/>
        <w:spacing w:line="276" w:lineRule="auto"/>
        <w:ind w:right="-8"/>
        <w:jc w:val="both"/>
        <w:rPr>
          <w:rFonts w:ascii="Calibri" w:hAnsi="Calibri" w:cs="Calibri"/>
          <w:b w:val="0"/>
          <w:sz w:val="22"/>
          <w:szCs w:val="22"/>
        </w:rPr>
      </w:pPr>
    </w:p>
    <w:p w14:paraId="569AB13B" w14:textId="685B5F7F" w:rsidR="0070668B" w:rsidRPr="00BA1111" w:rsidRDefault="0070668B" w:rsidP="00C219F9">
      <w:pPr>
        <w:pStyle w:val="Heading2"/>
        <w:spacing w:line="276" w:lineRule="auto"/>
        <w:ind w:left="0" w:right="-8"/>
        <w:jc w:val="both"/>
        <w:rPr>
          <w:rFonts w:ascii="Calibri" w:hAnsi="Calibri" w:cs="Calibri"/>
          <w:b w:val="0"/>
          <w:sz w:val="22"/>
          <w:szCs w:val="22"/>
        </w:rPr>
      </w:pPr>
      <w:r w:rsidRPr="00BA1111">
        <w:rPr>
          <w:rFonts w:ascii="Calibri" w:hAnsi="Calibri" w:cs="Calibri"/>
          <w:b w:val="0"/>
          <w:color w:val="000000" w:themeColor="text1"/>
          <w:sz w:val="22"/>
          <w:szCs w:val="22"/>
        </w:rPr>
        <w:t xml:space="preserve">Additional funding could also be applied </w:t>
      </w:r>
      <w:r w:rsidR="00E57172">
        <w:rPr>
          <w:rFonts w:ascii="Calibri" w:hAnsi="Calibri" w:cs="Calibri"/>
          <w:b w:val="0"/>
          <w:color w:val="000000" w:themeColor="text1"/>
          <w:sz w:val="22"/>
          <w:szCs w:val="22"/>
        </w:rPr>
        <w:t>by the EBA to</w:t>
      </w:r>
      <w:r w:rsidR="00FF14DA">
        <w:rPr>
          <w:rFonts w:ascii="Calibri" w:hAnsi="Calibri" w:cs="Calibri"/>
          <w:b w:val="0"/>
          <w:color w:val="000000" w:themeColor="text1"/>
          <w:sz w:val="22"/>
          <w:szCs w:val="22"/>
        </w:rPr>
        <w:t xml:space="preserve"> facilitate the gathering of best practices and trends on SupTech and</w:t>
      </w:r>
      <w:r w:rsidR="00E57172">
        <w:rPr>
          <w:rFonts w:ascii="Calibri" w:hAnsi="Calibri" w:cs="Calibri"/>
          <w:b w:val="0"/>
          <w:color w:val="000000" w:themeColor="text1"/>
          <w:sz w:val="22"/>
          <w:szCs w:val="22"/>
        </w:rPr>
        <w:t xml:space="preserve"> </w:t>
      </w:r>
      <w:r w:rsidRPr="00BA1111">
        <w:rPr>
          <w:rFonts w:ascii="Calibri" w:hAnsi="Calibri" w:cs="Calibri"/>
          <w:b w:val="0"/>
          <w:color w:val="000000" w:themeColor="text1"/>
          <w:sz w:val="22"/>
          <w:szCs w:val="22"/>
        </w:rPr>
        <w:t>promote/f</w:t>
      </w:r>
      <w:r w:rsidRPr="00BA1111">
        <w:rPr>
          <w:rFonts w:ascii="Calibri" w:hAnsi="Calibri" w:cs="Calibri"/>
          <w:b w:val="0"/>
          <w:sz w:val="22"/>
          <w:szCs w:val="22"/>
        </w:rPr>
        <w:t xml:space="preserve">acilitate </w:t>
      </w:r>
      <w:r w:rsidR="00004524">
        <w:rPr>
          <w:rFonts w:ascii="Calibri" w:hAnsi="Calibri" w:cs="Calibri"/>
          <w:b w:val="0"/>
          <w:sz w:val="22"/>
          <w:szCs w:val="22"/>
        </w:rPr>
        <w:t>the</w:t>
      </w:r>
      <w:r w:rsidR="00004524" w:rsidRPr="00BA1111">
        <w:rPr>
          <w:rFonts w:ascii="Calibri" w:hAnsi="Calibri" w:cs="Calibri"/>
          <w:b w:val="0"/>
          <w:sz w:val="22"/>
          <w:szCs w:val="22"/>
        </w:rPr>
        <w:t xml:space="preserve"> </w:t>
      </w:r>
      <w:r w:rsidRPr="00BA1111">
        <w:rPr>
          <w:rFonts w:ascii="Calibri" w:hAnsi="Calibri" w:cs="Calibri"/>
          <w:b w:val="0"/>
          <w:sz w:val="22"/>
          <w:szCs w:val="22"/>
        </w:rPr>
        <w:t xml:space="preserve">(collective) </w:t>
      </w:r>
      <w:r w:rsidR="00004524">
        <w:rPr>
          <w:rFonts w:ascii="Calibri" w:hAnsi="Calibri" w:cs="Calibri"/>
          <w:b w:val="0"/>
          <w:sz w:val="22"/>
          <w:szCs w:val="22"/>
        </w:rPr>
        <w:t>development of selected</w:t>
      </w:r>
      <w:r w:rsidRPr="00BA1111">
        <w:rPr>
          <w:rFonts w:ascii="Calibri" w:hAnsi="Calibri" w:cs="Calibri"/>
          <w:b w:val="0"/>
          <w:sz w:val="22"/>
          <w:szCs w:val="22"/>
        </w:rPr>
        <w:t xml:space="preserve"> SupTech use cases for the benefit of supervisory and regulatory authorities in the EU.</w:t>
      </w:r>
      <w:r w:rsidR="00FF14DA">
        <w:rPr>
          <w:rFonts w:ascii="Calibri" w:hAnsi="Calibri" w:cs="Calibri"/>
          <w:b w:val="0"/>
          <w:sz w:val="22"/>
          <w:szCs w:val="22"/>
        </w:rPr>
        <w:t xml:space="preserve"> The EBA could also act as a center for excellence and networking in this context and help instigate scalable SupTech across the Single Market.</w:t>
      </w:r>
    </w:p>
    <w:p w14:paraId="078E1953" w14:textId="77777777" w:rsidR="0070668B" w:rsidRDefault="0070668B" w:rsidP="00C219F9">
      <w:pPr>
        <w:pStyle w:val="Heading2"/>
        <w:spacing w:line="276" w:lineRule="auto"/>
        <w:ind w:left="0" w:right="-8"/>
        <w:jc w:val="both"/>
        <w:rPr>
          <w:rFonts w:ascii="Calibri" w:hAnsi="Calibri" w:cs="Calibri"/>
          <w:b w:val="0"/>
          <w:sz w:val="22"/>
          <w:szCs w:val="22"/>
        </w:rPr>
      </w:pPr>
    </w:p>
    <w:p w14:paraId="716E466A" w14:textId="092C1E47" w:rsidR="0070668B" w:rsidRPr="0019769E" w:rsidRDefault="0070668B" w:rsidP="00C219F9">
      <w:pPr>
        <w:pStyle w:val="Heading2"/>
        <w:spacing w:line="276" w:lineRule="auto"/>
        <w:ind w:left="0" w:right="-8"/>
        <w:jc w:val="both"/>
        <w:rPr>
          <w:rFonts w:ascii="Calibri" w:hAnsi="Calibri" w:cs="Calibri"/>
          <w:b w:val="0"/>
          <w:sz w:val="22"/>
          <w:szCs w:val="22"/>
        </w:rPr>
      </w:pPr>
      <w:r>
        <w:rPr>
          <w:rFonts w:ascii="Calibri" w:hAnsi="Calibri" w:cs="Calibri"/>
          <w:b w:val="0"/>
          <w:sz w:val="22"/>
          <w:szCs w:val="22"/>
        </w:rPr>
        <w:t xml:space="preserve">Turning to </w:t>
      </w:r>
      <w:r w:rsidRPr="0019769E">
        <w:rPr>
          <w:rFonts w:ascii="Calibri" w:hAnsi="Calibri" w:cs="Calibri"/>
          <w:b w:val="0"/>
          <w:sz w:val="22"/>
          <w:szCs w:val="22"/>
        </w:rPr>
        <w:t>the European Forum for Innovation Facilitators</w:t>
      </w:r>
      <w:r>
        <w:rPr>
          <w:rFonts w:ascii="Calibri" w:hAnsi="Calibri" w:cs="Calibri"/>
          <w:b w:val="0"/>
          <w:sz w:val="22"/>
          <w:szCs w:val="22"/>
        </w:rPr>
        <w:t>,</w:t>
      </w:r>
      <w:r w:rsidRPr="0019769E">
        <w:rPr>
          <w:rStyle w:val="FootnoteReference"/>
          <w:rFonts w:ascii="Calibri" w:hAnsi="Calibri" w:cs="Calibri"/>
          <w:b w:val="0"/>
          <w:sz w:val="22"/>
          <w:szCs w:val="22"/>
        </w:rPr>
        <w:footnoteReference w:id="18"/>
      </w:r>
      <w:r w:rsidRPr="0019769E">
        <w:rPr>
          <w:rFonts w:ascii="Calibri" w:hAnsi="Calibri" w:cs="Calibri"/>
          <w:b w:val="0"/>
          <w:sz w:val="22"/>
          <w:szCs w:val="22"/>
        </w:rPr>
        <w:t xml:space="preserve"> </w:t>
      </w:r>
      <w:r>
        <w:rPr>
          <w:rFonts w:ascii="Calibri" w:hAnsi="Calibri" w:cs="Calibri"/>
          <w:b w:val="0"/>
          <w:sz w:val="22"/>
          <w:szCs w:val="22"/>
        </w:rPr>
        <w:t xml:space="preserve">the EBA considers that the EFIF </w:t>
      </w:r>
      <w:r w:rsidRPr="0019769E">
        <w:rPr>
          <w:rFonts w:ascii="Calibri" w:hAnsi="Calibri" w:cs="Calibri"/>
          <w:b w:val="0"/>
          <w:sz w:val="22"/>
          <w:szCs w:val="22"/>
        </w:rPr>
        <w:t>provides a good means for supervisors to share experiences on a cross-sectoral basis, aiding the identification of innovation trends, regulatory and supervisory issues that require a cross-sectoral position (so as not to prejudice the capacity of one part of the financial system, or industry sector, to engage a technology), and to monitor interconnectedness on a multi-disciplinary basis. More regu</w:t>
      </w:r>
      <w:r w:rsidR="00434393">
        <w:rPr>
          <w:rFonts w:ascii="Calibri" w:hAnsi="Calibri" w:cs="Calibri"/>
          <w:b w:val="0"/>
          <w:sz w:val="22"/>
          <w:szCs w:val="22"/>
        </w:rPr>
        <w:t>lar and formalis</w:t>
      </w:r>
      <w:r w:rsidRPr="0019769E">
        <w:rPr>
          <w:rFonts w:ascii="Calibri" w:hAnsi="Calibri" w:cs="Calibri"/>
          <w:b w:val="0"/>
          <w:sz w:val="22"/>
          <w:szCs w:val="22"/>
        </w:rPr>
        <w:t>ed discussion of these issues (e.g. perhaps focusing on ‘real life’ use cases</w:t>
      </w:r>
      <w:r w:rsidR="005B2DAC">
        <w:rPr>
          <w:rFonts w:ascii="Calibri" w:hAnsi="Calibri" w:cs="Calibri"/>
          <w:b w:val="0"/>
          <w:sz w:val="22"/>
          <w:szCs w:val="22"/>
        </w:rPr>
        <w:t xml:space="preserve"> in order to facilitate in-depth discussion of potential regulatory and supervisory issues</w:t>
      </w:r>
      <w:r w:rsidRPr="0019769E">
        <w:rPr>
          <w:rFonts w:ascii="Calibri" w:hAnsi="Calibri" w:cs="Calibri"/>
          <w:b w:val="0"/>
          <w:sz w:val="22"/>
          <w:szCs w:val="22"/>
        </w:rPr>
        <w:t xml:space="preserve">) within the setting of the EFIF </w:t>
      </w:r>
      <w:r w:rsidR="00DC223A">
        <w:rPr>
          <w:rFonts w:ascii="Calibri" w:hAnsi="Calibri" w:cs="Calibri"/>
          <w:b w:val="0"/>
          <w:sz w:val="22"/>
          <w:szCs w:val="22"/>
        </w:rPr>
        <w:t xml:space="preserve">and the regular publication of ‘lessons learned’ </w:t>
      </w:r>
      <w:r w:rsidRPr="0019769E">
        <w:rPr>
          <w:rFonts w:ascii="Calibri" w:hAnsi="Calibri" w:cs="Calibri"/>
          <w:b w:val="0"/>
          <w:sz w:val="22"/>
          <w:szCs w:val="22"/>
        </w:rPr>
        <w:t>would be helpful to promote common understanding of opportunities and risks and to id</w:t>
      </w:r>
      <w:r w:rsidRPr="008E3C6D">
        <w:rPr>
          <w:rFonts w:ascii="Calibri" w:hAnsi="Calibri" w:cs="Calibri"/>
          <w:b w:val="0"/>
          <w:sz w:val="22"/>
          <w:szCs w:val="22"/>
        </w:rPr>
        <w:t>entify areas warranting clarification or regulatory change. Additionally, training and development initiatives can help support supervisors in capacity</w:t>
      </w:r>
      <w:r w:rsidR="00004524">
        <w:rPr>
          <w:rFonts w:ascii="Calibri" w:hAnsi="Calibri" w:cs="Calibri"/>
          <w:b w:val="0"/>
          <w:sz w:val="22"/>
          <w:szCs w:val="22"/>
        </w:rPr>
        <w:t xml:space="preserve"> </w:t>
      </w:r>
      <w:r w:rsidR="00004524" w:rsidRPr="008E3C6D">
        <w:rPr>
          <w:rFonts w:ascii="Calibri" w:hAnsi="Calibri" w:cs="Calibri"/>
          <w:b w:val="0"/>
          <w:sz w:val="22"/>
          <w:szCs w:val="22"/>
        </w:rPr>
        <w:t>building</w:t>
      </w:r>
      <w:r w:rsidRPr="008E3C6D">
        <w:rPr>
          <w:rFonts w:ascii="Calibri" w:hAnsi="Calibri" w:cs="Calibri"/>
          <w:b w:val="0"/>
          <w:sz w:val="22"/>
          <w:szCs w:val="22"/>
        </w:rPr>
        <w:t>.</w:t>
      </w:r>
      <w:r>
        <w:rPr>
          <w:rFonts w:ascii="Calibri" w:hAnsi="Calibri" w:cs="Calibri"/>
          <w:b w:val="0"/>
          <w:sz w:val="22"/>
          <w:szCs w:val="22"/>
        </w:rPr>
        <w:t xml:space="preserve"> In turn, this enhanced knowledge and information-sharing can inform on a timely basis potential policy responses</w:t>
      </w:r>
      <w:r w:rsidR="00F97842">
        <w:rPr>
          <w:rFonts w:ascii="Calibri" w:hAnsi="Calibri" w:cs="Calibri"/>
          <w:b w:val="0"/>
          <w:sz w:val="22"/>
          <w:szCs w:val="22"/>
        </w:rPr>
        <w:t xml:space="preserve"> conducted in existing committee structures</w:t>
      </w:r>
      <w:r>
        <w:rPr>
          <w:rFonts w:ascii="Calibri" w:hAnsi="Calibri" w:cs="Calibri"/>
          <w:b w:val="0"/>
          <w:sz w:val="22"/>
          <w:szCs w:val="22"/>
        </w:rPr>
        <w:t>.</w:t>
      </w:r>
    </w:p>
    <w:p w14:paraId="2E90325E" w14:textId="77777777" w:rsidR="0070668B" w:rsidRPr="0019769E" w:rsidRDefault="0070668B" w:rsidP="00C219F9">
      <w:pPr>
        <w:pStyle w:val="Heading2"/>
        <w:spacing w:line="276" w:lineRule="auto"/>
        <w:ind w:left="0" w:right="-8"/>
        <w:jc w:val="both"/>
        <w:rPr>
          <w:rFonts w:ascii="Calibri" w:hAnsi="Calibri" w:cs="Calibri"/>
          <w:b w:val="0"/>
          <w:sz w:val="22"/>
          <w:szCs w:val="22"/>
        </w:rPr>
      </w:pPr>
    </w:p>
    <w:p w14:paraId="68126BD5" w14:textId="2EE6A9CD" w:rsidR="001B44DF" w:rsidRPr="0019769E" w:rsidRDefault="0070668B" w:rsidP="00C219F9">
      <w:pPr>
        <w:pStyle w:val="Heading2"/>
        <w:spacing w:line="276" w:lineRule="auto"/>
        <w:ind w:left="0" w:right="-8"/>
        <w:jc w:val="both"/>
        <w:rPr>
          <w:rFonts w:ascii="Calibri" w:hAnsi="Calibri" w:cs="Calibri"/>
          <w:b w:val="0"/>
          <w:sz w:val="22"/>
          <w:szCs w:val="22"/>
        </w:rPr>
      </w:pPr>
      <w:r w:rsidRPr="0019769E">
        <w:rPr>
          <w:rFonts w:ascii="Calibri" w:hAnsi="Calibri" w:cs="Calibri"/>
          <w:b w:val="0"/>
          <w:sz w:val="22"/>
          <w:szCs w:val="22"/>
        </w:rPr>
        <w:t xml:space="preserve">Additionally, the EBA considers that leveraging the EFIF’s capacity to engage with </w:t>
      </w:r>
      <w:r w:rsidR="00F97842">
        <w:rPr>
          <w:rFonts w:ascii="Calibri" w:hAnsi="Calibri" w:cs="Calibri"/>
          <w:b w:val="0"/>
          <w:sz w:val="22"/>
          <w:szCs w:val="22"/>
        </w:rPr>
        <w:t xml:space="preserve">EU-level </w:t>
      </w:r>
      <w:r w:rsidRPr="0019769E">
        <w:rPr>
          <w:rFonts w:ascii="Calibri" w:hAnsi="Calibri" w:cs="Calibri"/>
          <w:b w:val="0"/>
          <w:sz w:val="22"/>
          <w:szCs w:val="22"/>
        </w:rPr>
        <w:t>non-financial sector supervisors and regulators (e.g. consumer protection, data protection and competition authorities) would be helpful to facilitate cooperation and common supervisory stances on the acceptability and parameters of use of technologies within and beyond the financial sector</w:t>
      </w:r>
      <w:r w:rsidR="00DC223A">
        <w:rPr>
          <w:rFonts w:ascii="Calibri" w:hAnsi="Calibri" w:cs="Calibri"/>
          <w:b w:val="0"/>
          <w:sz w:val="22"/>
          <w:szCs w:val="22"/>
        </w:rPr>
        <w:t xml:space="preserve"> and avoid duplication of work</w:t>
      </w:r>
      <w:r w:rsidRPr="0019769E">
        <w:rPr>
          <w:rFonts w:ascii="Calibri" w:hAnsi="Calibri" w:cs="Calibri"/>
          <w:b w:val="0"/>
          <w:sz w:val="22"/>
          <w:szCs w:val="22"/>
        </w:rPr>
        <w:t>. This could take the form of targeted working groups depending on the topic and case under discussion e.g. EDPB/EDPS and ESAs working group on the interaction of GDPR and AI in financial services.</w:t>
      </w:r>
    </w:p>
    <w:p w14:paraId="2D85FA91" w14:textId="77777777" w:rsidR="0019769E" w:rsidRPr="0019769E" w:rsidRDefault="0019769E" w:rsidP="0019769E">
      <w:pPr>
        <w:pStyle w:val="BodyText"/>
        <w:spacing w:before="12" w:line="276" w:lineRule="auto"/>
        <w:rPr>
          <w:rFonts w:ascii="Calibri" w:hAnsi="Calibri" w:cs="Calibri"/>
          <w:sz w:val="22"/>
          <w:szCs w:val="22"/>
        </w:rPr>
      </w:pPr>
    </w:p>
    <w:p w14:paraId="7AF756EF" w14:textId="77777777" w:rsidR="00AF7985" w:rsidRPr="006E5452" w:rsidRDefault="00AF7985" w:rsidP="00AF7985">
      <w:pPr>
        <w:jc w:val="both"/>
        <w:rPr>
          <w:rFonts w:ascii="Calibri" w:hAnsi="Calibri" w:cs="Calibri"/>
          <w:b/>
        </w:rPr>
      </w:pPr>
      <w:r w:rsidRPr="006E5452">
        <w:rPr>
          <w:rFonts w:ascii="Calibri" w:hAnsi="Calibri" w:cs="Calibri"/>
          <w:b/>
        </w:rPr>
        <w:t>Question 15. According to you, and in addition to the issues addressed in questions 16 to 25 below, do you see other obstacles to a Single Market for digital financial services and how should they be addressed?</w:t>
      </w:r>
    </w:p>
    <w:p w14:paraId="7DCF1278" w14:textId="77777777" w:rsidR="00AF7985" w:rsidRDefault="00AF7985" w:rsidP="00AF7985">
      <w:pPr>
        <w:jc w:val="both"/>
        <w:rPr>
          <w:rFonts w:ascii="Calibri" w:hAnsi="Calibri" w:cs="Calibri"/>
          <w:sz w:val="22"/>
          <w:szCs w:val="22"/>
        </w:rPr>
      </w:pPr>
    </w:p>
    <w:p w14:paraId="310CCFE3" w14:textId="218794ED" w:rsidR="003E3122" w:rsidRPr="00E63D2A" w:rsidRDefault="003E3122" w:rsidP="00E63D2A">
      <w:pPr>
        <w:spacing w:line="276" w:lineRule="auto"/>
        <w:jc w:val="both"/>
        <w:rPr>
          <w:rFonts w:ascii="Calibri" w:hAnsi="Calibri" w:cs="Calibri"/>
          <w:sz w:val="22"/>
          <w:szCs w:val="22"/>
        </w:rPr>
      </w:pPr>
      <w:r w:rsidRPr="00E63D2A">
        <w:rPr>
          <w:rFonts w:ascii="Calibri" w:hAnsi="Calibri" w:cs="Calibri"/>
          <w:sz w:val="22"/>
          <w:szCs w:val="22"/>
        </w:rPr>
        <w:t xml:space="preserve">As the European Commission notes in the introductory text to the section of the consultation paper ‘removing fragmentation in the single market for digital financial services’, issues relating to a lack of consistency in the transposition, interpretation and application of EU financial legislation and divergent regulatory and supervisory attitudes towards </w:t>
      </w:r>
      <w:r w:rsidR="00004524">
        <w:rPr>
          <w:rFonts w:ascii="Calibri" w:hAnsi="Calibri" w:cs="Calibri"/>
          <w:sz w:val="22"/>
          <w:szCs w:val="22"/>
        </w:rPr>
        <w:t>innovative technologies</w:t>
      </w:r>
      <w:r w:rsidRPr="00E63D2A">
        <w:rPr>
          <w:rFonts w:ascii="Calibri" w:hAnsi="Calibri" w:cs="Calibri"/>
          <w:sz w:val="22"/>
          <w:szCs w:val="22"/>
        </w:rPr>
        <w:t xml:space="preserve"> pose </w:t>
      </w:r>
      <w:r w:rsidR="009E32A1">
        <w:rPr>
          <w:rFonts w:ascii="Calibri" w:hAnsi="Calibri" w:cs="Calibri"/>
          <w:sz w:val="22"/>
          <w:szCs w:val="22"/>
        </w:rPr>
        <w:t xml:space="preserve">potential </w:t>
      </w:r>
      <w:r w:rsidRPr="00E63D2A">
        <w:rPr>
          <w:rFonts w:ascii="Calibri" w:hAnsi="Calibri" w:cs="Calibri"/>
          <w:sz w:val="22"/>
          <w:szCs w:val="22"/>
        </w:rPr>
        <w:t>obstacles to the Single Market for digital financial services.</w:t>
      </w:r>
    </w:p>
    <w:p w14:paraId="4B88D8A2" w14:textId="77777777" w:rsidR="00E63D2A" w:rsidRDefault="00E63D2A" w:rsidP="00E63D2A">
      <w:pPr>
        <w:spacing w:line="276" w:lineRule="auto"/>
        <w:jc w:val="both"/>
        <w:rPr>
          <w:rFonts w:ascii="Calibri" w:hAnsi="Calibri" w:cs="Calibri"/>
          <w:sz w:val="22"/>
          <w:szCs w:val="22"/>
        </w:rPr>
      </w:pPr>
    </w:p>
    <w:p w14:paraId="539007C9" w14:textId="6B3B0B23" w:rsidR="003E3122" w:rsidRDefault="003E3122" w:rsidP="00E63D2A">
      <w:pPr>
        <w:spacing w:line="276" w:lineRule="auto"/>
        <w:jc w:val="both"/>
        <w:rPr>
          <w:rFonts w:ascii="Calibri" w:hAnsi="Calibri" w:cs="Calibri"/>
          <w:sz w:val="22"/>
          <w:szCs w:val="22"/>
        </w:rPr>
      </w:pPr>
      <w:r w:rsidRPr="00E63D2A">
        <w:rPr>
          <w:rFonts w:ascii="Calibri" w:hAnsi="Calibri" w:cs="Calibri"/>
          <w:sz w:val="22"/>
          <w:szCs w:val="22"/>
        </w:rPr>
        <w:t>The EBA brings particular attention to the recommendations set out in:</w:t>
      </w:r>
    </w:p>
    <w:p w14:paraId="532737C6" w14:textId="77777777" w:rsidR="00434393" w:rsidRPr="00E63D2A" w:rsidRDefault="00434393" w:rsidP="00E63D2A">
      <w:pPr>
        <w:spacing w:line="276" w:lineRule="auto"/>
        <w:jc w:val="both"/>
        <w:rPr>
          <w:rFonts w:ascii="Calibri" w:hAnsi="Calibri" w:cs="Calibri"/>
          <w:sz w:val="22"/>
          <w:szCs w:val="22"/>
        </w:rPr>
      </w:pPr>
    </w:p>
    <w:p w14:paraId="57879F6E" w14:textId="2EFC447C" w:rsidR="003E3122" w:rsidRPr="00434393" w:rsidRDefault="003E3122" w:rsidP="00E63D2A">
      <w:pPr>
        <w:pStyle w:val="ListParagraph"/>
        <w:numPr>
          <w:ilvl w:val="0"/>
          <w:numId w:val="25"/>
        </w:numPr>
        <w:spacing w:after="200"/>
        <w:contextualSpacing/>
        <w:rPr>
          <w:rFonts w:ascii="Calibri" w:hAnsi="Calibri" w:cs="Calibri"/>
          <w:color w:val="000000" w:themeColor="text1"/>
          <w:szCs w:val="22"/>
        </w:rPr>
      </w:pPr>
      <w:r w:rsidRPr="00E63D2A">
        <w:rPr>
          <w:rFonts w:ascii="Calibri" w:hAnsi="Calibri" w:cs="Calibri"/>
          <w:color w:val="000000" w:themeColor="text1"/>
          <w:szCs w:val="22"/>
        </w:rPr>
        <w:t>the EBA report on potential impediments to the cross-border provision of banking and payment services</w:t>
      </w:r>
      <w:r w:rsidRPr="00E63D2A">
        <w:rPr>
          <w:rStyle w:val="FootnoteReference"/>
          <w:rFonts w:ascii="Calibri" w:hAnsi="Calibri" w:cs="Calibri"/>
          <w:color w:val="000000" w:themeColor="text1"/>
          <w:szCs w:val="22"/>
        </w:rPr>
        <w:footnoteReference w:id="19"/>
      </w:r>
      <w:r w:rsidRPr="00E63D2A">
        <w:rPr>
          <w:rFonts w:ascii="Calibri" w:hAnsi="Calibri" w:cs="Calibri"/>
          <w:color w:val="000000" w:themeColor="text1"/>
          <w:szCs w:val="22"/>
        </w:rPr>
        <w:t xml:space="preserve">  which calls </w:t>
      </w:r>
      <w:r w:rsidRPr="00E63D2A">
        <w:rPr>
          <w:rFonts w:ascii="Calibri" w:hAnsi="Calibri" w:cs="Calibri"/>
          <w:bCs/>
          <w:color w:val="000000" w:themeColor="text1"/>
          <w:szCs w:val="22"/>
          <w:lang w:val="en"/>
        </w:rPr>
        <w:t>on the European Commission to facilitate cross-border access, including via the update of interpretative communications on the cross-border provision of services and further</w:t>
      </w:r>
      <w:r w:rsidRPr="00DB631C">
        <w:rPr>
          <w:rFonts w:ascii="Calibri" w:hAnsi="Calibri" w:cs="Calibri"/>
          <w:bCs/>
          <w:color w:val="000000" w:themeColor="text1"/>
          <w:szCs w:val="22"/>
        </w:rPr>
        <w:t xml:space="preserve"> harmonisation</w:t>
      </w:r>
      <w:r w:rsidRPr="00E63D2A">
        <w:rPr>
          <w:rFonts w:ascii="Calibri" w:hAnsi="Calibri" w:cs="Calibri"/>
          <w:bCs/>
          <w:color w:val="000000" w:themeColor="text1"/>
          <w:szCs w:val="22"/>
          <w:lang w:val="en"/>
        </w:rPr>
        <w:t xml:space="preserve"> of consumer protection, conduct of business and AML/CFT requirements;</w:t>
      </w:r>
    </w:p>
    <w:p w14:paraId="05A97089" w14:textId="77777777" w:rsidR="00434393" w:rsidRPr="00E63D2A" w:rsidRDefault="00434393" w:rsidP="00434393">
      <w:pPr>
        <w:pStyle w:val="ListParagraph"/>
        <w:spacing w:after="200"/>
        <w:ind w:left="720"/>
        <w:contextualSpacing/>
        <w:rPr>
          <w:rFonts w:ascii="Calibri" w:hAnsi="Calibri" w:cs="Calibri"/>
          <w:color w:val="000000" w:themeColor="text1"/>
          <w:szCs w:val="22"/>
        </w:rPr>
      </w:pPr>
    </w:p>
    <w:p w14:paraId="08FC3101" w14:textId="7318005D" w:rsidR="003E3122" w:rsidRPr="00434393" w:rsidRDefault="003E3122" w:rsidP="00E63D2A">
      <w:pPr>
        <w:pStyle w:val="ListParagraph"/>
        <w:numPr>
          <w:ilvl w:val="0"/>
          <w:numId w:val="25"/>
        </w:numPr>
        <w:spacing w:after="200"/>
        <w:contextualSpacing/>
        <w:rPr>
          <w:rFonts w:ascii="Calibri" w:hAnsi="Calibri" w:cs="Calibri"/>
          <w:color w:val="000000" w:themeColor="text1"/>
          <w:szCs w:val="22"/>
        </w:rPr>
      </w:pPr>
      <w:r w:rsidRPr="00E63D2A">
        <w:rPr>
          <w:rFonts w:ascii="Calibri" w:hAnsi="Calibri" w:cs="Calibri"/>
          <w:color w:val="000000" w:themeColor="text1"/>
          <w:szCs w:val="22"/>
        </w:rPr>
        <w:t xml:space="preserve">the ESA report on the </w:t>
      </w:r>
      <w:r w:rsidRPr="00E63D2A">
        <w:rPr>
          <w:rFonts w:ascii="Calibri" w:hAnsi="Calibri" w:cs="Calibri"/>
          <w:szCs w:val="22"/>
        </w:rPr>
        <w:t>cross-border supervision of retail financial</w:t>
      </w:r>
      <w:r w:rsidR="006E5452">
        <w:rPr>
          <w:rFonts w:ascii="Calibri" w:hAnsi="Calibri" w:cs="Calibri"/>
          <w:szCs w:val="22"/>
        </w:rPr>
        <w:t xml:space="preserve"> products,</w:t>
      </w:r>
      <w:r w:rsidRPr="00E63D2A">
        <w:rPr>
          <w:rStyle w:val="FootnoteReference"/>
          <w:rFonts w:ascii="Calibri" w:hAnsi="Calibri" w:cs="Calibri"/>
          <w:szCs w:val="22"/>
        </w:rPr>
        <w:footnoteReference w:id="20"/>
      </w:r>
      <w:r w:rsidRPr="00E63D2A">
        <w:rPr>
          <w:rFonts w:ascii="Calibri" w:hAnsi="Calibri" w:cs="Calibri"/>
          <w:szCs w:val="22"/>
        </w:rPr>
        <w:t xml:space="preserve"> which calls on the EU co-legislators to consider reinforcing the harmonisation of Level 1 provisions governing the marketing and sale of services and products, especially in the banking sector, and to provide more clarity on when activities carried out through digital means fall under passporting, due to the lack of definition of cross-border provision of financial services;</w:t>
      </w:r>
    </w:p>
    <w:p w14:paraId="7AD2DB74" w14:textId="2E849952" w:rsidR="00434393" w:rsidRPr="00434393" w:rsidRDefault="00434393" w:rsidP="00434393">
      <w:pPr>
        <w:pStyle w:val="ListParagraph"/>
        <w:spacing w:after="0"/>
        <w:rPr>
          <w:rFonts w:ascii="Calibri" w:hAnsi="Calibri" w:cs="Calibri"/>
          <w:color w:val="000000" w:themeColor="text1"/>
          <w:szCs w:val="22"/>
        </w:rPr>
      </w:pPr>
    </w:p>
    <w:p w14:paraId="4DF0B85F" w14:textId="42C538F3" w:rsidR="003E3122" w:rsidRPr="00E63D2A" w:rsidRDefault="003E3122" w:rsidP="00E63D2A">
      <w:pPr>
        <w:pStyle w:val="ListParagraph"/>
        <w:numPr>
          <w:ilvl w:val="0"/>
          <w:numId w:val="25"/>
        </w:numPr>
        <w:spacing w:after="200"/>
        <w:contextualSpacing/>
        <w:rPr>
          <w:rFonts w:ascii="Calibri" w:hAnsi="Calibri" w:cs="Calibri"/>
          <w:color w:val="000000" w:themeColor="text1"/>
          <w:szCs w:val="22"/>
        </w:rPr>
      </w:pPr>
      <w:r w:rsidRPr="00E63D2A">
        <w:rPr>
          <w:rFonts w:ascii="Calibri" w:hAnsi="Calibri" w:cs="Calibri"/>
          <w:szCs w:val="22"/>
        </w:rPr>
        <w:t>the EBA Opinion on disclosure to consumers of banking services through digital means under Directive 2002/65/EC</w:t>
      </w:r>
      <w:r w:rsidR="00004524" w:rsidRPr="00E63D2A">
        <w:rPr>
          <w:rFonts w:ascii="Calibri" w:hAnsi="Calibri" w:cs="Calibri"/>
          <w:szCs w:val="22"/>
        </w:rPr>
        <w:t>,</w:t>
      </w:r>
      <w:r w:rsidRPr="00E63D2A">
        <w:rPr>
          <w:rStyle w:val="FootnoteReference"/>
          <w:rFonts w:ascii="Calibri" w:hAnsi="Calibri" w:cs="Calibri"/>
          <w:szCs w:val="22"/>
        </w:rPr>
        <w:footnoteReference w:id="21"/>
      </w:r>
      <w:r w:rsidRPr="00E63D2A">
        <w:rPr>
          <w:rFonts w:ascii="Calibri" w:hAnsi="Calibri" w:cs="Calibri"/>
          <w:szCs w:val="22"/>
        </w:rPr>
        <w:t xml:space="preserve"> which contains proposals for the revision of the mentioned Directive regulating the distance marketing of consumer financial services, aimed at harmonising disclosure requirements for the marketing and provision of financial services via digital channels and hence facilitating the operation of the single market.</w:t>
      </w:r>
    </w:p>
    <w:p w14:paraId="26DDF984" w14:textId="394F784E" w:rsidR="003E3122" w:rsidRPr="00E63D2A" w:rsidRDefault="003E3122" w:rsidP="00E63D2A">
      <w:pPr>
        <w:spacing w:line="276" w:lineRule="auto"/>
        <w:jc w:val="both"/>
        <w:rPr>
          <w:rFonts w:ascii="Calibri" w:hAnsi="Calibri" w:cs="Calibri"/>
          <w:color w:val="000000" w:themeColor="text1"/>
          <w:sz w:val="22"/>
          <w:szCs w:val="22"/>
        </w:rPr>
      </w:pPr>
      <w:r w:rsidRPr="00E63D2A">
        <w:rPr>
          <w:rFonts w:ascii="Calibri" w:hAnsi="Calibri" w:cs="Calibri"/>
          <w:bCs/>
          <w:color w:val="000000" w:themeColor="text1"/>
          <w:sz w:val="22"/>
          <w:szCs w:val="22"/>
          <w:lang w:val="en"/>
        </w:rPr>
        <w:t>For completeness, the EBA also refers to its report on crypto-assets</w:t>
      </w:r>
      <w:r w:rsidR="006E5452">
        <w:rPr>
          <w:rFonts w:ascii="Calibri" w:hAnsi="Calibri" w:cs="Calibri"/>
          <w:bCs/>
          <w:color w:val="000000" w:themeColor="text1"/>
          <w:sz w:val="22"/>
          <w:szCs w:val="22"/>
          <w:lang w:val="en"/>
        </w:rPr>
        <w:t>,</w:t>
      </w:r>
      <w:r w:rsidRPr="00E63D2A">
        <w:rPr>
          <w:rStyle w:val="FootnoteReference"/>
          <w:rFonts w:ascii="Calibri" w:hAnsi="Calibri" w:cs="Calibri"/>
          <w:bCs/>
          <w:color w:val="000000" w:themeColor="text1"/>
          <w:sz w:val="22"/>
          <w:szCs w:val="22"/>
          <w:lang w:val="en"/>
        </w:rPr>
        <w:footnoteReference w:id="22"/>
      </w:r>
      <w:r w:rsidRPr="00E63D2A">
        <w:rPr>
          <w:rFonts w:ascii="Calibri" w:hAnsi="Calibri" w:cs="Calibri"/>
          <w:bCs/>
          <w:color w:val="000000" w:themeColor="text1"/>
          <w:sz w:val="22"/>
          <w:szCs w:val="22"/>
          <w:lang w:val="en"/>
        </w:rPr>
        <w:t xml:space="preserve"> as well as its response to the European Commission’s consultation on digital operational resilience (in particular on third party providers’ framework)</w:t>
      </w:r>
      <w:r w:rsidR="00434393">
        <w:rPr>
          <w:rFonts w:ascii="Calibri" w:hAnsi="Calibri" w:cs="Calibri"/>
          <w:bCs/>
          <w:color w:val="000000" w:themeColor="text1"/>
          <w:sz w:val="22"/>
          <w:szCs w:val="22"/>
          <w:lang w:val="en"/>
        </w:rPr>
        <w:t>,</w:t>
      </w:r>
      <w:r w:rsidR="008F702C">
        <w:rPr>
          <w:rFonts w:ascii="Calibri" w:hAnsi="Calibri" w:cs="Calibri"/>
          <w:bCs/>
          <w:color w:val="000000" w:themeColor="text1"/>
          <w:sz w:val="22"/>
          <w:szCs w:val="22"/>
          <w:lang w:val="en"/>
        </w:rPr>
        <w:t xml:space="preserve"> and the ESA Joint Advice</w:t>
      </w:r>
      <w:r w:rsidR="008F702C">
        <w:rPr>
          <w:rStyle w:val="FootnoteReference"/>
          <w:rFonts w:ascii="Calibri" w:hAnsi="Calibri" w:cs="Calibri"/>
          <w:bCs/>
          <w:color w:val="000000" w:themeColor="text1"/>
          <w:sz w:val="22"/>
          <w:szCs w:val="22"/>
          <w:lang w:val="en"/>
        </w:rPr>
        <w:footnoteReference w:id="23"/>
      </w:r>
      <w:r w:rsidR="008F702C">
        <w:rPr>
          <w:rFonts w:ascii="Calibri" w:hAnsi="Calibri" w:cs="Calibri"/>
          <w:bCs/>
          <w:color w:val="000000" w:themeColor="text1"/>
          <w:sz w:val="22"/>
          <w:szCs w:val="22"/>
          <w:lang w:val="en"/>
        </w:rPr>
        <w:t xml:space="preserve"> on ICT risk management and cyber resilience</w:t>
      </w:r>
      <w:r w:rsidR="005E6FA1">
        <w:rPr>
          <w:rFonts w:ascii="Calibri" w:hAnsi="Calibri" w:cs="Calibri"/>
          <w:bCs/>
          <w:color w:val="000000" w:themeColor="text1"/>
          <w:sz w:val="22"/>
          <w:szCs w:val="22"/>
          <w:lang w:val="en"/>
        </w:rPr>
        <w:t xml:space="preserve"> pointing to the need for the development of a common cyber incident reporting framework</w:t>
      </w:r>
      <w:r w:rsidRPr="00E63D2A">
        <w:rPr>
          <w:rFonts w:ascii="Calibri" w:hAnsi="Calibri" w:cs="Calibri"/>
          <w:bCs/>
          <w:color w:val="000000" w:themeColor="text1"/>
          <w:sz w:val="22"/>
          <w:szCs w:val="22"/>
          <w:lang w:val="en"/>
        </w:rPr>
        <w:t>, albeit these topics do not fall within the direct scope of the consultation.</w:t>
      </w:r>
    </w:p>
    <w:p w14:paraId="79DA3E1F" w14:textId="77777777" w:rsidR="00E63D2A" w:rsidRDefault="00E63D2A" w:rsidP="00E63D2A">
      <w:pPr>
        <w:spacing w:line="276" w:lineRule="auto"/>
        <w:jc w:val="both"/>
        <w:rPr>
          <w:rFonts w:ascii="Calibri" w:hAnsi="Calibri" w:cs="Calibri"/>
          <w:bCs/>
          <w:color w:val="000000" w:themeColor="text1"/>
          <w:sz w:val="22"/>
          <w:szCs w:val="22"/>
        </w:rPr>
      </w:pPr>
    </w:p>
    <w:p w14:paraId="2745CAD0" w14:textId="07BF7284" w:rsidR="00AF7985" w:rsidRDefault="003E3122" w:rsidP="00A61306">
      <w:pPr>
        <w:spacing w:line="276" w:lineRule="auto"/>
        <w:jc w:val="both"/>
        <w:rPr>
          <w:rFonts w:ascii="Calibri" w:hAnsi="Calibri" w:cs="Calibri"/>
          <w:bCs/>
          <w:color w:val="000000" w:themeColor="text1"/>
          <w:sz w:val="22"/>
          <w:szCs w:val="22"/>
          <w:lang w:val="en"/>
        </w:rPr>
      </w:pPr>
      <w:r w:rsidRPr="00E63D2A">
        <w:rPr>
          <w:rFonts w:ascii="Calibri" w:hAnsi="Calibri" w:cs="Calibri"/>
          <w:bCs/>
          <w:color w:val="000000" w:themeColor="text1"/>
          <w:sz w:val="22"/>
          <w:szCs w:val="22"/>
        </w:rPr>
        <w:t xml:space="preserve">Furthermore, the EBA underlines the importance of an improved, </w:t>
      </w:r>
      <w:r w:rsidR="00434393">
        <w:rPr>
          <w:rFonts w:ascii="Calibri" w:hAnsi="Calibri" w:cs="Calibri"/>
          <w:bCs/>
          <w:color w:val="000000" w:themeColor="text1"/>
          <w:sz w:val="22"/>
          <w:szCs w:val="22"/>
          <w:lang w:val="en"/>
        </w:rPr>
        <w:t>at national and European level</w:t>
      </w:r>
      <w:r w:rsidRPr="00E63D2A">
        <w:rPr>
          <w:rFonts w:ascii="Calibri" w:hAnsi="Calibri" w:cs="Calibri"/>
          <w:bCs/>
          <w:color w:val="000000" w:themeColor="text1"/>
          <w:sz w:val="22"/>
          <w:szCs w:val="22"/>
          <w:lang w:val="en"/>
        </w:rPr>
        <w:t xml:space="preserve">, dialogue between </w:t>
      </w:r>
      <w:r w:rsidR="00F74FFC">
        <w:rPr>
          <w:rFonts w:ascii="Calibri" w:hAnsi="Calibri" w:cs="Calibri"/>
          <w:bCs/>
          <w:color w:val="000000" w:themeColor="text1"/>
          <w:sz w:val="22"/>
          <w:szCs w:val="22"/>
          <w:lang w:val="en"/>
        </w:rPr>
        <w:t>consumer protection</w:t>
      </w:r>
      <w:r w:rsidR="009E32A1">
        <w:rPr>
          <w:rFonts w:ascii="Calibri" w:hAnsi="Calibri" w:cs="Calibri"/>
          <w:bCs/>
          <w:color w:val="000000" w:themeColor="text1"/>
          <w:sz w:val="22"/>
          <w:szCs w:val="22"/>
          <w:lang w:val="en"/>
        </w:rPr>
        <w:t>,</w:t>
      </w:r>
      <w:r w:rsidRPr="00E63D2A">
        <w:rPr>
          <w:rFonts w:ascii="Calibri" w:hAnsi="Calibri" w:cs="Calibri"/>
          <w:bCs/>
          <w:color w:val="000000" w:themeColor="text1"/>
          <w:sz w:val="22"/>
          <w:szCs w:val="22"/>
          <w:lang w:val="en"/>
        </w:rPr>
        <w:t xml:space="preserve"> prudential supervis</w:t>
      </w:r>
      <w:r w:rsidR="009E32A1">
        <w:rPr>
          <w:rFonts w:ascii="Calibri" w:hAnsi="Calibri" w:cs="Calibri"/>
          <w:bCs/>
          <w:color w:val="000000" w:themeColor="text1"/>
          <w:sz w:val="22"/>
          <w:szCs w:val="22"/>
          <w:lang w:val="en"/>
        </w:rPr>
        <w:t>ion</w:t>
      </w:r>
      <w:r w:rsidRPr="00E63D2A">
        <w:rPr>
          <w:rFonts w:ascii="Calibri" w:hAnsi="Calibri" w:cs="Calibri"/>
          <w:bCs/>
          <w:color w:val="000000" w:themeColor="text1"/>
          <w:sz w:val="22"/>
          <w:szCs w:val="22"/>
          <w:lang w:val="en"/>
        </w:rPr>
        <w:t xml:space="preserve"> and data protection authorities to assess the potential opportunities that may arise for the financial system from the GDPR, including </w:t>
      </w:r>
      <w:r w:rsidRPr="00E63D2A">
        <w:rPr>
          <w:rFonts w:ascii="Calibri" w:hAnsi="Calibri" w:cs="Calibri"/>
          <w:color w:val="000000" w:themeColor="text1"/>
          <w:sz w:val="22"/>
          <w:szCs w:val="22"/>
        </w:rPr>
        <w:t xml:space="preserve">the provision of targeted </w:t>
      </w:r>
      <w:r w:rsidRPr="00E63D2A">
        <w:rPr>
          <w:rFonts w:ascii="Calibri" w:hAnsi="Calibri" w:cs="Calibri"/>
          <w:bCs/>
          <w:color w:val="000000" w:themeColor="text1"/>
          <w:sz w:val="22"/>
          <w:szCs w:val="22"/>
          <w:lang w:val="en"/>
        </w:rPr>
        <w:t>guidance to the industry on the application of data protection rules and principles in the financial sector.</w:t>
      </w:r>
    </w:p>
    <w:p w14:paraId="7642EE8D" w14:textId="7A8A5306" w:rsidR="0061206B" w:rsidRDefault="0061206B" w:rsidP="00A61306">
      <w:pPr>
        <w:spacing w:line="276" w:lineRule="auto"/>
        <w:jc w:val="both"/>
        <w:rPr>
          <w:rFonts w:ascii="Calibri" w:hAnsi="Calibri" w:cs="Calibri"/>
          <w:sz w:val="22"/>
          <w:szCs w:val="22"/>
        </w:rPr>
      </w:pPr>
    </w:p>
    <w:p w14:paraId="27A00A50" w14:textId="33CD5679" w:rsidR="0061206B" w:rsidRPr="00E63D2A" w:rsidRDefault="0061206B" w:rsidP="00A61306">
      <w:pPr>
        <w:spacing w:line="276" w:lineRule="auto"/>
        <w:jc w:val="both"/>
        <w:rPr>
          <w:rFonts w:ascii="Calibri" w:hAnsi="Calibri" w:cs="Calibri"/>
          <w:sz w:val="22"/>
          <w:szCs w:val="22"/>
        </w:rPr>
      </w:pPr>
      <w:r>
        <w:rPr>
          <w:rFonts w:ascii="Calibri" w:hAnsi="Calibri" w:cs="Calibri"/>
          <w:bCs/>
          <w:color w:val="000000" w:themeColor="text1"/>
          <w:sz w:val="22"/>
          <w:szCs w:val="22"/>
          <w:lang w:val="en"/>
        </w:rPr>
        <w:t>The EBA also places an emphasis on digital financial literacy (see</w:t>
      </w:r>
      <w:r w:rsidR="009B155E">
        <w:rPr>
          <w:rFonts w:ascii="Calibri" w:hAnsi="Calibri" w:cs="Calibri"/>
          <w:bCs/>
          <w:color w:val="000000" w:themeColor="text1"/>
          <w:sz w:val="22"/>
          <w:szCs w:val="22"/>
          <w:lang w:val="en"/>
        </w:rPr>
        <w:t xml:space="preserve"> further</w:t>
      </w:r>
      <w:r>
        <w:rPr>
          <w:rFonts w:ascii="Calibri" w:hAnsi="Calibri" w:cs="Calibri"/>
          <w:bCs/>
          <w:color w:val="000000" w:themeColor="text1"/>
          <w:sz w:val="22"/>
          <w:szCs w:val="22"/>
          <w:lang w:val="en"/>
        </w:rPr>
        <w:t xml:space="preserve"> the </w:t>
      </w:r>
      <w:r w:rsidR="009B155E">
        <w:rPr>
          <w:rFonts w:ascii="Calibri" w:hAnsi="Calibri" w:cs="Calibri"/>
          <w:bCs/>
          <w:color w:val="000000" w:themeColor="text1"/>
          <w:sz w:val="22"/>
          <w:szCs w:val="22"/>
          <w:lang w:val="en"/>
        </w:rPr>
        <w:t xml:space="preserve">EBA’s </w:t>
      </w:r>
      <w:r>
        <w:rPr>
          <w:rFonts w:ascii="Calibri" w:hAnsi="Calibri" w:cs="Calibri"/>
          <w:bCs/>
          <w:color w:val="000000" w:themeColor="text1"/>
          <w:sz w:val="22"/>
          <w:szCs w:val="22"/>
          <w:lang w:val="en"/>
        </w:rPr>
        <w:t>response to Question</w:t>
      </w:r>
      <w:r w:rsidR="009B155E">
        <w:rPr>
          <w:rFonts w:ascii="Calibri" w:hAnsi="Calibri" w:cs="Calibri"/>
          <w:bCs/>
          <w:color w:val="000000" w:themeColor="text1"/>
          <w:sz w:val="22"/>
          <w:szCs w:val="22"/>
          <w:lang w:val="en"/>
        </w:rPr>
        <w:t>s</w:t>
      </w:r>
      <w:r>
        <w:rPr>
          <w:rFonts w:ascii="Calibri" w:hAnsi="Calibri" w:cs="Calibri"/>
          <w:bCs/>
          <w:color w:val="000000" w:themeColor="text1"/>
          <w:sz w:val="22"/>
          <w:szCs w:val="22"/>
          <w:lang w:val="en"/>
        </w:rPr>
        <w:t xml:space="preserve"> </w:t>
      </w:r>
      <w:r w:rsidR="009B155E">
        <w:rPr>
          <w:rFonts w:ascii="Calibri" w:hAnsi="Calibri" w:cs="Calibri"/>
          <w:bCs/>
          <w:color w:val="000000" w:themeColor="text1"/>
          <w:sz w:val="22"/>
          <w:szCs w:val="22"/>
          <w:lang w:val="en"/>
        </w:rPr>
        <w:t>24 and 25</w:t>
      </w:r>
      <w:r>
        <w:rPr>
          <w:rFonts w:ascii="Calibri" w:hAnsi="Calibri" w:cs="Calibri"/>
          <w:bCs/>
          <w:color w:val="000000" w:themeColor="text1"/>
          <w:sz w:val="22"/>
          <w:szCs w:val="22"/>
          <w:lang w:val="en"/>
        </w:rPr>
        <w:t>).</w:t>
      </w:r>
    </w:p>
    <w:p w14:paraId="11C62E9F" w14:textId="7E684C18" w:rsidR="00AF7985" w:rsidRDefault="00AF7985" w:rsidP="00EE467B">
      <w:pPr>
        <w:jc w:val="both"/>
        <w:rPr>
          <w:rFonts w:ascii="Calibri" w:hAnsi="Calibri" w:cs="Calibri"/>
          <w:b/>
        </w:rPr>
      </w:pPr>
    </w:p>
    <w:p w14:paraId="35CE14D4" w14:textId="77777777" w:rsidR="00AD338F" w:rsidRDefault="00AD338F" w:rsidP="00AD338F">
      <w:pPr>
        <w:jc w:val="both"/>
        <w:rPr>
          <w:rFonts w:ascii="Calibri" w:hAnsi="Calibri" w:cs="Calibri"/>
          <w:b/>
        </w:rPr>
      </w:pPr>
      <w:r>
        <w:rPr>
          <w:rFonts w:ascii="Calibri" w:hAnsi="Calibri" w:cs="Calibri"/>
          <w:b/>
        </w:rPr>
        <w:lastRenderedPageBreak/>
        <w:t>Question 16. What should be done at EU level to facilitate interoperable cross-border solutions or digital onboarding?</w:t>
      </w:r>
    </w:p>
    <w:p w14:paraId="3B461316" w14:textId="77777777" w:rsidR="00AD338F" w:rsidRDefault="00AD338F" w:rsidP="00AD338F">
      <w:pPr>
        <w:jc w:val="both"/>
        <w:rPr>
          <w:rFonts w:ascii="Calibri" w:hAnsi="Calibri" w:cs="Calibri"/>
          <w:b/>
        </w:rPr>
      </w:pPr>
    </w:p>
    <w:p w14:paraId="24FBD7C7" w14:textId="56B62D64" w:rsidR="00AD338F" w:rsidRDefault="00AD338F" w:rsidP="00AD338F">
      <w:pPr>
        <w:jc w:val="both"/>
      </w:pPr>
      <w:r>
        <w:rPr>
          <w:rFonts w:ascii="Calibri" w:hAnsi="Calibri" w:cs="Calibri"/>
          <w:b/>
        </w:rPr>
        <w:t>Please rate each proposal from 1 to 5:</w:t>
      </w:r>
      <w:r>
        <w:rPr>
          <w:spacing w:val="21"/>
        </w:rPr>
        <w:t xml:space="preserve"> </w:t>
      </w:r>
    </w:p>
    <w:p w14:paraId="25F833BD" w14:textId="3ED2EAA1" w:rsidR="00AD338F" w:rsidRDefault="00AD338F" w:rsidP="00AD338F">
      <w:pPr>
        <w:jc w:val="both"/>
      </w:pPr>
    </w:p>
    <w:tbl>
      <w:tblPr>
        <w:tblW w:w="8234" w:type="dxa"/>
        <w:tblInd w:w="49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687"/>
        <w:gridCol w:w="1115"/>
        <w:gridCol w:w="968"/>
        <w:gridCol w:w="940"/>
        <w:gridCol w:w="968"/>
        <w:gridCol w:w="968"/>
        <w:gridCol w:w="588"/>
      </w:tblGrid>
      <w:tr w:rsidR="00782D94" w14:paraId="0822FAE7" w14:textId="77777777" w:rsidTr="00782D94">
        <w:trPr>
          <w:trHeight w:val="1583"/>
        </w:trPr>
        <w:tc>
          <w:tcPr>
            <w:tcW w:w="2687" w:type="dxa"/>
            <w:tcBorders>
              <w:top w:val="single" w:sz="12" w:space="0" w:color="BABABA"/>
              <w:left w:val="single" w:sz="12" w:space="0" w:color="BABABA"/>
              <w:bottom w:val="single" w:sz="12" w:space="0" w:color="BABABA"/>
              <w:right w:val="single" w:sz="12" w:space="0" w:color="BABABA"/>
            </w:tcBorders>
          </w:tcPr>
          <w:p w14:paraId="0A3D56B6" w14:textId="77777777" w:rsidR="00782D94" w:rsidRPr="00FC148F" w:rsidRDefault="00782D94" w:rsidP="004C033C">
            <w:pPr>
              <w:pStyle w:val="TableParagraph"/>
              <w:spacing w:line="269" w:lineRule="exact"/>
              <w:ind w:left="185"/>
              <w:jc w:val="center"/>
              <w:rPr>
                <w:w w:val="105"/>
                <w:sz w:val="16"/>
                <w:szCs w:val="16"/>
              </w:rPr>
            </w:pPr>
          </w:p>
        </w:tc>
        <w:tc>
          <w:tcPr>
            <w:tcW w:w="1115" w:type="dxa"/>
            <w:tcBorders>
              <w:top w:val="single" w:sz="12" w:space="0" w:color="BABABA"/>
              <w:left w:val="single" w:sz="12" w:space="0" w:color="BABABA"/>
              <w:bottom w:val="single" w:sz="12" w:space="0" w:color="BABABA"/>
              <w:right w:val="single" w:sz="12" w:space="0" w:color="BABABA"/>
            </w:tcBorders>
          </w:tcPr>
          <w:p w14:paraId="6E34374A" w14:textId="77777777" w:rsidR="00782D94" w:rsidRPr="00FC148F" w:rsidRDefault="00782D94" w:rsidP="004C033C">
            <w:pPr>
              <w:pStyle w:val="TableParagraph"/>
              <w:jc w:val="center"/>
              <w:rPr>
                <w:rFonts w:ascii="Arial"/>
                <w:sz w:val="16"/>
                <w:szCs w:val="16"/>
              </w:rPr>
            </w:pPr>
            <w:r w:rsidRPr="00FC148F">
              <w:rPr>
                <w:rFonts w:ascii="Arial"/>
                <w:sz w:val="16"/>
                <w:szCs w:val="16"/>
              </w:rPr>
              <w:t>1</w:t>
            </w:r>
          </w:p>
          <w:p w14:paraId="643A1468" w14:textId="77777777" w:rsidR="00782D94" w:rsidRPr="00FC148F" w:rsidRDefault="00782D94" w:rsidP="004C033C">
            <w:pPr>
              <w:pStyle w:val="TableParagraph"/>
              <w:jc w:val="center"/>
              <w:rPr>
                <w:rFonts w:ascii="Arial"/>
                <w:sz w:val="16"/>
                <w:szCs w:val="16"/>
              </w:rPr>
            </w:pPr>
            <w:r w:rsidRPr="00FC148F">
              <w:rPr>
                <w:rFonts w:ascii="Arial"/>
                <w:sz w:val="16"/>
                <w:szCs w:val="16"/>
              </w:rPr>
              <w:t>(irrelevant)</w:t>
            </w:r>
          </w:p>
        </w:tc>
        <w:tc>
          <w:tcPr>
            <w:tcW w:w="968" w:type="dxa"/>
            <w:tcBorders>
              <w:top w:val="single" w:sz="12" w:space="0" w:color="BABABA"/>
              <w:left w:val="single" w:sz="12" w:space="0" w:color="BABABA"/>
              <w:bottom w:val="single" w:sz="12" w:space="0" w:color="BABABA"/>
              <w:right w:val="single" w:sz="12" w:space="0" w:color="BABABA"/>
            </w:tcBorders>
          </w:tcPr>
          <w:p w14:paraId="232DC3CF" w14:textId="77777777" w:rsidR="00782D94" w:rsidRPr="00FC148F" w:rsidRDefault="00782D94" w:rsidP="004C033C">
            <w:pPr>
              <w:pStyle w:val="TableParagraph"/>
              <w:jc w:val="center"/>
              <w:rPr>
                <w:rFonts w:ascii="Arial"/>
                <w:sz w:val="16"/>
                <w:szCs w:val="16"/>
              </w:rPr>
            </w:pPr>
            <w:r w:rsidRPr="00FC148F">
              <w:rPr>
                <w:rFonts w:ascii="Arial"/>
                <w:sz w:val="16"/>
                <w:szCs w:val="16"/>
              </w:rPr>
              <w:t>2</w:t>
            </w:r>
          </w:p>
          <w:p w14:paraId="2DBD9080" w14:textId="77777777" w:rsidR="00782D94" w:rsidRPr="00FC148F" w:rsidRDefault="00782D94" w:rsidP="004C033C">
            <w:pPr>
              <w:pStyle w:val="TableParagraph"/>
              <w:jc w:val="center"/>
              <w:rPr>
                <w:rFonts w:ascii="Arial"/>
                <w:sz w:val="16"/>
                <w:szCs w:val="16"/>
              </w:rPr>
            </w:pPr>
            <w:r w:rsidRPr="00FC148F">
              <w:rPr>
                <w:rFonts w:ascii="Arial"/>
                <w:sz w:val="16"/>
                <w:szCs w:val="16"/>
              </w:rPr>
              <w:t>(rather not relevant)</w:t>
            </w:r>
          </w:p>
        </w:tc>
        <w:tc>
          <w:tcPr>
            <w:tcW w:w="940" w:type="dxa"/>
            <w:tcBorders>
              <w:top w:val="single" w:sz="12" w:space="0" w:color="BABABA"/>
              <w:left w:val="single" w:sz="12" w:space="0" w:color="BABABA"/>
              <w:bottom w:val="single" w:sz="12" w:space="0" w:color="BABABA"/>
              <w:right w:val="single" w:sz="12" w:space="0" w:color="BABABA"/>
            </w:tcBorders>
          </w:tcPr>
          <w:p w14:paraId="5C5D5018" w14:textId="77777777" w:rsidR="00782D94" w:rsidRPr="00FC148F" w:rsidRDefault="00782D94" w:rsidP="004C033C">
            <w:pPr>
              <w:pStyle w:val="TableParagraph"/>
              <w:jc w:val="center"/>
              <w:rPr>
                <w:rFonts w:ascii="Arial"/>
                <w:sz w:val="16"/>
                <w:szCs w:val="16"/>
              </w:rPr>
            </w:pPr>
            <w:r w:rsidRPr="00FC148F">
              <w:rPr>
                <w:rFonts w:ascii="Arial"/>
                <w:sz w:val="16"/>
                <w:szCs w:val="16"/>
              </w:rPr>
              <w:t>3</w:t>
            </w:r>
          </w:p>
          <w:p w14:paraId="02D6A182" w14:textId="77777777" w:rsidR="00782D94" w:rsidRPr="00FC148F" w:rsidRDefault="00782D94" w:rsidP="004C033C">
            <w:pPr>
              <w:pStyle w:val="TableParagraph"/>
              <w:jc w:val="center"/>
              <w:rPr>
                <w:rFonts w:ascii="Arial"/>
                <w:sz w:val="16"/>
                <w:szCs w:val="16"/>
              </w:rPr>
            </w:pPr>
            <w:r w:rsidRPr="00FC148F">
              <w:rPr>
                <w:rFonts w:ascii="Arial"/>
                <w:sz w:val="16"/>
                <w:szCs w:val="16"/>
              </w:rPr>
              <w:t>(neutral)</w:t>
            </w:r>
          </w:p>
        </w:tc>
        <w:tc>
          <w:tcPr>
            <w:tcW w:w="968" w:type="dxa"/>
            <w:tcBorders>
              <w:top w:val="single" w:sz="12" w:space="0" w:color="BABABA"/>
              <w:left w:val="single" w:sz="12" w:space="0" w:color="BABABA"/>
              <w:bottom w:val="single" w:sz="12" w:space="0" w:color="BABABA"/>
              <w:right w:val="single" w:sz="12" w:space="0" w:color="BABABA"/>
            </w:tcBorders>
          </w:tcPr>
          <w:p w14:paraId="7EFEA435" w14:textId="77777777" w:rsidR="00782D94" w:rsidRPr="00FC148F" w:rsidRDefault="00782D94" w:rsidP="004C033C">
            <w:pPr>
              <w:pStyle w:val="TableParagraph"/>
              <w:jc w:val="center"/>
              <w:rPr>
                <w:rFonts w:ascii="Arial"/>
                <w:sz w:val="16"/>
                <w:szCs w:val="16"/>
              </w:rPr>
            </w:pPr>
            <w:r w:rsidRPr="00FC148F">
              <w:rPr>
                <w:rFonts w:ascii="Arial"/>
                <w:sz w:val="16"/>
                <w:szCs w:val="16"/>
              </w:rPr>
              <w:t>4</w:t>
            </w:r>
          </w:p>
          <w:p w14:paraId="09EE7700" w14:textId="77777777" w:rsidR="00782D94" w:rsidRPr="00FC148F" w:rsidRDefault="00782D94" w:rsidP="004C033C">
            <w:pPr>
              <w:pStyle w:val="TableParagraph"/>
              <w:jc w:val="center"/>
              <w:rPr>
                <w:rFonts w:ascii="Arial"/>
                <w:sz w:val="16"/>
                <w:szCs w:val="16"/>
              </w:rPr>
            </w:pPr>
            <w:r w:rsidRPr="00FC148F">
              <w:rPr>
                <w:rFonts w:ascii="Arial"/>
                <w:sz w:val="16"/>
                <w:szCs w:val="16"/>
              </w:rPr>
              <w:t>(rather relevant)</w:t>
            </w:r>
          </w:p>
        </w:tc>
        <w:tc>
          <w:tcPr>
            <w:tcW w:w="968" w:type="dxa"/>
            <w:tcBorders>
              <w:top w:val="single" w:sz="12" w:space="0" w:color="BABABA"/>
              <w:left w:val="single" w:sz="12" w:space="0" w:color="BABABA"/>
              <w:bottom w:val="single" w:sz="12" w:space="0" w:color="BABABA"/>
              <w:right w:val="single" w:sz="12" w:space="0" w:color="BABABA"/>
            </w:tcBorders>
          </w:tcPr>
          <w:p w14:paraId="1C57FB37" w14:textId="77777777" w:rsidR="00782D94" w:rsidRPr="00FC148F" w:rsidRDefault="00782D94" w:rsidP="004C033C">
            <w:pPr>
              <w:pStyle w:val="TableParagraph"/>
              <w:jc w:val="center"/>
              <w:rPr>
                <w:rFonts w:ascii="Arial"/>
                <w:sz w:val="16"/>
                <w:szCs w:val="16"/>
              </w:rPr>
            </w:pPr>
            <w:r w:rsidRPr="00FC148F">
              <w:rPr>
                <w:rFonts w:ascii="Arial"/>
                <w:sz w:val="16"/>
                <w:szCs w:val="16"/>
              </w:rPr>
              <w:t>5</w:t>
            </w:r>
          </w:p>
          <w:p w14:paraId="764D3A01" w14:textId="77777777" w:rsidR="00782D94" w:rsidRPr="00FC148F" w:rsidRDefault="00782D94" w:rsidP="004C033C">
            <w:pPr>
              <w:pStyle w:val="TableParagraph"/>
              <w:jc w:val="center"/>
              <w:rPr>
                <w:rFonts w:ascii="Arial"/>
                <w:sz w:val="16"/>
                <w:szCs w:val="16"/>
              </w:rPr>
            </w:pPr>
            <w:r w:rsidRPr="00FC148F">
              <w:rPr>
                <w:rFonts w:ascii="Arial"/>
                <w:sz w:val="16"/>
                <w:szCs w:val="16"/>
              </w:rPr>
              <w:t>(fully relevant)</w:t>
            </w:r>
          </w:p>
        </w:tc>
        <w:tc>
          <w:tcPr>
            <w:tcW w:w="588" w:type="dxa"/>
            <w:tcBorders>
              <w:top w:val="single" w:sz="12" w:space="0" w:color="BABABA"/>
              <w:left w:val="single" w:sz="12" w:space="0" w:color="BABABA"/>
              <w:bottom w:val="single" w:sz="12" w:space="0" w:color="BABABA"/>
              <w:right w:val="single" w:sz="12" w:space="0" w:color="BABABA"/>
            </w:tcBorders>
          </w:tcPr>
          <w:p w14:paraId="0BB72E14" w14:textId="77777777" w:rsidR="00782D94" w:rsidRPr="00FC148F" w:rsidRDefault="00782D94" w:rsidP="004C033C">
            <w:pPr>
              <w:pStyle w:val="TableParagraph"/>
              <w:jc w:val="center"/>
              <w:rPr>
                <w:rFonts w:ascii="Arial"/>
                <w:sz w:val="16"/>
                <w:szCs w:val="16"/>
              </w:rPr>
            </w:pPr>
            <w:r w:rsidRPr="00FC148F">
              <w:rPr>
                <w:rFonts w:ascii="Arial"/>
                <w:sz w:val="16"/>
                <w:szCs w:val="16"/>
              </w:rPr>
              <w:t>N.</w:t>
            </w:r>
          </w:p>
          <w:p w14:paraId="0D6F7688" w14:textId="77777777" w:rsidR="00782D94" w:rsidRPr="00FC148F" w:rsidRDefault="00782D94" w:rsidP="004C033C">
            <w:pPr>
              <w:pStyle w:val="TableParagraph"/>
              <w:jc w:val="center"/>
              <w:rPr>
                <w:rFonts w:ascii="Arial"/>
                <w:sz w:val="16"/>
                <w:szCs w:val="16"/>
              </w:rPr>
            </w:pPr>
            <w:r w:rsidRPr="00FC148F">
              <w:rPr>
                <w:rFonts w:ascii="Arial"/>
                <w:sz w:val="16"/>
                <w:szCs w:val="16"/>
              </w:rPr>
              <w:t>A.</w:t>
            </w:r>
          </w:p>
        </w:tc>
      </w:tr>
      <w:tr w:rsidR="00782D94" w14:paraId="58872838" w14:textId="77777777" w:rsidTr="00782D94">
        <w:trPr>
          <w:trHeight w:val="1583"/>
        </w:trPr>
        <w:tc>
          <w:tcPr>
            <w:tcW w:w="2687" w:type="dxa"/>
            <w:tcBorders>
              <w:top w:val="nil"/>
              <w:left w:val="single" w:sz="12" w:space="0" w:color="BABABA"/>
              <w:bottom w:val="single" w:sz="12" w:space="0" w:color="BABABA"/>
              <w:right w:val="single" w:sz="12" w:space="0" w:color="BABABA"/>
            </w:tcBorders>
          </w:tcPr>
          <w:p w14:paraId="41002BF0" w14:textId="77777777" w:rsidR="00782D94" w:rsidRPr="00FC148F" w:rsidRDefault="00782D94" w:rsidP="004C033C">
            <w:pPr>
              <w:pStyle w:val="TableParagraph"/>
              <w:spacing w:line="269" w:lineRule="exact"/>
              <w:ind w:left="185"/>
              <w:rPr>
                <w:w w:val="105"/>
                <w:sz w:val="19"/>
              </w:rPr>
            </w:pPr>
            <w:r>
              <w:rPr>
                <w:w w:val="105"/>
                <w:sz w:val="19"/>
              </w:rPr>
              <w:t>Harmonise rules governing customer due diligence requirements in the Anti-Money Laundering legislation</w:t>
            </w:r>
          </w:p>
        </w:tc>
        <w:tc>
          <w:tcPr>
            <w:tcW w:w="1115" w:type="dxa"/>
            <w:tcBorders>
              <w:top w:val="nil"/>
              <w:left w:val="single" w:sz="12" w:space="0" w:color="BABABA"/>
              <w:bottom w:val="single" w:sz="12" w:space="0" w:color="BABABA"/>
              <w:right w:val="single" w:sz="12" w:space="0" w:color="BABABA"/>
            </w:tcBorders>
          </w:tcPr>
          <w:p w14:paraId="3EA25C9F" w14:textId="77777777" w:rsidR="00782D94" w:rsidRDefault="00782D94" w:rsidP="004C033C">
            <w:pPr>
              <w:pStyle w:val="TableParagraph"/>
              <w:jc w:val="center"/>
              <w:rPr>
                <w:rFonts w:ascii="Arial"/>
                <w:b/>
                <w:sz w:val="20"/>
              </w:rPr>
            </w:pPr>
          </w:p>
          <w:p w14:paraId="75C80FB5" w14:textId="77777777" w:rsidR="00782D94" w:rsidRDefault="00782D94" w:rsidP="004C033C">
            <w:pPr>
              <w:pStyle w:val="TableParagraph"/>
              <w:jc w:val="center"/>
              <w:rPr>
                <w:rFonts w:ascii="Arial"/>
                <w:b/>
                <w:sz w:val="20"/>
              </w:rPr>
            </w:pPr>
          </w:p>
          <w:p w14:paraId="170F8BB1" w14:textId="77777777" w:rsidR="00782D94" w:rsidRPr="00FC148F" w:rsidRDefault="00782D94" w:rsidP="004C033C">
            <w:pPr>
              <w:pStyle w:val="TableParagraph"/>
              <w:jc w:val="center"/>
              <w:rPr>
                <w:rFonts w:ascii="Arial"/>
                <w:b/>
                <w:sz w:val="20"/>
              </w:rPr>
            </w:pPr>
          </w:p>
          <w:p w14:paraId="4A6EBF5F"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40A19DF6" wp14:editId="1335CC6C">
                  <wp:extent cx="114300" cy="114300"/>
                  <wp:effectExtent l="0" t="0" r="0" b="0"/>
                  <wp:docPr id="14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15B07096" w14:textId="77777777" w:rsidR="00782D94" w:rsidRDefault="00782D94" w:rsidP="004C033C">
            <w:pPr>
              <w:pStyle w:val="TableParagraph"/>
              <w:jc w:val="center"/>
              <w:rPr>
                <w:rFonts w:ascii="Arial"/>
                <w:b/>
                <w:sz w:val="20"/>
              </w:rPr>
            </w:pPr>
          </w:p>
          <w:p w14:paraId="2CDBF280" w14:textId="77777777" w:rsidR="00782D94" w:rsidRDefault="00782D94" w:rsidP="004C033C">
            <w:pPr>
              <w:pStyle w:val="TableParagraph"/>
              <w:jc w:val="center"/>
              <w:rPr>
                <w:rFonts w:ascii="Arial"/>
                <w:b/>
                <w:sz w:val="20"/>
              </w:rPr>
            </w:pPr>
          </w:p>
          <w:p w14:paraId="0CF2E155" w14:textId="77777777" w:rsidR="00782D94" w:rsidRPr="00FC148F" w:rsidRDefault="00782D94" w:rsidP="004C033C">
            <w:pPr>
              <w:pStyle w:val="TableParagraph"/>
              <w:jc w:val="center"/>
              <w:rPr>
                <w:rFonts w:ascii="Arial"/>
                <w:b/>
                <w:sz w:val="20"/>
              </w:rPr>
            </w:pPr>
          </w:p>
          <w:p w14:paraId="5CBB42A2"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11F00DD9" wp14:editId="415003AA">
                  <wp:extent cx="114300" cy="114300"/>
                  <wp:effectExtent l="0" t="0" r="0" b="0"/>
                  <wp:docPr id="14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left w:val="single" w:sz="12" w:space="0" w:color="BABABA"/>
              <w:bottom w:val="single" w:sz="12" w:space="0" w:color="BABABA"/>
              <w:right w:val="single" w:sz="12" w:space="0" w:color="BABABA"/>
            </w:tcBorders>
          </w:tcPr>
          <w:p w14:paraId="16F82901" w14:textId="77777777" w:rsidR="00782D94" w:rsidRDefault="00782D94" w:rsidP="004C033C">
            <w:pPr>
              <w:pStyle w:val="TableParagraph"/>
              <w:jc w:val="center"/>
              <w:rPr>
                <w:rFonts w:ascii="Arial"/>
                <w:b/>
                <w:sz w:val="20"/>
              </w:rPr>
            </w:pPr>
          </w:p>
          <w:p w14:paraId="4949D145" w14:textId="77777777" w:rsidR="00782D94" w:rsidRDefault="00782D94" w:rsidP="004C033C">
            <w:pPr>
              <w:pStyle w:val="TableParagraph"/>
              <w:jc w:val="center"/>
              <w:rPr>
                <w:rFonts w:ascii="Arial"/>
                <w:b/>
                <w:sz w:val="20"/>
              </w:rPr>
            </w:pPr>
          </w:p>
          <w:p w14:paraId="2FEE2FF7" w14:textId="77777777" w:rsidR="00782D94" w:rsidRPr="00FC148F" w:rsidRDefault="00782D94" w:rsidP="004C033C">
            <w:pPr>
              <w:pStyle w:val="TableParagraph"/>
              <w:jc w:val="center"/>
              <w:rPr>
                <w:rFonts w:ascii="Arial"/>
                <w:b/>
                <w:sz w:val="20"/>
              </w:rPr>
            </w:pPr>
          </w:p>
          <w:p w14:paraId="5FB2DFC9"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35A975B0" wp14:editId="4114AE1D">
                  <wp:extent cx="114300" cy="114300"/>
                  <wp:effectExtent l="0" t="0" r="0" b="0"/>
                  <wp:docPr id="14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6C3FFFAD" w14:textId="77777777" w:rsidR="00782D94" w:rsidRDefault="00782D94" w:rsidP="004C033C">
            <w:pPr>
              <w:pStyle w:val="TableParagraph"/>
              <w:jc w:val="center"/>
              <w:rPr>
                <w:rFonts w:ascii="Arial"/>
                <w:b/>
                <w:sz w:val="20"/>
              </w:rPr>
            </w:pPr>
          </w:p>
          <w:p w14:paraId="6E4091FF" w14:textId="77777777" w:rsidR="00782D94" w:rsidRDefault="00782D94" w:rsidP="004C033C">
            <w:pPr>
              <w:pStyle w:val="TableParagraph"/>
              <w:jc w:val="center"/>
              <w:rPr>
                <w:rFonts w:ascii="Arial"/>
                <w:b/>
                <w:sz w:val="20"/>
              </w:rPr>
            </w:pPr>
          </w:p>
          <w:p w14:paraId="3E2DD11B" w14:textId="77777777" w:rsidR="00782D94" w:rsidRPr="00FC148F" w:rsidRDefault="00782D94" w:rsidP="004C033C">
            <w:pPr>
              <w:pStyle w:val="TableParagraph"/>
              <w:jc w:val="center"/>
              <w:rPr>
                <w:rFonts w:ascii="Arial"/>
                <w:b/>
                <w:sz w:val="20"/>
              </w:rPr>
            </w:pPr>
          </w:p>
          <w:p w14:paraId="7EBBE12E"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51686BD2" wp14:editId="2DFD3699">
                  <wp:extent cx="114300" cy="114300"/>
                  <wp:effectExtent l="0" t="0" r="0" b="0"/>
                  <wp:docPr id="14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08BAA2E4" w14:textId="77777777" w:rsidR="00782D94" w:rsidRDefault="00782D94" w:rsidP="004C033C">
            <w:pPr>
              <w:pStyle w:val="TableParagraph"/>
              <w:jc w:val="center"/>
              <w:rPr>
                <w:rFonts w:ascii="Arial"/>
                <w:b/>
                <w:sz w:val="20"/>
              </w:rPr>
            </w:pPr>
          </w:p>
          <w:p w14:paraId="7B07BDFF" w14:textId="77777777" w:rsidR="00782D94" w:rsidRDefault="00782D94" w:rsidP="004C033C">
            <w:pPr>
              <w:pStyle w:val="TableParagraph"/>
              <w:jc w:val="center"/>
              <w:rPr>
                <w:rFonts w:ascii="Arial"/>
                <w:b/>
                <w:sz w:val="20"/>
              </w:rPr>
            </w:pPr>
          </w:p>
          <w:p w14:paraId="7310D02D" w14:textId="77777777" w:rsidR="00782D94" w:rsidRPr="00FC148F" w:rsidRDefault="00782D94" w:rsidP="004C033C">
            <w:pPr>
              <w:pStyle w:val="TableParagraph"/>
              <w:jc w:val="center"/>
              <w:rPr>
                <w:rFonts w:ascii="Arial"/>
                <w:b/>
                <w:sz w:val="20"/>
              </w:rPr>
            </w:pPr>
          </w:p>
          <w:p w14:paraId="670F47F4" w14:textId="77777777" w:rsidR="00782D94" w:rsidRPr="00FC148F" w:rsidRDefault="00782D94" w:rsidP="004C033C">
            <w:pPr>
              <w:pStyle w:val="TableParagraph"/>
              <w:jc w:val="center"/>
              <w:rPr>
                <w:rFonts w:ascii="Arial"/>
                <w:sz w:val="20"/>
              </w:rPr>
            </w:pPr>
            <w:r w:rsidRPr="00FC148F">
              <w:rPr>
                <w:rFonts w:ascii="Arial"/>
                <w:sz w:val="20"/>
              </w:rPr>
              <w:t>X</w:t>
            </w:r>
          </w:p>
        </w:tc>
        <w:tc>
          <w:tcPr>
            <w:tcW w:w="588" w:type="dxa"/>
            <w:tcBorders>
              <w:top w:val="nil"/>
              <w:left w:val="single" w:sz="12" w:space="0" w:color="BABABA"/>
              <w:bottom w:val="single" w:sz="12" w:space="0" w:color="BABABA"/>
              <w:right w:val="single" w:sz="12" w:space="0" w:color="BABABA"/>
            </w:tcBorders>
          </w:tcPr>
          <w:p w14:paraId="50485459" w14:textId="77777777" w:rsidR="00782D94" w:rsidRDefault="00782D94" w:rsidP="004C033C">
            <w:pPr>
              <w:pStyle w:val="TableParagraph"/>
              <w:jc w:val="center"/>
              <w:rPr>
                <w:rFonts w:ascii="Arial"/>
                <w:b/>
                <w:sz w:val="20"/>
              </w:rPr>
            </w:pPr>
          </w:p>
          <w:p w14:paraId="01D8CC14" w14:textId="77777777" w:rsidR="00782D94" w:rsidRDefault="00782D94" w:rsidP="004C033C">
            <w:pPr>
              <w:pStyle w:val="TableParagraph"/>
              <w:jc w:val="center"/>
              <w:rPr>
                <w:rFonts w:ascii="Arial"/>
                <w:b/>
                <w:sz w:val="20"/>
              </w:rPr>
            </w:pPr>
          </w:p>
          <w:p w14:paraId="7519C466" w14:textId="77777777" w:rsidR="00782D94" w:rsidRPr="00FC148F" w:rsidRDefault="00782D94" w:rsidP="004C033C">
            <w:pPr>
              <w:pStyle w:val="TableParagraph"/>
              <w:jc w:val="center"/>
              <w:rPr>
                <w:rFonts w:ascii="Arial"/>
                <w:b/>
                <w:sz w:val="20"/>
              </w:rPr>
            </w:pPr>
          </w:p>
          <w:p w14:paraId="7890728B"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66246738" wp14:editId="1D98AECE">
                  <wp:extent cx="114300" cy="114300"/>
                  <wp:effectExtent l="0" t="0" r="0" b="0"/>
                  <wp:docPr id="14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7BB28BA9" w14:textId="77777777" w:rsidTr="00782D94">
        <w:trPr>
          <w:trHeight w:val="1583"/>
        </w:trPr>
        <w:tc>
          <w:tcPr>
            <w:tcW w:w="2687" w:type="dxa"/>
            <w:tcBorders>
              <w:top w:val="nil"/>
              <w:left w:val="single" w:sz="12" w:space="0" w:color="BABABA"/>
              <w:bottom w:val="single" w:sz="12" w:space="0" w:color="BABABA"/>
              <w:right w:val="single" w:sz="12" w:space="0" w:color="BABABA"/>
            </w:tcBorders>
          </w:tcPr>
          <w:p w14:paraId="541ED192" w14:textId="77777777" w:rsidR="00782D94" w:rsidRPr="00FC148F" w:rsidRDefault="00782D94" w:rsidP="004C033C">
            <w:pPr>
              <w:pStyle w:val="TableParagraph"/>
              <w:spacing w:line="269" w:lineRule="exact"/>
              <w:ind w:left="185"/>
              <w:rPr>
                <w:w w:val="105"/>
                <w:sz w:val="19"/>
              </w:rPr>
            </w:pPr>
            <w:r>
              <w:rPr>
                <w:w w:val="105"/>
                <w:sz w:val="19"/>
              </w:rPr>
              <w:t xml:space="preserve">Harmonise rules governing the </w:t>
            </w:r>
            <w:r w:rsidRPr="00FC148F">
              <w:rPr>
                <w:w w:val="105"/>
                <w:sz w:val="19"/>
              </w:rPr>
              <w:t>acceptable use of remote identification technologies and services</w:t>
            </w:r>
            <w:r>
              <w:rPr>
                <w:w w:val="105"/>
                <w:sz w:val="19"/>
              </w:rPr>
              <w:t xml:space="preserve"> in the Anti-Money Laundering legislation</w:t>
            </w:r>
          </w:p>
        </w:tc>
        <w:tc>
          <w:tcPr>
            <w:tcW w:w="1115" w:type="dxa"/>
            <w:tcBorders>
              <w:top w:val="nil"/>
              <w:left w:val="single" w:sz="12" w:space="0" w:color="BABABA"/>
              <w:bottom w:val="single" w:sz="12" w:space="0" w:color="BABABA"/>
              <w:right w:val="single" w:sz="12" w:space="0" w:color="BABABA"/>
            </w:tcBorders>
          </w:tcPr>
          <w:p w14:paraId="3D5AB717" w14:textId="77777777" w:rsidR="00782D94" w:rsidRDefault="00782D94" w:rsidP="004C033C">
            <w:pPr>
              <w:pStyle w:val="TableParagraph"/>
              <w:jc w:val="center"/>
              <w:rPr>
                <w:rFonts w:ascii="Arial"/>
                <w:b/>
                <w:sz w:val="20"/>
              </w:rPr>
            </w:pPr>
          </w:p>
          <w:p w14:paraId="5C2EBA28" w14:textId="77777777" w:rsidR="00782D94" w:rsidRDefault="00782D94" w:rsidP="004C033C">
            <w:pPr>
              <w:pStyle w:val="TableParagraph"/>
              <w:jc w:val="center"/>
              <w:rPr>
                <w:rFonts w:ascii="Arial"/>
                <w:b/>
                <w:sz w:val="20"/>
              </w:rPr>
            </w:pPr>
          </w:p>
          <w:p w14:paraId="07A87158" w14:textId="77777777" w:rsidR="00782D94" w:rsidRPr="00FC148F" w:rsidRDefault="00782D94" w:rsidP="004C033C">
            <w:pPr>
              <w:pStyle w:val="TableParagraph"/>
              <w:jc w:val="center"/>
              <w:rPr>
                <w:rFonts w:ascii="Arial"/>
                <w:sz w:val="20"/>
              </w:rPr>
            </w:pPr>
          </w:p>
          <w:p w14:paraId="6410E428" w14:textId="77777777" w:rsidR="00782D94" w:rsidRPr="00FC148F" w:rsidRDefault="00782D94" w:rsidP="004C033C">
            <w:pPr>
              <w:pStyle w:val="TableParagraph"/>
              <w:jc w:val="center"/>
              <w:rPr>
                <w:rFonts w:ascii="Arial"/>
                <w:b/>
                <w:sz w:val="20"/>
              </w:rPr>
            </w:pPr>
            <w:r w:rsidRPr="00FC148F">
              <w:rPr>
                <w:rFonts w:ascii="Arial"/>
                <w:sz w:val="20"/>
              </w:rPr>
              <w:t>X</w:t>
            </w:r>
          </w:p>
        </w:tc>
        <w:tc>
          <w:tcPr>
            <w:tcW w:w="968" w:type="dxa"/>
            <w:tcBorders>
              <w:top w:val="nil"/>
              <w:left w:val="single" w:sz="12" w:space="0" w:color="BABABA"/>
              <w:bottom w:val="single" w:sz="12" w:space="0" w:color="BABABA"/>
              <w:right w:val="single" w:sz="12" w:space="0" w:color="BABABA"/>
            </w:tcBorders>
          </w:tcPr>
          <w:p w14:paraId="770DAC4B" w14:textId="77777777" w:rsidR="00782D94" w:rsidRDefault="00782D94" w:rsidP="004C033C">
            <w:pPr>
              <w:pStyle w:val="TableParagraph"/>
              <w:jc w:val="center"/>
              <w:rPr>
                <w:rFonts w:ascii="Arial"/>
                <w:b/>
                <w:sz w:val="20"/>
              </w:rPr>
            </w:pPr>
          </w:p>
          <w:p w14:paraId="6297AA50" w14:textId="77777777" w:rsidR="00782D94" w:rsidRDefault="00782D94" w:rsidP="004C033C">
            <w:pPr>
              <w:pStyle w:val="TableParagraph"/>
              <w:jc w:val="center"/>
              <w:rPr>
                <w:rFonts w:ascii="Arial"/>
                <w:b/>
                <w:sz w:val="20"/>
              </w:rPr>
            </w:pPr>
          </w:p>
          <w:p w14:paraId="6F6D9CA5" w14:textId="77777777" w:rsidR="00782D94" w:rsidRPr="00FC148F" w:rsidRDefault="00782D94" w:rsidP="004C033C">
            <w:pPr>
              <w:pStyle w:val="TableParagraph"/>
              <w:jc w:val="center"/>
              <w:rPr>
                <w:rFonts w:ascii="Arial"/>
                <w:b/>
                <w:sz w:val="20"/>
              </w:rPr>
            </w:pPr>
          </w:p>
          <w:p w14:paraId="5B1F611F"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0576D80D" wp14:editId="3B4B1B94">
                  <wp:extent cx="114300" cy="114300"/>
                  <wp:effectExtent l="0" t="0" r="0" b="0"/>
                  <wp:docPr id="14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left w:val="single" w:sz="12" w:space="0" w:color="BABABA"/>
              <w:bottom w:val="single" w:sz="12" w:space="0" w:color="BABABA"/>
              <w:right w:val="single" w:sz="12" w:space="0" w:color="BABABA"/>
            </w:tcBorders>
          </w:tcPr>
          <w:p w14:paraId="5DDDD3C7" w14:textId="77777777" w:rsidR="00782D94" w:rsidRDefault="00782D94" w:rsidP="004C033C">
            <w:pPr>
              <w:pStyle w:val="TableParagraph"/>
              <w:jc w:val="center"/>
              <w:rPr>
                <w:rFonts w:ascii="Arial"/>
                <w:b/>
                <w:sz w:val="20"/>
              </w:rPr>
            </w:pPr>
          </w:p>
          <w:p w14:paraId="22125A41" w14:textId="77777777" w:rsidR="00782D94" w:rsidRDefault="00782D94" w:rsidP="004C033C">
            <w:pPr>
              <w:pStyle w:val="TableParagraph"/>
              <w:jc w:val="center"/>
              <w:rPr>
                <w:rFonts w:ascii="Arial"/>
                <w:b/>
                <w:sz w:val="20"/>
              </w:rPr>
            </w:pPr>
          </w:p>
          <w:p w14:paraId="351D24BD" w14:textId="77777777" w:rsidR="00782D94" w:rsidRPr="00FC148F" w:rsidRDefault="00782D94" w:rsidP="004C033C">
            <w:pPr>
              <w:pStyle w:val="TableParagraph"/>
              <w:jc w:val="center"/>
              <w:rPr>
                <w:rFonts w:ascii="Arial"/>
                <w:b/>
                <w:sz w:val="20"/>
              </w:rPr>
            </w:pPr>
          </w:p>
          <w:p w14:paraId="3A17382F"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4B6DC0BA" wp14:editId="4C876FBE">
                  <wp:extent cx="114300" cy="114300"/>
                  <wp:effectExtent l="0" t="0" r="0" b="0"/>
                  <wp:docPr id="14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27D32E87" w14:textId="77777777" w:rsidR="00782D94" w:rsidRDefault="00782D94" w:rsidP="004C033C">
            <w:pPr>
              <w:pStyle w:val="TableParagraph"/>
              <w:jc w:val="center"/>
              <w:rPr>
                <w:rFonts w:ascii="Arial"/>
                <w:b/>
                <w:sz w:val="20"/>
              </w:rPr>
            </w:pPr>
          </w:p>
          <w:p w14:paraId="6BACC782" w14:textId="77777777" w:rsidR="00782D94" w:rsidRDefault="00782D94" w:rsidP="004C033C">
            <w:pPr>
              <w:pStyle w:val="TableParagraph"/>
              <w:jc w:val="center"/>
              <w:rPr>
                <w:rFonts w:ascii="Arial"/>
                <w:b/>
                <w:sz w:val="20"/>
              </w:rPr>
            </w:pPr>
          </w:p>
          <w:p w14:paraId="5E6EB797" w14:textId="77777777" w:rsidR="00782D94" w:rsidRPr="00FC148F" w:rsidRDefault="00782D94" w:rsidP="004C033C">
            <w:pPr>
              <w:pStyle w:val="TableParagraph"/>
              <w:jc w:val="center"/>
              <w:rPr>
                <w:rFonts w:ascii="Arial"/>
                <w:b/>
                <w:sz w:val="20"/>
              </w:rPr>
            </w:pPr>
          </w:p>
          <w:p w14:paraId="58861550"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02D6B381" wp14:editId="01B1096C">
                  <wp:extent cx="114300" cy="114300"/>
                  <wp:effectExtent l="0" t="0" r="0" b="0"/>
                  <wp:docPr id="14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2AEC88C3" w14:textId="77777777" w:rsidR="00782D94" w:rsidRDefault="00782D94" w:rsidP="004C033C">
            <w:pPr>
              <w:pStyle w:val="TableParagraph"/>
              <w:jc w:val="center"/>
              <w:rPr>
                <w:rFonts w:ascii="Arial"/>
                <w:b/>
                <w:sz w:val="20"/>
              </w:rPr>
            </w:pPr>
          </w:p>
          <w:p w14:paraId="4F476D7E" w14:textId="77777777" w:rsidR="00782D94" w:rsidRDefault="00782D94" w:rsidP="004C033C">
            <w:pPr>
              <w:pStyle w:val="TableParagraph"/>
              <w:jc w:val="center"/>
              <w:rPr>
                <w:rFonts w:ascii="Arial"/>
                <w:b/>
                <w:sz w:val="20"/>
              </w:rPr>
            </w:pPr>
          </w:p>
          <w:p w14:paraId="02404DA6" w14:textId="77777777" w:rsidR="00782D94" w:rsidRPr="00FC148F" w:rsidRDefault="00782D94" w:rsidP="004C033C">
            <w:pPr>
              <w:pStyle w:val="TableParagraph"/>
              <w:jc w:val="center"/>
              <w:rPr>
                <w:rFonts w:ascii="Arial"/>
                <w:b/>
                <w:sz w:val="20"/>
              </w:rPr>
            </w:pPr>
          </w:p>
          <w:p w14:paraId="77EF88BB"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7FC3387E" wp14:editId="7F5B3CD1">
                  <wp:extent cx="114300" cy="114300"/>
                  <wp:effectExtent l="0" t="0" r="0" b="0"/>
                  <wp:docPr id="14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dxa"/>
            <w:tcBorders>
              <w:top w:val="nil"/>
              <w:left w:val="single" w:sz="12" w:space="0" w:color="BABABA"/>
              <w:bottom w:val="single" w:sz="12" w:space="0" w:color="BABABA"/>
              <w:right w:val="single" w:sz="12" w:space="0" w:color="BABABA"/>
            </w:tcBorders>
          </w:tcPr>
          <w:p w14:paraId="3B5D6D51" w14:textId="77777777" w:rsidR="00782D94" w:rsidRDefault="00782D94" w:rsidP="004C033C">
            <w:pPr>
              <w:pStyle w:val="TableParagraph"/>
              <w:jc w:val="center"/>
              <w:rPr>
                <w:rFonts w:ascii="Arial"/>
                <w:b/>
                <w:sz w:val="20"/>
              </w:rPr>
            </w:pPr>
          </w:p>
          <w:p w14:paraId="0A377EE4" w14:textId="77777777" w:rsidR="00782D94" w:rsidRDefault="00782D94" w:rsidP="004C033C">
            <w:pPr>
              <w:pStyle w:val="TableParagraph"/>
              <w:jc w:val="center"/>
              <w:rPr>
                <w:rFonts w:ascii="Arial"/>
                <w:b/>
                <w:sz w:val="20"/>
              </w:rPr>
            </w:pPr>
          </w:p>
          <w:p w14:paraId="0E0BA8BA" w14:textId="77777777" w:rsidR="00782D94" w:rsidRPr="00FC148F" w:rsidRDefault="00782D94" w:rsidP="004C033C">
            <w:pPr>
              <w:pStyle w:val="TableParagraph"/>
              <w:jc w:val="center"/>
              <w:rPr>
                <w:rFonts w:ascii="Arial"/>
                <w:b/>
                <w:sz w:val="20"/>
              </w:rPr>
            </w:pPr>
          </w:p>
          <w:p w14:paraId="7054AE60" w14:textId="77777777" w:rsidR="00782D94" w:rsidRPr="00FC148F" w:rsidRDefault="00782D94" w:rsidP="004C033C">
            <w:pPr>
              <w:pStyle w:val="TableParagraph"/>
              <w:jc w:val="center"/>
              <w:rPr>
                <w:rFonts w:ascii="Arial"/>
                <w:b/>
                <w:sz w:val="20"/>
              </w:rPr>
            </w:pPr>
            <w:r w:rsidRPr="00FC148F">
              <w:rPr>
                <w:rFonts w:ascii="Arial"/>
                <w:b/>
                <w:noProof/>
                <w:sz w:val="20"/>
                <w:lang w:val="en-GB" w:eastAsia="en-GB"/>
              </w:rPr>
              <w:drawing>
                <wp:inline distT="0" distB="0" distL="0" distR="0" wp14:anchorId="6A390AA5" wp14:editId="295A4B5D">
                  <wp:extent cx="114300" cy="114300"/>
                  <wp:effectExtent l="0" t="0" r="0" b="0"/>
                  <wp:docPr id="14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76113613" w14:textId="77777777" w:rsidTr="00782D94">
        <w:trPr>
          <w:trHeight w:val="1583"/>
        </w:trPr>
        <w:tc>
          <w:tcPr>
            <w:tcW w:w="2687" w:type="dxa"/>
            <w:tcBorders>
              <w:top w:val="nil"/>
              <w:left w:val="single" w:sz="12" w:space="0" w:color="BABABA"/>
              <w:bottom w:val="single" w:sz="12" w:space="0" w:color="BABABA"/>
              <w:right w:val="single" w:sz="12" w:space="0" w:color="BABABA"/>
            </w:tcBorders>
          </w:tcPr>
          <w:p w14:paraId="0BA4DD17" w14:textId="77777777" w:rsidR="00782D94" w:rsidRPr="00FC148F" w:rsidRDefault="00782D94" w:rsidP="004C033C">
            <w:pPr>
              <w:pStyle w:val="TableParagraph"/>
              <w:spacing w:line="269" w:lineRule="exact"/>
              <w:ind w:left="185"/>
              <w:rPr>
                <w:w w:val="105"/>
                <w:sz w:val="19"/>
              </w:rPr>
            </w:pPr>
            <w:r>
              <w:rPr>
                <w:w w:val="105"/>
                <w:sz w:val="19"/>
              </w:rPr>
              <w:t>Broaden access for obliged entities to publicly held information (public databases and registers) to enable verification of customer identities</w:t>
            </w:r>
          </w:p>
        </w:tc>
        <w:tc>
          <w:tcPr>
            <w:tcW w:w="1115" w:type="dxa"/>
            <w:tcBorders>
              <w:top w:val="nil"/>
              <w:left w:val="single" w:sz="12" w:space="0" w:color="BABABA"/>
              <w:bottom w:val="single" w:sz="12" w:space="0" w:color="BABABA"/>
              <w:right w:val="single" w:sz="12" w:space="0" w:color="BABABA"/>
            </w:tcBorders>
          </w:tcPr>
          <w:p w14:paraId="4EC27739" w14:textId="77777777" w:rsidR="00782D94" w:rsidRPr="00FC148F" w:rsidRDefault="00782D94" w:rsidP="004C033C">
            <w:pPr>
              <w:pStyle w:val="TableParagraph"/>
              <w:jc w:val="center"/>
              <w:rPr>
                <w:rFonts w:ascii="Arial"/>
                <w:sz w:val="20"/>
              </w:rPr>
            </w:pPr>
          </w:p>
          <w:p w14:paraId="1564A492" w14:textId="77777777" w:rsidR="00782D94" w:rsidRPr="00FC148F" w:rsidRDefault="00782D94" w:rsidP="004C033C">
            <w:pPr>
              <w:pStyle w:val="TableParagraph"/>
              <w:jc w:val="center"/>
              <w:rPr>
                <w:rFonts w:ascii="Arial"/>
                <w:sz w:val="20"/>
              </w:rPr>
            </w:pPr>
          </w:p>
          <w:p w14:paraId="510A26DE" w14:textId="77777777" w:rsidR="00782D94" w:rsidRPr="00FC148F" w:rsidRDefault="00782D94" w:rsidP="004C033C">
            <w:pPr>
              <w:pStyle w:val="TableParagraph"/>
              <w:jc w:val="center"/>
              <w:rPr>
                <w:rFonts w:ascii="Arial"/>
                <w:sz w:val="20"/>
              </w:rPr>
            </w:pPr>
          </w:p>
          <w:p w14:paraId="0D81E479" w14:textId="77777777" w:rsidR="00782D94" w:rsidRPr="00FC148F" w:rsidRDefault="00782D94" w:rsidP="004C033C">
            <w:pPr>
              <w:pStyle w:val="TableParagraph"/>
              <w:jc w:val="center"/>
              <w:rPr>
                <w:rFonts w:ascii="Arial"/>
                <w:sz w:val="20"/>
              </w:rPr>
            </w:pPr>
          </w:p>
          <w:p w14:paraId="4B26B6EB"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0809E616" wp14:editId="7ECC8F6A">
                  <wp:extent cx="114300" cy="114300"/>
                  <wp:effectExtent l="0" t="0" r="0" b="0"/>
                  <wp:docPr id="14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274441B8" w14:textId="77777777" w:rsidR="00782D94" w:rsidRPr="00FC148F" w:rsidRDefault="00782D94" w:rsidP="004C033C">
            <w:pPr>
              <w:pStyle w:val="TableParagraph"/>
              <w:jc w:val="center"/>
              <w:rPr>
                <w:rFonts w:ascii="Arial"/>
                <w:sz w:val="20"/>
              </w:rPr>
            </w:pPr>
          </w:p>
          <w:p w14:paraId="0099FC5A" w14:textId="77777777" w:rsidR="00782D94" w:rsidRPr="00FC148F" w:rsidRDefault="00782D94" w:rsidP="004C033C">
            <w:pPr>
              <w:pStyle w:val="TableParagraph"/>
              <w:jc w:val="center"/>
              <w:rPr>
                <w:rFonts w:ascii="Arial"/>
                <w:sz w:val="20"/>
              </w:rPr>
            </w:pPr>
          </w:p>
          <w:p w14:paraId="2E72A744" w14:textId="77777777" w:rsidR="00782D94" w:rsidRPr="00FC148F" w:rsidRDefault="00782D94" w:rsidP="004C033C">
            <w:pPr>
              <w:pStyle w:val="TableParagraph"/>
              <w:jc w:val="center"/>
              <w:rPr>
                <w:rFonts w:ascii="Arial"/>
                <w:sz w:val="20"/>
              </w:rPr>
            </w:pPr>
          </w:p>
          <w:p w14:paraId="7F87B9BC" w14:textId="77777777" w:rsidR="00782D94" w:rsidRPr="00FC148F" w:rsidRDefault="00782D94" w:rsidP="004C033C">
            <w:pPr>
              <w:pStyle w:val="TableParagraph"/>
              <w:jc w:val="center"/>
              <w:rPr>
                <w:rFonts w:ascii="Arial"/>
                <w:sz w:val="20"/>
              </w:rPr>
            </w:pPr>
          </w:p>
          <w:p w14:paraId="14ED6B6E"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08A6C2E8" wp14:editId="008FF941">
                  <wp:extent cx="114300" cy="114300"/>
                  <wp:effectExtent l="0" t="0" r="0" b="0"/>
                  <wp:docPr id="14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left w:val="single" w:sz="12" w:space="0" w:color="BABABA"/>
              <w:bottom w:val="single" w:sz="12" w:space="0" w:color="BABABA"/>
              <w:right w:val="single" w:sz="12" w:space="0" w:color="BABABA"/>
            </w:tcBorders>
          </w:tcPr>
          <w:p w14:paraId="733F1C12" w14:textId="77777777" w:rsidR="00782D94" w:rsidRPr="00FC148F" w:rsidRDefault="00782D94" w:rsidP="004C033C">
            <w:pPr>
              <w:pStyle w:val="TableParagraph"/>
              <w:jc w:val="center"/>
              <w:rPr>
                <w:rFonts w:ascii="Arial"/>
                <w:sz w:val="20"/>
              </w:rPr>
            </w:pPr>
          </w:p>
          <w:p w14:paraId="5724D8D2" w14:textId="77777777" w:rsidR="00782D94" w:rsidRPr="00FC148F" w:rsidRDefault="00782D94" w:rsidP="004C033C">
            <w:pPr>
              <w:pStyle w:val="TableParagraph"/>
              <w:jc w:val="center"/>
              <w:rPr>
                <w:rFonts w:ascii="Arial"/>
                <w:sz w:val="20"/>
              </w:rPr>
            </w:pPr>
          </w:p>
          <w:p w14:paraId="3B9EDAEA" w14:textId="77777777" w:rsidR="00782D94" w:rsidRPr="00FC148F" w:rsidRDefault="00782D94" w:rsidP="004C033C">
            <w:pPr>
              <w:pStyle w:val="TableParagraph"/>
              <w:jc w:val="center"/>
              <w:rPr>
                <w:rFonts w:ascii="Arial"/>
                <w:sz w:val="20"/>
              </w:rPr>
            </w:pPr>
          </w:p>
          <w:p w14:paraId="584108B1" w14:textId="77777777" w:rsidR="00782D94" w:rsidRPr="00FC148F" w:rsidRDefault="00782D94" w:rsidP="004C033C">
            <w:pPr>
              <w:pStyle w:val="TableParagraph"/>
              <w:jc w:val="center"/>
              <w:rPr>
                <w:rFonts w:ascii="Arial"/>
                <w:sz w:val="20"/>
              </w:rPr>
            </w:pPr>
          </w:p>
          <w:p w14:paraId="51F7454B"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2E59E438" wp14:editId="4994F543">
                  <wp:extent cx="114300" cy="114300"/>
                  <wp:effectExtent l="0" t="0" r="0" b="0"/>
                  <wp:docPr id="14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162A23AB" w14:textId="77777777" w:rsidR="00782D94" w:rsidRPr="00FC148F" w:rsidRDefault="00782D94" w:rsidP="004C033C">
            <w:pPr>
              <w:pStyle w:val="TableParagraph"/>
              <w:jc w:val="center"/>
              <w:rPr>
                <w:rFonts w:ascii="Arial"/>
                <w:sz w:val="20"/>
              </w:rPr>
            </w:pPr>
          </w:p>
          <w:p w14:paraId="69A70D4B" w14:textId="77777777" w:rsidR="00782D94" w:rsidRPr="00FC148F" w:rsidRDefault="00782D94" w:rsidP="004C033C">
            <w:pPr>
              <w:pStyle w:val="TableParagraph"/>
              <w:jc w:val="center"/>
              <w:rPr>
                <w:rFonts w:ascii="Arial"/>
                <w:sz w:val="20"/>
              </w:rPr>
            </w:pPr>
          </w:p>
          <w:p w14:paraId="48B5DC99" w14:textId="77777777" w:rsidR="00782D94" w:rsidRPr="00FC148F" w:rsidRDefault="00782D94" w:rsidP="004C033C">
            <w:pPr>
              <w:pStyle w:val="TableParagraph"/>
              <w:jc w:val="center"/>
              <w:rPr>
                <w:rFonts w:ascii="Arial"/>
                <w:sz w:val="20"/>
              </w:rPr>
            </w:pPr>
          </w:p>
          <w:p w14:paraId="03DCB812" w14:textId="77777777" w:rsidR="00782D94" w:rsidRPr="00FC148F" w:rsidRDefault="00782D94" w:rsidP="004C033C">
            <w:pPr>
              <w:pStyle w:val="TableParagraph"/>
              <w:jc w:val="center"/>
              <w:rPr>
                <w:rFonts w:ascii="Arial"/>
                <w:sz w:val="20"/>
              </w:rPr>
            </w:pPr>
          </w:p>
          <w:p w14:paraId="458E3FE3"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7291E42A" wp14:editId="61EB1917">
                  <wp:extent cx="114300" cy="114300"/>
                  <wp:effectExtent l="0" t="0" r="0" b="0"/>
                  <wp:docPr id="14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7D35CDE3" w14:textId="77777777" w:rsidR="00782D94" w:rsidRPr="00FC148F" w:rsidRDefault="00782D94" w:rsidP="004C033C">
            <w:pPr>
              <w:pStyle w:val="TableParagraph"/>
              <w:jc w:val="center"/>
              <w:rPr>
                <w:rFonts w:ascii="Arial"/>
                <w:sz w:val="20"/>
              </w:rPr>
            </w:pPr>
          </w:p>
          <w:p w14:paraId="14288949" w14:textId="77777777" w:rsidR="00782D94" w:rsidRPr="00FC148F" w:rsidRDefault="00782D94" w:rsidP="004C033C">
            <w:pPr>
              <w:pStyle w:val="TableParagraph"/>
              <w:jc w:val="center"/>
              <w:rPr>
                <w:rFonts w:ascii="Arial"/>
                <w:sz w:val="20"/>
              </w:rPr>
            </w:pPr>
          </w:p>
          <w:p w14:paraId="722766E5" w14:textId="77777777" w:rsidR="00782D94" w:rsidRPr="00FC148F" w:rsidRDefault="00782D94" w:rsidP="004C033C">
            <w:pPr>
              <w:pStyle w:val="TableParagraph"/>
              <w:jc w:val="center"/>
              <w:rPr>
                <w:rFonts w:ascii="Arial"/>
                <w:sz w:val="20"/>
              </w:rPr>
            </w:pPr>
          </w:p>
          <w:p w14:paraId="6CA353ED" w14:textId="77777777" w:rsidR="00782D94" w:rsidRPr="00FC148F" w:rsidRDefault="00782D94" w:rsidP="004C033C">
            <w:pPr>
              <w:pStyle w:val="TableParagraph"/>
              <w:jc w:val="center"/>
              <w:rPr>
                <w:rFonts w:ascii="Arial"/>
                <w:sz w:val="20"/>
              </w:rPr>
            </w:pPr>
          </w:p>
          <w:p w14:paraId="50D7AB4D" w14:textId="77777777" w:rsidR="00782D94" w:rsidRPr="00FC148F" w:rsidRDefault="00782D94" w:rsidP="004C033C">
            <w:pPr>
              <w:pStyle w:val="TableParagraph"/>
              <w:jc w:val="center"/>
              <w:rPr>
                <w:rFonts w:ascii="Arial"/>
                <w:sz w:val="20"/>
              </w:rPr>
            </w:pPr>
            <w:r w:rsidRPr="00FC148F">
              <w:rPr>
                <w:rFonts w:ascii="Arial"/>
                <w:sz w:val="20"/>
              </w:rPr>
              <w:t>X</w:t>
            </w:r>
          </w:p>
        </w:tc>
        <w:tc>
          <w:tcPr>
            <w:tcW w:w="588" w:type="dxa"/>
            <w:tcBorders>
              <w:top w:val="nil"/>
              <w:left w:val="single" w:sz="12" w:space="0" w:color="BABABA"/>
              <w:bottom w:val="single" w:sz="12" w:space="0" w:color="BABABA"/>
              <w:right w:val="single" w:sz="12" w:space="0" w:color="BABABA"/>
            </w:tcBorders>
          </w:tcPr>
          <w:p w14:paraId="7CD37AB7" w14:textId="77777777" w:rsidR="00782D94" w:rsidRPr="00FC148F" w:rsidRDefault="00782D94" w:rsidP="004C033C">
            <w:pPr>
              <w:pStyle w:val="TableParagraph"/>
              <w:jc w:val="center"/>
              <w:rPr>
                <w:rFonts w:ascii="Arial"/>
                <w:sz w:val="20"/>
              </w:rPr>
            </w:pPr>
          </w:p>
          <w:p w14:paraId="5817C533" w14:textId="77777777" w:rsidR="00782D94" w:rsidRPr="00FC148F" w:rsidRDefault="00782D94" w:rsidP="004C033C">
            <w:pPr>
              <w:pStyle w:val="TableParagraph"/>
              <w:jc w:val="center"/>
              <w:rPr>
                <w:rFonts w:ascii="Arial"/>
                <w:sz w:val="20"/>
              </w:rPr>
            </w:pPr>
          </w:p>
          <w:p w14:paraId="22F52626" w14:textId="77777777" w:rsidR="00782D94" w:rsidRPr="00FC148F" w:rsidRDefault="00782D94" w:rsidP="004C033C">
            <w:pPr>
              <w:pStyle w:val="TableParagraph"/>
              <w:jc w:val="center"/>
              <w:rPr>
                <w:rFonts w:ascii="Arial"/>
                <w:sz w:val="20"/>
              </w:rPr>
            </w:pPr>
          </w:p>
          <w:p w14:paraId="31C53382" w14:textId="77777777" w:rsidR="00782D94" w:rsidRPr="00FC148F" w:rsidRDefault="00782D94" w:rsidP="004C033C">
            <w:pPr>
              <w:pStyle w:val="TableParagraph"/>
              <w:jc w:val="center"/>
              <w:rPr>
                <w:rFonts w:ascii="Arial"/>
                <w:sz w:val="20"/>
              </w:rPr>
            </w:pPr>
          </w:p>
          <w:p w14:paraId="7555C270"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132E6EAF" wp14:editId="7758F58E">
                  <wp:extent cx="114300" cy="114300"/>
                  <wp:effectExtent l="0" t="0" r="0" b="0"/>
                  <wp:docPr id="14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17D676DB" w14:textId="77777777" w:rsidTr="00782D94">
        <w:trPr>
          <w:trHeight w:val="1583"/>
        </w:trPr>
        <w:tc>
          <w:tcPr>
            <w:tcW w:w="2687" w:type="dxa"/>
            <w:tcBorders>
              <w:top w:val="nil"/>
              <w:left w:val="single" w:sz="12" w:space="0" w:color="BABABA"/>
              <w:bottom w:val="single" w:sz="12" w:space="0" w:color="BABABA"/>
              <w:right w:val="single" w:sz="12" w:space="0" w:color="BABABA"/>
            </w:tcBorders>
          </w:tcPr>
          <w:p w14:paraId="0D546C9E" w14:textId="3A418CF0" w:rsidR="00782D94" w:rsidRPr="00FC148F" w:rsidRDefault="00782D94" w:rsidP="004C033C">
            <w:pPr>
              <w:pStyle w:val="TableParagraph"/>
              <w:spacing w:line="269" w:lineRule="exact"/>
              <w:ind w:left="185"/>
              <w:rPr>
                <w:w w:val="105"/>
                <w:sz w:val="19"/>
              </w:rPr>
            </w:pPr>
            <w:r>
              <w:rPr>
                <w:w w:val="105"/>
                <w:sz w:val="19"/>
              </w:rPr>
              <w:t xml:space="preserve">Provide further </w:t>
            </w:r>
            <w:r w:rsidRPr="00FC148F">
              <w:rPr>
                <w:w w:val="105"/>
                <w:sz w:val="19"/>
              </w:rPr>
              <w:t xml:space="preserve">guidance or standards in support of the customer due diligence </w:t>
            </w:r>
            <w:r w:rsidR="00DB631C" w:rsidRPr="00FC148F">
              <w:rPr>
                <w:w w:val="105"/>
                <w:sz w:val="19"/>
              </w:rPr>
              <w:t>process</w:t>
            </w:r>
            <w:r>
              <w:rPr>
                <w:w w:val="105"/>
                <w:sz w:val="19"/>
              </w:rPr>
              <w:t xml:space="preserve"> (e.g. detailed ID elements, eligible trusted sources; risk assessment of remote identification technologies)</w:t>
            </w:r>
          </w:p>
        </w:tc>
        <w:tc>
          <w:tcPr>
            <w:tcW w:w="1115" w:type="dxa"/>
            <w:tcBorders>
              <w:top w:val="nil"/>
              <w:left w:val="single" w:sz="12" w:space="0" w:color="BABABA"/>
              <w:bottom w:val="single" w:sz="12" w:space="0" w:color="BABABA"/>
              <w:right w:val="single" w:sz="12" w:space="0" w:color="BABABA"/>
            </w:tcBorders>
          </w:tcPr>
          <w:p w14:paraId="7AD7AAA8" w14:textId="77777777" w:rsidR="00782D94" w:rsidRPr="00FC148F" w:rsidRDefault="00782D94" w:rsidP="004C033C">
            <w:pPr>
              <w:pStyle w:val="TableParagraph"/>
              <w:jc w:val="center"/>
              <w:rPr>
                <w:rFonts w:ascii="Arial"/>
                <w:sz w:val="20"/>
              </w:rPr>
            </w:pPr>
          </w:p>
          <w:p w14:paraId="3EBAF740" w14:textId="77777777" w:rsidR="00782D94" w:rsidRPr="00FC148F" w:rsidRDefault="00782D94" w:rsidP="004C033C">
            <w:pPr>
              <w:pStyle w:val="TableParagraph"/>
              <w:jc w:val="center"/>
              <w:rPr>
                <w:rFonts w:ascii="Arial"/>
                <w:sz w:val="20"/>
              </w:rPr>
            </w:pPr>
          </w:p>
          <w:p w14:paraId="25AC34C8" w14:textId="77777777" w:rsidR="00782D94" w:rsidRPr="00FC148F" w:rsidRDefault="00782D94" w:rsidP="004C033C">
            <w:pPr>
              <w:pStyle w:val="TableParagraph"/>
              <w:jc w:val="center"/>
              <w:rPr>
                <w:rFonts w:ascii="Arial"/>
                <w:sz w:val="20"/>
              </w:rPr>
            </w:pPr>
          </w:p>
          <w:p w14:paraId="5A71B106" w14:textId="77777777" w:rsidR="00782D94" w:rsidRPr="00FC148F" w:rsidRDefault="00782D94" w:rsidP="004C033C">
            <w:pPr>
              <w:pStyle w:val="TableParagraph"/>
              <w:jc w:val="center"/>
              <w:rPr>
                <w:rFonts w:ascii="Arial"/>
                <w:sz w:val="20"/>
              </w:rPr>
            </w:pPr>
          </w:p>
          <w:p w14:paraId="56A12140" w14:textId="77777777" w:rsidR="00782D94" w:rsidRPr="00FC148F" w:rsidRDefault="00782D94" w:rsidP="004C033C">
            <w:pPr>
              <w:pStyle w:val="TableParagraph"/>
              <w:jc w:val="center"/>
              <w:rPr>
                <w:rFonts w:ascii="Arial"/>
                <w:sz w:val="20"/>
              </w:rPr>
            </w:pPr>
          </w:p>
          <w:p w14:paraId="7E856791"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2AD13B74" wp14:editId="37E29627">
                  <wp:extent cx="114300" cy="114300"/>
                  <wp:effectExtent l="0" t="0" r="0" b="0"/>
                  <wp:docPr id="14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5EE32547" w14:textId="77777777" w:rsidR="00782D94" w:rsidRPr="00FC148F" w:rsidRDefault="00782D94" w:rsidP="004C033C">
            <w:pPr>
              <w:pStyle w:val="TableParagraph"/>
              <w:jc w:val="center"/>
              <w:rPr>
                <w:rFonts w:ascii="Arial"/>
                <w:sz w:val="20"/>
              </w:rPr>
            </w:pPr>
          </w:p>
          <w:p w14:paraId="4B19FB85" w14:textId="77777777" w:rsidR="00782D94" w:rsidRPr="00FC148F" w:rsidRDefault="00782D94" w:rsidP="004C033C">
            <w:pPr>
              <w:pStyle w:val="TableParagraph"/>
              <w:jc w:val="center"/>
              <w:rPr>
                <w:rFonts w:ascii="Arial"/>
                <w:sz w:val="20"/>
              </w:rPr>
            </w:pPr>
          </w:p>
          <w:p w14:paraId="3ED2F848" w14:textId="77777777" w:rsidR="00782D94" w:rsidRPr="00FC148F" w:rsidRDefault="00782D94" w:rsidP="004C033C">
            <w:pPr>
              <w:pStyle w:val="TableParagraph"/>
              <w:jc w:val="center"/>
              <w:rPr>
                <w:rFonts w:ascii="Arial"/>
                <w:sz w:val="20"/>
              </w:rPr>
            </w:pPr>
          </w:p>
          <w:p w14:paraId="3E8BA943" w14:textId="77777777" w:rsidR="00782D94" w:rsidRPr="00FC148F" w:rsidRDefault="00782D94" w:rsidP="004C033C">
            <w:pPr>
              <w:pStyle w:val="TableParagraph"/>
              <w:jc w:val="center"/>
              <w:rPr>
                <w:rFonts w:ascii="Arial"/>
                <w:sz w:val="20"/>
              </w:rPr>
            </w:pPr>
          </w:p>
          <w:p w14:paraId="0EE957A5" w14:textId="77777777" w:rsidR="00782D94" w:rsidRPr="00FC148F" w:rsidRDefault="00782D94" w:rsidP="004C033C">
            <w:pPr>
              <w:pStyle w:val="TableParagraph"/>
              <w:jc w:val="center"/>
              <w:rPr>
                <w:rFonts w:ascii="Arial"/>
                <w:sz w:val="20"/>
              </w:rPr>
            </w:pPr>
          </w:p>
          <w:p w14:paraId="28D4026D"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0AA714D0" wp14:editId="46D61D58">
                  <wp:extent cx="114300" cy="114300"/>
                  <wp:effectExtent l="0" t="0" r="0" b="0"/>
                  <wp:docPr id="14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left w:val="single" w:sz="12" w:space="0" w:color="BABABA"/>
              <w:bottom w:val="single" w:sz="12" w:space="0" w:color="BABABA"/>
              <w:right w:val="single" w:sz="12" w:space="0" w:color="BABABA"/>
            </w:tcBorders>
          </w:tcPr>
          <w:p w14:paraId="686DCCE3" w14:textId="77777777" w:rsidR="00782D94" w:rsidRPr="00FC148F" w:rsidRDefault="00782D94" w:rsidP="004C033C">
            <w:pPr>
              <w:pStyle w:val="TableParagraph"/>
              <w:jc w:val="center"/>
              <w:rPr>
                <w:rFonts w:ascii="Arial"/>
                <w:sz w:val="20"/>
              </w:rPr>
            </w:pPr>
          </w:p>
          <w:p w14:paraId="575A10A2" w14:textId="77777777" w:rsidR="00782D94" w:rsidRPr="00FC148F" w:rsidRDefault="00782D94" w:rsidP="004C033C">
            <w:pPr>
              <w:pStyle w:val="TableParagraph"/>
              <w:jc w:val="center"/>
              <w:rPr>
                <w:rFonts w:ascii="Arial"/>
                <w:sz w:val="20"/>
              </w:rPr>
            </w:pPr>
          </w:p>
          <w:p w14:paraId="353CED78" w14:textId="77777777" w:rsidR="00782D94" w:rsidRPr="00FC148F" w:rsidRDefault="00782D94" w:rsidP="004C033C">
            <w:pPr>
              <w:pStyle w:val="TableParagraph"/>
              <w:jc w:val="center"/>
              <w:rPr>
                <w:rFonts w:ascii="Arial"/>
                <w:sz w:val="20"/>
              </w:rPr>
            </w:pPr>
          </w:p>
          <w:p w14:paraId="7D6EED88" w14:textId="77777777" w:rsidR="00782D94" w:rsidRPr="00FC148F" w:rsidRDefault="00782D94" w:rsidP="004C033C">
            <w:pPr>
              <w:pStyle w:val="TableParagraph"/>
              <w:jc w:val="center"/>
              <w:rPr>
                <w:rFonts w:ascii="Arial"/>
                <w:sz w:val="20"/>
              </w:rPr>
            </w:pPr>
          </w:p>
          <w:p w14:paraId="239B6B8D" w14:textId="77777777" w:rsidR="00782D94" w:rsidRPr="00FC148F" w:rsidRDefault="00782D94" w:rsidP="004C033C">
            <w:pPr>
              <w:pStyle w:val="TableParagraph"/>
              <w:jc w:val="center"/>
              <w:rPr>
                <w:rFonts w:ascii="Arial"/>
                <w:sz w:val="20"/>
              </w:rPr>
            </w:pPr>
          </w:p>
          <w:p w14:paraId="1C79BE7E"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1F309223" wp14:editId="25630209">
                  <wp:extent cx="114300" cy="114300"/>
                  <wp:effectExtent l="0" t="0" r="0" b="0"/>
                  <wp:docPr id="14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058D9915" w14:textId="77777777" w:rsidR="00782D94" w:rsidRPr="00FC148F" w:rsidRDefault="00782D94" w:rsidP="004C033C">
            <w:pPr>
              <w:pStyle w:val="TableParagraph"/>
              <w:jc w:val="center"/>
              <w:rPr>
                <w:rFonts w:ascii="Arial"/>
                <w:sz w:val="20"/>
              </w:rPr>
            </w:pPr>
          </w:p>
          <w:p w14:paraId="24365BAD" w14:textId="77777777" w:rsidR="00782D94" w:rsidRPr="00FC148F" w:rsidRDefault="00782D94" w:rsidP="004C033C">
            <w:pPr>
              <w:pStyle w:val="TableParagraph"/>
              <w:jc w:val="center"/>
              <w:rPr>
                <w:rFonts w:ascii="Arial"/>
                <w:sz w:val="20"/>
              </w:rPr>
            </w:pPr>
          </w:p>
          <w:p w14:paraId="5467B34B" w14:textId="77777777" w:rsidR="00782D94" w:rsidRPr="00FC148F" w:rsidRDefault="00782D94" w:rsidP="004C033C">
            <w:pPr>
              <w:pStyle w:val="TableParagraph"/>
              <w:jc w:val="center"/>
              <w:rPr>
                <w:rFonts w:ascii="Arial"/>
                <w:sz w:val="20"/>
              </w:rPr>
            </w:pPr>
          </w:p>
          <w:p w14:paraId="29562DF9" w14:textId="77777777" w:rsidR="00782D94" w:rsidRPr="00FC148F" w:rsidRDefault="00782D94" w:rsidP="004C033C">
            <w:pPr>
              <w:pStyle w:val="TableParagraph"/>
              <w:jc w:val="center"/>
              <w:rPr>
                <w:rFonts w:ascii="Arial"/>
                <w:sz w:val="20"/>
              </w:rPr>
            </w:pPr>
          </w:p>
          <w:p w14:paraId="6A2E683F" w14:textId="77777777" w:rsidR="00782D94" w:rsidRPr="00FC148F" w:rsidRDefault="00782D94" w:rsidP="004C033C">
            <w:pPr>
              <w:pStyle w:val="TableParagraph"/>
              <w:jc w:val="center"/>
              <w:rPr>
                <w:rFonts w:ascii="Arial"/>
                <w:sz w:val="20"/>
              </w:rPr>
            </w:pPr>
          </w:p>
          <w:p w14:paraId="11621AF9"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6251EB62" wp14:editId="7BBFFFD1">
                  <wp:extent cx="114300" cy="114300"/>
                  <wp:effectExtent l="0" t="0" r="0" b="0"/>
                  <wp:docPr id="14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7BB16D03" w14:textId="77777777" w:rsidR="00782D94" w:rsidRPr="00FC148F" w:rsidRDefault="00782D94" w:rsidP="004C033C">
            <w:pPr>
              <w:pStyle w:val="TableParagraph"/>
              <w:jc w:val="center"/>
              <w:rPr>
                <w:rFonts w:ascii="Arial"/>
                <w:sz w:val="20"/>
              </w:rPr>
            </w:pPr>
          </w:p>
          <w:p w14:paraId="60B012E2" w14:textId="77777777" w:rsidR="00782D94" w:rsidRPr="00FC148F" w:rsidRDefault="00782D94" w:rsidP="004C033C">
            <w:pPr>
              <w:pStyle w:val="TableParagraph"/>
              <w:jc w:val="center"/>
              <w:rPr>
                <w:rFonts w:ascii="Arial"/>
                <w:sz w:val="20"/>
              </w:rPr>
            </w:pPr>
          </w:p>
          <w:p w14:paraId="5DD15F9C" w14:textId="77777777" w:rsidR="00782D94" w:rsidRPr="00FC148F" w:rsidRDefault="00782D94" w:rsidP="004C033C">
            <w:pPr>
              <w:pStyle w:val="TableParagraph"/>
              <w:jc w:val="center"/>
              <w:rPr>
                <w:rFonts w:ascii="Arial"/>
                <w:sz w:val="20"/>
              </w:rPr>
            </w:pPr>
          </w:p>
          <w:p w14:paraId="444DD902" w14:textId="77777777" w:rsidR="00782D94" w:rsidRPr="00FC148F" w:rsidRDefault="00782D94" w:rsidP="004C033C">
            <w:pPr>
              <w:pStyle w:val="TableParagraph"/>
              <w:jc w:val="center"/>
              <w:rPr>
                <w:rFonts w:ascii="Arial"/>
                <w:sz w:val="20"/>
              </w:rPr>
            </w:pPr>
          </w:p>
          <w:p w14:paraId="798B0CCC" w14:textId="77777777" w:rsidR="00782D94" w:rsidRPr="00FC148F" w:rsidRDefault="00782D94" w:rsidP="004C033C">
            <w:pPr>
              <w:pStyle w:val="TableParagraph"/>
              <w:jc w:val="center"/>
              <w:rPr>
                <w:rFonts w:ascii="Arial"/>
                <w:sz w:val="20"/>
              </w:rPr>
            </w:pPr>
          </w:p>
          <w:p w14:paraId="6676DD9A" w14:textId="77777777" w:rsidR="00782D94" w:rsidRPr="00FC148F" w:rsidRDefault="00782D94" w:rsidP="004C033C">
            <w:pPr>
              <w:pStyle w:val="TableParagraph"/>
              <w:jc w:val="center"/>
              <w:rPr>
                <w:rFonts w:ascii="Arial"/>
                <w:sz w:val="20"/>
              </w:rPr>
            </w:pPr>
            <w:r w:rsidRPr="00FC148F">
              <w:rPr>
                <w:rFonts w:ascii="Arial"/>
                <w:sz w:val="20"/>
              </w:rPr>
              <w:t>X</w:t>
            </w:r>
          </w:p>
        </w:tc>
        <w:tc>
          <w:tcPr>
            <w:tcW w:w="588" w:type="dxa"/>
            <w:tcBorders>
              <w:top w:val="nil"/>
              <w:left w:val="single" w:sz="12" w:space="0" w:color="BABABA"/>
              <w:bottom w:val="single" w:sz="12" w:space="0" w:color="BABABA"/>
              <w:right w:val="single" w:sz="12" w:space="0" w:color="BABABA"/>
            </w:tcBorders>
          </w:tcPr>
          <w:p w14:paraId="79204192" w14:textId="77777777" w:rsidR="00782D94" w:rsidRPr="00FC148F" w:rsidRDefault="00782D94" w:rsidP="004C033C">
            <w:pPr>
              <w:pStyle w:val="TableParagraph"/>
              <w:jc w:val="center"/>
              <w:rPr>
                <w:rFonts w:ascii="Arial"/>
                <w:sz w:val="20"/>
              </w:rPr>
            </w:pPr>
          </w:p>
          <w:p w14:paraId="65807C11" w14:textId="77777777" w:rsidR="00782D94" w:rsidRPr="00FC148F" w:rsidRDefault="00782D94" w:rsidP="004C033C">
            <w:pPr>
              <w:pStyle w:val="TableParagraph"/>
              <w:jc w:val="center"/>
              <w:rPr>
                <w:rFonts w:ascii="Arial"/>
                <w:sz w:val="20"/>
              </w:rPr>
            </w:pPr>
          </w:p>
          <w:p w14:paraId="0D248619" w14:textId="77777777" w:rsidR="00782D94" w:rsidRPr="00FC148F" w:rsidRDefault="00782D94" w:rsidP="004C033C">
            <w:pPr>
              <w:pStyle w:val="TableParagraph"/>
              <w:jc w:val="center"/>
              <w:rPr>
                <w:rFonts w:ascii="Arial"/>
                <w:sz w:val="20"/>
              </w:rPr>
            </w:pPr>
          </w:p>
          <w:p w14:paraId="4D393277" w14:textId="77777777" w:rsidR="00782D94" w:rsidRPr="00FC148F" w:rsidRDefault="00782D94" w:rsidP="004C033C">
            <w:pPr>
              <w:pStyle w:val="TableParagraph"/>
              <w:jc w:val="center"/>
              <w:rPr>
                <w:rFonts w:ascii="Arial"/>
                <w:sz w:val="20"/>
              </w:rPr>
            </w:pPr>
          </w:p>
          <w:p w14:paraId="2651E0B7" w14:textId="77777777" w:rsidR="00782D94" w:rsidRPr="00FC148F" w:rsidRDefault="00782D94" w:rsidP="004C033C">
            <w:pPr>
              <w:pStyle w:val="TableParagraph"/>
              <w:jc w:val="center"/>
              <w:rPr>
                <w:rFonts w:ascii="Arial"/>
                <w:sz w:val="20"/>
              </w:rPr>
            </w:pPr>
          </w:p>
          <w:p w14:paraId="2E268C05"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0FC5E060" wp14:editId="353D88A2">
                  <wp:extent cx="114300" cy="114300"/>
                  <wp:effectExtent l="0" t="0" r="0" b="0"/>
                  <wp:docPr id="14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7E5EA0D7" w14:textId="77777777" w:rsidTr="00782D94">
        <w:trPr>
          <w:trHeight w:val="1583"/>
        </w:trPr>
        <w:tc>
          <w:tcPr>
            <w:tcW w:w="2687" w:type="dxa"/>
            <w:tcBorders>
              <w:top w:val="nil"/>
              <w:left w:val="single" w:sz="12" w:space="0" w:color="BABABA"/>
              <w:bottom w:val="single" w:sz="12" w:space="0" w:color="BABABA"/>
              <w:right w:val="single" w:sz="12" w:space="0" w:color="BABABA"/>
            </w:tcBorders>
          </w:tcPr>
          <w:p w14:paraId="199A7DA3" w14:textId="77777777" w:rsidR="00782D94" w:rsidRPr="00FC148F" w:rsidRDefault="00782D94" w:rsidP="004C033C">
            <w:pPr>
              <w:pStyle w:val="TableParagraph"/>
              <w:spacing w:line="269" w:lineRule="exact"/>
              <w:ind w:left="185"/>
              <w:rPr>
                <w:w w:val="105"/>
                <w:sz w:val="19"/>
              </w:rPr>
            </w:pPr>
            <w:r>
              <w:rPr>
                <w:w w:val="105"/>
                <w:sz w:val="19"/>
              </w:rPr>
              <w:t>Facilitate the development of digital on-boarding processes, which build on the e-IDAS Regulation</w:t>
            </w:r>
          </w:p>
        </w:tc>
        <w:tc>
          <w:tcPr>
            <w:tcW w:w="1115" w:type="dxa"/>
            <w:tcBorders>
              <w:top w:val="nil"/>
              <w:left w:val="single" w:sz="12" w:space="0" w:color="BABABA"/>
              <w:bottom w:val="single" w:sz="12" w:space="0" w:color="BABABA"/>
              <w:right w:val="single" w:sz="12" w:space="0" w:color="BABABA"/>
            </w:tcBorders>
          </w:tcPr>
          <w:p w14:paraId="56D29408" w14:textId="77777777" w:rsidR="00782D94" w:rsidRPr="00FC148F" w:rsidRDefault="00782D94" w:rsidP="004C033C">
            <w:pPr>
              <w:pStyle w:val="TableParagraph"/>
              <w:jc w:val="center"/>
              <w:rPr>
                <w:rFonts w:ascii="Arial"/>
                <w:sz w:val="20"/>
              </w:rPr>
            </w:pPr>
          </w:p>
          <w:p w14:paraId="6785CB20" w14:textId="77777777" w:rsidR="00782D94" w:rsidRPr="00FC148F" w:rsidRDefault="00782D94" w:rsidP="004C033C">
            <w:pPr>
              <w:pStyle w:val="TableParagraph"/>
              <w:jc w:val="center"/>
              <w:rPr>
                <w:rFonts w:ascii="Arial"/>
                <w:sz w:val="20"/>
              </w:rPr>
            </w:pPr>
          </w:p>
          <w:p w14:paraId="12CE6AC3" w14:textId="77777777" w:rsidR="00782D94" w:rsidRPr="00FC148F" w:rsidRDefault="00782D94" w:rsidP="004C033C">
            <w:pPr>
              <w:pStyle w:val="TableParagraph"/>
              <w:jc w:val="center"/>
              <w:rPr>
                <w:rFonts w:ascii="Arial"/>
                <w:sz w:val="20"/>
              </w:rPr>
            </w:pPr>
          </w:p>
          <w:p w14:paraId="13E2700B"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14AF8CD1" wp14:editId="2DB9D8DC">
                  <wp:extent cx="114300" cy="114300"/>
                  <wp:effectExtent l="0" t="0" r="0" b="0"/>
                  <wp:docPr id="14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70F1081F" w14:textId="77777777" w:rsidR="00782D94" w:rsidRPr="00FC148F" w:rsidRDefault="00782D94" w:rsidP="004C033C">
            <w:pPr>
              <w:pStyle w:val="TableParagraph"/>
              <w:jc w:val="center"/>
              <w:rPr>
                <w:rFonts w:ascii="Arial"/>
                <w:sz w:val="20"/>
              </w:rPr>
            </w:pPr>
          </w:p>
          <w:p w14:paraId="69D17AF4" w14:textId="77777777" w:rsidR="00782D94" w:rsidRPr="00FC148F" w:rsidRDefault="00782D94" w:rsidP="004C033C">
            <w:pPr>
              <w:pStyle w:val="TableParagraph"/>
              <w:jc w:val="center"/>
              <w:rPr>
                <w:rFonts w:ascii="Arial"/>
                <w:sz w:val="20"/>
              </w:rPr>
            </w:pPr>
          </w:p>
          <w:p w14:paraId="2466DFD9" w14:textId="77777777" w:rsidR="00782D94" w:rsidRPr="00FC148F" w:rsidRDefault="00782D94" w:rsidP="004C033C">
            <w:pPr>
              <w:pStyle w:val="TableParagraph"/>
              <w:jc w:val="center"/>
              <w:rPr>
                <w:rFonts w:ascii="Arial"/>
                <w:sz w:val="20"/>
              </w:rPr>
            </w:pPr>
          </w:p>
          <w:p w14:paraId="19A64F51"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4DC14CD5" wp14:editId="0BAD6A36">
                  <wp:extent cx="114300" cy="114300"/>
                  <wp:effectExtent l="0" t="0" r="0" b="0"/>
                  <wp:docPr id="14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left w:val="single" w:sz="12" w:space="0" w:color="BABABA"/>
              <w:bottom w:val="single" w:sz="12" w:space="0" w:color="BABABA"/>
              <w:right w:val="single" w:sz="12" w:space="0" w:color="BABABA"/>
            </w:tcBorders>
          </w:tcPr>
          <w:p w14:paraId="1C3D94D8" w14:textId="77777777" w:rsidR="00782D94" w:rsidRPr="00FC148F" w:rsidRDefault="00782D94" w:rsidP="004C033C">
            <w:pPr>
              <w:pStyle w:val="TableParagraph"/>
              <w:jc w:val="center"/>
              <w:rPr>
                <w:rFonts w:ascii="Arial"/>
                <w:sz w:val="20"/>
              </w:rPr>
            </w:pPr>
          </w:p>
          <w:p w14:paraId="0183E1B6" w14:textId="77777777" w:rsidR="00782D94" w:rsidRPr="00FC148F" w:rsidRDefault="00782D94" w:rsidP="004C033C">
            <w:pPr>
              <w:pStyle w:val="TableParagraph"/>
              <w:jc w:val="center"/>
              <w:rPr>
                <w:rFonts w:ascii="Arial"/>
                <w:sz w:val="20"/>
              </w:rPr>
            </w:pPr>
          </w:p>
          <w:p w14:paraId="3B76C248" w14:textId="77777777" w:rsidR="00782D94" w:rsidRPr="00FC148F" w:rsidRDefault="00782D94" w:rsidP="004C033C">
            <w:pPr>
              <w:pStyle w:val="TableParagraph"/>
              <w:jc w:val="center"/>
              <w:rPr>
                <w:rFonts w:ascii="Arial"/>
                <w:sz w:val="20"/>
              </w:rPr>
            </w:pPr>
          </w:p>
          <w:p w14:paraId="560822B7"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16D06380" wp14:editId="5385DCB9">
                  <wp:extent cx="114300" cy="114300"/>
                  <wp:effectExtent l="0" t="0" r="0" b="0"/>
                  <wp:docPr id="14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1128B4A1" w14:textId="77777777" w:rsidR="00782D94" w:rsidRPr="00FC148F" w:rsidRDefault="00782D94" w:rsidP="004C033C">
            <w:pPr>
              <w:pStyle w:val="TableParagraph"/>
              <w:jc w:val="center"/>
              <w:rPr>
                <w:rFonts w:ascii="Arial"/>
                <w:sz w:val="20"/>
              </w:rPr>
            </w:pPr>
          </w:p>
          <w:p w14:paraId="61A63869" w14:textId="77777777" w:rsidR="00782D94" w:rsidRPr="00FC148F" w:rsidRDefault="00782D94" w:rsidP="004C033C">
            <w:pPr>
              <w:pStyle w:val="TableParagraph"/>
              <w:jc w:val="center"/>
              <w:rPr>
                <w:rFonts w:ascii="Arial"/>
                <w:sz w:val="20"/>
              </w:rPr>
            </w:pPr>
          </w:p>
          <w:p w14:paraId="40CF0FA0" w14:textId="77777777" w:rsidR="00782D94" w:rsidRPr="00FC148F" w:rsidRDefault="00782D94" w:rsidP="004C033C">
            <w:pPr>
              <w:pStyle w:val="TableParagraph"/>
              <w:jc w:val="center"/>
              <w:rPr>
                <w:rFonts w:ascii="Arial"/>
                <w:sz w:val="20"/>
              </w:rPr>
            </w:pPr>
          </w:p>
          <w:p w14:paraId="62975426"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51717A06" wp14:editId="096329B3">
                  <wp:extent cx="114300" cy="114300"/>
                  <wp:effectExtent l="0" t="0" r="0" b="0"/>
                  <wp:docPr id="14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62842CA4" w14:textId="77777777" w:rsidR="00782D94" w:rsidRPr="00FC148F" w:rsidRDefault="00782D94" w:rsidP="004C033C">
            <w:pPr>
              <w:pStyle w:val="TableParagraph"/>
              <w:jc w:val="center"/>
              <w:rPr>
                <w:rFonts w:ascii="Arial"/>
                <w:sz w:val="20"/>
              </w:rPr>
            </w:pPr>
          </w:p>
          <w:p w14:paraId="03B16C91" w14:textId="77777777" w:rsidR="00782D94" w:rsidRPr="00FC148F" w:rsidRDefault="00782D94" w:rsidP="004C033C">
            <w:pPr>
              <w:pStyle w:val="TableParagraph"/>
              <w:jc w:val="center"/>
              <w:rPr>
                <w:rFonts w:ascii="Arial"/>
                <w:sz w:val="20"/>
              </w:rPr>
            </w:pPr>
          </w:p>
          <w:p w14:paraId="489EBA1C" w14:textId="77777777" w:rsidR="00782D94" w:rsidRPr="00FC148F" w:rsidRDefault="00782D94" w:rsidP="004C033C">
            <w:pPr>
              <w:pStyle w:val="TableParagraph"/>
              <w:jc w:val="center"/>
              <w:rPr>
                <w:rFonts w:ascii="Arial"/>
                <w:sz w:val="20"/>
              </w:rPr>
            </w:pPr>
          </w:p>
          <w:p w14:paraId="0C56B04C" w14:textId="77777777" w:rsidR="00782D94" w:rsidRPr="00FC148F" w:rsidRDefault="00782D94" w:rsidP="004C033C">
            <w:pPr>
              <w:pStyle w:val="TableParagraph"/>
              <w:jc w:val="center"/>
              <w:rPr>
                <w:rFonts w:ascii="Arial"/>
                <w:sz w:val="20"/>
              </w:rPr>
            </w:pPr>
            <w:r w:rsidRPr="00FC148F">
              <w:rPr>
                <w:rFonts w:ascii="Arial"/>
                <w:sz w:val="20"/>
              </w:rPr>
              <w:t>X</w:t>
            </w:r>
          </w:p>
        </w:tc>
        <w:tc>
          <w:tcPr>
            <w:tcW w:w="588" w:type="dxa"/>
            <w:tcBorders>
              <w:top w:val="nil"/>
              <w:left w:val="single" w:sz="12" w:space="0" w:color="BABABA"/>
              <w:bottom w:val="single" w:sz="12" w:space="0" w:color="BABABA"/>
              <w:right w:val="single" w:sz="12" w:space="0" w:color="BABABA"/>
            </w:tcBorders>
          </w:tcPr>
          <w:p w14:paraId="74B60B34" w14:textId="77777777" w:rsidR="00782D94" w:rsidRPr="00FC148F" w:rsidRDefault="00782D94" w:rsidP="004C033C">
            <w:pPr>
              <w:pStyle w:val="TableParagraph"/>
              <w:jc w:val="center"/>
              <w:rPr>
                <w:rFonts w:ascii="Arial"/>
                <w:sz w:val="20"/>
              </w:rPr>
            </w:pPr>
          </w:p>
          <w:p w14:paraId="06D8C18E" w14:textId="77777777" w:rsidR="00782D94" w:rsidRPr="00FC148F" w:rsidRDefault="00782D94" w:rsidP="004C033C">
            <w:pPr>
              <w:pStyle w:val="TableParagraph"/>
              <w:jc w:val="center"/>
              <w:rPr>
                <w:rFonts w:ascii="Arial"/>
                <w:sz w:val="20"/>
              </w:rPr>
            </w:pPr>
          </w:p>
          <w:p w14:paraId="44861B35" w14:textId="77777777" w:rsidR="00782D94" w:rsidRPr="00FC148F" w:rsidRDefault="00782D94" w:rsidP="004C033C">
            <w:pPr>
              <w:pStyle w:val="TableParagraph"/>
              <w:jc w:val="center"/>
              <w:rPr>
                <w:rFonts w:ascii="Arial"/>
                <w:sz w:val="20"/>
              </w:rPr>
            </w:pPr>
          </w:p>
          <w:p w14:paraId="67CEAA0D"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3C43729F" wp14:editId="02911941">
                  <wp:extent cx="114300" cy="114300"/>
                  <wp:effectExtent l="0" t="0" r="0" b="0"/>
                  <wp:docPr id="14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0340B09B" w14:textId="77777777" w:rsidTr="00782D94">
        <w:trPr>
          <w:trHeight w:val="1583"/>
        </w:trPr>
        <w:tc>
          <w:tcPr>
            <w:tcW w:w="2687" w:type="dxa"/>
            <w:tcBorders>
              <w:top w:val="nil"/>
              <w:left w:val="single" w:sz="12" w:space="0" w:color="BABABA"/>
              <w:bottom w:val="single" w:sz="12" w:space="0" w:color="BABABA"/>
              <w:right w:val="single" w:sz="12" w:space="0" w:color="BABABA"/>
            </w:tcBorders>
          </w:tcPr>
          <w:p w14:paraId="0F4D5C6F" w14:textId="77777777" w:rsidR="00782D94" w:rsidRPr="00FC148F" w:rsidRDefault="00782D94" w:rsidP="004C033C">
            <w:pPr>
              <w:pStyle w:val="TableParagraph"/>
              <w:spacing w:line="269" w:lineRule="exact"/>
              <w:ind w:left="185"/>
              <w:rPr>
                <w:w w:val="105"/>
                <w:sz w:val="19"/>
              </w:rPr>
            </w:pPr>
            <w:r>
              <w:rPr>
                <w:w w:val="105"/>
                <w:sz w:val="19"/>
              </w:rPr>
              <w:lastRenderedPageBreak/>
              <w:t>Facilitate cooperation between public authorities and private sector digital identity solution providers</w:t>
            </w:r>
          </w:p>
        </w:tc>
        <w:tc>
          <w:tcPr>
            <w:tcW w:w="1115" w:type="dxa"/>
            <w:tcBorders>
              <w:top w:val="nil"/>
              <w:left w:val="single" w:sz="12" w:space="0" w:color="BABABA"/>
              <w:bottom w:val="single" w:sz="12" w:space="0" w:color="BABABA"/>
              <w:right w:val="single" w:sz="12" w:space="0" w:color="BABABA"/>
            </w:tcBorders>
          </w:tcPr>
          <w:p w14:paraId="25DFB969" w14:textId="77777777" w:rsidR="00782D94" w:rsidRPr="00FC148F" w:rsidRDefault="00782D94" w:rsidP="004C033C">
            <w:pPr>
              <w:pStyle w:val="TableParagraph"/>
              <w:jc w:val="center"/>
              <w:rPr>
                <w:rFonts w:ascii="Arial"/>
                <w:sz w:val="20"/>
              </w:rPr>
            </w:pPr>
          </w:p>
          <w:p w14:paraId="12D8B5A2" w14:textId="77777777" w:rsidR="00782D94" w:rsidRPr="00FC148F" w:rsidRDefault="00782D94" w:rsidP="004C033C">
            <w:pPr>
              <w:pStyle w:val="TableParagraph"/>
              <w:jc w:val="center"/>
              <w:rPr>
                <w:rFonts w:ascii="Arial"/>
                <w:sz w:val="20"/>
              </w:rPr>
            </w:pPr>
          </w:p>
          <w:p w14:paraId="1EBCBC14" w14:textId="77777777" w:rsidR="00782D94" w:rsidRPr="00FC148F" w:rsidRDefault="00782D94" w:rsidP="004C033C">
            <w:pPr>
              <w:pStyle w:val="TableParagraph"/>
              <w:jc w:val="center"/>
              <w:rPr>
                <w:rFonts w:ascii="Arial"/>
                <w:sz w:val="20"/>
              </w:rPr>
            </w:pPr>
          </w:p>
          <w:p w14:paraId="498815E5"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13827DC6" wp14:editId="101FE063">
                  <wp:extent cx="114300" cy="114300"/>
                  <wp:effectExtent l="0" t="0" r="0" b="0"/>
                  <wp:docPr id="14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04BCC8BD" w14:textId="77777777" w:rsidR="00782D94" w:rsidRPr="00FC148F" w:rsidRDefault="00782D94" w:rsidP="004C033C">
            <w:pPr>
              <w:pStyle w:val="TableParagraph"/>
              <w:jc w:val="center"/>
              <w:rPr>
                <w:rFonts w:ascii="Arial"/>
                <w:sz w:val="20"/>
              </w:rPr>
            </w:pPr>
          </w:p>
          <w:p w14:paraId="596DA644" w14:textId="77777777" w:rsidR="00782D94" w:rsidRPr="00FC148F" w:rsidRDefault="00782D94" w:rsidP="004C033C">
            <w:pPr>
              <w:pStyle w:val="TableParagraph"/>
              <w:jc w:val="center"/>
              <w:rPr>
                <w:rFonts w:ascii="Arial"/>
                <w:sz w:val="20"/>
              </w:rPr>
            </w:pPr>
          </w:p>
          <w:p w14:paraId="5E9073F7" w14:textId="77777777" w:rsidR="00782D94" w:rsidRPr="00FC148F" w:rsidRDefault="00782D94" w:rsidP="004C033C">
            <w:pPr>
              <w:pStyle w:val="TableParagraph"/>
              <w:jc w:val="center"/>
              <w:rPr>
                <w:rFonts w:ascii="Arial"/>
                <w:sz w:val="20"/>
              </w:rPr>
            </w:pPr>
          </w:p>
          <w:p w14:paraId="66BDAED5"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31EFFD13" wp14:editId="5ECC83D6">
                  <wp:extent cx="114300" cy="114300"/>
                  <wp:effectExtent l="0" t="0" r="0" b="0"/>
                  <wp:docPr id="14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left w:val="single" w:sz="12" w:space="0" w:color="BABABA"/>
              <w:bottom w:val="single" w:sz="12" w:space="0" w:color="BABABA"/>
              <w:right w:val="single" w:sz="12" w:space="0" w:color="BABABA"/>
            </w:tcBorders>
          </w:tcPr>
          <w:p w14:paraId="15E914FF" w14:textId="77777777" w:rsidR="00782D94" w:rsidRPr="00FC148F" w:rsidRDefault="00782D94" w:rsidP="004C033C">
            <w:pPr>
              <w:pStyle w:val="TableParagraph"/>
              <w:jc w:val="center"/>
              <w:rPr>
                <w:rFonts w:ascii="Arial"/>
                <w:sz w:val="20"/>
              </w:rPr>
            </w:pPr>
          </w:p>
          <w:p w14:paraId="29D73887" w14:textId="77777777" w:rsidR="00782D94" w:rsidRPr="00FC148F" w:rsidRDefault="00782D94" w:rsidP="004C033C">
            <w:pPr>
              <w:pStyle w:val="TableParagraph"/>
              <w:jc w:val="center"/>
              <w:rPr>
                <w:rFonts w:ascii="Arial"/>
                <w:sz w:val="20"/>
              </w:rPr>
            </w:pPr>
          </w:p>
          <w:p w14:paraId="40A06E3B" w14:textId="77777777" w:rsidR="00782D94" w:rsidRPr="00FC148F" w:rsidRDefault="00782D94" w:rsidP="004C033C">
            <w:pPr>
              <w:pStyle w:val="TableParagraph"/>
              <w:jc w:val="center"/>
              <w:rPr>
                <w:rFonts w:ascii="Arial"/>
                <w:sz w:val="20"/>
              </w:rPr>
            </w:pPr>
          </w:p>
          <w:p w14:paraId="65B1A972" w14:textId="77777777" w:rsidR="00782D94" w:rsidRPr="00FC148F" w:rsidRDefault="00782D94" w:rsidP="004C033C">
            <w:pPr>
              <w:pStyle w:val="TableParagraph"/>
              <w:jc w:val="center"/>
              <w:rPr>
                <w:rFonts w:ascii="Arial"/>
                <w:sz w:val="20"/>
              </w:rPr>
            </w:pPr>
            <w:r w:rsidRPr="00FC148F">
              <w:rPr>
                <w:rFonts w:ascii="Arial"/>
                <w:sz w:val="20"/>
              </w:rPr>
              <w:t>X</w:t>
            </w:r>
          </w:p>
        </w:tc>
        <w:tc>
          <w:tcPr>
            <w:tcW w:w="968" w:type="dxa"/>
            <w:tcBorders>
              <w:top w:val="nil"/>
              <w:left w:val="single" w:sz="12" w:space="0" w:color="BABABA"/>
              <w:bottom w:val="single" w:sz="12" w:space="0" w:color="BABABA"/>
              <w:right w:val="single" w:sz="12" w:space="0" w:color="BABABA"/>
            </w:tcBorders>
          </w:tcPr>
          <w:p w14:paraId="6BBE5659" w14:textId="77777777" w:rsidR="00782D94" w:rsidRPr="00FC148F" w:rsidRDefault="00782D94" w:rsidP="004C033C">
            <w:pPr>
              <w:pStyle w:val="TableParagraph"/>
              <w:jc w:val="center"/>
              <w:rPr>
                <w:rFonts w:ascii="Arial"/>
                <w:sz w:val="20"/>
              </w:rPr>
            </w:pPr>
          </w:p>
          <w:p w14:paraId="00038FAB" w14:textId="77777777" w:rsidR="00782D94" w:rsidRPr="00FC148F" w:rsidRDefault="00782D94" w:rsidP="004C033C">
            <w:pPr>
              <w:pStyle w:val="TableParagraph"/>
              <w:jc w:val="center"/>
              <w:rPr>
                <w:rFonts w:ascii="Arial"/>
                <w:sz w:val="20"/>
              </w:rPr>
            </w:pPr>
          </w:p>
          <w:p w14:paraId="23AB4600" w14:textId="77777777" w:rsidR="00782D94" w:rsidRPr="00FC148F" w:rsidRDefault="00782D94" w:rsidP="004C033C">
            <w:pPr>
              <w:pStyle w:val="TableParagraph"/>
              <w:jc w:val="center"/>
              <w:rPr>
                <w:rFonts w:ascii="Arial"/>
                <w:sz w:val="20"/>
              </w:rPr>
            </w:pPr>
          </w:p>
          <w:p w14:paraId="7CA92E49"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66EAA2F3" wp14:editId="527A27EE">
                  <wp:extent cx="114300" cy="114300"/>
                  <wp:effectExtent l="0" t="0" r="0" b="0"/>
                  <wp:docPr id="14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left w:val="single" w:sz="12" w:space="0" w:color="BABABA"/>
              <w:bottom w:val="single" w:sz="12" w:space="0" w:color="BABABA"/>
              <w:right w:val="single" w:sz="12" w:space="0" w:color="BABABA"/>
            </w:tcBorders>
          </w:tcPr>
          <w:p w14:paraId="0161AEB5" w14:textId="77777777" w:rsidR="00782D94" w:rsidRPr="00FC148F" w:rsidRDefault="00782D94" w:rsidP="004C033C">
            <w:pPr>
              <w:pStyle w:val="TableParagraph"/>
              <w:jc w:val="center"/>
              <w:rPr>
                <w:rFonts w:ascii="Arial"/>
                <w:sz w:val="20"/>
              </w:rPr>
            </w:pPr>
          </w:p>
          <w:p w14:paraId="1B77FB25" w14:textId="77777777" w:rsidR="00782D94" w:rsidRPr="00FC148F" w:rsidRDefault="00782D94" w:rsidP="004C033C">
            <w:pPr>
              <w:pStyle w:val="TableParagraph"/>
              <w:jc w:val="center"/>
              <w:rPr>
                <w:rFonts w:ascii="Arial"/>
                <w:sz w:val="20"/>
              </w:rPr>
            </w:pPr>
          </w:p>
          <w:p w14:paraId="64EA866B" w14:textId="77777777" w:rsidR="00782D94" w:rsidRPr="00FC148F" w:rsidRDefault="00782D94" w:rsidP="004C033C">
            <w:pPr>
              <w:pStyle w:val="TableParagraph"/>
              <w:jc w:val="center"/>
              <w:rPr>
                <w:rFonts w:ascii="Arial"/>
                <w:sz w:val="20"/>
              </w:rPr>
            </w:pPr>
          </w:p>
          <w:p w14:paraId="1433A342"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335AC5A1" wp14:editId="3C5C881B">
                  <wp:extent cx="114300" cy="114300"/>
                  <wp:effectExtent l="0" t="0" r="0" b="0"/>
                  <wp:docPr id="14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dxa"/>
            <w:tcBorders>
              <w:top w:val="nil"/>
              <w:left w:val="single" w:sz="12" w:space="0" w:color="BABABA"/>
              <w:bottom w:val="single" w:sz="12" w:space="0" w:color="BABABA"/>
              <w:right w:val="single" w:sz="12" w:space="0" w:color="BABABA"/>
            </w:tcBorders>
          </w:tcPr>
          <w:p w14:paraId="1C0AD7D2" w14:textId="77777777" w:rsidR="00782D94" w:rsidRPr="00FC148F" w:rsidRDefault="00782D94" w:rsidP="004C033C">
            <w:pPr>
              <w:pStyle w:val="TableParagraph"/>
              <w:jc w:val="center"/>
              <w:rPr>
                <w:rFonts w:ascii="Arial"/>
                <w:sz w:val="20"/>
              </w:rPr>
            </w:pPr>
          </w:p>
          <w:p w14:paraId="670659A5" w14:textId="77777777" w:rsidR="00782D94" w:rsidRPr="00FC148F" w:rsidRDefault="00782D94" w:rsidP="004C033C">
            <w:pPr>
              <w:pStyle w:val="TableParagraph"/>
              <w:jc w:val="center"/>
              <w:rPr>
                <w:rFonts w:ascii="Arial"/>
                <w:sz w:val="20"/>
              </w:rPr>
            </w:pPr>
          </w:p>
          <w:p w14:paraId="79A9FE48" w14:textId="77777777" w:rsidR="00782D94" w:rsidRPr="00FC148F" w:rsidRDefault="00782D94" w:rsidP="004C033C">
            <w:pPr>
              <w:pStyle w:val="TableParagraph"/>
              <w:jc w:val="center"/>
              <w:rPr>
                <w:rFonts w:ascii="Arial"/>
                <w:sz w:val="20"/>
              </w:rPr>
            </w:pPr>
          </w:p>
          <w:p w14:paraId="098D0D37" w14:textId="77777777" w:rsidR="00782D94" w:rsidRPr="00FC148F" w:rsidRDefault="00782D94" w:rsidP="004C033C">
            <w:pPr>
              <w:pStyle w:val="TableParagraph"/>
              <w:jc w:val="center"/>
              <w:rPr>
                <w:rFonts w:ascii="Arial"/>
                <w:sz w:val="20"/>
              </w:rPr>
            </w:pPr>
            <w:r w:rsidRPr="00FC148F">
              <w:rPr>
                <w:rFonts w:ascii="Arial"/>
                <w:noProof/>
                <w:sz w:val="20"/>
                <w:lang w:val="en-GB" w:eastAsia="en-GB"/>
              </w:rPr>
              <w:drawing>
                <wp:inline distT="0" distB="0" distL="0" distR="0" wp14:anchorId="44DE4CC0" wp14:editId="1F332C88">
                  <wp:extent cx="114300" cy="114300"/>
                  <wp:effectExtent l="0" t="0" r="0" b="0"/>
                  <wp:docPr id="14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61097706" w14:textId="77777777" w:rsidTr="00782D94">
        <w:trPr>
          <w:trHeight w:val="1583"/>
        </w:trPr>
        <w:tc>
          <w:tcPr>
            <w:tcW w:w="2687" w:type="dxa"/>
            <w:tcBorders>
              <w:top w:val="nil"/>
            </w:tcBorders>
          </w:tcPr>
          <w:p w14:paraId="63C3D192" w14:textId="77777777" w:rsidR="00782D94" w:rsidRDefault="00782D94" w:rsidP="004C033C">
            <w:pPr>
              <w:pStyle w:val="TableParagraph"/>
              <w:spacing w:line="269" w:lineRule="exact"/>
              <w:ind w:left="185"/>
              <w:rPr>
                <w:sz w:val="19"/>
              </w:rPr>
            </w:pPr>
            <w:r>
              <w:rPr>
                <w:w w:val="105"/>
                <w:sz w:val="19"/>
              </w:rPr>
              <w:t>Integrate KYC attributes into e-</w:t>
            </w:r>
          </w:p>
          <w:p w14:paraId="6A4BAEC6" w14:textId="77777777" w:rsidR="00782D94" w:rsidRDefault="00782D94" w:rsidP="004C033C">
            <w:pPr>
              <w:pStyle w:val="TableParagraph"/>
              <w:spacing w:before="12" w:line="199" w:lineRule="auto"/>
              <w:ind w:left="185" w:right="175"/>
              <w:rPr>
                <w:sz w:val="19"/>
              </w:rPr>
            </w:pPr>
            <w:r>
              <w:rPr>
                <w:w w:val="105"/>
                <w:sz w:val="19"/>
              </w:rPr>
              <w:t>IDAS in order to enable on- boarding through trusted digital identities</w:t>
            </w:r>
          </w:p>
        </w:tc>
        <w:tc>
          <w:tcPr>
            <w:tcW w:w="1115" w:type="dxa"/>
            <w:tcBorders>
              <w:top w:val="nil"/>
            </w:tcBorders>
          </w:tcPr>
          <w:p w14:paraId="747CBF83" w14:textId="77777777" w:rsidR="00782D94" w:rsidRDefault="00782D94" w:rsidP="004C033C">
            <w:pPr>
              <w:pStyle w:val="TableParagraph"/>
              <w:rPr>
                <w:rFonts w:ascii="Arial"/>
                <w:b/>
                <w:sz w:val="20"/>
              </w:rPr>
            </w:pPr>
          </w:p>
          <w:p w14:paraId="70CBFFC5" w14:textId="77777777" w:rsidR="00782D94" w:rsidRDefault="00782D94" w:rsidP="004C033C">
            <w:pPr>
              <w:pStyle w:val="TableParagraph"/>
              <w:spacing w:before="6"/>
              <w:rPr>
                <w:rFonts w:ascii="Arial"/>
                <w:b/>
                <w:sz w:val="17"/>
              </w:rPr>
            </w:pPr>
          </w:p>
          <w:p w14:paraId="5D201A15" w14:textId="67AC5C78" w:rsidR="00782D94" w:rsidRDefault="009A344B" w:rsidP="004C033C">
            <w:pPr>
              <w:pStyle w:val="TableParagraph"/>
              <w:spacing w:line="180" w:lineRule="exact"/>
              <w:ind w:left="553"/>
              <w:rPr>
                <w:rFonts w:ascii="Arial"/>
                <w:sz w:val="18"/>
              </w:rPr>
            </w:pPr>
            <w:r>
              <w:rPr>
                <w:rFonts w:ascii="Arial"/>
              </w:rPr>
              <w:t xml:space="preserve"> X</w:t>
            </w:r>
          </w:p>
        </w:tc>
        <w:tc>
          <w:tcPr>
            <w:tcW w:w="968" w:type="dxa"/>
            <w:tcBorders>
              <w:top w:val="nil"/>
            </w:tcBorders>
          </w:tcPr>
          <w:p w14:paraId="339578AA" w14:textId="77777777" w:rsidR="00782D94" w:rsidRDefault="00782D94" w:rsidP="004C033C">
            <w:pPr>
              <w:pStyle w:val="TableParagraph"/>
              <w:rPr>
                <w:rFonts w:ascii="Arial"/>
                <w:b/>
                <w:sz w:val="20"/>
              </w:rPr>
            </w:pPr>
          </w:p>
          <w:p w14:paraId="0842CDDB" w14:textId="77777777" w:rsidR="00782D94" w:rsidRDefault="00782D94" w:rsidP="004C033C">
            <w:pPr>
              <w:pStyle w:val="TableParagraph"/>
              <w:spacing w:before="6"/>
              <w:rPr>
                <w:rFonts w:ascii="Arial"/>
                <w:b/>
                <w:sz w:val="17"/>
              </w:rPr>
            </w:pPr>
          </w:p>
          <w:p w14:paraId="05DFF19A" w14:textId="77777777" w:rsidR="00782D94" w:rsidRDefault="00782D94" w:rsidP="004C033C">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34564CC" wp14:editId="68389CE1">
                  <wp:extent cx="114300" cy="114300"/>
                  <wp:effectExtent l="0" t="0" r="0" b="0"/>
                  <wp:docPr id="14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Borders>
              <w:top w:val="nil"/>
            </w:tcBorders>
          </w:tcPr>
          <w:p w14:paraId="7B444668" w14:textId="77777777" w:rsidR="00782D94" w:rsidRDefault="00782D94" w:rsidP="004C033C">
            <w:pPr>
              <w:pStyle w:val="TableParagraph"/>
              <w:rPr>
                <w:rFonts w:ascii="Arial"/>
                <w:b/>
                <w:sz w:val="20"/>
              </w:rPr>
            </w:pPr>
          </w:p>
          <w:p w14:paraId="054DFD18" w14:textId="77777777" w:rsidR="00782D94" w:rsidRDefault="00782D94" w:rsidP="004C033C">
            <w:pPr>
              <w:pStyle w:val="TableParagraph"/>
              <w:spacing w:before="6"/>
              <w:rPr>
                <w:rFonts w:ascii="Arial"/>
                <w:b/>
                <w:sz w:val="17"/>
              </w:rPr>
            </w:pPr>
          </w:p>
          <w:p w14:paraId="1BF33832" w14:textId="77777777" w:rsidR="00782D94" w:rsidRDefault="00782D94" w:rsidP="004C033C">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5EE75B79" wp14:editId="6CAD14D6">
                  <wp:extent cx="114300" cy="114300"/>
                  <wp:effectExtent l="0" t="0" r="0" b="0"/>
                  <wp:docPr id="14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tcBorders>
          </w:tcPr>
          <w:p w14:paraId="5CBF8BA9" w14:textId="77777777" w:rsidR="00782D94" w:rsidRDefault="00782D94" w:rsidP="004C033C">
            <w:pPr>
              <w:pStyle w:val="TableParagraph"/>
              <w:rPr>
                <w:rFonts w:ascii="Arial"/>
                <w:b/>
                <w:sz w:val="20"/>
              </w:rPr>
            </w:pPr>
          </w:p>
          <w:p w14:paraId="3B5DC6C2" w14:textId="77777777" w:rsidR="00782D94" w:rsidRDefault="00782D94" w:rsidP="004C033C">
            <w:pPr>
              <w:pStyle w:val="TableParagraph"/>
              <w:spacing w:before="6"/>
              <w:rPr>
                <w:rFonts w:ascii="Arial"/>
                <w:b/>
                <w:sz w:val="17"/>
              </w:rPr>
            </w:pPr>
          </w:p>
          <w:p w14:paraId="179EDDB1" w14:textId="77777777" w:rsidR="00782D94" w:rsidRDefault="00782D94" w:rsidP="004C033C">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47053474" wp14:editId="2DBA1065">
                  <wp:extent cx="114300" cy="114300"/>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Borders>
              <w:top w:val="nil"/>
            </w:tcBorders>
          </w:tcPr>
          <w:p w14:paraId="44AB8147" w14:textId="77777777" w:rsidR="00782D94" w:rsidRDefault="00782D94" w:rsidP="004C033C">
            <w:pPr>
              <w:pStyle w:val="TableParagraph"/>
              <w:rPr>
                <w:rFonts w:ascii="Arial"/>
                <w:b/>
                <w:sz w:val="20"/>
              </w:rPr>
            </w:pPr>
          </w:p>
          <w:p w14:paraId="028B608E" w14:textId="77777777" w:rsidR="00782D94" w:rsidRDefault="00782D94" w:rsidP="004C033C">
            <w:pPr>
              <w:pStyle w:val="TableParagraph"/>
              <w:spacing w:before="6"/>
              <w:rPr>
                <w:rFonts w:ascii="Arial"/>
                <w:b/>
                <w:sz w:val="17"/>
              </w:rPr>
            </w:pPr>
          </w:p>
          <w:p w14:paraId="3803E04F" w14:textId="77777777" w:rsidR="00782D94" w:rsidRDefault="00782D94" w:rsidP="004C033C">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5613CCC1" wp14:editId="50A2EEB0">
                  <wp:extent cx="114300" cy="114300"/>
                  <wp:effectExtent l="0" t="0" r="0" b="0"/>
                  <wp:docPr id="14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dxa"/>
            <w:tcBorders>
              <w:top w:val="nil"/>
            </w:tcBorders>
          </w:tcPr>
          <w:p w14:paraId="07C0FD70" w14:textId="77777777" w:rsidR="00782D94" w:rsidRDefault="00782D94" w:rsidP="004C033C">
            <w:pPr>
              <w:pStyle w:val="TableParagraph"/>
              <w:rPr>
                <w:rFonts w:ascii="Arial"/>
                <w:b/>
                <w:sz w:val="20"/>
              </w:rPr>
            </w:pPr>
          </w:p>
          <w:p w14:paraId="11C767CA" w14:textId="77777777" w:rsidR="00782D94" w:rsidRDefault="00782D94" w:rsidP="004C033C">
            <w:pPr>
              <w:pStyle w:val="TableParagraph"/>
              <w:spacing w:before="6"/>
              <w:rPr>
                <w:rFonts w:ascii="Arial"/>
                <w:b/>
                <w:sz w:val="17"/>
              </w:rPr>
            </w:pPr>
          </w:p>
          <w:p w14:paraId="29E56968" w14:textId="33B5D6DB" w:rsidR="00782D94" w:rsidRPr="00FC148F" w:rsidRDefault="009A344B" w:rsidP="004C033C">
            <w:pPr>
              <w:pStyle w:val="TableParagraph"/>
              <w:spacing w:line="180" w:lineRule="exact"/>
              <w:ind w:left="245"/>
              <w:rPr>
                <w:rFonts w:ascii="Arial"/>
              </w:rPr>
            </w:pPr>
            <w:r>
              <w:rPr>
                <w:rFonts w:ascii="Arial"/>
                <w:noProof/>
                <w:position w:val="-3"/>
                <w:sz w:val="18"/>
                <w:lang w:val="en-GB" w:eastAsia="en-GB"/>
              </w:rPr>
              <w:drawing>
                <wp:inline distT="0" distB="0" distL="0" distR="0" wp14:anchorId="46A64819" wp14:editId="7428B72D">
                  <wp:extent cx="114300" cy="114300"/>
                  <wp:effectExtent l="0" t="0" r="0" b="0"/>
                  <wp:docPr id="27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2D7D7296" w14:textId="77777777" w:rsidTr="00782D94">
        <w:trPr>
          <w:trHeight w:val="606"/>
        </w:trPr>
        <w:tc>
          <w:tcPr>
            <w:tcW w:w="2687" w:type="dxa"/>
          </w:tcPr>
          <w:p w14:paraId="4327FC84" w14:textId="77777777" w:rsidR="00782D94" w:rsidRDefault="00782D94" w:rsidP="004C033C">
            <w:pPr>
              <w:pStyle w:val="TableParagraph"/>
              <w:spacing w:before="17"/>
              <w:ind w:left="185"/>
              <w:rPr>
                <w:sz w:val="19"/>
              </w:rPr>
            </w:pPr>
            <w:r>
              <w:rPr>
                <w:w w:val="105"/>
                <w:sz w:val="19"/>
              </w:rPr>
              <w:t>Other</w:t>
            </w:r>
          </w:p>
        </w:tc>
        <w:tc>
          <w:tcPr>
            <w:tcW w:w="1115" w:type="dxa"/>
          </w:tcPr>
          <w:p w14:paraId="700F3DE6" w14:textId="77777777" w:rsidR="00782D94" w:rsidRDefault="00782D94" w:rsidP="004C033C">
            <w:pPr>
              <w:pStyle w:val="TableParagraph"/>
              <w:rPr>
                <w:rFonts w:ascii="Arial"/>
                <w:b/>
                <w:sz w:val="13"/>
              </w:rPr>
            </w:pPr>
          </w:p>
          <w:p w14:paraId="13C69A9E" w14:textId="77777777" w:rsidR="00782D94" w:rsidRDefault="00782D94" w:rsidP="004C033C">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5ABC954" wp14:editId="7A576ADD">
                  <wp:extent cx="114300" cy="114300"/>
                  <wp:effectExtent l="0" t="0" r="0" b="0"/>
                  <wp:docPr id="14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Pr>
          <w:p w14:paraId="45264ED4" w14:textId="77777777" w:rsidR="00782D94" w:rsidRDefault="00782D94" w:rsidP="004C033C">
            <w:pPr>
              <w:pStyle w:val="TableParagraph"/>
              <w:rPr>
                <w:rFonts w:ascii="Arial"/>
                <w:b/>
                <w:sz w:val="13"/>
              </w:rPr>
            </w:pPr>
          </w:p>
          <w:p w14:paraId="69AAF407" w14:textId="77777777" w:rsidR="00782D94" w:rsidRDefault="00782D94" w:rsidP="004C033C">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6AB87D7" wp14:editId="7D86F7C7">
                  <wp:extent cx="114300" cy="114300"/>
                  <wp:effectExtent l="0" t="0" r="0" b="0"/>
                  <wp:docPr id="14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0" w:type="dxa"/>
          </w:tcPr>
          <w:p w14:paraId="5E60A8A7" w14:textId="77777777" w:rsidR="00782D94" w:rsidRDefault="00782D94" w:rsidP="004C033C">
            <w:pPr>
              <w:pStyle w:val="TableParagraph"/>
              <w:rPr>
                <w:rFonts w:ascii="Arial"/>
                <w:b/>
                <w:sz w:val="13"/>
              </w:rPr>
            </w:pPr>
          </w:p>
          <w:p w14:paraId="3D32EF07" w14:textId="77777777" w:rsidR="00782D94" w:rsidRDefault="00782D94" w:rsidP="004C033C">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3DDC81BB" wp14:editId="4F69C743">
                  <wp:extent cx="114300" cy="114300"/>
                  <wp:effectExtent l="0" t="0" r="0" b="0"/>
                  <wp:docPr id="14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Pr>
          <w:p w14:paraId="6608A9A5" w14:textId="77777777" w:rsidR="00782D94" w:rsidRDefault="00782D94" w:rsidP="004C033C">
            <w:pPr>
              <w:pStyle w:val="TableParagraph"/>
              <w:rPr>
                <w:rFonts w:ascii="Arial"/>
                <w:b/>
                <w:sz w:val="13"/>
              </w:rPr>
            </w:pPr>
          </w:p>
          <w:p w14:paraId="7561116E" w14:textId="77777777" w:rsidR="00782D94" w:rsidRDefault="00782D94" w:rsidP="004C033C">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280E377F" wp14:editId="4473DB07">
                  <wp:extent cx="114300" cy="114300"/>
                  <wp:effectExtent l="0" t="0" r="0" b="0"/>
                  <wp:docPr id="15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68" w:type="dxa"/>
          </w:tcPr>
          <w:p w14:paraId="27E697C8" w14:textId="77777777" w:rsidR="00782D94" w:rsidRDefault="00782D94" w:rsidP="004C033C">
            <w:pPr>
              <w:pStyle w:val="TableParagraph"/>
              <w:rPr>
                <w:rFonts w:ascii="Arial"/>
                <w:b/>
                <w:sz w:val="13"/>
              </w:rPr>
            </w:pPr>
          </w:p>
          <w:p w14:paraId="5459A002" w14:textId="77777777" w:rsidR="00782D94" w:rsidRDefault="00782D94" w:rsidP="004C033C">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2BA677DB" wp14:editId="2C50DE02">
                  <wp:extent cx="114300" cy="114300"/>
                  <wp:effectExtent l="0" t="0" r="0" b="0"/>
                  <wp:docPr id="15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88" w:type="dxa"/>
          </w:tcPr>
          <w:p w14:paraId="0D5C4A17" w14:textId="77777777" w:rsidR="00782D94" w:rsidRDefault="00782D94" w:rsidP="004C033C">
            <w:pPr>
              <w:pStyle w:val="TableParagraph"/>
              <w:rPr>
                <w:rFonts w:ascii="Arial"/>
                <w:b/>
                <w:sz w:val="13"/>
              </w:rPr>
            </w:pPr>
          </w:p>
          <w:p w14:paraId="28931445" w14:textId="77777777" w:rsidR="00782D94" w:rsidRDefault="00782D94" w:rsidP="004C033C">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3561B736" wp14:editId="00BE6D36">
                  <wp:extent cx="114300" cy="114300"/>
                  <wp:effectExtent l="0" t="0" r="0" b="0"/>
                  <wp:docPr id="15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3C7FF2E3" w14:textId="74295F33" w:rsidR="00AD338F" w:rsidRPr="00AD338F" w:rsidRDefault="00AD338F" w:rsidP="00AD338F">
      <w:pPr>
        <w:jc w:val="both"/>
      </w:pPr>
    </w:p>
    <w:p w14:paraId="0538AF88" w14:textId="28D47876" w:rsidR="00AD338F" w:rsidRPr="00AD338F" w:rsidRDefault="00AD338F" w:rsidP="00AD338F">
      <w:pPr>
        <w:spacing w:before="124" w:line="232" w:lineRule="auto"/>
        <w:ind w:right="220"/>
        <w:jc w:val="both"/>
        <w:rPr>
          <w:rFonts w:ascii="Calibri" w:hAnsi="Calibri" w:cs="Calibri"/>
          <w:b/>
        </w:rPr>
      </w:pPr>
      <w:r w:rsidRPr="00AD338F">
        <w:rPr>
          <w:rFonts w:ascii="Calibri" w:hAnsi="Calibri" w:cs="Calibri"/>
          <w:b/>
        </w:rPr>
        <w:t>Please specify what else should be done at EU level to facilitate interoperable cross-border solutions for digital on-boarding:</w:t>
      </w:r>
    </w:p>
    <w:p w14:paraId="4C1C391D" w14:textId="02F7E9E7" w:rsidR="00AD338F" w:rsidRDefault="00AD338F" w:rsidP="00EE467B">
      <w:pPr>
        <w:pStyle w:val="Heading2"/>
        <w:spacing w:before="1"/>
        <w:ind w:left="0" w:right="143"/>
        <w:jc w:val="both"/>
        <w:rPr>
          <w:rFonts w:ascii="Calibri" w:hAnsi="Calibri" w:cs="Calibri"/>
          <w:spacing w:val="2"/>
          <w:sz w:val="24"/>
          <w:szCs w:val="24"/>
        </w:rPr>
      </w:pPr>
    </w:p>
    <w:p w14:paraId="7EF29518" w14:textId="663E5D56" w:rsidR="00782D94" w:rsidRPr="00782D94" w:rsidRDefault="00782D94" w:rsidP="00782D94">
      <w:pPr>
        <w:spacing w:line="276" w:lineRule="auto"/>
        <w:jc w:val="both"/>
        <w:rPr>
          <w:rFonts w:ascii="Calibri" w:hAnsi="Calibri" w:cs="Calibri"/>
          <w:sz w:val="22"/>
          <w:szCs w:val="22"/>
        </w:rPr>
      </w:pPr>
      <w:r w:rsidRPr="00782D94">
        <w:rPr>
          <w:rFonts w:ascii="Calibri" w:hAnsi="Calibri" w:cs="Calibri"/>
          <w:sz w:val="22"/>
          <w:szCs w:val="22"/>
        </w:rPr>
        <w:t xml:space="preserve">The European Commission has issued a Call for Advice to the EBA on the future AML/CFT legal framework. As part of its response, the EBA will provide advice on </w:t>
      </w:r>
      <w:r w:rsidR="009A344B">
        <w:rPr>
          <w:rFonts w:ascii="Calibri" w:hAnsi="Calibri" w:cs="Calibri"/>
          <w:sz w:val="22"/>
          <w:szCs w:val="22"/>
        </w:rPr>
        <w:t xml:space="preserve">the harmonisation of </w:t>
      </w:r>
      <w:r w:rsidRPr="00782D94">
        <w:rPr>
          <w:rFonts w:ascii="Calibri" w:hAnsi="Calibri" w:cs="Calibri"/>
          <w:sz w:val="22"/>
          <w:szCs w:val="22"/>
        </w:rPr>
        <w:t>customer due diligence (CDD) measures</w:t>
      </w:r>
      <w:r w:rsidR="009A344B">
        <w:rPr>
          <w:rFonts w:ascii="Calibri" w:hAnsi="Calibri" w:cs="Calibri"/>
          <w:sz w:val="22"/>
          <w:szCs w:val="22"/>
        </w:rPr>
        <w:t xml:space="preserve"> where possible</w:t>
      </w:r>
      <w:r w:rsidRPr="00782D94">
        <w:rPr>
          <w:rFonts w:ascii="Calibri" w:hAnsi="Calibri" w:cs="Calibri"/>
          <w:sz w:val="22"/>
          <w:szCs w:val="22"/>
        </w:rPr>
        <w:t>, including the CDD measures in non-face to face situations.</w:t>
      </w:r>
    </w:p>
    <w:p w14:paraId="6F463A08" w14:textId="77777777" w:rsidR="00782D94" w:rsidRPr="00782D94" w:rsidRDefault="00782D94" w:rsidP="00782D94">
      <w:pPr>
        <w:spacing w:line="276" w:lineRule="auto"/>
        <w:jc w:val="both"/>
        <w:rPr>
          <w:rFonts w:ascii="Calibri" w:hAnsi="Calibri" w:cs="Calibri"/>
          <w:sz w:val="22"/>
          <w:szCs w:val="22"/>
        </w:rPr>
      </w:pPr>
    </w:p>
    <w:p w14:paraId="151DC9B5" w14:textId="3E29E45D" w:rsidR="00782D94" w:rsidRDefault="00782D94" w:rsidP="00782D94">
      <w:pPr>
        <w:spacing w:line="276" w:lineRule="auto"/>
        <w:jc w:val="both"/>
        <w:rPr>
          <w:rFonts w:ascii="Calibri" w:hAnsi="Calibri" w:cs="Calibri"/>
          <w:sz w:val="22"/>
          <w:szCs w:val="22"/>
        </w:rPr>
      </w:pPr>
      <w:r w:rsidRPr="00782D94">
        <w:rPr>
          <w:rFonts w:ascii="Calibri" w:hAnsi="Calibri" w:cs="Calibri"/>
          <w:sz w:val="22"/>
          <w:szCs w:val="22"/>
        </w:rPr>
        <w:t>In the meantime, the EBA makes the following observations:</w:t>
      </w:r>
    </w:p>
    <w:p w14:paraId="682AA4E4" w14:textId="77777777" w:rsidR="00434393" w:rsidRPr="00782D94" w:rsidRDefault="00434393" w:rsidP="00782D94">
      <w:pPr>
        <w:spacing w:line="276" w:lineRule="auto"/>
        <w:jc w:val="both"/>
        <w:rPr>
          <w:rFonts w:ascii="Calibri" w:hAnsi="Calibri" w:cs="Calibri"/>
          <w:sz w:val="22"/>
          <w:szCs w:val="22"/>
        </w:rPr>
      </w:pPr>
    </w:p>
    <w:p w14:paraId="5148EFF2" w14:textId="522FCA46" w:rsidR="00782D94" w:rsidRPr="00782D94" w:rsidRDefault="00782D94" w:rsidP="00782D94">
      <w:pPr>
        <w:pStyle w:val="ListParagraph"/>
        <w:widowControl w:val="0"/>
        <w:numPr>
          <w:ilvl w:val="0"/>
          <w:numId w:val="35"/>
        </w:numPr>
        <w:autoSpaceDE w:val="0"/>
        <w:autoSpaceDN w:val="0"/>
        <w:spacing w:before="9" w:after="0"/>
        <w:rPr>
          <w:rFonts w:ascii="Calibri" w:hAnsi="Calibri" w:cs="Calibri"/>
          <w:szCs w:val="22"/>
        </w:rPr>
      </w:pPr>
      <w:r w:rsidRPr="00782D94">
        <w:rPr>
          <w:rFonts w:ascii="Calibri" w:hAnsi="Calibri" w:cs="Calibri"/>
          <w:szCs w:val="22"/>
        </w:rPr>
        <w:t>CDD entails more than the identification of the customer and the verification of the customer</w:t>
      </w:r>
      <w:r w:rsidRPr="00AB71DD">
        <w:rPr>
          <w:rFonts w:ascii="Calibri" w:hAnsi="Calibri" w:cs="Calibri"/>
          <w:szCs w:val="22"/>
        </w:rPr>
        <w:t xml:space="preserve">’s identity. </w:t>
      </w:r>
      <w:r w:rsidR="00AB71DD" w:rsidRPr="00AB71DD">
        <w:rPr>
          <w:rFonts w:ascii="Calibri" w:hAnsi="Calibri" w:cs="Calibri"/>
          <w:szCs w:val="22"/>
        </w:rPr>
        <w:t xml:space="preserve">This is because the information financial institutions obtain through the application of CDD measures serves to inform their ML/TF risk-rating of the business relationship and determine the CDD measures financial institutions will take to deter and detect ML/TF. The ML/TF risk rating of the business relationship is determined by various factors, including the type of customers, </w:t>
      </w:r>
      <w:r w:rsidR="00AB71DD" w:rsidRPr="00AB71DD">
        <w:rPr>
          <w:rFonts w:ascii="Calibri" w:hAnsi="Calibri"/>
          <w:iCs/>
          <w:bdr w:val="none" w:sz="0" w:space="0" w:color="auto" w:frame="1"/>
          <w:lang w:val="en-US"/>
        </w:rPr>
        <w:t>the services/activities provided, geographies and delivery channels, which should be assessed by financial institutions in line with the ESAs Guidelines on ML/TF risk factors.</w:t>
      </w:r>
      <w:r w:rsidR="00AB71DD" w:rsidRPr="00AB71DD">
        <w:rPr>
          <w:rStyle w:val="FootnoteReference"/>
          <w:rFonts w:ascii="Calibri" w:hAnsi="Calibri"/>
          <w:iCs/>
          <w:bdr w:val="none" w:sz="0" w:space="0" w:color="auto" w:frame="1"/>
          <w:lang w:val="en-US"/>
        </w:rPr>
        <w:footnoteReference w:id="24"/>
      </w:r>
      <w:r w:rsidRPr="00AB71DD">
        <w:rPr>
          <w:rFonts w:ascii="Calibri" w:hAnsi="Calibri" w:cs="Calibri"/>
          <w:szCs w:val="22"/>
        </w:rPr>
        <w:t xml:space="preserve"> </w:t>
      </w:r>
      <w:r w:rsidRPr="00782D94">
        <w:rPr>
          <w:rFonts w:ascii="Calibri" w:hAnsi="Calibri" w:cs="Calibri"/>
          <w:szCs w:val="22"/>
        </w:rPr>
        <w:t>At onboarding, it also includes among other requirements a duty to obtain information on the nature and purpose of the business relationship, and a requirement to obtain sufficient information to enable meaningful monitoring of the business relationship and associated transactions including, for example, information about the source of a customer’s funds</w:t>
      </w:r>
      <w:r w:rsidR="009A344B">
        <w:rPr>
          <w:rFonts w:ascii="Calibri" w:hAnsi="Calibri" w:cs="Calibri"/>
          <w:szCs w:val="22"/>
        </w:rPr>
        <w:t xml:space="preserve"> and wealth</w:t>
      </w:r>
      <w:r w:rsidRPr="00782D94">
        <w:rPr>
          <w:rFonts w:ascii="Calibri" w:hAnsi="Calibri" w:cs="Calibri"/>
          <w:szCs w:val="22"/>
        </w:rPr>
        <w:t>. The type and nature of the information financial institutions need to obtain in this context will vary</w:t>
      </w:r>
      <w:r w:rsidR="009A344B">
        <w:rPr>
          <w:rFonts w:ascii="Calibri" w:hAnsi="Calibri" w:cs="Calibri"/>
          <w:szCs w:val="22"/>
        </w:rPr>
        <w:t xml:space="preserve"> from one business relationship to the other</w:t>
      </w:r>
      <w:r w:rsidRPr="00782D94">
        <w:rPr>
          <w:rFonts w:ascii="Calibri" w:hAnsi="Calibri" w:cs="Calibri"/>
          <w:szCs w:val="22"/>
        </w:rPr>
        <w:t xml:space="preserve"> in line with the risk-based approach enshrined in the AMLD and international AML/CFT standards</w:t>
      </w:r>
      <w:r w:rsidR="009A344B">
        <w:rPr>
          <w:rFonts w:ascii="Calibri" w:hAnsi="Calibri" w:cs="Calibri"/>
          <w:szCs w:val="22"/>
        </w:rPr>
        <w:t>.</w:t>
      </w:r>
      <w:r w:rsidRPr="00782D94">
        <w:rPr>
          <w:rFonts w:ascii="Calibri" w:hAnsi="Calibri" w:cs="Calibri"/>
          <w:szCs w:val="22"/>
        </w:rPr>
        <w:t xml:space="preserve"> </w:t>
      </w:r>
      <w:r w:rsidR="009A344B">
        <w:rPr>
          <w:rFonts w:ascii="Calibri" w:hAnsi="Calibri" w:cs="Calibri"/>
          <w:szCs w:val="22"/>
        </w:rPr>
        <w:t>The integration of CDD elements</w:t>
      </w:r>
      <w:r w:rsidR="009A344B" w:rsidRPr="00782D94">
        <w:rPr>
          <w:rFonts w:ascii="Calibri" w:hAnsi="Calibri" w:cs="Calibri"/>
          <w:szCs w:val="22"/>
        </w:rPr>
        <w:t xml:space="preserve"> into, for example eIDAS, </w:t>
      </w:r>
      <w:r w:rsidR="009A344B">
        <w:rPr>
          <w:rFonts w:ascii="Calibri" w:hAnsi="Calibri" w:cs="Calibri"/>
          <w:szCs w:val="22"/>
        </w:rPr>
        <w:t xml:space="preserve">could potentially facilitate interoperable </w:t>
      </w:r>
      <w:r w:rsidR="009A344B">
        <w:rPr>
          <w:rFonts w:ascii="Calibri" w:hAnsi="Calibri" w:cs="Calibri"/>
          <w:szCs w:val="22"/>
        </w:rPr>
        <w:lastRenderedPageBreak/>
        <w:t xml:space="preserve">cross-border solutions but it </w:t>
      </w:r>
      <w:r w:rsidR="009A344B" w:rsidRPr="00782D94">
        <w:rPr>
          <w:rFonts w:ascii="Calibri" w:hAnsi="Calibri" w:cs="Calibri"/>
          <w:szCs w:val="22"/>
        </w:rPr>
        <w:t xml:space="preserve">will not be enough to </w:t>
      </w:r>
      <w:r w:rsidR="009A344B">
        <w:rPr>
          <w:rFonts w:ascii="Calibri" w:hAnsi="Calibri" w:cs="Calibri"/>
          <w:szCs w:val="22"/>
        </w:rPr>
        <w:t xml:space="preserve">fully </w:t>
      </w:r>
      <w:r w:rsidR="009A344B" w:rsidRPr="00782D94">
        <w:rPr>
          <w:rFonts w:ascii="Calibri" w:hAnsi="Calibri" w:cs="Calibri"/>
          <w:szCs w:val="22"/>
        </w:rPr>
        <w:t>meet AML/CFT objectives in all cases</w:t>
      </w:r>
      <w:r w:rsidRPr="00782D94">
        <w:rPr>
          <w:rFonts w:ascii="Calibri" w:hAnsi="Calibri" w:cs="Calibri"/>
          <w:szCs w:val="22"/>
        </w:rPr>
        <w:t xml:space="preserve">. </w:t>
      </w:r>
    </w:p>
    <w:p w14:paraId="7629E8BC" w14:textId="77777777" w:rsidR="00782D94" w:rsidRPr="00782D94" w:rsidRDefault="00782D94" w:rsidP="00782D94">
      <w:pPr>
        <w:spacing w:line="276" w:lineRule="auto"/>
        <w:ind w:left="265"/>
        <w:jc w:val="both"/>
        <w:rPr>
          <w:rFonts w:ascii="Calibri" w:hAnsi="Calibri" w:cs="Calibri"/>
          <w:sz w:val="22"/>
          <w:szCs w:val="22"/>
        </w:rPr>
      </w:pPr>
    </w:p>
    <w:p w14:paraId="40D25BA0" w14:textId="7468F41A" w:rsidR="00782D94" w:rsidRPr="00782D94" w:rsidRDefault="00782D94" w:rsidP="00782D94">
      <w:pPr>
        <w:pStyle w:val="ListParagraph"/>
        <w:widowControl w:val="0"/>
        <w:numPr>
          <w:ilvl w:val="0"/>
          <w:numId w:val="34"/>
        </w:numPr>
        <w:autoSpaceDE w:val="0"/>
        <w:autoSpaceDN w:val="0"/>
        <w:spacing w:before="9" w:after="0"/>
        <w:rPr>
          <w:rFonts w:ascii="Calibri" w:hAnsi="Calibri" w:cs="Calibri"/>
          <w:szCs w:val="22"/>
        </w:rPr>
      </w:pPr>
      <w:r w:rsidRPr="00782D94">
        <w:rPr>
          <w:rFonts w:ascii="Calibri" w:hAnsi="Calibri" w:cs="Calibri"/>
          <w:szCs w:val="22"/>
        </w:rPr>
        <w:t xml:space="preserve">The </w:t>
      </w:r>
      <w:r w:rsidR="009052C5">
        <w:rPr>
          <w:rFonts w:ascii="Calibri" w:hAnsi="Calibri" w:cs="Calibri"/>
          <w:szCs w:val="22"/>
        </w:rPr>
        <w:t xml:space="preserve">ESAs’ 2018 </w:t>
      </w:r>
      <w:r w:rsidRPr="00782D94">
        <w:rPr>
          <w:rFonts w:ascii="Calibri" w:hAnsi="Calibri" w:cs="Calibri"/>
          <w:szCs w:val="22"/>
        </w:rPr>
        <w:t>Opinion on the use of innovative solutions by credit and financial institutions in the CDD process</w:t>
      </w:r>
      <w:r w:rsidRPr="00782D94">
        <w:rPr>
          <w:rStyle w:val="FootnoteReference"/>
          <w:rFonts w:ascii="Calibri" w:hAnsi="Calibri" w:cs="Calibri"/>
          <w:szCs w:val="22"/>
        </w:rPr>
        <w:footnoteReference w:id="25"/>
      </w:r>
      <w:r w:rsidRPr="00782D94">
        <w:rPr>
          <w:rFonts w:ascii="Calibri" w:hAnsi="Calibri" w:cs="Calibri"/>
          <w:szCs w:val="22"/>
        </w:rPr>
        <w:t xml:space="preserve"> stresses that the EU’s AML/CFT framework is technologically neutral and sufficiently flexible to allow financial institutions to utilise </w:t>
      </w:r>
      <w:r w:rsidR="009A344B">
        <w:rPr>
          <w:rFonts w:ascii="Calibri" w:hAnsi="Calibri" w:cs="Calibri"/>
          <w:szCs w:val="22"/>
        </w:rPr>
        <w:t xml:space="preserve">technology and </w:t>
      </w:r>
      <w:r w:rsidRPr="00782D94">
        <w:rPr>
          <w:rFonts w:ascii="Calibri" w:hAnsi="Calibri" w:cs="Calibri"/>
          <w:szCs w:val="22"/>
        </w:rPr>
        <w:t>innovative solutions. In this Opinion, the ESAs recognised that technology and solutions used in the CDD processes are constantly changing and the</w:t>
      </w:r>
      <w:r w:rsidRPr="00EF5353">
        <w:rPr>
          <w:rFonts w:ascii="Calibri" w:hAnsi="Calibri" w:cs="Calibri"/>
          <w:color w:val="000000" w:themeColor="text1"/>
          <w:szCs w:val="22"/>
        </w:rPr>
        <w:t>refore the development of prescriptive rules is neither possible nor desirable</w:t>
      </w:r>
      <w:r w:rsidR="00302489" w:rsidRPr="00EF5353">
        <w:rPr>
          <w:rFonts w:ascii="Calibri" w:hAnsi="Calibri" w:cs="Calibri"/>
          <w:color w:val="000000" w:themeColor="text1"/>
          <w:szCs w:val="22"/>
        </w:rPr>
        <w:t xml:space="preserve"> albeit that</w:t>
      </w:r>
      <w:r w:rsidR="008C51D5" w:rsidRPr="00EF5353">
        <w:rPr>
          <w:rFonts w:ascii="Calibri" w:hAnsi="Calibri" w:cs="Calibri"/>
          <w:color w:val="000000" w:themeColor="text1"/>
          <w:lang w:val="en-US"/>
        </w:rPr>
        <w:t xml:space="preserve"> greater harmonisation of the use of technology across the EU for AML/CFT purposes may be needed</w:t>
      </w:r>
      <w:r w:rsidR="00AB56DC" w:rsidRPr="00EF5353">
        <w:rPr>
          <w:rFonts w:ascii="Calibri" w:hAnsi="Calibri" w:cs="Calibri"/>
          <w:color w:val="000000" w:themeColor="text1"/>
          <w:szCs w:val="22"/>
        </w:rPr>
        <w:t>.</w:t>
      </w:r>
    </w:p>
    <w:p w14:paraId="6111CF2E" w14:textId="77777777" w:rsidR="00782D94" w:rsidRPr="00782D94" w:rsidRDefault="00782D94" w:rsidP="00782D94">
      <w:pPr>
        <w:spacing w:line="276" w:lineRule="auto"/>
        <w:ind w:left="265"/>
        <w:jc w:val="both"/>
        <w:rPr>
          <w:rFonts w:ascii="Calibri" w:hAnsi="Calibri" w:cs="Calibri"/>
          <w:sz w:val="22"/>
          <w:szCs w:val="22"/>
        </w:rPr>
      </w:pPr>
    </w:p>
    <w:p w14:paraId="0346118C" w14:textId="54B96385" w:rsidR="00782D94" w:rsidRDefault="00782D94" w:rsidP="00782D94">
      <w:pPr>
        <w:spacing w:line="276" w:lineRule="auto"/>
        <w:ind w:left="985"/>
        <w:jc w:val="both"/>
      </w:pPr>
      <w:r w:rsidRPr="00782D94">
        <w:rPr>
          <w:rFonts w:ascii="Calibri" w:hAnsi="Calibri" w:cs="Calibri"/>
          <w:sz w:val="22"/>
          <w:szCs w:val="22"/>
        </w:rPr>
        <w:t>Instead, greater efficiency will be achieved by harmonising CDD rules. In a report published by the EBA in October 2019 on the potential impediments to the cross-border provision of banking and payment services in the EU, the EBA notes that the flexibility enshrined in the AMLD in relation to the way financial institutions discharge their CDD obligations</w:t>
      </w:r>
      <w:r w:rsidR="009A344B">
        <w:rPr>
          <w:rFonts w:ascii="Calibri" w:hAnsi="Calibri" w:cs="Calibri"/>
          <w:sz w:val="22"/>
          <w:szCs w:val="22"/>
        </w:rPr>
        <w:t xml:space="preserve"> is not interpreted in the same way by all</w:t>
      </w:r>
      <w:r w:rsidRPr="00782D94">
        <w:rPr>
          <w:rFonts w:ascii="Calibri" w:hAnsi="Calibri" w:cs="Calibri"/>
          <w:sz w:val="22"/>
          <w:szCs w:val="22"/>
        </w:rPr>
        <w:t xml:space="preserve"> Members States when transposing the directive in their national legislation.</w:t>
      </w:r>
      <w:r w:rsidR="0056114E">
        <w:rPr>
          <w:rFonts w:ascii="Calibri" w:hAnsi="Calibri" w:cs="Calibri"/>
          <w:sz w:val="22"/>
          <w:szCs w:val="22"/>
        </w:rPr>
        <w:t xml:space="preserve"> </w:t>
      </w:r>
      <w:r w:rsidRPr="00782D94">
        <w:rPr>
          <w:rFonts w:ascii="Calibri" w:hAnsi="Calibri" w:cs="Calibri"/>
          <w:sz w:val="22"/>
          <w:szCs w:val="22"/>
        </w:rPr>
        <w:t xml:space="preserve">This means that there are divergent approaches towards the identification and verification of a customer through digital means and the remote on-boarding across the EU with some Member States’ laws </w:t>
      </w:r>
      <w:r w:rsidR="009A344B">
        <w:rPr>
          <w:rFonts w:ascii="Calibri" w:hAnsi="Calibri" w:cs="Calibri"/>
          <w:sz w:val="22"/>
          <w:szCs w:val="22"/>
        </w:rPr>
        <w:t xml:space="preserve">being more rigorous and </w:t>
      </w:r>
      <w:r w:rsidRPr="00782D94">
        <w:rPr>
          <w:rFonts w:ascii="Calibri" w:hAnsi="Calibri" w:cs="Calibri"/>
          <w:sz w:val="22"/>
          <w:szCs w:val="22"/>
        </w:rPr>
        <w:t>requiring customers to be physically present at on-boarding</w:t>
      </w:r>
      <w:r w:rsidR="009A344B">
        <w:rPr>
          <w:rFonts w:ascii="Calibri" w:hAnsi="Calibri" w:cs="Calibri"/>
          <w:sz w:val="22"/>
          <w:szCs w:val="22"/>
        </w:rPr>
        <w:t xml:space="preserve"> and others having more flexible approach</w:t>
      </w:r>
      <w:r w:rsidRPr="00782D94">
        <w:rPr>
          <w:rFonts w:ascii="Calibri" w:hAnsi="Calibri" w:cs="Calibri"/>
          <w:sz w:val="22"/>
          <w:szCs w:val="22"/>
        </w:rPr>
        <w:t xml:space="preserve">. </w:t>
      </w:r>
    </w:p>
    <w:p w14:paraId="26378DAE" w14:textId="77777777" w:rsidR="00AD338F" w:rsidRDefault="00AD338F" w:rsidP="00EE467B">
      <w:pPr>
        <w:pStyle w:val="Heading2"/>
        <w:spacing w:before="1"/>
        <w:ind w:left="0" w:right="143"/>
        <w:jc w:val="both"/>
        <w:rPr>
          <w:rFonts w:ascii="Calibri" w:hAnsi="Calibri" w:cs="Calibri"/>
          <w:spacing w:val="2"/>
          <w:sz w:val="24"/>
          <w:szCs w:val="24"/>
        </w:rPr>
      </w:pPr>
    </w:p>
    <w:p w14:paraId="3FBF0745" w14:textId="2951124B" w:rsidR="00EE467B" w:rsidRPr="00EE467B" w:rsidRDefault="00EE467B" w:rsidP="00EE467B">
      <w:pPr>
        <w:pStyle w:val="Heading2"/>
        <w:spacing w:before="1"/>
        <w:ind w:left="0" w:right="143"/>
        <w:jc w:val="both"/>
        <w:rPr>
          <w:rFonts w:ascii="Calibri" w:hAnsi="Calibri" w:cs="Calibri"/>
          <w:sz w:val="24"/>
          <w:szCs w:val="24"/>
        </w:rPr>
      </w:pPr>
      <w:r w:rsidRPr="00512B16">
        <w:rPr>
          <w:rFonts w:ascii="Calibri" w:hAnsi="Calibri" w:cs="Calibri"/>
          <w:spacing w:val="2"/>
          <w:sz w:val="24"/>
          <w:szCs w:val="24"/>
        </w:rPr>
        <w:t xml:space="preserve">Question </w:t>
      </w:r>
      <w:r w:rsidRPr="00512B16">
        <w:rPr>
          <w:rFonts w:ascii="Calibri" w:hAnsi="Calibri" w:cs="Calibri"/>
          <w:sz w:val="24"/>
          <w:szCs w:val="24"/>
        </w:rPr>
        <w:t xml:space="preserve">17. </w:t>
      </w:r>
      <w:r w:rsidRPr="00512B16">
        <w:rPr>
          <w:rFonts w:ascii="Calibri" w:hAnsi="Calibri" w:cs="Calibri"/>
          <w:spacing w:val="2"/>
          <w:sz w:val="24"/>
          <w:szCs w:val="24"/>
        </w:rPr>
        <w:t xml:space="preserve">What should </w:t>
      </w:r>
      <w:r w:rsidRPr="00512B16">
        <w:rPr>
          <w:rFonts w:ascii="Calibri" w:hAnsi="Calibri" w:cs="Calibri"/>
          <w:sz w:val="24"/>
          <w:szCs w:val="24"/>
        </w:rPr>
        <w:t xml:space="preserve">be </w:t>
      </w:r>
      <w:r w:rsidRPr="00512B16">
        <w:rPr>
          <w:rFonts w:ascii="Calibri" w:hAnsi="Calibri" w:cs="Calibri"/>
          <w:spacing w:val="2"/>
          <w:sz w:val="24"/>
          <w:szCs w:val="24"/>
        </w:rPr>
        <w:t xml:space="preserve">done </w:t>
      </w:r>
      <w:r w:rsidRPr="00512B16">
        <w:rPr>
          <w:rFonts w:ascii="Calibri" w:hAnsi="Calibri" w:cs="Calibri"/>
          <w:sz w:val="24"/>
          <w:szCs w:val="24"/>
        </w:rPr>
        <w:t xml:space="preserve">at EU </w:t>
      </w:r>
      <w:r w:rsidRPr="00512B16">
        <w:rPr>
          <w:rFonts w:ascii="Calibri" w:hAnsi="Calibri" w:cs="Calibri"/>
          <w:spacing w:val="2"/>
          <w:sz w:val="24"/>
          <w:szCs w:val="24"/>
        </w:rPr>
        <w:t xml:space="preserve">level </w:t>
      </w:r>
      <w:r w:rsidRPr="00512B16">
        <w:rPr>
          <w:rFonts w:ascii="Calibri" w:hAnsi="Calibri" w:cs="Calibri"/>
          <w:sz w:val="24"/>
          <w:szCs w:val="24"/>
        </w:rPr>
        <w:t xml:space="preserve">to </w:t>
      </w:r>
      <w:r w:rsidRPr="00512B16">
        <w:rPr>
          <w:rFonts w:ascii="Calibri" w:hAnsi="Calibri" w:cs="Calibri"/>
          <w:spacing w:val="2"/>
          <w:sz w:val="24"/>
          <w:szCs w:val="24"/>
        </w:rPr>
        <w:t xml:space="preserve">facilitate reliance </w:t>
      </w:r>
      <w:r w:rsidRPr="00512B16">
        <w:rPr>
          <w:rFonts w:ascii="Calibri" w:hAnsi="Calibri" w:cs="Calibri"/>
          <w:sz w:val="24"/>
          <w:szCs w:val="24"/>
        </w:rPr>
        <w:t xml:space="preserve">by financial institutions on digital identities gathered by third parties (including </w:t>
      </w:r>
      <w:r w:rsidRPr="00512B16">
        <w:rPr>
          <w:rFonts w:ascii="Calibri" w:hAnsi="Calibri" w:cs="Calibri"/>
          <w:spacing w:val="4"/>
          <w:sz w:val="24"/>
          <w:szCs w:val="24"/>
        </w:rPr>
        <w:t xml:space="preserve">by </w:t>
      </w:r>
      <w:r w:rsidRPr="00512B16">
        <w:rPr>
          <w:rFonts w:ascii="Calibri" w:hAnsi="Calibri" w:cs="Calibri"/>
          <w:spacing w:val="7"/>
          <w:sz w:val="24"/>
          <w:szCs w:val="24"/>
        </w:rPr>
        <w:t xml:space="preserve">other </w:t>
      </w:r>
      <w:r w:rsidRPr="00512B16">
        <w:rPr>
          <w:rFonts w:ascii="Calibri" w:hAnsi="Calibri" w:cs="Calibri"/>
          <w:spacing w:val="8"/>
          <w:sz w:val="24"/>
          <w:szCs w:val="24"/>
        </w:rPr>
        <w:t xml:space="preserve">financial institutions) </w:t>
      </w:r>
      <w:r w:rsidRPr="00512B16">
        <w:rPr>
          <w:rFonts w:ascii="Calibri" w:hAnsi="Calibri" w:cs="Calibri"/>
          <w:spacing w:val="6"/>
          <w:sz w:val="24"/>
          <w:szCs w:val="24"/>
        </w:rPr>
        <w:t>and data</w:t>
      </w:r>
      <w:r w:rsidRPr="00512B16">
        <w:rPr>
          <w:rFonts w:ascii="Calibri" w:hAnsi="Calibri" w:cs="Calibri"/>
          <w:spacing w:val="63"/>
          <w:sz w:val="24"/>
          <w:szCs w:val="24"/>
        </w:rPr>
        <w:t xml:space="preserve"> </w:t>
      </w:r>
      <w:r w:rsidRPr="00512B16">
        <w:rPr>
          <w:rFonts w:ascii="Calibri" w:hAnsi="Calibri" w:cs="Calibri"/>
          <w:spacing w:val="8"/>
          <w:sz w:val="24"/>
          <w:szCs w:val="24"/>
        </w:rPr>
        <w:t>re-use/portability?</w:t>
      </w:r>
    </w:p>
    <w:p w14:paraId="1E86BB88" w14:textId="77777777" w:rsidR="00EE467B" w:rsidRPr="00EE467B" w:rsidRDefault="00EE467B" w:rsidP="00EE467B">
      <w:pPr>
        <w:pStyle w:val="BodyText"/>
        <w:spacing w:before="3"/>
        <w:rPr>
          <w:rFonts w:ascii="Calibri" w:hAnsi="Calibri" w:cs="Calibri"/>
          <w:b/>
          <w:sz w:val="24"/>
          <w:szCs w:val="24"/>
        </w:rPr>
      </w:pPr>
    </w:p>
    <w:p w14:paraId="31D5259A" w14:textId="77777777" w:rsidR="00EE467B" w:rsidRPr="00EE467B" w:rsidRDefault="00EE467B" w:rsidP="00EE467B">
      <w:pPr>
        <w:jc w:val="both"/>
        <w:rPr>
          <w:rFonts w:ascii="Calibri" w:hAnsi="Calibri" w:cs="Calibri"/>
          <w:b/>
        </w:rPr>
      </w:pPr>
      <w:r w:rsidRPr="00EE467B">
        <w:rPr>
          <w:rFonts w:ascii="Calibri" w:hAnsi="Calibri" w:cs="Calibri"/>
          <w:b/>
        </w:rPr>
        <w:t>Please rate each proposal from 1 to 5:</w:t>
      </w:r>
    </w:p>
    <w:p w14:paraId="2B90FC9C" w14:textId="6ADA0ADB" w:rsidR="00EE467B" w:rsidRDefault="00EE467B" w:rsidP="00EE467B">
      <w:pPr>
        <w:spacing w:before="124" w:line="232" w:lineRule="auto"/>
        <w:ind w:right="233"/>
        <w:jc w:val="both"/>
        <w:rPr>
          <w:rFonts w:ascii="Arial"/>
          <w:b/>
          <w:sz w:val="27"/>
        </w:rPr>
      </w:pPr>
    </w:p>
    <w:tbl>
      <w:tblPr>
        <w:tblW w:w="8683" w:type="dxa"/>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833"/>
        <w:gridCol w:w="1176"/>
        <w:gridCol w:w="1021"/>
        <w:gridCol w:w="991"/>
        <w:gridCol w:w="1021"/>
        <w:gridCol w:w="1021"/>
        <w:gridCol w:w="620"/>
      </w:tblGrid>
      <w:tr w:rsidR="00782D94" w14:paraId="11A62A1B" w14:textId="77777777" w:rsidTr="00782D94">
        <w:trPr>
          <w:trHeight w:val="1748"/>
          <w:jc w:val="center"/>
        </w:trPr>
        <w:tc>
          <w:tcPr>
            <w:tcW w:w="2833" w:type="dxa"/>
          </w:tcPr>
          <w:p w14:paraId="6D281781" w14:textId="77777777" w:rsidR="00782D94" w:rsidRDefault="00782D94" w:rsidP="004C033C">
            <w:pPr>
              <w:pStyle w:val="TableParagraph"/>
              <w:rPr>
                <w:rFonts w:ascii="Times New Roman"/>
              </w:rPr>
            </w:pPr>
          </w:p>
        </w:tc>
        <w:tc>
          <w:tcPr>
            <w:tcW w:w="1176" w:type="dxa"/>
          </w:tcPr>
          <w:p w14:paraId="361AAB92" w14:textId="77777777" w:rsidR="00782D94" w:rsidRPr="00977640" w:rsidRDefault="00782D94" w:rsidP="004C033C">
            <w:pPr>
              <w:pStyle w:val="TableParagraph"/>
              <w:spacing w:before="122" w:line="695" w:lineRule="exact"/>
              <w:ind w:left="20"/>
              <w:jc w:val="center"/>
              <w:rPr>
                <w:sz w:val="16"/>
                <w:szCs w:val="16"/>
              </w:rPr>
            </w:pPr>
            <w:r w:rsidRPr="00977640">
              <w:rPr>
                <w:w w:val="99"/>
                <w:sz w:val="16"/>
                <w:szCs w:val="16"/>
              </w:rPr>
              <w:t>1</w:t>
            </w:r>
          </w:p>
          <w:p w14:paraId="3834D5AF" w14:textId="77777777" w:rsidR="00782D94" w:rsidRPr="00977640" w:rsidRDefault="00782D94" w:rsidP="004C033C">
            <w:pPr>
              <w:pStyle w:val="TableParagraph"/>
              <w:spacing w:line="318" w:lineRule="exact"/>
              <w:ind w:left="153" w:right="133"/>
              <w:jc w:val="center"/>
              <w:rPr>
                <w:sz w:val="16"/>
                <w:szCs w:val="16"/>
              </w:rPr>
            </w:pPr>
            <w:r w:rsidRPr="00977640">
              <w:rPr>
                <w:w w:val="105"/>
                <w:sz w:val="16"/>
                <w:szCs w:val="16"/>
              </w:rPr>
              <w:t>(irrelevant)</w:t>
            </w:r>
          </w:p>
        </w:tc>
        <w:tc>
          <w:tcPr>
            <w:tcW w:w="1021" w:type="dxa"/>
          </w:tcPr>
          <w:p w14:paraId="5DF665A7" w14:textId="77777777" w:rsidR="00782D94" w:rsidRPr="00977640" w:rsidRDefault="00782D94" w:rsidP="004C033C">
            <w:pPr>
              <w:pStyle w:val="TableParagraph"/>
              <w:spacing w:line="657" w:lineRule="exact"/>
              <w:ind w:left="21"/>
              <w:jc w:val="center"/>
              <w:rPr>
                <w:sz w:val="16"/>
                <w:szCs w:val="16"/>
              </w:rPr>
            </w:pPr>
            <w:r w:rsidRPr="00977640">
              <w:rPr>
                <w:w w:val="99"/>
                <w:sz w:val="16"/>
                <w:szCs w:val="16"/>
              </w:rPr>
              <w:t>2</w:t>
            </w:r>
          </w:p>
          <w:p w14:paraId="50A691A8" w14:textId="77777777" w:rsidR="00782D94" w:rsidRPr="00977640" w:rsidRDefault="00782D94" w:rsidP="004C033C">
            <w:pPr>
              <w:pStyle w:val="TableParagraph"/>
              <w:spacing w:before="4" w:line="199" w:lineRule="auto"/>
              <w:ind w:left="185" w:right="162" w:hanging="54"/>
              <w:jc w:val="center"/>
              <w:rPr>
                <w:sz w:val="16"/>
                <w:szCs w:val="16"/>
              </w:rPr>
            </w:pPr>
            <w:r w:rsidRPr="00977640">
              <w:rPr>
                <w:w w:val="105"/>
                <w:sz w:val="16"/>
                <w:szCs w:val="16"/>
              </w:rPr>
              <w:t xml:space="preserve">(rather not </w:t>
            </w:r>
            <w:r w:rsidRPr="00977640">
              <w:rPr>
                <w:sz w:val="16"/>
                <w:szCs w:val="16"/>
              </w:rPr>
              <w:t>relevant)</w:t>
            </w:r>
          </w:p>
        </w:tc>
        <w:tc>
          <w:tcPr>
            <w:tcW w:w="991" w:type="dxa"/>
          </w:tcPr>
          <w:p w14:paraId="212EB9A4" w14:textId="77777777" w:rsidR="00782D94" w:rsidRPr="00977640" w:rsidRDefault="00782D94" w:rsidP="004C033C">
            <w:pPr>
              <w:pStyle w:val="TableParagraph"/>
              <w:spacing w:before="122" w:line="695" w:lineRule="exact"/>
              <w:ind w:left="22"/>
              <w:jc w:val="center"/>
              <w:rPr>
                <w:sz w:val="16"/>
                <w:szCs w:val="16"/>
              </w:rPr>
            </w:pPr>
            <w:r w:rsidRPr="00977640">
              <w:rPr>
                <w:w w:val="99"/>
                <w:sz w:val="16"/>
                <w:szCs w:val="16"/>
              </w:rPr>
              <w:t>3</w:t>
            </w:r>
          </w:p>
          <w:p w14:paraId="189499BA" w14:textId="77777777" w:rsidR="00782D94" w:rsidRPr="00977640" w:rsidRDefault="00782D94" w:rsidP="004C033C">
            <w:pPr>
              <w:pStyle w:val="TableParagraph"/>
              <w:spacing w:line="318" w:lineRule="exact"/>
              <w:ind w:left="157" w:right="135"/>
              <w:jc w:val="center"/>
              <w:rPr>
                <w:sz w:val="16"/>
                <w:szCs w:val="16"/>
              </w:rPr>
            </w:pPr>
            <w:r w:rsidRPr="00977640">
              <w:rPr>
                <w:w w:val="105"/>
                <w:sz w:val="16"/>
                <w:szCs w:val="16"/>
              </w:rPr>
              <w:t>(neutral)</w:t>
            </w:r>
          </w:p>
        </w:tc>
        <w:tc>
          <w:tcPr>
            <w:tcW w:w="1021" w:type="dxa"/>
          </w:tcPr>
          <w:p w14:paraId="17DA438C" w14:textId="77777777" w:rsidR="00782D94" w:rsidRPr="00977640" w:rsidRDefault="00782D94" w:rsidP="004C033C">
            <w:pPr>
              <w:pStyle w:val="TableParagraph"/>
              <w:spacing w:before="110" w:line="695" w:lineRule="exact"/>
              <w:ind w:left="22"/>
              <w:jc w:val="center"/>
              <w:rPr>
                <w:sz w:val="16"/>
                <w:szCs w:val="16"/>
              </w:rPr>
            </w:pPr>
            <w:r w:rsidRPr="00977640">
              <w:rPr>
                <w:w w:val="99"/>
                <w:sz w:val="16"/>
                <w:szCs w:val="16"/>
              </w:rPr>
              <w:t>4</w:t>
            </w:r>
          </w:p>
          <w:p w14:paraId="2B5E1692" w14:textId="77777777" w:rsidR="00782D94" w:rsidRPr="00977640" w:rsidRDefault="00782D94" w:rsidP="004C033C">
            <w:pPr>
              <w:pStyle w:val="TableParagraph"/>
              <w:spacing w:before="4" w:line="199" w:lineRule="auto"/>
              <w:ind w:left="186" w:right="161" w:hanging="54"/>
              <w:jc w:val="center"/>
              <w:rPr>
                <w:sz w:val="16"/>
                <w:szCs w:val="16"/>
              </w:rPr>
            </w:pPr>
            <w:r w:rsidRPr="00977640">
              <w:rPr>
                <w:w w:val="105"/>
                <w:sz w:val="16"/>
                <w:szCs w:val="16"/>
              </w:rPr>
              <w:t xml:space="preserve">(rather </w:t>
            </w:r>
            <w:r w:rsidRPr="00977640">
              <w:rPr>
                <w:sz w:val="16"/>
                <w:szCs w:val="16"/>
              </w:rPr>
              <w:t>relevant)</w:t>
            </w:r>
          </w:p>
        </w:tc>
        <w:tc>
          <w:tcPr>
            <w:tcW w:w="1021" w:type="dxa"/>
          </w:tcPr>
          <w:p w14:paraId="5394A82B" w14:textId="77777777" w:rsidR="00782D94" w:rsidRPr="00977640" w:rsidRDefault="00782D94" w:rsidP="004C033C">
            <w:pPr>
              <w:pStyle w:val="TableParagraph"/>
              <w:spacing w:before="110" w:line="695" w:lineRule="exact"/>
              <w:ind w:left="23"/>
              <w:jc w:val="center"/>
              <w:rPr>
                <w:sz w:val="16"/>
                <w:szCs w:val="16"/>
              </w:rPr>
            </w:pPr>
            <w:r w:rsidRPr="00977640">
              <w:rPr>
                <w:w w:val="99"/>
                <w:sz w:val="16"/>
                <w:szCs w:val="16"/>
              </w:rPr>
              <w:t>5</w:t>
            </w:r>
          </w:p>
          <w:p w14:paraId="09045E41" w14:textId="77777777" w:rsidR="00782D94" w:rsidRPr="00977640" w:rsidRDefault="00782D94" w:rsidP="004C033C">
            <w:pPr>
              <w:pStyle w:val="TableParagraph"/>
              <w:spacing w:before="4" w:line="199" w:lineRule="auto"/>
              <w:ind w:left="186" w:right="161" w:hanging="55"/>
              <w:jc w:val="center"/>
              <w:rPr>
                <w:sz w:val="16"/>
                <w:szCs w:val="16"/>
              </w:rPr>
            </w:pPr>
            <w:r w:rsidRPr="00977640">
              <w:rPr>
                <w:w w:val="105"/>
                <w:sz w:val="16"/>
                <w:szCs w:val="16"/>
              </w:rPr>
              <w:t xml:space="preserve">(fully </w:t>
            </w:r>
            <w:r w:rsidRPr="00977640">
              <w:rPr>
                <w:sz w:val="16"/>
                <w:szCs w:val="16"/>
              </w:rPr>
              <w:t>relevant)</w:t>
            </w:r>
          </w:p>
        </w:tc>
        <w:tc>
          <w:tcPr>
            <w:tcW w:w="620" w:type="dxa"/>
          </w:tcPr>
          <w:p w14:paraId="07A094EB" w14:textId="77777777" w:rsidR="00782D94" w:rsidRPr="00977640" w:rsidRDefault="00782D94" w:rsidP="004C033C">
            <w:pPr>
              <w:pStyle w:val="TableParagraph"/>
              <w:spacing w:before="312" w:line="529" w:lineRule="exact"/>
              <w:ind w:left="186"/>
              <w:rPr>
                <w:sz w:val="16"/>
                <w:szCs w:val="16"/>
              </w:rPr>
            </w:pPr>
            <w:r w:rsidRPr="00977640">
              <w:rPr>
                <w:sz w:val="16"/>
                <w:szCs w:val="16"/>
              </w:rPr>
              <w:t>N.</w:t>
            </w:r>
          </w:p>
          <w:p w14:paraId="367DC2C7" w14:textId="77777777" w:rsidR="00782D94" w:rsidRPr="00977640" w:rsidRDefault="00782D94" w:rsidP="004C033C">
            <w:pPr>
              <w:pStyle w:val="TableParagraph"/>
              <w:spacing w:line="529" w:lineRule="exact"/>
              <w:ind w:left="195"/>
              <w:rPr>
                <w:sz w:val="16"/>
                <w:szCs w:val="16"/>
              </w:rPr>
            </w:pPr>
            <w:r w:rsidRPr="00977640">
              <w:rPr>
                <w:sz w:val="16"/>
                <w:szCs w:val="16"/>
              </w:rPr>
              <w:t>A.</w:t>
            </w:r>
          </w:p>
        </w:tc>
      </w:tr>
      <w:tr w:rsidR="00782D94" w14:paraId="06CC3EEB" w14:textId="77777777" w:rsidTr="00782D94">
        <w:trPr>
          <w:trHeight w:val="1491"/>
          <w:jc w:val="center"/>
        </w:trPr>
        <w:tc>
          <w:tcPr>
            <w:tcW w:w="2833" w:type="dxa"/>
          </w:tcPr>
          <w:p w14:paraId="2EAA112C" w14:textId="77777777" w:rsidR="00782D94" w:rsidRDefault="00782D94" w:rsidP="004C033C">
            <w:pPr>
              <w:pStyle w:val="TableParagraph"/>
              <w:spacing w:before="69" w:line="199" w:lineRule="auto"/>
              <w:ind w:left="185" w:right="397"/>
              <w:rPr>
                <w:sz w:val="19"/>
              </w:rPr>
            </w:pPr>
            <w:r>
              <w:rPr>
                <w:w w:val="105"/>
                <w:sz w:val="19"/>
              </w:rPr>
              <w:lastRenderedPageBreak/>
              <w:t>Make the rules on third party reliance in the Anti-Money Laundering legislation more specific</w:t>
            </w:r>
          </w:p>
        </w:tc>
        <w:tc>
          <w:tcPr>
            <w:tcW w:w="1176" w:type="dxa"/>
          </w:tcPr>
          <w:p w14:paraId="4D6183C6" w14:textId="77777777" w:rsidR="00782D94" w:rsidRPr="00D57D72" w:rsidRDefault="00782D94" w:rsidP="004C033C">
            <w:pPr>
              <w:pStyle w:val="TableParagraph"/>
              <w:rPr>
                <w:rFonts w:ascii="Arial" w:hAnsi="Arial" w:cs="Arial"/>
                <w:b/>
                <w:sz w:val="20"/>
              </w:rPr>
            </w:pPr>
          </w:p>
          <w:p w14:paraId="31092503" w14:textId="77777777" w:rsidR="00782D94" w:rsidRPr="00D57D72" w:rsidRDefault="00782D94" w:rsidP="004C033C">
            <w:pPr>
              <w:pStyle w:val="TableParagraph"/>
              <w:rPr>
                <w:rFonts w:ascii="Arial" w:hAnsi="Arial" w:cs="Arial"/>
                <w:b/>
                <w:sz w:val="20"/>
              </w:rPr>
            </w:pPr>
          </w:p>
          <w:p w14:paraId="46DDB503" w14:textId="77777777" w:rsidR="00782D94" w:rsidRPr="00D57D72" w:rsidRDefault="00782D94" w:rsidP="004C033C">
            <w:pPr>
              <w:pStyle w:val="TableParagraph"/>
              <w:spacing w:before="4"/>
              <w:rPr>
                <w:rFonts w:ascii="Arial" w:hAnsi="Arial" w:cs="Arial"/>
                <w:b/>
                <w:sz w:val="12"/>
              </w:rPr>
            </w:pPr>
          </w:p>
          <w:p w14:paraId="42761486" w14:textId="77777777" w:rsidR="00782D94" w:rsidRPr="00D57D72" w:rsidRDefault="00782D94" w:rsidP="004C033C">
            <w:pPr>
              <w:pStyle w:val="TableParagraph"/>
              <w:spacing w:line="180" w:lineRule="exact"/>
              <w:ind w:left="553"/>
              <w:rPr>
                <w:rFonts w:ascii="Arial" w:hAnsi="Arial" w:cs="Arial"/>
                <w:sz w:val="18"/>
              </w:rPr>
            </w:pPr>
            <w:r w:rsidRPr="00D57D72">
              <w:rPr>
                <w:rFonts w:ascii="Arial" w:hAnsi="Arial" w:cs="Arial"/>
                <w:noProof/>
                <w:position w:val="-3"/>
                <w:sz w:val="18"/>
                <w:lang w:val="en-GB" w:eastAsia="en-GB"/>
              </w:rPr>
              <w:drawing>
                <wp:inline distT="0" distB="0" distL="0" distR="0" wp14:anchorId="527EEA5E" wp14:editId="69F1EBFE">
                  <wp:extent cx="114300" cy="114300"/>
                  <wp:effectExtent l="0" t="0" r="0" b="0"/>
                  <wp:docPr id="15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Pr>
          <w:p w14:paraId="46FE29C1" w14:textId="77777777" w:rsidR="00782D94" w:rsidRPr="00D57D72" w:rsidRDefault="00782D94" w:rsidP="004C033C">
            <w:pPr>
              <w:pStyle w:val="TableParagraph"/>
              <w:rPr>
                <w:rFonts w:ascii="Arial" w:hAnsi="Arial" w:cs="Arial"/>
                <w:b/>
                <w:sz w:val="20"/>
              </w:rPr>
            </w:pPr>
          </w:p>
          <w:p w14:paraId="1F94991F" w14:textId="77777777" w:rsidR="00782D94" w:rsidRPr="00D57D72" w:rsidRDefault="00782D94" w:rsidP="004C033C">
            <w:pPr>
              <w:pStyle w:val="TableParagraph"/>
              <w:rPr>
                <w:rFonts w:ascii="Arial" w:hAnsi="Arial" w:cs="Arial"/>
                <w:b/>
                <w:sz w:val="20"/>
              </w:rPr>
            </w:pPr>
          </w:p>
          <w:p w14:paraId="22C30318" w14:textId="77777777" w:rsidR="00782D94" w:rsidRPr="00D57D72" w:rsidRDefault="00782D94" w:rsidP="004C033C">
            <w:pPr>
              <w:pStyle w:val="TableParagraph"/>
              <w:spacing w:before="4"/>
              <w:rPr>
                <w:rFonts w:ascii="Arial" w:hAnsi="Arial" w:cs="Arial"/>
                <w:b/>
                <w:sz w:val="12"/>
              </w:rPr>
            </w:pPr>
          </w:p>
          <w:p w14:paraId="2E5A787A" w14:textId="77777777" w:rsidR="00782D94" w:rsidRPr="00D57D72" w:rsidRDefault="00782D94" w:rsidP="004C033C">
            <w:pPr>
              <w:pStyle w:val="TableParagraph"/>
              <w:spacing w:line="180" w:lineRule="exact"/>
              <w:ind w:left="468"/>
              <w:rPr>
                <w:rFonts w:ascii="Arial" w:hAnsi="Arial" w:cs="Arial"/>
                <w:sz w:val="18"/>
              </w:rPr>
            </w:pPr>
            <w:r w:rsidRPr="00D57D72">
              <w:rPr>
                <w:rFonts w:ascii="Arial" w:hAnsi="Arial" w:cs="Arial"/>
                <w:noProof/>
                <w:position w:val="-3"/>
                <w:sz w:val="18"/>
                <w:lang w:val="en-GB" w:eastAsia="en-GB"/>
              </w:rPr>
              <w:drawing>
                <wp:inline distT="0" distB="0" distL="0" distR="0" wp14:anchorId="00F752EF" wp14:editId="2B353E44">
                  <wp:extent cx="114300" cy="114300"/>
                  <wp:effectExtent l="0" t="0" r="0" b="0"/>
                  <wp:docPr id="15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Pr>
          <w:p w14:paraId="5FCCA21B" w14:textId="77777777" w:rsidR="00782D94" w:rsidRPr="00D57D72" w:rsidRDefault="00782D94" w:rsidP="004C033C">
            <w:pPr>
              <w:pStyle w:val="TableParagraph"/>
              <w:rPr>
                <w:rFonts w:ascii="Arial" w:hAnsi="Arial" w:cs="Arial"/>
                <w:b/>
                <w:sz w:val="20"/>
              </w:rPr>
            </w:pPr>
          </w:p>
          <w:p w14:paraId="4873D214" w14:textId="77777777" w:rsidR="00782D94" w:rsidRPr="00D57D72" w:rsidRDefault="00782D94" w:rsidP="004C033C">
            <w:pPr>
              <w:pStyle w:val="TableParagraph"/>
              <w:rPr>
                <w:rFonts w:ascii="Arial" w:hAnsi="Arial" w:cs="Arial"/>
                <w:b/>
                <w:sz w:val="20"/>
              </w:rPr>
            </w:pPr>
          </w:p>
          <w:p w14:paraId="1E4F352A" w14:textId="77777777" w:rsidR="00782D94" w:rsidRPr="00D57D72" w:rsidRDefault="00782D94" w:rsidP="004C033C">
            <w:pPr>
              <w:pStyle w:val="TableParagraph"/>
              <w:spacing w:before="4"/>
              <w:rPr>
                <w:rFonts w:ascii="Arial" w:hAnsi="Arial" w:cs="Arial"/>
                <w:b/>
                <w:sz w:val="12"/>
              </w:rPr>
            </w:pPr>
          </w:p>
          <w:p w14:paraId="5FB75550" w14:textId="77777777" w:rsidR="00782D94" w:rsidRPr="00D57D72" w:rsidRDefault="00782D94" w:rsidP="004C033C">
            <w:pPr>
              <w:pStyle w:val="TableParagraph"/>
              <w:spacing w:line="180" w:lineRule="exact"/>
              <w:ind w:left="451"/>
              <w:rPr>
                <w:rFonts w:ascii="Arial" w:hAnsi="Arial" w:cs="Arial"/>
                <w:sz w:val="18"/>
              </w:rPr>
            </w:pPr>
            <w:r w:rsidRPr="00D57D72">
              <w:rPr>
                <w:rFonts w:ascii="Arial" w:hAnsi="Arial" w:cs="Arial"/>
                <w:noProof/>
                <w:position w:val="-3"/>
                <w:sz w:val="18"/>
                <w:lang w:val="en-GB" w:eastAsia="en-GB"/>
              </w:rPr>
              <w:t>X</w:t>
            </w:r>
          </w:p>
        </w:tc>
        <w:tc>
          <w:tcPr>
            <w:tcW w:w="1021" w:type="dxa"/>
          </w:tcPr>
          <w:p w14:paraId="1750BBBA" w14:textId="77777777" w:rsidR="00782D94" w:rsidRPr="00D57D72" w:rsidRDefault="00782D94" w:rsidP="004C033C">
            <w:pPr>
              <w:pStyle w:val="TableParagraph"/>
              <w:rPr>
                <w:rFonts w:ascii="Arial" w:hAnsi="Arial" w:cs="Arial"/>
                <w:b/>
                <w:sz w:val="20"/>
              </w:rPr>
            </w:pPr>
          </w:p>
          <w:p w14:paraId="0F3E83FF" w14:textId="77777777" w:rsidR="00782D94" w:rsidRPr="00D57D72" w:rsidRDefault="00782D94" w:rsidP="004C033C">
            <w:pPr>
              <w:pStyle w:val="TableParagraph"/>
              <w:rPr>
                <w:rFonts w:ascii="Arial" w:hAnsi="Arial" w:cs="Arial"/>
                <w:b/>
                <w:sz w:val="20"/>
              </w:rPr>
            </w:pPr>
          </w:p>
          <w:p w14:paraId="6C5A94AB" w14:textId="77777777" w:rsidR="00782D94" w:rsidRPr="00D57D72" w:rsidRDefault="00782D94" w:rsidP="004C033C">
            <w:pPr>
              <w:pStyle w:val="TableParagraph"/>
              <w:spacing w:before="4"/>
              <w:rPr>
                <w:rFonts w:ascii="Arial" w:hAnsi="Arial" w:cs="Arial"/>
                <w:b/>
                <w:sz w:val="12"/>
              </w:rPr>
            </w:pPr>
          </w:p>
          <w:p w14:paraId="6A064573" w14:textId="77777777" w:rsidR="00782D94" w:rsidRPr="00D57D72" w:rsidRDefault="00782D94" w:rsidP="004C033C">
            <w:pPr>
              <w:pStyle w:val="TableParagraph"/>
              <w:spacing w:line="180" w:lineRule="exact"/>
              <w:ind w:left="468"/>
              <w:rPr>
                <w:rFonts w:ascii="Arial" w:hAnsi="Arial" w:cs="Arial"/>
                <w:sz w:val="18"/>
              </w:rPr>
            </w:pPr>
            <w:r w:rsidRPr="00D57D72">
              <w:rPr>
                <w:rFonts w:ascii="Arial" w:hAnsi="Arial" w:cs="Arial"/>
                <w:noProof/>
                <w:position w:val="-3"/>
                <w:sz w:val="18"/>
                <w:lang w:val="en-GB" w:eastAsia="en-GB"/>
              </w:rPr>
              <w:drawing>
                <wp:inline distT="0" distB="0" distL="0" distR="0" wp14:anchorId="34A28D53" wp14:editId="5B14673B">
                  <wp:extent cx="114300" cy="114300"/>
                  <wp:effectExtent l="0" t="0" r="0" b="0"/>
                  <wp:docPr id="15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Pr>
          <w:p w14:paraId="0DA34B2F" w14:textId="77777777" w:rsidR="00782D94" w:rsidRPr="00D57D72" w:rsidRDefault="00782D94" w:rsidP="004C033C">
            <w:pPr>
              <w:pStyle w:val="TableParagraph"/>
              <w:rPr>
                <w:rFonts w:ascii="Arial" w:hAnsi="Arial" w:cs="Arial"/>
                <w:b/>
                <w:sz w:val="20"/>
              </w:rPr>
            </w:pPr>
          </w:p>
          <w:p w14:paraId="4C880DF5" w14:textId="77777777" w:rsidR="00782D94" w:rsidRPr="00D57D72" w:rsidRDefault="00782D94" w:rsidP="004C033C">
            <w:pPr>
              <w:pStyle w:val="TableParagraph"/>
              <w:rPr>
                <w:rFonts w:ascii="Arial" w:hAnsi="Arial" w:cs="Arial"/>
                <w:b/>
                <w:sz w:val="20"/>
              </w:rPr>
            </w:pPr>
          </w:p>
          <w:p w14:paraId="1A8C5F93" w14:textId="77777777" w:rsidR="00782D94" w:rsidRPr="00D57D72" w:rsidRDefault="00782D94" w:rsidP="004C033C">
            <w:pPr>
              <w:pStyle w:val="TableParagraph"/>
              <w:spacing w:before="4"/>
              <w:rPr>
                <w:rFonts w:ascii="Arial" w:hAnsi="Arial" w:cs="Arial"/>
                <w:b/>
                <w:sz w:val="12"/>
              </w:rPr>
            </w:pPr>
          </w:p>
          <w:p w14:paraId="163B4FA4" w14:textId="77777777" w:rsidR="00782D94" w:rsidRPr="00D57D72" w:rsidRDefault="00782D94" w:rsidP="004C033C">
            <w:pPr>
              <w:pStyle w:val="TableParagraph"/>
              <w:spacing w:line="180" w:lineRule="exact"/>
              <w:ind w:left="468"/>
              <w:rPr>
                <w:rFonts w:ascii="Arial" w:hAnsi="Arial" w:cs="Arial"/>
                <w:sz w:val="18"/>
              </w:rPr>
            </w:pPr>
            <w:r w:rsidRPr="00D57D72">
              <w:rPr>
                <w:rFonts w:ascii="Arial" w:hAnsi="Arial" w:cs="Arial"/>
                <w:noProof/>
                <w:position w:val="-3"/>
                <w:sz w:val="18"/>
                <w:lang w:val="en-GB" w:eastAsia="en-GB"/>
              </w:rPr>
              <w:drawing>
                <wp:inline distT="0" distB="0" distL="0" distR="0" wp14:anchorId="38C91BDC" wp14:editId="163EABC7">
                  <wp:extent cx="114300" cy="114300"/>
                  <wp:effectExtent l="0" t="0" r="0" b="0"/>
                  <wp:docPr id="15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0" w:type="dxa"/>
          </w:tcPr>
          <w:p w14:paraId="7C6AF3C2" w14:textId="77777777" w:rsidR="00782D94" w:rsidRPr="00D57D72" w:rsidRDefault="00782D94" w:rsidP="004C033C">
            <w:pPr>
              <w:pStyle w:val="TableParagraph"/>
              <w:rPr>
                <w:rFonts w:ascii="Arial" w:hAnsi="Arial" w:cs="Arial"/>
                <w:b/>
                <w:sz w:val="20"/>
              </w:rPr>
            </w:pPr>
          </w:p>
          <w:p w14:paraId="2E16479F" w14:textId="77777777" w:rsidR="00782D94" w:rsidRPr="00D57D72" w:rsidRDefault="00782D94" w:rsidP="004C033C">
            <w:pPr>
              <w:pStyle w:val="TableParagraph"/>
              <w:rPr>
                <w:rFonts w:ascii="Arial" w:hAnsi="Arial" w:cs="Arial"/>
                <w:b/>
                <w:sz w:val="20"/>
              </w:rPr>
            </w:pPr>
          </w:p>
          <w:p w14:paraId="27C67934" w14:textId="77777777" w:rsidR="00782D94" w:rsidRPr="00D57D72" w:rsidRDefault="00782D94" w:rsidP="004C033C">
            <w:pPr>
              <w:pStyle w:val="TableParagraph"/>
              <w:spacing w:before="4"/>
              <w:rPr>
                <w:rFonts w:ascii="Arial" w:hAnsi="Arial" w:cs="Arial"/>
                <w:b/>
                <w:sz w:val="12"/>
              </w:rPr>
            </w:pPr>
          </w:p>
          <w:p w14:paraId="04247C96" w14:textId="77777777" w:rsidR="00782D94" w:rsidRPr="00D57D72" w:rsidRDefault="00782D94" w:rsidP="004C033C">
            <w:pPr>
              <w:pStyle w:val="TableParagraph"/>
              <w:spacing w:line="180" w:lineRule="exact"/>
              <w:ind w:left="245"/>
              <w:rPr>
                <w:rFonts w:ascii="Arial" w:hAnsi="Arial" w:cs="Arial"/>
                <w:sz w:val="18"/>
              </w:rPr>
            </w:pPr>
            <w:r w:rsidRPr="00D57D72">
              <w:rPr>
                <w:rFonts w:ascii="Arial" w:hAnsi="Arial" w:cs="Arial"/>
                <w:noProof/>
                <w:position w:val="-3"/>
                <w:sz w:val="18"/>
                <w:lang w:val="en-GB" w:eastAsia="en-GB"/>
              </w:rPr>
              <w:drawing>
                <wp:inline distT="0" distB="0" distL="0" distR="0" wp14:anchorId="7D50B77F" wp14:editId="1C9C8AE9">
                  <wp:extent cx="114300" cy="114300"/>
                  <wp:effectExtent l="0" t="0" r="0" b="0"/>
                  <wp:docPr id="2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07038706" w14:textId="77777777" w:rsidTr="00782D94">
        <w:trPr>
          <w:trHeight w:val="2380"/>
          <w:jc w:val="center"/>
        </w:trPr>
        <w:tc>
          <w:tcPr>
            <w:tcW w:w="2833" w:type="dxa"/>
          </w:tcPr>
          <w:p w14:paraId="6496683A" w14:textId="77777777" w:rsidR="00782D94" w:rsidRDefault="00782D94" w:rsidP="004C033C">
            <w:pPr>
              <w:pStyle w:val="TableParagraph"/>
              <w:spacing w:before="69" w:line="199" w:lineRule="auto"/>
              <w:ind w:left="185" w:right="308"/>
              <w:rPr>
                <w:sz w:val="19"/>
              </w:rPr>
            </w:pPr>
            <w:r>
              <w:rPr>
                <w:w w:val="105"/>
                <w:sz w:val="19"/>
              </w:rPr>
              <w:t>Provide further guidance relating to reliance on third parties for carrying out identification and verification through digital means, including on issues relating to liability</w:t>
            </w:r>
          </w:p>
        </w:tc>
        <w:tc>
          <w:tcPr>
            <w:tcW w:w="1176" w:type="dxa"/>
          </w:tcPr>
          <w:p w14:paraId="79297560" w14:textId="77777777" w:rsidR="00782D94" w:rsidRPr="00D57D72" w:rsidRDefault="00782D94" w:rsidP="004C033C">
            <w:pPr>
              <w:pStyle w:val="TableParagraph"/>
              <w:rPr>
                <w:rFonts w:ascii="Arial" w:hAnsi="Arial" w:cs="Arial"/>
                <w:b/>
                <w:sz w:val="20"/>
              </w:rPr>
            </w:pPr>
          </w:p>
          <w:p w14:paraId="4688CAD4" w14:textId="77777777" w:rsidR="00782D94" w:rsidRPr="00D57D72" w:rsidRDefault="00782D94" w:rsidP="004C033C">
            <w:pPr>
              <w:pStyle w:val="TableParagraph"/>
              <w:rPr>
                <w:rFonts w:ascii="Arial" w:hAnsi="Arial" w:cs="Arial"/>
                <w:b/>
                <w:sz w:val="20"/>
              </w:rPr>
            </w:pPr>
          </w:p>
          <w:p w14:paraId="08D9F0AD" w14:textId="77777777" w:rsidR="00782D94" w:rsidRPr="00D57D72" w:rsidRDefault="00782D94" w:rsidP="004C033C">
            <w:pPr>
              <w:pStyle w:val="TableParagraph"/>
              <w:rPr>
                <w:rFonts w:ascii="Arial" w:hAnsi="Arial" w:cs="Arial"/>
                <w:b/>
                <w:sz w:val="20"/>
              </w:rPr>
            </w:pPr>
          </w:p>
          <w:p w14:paraId="2BF2BF2B" w14:textId="77777777" w:rsidR="00782D94" w:rsidRPr="00D57D72" w:rsidRDefault="00782D94" w:rsidP="004C033C">
            <w:pPr>
              <w:pStyle w:val="TableParagraph"/>
              <w:rPr>
                <w:rFonts w:ascii="Arial" w:hAnsi="Arial" w:cs="Arial"/>
                <w:b/>
                <w:sz w:val="20"/>
              </w:rPr>
            </w:pPr>
          </w:p>
          <w:p w14:paraId="1A9C8F71" w14:textId="77777777" w:rsidR="00782D94" w:rsidRPr="00D57D72" w:rsidRDefault="00782D94" w:rsidP="004C033C">
            <w:pPr>
              <w:pStyle w:val="TableParagraph"/>
              <w:rPr>
                <w:rFonts w:ascii="Arial" w:hAnsi="Arial" w:cs="Arial"/>
                <w:b/>
                <w:sz w:val="11"/>
              </w:rPr>
            </w:pPr>
          </w:p>
          <w:p w14:paraId="0337AC15" w14:textId="77777777" w:rsidR="00782D94" w:rsidRPr="00D57D72" w:rsidRDefault="00782D94" w:rsidP="004C033C">
            <w:pPr>
              <w:pStyle w:val="TableParagraph"/>
              <w:spacing w:line="180" w:lineRule="exact"/>
              <w:ind w:left="553"/>
              <w:rPr>
                <w:rFonts w:ascii="Arial" w:hAnsi="Arial" w:cs="Arial"/>
                <w:sz w:val="18"/>
              </w:rPr>
            </w:pPr>
            <w:r w:rsidRPr="00D57D72">
              <w:rPr>
                <w:rFonts w:ascii="Arial" w:hAnsi="Arial" w:cs="Arial"/>
                <w:noProof/>
                <w:position w:val="-3"/>
                <w:sz w:val="18"/>
                <w:lang w:val="en-GB" w:eastAsia="en-GB"/>
              </w:rPr>
              <w:drawing>
                <wp:inline distT="0" distB="0" distL="0" distR="0" wp14:anchorId="3C89C537" wp14:editId="0C5FAE25">
                  <wp:extent cx="114300" cy="114300"/>
                  <wp:effectExtent l="0" t="0" r="0" b="0"/>
                  <wp:docPr id="15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Pr>
          <w:p w14:paraId="09D166CB" w14:textId="77777777" w:rsidR="00782D94" w:rsidRPr="00D57D72" w:rsidRDefault="00782D94" w:rsidP="004C033C">
            <w:pPr>
              <w:pStyle w:val="TableParagraph"/>
              <w:rPr>
                <w:rFonts w:ascii="Arial" w:hAnsi="Arial" w:cs="Arial"/>
                <w:b/>
                <w:sz w:val="20"/>
              </w:rPr>
            </w:pPr>
          </w:p>
          <w:p w14:paraId="41611FF6" w14:textId="77777777" w:rsidR="00782D94" w:rsidRPr="00D57D72" w:rsidRDefault="00782D94" w:rsidP="004C033C">
            <w:pPr>
              <w:pStyle w:val="TableParagraph"/>
              <w:rPr>
                <w:rFonts w:ascii="Arial" w:hAnsi="Arial" w:cs="Arial"/>
                <w:b/>
                <w:sz w:val="20"/>
              </w:rPr>
            </w:pPr>
          </w:p>
          <w:p w14:paraId="46140343" w14:textId="77777777" w:rsidR="00782D94" w:rsidRPr="00D57D72" w:rsidRDefault="00782D94" w:rsidP="004C033C">
            <w:pPr>
              <w:pStyle w:val="TableParagraph"/>
              <w:rPr>
                <w:rFonts w:ascii="Arial" w:hAnsi="Arial" w:cs="Arial"/>
                <w:b/>
                <w:sz w:val="20"/>
              </w:rPr>
            </w:pPr>
          </w:p>
          <w:p w14:paraId="08CE0945" w14:textId="77777777" w:rsidR="00782D94" w:rsidRPr="00D57D72" w:rsidRDefault="00782D94" w:rsidP="004C033C">
            <w:pPr>
              <w:pStyle w:val="TableParagraph"/>
              <w:rPr>
                <w:rFonts w:ascii="Arial" w:hAnsi="Arial" w:cs="Arial"/>
                <w:b/>
                <w:sz w:val="20"/>
              </w:rPr>
            </w:pPr>
          </w:p>
          <w:p w14:paraId="63464D11" w14:textId="77777777" w:rsidR="00782D94" w:rsidRPr="00D57D72" w:rsidRDefault="00782D94" w:rsidP="004C033C">
            <w:pPr>
              <w:pStyle w:val="TableParagraph"/>
              <w:rPr>
                <w:rFonts w:ascii="Arial" w:hAnsi="Arial" w:cs="Arial"/>
                <w:b/>
                <w:sz w:val="11"/>
              </w:rPr>
            </w:pPr>
          </w:p>
          <w:p w14:paraId="1B077D70" w14:textId="77777777" w:rsidR="00782D94" w:rsidRPr="00D57D72" w:rsidRDefault="00782D94" w:rsidP="004C033C">
            <w:pPr>
              <w:pStyle w:val="TableParagraph"/>
              <w:spacing w:line="180" w:lineRule="exact"/>
              <w:ind w:left="468"/>
              <w:rPr>
                <w:rFonts w:ascii="Arial" w:hAnsi="Arial" w:cs="Arial"/>
                <w:sz w:val="18"/>
              </w:rPr>
            </w:pPr>
            <w:r w:rsidRPr="00D57D72">
              <w:rPr>
                <w:rFonts w:ascii="Arial" w:hAnsi="Arial" w:cs="Arial"/>
                <w:noProof/>
                <w:position w:val="-3"/>
                <w:sz w:val="18"/>
                <w:lang w:val="en-GB" w:eastAsia="en-GB"/>
              </w:rPr>
              <w:drawing>
                <wp:inline distT="0" distB="0" distL="0" distR="0" wp14:anchorId="4DA868C7" wp14:editId="50C881FE">
                  <wp:extent cx="114300" cy="114300"/>
                  <wp:effectExtent l="0" t="0" r="0" b="0"/>
                  <wp:docPr id="15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Pr>
          <w:p w14:paraId="0963F99F" w14:textId="77777777" w:rsidR="00782D94" w:rsidRPr="00D57D72" w:rsidRDefault="00782D94" w:rsidP="004C033C">
            <w:pPr>
              <w:pStyle w:val="TableParagraph"/>
              <w:rPr>
                <w:rFonts w:ascii="Arial" w:hAnsi="Arial" w:cs="Arial"/>
                <w:b/>
                <w:sz w:val="20"/>
              </w:rPr>
            </w:pPr>
          </w:p>
          <w:p w14:paraId="5B6C0A9F" w14:textId="77777777" w:rsidR="00782D94" w:rsidRPr="00D57D72" w:rsidRDefault="00782D94" w:rsidP="004C033C">
            <w:pPr>
              <w:pStyle w:val="TableParagraph"/>
              <w:rPr>
                <w:rFonts w:ascii="Arial" w:hAnsi="Arial" w:cs="Arial"/>
                <w:b/>
                <w:sz w:val="20"/>
              </w:rPr>
            </w:pPr>
          </w:p>
          <w:p w14:paraId="5AE06900" w14:textId="77777777" w:rsidR="00782D94" w:rsidRPr="00D57D72" w:rsidRDefault="00782D94" w:rsidP="004C033C">
            <w:pPr>
              <w:pStyle w:val="TableParagraph"/>
              <w:rPr>
                <w:rFonts w:ascii="Arial" w:hAnsi="Arial" w:cs="Arial"/>
                <w:b/>
                <w:sz w:val="20"/>
              </w:rPr>
            </w:pPr>
          </w:p>
          <w:p w14:paraId="6E290CC6" w14:textId="77777777" w:rsidR="00782D94" w:rsidRPr="00D57D72" w:rsidRDefault="00782D94" w:rsidP="004C033C">
            <w:pPr>
              <w:pStyle w:val="TableParagraph"/>
              <w:rPr>
                <w:rFonts w:ascii="Arial" w:hAnsi="Arial" w:cs="Arial"/>
                <w:b/>
                <w:sz w:val="20"/>
              </w:rPr>
            </w:pPr>
          </w:p>
          <w:p w14:paraId="37DBF7B9" w14:textId="77777777" w:rsidR="00782D94" w:rsidRPr="00D57D72" w:rsidRDefault="00782D94" w:rsidP="004C033C">
            <w:pPr>
              <w:pStyle w:val="TableParagraph"/>
              <w:rPr>
                <w:rFonts w:ascii="Arial" w:hAnsi="Arial" w:cs="Arial"/>
                <w:b/>
                <w:sz w:val="11"/>
              </w:rPr>
            </w:pPr>
          </w:p>
          <w:p w14:paraId="0CBB4E59" w14:textId="77777777" w:rsidR="00782D94" w:rsidRPr="00D57D72" w:rsidRDefault="00782D94" w:rsidP="004C033C">
            <w:pPr>
              <w:pStyle w:val="TableParagraph"/>
              <w:spacing w:line="180" w:lineRule="exact"/>
              <w:ind w:left="451"/>
              <w:rPr>
                <w:rFonts w:ascii="Arial" w:hAnsi="Arial" w:cs="Arial"/>
                <w:sz w:val="18"/>
              </w:rPr>
            </w:pPr>
            <w:r w:rsidRPr="00D57D72">
              <w:rPr>
                <w:rFonts w:ascii="Arial" w:hAnsi="Arial" w:cs="Arial"/>
                <w:noProof/>
                <w:position w:val="-3"/>
                <w:sz w:val="18"/>
                <w:lang w:val="en-GB" w:eastAsia="en-GB"/>
              </w:rPr>
              <w:drawing>
                <wp:inline distT="0" distB="0" distL="0" distR="0" wp14:anchorId="372FD619" wp14:editId="41355B58">
                  <wp:extent cx="114300" cy="114300"/>
                  <wp:effectExtent l="0" t="0" r="0" b="0"/>
                  <wp:docPr id="15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Pr>
          <w:p w14:paraId="08B97385" w14:textId="77777777" w:rsidR="00782D94" w:rsidRPr="00D57D72" w:rsidRDefault="00782D94" w:rsidP="004C033C">
            <w:pPr>
              <w:pStyle w:val="TableParagraph"/>
              <w:rPr>
                <w:rFonts w:ascii="Arial" w:hAnsi="Arial" w:cs="Arial"/>
                <w:b/>
                <w:sz w:val="20"/>
              </w:rPr>
            </w:pPr>
          </w:p>
          <w:p w14:paraId="4D9157DC" w14:textId="77777777" w:rsidR="00782D94" w:rsidRPr="00D57D72" w:rsidRDefault="00782D94" w:rsidP="004C033C">
            <w:pPr>
              <w:pStyle w:val="TableParagraph"/>
              <w:rPr>
                <w:rFonts w:ascii="Arial" w:hAnsi="Arial" w:cs="Arial"/>
                <w:b/>
                <w:sz w:val="20"/>
              </w:rPr>
            </w:pPr>
          </w:p>
          <w:p w14:paraId="5BE462A5" w14:textId="77777777" w:rsidR="00782D94" w:rsidRPr="00D57D72" w:rsidRDefault="00782D94" w:rsidP="004C033C">
            <w:pPr>
              <w:pStyle w:val="TableParagraph"/>
              <w:rPr>
                <w:rFonts w:ascii="Arial" w:hAnsi="Arial" w:cs="Arial"/>
                <w:b/>
                <w:sz w:val="20"/>
              </w:rPr>
            </w:pPr>
          </w:p>
          <w:p w14:paraId="63A937F8" w14:textId="77777777" w:rsidR="00782D94" w:rsidRPr="00D57D72" w:rsidRDefault="00782D94" w:rsidP="004C033C">
            <w:pPr>
              <w:pStyle w:val="TableParagraph"/>
              <w:rPr>
                <w:rFonts w:ascii="Arial" w:hAnsi="Arial" w:cs="Arial"/>
                <w:b/>
                <w:sz w:val="20"/>
              </w:rPr>
            </w:pPr>
          </w:p>
          <w:p w14:paraId="6DD511BD" w14:textId="77777777" w:rsidR="00782D94" w:rsidRPr="00D57D72" w:rsidRDefault="00782D94" w:rsidP="004C033C">
            <w:pPr>
              <w:pStyle w:val="TableParagraph"/>
              <w:rPr>
                <w:rFonts w:ascii="Arial" w:hAnsi="Arial" w:cs="Arial"/>
                <w:b/>
                <w:sz w:val="11"/>
              </w:rPr>
            </w:pPr>
          </w:p>
          <w:p w14:paraId="2216680A" w14:textId="77777777" w:rsidR="00782D94" w:rsidRPr="00D57D72" w:rsidRDefault="00782D94" w:rsidP="004C033C">
            <w:pPr>
              <w:pStyle w:val="TableParagraph"/>
              <w:spacing w:line="180" w:lineRule="exact"/>
              <w:ind w:left="468"/>
              <w:rPr>
                <w:rFonts w:ascii="Arial" w:hAnsi="Arial" w:cs="Arial"/>
                <w:sz w:val="18"/>
              </w:rPr>
            </w:pPr>
            <w:r w:rsidRPr="00D57D72">
              <w:rPr>
                <w:rFonts w:ascii="Arial" w:hAnsi="Arial" w:cs="Arial"/>
                <w:noProof/>
                <w:position w:val="-3"/>
                <w:sz w:val="18"/>
                <w:lang w:val="en-GB" w:eastAsia="en-GB"/>
              </w:rPr>
              <w:drawing>
                <wp:inline distT="0" distB="0" distL="0" distR="0" wp14:anchorId="36FE05C7" wp14:editId="4A306FB8">
                  <wp:extent cx="114300" cy="114300"/>
                  <wp:effectExtent l="0" t="0" r="0" b="0"/>
                  <wp:docPr id="15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Pr>
          <w:p w14:paraId="50A1FC28" w14:textId="77777777" w:rsidR="00782D94" w:rsidRPr="00D57D72" w:rsidRDefault="00782D94" w:rsidP="004C033C">
            <w:pPr>
              <w:pStyle w:val="TableParagraph"/>
              <w:rPr>
                <w:rFonts w:ascii="Arial" w:hAnsi="Arial" w:cs="Arial"/>
                <w:b/>
                <w:sz w:val="20"/>
              </w:rPr>
            </w:pPr>
          </w:p>
          <w:p w14:paraId="71537108" w14:textId="77777777" w:rsidR="00782D94" w:rsidRPr="00D57D72" w:rsidRDefault="00782D94" w:rsidP="004C033C">
            <w:pPr>
              <w:pStyle w:val="TableParagraph"/>
              <w:rPr>
                <w:rFonts w:ascii="Arial" w:hAnsi="Arial" w:cs="Arial"/>
                <w:b/>
                <w:sz w:val="20"/>
              </w:rPr>
            </w:pPr>
          </w:p>
          <w:p w14:paraId="29242C54" w14:textId="77777777" w:rsidR="00782D94" w:rsidRPr="00D57D72" w:rsidRDefault="00782D94" w:rsidP="004C033C">
            <w:pPr>
              <w:pStyle w:val="TableParagraph"/>
              <w:rPr>
                <w:rFonts w:ascii="Arial" w:hAnsi="Arial" w:cs="Arial"/>
                <w:b/>
                <w:sz w:val="20"/>
              </w:rPr>
            </w:pPr>
          </w:p>
          <w:p w14:paraId="6BC5660F" w14:textId="77777777" w:rsidR="00782D94" w:rsidRPr="00D57D72" w:rsidRDefault="00782D94" w:rsidP="004C033C">
            <w:pPr>
              <w:pStyle w:val="TableParagraph"/>
              <w:rPr>
                <w:rFonts w:ascii="Arial" w:hAnsi="Arial" w:cs="Arial"/>
                <w:b/>
                <w:sz w:val="20"/>
              </w:rPr>
            </w:pPr>
          </w:p>
          <w:p w14:paraId="0EE93B99" w14:textId="77777777" w:rsidR="00782D94" w:rsidRPr="00D57D72" w:rsidRDefault="00782D94" w:rsidP="004C033C">
            <w:pPr>
              <w:pStyle w:val="TableParagraph"/>
              <w:rPr>
                <w:rFonts w:ascii="Arial" w:hAnsi="Arial" w:cs="Arial"/>
                <w:b/>
                <w:sz w:val="11"/>
              </w:rPr>
            </w:pPr>
          </w:p>
          <w:p w14:paraId="24A010A9" w14:textId="77777777" w:rsidR="00782D94" w:rsidRPr="00D57D72" w:rsidRDefault="00782D94" w:rsidP="004C033C">
            <w:pPr>
              <w:pStyle w:val="TableParagraph"/>
              <w:spacing w:line="180" w:lineRule="exact"/>
              <w:ind w:left="468"/>
              <w:rPr>
                <w:rFonts w:ascii="Arial" w:hAnsi="Arial" w:cs="Arial"/>
                <w:sz w:val="18"/>
              </w:rPr>
            </w:pPr>
            <w:r w:rsidRPr="00D57D72">
              <w:rPr>
                <w:rFonts w:ascii="Arial" w:hAnsi="Arial" w:cs="Arial"/>
                <w:noProof/>
                <w:position w:val="-3"/>
                <w:sz w:val="18"/>
                <w:lang w:val="en-GB" w:eastAsia="en-GB"/>
              </w:rPr>
              <w:t>X</w:t>
            </w:r>
          </w:p>
        </w:tc>
        <w:tc>
          <w:tcPr>
            <w:tcW w:w="620" w:type="dxa"/>
          </w:tcPr>
          <w:p w14:paraId="2BABE017" w14:textId="77777777" w:rsidR="00782D94" w:rsidRPr="00D57D72" w:rsidRDefault="00782D94" w:rsidP="004C033C">
            <w:pPr>
              <w:pStyle w:val="TableParagraph"/>
              <w:rPr>
                <w:rFonts w:ascii="Arial" w:hAnsi="Arial" w:cs="Arial"/>
                <w:b/>
                <w:sz w:val="20"/>
              </w:rPr>
            </w:pPr>
          </w:p>
          <w:p w14:paraId="7BC08AC6" w14:textId="77777777" w:rsidR="00782D94" w:rsidRPr="00D57D72" w:rsidRDefault="00782D94" w:rsidP="004C033C">
            <w:pPr>
              <w:pStyle w:val="TableParagraph"/>
              <w:rPr>
                <w:rFonts w:ascii="Arial" w:hAnsi="Arial" w:cs="Arial"/>
                <w:b/>
                <w:sz w:val="20"/>
              </w:rPr>
            </w:pPr>
          </w:p>
          <w:p w14:paraId="2498C584" w14:textId="77777777" w:rsidR="00782D94" w:rsidRPr="00D57D72" w:rsidRDefault="00782D94" w:rsidP="004C033C">
            <w:pPr>
              <w:pStyle w:val="TableParagraph"/>
              <w:rPr>
                <w:rFonts w:ascii="Arial" w:hAnsi="Arial" w:cs="Arial"/>
                <w:b/>
                <w:sz w:val="20"/>
              </w:rPr>
            </w:pPr>
          </w:p>
          <w:p w14:paraId="13DE2EE6" w14:textId="77777777" w:rsidR="00782D94" w:rsidRPr="00D57D72" w:rsidRDefault="00782D94" w:rsidP="004C033C">
            <w:pPr>
              <w:pStyle w:val="TableParagraph"/>
              <w:rPr>
                <w:rFonts w:ascii="Arial" w:hAnsi="Arial" w:cs="Arial"/>
                <w:b/>
                <w:sz w:val="20"/>
              </w:rPr>
            </w:pPr>
          </w:p>
          <w:p w14:paraId="4DB9EE24" w14:textId="77777777" w:rsidR="00782D94" w:rsidRPr="00D57D72" w:rsidRDefault="00782D94" w:rsidP="004C033C">
            <w:pPr>
              <w:pStyle w:val="TableParagraph"/>
              <w:rPr>
                <w:rFonts w:ascii="Arial" w:hAnsi="Arial" w:cs="Arial"/>
                <w:b/>
                <w:sz w:val="11"/>
              </w:rPr>
            </w:pPr>
          </w:p>
          <w:p w14:paraId="70F1CAF2" w14:textId="77777777" w:rsidR="00782D94" w:rsidRPr="00D57D72" w:rsidRDefault="00782D94" w:rsidP="004C033C">
            <w:pPr>
              <w:pStyle w:val="TableParagraph"/>
              <w:spacing w:line="180" w:lineRule="exact"/>
              <w:ind w:left="245"/>
              <w:rPr>
                <w:rFonts w:ascii="Arial" w:hAnsi="Arial" w:cs="Arial"/>
                <w:sz w:val="18"/>
              </w:rPr>
            </w:pPr>
            <w:r w:rsidRPr="00D57D72">
              <w:rPr>
                <w:rFonts w:ascii="Arial" w:hAnsi="Arial" w:cs="Arial"/>
                <w:noProof/>
                <w:position w:val="-3"/>
                <w:sz w:val="18"/>
                <w:lang w:val="en-GB" w:eastAsia="en-GB"/>
              </w:rPr>
              <w:drawing>
                <wp:inline distT="0" distB="0" distL="0" distR="0" wp14:anchorId="3F3ACA2C" wp14:editId="4D6ADC24">
                  <wp:extent cx="114300" cy="114300"/>
                  <wp:effectExtent l="0" t="0" r="0" b="0"/>
                  <wp:docPr id="15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4F550731" w14:textId="77777777" w:rsidTr="00782D94">
        <w:trPr>
          <w:trHeight w:val="1087"/>
          <w:jc w:val="center"/>
        </w:trPr>
        <w:tc>
          <w:tcPr>
            <w:tcW w:w="2833" w:type="dxa"/>
            <w:tcBorders>
              <w:bottom w:val="nil"/>
            </w:tcBorders>
          </w:tcPr>
          <w:p w14:paraId="2D5FB43E" w14:textId="77777777" w:rsidR="00782D94" w:rsidRDefault="00782D94" w:rsidP="004C033C">
            <w:pPr>
              <w:pStyle w:val="TableParagraph"/>
              <w:spacing w:before="69" w:line="199" w:lineRule="auto"/>
              <w:ind w:left="185" w:right="752"/>
              <w:rPr>
                <w:sz w:val="19"/>
              </w:rPr>
            </w:pPr>
            <w:r>
              <w:rPr>
                <w:w w:val="105"/>
                <w:sz w:val="19"/>
              </w:rPr>
              <w:t>Promote re-use of digital identities collected for customer due diligence</w:t>
            </w:r>
          </w:p>
        </w:tc>
        <w:tc>
          <w:tcPr>
            <w:tcW w:w="1176" w:type="dxa"/>
            <w:tcBorders>
              <w:bottom w:val="nil"/>
            </w:tcBorders>
          </w:tcPr>
          <w:p w14:paraId="4B9277CE" w14:textId="13FE9C96" w:rsidR="00782D94" w:rsidRPr="00D57D72" w:rsidRDefault="00782D94" w:rsidP="00782D94">
            <w:pPr>
              <w:pStyle w:val="TableParagraph"/>
              <w:jc w:val="center"/>
              <w:rPr>
                <w:rFonts w:ascii="Arial" w:hAnsi="Arial" w:cs="Arial"/>
              </w:rPr>
            </w:pPr>
            <w:r w:rsidRPr="00D57D72">
              <w:rPr>
                <w:rFonts w:ascii="Arial" w:hAnsi="Arial" w:cs="Arial"/>
                <w:noProof/>
                <w:position w:val="-3"/>
                <w:sz w:val="18"/>
                <w:lang w:val="en-GB" w:eastAsia="en-GB"/>
              </w:rPr>
              <w:drawing>
                <wp:inline distT="0" distB="0" distL="0" distR="0" wp14:anchorId="29C9E1E9" wp14:editId="40EC830F">
                  <wp:extent cx="114300" cy="114300"/>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bottom w:val="nil"/>
            </w:tcBorders>
          </w:tcPr>
          <w:p w14:paraId="4D0AE60A" w14:textId="74C159B4" w:rsidR="00782D94" w:rsidRPr="00D57D72" w:rsidRDefault="00782D94" w:rsidP="00782D94">
            <w:pPr>
              <w:pStyle w:val="TableParagraph"/>
              <w:jc w:val="center"/>
              <w:rPr>
                <w:rFonts w:ascii="Arial" w:hAnsi="Arial" w:cs="Arial"/>
              </w:rPr>
            </w:pPr>
            <w:r w:rsidRPr="00D57D72">
              <w:rPr>
                <w:rFonts w:ascii="Arial" w:hAnsi="Arial" w:cs="Arial"/>
                <w:noProof/>
                <w:position w:val="-3"/>
                <w:sz w:val="18"/>
                <w:lang w:val="en-GB" w:eastAsia="en-GB"/>
              </w:rPr>
              <w:drawing>
                <wp:inline distT="0" distB="0" distL="0" distR="0" wp14:anchorId="389B4E12" wp14:editId="390ECFCC">
                  <wp:extent cx="114300" cy="114300"/>
                  <wp:effectExtent l="0" t="0" r="0" b="0"/>
                  <wp:docPr id="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Borders>
              <w:bottom w:val="nil"/>
            </w:tcBorders>
          </w:tcPr>
          <w:p w14:paraId="3627DD0F" w14:textId="5C1D7AB1" w:rsidR="00782D94" w:rsidRPr="00D57D72" w:rsidRDefault="00782D94" w:rsidP="00782D94">
            <w:pPr>
              <w:pStyle w:val="TableParagraph"/>
              <w:jc w:val="center"/>
              <w:rPr>
                <w:rFonts w:ascii="Arial" w:hAnsi="Arial" w:cs="Arial"/>
              </w:rPr>
            </w:pPr>
            <w:r w:rsidRPr="00D57D72">
              <w:rPr>
                <w:rFonts w:ascii="Arial" w:hAnsi="Arial" w:cs="Arial"/>
                <w:noProof/>
                <w:position w:val="-3"/>
                <w:sz w:val="18"/>
                <w:lang w:val="en-GB" w:eastAsia="en-GB"/>
              </w:rPr>
              <w:drawing>
                <wp:inline distT="0" distB="0" distL="0" distR="0" wp14:anchorId="71F8BBBA" wp14:editId="6E46D032">
                  <wp:extent cx="114300" cy="114300"/>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bottom w:val="nil"/>
            </w:tcBorders>
          </w:tcPr>
          <w:p w14:paraId="3258509B" w14:textId="5F949752" w:rsidR="00782D94" w:rsidRPr="00D57D72" w:rsidRDefault="00782D94" w:rsidP="00782D94">
            <w:pPr>
              <w:pStyle w:val="TableParagraph"/>
              <w:jc w:val="center"/>
              <w:rPr>
                <w:rFonts w:ascii="Arial" w:hAnsi="Arial" w:cs="Arial"/>
              </w:rPr>
            </w:pPr>
            <w:r w:rsidRPr="00D57D72">
              <w:rPr>
                <w:rFonts w:ascii="Arial" w:hAnsi="Arial" w:cs="Arial"/>
                <w:noProof/>
                <w:position w:val="-3"/>
                <w:sz w:val="18"/>
                <w:lang w:val="en-GB" w:eastAsia="en-GB"/>
              </w:rPr>
              <w:drawing>
                <wp:inline distT="0" distB="0" distL="0" distR="0" wp14:anchorId="627E15EE" wp14:editId="1A1C2FF1">
                  <wp:extent cx="114300" cy="114300"/>
                  <wp:effectExtent l="0" t="0" r="0" b="0"/>
                  <wp:docPr id="3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bottom w:val="nil"/>
            </w:tcBorders>
          </w:tcPr>
          <w:p w14:paraId="01192114" w14:textId="455A328C" w:rsidR="00782D94" w:rsidRPr="00D57D72" w:rsidRDefault="00782D94" w:rsidP="00782D94">
            <w:pPr>
              <w:pStyle w:val="TableParagraph"/>
              <w:jc w:val="center"/>
              <w:rPr>
                <w:rFonts w:ascii="Arial" w:hAnsi="Arial" w:cs="Arial"/>
              </w:rPr>
            </w:pPr>
            <w:r w:rsidRPr="00D57D72">
              <w:rPr>
                <w:rFonts w:ascii="Arial" w:hAnsi="Arial" w:cs="Arial"/>
                <w:noProof/>
                <w:position w:val="-3"/>
                <w:sz w:val="18"/>
                <w:lang w:val="en-GB" w:eastAsia="en-GB"/>
              </w:rPr>
              <w:drawing>
                <wp:inline distT="0" distB="0" distL="0" distR="0" wp14:anchorId="3051EE4A" wp14:editId="522F6705">
                  <wp:extent cx="114300" cy="114300"/>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0" w:type="dxa"/>
            <w:tcBorders>
              <w:bottom w:val="nil"/>
            </w:tcBorders>
          </w:tcPr>
          <w:p w14:paraId="3C16BCC8" w14:textId="748D43D9" w:rsidR="00782D94" w:rsidRPr="00D57D72" w:rsidRDefault="00782D94" w:rsidP="00782D94">
            <w:pPr>
              <w:pStyle w:val="TableParagraph"/>
              <w:jc w:val="center"/>
              <w:rPr>
                <w:rFonts w:ascii="Arial" w:hAnsi="Arial" w:cs="Arial"/>
              </w:rPr>
            </w:pPr>
            <w:r w:rsidRPr="00D57D72">
              <w:rPr>
                <w:rFonts w:ascii="Arial" w:hAnsi="Arial" w:cs="Arial"/>
                <w:noProof/>
                <w:position w:val="-3"/>
                <w:sz w:val="18"/>
                <w:lang w:val="en-GB" w:eastAsia="en-GB"/>
              </w:rPr>
              <w:drawing>
                <wp:inline distT="0" distB="0" distL="0" distR="0" wp14:anchorId="6A70DA75" wp14:editId="0679B9D0">
                  <wp:extent cx="114300" cy="114300"/>
                  <wp:effectExtent l="0" t="0" r="0" b="0"/>
                  <wp:docPr id="275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69FE8FE7" w14:textId="77777777" w:rsidTr="00782D94">
        <w:trPr>
          <w:trHeight w:val="1087"/>
          <w:jc w:val="center"/>
        </w:trPr>
        <w:tc>
          <w:tcPr>
            <w:tcW w:w="2833" w:type="dxa"/>
            <w:tcBorders>
              <w:top w:val="single" w:sz="12" w:space="0" w:color="BABABA"/>
              <w:left w:val="single" w:sz="12" w:space="0" w:color="BABABA"/>
              <w:bottom w:val="nil"/>
              <w:right w:val="single" w:sz="12" w:space="0" w:color="BABABA"/>
            </w:tcBorders>
          </w:tcPr>
          <w:p w14:paraId="0C01D37F" w14:textId="77777777" w:rsidR="00782D94" w:rsidRPr="00977640" w:rsidRDefault="00782D94" w:rsidP="004C033C">
            <w:pPr>
              <w:pStyle w:val="TableParagraph"/>
              <w:spacing w:before="69" w:line="199" w:lineRule="auto"/>
              <w:ind w:left="185" w:right="752"/>
              <w:rPr>
                <w:w w:val="105"/>
                <w:sz w:val="19"/>
              </w:rPr>
            </w:pPr>
            <w:r>
              <w:rPr>
                <w:w w:val="105"/>
                <w:sz w:val="19"/>
              </w:rPr>
              <w:t>purposes in accordance with</w:t>
            </w:r>
          </w:p>
          <w:p w14:paraId="3D1B69CE" w14:textId="77777777" w:rsidR="00782D94" w:rsidRPr="00977640" w:rsidRDefault="00782D94" w:rsidP="004C033C">
            <w:pPr>
              <w:pStyle w:val="TableParagraph"/>
              <w:spacing w:before="69" w:line="199" w:lineRule="auto"/>
              <w:ind w:left="185" w:right="752"/>
              <w:rPr>
                <w:w w:val="105"/>
                <w:sz w:val="19"/>
              </w:rPr>
            </w:pPr>
            <w:r>
              <w:rPr>
                <w:w w:val="105"/>
                <w:sz w:val="19"/>
              </w:rPr>
              <w:t>data protection rules</w:t>
            </w:r>
          </w:p>
        </w:tc>
        <w:tc>
          <w:tcPr>
            <w:tcW w:w="1176" w:type="dxa"/>
            <w:tcBorders>
              <w:top w:val="single" w:sz="12" w:space="0" w:color="BABABA"/>
              <w:left w:val="single" w:sz="12" w:space="0" w:color="BABABA"/>
              <w:bottom w:val="nil"/>
              <w:right w:val="single" w:sz="12" w:space="0" w:color="BABABA"/>
            </w:tcBorders>
          </w:tcPr>
          <w:p w14:paraId="5FB6E64A"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178C28F9" wp14:editId="770C8E67">
                  <wp:extent cx="114300" cy="114300"/>
                  <wp:effectExtent l="0" t="0" r="0" b="0"/>
                  <wp:docPr id="15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nil"/>
              <w:right w:val="single" w:sz="12" w:space="0" w:color="BABABA"/>
            </w:tcBorders>
          </w:tcPr>
          <w:p w14:paraId="06AD98A7"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37BFFD3B" wp14:editId="5B6284FE">
                  <wp:extent cx="114300" cy="114300"/>
                  <wp:effectExtent l="0" t="0" r="0" b="0"/>
                  <wp:docPr id="15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Borders>
              <w:top w:val="single" w:sz="12" w:space="0" w:color="BABABA"/>
              <w:left w:val="single" w:sz="12" w:space="0" w:color="BABABA"/>
              <w:bottom w:val="nil"/>
              <w:right w:val="single" w:sz="12" w:space="0" w:color="BABABA"/>
            </w:tcBorders>
          </w:tcPr>
          <w:p w14:paraId="4CC5E422"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D94E5D4" wp14:editId="0441E2E4">
                  <wp:extent cx="114300" cy="114300"/>
                  <wp:effectExtent l="0" t="0" r="0" b="0"/>
                  <wp:docPr id="15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nil"/>
              <w:right w:val="single" w:sz="12" w:space="0" w:color="BABABA"/>
            </w:tcBorders>
          </w:tcPr>
          <w:p w14:paraId="5ECDBF4C"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EA9F574" wp14:editId="093A5EED">
                  <wp:extent cx="114300" cy="114300"/>
                  <wp:effectExtent l="0" t="0" r="0" b="0"/>
                  <wp:docPr id="15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nil"/>
              <w:right w:val="single" w:sz="12" w:space="0" w:color="BABABA"/>
            </w:tcBorders>
          </w:tcPr>
          <w:p w14:paraId="1630A360"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1F586046" wp14:editId="1C721D6C">
                  <wp:extent cx="114300" cy="114300"/>
                  <wp:effectExtent l="0" t="0" r="0" b="0"/>
                  <wp:docPr id="15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0" w:type="dxa"/>
            <w:tcBorders>
              <w:top w:val="single" w:sz="12" w:space="0" w:color="BABABA"/>
              <w:left w:val="single" w:sz="12" w:space="0" w:color="BABABA"/>
              <w:bottom w:val="nil"/>
              <w:right w:val="single" w:sz="12" w:space="0" w:color="BABABA"/>
            </w:tcBorders>
          </w:tcPr>
          <w:p w14:paraId="62F84867" w14:textId="77777777" w:rsidR="00782D94" w:rsidRPr="00D57D72" w:rsidRDefault="00782D94" w:rsidP="00782D94">
            <w:pPr>
              <w:pStyle w:val="TableParagraph"/>
              <w:jc w:val="center"/>
              <w:rPr>
                <w:rFonts w:ascii="Arial" w:hAnsi="Arial" w:cs="Arial"/>
              </w:rPr>
            </w:pPr>
            <w:r w:rsidRPr="00D57D72">
              <w:rPr>
                <w:rFonts w:ascii="Arial" w:hAnsi="Arial" w:cs="Arial"/>
              </w:rPr>
              <w:t>X</w:t>
            </w:r>
          </w:p>
        </w:tc>
      </w:tr>
      <w:tr w:rsidR="00782D94" w14:paraId="14F526BA" w14:textId="77777777" w:rsidTr="00782D94">
        <w:trPr>
          <w:trHeight w:val="1087"/>
          <w:jc w:val="center"/>
        </w:trPr>
        <w:tc>
          <w:tcPr>
            <w:tcW w:w="2833" w:type="dxa"/>
            <w:tcBorders>
              <w:top w:val="single" w:sz="12" w:space="0" w:color="BABABA"/>
              <w:left w:val="single" w:sz="12" w:space="0" w:color="BABABA"/>
              <w:bottom w:val="nil"/>
              <w:right w:val="single" w:sz="12" w:space="0" w:color="BABABA"/>
            </w:tcBorders>
          </w:tcPr>
          <w:p w14:paraId="65E36DC1" w14:textId="77777777" w:rsidR="00782D94" w:rsidRPr="00977640" w:rsidRDefault="00782D94" w:rsidP="004C033C">
            <w:pPr>
              <w:pStyle w:val="TableParagraph"/>
              <w:spacing w:before="69" w:line="199" w:lineRule="auto"/>
              <w:ind w:left="185" w:right="752"/>
              <w:rPr>
                <w:w w:val="105"/>
                <w:sz w:val="19"/>
              </w:rPr>
            </w:pPr>
            <w:r>
              <w:rPr>
                <w:w w:val="105"/>
                <w:sz w:val="19"/>
              </w:rPr>
              <w:t>Promote a universally accepted public electronic identity</w:t>
            </w:r>
          </w:p>
        </w:tc>
        <w:tc>
          <w:tcPr>
            <w:tcW w:w="1176" w:type="dxa"/>
            <w:tcBorders>
              <w:top w:val="single" w:sz="12" w:space="0" w:color="BABABA"/>
              <w:left w:val="single" w:sz="12" w:space="0" w:color="BABABA"/>
              <w:bottom w:val="nil"/>
              <w:right w:val="single" w:sz="12" w:space="0" w:color="BABABA"/>
            </w:tcBorders>
          </w:tcPr>
          <w:p w14:paraId="60F660F9" w14:textId="77777777" w:rsidR="00782D94" w:rsidRPr="00D57D72" w:rsidRDefault="00782D94" w:rsidP="00782D94">
            <w:pPr>
              <w:pStyle w:val="TableParagraph"/>
              <w:jc w:val="center"/>
              <w:rPr>
                <w:rFonts w:ascii="Arial" w:hAnsi="Arial" w:cs="Arial"/>
              </w:rPr>
            </w:pPr>
          </w:p>
          <w:p w14:paraId="66F324D2"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0DF705B" wp14:editId="76E62EC5">
                  <wp:extent cx="114300" cy="114300"/>
                  <wp:effectExtent l="0" t="0" r="0" b="0"/>
                  <wp:docPr id="15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nil"/>
              <w:right w:val="single" w:sz="12" w:space="0" w:color="BABABA"/>
            </w:tcBorders>
          </w:tcPr>
          <w:p w14:paraId="18D86981" w14:textId="77777777" w:rsidR="00782D94" w:rsidRPr="00D57D72" w:rsidRDefault="00782D94" w:rsidP="00782D94">
            <w:pPr>
              <w:pStyle w:val="TableParagraph"/>
              <w:jc w:val="center"/>
              <w:rPr>
                <w:rFonts w:ascii="Arial" w:hAnsi="Arial" w:cs="Arial"/>
              </w:rPr>
            </w:pPr>
          </w:p>
          <w:p w14:paraId="41542BD7"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779D21FE" wp14:editId="622DF2CD">
                  <wp:extent cx="114300" cy="114300"/>
                  <wp:effectExtent l="0" t="0" r="0" b="0"/>
                  <wp:docPr id="15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Borders>
              <w:top w:val="single" w:sz="12" w:space="0" w:color="BABABA"/>
              <w:left w:val="single" w:sz="12" w:space="0" w:color="BABABA"/>
              <w:bottom w:val="nil"/>
              <w:right w:val="single" w:sz="12" w:space="0" w:color="BABABA"/>
            </w:tcBorders>
          </w:tcPr>
          <w:p w14:paraId="5522B6DD" w14:textId="77777777" w:rsidR="00782D94" w:rsidRPr="00D57D72" w:rsidRDefault="00782D94" w:rsidP="00782D94">
            <w:pPr>
              <w:pStyle w:val="TableParagraph"/>
              <w:jc w:val="center"/>
              <w:rPr>
                <w:rFonts w:ascii="Arial" w:hAnsi="Arial" w:cs="Arial"/>
              </w:rPr>
            </w:pPr>
          </w:p>
          <w:p w14:paraId="2FCE1B5F"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17C8811C" wp14:editId="020DD276">
                  <wp:extent cx="114300" cy="114300"/>
                  <wp:effectExtent l="0" t="0" r="0" b="0"/>
                  <wp:docPr id="15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nil"/>
              <w:right w:val="single" w:sz="12" w:space="0" w:color="BABABA"/>
            </w:tcBorders>
          </w:tcPr>
          <w:p w14:paraId="10FCD23F" w14:textId="77777777" w:rsidR="00782D94" w:rsidRPr="00D57D72" w:rsidRDefault="00782D94" w:rsidP="00782D94">
            <w:pPr>
              <w:pStyle w:val="TableParagraph"/>
              <w:jc w:val="center"/>
              <w:rPr>
                <w:rFonts w:ascii="Arial" w:hAnsi="Arial" w:cs="Arial"/>
              </w:rPr>
            </w:pPr>
          </w:p>
          <w:p w14:paraId="4E1A8058"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74FB0B0" wp14:editId="773A3624">
                  <wp:extent cx="114300" cy="114300"/>
                  <wp:effectExtent l="0" t="0" r="0" b="0"/>
                  <wp:docPr id="15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nil"/>
              <w:right w:val="single" w:sz="12" w:space="0" w:color="BABABA"/>
            </w:tcBorders>
          </w:tcPr>
          <w:p w14:paraId="69BA986B" w14:textId="77777777" w:rsidR="00782D94" w:rsidRPr="00D57D72" w:rsidRDefault="00782D94" w:rsidP="00782D94">
            <w:pPr>
              <w:pStyle w:val="TableParagraph"/>
              <w:jc w:val="center"/>
              <w:rPr>
                <w:rFonts w:ascii="Arial" w:hAnsi="Arial" w:cs="Arial"/>
              </w:rPr>
            </w:pPr>
          </w:p>
          <w:p w14:paraId="367622A7" w14:textId="71A0DA08"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42D96A0E" wp14:editId="29C66C63">
                  <wp:extent cx="114300" cy="114300"/>
                  <wp:effectExtent l="0" t="0" r="0" b="0"/>
                  <wp:docPr id="27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0" w:type="dxa"/>
            <w:tcBorders>
              <w:top w:val="single" w:sz="12" w:space="0" w:color="BABABA"/>
              <w:left w:val="single" w:sz="12" w:space="0" w:color="BABABA"/>
              <w:bottom w:val="nil"/>
              <w:right w:val="single" w:sz="12" w:space="0" w:color="BABABA"/>
            </w:tcBorders>
          </w:tcPr>
          <w:p w14:paraId="6D1C3C14" w14:textId="77777777" w:rsidR="00782D94" w:rsidRPr="00D57D72" w:rsidRDefault="00782D94" w:rsidP="00782D94">
            <w:pPr>
              <w:pStyle w:val="TableParagraph"/>
              <w:jc w:val="center"/>
              <w:rPr>
                <w:rFonts w:ascii="Arial" w:hAnsi="Arial" w:cs="Arial"/>
              </w:rPr>
            </w:pPr>
          </w:p>
          <w:p w14:paraId="6F39BC2E" w14:textId="25A73514" w:rsidR="00782D94" w:rsidRPr="00D57D72" w:rsidRDefault="00782D94" w:rsidP="00782D94">
            <w:pPr>
              <w:pStyle w:val="TableParagraph"/>
              <w:jc w:val="center"/>
              <w:rPr>
                <w:rFonts w:ascii="Arial" w:hAnsi="Arial" w:cs="Arial"/>
              </w:rPr>
            </w:pPr>
            <w:r w:rsidRPr="00D57D72">
              <w:rPr>
                <w:rFonts w:ascii="Arial" w:hAnsi="Arial" w:cs="Arial"/>
              </w:rPr>
              <w:t>X</w:t>
            </w:r>
          </w:p>
        </w:tc>
      </w:tr>
      <w:tr w:rsidR="00782D94" w14:paraId="66C9816D" w14:textId="77777777" w:rsidTr="00782D94">
        <w:trPr>
          <w:trHeight w:val="1087"/>
          <w:jc w:val="center"/>
        </w:trPr>
        <w:tc>
          <w:tcPr>
            <w:tcW w:w="2833" w:type="dxa"/>
            <w:tcBorders>
              <w:top w:val="single" w:sz="12" w:space="0" w:color="BABABA"/>
              <w:left w:val="single" w:sz="12" w:space="0" w:color="BABABA"/>
              <w:bottom w:val="single" w:sz="12" w:space="0" w:color="BABABA"/>
              <w:right w:val="single" w:sz="12" w:space="0" w:color="BABABA"/>
            </w:tcBorders>
          </w:tcPr>
          <w:p w14:paraId="1BDB6458" w14:textId="77777777" w:rsidR="00782D94" w:rsidRPr="00977640" w:rsidRDefault="00782D94" w:rsidP="004C033C">
            <w:pPr>
              <w:pStyle w:val="TableParagraph"/>
              <w:spacing w:before="69" w:line="199" w:lineRule="auto"/>
              <w:ind w:left="185" w:right="752"/>
              <w:rPr>
                <w:w w:val="105"/>
                <w:sz w:val="19"/>
              </w:rPr>
            </w:pPr>
            <w:r>
              <w:rPr>
                <w:w w:val="105"/>
                <w:sz w:val="19"/>
              </w:rPr>
              <w:t>Define the provision of digital identities as a new private sector trust service under the supervisory regime of the eIDAS Regulation</w:t>
            </w:r>
          </w:p>
        </w:tc>
        <w:tc>
          <w:tcPr>
            <w:tcW w:w="1176" w:type="dxa"/>
            <w:tcBorders>
              <w:top w:val="single" w:sz="12" w:space="0" w:color="BABABA"/>
              <w:left w:val="single" w:sz="12" w:space="0" w:color="BABABA"/>
              <w:bottom w:val="single" w:sz="12" w:space="0" w:color="BABABA"/>
              <w:right w:val="single" w:sz="12" w:space="0" w:color="BABABA"/>
            </w:tcBorders>
          </w:tcPr>
          <w:p w14:paraId="4AA55557" w14:textId="77777777" w:rsidR="00782D94" w:rsidRPr="00D57D72" w:rsidRDefault="00782D94" w:rsidP="00782D94">
            <w:pPr>
              <w:pStyle w:val="TableParagraph"/>
              <w:jc w:val="center"/>
              <w:rPr>
                <w:rFonts w:ascii="Arial" w:hAnsi="Arial" w:cs="Arial"/>
              </w:rPr>
            </w:pPr>
          </w:p>
          <w:p w14:paraId="43C7CE7C" w14:textId="77777777" w:rsidR="00782D94" w:rsidRPr="00D57D72" w:rsidRDefault="00782D94" w:rsidP="00782D94">
            <w:pPr>
              <w:pStyle w:val="TableParagraph"/>
              <w:jc w:val="center"/>
              <w:rPr>
                <w:rFonts w:ascii="Arial" w:hAnsi="Arial" w:cs="Arial"/>
              </w:rPr>
            </w:pPr>
          </w:p>
          <w:p w14:paraId="634949C1" w14:textId="77777777" w:rsidR="00782D94" w:rsidRPr="00D57D72" w:rsidRDefault="00782D94" w:rsidP="00782D94">
            <w:pPr>
              <w:pStyle w:val="TableParagraph"/>
              <w:jc w:val="center"/>
              <w:rPr>
                <w:rFonts w:ascii="Arial" w:hAnsi="Arial" w:cs="Arial"/>
              </w:rPr>
            </w:pPr>
          </w:p>
          <w:p w14:paraId="0D9F61BC" w14:textId="5F21F39F" w:rsidR="00782D94" w:rsidRPr="00D57D72" w:rsidRDefault="009A344B" w:rsidP="00782D94">
            <w:pPr>
              <w:pStyle w:val="TableParagraph"/>
              <w:jc w:val="center"/>
              <w:rPr>
                <w:rFonts w:ascii="Arial" w:hAnsi="Arial" w:cs="Arial"/>
              </w:rPr>
            </w:pPr>
            <w:r w:rsidRPr="00D57D72">
              <w:rPr>
                <w:rFonts w:ascii="Arial" w:hAnsi="Arial" w:cs="Arial"/>
              </w:rPr>
              <w:t xml:space="preserve"> X</w:t>
            </w:r>
          </w:p>
        </w:tc>
        <w:tc>
          <w:tcPr>
            <w:tcW w:w="1021" w:type="dxa"/>
            <w:tcBorders>
              <w:top w:val="single" w:sz="12" w:space="0" w:color="BABABA"/>
              <w:left w:val="single" w:sz="12" w:space="0" w:color="BABABA"/>
              <w:bottom w:val="single" w:sz="12" w:space="0" w:color="BABABA"/>
              <w:right w:val="single" w:sz="12" w:space="0" w:color="BABABA"/>
            </w:tcBorders>
          </w:tcPr>
          <w:p w14:paraId="36751D00" w14:textId="77777777" w:rsidR="00782D94" w:rsidRPr="00D57D72" w:rsidRDefault="00782D94" w:rsidP="00782D94">
            <w:pPr>
              <w:pStyle w:val="TableParagraph"/>
              <w:jc w:val="center"/>
              <w:rPr>
                <w:rFonts w:ascii="Arial" w:hAnsi="Arial" w:cs="Arial"/>
              </w:rPr>
            </w:pPr>
          </w:p>
          <w:p w14:paraId="45E64937" w14:textId="77777777" w:rsidR="00782D94" w:rsidRPr="00D57D72" w:rsidRDefault="00782D94" w:rsidP="00782D94">
            <w:pPr>
              <w:pStyle w:val="TableParagraph"/>
              <w:jc w:val="center"/>
              <w:rPr>
                <w:rFonts w:ascii="Arial" w:hAnsi="Arial" w:cs="Arial"/>
              </w:rPr>
            </w:pPr>
          </w:p>
          <w:p w14:paraId="2E939002" w14:textId="77777777" w:rsidR="00782D94" w:rsidRPr="00D57D72" w:rsidRDefault="00782D94" w:rsidP="00782D94">
            <w:pPr>
              <w:pStyle w:val="TableParagraph"/>
              <w:jc w:val="center"/>
              <w:rPr>
                <w:rFonts w:ascii="Arial" w:hAnsi="Arial" w:cs="Arial"/>
              </w:rPr>
            </w:pPr>
          </w:p>
          <w:p w14:paraId="6E086C13"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0488CC7D" wp14:editId="0F19912F">
                  <wp:extent cx="114300" cy="114300"/>
                  <wp:effectExtent l="0" t="0" r="0" b="0"/>
                  <wp:docPr id="15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Borders>
              <w:top w:val="single" w:sz="12" w:space="0" w:color="BABABA"/>
              <w:left w:val="single" w:sz="12" w:space="0" w:color="BABABA"/>
              <w:bottom w:val="single" w:sz="12" w:space="0" w:color="BABABA"/>
              <w:right w:val="single" w:sz="12" w:space="0" w:color="BABABA"/>
            </w:tcBorders>
          </w:tcPr>
          <w:p w14:paraId="5426FC74" w14:textId="77777777" w:rsidR="00782D94" w:rsidRPr="00D57D72" w:rsidRDefault="00782D94" w:rsidP="00782D94">
            <w:pPr>
              <w:pStyle w:val="TableParagraph"/>
              <w:jc w:val="center"/>
              <w:rPr>
                <w:rFonts w:ascii="Arial" w:hAnsi="Arial" w:cs="Arial"/>
              </w:rPr>
            </w:pPr>
          </w:p>
          <w:p w14:paraId="76AFC92D" w14:textId="77777777" w:rsidR="00782D94" w:rsidRPr="00D57D72" w:rsidRDefault="00782D94" w:rsidP="00782D94">
            <w:pPr>
              <w:pStyle w:val="TableParagraph"/>
              <w:jc w:val="center"/>
              <w:rPr>
                <w:rFonts w:ascii="Arial" w:hAnsi="Arial" w:cs="Arial"/>
              </w:rPr>
            </w:pPr>
          </w:p>
          <w:p w14:paraId="50C5B7C9" w14:textId="77777777" w:rsidR="00782D94" w:rsidRPr="00D57D72" w:rsidRDefault="00782D94" w:rsidP="00782D94">
            <w:pPr>
              <w:pStyle w:val="TableParagraph"/>
              <w:jc w:val="center"/>
              <w:rPr>
                <w:rFonts w:ascii="Arial" w:hAnsi="Arial" w:cs="Arial"/>
              </w:rPr>
            </w:pPr>
          </w:p>
          <w:p w14:paraId="4C287E59"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2E36D46" wp14:editId="49E3EEEB">
                  <wp:extent cx="114300" cy="114300"/>
                  <wp:effectExtent l="0" t="0" r="0" b="0"/>
                  <wp:docPr id="15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single" w:sz="12" w:space="0" w:color="BABABA"/>
              <w:right w:val="single" w:sz="12" w:space="0" w:color="BABABA"/>
            </w:tcBorders>
          </w:tcPr>
          <w:p w14:paraId="4883FE7D" w14:textId="77777777" w:rsidR="00782D94" w:rsidRPr="00D57D72" w:rsidRDefault="00782D94" w:rsidP="00782D94">
            <w:pPr>
              <w:pStyle w:val="TableParagraph"/>
              <w:jc w:val="center"/>
              <w:rPr>
                <w:rFonts w:ascii="Arial" w:hAnsi="Arial" w:cs="Arial"/>
              </w:rPr>
            </w:pPr>
          </w:p>
          <w:p w14:paraId="0AC6D94E" w14:textId="77777777" w:rsidR="00782D94" w:rsidRPr="00D57D72" w:rsidRDefault="00782D94" w:rsidP="00782D94">
            <w:pPr>
              <w:pStyle w:val="TableParagraph"/>
              <w:jc w:val="center"/>
              <w:rPr>
                <w:rFonts w:ascii="Arial" w:hAnsi="Arial" w:cs="Arial"/>
              </w:rPr>
            </w:pPr>
          </w:p>
          <w:p w14:paraId="098B3B4A" w14:textId="77777777" w:rsidR="00782D94" w:rsidRPr="00D57D72" w:rsidRDefault="00782D94" w:rsidP="00782D94">
            <w:pPr>
              <w:pStyle w:val="TableParagraph"/>
              <w:jc w:val="center"/>
              <w:rPr>
                <w:rFonts w:ascii="Arial" w:hAnsi="Arial" w:cs="Arial"/>
              </w:rPr>
            </w:pPr>
          </w:p>
          <w:p w14:paraId="3D6E30F8"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48519B11" wp14:editId="7DB6B204">
                  <wp:extent cx="114300" cy="114300"/>
                  <wp:effectExtent l="0" t="0" r="0" b="0"/>
                  <wp:docPr id="15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single" w:sz="12" w:space="0" w:color="BABABA"/>
              <w:right w:val="single" w:sz="12" w:space="0" w:color="BABABA"/>
            </w:tcBorders>
          </w:tcPr>
          <w:p w14:paraId="47595E94" w14:textId="77777777" w:rsidR="00782D94" w:rsidRPr="00D57D72" w:rsidRDefault="00782D94" w:rsidP="00782D94">
            <w:pPr>
              <w:pStyle w:val="TableParagraph"/>
              <w:jc w:val="center"/>
              <w:rPr>
                <w:rFonts w:ascii="Arial" w:hAnsi="Arial" w:cs="Arial"/>
              </w:rPr>
            </w:pPr>
          </w:p>
          <w:p w14:paraId="4A8E2E5B" w14:textId="77777777" w:rsidR="00782D94" w:rsidRPr="00D57D72" w:rsidRDefault="00782D94" w:rsidP="00782D94">
            <w:pPr>
              <w:pStyle w:val="TableParagraph"/>
              <w:jc w:val="center"/>
              <w:rPr>
                <w:rFonts w:ascii="Arial" w:hAnsi="Arial" w:cs="Arial"/>
              </w:rPr>
            </w:pPr>
          </w:p>
          <w:p w14:paraId="4B9523B0" w14:textId="77777777" w:rsidR="00782D94" w:rsidRPr="00D57D72" w:rsidRDefault="00782D94" w:rsidP="00782D94">
            <w:pPr>
              <w:pStyle w:val="TableParagraph"/>
              <w:jc w:val="center"/>
              <w:rPr>
                <w:rFonts w:ascii="Arial" w:hAnsi="Arial" w:cs="Arial"/>
              </w:rPr>
            </w:pPr>
          </w:p>
          <w:p w14:paraId="3386ED7B"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4D8314C" wp14:editId="54E81589">
                  <wp:extent cx="114300" cy="114300"/>
                  <wp:effectExtent l="0" t="0" r="0" b="0"/>
                  <wp:docPr id="15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0" w:type="dxa"/>
            <w:tcBorders>
              <w:top w:val="single" w:sz="12" w:space="0" w:color="BABABA"/>
              <w:left w:val="single" w:sz="12" w:space="0" w:color="BABABA"/>
              <w:bottom w:val="single" w:sz="12" w:space="0" w:color="BABABA"/>
              <w:right w:val="single" w:sz="12" w:space="0" w:color="BABABA"/>
            </w:tcBorders>
          </w:tcPr>
          <w:p w14:paraId="5A5159A7" w14:textId="77777777" w:rsidR="00782D94" w:rsidRPr="00D57D72" w:rsidRDefault="00782D94" w:rsidP="00782D94">
            <w:pPr>
              <w:pStyle w:val="TableParagraph"/>
              <w:jc w:val="center"/>
              <w:rPr>
                <w:rFonts w:ascii="Arial" w:hAnsi="Arial" w:cs="Arial"/>
              </w:rPr>
            </w:pPr>
          </w:p>
          <w:p w14:paraId="7DE950ED" w14:textId="77777777" w:rsidR="00782D94" w:rsidRPr="00D57D72" w:rsidRDefault="00782D94" w:rsidP="00782D94">
            <w:pPr>
              <w:pStyle w:val="TableParagraph"/>
              <w:jc w:val="center"/>
              <w:rPr>
                <w:rFonts w:ascii="Arial" w:hAnsi="Arial" w:cs="Arial"/>
              </w:rPr>
            </w:pPr>
          </w:p>
          <w:p w14:paraId="7AD29E90" w14:textId="77777777" w:rsidR="00782D94" w:rsidRPr="00D57D72" w:rsidRDefault="00782D94" w:rsidP="00782D94">
            <w:pPr>
              <w:pStyle w:val="TableParagraph"/>
              <w:jc w:val="center"/>
              <w:rPr>
                <w:rFonts w:ascii="Arial" w:hAnsi="Arial" w:cs="Arial"/>
              </w:rPr>
            </w:pPr>
          </w:p>
          <w:p w14:paraId="7D19EDEC" w14:textId="5FD8AA5D" w:rsidR="00782D94" w:rsidRPr="00D57D72" w:rsidRDefault="009A344B"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3DEDCA08" wp14:editId="666C6394">
                  <wp:extent cx="114300" cy="114300"/>
                  <wp:effectExtent l="0" t="0" r="0" b="0"/>
                  <wp:docPr id="27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82D94" w14:paraId="4FD5A745" w14:textId="77777777" w:rsidTr="00782D94">
        <w:trPr>
          <w:trHeight w:val="1087"/>
          <w:jc w:val="center"/>
        </w:trPr>
        <w:tc>
          <w:tcPr>
            <w:tcW w:w="2833" w:type="dxa"/>
            <w:tcBorders>
              <w:top w:val="single" w:sz="12" w:space="0" w:color="BABABA"/>
              <w:left w:val="single" w:sz="12" w:space="0" w:color="BABABA"/>
              <w:bottom w:val="single" w:sz="12" w:space="0" w:color="BABABA"/>
              <w:right w:val="single" w:sz="12" w:space="0" w:color="BABABA"/>
            </w:tcBorders>
          </w:tcPr>
          <w:p w14:paraId="5B7714D4" w14:textId="77777777" w:rsidR="00782D94" w:rsidRPr="00977640" w:rsidRDefault="00782D94" w:rsidP="004C033C">
            <w:pPr>
              <w:pStyle w:val="TableParagraph"/>
              <w:spacing w:before="69" w:line="199" w:lineRule="auto"/>
              <w:ind w:left="185" w:right="752"/>
              <w:rPr>
                <w:w w:val="105"/>
                <w:sz w:val="19"/>
              </w:rPr>
            </w:pPr>
            <w:r>
              <w:rPr>
                <w:w w:val="105"/>
                <w:sz w:val="19"/>
              </w:rPr>
              <w:t>Other</w:t>
            </w:r>
          </w:p>
        </w:tc>
        <w:tc>
          <w:tcPr>
            <w:tcW w:w="1176" w:type="dxa"/>
            <w:tcBorders>
              <w:top w:val="single" w:sz="12" w:space="0" w:color="BABABA"/>
              <w:left w:val="single" w:sz="12" w:space="0" w:color="BABABA"/>
              <w:bottom w:val="single" w:sz="12" w:space="0" w:color="BABABA"/>
              <w:right w:val="single" w:sz="12" w:space="0" w:color="BABABA"/>
            </w:tcBorders>
          </w:tcPr>
          <w:p w14:paraId="0266E7E1" w14:textId="77777777" w:rsidR="00782D94" w:rsidRPr="00D57D72" w:rsidRDefault="00782D94" w:rsidP="00782D94">
            <w:pPr>
              <w:pStyle w:val="TableParagraph"/>
              <w:jc w:val="center"/>
              <w:rPr>
                <w:rFonts w:ascii="Arial" w:hAnsi="Arial" w:cs="Arial"/>
              </w:rPr>
            </w:pPr>
          </w:p>
          <w:p w14:paraId="40DA5491"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668F1C4F" wp14:editId="1B3DDFFD">
                  <wp:extent cx="114300" cy="114300"/>
                  <wp:effectExtent l="0" t="0" r="0" b="0"/>
                  <wp:docPr id="15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single" w:sz="12" w:space="0" w:color="BABABA"/>
              <w:right w:val="single" w:sz="12" w:space="0" w:color="BABABA"/>
            </w:tcBorders>
          </w:tcPr>
          <w:p w14:paraId="12EB1081" w14:textId="77777777" w:rsidR="00782D94" w:rsidRPr="00D57D72" w:rsidRDefault="00782D94" w:rsidP="00782D94">
            <w:pPr>
              <w:pStyle w:val="TableParagraph"/>
              <w:jc w:val="center"/>
              <w:rPr>
                <w:rFonts w:ascii="Arial" w:hAnsi="Arial" w:cs="Arial"/>
              </w:rPr>
            </w:pPr>
          </w:p>
          <w:p w14:paraId="5EE4D677"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2FC6A5DB" wp14:editId="72D59E31">
                  <wp:extent cx="114300" cy="114300"/>
                  <wp:effectExtent l="0" t="0" r="0" b="0"/>
                  <wp:docPr id="15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91" w:type="dxa"/>
            <w:tcBorders>
              <w:top w:val="single" w:sz="12" w:space="0" w:color="BABABA"/>
              <w:left w:val="single" w:sz="12" w:space="0" w:color="BABABA"/>
              <w:bottom w:val="single" w:sz="12" w:space="0" w:color="BABABA"/>
              <w:right w:val="single" w:sz="12" w:space="0" w:color="BABABA"/>
            </w:tcBorders>
          </w:tcPr>
          <w:p w14:paraId="0C047684" w14:textId="77777777" w:rsidR="00782D94" w:rsidRPr="00D57D72" w:rsidRDefault="00782D94" w:rsidP="00782D94">
            <w:pPr>
              <w:pStyle w:val="TableParagraph"/>
              <w:jc w:val="center"/>
              <w:rPr>
                <w:rFonts w:ascii="Arial" w:hAnsi="Arial" w:cs="Arial"/>
              </w:rPr>
            </w:pPr>
          </w:p>
          <w:p w14:paraId="22434CEB"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0822C3A0" wp14:editId="38B7947C">
                  <wp:extent cx="114300" cy="114300"/>
                  <wp:effectExtent l="0" t="0" r="0" b="0"/>
                  <wp:docPr id="15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single" w:sz="12" w:space="0" w:color="BABABA"/>
              <w:right w:val="single" w:sz="12" w:space="0" w:color="BABABA"/>
            </w:tcBorders>
          </w:tcPr>
          <w:p w14:paraId="0AEA983C" w14:textId="77777777" w:rsidR="00782D94" w:rsidRPr="00D57D72" w:rsidRDefault="00782D94" w:rsidP="00782D94">
            <w:pPr>
              <w:pStyle w:val="TableParagraph"/>
              <w:jc w:val="center"/>
              <w:rPr>
                <w:rFonts w:ascii="Arial" w:hAnsi="Arial" w:cs="Arial"/>
              </w:rPr>
            </w:pPr>
          </w:p>
          <w:p w14:paraId="64DEE680"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75C83E32" wp14:editId="1E070C9C">
                  <wp:extent cx="114300" cy="114300"/>
                  <wp:effectExtent l="0" t="0" r="0" b="0"/>
                  <wp:docPr id="15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21" w:type="dxa"/>
            <w:tcBorders>
              <w:top w:val="single" w:sz="12" w:space="0" w:color="BABABA"/>
              <w:left w:val="single" w:sz="12" w:space="0" w:color="BABABA"/>
              <w:bottom w:val="single" w:sz="12" w:space="0" w:color="BABABA"/>
              <w:right w:val="single" w:sz="12" w:space="0" w:color="BABABA"/>
            </w:tcBorders>
          </w:tcPr>
          <w:p w14:paraId="563D98E3" w14:textId="77777777" w:rsidR="00782D94" w:rsidRPr="00D57D72" w:rsidRDefault="00782D94" w:rsidP="00782D94">
            <w:pPr>
              <w:pStyle w:val="TableParagraph"/>
              <w:jc w:val="center"/>
              <w:rPr>
                <w:rFonts w:ascii="Arial" w:hAnsi="Arial" w:cs="Arial"/>
              </w:rPr>
            </w:pPr>
          </w:p>
          <w:p w14:paraId="141F14E2"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0F7B8DAC" wp14:editId="11F6C086">
                  <wp:extent cx="114300" cy="114300"/>
                  <wp:effectExtent l="0" t="0" r="0" b="0"/>
                  <wp:docPr id="15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0" w:type="dxa"/>
            <w:tcBorders>
              <w:top w:val="single" w:sz="12" w:space="0" w:color="BABABA"/>
              <w:left w:val="single" w:sz="12" w:space="0" w:color="BABABA"/>
              <w:bottom w:val="single" w:sz="12" w:space="0" w:color="BABABA"/>
              <w:right w:val="single" w:sz="12" w:space="0" w:color="BABABA"/>
            </w:tcBorders>
          </w:tcPr>
          <w:p w14:paraId="0770E278" w14:textId="77777777" w:rsidR="00782D94" w:rsidRPr="00D57D72" w:rsidRDefault="00782D94" w:rsidP="00782D94">
            <w:pPr>
              <w:pStyle w:val="TableParagraph"/>
              <w:jc w:val="center"/>
              <w:rPr>
                <w:rFonts w:ascii="Arial" w:hAnsi="Arial" w:cs="Arial"/>
              </w:rPr>
            </w:pPr>
          </w:p>
          <w:p w14:paraId="10ACCA32" w14:textId="77777777" w:rsidR="00782D94" w:rsidRPr="00D57D72" w:rsidRDefault="00782D94" w:rsidP="00782D94">
            <w:pPr>
              <w:pStyle w:val="TableParagraph"/>
              <w:jc w:val="center"/>
              <w:rPr>
                <w:rFonts w:ascii="Arial" w:hAnsi="Arial" w:cs="Arial"/>
              </w:rPr>
            </w:pPr>
            <w:r w:rsidRPr="00D57D72">
              <w:rPr>
                <w:rFonts w:ascii="Arial" w:hAnsi="Arial" w:cs="Arial"/>
                <w:noProof/>
                <w:lang w:val="en-GB" w:eastAsia="en-GB"/>
              </w:rPr>
              <w:drawing>
                <wp:inline distT="0" distB="0" distL="0" distR="0" wp14:anchorId="4244A1A2" wp14:editId="5DF98C3B">
                  <wp:extent cx="114300" cy="114300"/>
                  <wp:effectExtent l="0" t="0" r="0" b="0"/>
                  <wp:docPr id="15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23723D4D" w14:textId="77777777" w:rsidR="00782D94" w:rsidRDefault="00782D94" w:rsidP="00434393">
      <w:pPr>
        <w:ind w:right="233"/>
        <w:jc w:val="both"/>
        <w:rPr>
          <w:rFonts w:ascii="Calibri" w:hAnsi="Calibri" w:cs="Calibri"/>
          <w:b/>
        </w:rPr>
      </w:pPr>
    </w:p>
    <w:p w14:paraId="786659E1" w14:textId="1120693F" w:rsidR="00EE467B" w:rsidRPr="00EE467B" w:rsidRDefault="00EE467B" w:rsidP="00EF5353">
      <w:pPr>
        <w:spacing w:before="124"/>
        <w:ind w:right="-8"/>
        <w:jc w:val="both"/>
        <w:rPr>
          <w:rFonts w:ascii="Calibri" w:hAnsi="Calibri" w:cs="Calibri"/>
          <w:b/>
        </w:rPr>
      </w:pPr>
      <w:r w:rsidRPr="00EE467B">
        <w:rPr>
          <w:rFonts w:ascii="Calibri" w:hAnsi="Calibri" w:cs="Calibri"/>
          <w:b/>
        </w:rPr>
        <w:t xml:space="preserve">Please specify what else </w:t>
      </w:r>
      <w:r>
        <w:rPr>
          <w:rFonts w:ascii="Calibri" w:hAnsi="Calibri" w:cs="Calibri"/>
          <w:b/>
        </w:rPr>
        <w:t>s</w:t>
      </w:r>
      <w:r w:rsidRPr="00EE467B">
        <w:rPr>
          <w:rFonts w:ascii="Calibri" w:hAnsi="Calibri" w:cs="Calibri"/>
          <w:b/>
        </w:rPr>
        <w:t>hould be done at EU level to facilitate reliance by financial institutions on digital identities gathered by third parties (including by other financial institutions) and data re-use/portability:</w:t>
      </w:r>
    </w:p>
    <w:p w14:paraId="447AB7D3" w14:textId="77777777" w:rsidR="00EE467B" w:rsidRDefault="00EE467B" w:rsidP="008031C8">
      <w:pPr>
        <w:jc w:val="both"/>
        <w:rPr>
          <w:rFonts w:ascii="Calibri" w:hAnsi="Calibri" w:cs="Calibri"/>
          <w:b/>
          <w:sz w:val="22"/>
          <w:szCs w:val="22"/>
        </w:rPr>
      </w:pPr>
    </w:p>
    <w:p w14:paraId="073E6819" w14:textId="0407F008" w:rsidR="00D57D72" w:rsidRPr="00D57D72" w:rsidRDefault="00D57D72" w:rsidP="00D57D72">
      <w:pPr>
        <w:spacing w:line="276" w:lineRule="auto"/>
        <w:jc w:val="both"/>
        <w:rPr>
          <w:rFonts w:ascii="Calibri" w:hAnsi="Calibri" w:cs="Calibri"/>
          <w:sz w:val="22"/>
          <w:szCs w:val="22"/>
          <w:lang w:val="en-GB"/>
        </w:rPr>
      </w:pPr>
      <w:r w:rsidRPr="00D57D72">
        <w:rPr>
          <w:rFonts w:ascii="Calibri" w:hAnsi="Calibri" w:cs="Calibri"/>
          <w:sz w:val="22"/>
          <w:szCs w:val="22"/>
        </w:rPr>
        <w:t xml:space="preserve">Directive (EU) 2015/849 sets out specific circumstances in which financial institutions can place reliance on a third party to carry out certain CDD obligations on their behalf. In the absence of a </w:t>
      </w:r>
      <w:r w:rsidRPr="00D57D72">
        <w:rPr>
          <w:rFonts w:ascii="Calibri" w:hAnsi="Calibri" w:cs="Calibri"/>
          <w:sz w:val="22"/>
          <w:szCs w:val="22"/>
        </w:rPr>
        <w:lastRenderedPageBreak/>
        <w:t>common approach to CDD, and divergent transposition of the AMLD’s third party provisions into the national laws of Member States, reliance on third parties can sometimes be difficult, in particular in a cross-</w:t>
      </w:r>
      <w:r w:rsidR="00434393">
        <w:rPr>
          <w:rFonts w:ascii="Calibri" w:hAnsi="Calibri" w:cs="Calibri"/>
          <w:sz w:val="22"/>
          <w:szCs w:val="22"/>
        </w:rPr>
        <w:t>border context. Greater harmonis</w:t>
      </w:r>
      <w:r w:rsidRPr="00D57D72">
        <w:rPr>
          <w:rFonts w:ascii="Calibri" w:hAnsi="Calibri" w:cs="Calibri"/>
          <w:sz w:val="22"/>
          <w:szCs w:val="22"/>
        </w:rPr>
        <w:t>ation of CDD measures, as described in Q</w:t>
      </w:r>
      <w:r>
        <w:rPr>
          <w:rFonts w:ascii="Calibri" w:hAnsi="Calibri" w:cs="Calibri"/>
          <w:sz w:val="22"/>
          <w:szCs w:val="22"/>
        </w:rPr>
        <w:t xml:space="preserve">uestion </w:t>
      </w:r>
      <w:r w:rsidRPr="00D57D72">
        <w:rPr>
          <w:rFonts w:ascii="Calibri" w:hAnsi="Calibri" w:cs="Calibri"/>
          <w:sz w:val="22"/>
          <w:szCs w:val="22"/>
        </w:rPr>
        <w:t>16, is therefore likely to make a significant difference to the way financial institutions can rely on each other for CDD purposes.</w:t>
      </w:r>
    </w:p>
    <w:p w14:paraId="002C3804" w14:textId="77777777" w:rsidR="00D57D72" w:rsidRPr="00D57D72" w:rsidRDefault="00D57D72" w:rsidP="00D57D72">
      <w:pPr>
        <w:spacing w:line="276" w:lineRule="auto"/>
        <w:jc w:val="both"/>
        <w:rPr>
          <w:rFonts w:ascii="Calibri" w:eastAsiaTheme="minorHAnsi" w:hAnsi="Calibri" w:cs="Calibri"/>
          <w:sz w:val="22"/>
          <w:szCs w:val="22"/>
        </w:rPr>
      </w:pPr>
    </w:p>
    <w:p w14:paraId="797DE0EE" w14:textId="0CF4140C" w:rsidR="00D57D72" w:rsidRDefault="00D57D72" w:rsidP="00D57D72">
      <w:pPr>
        <w:spacing w:line="276" w:lineRule="auto"/>
        <w:jc w:val="both"/>
        <w:rPr>
          <w:rFonts w:ascii="Calibri" w:hAnsi="Calibri" w:cs="Calibri"/>
          <w:color w:val="000000" w:themeColor="text1"/>
          <w:sz w:val="22"/>
          <w:szCs w:val="22"/>
        </w:rPr>
      </w:pPr>
      <w:r w:rsidRPr="00D57D72">
        <w:rPr>
          <w:rFonts w:ascii="Calibri" w:hAnsi="Calibri" w:cs="Calibri"/>
          <w:sz w:val="22"/>
          <w:szCs w:val="22"/>
        </w:rPr>
        <w:t xml:space="preserve">In September 2020, the EBA will publish its response to the </w:t>
      </w:r>
      <w:r w:rsidR="00434393">
        <w:rPr>
          <w:rFonts w:ascii="Calibri" w:hAnsi="Calibri" w:cs="Calibri"/>
          <w:sz w:val="22"/>
          <w:szCs w:val="22"/>
        </w:rPr>
        <w:t xml:space="preserve">European </w:t>
      </w:r>
      <w:r w:rsidRPr="00D57D72">
        <w:rPr>
          <w:rFonts w:ascii="Calibri" w:hAnsi="Calibri" w:cs="Calibri"/>
          <w:sz w:val="22"/>
          <w:szCs w:val="22"/>
        </w:rPr>
        <w:t xml:space="preserve">Commission’s Call for Advice, where it will set out how to limit the legislative divergence and enhance the effectiveness of the overall AML/CFT framework across the EU. As part of this, the EBA will </w:t>
      </w:r>
      <w:r w:rsidR="00EF5353">
        <w:rPr>
          <w:rFonts w:ascii="Calibri" w:hAnsi="Calibri" w:cs="Calibri"/>
          <w:sz w:val="22"/>
          <w:szCs w:val="22"/>
        </w:rPr>
        <w:t>also consider provisions of third</w:t>
      </w:r>
      <w:r w:rsidRPr="00D57D72">
        <w:rPr>
          <w:rFonts w:ascii="Calibri" w:hAnsi="Calibri" w:cs="Calibri"/>
          <w:sz w:val="22"/>
          <w:szCs w:val="22"/>
        </w:rPr>
        <w:t xml:space="preserve"> party reliance, taking g</w:t>
      </w:r>
      <w:r w:rsidRPr="00D57D72">
        <w:rPr>
          <w:rFonts w:ascii="Calibri" w:hAnsi="Calibri" w:cs="Calibri"/>
          <w:color w:val="000000" w:themeColor="text1"/>
          <w:sz w:val="22"/>
          <w:szCs w:val="22"/>
        </w:rPr>
        <w:t xml:space="preserve">reat care to ensure consistency with the guidance on digital identities published by the Financial Action Task Force in March 2020 and with a view to fostering convergence of practice as a way to support access to the provision of financial services both locally and cross-border. </w:t>
      </w:r>
    </w:p>
    <w:p w14:paraId="6E1E5096" w14:textId="44E620F3" w:rsidR="00CA5DB1" w:rsidRDefault="00CA5DB1" w:rsidP="00D57D72">
      <w:pPr>
        <w:spacing w:line="276" w:lineRule="auto"/>
        <w:jc w:val="both"/>
        <w:rPr>
          <w:rFonts w:ascii="Calibri" w:hAnsi="Calibri" w:cs="Calibri"/>
          <w:color w:val="000000" w:themeColor="text1"/>
          <w:sz w:val="22"/>
          <w:szCs w:val="22"/>
        </w:rPr>
      </w:pPr>
    </w:p>
    <w:p w14:paraId="4B8AEA7C" w14:textId="274EDC48" w:rsidR="00CA5DB1" w:rsidRDefault="00CA5DB1" w:rsidP="00D57D72">
      <w:pPr>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rPr>
        <w:t>In</w:t>
      </w:r>
      <w:r w:rsidRPr="00CA5DB1">
        <w:rPr>
          <w:rFonts w:ascii="Calibri" w:hAnsi="Calibri" w:cs="Calibri"/>
          <w:color w:val="000000" w:themeColor="text1"/>
          <w:sz w:val="22"/>
          <w:szCs w:val="22"/>
        </w:rPr>
        <w:t xml:space="preserve"> addition, the EBA also highlights recommendation 19 of the </w:t>
      </w:r>
      <w:hyperlink r:id="rId21" w:history="1">
        <w:r w:rsidRPr="00CA5DB1">
          <w:rPr>
            <w:rStyle w:val="Hyperlink"/>
            <w:rFonts w:ascii="Calibri" w:hAnsi="Calibri" w:cs="Calibri"/>
            <w:sz w:val="22"/>
            <w:szCs w:val="22"/>
          </w:rPr>
          <w:t>ROFIEG report</w:t>
        </w:r>
      </w:hyperlink>
      <w:r w:rsidRPr="00CA5DB1">
        <w:rPr>
          <w:rFonts w:ascii="Calibri" w:hAnsi="Calibri" w:cs="Calibri"/>
          <w:color w:val="000000" w:themeColor="text1"/>
          <w:sz w:val="22"/>
          <w:szCs w:val="22"/>
        </w:rPr>
        <w:t xml:space="preserve"> which calls on the European Commission, in consultation with the EBA and other relevant authorities, to </w:t>
      </w:r>
      <w:r w:rsidRPr="00CA5DB1">
        <w:rPr>
          <w:rFonts w:ascii="Calibri" w:hAnsi="Calibri" w:cs="Calibri"/>
          <w:iCs/>
          <w:sz w:val="22"/>
          <w:szCs w:val="22"/>
        </w:rPr>
        <w:t xml:space="preserve">investigate potential models (including </w:t>
      </w:r>
      <w:r>
        <w:rPr>
          <w:rFonts w:ascii="Calibri" w:hAnsi="Calibri" w:cs="Calibri"/>
          <w:iCs/>
          <w:sz w:val="22"/>
          <w:szCs w:val="22"/>
        </w:rPr>
        <w:t>public and private sector and hybrid</w:t>
      </w:r>
      <w:r w:rsidRPr="00CA5DB1">
        <w:rPr>
          <w:rFonts w:ascii="Calibri" w:hAnsi="Calibri" w:cs="Calibri"/>
          <w:iCs/>
          <w:sz w:val="22"/>
          <w:szCs w:val="22"/>
        </w:rPr>
        <w:t xml:space="preserve"> models) for efficient, robust and trusted digital identity verification</w:t>
      </w:r>
      <w:r>
        <w:rPr>
          <w:rFonts w:ascii="Calibri" w:hAnsi="Calibri" w:cs="Calibri"/>
          <w:color w:val="000000" w:themeColor="text1"/>
          <w:sz w:val="22"/>
          <w:szCs w:val="22"/>
        </w:rPr>
        <w:t xml:space="preserve"> in order to support cross-border activity on both the demand and supply side. This work should also encompass potential measures to support interoperability and security standards for the sharing and exchange of ‘recognised’ digital identities. </w:t>
      </w:r>
    </w:p>
    <w:p w14:paraId="401AFA07" w14:textId="696A6FA1" w:rsidR="004521D8" w:rsidRDefault="004521D8" w:rsidP="00EE467B">
      <w:pPr>
        <w:pStyle w:val="Heading2"/>
        <w:tabs>
          <w:tab w:val="left" w:pos="1312"/>
          <w:tab w:val="left" w:pos="3648"/>
          <w:tab w:val="left" w:pos="4718"/>
          <w:tab w:val="left" w:pos="6672"/>
          <w:tab w:val="left" w:pos="8739"/>
        </w:tabs>
        <w:spacing w:line="232" w:lineRule="auto"/>
        <w:ind w:left="0" w:right="140"/>
        <w:jc w:val="both"/>
        <w:rPr>
          <w:rFonts w:ascii="Calibri" w:hAnsi="Calibri" w:cs="Calibri"/>
          <w:sz w:val="24"/>
          <w:szCs w:val="24"/>
        </w:rPr>
      </w:pPr>
    </w:p>
    <w:p w14:paraId="180B0A1F" w14:textId="2F53E23D" w:rsidR="00EE467B" w:rsidRPr="00EE467B" w:rsidRDefault="00EE467B" w:rsidP="00EE467B">
      <w:pPr>
        <w:pStyle w:val="Heading2"/>
        <w:tabs>
          <w:tab w:val="left" w:pos="1312"/>
          <w:tab w:val="left" w:pos="3648"/>
          <w:tab w:val="left" w:pos="4718"/>
          <w:tab w:val="left" w:pos="6672"/>
          <w:tab w:val="left" w:pos="8739"/>
        </w:tabs>
        <w:spacing w:line="232" w:lineRule="auto"/>
        <w:ind w:left="0" w:right="140"/>
        <w:jc w:val="both"/>
        <w:rPr>
          <w:rFonts w:ascii="Calibri" w:hAnsi="Calibri" w:cs="Calibri"/>
          <w:sz w:val="24"/>
          <w:szCs w:val="24"/>
        </w:rPr>
      </w:pPr>
      <w:r w:rsidRPr="00EE467B">
        <w:rPr>
          <w:rFonts w:ascii="Calibri" w:hAnsi="Calibri" w:cs="Calibri"/>
          <w:sz w:val="24"/>
          <w:szCs w:val="24"/>
        </w:rPr>
        <w:t xml:space="preserve">Question 18. Should one consider going beyond customer identification and develop Digital Financial Identities to facilitate switching and easier access </w:t>
      </w:r>
      <w:r w:rsidRPr="00EE467B">
        <w:rPr>
          <w:rFonts w:ascii="Calibri" w:hAnsi="Calibri" w:cs="Calibri"/>
          <w:spacing w:val="14"/>
          <w:sz w:val="24"/>
          <w:szCs w:val="24"/>
        </w:rPr>
        <w:t>for</w:t>
      </w:r>
      <w:r>
        <w:rPr>
          <w:rFonts w:ascii="Calibri" w:hAnsi="Calibri" w:cs="Calibri"/>
          <w:spacing w:val="14"/>
          <w:sz w:val="24"/>
          <w:szCs w:val="24"/>
        </w:rPr>
        <w:t xml:space="preserve"> customers to specific financial services?</w:t>
      </w:r>
    </w:p>
    <w:p w14:paraId="7A8FF677" w14:textId="4649D524" w:rsidR="00EE467B" w:rsidRPr="00EE467B" w:rsidRDefault="00EE467B" w:rsidP="00EE467B">
      <w:pPr>
        <w:tabs>
          <w:tab w:val="left" w:pos="8901"/>
        </w:tabs>
        <w:spacing w:before="297" w:line="232" w:lineRule="auto"/>
        <w:ind w:right="139"/>
        <w:jc w:val="both"/>
        <w:rPr>
          <w:rFonts w:ascii="Calibri" w:hAnsi="Calibri" w:cs="Calibri"/>
          <w:b/>
        </w:rPr>
      </w:pPr>
      <w:r w:rsidRPr="00EE467B">
        <w:rPr>
          <w:rFonts w:ascii="Calibri" w:hAnsi="Calibri" w:cs="Calibri"/>
          <w:b/>
        </w:rPr>
        <w:t>Should such Digital Financial Identities be usable and recognised throughout the EU?</w:t>
      </w:r>
    </w:p>
    <w:p w14:paraId="7FEF1DB3" w14:textId="18FA4CA5" w:rsidR="00EE467B" w:rsidRPr="00EE467B" w:rsidRDefault="00EE467B" w:rsidP="00EE467B">
      <w:pPr>
        <w:tabs>
          <w:tab w:val="left" w:pos="5247"/>
          <w:tab w:val="left" w:pos="9031"/>
        </w:tabs>
        <w:spacing w:before="297" w:line="232" w:lineRule="auto"/>
        <w:ind w:right="139"/>
        <w:jc w:val="both"/>
        <w:rPr>
          <w:rFonts w:ascii="Calibri" w:hAnsi="Calibri" w:cs="Calibri"/>
          <w:b/>
        </w:rPr>
      </w:pPr>
      <w:r w:rsidRPr="00EE467B">
        <w:rPr>
          <w:rFonts w:ascii="Calibri" w:hAnsi="Calibri" w:cs="Calibri"/>
          <w:b/>
        </w:rPr>
        <w:t>Which data, where appropriate and in accordance with data protection rules, should be part of such a Digital Financial Identity, in addition to the data already required in the context of the anti-money laundering measures (e.g. data for suitability  test  for  investment  services;  data  for  creditworthiness</w:t>
      </w:r>
      <w:r>
        <w:rPr>
          <w:rFonts w:ascii="Calibri" w:hAnsi="Calibri" w:cs="Calibri"/>
          <w:b/>
        </w:rPr>
        <w:t xml:space="preserve"> assessment; other data)?</w:t>
      </w:r>
    </w:p>
    <w:p w14:paraId="13536094" w14:textId="183833B9" w:rsidR="00EE467B" w:rsidRDefault="00EE467B" w:rsidP="00EE467B">
      <w:pPr>
        <w:spacing w:before="294" w:line="232" w:lineRule="auto"/>
        <w:ind w:right="231"/>
        <w:jc w:val="both"/>
        <w:rPr>
          <w:rFonts w:ascii="Calibri" w:hAnsi="Calibri" w:cs="Calibri"/>
          <w:b/>
        </w:rPr>
      </w:pPr>
      <w:r w:rsidRPr="00EE467B">
        <w:rPr>
          <w:rFonts w:ascii="Calibri" w:hAnsi="Calibri" w:cs="Calibri"/>
          <w:b/>
        </w:rPr>
        <w:t>Please explain your reasoning and also provide examples for each case you would find relevant.</w:t>
      </w:r>
    </w:p>
    <w:p w14:paraId="3F250451" w14:textId="7EB1D7DE" w:rsidR="00995700" w:rsidRDefault="00995700" w:rsidP="00434393">
      <w:pPr>
        <w:spacing w:before="294" w:line="276" w:lineRule="auto"/>
        <w:ind w:right="231"/>
        <w:jc w:val="both"/>
        <w:rPr>
          <w:rFonts w:ascii="Arial"/>
          <w:b/>
          <w:sz w:val="27"/>
        </w:rPr>
      </w:pPr>
      <w:r>
        <w:rPr>
          <w:rFonts w:ascii="Calibri" w:hAnsi="Calibri" w:cs="Calibri"/>
          <w:color w:val="000000" w:themeColor="text1"/>
          <w:sz w:val="22"/>
          <w:szCs w:val="22"/>
        </w:rPr>
        <w:t>W</w:t>
      </w:r>
      <w:r w:rsidRPr="00D57D72">
        <w:rPr>
          <w:rFonts w:ascii="Calibri" w:hAnsi="Calibri" w:cs="Calibri"/>
          <w:color w:val="000000" w:themeColor="text1"/>
          <w:sz w:val="22"/>
          <w:szCs w:val="22"/>
        </w:rPr>
        <w:t xml:space="preserve">ith a view to </w:t>
      </w:r>
      <w:r>
        <w:rPr>
          <w:rFonts w:ascii="Calibri" w:hAnsi="Calibri" w:cs="Calibri"/>
          <w:color w:val="000000" w:themeColor="text1"/>
          <w:sz w:val="22"/>
          <w:szCs w:val="22"/>
        </w:rPr>
        <w:t xml:space="preserve">supporting </w:t>
      </w:r>
      <w:r w:rsidRPr="00D57D72">
        <w:rPr>
          <w:rFonts w:ascii="Calibri" w:hAnsi="Calibri" w:cs="Calibri"/>
          <w:color w:val="000000" w:themeColor="text1"/>
          <w:sz w:val="22"/>
          <w:szCs w:val="22"/>
        </w:rPr>
        <w:t>access to the provision of financial services both locally and cross-border</w:t>
      </w:r>
      <w:r>
        <w:rPr>
          <w:rFonts w:ascii="Calibri" w:hAnsi="Calibri" w:cs="Calibri"/>
          <w:color w:val="000000" w:themeColor="text1"/>
          <w:sz w:val="22"/>
          <w:szCs w:val="22"/>
        </w:rPr>
        <w:t xml:space="preserve"> the EBA is supportive of proposals to facilitate </w:t>
      </w:r>
      <w:r w:rsidR="006C3AE0">
        <w:rPr>
          <w:rFonts w:ascii="Calibri" w:hAnsi="Calibri" w:cs="Calibri"/>
          <w:color w:val="000000" w:themeColor="text1"/>
          <w:sz w:val="22"/>
          <w:szCs w:val="22"/>
        </w:rPr>
        <w:t>Digital Financial Identi</w:t>
      </w:r>
      <w:r w:rsidR="00AA6881">
        <w:rPr>
          <w:rFonts w:ascii="Calibri" w:hAnsi="Calibri" w:cs="Calibri"/>
          <w:color w:val="000000" w:themeColor="text1"/>
          <w:sz w:val="22"/>
          <w:szCs w:val="22"/>
        </w:rPr>
        <w:t>t</w:t>
      </w:r>
      <w:r w:rsidR="006C3AE0">
        <w:rPr>
          <w:rFonts w:ascii="Calibri" w:hAnsi="Calibri" w:cs="Calibri"/>
          <w:color w:val="000000" w:themeColor="text1"/>
          <w:sz w:val="22"/>
          <w:szCs w:val="22"/>
        </w:rPr>
        <w:t>ies</w:t>
      </w:r>
      <w:r w:rsidR="00AA6881">
        <w:rPr>
          <w:rFonts w:ascii="Calibri" w:hAnsi="Calibri" w:cs="Calibri"/>
          <w:color w:val="000000" w:themeColor="text1"/>
          <w:sz w:val="22"/>
          <w:szCs w:val="22"/>
        </w:rPr>
        <w:t xml:space="preserve"> and refers to its response to Question 17 regarding further explorator</w:t>
      </w:r>
      <w:r w:rsidR="00EF5353">
        <w:rPr>
          <w:rFonts w:ascii="Calibri" w:hAnsi="Calibri" w:cs="Calibri"/>
          <w:color w:val="000000" w:themeColor="text1"/>
          <w:sz w:val="22"/>
          <w:szCs w:val="22"/>
        </w:rPr>
        <w:t>y work on different models for digital i</w:t>
      </w:r>
      <w:r w:rsidR="00AA6881">
        <w:rPr>
          <w:rFonts w:ascii="Calibri" w:hAnsi="Calibri" w:cs="Calibri"/>
          <w:color w:val="000000" w:themeColor="text1"/>
          <w:sz w:val="22"/>
          <w:szCs w:val="22"/>
        </w:rPr>
        <w:t>dentities for use within and beyond the financial sector</w:t>
      </w:r>
      <w:r>
        <w:rPr>
          <w:rFonts w:ascii="Calibri" w:hAnsi="Calibri" w:cs="Calibri"/>
          <w:color w:val="000000" w:themeColor="text1"/>
          <w:sz w:val="22"/>
          <w:szCs w:val="22"/>
        </w:rPr>
        <w:t>.</w:t>
      </w:r>
    </w:p>
    <w:p w14:paraId="1DE5BA57" w14:textId="4F1BFFB3" w:rsidR="00782D94" w:rsidRPr="00782D94" w:rsidRDefault="00782D94" w:rsidP="00782D94">
      <w:pPr>
        <w:pStyle w:val="BodyText"/>
        <w:spacing w:before="263" w:line="276" w:lineRule="auto"/>
        <w:ind w:right="199"/>
        <w:jc w:val="both"/>
        <w:rPr>
          <w:rFonts w:ascii="Calibri" w:hAnsi="Calibri" w:cs="Calibri"/>
          <w:sz w:val="22"/>
          <w:szCs w:val="22"/>
        </w:rPr>
      </w:pPr>
      <w:r w:rsidRPr="00782D94">
        <w:rPr>
          <w:rFonts w:ascii="Calibri" w:hAnsi="Calibri" w:cs="Calibri"/>
          <w:sz w:val="22"/>
          <w:szCs w:val="22"/>
        </w:rPr>
        <w:t xml:space="preserve">For the purposes of AML/CFT, it is important to ensure that financial institutions obtain sufficient data and information from the customer that allows them to develop a good understanding of </w:t>
      </w:r>
      <w:r w:rsidR="006C3AE0">
        <w:rPr>
          <w:rFonts w:ascii="Calibri" w:hAnsi="Calibri" w:cs="Calibri"/>
          <w:sz w:val="22"/>
          <w:szCs w:val="22"/>
        </w:rPr>
        <w:t>their</w:t>
      </w:r>
      <w:r w:rsidRPr="00782D94">
        <w:rPr>
          <w:rFonts w:ascii="Calibri" w:hAnsi="Calibri" w:cs="Calibri"/>
          <w:sz w:val="22"/>
          <w:szCs w:val="22"/>
        </w:rPr>
        <w:t xml:space="preserve"> customer base by:</w:t>
      </w:r>
    </w:p>
    <w:p w14:paraId="112A608B" w14:textId="002D4A07" w:rsidR="00782D94" w:rsidRPr="00782D94" w:rsidRDefault="00782D94" w:rsidP="00782D94">
      <w:pPr>
        <w:pStyle w:val="BodyText"/>
        <w:numPr>
          <w:ilvl w:val="0"/>
          <w:numId w:val="36"/>
        </w:numPr>
        <w:spacing w:before="263" w:line="276" w:lineRule="auto"/>
        <w:ind w:right="199"/>
        <w:jc w:val="both"/>
        <w:rPr>
          <w:rFonts w:ascii="Calibri" w:hAnsi="Calibri" w:cs="Calibri"/>
          <w:sz w:val="22"/>
          <w:szCs w:val="22"/>
        </w:rPr>
      </w:pPr>
      <w:r w:rsidRPr="00782D94">
        <w:rPr>
          <w:rFonts w:ascii="Calibri" w:hAnsi="Calibri" w:cs="Calibri"/>
          <w:sz w:val="22"/>
          <w:szCs w:val="22"/>
        </w:rPr>
        <w:lastRenderedPageBreak/>
        <w:t>identifying and verifying the identi</w:t>
      </w:r>
      <w:r w:rsidR="00F97842">
        <w:rPr>
          <w:rFonts w:ascii="Calibri" w:hAnsi="Calibri" w:cs="Calibri"/>
          <w:sz w:val="22"/>
          <w:szCs w:val="22"/>
        </w:rPr>
        <w:t>t</w:t>
      </w:r>
      <w:r w:rsidRPr="00782D94">
        <w:rPr>
          <w:rFonts w:ascii="Calibri" w:hAnsi="Calibri" w:cs="Calibri"/>
          <w:sz w:val="22"/>
          <w:szCs w:val="22"/>
        </w:rPr>
        <w:t xml:space="preserve">y of each customer;  </w:t>
      </w:r>
    </w:p>
    <w:p w14:paraId="21C66C2C" w14:textId="77777777" w:rsidR="00782D94" w:rsidRPr="00782D94" w:rsidRDefault="00782D94" w:rsidP="00782D94">
      <w:pPr>
        <w:pStyle w:val="BodyText"/>
        <w:numPr>
          <w:ilvl w:val="0"/>
          <w:numId w:val="36"/>
        </w:numPr>
        <w:spacing w:before="263" w:line="276" w:lineRule="auto"/>
        <w:ind w:right="199"/>
        <w:jc w:val="both"/>
        <w:rPr>
          <w:rFonts w:ascii="Calibri" w:hAnsi="Calibri" w:cs="Calibri"/>
          <w:sz w:val="22"/>
          <w:szCs w:val="22"/>
        </w:rPr>
      </w:pPr>
      <w:r w:rsidRPr="00782D94">
        <w:rPr>
          <w:rFonts w:ascii="Calibri" w:hAnsi="Calibri" w:cs="Calibri"/>
          <w:sz w:val="22"/>
          <w:szCs w:val="22"/>
        </w:rPr>
        <w:t>identifying and assessing the ML/TF risk associated with each customer;</w:t>
      </w:r>
    </w:p>
    <w:p w14:paraId="2EC888E7" w14:textId="7C66AACE" w:rsidR="009A344B" w:rsidRDefault="009A344B" w:rsidP="00782D94">
      <w:pPr>
        <w:pStyle w:val="BodyText"/>
        <w:numPr>
          <w:ilvl w:val="0"/>
          <w:numId w:val="36"/>
        </w:numPr>
        <w:spacing w:before="263" w:line="276" w:lineRule="auto"/>
        <w:ind w:right="199"/>
        <w:jc w:val="both"/>
        <w:rPr>
          <w:rFonts w:ascii="Calibri" w:hAnsi="Calibri" w:cs="Calibri"/>
          <w:sz w:val="22"/>
          <w:szCs w:val="22"/>
        </w:rPr>
      </w:pPr>
      <w:r>
        <w:rPr>
          <w:rFonts w:ascii="Calibri" w:hAnsi="Calibri" w:cs="Calibri"/>
          <w:sz w:val="22"/>
          <w:szCs w:val="22"/>
        </w:rPr>
        <w:t>assessing the purpose and intended nature of the business relationship with the consumer;</w:t>
      </w:r>
    </w:p>
    <w:p w14:paraId="543085E3" w14:textId="1203971A" w:rsidR="00782D94" w:rsidRPr="00782D94" w:rsidRDefault="00782D94" w:rsidP="00782D94">
      <w:pPr>
        <w:pStyle w:val="BodyText"/>
        <w:numPr>
          <w:ilvl w:val="0"/>
          <w:numId w:val="36"/>
        </w:numPr>
        <w:spacing w:before="263" w:line="276" w:lineRule="auto"/>
        <w:ind w:right="199"/>
        <w:jc w:val="both"/>
        <w:rPr>
          <w:rFonts w:ascii="Calibri" w:hAnsi="Calibri" w:cs="Calibri"/>
          <w:sz w:val="22"/>
          <w:szCs w:val="22"/>
        </w:rPr>
      </w:pPr>
      <w:r w:rsidRPr="00782D94">
        <w:rPr>
          <w:rFonts w:ascii="Calibri" w:hAnsi="Calibri" w:cs="Calibri"/>
          <w:sz w:val="22"/>
          <w:szCs w:val="22"/>
        </w:rPr>
        <w:t xml:space="preserve">identifying and verifying beneficial owners, where applicable; and </w:t>
      </w:r>
    </w:p>
    <w:p w14:paraId="648D2E41" w14:textId="77777777" w:rsidR="00782D94" w:rsidRPr="00782D94" w:rsidRDefault="00782D94" w:rsidP="00782D94">
      <w:pPr>
        <w:pStyle w:val="BodyText"/>
        <w:numPr>
          <w:ilvl w:val="0"/>
          <w:numId w:val="36"/>
        </w:numPr>
        <w:spacing w:before="263" w:line="276" w:lineRule="auto"/>
        <w:ind w:right="199"/>
        <w:jc w:val="both"/>
        <w:rPr>
          <w:rFonts w:ascii="Calibri" w:hAnsi="Calibri" w:cs="Calibri"/>
          <w:sz w:val="22"/>
          <w:szCs w:val="22"/>
        </w:rPr>
      </w:pPr>
      <w:r w:rsidRPr="00782D94">
        <w:rPr>
          <w:rFonts w:ascii="Calibri" w:hAnsi="Calibri" w:cs="Calibri"/>
          <w:sz w:val="22"/>
          <w:szCs w:val="22"/>
        </w:rPr>
        <w:t xml:space="preserve">in certain circumstances, clarifying the source of the customer’s wealth and funds. </w:t>
      </w:r>
    </w:p>
    <w:p w14:paraId="173456D2" w14:textId="77777777" w:rsidR="00782D94" w:rsidRPr="00782D94" w:rsidRDefault="00782D94" w:rsidP="00782D94">
      <w:pPr>
        <w:spacing w:line="276" w:lineRule="auto"/>
        <w:rPr>
          <w:rFonts w:ascii="Calibri" w:hAnsi="Calibri" w:cs="Calibri"/>
          <w:sz w:val="22"/>
          <w:szCs w:val="22"/>
        </w:rPr>
      </w:pPr>
    </w:p>
    <w:p w14:paraId="7C640066" w14:textId="5D1A37DB" w:rsidR="00EE467B" w:rsidRPr="00782D94" w:rsidRDefault="00782D94" w:rsidP="00782D94">
      <w:pPr>
        <w:spacing w:line="276" w:lineRule="auto"/>
        <w:jc w:val="both"/>
        <w:rPr>
          <w:rFonts w:ascii="Calibri" w:hAnsi="Calibri" w:cs="Calibri"/>
          <w:b/>
          <w:sz w:val="22"/>
          <w:szCs w:val="22"/>
        </w:rPr>
      </w:pPr>
      <w:r w:rsidRPr="00782D94">
        <w:rPr>
          <w:rFonts w:ascii="Calibri" w:hAnsi="Calibri" w:cs="Calibri"/>
          <w:sz w:val="22"/>
          <w:szCs w:val="22"/>
        </w:rPr>
        <w:t xml:space="preserve">However, as set out in </w:t>
      </w:r>
      <w:r w:rsidR="00434393">
        <w:rPr>
          <w:rFonts w:ascii="Calibri" w:hAnsi="Calibri" w:cs="Calibri"/>
          <w:sz w:val="22"/>
          <w:szCs w:val="22"/>
        </w:rPr>
        <w:t>the EBA’s</w:t>
      </w:r>
      <w:r w:rsidRPr="00782D94">
        <w:rPr>
          <w:rFonts w:ascii="Calibri" w:hAnsi="Calibri" w:cs="Calibri"/>
          <w:sz w:val="22"/>
          <w:szCs w:val="22"/>
        </w:rPr>
        <w:t xml:space="preserve"> response to Q</w:t>
      </w:r>
      <w:r>
        <w:rPr>
          <w:rFonts w:ascii="Calibri" w:hAnsi="Calibri" w:cs="Calibri"/>
          <w:sz w:val="22"/>
          <w:szCs w:val="22"/>
        </w:rPr>
        <w:t>uestion 16, t</w:t>
      </w:r>
      <w:r w:rsidRPr="00782D94">
        <w:rPr>
          <w:rFonts w:ascii="Calibri" w:hAnsi="Calibri" w:cs="Calibri"/>
          <w:sz w:val="22"/>
          <w:szCs w:val="22"/>
        </w:rPr>
        <w:t>he type and nature of the information financial institutions need to obtain to meet their AML/CFT obligations will vary in line with the risk-based approach.</w:t>
      </w:r>
    </w:p>
    <w:p w14:paraId="0D83A4A4" w14:textId="77777777" w:rsidR="00EE467B" w:rsidRDefault="00EE467B" w:rsidP="008031C8">
      <w:pPr>
        <w:jc w:val="both"/>
        <w:rPr>
          <w:rFonts w:ascii="Calibri" w:hAnsi="Calibri" w:cs="Calibri"/>
          <w:b/>
        </w:rPr>
      </w:pPr>
    </w:p>
    <w:p w14:paraId="5A5F0ABC" w14:textId="2ADD794F" w:rsidR="008031C8" w:rsidRPr="006D045B" w:rsidRDefault="008031C8" w:rsidP="008031C8">
      <w:pPr>
        <w:jc w:val="both"/>
        <w:rPr>
          <w:rFonts w:ascii="Calibri" w:hAnsi="Calibri" w:cs="Calibri"/>
          <w:b/>
        </w:rPr>
      </w:pPr>
      <w:r w:rsidRPr="006D045B">
        <w:rPr>
          <w:rFonts w:ascii="Calibri" w:hAnsi="Calibri" w:cs="Calibri"/>
          <w:b/>
        </w:rPr>
        <w:t xml:space="preserve">Question 19. Would a further increased mandatory use of identifiers such as Legal Entity Identifier (LEI), Unique Transaction Identifier (UTI) and Unique Product Identifier (UPI) facilitate digital and/or automated processes in financial services? </w:t>
      </w:r>
    </w:p>
    <w:p w14:paraId="396B8B85" w14:textId="6DD43CAA" w:rsidR="008031C8" w:rsidRDefault="008031C8" w:rsidP="0019769E">
      <w:pPr>
        <w:spacing w:line="276" w:lineRule="auto"/>
        <w:jc w:val="both"/>
        <w:rPr>
          <w:rFonts w:ascii="Calibri" w:hAnsi="Calibri" w:cs="Calibri"/>
          <w:b/>
          <w:sz w:val="22"/>
          <w:szCs w:val="22"/>
        </w:rPr>
      </w:pPr>
    </w:p>
    <w:p w14:paraId="02282D50" w14:textId="2322893E" w:rsidR="008031C8" w:rsidRDefault="008031C8" w:rsidP="008031C8">
      <w:pPr>
        <w:spacing w:line="276" w:lineRule="auto"/>
        <w:jc w:val="center"/>
        <w:rPr>
          <w:rFonts w:ascii="Calibri" w:hAnsi="Calibri" w:cs="Calibri"/>
          <w:b/>
          <w:sz w:val="22"/>
          <w:szCs w:val="22"/>
        </w:rPr>
      </w:pPr>
      <w:r w:rsidRPr="008475DD">
        <w:rPr>
          <w:rFonts w:cstheme="minorHAnsi"/>
          <w:b/>
          <w:noProof/>
          <w:lang w:val="en-GB" w:eastAsia="en-GB"/>
        </w:rPr>
        <w:drawing>
          <wp:inline distT="0" distB="0" distL="0" distR="0" wp14:anchorId="259E1CA3" wp14:editId="3DBD52E9">
            <wp:extent cx="3277057" cy="676369"/>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057" cy="676369"/>
                    </a:xfrm>
                    <a:prstGeom prst="rect">
                      <a:avLst/>
                    </a:prstGeom>
                  </pic:spPr>
                </pic:pic>
              </a:graphicData>
            </a:graphic>
          </wp:inline>
        </w:drawing>
      </w:r>
    </w:p>
    <w:p w14:paraId="6A412EF5" w14:textId="77777777" w:rsidR="008031C8" w:rsidRDefault="008031C8" w:rsidP="008031C8">
      <w:pPr>
        <w:rPr>
          <w:rFonts w:ascii="Arial"/>
          <w:b/>
          <w:sz w:val="27"/>
        </w:rPr>
      </w:pPr>
    </w:p>
    <w:p w14:paraId="3E86ACC3" w14:textId="43067848" w:rsidR="008031C8" w:rsidRPr="006D045B" w:rsidRDefault="008031C8" w:rsidP="008031C8">
      <w:pPr>
        <w:jc w:val="both"/>
        <w:rPr>
          <w:rFonts w:ascii="Calibri" w:hAnsi="Calibri" w:cs="Calibri"/>
          <w:b/>
        </w:rPr>
      </w:pPr>
      <w:r w:rsidRPr="006D045B">
        <w:rPr>
          <w:rFonts w:ascii="Calibri" w:hAnsi="Calibri" w:cs="Calibri"/>
          <w:b/>
        </w:rPr>
        <w:t>If yes, in which framework(s) is there the biggest potential for efficiency gains?</w:t>
      </w:r>
    </w:p>
    <w:p w14:paraId="12C8A462" w14:textId="6B4B33B2" w:rsidR="008031C8" w:rsidRDefault="006D045B" w:rsidP="006D045B">
      <w:pPr>
        <w:tabs>
          <w:tab w:val="left" w:pos="1898"/>
        </w:tabs>
        <w:spacing w:line="276" w:lineRule="auto"/>
        <w:jc w:val="both"/>
        <w:rPr>
          <w:rFonts w:ascii="Calibri" w:hAnsi="Calibri" w:cs="Calibri"/>
          <w:b/>
          <w:sz w:val="22"/>
          <w:szCs w:val="22"/>
        </w:rPr>
      </w:pPr>
      <w:r>
        <w:rPr>
          <w:rFonts w:ascii="Calibri" w:hAnsi="Calibri" w:cs="Calibri"/>
          <w:b/>
          <w:sz w:val="22"/>
          <w:szCs w:val="22"/>
        </w:rPr>
        <w:tab/>
      </w:r>
    </w:p>
    <w:p w14:paraId="4A856A55" w14:textId="03EDAD20" w:rsidR="008031C8" w:rsidRDefault="008031C8" w:rsidP="0019769E">
      <w:pPr>
        <w:spacing w:line="276" w:lineRule="auto"/>
        <w:jc w:val="both"/>
        <w:rPr>
          <w:rFonts w:ascii="Calibri" w:hAnsi="Calibri" w:cs="Calibri"/>
          <w:sz w:val="22"/>
          <w:szCs w:val="22"/>
          <w:lang w:val="en-GB"/>
        </w:rPr>
      </w:pPr>
      <w:r w:rsidRPr="008031C8">
        <w:rPr>
          <w:rFonts w:ascii="Calibri" w:hAnsi="Calibri" w:cs="Calibri"/>
          <w:sz w:val="22"/>
          <w:szCs w:val="22"/>
          <w:lang w:val="en-GB"/>
        </w:rPr>
        <w:t>The mandatory use of common identifiers in reporting frameworks but also in all public information would allow to improve the quality of the data, reduce redundancy, enable data processing, aggregation and calculation</w:t>
      </w:r>
      <w:r w:rsidR="00EF5353">
        <w:rPr>
          <w:rFonts w:ascii="Calibri" w:hAnsi="Calibri" w:cs="Calibri"/>
          <w:sz w:val="22"/>
          <w:szCs w:val="22"/>
          <w:lang w:val="en-GB"/>
        </w:rPr>
        <w:t>,</w:t>
      </w:r>
      <w:r w:rsidRPr="008031C8">
        <w:rPr>
          <w:rFonts w:ascii="Calibri" w:hAnsi="Calibri" w:cs="Calibri"/>
          <w:sz w:val="22"/>
          <w:szCs w:val="22"/>
          <w:lang w:val="en-GB"/>
        </w:rPr>
        <w:t xml:space="preserve"> as well as assur</w:t>
      </w:r>
      <w:r w:rsidR="00EF5353">
        <w:rPr>
          <w:rFonts w:ascii="Calibri" w:hAnsi="Calibri" w:cs="Calibri"/>
          <w:sz w:val="22"/>
          <w:szCs w:val="22"/>
          <w:lang w:val="en-GB"/>
        </w:rPr>
        <w:t>e</w:t>
      </w:r>
      <w:r w:rsidRPr="008031C8">
        <w:rPr>
          <w:rFonts w:ascii="Calibri" w:hAnsi="Calibri" w:cs="Calibri"/>
          <w:sz w:val="22"/>
          <w:szCs w:val="22"/>
          <w:lang w:val="en-GB"/>
        </w:rPr>
        <w:t xml:space="preserve"> the comparability between data from different sources and times. This would bring enormous efficiency gains </w:t>
      </w:r>
      <w:r w:rsidRPr="008031C8">
        <w:rPr>
          <w:rFonts w:ascii="Calibri" w:hAnsi="Calibri" w:cs="Calibri"/>
          <w:sz w:val="22"/>
          <w:szCs w:val="22"/>
        </w:rPr>
        <w:t>processing together different kind of data</w:t>
      </w:r>
      <w:r w:rsidRPr="008031C8">
        <w:rPr>
          <w:rFonts w:ascii="Calibri" w:hAnsi="Calibri" w:cs="Calibri"/>
          <w:sz w:val="22"/>
          <w:szCs w:val="22"/>
          <w:lang w:val="en-GB"/>
        </w:rPr>
        <w:t xml:space="preserve"> </w:t>
      </w:r>
      <w:r w:rsidRPr="008031C8">
        <w:rPr>
          <w:rFonts w:ascii="Calibri" w:hAnsi="Calibri" w:cs="Calibri"/>
          <w:sz w:val="22"/>
          <w:szCs w:val="22"/>
        </w:rPr>
        <w:t xml:space="preserve">and is absolutely indispensable on data analysis, providing the means to compare and achieve </w:t>
      </w:r>
      <w:r w:rsidRPr="008031C8">
        <w:rPr>
          <w:rFonts w:ascii="Calibri" w:hAnsi="Calibri" w:cs="Calibri"/>
          <w:sz w:val="22"/>
          <w:szCs w:val="22"/>
          <w:lang w:val="en-GB"/>
        </w:rPr>
        <w:t>a wider overview of information that could influence decision making processes and allow for a quicker reaction when needed.</w:t>
      </w:r>
    </w:p>
    <w:p w14:paraId="053E03E0" w14:textId="087182FA" w:rsidR="00782D94" w:rsidRDefault="00782D94" w:rsidP="0019769E">
      <w:pPr>
        <w:spacing w:line="276" w:lineRule="auto"/>
        <w:jc w:val="both"/>
        <w:rPr>
          <w:rFonts w:ascii="Calibri" w:hAnsi="Calibri" w:cs="Calibri"/>
          <w:sz w:val="22"/>
          <w:szCs w:val="22"/>
          <w:lang w:val="en-GB"/>
        </w:rPr>
      </w:pPr>
    </w:p>
    <w:p w14:paraId="05BA6E31" w14:textId="5DACB91A" w:rsidR="00782D94" w:rsidRDefault="00782D94" w:rsidP="0019769E">
      <w:pPr>
        <w:spacing w:line="276" w:lineRule="auto"/>
        <w:jc w:val="both"/>
        <w:rPr>
          <w:rFonts w:ascii="Calibri" w:hAnsi="Calibri" w:cs="Calibri"/>
          <w:sz w:val="22"/>
          <w:szCs w:val="22"/>
          <w:lang w:val="en-GB"/>
        </w:rPr>
      </w:pPr>
      <w:r>
        <w:rPr>
          <w:rFonts w:ascii="Calibri" w:hAnsi="Calibri" w:cs="Calibri"/>
          <w:sz w:val="22"/>
          <w:szCs w:val="22"/>
          <w:lang w:val="en-GB"/>
        </w:rPr>
        <w:t>Focussing on AML/CFT:</w:t>
      </w:r>
    </w:p>
    <w:p w14:paraId="46460525" w14:textId="07D251C0" w:rsidR="00782D94" w:rsidRPr="00782D94" w:rsidRDefault="00782D94" w:rsidP="00782D94">
      <w:pPr>
        <w:spacing w:line="276" w:lineRule="auto"/>
        <w:jc w:val="both"/>
        <w:rPr>
          <w:rFonts w:ascii="Calibri" w:hAnsi="Calibri" w:cs="Calibri"/>
          <w:sz w:val="22"/>
          <w:szCs w:val="22"/>
          <w:lang w:val="en-GB"/>
        </w:rPr>
      </w:pPr>
    </w:p>
    <w:p w14:paraId="29902F0D" w14:textId="408CE4B5" w:rsidR="00782D94" w:rsidRPr="00782D94" w:rsidRDefault="00782D94" w:rsidP="00782D94">
      <w:pPr>
        <w:spacing w:line="276" w:lineRule="auto"/>
        <w:jc w:val="both"/>
        <w:rPr>
          <w:rFonts w:ascii="Calibri" w:hAnsi="Calibri" w:cs="Calibri"/>
          <w:sz w:val="22"/>
          <w:szCs w:val="22"/>
        </w:rPr>
      </w:pPr>
      <w:r w:rsidRPr="00782D94">
        <w:rPr>
          <w:rFonts w:ascii="Calibri" w:hAnsi="Calibri" w:cs="Calibri"/>
          <w:sz w:val="22"/>
          <w:szCs w:val="22"/>
        </w:rPr>
        <w:t xml:space="preserve">A further increased use of Legal Entity Identifier (LEI) </w:t>
      </w:r>
      <w:r w:rsidR="009A344B">
        <w:rPr>
          <w:rFonts w:ascii="Calibri" w:hAnsi="Calibri" w:cs="Calibri"/>
          <w:sz w:val="22"/>
          <w:szCs w:val="22"/>
        </w:rPr>
        <w:t>could potentially</w:t>
      </w:r>
      <w:r w:rsidR="009A344B" w:rsidRPr="00782D94">
        <w:rPr>
          <w:rFonts w:ascii="Calibri" w:hAnsi="Calibri" w:cs="Calibri"/>
          <w:sz w:val="22"/>
          <w:szCs w:val="22"/>
        </w:rPr>
        <w:t xml:space="preserve"> </w:t>
      </w:r>
      <w:r w:rsidRPr="00782D94">
        <w:rPr>
          <w:rFonts w:ascii="Calibri" w:hAnsi="Calibri" w:cs="Calibri"/>
          <w:sz w:val="22"/>
          <w:szCs w:val="22"/>
        </w:rPr>
        <w:t xml:space="preserve">support the fight against money laundering and terrorist financing during both onboarding and subsequent monitoring of the business relationship and associated transactions to detect suspicious transaction and make the application of CDD measures more efficient. </w:t>
      </w:r>
    </w:p>
    <w:p w14:paraId="1B69C2F1" w14:textId="77777777" w:rsidR="00782D94" w:rsidRPr="00782D94" w:rsidRDefault="00782D94" w:rsidP="00782D94">
      <w:pPr>
        <w:spacing w:line="276" w:lineRule="auto"/>
        <w:jc w:val="both"/>
        <w:rPr>
          <w:rFonts w:ascii="Calibri" w:hAnsi="Calibri" w:cs="Calibri"/>
          <w:sz w:val="22"/>
          <w:szCs w:val="22"/>
        </w:rPr>
      </w:pPr>
    </w:p>
    <w:p w14:paraId="43685A63" w14:textId="782ED981" w:rsidR="00782D94" w:rsidRPr="00782D94" w:rsidRDefault="00782D94" w:rsidP="00782D94">
      <w:pPr>
        <w:spacing w:line="276" w:lineRule="auto"/>
        <w:jc w:val="both"/>
        <w:rPr>
          <w:rFonts w:ascii="Calibri" w:hAnsi="Calibri" w:cs="Calibri"/>
          <w:sz w:val="22"/>
          <w:szCs w:val="22"/>
        </w:rPr>
      </w:pPr>
      <w:r w:rsidRPr="00782D94">
        <w:rPr>
          <w:rFonts w:ascii="Calibri" w:hAnsi="Calibri" w:cs="Calibri"/>
          <w:sz w:val="22"/>
          <w:szCs w:val="22"/>
        </w:rPr>
        <w:lastRenderedPageBreak/>
        <w:t xml:space="preserve">However, the use of LEIs is not enough, of itself, to meet </w:t>
      </w:r>
      <w:r w:rsidR="009A344B">
        <w:rPr>
          <w:rFonts w:ascii="Calibri" w:hAnsi="Calibri" w:cs="Calibri"/>
          <w:sz w:val="22"/>
          <w:szCs w:val="22"/>
        </w:rPr>
        <w:t xml:space="preserve">financial </w:t>
      </w:r>
      <w:r w:rsidRPr="00782D94">
        <w:rPr>
          <w:rFonts w:ascii="Calibri" w:hAnsi="Calibri" w:cs="Calibri"/>
          <w:sz w:val="22"/>
          <w:szCs w:val="22"/>
        </w:rPr>
        <w:t>institutions’ CDD obligations as the information contained in LEIs falls short of that required for CDD purposes and because institutions remain ultimately responsible for any failure to meet their obligations under Article 13 of the AMLD.</w:t>
      </w:r>
    </w:p>
    <w:p w14:paraId="156062B5" w14:textId="77777777" w:rsidR="00782D94" w:rsidRPr="00782D94" w:rsidRDefault="00782D94" w:rsidP="00782D94">
      <w:pPr>
        <w:spacing w:line="276" w:lineRule="auto"/>
        <w:jc w:val="both"/>
        <w:rPr>
          <w:rFonts w:ascii="Calibri" w:hAnsi="Calibri" w:cs="Calibri"/>
          <w:sz w:val="22"/>
          <w:szCs w:val="22"/>
        </w:rPr>
      </w:pPr>
    </w:p>
    <w:p w14:paraId="5F65CBDA" w14:textId="1A881002" w:rsidR="00A96891" w:rsidRDefault="00EF5353" w:rsidP="00782D94">
      <w:pPr>
        <w:spacing w:line="276" w:lineRule="auto"/>
        <w:jc w:val="both"/>
        <w:rPr>
          <w:rFonts w:ascii="Calibri" w:hAnsi="Calibri" w:cs="Calibri"/>
          <w:sz w:val="22"/>
          <w:szCs w:val="22"/>
        </w:rPr>
      </w:pPr>
      <w:r>
        <w:rPr>
          <w:rFonts w:ascii="Calibri" w:hAnsi="Calibri" w:cs="Calibri"/>
          <w:sz w:val="22"/>
          <w:szCs w:val="22"/>
        </w:rPr>
        <w:t>In September 2020</w:t>
      </w:r>
      <w:r w:rsidR="00782D94" w:rsidRPr="00782D94">
        <w:rPr>
          <w:rFonts w:ascii="Calibri" w:hAnsi="Calibri" w:cs="Calibri"/>
          <w:sz w:val="22"/>
          <w:szCs w:val="22"/>
        </w:rPr>
        <w:t xml:space="preserve"> the EBA will publish its response to the </w:t>
      </w:r>
      <w:r w:rsidR="00434393">
        <w:rPr>
          <w:rFonts w:ascii="Calibri" w:hAnsi="Calibri" w:cs="Calibri"/>
          <w:sz w:val="22"/>
          <w:szCs w:val="22"/>
        </w:rPr>
        <w:t xml:space="preserve">European </w:t>
      </w:r>
      <w:r w:rsidR="00782D94" w:rsidRPr="00782D94">
        <w:rPr>
          <w:rFonts w:ascii="Calibri" w:hAnsi="Calibri" w:cs="Calibri"/>
          <w:sz w:val="22"/>
          <w:szCs w:val="22"/>
        </w:rPr>
        <w:t>Commission’s Call for Advice, where it will set out how to limit the legislative divergence and enhance the effectiveness of the overall AML/CFT framework across the EU. As part of this, the EBA will consider LEIs in the context of its advice regarding any</w:t>
      </w:r>
      <w:r w:rsidR="00A96891">
        <w:rPr>
          <w:rFonts w:ascii="Calibri" w:hAnsi="Calibri" w:cs="Calibri"/>
          <w:sz w:val="22"/>
          <w:szCs w:val="22"/>
        </w:rPr>
        <w:t xml:space="preserve"> future harmonis</w:t>
      </w:r>
      <w:r w:rsidR="00782D94" w:rsidRPr="00782D94">
        <w:rPr>
          <w:rFonts w:ascii="Calibri" w:hAnsi="Calibri" w:cs="Calibri"/>
          <w:sz w:val="22"/>
          <w:szCs w:val="22"/>
        </w:rPr>
        <w:t>ation of CDD obligations.</w:t>
      </w:r>
    </w:p>
    <w:p w14:paraId="78BABC03" w14:textId="77777777" w:rsidR="00A96891" w:rsidRDefault="00A96891" w:rsidP="00782D94">
      <w:pPr>
        <w:spacing w:line="276" w:lineRule="auto"/>
        <w:jc w:val="both"/>
        <w:rPr>
          <w:rFonts w:ascii="Calibri" w:hAnsi="Calibri" w:cs="Calibri"/>
          <w:sz w:val="22"/>
          <w:szCs w:val="22"/>
        </w:rPr>
      </w:pPr>
    </w:p>
    <w:p w14:paraId="2DB76BF5" w14:textId="026B62CC" w:rsidR="00782D94" w:rsidRPr="00782D94" w:rsidRDefault="00A96891" w:rsidP="00782D94">
      <w:pPr>
        <w:spacing w:line="276" w:lineRule="auto"/>
        <w:jc w:val="both"/>
        <w:rPr>
          <w:rFonts w:ascii="Calibri" w:hAnsi="Calibri" w:cs="Calibri"/>
          <w:sz w:val="22"/>
          <w:szCs w:val="22"/>
        </w:rPr>
      </w:pPr>
      <w:r>
        <w:rPr>
          <w:rFonts w:ascii="Calibri" w:hAnsi="Calibri" w:cs="Calibri"/>
          <w:sz w:val="22"/>
          <w:szCs w:val="22"/>
        </w:rPr>
        <w:t>More generally, the EBA would welcome the opportunity to further support the European Commission’s work in this area.</w:t>
      </w:r>
      <w:r w:rsidR="00782D94" w:rsidRPr="00782D94">
        <w:rPr>
          <w:rFonts w:ascii="Calibri" w:hAnsi="Calibri" w:cs="Calibri"/>
          <w:sz w:val="22"/>
          <w:szCs w:val="22"/>
        </w:rPr>
        <w:t xml:space="preserve"> </w:t>
      </w:r>
    </w:p>
    <w:p w14:paraId="44517946" w14:textId="77777777" w:rsidR="008031C8" w:rsidRDefault="008031C8" w:rsidP="0019769E">
      <w:pPr>
        <w:spacing w:line="276" w:lineRule="auto"/>
        <w:jc w:val="both"/>
        <w:rPr>
          <w:rFonts w:ascii="Calibri" w:hAnsi="Calibri" w:cs="Calibri"/>
          <w:b/>
          <w:sz w:val="22"/>
          <w:szCs w:val="22"/>
        </w:rPr>
      </w:pPr>
    </w:p>
    <w:p w14:paraId="07EA4939" w14:textId="498DA3B5" w:rsidR="0019769E" w:rsidRPr="006D045B" w:rsidRDefault="0019769E" w:rsidP="006D045B">
      <w:pPr>
        <w:jc w:val="both"/>
        <w:rPr>
          <w:rFonts w:ascii="Calibri" w:hAnsi="Calibri" w:cs="Calibri"/>
          <w:b/>
        </w:rPr>
      </w:pPr>
      <w:r w:rsidRPr="006D045B">
        <w:rPr>
          <w:rFonts w:ascii="Calibri" w:hAnsi="Calibri" w:cs="Calibri"/>
          <w:b/>
        </w:rPr>
        <w:t>Question 20. In your opinion (and where applicable, based on your experience), what is the main benefit of a supervisor implementing (a) an innovation hub or (b) a regulatory sandbox as defined above?</w:t>
      </w:r>
    </w:p>
    <w:p w14:paraId="34CEA7EB" w14:textId="77777777" w:rsidR="0019769E" w:rsidRPr="0019769E" w:rsidRDefault="0019769E" w:rsidP="0019769E">
      <w:pPr>
        <w:spacing w:line="276" w:lineRule="auto"/>
        <w:jc w:val="both"/>
        <w:rPr>
          <w:rFonts w:ascii="Calibri" w:hAnsi="Calibri" w:cs="Calibri"/>
          <w:b/>
          <w:sz w:val="22"/>
          <w:szCs w:val="22"/>
        </w:rPr>
      </w:pPr>
    </w:p>
    <w:p w14:paraId="4207BA31" w14:textId="4287A0DA" w:rsidR="0019769E" w:rsidRDefault="0019769E" w:rsidP="0019769E">
      <w:pPr>
        <w:spacing w:line="276" w:lineRule="auto"/>
        <w:jc w:val="both"/>
        <w:rPr>
          <w:rFonts w:ascii="Calibri" w:hAnsi="Calibri" w:cs="Calibri"/>
          <w:sz w:val="22"/>
          <w:szCs w:val="22"/>
        </w:rPr>
      </w:pPr>
      <w:r w:rsidRPr="0019769E">
        <w:rPr>
          <w:rFonts w:ascii="Calibri" w:hAnsi="Calibri" w:cs="Calibri"/>
          <w:sz w:val="22"/>
          <w:szCs w:val="22"/>
        </w:rPr>
        <w:t>As set out in the January 2019 joint ESA report on regulatory sandboxes and innovation hubs (innovation facilitators),</w:t>
      </w:r>
      <w:r w:rsidRPr="0019769E">
        <w:rPr>
          <w:rStyle w:val="FootnoteReference"/>
          <w:rFonts w:ascii="Calibri" w:hAnsi="Calibri" w:cs="Calibri"/>
          <w:sz w:val="22"/>
          <w:szCs w:val="22"/>
        </w:rPr>
        <w:footnoteReference w:id="26"/>
      </w:r>
      <w:r w:rsidRPr="0019769E">
        <w:rPr>
          <w:rFonts w:ascii="Calibri" w:hAnsi="Calibri" w:cs="Calibri"/>
          <w:sz w:val="22"/>
          <w:szCs w:val="22"/>
        </w:rPr>
        <w:t xml:space="preserve"> these schemes have considerable advantages in establishing proximity between industry and supervisors on innovation-related issues.</w:t>
      </w:r>
    </w:p>
    <w:p w14:paraId="68329BBE" w14:textId="77777777" w:rsidR="00E31192" w:rsidRPr="0019769E" w:rsidRDefault="00E31192" w:rsidP="0019769E">
      <w:pPr>
        <w:spacing w:line="276" w:lineRule="auto"/>
        <w:jc w:val="both"/>
        <w:rPr>
          <w:rFonts w:ascii="Calibri" w:hAnsi="Calibri" w:cs="Calibri"/>
          <w:sz w:val="22"/>
          <w:szCs w:val="22"/>
        </w:rPr>
      </w:pPr>
    </w:p>
    <w:p w14:paraId="19E27FB1" w14:textId="385B1D54" w:rsidR="006C3AE0" w:rsidRDefault="0019769E" w:rsidP="0019769E">
      <w:pPr>
        <w:pStyle w:val="Default"/>
        <w:spacing w:line="276" w:lineRule="auto"/>
        <w:jc w:val="both"/>
        <w:rPr>
          <w:rFonts w:ascii="Calibri" w:hAnsi="Calibri" w:cs="Calibri"/>
          <w:iCs/>
        </w:rPr>
      </w:pPr>
      <w:r w:rsidRPr="0019769E">
        <w:rPr>
          <w:rFonts w:ascii="Calibri" w:hAnsi="Calibri" w:cs="Calibri"/>
          <w:iCs/>
        </w:rPr>
        <w:t>For firms</w:t>
      </w:r>
      <w:r w:rsidR="006C3AE0">
        <w:rPr>
          <w:rFonts w:ascii="Calibri" w:hAnsi="Calibri" w:cs="Calibri"/>
          <w:iCs/>
        </w:rPr>
        <w:t>,</w:t>
      </w:r>
      <w:r w:rsidRPr="0019769E">
        <w:rPr>
          <w:rFonts w:ascii="Calibri" w:hAnsi="Calibri" w:cs="Calibri"/>
          <w:iCs/>
        </w:rPr>
        <w:t xml:space="preserve"> innovation facilitators can enable access to dedicated supervisory resources with specialist expertise in innovative use of technology and support </w:t>
      </w:r>
      <w:r w:rsidR="006A7191">
        <w:rPr>
          <w:rFonts w:ascii="Calibri" w:hAnsi="Calibri" w:cs="Calibri"/>
          <w:iCs/>
        </w:rPr>
        <w:t>firms</w:t>
      </w:r>
      <w:r w:rsidR="006A7191" w:rsidRPr="0019769E">
        <w:rPr>
          <w:rFonts w:ascii="Calibri" w:hAnsi="Calibri" w:cs="Calibri"/>
          <w:iCs/>
        </w:rPr>
        <w:t xml:space="preserve"> </w:t>
      </w:r>
      <w:r w:rsidRPr="0019769E">
        <w:rPr>
          <w:rFonts w:ascii="Calibri" w:hAnsi="Calibri" w:cs="Calibri"/>
          <w:iCs/>
        </w:rPr>
        <w:t xml:space="preserve">in navigating the licencing/wider regulatory framework. </w:t>
      </w:r>
      <w:r w:rsidR="00402E57">
        <w:rPr>
          <w:rFonts w:ascii="Calibri" w:hAnsi="Calibri" w:cs="Calibri"/>
          <w:iCs/>
        </w:rPr>
        <w:t xml:space="preserve">This can be particularly helpful for </w:t>
      </w:r>
      <w:r w:rsidR="006C3AE0">
        <w:rPr>
          <w:rFonts w:ascii="Calibri" w:hAnsi="Calibri" w:cs="Calibri"/>
          <w:iCs/>
        </w:rPr>
        <w:t>firms seeking to enter the financial services market</w:t>
      </w:r>
      <w:r w:rsidR="00402E57">
        <w:rPr>
          <w:rFonts w:ascii="Calibri" w:hAnsi="Calibri" w:cs="Calibri"/>
          <w:iCs/>
        </w:rPr>
        <w:t xml:space="preserve"> and for firms seeking to provide technological applications to regulated financial institution</w:t>
      </w:r>
      <w:r w:rsidR="006C3AE0">
        <w:rPr>
          <w:rFonts w:ascii="Calibri" w:hAnsi="Calibri" w:cs="Calibri"/>
          <w:iCs/>
        </w:rPr>
        <w:t>s</w:t>
      </w:r>
      <w:r w:rsidR="00402E57">
        <w:rPr>
          <w:rFonts w:ascii="Calibri" w:hAnsi="Calibri" w:cs="Calibri"/>
          <w:iCs/>
        </w:rPr>
        <w:t xml:space="preserve"> and wishing to understand better the relevant requirements and expectations of supervisors</w:t>
      </w:r>
      <w:r w:rsidR="00B00BAF">
        <w:rPr>
          <w:rFonts w:ascii="Calibri" w:hAnsi="Calibri" w:cs="Calibri"/>
          <w:iCs/>
        </w:rPr>
        <w:t>.</w:t>
      </w:r>
      <w:r w:rsidR="00402E57">
        <w:rPr>
          <w:rFonts w:ascii="Calibri" w:hAnsi="Calibri" w:cs="Calibri"/>
          <w:iCs/>
        </w:rPr>
        <w:t xml:space="preserve"> </w:t>
      </w:r>
    </w:p>
    <w:p w14:paraId="589018E0" w14:textId="77777777" w:rsidR="006C3AE0" w:rsidRDefault="006C3AE0" w:rsidP="0019769E">
      <w:pPr>
        <w:pStyle w:val="Default"/>
        <w:spacing w:line="276" w:lineRule="auto"/>
        <w:jc w:val="both"/>
        <w:rPr>
          <w:rFonts w:ascii="Calibri" w:hAnsi="Calibri" w:cs="Calibri"/>
          <w:iCs/>
        </w:rPr>
      </w:pPr>
    </w:p>
    <w:p w14:paraId="74AF0888" w14:textId="6E2484F4" w:rsidR="00D17B0B" w:rsidRDefault="0019769E" w:rsidP="00D17B0B">
      <w:pPr>
        <w:pStyle w:val="Default"/>
        <w:spacing w:line="276" w:lineRule="auto"/>
        <w:jc w:val="both"/>
        <w:rPr>
          <w:rFonts w:ascii="Calibri" w:hAnsi="Calibri" w:cs="Calibri"/>
        </w:rPr>
      </w:pPr>
      <w:r w:rsidRPr="0019769E">
        <w:rPr>
          <w:rFonts w:ascii="Calibri" w:hAnsi="Calibri" w:cs="Calibri"/>
          <w:iCs/>
        </w:rPr>
        <w:t>For supervisors</w:t>
      </w:r>
      <w:r w:rsidR="006C3AE0">
        <w:rPr>
          <w:rFonts w:ascii="Calibri" w:hAnsi="Calibri" w:cs="Calibri"/>
          <w:iCs/>
        </w:rPr>
        <w:t>,</w:t>
      </w:r>
      <w:r w:rsidRPr="0019769E">
        <w:rPr>
          <w:rFonts w:ascii="Calibri" w:hAnsi="Calibri" w:cs="Calibri"/>
          <w:iCs/>
        </w:rPr>
        <w:t xml:space="preserve"> innovation facilitators can enhance visibility of technology-related developments. This enhanced visibility can translate into a better </w:t>
      </w:r>
      <w:r w:rsidR="006F6D35">
        <w:rPr>
          <w:rFonts w:ascii="Calibri" w:hAnsi="Calibri" w:cs="Calibri"/>
          <w:iCs/>
        </w:rPr>
        <w:t xml:space="preserve">and more timely </w:t>
      </w:r>
      <w:r w:rsidRPr="0019769E">
        <w:rPr>
          <w:rFonts w:ascii="Calibri" w:hAnsi="Calibri" w:cs="Calibri"/>
          <w:iCs/>
        </w:rPr>
        <w:t>understanding of opportunities and risks presented by innovations. For example, supervisors</w:t>
      </w:r>
      <w:r w:rsidRPr="0019769E">
        <w:rPr>
          <w:rFonts w:ascii="Calibri" w:hAnsi="Calibri" w:cs="Calibri"/>
        </w:rPr>
        <w:t xml:space="preserve"> may react by building up supervisory expertise and resources in relevant areas, confirming and clarifying the application of the regulatory framework to financial innovation</w:t>
      </w:r>
      <w:r w:rsidR="006B541B">
        <w:rPr>
          <w:rFonts w:ascii="Calibri" w:hAnsi="Calibri" w:cs="Calibri"/>
        </w:rPr>
        <w:t>s and, as appropriate, inform</w:t>
      </w:r>
      <w:r w:rsidRPr="0019769E">
        <w:rPr>
          <w:rFonts w:ascii="Calibri" w:hAnsi="Calibri" w:cs="Calibri"/>
        </w:rPr>
        <w:t xml:space="preserve"> timely updates of regulatory and supervisory practices both to mitigate risks and address potentially undue regulatory barriers to financial innovation</w:t>
      </w:r>
      <w:r w:rsidR="00B00BAF">
        <w:rPr>
          <w:rFonts w:ascii="Calibri" w:hAnsi="Calibri" w:cs="Calibri"/>
        </w:rPr>
        <w:t xml:space="preserve"> or technological neutrality</w:t>
      </w:r>
      <w:r w:rsidRPr="0019769E">
        <w:rPr>
          <w:rFonts w:ascii="Calibri" w:hAnsi="Calibri" w:cs="Calibri"/>
        </w:rPr>
        <w:t>.</w:t>
      </w:r>
      <w:r w:rsidR="00F819FE">
        <w:rPr>
          <w:rFonts w:ascii="Calibri" w:hAnsi="Calibri" w:cs="Calibri"/>
        </w:rPr>
        <w:t xml:space="preserve"> Innovation facilitators can also offer reputational benefits by signalling openness to innovation</w:t>
      </w:r>
      <w:r w:rsidR="00E044BE">
        <w:rPr>
          <w:rFonts w:ascii="Calibri" w:hAnsi="Calibri" w:cs="Calibri"/>
        </w:rPr>
        <w:t xml:space="preserve"> (albeit some potential risks have also been identified)</w:t>
      </w:r>
      <w:r w:rsidR="00F819FE">
        <w:rPr>
          <w:rFonts w:ascii="Calibri" w:hAnsi="Calibri" w:cs="Calibri"/>
        </w:rPr>
        <w:t>.</w:t>
      </w:r>
      <w:r w:rsidR="0061206B">
        <w:rPr>
          <w:rFonts w:ascii="Calibri" w:hAnsi="Calibri" w:cs="Calibri"/>
        </w:rPr>
        <w:t xml:space="preserve"> The </w:t>
      </w:r>
      <w:r w:rsidR="00E044BE">
        <w:rPr>
          <w:rFonts w:ascii="Calibri" w:hAnsi="Calibri" w:cs="Calibri"/>
        </w:rPr>
        <w:t>rationale for</w:t>
      </w:r>
      <w:r w:rsidR="0061206B">
        <w:rPr>
          <w:rFonts w:ascii="Calibri" w:hAnsi="Calibri" w:cs="Calibri"/>
        </w:rPr>
        <w:t xml:space="preserve"> innovation hubs and regulatory sandboxes </w:t>
      </w:r>
      <w:r w:rsidR="00E044BE">
        <w:rPr>
          <w:rFonts w:ascii="Calibri" w:hAnsi="Calibri" w:cs="Calibri"/>
        </w:rPr>
        <w:t xml:space="preserve">is </w:t>
      </w:r>
      <w:r w:rsidR="0061206B">
        <w:rPr>
          <w:rFonts w:ascii="Calibri" w:hAnsi="Calibri" w:cs="Calibri"/>
        </w:rPr>
        <w:t xml:space="preserve">elaborated </w:t>
      </w:r>
      <w:r w:rsidR="006C3AE0">
        <w:rPr>
          <w:rFonts w:ascii="Calibri" w:hAnsi="Calibri" w:cs="Calibri"/>
        </w:rPr>
        <w:t xml:space="preserve">more fully </w:t>
      </w:r>
      <w:r w:rsidR="0061206B">
        <w:rPr>
          <w:rFonts w:ascii="Calibri" w:hAnsi="Calibri" w:cs="Calibri"/>
        </w:rPr>
        <w:t>in the January 2019 report.</w:t>
      </w:r>
    </w:p>
    <w:p w14:paraId="4CFF0707" w14:textId="77777777" w:rsidR="00D17B0B" w:rsidRDefault="00D17B0B" w:rsidP="00D17B0B">
      <w:pPr>
        <w:pStyle w:val="Default"/>
        <w:spacing w:line="276" w:lineRule="auto"/>
        <w:jc w:val="both"/>
        <w:rPr>
          <w:rFonts w:ascii="Calibri" w:hAnsi="Calibri" w:cs="Calibri"/>
        </w:rPr>
      </w:pPr>
    </w:p>
    <w:p w14:paraId="38C82B30" w14:textId="5B062535" w:rsidR="0019769E" w:rsidRDefault="0019769E" w:rsidP="00D17B0B">
      <w:pPr>
        <w:pStyle w:val="Default"/>
        <w:spacing w:line="276" w:lineRule="auto"/>
        <w:jc w:val="both"/>
        <w:rPr>
          <w:rFonts w:ascii="Calibri" w:hAnsi="Calibri" w:cs="Calibri"/>
        </w:rPr>
      </w:pPr>
      <w:r w:rsidRPr="0019769E">
        <w:rPr>
          <w:rFonts w:ascii="Calibri" w:hAnsi="Calibri" w:cs="Calibri"/>
        </w:rPr>
        <w:lastRenderedPageBreak/>
        <w:t xml:space="preserve">The EBA notes that since </w:t>
      </w:r>
      <w:r w:rsidR="0061206B">
        <w:rPr>
          <w:rFonts w:ascii="Calibri" w:hAnsi="Calibri" w:cs="Calibri"/>
        </w:rPr>
        <w:t>the publication of that</w:t>
      </w:r>
      <w:r w:rsidRPr="0019769E">
        <w:rPr>
          <w:rFonts w:ascii="Calibri" w:hAnsi="Calibri" w:cs="Calibri"/>
        </w:rPr>
        <w:t xml:space="preserve"> report, a significant number of new innovation facilitators have been established (and are listed on the EFIF </w:t>
      </w:r>
      <w:hyperlink r:id="rId22" w:history="1">
        <w:r w:rsidRPr="0019769E">
          <w:rPr>
            <w:rStyle w:val="Hyperlink"/>
            <w:rFonts w:ascii="Calibri" w:hAnsi="Calibri" w:cs="Calibri"/>
          </w:rPr>
          <w:t>webpage</w:t>
        </w:r>
      </w:hyperlink>
      <w:r w:rsidRPr="0019769E">
        <w:rPr>
          <w:rFonts w:ascii="Calibri" w:hAnsi="Calibri" w:cs="Calibri"/>
        </w:rPr>
        <w:t>) and several further regulatory sandboxes are likely to become operational in the course of 2020. The EBA also notes that other types of schemes, for instance, ‘accelerators’ have been established with similar objectives to innovation hubs.</w:t>
      </w:r>
      <w:r w:rsidR="00C53087">
        <w:rPr>
          <w:rFonts w:ascii="Calibri" w:hAnsi="Calibri" w:cs="Calibri"/>
        </w:rPr>
        <w:t xml:space="preserve"> The precise approach adopted by the competent authority reflects, among other factors, the </w:t>
      </w:r>
      <w:r w:rsidR="00C53087" w:rsidRPr="00C53087">
        <w:rPr>
          <w:rFonts w:ascii="Calibri" w:hAnsi="Calibri" w:cs="Calibri"/>
        </w:rPr>
        <w:t>local market conditions</w:t>
      </w:r>
      <w:r w:rsidR="00C53087">
        <w:rPr>
          <w:rFonts w:ascii="Calibri" w:hAnsi="Calibri" w:cs="Calibri"/>
        </w:rPr>
        <w:t>, structure of supervision,</w:t>
      </w:r>
      <w:r w:rsidR="00C53087" w:rsidRPr="00C53087">
        <w:rPr>
          <w:rFonts w:ascii="Calibri" w:hAnsi="Calibri" w:cs="Calibri"/>
        </w:rPr>
        <w:t xml:space="preserve"> and the resources available to the </w:t>
      </w:r>
      <w:r w:rsidR="00C53087">
        <w:rPr>
          <w:rFonts w:ascii="Calibri" w:hAnsi="Calibri" w:cs="Calibri"/>
        </w:rPr>
        <w:t>relevant authorities in the Member States concerned</w:t>
      </w:r>
      <w:r w:rsidR="00C53087" w:rsidRPr="00C53087">
        <w:rPr>
          <w:rFonts w:ascii="Calibri" w:hAnsi="Calibri" w:cs="Calibri"/>
        </w:rPr>
        <w:t>.</w:t>
      </w:r>
    </w:p>
    <w:p w14:paraId="3235A7C5" w14:textId="4F71FEB7" w:rsidR="00E31192" w:rsidRDefault="00E31192" w:rsidP="0019769E">
      <w:pPr>
        <w:pStyle w:val="Default"/>
        <w:spacing w:line="276" w:lineRule="auto"/>
        <w:jc w:val="both"/>
        <w:rPr>
          <w:rFonts w:ascii="Calibri" w:hAnsi="Calibri" w:cs="Calibri"/>
        </w:rPr>
      </w:pPr>
    </w:p>
    <w:p w14:paraId="63459DA0" w14:textId="23F2292B" w:rsidR="00E31192" w:rsidRPr="0019769E" w:rsidRDefault="00C53087" w:rsidP="0019769E">
      <w:pPr>
        <w:pStyle w:val="Default"/>
        <w:spacing w:line="276" w:lineRule="auto"/>
        <w:jc w:val="both"/>
        <w:rPr>
          <w:rFonts w:ascii="Calibri" w:hAnsi="Calibri" w:cs="Calibri"/>
        </w:rPr>
      </w:pPr>
      <w:r>
        <w:rPr>
          <w:rFonts w:ascii="Calibri" w:hAnsi="Calibri" w:cs="Calibri"/>
        </w:rPr>
        <w:t>In</w:t>
      </w:r>
      <w:r w:rsidR="00E31192">
        <w:rPr>
          <w:rFonts w:ascii="Calibri" w:hAnsi="Calibri" w:cs="Calibri"/>
        </w:rPr>
        <w:t xml:space="preserve"> order to ensure that innovative technologies can be applied at scale in order to maximise potential efficiency gains, it is vital that consistency of supervisory and regulatory stances is achieve</w:t>
      </w:r>
      <w:r w:rsidR="00F80C94">
        <w:rPr>
          <w:rFonts w:ascii="Calibri" w:hAnsi="Calibri" w:cs="Calibri"/>
        </w:rPr>
        <w:t>d</w:t>
      </w:r>
      <w:r w:rsidR="00E31192">
        <w:rPr>
          <w:rFonts w:ascii="Calibri" w:hAnsi="Calibri" w:cs="Calibri"/>
        </w:rPr>
        <w:t xml:space="preserve"> across the EU. The EFIF is expressly intended to promote greater cooperation and coordination between national innovation facilitators with a view to promoting this necessary consistency. Further measures to strengthen the role and capacity of the EFIF in this regard are strongly encouraged (see further the </w:t>
      </w:r>
      <w:r w:rsidR="00D17B0B">
        <w:rPr>
          <w:rFonts w:ascii="Calibri" w:hAnsi="Calibri" w:cs="Calibri"/>
        </w:rPr>
        <w:t xml:space="preserve">EBA’s </w:t>
      </w:r>
      <w:r w:rsidR="00E31192">
        <w:rPr>
          <w:rFonts w:ascii="Calibri" w:hAnsi="Calibri" w:cs="Calibri"/>
        </w:rPr>
        <w:t>response to Question 21).</w:t>
      </w:r>
    </w:p>
    <w:p w14:paraId="722D9CC9" w14:textId="77777777" w:rsidR="0019769E" w:rsidRPr="0019769E" w:rsidRDefault="0019769E" w:rsidP="0019769E">
      <w:pPr>
        <w:pStyle w:val="Default"/>
        <w:spacing w:line="276" w:lineRule="auto"/>
        <w:jc w:val="both"/>
        <w:rPr>
          <w:rFonts w:ascii="Calibri" w:hAnsi="Calibri" w:cs="Calibri"/>
        </w:rPr>
      </w:pPr>
    </w:p>
    <w:p w14:paraId="6EBF18BF" w14:textId="64767361" w:rsidR="0019769E" w:rsidRDefault="0019769E" w:rsidP="006D045B">
      <w:pPr>
        <w:jc w:val="both"/>
        <w:rPr>
          <w:rFonts w:ascii="Calibri" w:hAnsi="Calibri" w:cs="Calibri"/>
          <w:b/>
        </w:rPr>
      </w:pPr>
      <w:r w:rsidRPr="006D045B">
        <w:rPr>
          <w:rFonts w:ascii="Calibri" w:hAnsi="Calibri" w:cs="Calibri"/>
          <w:b/>
        </w:rPr>
        <w:t xml:space="preserve">Question 21. In your opinion, how could the relevant EU authorities enhance </w:t>
      </w:r>
      <w:r w:rsidRPr="006D045B">
        <w:rPr>
          <w:rFonts w:ascii="Calibri" w:hAnsi="Calibri" w:cs="Calibri"/>
          <w:b/>
          <w:spacing w:val="16"/>
        </w:rPr>
        <w:t xml:space="preserve">coordination </w:t>
      </w:r>
      <w:r w:rsidRPr="006D045B">
        <w:rPr>
          <w:rFonts w:ascii="Calibri" w:hAnsi="Calibri" w:cs="Calibri"/>
          <w:b/>
          <w:spacing w:val="14"/>
        </w:rPr>
        <w:t>among different schemes</w:t>
      </w:r>
      <w:r w:rsidRPr="006D045B">
        <w:rPr>
          <w:rFonts w:ascii="Calibri" w:hAnsi="Calibri" w:cs="Calibri"/>
          <w:b/>
          <w:spacing w:val="15"/>
        </w:rPr>
        <w:t xml:space="preserve"> [innovation hubs and regulatory sandboxes] </w:t>
      </w:r>
      <w:r w:rsidRPr="006D045B">
        <w:rPr>
          <w:rFonts w:ascii="Calibri" w:hAnsi="Calibri" w:cs="Calibri"/>
          <w:b/>
          <w:spacing w:val="9"/>
        </w:rPr>
        <w:t xml:space="preserve">in </w:t>
      </w:r>
      <w:r w:rsidRPr="006D045B">
        <w:rPr>
          <w:rFonts w:ascii="Calibri" w:hAnsi="Calibri" w:cs="Calibri"/>
          <w:b/>
          <w:spacing w:val="12"/>
        </w:rPr>
        <w:t xml:space="preserve">the </w:t>
      </w:r>
      <w:r w:rsidRPr="006D045B">
        <w:rPr>
          <w:rFonts w:ascii="Calibri" w:hAnsi="Calibri" w:cs="Calibri"/>
          <w:b/>
          <w:spacing w:val="4"/>
        </w:rPr>
        <w:t xml:space="preserve">EU? </w:t>
      </w:r>
      <w:r w:rsidRPr="006D045B">
        <w:rPr>
          <w:rFonts w:ascii="Calibri" w:hAnsi="Calibri" w:cs="Calibri"/>
          <w:b/>
        </w:rPr>
        <w:t>Please rate each proposal from 1 to 5:</w:t>
      </w:r>
    </w:p>
    <w:p w14:paraId="2F353611" w14:textId="77777777" w:rsidR="006D045B" w:rsidRPr="006D045B" w:rsidRDefault="006D045B" w:rsidP="006D045B">
      <w:pPr>
        <w:jc w:val="both"/>
        <w:rPr>
          <w:rFonts w:ascii="Calibri" w:hAnsi="Calibri" w:cs="Calibri"/>
          <w:b/>
        </w:rPr>
      </w:pPr>
    </w:p>
    <w:tbl>
      <w:tblPr>
        <w:tblW w:w="5000" w:type="pct"/>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CellMar>
          <w:left w:w="0" w:type="dxa"/>
          <w:right w:w="0" w:type="dxa"/>
        </w:tblCellMar>
        <w:tblLook w:val="01E0" w:firstRow="1" w:lastRow="1" w:firstColumn="1" w:lastColumn="1" w:noHBand="0" w:noVBand="0"/>
      </w:tblPr>
      <w:tblGrid>
        <w:gridCol w:w="2707"/>
        <w:gridCol w:w="1236"/>
        <w:gridCol w:w="1087"/>
        <w:gridCol w:w="1036"/>
        <w:gridCol w:w="1087"/>
        <w:gridCol w:w="1087"/>
        <w:gridCol w:w="511"/>
      </w:tblGrid>
      <w:tr w:rsidR="0019769E" w14:paraId="17C672E2" w14:textId="77777777" w:rsidTr="00147A22">
        <w:trPr>
          <w:trHeight w:val="1749"/>
          <w:jc w:val="center"/>
        </w:trPr>
        <w:tc>
          <w:tcPr>
            <w:tcW w:w="1547" w:type="pct"/>
          </w:tcPr>
          <w:p w14:paraId="5EC31398" w14:textId="77777777" w:rsidR="0019769E" w:rsidRDefault="0019769E" w:rsidP="00147A22">
            <w:pPr>
              <w:pStyle w:val="TableParagraph"/>
              <w:rPr>
                <w:rFonts w:ascii="Times New Roman"/>
                <w:sz w:val="20"/>
              </w:rPr>
            </w:pPr>
          </w:p>
        </w:tc>
        <w:tc>
          <w:tcPr>
            <w:tcW w:w="706" w:type="pct"/>
          </w:tcPr>
          <w:p w14:paraId="7CD39D42" w14:textId="77777777" w:rsidR="0019769E" w:rsidRPr="006D045B" w:rsidRDefault="0019769E" w:rsidP="00147A22">
            <w:pPr>
              <w:pStyle w:val="TableParagraph"/>
              <w:spacing w:before="122" w:line="695" w:lineRule="exact"/>
              <w:ind w:left="20"/>
              <w:jc w:val="center"/>
              <w:rPr>
                <w:sz w:val="16"/>
                <w:szCs w:val="16"/>
              </w:rPr>
            </w:pPr>
            <w:r w:rsidRPr="006D045B">
              <w:rPr>
                <w:w w:val="99"/>
                <w:sz w:val="16"/>
                <w:szCs w:val="16"/>
              </w:rPr>
              <w:t>1</w:t>
            </w:r>
          </w:p>
          <w:p w14:paraId="5D44F485" w14:textId="77777777" w:rsidR="0019769E" w:rsidRPr="006D045B" w:rsidRDefault="0019769E" w:rsidP="00147A22">
            <w:pPr>
              <w:pStyle w:val="TableParagraph"/>
              <w:spacing w:line="318" w:lineRule="exact"/>
              <w:ind w:left="153" w:right="133"/>
              <w:jc w:val="center"/>
              <w:rPr>
                <w:sz w:val="16"/>
                <w:szCs w:val="16"/>
              </w:rPr>
            </w:pPr>
            <w:r w:rsidRPr="006D045B">
              <w:rPr>
                <w:w w:val="105"/>
                <w:sz w:val="16"/>
                <w:szCs w:val="16"/>
              </w:rPr>
              <w:t>(irrelevant)</w:t>
            </w:r>
          </w:p>
        </w:tc>
        <w:tc>
          <w:tcPr>
            <w:tcW w:w="621" w:type="pct"/>
          </w:tcPr>
          <w:p w14:paraId="396582C9" w14:textId="77777777" w:rsidR="0019769E" w:rsidRPr="006D045B" w:rsidRDefault="0019769E" w:rsidP="00147A22">
            <w:pPr>
              <w:pStyle w:val="TableParagraph"/>
              <w:spacing w:line="657" w:lineRule="exact"/>
              <w:ind w:left="21"/>
              <w:jc w:val="center"/>
              <w:rPr>
                <w:sz w:val="16"/>
                <w:szCs w:val="16"/>
              </w:rPr>
            </w:pPr>
            <w:r w:rsidRPr="006D045B">
              <w:rPr>
                <w:w w:val="99"/>
                <w:sz w:val="16"/>
                <w:szCs w:val="16"/>
              </w:rPr>
              <w:t>2</w:t>
            </w:r>
          </w:p>
          <w:p w14:paraId="06572527" w14:textId="77777777" w:rsidR="0019769E" w:rsidRPr="006D045B" w:rsidRDefault="0019769E" w:rsidP="00147A22">
            <w:pPr>
              <w:pStyle w:val="TableParagraph"/>
              <w:spacing w:before="4" w:line="199" w:lineRule="auto"/>
              <w:ind w:left="185" w:right="162" w:hanging="54"/>
              <w:jc w:val="center"/>
              <w:rPr>
                <w:sz w:val="16"/>
                <w:szCs w:val="16"/>
              </w:rPr>
            </w:pPr>
            <w:r w:rsidRPr="006D045B">
              <w:rPr>
                <w:w w:val="105"/>
                <w:sz w:val="16"/>
                <w:szCs w:val="16"/>
              </w:rPr>
              <w:t xml:space="preserve">(rather not </w:t>
            </w:r>
            <w:r w:rsidRPr="006D045B">
              <w:rPr>
                <w:sz w:val="16"/>
                <w:szCs w:val="16"/>
              </w:rPr>
              <w:t>relevant)</w:t>
            </w:r>
          </w:p>
        </w:tc>
        <w:tc>
          <w:tcPr>
            <w:tcW w:w="592" w:type="pct"/>
          </w:tcPr>
          <w:p w14:paraId="5838EB42" w14:textId="77777777" w:rsidR="0019769E" w:rsidRPr="006D045B" w:rsidRDefault="0019769E" w:rsidP="00147A22">
            <w:pPr>
              <w:pStyle w:val="TableParagraph"/>
              <w:spacing w:before="122" w:line="695" w:lineRule="exact"/>
              <w:ind w:left="22"/>
              <w:jc w:val="center"/>
              <w:rPr>
                <w:sz w:val="16"/>
                <w:szCs w:val="16"/>
              </w:rPr>
            </w:pPr>
            <w:r w:rsidRPr="006D045B">
              <w:rPr>
                <w:w w:val="99"/>
                <w:sz w:val="16"/>
                <w:szCs w:val="16"/>
              </w:rPr>
              <w:t>3</w:t>
            </w:r>
          </w:p>
          <w:p w14:paraId="1AA6359F" w14:textId="77777777" w:rsidR="0019769E" w:rsidRPr="006D045B" w:rsidRDefault="0019769E" w:rsidP="00147A22">
            <w:pPr>
              <w:pStyle w:val="TableParagraph"/>
              <w:spacing w:line="318" w:lineRule="exact"/>
              <w:ind w:left="157" w:right="135"/>
              <w:jc w:val="center"/>
              <w:rPr>
                <w:sz w:val="16"/>
                <w:szCs w:val="16"/>
              </w:rPr>
            </w:pPr>
            <w:r w:rsidRPr="006D045B">
              <w:rPr>
                <w:w w:val="105"/>
                <w:sz w:val="16"/>
                <w:szCs w:val="16"/>
              </w:rPr>
              <w:t>(neutral)</w:t>
            </w:r>
          </w:p>
        </w:tc>
        <w:tc>
          <w:tcPr>
            <w:tcW w:w="621" w:type="pct"/>
          </w:tcPr>
          <w:p w14:paraId="7563C4CA" w14:textId="77777777" w:rsidR="0019769E" w:rsidRPr="006D045B" w:rsidRDefault="0019769E" w:rsidP="00147A22">
            <w:pPr>
              <w:pStyle w:val="TableParagraph"/>
              <w:spacing w:before="110" w:line="695" w:lineRule="exact"/>
              <w:ind w:left="22"/>
              <w:jc w:val="center"/>
              <w:rPr>
                <w:sz w:val="16"/>
                <w:szCs w:val="16"/>
              </w:rPr>
            </w:pPr>
            <w:r w:rsidRPr="006D045B">
              <w:rPr>
                <w:w w:val="99"/>
                <w:sz w:val="16"/>
                <w:szCs w:val="16"/>
              </w:rPr>
              <w:t>4</w:t>
            </w:r>
          </w:p>
          <w:p w14:paraId="0F8163C9" w14:textId="77777777" w:rsidR="0019769E" w:rsidRPr="006D045B" w:rsidRDefault="0019769E" w:rsidP="00147A22">
            <w:pPr>
              <w:pStyle w:val="TableParagraph"/>
              <w:spacing w:before="4" w:line="199" w:lineRule="auto"/>
              <w:ind w:left="186" w:right="161" w:hanging="54"/>
              <w:jc w:val="center"/>
              <w:rPr>
                <w:sz w:val="16"/>
                <w:szCs w:val="16"/>
              </w:rPr>
            </w:pPr>
            <w:r w:rsidRPr="006D045B">
              <w:rPr>
                <w:w w:val="105"/>
                <w:sz w:val="16"/>
                <w:szCs w:val="16"/>
              </w:rPr>
              <w:t xml:space="preserve">(rather </w:t>
            </w:r>
            <w:r w:rsidRPr="006D045B">
              <w:rPr>
                <w:sz w:val="16"/>
                <w:szCs w:val="16"/>
              </w:rPr>
              <w:t>relevant)</w:t>
            </w:r>
          </w:p>
        </w:tc>
        <w:tc>
          <w:tcPr>
            <w:tcW w:w="621" w:type="pct"/>
          </w:tcPr>
          <w:p w14:paraId="71DDC6CC" w14:textId="77777777" w:rsidR="0019769E" w:rsidRPr="006D045B" w:rsidRDefault="0019769E" w:rsidP="00147A22">
            <w:pPr>
              <w:pStyle w:val="TableParagraph"/>
              <w:spacing w:before="110" w:line="695" w:lineRule="exact"/>
              <w:ind w:left="23"/>
              <w:jc w:val="center"/>
              <w:rPr>
                <w:sz w:val="16"/>
                <w:szCs w:val="16"/>
              </w:rPr>
            </w:pPr>
            <w:r w:rsidRPr="006D045B">
              <w:rPr>
                <w:w w:val="99"/>
                <w:sz w:val="16"/>
                <w:szCs w:val="16"/>
              </w:rPr>
              <w:t>5</w:t>
            </w:r>
          </w:p>
          <w:p w14:paraId="64206376" w14:textId="77777777" w:rsidR="0019769E" w:rsidRPr="006D045B" w:rsidRDefault="0019769E" w:rsidP="00147A22">
            <w:pPr>
              <w:pStyle w:val="TableParagraph"/>
              <w:spacing w:before="4" w:line="199" w:lineRule="auto"/>
              <w:ind w:left="186" w:right="161" w:hanging="55"/>
              <w:jc w:val="center"/>
              <w:rPr>
                <w:sz w:val="16"/>
                <w:szCs w:val="16"/>
              </w:rPr>
            </w:pPr>
            <w:r w:rsidRPr="006D045B">
              <w:rPr>
                <w:w w:val="105"/>
                <w:sz w:val="16"/>
                <w:szCs w:val="16"/>
              </w:rPr>
              <w:t xml:space="preserve">(fully </w:t>
            </w:r>
            <w:r w:rsidRPr="006D045B">
              <w:rPr>
                <w:sz w:val="16"/>
                <w:szCs w:val="16"/>
              </w:rPr>
              <w:t>relevant)</w:t>
            </w:r>
          </w:p>
        </w:tc>
        <w:tc>
          <w:tcPr>
            <w:tcW w:w="293" w:type="pct"/>
          </w:tcPr>
          <w:p w14:paraId="4994A0AD" w14:textId="77777777" w:rsidR="0019769E" w:rsidRPr="006D045B" w:rsidRDefault="0019769E" w:rsidP="00147A22">
            <w:pPr>
              <w:pStyle w:val="TableParagraph"/>
              <w:spacing w:before="312" w:line="529" w:lineRule="exact"/>
              <w:ind w:left="186"/>
              <w:rPr>
                <w:sz w:val="16"/>
                <w:szCs w:val="16"/>
              </w:rPr>
            </w:pPr>
            <w:r w:rsidRPr="006D045B">
              <w:rPr>
                <w:sz w:val="16"/>
                <w:szCs w:val="16"/>
              </w:rPr>
              <w:t>N.</w:t>
            </w:r>
          </w:p>
          <w:p w14:paraId="65E4DB85" w14:textId="77777777" w:rsidR="0019769E" w:rsidRPr="006D045B" w:rsidRDefault="0019769E" w:rsidP="00147A22">
            <w:pPr>
              <w:pStyle w:val="TableParagraph"/>
              <w:spacing w:line="529" w:lineRule="exact"/>
              <w:ind w:left="195"/>
              <w:rPr>
                <w:sz w:val="16"/>
                <w:szCs w:val="16"/>
              </w:rPr>
            </w:pPr>
            <w:r w:rsidRPr="006D045B">
              <w:rPr>
                <w:sz w:val="16"/>
                <w:szCs w:val="16"/>
              </w:rPr>
              <w:t>A.</w:t>
            </w:r>
          </w:p>
        </w:tc>
      </w:tr>
      <w:tr w:rsidR="0019769E" w14:paraId="37DB069D" w14:textId="77777777" w:rsidTr="00147A22">
        <w:trPr>
          <w:trHeight w:val="1787"/>
          <w:jc w:val="center"/>
        </w:trPr>
        <w:tc>
          <w:tcPr>
            <w:tcW w:w="1547" w:type="pct"/>
          </w:tcPr>
          <w:p w14:paraId="3331FB5B" w14:textId="77777777" w:rsidR="0019769E" w:rsidRDefault="0019769E" w:rsidP="00147A22">
            <w:pPr>
              <w:pStyle w:val="TableParagraph"/>
              <w:spacing w:before="69" w:line="199" w:lineRule="auto"/>
              <w:ind w:left="185" w:right="264"/>
              <w:rPr>
                <w:sz w:val="19"/>
              </w:rPr>
            </w:pPr>
            <w:r>
              <w:rPr>
                <w:w w:val="105"/>
                <w:sz w:val="19"/>
              </w:rPr>
              <w:t>Promote convergence among national authorities in setting up innovation hubs and sandboxes, through additional best practices or guidelines</w:t>
            </w:r>
          </w:p>
        </w:tc>
        <w:tc>
          <w:tcPr>
            <w:tcW w:w="706" w:type="pct"/>
          </w:tcPr>
          <w:p w14:paraId="1F848ED4" w14:textId="77777777" w:rsidR="0019769E" w:rsidRDefault="0019769E" w:rsidP="00147A22">
            <w:pPr>
              <w:pStyle w:val="TableParagraph"/>
              <w:rPr>
                <w:rFonts w:ascii="Arial"/>
                <w:b/>
                <w:sz w:val="20"/>
              </w:rPr>
            </w:pPr>
          </w:p>
          <w:p w14:paraId="3B681A68" w14:textId="77777777" w:rsidR="0019769E" w:rsidRDefault="0019769E" w:rsidP="00147A22">
            <w:pPr>
              <w:pStyle w:val="TableParagraph"/>
              <w:rPr>
                <w:rFonts w:ascii="Arial"/>
                <w:b/>
                <w:sz w:val="20"/>
              </w:rPr>
            </w:pPr>
          </w:p>
          <w:p w14:paraId="23C9D4E2" w14:textId="77777777" w:rsidR="0019769E" w:rsidRDefault="0019769E" w:rsidP="00147A22">
            <w:pPr>
              <w:pStyle w:val="TableParagraph"/>
              <w:spacing w:before="2" w:after="1"/>
              <w:rPr>
                <w:rFonts w:ascii="Arial"/>
                <w:b/>
                <w:sz w:val="25"/>
              </w:rPr>
            </w:pPr>
          </w:p>
          <w:p w14:paraId="10F8B86C" w14:textId="77777777" w:rsidR="0019769E" w:rsidRDefault="0019769E"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2E490A3B" wp14:editId="431A3B25">
                  <wp:extent cx="114300" cy="114300"/>
                  <wp:effectExtent l="0" t="0" r="0" b="0"/>
                  <wp:docPr id="15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30C7C44D" w14:textId="77777777" w:rsidR="0019769E" w:rsidRDefault="0019769E" w:rsidP="00147A22">
            <w:pPr>
              <w:pStyle w:val="TableParagraph"/>
              <w:rPr>
                <w:rFonts w:ascii="Arial"/>
                <w:b/>
                <w:sz w:val="20"/>
              </w:rPr>
            </w:pPr>
          </w:p>
          <w:p w14:paraId="7AC2993B" w14:textId="77777777" w:rsidR="0019769E" w:rsidRDefault="0019769E" w:rsidP="00147A22">
            <w:pPr>
              <w:pStyle w:val="TableParagraph"/>
              <w:rPr>
                <w:rFonts w:ascii="Arial"/>
                <w:b/>
                <w:sz w:val="20"/>
              </w:rPr>
            </w:pPr>
          </w:p>
          <w:p w14:paraId="167D75C8" w14:textId="77777777" w:rsidR="0019769E" w:rsidRDefault="0019769E" w:rsidP="00147A22">
            <w:pPr>
              <w:pStyle w:val="TableParagraph"/>
              <w:spacing w:before="2" w:after="1"/>
              <w:rPr>
                <w:rFonts w:ascii="Arial"/>
                <w:b/>
                <w:sz w:val="25"/>
              </w:rPr>
            </w:pPr>
          </w:p>
          <w:p w14:paraId="661C2B2F"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05BDFBE" wp14:editId="3FA36C0B">
                  <wp:extent cx="114300" cy="114300"/>
                  <wp:effectExtent l="0" t="0" r="0" b="0"/>
                  <wp:docPr id="15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2" w:type="pct"/>
          </w:tcPr>
          <w:p w14:paraId="61B18662" w14:textId="77777777" w:rsidR="0019769E" w:rsidRDefault="0019769E" w:rsidP="00147A22">
            <w:pPr>
              <w:pStyle w:val="TableParagraph"/>
              <w:rPr>
                <w:rFonts w:ascii="Arial"/>
                <w:b/>
                <w:sz w:val="20"/>
              </w:rPr>
            </w:pPr>
          </w:p>
          <w:p w14:paraId="727D5569" w14:textId="77777777" w:rsidR="0019769E" w:rsidRDefault="0019769E" w:rsidP="00147A22">
            <w:pPr>
              <w:pStyle w:val="TableParagraph"/>
              <w:rPr>
                <w:rFonts w:ascii="Arial"/>
                <w:b/>
                <w:sz w:val="20"/>
              </w:rPr>
            </w:pPr>
          </w:p>
          <w:p w14:paraId="4D4287FE" w14:textId="77777777" w:rsidR="0019769E" w:rsidRDefault="0019769E" w:rsidP="00147A22">
            <w:pPr>
              <w:pStyle w:val="TableParagraph"/>
              <w:spacing w:before="2" w:after="1"/>
              <w:rPr>
                <w:rFonts w:ascii="Arial"/>
                <w:b/>
                <w:sz w:val="25"/>
              </w:rPr>
            </w:pPr>
          </w:p>
          <w:p w14:paraId="0C67F604" w14:textId="77777777" w:rsidR="0019769E" w:rsidRDefault="0019769E"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7B74AAAC" wp14:editId="45C49008">
                  <wp:extent cx="114300" cy="114300"/>
                  <wp:effectExtent l="0" t="0" r="0" b="0"/>
                  <wp:docPr id="15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0B55A9A9" w14:textId="77777777" w:rsidR="0019769E" w:rsidRDefault="0019769E" w:rsidP="00147A22">
            <w:pPr>
              <w:pStyle w:val="TableParagraph"/>
              <w:rPr>
                <w:rFonts w:ascii="Arial"/>
                <w:b/>
                <w:sz w:val="20"/>
              </w:rPr>
            </w:pPr>
          </w:p>
          <w:p w14:paraId="705A6054" w14:textId="77777777" w:rsidR="0019769E" w:rsidRDefault="0019769E" w:rsidP="00147A22">
            <w:pPr>
              <w:pStyle w:val="TableParagraph"/>
              <w:rPr>
                <w:rFonts w:ascii="Arial"/>
                <w:b/>
                <w:sz w:val="20"/>
              </w:rPr>
            </w:pPr>
          </w:p>
          <w:p w14:paraId="562E6F99" w14:textId="77777777" w:rsidR="0019769E" w:rsidRDefault="0019769E" w:rsidP="00147A22">
            <w:pPr>
              <w:pStyle w:val="TableParagraph"/>
              <w:spacing w:before="2" w:after="1"/>
              <w:rPr>
                <w:rFonts w:ascii="Arial"/>
                <w:b/>
                <w:sz w:val="25"/>
              </w:rPr>
            </w:pPr>
          </w:p>
          <w:p w14:paraId="4E7C2ECD"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20D64D03" wp14:editId="58553837">
                  <wp:extent cx="114300" cy="114300"/>
                  <wp:effectExtent l="0" t="0" r="0" b="0"/>
                  <wp:docPr id="15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0D1C4FBC" w14:textId="77777777" w:rsidR="0019769E" w:rsidRDefault="0019769E" w:rsidP="00147A22">
            <w:pPr>
              <w:pStyle w:val="TableParagraph"/>
              <w:rPr>
                <w:rFonts w:ascii="Arial"/>
                <w:b/>
                <w:sz w:val="20"/>
              </w:rPr>
            </w:pPr>
          </w:p>
          <w:p w14:paraId="122B89EF" w14:textId="77777777" w:rsidR="0019769E" w:rsidRDefault="0019769E" w:rsidP="00147A22">
            <w:pPr>
              <w:pStyle w:val="TableParagraph"/>
              <w:rPr>
                <w:rFonts w:ascii="Arial"/>
                <w:b/>
                <w:sz w:val="20"/>
              </w:rPr>
            </w:pPr>
          </w:p>
          <w:p w14:paraId="2B5756DD" w14:textId="77777777" w:rsidR="0019769E" w:rsidRDefault="0019769E" w:rsidP="00147A22">
            <w:pPr>
              <w:pStyle w:val="TableParagraph"/>
              <w:spacing w:before="2" w:after="1"/>
              <w:rPr>
                <w:rFonts w:ascii="Arial"/>
                <w:b/>
                <w:sz w:val="25"/>
              </w:rPr>
            </w:pPr>
          </w:p>
          <w:p w14:paraId="50AC293C"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t>X</w:t>
            </w:r>
          </w:p>
        </w:tc>
        <w:tc>
          <w:tcPr>
            <w:tcW w:w="293" w:type="pct"/>
          </w:tcPr>
          <w:p w14:paraId="77B6D18A" w14:textId="77777777" w:rsidR="0019769E" w:rsidRDefault="0019769E" w:rsidP="00147A22">
            <w:pPr>
              <w:pStyle w:val="TableParagraph"/>
              <w:rPr>
                <w:rFonts w:ascii="Arial"/>
                <w:b/>
                <w:sz w:val="20"/>
              </w:rPr>
            </w:pPr>
          </w:p>
          <w:p w14:paraId="3B9186CE" w14:textId="77777777" w:rsidR="0019769E" w:rsidRDefault="0019769E" w:rsidP="00147A22">
            <w:pPr>
              <w:pStyle w:val="TableParagraph"/>
              <w:rPr>
                <w:rFonts w:ascii="Arial"/>
                <w:b/>
                <w:sz w:val="20"/>
              </w:rPr>
            </w:pPr>
          </w:p>
          <w:p w14:paraId="58ED676C" w14:textId="77777777" w:rsidR="0019769E" w:rsidRDefault="0019769E" w:rsidP="00147A22">
            <w:pPr>
              <w:pStyle w:val="TableParagraph"/>
              <w:spacing w:before="2" w:after="1"/>
              <w:rPr>
                <w:rFonts w:ascii="Arial"/>
                <w:b/>
                <w:sz w:val="25"/>
              </w:rPr>
            </w:pPr>
          </w:p>
          <w:p w14:paraId="26A58B3A" w14:textId="77777777" w:rsidR="0019769E" w:rsidRDefault="0019769E"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585A84CC" wp14:editId="23A578C0">
                  <wp:extent cx="114300" cy="114300"/>
                  <wp:effectExtent l="0" t="0" r="0" b="0"/>
                  <wp:docPr id="15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24B72F46" w14:textId="77777777" w:rsidTr="00147A22">
        <w:trPr>
          <w:trHeight w:val="1788"/>
          <w:jc w:val="center"/>
        </w:trPr>
        <w:tc>
          <w:tcPr>
            <w:tcW w:w="1547" w:type="pct"/>
          </w:tcPr>
          <w:p w14:paraId="68998701" w14:textId="77777777" w:rsidR="0019769E" w:rsidRDefault="0019769E" w:rsidP="00147A22">
            <w:pPr>
              <w:pStyle w:val="TableParagraph"/>
              <w:spacing w:before="69" w:line="199" w:lineRule="auto"/>
              <w:ind w:left="185" w:right="209"/>
              <w:rPr>
                <w:sz w:val="19"/>
              </w:rPr>
            </w:pPr>
            <w:r>
              <w:rPr>
                <w:w w:val="105"/>
                <w:sz w:val="19"/>
              </w:rPr>
              <w:t>Facilitate the possibility for firms to test new products and activities for marketing in several Member States (“cross border testing”)</w:t>
            </w:r>
          </w:p>
        </w:tc>
        <w:tc>
          <w:tcPr>
            <w:tcW w:w="706" w:type="pct"/>
          </w:tcPr>
          <w:p w14:paraId="64DD26A0" w14:textId="77777777" w:rsidR="0019769E" w:rsidRDefault="0019769E" w:rsidP="00147A22">
            <w:pPr>
              <w:pStyle w:val="TableParagraph"/>
              <w:rPr>
                <w:rFonts w:ascii="Arial"/>
                <w:b/>
                <w:sz w:val="20"/>
              </w:rPr>
            </w:pPr>
          </w:p>
          <w:p w14:paraId="131FAC3B" w14:textId="77777777" w:rsidR="0019769E" w:rsidRDefault="0019769E" w:rsidP="00147A22">
            <w:pPr>
              <w:pStyle w:val="TableParagraph"/>
              <w:rPr>
                <w:rFonts w:ascii="Arial"/>
                <w:b/>
                <w:sz w:val="20"/>
              </w:rPr>
            </w:pPr>
          </w:p>
          <w:p w14:paraId="411F20AF" w14:textId="77777777" w:rsidR="0019769E" w:rsidRDefault="0019769E" w:rsidP="00147A22">
            <w:pPr>
              <w:pStyle w:val="TableParagraph"/>
              <w:spacing w:before="2" w:after="1"/>
              <w:rPr>
                <w:rFonts w:ascii="Arial"/>
                <w:b/>
                <w:sz w:val="25"/>
              </w:rPr>
            </w:pPr>
          </w:p>
          <w:p w14:paraId="6235BDD4" w14:textId="77777777" w:rsidR="0019769E" w:rsidRDefault="0019769E"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E163425" wp14:editId="54DB337A">
                  <wp:extent cx="114300" cy="114300"/>
                  <wp:effectExtent l="0" t="0" r="0" b="0"/>
                  <wp:docPr id="15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42C04934" w14:textId="77777777" w:rsidR="0019769E" w:rsidRDefault="0019769E" w:rsidP="00147A22">
            <w:pPr>
              <w:pStyle w:val="TableParagraph"/>
              <w:rPr>
                <w:rFonts w:ascii="Arial"/>
                <w:b/>
                <w:sz w:val="20"/>
              </w:rPr>
            </w:pPr>
          </w:p>
          <w:p w14:paraId="65C52BE7" w14:textId="77777777" w:rsidR="0019769E" w:rsidRDefault="0019769E" w:rsidP="00147A22">
            <w:pPr>
              <w:pStyle w:val="TableParagraph"/>
              <w:rPr>
                <w:rFonts w:ascii="Arial"/>
                <w:b/>
                <w:sz w:val="20"/>
              </w:rPr>
            </w:pPr>
          </w:p>
          <w:p w14:paraId="583218DB" w14:textId="77777777" w:rsidR="0019769E" w:rsidRDefault="0019769E" w:rsidP="00147A22">
            <w:pPr>
              <w:pStyle w:val="TableParagraph"/>
              <w:spacing w:before="2" w:after="1"/>
              <w:rPr>
                <w:rFonts w:ascii="Arial"/>
                <w:b/>
                <w:sz w:val="25"/>
              </w:rPr>
            </w:pPr>
          </w:p>
          <w:p w14:paraId="14F05E88"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852A675" wp14:editId="15C8E03A">
                  <wp:extent cx="114300" cy="114300"/>
                  <wp:effectExtent l="0" t="0" r="0" b="0"/>
                  <wp:docPr id="15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2" w:type="pct"/>
          </w:tcPr>
          <w:p w14:paraId="64673A21" w14:textId="77777777" w:rsidR="0019769E" w:rsidRDefault="0019769E" w:rsidP="00147A22">
            <w:pPr>
              <w:pStyle w:val="TableParagraph"/>
              <w:rPr>
                <w:rFonts w:ascii="Arial"/>
                <w:b/>
                <w:sz w:val="20"/>
              </w:rPr>
            </w:pPr>
          </w:p>
          <w:p w14:paraId="672E0311" w14:textId="77777777" w:rsidR="0019769E" w:rsidRDefault="0019769E" w:rsidP="00147A22">
            <w:pPr>
              <w:pStyle w:val="TableParagraph"/>
              <w:rPr>
                <w:rFonts w:ascii="Arial"/>
                <w:b/>
                <w:sz w:val="20"/>
              </w:rPr>
            </w:pPr>
          </w:p>
          <w:p w14:paraId="6B387F69" w14:textId="77777777" w:rsidR="0019769E" w:rsidRDefault="0019769E" w:rsidP="00147A22">
            <w:pPr>
              <w:pStyle w:val="TableParagraph"/>
              <w:spacing w:before="2" w:after="1"/>
              <w:rPr>
                <w:rFonts w:ascii="Arial"/>
                <w:b/>
                <w:sz w:val="25"/>
              </w:rPr>
            </w:pPr>
          </w:p>
          <w:p w14:paraId="717CCFFC" w14:textId="77777777" w:rsidR="0019769E" w:rsidRDefault="0019769E"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564EBF26" wp14:editId="260809D8">
                  <wp:extent cx="114300" cy="114300"/>
                  <wp:effectExtent l="0" t="0" r="0" b="0"/>
                  <wp:docPr id="16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5C43E5AA" w14:textId="77777777" w:rsidR="0019769E" w:rsidRDefault="0019769E" w:rsidP="00147A22">
            <w:pPr>
              <w:pStyle w:val="TableParagraph"/>
              <w:rPr>
                <w:rFonts w:ascii="Arial"/>
                <w:b/>
                <w:sz w:val="20"/>
              </w:rPr>
            </w:pPr>
          </w:p>
          <w:p w14:paraId="33CE92FC" w14:textId="77777777" w:rsidR="0019769E" w:rsidRDefault="0019769E" w:rsidP="00147A22">
            <w:pPr>
              <w:pStyle w:val="TableParagraph"/>
              <w:rPr>
                <w:rFonts w:ascii="Arial"/>
                <w:b/>
                <w:sz w:val="20"/>
              </w:rPr>
            </w:pPr>
          </w:p>
          <w:p w14:paraId="16E99A6D" w14:textId="77777777" w:rsidR="0019769E" w:rsidRDefault="0019769E" w:rsidP="00147A22">
            <w:pPr>
              <w:pStyle w:val="TableParagraph"/>
              <w:spacing w:before="2" w:after="1"/>
              <w:rPr>
                <w:rFonts w:ascii="Arial"/>
                <w:b/>
                <w:sz w:val="25"/>
              </w:rPr>
            </w:pPr>
          </w:p>
          <w:p w14:paraId="1AD60903"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t>X</w:t>
            </w:r>
          </w:p>
        </w:tc>
        <w:tc>
          <w:tcPr>
            <w:tcW w:w="621" w:type="pct"/>
          </w:tcPr>
          <w:p w14:paraId="20248186" w14:textId="77777777" w:rsidR="0019769E" w:rsidRDefault="0019769E" w:rsidP="00147A22">
            <w:pPr>
              <w:pStyle w:val="TableParagraph"/>
              <w:rPr>
                <w:rFonts w:ascii="Arial"/>
                <w:b/>
                <w:sz w:val="20"/>
              </w:rPr>
            </w:pPr>
          </w:p>
          <w:p w14:paraId="3389A575" w14:textId="77777777" w:rsidR="0019769E" w:rsidRDefault="0019769E" w:rsidP="00147A22">
            <w:pPr>
              <w:pStyle w:val="TableParagraph"/>
              <w:rPr>
                <w:rFonts w:ascii="Arial"/>
                <w:b/>
                <w:sz w:val="20"/>
              </w:rPr>
            </w:pPr>
          </w:p>
          <w:p w14:paraId="429D40B0" w14:textId="77777777" w:rsidR="0019769E" w:rsidRDefault="0019769E" w:rsidP="00147A22">
            <w:pPr>
              <w:pStyle w:val="TableParagraph"/>
              <w:spacing w:before="2" w:after="1"/>
              <w:rPr>
                <w:rFonts w:ascii="Arial"/>
                <w:b/>
                <w:sz w:val="25"/>
              </w:rPr>
            </w:pPr>
          </w:p>
          <w:p w14:paraId="25C768D8"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D6E72AC" wp14:editId="3131E3BD">
                  <wp:extent cx="114300" cy="114300"/>
                  <wp:effectExtent l="0" t="0" r="0" b="0"/>
                  <wp:docPr id="16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293" w:type="pct"/>
          </w:tcPr>
          <w:p w14:paraId="6E0DF631" w14:textId="77777777" w:rsidR="0019769E" w:rsidRDefault="0019769E" w:rsidP="00147A22">
            <w:pPr>
              <w:pStyle w:val="TableParagraph"/>
              <w:rPr>
                <w:rFonts w:ascii="Arial"/>
                <w:b/>
                <w:sz w:val="20"/>
              </w:rPr>
            </w:pPr>
          </w:p>
          <w:p w14:paraId="28AA99D5" w14:textId="77777777" w:rsidR="0019769E" w:rsidRDefault="0019769E" w:rsidP="00147A22">
            <w:pPr>
              <w:pStyle w:val="TableParagraph"/>
              <w:rPr>
                <w:rFonts w:ascii="Arial"/>
                <w:b/>
                <w:sz w:val="20"/>
              </w:rPr>
            </w:pPr>
          </w:p>
          <w:p w14:paraId="33DC46BD" w14:textId="77777777" w:rsidR="0019769E" w:rsidRDefault="0019769E" w:rsidP="00147A22">
            <w:pPr>
              <w:pStyle w:val="TableParagraph"/>
              <w:spacing w:before="2" w:after="1"/>
              <w:rPr>
                <w:rFonts w:ascii="Arial"/>
                <w:b/>
                <w:sz w:val="25"/>
              </w:rPr>
            </w:pPr>
          </w:p>
          <w:p w14:paraId="249289A4" w14:textId="77777777" w:rsidR="0019769E" w:rsidRDefault="0019769E"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61FA866D" wp14:editId="6303E959">
                  <wp:extent cx="114300" cy="114300"/>
                  <wp:effectExtent l="0" t="0" r="0" b="0"/>
                  <wp:docPr id="16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2D0E84A7" w14:textId="77777777" w:rsidTr="00147A22">
        <w:trPr>
          <w:trHeight w:val="899"/>
          <w:jc w:val="center"/>
        </w:trPr>
        <w:tc>
          <w:tcPr>
            <w:tcW w:w="1547" w:type="pct"/>
          </w:tcPr>
          <w:p w14:paraId="229D49FA" w14:textId="77777777" w:rsidR="0019769E" w:rsidRDefault="0019769E" w:rsidP="00147A22">
            <w:pPr>
              <w:pStyle w:val="TableParagraph"/>
              <w:spacing w:before="69" w:line="199" w:lineRule="auto"/>
              <w:ind w:left="185" w:right="730"/>
              <w:rPr>
                <w:sz w:val="19"/>
              </w:rPr>
            </w:pPr>
            <w:r>
              <w:rPr>
                <w:w w:val="105"/>
                <w:sz w:val="19"/>
              </w:rPr>
              <w:t>Raise awareness among industry stakeholders</w:t>
            </w:r>
          </w:p>
        </w:tc>
        <w:tc>
          <w:tcPr>
            <w:tcW w:w="706" w:type="pct"/>
          </w:tcPr>
          <w:p w14:paraId="072BC27B" w14:textId="77777777" w:rsidR="0019769E" w:rsidRDefault="0019769E" w:rsidP="00147A22">
            <w:pPr>
              <w:pStyle w:val="TableParagraph"/>
              <w:spacing w:before="7"/>
              <w:rPr>
                <w:rFonts w:ascii="Arial"/>
                <w:b/>
                <w:sz w:val="26"/>
              </w:rPr>
            </w:pPr>
          </w:p>
          <w:p w14:paraId="34D0A72D" w14:textId="77777777" w:rsidR="0019769E" w:rsidRDefault="0019769E" w:rsidP="00147A22">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281BEECC" wp14:editId="52A4DE6D">
                  <wp:extent cx="114300" cy="114300"/>
                  <wp:effectExtent l="0" t="0" r="0" b="0"/>
                  <wp:docPr id="16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43AA2F8E" w14:textId="77777777" w:rsidR="0019769E" w:rsidRDefault="0019769E" w:rsidP="00147A22">
            <w:pPr>
              <w:pStyle w:val="TableParagraph"/>
              <w:spacing w:before="7"/>
              <w:rPr>
                <w:rFonts w:ascii="Arial"/>
                <w:b/>
                <w:sz w:val="26"/>
              </w:rPr>
            </w:pPr>
          </w:p>
          <w:p w14:paraId="72EF3BFD"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9F5DF08" wp14:editId="0879EACF">
                  <wp:extent cx="114300" cy="114300"/>
                  <wp:effectExtent l="0" t="0" r="0" b="0"/>
                  <wp:docPr id="16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2" w:type="pct"/>
          </w:tcPr>
          <w:p w14:paraId="5EDD5E35" w14:textId="77777777" w:rsidR="0019769E" w:rsidRDefault="0019769E" w:rsidP="00147A22">
            <w:pPr>
              <w:pStyle w:val="TableParagraph"/>
              <w:spacing w:before="7"/>
              <w:rPr>
                <w:rFonts w:ascii="Arial"/>
                <w:b/>
                <w:sz w:val="26"/>
              </w:rPr>
            </w:pPr>
          </w:p>
          <w:p w14:paraId="6D73F67C" w14:textId="77777777" w:rsidR="0019769E" w:rsidRDefault="0019769E"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4831C3D1" wp14:editId="383200BE">
                  <wp:extent cx="114300" cy="114300"/>
                  <wp:effectExtent l="0" t="0" r="0" b="0"/>
                  <wp:docPr id="16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14C3EE15" w14:textId="77777777" w:rsidR="0019769E" w:rsidRDefault="0019769E" w:rsidP="00147A22">
            <w:pPr>
              <w:pStyle w:val="TableParagraph"/>
              <w:spacing w:before="7"/>
              <w:rPr>
                <w:rFonts w:ascii="Arial"/>
                <w:b/>
                <w:sz w:val="26"/>
              </w:rPr>
            </w:pPr>
          </w:p>
          <w:p w14:paraId="3B9158FF"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1534E5D" wp14:editId="23F241B8">
                  <wp:extent cx="114300" cy="114300"/>
                  <wp:effectExtent l="0" t="0" r="0" b="0"/>
                  <wp:docPr id="16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520FFF69" w14:textId="77777777" w:rsidR="0019769E" w:rsidRDefault="0019769E" w:rsidP="00147A22">
            <w:pPr>
              <w:pStyle w:val="TableParagraph"/>
              <w:spacing w:before="7"/>
              <w:rPr>
                <w:rFonts w:ascii="Arial"/>
                <w:b/>
                <w:sz w:val="26"/>
              </w:rPr>
            </w:pPr>
          </w:p>
          <w:p w14:paraId="4AC631A4" w14:textId="77777777" w:rsidR="0019769E" w:rsidRDefault="0019769E" w:rsidP="00147A22">
            <w:pPr>
              <w:pStyle w:val="TableParagraph"/>
              <w:spacing w:line="180" w:lineRule="exact"/>
              <w:ind w:left="468"/>
              <w:rPr>
                <w:rFonts w:ascii="Arial"/>
                <w:sz w:val="18"/>
              </w:rPr>
            </w:pPr>
            <w:r>
              <w:rPr>
                <w:rFonts w:ascii="Arial"/>
                <w:noProof/>
                <w:position w:val="-3"/>
                <w:sz w:val="18"/>
                <w:lang w:val="en-GB" w:eastAsia="en-GB"/>
              </w:rPr>
              <w:t>X</w:t>
            </w:r>
          </w:p>
        </w:tc>
        <w:tc>
          <w:tcPr>
            <w:tcW w:w="293" w:type="pct"/>
          </w:tcPr>
          <w:p w14:paraId="306B39E5" w14:textId="77777777" w:rsidR="0019769E" w:rsidRDefault="0019769E" w:rsidP="00147A22">
            <w:pPr>
              <w:pStyle w:val="TableParagraph"/>
              <w:spacing w:before="7"/>
              <w:rPr>
                <w:rFonts w:ascii="Arial"/>
                <w:b/>
                <w:sz w:val="26"/>
              </w:rPr>
            </w:pPr>
          </w:p>
          <w:p w14:paraId="1C98CD73" w14:textId="77777777" w:rsidR="0019769E" w:rsidRDefault="0019769E"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1FCFF41B" wp14:editId="07D4757F">
                  <wp:extent cx="114300" cy="114300"/>
                  <wp:effectExtent l="0" t="0" r="0" b="0"/>
                  <wp:docPr id="16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1B3262C2" w14:textId="77777777" w:rsidTr="00147A22">
        <w:trPr>
          <w:trHeight w:val="1458"/>
          <w:jc w:val="center"/>
        </w:trPr>
        <w:tc>
          <w:tcPr>
            <w:tcW w:w="1547" w:type="pct"/>
          </w:tcPr>
          <w:p w14:paraId="2103C646" w14:textId="77777777" w:rsidR="0019769E" w:rsidRDefault="0019769E" w:rsidP="00147A22">
            <w:pPr>
              <w:pStyle w:val="TableParagraph"/>
              <w:spacing w:before="69" w:line="199" w:lineRule="auto"/>
              <w:ind w:left="185" w:right="153"/>
              <w:rPr>
                <w:sz w:val="19"/>
              </w:rPr>
            </w:pPr>
            <w:r>
              <w:rPr>
                <w:w w:val="105"/>
                <w:sz w:val="19"/>
              </w:rPr>
              <w:lastRenderedPageBreak/>
              <w:t>Ensure closer coordination with authorities beyond the financial sector (e.g. data and consumer protection authorities)</w:t>
            </w:r>
          </w:p>
        </w:tc>
        <w:tc>
          <w:tcPr>
            <w:tcW w:w="706" w:type="pct"/>
          </w:tcPr>
          <w:p w14:paraId="28DA2979" w14:textId="77777777" w:rsidR="0019769E"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7CAC39C3" wp14:editId="7630E99E">
                  <wp:extent cx="114300" cy="114300"/>
                  <wp:effectExtent l="0" t="0" r="0" b="0"/>
                  <wp:docPr id="16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5475C9B8" w14:textId="77777777" w:rsidR="0019769E"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4D7F554C" wp14:editId="28F82B0A">
                  <wp:extent cx="114300" cy="114300"/>
                  <wp:effectExtent l="0" t="0" r="0" b="0"/>
                  <wp:docPr id="16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2" w:type="pct"/>
          </w:tcPr>
          <w:p w14:paraId="45C86B9D" w14:textId="77777777" w:rsidR="0019769E"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5397DDB9" wp14:editId="0421D9CD">
                  <wp:extent cx="114300" cy="114300"/>
                  <wp:effectExtent l="0" t="0" r="0" b="0"/>
                  <wp:docPr id="16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34D542B9" w14:textId="77777777" w:rsidR="0019769E"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21AD4DEA" wp14:editId="1092C594">
                  <wp:extent cx="114300" cy="114300"/>
                  <wp:effectExtent l="0" t="0" r="0" b="0"/>
                  <wp:docPr id="16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Pr>
          <w:p w14:paraId="746D8121" w14:textId="77777777" w:rsidR="0019769E" w:rsidRDefault="0019769E" w:rsidP="00147A22">
            <w:pPr>
              <w:pStyle w:val="TableParagraph"/>
              <w:jc w:val="center"/>
              <w:rPr>
                <w:rFonts w:ascii="Times New Roman"/>
                <w:sz w:val="20"/>
              </w:rPr>
            </w:pPr>
            <w:r w:rsidRPr="009E1887">
              <w:rPr>
                <w:rFonts w:ascii="Arial" w:hAnsi="Arial" w:cs="Arial"/>
                <w:sz w:val="18"/>
                <w:szCs w:val="18"/>
              </w:rPr>
              <w:t>X</w:t>
            </w:r>
          </w:p>
        </w:tc>
        <w:tc>
          <w:tcPr>
            <w:tcW w:w="293" w:type="pct"/>
          </w:tcPr>
          <w:p w14:paraId="27FFCB99" w14:textId="77777777" w:rsidR="0019769E"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69B281C0" wp14:editId="00288B6E">
                  <wp:extent cx="114300" cy="114300"/>
                  <wp:effectExtent l="0" t="0" r="0" b="0"/>
                  <wp:docPr id="16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5F87EC55" w14:textId="77777777" w:rsidTr="00147A22">
        <w:trPr>
          <w:trHeight w:val="714"/>
          <w:jc w:val="center"/>
        </w:trPr>
        <w:tc>
          <w:tcPr>
            <w:tcW w:w="1547" w:type="pct"/>
            <w:tcBorders>
              <w:top w:val="single" w:sz="12" w:space="0" w:color="BABABA"/>
              <w:left w:val="single" w:sz="12" w:space="0" w:color="BABABA"/>
              <w:bottom w:val="single" w:sz="12" w:space="0" w:color="BABABA"/>
              <w:right w:val="single" w:sz="12" w:space="0" w:color="BABABA"/>
            </w:tcBorders>
          </w:tcPr>
          <w:p w14:paraId="77036C76" w14:textId="77777777" w:rsidR="0019769E" w:rsidRPr="00B2797B" w:rsidRDefault="0019769E" w:rsidP="00147A22">
            <w:pPr>
              <w:pStyle w:val="TableParagraph"/>
              <w:spacing w:before="69" w:line="199" w:lineRule="auto"/>
              <w:ind w:left="185" w:right="153"/>
              <w:rPr>
                <w:w w:val="105"/>
                <w:sz w:val="19"/>
              </w:rPr>
            </w:pPr>
            <w:r>
              <w:rPr>
                <w:w w:val="105"/>
                <w:sz w:val="19"/>
              </w:rPr>
              <w:t>Promote the establishment of innovation hubs or sandboxes with a specific focus (e.g. a specific technology like Blockchain or a specific purpose like sustainable finance)</w:t>
            </w:r>
          </w:p>
        </w:tc>
        <w:tc>
          <w:tcPr>
            <w:tcW w:w="706" w:type="pct"/>
            <w:tcBorders>
              <w:top w:val="single" w:sz="12" w:space="0" w:color="BABABA"/>
              <w:left w:val="single" w:sz="12" w:space="0" w:color="BABABA"/>
              <w:bottom w:val="single" w:sz="12" w:space="0" w:color="BABABA"/>
              <w:right w:val="single" w:sz="12" w:space="0" w:color="BABABA"/>
            </w:tcBorders>
          </w:tcPr>
          <w:p w14:paraId="5964EFB7" w14:textId="77777777" w:rsidR="0019769E" w:rsidRPr="00B2797B" w:rsidRDefault="0019769E" w:rsidP="00147A22">
            <w:pPr>
              <w:pStyle w:val="TableParagraph"/>
              <w:jc w:val="center"/>
              <w:rPr>
                <w:rFonts w:ascii="Times New Roman"/>
                <w:sz w:val="20"/>
              </w:rPr>
            </w:pPr>
          </w:p>
          <w:p w14:paraId="104D1B45" w14:textId="77777777" w:rsidR="0019769E" w:rsidRPr="00B2797B" w:rsidRDefault="0019769E" w:rsidP="00147A22">
            <w:pPr>
              <w:pStyle w:val="TableParagraph"/>
              <w:jc w:val="center"/>
              <w:rPr>
                <w:rFonts w:ascii="Times New Roman"/>
                <w:sz w:val="20"/>
              </w:rPr>
            </w:pPr>
          </w:p>
          <w:p w14:paraId="791BED18" w14:textId="77777777" w:rsidR="0019769E" w:rsidRPr="00B2797B" w:rsidRDefault="0019769E" w:rsidP="00147A22">
            <w:pPr>
              <w:pStyle w:val="TableParagraph"/>
              <w:jc w:val="center"/>
              <w:rPr>
                <w:rFonts w:ascii="Times New Roman"/>
                <w:sz w:val="20"/>
              </w:rPr>
            </w:pPr>
          </w:p>
          <w:p w14:paraId="3F63B96A" w14:textId="77777777" w:rsidR="0019769E" w:rsidRPr="00B2797B" w:rsidRDefault="0019769E" w:rsidP="00147A22">
            <w:pPr>
              <w:pStyle w:val="TableParagraph"/>
              <w:jc w:val="center"/>
              <w:rPr>
                <w:rFonts w:ascii="Times New Roman"/>
                <w:sz w:val="20"/>
              </w:rPr>
            </w:pPr>
          </w:p>
          <w:p w14:paraId="6FCCEF8C" w14:textId="77777777" w:rsidR="0019769E" w:rsidRPr="00B2797B" w:rsidRDefault="0019769E" w:rsidP="00147A22">
            <w:pPr>
              <w:pStyle w:val="TableParagraph"/>
              <w:jc w:val="center"/>
              <w:rPr>
                <w:rFonts w:ascii="Times New Roman"/>
                <w:sz w:val="20"/>
              </w:rPr>
            </w:pPr>
          </w:p>
          <w:p w14:paraId="240EB81C"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2E79A4EC" wp14:editId="0BB8C0CA">
                  <wp:extent cx="114300" cy="114300"/>
                  <wp:effectExtent l="0" t="0" r="0" b="0"/>
                  <wp:docPr id="16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Borders>
              <w:top w:val="single" w:sz="12" w:space="0" w:color="BABABA"/>
              <w:left w:val="single" w:sz="12" w:space="0" w:color="BABABA"/>
              <w:bottom w:val="single" w:sz="12" w:space="0" w:color="BABABA"/>
              <w:right w:val="single" w:sz="12" w:space="0" w:color="BABABA"/>
            </w:tcBorders>
          </w:tcPr>
          <w:p w14:paraId="63B9D386" w14:textId="77777777" w:rsidR="0019769E" w:rsidRPr="00B2797B" w:rsidRDefault="0019769E" w:rsidP="00147A22">
            <w:pPr>
              <w:pStyle w:val="TableParagraph"/>
              <w:jc w:val="center"/>
              <w:rPr>
                <w:rFonts w:ascii="Times New Roman"/>
                <w:sz w:val="20"/>
              </w:rPr>
            </w:pPr>
          </w:p>
          <w:p w14:paraId="6AF4B536" w14:textId="77777777" w:rsidR="0019769E" w:rsidRPr="00B2797B" w:rsidRDefault="0019769E" w:rsidP="00147A22">
            <w:pPr>
              <w:pStyle w:val="TableParagraph"/>
              <w:jc w:val="center"/>
              <w:rPr>
                <w:rFonts w:ascii="Times New Roman"/>
                <w:sz w:val="20"/>
              </w:rPr>
            </w:pPr>
          </w:p>
          <w:p w14:paraId="48D8CA48" w14:textId="77777777" w:rsidR="0019769E" w:rsidRPr="00B2797B" w:rsidRDefault="0019769E" w:rsidP="00147A22">
            <w:pPr>
              <w:pStyle w:val="TableParagraph"/>
              <w:jc w:val="center"/>
              <w:rPr>
                <w:rFonts w:ascii="Times New Roman"/>
                <w:sz w:val="20"/>
              </w:rPr>
            </w:pPr>
          </w:p>
          <w:p w14:paraId="3FD51B20" w14:textId="77777777" w:rsidR="0019769E" w:rsidRPr="00B2797B" w:rsidRDefault="0019769E" w:rsidP="00147A22">
            <w:pPr>
              <w:pStyle w:val="TableParagraph"/>
              <w:jc w:val="center"/>
              <w:rPr>
                <w:rFonts w:ascii="Times New Roman"/>
                <w:sz w:val="20"/>
              </w:rPr>
            </w:pPr>
          </w:p>
          <w:p w14:paraId="6D7E74D6" w14:textId="77777777" w:rsidR="0019769E" w:rsidRPr="00B2797B" w:rsidRDefault="0019769E" w:rsidP="00147A22">
            <w:pPr>
              <w:pStyle w:val="TableParagraph"/>
              <w:jc w:val="center"/>
              <w:rPr>
                <w:rFonts w:ascii="Times New Roman"/>
                <w:sz w:val="20"/>
              </w:rPr>
            </w:pPr>
          </w:p>
          <w:p w14:paraId="27552A42"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49C8B915" wp14:editId="34714135">
                  <wp:extent cx="114300" cy="114300"/>
                  <wp:effectExtent l="0" t="0" r="0" b="0"/>
                  <wp:docPr id="16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2" w:type="pct"/>
            <w:tcBorders>
              <w:top w:val="single" w:sz="12" w:space="0" w:color="BABABA"/>
              <w:left w:val="single" w:sz="12" w:space="0" w:color="BABABA"/>
              <w:bottom w:val="single" w:sz="12" w:space="0" w:color="BABABA"/>
              <w:right w:val="single" w:sz="12" w:space="0" w:color="BABABA"/>
            </w:tcBorders>
          </w:tcPr>
          <w:p w14:paraId="0942EAD7" w14:textId="77777777" w:rsidR="0019769E" w:rsidRPr="00B2797B" w:rsidRDefault="0019769E" w:rsidP="00147A22">
            <w:pPr>
              <w:pStyle w:val="TableParagraph"/>
              <w:jc w:val="center"/>
              <w:rPr>
                <w:rFonts w:ascii="Times New Roman"/>
                <w:sz w:val="20"/>
              </w:rPr>
            </w:pPr>
          </w:p>
          <w:p w14:paraId="6737EACF" w14:textId="77777777" w:rsidR="0019769E" w:rsidRPr="00B2797B" w:rsidRDefault="0019769E" w:rsidP="00147A22">
            <w:pPr>
              <w:pStyle w:val="TableParagraph"/>
              <w:jc w:val="center"/>
              <w:rPr>
                <w:rFonts w:ascii="Times New Roman"/>
                <w:sz w:val="20"/>
              </w:rPr>
            </w:pPr>
          </w:p>
          <w:p w14:paraId="6737E395" w14:textId="77777777" w:rsidR="0019769E" w:rsidRPr="00B2797B" w:rsidRDefault="0019769E" w:rsidP="00147A22">
            <w:pPr>
              <w:pStyle w:val="TableParagraph"/>
              <w:jc w:val="center"/>
              <w:rPr>
                <w:rFonts w:ascii="Times New Roman"/>
                <w:sz w:val="20"/>
              </w:rPr>
            </w:pPr>
          </w:p>
          <w:p w14:paraId="6622C9E8" w14:textId="77777777" w:rsidR="0019769E" w:rsidRPr="00B2797B" w:rsidRDefault="0019769E" w:rsidP="00147A22">
            <w:pPr>
              <w:pStyle w:val="TableParagraph"/>
              <w:jc w:val="center"/>
              <w:rPr>
                <w:rFonts w:ascii="Times New Roman"/>
                <w:sz w:val="20"/>
              </w:rPr>
            </w:pPr>
          </w:p>
          <w:p w14:paraId="5FA8B002" w14:textId="77777777" w:rsidR="0019769E" w:rsidRPr="00B2797B" w:rsidRDefault="0019769E" w:rsidP="00147A22">
            <w:pPr>
              <w:pStyle w:val="TableParagraph"/>
              <w:jc w:val="center"/>
              <w:rPr>
                <w:rFonts w:ascii="Times New Roman"/>
                <w:sz w:val="20"/>
              </w:rPr>
            </w:pPr>
          </w:p>
          <w:p w14:paraId="657517B0"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77DF5B47" wp14:editId="4EBDA881">
                  <wp:extent cx="114300" cy="114300"/>
                  <wp:effectExtent l="0" t="0" r="0" b="0"/>
                  <wp:docPr id="16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Borders>
              <w:top w:val="single" w:sz="12" w:space="0" w:color="BABABA"/>
              <w:left w:val="single" w:sz="12" w:space="0" w:color="BABABA"/>
              <w:bottom w:val="single" w:sz="12" w:space="0" w:color="BABABA"/>
              <w:right w:val="single" w:sz="12" w:space="0" w:color="BABABA"/>
            </w:tcBorders>
          </w:tcPr>
          <w:p w14:paraId="581AA868" w14:textId="77777777" w:rsidR="0019769E" w:rsidRPr="00B2797B" w:rsidRDefault="0019769E" w:rsidP="00147A22">
            <w:pPr>
              <w:pStyle w:val="TableParagraph"/>
              <w:jc w:val="center"/>
              <w:rPr>
                <w:rFonts w:ascii="Times New Roman"/>
                <w:sz w:val="20"/>
              </w:rPr>
            </w:pPr>
          </w:p>
          <w:p w14:paraId="11BB8616" w14:textId="77777777" w:rsidR="0019769E" w:rsidRPr="00B2797B" w:rsidRDefault="0019769E" w:rsidP="00147A22">
            <w:pPr>
              <w:pStyle w:val="TableParagraph"/>
              <w:jc w:val="center"/>
              <w:rPr>
                <w:rFonts w:ascii="Times New Roman"/>
                <w:sz w:val="20"/>
              </w:rPr>
            </w:pPr>
          </w:p>
          <w:p w14:paraId="6213A779" w14:textId="77777777" w:rsidR="0019769E" w:rsidRPr="00B2797B" w:rsidRDefault="0019769E" w:rsidP="00147A22">
            <w:pPr>
              <w:pStyle w:val="TableParagraph"/>
              <w:jc w:val="center"/>
              <w:rPr>
                <w:rFonts w:ascii="Times New Roman"/>
                <w:sz w:val="20"/>
              </w:rPr>
            </w:pPr>
          </w:p>
          <w:p w14:paraId="270CB09D" w14:textId="77777777" w:rsidR="0019769E" w:rsidRPr="00B2797B" w:rsidRDefault="0019769E" w:rsidP="00147A22">
            <w:pPr>
              <w:pStyle w:val="TableParagraph"/>
              <w:jc w:val="center"/>
              <w:rPr>
                <w:rFonts w:ascii="Times New Roman"/>
                <w:sz w:val="20"/>
              </w:rPr>
            </w:pPr>
          </w:p>
          <w:p w14:paraId="2CE040D7" w14:textId="77777777" w:rsidR="0019769E" w:rsidRPr="00B2797B" w:rsidRDefault="0019769E" w:rsidP="00147A22">
            <w:pPr>
              <w:pStyle w:val="TableParagraph"/>
              <w:jc w:val="center"/>
              <w:rPr>
                <w:rFonts w:ascii="Times New Roman"/>
                <w:sz w:val="20"/>
              </w:rPr>
            </w:pPr>
          </w:p>
          <w:p w14:paraId="32244EB9" w14:textId="77777777" w:rsidR="0019769E" w:rsidRPr="009F3DE2" w:rsidRDefault="0019769E" w:rsidP="00147A22">
            <w:pPr>
              <w:pStyle w:val="TableParagraph"/>
              <w:jc w:val="center"/>
              <w:rPr>
                <w:rFonts w:ascii="Arial" w:hAnsi="Arial" w:cs="Arial"/>
                <w:sz w:val="18"/>
                <w:szCs w:val="18"/>
              </w:rPr>
            </w:pPr>
            <w:r w:rsidRPr="009F3DE2">
              <w:rPr>
                <w:rFonts w:ascii="Arial" w:hAnsi="Arial" w:cs="Arial"/>
                <w:sz w:val="18"/>
                <w:szCs w:val="18"/>
              </w:rPr>
              <w:t>X</w:t>
            </w:r>
          </w:p>
        </w:tc>
        <w:tc>
          <w:tcPr>
            <w:tcW w:w="621" w:type="pct"/>
            <w:tcBorders>
              <w:top w:val="single" w:sz="12" w:space="0" w:color="BABABA"/>
              <w:left w:val="single" w:sz="12" w:space="0" w:color="BABABA"/>
              <w:bottom w:val="single" w:sz="12" w:space="0" w:color="BABABA"/>
              <w:right w:val="single" w:sz="12" w:space="0" w:color="BABABA"/>
            </w:tcBorders>
          </w:tcPr>
          <w:p w14:paraId="35ECE826" w14:textId="77777777" w:rsidR="0019769E" w:rsidRPr="00B2797B" w:rsidRDefault="0019769E" w:rsidP="00147A22">
            <w:pPr>
              <w:pStyle w:val="TableParagraph"/>
              <w:jc w:val="center"/>
              <w:rPr>
                <w:rFonts w:ascii="Times New Roman"/>
                <w:sz w:val="20"/>
              </w:rPr>
            </w:pPr>
          </w:p>
          <w:p w14:paraId="5C92C495" w14:textId="77777777" w:rsidR="0019769E" w:rsidRPr="00B2797B" w:rsidRDefault="0019769E" w:rsidP="00147A22">
            <w:pPr>
              <w:pStyle w:val="TableParagraph"/>
              <w:jc w:val="center"/>
              <w:rPr>
                <w:rFonts w:ascii="Times New Roman"/>
                <w:sz w:val="20"/>
              </w:rPr>
            </w:pPr>
          </w:p>
          <w:p w14:paraId="058C6C9D" w14:textId="77777777" w:rsidR="0019769E" w:rsidRPr="00B2797B" w:rsidRDefault="0019769E" w:rsidP="00147A22">
            <w:pPr>
              <w:pStyle w:val="TableParagraph"/>
              <w:jc w:val="center"/>
              <w:rPr>
                <w:rFonts w:ascii="Times New Roman"/>
                <w:sz w:val="20"/>
              </w:rPr>
            </w:pPr>
          </w:p>
          <w:p w14:paraId="772F6666" w14:textId="77777777" w:rsidR="0019769E" w:rsidRPr="00B2797B" w:rsidRDefault="0019769E" w:rsidP="00147A22">
            <w:pPr>
              <w:pStyle w:val="TableParagraph"/>
              <w:jc w:val="center"/>
              <w:rPr>
                <w:rFonts w:ascii="Times New Roman"/>
                <w:sz w:val="20"/>
              </w:rPr>
            </w:pPr>
          </w:p>
          <w:p w14:paraId="70784D10" w14:textId="77777777" w:rsidR="0019769E" w:rsidRPr="00B2797B" w:rsidRDefault="0019769E" w:rsidP="00147A22">
            <w:pPr>
              <w:pStyle w:val="TableParagraph"/>
              <w:jc w:val="center"/>
              <w:rPr>
                <w:rFonts w:ascii="Times New Roman"/>
                <w:sz w:val="20"/>
              </w:rPr>
            </w:pPr>
          </w:p>
          <w:p w14:paraId="52316250"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5CF6447D" wp14:editId="6EAE5144">
                  <wp:extent cx="114300" cy="114300"/>
                  <wp:effectExtent l="0" t="0" r="0" b="0"/>
                  <wp:docPr id="16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293" w:type="pct"/>
            <w:tcBorders>
              <w:top w:val="single" w:sz="12" w:space="0" w:color="BABABA"/>
              <w:left w:val="single" w:sz="12" w:space="0" w:color="BABABA"/>
              <w:bottom w:val="single" w:sz="12" w:space="0" w:color="BABABA"/>
              <w:right w:val="single" w:sz="12" w:space="0" w:color="BABABA"/>
            </w:tcBorders>
          </w:tcPr>
          <w:p w14:paraId="4B956882" w14:textId="77777777" w:rsidR="0019769E" w:rsidRPr="00B2797B" w:rsidRDefault="0019769E" w:rsidP="00147A22">
            <w:pPr>
              <w:pStyle w:val="TableParagraph"/>
              <w:jc w:val="center"/>
              <w:rPr>
                <w:rFonts w:ascii="Times New Roman"/>
                <w:sz w:val="20"/>
              </w:rPr>
            </w:pPr>
          </w:p>
          <w:p w14:paraId="3DD72E13" w14:textId="77777777" w:rsidR="0019769E" w:rsidRPr="00B2797B" w:rsidRDefault="0019769E" w:rsidP="00147A22">
            <w:pPr>
              <w:pStyle w:val="TableParagraph"/>
              <w:jc w:val="center"/>
              <w:rPr>
                <w:rFonts w:ascii="Times New Roman"/>
                <w:sz w:val="20"/>
              </w:rPr>
            </w:pPr>
          </w:p>
          <w:p w14:paraId="030F697F" w14:textId="77777777" w:rsidR="0019769E" w:rsidRPr="00B2797B" w:rsidRDefault="0019769E" w:rsidP="00147A22">
            <w:pPr>
              <w:pStyle w:val="TableParagraph"/>
              <w:jc w:val="center"/>
              <w:rPr>
                <w:rFonts w:ascii="Times New Roman"/>
                <w:sz w:val="20"/>
              </w:rPr>
            </w:pPr>
          </w:p>
          <w:p w14:paraId="014ED168" w14:textId="77777777" w:rsidR="0019769E" w:rsidRPr="00B2797B" w:rsidRDefault="0019769E" w:rsidP="00147A22">
            <w:pPr>
              <w:pStyle w:val="TableParagraph"/>
              <w:jc w:val="center"/>
              <w:rPr>
                <w:rFonts w:ascii="Times New Roman"/>
                <w:sz w:val="20"/>
              </w:rPr>
            </w:pPr>
          </w:p>
          <w:p w14:paraId="47C432F6" w14:textId="77777777" w:rsidR="0019769E" w:rsidRPr="00B2797B" w:rsidRDefault="0019769E" w:rsidP="00147A22">
            <w:pPr>
              <w:pStyle w:val="TableParagraph"/>
              <w:jc w:val="center"/>
              <w:rPr>
                <w:rFonts w:ascii="Times New Roman"/>
                <w:sz w:val="20"/>
              </w:rPr>
            </w:pPr>
          </w:p>
          <w:p w14:paraId="4CE3F056"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30708016" wp14:editId="66EE927F">
                  <wp:extent cx="114300" cy="114300"/>
                  <wp:effectExtent l="0" t="0" r="0" b="0"/>
                  <wp:docPr id="16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19769E" w14:paraId="105F2CDE" w14:textId="77777777" w:rsidTr="00147A22">
        <w:trPr>
          <w:trHeight w:val="714"/>
          <w:jc w:val="center"/>
        </w:trPr>
        <w:tc>
          <w:tcPr>
            <w:tcW w:w="1547" w:type="pct"/>
            <w:tcBorders>
              <w:top w:val="single" w:sz="12" w:space="0" w:color="BABABA"/>
              <w:left w:val="single" w:sz="12" w:space="0" w:color="BABABA"/>
              <w:bottom w:val="single" w:sz="12" w:space="0" w:color="BABABA"/>
              <w:right w:val="single" w:sz="12" w:space="0" w:color="BABABA"/>
            </w:tcBorders>
          </w:tcPr>
          <w:p w14:paraId="7C825197" w14:textId="77777777" w:rsidR="0019769E" w:rsidRPr="00B2797B" w:rsidRDefault="0019769E" w:rsidP="00147A22">
            <w:pPr>
              <w:pStyle w:val="TableParagraph"/>
              <w:spacing w:before="69" w:line="199" w:lineRule="auto"/>
              <w:ind w:left="185" w:right="153"/>
              <w:rPr>
                <w:w w:val="105"/>
                <w:sz w:val="19"/>
              </w:rPr>
            </w:pPr>
            <w:r>
              <w:rPr>
                <w:w w:val="105"/>
                <w:sz w:val="19"/>
              </w:rPr>
              <w:t>Other</w:t>
            </w:r>
          </w:p>
        </w:tc>
        <w:tc>
          <w:tcPr>
            <w:tcW w:w="706" w:type="pct"/>
            <w:tcBorders>
              <w:top w:val="single" w:sz="12" w:space="0" w:color="BABABA"/>
              <w:left w:val="single" w:sz="12" w:space="0" w:color="BABABA"/>
              <w:bottom w:val="single" w:sz="12" w:space="0" w:color="BABABA"/>
              <w:right w:val="single" w:sz="12" w:space="0" w:color="BABABA"/>
            </w:tcBorders>
          </w:tcPr>
          <w:p w14:paraId="2E811075" w14:textId="77777777" w:rsidR="0019769E" w:rsidRPr="00B2797B" w:rsidRDefault="0019769E" w:rsidP="00147A22">
            <w:pPr>
              <w:pStyle w:val="TableParagraph"/>
              <w:jc w:val="center"/>
              <w:rPr>
                <w:rFonts w:ascii="Times New Roman"/>
                <w:sz w:val="20"/>
              </w:rPr>
            </w:pPr>
          </w:p>
          <w:p w14:paraId="2861230F"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69770F6A" wp14:editId="17974A53">
                  <wp:extent cx="114300" cy="114300"/>
                  <wp:effectExtent l="0" t="0" r="0" b="0"/>
                  <wp:docPr id="16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Borders>
              <w:top w:val="single" w:sz="12" w:space="0" w:color="BABABA"/>
              <w:left w:val="single" w:sz="12" w:space="0" w:color="BABABA"/>
              <w:bottom w:val="single" w:sz="12" w:space="0" w:color="BABABA"/>
              <w:right w:val="single" w:sz="12" w:space="0" w:color="BABABA"/>
            </w:tcBorders>
          </w:tcPr>
          <w:p w14:paraId="318AC606" w14:textId="77777777" w:rsidR="0019769E" w:rsidRPr="00B2797B" w:rsidRDefault="0019769E" w:rsidP="00147A22">
            <w:pPr>
              <w:pStyle w:val="TableParagraph"/>
              <w:jc w:val="center"/>
              <w:rPr>
                <w:rFonts w:ascii="Times New Roman"/>
                <w:sz w:val="20"/>
              </w:rPr>
            </w:pPr>
          </w:p>
          <w:p w14:paraId="33DBAA46"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220B0C73" wp14:editId="1CE95765">
                  <wp:extent cx="114300" cy="114300"/>
                  <wp:effectExtent l="0" t="0" r="0" b="0"/>
                  <wp:docPr id="16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2" w:type="pct"/>
            <w:tcBorders>
              <w:top w:val="single" w:sz="12" w:space="0" w:color="BABABA"/>
              <w:left w:val="single" w:sz="12" w:space="0" w:color="BABABA"/>
              <w:bottom w:val="single" w:sz="12" w:space="0" w:color="BABABA"/>
              <w:right w:val="single" w:sz="12" w:space="0" w:color="BABABA"/>
            </w:tcBorders>
          </w:tcPr>
          <w:p w14:paraId="0D200DF5" w14:textId="77777777" w:rsidR="0019769E" w:rsidRPr="00B2797B" w:rsidRDefault="0019769E" w:rsidP="00147A22">
            <w:pPr>
              <w:pStyle w:val="TableParagraph"/>
              <w:jc w:val="center"/>
              <w:rPr>
                <w:rFonts w:ascii="Times New Roman"/>
                <w:sz w:val="20"/>
              </w:rPr>
            </w:pPr>
          </w:p>
          <w:p w14:paraId="21C43145"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3ECA7956" wp14:editId="789DA231">
                  <wp:extent cx="114300" cy="114300"/>
                  <wp:effectExtent l="0" t="0" r="0" b="0"/>
                  <wp:docPr id="16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Borders>
              <w:top w:val="single" w:sz="12" w:space="0" w:color="BABABA"/>
              <w:left w:val="single" w:sz="12" w:space="0" w:color="BABABA"/>
              <w:bottom w:val="single" w:sz="12" w:space="0" w:color="BABABA"/>
              <w:right w:val="single" w:sz="12" w:space="0" w:color="BABABA"/>
            </w:tcBorders>
          </w:tcPr>
          <w:p w14:paraId="7EA2DF8E" w14:textId="77777777" w:rsidR="0019769E" w:rsidRPr="00B2797B" w:rsidRDefault="0019769E" w:rsidP="00147A22">
            <w:pPr>
              <w:pStyle w:val="TableParagraph"/>
              <w:jc w:val="center"/>
              <w:rPr>
                <w:rFonts w:ascii="Times New Roman"/>
                <w:sz w:val="20"/>
              </w:rPr>
            </w:pPr>
          </w:p>
          <w:p w14:paraId="49675354"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52643CB8" wp14:editId="6A7A2FB0">
                  <wp:extent cx="114300" cy="114300"/>
                  <wp:effectExtent l="0" t="0" r="0" b="0"/>
                  <wp:docPr id="16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21" w:type="pct"/>
            <w:tcBorders>
              <w:top w:val="single" w:sz="12" w:space="0" w:color="BABABA"/>
              <w:left w:val="single" w:sz="12" w:space="0" w:color="BABABA"/>
              <w:bottom w:val="single" w:sz="12" w:space="0" w:color="BABABA"/>
              <w:right w:val="single" w:sz="12" w:space="0" w:color="BABABA"/>
            </w:tcBorders>
          </w:tcPr>
          <w:p w14:paraId="1BF4AA64" w14:textId="77777777" w:rsidR="0019769E" w:rsidRPr="00B2797B" w:rsidRDefault="0019769E" w:rsidP="00147A22">
            <w:pPr>
              <w:pStyle w:val="TableParagraph"/>
              <w:jc w:val="center"/>
              <w:rPr>
                <w:rFonts w:ascii="Times New Roman"/>
                <w:sz w:val="20"/>
              </w:rPr>
            </w:pPr>
          </w:p>
          <w:p w14:paraId="14396EE2" w14:textId="77777777" w:rsidR="0019769E" w:rsidRPr="009A641D" w:rsidRDefault="0019769E" w:rsidP="00147A22">
            <w:pPr>
              <w:pStyle w:val="TableParagraph"/>
              <w:jc w:val="center"/>
              <w:rPr>
                <w:rFonts w:ascii="Times New Roman"/>
                <w:sz w:val="18"/>
                <w:szCs w:val="18"/>
              </w:rPr>
            </w:pPr>
            <w:r w:rsidRPr="009A641D">
              <w:rPr>
                <w:rFonts w:ascii="Arial" w:hAnsi="Arial" w:cs="Arial"/>
                <w:sz w:val="18"/>
                <w:szCs w:val="18"/>
              </w:rPr>
              <w:t>X</w:t>
            </w:r>
          </w:p>
        </w:tc>
        <w:tc>
          <w:tcPr>
            <w:tcW w:w="293" w:type="pct"/>
            <w:tcBorders>
              <w:top w:val="single" w:sz="12" w:space="0" w:color="BABABA"/>
              <w:left w:val="single" w:sz="12" w:space="0" w:color="BABABA"/>
              <w:bottom w:val="single" w:sz="12" w:space="0" w:color="BABABA"/>
              <w:right w:val="single" w:sz="12" w:space="0" w:color="BABABA"/>
            </w:tcBorders>
          </w:tcPr>
          <w:p w14:paraId="7A5FA28C" w14:textId="77777777" w:rsidR="0019769E" w:rsidRPr="00B2797B" w:rsidRDefault="0019769E" w:rsidP="00147A22">
            <w:pPr>
              <w:pStyle w:val="TableParagraph"/>
              <w:jc w:val="center"/>
              <w:rPr>
                <w:rFonts w:ascii="Times New Roman"/>
                <w:sz w:val="20"/>
              </w:rPr>
            </w:pPr>
          </w:p>
          <w:p w14:paraId="41EBDBE1" w14:textId="77777777" w:rsidR="0019769E" w:rsidRPr="00B2797B" w:rsidRDefault="0019769E" w:rsidP="00147A22">
            <w:pPr>
              <w:pStyle w:val="TableParagraph"/>
              <w:jc w:val="center"/>
              <w:rPr>
                <w:rFonts w:ascii="Times New Roman"/>
                <w:sz w:val="20"/>
              </w:rPr>
            </w:pPr>
            <w:r w:rsidRPr="00B2797B">
              <w:rPr>
                <w:rFonts w:ascii="Times New Roman"/>
                <w:noProof/>
                <w:sz w:val="20"/>
                <w:lang w:val="en-GB" w:eastAsia="en-GB"/>
              </w:rPr>
              <w:drawing>
                <wp:inline distT="0" distB="0" distL="0" distR="0" wp14:anchorId="6C8472C3" wp14:editId="30339E66">
                  <wp:extent cx="114300" cy="114300"/>
                  <wp:effectExtent l="0" t="0" r="0" b="0"/>
                  <wp:docPr id="16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74E8EA28" w14:textId="77777777" w:rsidR="0019769E" w:rsidRDefault="0019769E" w:rsidP="00821BA5">
      <w:pPr>
        <w:spacing w:before="124" w:line="276" w:lineRule="auto"/>
        <w:ind w:right="95"/>
        <w:jc w:val="both"/>
        <w:rPr>
          <w:rFonts w:ascii="Calibri" w:hAnsi="Calibri" w:cs="Calibri"/>
          <w:b/>
          <w:sz w:val="22"/>
          <w:szCs w:val="22"/>
        </w:rPr>
      </w:pPr>
    </w:p>
    <w:p w14:paraId="03010E2C" w14:textId="475076C3" w:rsidR="00821BA5" w:rsidRPr="00CC6A0F" w:rsidRDefault="00821BA5" w:rsidP="006B541B">
      <w:pPr>
        <w:spacing w:before="124"/>
        <w:ind w:right="-8"/>
        <w:jc w:val="both"/>
        <w:rPr>
          <w:rFonts w:ascii="Calibri" w:hAnsi="Calibri" w:cs="Calibri"/>
          <w:b/>
        </w:rPr>
      </w:pPr>
      <w:r w:rsidRPr="00CC6A0F">
        <w:rPr>
          <w:rFonts w:ascii="Calibri" w:hAnsi="Calibri" w:cs="Calibri"/>
          <w:b/>
        </w:rPr>
        <w:t>Please specify how else could the relevant EU authorities enhance coordination among different schemes in the EU:</w:t>
      </w:r>
    </w:p>
    <w:p w14:paraId="46B51C7F" w14:textId="77777777" w:rsidR="008E3C6D" w:rsidRDefault="008E3C6D" w:rsidP="006B541B">
      <w:pPr>
        <w:pStyle w:val="Heading2"/>
        <w:spacing w:line="276" w:lineRule="auto"/>
        <w:ind w:left="0" w:right="-8"/>
        <w:jc w:val="both"/>
        <w:rPr>
          <w:rFonts w:ascii="Calibri" w:hAnsi="Calibri" w:cs="Calibri"/>
          <w:b w:val="0"/>
          <w:sz w:val="22"/>
          <w:szCs w:val="22"/>
        </w:rPr>
      </w:pPr>
    </w:p>
    <w:p w14:paraId="031B3A91" w14:textId="6ADEF1DB" w:rsidR="00821BA5" w:rsidRPr="00821BA5" w:rsidRDefault="00821BA5" w:rsidP="006B541B">
      <w:pPr>
        <w:pStyle w:val="Heading2"/>
        <w:spacing w:line="276" w:lineRule="auto"/>
        <w:ind w:left="0" w:right="-8"/>
        <w:jc w:val="both"/>
        <w:rPr>
          <w:rFonts w:ascii="Calibri" w:hAnsi="Calibri" w:cs="Calibri"/>
          <w:b w:val="0"/>
          <w:sz w:val="22"/>
          <w:szCs w:val="22"/>
        </w:rPr>
      </w:pPr>
      <w:r w:rsidRPr="00821BA5">
        <w:rPr>
          <w:rFonts w:ascii="Calibri" w:hAnsi="Calibri" w:cs="Calibri"/>
          <w:b w:val="0"/>
          <w:sz w:val="22"/>
          <w:szCs w:val="22"/>
        </w:rPr>
        <w:t>The EBA considers that the European Forum for Innovation Facilitators (EFIF)</w:t>
      </w:r>
      <w:r w:rsidRPr="00821BA5">
        <w:rPr>
          <w:rStyle w:val="FootnoteReference"/>
          <w:rFonts w:ascii="Calibri" w:hAnsi="Calibri" w:cs="Calibri"/>
          <w:b w:val="0"/>
          <w:sz w:val="22"/>
          <w:szCs w:val="22"/>
        </w:rPr>
        <w:footnoteReference w:id="27"/>
      </w:r>
      <w:r w:rsidRPr="00821BA5">
        <w:rPr>
          <w:rFonts w:ascii="Calibri" w:hAnsi="Calibri" w:cs="Calibri"/>
          <w:b w:val="0"/>
          <w:sz w:val="22"/>
          <w:szCs w:val="22"/>
        </w:rPr>
        <w:t xml:space="preserve"> is working well as a means to promote coordination and cooperation among national innovation facilitators to foster the scaling up of innovation in the financial sector. However, the EBA considers that the EFIF could be further strengthened to facilitate coordination and cooperation between the authorities on a ‘real time’ basis. </w:t>
      </w:r>
      <w:r w:rsidR="00B00BAF">
        <w:rPr>
          <w:rFonts w:ascii="Calibri" w:hAnsi="Calibri" w:cs="Calibri"/>
          <w:b w:val="0"/>
          <w:sz w:val="22"/>
          <w:szCs w:val="22"/>
        </w:rPr>
        <w:t xml:space="preserve">This further strengthening should be based on a cost-benefit analysis of all the proposed improvements favoring those </w:t>
      </w:r>
      <w:r w:rsidR="003057D5">
        <w:rPr>
          <w:rFonts w:ascii="Calibri" w:hAnsi="Calibri" w:cs="Calibri"/>
          <w:b w:val="0"/>
          <w:sz w:val="22"/>
          <w:szCs w:val="22"/>
        </w:rPr>
        <w:t>which offer most “value added”</w:t>
      </w:r>
      <w:r w:rsidR="00B00BAF">
        <w:rPr>
          <w:rFonts w:ascii="Calibri" w:hAnsi="Calibri" w:cs="Calibri"/>
          <w:b w:val="0"/>
          <w:sz w:val="22"/>
          <w:szCs w:val="22"/>
        </w:rPr>
        <w:t xml:space="preserve"> leveraging the EFIF’s existing mandate.</w:t>
      </w:r>
    </w:p>
    <w:p w14:paraId="46A288B1" w14:textId="77777777" w:rsidR="00821BA5" w:rsidRPr="00821BA5" w:rsidRDefault="00821BA5" w:rsidP="006B541B">
      <w:pPr>
        <w:pStyle w:val="Heading2"/>
        <w:spacing w:line="276" w:lineRule="auto"/>
        <w:ind w:left="0" w:right="-8"/>
        <w:jc w:val="both"/>
        <w:rPr>
          <w:rFonts w:ascii="Calibri" w:hAnsi="Calibri" w:cs="Calibri"/>
          <w:b w:val="0"/>
          <w:sz w:val="22"/>
          <w:szCs w:val="22"/>
        </w:rPr>
      </w:pPr>
    </w:p>
    <w:p w14:paraId="6462DB19" w14:textId="1C55AECA" w:rsidR="00821BA5" w:rsidRDefault="00821BA5" w:rsidP="006B541B">
      <w:pPr>
        <w:pStyle w:val="Heading2"/>
        <w:spacing w:line="276" w:lineRule="auto"/>
        <w:ind w:left="0" w:right="-8"/>
        <w:jc w:val="both"/>
        <w:rPr>
          <w:rFonts w:ascii="Calibri" w:hAnsi="Calibri" w:cs="Calibri"/>
          <w:b w:val="0"/>
          <w:sz w:val="22"/>
          <w:szCs w:val="22"/>
        </w:rPr>
      </w:pPr>
      <w:r w:rsidRPr="00821BA5">
        <w:rPr>
          <w:rFonts w:ascii="Calibri" w:hAnsi="Calibri" w:cs="Calibri"/>
          <w:b w:val="0"/>
          <w:sz w:val="22"/>
          <w:szCs w:val="22"/>
        </w:rPr>
        <w:t>In particular, the EBA sees benefit in</w:t>
      </w:r>
      <w:r w:rsidR="00276C64">
        <w:rPr>
          <w:rFonts w:ascii="Calibri" w:hAnsi="Calibri" w:cs="Calibri"/>
          <w:b w:val="0"/>
          <w:sz w:val="22"/>
          <w:szCs w:val="22"/>
        </w:rPr>
        <w:t xml:space="preserve"> better </w:t>
      </w:r>
      <w:r w:rsidR="003057D5">
        <w:rPr>
          <w:rFonts w:ascii="Calibri" w:hAnsi="Calibri" w:cs="Calibri"/>
          <w:b w:val="0"/>
          <w:sz w:val="22"/>
          <w:szCs w:val="22"/>
        </w:rPr>
        <w:t>publici</w:t>
      </w:r>
      <w:r w:rsidR="008C51D5">
        <w:rPr>
          <w:rFonts w:ascii="Calibri" w:hAnsi="Calibri" w:cs="Calibri"/>
          <w:b w:val="0"/>
          <w:sz w:val="22"/>
          <w:szCs w:val="22"/>
        </w:rPr>
        <w:t>s</w:t>
      </w:r>
      <w:r w:rsidR="003057D5">
        <w:rPr>
          <w:rFonts w:ascii="Calibri" w:hAnsi="Calibri" w:cs="Calibri"/>
          <w:b w:val="0"/>
          <w:sz w:val="22"/>
          <w:szCs w:val="22"/>
        </w:rPr>
        <w:t>ing</w:t>
      </w:r>
      <w:r w:rsidR="00276C64">
        <w:rPr>
          <w:rFonts w:ascii="Calibri" w:hAnsi="Calibri" w:cs="Calibri"/>
          <w:b w:val="0"/>
          <w:sz w:val="22"/>
          <w:szCs w:val="22"/>
        </w:rPr>
        <w:t xml:space="preserve"> and</w:t>
      </w:r>
      <w:r w:rsidR="00A127EE">
        <w:rPr>
          <w:rFonts w:ascii="Calibri" w:hAnsi="Calibri" w:cs="Calibri"/>
          <w:b w:val="0"/>
          <w:sz w:val="22"/>
          <w:szCs w:val="22"/>
        </w:rPr>
        <w:t xml:space="preserve"> formalis</w:t>
      </w:r>
      <w:r w:rsidRPr="00821BA5">
        <w:rPr>
          <w:rFonts w:ascii="Calibri" w:hAnsi="Calibri" w:cs="Calibri"/>
          <w:b w:val="0"/>
          <w:sz w:val="22"/>
          <w:szCs w:val="22"/>
        </w:rPr>
        <w:t>ing the EFIF’s role in:</w:t>
      </w:r>
    </w:p>
    <w:p w14:paraId="3DBCFD4F" w14:textId="77777777" w:rsidR="00A127EE" w:rsidRPr="00821BA5" w:rsidRDefault="00A127EE" w:rsidP="006B541B">
      <w:pPr>
        <w:pStyle w:val="Heading2"/>
        <w:spacing w:line="276" w:lineRule="auto"/>
        <w:ind w:left="0" w:right="-8"/>
        <w:jc w:val="both"/>
        <w:rPr>
          <w:rFonts w:ascii="Calibri" w:hAnsi="Calibri" w:cs="Calibri"/>
          <w:b w:val="0"/>
          <w:sz w:val="22"/>
          <w:szCs w:val="22"/>
        </w:rPr>
      </w:pPr>
    </w:p>
    <w:p w14:paraId="56FDB9E1" w14:textId="3521F2DB" w:rsidR="006A3121" w:rsidRDefault="006A3121" w:rsidP="006B541B">
      <w:pPr>
        <w:pStyle w:val="Heading2"/>
        <w:numPr>
          <w:ilvl w:val="0"/>
          <w:numId w:val="10"/>
        </w:numPr>
        <w:spacing w:line="276" w:lineRule="auto"/>
        <w:ind w:right="-8"/>
        <w:jc w:val="both"/>
        <w:rPr>
          <w:rFonts w:ascii="Calibri" w:hAnsi="Calibri" w:cs="Calibri"/>
          <w:b w:val="0"/>
          <w:sz w:val="22"/>
          <w:szCs w:val="22"/>
        </w:rPr>
      </w:pPr>
      <w:r>
        <w:rPr>
          <w:rFonts w:ascii="Calibri" w:hAnsi="Calibri" w:cs="Calibri"/>
          <w:b w:val="0"/>
          <w:sz w:val="22"/>
          <w:szCs w:val="22"/>
        </w:rPr>
        <w:t>signposting how</w:t>
      </w:r>
      <w:r w:rsidR="00821BA5" w:rsidRPr="00821BA5">
        <w:rPr>
          <w:rFonts w:ascii="Calibri" w:hAnsi="Calibri" w:cs="Calibri"/>
          <w:b w:val="0"/>
          <w:sz w:val="22"/>
          <w:szCs w:val="22"/>
        </w:rPr>
        <w:t xml:space="preserve"> firms </w:t>
      </w:r>
      <w:r>
        <w:rPr>
          <w:rFonts w:ascii="Calibri" w:hAnsi="Calibri" w:cs="Calibri"/>
          <w:b w:val="0"/>
          <w:sz w:val="22"/>
          <w:szCs w:val="22"/>
        </w:rPr>
        <w:t>can</w:t>
      </w:r>
      <w:r w:rsidR="00821BA5" w:rsidRPr="00821BA5">
        <w:rPr>
          <w:rFonts w:ascii="Calibri" w:hAnsi="Calibri" w:cs="Calibri"/>
          <w:b w:val="0"/>
          <w:sz w:val="22"/>
          <w:szCs w:val="22"/>
        </w:rPr>
        <w:t xml:space="preserve"> reach innovation facilitators in relevant jurisdictions (many firms still face challenges in navigating the regulatory perimeter and identifying relevant innovation facilitators);</w:t>
      </w:r>
    </w:p>
    <w:p w14:paraId="726E95D8" w14:textId="77777777" w:rsidR="00A127EE" w:rsidRPr="006A3121" w:rsidRDefault="00A127EE" w:rsidP="006B541B">
      <w:pPr>
        <w:pStyle w:val="Heading2"/>
        <w:spacing w:line="276" w:lineRule="auto"/>
        <w:ind w:left="720" w:right="-8"/>
        <w:jc w:val="both"/>
        <w:rPr>
          <w:rFonts w:ascii="Calibri" w:hAnsi="Calibri" w:cs="Calibri"/>
          <w:b w:val="0"/>
          <w:sz w:val="22"/>
          <w:szCs w:val="22"/>
        </w:rPr>
      </w:pPr>
    </w:p>
    <w:p w14:paraId="32B84549" w14:textId="6453FF42" w:rsidR="00A127EE" w:rsidRDefault="00E061F4" w:rsidP="006B541B">
      <w:pPr>
        <w:pStyle w:val="Heading2"/>
        <w:numPr>
          <w:ilvl w:val="0"/>
          <w:numId w:val="10"/>
        </w:numPr>
        <w:spacing w:line="276" w:lineRule="auto"/>
        <w:ind w:right="-8"/>
        <w:jc w:val="both"/>
        <w:rPr>
          <w:rFonts w:ascii="Calibri" w:hAnsi="Calibri" w:cs="Calibri"/>
          <w:b w:val="0"/>
          <w:sz w:val="22"/>
          <w:szCs w:val="22"/>
        </w:rPr>
      </w:pPr>
      <w:r w:rsidRPr="00821BA5">
        <w:rPr>
          <w:rFonts w:ascii="Calibri" w:hAnsi="Calibri" w:cs="Calibri"/>
          <w:b w:val="0"/>
          <w:sz w:val="22"/>
          <w:szCs w:val="22"/>
        </w:rPr>
        <w:t>identifying and communicating to the ESAs (and EC where appropriate) on a ‘real time’ basis potential obstacles to</w:t>
      </w:r>
      <w:r>
        <w:rPr>
          <w:rFonts w:ascii="Calibri" w:hAnsi="Calibri" w:cs="Calibri"/>
          <w:b w:val="0"/>
          <w:sz w:val="22"/>
          <w:szCs w:val="22"/>
        </w:rPr>
        <w:t xml:space="preserve"> the implementation or</w:t>
      </w:r>
      <w:r w:rsidRPr="00821BA5">
        <w:rPr>
          <w:rFonts w:ascii="Calibri" w:hAnsi="Calibri" w:cs="Calibri"/>
          <w:b w:val="0"/>
          <w:sz w:val="22"/>
          <w:szCs w:val="22"/>
        </w:rPr>
        <w:t xml:space="preserve"> the scaling up of </w:t>
      </w:r>
      <w:r>
        <w:rPr>
          <w:rFonts w:ascii="Calibri" w:hAnsi="Calibri" w:cs="Calibri"/>
          <w:b w:val="0"/>
          <w:sz w:val="22"/>
          <w:szCs w:val="22"/>
        </w:rPr>
        <w:t>innovative solutions</w:t>
      </w:r>
      <w:r w:rsidRPr="00821BA5">
        <w:rPr>
          <w:rFonts w:ascii="Calibri" w:hAnsi="Calibri" w:cs="Calibri"/>
          <w:b w:val="0"/>
          <w:sz w:val="22"/>
          <w:szCs w:val="22"/>
        </w:rPr>
        <w:t xml:space="preserve"> </w:t>
      </w:r>
      <w:r w:rsidR="00276C64">
        <w:rPr>
          <w:rFonts w:ascii="Calibri" w:hAnsi="Calibri" w:cs="Calibri"/>
          <w:b w:val="0"/>
          <w:sz w:val="22"/>
          <w:szCs w:val="22"/>
        </w:rPr>
        <w:t xml:space="preserve">identified in the context of innovation facilitators and </w:t>
      </w:r>
      <w:r w:rsidRPr="00821BA5">
        <w:rPr>
          <w:rFonts w:ascii="Calibri" w:hAnsi="Calibri" w:cs="Calibri"/>
          <w:b w:val="0"/>
          <w:sz w:val="22"/>
          <w:szCs w:val="22"/>
        </w:rPr>
        <w:t>arising from: (i) divergences in supervisory stances; (ii) regulation</w:t>
      </w:r>
      <w:r>
        <w:rPr>
          <w:rFonts w:ascii="Calibri" w:hAnsi="Calibri" w:cs="Calibri"/>
          <w:b w:val="0"/>
          <w:sz w:val="22"/>
          <w:szCs w:val="22"/>
        </w:rPr>
        <w:t xml:space="preserve"> - this in turn can inform on a timely basis potential policy responses </w:t>
      </w:r>
      <w:r w:rsidR="00276C64">
        <w:rPr>
          <w:rFonts w:ascii="Calibri" w:hAnsi="Calibri" w:cs="Calibri"/>
          <w:b w:val="0"/>
          <w:sz w:val="22"/>
          <w:szCs w:val="22"/>
        </w:rPr>
        <w:t xml:space="preserve">using existing structures </w:t>
      </w:r>
      <w:r>
        <w:rPr>
          <w:rFonts w:ascii="Calibri" w:hAnsi="Calibri" w:cs="Calibri"/>
          <w:b w:val="0"/>
          <w:sz w:val="22"/>
          <w:szCs w:val="22"/>
        </w:rPr>
        <w:t xml:space="preserve">(e.g. in the form of new or updated ESA guidelines or </w:t>
      </w:r>
      <w:r>
        <w:rPr>
          <w:rFonts w:ascii="Calibri" w:hAnsi="Calibri" w:cs="Calibri"/>
          <w:b w:val="0"/>
          <w:sz w:val="22"/>
          <w:szCs w:val="22"/>
        </w:rPr>
        <w:lastRenderedPageBreak/>
        <w:t>technical standards or recommendations for new legislative initiatives in order to address potential obstacles to financial innovation)</w:t>
      </w:r>
      <w:r w:rsidRPr="00821BA5">
        <w:rPr>
          <w:rFonts w:ascii="Calibri" w:hAnsi="Calibri" w:cs="Calibri"/>
          <w:b w:val="0"/>
          <w:sz w:val="22"/>
          <w:szCs w:val="22"/>
        </w:rPr>
        <w:t>;</w:t>
      </w:r>
    </w:p>
    <w:p w14:paraId="057474D3" w14:textId="4D876727" w:rsidR="00A127EE" w:rsidRPr="00A127EE" w:rsidRDefault="00A127EE" w:rsidP="006B541B">
      <w:pPr>
        <w:pStyle w:val="Heading2"/>
        <w:spacing w:line="276" w:lineRule="auto"/>
        <w:ind w:left="0" w:right="-8"/>
        <w:jc w:val="both"/>
        <w:rPr>
          <w:rFonts w:ascii="Calibri" w:hAnsi="Calibri" w:cs="Calibri"/>
          <w:b w:val="0"/>
          <w:sz w:val="22"/>
          <w:szCs w:val="22"/>
        </w:rPr>
      </w:pPr>
    </w:p>
    <w:p w14:paraId="1EFF840A" w14:textId="77777777" w:rsidR="00821BA5" w:rsidRPr="00821BA5" w:rsidRDefault="00821BA5" w:rsidP="006B541B">
      <w:pPr>
        <w:pStyle w:val="Heading2"/>
        <w:numPr>
          <w:ilvl w:val="0"/>
          <w:numId w:val="10"/>
        </w:numPr>
        <w:spacing w:line="276" w:lineRule="auto"/>
        <w:ind w:right="-8"/>
        <w:jc w:val="both"/>
        <w:rPr>
          <w:rFonts w:ascii="Calibri" w:hAnsi="Calibri" w:cs="Calibri"/>
          <w:b w:val="0"/>
          <w:sz w:val="22"/>
          <w:szCs w:val="22"/>
        </w:rPr>
      </w:pPr>
      <w:r w:rsidRPr="00821BA5">
        <w:rPr>
          <w:rFonts w:ascii="Calibri" w:hAnsi="Calibri" w:cs="Calibri"/>
          <w:b w:val="0"/>
          <w:sz w:val="22"/>
          <w:szCs w:val="22"/>
        </w:rPr>
        <w:t xml:space="preserve">acting as an interface between industry and supervisors on innovation-related issues. In particular, the EBA sees benefit in merging the EC’s Innovation Lab with the EFIF’s industry outreach function in order to provide a single platform for exchanges on innovation-related developments, including via roundtables and workshops. </w:t>
      </w:r>
    </w:p>
    <w:p w14:paraId="4B7936B1" w14:textId="324CD006" w:rsidR="00821BA5" w:rsidRDefault="00821BA5" w:rsidP="006B541B">
      <w:pPr>
        <w:pStyle w:val="Heading2"/>
        <w:spacing w:line="276" w:lineRule="auto"/>
        <w:ind w:left="0" w:right="-8"/>
        <w:jc w:val="both"/>
        <w:rPr>
          <w:rFonts w:ascii="Calibri" w:hAnsi="Calibri" w:cs="Calibri"/>
          <w:sz w:val="22"/>
          <w:szCs w:val="22"/>
          <w:highlight w:val="yellow"/>
        </w:rPr>
      </w:pPr>
    </w:p>
    <w:p w14:paraId="5958306F" w14:textId="071C8397" w:rsidR="00E31192" w:rsidRPr="00782871" w:rsidRDefault="00E31192" w:rsidP="006B541B">
      <w:pPr>
        <w:pStyle w:val="Heading2"/>
        <w:spacing w:line="276" w:lineRule="auto"/>
        <w:ind w:left="0" w:right="-8"/>
        <w:jc w:val="both"/>
        <w:rPr>
          <w:rFonts w:ascii="Calibri" w:eastAsia="Times New Roman" w:hAnsi="Calibri" w:cs="Calibri"/>
          <w:b w:val="0"/>
          <w:bCs w:val="0"/>
          <w:sz w:val="22"/>
          <w:szCs w:val="22"/>
        </w:rPr>
      </w:pPr>
      <w:r w:rsidRPr="00E31192">
        <w:rPr>
          <w:rFonts w:ascii="Calibri" w:eastAsia="Times New Roman" w:hAnsi="Calibri" w:cs="Calibri"/>
          <w:b w:val="0"/>
          <w:bCs w:val="0"/>
          <w:sz w:val="22"/>
          <w:szCs w:val="22"/>
        </w:rPr>
        <w:t xml:space="preserve">Targeted expert working groups, for example, established under the EFIF, could also be established </w:t>
      </w:r>
      <w:r w:rsidR="00276C64">
        <w:rPr>
          <w:rFonts w:ascii="Calibri" w:eastAsia="Times New Roman" w:hAnsi="Calibri" w:cs="Calibri"/>
          <w:b w:val="0"/>
          <w:bCs w:val="0"/>
          <w:sz w:val="22"/>
          <w:szCs w:val="22"/>
        </w:rPr>
        <w:t>to analyse and share knowledge about technology use cases and discuss supervisory/r</w:t>
      </w:r>
      <w:r w:rsidR="003057D5">
        <w:rPr>
          <w:rFonts w:ascii="Calibri" w:eastAsia="Times New Roman" w:hAnsi="Calibri" w:cs="Calibri"/>
          <w:b w:val="0"/>
          <w:bCs w:val="0"/>
          <w:sz w:val="22"/>
          <w:szCs w:val="22"/>
        </w:rPr>
        <w:t>egulatory</w:t>
      </w:r>
      <w:r w:rsidR="00276C64">
        <w:rPr>
          <w:rFonts w:ascii="Calibri" w:eastAsia="Times New Roman" w:hAnsi="Calibri" w:cs="Calibri"/>
          <w:b w:val="0"/>
          <w:bCs w:val="0"/>
          <w:sz w:val="22"/>
          <w:szCs w:val="22"/>
        </w:rPr>
        <w:t xml:space="preserve"> issues </w:t>
      </w:r>
      <w:r w:rsidRPr="00E31192">
        <w:rPr>
          <w:rFonts w:ascii="Calibri" w:eastAsia="Times New Roman" w:hAnsi="Calibri" w:cs="Calibri"/>
          <w:b w:val="0"/>
          <w:bCs w:val="0"/>
          <w:sz w:val="22"/>
          <w:szCs w:val="22"/>
        </w:rPr>
        <w:t>(e.g. an EDPB/EDPS and ESAs working group on the interaction of GDPR and AI in financial services).</w:t>
      </w:r>
    </w:p>
    <w:p w14:paraId="2746EB7E" w14:textId="2A7ABA39" w:rsidR="00E31192" w:rsidRDefault="00E31192" w:rsidP="006B541B">
      <w:pPr>
        <w:pStyle w:val="Heading2"/>
        <w:spacing w:line="276" w:lineRule="auto"/>
        <w:ind w:left="0" w:right="-8"/>
        <w:jc w:val="both"/>
        <w:rPr>
          <w:rFonts w:ascii="Calibri" w:hAnsi="Calibri" w:cs="Calibri"/>
          <w:b w:val="0"/>
          <w:sz w:val="22"/>
          <w:szCs w:val="22"/>
        </w:rPr>
      </w:pPr>
    </w:p>
    <w:p w14:paraId="2E8A60FC" w14:textId="28D5B4EA" w:rsidR="006A3121" w:rsidRDefault="006A3121" w:rsidP="006B541B">
      <w:pPr>
        <w:pStyle w:val="Heading2"/>
        <w:spacing w:line="276" w:lineRule="auto"/>
        <w:ind w:left="0" w:right="-8"/>
        <w:jc w:val="both"/>
        <w:rPr>
          <w:rFonts w:ascii="Calibri" w:hAnsi="Calibri" w:cs="Calibri"/>
          <w:b w:val="0"/>
          <w:sz w:val="22"/>
          <w:szCs w:val="22"/>
        </w:rPr>
      </w:pPr>
      <w:r>
        <w:rPr>
          <w:rFonts w:ascii="Calibri" w:hAnsi="Calibri" w:cs="Calibri"/>
          <w:b w:val="0"/>
          <w:sz w:val="22"/>
          <w:szCs w:val="22"/>
        </w:rPr>
        <w:t>The EBA also underscores the EFIF’s ongoing role in supporting the consistent design and operation of innovation facilitators across the EU whilst respecting the responsibility of competent authorities to design and operate their innovation facilitators in line with their supervisory mandates, resources and needs of the local market.</w:t>
      </w:r>
    </w:p>
    <w:p w14:paraId="09732930" w14:textId="77777777" w:rsidR="006A3121" w:rsidRPr="00E31192" w:rsidRDefault="006A3121" w:rsidP="006B541B">
      <w:pPr>
        <w:pStyle w:val="Heading2"/>
        <w:spacing w:line="276" w:lineRule="auto"/>
        <w:ind w:left="0" w:right="-8"/>
        <w:jc w:val="both"/>
        <w:rPr>
          <w:rFonts w:ascii="Calibri" w:hAnsi="Calibri" w:cs="Calibri"/>
          <w:b w:val="0"/>
          <w:sz w:val="22"/>
          <w:szCs w:val="22"/>
        </w:rPr>
      </w:pPr>
    </w:p>
    <w:p w14:paraId="78189B0A" w14:textId="39C4075D" w:rsidR="00FF14DA" w:rsidRDefault="00E31192" w:rsidP="006B541B">
      <w:pPr>
        <w:pStyle w:val="Heading2"/>
        <w:spacing w:line="276" w:lineRule="auto"/>
        <w:ind w:left="0" w:right="-8"/>
        <w:jc w:val="both"/>
        <w:rPr>
          <w:rFonts w:ascii="Calibri" w:hAnsi="Calibri" w:cs="Calibri"/>
          <w:b w:val="0"/>
          <w:sz w:val="22"/>
          <w:szCs w:val="22"/>
        </w:rPr>
      </w:pPr>
      <w:r w:rsidRPr="00E31192">
        <w:rPr>
          <w:rFonts w:ascii="Calibri" w:hAnsi="Calibri" w:cs="Calibri"/>
          <w:b w:val="0"/>
          <w:sz w:val="22"/>
          <w:szCs w:val="22"/>
        </w:rPr>
        <w:t>Finally, the EBA also highlights the role of complementary initiatives to support coordination and cooperation and capacity-building, for instance the EBA’s FinTech Knowledge Hub and technology</w:t>
      </w:r>
      <w:r w:rsidR="00276C64">
        <w:rPr>
          <w:rFonts w:ascii="Calibri" w:hAnsi="Calibri" w:cs="Calibri"/>
          <w:b w:val="0"/>
          <w:sz w:val="22"/>
          <w:szCs w:val="22"/>
        </w:rPr>
        <w:t xml:space="preserve"> and sector-</w:t>
      </w:r>
      <w:r w:rsidRPr="00E31192">
        <w:rPr>
          <w:rFonts w:ascii="Calibri" w:hAnsi="Calibri" w:cs="Calibri"/>
          <w:b w:val="0"/>
          <w:sz w:val="22"/>
          <w:szCs w:val="22"/>
        </w:rPr>
        <w:t xml:space="preserve">specific training initiatives (e.g. on AI, RegTech, cyber </w:t>
      </w:r>
      <w:r w:rsidR="00F819FE">
        <w:rPr>
          <w:rFonts w:ascii="Calibri" w:hAnsi="Calibri" w:cs="Calibri"/>
          <w:b w:val="0"/>
          <w:sz w:val="22"/>
          <w:szCs w:val="22"/>
        </w:rPr>
        <w:t xml:space="preserve">risk </w:t>
      </w:r>
      <w:r w:rsidRPr="00E31192">
        <w:rPr>
          <w:rFonts w:ascii="Calibri" w:hAnsi="Calibri" w:cs="Calibri"/>
          <w:b w:val="0"/>
          <w:sz w:val="22"/>
          <w:szCs w:val="22"/>
        </w:rPr>
        <w:t>etc.). More funding for such initiatives would be highly beneficial to enable greater frequency and participation by the widest range of authorities (including financial sector supervisors, national central banks and potentially other organisations such as othe</w:t>
      </w:r>
      <w:r w:rsidRPr="006D045B">
        <w:rPr>
          <w:rFonts w:ascii="Calibri" w:hAnsi="Calibri" w:cs="Calibri"/>
          <w:b w:val="0"/>
          <w:color w:val="000000" w:themeColor="text1"/>
          <w:sz w:val="22"/>
          <w:szCs w:val="22"/>
        </w:rPr>
        <w:t>r disciplinary/sector-specific regulators). Additional funding could also</w:t>
      </w:r>
      <w:r w:rsidR="00FF14DA" w:rsidRPr="00FF14DA">
        <w:rPr>
          <w:rFonts w:ascii="Calibri" w:hAnsi="Calibri" w:cs="Calibri"/>
          <w:b w:val="0"/>
          <w:color w:val="000000" w:themeColor="text1"/>
          <w:sz w:val="22"/>
          <w:szCs w:val="22"/>
        </w:rPr>
        <w:t xml:space="preserve"> </w:t>
      </w:r>
      <w:r w:rsidR="00FF14DA" w:rsidRPr="00BA1111">
        <w:rPr>
          <w:rFonts w:ascii="Calibri" w:hAnsi="Calibri" w:cs="Calibri"/>
          <w:b w:val="0"/>
          <w:color w:val="000000" w:themeColor="text1"/>
          <w:sz w:val="22"/>
          <w:szCs w:val="22"/>
        </w:rPr>
        <w:t xml:space="preserve">be applied </w:t>
      </w:r>
      <w:r w:rsidR="00FF14DA">
        <w:rPr>
          <w:rFonts w:ascii="Calibri" w:hAnsi="Calibri" w:cs="Calibri"/>
          <w:b w:val="0"/>
          <w:color w:val="000000" w:themeColor="text1"/>
          <w:sz w:val="22"/>
          <w:szCs w:val="22"/>
        </w:rPr>
        <w:t>by the EBA to facilitate the gathering of best practices and trends on SupTech and</w:t>
      </w:r>
      <w:r w:rsidRPr="006D045B">
        <w:rPr>
          <w:rFonts w:ascii="Calibri" w:hAnsi="Calibri" w:cs="Calibri"/>
          <w:b w:val="0"/>
          <w:color w:val="000000" w:themeColor="text1"/>
          <w:sz w:val="22"/>
          <w:szCs w:val="22"/>
        </w:rPr>
        <w:t xml:space="preserve"> promote/facilitate (collective) development of selected specific SupTech use cases for the benefit of supervisory and regul</w:t>
      </w:r>
      <w:r w:rsidRPr="00E31192">
        <w:rPr>
          <w:rFonts w:ascii="Calibri" w:hAnsi="Calibri" w:cs="Calibri"/>
          <w:b w:val="0"/>
          <w:sz w:val="22"/>
          <w:szCs w:val="22"/>
        </w:rPr>
        <w:t>atory authorities in the EU.</w:t>
      </w:r>
      <w:r w:rsidR="00FF14DA">
        <w:rPr>
          <w:rFonts w:ascii="Calibri" w:hAnsi="Calibri" w:cs="Calibri"/>
          <w:b w:val="0"/>
          <w:sz w:val="22"/>
          <w:szCs w:val="22"/>
        </w:rPr>
        <w:t xml:space="preserve"> The EBA could also act as a center for excellence and networking in this context and help instigate scalable SupTech across the Single Market.</w:t>
      </w:r>
    </w:p>
    <w:p w14:paraId="636BE1DE" w14:textId="7F99C822" w:rsidR="00A96891" w:rsidRPr="00A96891" w:rsidRDefault="00A96891" w:rsidP="006B541B">
      <w:pPr>
        <w:pStyle w:val="Heading2"/>
        <w:spacing w:line="276" w:lineRule="auto"/>
        <w:ind w:left="0" w:right="-8"/>
        <w:jc w:val="both"/>
        <w:rPr>
          <w:rFonts w:ascii="Calibri" w:hAnsi="Calibri" w:cs="Calibri"/>
          <w:b w:val="0"/>
          <w:sz w:val="22"/>
          <w:szCs w:val="22"/>
        </w:rPr>
      </w:pPr>
    </w:p>
    <w:p w14:paraId="499FC0DA" w14:textId="34B6B931" w:rsidR="00A96891" w:rsidRPr="00A96891" w:rsidRDefault="00A96891" w:rsidP="006B541B">
      <w:pPr>
        <w:pStyle w:val="Heading2"/>
        <w:spacing w:line="276" w:lineRule="auto"/>
        <w:ind w:left="0" w:right="-8"/>
        <w:jc w:val="both"/>
        <w:rPr>
          <w:rFonts w:ascii="Calibri" w:hAnsi="Calibri" w:cs="Calibri"/>
          <w:b w:val="0"/>
          <w:sz w:val="22"/>
          <w:szCs w:val="22"/>
        </w:rPr>
      </w:pPr>
      <w:r w:rsidRPr="00A96891">
        <w:rPr>
          <w:rFonts w:ascii="Calibri" w:hAnsi="Calibri" w:cs="Calibri"/>
          <w:b w:val="0"/>
          <w:sz w:val="22"/>
          <w:szCs w:val="22"/>
        </w:rPr>
        <w:t>The EBA stands ready to play its role in supporting further supervisory knowledge sharing on FinTech and SupTech initiatives, including via the EFIF</w:t>
      </w:r>
      <w:r w:rsidR="008C51D5">
        <w:rPr>
          <w:rFonts w:ascii="Calibri" w:hAnsi="Calibri" w:cs="Calibri"/>
          <w:b w:val="0"/>
          <w:sz w:val="22"/>
          <w:szCs w:val="22"/>
        </w:rPr>
        <w:t>,</w:t>
      </w:r>
      <w:r w:rsidRPr="00A96891">
        <w:rPr>
          <w:rFonts w:ascii="Calibri" w:hAnsi="Calibri" w:cs="Calibri"/>
          <w:b w:val="0"/>
          <w:sz w:val="22"/>
          <w:szCs w:val="22"/>
        </w:rPr>
        <w:t xml:space="preserve"> and would welcome further mandates in these areas.</w:t>
      </w:r>
    </w:p>
    <w:p w14:paraId="306F20DF" w14:textId="77777777" w:rsidR="00E31192" w:rsidRDefault="00E31192" w:rsidP="006B541B">
      <w:pPr>
        <w:pStyle w:val="Heading2"/>
        <w:spacing w:line="276" w:lineRule="auto"/>
        <w:ind w:left="0" w:right="-8"/>
        <w:jc w:val="both"/>
        <w:rPr>
          <w:rFonts w:ascii="Calibri" w:hAnsi="Calibri" w:cs="Calibri"/>
          <w:sz w:val="22"/>
          <w:szCs w:val="22"/>
        </w:rPr>
      </w:pPr>
    </w:p>
    <w:p w14:paraId="043413F3" w14:textId="1DB7D4E5" w:rsidR="00821BA5" w:rsidRPr="006D045B" w:rsidRDefault="00821BA5" w:rsidP="006B541B">
      <w:pPr>
        <w:pStyle w:val="Heading2"/>
        <w:ind w:left="0" w:right="-8"/>
        <w:jc w:val="both"/>
        <w:rPr>
          <w:rFonts w:ascii="Calibri" w:hAnsi="Calibri" w:cs="Calibri"/>
          <w:sz w:val="24"/>
          <w:szCs w:val="24"/>
        </w:rPr>
      </w:pPr>
      <w:r w:rsidRPr="006D045B">
        <w:rPr>
          <w:rFonts w:ascii="Calibri" w:hAnsi="Calibri" w:cs="Calibri"/>
          <w:sz w:val="24"/>
          <w:szCs w:val="24"/>
        </w:rPr>
        <w:t>Question 21.1 If necessary, please explain your reasoning and also provide examples for each case you would find relevant:</w:t>
      </w:r>
    </w:p>
    <w:p w14:paraId="5CEDF71D" w14:textId="77777777" w:rsidR="00821BA5" w:rsidRPr="00821BA5" w:rsidRDefault="00821BA5" w:rsidP="00821BA5">
      <w:pPr>
        <w:pStyle w:val="Heading2"/>
        <w:spacing w:line="276" w:lineRule="auto"/>
        <w:ind w:left="0" w:right="-46"/>
        <w:jc w:val="both"/>
        <w:rPr>
          <w:rFonts w:ascii="Calibri" w:hAnsi="Calibri" w:cs="Calibri"/>
          <w:sz w:val="22"/>
          <w:szCs w:val="22"/>
        </w:rPr>
      </w:pPr>
    </w:p>
    <w:p w14:paraId="302E0953" w14:textId="77777777" w:rsidR="00821BA5" w:rsidRPr="00821BA5" w:rsidRDefault="00821BA5" w:rsidP="00821BA5">
      <w:pPr>
        <w:pStyle w:val="Heading2"/>
        <w:spacing w:line="276" w:lineRule="auto"/>
        <w:ind w:left="0" w:right="-46"/>
        <w:jc w:val="both"/>
        <w:rPr>
          <w:rFonts w:ascii="Calibri" w:hAnsi="Calibri" w:cs="Calibri"/>
          <w:sz w:val="22"/>
          <w:szCs w:val="22"/>
        </w:rPr>
      </w:pPr>
      <w:r w:rsidRPr="00821BA5">
        <w:rPr>
          <w:rFonts w:ascii="Calibri" w:hAnsi="Calibri" w:cs="Calibri"/>
          <w:b w:val="0"/>
          <w:sz w:val="22"/>
          <w:szCs w:val="22"/>
        </w:rPr>
        <w:t>N/A</w:t>
      </w:r>
    </w:p>
    <w:p w14:paraId="71287D4E" w14:textId="77777777" w:rsidR="00821BA5" w:rsidRPr="00821BA5" w:rsidRDefault="00821BA5" w:rsidP="00821BA5">
      <w:pPr>
        <w:pStyle w:val="Heading2"/>
        <w:spacing w:line="276" w:lineRule="auto"/>
        <w:ind w:left="0" w:right="-46"/>
        <w:jc w:val="both"/>
        <w:rPr>
          <w:rFonts w:ascii="Calibri" w:hAnsi="Calibri" w:cs="Calibri"/>
          <w:sz w:val="22"/>
          <w:szCs w:val="22"/>
        </w:rPr>
      </w:pPr>
    </w:p>
    <w:p w14:paraId="395C1678" w14:textId="77777777" w:rsidR="00821BA5" w:rsidRPr="006D045B" w:rsidRDefault="00821BA5" w:rsidP="006D045B">
      <w:pPr>
        <w:pStyle w:val="Heading2"/>
        <w:ind w:left="0" w:right="-46"/>
        <w:jc w:val="both"/>
        <w:rPr>
          <w:rFonts w:ascii="Calibri" w:hAnsi="Calibri" w:cs="Calibri"/>
          <w:sz w:val="24"/>
          <w:szCs w:val="24"/>
        </w:rPr>
      </w:pPr>
      <w:r w:rsidRPr="006D045B">
        <w:rPr>
          <w:rFonts w:ascii="Calibri" w:hAnsi="Calibri" w:cs="Calibri"/>
          <w:sz w:val="24"/>
          <w:szCs w:val="24"/>
        </w:rPr>
        <w:t>Question 22. In the EU, regulated financial services providers can scale up across the Single Market thanks to adequate licenses and passporting rights. Do you see the need to extend the existing EU licenses passporting rights to further areas (e.g. lending) in order to support the uptake of digital finance in the EU?</w:t>
      </w:r>
    </w:p>
    <w:p w14:paraId="1CD6BA42" w14:textId="77777777" w:rsidR="00821BA5" w:rsidRPr="00821BA5" w:rsidRDefault="00821BA5" w:rsidP="00821BA5">
      <w:pPr>
        <w:pStyle w:val="Heading2"/>
        <w:spacing w:line="276" w:lineRule="auto"/>
        <w:ind w:left="0" w:right="-46"/>
        <w:jc w:val="both"/>
        <w:rPr>
          <w:rFonts w:ascii="Calibri" w:hAnsi="Calibri" w:cs="Calibri"/>
          <w:sz w:val="22"/>
          <w:szCs w:val="22"/>
          <w:highlight w:val="yellow"/>
        </w:rPr>
      </w:pPr>
    </w:p>
    <w:p w14:paraId="42FF86C3" w14:textId="003742B1" w:rsidR="00821BA5" w:rsidRPr="00821BA5" w:rsidRDefault="0065249D" w:rsidP="00821BA5">
      <w:pPr>
        <w:spacing w:line="276" w:lineRule="auto"/>
        <w:jc w:val="both"/>
        <w:rPr>
          <w:rFonts w:ascii="Calibri" w:hAnsi="Calibri" w:cs="Calibri"/>
          <w:color w:val="000000" w:themeColor="text1"/>
          <w:sz w:val="22"/>
          <w:szCs w:val="22"/>
        </w:rPr>
      </w:pPr>
      <w:r>
        <w:rPr>
          <w:rFonts w:ascii="Calibri" w:hAnsi="Calibri" w:cs="Calibri"/>
          <w:sz w:val="22"/>
          <w:szCs w:val="22"/>
        </w:rPr>
        <w:t>In its October 2019 report, t</w:t>
      </w:r>
      <w:r w:rsidR="00821BA5" w:rsidRPr="00821BA5">
        <w:rPr>
          <w:rFonts w:ascii="Calibri" w:hAnsi="Calibri" w:cs="Calibri"/>
          <w:sz w:val="22"/>
          <w:szCs w:val="22"/>
        </w:rPr>
        <w:t>he EBA identified</w:t>
      </w:r>
      <w:r>
        <w:rPr>
          <w:rFonts w:ascii="Calibri" w:hAnsi="Calibri" w:cs="Calibri"/>
          <w:sz w:val="22"/>
          <w:szCs w:val="22"/>
        </w:rPr>
        <w:t xml:space="preserve"> a number of</w:t>
      </w:r>
      <w:r w:rsidR="00821BA5" w:rsidRPr="00821BA5">
        <w:rPr>
          <w:rFonts w:ascii="Calibri" w:hAnsi="Calibri" w:cs="Calibri"/>
          <w:sz w:val="22"/>
          <w:szCs w:val="22"/>
        </w:rPr>
        <w:t xml:space="preserve"> potential impediments to the scaling up of financial services cross-</w:t>
      </w:r>
      <w:r w:rsidR="00821BA5" w:rsidRPr="00821BA5">
        <w:rPr>
          <w:rFonts w:ascii="Calibri" w:hAnsi="Calibri" w:cs="Calibri"/>
          <w:color w:val="000000" w:themeColor="text1"/>
          <w:sz w:val="22"/>
          <w:szCs w:val="22"/>
        </w:rPr>
        <w:t>border, notwithstanding the existence of passporting rights.</w:t>
      </w:r>
      <w:r w:rsidR="00821BA5" w:rsidRPr="00821BA5">
        <w:rPr>
          <w:rStyle w:val="FootnoteReference"/>
          <w:rFonts w:ascii="Calibri" w:hAnsi="Calibri" w:cs="Calibri"/>
          <w:color w:val="000000" w:themeColor="text1"/>
          <w:sz w:val="22"/>
          <w:szCs w:val="22"/>
        </w:rPr>
        <w:footnoteReference w:id="28"/>
      </w:r>
    </w:p>
    <w:p w14:paraId="5FE1D0B6" w14:textId="77777777" w:rsidR="00821BA5" w:rsidRPr="00821BA5" w:rsidRDefault="00821BA5" w:rsidP="00821BA5">
      <w:pPr>
        <w:pStyle w:val="body0"/>
        <w:rPr>
          <w:color w:val="000000" w:themeColor="text1"/>
          <w:lang w:val="en"/>
        </w:rPr>
      </w:pPr>
      <w:r w:rsidRPr="00821BA5">
        <w:rPr>
          <w:color w:val="000000" w:themeColor="text1"/>
          <w:lang w:val="en"/>
        </w:rPr>
        <w:t xml:space="preserve">The first important challenge is the identification of when a digital activity is to be regarded as a cross-border provision of services. Although this is a crucial element in determining which regulatory and supervisory frameworks apply, currently, competent authorities and firms lack clear guidance on how to classify cross-border activity under the freedom to provide services or right of establishment. </w:t>
      </w:r>
    </w:p>
    <w:p w14:paraId="7510C934" w14:textId="5A6A55CB" w:rsidR="00821BA5" w:rsidRPr="00821BA5" w:rsidRDefault="00821BA5" w:rsidP="00821BA5">
      <w:pPr>
        <w:pStyle w:val="body0"/>
        <w:rPr>
          <w:color w:val="000000" w:themeColor="text1"/>
          <w:lang w:val="en"/>
        </w:rPr>
      </w:pPr>
      <w:r w:rsidRPr="00821BA5">
        <w:rPr>
          <w:color w:val="000000" w:themeColor="text1"/>
          <w:lang w:val="en"/>
        </w:rPr>
        <w:t>The second challenge stems from areas of EU law that are not fully harmonised or are not yet covered by EU law. In particular, the EBA has identified issues related to authorisations and licencing</w:t>
      </w:r>
      <w:r w:rsidR="0065249D">
        <w:rPr>
          <w:color w:val="000000" w:themeColor="text1"/>
          <w:lang w:val="en"/>
        </w:rPr>
        <w:t xml:space="preserve"> (e.g. the absence of a common EU framework for crypto-asset activities</w:t>
      </w:r>
      <w:r w:rsidR="0065249D">
        <w:rPr>
          <w:rStyle w:val="FootnoteReference"/>
          <w:color w:val="000000" w:themeColor="text1"/>
          <w:lang w:val="en"/>
        </w:rPr>
        <w:footnoteReference w:id="29"/>
      </w:r>
      <w:r w:rsidR="0065249D">
        <w:rPr>
          <w:color w:val="000000" w:themeColor="text1"/>
          <w:lang w:val="en"/>
        </w:rPr>
        <w:t>)</w:t>
      </w:r>
      <w:r w:rsidRPr="00821BA5">
        <w:rPr>
          <w:color w:val="000000" w:themeColor="text1"/>
          <w:lang w:val="en"/>
        </w:rPr>
        <w:t xml:space="preserve">, </w:t>
      </w:r>
      <w:r w:rsidR="005A3F8C">
        <w:rPr>
          <w:color w:val="000000" w:themeColor="text1"/>
          <w:lang w:val="en"/>
        </w:rPr>
        <w:t>and aspects of authorisation and ongoing regulation that are non-harmonised even in relation to services for which EU licence or registration regimes are provided</w:t>
      </w:r>
      <w:r w:rsidR="005A3F8C" w:rsidRPr="00821BA5">
        <w:rPr>
          <w:color w:val="000000" w:themeColor="text1"/>
          <w:lang w:val="en"/>
        </w:rPr>
        <w:t xml:space="preserve"> </w:t>
      </w:r>
      <w:r w:rsidR="005A3F8C">
        <w:rPr>
          <w:color w:val="000000" w:themeColor="text1"/>
          <w:lang w:val="en"/>
        </w:rPr>
        <w:t xml:space="preserve">(e.g. </w:t>
      </w:r>
      <w:r w:rsidRPr="00821BA5">
        <w:rPr>
          <w:color w:val="000000" w:themeColor="text1"/>
          <w:lang w:val="en"/>
        </w:rPr>
        <w:t>consumer protection, conduct of business requirements and anti-money laundering (AML) and countering the financing of terrorism (CFT)</w:t>
      </w:r>
      <w:r w:rsidR="005A3F8C">
        <w:rPr>
          <w:color w:val="000000" w:themeColor="text1"/>
          <w:lang w:val="en"/>
        </w:rPr>
        <w:t>)</w:t>
      </w:r>
      <w:r w:rsidRPr="00821BA5">
        <w:rPr>
          <w:color w:val="000000" w:themeColor="text1"/>
          <w:lang w:val="en"/>
        </w:rPr>
        <w:t xml:space="preserve">. </w:t>
      </w:r>
    </w:p>
    <w:p w14:paraId="2525DBCE" w14:textId="3999E239" w:rsidR="005A3F8C" w:rsidRDefault="00821BA5" w:rsidP="00821BA5">
      <w:pPr>
        <w:pStyle w:val="body0"/>
        <w:rPr>
          <w:color w:val="000000" w:themeColor="text1"/>
          <w:lang w:val="en"/>
        </w:rPr>
      </w:pPr>
      <w:r w:rsidRPr="00821BA5">
        <w:rPr>
          <w:color w:val="000000" w:themeColor="text1"/>
          <w:lang w:val="en"/>
        </w:rPr>
        <w:t>Left unaddressed these issues may impede institutions and other FinTech firms from providing banking and payment services cross-border within the E</w:t>
      </w:r>
      <w:r w:rsidR="00155360">
        <w:rPr>
          <w:color w:val="000000" w:themeColor="text1"/>
          <w:lang w:val="en"/>
        </w:rPr>
        <w:t>U. Therefore, as set out in the October 2019</w:t>
      </w:r>
      <w:r w:rsidRPr="00821BA5">
        <w:rPr>
          <w:color w:val="000000" w:themeColor="text1"/>
          <w:lang w:val="en"/>
        </w:rPr>
        <w:t xml:space="preserve"> report, the EBA recommends that the European Commission take action, including the update of its interpretative communications to support the identification of cross-border services taking account of the digitisation of financial services</w:t>
      </w:r>
      <w:r w:rsidR="005A3F8C">
        <w:rPr>
          <w:color w:val="000000" w:themeColor="text1"/>
          <w:lang w:val="en"/>
        </w:rPr>
        <w:t>,</w:t>
      </w:r>
      <w:r w:rsidRPr="00821BA5">
        <w:rPr>
          <w:color w:val="000000" w:themeColor="text1"/>
          <w:lang w:val="en"/>
        </w:rPr>
        <w:t xml:space="preserve"> the development of legislative proposals to further harmonise requirements relating to consumer protection, conduct of business and AML/CFT</w:t>
      </w:r>
      <w:r w:rsidR="005A3F8C">
        <w:rPr>
          <w:color w:val="000000" w:themeColor="text1"/>
          <w:lang w:val="en"/>
        </w:rPr>
        <w:t>, and the further consideration of the need for other measures (e.g. guidance) to support a consistent approach to regulation or supervision of activities for which passport rights exist</w:t>
      </w:r>
      <w:r w:rsidRPr="00821BA5">
        <w:rPr>
          <w:color w:val="000000" w:themeColor="text1"/>
          <w:lang w:val="en"/>
        </w:rPr>
        <w:t>.</w:t>
      </w:r>
      <w:r w:rsidR="008B7957">
        <w:rPr>
          <w:color w:val="000000" w:themeColor="text1"/>
          <w:lang w:val="en"/>
        </w:rPr>
        <w:t xml:space="preserve"> </w:t>
      </w:r>
    </w:p>
    <w:p w14:paraId="2003D018" w14:textId="26233841" w:rsidR="00821BA5" w:rsidRDefault="0089335A" w:rsidP="00821BA5">
      <w:pPr>
        <w:pStyle w:val="body0"/>
        <w:rPr>
          <w:color w:val="000000" w:themeColor="text1"/>
          <w:lang w:val="en"/>
        </w:rPr>
      </w:pPr>
      <w:r>
        <w:rPr>
          <w:color w:val="000000" w:themeColor="text1"/>
          <w:lang w:val="en"/>
        </w:rPr>
        <w:t>The EBA also encourages the European Commission to continue its work to assess the potential benefits of further extending the regulatory perimeter to confer passporting rights for new services where appropriate to facilitate cross-border activity whilst effectively and consistently mitigating risks.</w:t>
      </w:r>
      <w:r w:rsidR="003057D5">
        <w:rPr>
          <w:color w:val="000000" w:themeColor="text1"/>
          <w:lang w:val="en"/>
        </w:rPr>
        <w:t xml:space="preserve"> The EBA agrees that there may be benefit </w:t>
      </w:r>
      <w:r w:rsidR="00155360">
        <w:rPr>
          <w:color w:val="000000" w:themeColor="text1"/>
          <w:lang w:val="en"/>
        </w:rPr>
        <w:t xml:space="preserve">in </w:t>
      </w:r>
      <w:r w:rsidR="003057D5">
        <w:rPr>
          <w:color w:val="000000" w:themeColor="text1"/>
          <w:lang w:val="en"/>
        </w:rPr>
        <w:t>carrying out an assessment of the non-bank credit sector to determine if there would be benefit in strengthening the regulatory framework to support cross-border credit provision whilst ensuring high standards of consumer protection and mitigating risks of regulatory arbitrage.</w:t>
      </w:r>
      <w:r>
        <w:rPr>
          <w:color w:val="000000" w:themeColor="text1"/>
          <w:lang w:val="en"/>
        </w:rPr>
        <w:t xml:space="preserve"> </w:t>
      </w:r>
      <w:r w:rsidR="008B7957">
        <w:rPr>
          <w:color w:val="000000" w:themeColor="text1"/>
          <w:lang w:val="en"/>
        </w:rPr>
        <w:t>Opportunities to scale up innovation across the EU could be far better embraced if the freedom to provide services would ‘truly’ enable companies to offer services</w:t>
      </w:r>
      <w:r w:rsidR="00C9154A">
        <w:rPr>
          <w:color w:val="000000" w:themeColor="text1"/>
          <w:lang w:val="en"/>
        </w:rPr>
        <w:t xml:space="preserve"> digitally across the Single M</w:t>
      </w:r>
      <w:r w:rsidR="008B7957">
        <w:rPr>
          <w:color w:val="000000" w:themeColor="text1"/>
          <w:lang w:val="en"/>
        </w:rPr>
        <w:t>arket</w:t>
      </w:r>
      <w:r w:rsidR="00A96891">
        <w:rPr>
          <w:color w:val="000000" w:themeColor="text1"/>
          <w:lang w:val="en"/>
        </w:rPr>
        <w:t xml:space="preserve"> and the EBA stands ready to play its part in supporting the European Commission in assessing the need for any further extension of the EU regulatory perimeter</w:t>
      </w:r>
      <w:r w:rsidR="008B7957">
        <w:rPr>
          <w:color w:val="000000" w:themeColor="text1"/>
          <w:lang w:val="en"/>
        </w:rPr>
        <w:t xml:space="preserve">. </w:t>
      </w:r>
      <w:r w:rsidR="00821BA5" w:rsidRPr="00821BA5">
        <w:rPr>
          <w:color w:val="000000" w:themeColor="text1"/>
          <w:lang w:val="en"/>
        </w:rPr>
        <w:t xml:space="preserve"> </w:t>
      </w:r>
    </w:p>
    <w:p w14:paraId="68C25EE5" w14:textId="77777777" w:rsidR="002C73AC" w:rsidRDefault="002C73AC" w:rsidP="002C73AC">
      <w:pPr>
        <w:pStyle w:val="Heading2"/>
        <w:ind w:left="0" w:right="143"/>
        <w:jc w:val="both"/>
        <w:rPr>
          <w:sz w:val="22"/>
          <w:szCs w:val="22"/>
          <w:highlight w:val="yellow"/>
        </w:rPr>
      </w:pPr>
    </w:p>
    <w:p w14:paraId="219C8D29" w14:textId="4FB1882F" w:rsidR="002C73AC" w:rsidRPr="002D221D" w:rsidRDefault="002C73AC" w:rsidP="002C73AC">
      <w:pPr>
        <w:pStyle w:val="Heading2"/>
        <w:ind w:left="0" w:right="143"/>
        <w:jc w:val="both"/>
        <w:rPr>
          <w:rFonts w:ascii="Calibri" w:hAnsi="Calibri" w:cs="Calibri"/>
          <w:sz w:val="24"/>
          <w:szCs w:val="24"/>
        </w:rPr>
      </w:pPr>
      <w:r w:rsidRPr="002D221D">
        <w:rPr>
          <w:rFonts w:ascii="Calibri" w:hAnsi="Calibri" w:cs="Calibri"/>
          <w:sz w:val="24"/>
          <w:szCs w:val="24"/>
        </w:rPr>
        <w:t xml:space="preserve">Question 24. In your opinion, what should be done at EU level to achieve improved </w:t>
      </w:r>
      <w:r w:rsidRPr="002D221D">
        <w:rPr>
          <w:rFonts w:ascii="Calibri" w:hAnsi="Calibri" w:cs="Calibri"/>
          <w:sz w:val="24"/>
          <w:szCs w:val="24"/>
        </w:rPr>
        <w:lastRenderedPageBreak/>
        <w:t>financial education and literacy in the digital context?</w:t>
      </w:r>
    </w:p>
    <w:p w14:paraId="72B3BF02" w14:textId="77777777" w:rsidR="002C73AC" w:rsidRPr="002D221D" w:rsidRDefault="002C73AC" w:rsidP="002C73AC">
      <w:pPr>
        <w:pStyle w:val="Heading2"/>
        <w:ind w:left="0" w:right="143"/>
        <w:jc w:val="both"/>
        <w:rPr>
          <w:rFonts w:ascii="Calibri" w:hAnsi="Calibri" w:cs="Calibri"/>
          <w:sz w:val="24"/>
          <w:szCs w:val="24"/>
        </w:rPr>
      </w:pPr>
    </w:p>
    <w:p w14:paraId="7FD56306" w14:textId="3E1DF1D1" w:rsidR="002C73AC" w:rsidRPr="002D221D" w:rsidRDefault="002C73AC" w:rsidP="002C73AC">
      <w:pPr>
        <w:pStyle w:val="Heading2"/>
        <w:ind w:left="0" w:right="143"/>
        <w:jc w:val="both"/>
        <w:rPr>
          <w:rFonts w:ascii="Calibri" w:hAnsi="Calibri" w:cs="Calibri"/>
          <w:sz w:val="24"/>
          <w:szCs w:val="24"/>
        </w:rPr>
      </w:pPr>
      <w:r w:rsidRPr="002D221D">
        <w:rPr>
          <w:rFonts w:ascii="Calibri" w:hAnsi="Calibri" w:cs="Calibri"/>
          <w:sz w:val="24"/>
          <w:szCs w:val="24"/>
        </w:rPr>
        <w:t>Please rate each proposal from 1 to 5:</w:t>
      </w:r>
    </w:p>
    <w:p w14:paraId="1DD2B3AC" w14:textId="77777777" w:rsidR="002C73AC" w:rsidRPr="002C73AC" w:rsidRDefault="002C73AC" w:rsidP="002C73AC">
      <w:pPr>
        <w:pStyle w:val="Heading2"/>
        <w:ind w:left="0" w:right="143"/>
        <w:jc w:val="both"/>
        <w:rPr>
          <w:sz w:val="24"/>
          <w:szCs w:val="24"/>
        </w:rPr>
      </w:pPr>
    </w:p>
    <w:tbl>
      <w:tblPr>
        <w:tblW w:w="8337" w:type="dxa"/>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721"/>
        <w:gridCol w:w="1129"/>
        <w:gridCol w:w="980"/>
        <w:gridCol w:w="952"/>
        <w:gridCol w:w="980"/>
        <w:gridCol w:w="980"/>
        <w:gridCol w:w="595"/>
      </w:tblGrid>
      <w:tr w:rsidR="002C73AC" w14:paraId="153701FC" w14:textId="77777777" w:rsidTr="002C73AC">
        <w:trPr>
          <w:trHeight w:val="1713"/>
          <w:jc w:val="center"/>
        </w:trPr>
        <w:tc>
          <w:tcPr>
            <w:tcW w:w="2721" w:type="dxa"/>
          </w:tcPr>
          <w:p w14:paraId="137A2C14" w14:textId="77777777" w:rsidR="002C73AC" w:rsidRDefault="002C73AC" w:rsidP="00BA1111">
            <w:pPr>
              <w:pStyle w:val="TableParagraph"/>
              <w:rPr>
                <w:rFonts w:ascii="Times New Roman"/>
                <w:sz w:val="20"/>
              </w:rPr>
            </w:pPr>
          </w:p>
        </w:tc>
        <w:tc>
          <w:tcPr>
            <w:tcW w:w="1129" w:type="dxa"/>
          </w:tcPr>
          <w:p w14:paraId="50F9C37F" w14:textId="77777777" w:rsidR="002C73AC" w:rsidRPr="002C73AC" w:rsidRDefault="002C73AC" w:rsidP="00BA1111">
            <w:pPr>
              <w:pStyle w:val="TableParagraph"/>
              <w:spacing w:before="122" w:line="695" w:lineRule="exact"/>
              <w:ind w:left="20"/>
              <w:jc w:val="center"/>
              <w:rPr>
                <w:sz w:val="15"/>
                <w:szCs w:val="15"/>
              </w:rPr>
            </w:pPr>
            <w:r w:rsidRPr="002C73AC">
              <w:rPr>
                <w:w w:val="99"/>
                <w:sz w:val="15"/>
                <w:szCs w:val="15"/>
              </w:rPr>
              <w:t>1</w:t>
            </w:r>
          </w:p>
          <w:p w14:paraId="18CDBCE0" w14:textId="77777777" w:rsidR="002C73AC" w:rsidRPr="002C73AC" w:rsidRDefault="002C73AC" w:rsidP="00BA1111">
            <w:pPr>
              <w:pStyle w:val="TableParagraph"/>
              <w:spacing w:line="318" w:lineRule="exact"/>
              <w:ind w:left="153" w:right="133"/>
              <w:jc w:val="center"/>
              <w:rPr>
                <w:sz w:val="15"/>
                <w:szCs w:val="15"/>
              </w:rPr>
            </w:pPr>
            <w:r w:rsidRPr="002C73AC">
              <w:rPr>
                <w:w w:val="105"/>
                <w:sz w:val="15"/>
                <w:szCs w:val="15"/>
              </w:rPr>
              <w:t>(irrelevant)</w:t>
            </w:r>
          </w:p>
        </w:tc>
        <w:tc>
          <w:tcPr>
            <w:tcW w:w="980" w:type="dxa"/>
          </w:tcPr>
          <w:p w14:paraId="27D399C5" w14:textId="77777777" w:rsidR="002C73AC" w:rsidRPr="002C73AC" w:rsidRDefault="002C73AC" w:rsidP="00BA1111">
            <w:pPr>
              <w:pStyle w:val="TableParagraph"/>
              <w:spacing w:line="657" w:lineRule="exact"/>
              <w:ind w:left="21"/>
              <w:jc w:val="center"/>
              <w:rPr>
                <w:sz w:val="15"/>
                <w:szCs w:val="15"/>
              </w:rPr>
            </w:pPr>
            <w:r w:rsidRPr="002C73AC">
              <w:rPr>
                <w:w w:val="99"/>
                <w:sz w:val="15"/>
                <w:szCs w:val="15"/>
              </w:rPr>
              <w:t>2</w:t>
            </w:r>
          </w:p>
          <w:p w14:paraId="7BBEDD79" w14:textId="77777777" w:rsidR="002C73AC" w:rsidRPr="002C73AC" w:rsidRDefault="002C73AC" w:rsidP="00BA1111">
            <w:pPr>
              <w:pStyle w:val="TableParagraph"/>
              <w:spacing w:before="4" w:line="199" w:lineRule="auto"/>
              <w:ind w:left="185" w:right="162" w:hanging="54"/>
              <w:jc w:val="center"/>
              <w:rPr>
                <w:sz w:val="15"/>
                <w:szCs w:val="15"/>
              </w:rPr>
            </w:pPr>
            <w:r w:rsidRPr="002C73AC">
              <w:rPr>
                <w:w w:val="105"/>
                <w:sz w:val="15"/>
                <w:szCs w:val="15"/>
              </w:rPr>
              <w:t xml:space="preserve">(rather not </w:t>
            </w:r>
            <w:r w:rsidRPr="002C73AC">
              <w:rPr>
                <w:sz w:val="15"/>
                <w:szCs w:val="15"/>
              </w:rPr>
              <w:t>relevant)</w:t>
            </w:r>
          </w:p>
        </w:tc>
        <w:tc>
          <w:tcPr>
            <w:tcW w:w="952" w:type="dxa"/>
          </w:tcPr>
          <w:p w14:paraId="64437306" w14:textId="77777777" w:rsidR="002C73AC" w:rsidRPr="002C73AC" w:rsidRDefault="002C73AC" w:rsidP="00BA1111">
            <w:pPr>
              <w:pStyle w:val="TableParagraph"/>
              <w:spacing w:before="122" w:line="695" w:lineRule="exact"/>
              <w:ind w:left="22"/>
              <w:jc w:val="center"/>
              <w:rPr>
                <w:sz w:val="15"/>
                <w:szCs w:val="15"/>
              </w:rPr>
            </w:pPr>
            <w:r w:rsidRPr="002C73AC">
              <w:rPr>
                <w:w w:val="99"/>
                <w:sz w:val="15"/>
                <w:szCs w:val="15"/>
              </w:rPr>
              <w:t>3</w:t>
            </w:r>
          </w:p>
          <w:p w14:paraId="0AA0A7FE" w14:textId="77777777" w:rsidR="002C73AC" w:rsidRPr="002C73AC" w:rsidRDefault="002C73AC" w:rsidP="00BA1111">
            <w:pPr>
              <w:pStyle w:val="TableParagraph"/>
              <w:spacing w:line="318" w:lineRule="exact"/>
              <w:ind w:left="157" w:right="135"/>
              <w:jc w:val="center"/>
              <w:rPr>
                <w:sz w:val="15"/>
                <w:szCs w:val="15"/>
              </w:rPr>
            </w:pPr>
            <w:r w:rsidRPr="002C73AC">
              <w:rPr>
                <w:w w:val="105"/>
                <w:sz w:val="15"/>
                <w:szCs w:val="15"/>
              </w:rPr>
              <w:t>(neutral)</w:t>
            </w:r>
          </w:p>
        </w:tc>
        <w:tc>
          <w:tcPr>
            <w:tcW w:w="980" w:type="dxa"/>
          </w:tcPr>
          <w:p w14:paraId="50596396" w14:textId="77777777" w:rsidR="002C73AC" w:rsidRPr="002C73AC" w:rsidRDefault="002C73AC" w:rsidP="00BA1111">
            <w:pPr>
              <w:pStyle w:val="TableParagraph"/>
              <w:spacing w:before="110" w:line="695" w:lineRule="exact"/>
              <w:ind w:left="22"/>
              <w:jc w:val="center"/>
              <w:rPr>
                <w:sz w:val="15"/>
                <w:szCs w:val="15"/>
              </w:rPr>
            </w:pPr>
            <w:r w:rsidRPr="002C73AC">
              <w:rPr>
                <w:w w:val="99"/>
                <w:sz w:val="15"/>
                <w:szCs w:val="15"/>
              </w:rPr>
              <w:t>4</w:t>
            </w:r>
          </w:p>
          <w:p w14:paraId="104E40B2" w14:textId="77777777" w:rsidR="002C73AC" w:rsidRPr="002C73AC" w:rsidRDefault="002C73AC" w:rsidP="00BA1111">
            <w:pPr>
              <w:pStyle w:val="TableParagraph"/>
              <w:spacing w:before="4" w:line="199" w:lineRule="auto"/>
              <w:ind w:left="186" w:right="161" w:hanging="54"/>
              <w:jc w:val="center"/>
              <w:rPr>
                <w:sz w:val="15"/>
                <w:szCs w:val="15"/>
              </w:rPr>
            </w:pPr>
            <w:r w:rsidRPr="002C73AC">
              <w:rPr>
                <w:w w:val="105"/>
                <w:sz w:val="15"/>
                <w:szCs w:val="15"/>
              </w:rPr>
              <w:t xml:space="preserve">(rather </w:t>
            </w:r>
            <w:r w:rsidRPr="002C73AC">
              <w:rPr>
                <w:sz w:val="15"/>
                <w:szCs w:val="15"/>
              </w:rPr>
              <w:t>relevant)</w:t>
            </w:r>
          </w:p>
        </w:tc>
        <w:tc>
          <w:tcPr>
            <w:tcW w:w="980" w:type="dxa"/>
          </w:tcPr>
          <w:p w14:paraId="25149FEB" w14:textId="77777777" w:rsidR="002C73AC" w:rsidRPr="002C73AC" w:rsidRDefault="002C73AC" w:rsidP="00BA1111">
            <w:pPr>
              <w:pStyle w:val="TableParagraph"/>
              <w:spacing w:before="110" w:line="695" w:lineRule="exact"/>
              <w:ind w:left="23"/>
              <w:jc w:val="center"/>
              <w:rPr>
                <w:sz w:val="15"/>
                <w:szCs w:val="15"/>
              </w:rPr>
            </w:pPr>
            <w:r w:rsidRPr="002C73AC">
              <w:rPr>
                <w:w w:val="99"/>
                <w:sz w:val="15"/>
                <w:szCs w:val="15"/>
              </w:rPr>
              <w:t>5</w:t>
            </w:r>
          </w:p>
          <w:p w14:paraId="2347B724" w14:textId="77777777" w:rsidR="002C73AC" w:rsidRPr="002C73AC" w:rsidRDefault="002C73AC" w:rsidP="00BA1111">
            <w:pPr>
              <w:pStyle w:val="TableParagraph"/>
              <w:spacing w:before="4" w:line="199" w:lineRule="auto"/>
              <w:ind w:left="186" w:right="161" w:hanging="55"/>
              <w:jc w:val="center"/>
              <w:rPr>
                <w:sz w:val="15"/>
                <w:szCs w:val="15"/>
              </w:rPr>
            </w:pPr>
            <w:r w:rsidRPr="002C73AC">
              <w:rPr>
                <w:w w:val="105"/>
                <w:sz w:val="15"/>
                <w:szCs w:val="15"/>
              </w:rPr>
              <w:t xml:space="preserve">(fully </w:t>
            </w:r>
            <w:r w:rsidRPr="002C73AC">
              <w:rPr>
                <w:sz w:val="15"/>
                <w:szCs w:val="15"/>
              </w:rPr>
              <w:t>relevant)</w:t>
            </w:r>
          </w:p>
        </w:tc>
        <w:tc>
          <w:tcPr>
            <w:tcW w:w="595" w:type="dxa"/>
          </w:tcPr>
          <w:p w14:paraId="11499F78" w14:textId="77777777" w:rsidR="002C73AC" w:rsidRPr="002C73AC" w:rsidRDefault="002C73AC" w:rsidP="00BA1111">
            <w:pPr>
              <w:pStyle w:val="TableParagraph"/>
              <w:spacing w:before="312" w:line="529" w:lineRule="exact"/>
              <w:ind w:left="186"/>
              <w:rPr>
                <w:sz w:val="15"/>
                <w:szCs w:val="15"/>
              </w:rPr>
            </w:pPr>
            <w:r w:rsidRPr="002C73AC">
              <w:rPr>
                <w:sz w:val="15"/>
                <w:szCs w:val="15"/>
              </w:rPr>
              <w:t>N.</w:t>
            </w:r>
          </w:p>
          <w:p w14:paraId="50778BB2" w14:textId="77777777" w:rsidR="002C73AC" w:rsidRPr="002C73AC" w:rsidRDefault="002C73AC" w:rsidP="00BA1111">
            <w:pPr>
              <w:pStyle w:val="TableParagraph"/>
              <w:spacing w:line="529" w:lineRule="exact"/>
              <w:ind w:left="195"/>
              <w:rPr>
                <w:sz w:val="15"/>
                <w:szCs w:val="15"/>
              </w:rPr>
            </w:pPr>
            <w:r w:rsidRPr="002C73AC">
              <w:rPr>
                <w:sz w:val="15"/>
                <w:szCs w:val="15"/>
              </w:rPr>
              <w:t>A.</w:t>
            </w:r>
          </w:p>
        </w:tc>
      </w:tr>
      <w:tr w:rsidR="002C73AC" w14:paraId="3A702DE6" w14:textId="77777777" w:rsidTr="002C73AC">
        <w:trPr>
          <w:trHeight w:val="1171"/>
          <w:jc w:val="center"/>
        </w:trPr>
        <w:tc>
          <w:tcPr>
            <w:tcW w:w="2721" w:type="dxa"/>
          </w:tcPr>
          <w:p w14:paraId="7A53DD9C" w14:textId="77777777" w:rsidR="002C73AC" w:rsidRDefault="002C73AC" w:rsidP="00BA1111">
            <w:pPr>
              <w:pStyle w:val="TableParagraph"/>
              <w:spacing w:before="69" w:line="199" w:lineRule="auto"/>
              <w:ind w:left="185" w:right="246"/>
              <w:jc w:val="both"/>
              <w:rPr>
                <w:sz w:val="19"/>
              </w:rPr>
            </w:pPr>
            <w:r>
              <w:rPr>
                <w:w w:val="105"/>
                <w:sz w:val="19"/>
              </w:rPr>
              <w:t>Ensure</w:t>
            </w:r>
            <w:r>
              <w:rPr>
                <w:spacing w:val="-19"/>
                <w:w w:val="105"/>
                <w:sz w:val="19"/>
              </w:rPr>
              <w:t xml:space="preserve"> </w:t>
            </w:r>
            <w:r>
              <w:rPr>
                <w:w w:val="105"/>
                <w:sz w:val="19"/>
              </w:rPr>
              <w:t>more</w:t>
            </w:r>
            <w:r>
              <w:rPr>
                <w:spacing w:val="-19"/>
                <w:w w:val="105"/>
                <w:sz w:val="19"/>
              </w:rPr>
              <w:t xml:space="preserve"> </w:t>
            </w:r>
            <w:r>
              <w:rPr>
                <w:w w:val="105"/>
                <w:sz w:val="19"/>
              </w:rPr>
              <w:t>affordable</w:t>
            </w:r>
            <w:r>
              <w:rPr>
                <w:spacing w:val="-19"/>
                <w:w w:val="105"/>
                <w:sz w:val="19"/>
              </w:rPr>
              <w:t xml:space="preserve"> </w:t>
            </w:r>
            <w:r>
              <w:rPr>
                <w:spacing w:val="-3"/>
                <w:w w:val="105"/>
                <w:sz w:val="19"/>
              </w:rPr>
              <w:t xml:space="preserve">access </w:t>
            </w:r>
            <w:r>
              <w:rPr>
                <w:w w:val="105"/>
                <w:sz w:val="19"/>
              </w:rPr>
              <w:t>at</w:t>
            </w:r>
            <w:r>
              <w:rPr>
                <w:spacing w:val="-10"/>
                <w:w w:val="105"/>
                <w:sz w:val="19"/>
              </w:rPr>
              <w:t xml:space="preserve"> </w:t>
            </w:r>
            <w:r>
              <w:rPr>
                <w:w w:val="105"/>
                <w:sz w:val="19"/>
              </w:rPr>
              <w:t>EU</w:t>
            </w:r>
            <w:r>
              <w:rPr>
                <w:spacing w:val="-9"/>
                <w:w w:val="105"/>
                <w:sz w:val="19"/>
              </w:rPr>
              <w:t xml:space="preserve"> </w:t>
            </w:r>
            <w:r>
              <w:rPr>
                <w:w w:val="105"/>
                <w:sz w:val="19"/>
              </w:rPr>
              <w:t>level</w:t>
            </w:r>
            <w:r>
              <w:rPr>
                <w:spacing w:val="-9"/>
                <w:w w:val="105"/>
                <w:sz w:val="19"/>
              </w:rPr>
              <w:t xml:space="preserve"> </w:t>
            </w:r>
            <w:r>
              <w:rPr>
                <w:w w:val="105"/>
                <w:sz w:val="19"/>
              </w:rPr>
              <w:t>to</w:t>
            </w:r>
            <w:r>
              <w:rPr>
                <w:spacing w:val="-10"/>
                <w:w w:val="105"/>
                <w:sz w:val="19"/>
              </w:rPr>
              <w:t xml:space="preserve"> </w:t>
            </w:r>
            <w:r>
              <w:rPr>
                <w:w w:val="105"/>
                <w:sz w:val="19"/>
              </w:rPr>
              <w:t>financial</w:t>
            </w:r>
            <w:r>
              <w:rPr>
                <w:spacing w:val="-9"/>
                <w:w w:val="105"/>
                <w:sz w:val="19"/>
              </w:rPr>
              <w:t xml:space="preserve"> </w:t>
            </w:r>
            <w:r>
              <w:rPr>
                <w:w w:val="105"/>
                <w:sz w:val="19"/>
              </w:rPr>
              <w:t>data</w:t>
            </w:r>
            <w:r>
              <w:rPr>
                <w:spacing w:val="-9"/>
                <w:w w:val="105"/>
                <w:sz w:val="19"/>
              </w:rPr>
              <w:t xml:space="preserve"> </w:t>
            </w:r>
            <w:r>
              <w:rPr>
                <w:w w:val="105"/>
                <w:sz w:val="19"/>
              </w:rPr>
              <w:t>for consumers</w:t>
            </w:r>
            <w:r>
              <w:rPr>
                <w:spacing w:val="-16"/>
                <w:w w:val="105"/>
                <w:sz w:val="19"/>
              </w:rPr>
              <w:t xml:space="preserve"> </w:t>
            </w:r>
            <w:r>
              <w:rPr>
                <w:w w:val="105"/>
                <w:sz w:val="19"/>
              </w:rPr>
              <w:t>and</w:t>
            </w:r>
            <w:r>
              <w:rPr>
                <w:spacing w:val="-16"/>
                <w:w w:val="105"/>
                <w:sz w:val="19"/>
              </w:rPr>
              <w:t xml:space="preserve"> </w:t>
            </w:r>
            <w:r>
              <w:rPr>
                <w:w w:val="105"/>
                <w:sz w:val="19"/>
              </w:rPr>
              <w:t>retail</w:t>
            </w:r>
            <w:r>
              <w:rPr>
                <w:spacing w:val="-16"/>
                <w:w w:val="105"/>
                <w:sz w:val="19"/>
              </w:rPr>
              <w:t xml:space="preserve"> </w:t>
            </w:r>
            <w:r>
              <w:rPr>
                <w:w w:val="105"/>
                <w:sz w:val="19"/>
              </w:rPr>
              <w:t>investors</w:t>
            </w:r>
          </w:p>
        </w:tc>
        <w:tc>
          <w:tcPr>
            <w:tcW w:w="1129" w:type="dxa"/>
          </w:tcPr>
          <w:p w14:paraId="7E69AB4B" w14:textId="77777777" w:rsidR="002C73AC" w:rsidRDefault="002C73AC" w:rsidP="00BA1111">
            <w:pPr>
              <w:pStyle w:val="TableParagraph"/>
              <w:rPr>
                <w:rFonts w:ascii="Arial"/>
                <w:b/>
                <w:sz w:val="20"/>
              </w:rPr>
            </w:pPr>
          </w:p>
          <w:p w14:paraId="36DD65BE" w14:textId="77777777" w:rsidR="002C73AC" w:rsidRDefault="002C73AC" w:rsidP="00BA1111">
            <w:pPr>
              <w:pStyle w:val="TableParagraph"/>
              <w:spacing w:before="5" w:after="1"/>
              <w:rPr>
                <w:rFonts w:ascii="Arial"/>
                <w:b/>
                <w:sz w:val="19"/>
              </w:rPr>
            </w:pPr>
          </w:p>
          <w:p w14:paraId="6694E97C"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4AEB9AB" wp14:editId="0E159291">
                  <wp:extent cx="114300" cy="114300"/>
                  <wp:effectExtent l="0" t="0" r="0" b="0"/>
                  <wp:docPr id="16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79CE347A" w14:textId="77777777" w:rsidR="002C73AC" w:rsidRDefault="002C73AC" w:rsidP="00BA1111">
            <w:pPr>
              <w:pStyle w:val="TableParagraph"/>
              <w:rPr>
                <w:rFonts w:ascii="Arial"/>
                <w:b/>
                <w:sz w:val="20"/>
              </w:rPr>
            </w:pPr>
          </w:p>
          <w:p w14:paraId="76C024E0" w14:textId="77777777" w:rsidR="002C73AC" w:rsidRDefault="002C73AC" w:rsidP="00BA1111">
            <w:pPr>
              <w:pStyle w:val="TableParagraph"/>
              <w:spacing w:before="5" w:after="1"/>
              <w:rPr>
                <w:rFonts w:ascii="Arial"/>
                <w:b/>
                <w:sz w:val="19"/>
              </w:rPr>
            </w:pPr>
          </w:p>
          <w:p w14:paraId="4453AF9E"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CA4760D" wp14:editId="7C51C575">
                  <wp:extent cx="114300" cy="114300"/>
                  <wp:effectExtent l="0" t="0" r="0" b="0"/>
                  <wp:docPr id="16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59851F2E" w14:textId="77777777" w:rsidR="002C73AC" w:rsidRDefault="002C73AC" w:rsidP="00BA1111">
            <w:pPr>
              <w:pStyle w:val="TableParagraph"/>
              <w:rPr>
                <w:rFonts w:ascii="Arial"/>
                <w:b/>
                <w:sz w:val="20"/>
              </w:rPr>
            </w:pPr>
          </w:p>
          <w:p w14:paraId="630A1F4B" w14:textId="77777777" w:rsidR="002C73AC" w:rsidRDefault="002C73AC" w:rsidP="00BA1111">
            <w:pPr>
              <w:pStyle w:val="TableParagraph"/>
              <w:spacing w:before="5" w:after="1"/>
              <w:rPr>
                <w:rFonts w:ascii="Arial"/>
                <w:b/>
                <w:sz w:val="19"/>
              </w:rPr>
            </w:pPr>
          </w:p>
          <w:p w14:paraId="165F7C8E" w14:textId="77777777" w:rsidR="002C73AC" w:rsidRDefault="002C73AC" w:rsidP="00BA1111">
            <w:pPr>
              <w:pStyle w:val="TableParagraph"/>
              <w:spacing w:line="180" w:lineRule="exact"/>
              <w:ind w:left="451"/>
              <w:rPr>
                <w:rFonts w:ascii="Arial"/>
                <w:sz w:val="18"/>
              </w:rPr>
            </w:pPr>
            <w:r>
              <w:rPr>
                <w:rFonts w:ascii="Arial"/>
                <w:sz w:val="18"/>
              </w:rPr>
              <w:t>X</w:t>
            </w:r>
          </w:p>
        </w:tc>
        <w:tc>
          <w:tcPr>
            <w:tcW w:w="980" w:type="dxa"/>
          </w:tcPr>
          <w:p w14:paraId="683A142C" w14:textId="77777777" w:rsidR="002C73AC" w:rsidRDefault="002C73AC" w:rsidP="00BA1111">
            <w:pPr>
              <w:pStyle w:val="TableParagraph"/>
              <w:rPr>
                <w:rFonts w:ascii="Arial"/>
                <w:b/>
                <w:sz w:val="20"/>
              </w:rPr>
            </w:pPr>
          </w:p>
          <w:p w14:paraId="1724CBDB" w14:textId="77777777" w:rsidR="002C73AC" w:rsidRDefault="002C73AC" w:rsidP="00BA1111">
            <w:pPr>
              <w:pStyle w:val="TableParagraph"/>
              <w:spacing w:before="5" w:after="1"/>
              <w:rPr>
                <w:rFonts w:ascii="Arial"/>
                <w:b/>
                <w:sz w:val="19"/>
              </w:rPr>
            </w:pPr>
          </w:p>
          <w:p w14:paraId="79AD4B4D"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81119B4" wp14:editId="7314067F">
                  <wp:extent cx="114300" cy="114300"/>
                  <wp:effectExtent l="0" t="0" r="0" b="0"/>
                  <wp:docPr id="16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082EB267" w14:textId="77777777" w:rsidR="002C73AC" w:rsidRDefault="002C73AC" w:rsidP="00BA1111">
            <w:pPr>
              <w:pStyle w:val="TableParagraph"/>
              <w:rPr>
                <w:rFonts w:ascii="Arial"/>
                <w:b/>
                <w:sz w:val="20"/>
              </w:rPr>
            </w:pPr>
          </w:p>
          <w:p w14:paraId="027EBC6A" w14:textId="77777777" w:rsidR="002C73AC" w:rsidRDefault="002C73AC" w:rsidP="00BA1111">
            <w:pPr>
              <w:pStyle w:val="TableParagraph"/>
              <w:spacing w:before="5" w:after="1"/>
              <w:rPr>
                <w:rFonts w:ascii="Arial"/>
                <w:b/>
                <w:sz w:val="19"/>
              </w:rPr>
            </w:pPr>
          </w:p>
          <w:p w14:paraId="530EDB50"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24A3CDB" wp14:editId="550D8E2D">
                  <wp:extent cx="114300" cy="114300"/>
                  <wp:effectExtent l="0" t="0" r="0" b="0"/>
                  <wp:docPr id="16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7C007DBA" w14:textId="77777777" w:rsidR="002C73AC" w:rsidRDefault="002C73AC" w:rsidP="00BA1111">
            <w:pPr>
              <w:pStyle w:val="TableParagraph"/>
              <w:rPr>
                <w:rFonts w:ascii="Arial"/>
                <w:b/>
                <w:sz w:val="20"/>
              </w:rPr>
            </w:pPr>
          </w:p>
          <w:p w14:paraId="39E44E78" w14:textId="77777777" w:rsidR="002C73AC" w:rsidRDefault="002C73AC" w:rsidP="00BA1111">
            <w:pPr>
              <w:pStyle w:val="TableParagraph"/>
              <w:spacing w:before="5" w:after="1"/>
              <w:rPr>
                <w:rFonts w:ascii="Arial"/>
                <w:b/>
                <w:sz w:val="19"/>
              </w:rPr>
            </w:pPr>
          </w:p>
          <w:p w14:paraId="06A31BDA"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04142E6A" wp14:editId="154558B9">
                  <wp:extent cx="114300" cy="114300"/>
                  <wp:effectExtent l="0" t="0" r="0" b="0"/>
                  <wp:docPr id="16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C73AC" w:rsidRPr="00DB631C" w14:paraId="41A06DE7" w14:textId="77777777" w:rsidTr="002C73AC">
        <w:trPr>
          <w:trHeight w:val="1171"/>
          <w:jc w:val="center"/>
        </w:trPr>
        <w:tc>
          <w:tcPr>
            <w:tcW w:w="2721" w:type="dxa"/>
          </w:tcPr>
          <w:p w14:paraId="7C9D90C4" w14:textId="77777777" w:rsidR="002C73AC" w:rsidRDefault="002C73AC" w:rsidP="00BA1111">
            <w:pPr>
              <w:pStyle w:val="TableParagraph"/>
              <w:spacing w:before="69" w:line="199" w:lineRule="auto"/>
              <w:ind w:left="185" w:right="375"/>
              <w:jc w:val="both"/>
              <w:rPr>
                <w:sz w:val="19"/>
              </w:rPr>
            </w:pPr>
            <w:r>
              <w:rPr>
                <w:w w:val="105"/>
                <w:sz w:val="19"/>
              </w:rPr>
              <w:t>Encourage</w:t>
            </w:r>
            <w:r>
              <w:rPr>
                <w:spacing w:val="-16"/>
                <w:w w:val="105"/>
                <w:sz w:val="19"/>
              </w:rPr>
              <w:t xml:space="preserve"> </w:t>
            </w:r>
            <w:r>
              <w:rPr>
                <w:w w:val="105"/>
                <w:sz w:val="19"/>
              </w:rPr>
              <w:t>supervisors</w:t>
            </w:r>
            <w:r>
              <w:rPr>
                <w:spacing w:val="-16"/>
                <w:w w:val="105"/>
                <w:sz w:val="19"/>
              </w:rPr>
              <w:t xml:space="preserve"> </w:t>
            </w:r>
            <w:r>
              <w:rPr>
                <w:w w:val="105"/>
                <w:sz w:val="19"/>
              </w:rPr>
              <w:t>to</w:t>
            </w:r>
            <w:r>
              <w:rPr>
                <w:spacing w:val="-16"/>
                <w:w w:val="105"/>
                <w:sz w:val="19"/>
              </w:rPr>
              <w:t xml:space="preserve"> </w:t>
            </w:r>
            <w:r>
              <w:rPr>
                <w:w w:val="105"/>
                <w:sz w:val="19"/>
              </w:rPr>
              <w:t>set up hubs</w:t>
            </w:r>
            <w:r w:rsidRPr="00DB631C">
              <w:rPr>
                <w:w w:val="105"/>
                <w:sz w:val="19"/>
                <w:lang w:val="en-GB"/>
              </w:rPr>
              <w:t xml:space="preserve"> focussed</w:t>
            </w:r>
            <w:r>
              <w:rPr>
                <w:w w:val="105"/>
                <w:sz w:val="19"/>
              </w:rPr>
              <w:t xml:space="preserve"> on guiding consumers</w:t>
            </w:r>
            <w:r>
              <w:rPr>
                <w:spacing w:val="-14"/>
                <w:w w:val="105"/>
                <w:sz w:val="19"/>
              </w:rPr>
              <w:t xml:space="preserve"> </w:t>
            </w:r>
            <w:r>
              <w:rPr>
                <w:w w:val="105"/>
                <w:sz w:val="19"/>
              </w:rPr>
              <w:t>in</w:t>
            </w:r>
            <w:r>
              <w:rPr>
                <w:spacing w:val="-13"/>
                <w:w w:val="105"/>
                <w:sz w:val="19"/>
              </w:rPr>
              <w:t xml:space="preserve"> </w:t>
            </w:r>
            <w:r>
              <w:rPr>
                <w:w w:val="105"/>
                <w:sz w:val="19"/>
              </w:rPr>
              <w:t>the</w:t>
            </w:r>
            <w:r>
              <w:rPr>
                <w:spacing w:val="-13"/>
                <w:w w:val="105"/>
                <w:sz w:val="19"/>
              </w:rPr>
              <w:t xml:space="preserve"> </w:t>
            </w:r>
            <w:r>
              <w:rPr>
                <w:w w:val="105"/>
                <w:sz w:val="19"/>
              </w:rPr>
              <w:t>digital</w:t>
            </w:r>
            <w:r>
              <w:rPr>
                <w:spacing w:val="-13"/>
                <w:w w:val="105"/>
                <w:sz w:val="19"/>
              </w:rPr>
              <w:t xml:space="preserve"> </w:t>
            </w:r>
            <w:r>
              <w:rPr>
                <w:spacing w:val="-4"/>
                <w:w w:val="105"/>
                <w:sz w:val="19"/>
              </w:rPr>
              <w:t>world</w:t>
            </w:r>
          </w:p>
        </w:tc>
        <w:tc>
          <w:tcPr>
            <w:tcW w:w="1129" w:type="dxa"/>
          </w:tcPr>
          <w:p w14:paraId="43C7A298" w14:textId="77777777" w:rsidR="002C73AC" w:rsidRDefault="002C73AC" w:rsidP="00BA1111">
            <w:pPr>
              <w:pStyle w:val="TableParagraph"/>
              <w:rPr>
                <w:rFonts w:ascii="Arial"/>
                <w:b/>
                <w:sz w:val="20"/>
              </w:rPr>
            </w:pPr>
          </w:p>
          <w:p w14:paraId="5CB57091" w14:textId="77777777" w:rsidR="002C73AC" w:rsidRDefault="002C73AC" w:rsidP="00BA1111">
            <w:pPr>
              <w:pStyle w:val="TableParagraph"/>
              <w:spacing w:before="5"/>
              <w:rPr>
                <w:rFonts w:ascii="Arial"/>
                <w:b/>
                <w:sz w:val="19"/>
              </w:rPr>
            </w:pPr>
          </w:p>
          <w:p w14:paraId="37AC523A"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20697E3C" wp14:editId="0A1C9326">
                  <wp:extent cx="114300" cy="114300"/>
                  <wp:effectExtent l="0" t="0" r="0" b="0"/>
                  <wp:docPr id="16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68DB55F5" w14:textId="77777777" w:rsidR="002C73AC" w:rsidRDefault="002C73AC" w:rsidP="00BA1111">
            <w:pPr>
              <w:pStyle w:val="TableParagraph"/>
              <w:rPr>
                <w:rFonts w:ascii="Arial"/>
                <w:b/>
                <w:sz w:val="20"/>
              </w:rPr>
            </w:pPr>
          </w:p>
          <w:p w14:paraId="417D7E82" w14:textId="77777777" w:rsidR="002C73AC" w:rsidRDefault="002C73AC" w:rsidP="00BA1111">
            <w:pPr>
              <w:pStyle w:val="TableParagraph"/>
              <w:spacing w:before="5"/>
              <w:rPr>
                <w:rFonts w:ascii="Arial"/>
                <w:b/>
                <w:sz w:val="19"/>
              </w:rPr>
            </w:pPr>
          </w:p>
          <w:p w14:paraId="066B074A"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545D9FF" wp14:editId="63C8C029">
                  <wp:extent cx="114300" cy="114300"/>
                  <wp:effectExtent l="0" t="0" r="0" b="0"/>
                  <wp:docPr id="16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53034EFD" w14:textId="77777777" w:rsidR="002C73AC" w:rsidRDefault="002C73AC" w:rsidP="00BA1111">
            <w:pPr>
              <w:pStyle w:val="TableParagraph"/>
              <w:rPr>
                <w:rFonts w:ascii="Arial"/>
                <w:b/>
                <w:sz w:val="20"/>
              </w:rPr>
            </w:pPr>
          </w:p>
          <w:p w14:paraId="40FA2716" w14:textId="77777777" w:rsidR="002C73AC" w:rsidRDefault="002C73AC" w:rsidP="00BA1111">
            <w:pPr>
              <w:pStyle w:val="TableParagraph"/>
              <w:spacing w:before="5"/>
              <w:rPr>
                <w:rFonts w:ascii="Arial"/>
                <w:b/>
                <w:sz w:val="19"/>
              </w:rPr>
            </w:pPr>
          </w:p>
          <w:p w14:paraId="57BA5567" w14:textId="77777777" w:rsidR="002C73AC" w:rsidRDefault="002C73AC" w:rsidP="00BA1111">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2780CB66" wp14:editId="1307CE1E">
                  <wp:extent cx="114300" cy="114300"/>
                  <wp:effectExtent l="0" t="0" r="0" b="0"/>
                  <wp:docPr id="16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226B252A" w14:textId="77777777" w:rsidR="002C73AC" w:rsidRDefault="002C73AC" w:rsidP="00BA1111">
            <w:pPr>
              <w:pStyle w:val="TableParagraph"/>
              <w:rPr>
                <w:rFonts w:ascii="Arial"/>
                <w:b/>
                <w:sz w:val="20"/>
              </w:rPr>
            </w:pPr>
          </w:p>
          <w:p w14:paraId="037D8072" w14:textId="77777777" w:rsidR="002C73AC" w:rsidRDefault="002C73AC" w:rsidP="00BA1111">
            <w:pPr>
              <w:pStyle w:val="TableParagraph"/>
              <w:spacing w:before="5"/>
              <w:rPr>
                <w:rFonts w:ascii="Arial"/>
                <w:b/>
                <w:sz w:val="19"/>
              </w:rPr>
            </w:pPr>
          </w:p>
          <w:p w14:paraId="00B55422" w14:textId="77777777" w:rsidR="002C73AC" w:rsidRDefault="002C73AC" w:rsidP="00BA1111">
            <w:pPr>
              <w:pStyle w:val="TableParagraph"/>
              <w:spacing w:line="180" w:lineRule="exact"/>
              <w:ind w:left="468"/>
              <w:rPr>
                <w:rFonts w:ascii="Arial"/>
                <w:sz w:val="18"/>
              </w:rPr>
            </w:pPr>
            <w:r>
              <w:rPr>
                <w:rFonts w:ascii="Arial"/>
                <w:sz w:val="18"/>
              </w:rPr>
              <w:t>X</w:t>
            </w:r>
          </w:p>
        </w:tc>
        <w:tc>
          <w:tcPr>
            <w:tcW w:w="980" w:type="dxa"/>
          </w:tcPr>
          <w:p w14:paraId="4769511A" w14:textId="77777777" w:rsidR="002C73AC" w:rsidRDefault="002C73AC" w:rsidP="00BA1111">
            <w:pPr>
              <w:pStyle w:val="TableParagraph"/>
              <w:rPr>
                <w:rFonts w:ascii="Arial"/>
                <w:b/>
                <w:sz w:val="20"/>
              </w:rPr>
            </w:pPr>
          </w:p>
          <w:p w14:paraId="2E59277E" w14:textId="77777777" w:rsidR="002C73AC" w:rsidRDefault="002C73AC" w:rsidP="00BA1111">
            <w:pPr>
              <w:pStyle w:val="TableParagraph"/>
              <w:spacing w:before="5"/>
              <w:rPr>
                <w:rFonts w:ascii="Arial"/>
                <w:b/>
                <w:sz w:val="19"/>
              </w:rPr>
            </w:pPr>
          </w:p>
          <w:p w14:paraId="2D4CD1EF"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2D7B0202" wp14:editId="6308C78A">
                  <wp:extent cx="114300" cy="114300"/>
                  <wp:effectExtent l="0" t="0" r="0" b="0"/>
                  <wp:docPr id="16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771E8A66" w14:textId="77777777" w:rsidR="002C73AC" w:rsidRDefault="002C73AC" w:rsidP="00BA1111">
            <w:pPr>
              <w:pStyle w:val="TableParagraph"/>
              <w:rPr>
                <w:rFonts w:ascii="Arial"/>
                <w:b/>
                <w:sz w:val="20"/>
              </w:rPr>
            </w:pPr>
          </w:p>
          <w:p w14:paraId="69B05D51" w14:textId="77777777" w:rsidR="002C73AC" w:rsidRDefault="002C73AC" w:rsidP="00BA1111">
            <w:pPr>
              <w:pStyle w:val="TableParagraph"/>
              <w:spacing w:before="5"/>
              <w:rPr>
                <w:rFonts w:ascii="Arial"/>
                <w:b/>
                <w:sz w:val="19"/>
              </w:rPr>
            </w:pPr>
          </w:p>
          <w:p w14:paraId="2DF8ECC8"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62DBD78A" wp14:editId="26E8C43E">
                  <wp:extent cx="114300" cy="114300"/>
                  <wp:effectExtent l="0" t="0" r="0" b="0"/>
                  <wp:docPr id="16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C73AC" w14:paraId="1CB2953B" w14:textId="77777777" w:rsidTr="002C73AC">
        <w:trPr>
          <w:trHeight w:val="1751"/>
          <w:jc w:val="center"/>
        </w:trPr>
        <w:tc>
          <w:tcPr>
            <w:tcW w:w="2721" w:type="dxa"/>
          </w:tcPr>
          <w:p w14:paraId="42A50811" w14:textId="77777777" w:rsidR="002C73AC" w:rsidRDefault="002C73AC" w:rsidP="00BA1111">
            <w:pPr>
              <w:pStyle w:val="TableParagraph"/>
              <w:spacing w:before="69" w:line="199" w:lineRule="auto"/>
              <w:ind w:left="185" w:right="286"/>
              <w:rPr>
                <w:sz w:val="19"/>
              </w:rPr>
            </w:pPr>
            <w:r w:rsidRPr="00DB631C">
              <w:rPr>
                <w:w w:val="105"/>
                <w:sz w:val="19"/>
                <w:lang w:val="en-GB"/>
              </w:rPr>
              <w:t>Organise</w:t>
            </w:r>
            <w:r>
              <w:rPr>
                <w:w w:val="105"/>
                <w:sz w:val="19"/>
              </w:rPr>
              <w:t xml:space="preserve"> pan-European campaigns and advisory hubs focusing on</w:t>
            </w:r>
            <w:r w:rsidRPr="00DB631C">
              <w:rPr>
                <w:w w:val="105"/>
                <w:sz w:val="19"/>
                <w:lang w:val="en-GB"/>
              </w:rPr>
              <w:t xml:space="preserve"> digitalisation</w:t>
            </w:r>
            <w:r>
              <w:rPr>
                <w:w w:val="105"/>
                <w:sz w:val="19"/>
              </w:rPr>
              <w:t xml:space="preserve"> to raise awareness among consumers</w:t>
            </w:r>
          </w:p>
        </w:tc>
        <w:tc>
          <w:tcPr>
            <w:tcW w:w="1129" w:type="dxa"/>
          </w:tcPr>
          <w:p w14:paraId="50334326" w14:textId="77777777" w:rsidR="002C73AC" w:rsidRDefault="002C73AC" w:rsidP="00BA1111">
            <w:pPr>
              <w:pStyle w:val="TableParagraph"/>
              <w:rPr>
                <w:rFonts w:ascii="Arial"/>
                <w:b/>
                <w:sz w:val="20"/>
              </w:rPr>
            </w:pPr>
          </w:p>
          <w:p w14:paraId="59A3F3E0" w14:textId="77777777" w:rsidR="002C73AC" w:rsidRDefault="002C73AC" w:rsidP="00BA1111">
            <w:pPr>
              <w:pStyle w:val="TableParagraph"/>
              <w:rPr>
                <w:rFonts w:ascii="Arial"/>
                <w:b/>
                <w:sz w:val="20"/>
              </w:rPr>
            </w:pPr>
          </w:p>
          <w:p w14:paraId="01CFC7DF" w14:textId="77777777" w:rsidR="002C73AC" w:rsidRDefault="002C73AC" w:rsidP="00BA1111">
            <w:pPr>
              <w:pStyle w:val="TableParagraph"/>
              <w:spacing w:before="2" w:after="1"/>
              <w:rPr>
                <w:rFonts w:ascii="Arial"/>
                <w:b/>
                <w:sz w:val="25"/>
              </w:rPr>
            </w:pPr>
          </w:p>
          <w:p w14:paraId="1B337448"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4ABD42B5" wp14:editId="59B4FED5">
                  <wp:extent cx="114300" cy="114300"/>
                  <wp:effectExtent l="0" t="0" r="0" b="0"/>
                  <wp:docPr id="16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20009F77" w14:textId="77777777" w:rsidR="002C73AC" w:rsidRDefault="002C73AC" w:rsidP="00BA1111">
            <w:pPr>
              <w:pStyle w:val="TableParagraph"/>
              <w:rPr>
                <w:rFonts w:ascii="Arial"/>
                <w:b/>
                <w:sz w:val="20"/>
              </w:rPr>
            </w:pPr>
          </w:p>
          <w:p w14:paraId="52F25047" w14:textId="77777777" w:rsidR="002C73AC" w:rsidRDefault="002C73AC" w:rsidP="00BA1111">
            <w:pPr>
              <w:pStyle w:val="TableParagraph"/>
              <w:rPr>
                <w:rFonts w:ascii="Arial"/>
                <w:b/>
                <w:sz w:val="20"/>
              </w:rPr>
            </w:pPr>
          </w:p>
          <w:p w14:paraId="34FE888A" w14:textId="77777777" w:rsidR="002C73AC" w:rsidRDefault="002C73AC" w:rsidP="00BA1111">
            <w:pPr>
              <w:pStyle w:val="TableParagraph"/>
              <w:spacing w:before="2" w:after="1"/>
              <w:rPr>
                <w:rFonts w:ascii="Arial"/>
                <w:b/>
                <w:sz w:val="25"/>
              </w:rPr>
            </w:pPr>
          </w:p>
          <w:p w14:paraId="23C8DA52"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FA10C7F" wp14:editId="306912D1">
                  <wp:extent cx="114300" cy="114300"/>
                  <wp:effectExtent l="0" t="0" r="0" b="0"/>
                  <wp:docPr id="16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6B6C3A80" w14:textId="77777777" w:rsidR="002C73AC" w:rsidRDefault="002C73AC" w:rsidP="00BA1111">
            <w:pPr>
              <w:pStyle w:val="TableParagraph"/>
              <w:rPr>
                <w:rFonts w:ascii="Arial"/>
                <w:b/>
                <w:sz w:val="20"/>
              </w:rPr>
            </w:pPr>
          </w:p>
          <w:p w14:paraId="320D41FA" w14:textId="77777777" w:rsidR="002C73AC" w:rsidRDefault="002C73AC" w:rsidP="00BA1111">
            <w:pPr>
              <w:pStyle w:val="TableParagraph"/>
              <w:rPr>
                <w:rFonts w:ascii="Arial"/>
                <w:b/>
                <w:sz w:val="20"/>
              </w:rPr>
            </w:pPr>
          </w:p>
          <w:p w14:paraId="41A8E8DD" w14:textId="77777777" w:rsidR="002C73AC" w:rsidRDefault="002C73AC" w:rsidP="00BA1111">
            <w:pPr>
              <w:pStyle w:val="TableParagraph"/>
              <w:spacing w:before="2" w:after="1"/>
              <w:rPr>
                <w:rFonts w:ascii="Arial"/>
                <w:b/>
                <w:sz w:val="25"/>
              </w:rPr>
            </w:pPr>
          </w:p>
          <w:p w14:paraId="07FA4659" w14:textId="77777777" w:rsidR="002C73AC" w:rsidRDefault="002C73AC" w:rsidP="00BA1111">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4A03BBFC" wp14:editId="0C4F8725">
                  <wp:extent cx="114300" cy="114300"/>
                  <wp:effectExtent l="0" t="0" r="0" b="0"/>
                  <wp:docPr id="16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27697291" w14:textId="77777777" w:rsidR="002C73AC" w:rsidRDefault="002C73AC" w:rsidP="00BA1111">
            <w:pPr>
              <w:pStyle w:val="TableParagraph"/>
              <w:rPr>
                <w:rFonts w:ascii="Arial"/>
                <w:b/>
                <w:sz w:val="20"/>
              </w:rPr>
            </w:pPr>
          </w:p>
          <w:p w14:paraId="135CDAED" w14:textId="77777777" w:rsidR="002C73AC" w:rsidRDefault="002C73AC" w:rsidP="00BA1111">
            <w:pPr>
              <w:pStyle w:val="TableParagraph"/>
              <w:rPr>
                <w:rFonts w:ascii="Arial"/>
                <w:b/>
                <w:sz w:val="20"/>
              </w:rPr>
            </w:pPr>
          </w:p>
          <w:p w14:paraId="6C477D0D" w14:textId="77777777" w:rsidR="002C73AC" w:rsidRDefault="002C73AC" w:rsidP="00BA1111">
            <w:pPr>
              <w:pStyle w:val="TableParagraph"/>
              <w:spacing w:before="2" w:after="1"/>
              <w:rPr>
                <w:rFonts w:ascii="Arial"/>
                <w:b/>
                <w:sz w:val="25"/>
              </w:rPr>
            </w:pPr>
          </w:p>
          <w:p w14:paraId="0D955C74" w14:textId="77777777" w:rsidR="002C73AC" w:rsidRDefault="002C73AC" w:rsidP="00BA1111">
            <w:pPr>
              <w:pStyle w:val="TableParagraph"/>
              <w:spacing w:line="180" w:lineRule="exact"/>
              <w:ind w:left="468"/>
              <w:rPr>
                <w:rFonts w:ascii="Arial"/>
                <w:sz w:val="18"/>
              </w:rPr>
            </w:pPr>
            <w:r>
              <w:rPr>
                <w:rFonts w:ascii="Arial"/>
                <w:sz w:val="18"/>
              </w:rPr>
              <w:t>X</w:t>
            </w:r>
          </w:p>
        </w:tc>
        <w:tc>
          <w:tcPr>
            <w:tcW w:w="980" w:type="dxa"/>
          </w:tcPr>
          <w:p w14:paraId="36088404" w14:textId="77777777" w:rsidR="002C73AC" w:rsidRDefault="002C73AC" w:rsidP="00BA1111">
            <w:pPr>
              <w:pStyle w:val="TableParagraph"/>
              <w:rPr>
                <w:rFonts w:ascii="Arial"/>
                <w:b/>
                <w:sz w:val="20"/>
              </w:rPr>
            </w:pPr>
          </w:p>
          <w:p w14:paraId="7FBD57EE" w14:textId="77777777" w:rsidR="002C73AC" w:rsidRDefault="002C73AC" w:rsidP="00BA1111">
            <w:pPr>
              <w:pStyle w:val="TableParagraph"/>
              <w:rPr>
                <w:rFonts w:ascii="Arial"/>
                <w:b/>
                <w:sz w:val="20"/>
              </w:rPr>
            </w:pPr>
          </w:p>
          <w:p w14:paraId="1DE3346F" w14:textId="77777777" w:rsidR="002C73AC" w:rsidRDefault="002C73AC" w:rsidP="00BA1111">
            <w:pPr>
              <w:pStyle w:val="TableParagraph"/>
              <w:spacing w:before="2" w:after="1"/>
              <w:rPr>
                <w:rFonts w:ascii="Arial"/>
                <w:b/>
                <w:sz w:val="25"/>
              </w:rPr>
            </w:pPr>
          </w:p>
          <w:p w14:paraId="305F3A40"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2004CB0" wp14:editId="408AE942">
                  <wp:extent cx="114300" cy="114300"/>
                  <wp:effectExtent l="0" t="0" r="0" b="0"/>
                  <wp:docPr id="16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504A7E5E" w14:textId="77777777" w:rsidR="002C73AC" w:rsidRDefault="002C73AC" w:rsidP="00BA1111">
            <w:pPr>
              <w:pStyle w:val="TableParagraph"/>
              <w:rPr>
                <w:rFonts w:ascii="Arial"/>
                <w:b/>
                <w:sz w:val="20"/>
              </w:rPr>
            </w:pPr>
          </w:p>
          <w:p w14:paraId="54DEC32D" w14:textId="77777777" w:rsidR="002C73AC" w:rsidRDefault="002C73AC" w:rsidP="00BA1111">
            <w:pPr>
              <w:pStyle w:val="TableParagraph"/>
              <w:rPr>
                <w:rFonts w:ascii="Arial"/>
                <w:b/>
                <w:sz w:val="20"/>
              </w:rPr>
            </w:pPr>
          </w:p>
          <w:p w14:paraId="00F265D3" w14:textId="77777777" w:rsidR="002C73AC" w:rsidRDefault="002C73AC" w:rsidP="00BA1111">
            <w:pPr>
              <w:pStyle w:val="TableParagraph"/>
              <w:spacing w:before="2" w:after="1"/>
              <w:rPr>
                <w:rFonts w:ascii="Arial"/>
                <w:b/>
                <w:sz w:val="25"/>
              </w:rPr>
            </w:pPr>
          </w:p>
          <w:p w14:paraId="6E390646"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2C236357" wp14:editId="64A6DCB1">
                  <wp:extent cx="114300" cy="114300"/>
                  <wp:effectExtent l="0" t="0" r="0" b="0"/>
                  <wp:docPr id="16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C73AC" w14:paraId="13257EBB" w14:textId="77777777" w:rsidTr="002C73AC">
        <w:trPr>
          <w:trHeight w:val="590"/>
          <w:jc w:val="center"/>
        </w:trPr>
        <w:tc>
          <w:tcPr>
            <w:tcW w:w="2721" w:type="dxa"/>
          </w:tcPr>
          <w:p w14:paraId="0A13C9BC" w14:textId="77777777" w:rsidR="002C73AC" w:rsidRDefault="002C73AC" w:rsidP="00BA1111">
            <w:pPr>
              <w:pStyle w:val="TableParagraph"/>
              <w:spacing w:before="25"/>
              <w:ind w:left="185"/>
              <w:rPr>
                <w:sz w:val="19"/>
              </w:rPr>
            </w:pPr>
            <w:r>
              <w:rPr>
                <w:w w:val="105"/>
                <w:sz w:val="19"/>
              </w:rPr>
              <w:t>Collect best practices</w:t>
            </w:r>
          </w:p>
        </w:tc>
        <w:tc>
          <w:tcPr>
            <w:tcW w:w="1129" w:type="dxa"/>
          </w:tcPr>
          <w:p w14:paraId="342EE7D9" w14:textId="77777777" w:rsidR="002C73AC" w:rsidRDefault="002C73AC" w:rsidP="00BA1111">
            <w:pPr>
              <w:pStyle w:val="TableParagraph"/>
              <w:spacing w:before="8"/>
              <w:rPr>
                <w:rFonts w:ascii="Arial"/>
                <w:b/>
                <w:sz w:val="13"/>
              </w:rPr>
            </w:pPr>
          </w:p>
          <w:p w14:paraId="06812C4E"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706D5534" wp14:editId="2D6AA31A">
                  <wp:extent cx="114300" cy="114300"/>
                  <wp:effectExtent l="0" t="0" r="0" b="0"/>
                  <wp:docPr id="16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248D4FDB" w14:textId="77777777" w:rsidR="002C73AC" w:rsidRDefault="002C73AC" w:rsidP="00BA1111">
            <w:pPr>
              <w:pStyle w:val="TableParagraph"/>
              <w:spacing w:before="8"/>
              <w:rPr>
                <w:rFonts w:ascii="Arial"/>
                <w:b/>
                <w:sz w:val="13"/>
              </w:rPr>
            </w:pPr>
          </w:p>
          <w:p w14:paraId="5C3D3BC8"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EFFF5FB" wp14:editId="6C8CA0B5">
                  <wp:extent cx="114300" cy="114300"/>
                  <wp:effectExtent l="0" t="0" r="0" b="0"/>
                  <wp:docPr id="16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342B3C7A" w14:textId="77777777" w:rsidR="002C73AC" w:rsidRDefault="002C73AC" w:rsidP="00BA1111">
            <w:pPr>
              <w:pStyle w:val="TableParagraph"/>
              <w:spacing w:before="8"/>
              <w:rPr>
                <w:rFonts w:ascii="Arial"/>
                <w:b/>
                <w:sz w:val="13"/>
              </w:rPr>
            </w:pPr>
          </w:p>
          <w:p w14:paraId="79BBDF78" w14:textId="77777777" w:rsidR="002C73AC" w:rsidRDefault="002C73AC" w:rsidP="00BA1111">
            <w:pPr>
              <w:pStyle w:val="TableParagraph"/>
              <w:spacing w:line="180" w:lineRule="exact"/>
              <w:ind w:left="451"/>
              <w:rPr>
                <w:rFonts w:ascii="Arial"/>
                <w:sz w:val="18"/>
              </w:rPr>
            </w:pPr>
            <w:r>
              <w:rPr>
                <w:rFonts w:ascii="Arial"/>
                <w:noProof/>
                <w:position w:val="-3"/>
                <w:sz w:val="18"/>
                <w:lang w:val="en-GB" w:eastAsia="en-GB"/>
              </w:rPr>
              <w:t>X</w:t>
            </w:r>
          </w:p>
        </w:tc>
        <w:tc>
          <w:tcPr>
            <w:tcW w:w="980" w:type="dxa"/>
          </w:tcPr>
          <w:p w14:paraId="377905EA" w14:textId="77777777" w:rsidR="002C73AC" w:rsidRDefault="002C73AC" w:rsidP="00BA1111">
            <w:pPr>
              <w:pStyle w:val="TableParagraph"/>
              <w:spacing w:before="8"/>
              <w:rPr>
                <w:rFonts w:ascii="Arial"/>
                <w:b/>
                <w:sz w:val="13"/>
              </w:rPr>
            </w:pPr>
          </w:p>
          <w:p w14:paraId="38E4BDA5"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9FE29C6" wp14:editId="56959208">
                  <wp:extent cx="114300" cy="114300"/>
                  <wp:effectExtent l="0" t="0" r="0" b="0"/>
                  <wp:docPr id="16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3A4C4267" w14:textId="77777777" w:rsidR="002C73AC" w:rsidRDefault="002C73AC" w:rsidP="00BA1111">
            <w:pPr>
              <w:pStyle w:val="TableParagraph"/>
              <w:spacing w:before="8"/>
              <w:rPr>
                <w:rFonts w:ascii="Arial"/>
                <w:b/>
                <w:sz w:val="13"/>
              </w:rPr>
            </w:pPr>
          </w:p>
          <w:p w14:paraId="1A9C2CA2"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43101579" wp14:editId="5B149141">
                  <wp:extent cx="114300" cy="114300"/>
                  <wp:effectExtent l="0" t="0" r="0" b="0"/>
                  <wp:docPr id="17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7468F3B4" w14:textId="77777777" w:rsidR="002C73AC" w:rsidRDefault="002C73AC" w:rsidP="00BA1111">
            <w:pPr>
              <w:pStyle w:val="TableParagraph"/>
              <w:spacing w:before="8"/>
              <w:rPr>
                <w:rFonts w:ascii="Arial"/>
                <w:b/>
                <w:sz w:val="13"/>
              </w:rPr>
            </w:pPr>
          </w:p>
          <w:p w14:paraId="795A2AB6"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3F1563B3" wp14:editId="329E91E2">
                  <wp:extent cx="114300" cy="114300"/>
                  <wp:effectExtent l="0" t="0" r="0" b="0"/>
                  <wp:docPr id="17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C73AC" w14:paraId="77CBA595" w14:textId="77777777" w:rsidTr="002C73AC">
        <w:trPr>
          <w:trHeight w:val="1171"/>
          <w:jc w:val="center"/>
        </w:trPr>
        <w:tc>
          <w:tcPr>
            <w:tcW w:w="2721" w:type="dxa"/>
          </w:tcPr>
          <w:p w14:paraId="207B9417" w14:textId="77777777" w:rsidR="002C73AC" w:rsidRDefault="002C73AC" w:rsidP="00BA1111">
            <w:pPr>
              <w:pStyle w:val="TableParagraph"/>
              <w:spacing w:before="69" w:line="199" w:lineRule="auto"/>
              <w:ind w:left="185" w:right="419"/>
              <w:rPr>
                <w:sz w:val="19"/>
              </w:rPr>
            </w:pPr>
            <w:r>
              <w:rPr>
                <w:w w:val="105"/>
                <w:sz w:val="19"/>
              </w:rPr>
              <w:t>Promote digital financial services to address financial inclusion</w:t>
            </w:r>
          </w:p>
        </w:tc>
        <w:tc>
          <w:tcPr>
            <w:tcW w:w="1129" w:type="dxa"/>
          </w:tcPr>
          <w:p w14:paraId="3FED0D1F" w14:textId="77777777" w:rsidR="002C73AC" w:rsidRDefault="002C73AC" w:rsidP="00BA1111">
            <w:pPr>
              <w:pStyle w:val="TableParagraph"/>
              <w:rPr>
                <w:rFonts w:ascii="Arial"/>
                <w:b/>
                <w:sz w:val="20"/>
              </w:rPr>
            </w:pPr>
          </w:p>
          <w:p w14:paraId="041D4524" w14:textId="77777777" w:rsidR="002C73AC" w:rsidRDefault="002C73AC" w:rsidP="00BA1111">
            <w:pPr>
              <w:pStyle w:val="TableParagraph"/>
              <w:spacing w:before="5"/>
              <w:rPr>
                <w:rFonts w:ascii="Arial"/>
                <w:b/>
                <w:sz w:val="19"/>
              </w:rPr>
            </w:pPr>
          </w:p>
          <w:p w14:paraId="71F2389D"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084F6C5D" wp14:editId="69FCD66B">
                  <wp:extent cx="114300" cy="114300"/>
                  <wp:effectExtent l="0" t="0" r="0" b="0"/>
                  <wp:docPr id="17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7472C443" w14:textId="77777777" w:rsidR="002C73AC" w:rsidRDefault="002C73AC" w:rsidP="00BA1111">
            <w:pPr>
              <w:pStyle w:val="TableParagraph"/>
              <w:rPr>
                <w:rFonts w:ascii="Arial"/>
                <w:b/>
                <w:sz w:val="20"/>
              </w:rPr>
            </w:pPr>
          </w:p>
          <w:p w14:paraId="71E02776" w14:textId="77777777" w:rsidR="002C73AC" w:rsidRDefault="002C73AC" w:rsidP="00BA1111">
            <w:pPr>
              <w:pStyle w:val="TableParagraph"/>
              <w:spacing w:before="5"/>
              <w:rPr>
                <w:rFonts w:ascii="Arial"/>
                <w:b/>
                <w:sz w:val="19"/>
              </w:rPr>
            </w:pPr>
          </w:p>
          <w:p w14:paraId="3F56D413"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23BAAE46" wp14:editId="4BBC8061">
                  <wp:extent cx="114300" cy="114300"/>
                  <wp:effectExtent l="0" t="0" r="0" b="0"/>
                  <wp:docPr id="17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0112C0A3" w14:textId="77777777" w:rsidR="002C73AC" w:rsidRDefault="002C73AC" w:rsidP="00BA1111">
            <w:pPr>
              <w:pStyle w:val="TableParagraph"/>
              <w:rPr>
                <w:rFonts w:ascii="Arial"/>
                <w:b/>
                <w:sz w:val="20"/>
              </w:rPr>
            </w:pPr>
          </w:p>
          <w:p w14:paraId="4774D7A0" w14:textId="77777777" w:rsidR="002C73AC" w:rsidRDefault="002C73AC" w:rsidP="00BA1111">
            <w:pPr>
              <w:pStyle w:val="TableParagraph"/>
              <w:spacing w:before="5"/>
              <w:rPr>
                <w:rFonts w:ascii="Arial"/>
                <w:b/>
                <w:sz w:val="19"/>
              </w:rPr>
            </w:pPr>
          </w:p>
          <w:p w14:paraId="6880E79F" w14:textId="77777777" w:rsidR="002C73AC" w:rsidRDefault="002C73AC" w:rsidP="00BA1111">
            <w:pPr>
              <w:pStyle w:val="TableParagraph"/>
              <w:spacing w:line="180" w:lineRule="exact"/>
              <w:ind w:left="451"/>
              <w:rPr>
                <w:rFonts w:ascii="Arial"/>
                <w:sz w:val="18"/>
              </w:rPr>
            </w:pPr>
            <w:r>
              <w:rPr>
                <w:rFonts w:ascii="Arial"/>
                <w:noProof/>
                <w:position w:val="-3"/>
                <w:sz w:val="18"/>
                <w:lang w:val="en-GB" w:eastAsia="en-GB"/>
              </w:rPr>
              <w:t>X</w:t>
            </w:r>
          </w:p>
        </w:tc>
        <w:tc>
          <w:tcPr>
            <w:tcW w:w="980" w:type="dxa"/>
          </w:tcPr>
          <w:p w14:paraId="3442A38B" w14:textId="77777777" w:rsidR="002C73AC" w:rsidRDefault="002C73AC" w:rsidP="00BA1111">
            <w:pPr>
              <w:pStyle w:val="TableParagraph"/>
              <w:rPr>
                <w:rFonts w:ascii="Arial"/>
                <w:b/>
                <w:sz w:val="20"/>
              </w:rPr>
            </w:pPr>
          </w:p>
          <w:p w14:paraId="7B88CABB" w14:textId="77777777" w:rsidR="002C73AC" w:rsidRDefault="002C73AC" w:rsidP="00BA1111">
            <w:pPr>
              <w:pStyle w:val="TableParagraph"/>
              <w:spacing w:before="5"/>
              <w:rPr>
                <w:rFonts w:ascii="Arial"/>
                <w:b/>
                <w:sz w:val="19"/>
              </w:rPr>
            </w:pPr>
          </w:p>
          <w:p w14:paraId="49D673D3"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995F7FC" wp14:editId="295743DB">
                  <wp:extent cx="114300" cy="114300"/>
                  <wp:effectExtent l="0" t="0" r="0" b="0"/>
                  <wp:docPr id="17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43264449" w14:textId="77777777" w:rsidR="002C73AC" w:rsidRDefault="002C73AC" w:rsidP="00BA1111">
            <w:pPr>
              <w:pStyle w:val="TableParagraph"/>
              <w:rPr>
                <w:rFonts w:ascii="Arial"/>
                <w:b/>
                <w:sz w:val="20"/>
              </w:rPr>
            </w:pPr>
          </w:p>
          <w:p w14:paraId="2E168E2B" w14:textId="77777777" w:rsidR="002C73AC" w:rsidRDefault="002C73AC" w:rsidP="00BA1111">
            <w:pPr>
              <w:pStyle w:val="TableParagraph"/>
              <w:spacing w:before="5"/>
              <w:rPr>
                <w:rFonts w:ascii="Arial"/>
                <w:b/>
                <w:sz w:val="19"/>
              </w:rPr>
            </w:pPr>
          </w:p>
          <w:p w14:paraId="3258E5CF"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3D30313" wp14:editId="2129B391">
                  <wp:extent cx="114300" cy="114300"/>
                  <wp:effectExtent l="0" t="0" r="0" b="0"/>
                  <wp:docPr id="17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1774F60A" w14:textId="77777777" w:rsidR="002C73AC" w:rsidRDefault="002C73AC" w:rsidP="00BA1111">
            <w:pPr>
              <w:pStyle w:val="TableParagraph"/>
              <w:rPr>
                <w:rFonts w:ascii="Arial"/>
                <w:b/>
                <w:sz w:val="20"/>
              </w:rPr>
            </w:pPr>
          </w:p>
          <w:p w14:paraId="7D0FAE2D" w14:textId="77777777" w:rsidR="002C73AC" w:rsidRDefault="002C73AC" w:rsidP="00BA1111">
            <w:pPr>
              <w:pStyle w:val="TableParagraph"/>
              <w:spacing w:before="5"/>
              <w:rPr>
                <w:rFonts w:ascii="Arial"/>
                <w:b/>
                <w:sz w:val="19"/>
              </w:rPr>
            </w:pPr>
          </w:p>
          <w:p w14:paraId="5D99FEAA"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57DA75F9" wp14:editId="72ECC96A">
                  <wp:extent cx="114300" cy="114300"/>
                  <wp:effectExtent l="0" t="0" r="0" b="0"/>
                  <wp:docPr id="17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C73AC" w14:paraId="6F3201AF" w14:textId="77777777" w:rsidTr="002C73AC">
        <w:trPr>
          <w:trHeight w:val="2332"/>
          <w:jc w:val="center"/>
        </w:trPr>
        <w:tc>
          <w:tcPr>
            <w:tcW w:w="2721" w:type="dxa"/>
          </w:tcPr>
          <w:p w14:paraId="5A9C3F8F" w14:textId="77777777" w:rsidR="002C73AC" w:rsidRDefault="002C73AC" w:rsidP="00BA1111">
            <w:pPr>
              <w:pStyle w:val="TableParagraph"/>
              <w:spacing w:before="69" w:line="199" w:lineRule="auto"/>
              <w:ind w:left="185" w:right="143"/>
              <w:rPr>
                <w:sz w:val="19"/>
              </w:rPr>
            </w:pPr>
            <w:r>
              <w:rPr>
                <w:w w:val="105"/>
                <w:sz w:val="19"/>
              </w:rPr>
              <w:t>Introduce rules related to financial education comparable to Article 6 of the Mortgage Credit Directive, with a stronger focus on</w:t>
            </w:r>
            <w:r w:rsidRPr="00DB631C">
              <w:rPr>
                <w:w w:val="105"/>
                <w:sz w:val="19"/>
                <w:lang w:val="en-GB"/>
              </w:rPr>
              <w:t xml:space="preserve"> digitalisation</w:t>
            </w:r>
            <w:r>
              <w:rPr>
                <w:w w:val="105"/>
                <w:sz w:val="19"/>
              </w:rPr>
              <w:t>, in other EU financial regulation proposals</w:t>
            </w:r>
          </w:p>
        </w:tc>
        <w:tc>
          <w:tcPr>
            <w:tcW w:w="1129" w:type="dxa"/>
          </w:tcPr>
          <w:p w14:paraId="373F49A9" w14:textId="77777777" w:rsidR="002C73AC" w:rsidRDefault="002C73AC" w:rsidP="00BA1111">
            <w:pPr>
              <w:pStyle w:val="TableParagraph"/>
              <w:rPr>
                <w:rFonts w:ascii="Arial"/>
                <w:b/>
                <w:sz w:val="20"/>
              </w:rPr>
            </w:pPr>
          </w:p>
          <w:p w14:paraId="11F9A3C7" w14:textId="77777777" w:rsidR="002C73AC" w:rsidRDefault="002C73AC" w:rsidP="00BA1111">
            <w:pPr>
              <w:pStyle w:val="TableParagraph"/>
              <w:rPr>
                <w:rFonts w:ascii="Arial"/>
                <w:b/>
                <w:sz w:val="20"/>
              </w:rPr>
            </w:pPr>
          </w:p>
          <w:p w14:paraId="310CB26E" w14:textId="77777777" w:rsidR="002C73AC" w:rsidRDefault="002C73AC" w:rsidP="00BA1111">
            <w:pPr>
              <w:pStyle w:val="TableParagraph"/>
              <w:rPr>
                <w:rFonts w:ascii="Arial"/>
                <w:b/>
                <w:sz w:val="20"/>
              </w:rPr>
            </w:pPr>
          </w:p>
          <w:p w14:paraId="4F25F516" w14:textId="77777777" w:rsidR="002C73AC" w:rsidRDefault="002C73AC" w:rsidP="00BA1111">
            <w:pPr>
              <w:pStyle w:val="TableParagraph"/>
              <w:rPr>
                <w:rFonts w:ascii="Arial"/>
                <w:b/>
                <w:sz w:val="20"/>
              </w:rPr>
            </w:pPr>
          </w:p>
          <w:p w14:paraId="7E381FA2" w14:textId="77777777" w:rsidR="002C73AC" w:rsidRDefault="002C73AC" w:rsidP="00BA1111">
            <w:pPr>
              <w:pStyle w:val="TableParagraph"/>
              <w:rPr>
                <w:rFonts w:ascii="Arial"/>
                <w:b/>
                <w:sz w:val="11"/>
              </w:rPr>
            </w:pPr>
          </w:p>
          <w:p w14:paraId="4A229777"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00F7E04C" wp14:editId="40646F98">
                  <wp:extent cx="114300" cy="114300"/>
                  <wp:effectExtent l="0" t="0" r="0" b="0"/>
                  <wp:docPr id="17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2C1995C3" w14:textId="77777777" w:rsidR="002C73AC" w:rsidRDefault="002C73AC" w:rsidP="00BA1111">
            <w:pPr>
              <w:pStyle w:val="TableParagraph"/>
              <w:rPr>
                <w:rFonts w:ascii="Arial"/>
                <w:b/>
                <w:sz w:val="20"/>
              </w:rPr>
            </w:pPr>
          </w:p>
          <w:p w14:paraId="6C931209" w14:textId="77777777" w:rsidR="002C73AC" w:rsidRDefault="002C73AC" w:rsidP="00BA1111">
            <w:pPr>
              <w:pStyle w:val="TableParagraph"/>
              <w:rPr>
                <w:rFonts w:ascii="Arial"/>
                <w:b/>
                <w:sz w:val="20"/>
              </w:rPr>
            </w:pPr>
          </w:p>
          <w:p w14:paraId="6127C5F3" w14:textId="77777777" w:rsidR="002C73AC" w:rsidRDefault="002C73AC" w:rsidP="00BA1111">
            <w:pPr>
              <w:pStyle w:val="TableParagraph"/>
              <w:rPr>
                <w:rFonts w:ascii="Arial"/>
                <w:b/>
                <w:sz w:val="20"/>
              </w:rPr>
            </w:pPr>
          </w:p>
          <w:p w14:paraId="4DE1DDA8" w14:textId="77777777" w:rsidR="002C73AC" w:rsidRDefault="002C73AC" w:rsidP="00BA1111">
            <w:pPr>
              <w:pStyle w:val="TableParagraph"/>
              <w:rPr>
                <w:rFonts w:ascii="Arial"/>
                <w:b/>
                <w:sz w:val="20"/>
              </w:rPr>
            </w:pPr>
          </w:p>
          <w:p w14:paraId="6D0162D3" w14:textId="77777777" w:rsidR="002C73AC" w:rsidRDefault="002C73AC" w:rsidP="00BA1111">
            <w:pPr>
              <w:pStyle w:val="TableParagraph"/>
              <w:rPr>
                <w:rFonts w:ascii="Arial"/>
                <w:b/>
                <w:sz w:val="11"/>
              </w:rPr>
            </w:pPr>
          </w:p>
          <w:p w14:paraId="69392EF6"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819E598" wp14:editId="4489F98C">
                  <wp:extent cx="114300" cy="114300"/>
                  <wp:effectExtent l="0" t="0" r="0" b="0"/>
                  <wp:docPr id="17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51CB8C60" w14:textId="77777777" w:rsidR="002C73AC" w:rsidRDefault="002C73AC" w:rsidP="00BA1111">
            <w:pPr>
              <w:pStyle w:val="TableParagraph"/>
              <w:rPr>
                <w:rFonts w:ascii="Arial"/>
                <w:b/>
                <w:sz w:val="20"/>
              </w:rPr>
            </w:pPr>
          </w:p>
          <w:p w14:paraId="08D52621" w14:textId="77777777" w:rsidR="002C73AC" w:rsidRDefault="002C73AC" w:rsidP="00BA1111">
            <w:pPr>
              <w:pStyle w:val="TableParagraph"/>
              <w:rPr>
                <w:rFonts w:ascii="Arial"/>
                <w:b/>
                <w:sz w:val="20"/>
              </w:rPr>
            </w:pPr>
          </w:p>
          <w:p w14:paraId="74247F00" w14:textId="77777777" w:rsidR="002C73AC" w:rsidRDefault="002C73AC" w:rsidP="00BA1111">
            <w:pPr>
              <w:pStyle w:val="TableParagraph"/>
              <w:rPr>
                <w:rFonts w:ascii="Arial"/>
                <w:b/>
                <w:sz w:val="20"/>
              </w:rPr>
            </w:pPr>
          </w:p>
          <w:p w14:paraId="372919FD" w14:textId="77777777" w:rsidR="002C73AC" w:rsidRDefault="002C73AC" w:rsidP="00BA1111">
            <w:pPr>
              <w:pStyle w:val="TableParagraph"/>
              <w:rPr>
                <w:rFonts w:ascii="Arial"/>
                <w:b/>
                <w:sz w:val="20"/>
              </w:rPr>
            </w:pPr>
          </w:p>
          <w:p w14:paraId="3ED6C378" w14:textId="77777777" w:rsidR="002C73AC" w:rsidRDefault="002C73AC" w:rsidP="00BA1111">
            <w:pPr>
              <w:pStyle w:val="TableParagraph"/>
              <w:rPr>
                <w:rFonts w:ascii="Arial"/>
                <w:b/>
                <w:sz w:val="11"/>
              </w:rPr>
            </w:pPr>
          </w:p>
          <w:p w14:paraId="5015B426" w14:textId="77777777" w:rsidR="002C73AC" w:rsidRDefault="002C73AC" w:rsidP="00BA1111">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7C3736F7" wp14:editId="6D448A07">
                  <wp:extent cx="114300" cy="114300"/>
                  <wp:effectExtent l="0" t="0" r="0" b="0"/>
                  <wp:docPr id="17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6BAD02AC" w14:textId="77777777" w:rsidR="002C73AC" w:rsidRDefault="002C73AC" w:rsidP="00BA1111">
            <w:pPr>
              <w:pStyle w:val="TableParagraph"/>
              <w:rPr>
                <w:rFonts w:ascii="Arial"/>
                <w:b/>
                <w:sz w:val="20"/>
              </w:rPr>
            </w:pPr>
          </w:p>
          <w:p w14:paraId="674C7DC3" w14:textId="77777777" w:rsidR="002C73AC" w:rsidRDefault="002C73AC" w:rsidP="00BA1111">
            <w:pPr>
              <w:pStyle w:val="TableParagraph"/>
              <w:rPr>
                <w:rFonts w:ascii="Arial"/>
                <w:b/>
                <w:sz w:val="20"/>
              </w:rPr>
            </w:pPr>
          </w:p>
          <w:p w14:paraId="7C8196A6" w14:textId="77777777" w:rsidR="002C73AC" w:rsidRDefault="002C73AC" w:rsidP="00BA1111">
            <w:pPr>
              <w:pStyle w:val="TableParagraph"/>
              <w:rPr>
                <w:rFonts w:ascii="Arial"/>
                <w:b/>
                <w:sz w:val="20"/>
              </w:rPr>
            </w:pPr>
          </w:p>
          <w:p w14:paraId="127D6554" w14:textId="77777777" w:rsidR="002C73AC" w:rsidRDefault="002C73AC" w:rsidP="00BA1111">
            <w:pPr>
              <w:pStyle w:val="TableParagraph"/>
              <w:rPr>
                <w:rFonts w:ascii="Arial"/>
                <w:b/>
                <w:sz w:val="20"/>
              </w:rPr>
            </w:pPr>
          </w:p>
          <w:p w14:paraId="6FA50747" w14:textId="77777777" w:rsidR="002C73AC" w:rsidRDefault="002C73AC" w:rsidP="00BA1111">
            <w:pPr>
              <w:pStyle w:val="TableParagraph"/>
              <w:rPr>
                <w:rFonts w:ascii="Arial"/>
                <w:b/>
                <w:sz w:val="11"/>
              </w:rPr>
            </w:pPr>
          </w:p>
          <w:p w14:paraId="29151EBD"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t>X</w:t>
            </w:r>
          </w:p>
        </w:tc>
        <w:tc>
          <w:tcPr>
            <w:tcW w:w="980" w:type="dxa"/>
          </w:tcPr>
          <w:p w14:paraId="2A48FA86" w14:textId="77777777" w:rsidR="002C73AC" w:rsidRDefault="002C73AC" w:rsidP="00BA1111">
            <w:pPr>
              <w:pStyle w:val="TableParagraph"/>
              <w:rPr>
                <w:rFonts w:ascii="Arial"/>
                <w:b/>
                <w:sz w:val="20"/>
              </w:rPr>
            </w:pPr>
          </w:p>
          <w:p w14:paraId="4CBFB38E" w14:textId="77777777" w:rsidR="002C73AC" w:rsidRDefault="002C73AC" w:rsidP="00BA1111">
            <w:pPr>
              <w:pStyle w:val="TableParagraph"/>
              <w:rPr>
                <w:rFonts w:ascii="Arial"/>
                <w:b/>
                <w:sz w:val="20"/>
              </w:rPr>
            </w:pPr>
          </w:p>
          <w:p w14:paraId="7158365C" w14:textId="77777777" w:rsidR="002C73AC" w:rsidRDefault="002C73AC" w:rsidP="00BA1111">
            <w:pPr>
              <w:pStyle w:val="TableParagraph"/>
              <w:rPr>
                <w:rFonts w:ascii="Arial"/>
                <w:b/>
                <w:sz w:val="20"/>
              </w:rPr>
            </w:pPr>
          </w:p>
          <w:p w14:paraId="602A5737" w14:textId="77777777" w:rsidR="002C73AC" w:rsidRDefault="002C73AC" w:rsidP="00BA1111">
            <w:pPr>
              <w:pStyle w:val="TableParagraph"/>
              <w:rPr>
                <w:rFonts w:ascii="Arial"/>
                <w:b/>
                <w:sz w:val="20"/>
              </w:rPr>
            </w:pPr>
          </w:p>
          <w:p w14:paraId="5360B31E" w14:textId="77777777" w:rsidR="002C73AC" w:rsidRDefault="002C73AC" w:rsidP="00BA1111">
            <w:pPr>
              <w:pStyle w:val="TableParagraph"/>
              <w:rPr>
                <w:rFonts w:ascii="Arial"/>
                <w:b/>
                <w:sz w:val="11"/>
              </w:rPr>
            </w:pPr>
          </w:p>
          <w:p w14:paraId="3FC47372"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97028BF" wp14:editId="5ED8317A">
                  <wp:extent cx="114300" cy="114300"/>
                  <wp:effectExtent l="0" t="0" r="0" b="0"/>
                  <wp:docPr id="17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6E8DA551" w14:textId="77777777" w:rsidR="002C73AC" w:rsidRDefault="002C73AC" w:rsidP="00BA1111">
            <w:pPr>
              <w:pStyle w:val="TableParagraph"/>
              <w:rPr>
                <w:rFonts w:ascii="Arial"/>
                <w:b/>
                <w:sz w:val="20"/>
              </w:rPr>
            </w:pPr>
          </w:p>
          <w:p w14:paraId="4B0C0A83" w14:textId="77777777" w:rsidR="002C73AC" w:rsidRDefault="002C73AC" w:rsidP="00BA1111">
            <w:pPr>
              <w:pStyle w:val="TableParagraph"/>
              <w:rPr>
                <w:rFonts w:ascii="Arial"/>
                <w:b/>
                <w:sz w:val="20"/>
              </w:rPr>
            </w:pPr>
          </w:p>
          <w:p w14:paraId="27FC279F" w14:textId="77777777" w:rsidR="002C73AC" w:rsidRDefault="002C73AC" w:rsidP="00BA1111">
            <w:pPr>
              <w:pStyle w:val="TableParagraph"/>
              <w:rPr>
                <w:rFonts w:ascii="Arial"/>
                <w:b/>
                <w:sz w:val="20"/>
              </w:rPr>
            </w:pPr>
          </w:p>
          <w:p w14:paraId="0F88C50C" w14:textId="77777777" w:rsidR="002C73AC" w:rsidRDefault="002C73AC" w:rsidP="00BA1111">
            <w:pPr>
              <w:pStyle w:val="TableParagraph"/>
              <w:rPr>
                <w:rFonts w:ascii="Arial"/>
                <w:b/>
                <w:sz w:val="20"/>
              </w:rPr>
            </w:pPr>
          </w:p>
          <w:p w14:paraId="0CFC1F60" w14:textId="77777777" w:rsidR="002C73AC" w:rsidRDefault="002C73AC" w:rsidP="00BA1111">
            <w:pPr>
              <w:pStyle w:val="TableParagraph"/>
              <w:rPr>
                <w:rFonts w:ascii="Arial"/>
                <w:b/>
                <w:sz w:val="11"/>
              </w:rPr>
            </w:pPr>
          </w:p>
          <w:p w14:paraId="3F4C5A53"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26EF0C88" wp14:editId="3BC096DF">
                  <wp:extent cx="114300" cy="114300"/>
                  <wp:effectExtent l="0" t="0" r="0" b="0"/>
                  <wp:docPr id="17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C73AC" w14:paraId="053D1DD9" w14:textId="77777777" w:rsidTr="002C73AC">
        <w:trPr>
          <w:trHeight w:val="589"/>
          <w:jc w:val="center"/>
        </w:trPr>
        <w:tc>
          <w:tcPr>
            <w:tcW w:w="2721" w:type="dxa"/>
          </w:tcPr>
          <w:p w14:paraId="6C77871D" w14:textId="77777777" w:rsidR="002C73AC" w:rsidRDefault="002C73AC" w:rsidP="00BA1111">
            <w:pPr>
              <w:pStyle w:val="TableParagraph"/>
              <w:spacing w:before="25"/>
              <w:ind w:left="185"/>
              <w:rPr>
                <w:sz w:val="19"/>
              </w:rPr>
            </w:pPr>
            <w:r>
              <w:rPr>
                <w:w w:val="105"/>
                <w:sz w:val="19"/>
              </w:rPr>
              <w:t>Other</w:t>
            </w:r>
          </w:p>
        </w:tc>
        <w:tc>
          <w:tcPr>
            <w:tcW w:w="1129" w:type="dxa"/>
          </w:tcPr>
          <w:p w14:paraId="40875D25" w14:textId="77777777" w:rsidR="002C73AC" w:rsidRDefault="002C73AC" w:rsidP="00BA1111">
            <w:pPr>
              <w:pStyle w:val="TableParagraph"/>
              <w:spacing w:before="8"/>
              <w:rPr>
                <w:rFonts w:ascii="Arial"/>
                <w:b/>
                <w:sz w:val="13"/>
              </w:rPr>
            </w:pPr>
          </w:p>
          <w:p w14:paraId="240D26CA" w14:textId="77777777" w:rsidR="002C73AC" w:rsidRDefault="002C73AC" w:rsidP="00BA1111">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668BE34" wp14:editId="5B55BEE2">
                  <wp:extent cx="114300" cy="114300"/>
                  <wp:effectExtent l="0" t="0" r="0" b="0"/>
                  <wp:docPr id="17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2795DEC3" w14:textId="77777777" w:rsidR="002C73AC" w:rsidRDefault="002C73AC" w:rsidP="00BA1111">
            <w:pPr>
              <w:pStyle w:val="TableParagraph"/>
              <w:spacing w:before="8"/>
              <w:rPr>
                <w:rFonts w:ascii="Arial"/>
                <w:b/>
                <w:sz w:val="13"/>
              </w:rPr>
            </w:pPr>
          </w:p>
          <w:p w14:paraId="3B8FAE57"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388D6D2" wp14:editId="33A5ED4A">
                  <wp:extent cx="114300" cy="114300"/>
                  <wp:effectExtent l="0" t="0" r="0" b="0"/>
                  <wp:docPr id="17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52" w:type="dxa"/>
          </w:tcPr>
          <w:p w14:paraId="12200EBC" w14:textId="77777777" w:rsidR="002C73AC" w:rsidRDefault="002C73AC" w:rsidP="00BA1111">
            <w:pPr>
              <w:pStyle w:val="TableParagraph"/>
              <w:spacing w:before="8"/>
              <w:rPr>
                <w:rFonts w:ascii="Arial"/>
                <w:b/>
                <w:sz w:val="13"/>
              </w:rPr>
            </w:pPr>
          </w:p>
          <w:p w14:paraId="72E1EE94" w14:textId="77777777" w:rsidR="002C73AC" w:rsidRDefault="002C73AC" w:rsidP="00BA1111">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7F8CEFCB" wp14:editId="5CD83CA0">
                  <wp:extent cx="114300" cy="114300"/>
                  <wp:effectExtent l="0" t="0" r="0" b="0"/>
                  <wp:docPr id="17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80" w:type="dxa"/>
          </w:tcPr>
          <w:p w14:paraId="608A8B04" w14:textId="77777777" w:rsidR="002C73AC" w:rsidRDefault="002C73AC" w:rsidP="00BA1111">
            <w:pPr>
              <w:pStyle w:val="TableParagraph"/>
              <w:spacing w:before="8"/>
              <w:rPr>
                <w:rFonts w:ascii="Arial"/>
                <w:b/>
                <w:sz w:val="13"/>
              </w:rPr>
            </w:pPr>
          </w:p>
          <w:p w14:paraId="3E03FDFB"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t>X</w:t>
            </w:r>
          </w:p>
        </w:tc>
        <w:tc>
          <w:tcPr>
            <w:tcW w:w="980" w:type="dxa"/>
          </w:tcPr>
          <w:p w14:paraId="3A3364BE" w14:textId="77777777" w:rsidR="002C73AC" w:rsidRDefault="002C73AC" w:rsidP="00BA1111">
            <w:pPr>
              <w:pStyle w:val="TableParagraph"/>
              <w:spacing w:before="8"/>
              <w:rPr>
                <w:rFonts w:ascii="Arial"/>
                <w:b/>
                <w:sz w:val="13"/>
              </w:rPr>
            </w:pPr>
          </w:p>
          <w:p w14:paraId="60ACAFB4" w14:textId="77777777" w:rsidR="002C73AC" w:rsidRDefault="002C73AC" w:rsidP="00BA1111">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E9AA5F5" wp14:editId="3DDD8E0F">
                  <wp:extent cx="114300" cy="114300"/>
                  <wp:effectExtent l="0" t="0" r="0" b="0"/>
                  <wp:docPr id="17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5" w:type="dxa"/>
          </w:tcPr>
          <w:p w14:paraId="5BDD6EB2" w14:textId="77777777" w:rsidR="002C73AC" w:rsidRDefault="002C73AC" w:rsidP="00BA1111">
            <w:pPr>
              <w:pStyle w:val="TableParagraph"/>
              <w:spacing w:before="8"/>
              <w:rPr>
                <w:rFonts w:ascii="Arial"/>
                <w:b/>
                <w:sz w:val="13"/>
              </w:rPr>
            </w:pPr>
          </w:p>
          <w:p w14:paraId="58EC887E" w14:textId="77777777" w:rsidR="002C73AC" w:rsidRDefault="002C73AC" w:rsidP="00BA1111">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779F9835" wp14:editId="409F2363">
                  <wp:extent cx="114300" cy="114300"/>
                  <wp:effectExtent l="0" t="0" r="0" b="0"/>
                  <wp:docPr id="17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7785EB74" w14:textId="7EC92CD5" w:rsidR="002C73AC" w:rsidRPr="002D221D" w:rsidRDefault="002C73AC" w:rsidP="00A127EE">
      <w:pPr>
        <w:pStyle w:val="body0"/>
        <w:spacing w:after="0" w:line="240" w:lineRule="auto"/>
        <w:rPr>
          <w:b/>
          <w:sz w:val="24"/>
          <w:szCs w:val="24"/>
        </w:rPr>
      </w:pPr>
      <w:r w:rsidRPr="002D221D">
        <w:rPr>
          <w:b/>
          <w:sz w:val="24"/>
          <w:szCs w:val="24"/>
        </w:rPr>
        <w:t>Please specify what else should be done at EU level to achieve improved financial education and literacy in the digital context:</w:t>
      </w:r>
    </w:p>
    <w:p w14:paraId="259A49CA" w14:textId="77777777" w:rsidR="00A127EE" w:rsidRDefault="00A127EE" w:rsidP="00803699">
      <w:pPr>
        <w:widowControl w:val="0"/>
        <w:autoSpaceDE w:val="0"/>
        <w:autoSpaceDN w:val="0"/>
        <w:spacing w:line="276" w:lineRule="auto"/>
        <w:jc w:val="both"/>
        <w:rPr>
          <w:rFonts w:ascii="Calibri" w:hAnsi="Calibri" w:cs="Calibri"/>
          <w:sz w:val="22"/>
          <w:szCs w:val="22"/>
        </w:rPr>
      </w:pPr>
    </w:p>
    <w:p w14:paraId="51357861" w14:textId="73CB471D" w:rsidR="00803699" w:rsidRPr="00DC481C" w:rsidRDefault="00803699" w:rsidP="00803699">
      <w:pPr>
        <w:widowControl w:val="0"/>
        <w:autoSpaceDE w:val="0"/>
        <w:autoSpaceDN w:val="0"/>
        <w:spacing w:line="276" w:lineRule="auto"/>
        <w:jc w:val="both"/>
        <w:rPr>
          <w:rFonts w:ascii="Calibri" w:hAnsi="Calibri" w:cs="Calibri"/>
          <w:sz w:val="22"/>
          <w:szCs w:val="22"/>
        </w:rPr>
      </w:pPr>
      <w:r w:rsidRPr="00DC481C">
        <w:rPr>
          <w:rFonts w:ascii="Calibri" w:hAnsi="Calibri" w:cs="Calibri"/>
          <w:sz w:val="22"/>
          <w:szCs w:val="22"/>
        </w:rPr>
        <w:t>The EBA is of the view that increasing access to digital financial services, and the use of innovative financial services, tools and applications (apps) could open up new opportunities for businesses and consumers, with the potential to improve the level of financial inclusion for consumers. Access to digital channels is a prerequisite for digital financial inclusion. However, risks also exist if increased access is not coupled with sufficient levels of digital and financial literacy</w:t>
      </w:r>
      <w:r>
        <w:rPr>
          <w:rFonts w:ascii="Calibri" w:hAnsi="Calibri" w:cs="Calibri"/>
          <w:sz w:val="22"/>
          <w:szCs w:val="22"/>
        </w:rPr>
        <w:t xml:space="preserve"> at all stages of financial life. I</w:t>
      </w:r>
      <w:r w:rsidRPr="00DC481C">
        <w:rPr>
          <w:rFonts w:ascii="Calibri" w:hAnsi="Calibri" w:cs="Calibri"/>
          <w:sz w:val="22"/>
          <w:szCs w:val="22"/>
        </w:rPr>
        <w:t>n par</w:t>
      </w:r>
      <w:r w:rsidR="00155360">
        <w:rPr>
          <w:rFonts w:ascii="Calibri" w:hAnsi="Calibri" w:cs="Calibri"/>
          <w:sz w:val="22"/>
          <w:szCs w:val="22"/>
        </w:rPr>
        <w:t>ticular the risk of exclusion from</w:t>
      </w:r>
      <w:r w:rsidRPr="00DC481C">
        <w:rPr>
          <w:rFonts w:ascii="Calibri" w:hAnsi="Calibri" w:cs="Calibri"/>
          <w:sz w:val="22"/>
          <w:szCs w:val="22"/>
        </w:rPr>
        <w:t xml:space="preserve"> the provision of financial services of certain categories of consumers</w:t>
      </w:r>
      <w:r w:rsidR="00155360">
        <w:rPr>
          <w:rFonts w:ascii="Calibri" w:hAnsi="Calibri" w:cs="Calibri"/>
          <w:sz w:val="22"/>
          <w:szCs w:val="22"/>
        </w:rPr>
        <w:t xml:space="preserve"> exists without such measures</w:t>
      </w:r>
      <w:r w:rsidRPr="00DC481C">
        <w:rPr>
          <w:rFonts w:ascii="Calibri" w:hAnsi="Calibri" w:cs="Calibri"/>
          <w:sz w:val="22"/>
          <w:szCs w:val="22"/>
        </w:rPr>
        <w:t xml:space="preserve">.  </w:t>
      </w:r>
    </w:p>
    <w:p w14:paraId="0B5805DF" w14:textId="77777777" w:rsidR="00803699" w:rsidRPr="00DC481C" w:rsidRDefault="00803699" w:rsidP="00803699">
      <w:pPr>
        <w:widowControl w:val="0"/>
        <w:autoSpaceDE w:val="0"/>
        <w:autoSpaceDN w:val="0"/>
        <w:spacing w:line="276" w:lineRule="auto"/>
        <w:jc w:val="both"/>
        <w:rPr>
          <w:rFonts w:ascii="Calibri" w:hAnsi="Calibri" w:cs="Calibri"/>
          <w:sz w:val="22"/>
          <w:szCs w:val="22"/>
        </w:rPr>
      </w:pPr>
    </w:p>
    <w:p w14:paraId="4AE5ED50" w14:textId="04B7B93F" w:rsidR="00803699" w:rsidRDefault="00803699" w:rsidP="00803699">
      <w:pPr>
        <w:widowControl w:val="0"/>
        <w:autoSpaceDE w:val="0"/>
        <w:autoSpaceDN w:val="0"/>
        <w:spacing w:line="276" w:lineRule="auto"/>
        <w:jc w:val="both"/>
        <w:rPr>
          <w:rFonts w:ascii="Calibri" w:hAnsi="Calibri" w:cs="Calibri"/>
          <w:sz w:val="22"/>
          <w:szCs w:val="22"/>
        </w:rPr>
      </w:pPr>
      <w:r w:rsidRPr="00DC481C">
        <w:rPr>
          <w:rFonts w:ascii="Calibri" w:hAnsi="Calibri" w:cs="Calibri"/>
          <w:sz w:val="22"/>
          <w:szCs w:val="22"/>
        </w:rPr>
        <w:t xml:space="preserve">Digital financial services bring numerous new challenges to effective financial consumer protection in the digital era, in terms of both lack of familiarity with these new tools and low financial and digital literacy, including inadequate or insufficient awareness of consumers of the value of their data, and issues of transparency, disclosure and communication of terms and conditions. Consumers are also </w:t>
      </w:r>
      <w:r>
        <w:rPr>
          <w:rFonts w:ascii="Calibri" w:hAnsi="Calibri" w:cs="Calibri"/>
          <w:sz w:val="22"/>
          <w:szCs w:val="22"/>
        </w:rPr>
        <w:t xml:space="preserve">potentially </w:t>
      </w:r>
      <w:r w:rsidRPr="00DC481C">
        <w:rPr>
          <w:rFonts w:ascii="Calibri" w:hAnsi="Calibri" w:cs="Calibri"/>
          <w:sz w:val="22"/>
          <w:szCs w:val="22"/>
        </w:rPr>
        <w:t xml:space="preserve">exposed to </w:t>
      </w:r>
      <w:r>
        <w:rPr>
          <w:rFonts w:ascii="Calibri" w:hAnsi="Calibri" w:cs="Calibri"/>
          <w:sz w:val="22"/>
          <w:szCs w:val="22"/>
        </w:rPr>
        <w:t xml:space="preserve">traditional </w:t>
      </w:r>
      <w:r w:rsidRPr="00DC481C">
        <w:rPr>
          <w:rFonts w:ascii="Calibri" w:hAnsi="Calibri" w:cs="Calibri"/>
          <w:sz w:val="22"/>
          <w:szCs w:val="22"/>
        </w:rPr>
        <w:t xml:space="preserve">risks, including not only the risk of miss-selling and fraud, but also new risks such as misuse of personal financial data, digital profiling, cyber-crime, such as phishing, hacking attacks and </w:t>
      </w:r>
      <w:r w:rsidR="00155360" w:rsidRPr="00DC481C">
        <w:rPr>
          <w:rFonts w:ascii="Calibri" w:hAnsi="Calibri" w:cs="Calibri"/>
          <w:sz w:val="22"/>
          <w:szCs w:val="22"/>
        </w:rPr>
        <w:t>behavioral</w:t>
      </w:r>
      <w:r w:rsidRPr="00DC481C">
        <w:rPr>
          <w:rFonts w:ascii="Calibri" w:hAnsi="Calibri" w:cs="Calibri"/>
          <w:sz w:val="22"/>
          <w:szCs w:val="22"/>
        </w:rPr>
        <w:t xml:space="preserve"> issues, such as excessive borrowing</w:t>
      </w:r>
      <w:r>
        <w:rPr>
          <w:rFonts w:ascii="Calibri" w:hAnsi="Calibri" w:cs="Calibri"/>
          <w:sz w:val="22"/>
          <w:szCs w:val="22"/>
        </w:rPr>
        <w:t xml:space="preserve"> and risks arising from overly complex digital assets and services</w:t>
      </w:r>
      <w:r w:rsidRPr="00DC481C">
        <w:rPr>
          <w:rFonts w:ascii="Calibri" w:hAnsi="Calibri" w:cs="Calibri"/>
          <w:sz w:val="22"/>
          <w:szCs w:val="22"/>
        </w:rPr>
        <w:t>. The fast pace of the digitalisation of money and finance, together with the development of new products and services, requires continuous education to be fully understood by consumers</w:t>
      </w:r>
      <w:r>
        <w:rPr>
          <w:rFonts w:ascii="Calibri" w:hAnsi="Calibri" w:cs="Calibri"/>
          <w:sz w:val="22"/>
          <w:szCs w:val="22"/>
        </w:rPr>
        <w:t xml:space="preserve"> (e.g. through paper and web-based training)</w:t>
      </w:r>
      <w:r w:rsidRPr="00DC481C">
        <w:rPr>
          <w:rFonts w:ascii="Calibri" w:hAnsi="Calibri" w:cs="Calibri"/>
          <w:sz w:val="22"/>
          <w:szCs w:val="22"/>
        </w:rPr>
        <w:t>.</w:t>
      </w:r>
    </w:p>
    <w:p w14:paraId="71CE03D4" w14:textId="77777777" w:rsidR="00803699" w:rsidRPr="00DC481C" w:rsidRDefault="00803699" w:rsidP="00803699">
      <w:pPr>
        <w:widowControl w:val="0"/>
        <w:autoSpaceDE w:val="0"/>
        <w:autoSpaceDN w:val="0"/>
        <w:spacing w:line="276" w:lineRule="auto"/>
        <w:jc w:val="both"/>
        <w:rPr>
          <w:rFonts w:ascii="Calibri" w:hAnsi="Calibri" w:cs="Calibri"/>
          <w:sz w:val="22"/>
          <w:szCs w:val="22"/>
        </w:rPr>
      </w:pPr>
    </w:p>
    <w:p w14:paraId="0775E031" w14:textId="77777777" w:rsidR="00803699" w:rsidRPr="002C73AC" w:rsidRDefault="00803699" w:rsidP="00803699">
      <w:pPr>
        <w:widowControl w:val="0"/>
        <w:autoSpaceDE w:val="0"/>
        <w:autoSpaceDN w:val="0"/>
        <w:spacing w:line="276" w:lineRule="auto"/>
        <w:jc w:val="both"/>
        <w:rPr>
          <w:rFonts w:ascii="Calibri" w:hAnsi="Calibri" w:cs="Calibri"/>
          <w:sz w:val="22"/>
          <w:szCs w:val="22"/>
        </w:rPr>
      </w:pPr>
      <w:r w:rsidRPr="00DC481C">
        <w:rPr>
          <w:rFonts w:ascii="Calibri" w:hAnsi="Calibri" w:cs="Calibri"/>
          <w:sz w:val="22"/>
          <w:szCs w:val="22"/>
        </w:rPr>
        <w:t>A higher level of digital and financial literacy would help consumers make effective use of digital financial services</w:t>
      </w:r>
      <w:r>
        <w:rPr>
          <w:rFonts w:ascii="Calibri" w:hAnsi="Calibri" w:cs="Calibri"/>
          <w:sz w:val="22"/>
          <w:szCs w:val="22"/>
        </w:rPr>
        <w:t xml:space="preserve"> and make effective and responsible choices</w:t>
      </w:r>
      <w:r w:rsidRPr="00DC481C">
        <w:rPr>
          <w:rFonts w:ascii="Calibri" w:hAnsi="Calibri" w:cs="Calibri"/>
          <w:sz w:val="22"/>
          <w:szCs w:val="22"/>
        </w:rPr>
        <w:t>. It could involve enhancing consumers’ understanding of opportunities</w:t>
      </w:r>
      <w:r>
        <w:rPr>
          <w:rFonts w:ascii="Calibri" w:hAnsi="Calibri" w:cs="Calibri"/>
          <w:sz w:val="22"/>
          <w:szCs w:val="22"/>
        </w:rPr>
        <w:t>,</w:t>
      </w:r>
      <w:r w:rsidRPr="00DC481C">
        <w:rPr>
          <w:rFonts w:ascii="Calibri" w:hAnsi="Calibri" w:cs="Calibri"/>
          <w:sz w:val="22"/>
          <w:szCs w:val="22"/>
        </w:rPr>
        <w:t xml:space="preserve"> challenges </w:t>
      </w:r>
      <w:r>
        <w:rPr>
          <w:rFonts w:ascii="Calibri" w:hAnsi="Calibri" w:cs="Calibri"/>
          <w:sz w:val="22"/>
          <w:szCs w:val="22"/>
        </w:rPr>
        <w:t xml:space="preserve">and potential risks </w:t>
      </w:r>
      <w:r w:rsidRPr="00DC481C">
        <w:rPr>
          <w:rFonts w:ascii="Calibri" w:hAnsi="Calibri" w:cs="Calibri"/>
          <w:sz w:val="22"/>
          <w:szCs w:val="22"/>
        </w:rPr>
        <w:t xml:space="preserve">linked to financial innovation, in particular regarding </w:t>
      </w:r>
      <w:r>
        <w:rPr>
          <w:rFonts w:ascii="Calibri" w:hAnsi="Calibri" w:cs="Calibri"/>
          <w:sz w:val="22"/>
          <w:szCs w:val="22"/>
        </w:rPr>
        <w:t xml:space="preserve">AI, machine learning and Big Data, </w:t>
      </w:r>
      <w:r w:rsidRPr="00DC481C">
        <w:rPr>
          <w:rFonts w:ascii="Calibri" w:hAnsi="Calibri" w:cs="Calibri"/>
          <w:sz w:val="22"/>
          <w:szCs w:val="22"/>
        </w:rPr>
        <w:t xml:space="preserve">the use of ‘seamless’ online </w:t>
      </w:r>
      <w:r>
        <w:rPr>
          <w:rFonts w:ascii="Calibri" w:hAnsi="Calibri" w:cs="Calibri"/>
          <w:sz w:val="22"/>
          <w:szCs w:val="22"/>
        </w:rPr>
        <w:t xml:space="preserve">financial </w:t>
      </w:r>
      <w:r w:rsidRPr="00DC481C">
        <w:rPr>
          <w:rFonts w:ascii="Calibri" w:hAnsi="Calibri" w:cs="Calibri"/>
          <w:sz w:val="22"/>
          <w:szCs w:val="22"/>
        </w:rPr>
        <w:t xml:space="preserve">services, </w:t>
      </w:r>
      <w:r>
        <w:rPr>
          <w:rFonts w:ascii="Calibri" w:hAnsi="Calibri" w:cs="Calibri"/>
          <w:sz w:val="22"/>
          <w:szCs w:val="22"/>
        </w:rPr>
        <w:t xml:space="preserve">including via multi-purpose platforms, </w:t>
      </w:r>
      <w:r w:rsidRPr="00DC481C">
        <w:rPr>
          <w:rFonts w:ascii="Calibri" w:hAnsi="Calibri" w:cs="Calibri"/>
          <w:sz w:val="22"/>
          <w:szCs w:val="22"/>
        </w:rPr>
        <w:t xml:space="preserve">crypto-assets, </w:t>
      </w:r>
      <w:r>
        <w:rPr>
          <w:rFonts w:ascii="Calibri" w:hAnsi="Calibri" w:cs="Calibri"/>
          <w:sz w:val="22"/>
          <w:szCs w:val="22"/>
        </w:rPr>
        <w:t xml:space="preserve">and </w:t>
      </w:r>
      <w:r w:rsidRPr="00DC481C">
        <w:rPr>
          <w:rFonts w:ascii="Calibri" w:hAnsi="Calibri" w:cs="Calibri"/>
          <w:sz w:val="22"/>
          <w:szCs w:val="22"/>
        </w:rPr>
        <w:t>cybersecurity</w:t>
      </w:r>
      <w:r>
        <w:rPr>
          <w:rFonts w:ascii="Calibri" w:hAnsi="Calibri" w:cs="Calibri"/>
          <w:sz w:val="22"/>
          <w:szCs w:val="22"/>
        </w:rPr>
        <w:t xml:space="preserve"> issues</w:t>
      </w:r>
      <w:r w:rsidRPr="00DC481C">
        <w:rPr>
          <w:rFonts w:ascii="Calibri" w:hAnsi="Calibri" w:cs="Calibri"/>
          <w:sz w:val="22"/>
          <w:szCs w:val="22"/>
        </w:rPr>
        <w:t>. Clear rules of conduct for financial institutions, combined with programmes of financial education for consumers, will increase consumer trust in financial markets and contribute to financial stability. In addition, the consumption of financial services through digital channels has been accelerated by COVID-19 pandemic. Accordingly financial educational programmes should be complemented by the programmes developing over-all digital competences.</w:t>
      </w:r>
    </w:p>
    <w:p w14:paraId="50267B29" w14:textId="77777777" w:rsidR="00803699" w:rsidRDefault="00803699" w:rsidP="00803699">
      <w:pPr>
        <w:widowControl w:val="0"/>
        <w:autoSpaceDE w:val="0"/>
        <w:autoSpaceDN w:val="0"/>
        <w:spacing w:line="276" w:lineRule="auto"/>
        <w:jc w:val="both"/>
        <w:rPr>
          <w:rFonts w:ascii="Calibri" w:hAnsi="Calibri" w:cs="Calibri"/>
          <w:sz w:val="22"/>
          <w:szCs w:val="22"/>
        </w:rPr>
      </w:pPr>
    </w:p>
    <w:p w14:paraId="6F4FB90C" w14:textId="444FB18F" w:rsidR="00803699" w:rsidRPr="002C73AC" w:rsidRDefault="00803699" w:rsidP="00803699">
      <w:pPr>
        <w:widowControl w:val="0"/>
        <w:autoSpaceDE w:val="0"/>
        <w:autoSpaceDN w:val="0"/>
        <w:spacing w:line="276" w:lineRule="auto"/>
        <w:jc w:val="both"/>
        <w:rPr>
          <w:rFonts w:ascii="Calibri" w:hAnsi="Calibri" w:cs="Calibri"/>
          <w:sz w:val="22"/>
          <w:szCs w:val="22"/>
        </w:rPr>
      </w:pPr>
      <w:r w:rsidRPr="002C73AC">
        <w:rPr>
          <w:rFonts w:ascii="Calibri" w:hAnsi="Calibri" w:cs="Calibri"/>
          <w:sz w:val="22"/>
          <w:szCs w:val="22"/>
        </w:rPr>
        <w:t xml:space="preserve">Following-up on the publication of the </w:t>
      </w:r>
      <w:hyperlink r:id="rId23" w:history="1">
        <w:r w:rsidRPr="00663BB6">
          <w:rPr>
            <w:rStyle w:val="Hyperlink"/>
            <w:rFonts w:ascii="Calibri" w:hAnsi="Calibri"/>
            <w:color w:val="0070C0"/>
            <w:sz w:val="22"/>
          </w:rPr>
          <w:t xml:space="preserve">EBA Fintech </w:t>
        </w:r>
        <w:r>
          <w:rPr>
            <w:rStyle w:val="Hyperlink"/>
            <w:rFonts w:ascii="Calibri" w:hAnsi="Calibri"/>
            <w:color w:val="0070C0"/>
            <w:sz w:val="22"/>
          </w:rPr>
          <w:t>R</w:t>
        </w:r>
        <w:r w:rsidRPr="00663BB6">
          <w:rPr>
            <w:rStyle w:val="Hyperlink"/>
            <w:rFonts w:ascii="Calibri" w:hAnsi="Calibri"/>
            <w:color w:val="0070C0"/>
            <w:sz w:val="22"/>
          </w:rPr>
          <w:t>oadmap</w:t>
        </w:r>
      </w:hyperlink>
      <w:r w:rsidRPr="002C73AC">
        <w:rPr>
          <w:rFonts w:ascii="Calibri" w:hAnsi="Calibri" w:cs="Calibri"/>
          <w:sz w:val="22"/>
          <w:szCs w:val="22"/>
        </w:rPr>
        <w:t xml:space="preserve"> and as part of its financial education mandate, the EBA published in October 2019 a </w:t>
      </w:r>
      <w:hyperlink r:id="rId24" w:history="1">
        <w:r w:rsidRPr="00663BB6">
          <w:rPr>
            <w:rStyle w:val="Hyperlink"/>
            <w:rFonts w:ascii="Calibri" w:hAnsi="Calibri"/>
            <w:color w:val="0070C0"/>
            <w:sz w:val="22"/>
          </w:rPr>
          <w:t>factsheet to raise consumers’ awareness when choosing financial services through digital channels</w:t>
        </w:r>
      </w:hyperlink>
      <w:r w:rsidRPr="002C73AC">
        <w:rPr>
          <w:rFonts w:ascii="Calibri" w:hAnsi="Calibri" w:cs="Calibri"/>
          <w:sz w:val="22"/>
          <w:szCs w:val="22"/>
        </w:rPr>
        <w:t>. The factsheet includes tips that consumers should bear in mind before choosing a service or when concluding an agreement for a particular service. A similar exercise could be conducted by the EBA on other issues defined together with the N</w:t>
      </w:r>
      <w:r>
        <w:rPr>
          <w:rFonts w:ascii="Calibri" w:hAnsi="Calibri" w:cs="Calibri"/>
          <w:sz w:val="22"/>
          <w:szCs w:val="22"/>
        </w:rPr>
        <w:t>C</w:t>
      </w:r>
      <w:r w:rsidRPr="002C73AC">
        <w:rPr>
          <w:rFonts w:ascii="Calibri" w:hAnsi="Calibri" w:cs="Calibri"/>
          <w:sz w:val="22"/>
          <w:szCs w:val="22"/>
        </w:rPr>
        <w:t>As.</w:t>
      </w:r>
      <w:r w:rsidR="001E64E0">
        <w:rPr>
          <w:rFonts w:ascii="Calibri" w:hAnsi="Calibri" w:cs="Calibri"/>
          <w:sz w:val="22"/>
          <w:szCs w:val="22"/>
        </w:rPr>
        <w:t xml:space="preserve"> Other means of outreach could also be considered.</w:t>
      </w:r>
    </w:p>
    <w:p w14:paraId="26E2E891" w14:textId="64BE0331" w:rsidR="00AE7376" w:rsidRPr="00803699" w:rsidRDefault="00803699" w:rsidP="00AE7376">
      <w:pPr>
        <w:pStyle w:val="body0"/>
        <w:spacing w:after="0"/>
      </w:pPr>
      <w:r w:rsidRPr="002C73AC">
        <w:t>Finally, it is important to clarify that by way of responding to this question, the EBA interprets the wording ‘best practices’ that is used in the question to mean ‘good practices’, as often financial education and literacy initiatives are very much designed and tailored f</w:t>
      </w:r>
      <w:r>
        <w:t xml:space="preserve">or consumers according to </w:t>
      </w:r>
      <w:r>
        <w:lastRenderedPageBreak/>
        <w:t>their</w:t>
      </w:r>
      <w:r w:rsidRPr="002C73AC">
        <w:t xml:space="preserve"> needs and </w:t>
      </w:r>
      <w:r>
        <w:t>national specificities, and</w:t>
      </w:r>
      <w:r w:rsidRPr="002C73AC">
        <w:t xml:space="preserve"> successful practices in one jurisdiction are not easily transferrable to become equally successful practices in other jurisdictions.</w:t>
      </w:r>
    </w:p>
    <w:p w14:paraId="749A45D2" w14:textId="77777777" w:rsidR="006F5BE7" w:rsidRDefault="006F5BE7" w:rsidP="006F5BE7">
      <w:pPr>
        <w:pStyle w:val="Heading2"/>
        <w:spacing w:line="232" w:lineRule="auto"/>
        <w:ind w:left="0" w:right="264"/>
        <w:jc w:val="both"/>
        <w:rPr>
          <w:highlight w:val="yellow"/>
        </w:rPr>
      </w:pPr>
    </w:p>
    <w:p w14:paraId="717888F1" w14:textId="18399874" w:rsidR="006F5BE7" w:rsidRPr="006F5BE7" w:rsidRDefault="006F5BE7" w:rsidP="006F5BE7">
      <w:pPr>
        <w:pStyle w:val="Heading2"/>
        <w:spacing w:line="232" w:lineRule="auto"/>
        <w:ind w:left="0" w:right="-8"/>
        <w:jc w:val="both"/>
        <w:rPr>
          <w:rFonts w:ascii="Calibri" w:hAnsi="Calibri" w:cs="Calibri"/>
          <w:sz w:val="24"/>
          <w:szCs w:val="24"/>
        </w:rPr>
      </w:pPr>
      <w:r w:rsidRPr="006F5BE7">
        <w:rPr>
          <w:rFonts w:ascii="Calibri" w:hAnsi="Calibri" w:cs="Calibri"/>
          <w:sz w:val="24"/>
          <w:szCs w:val="24"/>
        </w:rPr>
        <w:t>Question 25: If you consider that initiatives aiming to enhance financial education and literacy are insufficient to protect consumers in the digital context, which additional measures would you recommend?</w:t>
      </w:r>
    </w:p>
    <w:p w14:paraId="2581C7B8" w14:textId="77777777" w:rsidR="006F5BE7" w:rsidRDefault="006F5BE7" w:rsidP="006F5BE7">
      <w:pPr>
        <w:jc w:val="both"/>
        <w:rPr>
          <w:rFonts w:asciiTheme="minorHAnsi" w:hAnsiTheme="minorHAnsi" w:cstheme="minorHAnsi" w:hint="eastAsia"/>
        </w:rPr>
      </w:pPr>
    </w:p>
    <w:p w14:paraId="6975F95B" w14:textId="77777777" w:rsidR="00803699" w:rsidRPr="006F5BE7" w:rsidRDefault="00803699" w:rsidP="00803699">
      <w:pPr>
        <w:spacing w:line="276" w:lineRule="auto"/>
        <w:jc w:val="both"/>
        <w:rPr>
          <w:rFonts w:ascii="Calibri" w:hAnsi="Calibri" w:cs="Calibri"/>
          <w:sz w:val="22"/>
          <w:szCs w:val="22"/>
        </w:rPr>
      </w:pPr>
      <w:r w:rsidRPr="006F5BE7">
        <w:rPr>
          <w:rFonts w:ascii="Calibri" w:hAnsi="Calibri" w:cs="Calibri"/>
          <w:sz w:val="22"/>
          <w:szCs w:val="22"/>
        </w:rPr>
        <w:t>In March 2020, the EBA published its</w:t>
      </w:r>
      <w:r w:rsidRPr="006F5BE7">
        <w:rPr>
          <w:rFonts w:ascii="Calibri" w:hAnsi="Calibri" w:cs="Calibri"/>
          <w:color w:val="133850"/>
          <w:sz w:val="22"/>
          <w:szCs w:val="22"/>
          <w:shd w:val="clear" w:color="auto" w:fill="FFFFFF"/>
        </w:rPr>
        <w:t> </w:t>
      </w:r>
      <w:hyperlink r:id="rId25" w:history="1">
        <w:r w:rsidRPr="006F5BE7">
          <w:rPr>
            <w:rFonts w:ascii="Calibri" w:hAnsi="Calibri" w:cs="Calibri"/>
            <w:color w:val="267EB7"/>
            <w:sz w:val="22"/>
            <w:szCs w:val="22"/>
            <w:u w:val="single"/>
            <w:shd w:val="clear" w:color="auto" w:fill="FFFFFF"/>
          </w:rPr>
          <w:t>second Financial Education Report</w:t>
        </w:r>
        <w:r>
          <w:rPr>
            <w:rFonts w:ascii="Calibri" w:hAnsi="Calibri" w:cs="Calibri"/>
            <w:color w:val="267EB7"/>
            <w:sz w:val="22"/>
            <w:szCs w:val="22"/>
            <w:u w:val="single"/>
            <w:shd w:val="clear" w:color="auto" w:fill="FFFFFF"/>
          </w:rPr>
          <w:t xml:space="preserve"> (FER)</w:t>
        </w:r>
        <w:r w:rsidRPr="006F5BE7">
          <w:rPr>
            <w:rFonts w:ascii="Calibri" w:hAnsi="Calibri" w:cs="Calibri"/>
            <w:color w:val="267EB7"/>
            <w:sz w:val="22"/>
            <w:szCs w:val="22"/>
            <w:u w:val="single"/>
            <w:shd w:val="clear" w:color="auto" w:fill="FFFFFF"/>
          </w:rPr>
          <w:t xml:space="preserve"> 2019/20</w:t>
        </w:r>
      </w:hyperlink>
      <w:r w:rsidRPr="006F5BE7">
        <w:rPr>
          <w:rFonts w:ascii="Calibri" w:hAnsi="Calibri" w:cs="Calibri"/>
          <w:sz w:val="22"/>
          <w:szCs w:val="22"/>
        </w:rPr>
        <w:t xml:space="preserve">. The </w:t>
      </w:r>
      <w:r>
        <w:rPr>
          <w:rFonts w:ascii="Calibri" w:hAnsi="Calibri" w:cs="Calibri"/>
          <w:sz w:val="22"/>
          <w:szCs w:val="22"/>
        </w:rPr>
        <w:t>FE</w:t>
      </w:r>
      <w:r w:rsidRPr="006F5BE7">
        <w:rPr>
          <w:rFonts w:ascii="Calibri" w:hAnsi="Calibri" w:cs="Calibri"/>
          <w:sz w:val="22"/>
          <w:szCs w:val="22"/>
        </w:rPr>
        <w:t xml:space="preserve">R is based on the EBA financial education repository and provides an overview of the numerous initiatives that </w:t>
      </w:r>
      <w:r>
        <w:rPr>
          <w:rFonts w:ascii="Calibri" w:hAnsi="Calibri" w:cs="Calibri"/>
          <w:sz w:val="22"/>
          <w:szCs w:val="22"/>
        </w:rPr>
        <w:t xml:space="preserve">competent authorities </w:t>
      </w:r>
      <w:r w:rsidRPr="006F5BE7">
        <w:rPr>
          <w:rFonts w:ascii="Calibri" w:hAnsi="Calibri" w:cs="Calibri"/>
          <w:sz w:val="22"/>
          <w:szCs w:val="22"/>
        </w:rPr>
        <w:t>have undertaken in their jurisdictions</w:t>
      </w:r>
      <w:r>
        <w:rPr>
          <w:rFonts w:ascii="Calibri" w:hAnsi="Calibri" w:cs="Calibri"/>
          <w:sz w:val="22"/>
          <w:szCs w:val="22"/>
        </w:rPr>
        <w:t>, primarily</w:t>
      </w:r>
      <w:r w:rsidRPr="006F5BE7">
        <w:rPr>
          <w:rFonts w:ascii="Calibri" w:hAnsi="Calibri" w:cs="Calibri"/>
          <w:sz w:val="22"/>
          <w:szCs w:val="22"/>
        </w:rPr>
        <w:t xml:space="preserve"> during 2018 and 2019. </w:t>
      </w:r>
    </w:p>
    <w:p w14:paraId="6DEBFBDC" w14:textId="77777777" w:rsidR="00803699" w:rsidRPr="006F5BE7" w:rsidRDefault="00803699" w:rsidP="00803699">
      <w:pPr>
        <w:spacing w:line="276" w:lineRule="auto"/>
        <w:jc w:val="both"/>
        <w:rPr>
          <w:rFonts w:ascii="Calibri" w:hAnsi="Calibri" w:cs="Calibri"/>
          <w:sz w:val="22"/>
          <w:szCs w:val="22"/>
        </w:rPr>
      </w:pPr>
    </w:p>
    <w:p w14:paraId="112A2508" w14:textId="77777777" w:rsidR="00803699" w:rsidRDefault="00803699" w:rsidP="00803699">
      <w:pPr>
        <w:spacing w:line="276" w:lineRule="auto"/>
        <w:jc w:val="both"/>
        <w:rPr>
          <w:rFonts w:ascii="Calibri" w:hAnsi="Calibri" w:cs="Calibri"/>
          <w:sz w:val="22"/>
          <w:szCs w:val="22"/>
        </w:rPr>
      </w:pPr>
      <w:r w:rsidRPr="006F5BE7">
        <w:rPr>
          <w:rFonts w:ascii="Calibri" w:hAnsi="Calibri" w:cs="Calibri"/>
          <w:sz w:val="22"/>
          <w:szCs w:val="22"/>
        </w:rPr>
        <w:t>As mentioned in the conclusion of the FER, engaging stakeholders in providing joint financial education programmes is also part of a broader consumer protection objective to offer transparent financial products. A more robust, safe and transparent financial system needs also responsible consumers who are actively involved in improving their financial awareness. Financial education</w:t>
      </w:r>
      <w:r>
        <w:rPr>
          <w:rFonts w:ascii="Calibri" w:hAnsi="Calibri" w:cs="Calibri"/>
          <w:sz w:val="22"/>
          <w:szCs w:val="22"/>
        </w:rPr>
        <w:t xml:space="preserve">, initiatives, including those offered by public authorities and financial institutions (e.g. free online and data security training), can </w:t>
      </w:r>
      <w:r w:rsidRPr="006F5BE7">
        <w:rPr>
          <w:rFonts w:ascii="Calibri" w:hAnsi="Calibri" w:cs="Calibri"/>
          <w:sz w:val="22"/>
          <w:szCs w:val="22"/>
        </w:rPr>
        <w:t>help consumers make informed decisions and promote the intelligent consumption of financial products</w:t>
      </w:r>
      <w:r>
        <w:rPr>
          <w:rFonts w:ascii="Calibri" w:hAnsi="Calibri" w:cs="Calibri"/>
          <w:sz w:val="22"/>
          <w:szCs w:val="22"/>
        </w:rPr>
        <w:t xml:space="preserve"> and services</w:t>
      </w:r>
      <w:r w:rsidRPr="006F5BE7">
        <w:rPr>
          <w:rFonts w:ascii="Calibri" w:hAnsi="Calibri" w:cs="Calibri"/>
          <w:sz w:val="22"/>
          <w:szCs w:val="22"/>
        </w:rPr>
        <w:t xml:space="preserve">. The aim should be not only to pass on knowledge and skills (‘financial education’), but also to ensure that people are </w:t>
      </w:r>
      <w:r>
        <w:rPr>
          <w:rFonts w:ascii="Calibri" w:hAnsi="Calibri" w:cs="Calibri"/>
          <w:sz w:val="22"/>
          <w:szCs w:val="22"/>
        </w:rPr>
        <w:t xml:space="preserve">sufficiently </w:t>
      </w:r>
      <w:r w:rsidRPr="006F5BE7">
        <w:rPr>
          <w:rFonts w:ascii="Calibri" w:hAnsi="Calibri" w:cs="Calibri"/>
          <w:sz w:val="22"/>
          <w:szCs w:val="22"/>
        </w:rPr>
        <w:t>financially literate to make the right decisions when managing their personal finances in the real world (‘financial empowerment’).</w:t>
      </w:r>
    </w:p>
    <w:p w14:paraId="18DB4BFF" w14:textId="77777777" w:rsidR="00803699" w:rsidRPr="006F5BE7" w:rsidRDefault="00803699" w:rsidP="00803699">
      <w:pPr>
        <w:spacing w:line="276" w:lineRule="auto"/>
        <w:jc w:val="both"/>
        <w:rPr>
          <w:rFonts w:ascii="Calibri" w:hAnsi="Calibri" w:cs="Calibri"/>
          <w:sz w:val="22"/>
          <w:szCs w:val="22"/>
        </w:rPr>
      </w:pPr>
      <w:r w:rsidRPr="006F5BE7">
        <w:rPr>
          <w:rFonts w:ascii="Calibri" w:hAnsi="Calibri" w:cs="Calibri"/>
          <w:sz w:val="22"/>
          <w:szCs w:val="22"/>
        </w:rPr>
        <w:t xml:space="preserve"> </w:t>
      </w:r>
    </w:p>
    <w:p w14:paraId="655747F7" w14:textId="77777777" w:rsidR="00D2770E" w:rsidRDefault="00803699" w:rsidP="00803699">
      <w:pPr>
        <w:spacing w:line="276" w:lineRule="auto"/>
        <w:jc w:val="both"/>
        <w:rPr>
          <w:rFonts w:ascii="Calibri" w:hAnsi="Calibri" w:cs="Calibri"/>
          <w:sz w:val="22"/>
          <w:szCs w:val="22"/>
        </w:rPr>
      </w:pPr>
      <w:r w:rsidRPr="006F5BE7">
        <w:rPr>
          <w:rFonts w:ascii="Calibri" w:hAnsi="Calibri" w:cs="Calibri"/>
          <w:sz w:val="22"/>
          <w:szCs w:val="22"/>
        </w:rPr>
        <w:t>The EBA is committed to continuing its coordination of national financial education initiatives at European level in order to promote the effectiveness of financial education and the level of financial literacy and to help, inter alia, improve consumer protection and the responsible consumption of financial products</w:t>
      </w:r>
      <w:r>
        <w:rPr>
          <w:rFonts w:ascii="Calibri" w:hAnsi="Calibri" w:cs="Calibri"/>
          <w:sz w:val="22"/>
          <w:szCs w:val="22"/>
        </w:rPr>
        <w:t xml:space="preserve"> and service</w:t>
      </w:r>
      <w:r w:rsidRPr="00EF53AB">
        <w:rPr>
          <w:rFonts w:ascii="Calibri" w:hAnsi="Calibri" w:cs="Calibri"/>
          <w:color w:val="000000" w:themeColor="text1"/>
          <w:sz w:val="22"/>
          <w:szCs w:val="22"/>
        </w:rPr>
        <w:t>s</w:t>
      </w:r>
      <w:r w:rsidRPr="00C4093F">
        <w:rPr>
          <w:rFonts w:ascii="Calibri" w:hAnsi="Calibri"/>
          <w:color w:val="000000" w:themeColor="text1"/>
          <w:sz w:val="22"/>
        </w:rPr>
        <w:t>. Financial education and financial literacy remain however, a complementary tool to any regulatory policy</w:t>
      </w:r>
      <w:r>
        <w:rPr>
          <w:rFonts w:ascii="Calibri" w:hAnsi="Calibri" w:cs="Calibri"/>
          <w:color w:val="000000" w:themeColor="text1"/>
          <w:sz w:val="22"/>
          <w:szCs w:val="22"/>
        </w:rPr>
        <w:t xml:space="preserve">. </w:t>
      </w:r>
      <w:r w:rsidRPr="00EF53AB">
        <w:rPr>
          <w:rFonts w:ascii="Calibri" w:hAnsi="Calibri" w:cs="Calibri"/>
          <w:bCs/>
          <w:color w:val="000000" w:themeColor="text1"/>
          <w:sz w:val="22"/>
          <w:szCs w:val="22"/>
        </w:rPr>
        <w:t>The</w:t>
      </w:r>
      <w:r>
        <w:rPr>
          <w:rFonts w:ascii="Calibri" w:hAnsi="Calibri" w:cs="Calibri"/>
          <w:bCs/>
          <w:color w:val="000000" w:themeColor="text1"/>
          <w:sz w:val="22"/>
          <w:szCs w:val="22"/>
        </w:rPr>
        <w:t xml:space="preserve"> </w:t>
      </w:r>
      <w:r w:rsidRPr="00EF53AB">
        <w:rPr>
          <w:rFonts w:ascii="Calibri" w:hAnsi="Calibri" w:cs="Calibri"/>
          <w:bCs/>
          <w:color w:val="000000" w:themeColor="text1"/>
          <w:sz w:val="22"/>
          <w:szCs w:val="22"/>
        </w:rPr>
        <w:t>risks arising from overly complex digital assets and services would</w:t>
      </w:r>
      <w:r w:rsidRPr="00C4093F">
        <w:rPr>
          <w:rFonts w:ascii="Calibri" w:hAnsi="Calibri"/>
          <w:color w:val="000000" w:themeColor="text1"/>
          <w:sz w:val="22"/>
        </w:rPr>
        <w:t xml:space="preserve"> need to be supported by appropriate regulatory and supervisory initiatives to protect consumers. In a</w:t>
      </w:r>
      <w:r w:rsidRPr="00DC481C">
        <w:rPr>
          <w:rFonts w:ascii="Calibri" w:hAnsi="Calibri" w:cs="Calibri"/>
          <w:sz w:val="22"/>
          <w:szCs w:val="22"/>
        </w:rPr>
        <w:t>ddition, it is also the responsibility of the financial sector to make sure that digital tools are adapted to all categories of customers and allow them to receive the necessary information to ma</w:t>
      </w:r>
      <w:r w:rsidR="00D2770E">
        <w:rPr>
          <w:rFonts w:ascii="Calibri" w:hAnsi="Calibri" w:cs="Calibri"/>
          <w:sz w:val="22"/>
          <w:szCs w:val="22"/>
        </w:rPr>
        <w:t>ke informed financial decisions.</w:t>
      </w:r>
    </w:p>
    <w:p w14:paraId="5770DE9F" w14:textId="77777777" w:rsidR="00D2770E" w:rsidRDefault="00D2770E" w:rsidP="00803699">
      <w:pPr>
        <w:spacing w:line="276" w:lineRule="auto"/>
        <w:jc w:val="both"/>
        <w:rPr>
          <w:rFonts w:ascii="Calibri" w:hAnsi="Calibri" w:cs="Calibri"/>
          <w:sz w:val="22"/>
          <w:szCs w:val="22"/>
        </w:rPr>
      </w:pPr>
    </w:p>
    <w:p w14:paraId="5730E1B1" w14:textId="3A909354" w:rsidR="00803699" w:rsidRDefault="00803699" w:rsidP="00803699">
      <w:pPr>
        <w:spacing w:line="276" w:lineRule="auto"/>
        <w:jc w:val="both"/>
        <w:rPr>
          <w:rFonts w:ascii="Calibri" w:hAnsi="Calibri" w:cs="Calibri"/>
          <w:sz w:val="22"/>
          <w:szCs w:val="22"/>
        </w:rPr>
      </w:pPr>
      <w:r>
        <w:rPr>
          <w:rFonts w:ascii="Calibri" w:hAnsi="Calibri" w:cs="Calibri"/>
          <w:sz w:val="22"/>
          <w:szCs w:val="22"/>
        </w:rPr>
        <w:t>In addition to financial education initiatives, the EBA is of the view that to protect consumers in the digital context, there are other measures that should be taken at policy level, including:</w:t>
      </w:r>
    </w:p>
    <w:p w14:paraId="094F339F" w14:textId="77777777" w:rsidR="00803699" w:rsidRDefault="00803699" w:rsidP="00803699">
      <w:pPr>
        <w:spacing w:line="276" w:lineRule="auto"/>
        <w:jc w:val="both"/>
        <w:rPr>
          <w:rFonts w:ascii="Calibri" w:hAnsi="Calibri" w:cs="Calibri"/>
          <w:sz w:val="22"/>
          <w:szCs w:val="22"/>
        </w:rPr>
      </w:pPr>
    </w:p>
    <w:p w14:paraId="3E7C18F4" w14:textId="77777777" w:rsidR="00803699" w:rsidRPr="00DC481C" w:rsidRDefault="00803699" w:rsidP="00803699">
      <w:pPr>
        <w:pStyle w:val="ListParagraph"/>
        <w:numPr>
          <w:ilvl w:val="0"/>
          <w:numId w:val="45"/>
        </w:numPr>
        <w:rPr>
          <w:rFonts w:ascii="Calibri" w:hAnsi="Calibri" w:cs="Calibri"/>
          <w:szCs w:val="22"/>
        </w:rPr>
      </w:pPr>
      <w:r>
        <w:rPr>
          <w:rFonts w:ascii="Calibri" w:hAnsi="Calibri" w:cs="Calibri"/>
          <w:szCs w:val="22"/>
        </w:rPr>
        <w:t>to e</w:t>
      </w:r>
      <w:r w:rsidRPr="00745CC7">
        <w:rPr>
          <w:rFonts w:ascii="Calibri" w:hAnsi="Calibri" w:cs="Calibri"/>
          <w:szCs w:val="22"/>
        </w:rPr>
        <w:t>nha</w:t>
      </w:r>
      <w:r>
        <w:rPr>
          <w:rFonts w:ascii="Calibri" w:hAnsi="Calibri" w:cs="Calibri"/>
          <w:szCs w:val="22"/>
        </w:rPr>
        <w:t>nce</w:t>
      </w:r>
      <w:r w:rsidRPr="00745CC7">
        <w:rPr>
          <w:rFonts w:ascii="Calibri" w:hAnsi="Calibri" w:cs="Calibri"/>
          <w:szCs w:val="22"/>
        </w:rPr>
        <w:t xml:space="preserve"> the digital literacy of consumers. Some consumers do not have the digital knowledge and skills that are required to make us</w:t>
      </w:r>
      <w:r>
        <w:rPr>
          <w:rFonts w:ascii="Calibri" w:hAnsi="Calibri" w:cs="Calibri"/>
          <w:szCs w:val="22"/>
        </w:rPr>
        <w:t>e</w:t>
      </w:r>
      <w:r w:rsidRPr="00745CC7">
        <w:rPr>
          <w:rFonts w:ascii="Calibri" w:hAnsi="Calibri" w:cs="Calibri"/>
          <w:szCs w:val="22"/>
        </w:rPr>
        <w:t xml:space="preserve"> of digital financial services, and there is the risk </w:t>
      </w:r>
      <w:r w:rsidRPr="00DC481C">
        <w:rPr>
          <w:rFonts w:ascii="Calibri" w:hAnsi="Calibri" w:cs="Calibri"/>
          <w:szCs w:val="22"/>
        </w:rPr>
        <w:t xml:space="preserve">that they end up being excluded from financial services. The </w:t>
      </w:r>
      <w:r w:rsidRPr="00DC481C">
        <w:rPr>
          <w:rFonts w:ascii="Calibri" w:hAnsi="Calibri" w:cs="Calibri"/>
          <w:szCs w:val="22"/>
          <w:lang w:val="en-US"/>
        </w:rPr>
        <w:t xml:space="preserve">provision of financial services through digital channels has been increased during the last years and this tendency has been accelerated by the COVID-19 pandemic. In addition, it is necessary to ensure </w:t>
      </w:r>
      <w:r w:rsidRPr="00DC481C">
        <w:rPr>
          <w:rFonts w:ascii="Calibri" w:hAnsi="Calibri" w:cs="Calibri"/>
          <w:iCs/>
        </w:rPr>
        <w:t>good-quality and affordable digital connectivity to all consumers.</w:t>
      </w:r>
    </w:p>
    <w:p w14:paraId="39D61957" w14:textId="77777777" w:rsidR="00803699" w:rsidRDefault="00803699" w:rsidP="00803699">
      <w:pPr>
        <w:pStyle w:val="ListParagraph"/>
        <w:numPr>
          <w:ilvl w:val="0"/>
          <w:numId w:val="45"/>
        </w:numPr>
        <w:rPr>
          <w:rFonts w:ascii="Calibri" w:hAnsi="Calibri" w:cs="Calibri"/>
          <w:szCs w:val="22"/>
        </w:rPr>
      </w:pPr>
      <w:r w:rsidRPr="00DC481C">
        <w:rPr>
          <w:rFonts w:ascii="Calibri" w:hAnsi="Calibri" w:cs="Calibri"/>
          <w:szCs w:val="22"/>
        </w:rPr>
        <w:lastRenderedPageBreak/>
        <w:t>to improve the disclosure of information to consumers buying financial services through digital means by adapting the presentation and provision of information to those channels and making use of the insights of behavioural economics.</w:t>
      </w:r>
    </w:p>
    <w:p w14:paraId="4031F84F" w14:textId="7232EDCA" w:rsidR="00F476CE" w:rsidRPr="00803699" w:rsidRDefault="00803699" w:rsidP="006F5BE7">
      <w:pPr>
        <w:pStyle w:val="ListParagraph"/>
        <w:numPr>
          <w:ilvl w:val="0"/>
          <w:numId w:val="45"/>
        </w:numPr>
        <w:rPr>
          <w:rFonts w:ascii="Calibri" w:hAnsi="Calibri" w:cs="Calibri"/>
          <w:szCs w:val="22"/>
        </w:rPr>
      </w:pPr>
      <w:r w:rsidRPr="00803699">
        <w:rPr>
          <w:rFonts w:ascii="Calibri" w:hAnsi="Calibri" w:cs="Calibri"/>
          <w:szCs w:val="22"/>
        </w:rPr>
        <w:t>to provide a definition of cross-border provision of financial services at EU level. With the increase of digital provision of financials services, it is easier and more common to provide financial services across borders.</w:t>
      </w:r>
      <w:r w:rsidR="00D2770E">
        <w:rPr>
          <w:rFonts w:ascii="Calibri" w:hAnsi="Calibri" w:cs="Calibri"/>
          <w:szCs w:val="22"/>
        </w:rPr>
        <w:t xml:space="preserve"> Therefore, it is more urgent </w:t>
      </w:r>
      <w:r w:rsidRPr="00803699">
        <w:rPr>
          <w:rFonts w:ascii="Calibri" w:hAnsi="Calibri" w:cs="Calibri"/>
          <w:szCs w:val="22"/>
        </w:rPr>
        <w:t xml:space="preserve">than ever to clearly define criteria for determining the location where </w:t>
      </w:r>
      <w:r w:rsidR="00D2770E">
        <w:rPr>
          <w:rFonts w:ascii="Calibri" w:hAnsi="Calibri" w:cs="Calibri"/>
          <w:szCs w:val="22"/>
        </w:rPr>
        <w:t>a service</w:t>
      </w:r>
      <w:r w:rsidRPr="00803699">
        <w:rPr>
          <w:rFonts w:ascii="Calibri" w:hAnsi="Calibri" w:cs="Calibri"/>
          <w:szCs w:val="22"/>
        </w:rPr>
        <w:t xml:space="preserve"> is provided, which is key to determine whether there is cross-border provision of services and whether it falls under the freedom to provide services or the right of establishment.</w:t>
      </w:r>
      <w:r w:rsidR="00D2770E">
        <w:rPr>
          <w:rFonts w:ascii="Calibri" w:hAnsi="Calibri" w:cs="Calibri"/>
          <w:szCs w:val="22"/>
        </w:rPr>
        <w:t xml:space="preserve"> In turn, this is critical for determining the applicable consumer protection, complaints handling and dispute resolution rules. Greater clarity in this area is vital to facilitate the cross-border of services from both a demand and supply perspective.</w:t>
      </w:r>
    </w:p>
    <w:p w14:paraId="1875547D" w14:textId="77777777" w:rsidR="00F476CE" w:rsidRPr="00F476CE" w:rsidRDefault="00F476CE" w:rsidP="00F476CE">
      <w:pPr>
        <w:pStyle w:val="Heading2"/>
        <w:spacing w:line="232" w:lineRule="auto"/>
        <w:ind w:left="0" w:right="-8"/>
        <w:jc w:val="both"/>
        <w:rPr>
          <w:rFonts w:ascii="Calibri" w:hAnsi="Calibri" w:cs="Calibri"/>
          <w:sz w:val="24"/>
          <w:szCs w:val="24"/>
        </w:rPr>
      </w:pPr>
      <w:r w:rsidRPr="00F476CE">
        <w:rPr>
          <w:rFonts w:ascii="Calibri" w:hAnsi="Calibri" w:cs="Calibri"/>
          <w:sz w:val="24"/>
          <w:szCs w:val="24"/>
        </w:rPr>
        <w:t>Question 29. In your opinion, under what conditions would consumers favour sharing their data relevant to financial services with other financial services providers in order to get better offers for financial products and services?</w:t>
      </w:r>
    </w:p>
    <w:p w14:paraId="35D53119" w14:textId="02E1B959" w:rsidR="00F476CE" w:rsidRDefault="00F476CE" w:rsidP="00F476CE">
      <w:pPr>
        <w:spacing w:line="276" w:lineRule="auto"/>
        <w:jc w:val="both"/>
        <w:rPr>
          <w:rFonts w:ascii="Calibri" w:hAnsi="Calibri" w:cs="Calibri"/>
          <w:sz w:val="22"/>
          <w:szCs w:val="22"/>
        </w:rPr>
      </w:pPr>
    </w:p>
    <w:p w14:paraId="2836B4BC" w14:textId="77777777" w:rsidR="00803699" w:rsidRDefault="00803699" w:rsidP="00803699">
      <w:pPr>
        <w:pStyle w:val="BodyText"/>
        <w:spacing w:line="276" w:lineRule="auto"/>
        <w:jc w:val="both"/>
        <w:rPr>
          <w:rFonts w:ascii="Calibri" w:hAnsi="Calibri" w:cs="Calibri"/>
          <w:sz w:val="22"/>
          <w:szCs w:val="22"/>
        </w:rPr>
      </w:pPr>
      <w:r>
        <w:rPr>
          <w:rFonts w:ascii="Calibri" w:hAnsi="Calibri" w:cs="Calibri"/>
          <w:sz w:val="22"/>
          <w:szCs w:val="22"/>
        </w:rPr>
        <w:t>Where consumers have a high degree of clarity about the use to which financial services providers may put their data, and if the grounds for use are well-defined in accordance with a sound EU regulatory framework, they may favour sharing their data.</w:t>
      </w:r>
    </w:p>
    <w:p w14:paraId="7FE52CCD" w14:textId="77777777" w:rsidR="00803699" w:rsidRDefault="00803699" w:rsidP="00803699">
      <w:pPr>
        <w:pStyle w:val="BodyText"/>
        <w:spacing w:line="276" w:lineRule="auto"/>
        <w:jc w:val="both"/>
        <w:rPr>
          <w:rFonts w:ascii="Calibri" w:hAnsi="Calibri" w:cs="Calibri"/>
          <w:sz w:val="22"/>
          <w:szCs w:val="22"/>
        </w:rPr>
      </w:pPr>
    </w:p>
    <w:p w14:paraId="15F4B7C0" w14:textId="33EA5F7A" w:rsidR="00803699" w:rsidRPr="00F476CE" w:rsidRDefault="00803699" w:rsidP="00803699">
      <w:pPr>
        <w:pStyle w:val="BodyText"/>
        <w:spacing w:line="276" w:lineRule="auto"/>
        <w:jc w:val="both"/>
        <w:rPr>
          <w:rFonts w:ascii="Calibri" w:hAnsi="Calibri" w:cs="Calibri"/>
          <w:sz w:val="22"/>
          <w:szCs w:val="22"/>
        </w:rPr>
      </w:pPr>
      <w:r>
        <w:rPr>
          <w:rFonts w:ascii="Calibri" w:hAnsi="Calibri" w:cs="Calibri"/>
          <w:sz w:val="22"/>
          <w:szCs w:val="22"/>
        </w:rPr>
        <w:t>More specifically, consumers are likely to favour sharing their data where this</w:t>
      </w:r>
      <w:r w:rsidRPr="00F476CE">
        <w:rPr>
          <w:rFonts w:ascii="Calibri" w:hAnsi="Calibri" w:cs="Calibri"/>
          <w:sz w:val="22"/>
          <w:szCs w:val="22"/>
        </w:rPr>
        <w:t xml:space="preserve"> </w:t>
      </w:r>
      <w:r>
        <w:rPr>
          <w:rFonts w:ascii="Calibri" w:hAnsi="Calibri" w:cs="Calibri"/>
          <w:sz w:val="22"/>
          <w:szCs w:val="22"/>
        </w:rPr>
        <w:t>would enhance the quality, range or tailoring of the product/service offering</w:t>
      </w:r>
      <w:r w:rsidRPr="00F476CE">
        <w:rPr>
          <w:rFonts w:ascii="Calibri" w:hAnsi="Calibri" w:cs="Calibri"/>
          <w:sz w:val="22"/>
          <w:szCs w:val="22"/>
        </w:rPr>
        <w:t xml:space="preserve"> and </w:t>
      </w:r>
      <w:r w:rsidR="00155360">
        <w:rPr>
          <w:rFonts w:ascii="Calibri" w:hAnsi="Calibri" w:cs="Calibri"/>
          <w:sz w:val="22"/>
          <w:szCs w:val="22"/>
        </w:rPr>
        <w:t>where they</w:t>
      </w:r>
      <w:r>
        <w:rPr>
          <w:rFonts w:ascii="Calibri" w:hAnsi="Calibri" w:cs="Calibri"/>
          <w:sz w:val="22"/>
          <w:szCs w:val="22"/>
        </w:rPr>
        <w:t xml:space="preserve"> would obtain</w:t>
      </w:r>
      <w:r w:rsidRPr="00F476CE">
        <w:rPr>
          <w:rFonts w:ascii="Calibri" w:hAnsi="Calibri" w:cs="Calibri"/>
          <w:sz w:val="22"/>
          <w:szCs w:val="22"/>
        </w:rPr>
        <w:t xml:space="preserve"> a better insight into their financial situation. In addition, consumers are likely to be in favour of sharing their data if </w:t>
      </w:r>
      <w:r>
        <w:rPr>
          <w:rFonts w:ascii="Calibri" w:hAnsi="Calibri" w:cs="Calibri"/>
          <w:sz w:val="22"/>
          <w:szCs w:val="22"/>
        </w:rPr>
        <w:t>this</w:t>
      </w:r>
      <w:r w:rsidRPr="00F476CE">
        <w:rPr>
          <w:rFonts w:ascii="Calibri" w:hAnsi="Calibri" w:cs="Calibri"/>
          <w:sz w:val="22"/>
          <w:szCs w:val="22"/>
        </w:rPr>
        <w:t xml:space="preserve"> would lead to cost saving</w:t>
      </w:r>
      <w:r>
        <w:rPr>
          <w:rFonts w:ascii="Calibri" w:hAnsi="Calibri" w:cs="Calibri"/>
          <w:sz w:val="22"/>
          <w:szCs w:val="22"/>
        </w:rPr>
        <w:t>s</w:t>
      </w:r>
      <w:r w:rsidRPr="00F476CE">
        <w:rPr>
          <w:rFonts w:ascii="Calibri" w:hAnsi="Calibri" w:cs="Calibri"/>
          <w:sz w:val="22"/>
          <w:szCs w:val="22"/>
        </w:rPr>
        <w:t xml:space="preserve"> for them, either directly </w:t>
      </w:r>
      <w:r>
        <w:rPr>
          <w:rFonts w:ascii="Calibri" w:hAnsi="Calibri" w:cs="Calibri"/>
          <w:sz w:val="22"/>
          <w:szCs w:val="22"/>
        </w:rPr>
        <w:t>from</w:t>
      </w:r>
      <w:r w:rsidRPr="00F476CE">
        <w:rPr>
          <w:rFonts w:ascii="Calibri" w:hAnsi="Calibri" w:cs="Calibri"/>
          <w:sz w:val="22"/>
          <w:szCs w:val="22"/>
        </w:rPr>
        <w:t xml:space="preserve"> financial services providers or </w:t>
      </w:r>
      <w:r>
        <w:rPr>
          <w:rFonts w:ascii="Calibri" w:hAnsi="Calibri" w:cs="Calibri"/>
          <w:sz w:val="22"/>
          <w:szCs w:val="22"/>
        </w:rPr>
        <w:t>as a result of</w:t>
      </w:r>
      <w:r w:rsidRPr="00F476CE">
        <w:rPr>
          <w:rFonts w:ascii="Calibri" w:hAnsi="Calibri" w:cs="Calibri"/>
          <w:sz w:val="22"/>
          <w:szCs w:val="22"/>
        </w:rPr>
        <w:t xml:space="preserve"> being offered targeted discounts with specific trading partners of those financial services providers</w:t>
      </w:r>
      <w:r>
        <w:rPr>
          <w:rFonts w:ascii="Calibri" w:hAnsi="Calibri" w:cs="Calibri"/>
          <w:sz w:val="22"/>
          <w:szCs w:val="22"/>
        </w:rPr>
        <w:t xml:space="preserve">, or where consumers can </w:t>
      </w:r>
      <w:r w:rsidRPr="00DE339C">
        <w:rPr>
          <w:rFonts w:ascii="Calibri" w:hAnsi="Calibri" w:cs="Calibri"/>
          <w:sz w:val="22"/>
          <w:szCs w:val="22"/>
        </w:rPr>
        <w:t>control</w:t>
      </w:r>
      <w:r>
        <w:rPr>
          <w:rFonts w:ascii="Calibri" w:hAnsi="Calibri" w:cs="Calibri"/>
          <w:sz w:val="22"/>
          <w:szCs w:val="22"/>
        </w:rPr>
        <w:t xml:space="preserve"> and monetise</w:t>
      </w:r>
      <w:r w:rsidRPr="00DE339C">
        <w:rPr>
          <w:rFonts w:ascii="Calibri" w:hAnsi="Calibri" w:cs="Calibri"/>
          <w:sz w:val="22"/>
          <w:szCs w:val="22"/>
        </w:rPr>
        <w:t xml:space="preserve"> the use </w:t>
      </w:r>
      <w:r>
        <w:rPr>
          <w:rFonts w:ascii="Calibri" w:hAnsi="Calibri" w:cs="Calibri"/>
          <w:sz w:val="22"/>
          <w:szCs w:val="22"/>
        </w:rPr>
        <w:t xml:space="preserve">of their </w:t>
      </w:r>
      <w:r w:rsidRPr="00DE339C">
        <w:rPr>
          <w:rFonts w:ascii="Calibri" w:hAnsi="Calibri" w:cs="Calibri"/>
          <w:sz w:val="22"/>
          <w:szCs w:val="22"/>
        </w:rPr>
        <w:t>data</w:t>
      </w:r>
      <w:r>
        <w:rPr>
          <w:rFonts w:ascii="Calibri" w:hAnsi="Calibri" w:cs="Calibri"/>
          <w:sz w:val="22"/>
          <w:szCs w:val="22"/>
        </w:rPr>
        <w:t xml:space="preserve"> (for example, by</w:t>
      </w:r>
      <w:r w:rsidRPr="004370D7">
        <w:rPr>
          <w:rFonts w:ascii="Calibri" w:hAnsi="Calibri" w:cs="Calibri"/>
          <w:sz w:val="22"/>
          <w:szCs w:val="22"/>
        </w:rPr>
        <w:t xml:space="preserve"> watching advertising, recommending products or creating community content).</w:t>
      </w:r>
    </w:p>
    <w:p w14:paraId="6839FD37" w14:textId="77777777" w:rsidR="00803699" w:rsidRPr="00F476CE" w:rsidRDefault="00803699" w:rsidP="00803699">
      <w:pPr>
        <w:pStyle w:val="BodyText"/>
        <w:spacing w:line="276" w:lineRule="auto"/>
        <w:jc w:val="both"/>
        <w:rPr>
          <w:rFonts w:ascii="Calibri" w:hAnsi="Calibri" w:cs="Calibri"/>
          <w:sz w:val="22"/>
          <w:szCs w:val="22"/>
        </w:rPr>
      </w:pPr>
    </w:p>
    <w:p w14:paraId="523688FA" w14:textId="715C5EEC" w:rsidR="00D2770E" w:rsidRDefault="00803699" w:rsidP="00803699">
      <w:pPr>
        <w:pStyle w:val="BodyText"/>
        <w:spacing w:line="276" w:lineRule="auto"/>
        <w:jc w:val="both"/>
        <w:rPr>
          <w:rFonts w:ascii="Calibri" w:hAnsi="Calibri" w:cs="Calibri"/>
          <w:sz w:val="22"/>
          <w:szCs w:val="22"/>
        </w:rPr>
      </w:pPr>
      <w:r w:rsidRPr="00F476CE">
        <w:rPr>
          <w:rFonts w:ascii="Calibri" w:hAnsi="Calibri" w:cs="Calibri"/>
          <w:sz w:val="22"/>
          <w:szCs w:val="22"/>
        </w:rPr>
        <w:t xml:space="preserve">However, in order for consumers to favour sharing their data, </w:t>
      </w:r>
      <w:r>
        <w:rPr>
          <w:rFonts w:ascii="Calibri" w:hAnsi="Calibri" w:cs="Calibri"/>
          <w:sz w:val="22"/>
          <w:szCs w:val="22"/>
        </w:rPr>
        <w:t xml:space="preserve">in accordance with GDPR and cyber risk and operational resilience requirements, </w:t>
      </w:r>
      <w:r w:rsidR="00D2770E">
        <w:rPr>
          <w:rFonts w:ascii="Calibri" w:hAnsi="Calibri" w:cs="Calibri"/>
          <w:sz w:val="22"/>
          <w:szCs w:val="22"/>
        </w:rPr>
        <w:t>they would also require:</w:t>
      </w:r>
    </w:p>
    <w:p w14:paraId="7FB27E63" w14:textId="77777777" w:rsidR="00D2770E" w:rsidRPr="00F476CE" w:rsidRDefault="00D2770E" w:rsidP="00803699">
      <w:pPr>
        <w:pStyle w:val="BodyText"/>
        <w:spacing w:line="276" w:lineRule="auto"/>
        <w:jc w:val="both"/>
        <w:rPr>
          <w:rFonts w:ascii="Calibri" w:hAnsi="Calibri" w:cs="Calibri"/>
          <w:sz w:val="22"/>
          <w:szCs w:val="22"/>
        </w:rPr>
      </w:pPr>
    </w:p>
    <w:p w14:paraId="7EEBC34A" w14:textId="1FC686F2" w:rsidR="00803699" w:rsidRDefault="00803699" w:rsidP="00803699">
      <w:pPr>
        <w:pStyle w:val="BodyText"/>
        <w:numPr>
          <w:ilvl w:val="0"/>
          <w:numId w:val="37"/>
        </w:numPr>
        <w:spacing w:line="276" w:lineRule="auto"/>
        <w:jc w:val="both"/>
        <w:rPr>
          <w:rFonts w:ascii="Calibri" w:hAnsi="Calibri" w:cs="Calibri"/>
          <w:sz w:val="22"/>
          <w:szCs w:val="22"/>
        </w:rPr>
      </w:pPr>
      <w:r w:rsidRPr="00F476CE">
        <w:rPr>
          <w:rFonts w:ascii="Calibri" w:hAnsi="Calibri" w:cs="Calibri"/>
          <w:sz w:val="22"/>
          <w:szCs w:val="22"/>
        </w:rPr>
        <w:t>to be informed, in clear</w:t>
      </w:r>
      <w:r>
        <w:rPr>
          <w:rFonts w:ascii="Calibri" w:hAnsi="Calibri" w:cs="Calibri"/>
          <w:sz w:val="22"/>
          <w:szCs w:val="22"/>
        </w:rPr>
        <w:t>, comprehensible</w:t>
      </w:r>
      <w:r w:rsidRPr="00F476CE">
        <w:rPr>
          <w:rFonts w:ascii="Calibri" w:hAnsi="Calibri" w:cs="Calibri"/>
          <w:sz w:val="22"/>
          <w:szCs w:val="22"/>
        </w:rPr>
        <w:t xml:space="preserve"> and plain language, the purposes for which their personal data </w:t>
      </w:r>
      <w:r>
        <w:rPr>
          <w:rFonts w:ascii="Calibri" w:hAnsi="Calibri" w:cs="Calibri"/>
          <w:sz w:val="22"/>
          <w:szCs w:val="22"/>
        </w:rPr>
        <w:t xml:space="preserve">is to be </w:t>
      </w:r>
      <w:r w:rsidRPr="00F476CE">
        <w:rPr>
          <w:rFonts w:ascii="Calibri" w:hAnsi="Calibri" w:cs="Calibri"/>
          <w:sz w:val="22"/>
          <w:szCs w:val="22"/>
        </w:rPr>
        <w:t xml:space="preserve">collected and processed, with whom their personal data </w:t>
      </w:r>
      <w:r>
        <w:rPr>
          <w:rFonts w:ascii="Calibri" w:hAnsi="Calibri" w:cs="Calibri"/>
          <w:sz w:val="22"/>
          <w:szCs w:val="22"/>
        </w:rPr>
        <w:t>may</w:t>
      </w:r>
      <w:r w:rsidRPr="00F476CE">
        <w:rPr>
          <w:rFonts w:ascii="Calibri" w:hAnsi="Calibri" w:cs="Calibri"/>
          <w:sz w:val="22"/>
          <w:szCs w:val="22"/>
        </w:rPr>
        <w:t xml:space="preserve"> be shared and how their data will be used, so that they can decide whether or not to give their consent;</w:t>
      </w:r>
    </w:p>
    <w:p w14:paraId="1E33AA7D" w14:textId="77777777" w:rsidR="00D2770E" w:rsidRPr="00F476CE" w:rsidRDefault="00D2770E" w:rsidP="00D2770E">
      <w:pPr>
        <w:pStyle w:val="BodyText"/>
        <w:spacing w:line="276" w:lineRule="auto"/>
        <w:ind w:left="720"/>
        <w:jc w:val="both"/>
        <w:rPr>
          <w:rFonts w:ascii="Calibri" w:hAnsi="Calibri" w:cs="Calibri"/>
          <w:sz w:val="22"/>
          <w:szCs w:val="22"/>
        </w:rPr>
      </w:pPr>
    </w:p>
    <w:p w14:paraId="7C9FE1FE" w14:textId="6DBB68AC" w:rsidR="00D2770E" w:rsidRDefault="00803699" w:rsidP="00D2770E">
      <w:pPr>
        <w:pStyle w:val="BodyText"/>
        <w:numPr>
          <w:ilvl w:val="0"/>
          <w:numId w:val="37"/>
        </w:numPr>
        <w:spacing w:line="276" w:lineRule="auto"/>
        <w:jc w:val="both"/>
        <w:rPr>
          <w:rFonts w:ascii="Calibri" w:hAnsi="Calibri" w:cs="Calibri"/>
          <w:sz w:val="22"/>
          <w:szCs w:val="22"/>
        </w:rPr>
      </w:pPr>
      <w:r w:rsidRPr="00F476CE">
        <w:rPr>
          <w:rFonts w:ascii="Calibri" w:hAnsi="Calibri" w:cs="Calibri"/>
          <w:sz w:val="22"/>
          <w:szCs w:val="22"/>
        </w:rPr>
        <w:t xml:space="preserve">to have </w:t>
      </w:r>
      <w:r>
        <w:rPr>
          <w:rFonts w:ascii="Calibri" w:hAnsi="Calibri" w:cs="Calibri"/>
          <w:sz w:val="22"/>
          <w:szCs w:val="22"/>
        </w:rPr>
        <w:t>significant</w:t>
      </w:r>
      <w:r w:rsidRPr="00F476CE">
        <w:rPr>
          <w:rFonts w:ascii="Calibri" w:hAnsi="Calibri" w:cs="Calibri"/>
          <w:sz w:val="22"/>
          <w:szCs w:val="22"/>
        </w:rPr>
        <w:t xml:space="preserve"> control of their personal data, for example by having the right to access the</w:t>
      </w:r>
      <w:r>
        <w:rPr>
          <w:rFonts w:ascii="Calibri" w:hAnsi="Calibri" w:cs="Calibri"/>
          <w:sz w:val="22"/>
          <w:szCs w:val="22"/>
        </w:rPr>
        <w:t>ir</w:t>
      </w:r>
      <w:r w:rsidRPr="00F476CE">
        <w:rPr>
          <w:rFonts w:ascii="Calibri" w:hAnsi="Calibri" w:cs="Calibri"/>
          <w:sz w:val="22"/>
          <w:szCs w:val="22"/>
        </w:rPr>
        <w:t xml:space="preserve"> personal data</w:t>
      </w:r>
      <w:r>
        <w:rPr>
          <w:rFonts w:ascii="Calibri" w:hAnsi="Calibri" w:cs="Calibri"/>
          <w:sz w:val="22"/>
          <w:szCs w:val="22"/>
        </w:rPr>
        <w:t xml:space="preserve"> and rectify</w:t>
      </w:r>
      <w:r w:rsidRPr="00F476CE">
        <w:rPr>
          <w:rFonts w:ascii="Calibri" w:hAnsi="Calibri" w:cs="Calibri"/>
          <w:sz w:val="22"/>
          <w:szCs w:val="22"/>
        </w:rPr>
        <w:t xml:space="preserve"> inaccurate personal data, and by having the right to object to the processing of it;</w:t>
      </w:r>
    </w:p>
    <w:p w14:paraId="49AB8818" w14:textId="36B59311" w:rsidR="00D2770E" w:rsidRPr="00D2770E" w:rsidRDefault="00D2770E" w:rsidP="00D2770E">
      <w:pPr>
        <w:pStyle w:val="BodyText"/>
        <w:spacing w:line="276" w:lineRule="auto"/>
        <w:jc w:val="both"/>
        <w:rPr>
          <w:rFonts w:ascii="Calibri" w:hAnsi="Calibri" w:cs="Calibri"/>
          <w:sz w:val="22"/>
          <w:szCs w:val="22"/>
        </w:rPr>
      </w:pPr>
    </w:p>
    <w:p w14:paraId="388CFC54" w14:textId="77777777" w:rsidR="00803699" w:rsidRPr="00F476CE" w:rsidRDefault="00803699" w:rsidP="00803699">
      <w:pPr>
        <w:pStyle w:val="BodyText"/>
        <w:numPr>
          <w:ilvl w:val="0"/>
          <w:numId w:val="37"/>
        </w:numPr>
        <w:spacing w:line="276" w:lineRule="auto"/>
        <w:jc w:val="both"/>
        <w:rPr>
          <w:rFonts w:ascii="Calibri" w:hAnsi="Calibri" w:cs="Calibri"/>
          <w:sz w:val="22"/>
          <w:szCs w:val="22"/>
        </w:rPr>
      </w:pPr>
      <w:r>
        <w:rPr>
          <w:rFonts w:ascii="Calibri" w:hAnsi="Calibri" w:cs="Calibri"/>
          <w:sz w:val="22"/>
          <w:szCs w:val="22"/>
        </w:rPr>
        <w:lastRenderedPageBreak/>
        <w:t>to be assured that</w:t>
      </w:r>
      <w:r w:rsidRPr="00F476CE">
        <w:rPr>
          <w:rFonts w:ascii="Calibri" w:hAnsi="Calibri" w:cs="Calibri"/>
          <w:sz w:val="22"/>
          <w:szCs w:val="22"/>
        </w:rPr>
        <w:t xml:space="preserve"> finan</w:t>
      </w:r>
      <w:r>
        <w:rPr>
          <w:rFonts w:ascii="Calibri" w:hAnsi="Calibri" w:cs="Calibri"/>
          <w:sz w:val="22"/>
          <w:szCs w:val="22"/>
        </w:rPr>
        <w:t xml:space="preserve">cial service providers have </w:t>
      </w:r>
      <w:r w:rsidRPr="00F476CE">
        <w:rPr>
          <w:rFonts w:ascii="Calibri" w:hAnsi="Calibri" w:cs="Calibri"/>
          <w:sz w:val="22"/>
          <w:szCs w:val="22"/>
        </w:rPr>
        <w:t>in place robust and secure measures to prevent data breaches, cybers</w:t>
      </w:r>
      <w:r>
        <w:rPr>
          <w:rFonts w:ascii="Calibri" w:hAnsi="Calibri" w:cs="Calibri"/>
          <w:sz w:val="22"/>
          <w:szCs w:val="22"/>
        </w:rPr>
        <w:t xml:space="preserve">ecurity attacks and </w:t>
      </w:r>
      <w:r w:rsidRPr="00F476CE">
        <w:rPr>
          <w:rFonts w:ascii="Calibri" w:hAnsi="Calibri" w:cs="Calibri"/>
          <w:sz w:val="22"/>
          <w:szCs w:val="22"/>
        </w:rPr>
        <w:t>fraud;</w:t>
      </w:r>
    </w:p>
    <w:p w14:paraId="585CDC27" w14:textId="77777777" w:rsidR="00D2770E" w:rsidRDefault="00D2770E" w:rsidP="00D2770E">
      <w:pPr>
        <w:pStyle w:val="BodyText"/>
        <w:spacing w:line="276" w:lineRule="auto"/>
        <w:ind w:left="720"/>
        <w:jc w:val="both"/>
        <w:rPr>
          <w:rFonts w:ascii="Calibri" w:hAnsi="Calibri" w:cs="Calibri"/>
          <w:sz w:val="22"/>
          <w:szCs w:val="22"/>
        </w:rPr>
      </w:pPr>
    </w:p>
    <w:p w14:paraId="13B9037A" w14:textId="0389CBD2" w:rsidR="00803699" w:rsidRPr="00F476CE" w:rsidRDefault="00803699" w:rsidP="00803699">
      <w:pPr>
        <w:pStyle w:val="BodyText"/>
        <w:numPr>
          <w:ilvl w:val="0"/>
          <w:numId w:val="37"/>
        </w:numPr>
        <w:spacing w:line="276" w:lineRule="auto"/>
        <w:jc w:val="both"/>
        <w:rPr>
          <w:rFonts w:ascii="Calibri" w:hAnsi="Calibri" w:cs="Calibri"/>
          <w:sz w:val="22"/>
          <w:szCs w:val="22"/>
        </w:rPr>
      </w:pPr>
      <w:r w:rsidRPr="00F476CE">
        <w:rPr>
          <w:rFonts w:ascii="Calibri" w:hAnsi="Calibri" w:cs="Calibri"/>
          <w:sz w:val="22"/>
          <w:szCs w:val="22"/>
        </w:rPr>
        <w:t xml:space="preserve">to have the ability to change </w:t>
      </w:r>
      <w:r>
        <w:rPr>
          <w:rFonts w:ascii="Calibri" w:hAnsi="Calibri" w:cs="Calibri"/>
          <w:sz w:val="22"/>
          <w:szCs w:val="22"/>
        </w:rPr>
        <w:t xml:space="preserve">financial services </w:t>
      </w:r>
      <w:r w:rsidRPr="00F476CE">
        <w:rPr>
          <w:rFonts w:ascii="Calibri" w:hAnsi="Calibri" w:cs="Calibri"/>
          <w:sz w:val="22"/>
          <w:szCs w:val="22"/>
        </w:rPr>
        <w:t>providers without restrictions from their current providers</w:t>
      </w:r>
      <w:r>
        <w:rPr>
          <w:rFonts w:ascii="Calibri" w:hAnsi="Calibri" w:cs="Calibri"/>
          <w:sz w:val="22"/>
          <w:szCs w:val="22"/>
        </w:rPr>
        <w:t xml:space="preserve"> and to </w:t>
      </w:r>
      <w:r w:rsidRPr="00F476CE">
        <w:rPr>
          <w:rFonts w:ascii="Calibri" w:hAnsi="Calibri" w:cs="Calibri"/>
          <w:sz w:val="22"/>
          <w:szCs w:val="22"/>
        </w:rPr>
        <w:t>transfer their data to a new or different provider;</w:t>
      </w:r>
    </w:p>
    <w:p w14:paraId="2C989526" w14:textId="77777777" w:rsidR="00D2770E" w:rsidRDefault="00D2770E" w:rsidP="00D2770E">
      <w:pPr>
        <w:pStyle w:val="BodyText"/>
        <w:spacing w:line="276" w:lineRule="auto"/>
        <w:ind w:left="720"/>
        <w:jc w:val="both"/>
        <w:rPr>
          <w:rFonts w:ascii="Calibri" w:hAnsi="Calibri" w:cs="Calibri"/>
          <w:sz w:val="22"/>
          <w:szCs w:val="22"/>
        </w:rPr>
      </w:pPr>
    </w:p>
    <w:p w14:paraId="3BC71472" w14:textId="70BA0D2E" w:rsidR="00803699" w:rsidRPr="00F476CE" w:rsidRDefault="00803699" w:rsidP="00803699">
      <w:pPr>
        <w:pStyle w:val="BodyText"/>
        <w:numPr>
          <w:ilvl w:val="0"/>
          <w:numId w:val="37"/>
        </w:numPr>
        <w:spacing w:line="276" w:lineRule="auto"/>
        <w:jc w:val="both"/>
        <w:rPr>
          <w:rFonts w:ascii="Calibri" w:hAnsi="Calibri" w:cs="Calibri"/>
          <w:sz w:val="22"/>
          <w:szCs w:val="22"/>
        </w:rPr>
      </w:pPr>
      <w:r w:rsidRPr="00F476CE">
        <w:rPr>
          <w:rFonts w:ascii="Calibri" w:hAnsi="Calibri" w:cs="Calibri"/>
          <w:sz w:val="22"/>
          <w:szCs w:val="22"/>
        </w:rPr>
        <w:t>to be able to share their data in an easy and user-friendly way</w:t>
      </w:r>
      <w:r>
        <w:rPr>
          <w:rFonts w:ascii="Calibri" w:hAnsi="Calibri" w:cs="Calibri"/>
          <w:sz w:val="22"/>
          <w:szCs w:val="22"/>
        </w:rPr>
        <w:t>.</w:t>
      </w:r>
    </w:p>
    <w:p w14:paraId="5F682AEF" w14:textId="77777777" w:rsidR="00803699" w:rsidRPr="00F476CE" w:rsidRDefault="00803699" w:rsidP="00803699">
      <w:pPr>
        <w:pStyle w:val="BodyText"/>
        <w:spacing w:line="276" w:lineRule="auto"/>
        <w:rPr>
          <w:rFonts w:ascii="Calibri" w:hAnsi="Calibri" w:cs="Calibri"/>
          <w:sz w:val="22"/>
          <w:szCs w:val="22"/>
        </w:rPr>
      </w:pPr>
    </w:p>
    <w:p w14:paraId="3A4404A4" w14:textId="3F322974" w:rsidR="00803699" w:rsidRDefault="00803699" w:rsidP="00803699">
      <w:pPr>
        <w:pStyle w:val="BodyText"/>
        <w:spacing w:line="276" w:lineRule="auto"/>
        <w:jc w:val="both"/>
        <w:rPr>
          <w:rFonts w:ascii="Calibri" w:hAnsi="Calibri" w:cs="Calibri"/>
          <w:sz w:val="22"/>
          <w:szCs w:val="22"/>
        </w:rPr>
      </w:pPr>
      <w:r w:rsidRPr="00F476CE">
        <w:rPr>
          <w:rFonts w:ascii="Calibri" w:hAnsi="Calibri" w:cs="Calibri"/>
          <w:sz w:val="22"/>
          <w:szCs w:val="22"/>
        </w:rPr>
        <w:t>The EBA is of the view the use of consumer data is already subject to an extensive set of legal requirements on transparency, automatic profiling, data minimisation, purpose limitation, accuracy, confidentiality and accountability, alongside the additional requirements deriving from EU legislative acts</w:t>
      </w:r>
      <w:r>
        <w:rPr>
          <w:rFonts w:ascii="Calibri" w:hAnsi="Calibri" w:cs="Calibri"/>
          <w:sz w:val="22"/>
          <w:szCs w:val="22"/>
        </w:rPr>
        <w:t xml:space="preserve"> that</w:t>
      </w:r>
      <w:r w:rsidRPr="00F476CE">
        <w:rPr>
          <w:rFonts w:ascii="Calibri" w:hAnsi="Calibri" w:cs="Calibri"/>
          <w:sz w:val="22"/>
          <w:szCs w:val="22"/>
        </w:rPr>
        <w:t xml:space="preserve"> mitigate risks for cons</w:t>
      </w:r>
      <w:r>
        <w:rPr>
          <w:rFonts w:ascii="Calibri" w:hAnsi="Calibri" w:cs="Calibri"/>
          <w:sz w:val="22"/>
          <w:szCs w:val="22"/>
        </w:rPr>
        <w:t xml:space="preserve">umers. The EU legislative acts </w:t>
      </w:r>
      <w:r w:rsidRPr="00F476CE">
        <w:rPr>
          <w:rFonts w:ascii="Calibri" w:hAnsi="Calibri" w:cs="Calibri"/>
          <w:sz w:val="22"/>
          <w:szCs w:val="22"/>
        </w:rPr>
        <w:t xml:space="preserve">include the </w:t>
      </w:r>
      <w:r w:rsidR="00251E66">
        <w:rPr>
          <w:rFonts w:ascii="Calibri" w:hAnsi="Calibri" w:cs="Calibri"/>
          <w:sz w:val="22"/>
          <w:szCs w:val="22"/>
        </w:rPr>
        <w:t>GDPR</w:t>
      </w:r>
      <w:r>
        <w:rPr>
          <w:rFonts w:ascii="Calibri" w:hAnsi="Calibri" w:cs="Calibri"/>
          <w:sz w:val="22"/>
          <w:szCs w:val="22"/>
        </w:rPr>
        <w:t xml:space="preserve"> (which is outside the EBA’</w:t>
      </w:r>
      <w:r w:rsidRPr="00F476CE">
        <w:rPr>
          <w:rFonts w:ascii="Calibri" w:hAnsi="Calibri" w:cs="Calibri"/>
          <w:sz w:val="22"/>
          <w:szCs w:val="22"/>
        </w:rPr>
        <w:t>s scope of action), as well as</w:t>
      </w:r>
      <w:r w:rsidR="00D04828">
        <w:rPr>
          <w:rFonts w:ascii="Calibri" w:hAnsi="Calibri" w:cs="Calibri"/>
          <w:sz w:val="22"/>
          <w:szCs w:val="22"/>
        </w:rPr>
        <w:t xml:space="preserve"> </w:t>
      </w:r>
      <w:r w:rsidRPr="00F476CE">
        <w:rPr>
          <w:rFonts w:ascii="Calibri" w:hAnsi="Calibri" w:cs="Calibri"/>
          <w:sz w:val="22"/>
          <w:szCs w:val="22"/>
        </w:rPr>
        <w:t>the revised Payment Services Directive, the Payment Account Directive, the Mortgage Credit Directive, the Consumer Credit Directive, the Anti-Money Laundering Directive and the Unfair Commercial Practices Directive.</w:t>
      </w:r>
      <w:r>
        <w:rPr>
          <w:rFonts w:ascii="Calibri" w:hAnsi="Calibri" w:cs="Calibri"/>
          <w:sz w:val="22"/>
          <w:szCs w:val="22"/>
        </w:rPr>
        <w:t xml:space="preserve"> </w:t>
      </w:r>
    </w:p>
    <w:p w14:paraId="5E72DE0B" w14:textId="77777777" w:rsidR="00803699" w:rsidRPr="00F476CE" w:rsidRDefault="00803699" w:rsidP="00803699">
      <w:pPr>
        <w:pStyle w:val="BodyText"/>
        <w:spacing w:line="276" w:lineRule="auto"/>
        <w:jc w:val="both"/>
        <w:rPr>
          <w:rFonts w:ascii="Calibri" w:hAnsi="Calibri" w:cs="Calibri"/>
          <w:sz w:val="22"/>
          <w:szCs w:val="22"/>
        </w:rPr>
      </w:pPr>
      <w:r w:rsidRPr="00F476CE">
        <w:rPr>
          <w:rFonts w:ascii="Calibri" w:hAnsi="Calibri" w:cs="Calibri"/>
          <w:sz w:val="22"/>
          <w:szCs w:val="22"/>
        </w:rPr>
        <w:tab/>
      </w:r>
    </w:p>
    <w:p w14:paraId="546EB793" w14:textId="0604C144" w:rsidR="00AE7376" w:rsidRPr="006F5BE7" w:rsidRDefault="00803699" w:rsidP="00803699">
      <w:pPr>
        <w:spacing w:line="276" w:lineRule="auto"/>
        <w:jc w:val="both"/>
        <w:rPr>
          <w:rFonts w:ascii="Calibri" w:hAnsi="Calibri" w:cs="Calibri"/>
          <w:sz w:val="22"/>
          <w:szCs w:val="22"/>
        </w:rPr>
      </w:pPr>
      <w:r w:rsidRPr="00F476CE">
        <w:rPr>
          <w:rFonts w:ascii="Calibri" w:hAnsi="Calibri" w:cs="Calibri"/>
          <w:sz w:val="22"/>
          <w:szCs w:val="22"/>
        </w:rPr>
        <w:t xml:space="preserve">In </w:t>
      </w:r>
      <w:r>
        <w:rPr>
          <w:rFonts w:ascii="Calibri" w:hAnsi="Calibri" w:cs="Calibri"/>
          <w:sz w:val="22"/>
          <w:szCs w:val="22"/>
        </w:rPr>
        <w:t>order to ensure the EU r</w:t>
      </w:r>
      <w:r w:rsidR="00155360">
        <w:rPr>
          <w:rFonts w:ascii="Calibri" w:hAnsi="Calibri" w:cs="Calibri"/>
          <w:sz w:val="22"/>
          <w:szCs w:val="22"/>
        </w:rPr>
        <w:t xml:space="preserve">egulatory framework remains fit </w:t>
      </w:r>
      <w:r>
        <w:rPr>
          <w:rFonts w:ascii="Calibri" w:hAnsi="Calibri" w:cs="Calibri"/>
          <w:sz w:val="22"/>
          <w:szCs w:val="22"/>
        </w:rPr>
        <w:t>for</w:t>
      </w:r>
      <w:r w:rsidR="00155360">
        <w:rPr>
          <w:rFonts w:ascii="Calibri" w:hAnsi="Calibri" w:cs="Calibri"/>
          <w:sz w:val="22"/>
          <w:szCs w:val="22"/>
        </w:rPr>
        <w:t xml:space="preserve"> </w:t>
      </w:r>
      <w:r>
        <w:rPr>
          <w:rFonts w:ascii="Calibri" w:hAnsi="Calibri" w:cs="Calibri"/>
          <w:sz w:val="22"/>
          <w:szCs w:val="22"/>
        </w:rPr>
        <w:t xml:space="preserve">purpose taking account of market developments and trends, including with regard to the use of ‘non-personal data’, the EBA considers that the European </w:t>
      </w:r>
      <w:r w:rsidRPr="00F476CE">
        <w:rPr>
          <w:rFonts w:ascii="Calibri" w:hAnsi="Calibri" w:cs="Calibri"/>
          <w:sz w:val="22"/>
          <w:szCs w:val="22"/>
        </w:rPr>
        <w:t xml:space="preserve">Commission and co-legislators </w:t>
      </w:r>
      <w:r>
        <w:rPr>
          <w:rFonts w:ascii="Calibri" w:hAnsi="Calibri" w:cs="Calibri"/>
          <w:sz w:val="22"/>
          <w:szCs w:val="22"/>
        </w:rPr>
        <w:t>should</w:t>
      </w:r>
      <w:r w:rsidRPr="00F476CE">
        <w:rPr>
          <w:rFonts w:ascii="Calibri" w:hAnsi="Calibri" w:cs="Calibri"/>
          <w:sz w:val="22"/>
          <w:szCs w:val="22"/>
        </w:rPr>
        <w:t xml:space="preserve"> continue monitoring </w:t>
      </w:r>
      <w:r>
        <w:rPr>
          <w:rFonts w:ascii="Calibri" w:hAnsi="Calibri" w:cs="Calibri"/>
          <w:sz w:val="22"/>
          <w:szCs w:val="22"/>
        </w:rPr>
        <w:t>these developments in the coming years and</w:t>
      </w:r>
      <w:r w:rsidRPr="00F476CE">
        <w:rPr>
          <w:rFonts w:ascii="Calibri" w:hAnsi="Calibri" w:cs="Calibri"/>
          <w:sz w:val="22"/>
          <w:szCs w:val="22"/>
        </w:rPr>
        <w:t xml:space="preserve"> adjust the legislative framework when required to guarantee that consumers can benefit from sharing their data without facing </w:t>
      </w:r>
      <w:r>
        <w:rPr>
          <w:rFonts w:ascii="Calibri" w:hAnsi="Calibri" w:cs="Calibri"/>
          <w:sz w:val="22"/>
          <w:szCs w:val="22"/>
        </w:rPr>
        <w:t>new risks</w:t>
      </w:r>
      <w:r w:rsidRPr="00F476CE">
        <w:rPr>
          <w:rFonts w:ascii="Calibri" w:hAnsi="Calibri" w:cs="Calibri"/>
          <w:sz w:val="22"/>
          <w:szCs w:val="22"/>
        </w:rPr>
        <w:t>.</w:t>
      </w:r>
      <w:r>
        <w:rPr>
          <w:rFonts w:ascii="Calibri" w:hAnsi="Calibri" w:cs="Calibri"/>
          <w:sz w:val="22"/>
          <w:szCs w:val="22"/>
        </w:rPr>
        <w:t xml:space="preserve"> This work should encompass not only applicable requirements but also oversight and supervision mechanisms and tools to ensure a consistent and effective application of the requirements.</w:t>
      </w:r>
    </w:p>
    <w:p w14:paraId="680E318C" w14:textId="29BA222E" w:rsidR="00147A22" w:rsidRPr="006D045B" w:rsidRDefault="00147A22" w:rsidP="00F476CE">
      <w:pPr>
        <w:pStyle w:val="body0"/>
        <w:spacing w:line="240" w:lineRule="auto"/>
        <w:rPr>
          <w:b/>
          <w:sz w:val="24"/>
          <w:szCs w:val="24"/>
        </w:rPr>
      </w:pPr>
      <w:r w:rsidRPr="006D045B">
        <w:rPr>
          <w:b/>
          <w:sz w:val="24"/>
          <w:szCs w:val="24"/>
        </w:rPr>
        <w:t>Question 38. In your opinion, what are the most promising areas for AI- applications in the financial sector in the medium term and what are the main benefits that these AI-applications can bring in the financial sector to consumers and firms?</w:t>
      </w:r>
    </w:p>
    <w:p w14:paraId="61596193" w14:textId="77777777"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Based on our latest analysis, the most promising areas for AI-applications in the financial sector in the medium term are the following:</w:t>
      </w:r>
    </w:p>
    <w:p w14:paraId="3D011F97" w14:textId="1A59171C" w:rsidR="00147A22" w:rsidRPr="00147A22" w:rsidRDefault="00147A22" w:rsidP="00147A22">
      <w:pPr>
        <w:pStyle w:val="Heading2"/>
        <w:numPr>
          <w:ilvl w:val="0"/>
          <w:numId w:val="22"/>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i/>
          <w:color w:val="000000"/>
          <w:sz w:val="22"/>
          <w:szCs w:val="22"/>
          <w:lang w:val="en-GB"/>
        </w:rPr>
        <w:t>RegTech</w:t>
      </w:r>
      <w:r w:rsidR="00BD6FD2">
        <w:rPr>
          <w:rFonts w:ascii="Calibri" w:eastAsiaTheme="minorHAnsi" w:hAnsi="Calibri" w:cs="Calibri"/>
          <w:b w:val="0"/>
          <w:bCs w:val="0"/>
          <w:i/>
          <w:color w:val="000000"/>
          <w:sz w:val="22"/>
          <w:szCs w:val="22"/>
          <w:lang w:val="en-GB"/>
        </w:rPr>
        <w:t>/SupTech</w:t>
      </w:r>
      <w:r w:rsidRPr="00147A22">
        <w:rPr>
          <w:rFonts w:ascii="Calibri" w:eastAsiaTheme="minorHAnsi" w:hAnsi="Calibri" w:cs="Calibri"/>
          <w:b w:val="0"/>
          <w:bCs w:val="0"/>
          <w:i/>
          <w:color w:val="000000"/>
          <w:sz w:val="22"/>
          <w:szCs w:val="22"/>
          <w:lang w:val="en-GB"/>
        </w:rPr>
        <w:t>-related and process optimisation applications</w:t>
      </w:r>
      <w:r w:rsidRPr="00147A22">
        <w:rPr>
          <w:rFonts w:ascii="Calibri" w:eastAsiaTheme="minorHAnsi" w:hAnsi="Calibri" w:cs="Calibri"/>
          <w:b w:val="0"/>
          <w:bCs w:val="0"/>
          <w:color w:val="000000"/>
          <w:sz w:val="22"/>
          <w:szCs w:val="22"/>
          <w:lang w:val="en-GB"/>
        </w:rPr>
        <w:t xml:space="preserve">, including </w:t>
      </w:r>
      <w:r w:rsidR="00155360">
        <w:rPr>
          <w:rFonts w:ascii="Calibri" w:eastAsiaTheme="minorHAnsi" w:hAnsi="Calibri" w:cs="Calibri"/>
          <w:b w:val="0"/>
          <w:bCs w:val="0"/>
          <w:color w:val="000000"/>
          <w:sz w:val="22"/>
          <w:szCs w:val="22"/>
          <w:lang w:val="en-GB"/>
        </w:rPr>
        <w:t>ML/</w:t>
      </w:r>
      <w:r w:rsidR="004C033C">
        <w:rPr>
          <w:rFonts w:ascii="Calibri" w:eastAsiaTheme="minorHAnsi" w:hAnsi="Calibri" w:cs="Calibri"/>
          <w:b w:val="0"/>
          <w:bCs w:val="0"/>
          <w:color w:val="000000"/>
          <w:sz w:val="22"/>
          <w:szCs w:val="22"/>
          <w:lang w:val="en-GB"/>
        </w:rPr>
        <w:t>T</w:t>
      </w:r>
      <w:r w:rsidR="00155360">
        <w:rPr>
          <w:rFonts w:ascii="Calibri" w:eastAsiaTheme="minorHAnsi" w:hAnsi="Calibri" w:cs="Calibri"/>
          <w:b w:val="0"/>
          <w:bCs w:val="0"/>
          <w:color w:val="000000"/>
          <w:sz w:val="22"/>
          <w:szCs w:val="22"/>
          <w:lang w:val="en-GB"/>
        </w:rPr>
        <w:t>F risk,</w:t>
      </w:r>
      <w:r w:rsidR="004C033C">
        <w:rPr>
          <w:rFonts w:ascii="Calibri" w:eastAsiaTheme="minorHAnsi" w:hAnsi="Calibri" w:cs="Calibri"/>
          <w:b w:val="0"/>
          <w:bCs w:val="0"/>
          <w:color w:val="000000"/>
          <w:sz w:val="22"/>
          <w:szCs w:val="22"/>
          <w:lang w:val="en-GB"/>
        </w:rPr>
        <w:t xml:space="preserve"> </w:t>
      </w:r>
      <w:r w:rsidRPr="00147A22">
        <w:rPr>
          <w:rFonts w:ascii="Calibri" w:eastAsiaTheme="minorHAnsi" w:hAnsi="Calibri" w:cs="Calibri"/>
          <w:b w:val="0"/>
          <w:bCs w:val="0"/>
          <w:color w:val="000000"/>
          <w:sz w:val="22"/>
          <w:szCs w:val="22"/>
          <w:lang w:val="en-GB"/>
        </w:rPr>
        <w:t xml:space="preserve">fraud detection, customer on-boarding process, </w:t>
      </w:r>
      <w:r w:rsidR="00D826A0">
        <w:rPr>
          <w:rFonts w:ascii="Calibri" w:eastAsiaTheme="minorHAnsi" w:hAnsi="Calibri" w:cs="Calibri"/>
          <w:b w:val="0"/>
          <w:bCs w:val="0"/>
          <w:color w:val="000000"/>
          <w:sz w:val="22"/>
          <w:szCs w:val="22"/>
          <w:lang w:val="en-GB"/>
        </w:rPr>
        <w:t xml:space="preserve">ongoing CDD process and </w:t>
      </w:r>
      <w:r w:rsidRPr="00147A22">
        <w:rPr>
          <w:rFonts w:ascii="Calibri" w:eastAsiaTheme="minorHAnsi" w:hAnsi="Calibri" w:cs="Calibri"/>
          <w:b w:val="0"/>
          <w:bCs w:val="0"/>
          <w:color w:val="000000"/>
          <w:sz w:val="22"/>
          <w:szCs w:val="22"/>
          <w:lang w:val="en-GB"/>
        </w:rPr>
        <w:t>other AML/CFT processes</w:t>
      </w:r>
      <w:r w:rsidR="00D826A0">
        <w:rPr>
          <w:rFonts w:ascii="Calibri" w:eastAsiaTheme="minorHAnsi" w:hAnsi="Calibri" w:cs="Calibri"/>
          <w:b w:val="0"/>
          <w:bCs w:val="0"/>
          <w:color w:val="000000"/>
          <w:sz w:val="22"/>
          <w:szCs w:val="22"/>
          <w:lang w:val="en-GB"/>
        </w:rPr>
        <w:t xml:space="preserve">, </w:t>
      </w:r>
      <w:r w:rsidRPr="00147A22">
        <w:rPr>
          <w:rFonts w:ascii="Calibri" w:eastAsiaTheme="minorHAnsi" w:hAnsi="Calibri" w:cs="Calibri"/>
          <w:b w:val="0"/>
          <w:bCs w:val="0"/>
          <w:color w:val="000000"/>
          <w:sz w:val="22"/>
          <w:szCs w:val="22"/>
          <w:lang w:val="en-GB"/>
        </w:rPr>
        <w:t>data quality improvement applications</w:t>
      </w:r>
      <w:r w:rsidR="00D826A0">
        <w:rPr>
          <w:rFonts w:ascii="Calibri" w:eastAsiaTheme="minorHAnsi" w:hAnsi="Calibri" w:cs="Calibri"/>
          <w:b w:val="0"/>
          <w:bCs w:val="0"/>
          <w:color w:val="000000"/>
          <w:sz w:val="22"/>
          <w:szCs w:val="22"/>
          <w:lang w:val="en-GB"/>
        </w:rPr>
        <w:t xml:space="preserve"> and reporting compliance obligations</w:t>
      </w:r>
      <w:r w:rsidRPr="00147A22">
        <w:rPr>
          <w:rFonts w:ascii="Calibri" w:eastAsiaTheme="minorHAnsi" w:hAnsi="Calibri" w:cs="Calibri"/>
          <w:b w:val="0"/>
          <w:bCs w:val="0"/>
          <w:color w:val="000000"/>
          <w:sz w:val="22"/>
          <w:szCs w:val="22"/>
          <w:lang w:val="en-GB"/>
        </w:rPr>
        <w:t>.</w:t>
      </w:r>
    </w:p>
    <w:p w14:paraId="6F25BFDD" w14:textId="46FB5D82" w:rsidR="00147A22" w:rsidRPr="00147A22" w:rsidRDefault="00147A22" w:rsidP="00147A22">
      <w:pPr>
        <w:pStyle w:val="Heading2"/>
        <w:numPr>
          <w:ilvl w:val="0"/>
          <w:numId w:val="22"/>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i/>
          <w:color w:val="000000"/>
          <w:sz w:val="22"/>
          <w:szCs w:val="22"/>
          <w:lang w:val="en-GB"/>
        </w:rPr>
        <w:t>Customer Engagement and Customer Analytics</w:t>
      </w:r>
      <w:r w:rsidRPr="00147A22">
        <w:rPr>
          <w:rFonts w:ascii="Calibri" w:eastAsiaTheme="minorHAnsi" w:hAnsi="Calibri" w:cs="Calibri"/>
          <w:b w:val="0"/>
          <w:bCs w:val="0"/>
          <w:color w:val="000000"/>
          <w:sz w:val="22"/>
          <w:szCs w:val="22"/>
          <w:lang w:val="en-GB"/>
        </w:rPr>
        <w:t>. The former is focusing on customer relationship management applications</w:t>
      </w:r>
      <w:r w:rsidR="003D72B1">
        <w:rPr>
          <w:rFonts w:ascii="Calibri" w:eastAsiaTheme="minorHAnsi" w:hAnsi="Calibri" w:cs="Calibri"/>
          <w:b w:val="0"/>
          <w:bCs w:val="0"/>
          <w:color w:val="000000"/>
          <w:sz w:val="22"/>
          <w:szCs w:val="22"/>
          <w:lang w:val="en-GB"/>
        </w:rPr>
        <w:t xml:space="preserve"> (e.g. use of AI in the loan approval process)</w:t>
      </w:r>
      <w:r w:rsidRPr="00147A22">
        <w:rPr>
          <w:rFonts w:ascii="Calibri" w:eastAsiaTheme="minorHAnsi" w:hAnsi="Calibri" w:cs="Calibri"/>
          <w:b w:val="0"/>
          <w:bCs w:val="0"/>
          <w:color w:val="000000"/>
          <w:sz w:val="22"/>
          <w:szCs w:val="22"/>
          <w:lang w:val="en-GB"/>
        </w:rPr>
        <w:t xml:space="preserve"> while the latter on improving customer intelligence / customer insights, including dedicated analytics fed by customer interaction data (e.g. sales analysis, product analysis, network marketing analysis), raising important strategic risk considerations. For example, use of chatbots or conversion of customers’ voice into text (through natural language processing) for automated analytic</w:t>
      </w:r>
      <w:r w:rsidR="003D72B1">
        <w:rPr>
          <w:rFonts w:ascii="Calibri" w:eastAsiaTheme="minorHAnsi" w:hAnsi="Calibri" w:cs="Calibri"/>
          <w:b w:val="0"/>
          <w:bCs w:val="0"/>
          <w:color w:val="000000"/>
          <w:sz w:val="22"/>
          <w:szCs w:val="22"/>
          <w:lang w:val="en-GB"/>
        </w:rPr>
        <w:t>s.</w:t>
      </w:r>
    </w:p>
    <w:p w14:paraId="163E8397" w14:textId="77777777" w:rsidR="00147A22" w:rsidRPr="00147A22" w:rsidRDefault="00147A22" w:rsidP="00147A22">
      <w:pPr>
        <w:pStyle w:val="Heading2"/>
        <w:numPr>
          <w:ilvl w:val="0"/>
          <w:numId w:val="22"/>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i/>
          <w:color w:val="000000"/>
          <w:sz w:val="22"/>
          <w:szCs w:val="22"/>
          <w:lang w:val="en-GB"/>
        </w:rPr>
        <w:lastRenderedPageBreak/>
        <w:t>Risk Management</w:t>
      </w:r>
      <w:r w:rsidRPr="00147A22">
        <w:rPr>
          <w:rFonts w:ascii="Calibri" w:eastAsiaTheme="minorHAnsi" w:hAnsi="Calibri" w:cs="Calibri"/>
          <w:b w:val="0"/>
          <w:bCs w:val="0"/>
          <w:color w:val="000000"/>
          <w:sz w:val="22"/>
          <w:szCs w:val="22"/>
          <w:lang w:val="en-GB"/>
        </w:rPr>
        <w:t>, mainly in the area of risk scoring and risk modelling as well as cyber security management. Significant interest is observed in the use of AI for credit risk assessment and subsequently in credit underwriting where currently AI models are not yet serving as primary models.</w:t>
      </w:r>
    </w:p>
    <w:p w14:paraId="774AE688" w14:textId="77777777"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i/>
          <w:color w:val="000000"/>
          <w:sz w:val="22"/>
          <w:szCs w:val="22"/>
          <w:lang w:val="en-GB"/>
        </w:rPr>
      </w:pPr>
      <w:r w:rsidRPr="00147A22">
        <w:rPr>
          <w:rFonts w:ascii="Calibri" w:eastAsiaTheme="minorHAnsi" w:hAnsi="Calibri" w:cs="Calibri"/>
          <w:b w:val="0"/>
          <w:bCs w:val="0"/>
          <w:i/>
          <w:color w:val="000000"/>
          <w:sz w:val="22"/>
          <w:szCs w:val="22"/>
          <w:lang w:val="en-GB"/>
        </w:rPr>
        <w:t>Main benefits to consumers from AI-applications</w:t>
      </w:r>
    </w:p>
    <w:p w14:paraId="0F7AF5D5" w14:textId="77777777" w:rsidR="00147A22" w:rsidRPr="00147A22" w:rsidRDefault="00147A22" w:rsidP="006D045B">
      <w:pPr>
        <w:pStyle w:val="Heading2"/>
        <w:numPr>
          <w:ilvl w:val="0"/>
          <w:numId w:val="23"/>
        </w:numPr>
        <w:tabs>
          <w:tab w:val="left" w:pos="3118"/>
          <w:tab w:val="left" w:pos="8931"/>
        </w:tabs>
        <w:spacing w:before="120" w:after="120" w:line="276" w:lineRule="auto"/>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Potentially new/enhanced financial products and services tailored to consumers’ needs and profile (more personalised service)</w:t>
      </w:r>
    </w:p>
    <w:p w14:paraId="7B359AC2" w14:textId="77777777" w:rsidR="00147A22" w:rsidRPr="00147A22" w:rsidRDefault="00147A22" w:rsidP="006D045B">
      <w:pPr>
        <w:pStyle w:val="Heading2"/>
        <w:numPr>
          <w:ilvl w:val="0"/>
          <w:numId w:val="23"/>
        </w:numPr>
        <w:tabs>
          <w:tab w:val="left" w:pos="3118"/>
          <w:tab w:val="left" w:pos="8931"/>
        </w:tabs>
        <w:spacing w:before="120" w:after="120" w:line="276" w:lineRule="auto"/>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 xml:space="preserve">Potential of financial inclusion via the use of alternative sources of data, which might allow customers to gain access to financial services that they could not access before (e.g. due to a lack of financial information) </w:t>
      </w:r>
    </w:p>
    <w:p w14:paraId="527EEF06" w14:textId="77777777" w:rsidR="00147A22" w:rsidRPr="00147A22" w:rsidRDefault="00147A22" w:rsidP="006D045B">
      <w:pPr>
        <w:pStyle w:val="Heading2"/>
        <w:numPr>
          <w:ilvl w:val="0"/>
          <w:numId w:val="23"/>
        </w:numPr>
        <w:tabs>
          <w:tab w:val="left" w:pos="3118"/>
          <w:tab w:val="left" w:pos="8931"/>
        </w:tabs>
        <w:spacing w:before="120" w:after="120" w:line="276" w:lineRule="auto"/>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Potentially easier and quicker access to financial services</w:t>
      </w:r>
    </w:p>
    <w:p w14:paraId="6AA49E68" w14:textId="77777777" w:rsidR="00147A22" w:rsidRPr="00147A22" w:rsidRDefault="00147A22" w:rsidP="006D045B">
      <w:pPr>
        <w:pStyle w:val="Heading2"/>
        <w:numPr>
          <w:ilvl w:val="0"/>
          <w:numId w:val="23"/>
        </w:numPr>
        <w:tabs>
          <w:tab w:val="left" w:pos="3118"/>
          <w:tab w:val="left" w:pos="8931"/>
        </w:tabs>
        <w:spacing w:before="120" w:after="120" w:line="276" w:lineRule="auto"/>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Potentially better pricing of financial products and services</w:t>
      </w:r>
    </w:p>
    <w:p w14:paraId="485DE4D5" w14:textId="77777777" w:rsidR="00147A22" w:rsidRPr="00147A22" w:rsidRDefault="00147A22" w:rsidP="00147A22">
      <w:pPr>
        <w:pStyle w:val="Heading2"/>
        <w:tabs>
          <w:tab w:val="left" w:pos="3118"/>
          <w:tab w:val="left" w:pos="8931"/>
        </w:tabs>
        <w:spacing w:before="240" w:after="120" w:line="276" w:lineRule="auto"/>
        <w:ind w:left="0" w:right="96"/>
        <w:jc w:val="both"/>
        <w:rPr>
          <w:rFonts w:ascii="Calibri" w:eastAsiaTheme="minorHAnsi" w:hAnsi="Calibri" w:cs="Calibri"/>
          <w:b w:val="0"/>
          <w:bCs w:val="0"/>
          <w:i/>
          <w:color w:val="000000"/>
          <w:sz w:val="22"/>
          <w:szCs w:val="22"/>
          <w:lang w:val="en-GB"/>
        </w:rPr>
      </w:pPr>
      <w:r w:rsidRPr="00147A22">
        <w:rPr>
          <w:rFonts w:ascii="Calibri" w:eastAsiaTheme="minorHAnsi" w:hAnsi="Calibri" w:cs="Calibri"/>
          <w:b w:val="0"/>
          <w:bCs w:val="0"/>
          <w:i/>
          <w:color w:val="000000"/>
          <w:sz w:val="22"/>
          <w:szCs w:val="22"/>
          <w:lang w:val="en-GB"/>
        </w:rPr>
        <w:t>Main benefits to firms from AI-applications</w:t>
      </w:r>
    </w:p>
    <w:p w14:paraId="55208C2E" w14:textId="77777777" w:rsidR="00147A22" w:rsidRPr="00147A22" w:rsidRDefault="00147A22" w:rsidP="00147A22">
      <w:pPr>
        <w:pStyle w:val="Heading2"/>
        <w:numPr>
          <w:ilvl w:val="0"/>
          <w:numId w:val="23"/>
        </w:numPr>
        <w:tabs>
          <w:tab w:val="left" w:pos="3118"/>
          <w:tab w:val="left" w:pos="8931"/>
        </w:tabs>
        <w:spacing w:before="120" w:after="120"/>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Development of new/enhanced financial products and services tailored to customers’ needs in a timely manner</w:t>
      </w:r>
    </w:p>
    <w:p w14:paraId="5CAEA184" w14:textId="77777777" w:rsidR="00147A22" w:rsidRPr="00147A22" w:rsidRDefault="00147A22" w:rsidP="00147A22">
      <w:pPr>
        <w:pStyle w:val="Heading2"/>
        <w:numPr>
          <w:ilvl w:val="0"/>
          <w:numId w:val="23"/>
        </w:numPr>
        <w:tabs>
          <w:tab w:val="left" w:pos="3118"/>
          <w:tab w:val="left" w:pos="8931"/>
        </w:tabs>
        <w:spacing w:before="120" w:after="120"/>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Better understanding of customers’ behaviour, preferences and needs</w:t>
      </w:r>
    </w:p>
    <w:p w14:paraId="327738DE" w14:textId="11673248" w:rsidR="00147A22" w:rsidRDefault="00147A22" w:rsidP="00147A22">
      <w:pPr>
        <w:pStyle w:val="Heading2"/>
        <w:numPr>
          <w:ilvl w:val="0"/>
          <w:numId w:val="23"/>
        </w:numPr>
        <w:tabs>
          <w:tab w:val="left" w:pos="3118"/>
          <w:tab w:val="left" w:pos="8931"/>
        </w:tabs>
        <w:spacing w:before="120" w:after="120"/>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 xml:space="preserve">Potentially enhanced customer satisfaction </w:t>
      </w:r>
    </w:p>
    <w:p w14:paraId="3F00A84F" w14:textId="017C580A" w:rsidR="004C033C" w:rsidRPr="00147A22" w:rsidRDefault="004C033C" w:rsidP="00147A22">
      <w:pPr>
        <w:pStyle w:val="Heading2"/>
        <w:numPr>
          <w:ilvl w:val="0"/>
          <w:numId w:val="23"/>
        </w:numPr>
        <w:tabs>
          <w:tab w:val="left" w:pos="3118"/>
          <w:tab w:val="left" w:pos="8931"/>
        </w:tabs>
        <w:spacing w:before="120" w:after="120"/>
        <w:ind w:left="714" w:right="96" w:hanging="357"/>
        <w:jc w:val="both"/>
        <w:rPr>
          <w:rFonts w:ascii="Calibri" w:eastAsiaTheme="minorHAnsi" w:hAnsi="Calibri" w:cs="Calibri"/>
          <w:b w:val="0"/>
          <w:bCs w:val="0"/>
          <w:color w:val="000000"/>
          <w:sz w:val="22"/>
          <w:szCs w:val="22"/>
          <w:lang w:val="en-GB"/>
        </w:rPr>
      </w:pPr>
      <w:r w:rsidRPr="007F3CC8">
        <w:rPr>
          <w:rFonts w:ascii="Calibri" w:eastAsiaTheme="minorHAnsi" w:hAnsi="Calibri" w:cs="Calibri"/>
          <w:b w:val="0"/>
          <w:bCs w:val="0"/>
          <w:color w:val="000000"/>
          <w:sz w:val="22"/>
          <w:szCs w:val="22"/>
          <w:lang w:val="en-GB"/>
        </w:rPr>
        <w:t>Potentially better detection of fraud attempts and cybersecurity issues</w:t>
      </w:r>
      <w:r w:rsidR="006874BA">
        <w:rPr>
          <w:rFonts w:ascii="Calibri" w:eastAsiaTheme="minorHAnsi" w:hAnsi="Calibri" w:cs="Calibri"/>
          <w:b w:val="0"/>
          <w:bCs w:val="0"/>
          <w:color w:val="000000"/>
          <w:sz w:val="22"/>
          <w:szCs w:val="22"/>
          <w:lang w:val="en-GB"/>
        </w:rPr>
        <w:t>, and in general useful compliance tools</w:t>
      </w:r>
    </w:p>
    <w:p w14:paraId="7E5BFB04" w14:textId="77777777" w:rsidR="00147A22" w:rsidRPr="00147A22" w:rsidRDefault="00147A22" w:rsidP="00147A22">
      <w:pPr>
        <w:pStyle w:val="Heading2"/>
        <w:numPr>
          <w:ilvl w:val="0"/>
          <w:numId w:val="23"/>
        </w:numPr>
        <w:tabs>
          <w:tab w:val="left" w:pos="3118"/>
          <w:tab w:val="left" w:pos="8931"/>
        </w:tabs>
        <w:spacing w:before="120" w:after="120"/>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bCs w:val="0"/>
          <w:color w:val="000000"/>
          <w:sz w:val="22"/>
          <w:szCs w:val="22"/>
          <w:lang w:val="en-GB"/>
        </w:rPr>
        <w:t xml:space="preserve">Potentially greater efficiency and cost savings, through automation and optimisation of processes mostly in support functions e.g. more effective compliance and monitoring tools, streamlined compliance processes </w:t>
      </w:r>
    </w:p>
    <w:p w14:paraId="7E65C134" w14:textId="767F61BB" w:rsidR="00147A22" w:rsidRPr="00147A22" w:rsidRDefault="00147A22" w:rsidP="00147A22">
      <w:pPr>
        <w:pStyle w:val="Heading2"/>
        <w:numPr>
          <w:ilvl w:val="0"/>
          <w:numId w:val="23"/>
        </w:numPr>
        <w:tabs>
          <w:tab w:val="left" w:pos="3118"/>
          <w:tab w:val="left" w:pos="8931"/>
        </w:tabs>
        <w:spacing w:before="120" w:after="120"/>
        <w:ind w:left="714" w:right="96" w:hanging="357"/>
        <w:jc w:val="both"/>
        <w:rPr>
          <w:rFonts w:ascii="Calibri" w:eastAsiaTheme="minorHAnsi" w:hAnsi="Calibri" w:cs="Calibri"/>
          <w:b w:val="0"/>
          <w:bCs w:val="0"/>
          <w:color w:val="000000"/>
          <w:sz w:val="22"/>
          <w:szCs w:val="22"/>
          <w:lang w:val="en-GB"/>
        </w:rPr>
      </w:pPr>
      <w:r w:rsidRPr="00147A22">
        <w:rPr>
          <w:rFonts w:ascii="Calibri" w:eastAsiaTheme="minorHAnsi" w:hAnsi="Calibri" w:cs="Calibri"/>
          <w:b w:val="0"/>
          <w:color w:val="000000"/>
          <w:sz w:val="22"/>
          <w:szCs w:val="22"/>
          <w:lang w:val="en-GB"/>
        </w:rPr>
        <w:t>Automatic assessment of upselling or cross-selling business opportunities</w:t>
      </w:r>
    </w:p>
    <w:p w14:paraId="2102D81C" w14:textId="21E5D95B" w:rsidR="00147A22" w:rsidRDefault="00147A22" w:rsidP="00D2770E">
      <w:pPr>
        <w:pStyle w:val="Heading2"/>
        <w:tabs>
          <w:tab w:val="left" w:pos="3118"/>
          <w:tab w:val="left" w:pos="8931"/>
        </w:tabs>
        <w:ind w:left="0" w:right="96"/>
        <w:jc w:val="both"/>
        <w:rPr>
          <w:rFonts w:ascii="Calibri" w:eastAsiaTheme="minorHAnsi" w:hAnsi="Calibri" w:cs="Calibri"/>
          <w:b w:val="0"/>
          <w:color w:val="000000"/>
          <w:sz w:val="22"/>
          <w:szCs w:val="22"/>
          <w:lang w:val="en-GB"/>
        </w:rPr>
      </w:pPr>
    </w:p>
    <w:p w14:paraId="0FD530E9" w14:textId="77777777" w:rsidR="00147A22" w:rsidRPr="006D045B" w:rsidRDefault="00147A22" w:rsidP="006D045B">
      <w:pPr>
        <w:tabs>
          <w:tab w:val="left" w:pos="1962"/>
          <w:tab w:val="left" w:pos="3716"/>
          <w:tab w:val="left" w:pos="5505"/>
          <w:tab w:val="left" w:pos="8502"/>
        </w:tabs>
        <w:spacing w:before="113"/>
        <w:ind w:right="-46"/>
        <w:jc w:val="both"/>
        <w:rPr>
          <w:rFonts w:ascii="Calibri" w:hAnsi="Calibri" w:cs="Calibri"/>
          <w:b/>
          <w:color w:val="FF0000"/>
          <w:spacing w:val="-14"/>
        </w:rPr>
      </w:pPr>
      <w:r w:rsidRPr="006D045B">
        <w:rPr>
          <w:rFonts w:ascii="Calibri" w:hAnsi="Calibri" w:cs="Calibri"/>
          <w:b/>
        </w:rPr>
        <w:t>Question 39. In your opinion, what are the main challenges or risks that the increased use of AI- based models is likely to raise for the financial industry, for customers/investors, for businesses and for the supervisory authorities?</w:t>
      </w:r>
      <w:r w:rsidRPr="006D045B">
        <w:rPr>
          <w:rFonts w:ascii="Calibri" w:hAnsi="Calibri" w:cs="Calibri"/>
          <w:b/>
          <w:color w:val="FF0000"/>
          <w:spacing w:val="-14"/>
        </w:rPr>
        <w:t xml:space="preserve"> </w:t>
      </w:r>
    </w:p>
    <w:p w14:paraId="67A85CD1" w14:textId="77777777" w:rsidR="00147A22" w:rsidRPr="006D045B" w:rsidRDefault="00147A22" w:rsidP="006D045B">
      <w:pPr>
        <w:tabs>
          <w:tab w:val="left" w:pos="1962"/>
          <w:tab w:val="left" w:pos="3716"/>
          <w:tab w:val="left" w:pos="5505"/>
          <w:tab w:val="left" w:pos="8502"/>
        </w:tabs>
        <w:spacing w:before="113"/>
        <w:ind w:right="-46"/>
        <w:jc w:val="both"/>
        <w:rPr>
          <w:rFonts w:ascii="Calibri" w:hAnsi="Calibri" w:cs="Calibri"/>
          <w:b/>
          <w:color w:val="000000" w:themeColor="text1"/>
          <w:spacing w:val="-14"/>
        </w:rPr>
      </w:pPr>
      <w:r w:rsidRPr="006D045B">
        <w:rPr>
          <w:rFonts w:ascii="Calibri" w:hAnsi="Calibri" w:cs="Calibri"/>
          <w:b/>
        </w:rPr>
        <w:t>P</w:t>
      </w:r>
      <w:r w:rsidRPr="006D045B">
        <w:rPr>
          <w:rFonts w:ascii="Calibri" w:hAnsi="Calibri" w:cs="Calibri"/>
          <w:b/>
          <w:color w:val="000000" w:themeColor="text1"/>
        </w:rPr>
        <w:t>lease rate each proposal from 1 to 5:</w:t>
      </w:r>
    </w:p>
    <w:p w14:paraId="2A6800F5" w14:textId="282C6625" w:rsidR="00147A22" w:rsidRPr="006D045B" w:rsidRDefault="00147A22" w:rsidP="00147A22">
      <w:pPr>
        <w:tabs>
          <w:tab w:val="left" w:pos="1962"/>
          <w:tab w:val="left" w:pos="3716"/>
          <w:tab w:val="left" w:pos="5505"/>
          <w:tab w:val="left" w:pos="8502"/>
        </w:tabs>
        <w:spacing w:before="113" w:line="319" w:lineRule="auto"/>
        <w:ind w:right="-46"/>
        <w:jc w:val="both"/>
        <w:rPr>
          <w:rFonts w:ascii="Calibri" w:hAnsi="Calibri" w:cs="Calibri"/>
          <w:b/>
          <w:color w:val="000000" w:themeColor="text1"/>
          <w:spacing w:val="-14"/>
        </w:rPr>
      </w:pPr>
      <w:r w:rsidRPr="006D045B">
        <w:rPr>
          <w:rFonts w:ascii="Calibri" w:hAnsi="Calibri" w:cs="Calibri"/>
          <w:b/>
          <w:color w:val="000000" w:themeColor="text1"/>
          <w:spacing w:val="-14"/>
        </w:rPr>
        <w:t xml:space="preserve">1. </w:t>
      </w:r>
      <w:r w:rsidRPr="006D045B">
        <w:rPr>
          <w:rFonts w:ascii="Calibri" w:hAnsi="Calibri" w:cs="Calibri"/>
          <w:b/>
          <w:color w:val="000000" w:themeColor="text1"/>
        </w:rPr>
        <w:t>Financial industry</w:t>
      </w:r>
    </w:p>
    <w:tbl>
      <w:tblPr>
        <w:tblW w:w="9195" w:type="dxa"/>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998"/>
        <w:gridCol w:w="1246"/>
        <w:gridCol w:w="1082"/>
        <w:gridCol w:w="1050"/>
        <w:gridCol w:w="1081"/>
        <w:gridCol w:w="1081"/>
        <w:gridCol w:w="657"/>
      </w:tblGrid>
      <w:tr w:rsidR="00D82700" w14:paraId="62E2576E" w14:textId="77777777" w:rsidTr="006D045B">
        <w:trPr>
          <w:trHeight w:val="1732"/>
          <w:jc w:val="center"/>
        </w:trPr>
        <w:tc>
          <w:tcPr>
            <w:tcW w:w="2998" w:type="dxa"/>
          </w:tcPr>
          <w:p w14:paraId="1DFFD724" w14:textId="77777777" w:rsidR="00D82700" w:rsidRDefault="00D82700" w:rsidP="00F20316">
            <w:pPr>
              <w:pStyle w:val="TableParagraph"/>
              <w:rPr>
                <w:rFonts w:ascii="Times New Roman"/>
                <w:sz w:val="20"/>
              </w:rPr>
            </w:pPr>
          </w:p>
        </w:tc>
        <w:tc>
          <w:tcPr>
            <w:tcW w:w="1246" w:type="dxa"/>
          </w:tcPr>
          <w:p w14:paraId="7AED50EB" w14:textId="77777777" w:rsidR="00D82700" w:rsidRPr="006D045B" w:rsidRDefault="00D82700" w:rsidP="00F20316">
            <w:pPr>
              <w:pStyle w:val="TableParagraph"/>
              <w:spacing w:before="122" w:line="695" w:lineRule="exact"/>
              <w:ind w:left="17"/>
              <w:jc w:val="center"/>
              <w:rPr>
                <w:sz w:val="16"/>
                <w:szCs w:val="16"/>
              </w:rPr>
            </w:pPr>
            <w:r w:rsidRPr="006D045B">
              <w:rPr>
                <w:w w:val="99"/>
                <w:sz w:val="16"/>
                <w:szCs w:val="16"/>
              </w:rPr>
              <w:t>1</w:t>
            </w:r>
          </w:p>
          <w:p w14:paraId="7D46340D" w14:textId="77777777" w:rsidR="00D82700" w:rsidRPr="006D045B" w:rsidRDefault="00D82700" w:rsidP="00F20316">
            <w:pPr>
              <w:pStyle w:val="TableParagraph"/>
              <w:spacing w:line="318" w:lineRule="exact"/>
              <w:ind w:left="153" w:right="135"/>
              <w:jc w:val="center"/>
              <w:rPr>
                <w:sz w:val="16"/>
                <w:szCs w:val="16"/>
              </w:rPr>
            </w:pPr>
            <w:r w:rsidRPr="006D045B">
              <w:rPr>
                <w:w w:val="105"/>
                <w:sz w:val="16"/>
                <w:szCs w:val="16"/>
              </w:rPr>
              <w:t>(irrelevant)</w:t>
            </w:r>
          </w:p>
        </w:tc>
        <w:tc>
          <w:tcPr>
            <w:tcW w:w="1082" w:type="dxa"/>
          </w:tcPr>
          <w:p w14:paraId="0947D5E1" w14:textId="77777777" w:rsidR="00D82700" w:rsidRPr="006D045B" w:rsidRDefault="00D82700" w:rsidP="00F20316">
            <w:pPr>
              <w:pStyle w:val="TableParagraph"/>
              <w:spacing w:line="657" w:lineRule="exact"/>
              <w:ind w:left="17"/>
              <w:jc w:val="center"/>
              <w:rPr>
                <w:sz w:val="16"/>
                <w:szCs w:val="16"/>
              </w:rPr>
            </w:pPr>
            <w:r w:rsidRPr="006D045B">
              <w:rPr>
                <w:w w:val="99"/>
                <w:sz w:val="16"/>
                <w:szCs w:val="16"/>
              </w:rPr>
              <w:t>2</w:t>
            </w:r>
          </w:p>
          <w:p w14:paraId="23E4D5A8" w14:textId="77777777" w:rsidR="00D82700" w:rsidRPr="006D045B" w:rsidRDefault="00D82700" w:rsidP="00F20316">
            <w:pPr>
              <w:pStyle w:val="TableParagraph"/>
              <w:spacing w:before="4" w:line="199" w:lineRule="auto"/>
              <w:ind w:left="185" w:right="165" w:hanging="54"/>
              <w:jc w:val="center"/>
              <w:rPr>
                <w:sz w:val="16"/>
                <w:szCs w:val="16"/>
              </w:rPr>
            </w:pPr>
            <w:r w:rsidRPr="006D045B">
              <w:rPr>
                <w:w w:val="105"/>
                <w:sz w:val="16"/>
                <w:szCs w:val="16"/>
              </w:rPr>
              <w:t xml:space="preserve">(rather not </w:t>
            </w:r>
            <w:r w:rsidRPr="006D045B">
              <w:rPr>
                <w:sz w:val="16"/>
                <w:szCs w:val="16"/>
              </w:rPr>
              <w:t>relevant)</w:t>
            </w:r>
          </w:p>
        </w:tc>
        <w:tc>
          <w:tcPr>
            <w:tcW w:w="1050" w:type="dxa"/>
          </w:tcPr>
          <w:p w14:paraId="1CE55B5C" w14:textId="77777777" w:rsidR="00D82700" w:rsidRPr="006D045B" w:rsidRDefault="00D82700" w:rsidP="00F20316">
            <w:pPr>
              <w:pStyle w:val="TableParagraph"/>
              <w:spacing w:before="122" w:line="695" w:lineRule="exact"/>
              <w:ind w:left="17"/>
              <w:jc w:val="center"/>
              <w:rPr>
                <w:sz w:val="16"/>
                <w:szCs w:val="16"/>
              </w:rPr>
            </w:pPr>
            <w:r w:rsidRPr="006D045B">
              <w:rPr>
                <w:w w:val="99"/>
                <w:sz w:val="16"/>
                <w:szCs w:val="16"/>
              </w:rPr>
              <w:t>3</w:t>
            </w:r>
          </w:p>
          <w:p w14:paraId="25EE9D48" w14:textId="77777777" w:rsidR="00D82700" w:rsidRPr="006D045B" w:rsidRDefault="00D82700" w:rsidP="00F20316">
            <w:pPr>
              <w:pStyle w:val="TableParagraph"/>
              <w:spacing w:line="318" w:lineRule="exact"/>
              <w:ind w:left="154" w:right="137"/>
              <w:jc w:val="center"/>
              <w:rPr>
                <w:sz w:val="16"/>
                <w:szCs w:val="16"/>
              </w:rPr>
            </w:pPr>
            <w:r w:rsidRPr="006D045B">
              <w:rPr>
                <w:w w:val="105"/>
                <w:sz w:val="16"/>
                <w:szCs w:val="16"/>
              </w:rPr>
              <w:t>(neutral)</w:t>
            </w:r>
          </w:p>
        </w:tc>
        <w:tc>
          <w:tcPr>
            <w:tcW w:w="1081" w:type="dxa"/>
          </w:tcPr>
          <w:p w14:paraId="4E14AA39" w14:textId="77777777" w:rsidR="00D82700" w:rsidRPr="006D045B" w:rsidRDefault="00D82700" w:rsidP="00F20316">
            <w:pPr>
              <w:pStyle w:val="TableParagraph"/>
              <w:spacing w:before="110" w:line="695" w:lineRule="exact"/>
              <w:ind w:left="15"/>
              <w:jc w:val="center"/>
              <w:rPr>
                <w:sz w:val="16"/>
                <w:szCs w:val="16"/>
              </w:rPr>
            </w:pPr>
            <w:r w:rsidRPr="006D045B">
              <w:rPr>
                <w:w w:val="99"/>
                <w:sz w:val="16"/>
                <w:szCs w:val="16"/>
              </w:rPr>
              <w:t>4</w:t>
            </w:r>
          </w:p>
          <w:p w14:paraId="09D32919" w14:textId="77777777" w:rsidR="00D82700" w:rsidRPr="006D045B" w:rsidRDefault="00D82700" w:rsidP="00F20316">
            <w:pPr>
              <w:pStyle w:val="TableParagraph"/>
              <w:spacing w:before="4" w:line="199" w:lineRule="auto"/>
              <w:ind w:left="183" w:right="165" w:hanging="54"/>
              <w:jc w:val="center"/>
              <w:rPr>
                <w:sz w:val="16"/>
                <w:szCs w:val="16"/>
              </w:rPr>
            </w:pPr>
            <w:r w:rsidRPr="006D045B">
              <w:rPr>
                <w:w w:val="105"/>
                <w:sz w:val="16"/>
                <w:szCs w:val="16"/>
              </w:rPr>
              <w:t xml:space="preserve">(rather </w:t>
            </w:r>
            <w:r w:rsidRPr="006D045B">
              <w:rPr>
                <w:sz w:val="16"/>
                <w:szCs w:val="16"/>
              </w:rPr>
              <w:t>relevant)</w:t>
            </w:r>
          </w:p>
        </w:tc>
        <w:tc>
          <w:tcPr>
            <w:tcW w:w="1081" w:type="dxa"/>
          </w:tcPr>
          <w:p w14:paraId="04DC5623" w14:textId="77777777" w:rsidR="00D82700" w:rsidRPr="006D045B" w:rsidRDefault="00D82700" w:rsidP="00F20316">
            <w:pPr>
              <w:pStyle w:val="TableParagraph"/>
              <w:spacing w:before="110" w:line="695" w:lineRule="exact"/>
              <w:ind w:left="14"/>
              <w:jc w:val="center"/>
              <w:rPr>
                <w:sz w:val="16"/>
                <w:szCs w:val="16"/>
              </w:rPr>
            </w:pPr>
            <w:r w:rsidRPr="006D045B">
              <w:rPr>
                <w:w w:val="99"/>
                <w:sz w:val="16"/>
                <w:szCs w:val="16"/>
              </w:rPr>
              <w:t>5</w:t>
            </w:r>
          </w:p>
          <w:p w14:paraId="13E13D15" w14:textId="77777777" w:rsidR="00D82700" w:rsidRPr="006D045B" w:rsidRDefault="00D82700" w:rsidP="00F20316">
            <w:pPr>
              <w:pStyle w:val="TableParagraph"/>
              <w:spacing w:before="4" w:line="199" w:lineRule="auto"/>
              <w:ind w:left="182" w:right="166" w:hanging="55"/>
              <w:jc w:val="center"/>
              <w:rPr>
                <w:sz w:val="16"/>
                <w:szCs w:val="16"/>
              </w:rPr>
            </w:pPr>
            <w:r w:rsidRPr="006D045B">
              <w:rPr>
                <w:w w:val="105"/>
                <w:sz w:val="16"/>
                <w:szCs w:val="16"/>
              </w:rPr>
              <w:t xml:space="preserve">(fully </w:t>
            </w:r>
            <w:r w:rsidRPr="006D045B">
              <w:rPr>
                <w:sz w:val="16"/>
                <w:szCs w:val="16"/>
              </w:rPr>
              <w:t>relevant)</w:t>
            </w:r>
          </w:p>
        </w:tc>
        <w:tc>
          <w:tcPr>
            <w:tcW w:w="657" w:type="dxa"/>
          </w:tcPr>
          <w:p w14:paraId="42F1033B" w14:textId="77777777" w:rsidR="00D82700" w:rsidRPr="006D045B" w:rsidRDefault="00D82700" w:rsidP="00F20316">
            <w:pPr>
              <w:pStyle w:val="TableParagraph"/>
              <w:spacing w:before="312" w:line="529" w:lineRule="exact"/>
              <w:ind w:left="181"/>
              <w:rPr>
                <w:sz w:val="16"/>
                <w:szCs w:val="16"/>
              </w:rPr>
            </w:pPr>
            <w:r w:rsidRPr="006D045B">
              <w:rPr>
                <w:sz w:val="16"/>
                <w:szCs w:val="16"/>
              </w:rPr>
              <w:t>N.</w:t>
            </w:r>
          </w:p>
          <w:p w14:paraId="3315B58B" w14:textId="77777777" w:rsidR="00D82700" w:rsidRPr="006D045B" w:rsidRDefault="00D82700" w:rsidP="00F20316">
            <w:pPr>
              <w:pStyle w:val="TableParagraph"/>
              <w:spacing w:line="529" w:lineRule="exact"/>
              <w:ind w:left="190"/>
              <w:rPr>
                <w:sz w:val="16"/>
                <w:szCs w:val="16"/>
              </w:rPr>
            </w:pPr>
            <w:r w:rsidRPr="006D045B">
              <w:rPr>
                <w:sz w:val="16"/>
                <w:szCs w:val="16"/>
              </w:rPr>
              <w:t>A.</w:t>
            </w:r>
          </w:p>
        </w:tc>
      </w:tr>
      <w:tr w:rsidR="00D82700" w14:paraId="62A2A72A" w14:textId="77777777" w:rsidTr="006D045B">
        <w:trPr>
          <w:trHeight w:val="890"/>
          <w:jc w:val="center"/>
        </w:trPr>
        <w:tc>
          <w:tcPr>
            <w:tcW w:w="2998" w:type="dxa"/>
          </w:tcPr>
          <w:p w14:paraId="2041112C" w14:textId="77777777" w:rsidR="00D82700" w:rsidRDefault="00D82700" w:rsidP="00F20316">
            <w:pPr>
              <w:pStyle w:val="TableParagraph"/>
              <w:spacing w:before="69" w:line="199" w:lineRule="auto"/>
              <w:ind w:left="185" w:right="562"/>
              <w:rPr>
                <w:sz w:val="19"/>
              </w:rPr>
            </w:pPr>
            <w:r>
              <w:rPr>
                <w:w w:val="105"/>
                <w:sz w:val="19"/>
              </w:rPr>
              <w:lastRenderedPageBreak/>
              <w:t>1.1. Lack of legal clarity on certain horizontal EU rules</w:t>
            </w:r>
          </w:p>
        </w:tc>
        <w:tc>
          <w:tcPr>
            <w:tcW w:w="1246" w:type="dxa"/>
          </w:tcPr>
          <w:p w14:paraId="7B3C8246" w14:textId="77777777" w:rsidR="00D82700" w:rsidRDefault="00D82700" w:rsidP="00F20316">
            <w:pPr>
              <w:pStyle w:val="TableParagraph"/>
              <w:spacing w:before="7"/>
              <w:rPr>
                <w:rFonts w:ascii="Arial"/>
                <w:b/>
                <w:sz w:val="26"/>
              </w:rPr>
            </w:pPr>
          </w:p>
          <w:p w14:paraId="5B5EA799" w14:textId="77777777" w:rsidR="00D82700" w:rsidRDefault="00D82700"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0B6688F" wp14:editId="40D5F231">
                  <wp:extent cx="114300" cy="114300"/>
                  <wp:effectExtent l="0" t="0" r="0" b="0"/>
                  <wp:docPr id="23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2" w:type="dxa"/>
          </w:tcPr>
          <w:p w14:paraId="59506F46" w14:textId="77777777" w:rsidR="00D82700" w:rsidRDefault="00D82700" w:rsidP="00F20316">
            <w:pPr>
              <w:pStyle w:val="TableParagraph"/>
              <w:spacing w:before="7"/>
              <w:rPr>
                <w:rFonts w:ascii="Arial"/>
                <w:b/>
                <w:sz w:val="26"/>
              </w:rPr>
            </w:pPr>
          </w:p>
          <w:p w14:paraId="7DC9B056" w14:textId="77777777" w:rsidR="00D82700" w:rsidRDefault="00D82700" w:rsidP="00F20316">
            <w:pPr>
              <w:pStyle w:val="TableParagraph"/>
              <w:spacing w:line="180" w:lineRule="exact"/>
              <w:ind w:left="467"/>
              <w:rPr>
                <w:rFonts w:ascii="Arial"/>
                <w:sz w:val="18"/>
              </w:rPr>
            </w:pPr>
            <w:r>
              <w:rPr>
                <w:rFonts w:ascii="Arial"/>
                <w:noProof/>
                <w:position w:val="-3"/>
                <w:sz w:val="18"/>
                <w:lang w:val="en-GB" w:eastAsia="en-GB"/>
              </w:rPr>
              <w:drawing>
                <wp:inline distT="0" distB="0" distL="0" distR="0" wp14:anchorId="6AB91D23" wp14:editId="5A9FB1AA">
                  <wp:extent cx="114300" cy="114300"/>
                  <wp:effectExtent l="0" t="0" r="0" b="0"/>
                  <wp:docPr id="23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50" w:type="dxa"/>
          </w:tcPr>
          <w:p w14:paraId="3D7EC043" w14:textId="77777777" w:rsidR="00D82700" w:rsidRDefault="00D82700" w:rsidP="00F20316">
            <w:pPr>
              <w:pStyle w:val="TableParagraph"/>
              <w:spacing w:before="7"/>
              <w:rPr>
                <w:rFonts w:ascii="Arial"/>
                <w:b/>
                <w:sz w:val="26"/>
              </w:rPr>
            </w:pPr>
          </w:p>
          <w:p w14:paraId="42A2AF45" w14:textId="77777777" w:rsidR="00D82700" w:rsidRDefault="00D82700" w:rsidP="00F20316">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3B6F9A74" wp14:editId="438529DC">
                  <wp:extent cx="114300" cy="114300"/>
                  <wp:effectExtent l="0" t="0" r="0" b="0"/>
                  <wp:docPr id="23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762AB73D" w14:textId="77777777" w:rsidR="00D82700" w:rsidRDefault="00D82700" w:rsidP="00F20316">
            <w:pPr>
              <w:pStyle w:val="TableParagraph"/>
              <w:spacing w:before="7"/>
              <w:rPr>
                <w:rFonts w:ascii="Arial"/>
                <w:b/>
                <w:sz w:val="26"/>
              </w:rPr>
            </w:pPr>
          </w:p>
          <w:p w14:paraId="5FC4A2CF" w14:textId="46477B3B" w:rsidR="00D82700" w:rsidRDefault="00D82700" w:rsidP="00F20316">
            <w:pPr>
              <w:pStyle w:val="TableParagraph"/>
              <w:spacing w:line="180" w:lineRule="exact"/>
              <w:ind w:left="465"/>
              <w:rPr>
                <w:rFonts w:ascii="Arial"/>
                <w:sz w:val="18"/>
              </w:rPr>
            </w:pPr>
            <w:r>
              <w:rPr>
                <w:rFonts w:ascii="Arial"/>
                <w:noProof/>
                <w:position w:val="-3"/>
                <w:sz w:val="18"/>
                <w:lang w:val="en-GB" w:eastAsia="en-GB"/>
              </w:rPr>
              <w:t>X</w:t>
            </w:r>
          </w:p>
        </w:tc>
        <w:tc>
          <w:tcPr>
            <w:tcW w:w="1081" w:type="dxa"/>
          </w:tcPr>
          <w:p w14:paraId="15A6BE96" w14:textId="77777777" w:rsidR="00D82700" w:rsidRDefault="00D82700" w:rsidP="00F20316">
            <w:pPr>
              <w:pStyle w:val="TableParagraph"/>
              <w:spacing w:before="7"/>
              <w:rPr>
                <w:rFonts w:ascii="Arial"/>
                <w:b/>
                <w:sz w:val="26"/>
              </w:rPr>
            </w:pPr>
          </w:p>
          <w:p w14:paraId="38EA3CBC" w14:textId="77777777" w:rsidR="00D82700" w:rsidRDefault="00D82700" w:rsidP="00F20316">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282EFE5A" wp14:editId="2DE09053">
                  <wp:extent cx="114300" cy="114300"/>
                  <wp:effectExtent l="0" t="0" r="0" b="0"/>
                  <wp:docPr id="23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7" w:type="dxa"/>
          </w:tcPr>
          <w:p w14:paraId="0D28D3A3" w14:textId="77777777" w:rsidR="00D82700" w:rsidRDefault="00D82700" w:rsidP="00F20316">
            <w:pPr>
              <w:pStyle w:val="TableParagraph"/>
              <w:spacing w:before="7"/>
              <w:rPr>
                <w:rFonts w:ascii="Arial"/>
                <w:b/>
                <w:sz w:val="26"/>
              </w:rPr>
            </w:pPr>
          </w:p>
          <w:p w14:paraId="724BD7CC" w14:textId="77777777" w:rsidR="00D82700" w:rsidRDefault="00D82700" w:rsidP="00F20316">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1B0D7A86" wp14:editId="6F222D42">
                  <wp:extent cx="114300" cy="114300"/>
                  <wp:effectExtent l="0" t="0" r="0" b="0"/>
                  <wp:docPr id="23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D82700" w14:paraId="05A6BB52" w14:textId="77777777" w:rsidTr="006D045B">
        <w:trPr>
          <w:trHeight w:val="890"/>
          <w:jc w:val="center"/>
        </w:trPr>
        <w:tc>
          <w:tcPr>
            <w:tcW w:w="2998" w:type="dxa"/>
          </w:tcPr>
          <w:p w14:paraId="14F3F26B" w14:textId="77777777" w:rsidR="00D82700" w:rsidRDefault="00D82700" w:rsidP="00F20316">
            <w:pPr>
              <w:pStyle w:val="TableParagraph"/>
              <w:spacing w:before="69" w:line="199" w:lineRule="auto"/>
              <w:ind w:left="185" w:right="175"/>
              <w:rPr>
                <w:sz w:val="19"/>
              </w:rPr>
            </w:pPr>
            <w:r>
              <w:rPr>
                <w:w w:val="105"/>
                <w:sz w:val="19"/>
              </w:rPr>
              <w:t>1.2. Lack of legal clarity on certain sector-specific EU rules</w:t>
            </w:r>
          </w:p>
        </w:tc>
        <w:tc>
          <w:tcPr>
            <w:tcW w:w="1246" w:type="dxa"/>
          </w:tcPr>
          <w:p w14:paraId="6DA7A585" w14:textId="77777777" w:rsidR="00D82700" w:rsidRDefault="00D82700" w:rsidP="00F20316">
            <w:pPr>
              <w:pStyle w:val="TableParagraph"/>
              <w:spacing w:before="7"/>
              <w:rPr>
                <w:rFonts w:ascii="Arial"/>
                <w:b/>
                <w:sz w:val="26"/>
              </w:rPr>
            </w:pPr>
          </w:p>
          <w:p w14:paraId="5385D76D" w14:textId="77777777" w:rsidR="00D82700" w:rsidRDefault="00D82700"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0D2F413A" wp14:editId="68E61879">
                  <wp:extent cx="114300" cy="114300"/>
                  <wp:effectExtent l="0" t="0" r="0" b="0"/>
                  <wp:docPr id="23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2" w:type="dxa"/>
          </w:tcPr>
          <w:p w14:paraId="50A65108" w14:textId="77777777" w:rsidR="00D82700" w:rsidRDefault="00D82700" w:rsidP="00F20316">
            <w:pPr>
              <w:pStyle w:val="TableParagraph"/>
              <w:spacing w:before="7"/>
              <w:rPr>
                <w:rFonts w:ascii="Arial"/>
                <w:b/>
                <w:sz w:val="26"/>
              </w:rPr>
            </w:pPr>
          </w:p>
          <w:p w14:paraId="177F70FB" w14:textId="2F277BA5" w:rsidR="00D82700" w:rsidRDefault="0077484B" w:rsidP="00F20316">
            <w:pPr>
              <w:pStyle w:val="TableParagraph"/>
              <w:spacing w:line="180" w:lineRule="exact"/>
              <w:ind w:left="467"/>
              <w:rPr>
                <w:rFonts w:ascii="Arial"/>
                <w:sz w:val="18"/>
              </w:rPr>
            </w:pPr>
            <w:r>
              <w:rPr>
                <w:rFonts w:ascii="Arial"/>
                <w:noProof/>
                <w:position w:val="-3"/>
                <w:sz w:val="18"/>
                <w:lang w:val="en-GB" w:eastAsia="en-GB"/>
              </w:rPr>
              <w:t>X</w:t>
            </w:r>
          </w:p>
        </w:tc>
        <w:tc>
          <w:tcPr>
            <w:tcW w:w="1050" w:type="dxa"/>
          </w:tcPr>
          <w:p w14:paraId="0F1E1531" w14:textId="77777777" w:rsidR="00D82700" w:rsidRDefault="00D82700" w:rsidP="00F20316">
            <w:pPr>
              <w:pStyle w:val="TableParagraph"/>
              <w:spacing w:before="7"/>
              <w:rPr>
                <w:rFonts w:ascii="Arial"/>
                <w:b/>
                <w:sz w:val="26"/>
              </w:rPr>
            </w:pPr>
          </w:p>
          <w:p w14:paraId="101FC1A2" w14:textId="77777777" w:rsidR="00D82700" w:rsidRDefault="00D82700" w:rsidP="00F20316">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5B7C8161" wp14:editId="527C54E8">
                  <wp:extent cx="114300" cy="114300"/>
                  <wp:effectExtent l="0" t="0" r="0" b="0"/>
                  <wp:docPr id="23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2D542C9C" w14:textId="77777777" w:rsidR="00D82700" w:rsidRDefault="00D82700" w:rsidP="00F20316">
            <w:pPr>
              <w:pStyle w:val="TableParagraph"/>
              <w:spacing w:before="7"/>
              <w:rPr>
                <w:rFonts w:ascii="Arial"/>
                <w:b/>
                <w:sz w:val="26"/>
              </w:rPr>
            </w:pPr>
          </w:p>
          <w:p w14:paraId="11401E76" w14:textId="77777777" w:rsidR="00D82700" w:rsidRDefault="00D82700" w:rsidP="00F20316">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06D22CFD" wp14:editId="48149E2E">
                  <wp:extent cx="114300" cy="114300"/>
                  <wp:effectExtent l="0" t="0" r="0" b="0"/>
                  <wp:docPr id="23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63DD5AC6" w14:textId="77777777" w:rsidR="00D82700" w:rsidRDefault="00D82700" w:rsidP="00F20316">
            <w:pPr>
              <w:pStyle w:val="TableParagraph"/>
              <w:spacing w:before="7"/>
              <w:rPr>
                <w:rFonts w:ascii="Arial"/>
                <w:b/>
                <w:sz w:val="26"/>
              </w:rPr>
            </w:pPr>
          </w:p>
          <w:p w14:paraId="3DF049D4" w14:textId="77777777" w:rsidR="00D82700" w:rsidRDefault="00D82700" w:rsidP="00F20316">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5A05345C" wp14:editId="14B68B9C">
                  <wp:extent cx="114300" cy="114300"/>
                  <wp:effectExtent l="0" t="0" r="0" b="0"/>
                  <wp:docPr id="23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7" w:type="dxa"/>
          </w:tcPr>
          <w:p w14:paraId="464D1312" w14:textId="77777777" w:rsidR="00D82700" w:rsidRDefault="00D82700" w:rsidP="00F20316">
            <w:pPr>
              <w:pStyle w:val="TableParagraph"/>
              <w:spacing w:before="7"/>
              <w:rPr>
                <w:rFonts w:ascii="Arial"/>
                <w:b/>
                <w:sz w:val="26"/>
              </w:rPr>
            </w:pPr>
          </w:p>
          <w:p w14:paraId="15E17734" w14:textId="77777777" w:rsidR="00D82700" w:rsidRDefault="00D82700" w:rsidP="00F20316">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3A169F83" wp14:editId="10F23524">
                  <wp:extent cx="114300" cy="114300"/>
                  <wp:effectExtent l="0" t="0" r="0" b="0"/>
                  <wp:docPr id="23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D82700" w14:paraId="06C51C29" w14:textId="77777777" w:rsidTr="006D045B">
        <w:trPr>
          <w:trHeight w:val="890"/>
          <w:jc w:val="center"/>
        </w:trPr>
        <w:tc>
          <w:tcPr>
            <w:tcW w:w="2998" w:type="dxa"/>
          </w:tcPr>
          <w:p w14:paraId="686CD975" w14:textId="77777777" w:rsidR="00D82700" w:rsidRDefault="00D82700" w:rsidP="00F20316">
            <w:pPr>
              <w:pStyle w:val="TableParagraph"/>
              <w:spacing w:before="69" w:line="199" w:lineRule="auto"/>
              <w:ind w:left="185" w:right="429"/>
              <w:rPr>
                <w:sz w:val="19"/>
              </w:rPr>
            </w:pPr>
            <w:r>
              <w:rPr>
                <w:w w:val="105"/>
                <w:sz w:val="19"/>
              </w:rPr>
              <w:t>1.3. Lack of skills to develop such models</w:t>
            </w:r>
          </w:p>
        </w:tc>
        <w:tc>
          <w:tcPr>
            <w:tcW w:w="1246" w:type="dxa"/>
          </w:tcPr>
          <w:p w14:paraId="32DF3ED6" w14:textId="77777777" w:rsidR="00D82700" w:rsidRDefault="00D82700" w:rsidP="00F20316">
            <w:pPr>
              <w:pStyle w:val="TableParagraph"/>
              <w:spacing w:before="7"/>
              <w:rPr>
                <w:rFonts w:ascii="Arial"/>
                <w:b/>
                <w:sz w:val="26"/>
              </w:rPr>
            </w:pPr>
          </w:p>
          <w:p w14:paraId="397A6FB5" w14:textId="77777777" w:rsidR="00D82700" w:rsidRDefault="00D82700"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36ED63AC" wp14:editId="4C157CCC">
                  <wp:extent cx="114300" cy="114300"/>
                  <wp:effectExtent l="0" t="0" r="0" b="0"/>
                  <wp:docPr id="23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2" w:type="dxa"/>
          </w:tcPr>
          <w:p w14:paraId="291C5609" w14:textId="77777777" w:rsidR="00D82700" w:rsidRDefault="00D82700" w:rsidP="00F20316">
            <w:pPr>
              <w:pStyle w:val="TableParagraph"/>
              <w:spacing w:before="7"/>
              <w:rPr>
                <w:rFonts w:ascii="Arial"/>
                <w:b/>
                <w:sz w:val="26"/>
              </w:rPr>
            </w:pPr>
          </w:p>
          <w:p w14:paraId="3F1D6499" w14:textId="77777777" w:rsidR="00D82700" w:rsidRDefault="00D82700" w:rsidP="00F20316">
            <w:pPr>
              <w:pStyle w:val="TableParagraph"/>
              <w:spacing w:line="180" w:lineRule="exact"/>
              <w:ind w:left="467"/>
              <w:rPr>
                <w:rFonts w:ascii="Arial"/>
                <w:sz w:val="18"/>
              </w:rPr>
            </w:pPr>
            <w:r>
              <w:rPr>
                <w:rFonts w:ascii="Arial"/>
                <w:noProof/>
                <w:position w:val="-3"/>
                <w:sz w:val="18"/>
                <w:lang w:val="en-GB" w:eastAsia="en-GB"/>
              </w:rPr>
              <w:drawing>
                <wp:inline distT="0" distB="0" distL="0" distR="0" wp14:anchorId="6F618A9A" wp14:editId="0C0F36C0">
                  <wp:extent cx="114300" cy="114300"/>
                  <wp:effectExtent l="0" t="0" r="0" b="0"/>
                  <wp:docPr id="23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50" w:type="dxa"/>
          </w:tcPr>
          <w:p w14:paraId="65A90670" w14:textId="77777777" w:rsidR="00D82700" w:rsidRDefault="00D82700" w:rsidP="00F20316">
            <w:pPr>
              <w:pStyle w:val="TableParagraph"/>
              <w:spacing w:before="7"/>
              <w:rPr>
                <w:rFonts w:ascii="Arial"/>
                <w:b/>
                <w:sz w:val="26"/>
              </w:rPr>
            </w:pPr>
          </w:p>
          <w:p w14:paraId="2068F41F" w14:textId="77777777" w:rsidR="00D82700" w:rsidRDefault="00D82700" w:rsidP="00F20316">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3EB42084" wp14:editId="1F504DB5">
                  <wp:extent cx="114300" cy="114300"/>
                  <wp:effectExtent l="0" t="0" r="0" b="0"/>
                  <wp:docPr id="23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7569FF48" w14:textId="77777777" w:rsidR="00D82700" w:rsidRDefault="00D82700" w:rsidP="00F20316">
            <w:pPr>
              <w:pStyle w:val="TableParagraph"/>
              <w:spacing w:before="7"/>
              <w:rPr>
                <w:rFonts w:ascii="Arial"/>
                <w:b/>
                <w:sz w:val="26"/>
              </w:rPr>
            </w:pPr>
          </w:p>
          <w:p w14:paraId="7E736BEE" w14:textId="7952A847" w:rsidR="00D82700" w:rsidRDefault="0077484B" w:rsidP="00F20316">
            <w:pPr>
              <w:pStyle w:val="TableParagraph"/>
              <w:spacing w:line="180" w:lineRule="exact"/>
              <w:ind w:left="465"/>
              <w:rPr>
                <w:rFonts w:ascii="Arial"/>
                <w:sz w:val="18"/>
              </w:rPr>
            </w:pPr>
            <w:r>
              <w:rPr>
                <w:rFonts w:ascii="Arial"/>
                <w:noProof/>
                <w:position w:val="-3"/>
                <w:sz w:val="18"/>
                <w:lang w:val="en-GB" w:eastAsia="en-GB"/>
              </w:rPr>
              <w:t>X</w:t>
            </w:r>
          </w:p>
        </w:tc>
        <w:tc>
          <w:tcPr>
            <w:tcW w:w="1081" w:type="dxa"/>
          </w:tcPr>
          <w:p w14:paraId="2D00968D" w14:textId="77777777" w:rsidR="00D82700" w:rsidRDefault="00D82700" w:rsidP="00F20316">
            <w:pPr>
              <w:pStyle w:val="TableParagraph"/>
              <w:spacing w:before="7"/>
              <w:rPr>
                <w:rFonts w:ascii="Arial"/>
                <w:b/>
                <w:sz w:val="26"/>
              </w:rPr>
            </w:pPr>
          </w:p>
          <w:p w14:paraId="0A9C7A44" w14:textId="77777777" w:rsidR="00D82700" w:rsidRDefault="00D82700" w:rsidP="00F20316">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70DBECCD" wp14:editId="40187619">
                  <wp:extent cx="114300" cy="114300"/>
                  <wp:effectExtent l="0" t="0" r="0" b="0"/>
                  <wp:docPr id="23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7" w:type="dxa"/>
          </w:tcPr>
          <w:p w14:paraId="300B2A6B" w14:textId="77777777" w:rsidR="00D82700" w:rsidRDefault="00D82700" w:rsidP="00F20316">
            <w:pPr>
              <w:pStyle w:val="TableParagraph"/>
              <w:spacing w:before="7"/>
              <w:rPr>
                <w:rFonts w:ascii="Arial"/>
                <w:b/>
                <w:sz w:val="26"/>
              </w:rPr>
            </w:pPr>
          </w:p>
          <w:p w14:paraId="376708B0" w14:textId="77777777" w:rsidR="00D82700" w:rsidRDefault="00D82700" w:rsidP="00F20316">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05778037" wp14:editId="547E7D5E">
                  <wp:extent cx="114300" cy="114300"/>
                  <wp:effectExtent l="0" t="0" r="0" b="0"/>
                  <wp:docPr id="23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D82700" w14:paraId="7552F3B6" w14:textId="77777777" w:rsidTr="006D045B">
        <w:trPr>
          <w:trHeight w:val="1183"/>
          <w:jc w:val="center"/>
        </w:trPr>
        <w:tc>
          <w:tcPr>
            <w:tcW w:w="2998" w:type="dxa"/>
          </w:tcPr>
          <w:p w14:paraId="52D60AAA" w14:textId="77777777" w:rsidR="00D82700" w:rsidRDefault="00D82700" w:rsidP="00F20316">
            <w:pPr>
              <w:pStyle w:val="TableParagraph"/>
              <w:spacing w:before="69" w:line="199" w:lineRule="auto"/>
              <w:ind w:left="185" w:right="573"/>
              <w:rPr>
                <w:sz w:val="19"/>
              </w:rPr>
            </w:pPr>
            <w:r>
              <w:rPr>
                <w:w w:val="105"/>
                <w:sz w:val="19"/>
              </w:rPr>
              <w:t>1.4. Lack of understanding from and oversight by the supervisory authorities</w:t>
            </w:r>
          </w:p>
        </w:tc>
        <w:tc>
          <w:tcPr>
            <w:tcW w:w="1246" w:type="dxa"/>
          </w:tcPr>
          <w:p w14:paraId="7863F751" w14:textId="77777777" w:rsidR="00D82700" w:rsidRDefault="00D82700" w:rsidP="00F20316">
            <w:pPr>
              <w:pStyle w:val="TableParagraph"/>
              <w:rPr>
                <w:rFonts w:ascii="Arial"/>
                <w:b/>
                <w:sz w:val="20"/>
              </w:rPr>
            </w:pPr>
          </w:p>
          <w:p w14:paraId="2E13DD48" w14:textId="77777777" w:rsidR="00D82700" w:rsidRDefault="00D82700" w:rsidP="00F20316">
            <w:pPr>
              <w:pStyle w:val="TableParagraph"/>
              <w:spacing w:before="5"/>
              <w:rPr>
                <w:rFonts w:ascii="Arial"/>
                <w:b/>
                <w:sz w:val="19"/>
              </w:rPr>
            </w:pPr>
          </w:p>
          <w:p w14:paraId="4B1CDA90" w14:textId="77777777" w:rsidR="00D82700" w:rsidRDefault="00D82700"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39C729E" wp14:editId="73E5C75A">
                  <wp:extent cx="114300" cy="114300"/>
                  <wp:effectExtent l="0" t="0" r="0" b="0"/>
                  <wp:docPr id="23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2" w:type="dxa"/>
          </w:tcPr>
          <w:p w14:paraId="2CF9A420" w14:textId="77777777" w:rsidR="00D82700" w:rsidRDefault="00D82700" w:rsidP="00F20316">
            <w:pPr>
              <w:pStyle w:val="TableParagraph"/>
              <w:rPr>
                <w:rFonts w:ascii="Arial"/>
                <w:b/>
                <w:sz w:val="20"/>
              </w:rPr>
            </w:pPr>
          </w:p>
          <w:p w14:paraId="001A22FD" w14:textId="77777777" w:rsidR="00D82700" w:rsidRDefault="00D82700" w:rsidP="00F20316">
            <w:pPr>
              <w:pStyle w:val="TableParagraph"/>
              <w:spacing w:before="5"/>
              <w:rPr>
                <w:rFonts w:ascii="Arial"/>
                <w:b/>
                <w:sz w:val="19"/>
              </w:rPr>
            </w:pPr>
          </w:p>
          <w:p w14:paraId="05BD02B4" w14:textId="77777777" w:rsidR="00D82700" w:rsidRDefault="00D82700" w:rsidP="00F20316">
            <w:pPr>
              <w:pStyle w:val="TableParagraph"/>
              <w:spacing w:line="180" w:lineRule="exact"/>
              <w:ind w:left="467"/>
              <w:rPr>
                <w:rFonts w:ascii="Arial"/>
                <w:sz w:val="18"/>
              </w:rPr>
            </w:pPr>
            <w:r>
              <w:rPr>
                <w:rFonts w:ascii="Arial"/>
                <w:noProof/>
                <w:position w:val="-3"/>
                <w:sz w:val="18"/>
                <w:lang w:val="en-GB" w:eastAsia="en-GB"/>
              </w:rPr>
              <w:drawing>
                <wp:inline distT="0" distB="0" distL="0" distR="0" wp14:anchorId="511DAB20" wp14:editId="7A3AC5F6">
                  <wp:extent cx="114300" cy="114300"/>
                  <wp:effectExtent l="0" t="0" r="0" b="0"/>
                  <wp:docPr id="23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50" w:type="dxa"/>
          </w:tcPr>
          <w:p w14:paraId="3F1D6F1C" w14:textId="77777777" w:rsidR="00D82700" w:rsidRDefault="00D82700" w:rsidP="00F20316">
            <w:pPr>
              <w:pStyle w:val="TableParagraph"/>
              <w:rPr>
                <w:rFonts w:ascii="Arial"/>
                <w:b/>
                <w:sz w:val="20"/>
              </w:rPr>
            </w:pPr>
          </w:p>
          <w:p w14:paraId="673C6477" w14:textId="77777777" w:rsidR="00D82700" w:rsidRDefault="00D82700" w:rsidP="00F20316">
            <w:pPr>
              <w:pStyle w:val="TableParagraph"/>
              <w:spacing w:before="5"/>
              <w:rPr>
                <w:rFonts w:ascii="Arial"/>
                <w:b/>
                <w:sz w:val="19"/>
              </w:rPr>
            </w:pPr>
          </w:p>
          <w:p w14:paraId="12E71462" w14:textId="77777777" w:rsidR="00D82700" w:rsidRDefault="00D82700" w:rsidP="00F20316">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3BC95851" wp14:editId="364DEF45">
                  <wp:extent cx="114300" cy="114300"/>
                  <wp:effectExtent l="0" t="0" r="0" b="0"/>
                  <wp:docPr id="23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46059D56" w14:textId="77777777" w:rsidR="00D82700" w:rsidRDefault="00D82700" w:rsidP="00F20316">
            <w:pPr>
              <w:pStyle w:val="TableParagraph"/>
              <w:rPr>
                <w:rFonts w:ascii="Arial"/>
                <w:b/>
                <w:sz w:val="20"/>
              </w:rPr>
            </w:pPr>
          </w:p>
          <w:p w14:paraId="6071CCC0" w14:textId="77777777" w:rsidR="00D82700" w:rsidRDefault="00D82700" w:rsidP="00F20316">
            <w:pPr>
              <w:pStyle w:val="TableParagraph"/>
              <w:spacing w:before="5"/>
              <w:rPr>
                <w:rFonts w:ascii="Arial"/>
                <w:b/>
                <w:sz w:val="19"/>
              </w:rPr>
            </w:pPr>
          </w:p>
          <w:p w14:paraId="08C8B9CB" w14:textId="02D4EB9E" w:rsidR="00D82700" w:rsidRDefault="003D72B1" w:rsidP="00F20316">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5CF84341" wp14:editId="3B3905AE">
                  <wp:extent cx="114300" cy="114300"/>
                  <wp:effectExtent l="0" t="0" r="0" b="0"/>
                  <wp:docPr id="27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178C64A2" w14:textId="77777777" w:rsidR="00D82700" w:rsidRDefault="00D82700" w:rsidP="00F20316">
            <w:pPr>
              <w:pStyle w:val="TableParagraph"/>
              <w:rPr>
                <w:rFonts w:ascii="Arial"/>
                <w:b/>
                <w:sz w:val="20"/>
              </w:rPr>
            </w:pPr>
          </w:p>
          <w:p w14:paraId="7FFD640E" w14:textId="77777777" w:rsidR="00D82700" w:rsidRDefault="00D82700" w:rsidP="00F20316">
            <w:pPr>
              <w:pStyle w:val="TableParagraph"/>
              <w:spacing w:before="5"/>
              <w:rPr>
                <w:rFonts w:ascii="Arial"/>
                <w:b/>
                <w:sz w:val="19"/>
              </w:rPr>
            </w:pPr>
          </w:p>
          <w:p w14:paraId="36F458AF" w14:textId="3D5FC6C5" w:rsidR="00D82700" w:rsidRDefault="003D72B1" w:rsidP="00F20316">
            <w:pPr>
              <w:pStyle w:val="TableParagraph"/>
              <w:spacing w:line="180" w:lineRule="exact"/>
              <w:ind w:left="464"/>
              <w:rPr>
                <w:rFonts w:ascii="Arial"/>
                <w:sz w:val="18"/>
              </w:rPr>
            </w:pPr>
            <w:r>
              <w:rPr>
                <w:rFonts w:ascii="Arial"/>
                <w:noProof/>
                <w:position w:val="-3"/>
                <w:sz w:val="18"/>
                <w:lang w:val="en-GB" w:eastAsia="en-GB"/>
              </w:rPr>
              <w:t xml:space="preserve"> X</w:t>
            </w:r>
          </w:p>
        </w:tc>
        <w:tc>
          <w:tcPr>
            <w:tcW w:w="657" w:type="dxa"/>
          </w:tcPr>
          <w:p w14:paraId="56FB051E" w14:textId="77777777" w:rsidR="00D82700" w:rsidRDefault="00D82700" w:rsidP="00F20316">
            <w:pPr>
              <w:pStyle w:val="TableParagraph"/>
              <w:rPr>
                <w:rFonts w:ascii="Arial"/>
                <w:b/>
                <w:sz w:val="20"/>
              </w:rPr>
            </w:pPr>
          </w:p>
          <w:p w14:paraId="77003E0A" w14:textId="77777777" w:rsidR="00D82700" w:rsidRDefault="00D82700" w:rsidP="00F20316">
            <w:pPr>
              <w:pStyle w:val="TableParagraph"/>
              <w:spacing w:before="5"/>
              <w:rPr>
                <w:rFonts w:ascii="Arial"/>
                <w:b/>
                <w:sz w:val="19"/>
              </w:rPr>
            </w:pPr>
          </w:p>
          <w:p w14:paraId="5F590648" w14:textId="77777777" w:rsidR="00D82700" w:rsidRDefault="00D82700" w:rsidP="00F20316">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3BE90C71" wp14:editId="768F2FAD">
                  <wp:extent cx="114300" cy="114300"/>
                  <wp:effectExtent l="0" t="0" r="0" b="0"/>
                  <wp:docPr id="23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D82700" w14:paraId="5FF669A1" w14:textId="77777777" w:rsidTr="006D045B">
        <w:trPr>
          <w:trHeight w:val="596"/>
          <w:jc w:val="center"/>
        </w:trPr>
        <w:tc>
          <w:tcPr>
            <w:tcW w:w="2998" w:type="dxa"/>
          </w:tcPr>
          <w:p w14:paraId="0A5C7B1E" w14:textId="77777777" w:rsidR="00D82700" w:rsidRDefault="00D82700" w:rsidP="00F20316">
            <w:pPr>
              <w:pStyle w:val="TableParagraph"/>
              <w:spacing w:before="25"/>
              <w:ind w:left="185"/>
              <w:rPr>
                <w:sz w:val="19"/>
              </w:rPr>
            </w:pPr>
            <w:r>
              <w:rPr>
                <w:w w:val="105"/>
                <w:sz w:val="19"/>
              </w:rPr>
              <w:t>1.5. Concentration risks</w:t>
            </w:r>
          </w:p>
        </w:tc>
        <w:tc>
          <w:tcPr>
            <w:tcW w:w="1246" w:type="dxa"/>
          </w:tcPr>
          <w:p w14:paraId="18EBD3E4" w14:textId="77777777" w:rsidR="00D82700" w:rsidRDefault="00D82700" w:rsidP="00F20316">
            <w:pPr>
              <w:pStyle w:val="TableParagraph"/>
              <w:spacing w:before="8"/>
              <w:rPr>
                <w:rFonts w:ascii="Arial"/>
                <w:b/>
                <w:sz w:val="13"/>
              </w:rPr>
            </w:pPr>
          </w:p>
          <w:p w14:paraId="2A2C88D4" w14:textId="77777777" w:rsidR="00D82700" w:rsidRDefault="00D82700"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E24FDE0" wp14:editId="1C2C684C">
                  <wp:extent cx="114300" cy="114300"/>
                  <wp:effectExtent l="0" t="0" r="0" b="0"/>
                  <wp:docPr id="23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2" w:type="dxa"/>
          </w:tcPr>
          <w:p w14:paraId="0989ECEF" w14:textId="77777777" w:rsidR="00D82700" w:rsidRDefault="00D82700" w:rsidP="00F20316">
            <w:pPr>
              <w:pStyle w:val="TableParagraph"/>
              <w:spacing w:before="8"/>
              <w:rPr>
                <w:rFonts w:ascii="Arial"/>
                <w:b/>
                <w:sz w:val="13"/>
              </w:rPr>
            </w:pPr>
          </w:p>
          <w:p w14:paraId="0B533DFB" w14:textId="77777777" w:rsidR="00D82700" w:rsidRDefault="00D82700" w:rsidP="00F20316">
            <w:pPr>
              <w:pStyle w:val="TableParagraph"/>
              <w:spacing w:line="180" w:lineRule="exact"/>
              <w:ind w:left="467"/>
              <w:rPr>
                <w:rFonts w:ascii="Arial"/>
                <w:sz w:val="18"/>
              </w:rPr>
            </w:pPr>
            <w:r>
              <w:rPr>
                <w:rFonts w:ascii="Arial"/>
                <w:noProof/>
                <w:position w:val="-3"/>
                <w:sz w:val="18"/>
                <w:lang w:val="en-GB" w:eastAsia="en-GB"/>
              </w:rPr>
              <w:drawing>
                <wp:inline distT="0" distB="0" distL="0" distR="0" wp14:anchorId="6EA9F111" wp14:editId="089201A1">
                  <wp:extent cx="114300" cy="114300"/>
                  <wp:effectExtent l="0" t="0" r="0" b="0"/>
                  <wp:docPr id="23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50" w:type="dxa"/>
          </w:tcPr>
          <w:p w14:paraId="137D7FA8" w14:textId="77777777" w:rsidR="00D82700" w:rsidRDefault="00D82700" w:rsidP="00F20316">
            <w:pPr>
              <w:pStyle w:val="TableParagraph"/>
              <w:spacing w:before="8"/>
              <w:rPr>
                <w:rFonts w:ascii="Arial"/>
                <w:b/>
                <w:sz w:val="13"/>
              </w:rPr>
            </w:pPr>
          </w:p>
          <w:p w14:paraId="50970FB8" w14:textId="733222C7" w:rsidR="00D82700" w:rsidRDefault="00D82700" w:rsidP="007F3CC8">
            <w:pPr>
              <w:pStyle w:val="TableParagraph"/>
              <w:numPr>
                <w:ilvl w:val="0"/>
                <w:numId w:val="38"/>
              </w:numPr>
              <w:spacing w:line="180" w:lineRule="exact"/>
              <w:rPr>
                <w:rFonts w:ascii="Arial"/>
                <w:sz w:val="18"/>
              </w:rPr>
            </w:pPr>
          </w:p>
        </w:tc>
        <w:tc>
          <w:tcPr>
            <w:tcW w:w="1081" w:type="dxa"/>
          </w:tcPr>
          <w:p w14:paraId="4E42EED1" w14:textId="77777777" w:rsidR="00D82700" w:rsidRDefault="00D82700" w:rsidP="00F20316">
            <w:pPr>
              <w:pStyle w:val="TableParagraph"/>
              <w:spacing w:before="8"/>
              <w:rPr>
                <w:rFonts w:ascii="Arial"/>
                <w:b/>
                <w:sz w:val="13"/>
              </w:rPr>
            </w:pPr>
          </w:p>
          <w:p w14:paraId="78D0B41E" w14:textId="656D2321" w:rsidR="00D82700" w:rsidRDefault="00590105" w:rsidP="00F20316">
            <w:pPr>
              <w:pStyle w:val="TableParagraph"/>
              <w:spacing w:line="180" w:lineRule="exact"/>
              <w:ind w:left="465"/>
              <w:rPr>
                <w:rFonts w:ascii="Arial"/>
                <w:sz w:val="18"/>
              </w:rPr>
            </w:pPr>
            <w:r>
              <w:rPr>
                <w:rFonts w:ascii="Arial"/>
                <w:noProof/>
                <w:position w:val="-3"/>
                <w:sz w:val="18"/>
                <w:lang w:val="en-GB" w:eastAsia="en-GB"/>
              </w:rPr>
              <w:t>X</w:t>
            </w:r>
            <w:r w:rsidDel="008F0F93">
              <w:rPr>
                <w:rFonts w:ascii="Arial"/>
                <w:noProof/>
                <w:position w:val="-3"/>
                <w:sz w:val="18"/>
                <w:lang w:val="en-GB" w:eastAsia="en-GB"/>
              </w:rPr>
              <w:t xml:space="preserve"> </w:t>
            </w:r>
          </w:p>
        </w:tc>
        <w:tc>
          <w:tcPr>
            <w:tcW w:w="1081" w:type="dxa"/>
          </w:tcPr>
          <w:p w14:paraId="799AEE30" w14:textId="77777777" w:rsidR="00D82700" w:rsidRDefault="00D82700" w:rsidP="00F20316">
            <w:pPr>
              <w:pStyle w:val="TableParagraph"/>
              <w:spacing w:before="8"/>
              <w:rPr>
                <w:rFonts w:ascii="Arial"/>
                <w:b/>
                <w:sz w:val="13"/>
              </w:rPr>
            </w:pPr>
          </w:p>
          <w:p w14:paraId="47B09B0D" w14:textId="3D5F8AFF" w:rsidR="00D82700" w:rsidRDefault="00590105" w:rsidP="00F20316">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72D82871" wp14:editId="6994621F">
                  <wp:extent cx="114300" cy="114300"/>
                  <wp:effectExtent l="0" t="0" r="0" b="0"/>
                  <wp:docPr id="276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7" w:type="dxa"/>
          </w:tcPr>
          <w:p w14:paraId="5D39260D" w14:textId="77777777" w:rsidR="00D82700" w:rsidRDefault="00D82700" w:rsidP="00F20316">
            <w:pPr>
              <w:pStyle w:val="TableParagraph"/>
              <w:spacing w:before="8"/>
              <w:rPr>
                <w:rFonts w:ascii="Arial"/>
                <w:b/>
                <w:sz w:val="13"/>
              </w:rPr>
            </w:pPr>
          </w:p>
          <w:p w14:paraId="7475A2E0" w14:textId="77777777" w:rsidR="00D82700" w:rsidRDefault="00D82700" w:rsidP="00F20316">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6101910C" wp14:editId="14265E5E">
                  <wp:extent cx="114300" cy="114300"/>
                  <wp:effectExtent l="0" t="0" r="0" b="0"/>
                  <wp:docPr id="23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D82700" w14:paraId="4A57431C" w14:textId="77777777" w:rsidTr="006D045B">
        <w:trPr>
          <w:trHeight w:val="597"/>
          <w:jc w:val="center"/>
        </w:trPr>
        <w:tc>
          <w:tcPr>
            <w:tcW w:w="2998" w:type="dxa"/>
          </w:tcPr>
          <w:p w14:paraId="0B3F21E1" w14:textId="77777777" w:rsidR="00D82700" w:rsidRDefault="00D82700" w:rsidP="00F20316">
            <w:pPr>
              <w:pStyle w:val="TableParagraph"/>
              <w:spacing w:before="25"/>
              <w:ind w:left="185"/>
              <w:rPr>
                <w:sz w:val="19"/>
              </w:rPr>
            </w:pPr>
            <w:r>
              <w:rPr>
                <w:w w:val="105"/>
                <w:sz w:val="19"/>
              </w:rPr>
              <w:t>1.6. Other</w:t>
            </w:r>
          </w:p>
        </w:tc>
        <w:tc>
          <w:tcPr>
            <w:tcW w:w="1246" w:type="dxa"/>
          </w:tcPr>
          <w:p w14:paraId="100366CB" w14:textId="77777777" w:rsidR="00D82700" w:rsidRDefault="00D82700" w:rsidP="00F20316">
            <w:pPr>
              <w:pStyle w:val="TableParagraph"/>
              <w:spacing w:before="8"/>
              <w:rPr>
                <w:rFonts w:ascii="Arial"/>
                <w:b/>
                <w:sz w:val="13"/>
              </w:rPr>
            </w:pPr>
          </w:p>
          <w:p w14:paraId="6D8B3A1B" w14:textId="77777777" w:rsidR="00D82700" w:rsidRDefault="00D82700"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EFEE9EF" wp14:editId="346128A0">
                  <wp:extent cx="114300" cy="114300"/>
                  <wp:effectExtent l="0" t="0" r="0" b="0"/>
                  <wp:docPr id="23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2" w:type="dxa"/>
          </w:tcPr>
          <w:p w14:paraId="11411F23" w14:textId="77777777" w:rsidR="00D82700" w:rsidRDefault="00D82700" w:rsidP="00F20316">
            <w:pPr>
              <w:pStyle w:val="TableParagraph"/>
              <w:spacing w:before="8"/>
              <w:rPr>
                <w:rFonts w:ascii="Arial"/>
                <w:b/>
                <w:sz w:val="13"/>
              </w:rPr>
            </w:pPr>
          </w:p>
          <w:p w14:paraId="0A5448FA" w14:textId="77777777" w:rsidR="00D82700" w:rsidRDefault="00D82700" w:rsidP="00F20316">
            <w:pPr>
              <w:pStyle w:val="TableParagraph"/>
              <w:spacing w:line="180" w:lineRule="exact"/>
              <w:ind w:left="467"/>
              <w:rPr>
                <w:rFonts w:ascii="Arial"/>
                <w:sz w:val="18"/>
              </w:rPr>
            </w:pPr>
            <w:r>
              <w:rPr>
                <w:rFonts w:ascii="Arial"/>
                <w:noProof/>
                <w:position w:val="-3"/>
                <w:sz w:val="18"/>
                <w:lang w:val="en-GB" w:eastAsia="en-GB"/>
              </w:rPr>
              <w:drawing>
                <wp:inline distT="0" distB="0" distL="0" distR="0" wp14:anchorId="0E6061D0" wp14:editId="22951A51">
                  <wp:extent cx="114300" cy="114300"/>
                  <wp:effectExtent l="0" t="0" r="0" b="0"/>
                  <wp:docPr id="23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50" w:type="dxa"/>
          </w:tcPr>
          <w:p w14:paraId="5E804854" w14:textId="77777777" w:rsidR="00D82700" w:rsidRDefault="00D82700" w:rsidP="00F20316">
            <w:pPr>
              <w:pStyle w:val="TableParagraph"/>
              <w:spacing w:before="8"/>
              <w:rPr>
                <w:rFonts w:ascii="Arial"/>
                <w:b/>
                <w:sz w:val="13"/>
              </w:rPr>
            </w:pPr>
          </w:p>
          <w:p w14:paraId="7A63B07A" w14:textId="77777777" w:rsidR="00D82700" w:rsidRDefault="00D82700" w:rsidP="00F20316">
            <w:pPr>
              <w:pStyle w:val="TableParagraph"/>
              <w:spacing w:line="180" w:lineRule="exact"/>
              <w:ind w:left="449"/>
              <w:rPr>
                <w:rFonts w:ascii="Arial"/>
                <w:sz w:val="18"/>
              </w:rPr>
            </w:pPr>
            <w:r>
              <w:rPr>
                <w:rFonts w:ascii="Arial"/>
                <w:noProof/>
                <w:position w:val="-3"/>
                <w:sz w:val="18"/>
                <w:lang w:val="en-GB" w:eastAsia="en-GB"/>
              </w:rPr>
              <w:drawing>
                <wp:inline distT="0" distB="0" distL="0" distR="0" wp14:anchorId="4D1F6047" wp14:editId="47BD6F3D">
                  <wp:extent cx="114300" cy="114300"/>
                  <wp:effectExtent l="0" t="0" r="0" b="0"/>
                  <wp:docPr id="23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5D764316" w14:textId="77777777" w:rsidR="00D82700" w:rsidRDefault="00D82700" w:rsidP="00F20316">
            <w:pPr>
              <w:pStyle w:val="TableParagraph"/>
              <w:spacing w:before="8"/>
              <w:rPr>
                <w:rFonts w:ascii="Arial"/>
                <w:b/>
                <w:sz w:val="13"/>
              </w:rPr>
            </w:pPr>
          </w:p>
          <w:p w14:paraId="1CF88C1E" w14:textId="77777777" w:rsidR="00D82700" w:rsidRDefault="00D82700" w:rsidP="00F20316">
            <w:pPr>
              <w:pStyle w:val="TableParagraph"/>
              <w:spacing w:line="180" w:lineRule="exact"/>
              <w:ind w:left="465"/>
              <w:rPr>
                <w:rFonts w:ascii="Arial"/>
                <w:sz w:val="18"/>
              </w:rPr>
            </w:pPr>
            <w:r>
              <w:rPr>
                <w:rFonts w:ascii="Arial"/>
                <w:noProof/>
                <w:position w:val="-3"/>
                <w:sz w:val="18"/>
                <w:lang w:val="en-GB" w:eastAsia="en-GB"/>
              </w:rPr>
              <w:drawing>
                <wp:inline distT="0" distB="0" distL="0" distR="0" wp14:anchorId="49616322" wp14:editId="3824DF60">
                  <wp:extent cx="114300" cy="114300"/>
                  <wp:effectExtent l="0" t="0" r="0" b="0"/>
                  <wp:docPr id="23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81" w:type="dxa"/>
          </w:tcPr>
          <w:p w14:paraId="06242EAC" w14:textId="77777777" w:rsidR="00D82700" w:rsidRDefault="00D82700" w:rsidP="00F20316">
            <w:pPr>
              <w:pStyle w:val="TableParagraph"/>
              <w:spacing w:before="8"/>
              <w:rPr>
                <w:rFonts w:ascii="Arial"/>
                <w:b/>
                <w:sz w:val="13"/>
              </w:rPr>
            </w:pPr>
          </w:p>
          <w:p w14:paraId="351F32CF" w14:textId="77777777" w:rsidR="00D82700" w:rsidRDefault="00D82700" w:rsidP="00F20316">
            <w:pPr>
              <w:pStyle w:val="TableParagraph"/>
              <w:spacing w:line="180" w:lineRule="exact"/>
              <w:ind w:left="464"/>
              <w:rPr>
                <w:rFonts w:ascii="Arial"/>
                <w:sz w:val="18"/>
              </w:rPr>
            </w:pPr>
            <w:r>
              <w:rPr>
                <w:rFonts w:ascii="Arial"/>
                <w:noProof/>
                <w:position w:val="-3"/>
                <w:sz w:val="18"/>
                <w:lang w:val="en-GB" w:eastAsia="en-GB"/>
              </w:rPr>
              <w:drawing>
                <wp:inline distT="0" distB="0" distL="0" distR="0" wp14:anchorId="799A3F69" wp14:editId="2D7FA1AC">
                  <wp:extent cx="114300" cy="114300"/>
                  <wp:effectExtent l="0" t="0" r="0" b="0"/>
                  <wp:docPr id="23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7" w:type="dxa"/>
          </w:tcPr>
          <w:p w14:paraId="08ECFD21" w14:textId="77777777" w:rsidR="00D82700" w:rsidRDefault="00D82700" w:rsidP="00F20316">
            <w:pPr>
              <w:pStyle w:val="TableParagraph"/>
              <w:spacing w:before="8"/>
              <w:rPr>
                <w:rFonts w:ascii="Arial"/>
                <w:b/>
                <w:sz w:val="13"/>
              </w:rPr>
            </w:pPr>
          </w:p>
          <w:p w14:paraId="06B78ADF" w14:textId="77777777" w:rsidR="00D82700" w:rsidRDefault="00D82700" w:rsidP="00F20316">
            <w:pPr>
              <w:pStyle w:val="TableParagraph"/>
              <w:spacing w:line="180" w:lineRule="exact"/>
              <w:ind w:left="240"/>
              <w:rPr>
                <w:rFonts w:ascii="Arial"/>
                <w:sz w:val="18"/>
              </w:rPr>
            </w:pPr>
            <w:r>
              <w:rPr>
                <w:rFonts w:ascii="Arial"/>
                <w:noProof/>
                <w:position w:val="-3"/>
                <w:sz w:val="18"/>
                <w:lang w:val="en-GB" w:eastAsia="en-GB"/>
              </w:rPr>
              <w:drawing>
                <wp:inline distT="0" distB="0" distL="0" distR="0" wp14:anchorId="146A0726" wp14:editId="42A0F11B">
                  <wp:extent cx="114300" cy="114300"/>
                  <wp:effectExtent l="0" t="0" r="0" b="0"/>
                  <wp:docPr id="23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1098F838" w14:textId="5448E064" w:rsidR="0077484B" w:rsidRPr="006D045B" w:rsidRDefault="0077484B" w:rsidP="0077484B">
      <w:pPr>
        <w:spacing w:before="276" w:line="232" w:lineRule="auto"/>
        <w:ind w:right="-8"/>
        <w:jc w:val="both"/>
        <w:rPr>
          <w:rFonts w:ascii="Calibri" w:hAnsi="Calibri" w:cs="Calibri"/>
          <w:b/>
        </w:rPr>
      </w:pPr>
      <w:r w:rsidRPr="006D045B">
        <w:rPr>
          <w:rFonts w:ascii="Calibri" w:hAnsi="Calibri" w:cs="Calibri"/>
          <w:b/>
        </w:rPr>
        <w:t>Please specify what other main challenge(s) or risk(s) the increased use of AI- based models is likely to raise for the financial industry:</w:t>
      </w:r>
    </w:p>
    <w:p w14:paraId="5121D4A9" w14:textId="6CA240F9" w:rsidR="00E9385F" w:rsidRPr="0077484B" w:rsidRDefault="0077484B" w:rsidP="0077484B">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Based on the EBA report on Big Data and Advanced Analytics</w:t>
      </w:r>
      <w:r w:rsidR="006D045B">
        <w:rPr>
          <w:rFonts w:ascii="Calibri" w:eastAsiaTheme="minorHAnsi" w:hAnsi="Calibri" w:cs="Calibri"/>
          <w:b w:val="0"/>
          <w:bCs w:val="0"/>
          <w:color w:val="000000"/>
          <w:sz w:val="22"/>
          <w:szCs w:val="22"/>
          <w:lang w:val="en-GB"/>
        </w:rPr>
        <w:t>,</w:t>
      </w:r>
      <w:r w:rsidRPr="0077484B">
        <w:rPr>
          <w:rStyle w:val="FootnoteReference"/>
          <w:rFonts w:ascii="Calibri" w:eastAsiaTheme="minorHAnsi" w:hAnsi="Calibri" w:cs="Calibri"/>
          <w:b w:val="0"/>
          <w:bCs w:val="0"/>
          <w:color w:val="000000"/>
          <w:sz w:val="22"/>
          <w:szCs w:val="22"/>
          <w:lang w:val="en-GB"/>
        </w:rPr>
        <w:footnoteReference w:id="30"/>
      </w:r>
      <w:r w:rsidR="00D2770E">
        <w:rPr>
          <w:rFonts w:ascii="Calibri" w:eastAsiaTheme="minorHAnsi" w:hAnsi="Calibri" w:cs="Calibri"/>
          <w:b w:val="0"/>
          <w:bCs w:val="0"/>
          <w:color w:val="000000"/>
          <w:sz w:val="22"/>
          <w:szCs w:val="22"/>
          <w:lang w:val="en-GB"/>
        </w:rPr>
        <w:t xml:space="preserve"> the EBA notes that the increased use of AI</w:t>
      </w:r>
      <w:r w:rsidRPr="0077484B">
        <w:rPr>
          <w:rFonts w:ascii="Calibri" w:eastAsiaTheme="minorHAnsi" w:hAnsi="Calibri" w:cs="Calibri"/>
          <w:b w:val="0"/>
          <w:bCs w:val="0"/>
          <w:color w:val="000000"/>
          <w:sz w:val="22"/>
          <w:szCs w:val="22"/>
          <w:lang w:val="en-GB"/>
        </w:rPr>
        <w:t xml:space="preserve"> based models can raise the following main challenges or risks for the financial industry</w:t>
      </w:r>
      <w:r w:rsidR="00E9385F">
        <w:rPr>
          <w:rFonts w:ascii="Calibri" w:eastAsiaTheme="minorHAnsi" w:hAnsi="Calibri" w:cs="Calibri"/>
          <w:b w:val="0"/>
          <w:bCs w:val="0"/>
          <w:color w:val="000000"/>
          <w:sz w:val="22"/>
          <w:szCs w:val="22"/>
          <w:lang w:val="en-GB"/>
        </w:rPr>
        <w:t xml:space="preserve"> (where many can be addressed by acquiring necessary </w:t>
      </w:r>
      <w:r w:rsidR="00E9385F" w:rsidRPr="00E9385F">
        <w:rPr>
          <w:rFonts w:ascii="Calibri" w:eastAsiaTheme="minorHAnsi" w:hAnsi="Calibri" w:cs="Calibri"/>
          <w:b w:val="0"/>
          <w:bCs w:val="0"/>
          <w:color w:val="000000"/>
          <w:sz w:val="22"/>
          <w:szCs w:val="22"/>
          <w:lang w:val="en-GB"/>
        </w:rPr>
        <w:t xml:space="preserve">skills and </w:t>
      </w:r>
      <w:r w:rsidR="00E9385F">
        <w:rPr>
          <w:rFonts w:ascii="Calibri" w:eastAsiaTheme="minorHAnsi" w:hAnsi="Calibri" w:cs="Calibri"/>
          <w:b w:val="0"/>
          <w:bCs w:val="0"/>
          <w:color w:val="000000"/>
          <w:sz w:val="22"/>
          <w:szCs w:val="22"/>
          <w:lang w:val="en-GB"/>
        </w:rPr>
        <w:t xml:space="preserve">establishing appropriate </w:t>
      </w:r>
      <w:r w:rsidR="00E9385F" w:rsidRPr="00E9385F">
        <w:rPr>
          <w:rFonts w:ascii="Calibri" w:eastAsiaTheme="minorHAnsi" w:hAnsi="Calibri" w:cs="Calibri"/>
          <w:b w:val="0"/>
          <w:bCs w:val="0"/>
          <w:color w:val="000000"/>
          <w:sz w:val="22"/>
          <w:szCs w:val="22"/>
          <w:lang w:val="en-GB"/>
        </w:rPr>
        <w:t>governance</w:t>
      </w:r>
      <w:r w:rsidR="00E9385F">
        <w:rPr>
          <w:rFonts w:ascii="Calibri" w:eastAsiaTheme="minorHAnsi" w:hAnsi="Calibri" w:cs="Calibri"/>
          <w:b w:val="0"/>
          <w:bCs w:val="0"/>
          <w:color w:val="000000"/>
          <w:sz w:val="22"/>
          <w:szCs w:val="22"/>
          <w:lang w:val="en-GB"/>
        </w:rPr>
        <w:t>):</w:t>
      </w:r>
    </w:p>
    <w:p w14:paraId="190B76F6" w14:textId="10DEA697" w:rsidR="008C7A3B" w:rsidRPr="00760E88" w:rsidRDefault="0077484B" w:rsidP="00242415">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sidRPr="003755A3">
        <w:rPr>
          <w:rFonts w:ascii="Calibri" w:eastAsiaTheme="minorHAnsi" w:hAnsi="Calibri" w:cs="Calibri"/>
          <w:b w:val="0"/>
          <w:bCs w:val="0"/>
          <w:color w:val="000000"/>
          <w:sz w:val="22"/>
          <w:szCs w:val="22"/>
          <w:lang w:val="en-GB"/>
        </w:rPr>
        <w:t xml:space="preserve">The increased use of AI-based models would probably bring wider use of complex and sophisticated AI-based models, which could be </w:t>
      </w:r>
      <w:r w:rsidRPr="003755A3">
        <w:rPr>
          <w:rFonts w:ascii="Calibri" w:eastAsiaTheme="minorHAnsi" w:hAnsi="Calibri" w:cs="Calibri"/>
          <w:bCs w:val="0"/>
          <w:color w:val="000000"/>
          <w:sz w:val="22"/>
          <w:szCs w:val="22"/>
          <w:lang w:val="en-GB"/>
        </w:rPr>
        <w:t>more difficult to understand and explain</w:t>
      </w:r>
      <w:r w:rsidR="00FB1738">
        <w:rPr>
          <w:rFonts w:ascii="Calibri" w:eastAsiaTheme="minorHAnsi" w:hAnsi="Calibri" w:cs="Calibri"/>
          <w:bCs w:val="0"/>
          <w:color w:val="000000"/>
          <w:sz w:val="22"/>
          <w:szCs w:val="22"/>
          <w:lang w:val="en-GB"/>
        </w:rPr>
        <w:t xml:space="preserve"> </w:t>
      </w:r>
      <w:r w:rsidR="00FB1738" w:rsidRPr="00565044">
        <w:rPr>
          <w:rFonts w:ascii="Calibri" w:eastAsiaTheme="minorHAnsi" w:hAnsi="Calibri" w:cs="Calibri"/>
          <w:b w:val="0"/>
          <w:bCs w:val="0"/>
          <w:color w:val="000000"/>
          <w:sz w:val="22"/>
          <w:szCs w:val="22"/>
          <w:lang w:val="en-GB"/>
        </w:rPr>
        <w:t xml:space="preserve">(maybe even for the </w:t>
      </w:r>
      <w:r w:rsidR="00FB1738">
        <w:rPr>
          <w:rFonts w:ascii="Calibri" w:eastAsiaTheme="minorHAnsi" w:hAnsi="Calibri" w:cs="Calibri"/>
          <w:b w:val="0"/>
          <w:bCs w:val="0"/>
          <w:color w:val="000000"/>
          <w:sz w:val="22"/>
          <w:szCs w:val="22"/>
          <w:lang w:val="en-GB"/>
        </w:rPr>
        <w:t xml:space="preserve">AI </w:t>
      </w:r>
      <w:r w:rsidR="00FB1738" w:rsidRPr="00565044">
        <w:rPr>
          <w:rFonts w:ascii="Calibri" w:eastAsiaTheme="minorHAnsi" w:hAnsi="Calibri" w:cs="Calibri"/>
          <w:b w:val="0"/>
          <w:bCs w:val="0"/>
          <w:color w:val="000000"/>
          <w:sz w:val="22"/>
          <w:szCs w:val="22"/>
          <w:lang w:val="en-GB"/>
        </w:rPr>
        <w:t>developers)</w:t>
      </w:r>
      <w:r w:rsidR="003755A3" w:rsidRPr="00FB1738">
        <w:rPr>
          <w:rFonts w:ascii="Calibri" w:eastAsiaTheme="minorHAnsi" w:hAnsi="Calibri" w:cs="Calibri"/>
          <w:b w:val="0"/>
          <w:bCs w:val="0"/>
          <w:color w:val="000000"/>
          <w:sz w:val="22"/>
          <w:szCs w:val="22"/>
          <w:lang w:val="en-GB"/>
        </w:rPr>
        <w:t>. Their</w:t>
      </w:r>
      <w:r w:rsidR="003755A3" w:rsidRPr="003755A3">
        <w:rPr>
          <w:rFonts w:ascii="Calibri" w:eastAsiaTheme="minorHAnsi" w:hAnsi="Calibri" w:cs="Calibri"/>
          <w:b w:val="0"/>
          <w:bCs w:val="0"/>
          <w:color w:val="000000"/>
          <w:sz w:val="22"/>
          <w:szCs w:val="22"/>
          <w:lang w:val="en-GB"/>
        </w:rPr>
        <w:t xml:space="preserve"> applications may not have deterministic behaviour and their outputs will be extracted based on a probabilistic measure, which might harm institutions themselves, the customers and/or other relevant stakeholders. Nevertheless, the ongoing academic research and appropriate supervisory guidance could</w:t>
      </w:r>
      <w:r w:rsidR="003755A3">
        <w:rPr>
          <w:rFonts w:ascii="Calibri" w:eastAsiaTheme="minorHAnsi" w:hAnsi="Calibri" w:cs="Calibri"/>
          <w:b w:val="0"/>
          <w:bCs w:val="0"/>
          <w:color w:val="000000"/>
          <w:sz w:val="22"/>
          <w:szCs w:val="22"/>
          <w:lang w:val="en-GB"/>
        </w:rPr>
        <w:t xml:space="preserve"> alleviate </w:t>
      </w:r>
      <w:r w:rsidR="003755A3" w:rsidRPr="003755A3">
        <w:rPr>
          <w:rFonts w:ascii="Calibri" w:eastAsiaTheme="minorHAnsi" w:hAnsi="Calibri" w:cs="Calibri"/>
          <w:b w:val="0"/>
          <w:bCs w:val="0"/>
          <w:color w:val="000000"/>
          <w:sz w:val="22"/>
          <w:szCs w:val="22"/>
          <w:lang w:val="en-GB"/>
        </w:rPr>
        <w:t>th</w:t>
      </w:r>
      <w:r w:rsidR="003755A3">
        <w:rPr>
          <w:rFonts w:ascii="Calibri" w:eastAsiaTheme="minorHAnsi" w:hAnsi="Calibri" w:cs="Calibri"/>
          <w:b w:val="0"/>
          <w:bCs w:val="0"/>
          <w:color w:val="000000"/>
          <w:sz w:val="22"/>
          <w:szCs w:val="22"/>
          <w:lang w:val="en-GB"/>
        </w:rPr>
        <w:t xml:space="preserve">ese challenges </w:t>
      </w:r>
      <w:r w:rsidR="003755A3" w:rsidRPr="003755A3">
        <w:rPr>
          <w:rFonts w:ascii="Calibri" w:eastAsiaTheme="minorHAnsi" w:hAnsi="Calibri" w:cs="Calibri"/>
          <w:b w:val="0"/>
          <w:bCs w:val="0"/>
          <w:color w:val="000000"/>
          <w:sz w:val="22"/>
          <w:szCs w:val="22"/>
          <w:lang w:val="en-GB"/>
        </w:rPr>
        <w:t xml:space="preserve">in the </w:t>
      </w:r>
      <w:r w:rsidR="003755A3">
        <w:rPr>
          <w:rFonts w:ascii="Calibri" w:eastAsiaTheme="minorHAnsi" w:hAnsi="Calibri" w:cs="Calibri"/>
          <w:b w:val="0"/>
          <w:bCs w:val="0"/>
          <w:color w:val="000000"/>
          <w:sz w:val="22"/>
          <w:szCs w:val="22"/>
          <w:lang w:val="en-GB"/>
        </w:rPr>
        <w:t>medium-</w:t>
      </w:r>
      <w:r w:rsidR="003755A3" w:rsidRPr="003755A3">
        <w:rPr>
          <w:rFonts w:ascii="Calibri" w:eastAsiaTheme="minorHAnsi" w:hAnsi="Calibri" w:cs="Calibri"/>
          <w:b w:val="0"/>
          <w:bCs w:val="0"/>
          <w:color w:val="000000"/>
          <w:sz w:val="22"/>
          <w:szCs w:val="22"/>
          <w:lang w:val="en-GB"/>
        </w:rPr>
        <w:t xml:space="preserve">long term. </w:t>
      </w:r>
    </w:p>
    <w:p w14:paraId="314F9B41" w14:textId="0DC19B9B" w:rsidR="0077484B" w:rsidRPr="0077484B" w:rsidRDefault="000C0DA8" w:rsidP="0077484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Pr>
          <w:rFonts w:ascii="Calibri" w:eastAsiaTheme="minorHAnsi" w:hAnsi="Calibri" w:cs="Calibri"/>
          <w:b w:val="0"/>
          <w:bCs w:val="0"/>
          <w:color w:val="000000"/>
          <w:sz w:val="22"/>
          <w:szCs w:val="22"/>
          <w:lang w:val="en-GB"/>
        </w:rPr>
        <w:t>Potential challenge</w:t>
      </w:r>
      <w:r w:rsidR="0077484B" w:rsidRPr="0077484B">
        <w:rPr>
          <w:rFonts w:ascii="Calibri" w:eastAsiaTheme="minorHAnsi" w:hAnsi="Calibri" w:cs="Calibri"/>
          <w:b w:val="0"/>
          <w:bCs w:val="0"/>
          <w:color w:val="000000"/>
          <w:sz w:val="22"/>
          <w:szCs w:val="22"/>
          <w:lang w:val="en-GB"/>
        </w:rPr>
        <w:t xml:space="preserve"> on the </w:t>
      </w:r>
      <w:r w:rsidR="0077484B" w:rsidRPr="0077484B">
        <w:rPr>
          <w:rFonts w:ascii="Calibri" w:eastAsiaTheme="minorHAnsi" w:hAnsi="Calibri" w:cs="Calibri"/>
          <w:bCs w:val="0"/>
          <w:color w:val="000000"/>
          <w:sz w:val="22"/>
          <w:szCs w:val="22"/>
          <w:lang w:val="en-GB"/>
        </w:rPr>
        <w:t>integration of AI-based solutions with existing legacy systems</w:t>
      </w:r>
      <w:r w:rsidR="0077484B" w:rsidRPr="0077484B">
        <w:rPr>
          <w:rFonts w:ascii="Calibri" w:eastAsiaTheme="minorHAnsi" w:hAnsi="Calibri" w:cs="Calibri"/>
          <w:b w:val="0"/>
          <w:bCs w:val="0"/>
          <w:color w:val="000000"/>
          <w:sz w:val="22"/>
          <w:szCs w:val="22"/>
          <w:lang w:val="en-GB"/>
        </w:rPr>
        <w:t xml:space="preserve"> that may raise ICT risks, such as risks to data security and protection, data quality, change management, and business continuity and resilience concerns.</w:t>
      </w:r>
    </w:p>
    <w:p w14:paraId="329E1F6C" w14:textId="77777777" w:rsidR="008C7A3B" w:rsidRPr="008C7A3B" w:rsidRDefault="008C7A3B" w:rsidP="008C7A3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 xml:space="preserve">Another challenge is that AI-based models might result in </w:t>
      </w:r>
      <w:r w:rsidRPr="0077484B">
        <w:rPr>
          <w:rFonts w:ascii="Calibri" w:eastAsiaTheme="minorHAnsi" w:hAnsi="Calibri" w:cs="Calibri"/>
          <w:bCs w:val="0"/>
          <w:color w:val="000000"/>
          <w:sz w:val="22"/>
          <w:szCs w:val="22"/>
          <w:lang w:val="en-GB"/>
        </w:rPr>
        <w:t>potential misconduct when financial institutions do not properly train their employees</w:t>
      </w:r>
      <w:r w:rsidRPr="0077484B">
        <w:rPr>
          <w:rFonts w:ascii="Calibri" w:eastAsiaTheme="minorHAnsi" w:hAnsi="Calibri" w:cs="Calibri"/>
          <w:b w:val="0"/>
          <w:bCs w:val="0"/>
          <w:color w:val="000000"/>
          <w:sz w:val="22"/>
          <w:szCs w:val="22"/>
          <w:lang w:val="en-GB"/>
        </w:rPr>
        <w:t xml:space="preserve"> (in all three lines of</w:t>
      </w:r>
      <w:r>
        <w:rPr>
          <w:rFonts w:ascii="Calibri" w:eastAsiaTheme="minorHAnsi" w:hAnsi="Calibri" w:cs="Calibri"/>
          <w:b w:val="0"/>
          <w:bCs w:val="0"/>
          <w:color w:val="000000"/>
          <w:sz w:val="22"/>
          <w:szCs w:val="22"/>
          <w:lang w:val="en-GB"/>
        </w:rPr>
        <w:t xml:space="preserve"> defence) to use and understand </w:t>
      </w:r>
      <w:r w:rsidRPr="0077484B">
        <w:rPr>
          <w:rFonts w:ascii="Calibri" w:eastAsiaTheme="minorHAnsi" w:hAnsi="Calibri" w:cs="Calibri"/>
          <w:b w:val="0"/>
          <w:bCs w:val="0"/>
          <w:color w:val="000000"/>
          <w:sz w:val="22"/>
          <w:szCs w:val="22"/>
          <w:lang w:val="en-GB"/>
        </w:rPr>
        <w:t xml:space="preserve">AI-based applications, including sufficient understanding of their </w:t>
      </w:r>
      <w:r w:rsidRPr="0077484B">
        <w:rPr>
          <w:rFonts w:ascii="Calibri" w:eastAsiaTheme="minorHAnsi" w:hAnsi="Calibri" w:cs="Calibri"/>
          <w:b w:val="0"/>
          <w:bCs w:val="0"/>
          <w:color w:val="000000"/>
          <w:sz w:val="22"/>
          <w:szCs w:val="22"/>
          <w:lang w:val="en-GB"/>
        </w:rPr>
        <w:lastRenderedPageBreak/>
        <w:t xml:space="preserve">strengths and limitations. </w:t>
      </w:r>
      <w:r>
        <w:rPr>
          <w:rFonts w:ascii="Calibri" w:eastAsiaTheme="minorHAnsi" w:hAnsi="Calibri" w:cs="Calibri"/>
          <w:b w:val="0"/>
          <w:bCs w:val="0"/>
          <w:color w:val="000000"/>
          <w:sz w:val="22"/>
          <w:szCs w:val="22"/>
          <w:lang w:val="en-GB"/>
        </w:rPr>
        <w:t xml:space="preserve">It is </w:t>
      </w:r>
      <w:r w:rsidRPr="00E602C5">
        <w:rPr>
          <w:rFonts w:ascii="Calibri" w:eastAsiaTheme="minorHAnsi" w:hAnsi="Calibri" w:cs="Calibri"/>
          <w:b w:val="0"/>
          <w:bCs w:val="0"/>
          <w:color w:val="000000"/>
          <w:sz w:val="22"/>
          <w:szCs w:val="22"/>
          <w:lang w:val="en-GB"/>
        </w:rPr>
        <w:t xml:space="preserve">of upmost importance that </w:t>
      </w:r>
      <w:r>
        <w:rPr>
          <w:rFonts w:ascii="Calibri" w:eastAsiaTheme="minorHAnsi" w:hAnsi="Calibri" w:cs="Calibri"/>
          <w:b w:val="0"/>
          <w:bCs w:val="0"/>
          <w:color w:val="000000"/>
          <w:sz w:val="22"/>
          <w:szCs w:val="22"/>
          <w:lang w:val="en-GB"/>
        </w:rPr>
        <w:t xml:space="preserve">the control functions, in particularly the Internal Audit function, </w:t>
      </w:r>
      <w:r w:rsidRPr="00E602C5">
        <w:rPr>
          <w:rFonts w:ascii="Calibri" w:eastAsiaTheme="minorHAnsi" w:hAnsi="Calibri" w:cs="Calibri"/>
          <w:b w:val="0"/>
          <w:bCs w:val="0"/>
          <w:color w:val="000000"/>
          <w:sz w:val="22"/>
          <w:szCs w:val="22"/>
          <w:lang w:val="en-GB"/>
        </w:rPr>
        <w:t xml:space="preserve">possess the necessary skills </w:t>
      </w:r>
      <w:r>
        <w:rPr>
          <w:rFonts w:ascii="Calibri" w:eastAsiaTheme="minorHAnsi" w:hAnsi="Calibri" w:cs="Calibri"/>
          <w:b w:val="0"/>
          <w:bCs w:val="0"/>
          <w:color w:val="000000"/>
          <w:sz w:val="22"/>
          <w:szCs w:val="22"/>
          <w:lang w:val="en-GB"/>
        </w:rPr>
        <w:t xml:space="preserve">to </w:t>
      </w:r>
      <w:r w:rsidRPr="00E602C5">
        <w:rPr>
          <w:rFonts w:ascii="Calibri" w:eastAsiaTheme="minorHAnsi" w:hAnsi="Calibri" w:cs="Calibri"/>
          <w:b w:val="0"/>
          <w:bCs w:val="0"/>
          <w:color w:val="000000"/>
          <w:sz w:val="22"/>
          <w:szCs w:val="22"/>
          <w:lang w:val="en-GB"/>
        </w:rPr>
        <w:t xml:space="preserve">provide assurance </w:t>
      </w:r>
      <w:r>
        <w:rPr>
          <w:rFonts w:ascii="Calibri" w:eastAsiaTheme="minorHAnsi" w:hAnsi="Calibri" w:cs="Calibri"/>
          <w:b w:val="0"/>
          <w:bCs w:val="0"/>
          <w:color w:val="000000"/>
          <w:sz w:val="22"/>
          <w:szCs w:val="22"/>
          <w:lang w:val="en-GB"/>
        </w:rPr>
        <w:t xml:space="preserve">on the </w:t>
      </w:r>
      <w:r w:rsidRPr="00E602C5">
        <w:rPr>
          <w:rFonts w:ascii="Calibri" w:eastAsiaTheme="minorHAnsi" w:hAnsi="Calibri" w:cs="Calibri"/>
          <w:b w:val="0"/>
          <w:bCs w:val="0"/>
          <w:color w:val="000000"/>
          <w:sz w:val="22"/>
          <w:szCs w:val="22"/>
          <w:lang w:val="en-GB"/>
        </w:rPr>
        <w:t xml:space="preserve">reliability of the underlying algorithms and </w:t>
      </w:r>
      <w:r>
        <w:rPr>
          <w:rFonts w:ascii="Calibri" w:eastAsiaTheme="minorHAnsi" w:hAnsi="Calibri" w:cs="Calibri"/>
          <w:b w:val="0"/>
          <w:bCs w:val="0"/>
          <w:color w:val="000000"/>
          <w:sz w:val="22"/>
          <w:szCs w:val="22"/>
          <w:lang w:val="en-GB"/>
        </w:rPr>
        <w:t>d</w:t>
      </w:r>
      <w:r w:rsidRPr="00E602C5">
        <w:rPr>
          <w:rFonts w:ascii="Calibri" w:eastAsiaTheme="minorHAnsi" w:hAnsi="Calibri" w:cs="Calibri"/>
          <w:b w:val="0"/>
          <w:bCs w:val="0"/>
          <w:color w:val="000000"/>
          <w:sz w:val="22"/>
          <w:szCs w:val="22"/>
          <w:lang w:val="en-GB"/>
        </w:rPr>
        <w:t>ata.</w:t>
      </w:r>
    </w:p>
    <w:p w14:paraId="3A05273F" w14:textId="77777777" w:rsidR="008C7A3B" w:rsidRPr="0077484B" w:rsidRDefault="008C7A3B" w:rsidP="008C7A3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 xml:space="preserve">There is currently </w:t>
      </w:r>
      <w:r w:rsidRPr="0077484B">
        <w:rPr>
          <w:rFonts w:ascii="Calibri" w:eastAsiaTheme="minorHAnsi" w:hAnsi="Calibri" w:cs="Calibri"/>
          <w:bCs w:val="0"/>
          <w:color w:val="000000"/>
          <w:sz w:val="22"/>
          <w:szCs w:val="22"/>
          <w:lang w:val="en-GB"/>
        </w:rPr>
        <w:t>a shortage of skills</w:t>
      </w:r>
      <w:r w:rsidRPr="0077484B">
        <w:rPr>
          <w:rFonts w:ascii="Calibri" w:eastAsiaTheme="minorHAnsi" w:hAnsi="Calibri" w:cs="Calibri"/>
          <w:b w:val="0"/>
          <w:bCs w:val="0"/>
          <w:color w:val="000000"/>
          <w:sz w:val="22"/>
          <w:szCs w:val="22"/>
          <w:lang w:val="en-GB"/>
        </w:rPr>
        <w:t>, as it is not easy to find human resources with all the necessary knowledge and experience (e.g. in data science, business, IT, statistics).</w:t>
      </w:r>
    </w:p>
    <w:p w14:paraId="6D17740C" w14:textId="2A689780" w:rsidR="0077484B" w:rsidRPr="0077484B" w:rsidRDefault="000C0DA8" w:rsidP="0077484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Pr>
          <w:rFonts w:ascii="Calibri" w:eastAsiaTheme="minorHAnsi" w:hAnsi="Calibri" w:cs="Calibri"/>
          <w:b w:val="0"/>
          <w:bCs w:val="0"/>
          <w:color w:val="000000"/>
          <w:sz w:val="22"/>
          <w:szCs w:val="22"/>
          <w:lang w:val="en-GB"/>
        </w:rPr>
        <w:t>Another c</w:t>
      </w:r>
      <w:r w:rsidR="0077484B" w:rsidRPr="0077484B">
        <w:rPr>
          <w:rFonts w:ascii="Calibri" w:eastAsiaTheme="minorHAnsi" w:hAnsi="Calibri" w:cs="Calibri"/>
          <w:b w:val="0"/>
          <w:bCs w:val="0"/>
          <w:color w:val="000000"/>
          <w:sz w:val="22"/>
          <w:szCs w:val="22"/>
          <w:lang w:val="en-GB"/>
        </w:rPr>
        <w:t xml:space="preserve">hallenge is the </w:t>
      </w:r>
      <w:r w:rsidR="0077484B" w:rsidRPr="0077484B">
        <w:rPr>
          <w:rFonts w:ascii="Calibri" w:eastAsiaTheme="minorHAnsi" w:hAnsi="Calibri" w:cs="Calibri"/>
          <w:bCs w:val="0"/>
          <w:color w:val="000000"/>
          <w:sz w:val="22"/>
          <w:szCs w:val="22"/>
          <w:lang w:val="en-GB"/>
        </w:rPr>
        <w:t>growing reliance on third party providers</w:t>
      </w:r>
      <w:r w:rsidR="0077484B" w:rsidRPr="0077484B">
        <w:rPr>
          <w:rFonts w:ascii="Calibri" w:eastAsiaTheme="minorHAnsi" w:hAnsi="Calibri" w:cs="Calibri"/>
          <w:b w:val="0"/>
          <w:bCs w:val="0"/>
          <w:color w:val="000000"/>
          <w:sz w:val="22"/>
          <w:szCs w:val="22"/>
          <w:lang w:val="en-GB"/>
        </w:rPr>
        <w:t xml:space="preserve">, offering AI services </w:t>
      </w:r>
      <w:r w:rsidR="001A03C6">
        <w:rPr>
          <w:rFonts w:ascii="Calibri" w:eastAsiaTheme="minorHAnsi" w:hAnsi="Calibri" w:cs="Calibri"/>
          <w:b w:val="0"/>
          <w:bCs w:val="0"/>
          <w:color w:val="000000"/>
          <w:sz w:val="22"/>
          <w:szCs w:val="22"/>
          <w:lang w:val="en-GB"/>
        </w:rPr>
        <w:t xml:space="preserve">which </w:t>
      </w:r>
      <w:r w:rsidR="0077484B" w:rsidRPr="0077484B">
        <w:rPr>
          <w:rFonts w:ascii="Calibri" w:eastAsiaTheme="minorHAnsi" w:hAnsi="Calibri" w:cs="Calibri"/>
          <w:b w:val="0"/>
          <w:bCs w:val="0"/>
          <w:color w:val="000000"/>
          <w:sz w:val="22"/>
          <w:szCs w:val="22"/>
          <w:lang w:val="en-GB"/>
        </w:rPr>
        <w:t>usually facilitated by the use of cloud services. In some cases, large cloud service providers offer AI services as ‘augmented’ services to their existing cloud solutions. This may further increase the risk of vendor lock-in and concentration risk. T</w:t>
      </w:r>
      <w:r w:rsidR="00417047">
        <w:rPr>
          <w:rFonts w:ascii="Calibri" w:eastAsiaTheme="minorHAnsi" w:hAnsi="Calibri" w:cs="Calibri"/>
          <w:b w:val="0"/>
          <w:bCs w:val="0"/>
          <w:color w:val="000000"/>
          <w:sz w:val="22"/>
          <w:szCs w:val="22"/>
          <w:lang w:val="en-GB"/>
        </w:rPr>
        <w:t>he latter</w:t>
      </w:r>
      <w:r w:rsidR="0077484B" w:rsidRPr="0077484B">
        <w:rPr>
          <w:rFonts w:ascii="Calibri" w:eastAsiaTheme="minorHAnsi" w:hAnsi="Calibri" w:cs="Calibri"/>
          <w:b w:val="0"/>
          <w:bCs w:val="0"/>
          <w:color w:val="000000"/>
          <w:sz w:val="22"/>
          <w:szCs w:val="22"/>
          <w:lang w:val="en-GB"/>
        </w:rPr>
        <w:t xml:space="preserve"> can happen if many institutions use the same third-party provider, either for model development or cloud services, or if the models are trained using the same procedure and on the same data; in that case, they may advise the same action at the same point in time, which, together with the speed of accumulation of risks, could lead to financial stability risks. When models obtain decision autonomy, the risk of herd behaviour could increase.</w:t>
      </w:r>
    </w:p>
    <w:p w14:paraId="37CBCF5F" w14:textId="7EC3DDF1" w:rsidR="0077484B" w:rsidRPr="0077484B" w:rsidRDefault="0077484B" w:rsidP="0077484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 xml:space="preserve">AI-based applications could possibly take on tasks that previously required human intelligence, therefore a challenge for institutions would be to ensure that the </w:t>
      </w:r>
      <w:r w:rsidRPr="0077484B">
        <w:rPr>
          <w:rFonts w:ascii="Calibri" w:eastAsiaTheme="minorHAnsi" w:hAnsi="Calibri" w:cs="Calibri"/>
          <w:bCs w:val="0"/>
          <w:color w:val="000000"/>
          <w:sz w:val="22"/>
          <w:szCs w:val="22"/>
          <w:lang w:val="en-GB"/>
        </w:rPr>
        <w:t>outputs of these systems do not violate their ethical standards</w:t>
      </w:r>
      <w:r w:rsidRPr="0077484B">
        <w:rPr>
          <w:rFonts w:ascii="Calibri" w:eastAsiaTheme="minorHAnsi" w:hAnsi="Calibri" w:cs="Calibri"/>
          <w:b w:val="0"/>
          <w:bCs w:val="0"/>
          <w:color w:val="000000"/>
          <w:sz w:val="22"/>
          <w:szCs w:val="22"/>
          <w:lang w:val="en-GB"/>
        </w:rPr>
        <w:t xml:space="preserve"> (e.g. ensuring that models are free from bias and model outputs are not discriminatory)</w:t>
      </w:r>
      <w:r w:rsidR="00773EFF">
        <w:rPr>
          <w:rFonts w:ascii="Calibri" w:eastAsiaTheme="minorHAnsi" w:hAnsi="Calibri" w:cs="Calibri"/>
          <w:b w:val="0"/>
          <w:bCs w:val="0"/>
          <w:color w:val="000000"/>
          <w:sz w:val="22"/>
          <w:szCs w:val="22"/>
          <w:lang w:val="en-GB"/>
        </w:rPr>
        <w:t xml:space="preserve">, taking also into account the potential reputation impact. </w:t>
      </w:r>
      <w:r w:rsidRPr="0077484B">
        <w:rPr>
          <w:rFonts w:ascii="Calibri" w:eastAsiaTheme="minorHAnsi" w:hAnsi="Calibri" w:cs="Calibri"/>
          <w:b w:val="0"/>
          <w:bCs w:val="0"/>
          <w:color w:val="000000"/>
          <w:sz w:val="22"/>
          <w:szCs w:val="22"/>
          <w:lang w:val="en-GB"/>
        </w:rPr>
        <w:t xml:space="preserve">This moral obligation could go above and beyond the fulfilment of applicable legal requirements. </w:t>
      </w:r>
    </w:p>
    <w:p w14:paraId="20DF2F47" w14:textId="4DDF152F" w:rsidR="0077484B" w:rsidRPr="0077484B" w:rsidRDefault="000C0DA8" w:rsidP="0077484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Pr>
          <w:rFonts w:ascii="Calibri" w:eastAsiaTheme="minorHAnsi" w:hAnsi="Calibri" w:cs="Calibri"/>
          <w:b w:val="0"/>
          <w:bCs w:val="0"/>
          <w:color w:val="000000"/>
          <w:sz w:val="22"/>
          <w:szCs w:val="22"/>
          <w:lang w:val="en-GB"/>
        </w:rPr>
        <w:t xml:space="preserve">Another </w:t>
      </w:r>
      <w:r w:rsidR="0077484B" w:rsidRPr="0077484B">
        <w:rPr>
          <w:rFonts w:ascii="Calibri" w:eastAsiaTheme="minorHAnsi" w:hAnsi="Calibri" w:cs="Calibri"/>
          <w:b w:val="0"/>
          <w:bCs w:val="0"/>
          <w:color w:val="000000"/>
          <w:sz w:val="22"/>
          <w:szCs w:val="22"/>
          <w:lang w:val="en-GB"/>
        </w:rPr>
        <w:t xml:space="preserve">challenge is to ensure the quality of the data to be used for the development of AI-based models as the maintenance of data quality is the basis for the responsible use of AI. Key elements of data quality (e.g. accuracy, timeliness, consistency, completeness) should be respected to limit the </w:t>
      </w:r>
      <w:r w:rsidR="0077484B" w:rsidRPr="0077484B">
        <w:rPr>
          <w:rFonts w:ascii="Calibri" w:eastAsiaTheme="minorHAnsi" w:hAnsi="Calibri" w:cs="Calibri"/>
          <w:bCs w:val="0"/>
          <w:color w:val="000000"/>
          <w:sz w:val="22"/>
          <w:szCs w:val="22"/>
          <w:lang w:val="en-GB"/>
        </w:rPr>
        <w:t xml:space="preserve">risk of outputs being biased or not being sufficient </w:t>
      </w:r>
      <w:r w:rsidR="0077484B" w:rsidRPr="0077484B">
        <w:rPr>
          <w:rFonts w:ascii="Calibri" w:eastAsiaTheme="minorHAnsi" w:hAnsi="Calibri" w:cs="Calibri"/>
          <w:b w:val="0"/>
          <w:bCs w:val="0"/>
          <w:color w:val="000000"/>
          <w:sz w:val="22"/>
          <w:szCs w:val="22"/>
          <w:lang w:val="en-GB"/>
        </w:rPr>
        <w:t xml:space="preserve">as the applications’ behaviour depends significantly on the data used for training, testing and validation. </w:t>
      </w:r>
    </w:p>
    <w:p w14:paraId="2D258060" w14:textId="3B265BE4" w:rsidR="0077484B" w:rsidRPr="0077484B" w:rsidRDefault="0077484B" w:rsidP="0077484B">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 xml:space="preserve">Potential challenge could be institutions’ </w:t>
      </w:r>
      <w:r w:rsidRPr="0077484B">
        <w:rPr>
          <w:rFonts w:ascii="Calibri" w:eastAsiaTheme="minorHAnsi" w:hAnsi="Calibri" w:cs="Calibri"/>
          <w:bCs w:val="0"/>
          <w:color w:val="000000"/>
          <w:sz w:val="22"/>
          <w:szCs w:val="22"/>
          <w:lang w:val="en-GB"/>
        </w:rPr>
        <w:t>inability to clearly explain</w:t>
      </w:r>
      <w:r w:rsidRPr="0077484B">
        <w:rPr>
          <w:rFonts w:ascii="Calibri" w:eastAsiaTheme="minorHAnsi" w:hAnsi="Calibri" w:cs="Calibri"/>
          <w:b w:val="0"/>
          <w:bCs w:val="0"/>
          <w:color w:val="000000"/>
          <w:sz w:val="22"/>
          <w:szCs w:val="22"/>
          <w:lang w:val="en-GB"/>
        </w:rPr>
        <w:t xml:space="preserve"> to supervisors (as well as to </w:t>
      </w:r>
      <w:r w:rsidR="00773EFF">
        <w:rPr>
          <w:rFonts w:ascii="Calibri" w:eastAsiaTheme="minorHAnsi" w:hAnsi="Calibri" w:cs="Calibri"/>
          <w:b w:val="0"/>
          <w:bCs w:val="0"/>
          <w:color w:val="000000"/>
          <w:sz w:val="22"/>
          <w:szCs w:val="22"/>
          <w:lang w:val="en-GB"/>
        </w:rPr>
        <w:t xml:space="preserve">their </w:t>
      </w:r>
      <w:r w:rsidRPr="0077484B">
        <w:rPr>
          <w:rFonts w:ascii="Calibri" w:eastAsiaTheme="minorHAnsi" w:hAnsi="Calibri" w:cs="Calibri"/>
          <w:b w:val="0"/>
          <w:bCs w:val="0"/>
          <w:color w:val="000000"/>
          <w:sz w:val="22"/>
          <w:szCs w:val="22"/>
          <w:lang w:val="en-GB"/>
        </w:rPr>
        <w:t xml:space="preserve">own board members) </w:t>
      </w:r>
      <w:r w:rsidRPr="0077484B">
        <w:rPr>
          <w:rFonts w:ascii="Calibri" w:eastAsiaTheme="minorHAnsi" w:hAnsi="Calibri" w:cs="Calibri"/>
          <w:bCs w:val="0"/>
          <w:color w:val="000000"/>
          <w:sz w:val="22"/>
          <w:szCs w:val="22"/>
          <w:lang w:val="en-GB"/>
        </w:rPr>
        <w:t>the purpose of implementing AI-based models</w:t>
      </w:r>
      <w:r w:rsidRPr="0077484B">
        <w:rPr>
          <w:rFonts w:ascii="Calibri" w:eastAsiaTheme="minorHAnsi" w:hAnsi="Calibri" w:cs="Calibri"/>
          <w:b w:val="0"/>
          <w:bCs w:val="0"/>
          <w:color w:val="000000"/>
          <w:sz w:val="22"/>
          <w:szCs w:val="22"/>
          <w:lang w:val="en-GB"/>
        </w:rPr>
        <w:t xml:space="preserve">, and thus indicating not having full awareness of the entire scope of their operations. </w:t>
      </w:r>
    </w:p>
    <w:p w14:paraId="429422B4" w14:textId="3922899C" w:rsidR="003755A3" w:rsidRPr="000C0DA8" w:rsidRDefault="00760E88" w:rsidP="00565044">
      <w:pPr>
        <w:pStyle w:val="Heading2"/>
        <w:numPr>
          <w:ilvl w:val="0"/>
          <w:numId w:val="20"/>
        </w:numPr>
        <w:tabs>
          <w:tab w:val="left" w:pos="3118"/>
          <w:tab w:val="left" w:pos="8931"/>
        </w:tabs>
        <w:spacing w:before="240" w:after="120" w:line="276" w:lineRule="auto"/>
        <w:ind w:left="426" w:right="96" w:hanging="295"/>
        <w:jc w:val="both"/>
        <w:rPr>
          <w:rFonts w:ascii="Calibri" w:eastAsiaTheme="minorHAnsi" w:hAnsi="Calibri" w:cs="Calibri"/>
          <w:b w:val="0"/>
          <w:bCs w:val="0"/>
          <w:color w:val="000000"/>
          <w:sz w:val="22"/>
          <w:szCs w:val="22"/>
          <w:lang w:val="en-GB"/>
        </w:rPr>
      </w:pPr>
      <w:r w:rsidRPr="000C0DA8">
        <w:rPr>
          <w:rFonts w:ascii="Calibri" w:eastAsiaTheme="minorHAnsi" w:hAnsi="Calibri" w:cs="Calibri"/>
          <w:b w:val="0"/>
          <w:color w:val="000000"/>
          <w:sz w:val="22"/>
          <w:szCs w:val="22"/>
          <w:lang w:val="en-GB"/>
        </w:rPr>
        <w:t xml:space="preserve">Potential challenge in ensuring that </w:t>
      </w:r>
      <w:r w:rsidRPr="000C0DA8">
        <w:rPr>
          <w:rFonts w:ascii="Calibri" w:eastAsiaTheme="minorHAnsi" w:hAnsi="Calibri" w:cs="Calibri"/>
          <w:color w:val="000000"/>
          <w:sz w:val="22"/>
          <w:szCs w:val="22"/>
          <w:lang w:val="en-GB"/>
        </w:rPr>
        <w:t>AI-based models are fit for purpose</w:t>
      </w:r>
      <w:r w:rsidRPr="000C0DA8">
        <w:rPr>
          <w:rFonts w:ascii="Calibri" w:eastAsiaTheme="minorHAnsi" w:hAnsi="Calibri" w:cs="Calibri"/>
          <w:b w:val="0"/>
          <w:color w:val="000000"/>
          <w:sz w:val="22"/>
          <w:szCs w:val="22"/>
          <w:lang w:val="en-GB"/>
        </w:rPr>
        <w:t xml:space="preserve"> (and that they have been so for a period of time), </w:t>
      </w:r>
      <w:r w:rsidRPr="000C0DA8">
        <w:rPr>
          <w:rFonts w:ascii="Calibri" w:eastAsiaTheme="minorHAnsi" w:hAnsi="Calibri" w:cs="Calibri"/>
          <w:color w:val="000000"/>
          <w:sz w:val="22"/>
          <w:szCs w:val="22"/>
          <w:lang w:val="en-GB"/>
        </w:rPr>
        <w:t>appropriately selected, operated and validated</w:t>
      </w:r>
      <w:r w:rsidRPr="000C0DA8">
        <w:rPr>
          <w:rFonts w:ascii="Calibri" w:eastAsiaTheme="minorHAnsi" w:hAnsi="Calibri" w:cs="Calibri"/>
          <w:b w:val="0"/>
          <w:color w:val="000000"/>
          <w:sz w:val="22"/>
          <w:szCs w:val="22"/>
          <w:lang w:val="en-GB"/>
        </w:rPr>
        <w:t xml:space="preserve"> with adequate data integrity and avoidance of bias in models. In addition, potential over-reliance on AI-based models could raise certain risks as they can result </w:t>
      </w:r>
      <w:r w:rsidR="00BE704D" w:rsidRPr="000C0DA8">
        <w:rPr>
          <w:rFonts w:ascii="Calibri" w:eastAsiaTheme="minorHAnsi" w:hAnsi="Calibri" w:cs="Calibri"/>
          <w:b w:val="0"/>
          <w:color w:val="000000"/>
          <w:sz w:val="22"/>
          <w:szCs w:val="22"/>
          <w:lang w:val="en-GB"/>
        </w:rPr>
        <w:t>in both de-risking practices and over</w:t>
      </w:r>
      <w:r w:rsidRPr="000C0DA8">
        <w:rPr>
          <w:rFonts w:ascii="Calibri" w:eastAsiaTheme="minorHAnsi" w:hAnsi="Calibri" w:cs="Calibri"/>
          <w:b w:val="0"/>
          <w:color w:val="000000"/>
          <w:sz w:val="22"/>
          <w:szCs w:val="22"/>
          <w:lang w:val="en-GB"/>
        </w:rPr>
        <w:t>-permissive practices.</w:t>
      </w:r>
    </w:p>
    <w:p w14:paraId="1D214E93" w14:textId="4E99BA3D" w:rsidR="0077484B" w:rsidRDefault="0077484B" w:rsidP="0077484B">
      <w:pPr>
        <w:pStyle w:val="Heading2"/>
        <w:tabs>
          <w:tab w:val="left" w:pos="416"/>
        </w:tabs>
        <w:ind w:left="0"/>
        <w:rPr>
          <w:rFonts w:ascii="Calibri" w:hAnsi="Calibri" w:cs="Calibri"/>
          <w:sz w:val="24"/>
          <w:szCs w:val="24"/>
        </w:rPr>
      </w:pPr>
      <w:r w:rsidRPr="006D045B">
        <w:rPr>
          <w:rFonts w:ascii="Calibri" w:hAnsi="Calibri" w:cs="Calibri"/>
          <w:sz w:val="24"/>
          <w:szCs w:val="24"/>
        </w:rPr>
        <w:t>2. Consumers/investors</w:t>
      </w:r>
    </w:p>
    <w:p w14:paraId="7A8A8D73" w14:textId="77777777" w:rsidR="00D2770E" w:rsidRPr="006D045B" w:rsidRDefault="00D2770E" w:rsidP="0077484B">
      <w:pPr>
        <w:pStyle w:val="Heading2"/>
        <w:tabs>
          <w:tab w:val="left" w:pos="416"/>
        </w:tabs>
        <w:ind w:left="0"/>
        <w:rPr>
          <w:rFonts w:ascii="Calibri" w:hAnsi="Calibri" w:cs="Calibri"/>
          <w:sz w:val="24"/>
          <w:szCs w:val="24"/>
        </w:rPr>
      </w:pPr>
    </w:p>
    <w:tbl>
      <w:tblPr>
        <w:tblW w:w="8545" w:type="dxa"/>
        <w:tblInd w:w="1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788"/>
        <w:gridCol w:w="1157"/>
        <w:gridCol w:w="1005"/>
        <w:gridCol w:w="975"/>
        <w:gridCol w:w="1005"/>
        <w:gridCol w:w="1005"/>
        <w:gridCol w:w="610"/>
      </w:tblGrid>
      <w:tr w:rsidR="0077484B" w14:paraId="3178F3C7" w14:textId="77777777" w:rsidTr="00B33A2C">
        <w:trPr>
          <w:trHeight w:val="410"/>
        </w:trPr>
        <w:tc>
          <w:tcPr>
            <w:tcW w:w="2788" w:type="dxa"/>
            <w:tcBorders>
              <w:bottom w:val="nil"/>
            </w:tcBorders>
          </w:tcPr>
          <w:p w14:paraId="0F3828F7" w14:textId="77777777" w:rsidR="0077484B" w:rsidRPr="00B31EF0" w:rsidRDefault="0077484B" w:rsidP="00F20316">
            <w:pPr>
              <w:pStyle w:val="TableParagraph"/>
              <w:rPr>
                <w:sz w:val="19"/>
                <w:szCs w:val="19"/>
              </w:rPr>
            </w:pPr>
          </w:p>
        </w:tc>
        <w:tc>
          <w:tcPr>
            <w:tcW w:w="1157" w:type="dxa"/>
            <w:tcBorders>
              <w:bottom w:val="nil"/>
            </w:tcBorders>
          </w:tcPr>
          <w:p w14:paraId="78884F16" w14:textId="77777777" w:rsidR="0077484B" w:rsidRPr="00B31EF0" w:rsidRDefault="0077484B" w:rsidP="00F20316">
            <w:pPr>
              <w:pStyle w:val="TableParagraph"/>
              <w:rPr>
                <w:sz w:val="19"/>
                <w:szCs w:val="19"/>
              </w:rPr>
            </w:pPr>
          </w:p>
        </w:tc>
        <w:tc>
          <w:tcPr>
            <w:tcW w:w="1005" w:type="dxa"/>
            <w:tcBorders>
              <w:bottom w:val="nil"/>
            </w:tcBorders>
          </w:tcPr>
          <w:p w14:paraId="204F0A83" w14:textId="77777777" w:rsidR="0077484B" w:rsidRPr="00B31EF0" w:rsidRDefault="0077484B" w:rsidP="00F20316">
            <w:pPr>
              <w:pStyle w:val="TableParagraph"/>
              <w:rPr>
                <w:sz w:val="19"/>
                <w:szCs w:val="19"/>
              </w:rPr>
            </w:pPr>
          </w:p>
        </w:tc>
        <w:tc>
          <w:tcPr>
            <w:tcW w:w="975" w:type="dxa"/>
            <w:tcBorders>
              <w:bottom w:val="nil"/>
            </w:tcBorders>
          </w:tcPr>
          <w:p w14:paraId="1352FF76" w14:textId="77777777" w:rsidR="0077484B" w:rsidRPr="00B31EF0" w:rsidRDefault="0077484B" w:rsidP="00F20316">
            <w:pPr>
              <w:pStyle w:val="TableParagraph"/>
              <w:rPr>
                <w:sz w:val="19"/>
                <w:szCs w:val="19"/>
              </w:rPr>
            </w:pPr>
          </w:p>
        </w:tc>
        <w:tc>
          <w:tcPr>
            <w:tcW w:w="1005" w:type="dxa"/>
            <w:tcBorders>
              <w:bottom w:val="nil"/>
            </w:tcBorders>
          </w:tcPr>
          <w:p w14:paraId="721F0A5C" w14:textId="77777777" w:rsidR="0077484B" w:rsidRPr="00B31EF0" w:rsidRDefault="0077484B" w:rsidP="00F20316">
            <w:pPr>
              <w:pStyle w:val="TableParagraph"/>
              <w:rPr>
                <w:sz w:val="19"/>
                <w:szCs w:val="19"/>
              </w:rPr>
            </w:pPr>
          </w:p>
        </w:tc>
        <w:tc>
          <w:tcPr>
            <w:tcW w:w="1005" w:type="dxa"/>
            <w:tcBorders>
              <w:bottom w:val="nil"/>
            </w:tcBorders>
          </w:tcPr>
          <w:p w14:paraId="2BDD69FA" w14:textId="77777777" w:rsidR="0077484B" w:rsidRPr="00B31EF0" w:rsidRDefault="0077484B" w:rsidP="00F20316">
            <w:pPr>
              <w:pStyle w:val="TableParagraph"/>
              <w:rPr>
                <w:sz w:val="19"/>
                <w:szCs w:val="19"/>
              </w:rPr>
            </w:pPr>
          </w:p>
        </w:tc>
        <w:tc>
          <w:tcPr>
            <w:tcW w:w="610" w:type="dxa"/>
            <w:tcBorders>
              <w:bottom w:val="nil"/>
            </w:tcBorders>
          </w:tcPr>
          <w:p w14:paraId="68376DB7" w14:textId="77777777" w:rsidR="0077484B" w:rsidRPr="00B31EF0" w:rsidRDefault="0077484B" w:rsidP="00F20316">
            <w:pPr>
              <w:pStyle w:val="TableParagraph"/>
              <w:rPr>
                <w:sz w:val="19"/>
                <w:szCs w:val="19"/>
              </w:rPr>
            </w:pPr>
          </w:p>
        </w:tc>
      </w:tr>
      <w:tr w:rsidR="0077484B" w14:paraId="007C7A4A"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4688A765" w14:textId="77777777" w:rsidR="0077484B" w:rsidRPr="00B31EF0" w:rsidRDefault="0077484B" w:rsidP="00F20316">
            <w:pPr>
              <w:pStyle w:val="TableParagraph"/>
              <w:rPr>
                <w:sz w:val="19"/>
                <w:szCs w:val="19"/>
              </w:rPr>
            </w:pPr>
          </w:p>
        </w:tc>
        <w:tc>
          <w:tcPr>
            <w:tcW w:w="1157" w:type="dxa"/>
            <w:tcBorders>
              <w:top w:val="single" w:sz="12" w:space="0" w:color="BABABA"/>
              <w:left w:val="single" w:sz="12" w:space="0" w:color="BABABA"/>
              <w:bottom w:val="nil"/>
              <w:right w:val="single" w:sz="12" w:space="0" w:color="BABABA"/>
            </w:tcBorders>
          </w:tcPr>
          <w:p w14:paraId="038AA07E" w14:textId="77777777" w:rsidR="0077484B" w:rsidRPr="00B31EF0" w:rsidRDefault="0077484B" w:rsidP="00B31EF0">
            <w:pPr>
              <w:pStyle w:val="TableParagraph"/>
              <w:jc w:val="center"/>
              <w:rPr>
                <w:sz w:val="19"/>
                <w:szCs w:val="19"/>
              </w:rPr>
            </w:pPr>
            <w:r w:rsidRPr="00B31EF0">
              <w:rPr>
                <w:sz w:val="19"/>
                <w:szCs w:val="19"/>
              </w:rPr>
              <w:t>1</w:t>
            </w:r>
          </w:p>
          <w:p w14:paraId="783BAA3B" w14:textId="77777777" w:rsidR="0077484B" w:rsidRPr="00B31EF0" w:rsidRDefault="0077484B" w:rsidP="00B31EF0">
            <w:pPr>
              <w:pStyle w:val="TableParagraph"/>
              <w:jc w:val="center"/>
              <w:rPr>
                <w:sz w:val="19"/>
                <w:szCs w:val="19"/>
              </w:rPr>
            </w:pPr>
            <w:r w:rsidRPr="00B31EF0">
              <w:rPr>
                <w:sz w:val="19"/>
                <w:szCs w:val="19"/>
              </w:rPr>
              <w:t>(irrelevant)</w:t>
            </w:r>
          </w:p>
        </w:tc>
        <w:tc>
          <w:tcPr>
            <w:tcW w:w="1005" w:type="dxa"/>
            <w:tcBorders>
              <w:top w:val="single" w:sz="12" w:space="0" w:color="BABABA"/>
              <w:left w:val="single" w:sz="12" w:space="0" w:color="BABABA"/>
              <w:bottom w:val="nil"/>
              <w:right w:val="single" w:sz="12" w:space="0" w:color="BABABA"/>
            </w:tcBorders>
          </w:tcPr>
          <w:p w14:paraId="23FE9CEF" w14:textId="77777777" w:rsidR="0077484B" w:rsidRPr="00B31EF0" w:rsidRDefault="0077484B" w:rsidP="00B31EF0">
            <w:pPr>
              <w:pStyle w:val="TableParagraph"/>
              <w:jc w:val="center"/>
              <w:rPr>
                <w:sz w:val="19"/>
                <w:szCs w:val="19"/>
              </w:rPr>
            </w:pPr>
            <w:r w:rsidRPr="00B31EF0">
              <w:rPr>
                <w:sz w:val="19"/>
                <w:szCs w:val="19"/>
              </w:rPr>
              <w:t>2</w:t>
            </w:r>
          </w:p>
          <w:p w14:paraId="79D74E45" w14:textId="77777777" w:rsidR="0077484B" w:rsidRPr="00B31EF0" w:rsidRDefault="0077484B" w:rsidP="00B31EF0">
            <w:pPr>
              <w:pStyle w:val="TableParagraph"/>
              <w:jc w:val="center"/>
              <w:rPr>
                <w:sz w:val="19"/>
                <w:szCs w:val="19"/>
              </w:rPr>
            </w:pPr>
            <w:r w:rsidRPr="00B31EF0">
              <w:rPr>
                <w:sz w:val="19"/>
                <w:szCs w:val="19"/>
              </w:rPr>
              <w:t>(rather not relevant)</w:t>
            </w:r>
          </w:p>
        </w:tc>
        <w:tc>
          <w:tcPr>
            <w:tcW w:w="975" w:type="dxa"/>
            <w:tcBorders>
              <w:top w:val="single" w:sz="12" w:space="0" w:color="BABABA"/>
              <w:left w:val="single" w:sz="12" w:space="0" w:color="BABABA"/>
              <w:bottom w:val="nil"/>
              <w:right w:val="single" w:sz="12" w:space="0" w:color="BABABA"/>
            </w:tcBorders>
          </w:tcPr>
          <w:p w14:paraId="53E297EA" w14:textId="77777777" w:rsidR="0077484B" w:rsidRPr="00B31EF0" w:rsidRDefault="0077484B" w:rsidP="00B31EF0">
            <w:pPr>
              <w:pStyle w:val="TableParagraph"/>
              <w:jc w:val="center"/>
              <w:rPr>
                <w:sz w:val="19"/>
                <w:szCs w:val="19"/>
              </w:rPr>
            </w:pPr>
            <w:r w:rsidRPr="00B31EF0">
              <w:rPr>
                <w:sz w:val="19"/>
                <w:szCs w:val="19"/>
              </w:rPr>
              <w:t>3</w:t>
            </w:r>
          </w:p>
          <w:p w14:paraId="36EAC6BF" w14:textId="77777777" w:rsidR="0077484B" w:rsidRPr="00B31EF0" w:rsidRDefault="0077484B" w:rsidP="00B31EF0">
            <w:pPr>
              <w:pStyle w:val="TableParagraph"/>
              <w:jc w:val="center"/>
              <w:rPr>
                <w:sz w:val="19"/>
                <w:szCs w:val="19"/>
              </w:rPr>
            </w:pPr>
            <w:r w:rsidRPr="00B31EF0">
              <w:rPr>
                <w:sz w:val="19"/>
                <w:szCs w:val="19"/>
              </w:rPr>
              <w:t>(neutral)</w:t>
            </w:r>
          </w:p>
        </w:tc>
        <w:tc>
          <w:tcPr>
            <w:tcW w:w="1005" w:type="dxa"/>
            <w:tcBorders>
              <w:top w:val="single" w:sz="12" w:space="0" w:color="BABABA"/>
              <w:left w:val="single" w:sz="12" w:space="0" w:color="BABABA"/>
              <w:bottom w:val="nil"/>
              <w:right w:val="single" w:sz="12" w:space="0" w:color="BABABA"/>
            </w:tcBorders>
          </w:tcPr>
          <w:p w14:paraId="67D765F3" w14:textId="77777777" w:rsidR="0077484B" w:rsidRPr="00B31EF0" w:rsidRDefault="0077484B" w:rsidP="00B31EF0">
            <w:pPr>
              <w:pStyle w:val="TableParagraph"/>
              <w:jc w:val="center"/>
              <w:rPr>
                <w:sz w:val="19"/>
                <w:szCs w:val="19"/>
              </w:rPr>
            </w:pPr>
            <w:r w:rsidRPr="00B31EF0">
              <w:rPr>
                <w:sz w:val="19"/>
                <w:szCs w:val="19"/>
              </w:rPr>
              <w:t>4</w:t>
            </w:r>
          </w:p>
          <w:p w14:paraId="4D6F0FF1" w14:textId="77777777" w:rsidR="0077484B" w:rsidRPr="00B31EF0" w:rsidRDefault="0077484B" w:rsidP="00B31EF0">
            <w:pPr>
              <w:pStyle w:val="TableParagraph"/>
              <w:jc w:val="center"/>
              <w:rPr>
                <w:sz w:val="19"/>
                <w:szCs w:val="19"/>
              </w:rPr>
            </w:pPr>
            <w:r w:rsidRPr="00B31EF0">
              <w:rPr>
                <w:sz w:val="19"/>
                <w:szCs w:val="19"/>
              </w:rPr>
              <w:t>(rather relevant)</w:t>
            </w:r>
          </w:p>
        </w:tc>
        <w:tc>
          <w:tcPr>
            <w:tcW w:w="1005" w:type="dxa"/>
            <w:tcBorders>
              <w:top w:val="single" w:sz="12" w:space="0" w:color="BABABA"/>
              <w:left w:val="single" w:sz="12" w:space="0" w:color="BABABA"/>
              <w:bottom w:val="nil"/>
              <w:right w:val="single" w:sz="12" w:space="0" w:color="BABABA"/>
            </w:tcBorders>
          </w:tcPr>
          <w:p w14:paraId="38C36346" w14:textId="77777777" w:rsidR="0077484B" w:rsidRPr="00B31EF0" w:rsidRDefault="0077484B" w:rsidP="00B31EF0">
            <w:pPr>
              <w:pStyle w:val="TableParagraph"/>
              <w:jc w:val="center"/>
              <w:rPr>
                <w:sz w:val="19"/>
                <w:szCs w:val="19"/>
              </w:rPr>
            </w:pPr>
            <w:r w:rsidRPr="00B31EF0">
              <w:rPr>
                <w:sz w:val="19"/>
                <w:szCs w:val="19"/>
              </w:rPr>
              <w:t>5</w:t>
            </w:r>
          </w:p>
          <w:p w14:paraId="3AC43C49" w14:textId="77777777" w:rsidR="0077484B" w:rsidRPr="00B31EF0" w:rsidRDefault="0077484B" w:rsidP="00B31EF0">
            <w:pPr>
              <w:pStyle w:val="TableParagraph"/>
              <w:jc w:val="center"/>
              <w:rPr>
                <w:sz w:val="19"/>
                <w:szCs w:val="19"/>
              </w:rPr>
            </w:pPr>
            <w:r w:rsidRPr="00B31EF0">
              <w:rPr>
                <w:sz w:val="19"/>
                <w:szCs w:val="19"/>
              </w:rPr>
              <w:t>(fully relevant)</w:t>
            </w:r>
          </w:p>
        </w:tc>
        <w:tc>
          <w:tcPr>
            <w:tcW w:w="610" w:type="dxa"/>
            <w:tcBorders>
              <w:top w:val="single" w:sz="12" w:space="0" w:color="BABABA"/>
              <w:left w:val="single" w:sz="12" w:space="0" w:color="BABABA"/>
              <w:bottom w:val="nil"/>
              <w:right w:val="single" w:sz="12" w:space="0" w:color="BABABA"/>
            </w:tcBorders>
          </w:tcPr>
          <w:p w14:paraId="15499DC8" w14:textId="77777777" w:rsidR="0077484B" w:rsidRPr="00B31EF0" w:rsidRDefault="0077484B" w:rsidP="00B31EF0">
            <w:pPr>
              <w:pStyle w:val="TableParagraph"/>
              <w:jc w:val="center"/>
              <w:rPr>
                <w:sz w:val="19"/>
                <w:szCs w:val="19"/>
              </w:rPr>
            </w:pPr>
            <w:r w:rsidRPr="00B31EF0">
              <w:rPr>
                <w:sz w:val="19"/>
                <w:szCs w:val="19"/>
              </w:rPr>
              <w:t>N.</w:t>
            </w:r>
          </w:p>
          <w:p w14:paraId="4436AC4A" w14:textId="77777777" w:rsidR="0077484B" w:rsidRPr="00B31EF0" w:rsidRDefault="0077484B" w:rsidP="00B31EF0">
            <w:pPr>
              <w:pStyle w:val="TableParagraph"/>
              <w:jc w:val="center"/>
              <w:rPr>
                <w:sz w:val="19"/>
                <w:szCs w:val="19"/>
              </w:rPr>
            </w:pPr>
            <w:r w:rsidRPr="00B31EF0">
              <w:rPr>
                <w:sz w:val="19"/>
                <w:szCs w:val="19"/>
              </w:rPr>
              <w:t>A.</w:t>
            </w:r>
          </w:p>
        </w:tc>
      </w:tr>
      <w:tr w:rsidR="0077484B" w14:paraId="176A6671"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426C0F79" w14:textId="77777777" w:rsidR="0077484B" w:rsidRPr="00B31EF0" w:rsidRDefault="0077484B" w:rsidP="0077484B">
            <w:pPr>
              <w:pStyle w:val="TableParagraph"/>
              <w:rPr>
                <w:sz w:val="19"/>
                <w:szCs w:val="19"/>
              </w:rPr>
            </w:pPr>
            <w:r w:rsidRPr="00B31EF0">
              <w:rPr>
                <w:sz w:val="19"/>
                <w:szCs w:val="19"/>
              </w:rPr>
              <w:t>2.1. Lack of awareness on the use of an algorithm</w:t>
            </w:r>
          </w:p>
        </w:tc>
        <w:tc>
          <w:tcPr>
            <w:tcW w:w="1157" w:type="dxa"/>
            <w:tcBorders>
              <w:top w:val="single" w:sz="12" w:space="0" w:color="BABABA"/>
              <w:left w:val="single" w:sz="12" w:space="0" w:color="BABABA"/>
              <w:bottom w:val="nil"/>
              <w:right w:val="single" w:sz="12" w:space="0" w:color="BABABA"/>
            </w:tcBorders>
          </w:tcPr>
          <w:p w14:paraId="469A5D57" w14:textId="77777777" w:rsidR="0077484B" w:rsidRPr="00B31EF0" w:rsidRDefault="0077484B" w:rsidP="0077484B">
            <w:pPr>
              <w:pStyle w:val="TableParagraph"/>
              <w:jc w:val="center"/>
              <w:rPr>
                <w:sz w:val="19"/>
                <w:szCs w:val="19"/>
              </w:rPr>
            </w:pPr>
          </w:p>
          <w:p w14:paraId="2AFBA361"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2E77C93" wp14:editId="55A2C8D3">
                  <wp:extent cx="114300" cy="114300"/>
                  <wp:effectExtent l="0" t="0" r="0" b="0"/>
                  <wp:docPr id="23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12B792BD" w14:textId="77777777" w:rsidR="0077484B" w:rsidRPr="00B31EF0" w:rsidRDefault="0077484B" w:rsidP="0077484B">
            <w:pPr>
              <w:pStyle w:val="TableParagraph"/>
              <w:jc w:val="center"/>
              <w:rPr>
                <w:sz w:val="19"/>
                <w:szCs w:val="19"/>
              </w:rPr>
            </w:pPr>
          </w:p>
          <w:p w14:paraId="27850F9D"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0FF340C" wp14:editId="397C91B1">
                  <wp:extent cx="114300" cy="114300"/>
                  <wp:effectExtent l="0" t="0" r="0" b="0"/>
                  <wp:docPr id="23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36B4C14B" w14:textId="77777777" w:rsidR="0077484B" w:rsidRPr="00B31EF0" w:rsidRDefault="0077484B" w:rsidP="0077484B">
            <w:pPr>
              <w:pStyle w:val="TableParagraph"/>
              <w:jc w:val="center"/>
              <w:rPr>
                <w:sz w:val="19"/>
                <w:szCs w:val="19"/>
              </w:rPr>
            </w:pPr>
          </w:p>
          <w:p w14:paraId="4F682A1E" w14:textId="499FFEB0" w:rsidR="0077484B" w:rsidRPr="00B31EF0" w:rsidRDefault="0077484B" w:rsidP="007F3CC8">
            <w:pPr>
              <w:pStyle w:val="TableParagraph"/>
              <w:numPr>
                <w:ilvl w:val="0"/>
                <w:numId w:val="40"/>
              </w:numPr>
              <w:jc w:val="center"/>
              <w:rPr>
                <w:sz w:val="19"/>
                <w:szCs w:val="19"/>
              </w:rPr>
            </w:pPr>
          </w:p>
        </w:tc>
        <w:tc>
          <w:tcPr>
            <w:tcW w:w="1005" w:type="dxa"/>
            <w:tcBorders>
              <w:top w:val="single" w:sz="12" w:space="0" w:color="BABABA"/>
              <w:left w:val="single" w:sz="12" w:space="0" w:color="BABABA"/>
              <w:bottom w:val="nil"/>
              <w:right w:val="single" w:sz="12" w:space="0" w:color="BABABA"/>
            </w:tcBorders>
          </w:tcPr>
          <w:p w14:paraId="6A24B2DD" w14:textId="77777777" w:rsidR="0077484B" w:rsidRPr="00B31EF0" w:rsidRDefault="0077484B" w:rsidP="0077484B">
            <w:pPr>
              <w:pStyle w:val="TableParagraph"/>
              <w:jc w:val="center"/>
              <w:rPr>
                <w:sz w:val="19"/>
                <w:szCs w:val="19"/>
              </w:rPr>
            </w:pPr>
          </w:p>
          <w:p w14:paraId="1CEEACB1" w14:textId="19FA7D02" w:rsidR="0077484B" w:rsidRPr="00B31EF0" w:rsidRDefault="002F3920"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nil"/>
              <w:right w:val="single" w:sz="12" w:space="0" w:color="BABABA"/>
            </w:tcBorders>
          </w:tcPr>
          <w:p w14:paraId="0B63C511" w14:textId="77777777" w:rsidR="0077484B" w:rsidRPr="00B31EF0" w:rsidRDefault="0077484B" w:rsidP="0077484B">
            <w:pPr>
              <w:pStyle w:val="TableParagraph"/>
              <w:jc w:val="center"/>
              <w:rPr>
                <w:sz w:val="19"/>
                <w:szCs w:val="19"/>
              </w:rPr>
            </w:pPr>
          </w:p>
          <w:p w14:paraId="0D8BCA96"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2307E6C2" wp14:editId="012C56E1">
                  <wp:extent cx="114300" cy="114300"/>
                  <wp:effectExtent l="0" t="0" r="0" b="0"/>
                  <wp:docPr id="24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46E792D1" w14:textId="77777777" w:rsidR="0077484B" w:rsidRPr="00B31EF0" w:rsidRDefault="0077484B" w:rsidP="0077484B">
            <w:pPr>
              <w:pStyle w:val="TableParagraph"/>
              <w:jc w:val="center"/>
              <w:rPr>
                <w:sz w:val="19"/>
                <w:szCs w:val="19"/>
              </w:rPr>
            </w:pPr>
          </w:p>
          <w:p w14:paraId="3CF829DA"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D0DA445" wp14:editId="2F63BD31">
                  <wp:extent cx="114300" cy="114300"/>
                  <wp:effectExtent l="0" t="0" r="0" b="0"/>
                  <wp:docPr id="24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42E95A29"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67E8B326" w14:textId="77777777" w:rsidR="0077484B" w:rsidRPr="00B31EF0" w:rsidRDefault="0077484B" w:rsidP="0077484B">
            <w:pPr>
              <w:pStyle w:val="TableParagraph"/>
              <w:rPr>
                <w:sz w:val="19"/>
                <w:szCs w:val="19"/>
              </w:rPr>
            </w:pPr>
            <w:r w:rsidRPr="00B31EF0">
              <w:rPr>
                <w:sz w:val="19"/>
                <w:szCs w:val="19"/>
              </w:rPr>
              <w:t>2.2. Lack of transparency on how the outcome has been produced</w:t>
            </w:r>
          </w:p>
        </w:tc>
        <w:tc>
          <w:tcPr>
            <w:tcW w:w="1157" w:type="dxa"/>
            <w:tcBorders>
              <w:top w:val="single" w:sz="12" w:space="0" w:color="BABABA"/>
              <w:left w:val="single" w:sz="12" w:space="0" w:color="BABABA"/>
              <w:bottom w:val="nil"/>
              <w:right w:val="single" w:sz="12" w:space="0" w:color="BABABA"/>
            </w:tcBorders>
          </w:tcPr>
          <w:p w14:paraId="652D9830" w14:textId="77777777" w:rsidR="0077484B" w:rsidRPr="00B31EF0" w:rsidRDefault="0077484B" w:rsidP="0077484B">
            <w:pPr>
              <w:pStyle w:val="TableParagraph"/>
              <w:jc w:val="center"/>
              <w:rPr>
                <w:sz w:val="19"/>
                <w:szCs w:val="19"/>
              </w:rPr>
            </w:pPr>
          </w:p>
          <w:p w14:paraId="21344C0C" w14:textId="77777777" w:rsidR="0077484B" w:rsidRPr="00B31EF0" w:rsidRDefault="0077484B" w:rsidP="0077484B">
            <w:pPr>
              <w:pStyle w:val="TableParagraph"/>
              <w:jc w:val="center"/>
              <w:rPr>
                <w:sz w:val="19"/>
                <w:szCs w:val="19"/>
              </w:rPr>
            </w:pPr>
          </w:p>
          <w:p w14:paraId="6E561D55"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205DC2C7" wp14:editId="48061071">
                  <wp:extent cx="114300" cy="114300"/>
                  <wp:effectExtent l="0" t="0" r="0" b="0"/>
                  <wp:docPr id="24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78B02FD3" w14:textId="77777777" w:rsidR="0077484B" w:rsidRPr="00B31EF0" w:rsidRDefault="0077484B" w:rsidP="0077484B">
            <w:pPr>
              <w:pStyle w:val="TableParagraph"/>
              <w:jc w:val="center"/>
              <w:rPr>
                <w:sz w:val="19"/>
                <w:szCs w:val="19"/>
              </w:rPr>
            </w:pPr>
          </w:p>
          <w:p w14:paraId="1A27ABDD" w14:textId="77777777" w:rsidR="0077484B" w:rsidRPr="00B31EF0" w:rsidRDefault="0077484B" w:rsidP="0077484B">
            <w:pPr>
              <w:pStyle w:val="TableParagraph"/>
              <w:jc w:val="center"/>
              <w:rPr>
                <w:sz w:val="19"/>
                <w:szCs w:val="19"/>
              </w:rPr>
            </w:pPr>
          </w:p>
          <w:p w14:paraId="7EF8FAA6"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2BB18D77" wp14:editId="558CD842">
                  <wp:extent cx="114300" cy="114300"/>
                  <wp:effectExtent l="0" t="0" r="0" b="0"/>
                  <wp:docPr id="24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30B4A971" w14:textId="77777777" w:rsidR="0077484B" w:rsidRPr="00B31EF0" w:rsidRDefault="0077484B" w:rsidP="0077484B">
            <w:pPr>
              <w:pStyle w:val="TableParagraph"/>
              <w:jc w:val="center"/>
              <w:rPr>
                <w:sz w:val="19"/>
                <w:szCs w:val="19"/>
              </w:rPr>
            </w:pPr>
          </w:p>
          <w:p w14:paraId="1DD526B3" w14:textId="77777777" w:rsidR="0077484B" w:rsidRPr="00B31EF0" w:rsidRDefault="0077484B" w:rsidP="0077484B">
            <w:pPr>
              <w:pStyle w:val="TableParagraph"/>
              <w:jc w:val="center"/>
              <w:rPr>
                <w:sz w:val="19"/>
                <w:szCs w:val="19"/>
              </w:rPr>
            </w:pPr>
          </w:p>
          <w:p w14:paraId="153A61EB"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7514780" wp14:editId="2430C614">
                  <wp:extent cx="114300" cy="114300"/>
                  <wp:effectExtent l="0" t="0" r="0" b="0"/>
                  <wp:docPr id="24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7BCB3362" w14:textId="77777777" w:rsidR="0077484B" w:rsidRPr="00B31EF0" w:rsidRDefault="0077484B" w:rsidP="0077484B">
            <w:pPr>
              <w:pStyle w:val="TableParagraph"/>
              <w:jc w:val="center"/>
              <w:rPr>
                <w:sz w:val="19"/>
                <w:szCs w:val="19"/>
              </w:rPr>
            </w:pPr>
          </w:p>
          <w:p w14:paraId="3D7F2D97" w14:textId="77777777" w:rsidR="0077484B" w:rsidRPr="00B31EF0" w:rsidRDefault="0077484B" w:rsidP="0077484B">
            <w:pPr>
              <w:pStyle w:val="TableParagraph"/>
              <w:jc w:val="center"/>
              <w:rPr>
                <w:sz w:val="19"/>
                <w:szCs w:val="19"/>
              </w:rPr>
            </w:pPr>
          </w:p>
          <w:p w14:paraId="5304BE6A" w14:textId="4A4E9827" w:rsidR="0077484B" w:rsidRPr="00B31EF0" w:rsidRDefault="0077484B"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nil"/>
              <w:right w:val="single" w:sz="12" w:space="0" w:color="BABABA"/>
            </w:tcBorders>
          </w:tcPr>
          <w:p w14:paraId="7809CA10" w14:textId="77777777" w:rsidR="0077484B" w:rsidRPr="00B31EF0" w:rsidRDefault="0077484B" w:rsidP="0077484B">
            <w:pPr>
              <w:pStyle w:val="TableParagraph"/>
              <w:jc w:val="center"/>
              <w:rPr>
                <w:sz w:val="19"/>
                <w:szCs w:val="19"/>
              </w:rPr>
            </w:pPr>
          </w:p>
          <w:p w14:paraId="2A99B4AF" w14:textId="77777777" w:rsidR="0077484B" w:rsidRPr="00B31EF0" w:rsidRDefault="0077484B" w:rsidP="0077484B">
            <w:pPr>
              <w:pStyle w:val="TableParagraph"/>
              <w:jc w:val="center"/>
              <w:rPr>
                <w:sz w:val="19"/>
                <w:szCs w:val="19"/>
              </w:rPr>
            </w:pPr>
          </w:p>
          <w:p w14:paraId="65B57490"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2D2EE069" wp14:editId="7A63F17C">
                  <wp:extent cx="114300" cy="114300"/>
                  <wp:effectExtent l="0" t="0" r="0" b="0"/>
                  <wp:docPr id="24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7D45B417" w14:textId="77777777" w:rsidR="0077484B" w:rsidRPr="00B31EF0" w:rsidRDefault="0077484B" w:rsidP="0077484B">
            <w:pPr>
              <w:pStyle w:val="TableParagraph"/>
              <w:jc w:val="center"/>
              <w:rPr>
                <w:sz w:val="19"/>
                <w:szCs w:val="19"/>
              </w:rPr>
            </w:pPr>
          </w:p>
          <w:p w14:paraId="761AD941" w14:textId="77777777" w:rsidR="0077484B" w:rsidRPr="00B31EF0" w:rsidRDefault="0077484B" w:rsidP="0077484B">
            <w:pPr>
              <w:pStyle w:val="TableParagraph"/>
              <w:jc w:val="center"/>
              <w:rPr>
                <w:sz w:val="19"/>
                <w:szCs w:val="19"/>
              </w:rPr>
            </w:pPr>
          </w:p>
          <w:p w14:paraId="7F0D7909"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7341DFA" wp14:editId="556EEA71">
                  <wp:extent cx="114300" cy="114300"/>
                  <wp:effectExtent l="0" t="0" r="0" b="0"/>
                  <wp:docPr id="24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774C0825"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0D34B588" w14:textId="77777777" w:rsidR="0077484B" w:rsidRPr="00B31EF0" w:rsidRDefault="0077484B" w:rsidP="0077484B">
            <w:pPr>
              <w:pStyle w:val="TableParagraph"/>
              <w:rPr>
                <w:sz w:val="19"/>
                <w:szCs w:val="19"/>
              </w:rPr>
            </w:pPr>
            <w:r w:rsidRPr="00B31EF0">
              <w:rPr>
                <w:sz w:val="19"/>
                <w:szCs w:val="19"/>
              </w:rPr>
              <w:t>2.3. Lack of understanding on how the outcome has been produced</w:t>
            </w:r>
          </w:p>
        </w:tc>
        <w:tc>
          <w:tcPr>
            <w:tcW w:w="1157" w:type="dxa"/>
            <w:tcBorders>
              <w:top w:val="single" w:sz="12" w:space="0" w:color="BABABA"/>
              <w:left w:val="single" w:sz="12" w:space="0" w:color="BABABA"/>
              <w:bottom w:val="nil"/>
              <w:right w:val="single" w:sz="12" w:space="0" w:color="BABABA"/>
            </w:tcBorders>
          </w:tcPr>
          <w:p w14:paraId="3A24E5B1" w14:textId="77777777" w:rsidR="0077484B" w:rsidRPr="00B31EF0" w:rsidRDefault="0077484B" w:rsidP="0077484B">
            <w:pPr>
              <w:pStyle w:val="TableParagraph"/>
              <w:jc w:val="center"/>
              <w:rPr>
                <w:sz w:val="19"/>
                <w:szCs w:val="19"/>
              </w:rPr>
            </w:pPr>
          </w:p>
          <w:p w14:paraId="348C957D" w14:textId="77777777" w:rsidR="0077484B" w:rsidRPr="00B31EF0" w:rsidRDefault="0077484B" w:rsidP="0077484B">
            <w:pPr>
              <w:pStyle w:val="TableParagraph"/>
              <w:jc w:val="center"/>
              <w:rPr>
                <w:sz w:val="19"/>
                <w:szCs w:val="19"/>
              </w:rPr>
            </w:pPr>
          </w:p>
          <w:p w14:paraId="104F9C41"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B24DD1A" wp14:editId="7042DF12">
                  <wp:extent cx="114300" cy="114300"/>
                  <wp:effectExtent l="0" t="0" r="0" b="0"/>
                  <wp:docPr id="24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592A13CC" w14:textId="77777777" w:rsidR="0077484B" w:rsidRPr="00B31EF0" w:rsidRDefault="0077484B" w:rsidP="0077484B">
            <w:pPr>
              <w:pStyle w:val="TableParagraph"/>
              <w:jc w:val="center"/>
              <w:rPr>
                <w:sz w:val="19"/>
                <w:szCs w:val="19"/>
              </w:rPr>
            </w:pPr>
          </w:p>
          <w:p w14:paraId="3E465D10" w14:textId="77777777" w:rsidR="0077484B" w:rsidRPr="00B31EF0" w:rsidRDefault="0077484B" w:rsidP="0077484B">
            <w:pPr>
              <w:pStyle w:val="TableParagraph"/>
              <w:jc w:val="center"/>
              <w:rPr>
                <w:sz w:val="19"/>
                <w:szCs w:val="19"/>
              </w:rPr>
            </w:pPr>
          </w:p>
          <w:p w14:paraId="2C6D147E"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5074B152" wp14:editId="27C37354">
                  <wp:extent cx="114300" cy="114300"/>
                  <wp:effectExtent l="0" t="0" r="0" b="0"/>
                  <wp:docPr id="24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6FB7EBE7" w14:textId="77777777" w:rsidR="0077484B" w:rsidRPr="00B31EF0" w:rsidRDefault="0077484B" w:rsidP="0077484B">
            <w:pPr>
              <w:pStyle w:val="TableParagraph"/>
              <w:jc w:val="center"/>
              <w:rPr>
                <w:sz w:val="19"/>
                <w:szCs w:val="19"/>
              </w:rPr>
            </w:pPr>
          </w:p>
          <w:p w14:paraId="7DE1FDB7" w14:textId="77777777" w:rsidR="0077484B" w:rsidRPr="00B31EF0" w:rsidRDefault="0077484B" w:rsidP="0077484B">
            <w:pPr>
              <w:pStyle w:val="TableParagraph"/>
              <w:jc w:val="center"/>
              <w:rPr>
                <w:sz w:val="19"/>
                <w:szCs w:val="19"/>
              </w:rPr>
            </w:pPr>
          </w:p>
          <w:p w14:paraId="61CF5EF9"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02C1D82" wp14:editId="0774BC5A">
                  <wp:extent cx="114300" cy="114300"/>
                  <wp:effectExtent l="0" t="0" r="0" b="0"/>
                  <wp:docPr id="24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6B7B5C48" w14:textId="77777777" w:rsidR="0077484B" w:rsidRPr="00B31EF0" w:rsidRDefault="0077484B" w:rsidP="0077484B">
            <w:pPr>
              <w:pStyle w:val="TableParagraph"/>
              <w:jc w:val="center"/>
              <w:rPr>
                <w:sz w:val="19"/>
                <w:szCs w:val="19"/>
              </w:rPr>
            </w:pPr>
          </w:p>
          <w:p w14:paraId="76903096" w14:textId="77777777" w:rsidR="0077484B" w:rsidRPr="00B31EF0" w:rsidRDefault="0077484B" w:rsidP="0077484B">
            <w:pPr>
              <w:pStyle w:val="TableParagraph"/>
              <w:jc w:val="center"/>
              <w:rPr>
                <w:sz w:val="19"/>
                <w:szCs w:val="19"/>
              </w:rPr>
            </w:pPr>
          </w:p>
          <w:p w14:paraId="14A4E334" w14:textId="7ADB3B4B" w:rsidR="0077484B" w:rsidRPr="00B31EF0" w:rsidRDefault="0077484B"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nil"/>
              <w:right w:val="single" w:sz="12" w:space="0" w:color="BABABA"/>
            </w:tcBorders>
          </w:tcPr>
          <w:p w14:paraId="14AD0D59" w14:textId="77777777" w:rsidR="0077484B" w:rsidRPr="00B31EF0" w:rsidRDefault="0077484B" w:rsidP="0077484B">
            <w:pPr>
              <w:pStyle w:val="TableParagraph"/>
              <w:jc w:val="center"/>
              <w:rPr>
                <w:sz w:val="19"/>
                <w:szCs w:val="19"/>
              </w:rPr>
            </w:pPr>
          </w:p>
          <w:p w14:paraId="4DE5BF6F" w14:textId="77777777" w:rsidR="0077484B" w:rsidRPr="00B31EF0" w:rsidRDefault="0077484B" w:rsidP="0077484B">
            <w:pPr>
              <w:pStyle w:val="TableParagraph"/>
              <w:jc w:val="center"/>
              <w:rPr>
                <w:sz w:val="19"/>
                <w:szCs w:val="19"/>
              </w:rPr>
            </w:pPr>
          </w:p>
          <w:p w14:paraId="01EDF6B2"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50D0DEB0" wp14:editId="77FBDD87">
                  <wp:extent cx="114300" cy="114300"/>
                  <wp:effectExtent l="0" t="0" r="0" b="0"/>
                  <wp:docPr id="24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211DB753" w14:textId="77777777" w:rsidR="0077484B" w:rsidRPr="00B31EF0" w:rsidRDefault="0077484B" w:rsidP="0077484B">
            <w:pPr>
              <w:pStyle w:val="TableParagraph"/>
              <w:jc w:val="center"/>
              <w:rPr>
                <w:sz w:val="19"/>
                <w:szCs w:val="19"/>
              </w:rPr>
            </w:pPr>
          </w:p>
          <w:p w14:paraId="0C0EA886" w14:textId="77777777" w:rsidR="0077484B" w:rsidRPr="00B31EF0" w:rsidRDefault="0077484B" w:rsidP="0077484B">
            <w:pPr>
              <w:pStyle w:val="TableParagraph"/>
              <w:jc w:val="center"/>
              <w:rPr>
                <w:sz w:val="19"/>
                <w:szCs w:val="19"/>
              </w:rPr>
            </w:pPr>
          </w:p>
          <w:p w14:paraId="2963DE18"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46E6AD9" wp14:editId="6B05C266">
                  <wp:extent cx="114300" cy="114300"/>
                  <wp:effectExtent l="0" t="0" r="0" b="0"/>
                  <wp:docPr id="24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6CFC8488"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3AE173F2" w14:textId="77777777" w:rsidR="0077484B" w:rsidRPr="00B31EF0" w:rsidRDefault="0077484B" w:rsidP="0077484B">
            <w:pPr>
              <w:pStyle w:val="TableParagraph"/>
              <w:rPr>
                <w:sz w:val="19"/>
                <w:szCs w:val="19"/>
              </w:rPr>
            </w:pPr>
            <w:r w:rsidRPr="00B31EF0">
              <w:rPr>
                <w:sz w:val="19"/>
                <w:szCs w:val="19"/>
              </w:rPr>
              <w:t>2.4. Difficult to challenge a specific outcome</w:t>
            </w:r>
          </w:p>
        </w:tc>
        <w:tc>
          <w:tcPr>
            <w:tcW w:w="1157" w:type="dxa"/>
            <w:tcBorders>
              <w:top w:val="single" w:sz="12" w:space="0" w:color="BABABA"/>
              <w:left w:val="single" w:sz="12" w:space="0" w:color="BABABA"/>
              <w:bottom w:val="nil"/>
              <w:right w:val="single" w:sz="12" w:space="0" w:color="BABABA"/>
            </w:tcBorders>
          </w:tcPr>
          <w:p w14:paraId="7629D22B" w14:textId="77777777" w:rsidR="0077484B" w:rsidRPr="00B31EF0" w:rsidRDefault="0077484B" w:rsidP="0077484B">
            <w:pPr>
              <w:pStyle w:val="TableParagraph"/>
              <w:jc w:val="center"/>
              <w:rPr>
                <w:sz w:val="19"/>
                <w:szCs w:val="19"/>
              </w:rPr>
            </w:pPr>
          </w:p>
          <w:p w14:paraId="3D70B1DC"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56FFAC67" wp14:editId="2985D43F">
                  <wp:extent cx="114300" cy="114300"/>
                  <wp:effectExtent l="0" t="0" r="0" b="0"/>
                  <wp:docPr id="24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276410AD" w14:textId="77777777" w:rsidR="0077484B" w:rsidRPr="00B31EF0" w:rsidRDefault="0077484B" w:rsidP="0077484B">
            <w:pPr>
              <w:pStyle w:val="TableParagraph"/>
              <w:jc w:val="center"/>
              <w:rPr>
                <w:sz w:val="19"/>
                <w:szCs w:val="19"/>
              </w:rPr>
            </w:pPr>
          </w:p>
          <w:p w14:paraId="44E088D3"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0E2C2CC9" wp14:editId="4FBEE1D3">
                  <wp:extent cx="114300" cy="114300"/>
                  <wp:effectExtent l="0" t="0" r="0" b="0"/>
                  <wp:docPr id="24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74EDE788" w14:textId="77777777" w:rsidR="0077484B" w:rsidRPr="00B31EF0" w:rsidRDefault="0077484B" w:rsidP="0077484B">
            <w:pPr>
              <w:pStyle w:val="TableParagraph"/>
              <w:jc w:val="center"/>
              <w:rPr>
                <w:sz w:val="19"/>
                <w:szCs w:val="19"/>
              </w:rPr>
            </w:pPr>
          </w:p>
          <w:p w14:paraId="65D84749"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8EA4E71" wp14:editId="7FD02960">
                  <wp:extent cx="114300" cy="114300"/>
                  <wp:effectExtent l="0" t="0" r="0" b="0"/>
                  <wp:docPr id="24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3533B787" w14:textId="77777777" w:rsidR="0077484B" w:rsidRPr="00B31EF0" w:rsidRDefault="0077484B" w:rsidP="0077484B">
            <w:pPr>
              <w:pStyle w:val="TableParagraph"/>
              <w:jc w:val="center"/>
              <w:rPr>
                <w:sz w:val="19"/>
                <w:szCs w:val="19"/>
              </w:rPr>
            </w:pPr>
          </w:p>
          <w:p w14:paraId="1C148120" w14:textId="63933389" w:rsidR="0077484B" w:rsidRPr="00B31EF0" w:rsidRDefault="0077484B"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nil"/>
              <w:right w:val="single" w:sz="12" w:space="0" w:color="BABABA"/>
            </w:tcBorders>
          </w:tcPr>
          <w:p w14:paraId="59AA5C40" w14:textId="77777777" w:rsidR="0077484B" w:rsidRPr="00B31EF0" w:rsidRDefault="0077484B" w:rsidP="0077484B">
            <w:pPr>
              <w:pStyle w:val="TableParagraph"/>
              <w:jc w:val="center"/>
              <w:rPr>
                <w:sz w:val="19"/>
                <w:szCs w:val="19"/>
              </w:rPr>
            </w:pPr>
          </w:p>
          <w:p w14:paraId="77A1E2DB"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10D9241" wp14:editId="60B0BE26">
                  <wp:extent cx="114300" cy="114300"/>
                  <wp:effectExtent l="0" t="0" r="0" b="0"/>
                  <wp:docPr id="24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1888E312" w14:textId="77777777" w:rsidR="0077484B" w:rsidRPr="00B31EF0" w:rsidRDefault="0077484B" w:rsidP="0077484B">
            <w:pPr>
              <w:pStyle w:val="TableParagraph"/>
              <w:jc w:val="center"/>
              <w:rPr>
                <w:sz w:val="19"/>
                <w:szCs w:val="19"/>
              </w:rPr>
            </w:pPr>
          </w:p>
          <w:p w14:paraId="567BF896"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777B9F47" wp14:editId="5C9A6113">
                  <wp:extent cx="114300" cy="114300"/>
                  <wp:effectExtent l="0" t="0" r="0" b="0"/>
                  <wp:docPr id="24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14360CA9"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2E7540C8" w14:textId="77777777" w:rsidR="0077484B" w:rsidRPr="00B31EF0" w:rsidRDefault="0077484B" w:rsidP="0077484B">
            <w:pPr>
              <w:pStyle w:val="TableParagraph"/>
              <w:rPr>
                <w:sz w:val="19"/>
                <w:szCs w:val="19"/>
              </w:rPr>
            </w:pPr>
            <w:r w:rsidRPr="00B31EF0">
              <w:rPr>
                <w:sz w:val="19"/>
                <w:szCs w:val="19"/>
              </w:rPr>
              <w:t>2.5. Biases and/or exploitative profiling</w:t>
            </w:r>
          </w:p>
        </w:tc>
        <w:tc>
          <w:tcPr>
            <w:tcW w:w="1157" w:type="dxa"/>
            <w:tcBorders>
              <w:top w:val="single" w:sz="12" w:space="0" w:color="BABABA"/>
              <w:left w:val="single" w:sz="12" w:space="0" w:color="BABABA"/>
              <w:bottom w:val="nil"/>
              <w:right w:val="single" w:sz="12" w:space="0" w:color="BABABA"/>
            </w:tcBorders>
          </w:tcPr>
          <w:p w14:paraId="6342F75F" w14:textId="77777777" w:rsidR="0077484B" w:rsidRPr="00B31EF0" w:rsidRDefault="0077484B" w:rsidP="0077484B">
            <w:pPr>
              <w:pStyle w:val="TableParagraph"/>
              <w:jc w:val="center"/>
              <w:rPr>
                <w:sz w:val="19"/>
                <w:szCs w:val="19"/>
              </w:rPr>
            </w:pPr>
          </w:p>
          <w:p w14:paraId="1B18D2A1"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298B0087" wp14:editId="54A000BA">
                  <wp:extent cx="114300" cy="114300"/>
                  <wp:effectExtent l="0" t="0" r="0" b="0"/>
                  <wp:docPr id="24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2255192C" w14:textId="77777777" w:rsidR="0077484B" w:rsidRPr="00B31EF0" w:rsidRDefault="0077484B" w:rsidP="0077484B">
            <w:pPr>
              <w:pStyle w:val="TableParagraph"/>
              <w:jc w:val="center"/>
              <w:rPr>
                <w:sz w:val="19"/>
                <w:szCs w:val="19"/>
              </w:rPr>
            </w:pPr>
          </w:p>
          <w:p w14:paraId="35B366AE"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948B691" wp14:editId="159087BC">
                  <wp:extent cx="114300" cy="114300"/>
                  <wp:effectExtent l="0" t="0" r="0" b="0"/>
                  <wp:docPr id="24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3E76F5CE" w14:textId="77777777" w:rsidR="0077484B" w:rsidRPr="00B31EF0" w:rsidRDefault="0077484B" w:rsidP="0077484B">
            <w:pPr>
              <w:pStyle w:val="TableParagraph"/>
              <w:jc w:val="center"/>
              <w:rPr>
                <w:sz w:val="19"/>
                <w:szCs w:val="19"/>
              </w:rPr>
            </w:pPr>
          </w:p>
          <w:p w14:paraId="74C0BC72"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4B3ED78" wp14:editId="65A9FAF2">
                  <wp:extent cx="114300" cy="114300"/>
                  <wp:effectExtent l="0" t="0" r="0" b="0"/>
                  <wp:docPr id="24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210A4EBD" w14:textId="77777777" w:rsidR="0077484B" w:rsidRPr="00B31EF0" w:rsidRDefault="0077484B" w:rsidP="0077484B">
            <w:pPr>
              <w:pStyle w:val="TableParagraph"/>
              <w:jc w:val="center"/>
              <w:rPr>
                <w:sz w:val="19"/>
                <w:szCs w:val="19"/>
              </w:rPr>
            </w:pPr>
          </w:p>
          <w:p w14:paraId="237B5CBD" w14:textId="581D1E35" w:rsidR="0077484B" w:rsidRPr="00B31EF0" w:rsidRDefault="0077484B"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nil"/>
              <w:right w:val="single" w:sz="12" w:space="0" w:color="BABABA"/>
            </w:tcBorders>
          </w:tcPr>
          <w:p w14:paraId="4EA17B5A" w14:textId="77777777" w:rsidR="0077484B" w:rsidRPr="00B31EF0" w:rsidRDefault="0077484B" w:rsidP="0077484B">
            <w:pPr>
              <w:pStyle w:val="TableParagraph"/>
              <w:jc w:val="center"/>
              <w:rPr>
                <w:sz w:val="19"/>
                <w:szCs w:val="19"/>
              </w:rPr>
            </w:pPr>
          </w:p>
          <w:p w14:paraId="24060A7B"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750AEDA1" wp14:editId="3F4B1EF1">
                  <wp:extent cx="114300" cy="114300"/>
                  <wp:effectExtent l="0" t="0" r="0" b="0"/>
                  <wp:docPr id="24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16CCE1E9" w14:textId="77777777" w:rsidR="0077484B" w:rsidRPr="00B31EF0" w:rsidRDefault="0077484B" w:rsidP="0077484B">
            <w:pPr>
              <w:pStyle w:val="TableParagraph"/>
              <w:jc w:val="center"/>
              <w:rPr>
                <w:sz w:val="19"/>
                <w:szCs w:val="19"/>
              </w:rPr>
            </w:pPr>
          </w:p>
          <w:p w14:paraId="4D035739"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3FEEDB4B" wp14:editId="495F9A9F">
                  <wp:extent cx="114300" cy="114300"/>
                  <wp:effectExtent l="0" t="0" r="0" b="0"/>
                  <wp:docPr id="24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46108D43"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789078E5" w14:textId="77777777" w:rsidR="0077484B" w:rsidRPr="00B31EF0" w:rsidRDefault="0077484B" w:rsidP="0077484B">
            <w:pPr>
              <w:pStyle w:val="TableParagraph"/>
              <w:rPr>
                <w:sz w:val="19"/>
                <w:szCs w:val="19"/>
              </w:rPr>
            </w:pPr>
            <w:r w:rsidRPr="00B31EF0">
              <w:rPr>
                <w:sz w:val="19"/>
                <w:szCs w:val="19"/>
              </w:rPr>
              <w:t>2.6. Financial exclusion</w:t>
            </w:r>
          </w:p>
        </w:tc>
        <w:tc>
          <w:tcPr>
            <w:tcW w:w="1157" w:type="dxa"/>
            <w:tcBorders>
              <w:top w:val="single" w:sz="12" w:space="0" w:color="BABABA"/>
              <w:left w:val="single" w:sz="12" w:space="0" w:color="BABABA"/>
              <w:bottom w:val="nil"/>
              <w:right w:val="single" w:sz="12" w:space="0" w:color="BABABA"/>
            </w:tcBorders>
          </w:tcPr>
          <w:p w14:paraId="597AF0A9" w14:textId="77777777" w:rsidR="0077484B" w:rsidRPr="00B31EF0" w:rsidRDefault="0077484B" w:rsidP="0077484B">
            <w:pPr>
              <w:pStyle w:val="TableParagraph"/>
              <w:jc w:val="center"/>
              <w:rPr>
                <w:sz w:val="19"/>
                <w:szCs w:val="19"/>
              </w:rPr>
            </w:pPr>
          </w:p>
          <w:p w14:paraId="5C6F6CD1"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73BB9F73" wp14:editId="7FE0E8DF">
                  <wp:extent cx="114300" cy="114300"/>
                  <wp:effectExtent l="0" t="0" r="0" b="0"/>
                  <wp:docPr id="24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39AE7D92" w14:textId="77777777" w:rsidR="0077484B" w:rsidRPr="00B31EF0" w:rsidRDefault="0077484B" w:rsidP="0077484B">
            <w:pPr>
              <w:pStyle w:val="TableParagraph"/>
              <w:jc w:val="center"/>
              <w:rPr>
                <w:sz w:val="19"/>
                <w:szCs w:val="19"/>
              </w:rPr>
            </w:pPr>
          </w:p>
          <w:p w14:paraId="7614163D"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7252BB01" wp14:editId="6ADD0946">
                  <wp:extent cx="114300" cy="114300"/>
                  <wp:effectExtent l="0" t="0" r="0" b="0"/>
                  <wp:docPr id="24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7BA617F2" w14:textId="77777777" w:rsidR="0077484B" w:rsidRPr="00B31EF0" w:rsidRDefault="0077484B" w:rsidP="0077484B">
            <w:pPr>
              <w:pStyle w:val="TableParagraph"/>
              <w:jc w:val="center"/>
              <w:rPr>
                <w:sz w:val="19"/>
                <w:szCs w:val="19"/>
              </w:rPr>
            </w:pPr>
          </w:p>
          <w:p w14:paraId="2DF18D6F" w14:textId="2A330482" w:rsidR="0077484B" w:rsidRPr="00B31EF0" w:rsidRDefault="00E91185" w:rsidP="0077484B">
            <w:pPr>
              <w:pStyle w:val="TableParagraph"/>
              <w:jc w:val="center"/>
              <w:rPr>
                <w:sz w:val="19"/>
                <w:szCs w:val="19"/>
              </w:rPr>
            </w:pPr>
            <w:r w:rsidRPr="00B31EF0">
              <w:rPr>
                <w:noProof/>
                <w:sz w:val="19"/>
                <w:szCs w:val="19"/>
                <w:lang w:val="en-GB" w:eastAsia="en-GB"/>
              </w:rPr>
              <w:drawing>
                <wp:inline distT="0" distB="0" distL="0" distR="0" wp14:anchorId="1CFEFCD3" wp14:editId="7D35EEE9">
                  <wp:extent cx="114300" cy="114300"/>
                  <wp:effectExtent l="0" t="0" r="0" b="0"/>
                  <wp:docPr id="275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26CBB22B" w14:textId="77777777" w:rsidR="0077484B" w:rsidRPr="00B31EF0" w:rsidRDefault="0077484B" w:rsidP="0077484B">
            <w:pPr>
              <w:pStyle w:val="TableParagraph"/>
              <w:jc w:val="center"/>
              <w:rPr>
                <w:sz w:val="19"/>
                <w:szCs w:val="19"/>
              </w:rPr>
            </w:pPr>
          </w:p>
          <w:p w14:paraId="6F7EE31A" w14:textId="0240C121" w:rsidR="0077484B" w:rsidRPr="00B31EF0" w:rsidRDefault="00E91185" w:rsidP="0077484B">
            <w:pPr>
              <w:pStyle w:val="TableParagraph"/>
              <w:jc w:val="center"/>
              <w:rPr>
                <w:sz w:val="19"/>
                <w:szCs w:val="19"/>
              </w:rPr>
            </w:pPr>
            <w:r w:rsidRPr="00B31EF0">
              <w:rPr>
                <w:sz w:val="19"/>
                <w:szCs w:val="19"/>
              </w:rPr>
              <w:t>X</w:t>
            </w:r>
            <w:r w:rsidRPr="00B31EF0">
              <w:rPr>
                <w:noProof/>
                <w:sz w:val="19"/>
                <w:szCs w:val="19"/>
                <w:lang w:val="en-GB" w:eastAsia="en-GB"/>
              </w:rPr>
              <w:t xml:space="preserve"> </w:t>
            </w:r>
          </w:p>
        </w:tc>
        <w:tc>
          <w:tcPr>
            <w:tcW w:w="1005" w:type="dxa"/>
            <w:tcBorders>
              <w:top w:val="single" w:sz="12" w:space="0" w:color="BABABA"/>
              <w:left w:val="single" w:sz="12" w:space="0" w:color="BABABA"/>
              <w:bottom w:val="nil"/>
              <w:right w:val="single" w:sz="12" w:space="0" w:color="BABABA"/>
            </w:tcBorders>
          </w:tcPr>
          <w:p w14:paraId="71DB4139" w14:textId="77777777" w:rsidR="0077484B" w:rsidRPr="00B31EF0" w:rsidRDefault="0077484B" w:rsidP="0077484B">
            <w:pPr>
              <w:pStyle w:val="TableParagraph"/>
              <w:jc w:val="center"/>
              <w:rPr>
                <w:sz w:val="19"/>
                <w:szCs w:val="19"/>
              </w:rPr>
            </w:pPr>
          </w:p>
          <w:p w14:paraId="03620D64"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49D7B328" wp14:editId="7300F459">
                  <wp:extent cx="114300" cy="114300"/>
                  <wp:effectExtent l="0" t="0" r="0" b="0"/>
                  <wp:docPr id="24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63A8552C" w14:textId="77777777" w:rsidR="0077484B" w:rsidRPr="00B31EF0" w:rsidRDefault="0077484B" w:rsidP="0077484B">
            <w:pPr>
              <w:pStyle w:val="TableParagraph"/>
              <w:jc w:val="center"/>
              <w:rPr>
                <w:sz w:val="19"/>
                <w:szCs w:val="19"/>
              </w:rPr>
            </w:pPr>
          </w:p>
          <w:p w14:paraId="4BD85A64"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06AAECFA" wp14:editId="6651E2FF">
                  <wp:extent cx="114300" cy="114300"/>
                  <wp:effectExtent l="0" t="0" r="0" b="0"/>
                  <wp:docPr id="24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407EA94A" w14:textId="77777777" w:rsidTr="00B33A2C">
        <w:trPr>
          <w:trHeight w:val="410"/>
        </w:trPr>
        <w:tc>
          <w:tcPr>
            <w:tcW w:w="2788" w:type="dxa"/>
            <w:tcBorders>
              <w:top w:val="single" w:sz="12" w:space="0" w:color="BABABA"/>
              <w:left w:val="single" w:sz="12" w:space="0" w:color="BABABA"/>
              <w:bottom w:val="nil"/>
              <w:right w:val="single" w:sz="12" w:space="0" w:color="BABABA"/>
            </w:tcBorders>
          </w:tcPr>
          <w:p w14:paraId="04082281" w14:textId="77777777" w:rsidR="0077484B" w:rsidRPr="00B31EF0" w:rsidRDefault="0077484B" w:rsidP="0077484B">
            <w:pPr>
              <w:pStyle w:val="TableParagraph"/>
              <w:rPr>
                <w:sz w:val="19"/>
                <w:szCs w:val="19"/>
              </w:rPr>
            </w:pPr>
            <w:r w:rsidRPr="00B31EF0">
              <w:rPr>
                <w:sz w:val="19"/>
                <w:szCs w:val="19"/>
              </w:rPr>
              <w:t>2.7. Algorithm-based behavioural manipulation (e.g. collusion and other coordinated firm behaviour)</w:t>
            </w:r>
          </w:p>
        </w:tc>
        <w:tc>
          <w:tcPr>
            <w:tcW w:w="1157" w:type="dxa"/>
            <w:tcBorders>
              <w:top w:val="single" w:sz="12" w:space="0" w:color="BABABA"/>
              <w:left w:val="single" w:sz="12" w:space="0" w:color="BABABA"/>
              <w:bottom w:val="nil"/>
              <w:right w:val="single" w:sz="12" w:space="0" w:color="BABABA"/>
            </w:tcBorders>
          </w:tcPr>
          <w:p w14:paraId="47205633" w14:textId="77777777" w:rsidR="0077484B" w:rsidRPr="00B31EF0" w:rsidRDefault="0077484B" w:rsidP="0077484B">
            <w:pPr>
              <w:pStyle w:val="TableParagraph"/>
              <w:jc w:val="center"/>
              <w:rPr>
                <w:sz w:val="19"/>
                <w:szCs w:val="19"/>
              </w:rPr>
            </w:pPr>
          </w:p>
          <w:p w14:paraId="3E97CA3A" w14:textId="77777777" w:rsidR="0077484B" w:rsidRPr="00B31EF0" w:rsidRDefault="0077484B" w:rsidP="0077484B">
            <w:pPr>
              <w:pStyle w:val="TableParagraph"/>
              <w:jc w:val="center"/>
              <w:rPr>
                <w:sz w:val="19"/>
                <w:szCs w:val="19"/>
              </w:rPr>
            </w:pPr>
          </w:p>
          <w:p w14:paraId="6035FBE5" w14:textId="77777777" w:rsidR="0077484B" w:rsidRPr="00B31EF0" w:rsidRDefault="0077484B" w:rsidP="0077484B">
            <w:pPr>
              <w:pStyle w:val="TableParagraph"/>
              <w:jc w:val="center"/>
              <w:rPr>
                <w:sz w:val="19"/>
                <w:szCs w:val="19"/>
              </w:rPr>
            </w:pPr>
          </w:p>
          <w:p w14:paraId="120D5E74"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E7E48F8" wp14:editId="7DC2475A">
                  <wp:extent cx="114300" cy="114300"/>
                  <wp:effectExtent l="0" t="0" r="0" b="0"/>
                  <wp:docPr id="24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25ED4EF3" w14:textId="77777777" w:rsidR="0077484B" w:rsidRPr="00B31EF0" w:rsidRDefault="0077484B" w:rsidP="0077484B">
            <w:pPr>
              <w:pStyle w:val="TableParagraph"/>
              <w:jc w:val="center"/>
              <w:rPr>
                <w:sz w:val="19"/>
                <w:szCs w:val="19"/>
              </w:rPr>
            </w:pPr>
          </w:p>
          <w:p w14:paraId="1BFA8CB5" w14:textId="77777777" w:rsidR="0077484B" w:rsidRPr="00B31EF0" w:rsidRDefault="0077484B" w:rsidP="0077484B">
            <w:pPr>
              <w:pStyle w:val="TableParagraph"/>
              <w:jc w:val="center"/>
              <w:rPr>
                <w:sz w:val="19"/>
                <w:szCs w:val="19"/>
              </w:rPr>
            </w:pPr>
          </w:p>
          <w:p w14:paraId="75F4B9B7" w14:textId="77777777" w:rsidR="0077484B" w:rsidRPr="00B31EF0" w:rsidRDefault="0077484B" w:rsidP="0077484B">
            <w:pPr>
              <w:pStyle w:val="TableParagraph"/>
              <w:jc w:val="center"/>
              <w:rPr>
                <w:sz w:val="19"/>
                <w:szCs w:val="19"/>
              </w:rPr>
            </w:pPr>
          </w:p>
          <w:p w14:paraId="4885AA00"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2138523D" wp14:editId="08B7C275">
                  <wp:extent cx="114300" cy="114300"/>
                  <wp:effectExtent l="0" t="0" r="0" b="0"/>
                  <wp:docPr id="24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nil"/>
              <w:right w:val="single" w:sz="12" w:space="0" w:color="BABABA"/>
            </w:tcBorders>
          </w:tcPr>
          <w:p w14:paraId="4AD79A0A" w14:textId="77777777" w:rsidR="0077484B" w:rsidRPr="00B31EF0" w:rsidRDefault="0077484B" w:rsidP="0077484B">
            <w:pPr>
              <w:pStyle w:val="TableParagraph"/>
              <w:jc w:val="center"/>
              <w:rPr>
                <w:sz w:val="19"/>
                <w:szCs w:val="19"/>
              </w:rPr>
            </w:pPr>
          </w:p>
          <w:p w14:paraId="4C3D5BE1" w14:textId="77777777" w:rsidR="0077484B" w:rsidRPr="00B31EF0" w:rsidRDefault="0077484B" w:rsidP="0077484B">
            <w:pPr>
              <w:pStyle w:val="TableParagraph"/>
              <w:jc w:val="center"/>
              <w:rPr>
                <w:sz w:val="19"/>
                <w:szCs w:val="19"/>
              </w:rPr>
            </w:pPr>
          </w:p>
          <w:p w14:paraId="68FAB64E" w14:textId="77777777" w:rsidR="0077484B" w:rsidRPr="00B31EF0" w:rsidRDefault="0077484B" w:rsidP="0077484B">
            <w:pPr>
              <w:pStyle w:val="TableParagraph"/>
              <w:jc w:val="center"/>
              <w:rPr>
                <w:sz w:val="19"/>
                <w:szCs w:val="19"/>
              </w:rPr>
            </w:pPr>
          </w:p>
          <w:p w14:paraId="7530B9EE"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0CABC33F" wp14:editId="346DF8F7">
                  <wp:extent cx="114300" cy="114300"/>
                  <wp:effectExtent l="0" t="0" r="0" b="0"/>
                  <wp:docPr id="24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nil"/>
              <w:right w:val="single" w:sz="12" w:space="0" w:color="BABABA"/>
            </w:tcBorders>
          </w:tcPr>
          <w:p w14:paraId="6959D95E" w14:textId="77777777" w:rsidR="0077484B" w:rsidRPr="00B31EF0" w:rsidRDefault="0077484B" w:rsidP="0077484B">
            <w:pPr>
              <w:pStyle w:val="TableParagraph"/>
              <w:jc w:val="center"/>
              <w:rPr>
                <w:sz w:val="19"/>
                <w:szCs w:val="19"/>
              </w:rPr>
            </w:pPr>
          </w:p>
          <w:p w14:paraId="36F4D95E" w14:textId="77777777" w:rsidR="0077484B" w:rsidRPr="00B31EF0" w:rsidRDefault="0077484B" w:rsidP="0077484B">
            <w:pPr>
              <w:pStyle w:val="TableParagraph"/>
              <w:jc w:val="center"/>
              <w:rPr>
                <w:sz w:val="19"/>
                <w:szCs w:val="19"/>
              </w:rPr>
            </w:pPr>
          </w:p>
          <w:p w14:paraId="6A43CC67" w14:textId="77777777" w:rsidR="0077484B" w:rsidRPr="00B31EF0" w:rsidRDefault="0077484B" w:rsidP="0077484B">
            <w:pPr>
              <w:pStyle w:val="TableParagraph"/>
              <w:jc w:val="center"/>
              <w:rPr>
                <w:sz w:val="19"/>
                <w:szCs w:val="19"/>
              </w:rPr>
            </w:pPr>
          </w:p>
          <w:p w14:paraId="460582C7" w14:textId="44B14953" w:rsidR="0077484B" w:rsidRPr="00B31EF0" w:rsidRDefault="0077484B"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nil"/>
              <w:right w:val="single" w:sz="12" w:space="0" w:color="BABABA"/>
            </w:tcBorders>
          </w:tcPr>
          <w:p w14:paraId="5C76F3B1" w14:textId="77777777" w:rsidR="0077484B" w:rsidRPr="00B31EF0" w:rsidRDefault="0077484B" w:rsidP="0077484B">
            <w:pPr>
              <w:pStyle w:val="TableParagraph"/>
              <w:jc w:val="center"/>
              <w:rPr>
                <w:sz w:val="19"/>
                <w:szCs w:val="19"/>
              </w:rPr>
            </w:pPr>
          </w:p>
          <w:p w14:paraId="5A6FC09D" w14:textId="77777777" w:rsidR="0077484B" w:rsidRPr="00B31EF0" w:rsidRDefault="0077484B" w:rsidP="0077484B">
            <w:pPr>
              <w:pStyle w:val="TableParagraph"/>
              <w:jc w:val="center"/>
              <w:rPr>
                <w:sz w:val="19"/>
                <w:szCs w:val="19"/>
              </w:rPr>
            </w:pPr>
          </w:p>
          <w:p w14:paraId="0C3D35C8" w14:textId="77777777" w:rsidR="0077484B" w:rsidRPr="00B31EF0" w:rsidRDefault="0077484B" w:rsidP="0077484B">
            <w:pPr>
              <w:pStyle w:val="TableParagraph"/>
              <w:jc w:val="center"/>
              <w:rPr>
                <w:sz w:val="19"/>
                <w:szCs w:val="19"/>
              </w:rPr>
            </w:pPr>
          </w:p>
          <w:p w14:paraId="2344FEF8"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68D0C600" wp14:editId="2C48E4B0">
                  <wp:extent cx="114300" cy="114300"/>
                  <wp:effectExtent l="0" t="0" r="0" b="0"/>
                  <wp:docPr id="24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nil"/>
              <w:right w:val="single" w:sz="12" w:space="0" w:color="BABABA"/>
            </w:tcBorders>
          </w:tcPr>
          <w:p w14:paraId="28F6243F" w14:textId="77777777" w:rsidR="0077484B" w:rsidRPr="00B31EF0" w:rsidRDefault="0077484B" w:rsidP="0077484B">
            <w:pPr>
              <w:pStyle w:val="TableParagraph"/>
              <w:jc w:val="center"/>
              <w:rPr>
                <w:sz w:val="19"/>
                <w:szCs w:val="19"/>
              </w:rPr>
            </w:pPr>
          </w:p>
          <w:p w14:paraId="05D9488D" w14:textId="77777777" w:rsidR="0077484B" w:rsidRPr="00B31EF0" w:rsidRDefault="0077484B" w:rsidP="0077484B">
            <w:pPr>
              <w:pStyle w:val="TableParagraph"/>
              <w:jc w:val="center"/>
              <w:rPr>
                <w:sz w:val="19"/>
                <w:szCs w:val="19"/>
              </w:rPr>
            </w:pPr>
          </w:p>
          <w:p w14:paraId="7BC0FD85" w14:textId="77777777" w:rsidR="0077484B" w:rsidRPr="00B31EF0" w:rsidRDefault="0077484B" w:rsidP="0077484B">
            <w:pPr>
              <w:pStyle w:val="TableParagraph"/>
              <w:jc w:val="center"/>
              <w:rPr>
                <w:sz w:val="19"/>
                <w:szCs w:val="19"/>
              </w:rPr>
            </w:pPr>
          </w:p>
          <w:p w14:paraId="35CACF47"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037A02FE" wp14:editId="7AD16F96">
                  <wp:extent cx="114300" cy="114300"/>
                  <wp:effectExtent l="0" t="0" r="0" b="0"/>
                  <wp:docPr id="24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7A4A386C" w14:textId="77777777" w:rsidTr="00B33A2C">
        <w:trPr>
          <w:trHeight w:val="410"/>
        </w:trPr>
        <w:tc>
          <w:tcPr>
            <w:tcW w:w="2788" w:type="dxa"/>
            <w:tcBorders>
              <w:top w:val="single" w:sz="12" w:space="0" w:color="BABABA"/>
              <w:left w:val="single" w:sz="12" w:space="0" w:color="BABABA"/>
              <w:bottom w:val="single" w:sz="12" w:space="0" w:color="BABABA"/>
              <w:right w:val="single" w:sz="12" w:space="0" w:color="BABABA"/>
            </w:tcBorders>
          </w:tcPr>
          <w:p w14:paraId="56315532" w14:textId="77777777" w:rsidR="0077484B" w:rsidRPr="00B31EF0" w:rsidRDefault="0077484B" w:rsidP="0077484B">
            <w:pPr>
              <w:pStyle w:val="TableParagraph"/>
              <w:rPr>
                <w:sz w:val="19"/>
                <w:szCs w:val="19"/>
              </w:rPr>
            </w:pPr>
            <w:r w:rsidRPr="00B31EF0">
              <w:rPr>
                <w:sz w:val="19"/>
                <w:szCs w:val="19"/>
              </w:rPr>
              <w:t>2.8. Loss of privacy</w:t>
            </w:r>
          </w:p>
        </w:tc>
        <w:tc>
          <w:tcPr>
            <w:tcW w:w="1157" w:type="dxa"/>
            <w:tcBorders>
              <w:top w:val="single" w:sz="12" w:space="0" w:color="BABABA"/>
              <w:left w:val="single" w:sz="12" w:space="0" w:color="BABABA"/>
              <w:bottom w:val="single" w:sz="12" w:space="0" w:color="BABABA"/>
              <w:right w:val="single" w:sz="12" w:space="0" w:color="BABABA"/>
            </w:tcBorders>
          </w:tcPr>
          <w:p w14:paraId="3D9E4CC9" w14:textId="77777777" w:rsidR="0077484B" w:rsidRPr="00B31EF0" w:rsidRDefault="0077484B" w:rsidP="0077484B">
            <w:pPr>
              <w:pStyle w:val="TableParagraph"/>
              <w:jc w:val="center"/>
              <w:rPr>
                <w:sz w:val="19"/>
                <w:szCs w:val="19"/>
              </w:rPr>
            </w:pPr>
          </w:p>
          <w:p w14:paraId="7CF48AE4"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4FB2B8DD" wp14:editId="166ADB5E">
                  <wp:extent cx="114300" cy="114300"/>
                  <wp:effectExtent l="0" t="0" r="0" b="0"/>
                  <wp:docPr id="24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single" w:sz="12" w:space="0" w:color="BABABA"/>
              <w:right w:val="single" w:sz="12" w:space="0" w:color="BABABA"/>
            </w:tcBorders>
          </w:tcPr>
          <w:p w14:paraId="4C813ECB" w14:textId="77777777" w:rsidR="0077484B" w:rsidRPr="00B31EF0" w:rsidRDefault="0077484B" w:rsidP="0077484B">
            <w:pPr>
              <w:pStyle w:val="TableParagraph"/>
              <w:jc w:val="center"/>
              <w:rPr>
                <w:sz w:val="19"/>
                <w:szCs w:val="19"/>
              </w:rPr>
            </w:pPr>
          </w:p>
          <w:p w14:paraId="1552D63A"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1C6E59E7" wp14:editId="507BA199">
                  <wp:extent cx="114300" cy="114300"/>
                  <wp:effectExtent l="0" t="0" r="0" b="0"/>
                  <wp:docPr id="24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single" w:sz="12" w:space="0" w:color="BABABA"/>
              <w:right w:val="single" w:sz="12" w:space="0" w:color="BABABA"/>
            </w:tcBorders>
          </w:tcPr>
          <w:p w14:paraId="25F138CD" w14:textId="77777777" w:rsidR="0077484B" w:rsidRPr="00B31EF0" w:rsidRDefault="0077484B" w:rsidP="0077484B">
            <w:pPr>
              <w:pStyle w:val="TableParagraph"/>
              <w:jc w:val="center"/>
              <w:rPr>
                <w:sz w:val="19"/>
                <w:szCs w:val="19"/>
              </w:rPr>
            </w:pPr>
          </w:p>
          <w:p w14:paraId="321CE01F"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31F34AA4" wp14:editId="5D834A2C">
                  <wp:extent cx="114300" cy="114300"/>
                  <wp:effectExtent l="0" t="0" r="0" b="0"/>
                  <wp:docPr id="24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single" w:sz="12" w:space="0" w:color="BABABA"/>
              <w:right w:val="single" w:sz="12" w:space="0" w:color="BABABA"/>
            </w:tcBorders>
          </w:tcPr>
          <w:p w14:paraId="18CEE253" w14:textId="77777777" w:rsidR="0077484B" w:rsidRPr="00B31EF0" w:rsidRDefault="0077484B" w:rsidP="0077484B">
            <w:pPr>
              <w:pStyle w:val="TableParagraph"/>
              <w:jc w:val="center"/>
              <w:rPr>
                <w:sz w:val="19"/>
                <w:szCs w:val="19"/>
              </w:rPr>
            </w:pPr>
          </w:p>
          <w:p w14:paraId="53CD548E" w14:textId="7B6CCDAB" w:rsidR="0077484B" w:rsidRPr="00B31EF0" w:rsidRDefault="0077484B" w:rsidP="0077484B">
            <w:pPr>
              <w:pStyle w:val="TableParagraph"/>
              <w:jc w:val="center"/>
              <w:rPr>
                <w:sz w:val="19"/>
                <w:szCs w:val="19"/>
              </w:rPr>
            </w:pPr>
            <w:r w:rsidRPr="00B31EF0">
              <w:rPr>
                <w:sz w:val="19"/>
                <w:szCs w:val="19"/>
              </w:rPr>
              <w:t>X</w:t>
            </w:r>
          </w:p>
        </w:tc>
        <w:tc>
          <w:tcPr>
            <w:tcW w:w="1005" w:type="dxa"/>
            <w:tcBorders>
              <w:top w:val="single" w:sz="12" w:space="0" w:color="BABABA"/>
              <w:left w:val="single" w:sz="12" w:space="0" w:color="BABABA"/>
              <w:bottom w:val="single" w:sz="12" w:space="0" w:color="BABABA"/>
              <w:right w:val="single" w:sz="12" w:space="0" w:color="BABABA"/>
            </w:tcBorders>
          </w:tcPr>
          <w:p w14:paraId="0731B397" w14:textId="77777777" w:rsidR="0077484B" w:rsidRPr="00B31EF0" w:rsidRDefault="0077484B" w:rsidP="0077484B">
            <w:pPr>
              <w:pStyle w:val="TableParagraph"/>
              <w:jc w:val="center"/>
              <w:rPr>
                <w:sz w:val="19"/>
                <w:szCs w:val="19"/>
              </w:rPr>
            </w:pPr>
          </w:p>
          <w:p w14:paraId="18C35FD4"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521C727F" wp14:editId="28614E3A">
                  <wp:extent cx="114300" cy="114300"/>
                  <wp:effectExtent l="0" t="0" r="0" b="0"/>
                  <wp:docPr id="24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single" w:sz="12" w:space="0" w:color="BABABA"/>
              <w:right w:val="single" w:sz="12" w:space="0" w:color="BABABA"/>
            </w:tcBorders>
          </w:tcPr>
          <w:p w14:paraId="1A4015CB" w14:textId="77777777" w:rsidR="0077484B" w:rsidRPr="00B31EF0" w:rsidRDefault="0077484B" w:rsidP="0077484B">
            <w:pPr>
              <w:pStyle w:val="TableParagraph"/>
              <w:jc w:val="center"/>
              <w:rPr>
                <w:sz w:val="19"/>
                <w:szCs w:val="19"/>
              </w:rPr>
            </w:pPr>
          </w:p>
          <w:p w14:paraId="2790D50E"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3802C39D" wp14:editId="5D172EE2">
                  <wp:extent cx="114300" cy="114300"/>
                  <wp:effectExtent l="0" t="0" r="0" b="0"/>
                  <wp:docPr id="24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253239FE" w14:textId="77777777" w:rsidTr="00B33A2C">
        <w:trPr>
          <w:trHeight w:val="410"/>
        </w:trPr>
        <w:tc>
          <w:tcPr>
            <w:tcW w:w="2788" w:type="dxa"/>
            <w:tcBorders>
              <w:top w:val="single" w:sz="12" w:space="0" w:color="BABABA"/>
              <w:left w:val="single" w:sz="12" w:space="0" w:color="BABABA"/>
              <w:bottom w:val="single" w:sz="12" w:space="0" w:color="BABABA"/>
              <w:right w:val="single" w:sz="12" w:space="0" w:color="BABABA"/>
            </w:tcBorders>
          </w:tcPr>
          <w:p w14:paraId="0C638C3C" w14:textId="77777777" w:rsidR="0077484B" w:rsidRPr="00B31EF0" w:rsidRDefault="0077484B" w:rsidP="0077484B">
            <w:pPr>
              <w:pStyle w:val="TableParagraph"/>
              <w:rPr>
                <w:sz w:val="19"/>
                <w:szCs w:val="19"/>
              </w:rPr>
            </w:pPr>
            <w:r w:rsidRPr="00B31EF0">
              <w:rPr>
                <w:sz w:val="19"/>
                <w:szCs w:val="19"/>
              </w:rPr>
              <w:t>2.9. Other</w:t>
            </w:r>
          </w:p>
        </w:tc>
        <w:tc>
          <w:tcPr>
            <w:tcW w:w="1157" w:type="dxa"/>
            <w:tcBorders>
              <w:top w:val="single" w:sz="12" w:space="0" w:color="BABABA"/>
              <w:left w:val="single" w:sz="12" w:space="0" w:color="BABABA"/>
              <w:bottom w:val="single" w:sz="12" w:space="0" w:color="BABABA"/>
              <w:right w:val="single" w:sz="12" w:space="0" w:color="BABABA"/>
            </w:tcBorders>
          </w:tcPr>
          <w:p w14:paraId="62079D28" w14:textId="77777777" w:rsidR="0077484B" w:rsidRPr="00B31EF0" w:rsidRDefault="0077484B" w:rsidP="0077484B">
            <w:pPr>
              <w:pStyle w:val="TableParagraph"/>
              <w:jc w:val="center"/>
              <w:rPr>
                <w:sz w:val="19"/>
                <w:szCs w:val="19"/>
              </w:rPr>
            </w:pPr>
          </w:p>
          <w:p w14:paraId="5924ECAF"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5D6E6D91" wp14:editId="706E28DE">
                  <wp:extent cx="114300" cy="114300"/>
                  <wp:effectExtent l="0" t="0" r="0" b="0"/>
                  <wp:docPr id="24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single" w:sz="12" w:space="0" w:color="BABABA"/>
              <w:right w:val="single" w:sz="12" w:space="0" w:color="BABABA"/>
            </w:tcBorders>
          </w:tcPr>
          <w:p w14:paraId="7898D7A7" w14:textId="77777777" w:rsidR="0077484B" w:rsidRPr="00B31EF0" w:rsidRDefault="0077484B" w:rsidP="0077484B">
            <w:pPr>
              <w:pStyle w:val="TableParagraph"/>
              <w:jc w:val="center"/>
              <w:rPr>
                <w:sz w:val="19"/>
                <w:szCs w:val="19"/>
              </w:rPr>
            </w:pPr>
          </w:p>
          <w:p w14:paraId="1A9618F5"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4D22BAA5" wp14:editId="485F184B">
                  <wp:extent cx="114300" cy="114300"/>
                  <wp:effectExtent l="0" t="0" r="0" b="0"/>
                  <wp:docPr id="24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5" w:type="dxa"/>
            <w:tcBorders>
              <w:top w:val="single" w:sz="12" w:space="0" w:color="BABABA"/>
              <w:left w:val="single" w:sz="12" w:space="0" w:color="BABABA"/>
              <w:bottom w:val="single" w:sz="12" w:space="0" w:color="BABABA"/>
              <w:right w:val="single" w:sz="12" w:space="0" w:color="BABABA"/>
            </w:tcBorders>
          </w:tcPr>
          <w:p w14:paraId="0B482914" w14:textId="77777777" w:rsidR="0077484B" w:rsidRPr="00B31EF0" w:rsidRDefault="0077484B" w:rsidP="0077484B">
            <w:pPr>
              <w:pStyle w:val="TableParagraph"/>
              <w:jc w:val="center"/>
              <w:rPr>
                <w:sz w:val="19"/>
                <w:szCs w:val="19"/>
              </w:rPr>
            </w:pPr>
          </w:p>
          <w:p w14:paraId="6A5C8EF9"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0333D29C" wp14:editId="76236A95">
                  <wp:extent cx="114300" cy="114300"/>
                  <wp:effectExtent l="0" t="0" r="0" b="0"/>
                  <wp:docPr id="24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single" w:sz="12" w:space="0" w:color="BABABA"/>
              <w:right w:val="single" w:sz="12" w:space="0" w:color="BABABA"/>
            </w:tcBorders>
          </w:tcPr>
          <w:p w14:paraId="7BE5D4D3" w14:textId="77777777" w:rsidR="0077484B" w:rsidRPr="00B31EF0" w:rsidRDefault="0077484B" w:rsidP="0077484B">
            <w:pPr>
              <w:pStyle w:val="TableParagraph"/>
              <w:jc w:val="center"/>
              <w:rPr>
                <w:sz w:val="19"/>
                <w:szCs w:val="19"/>
              </w:rPr>
            </w:pPr>
          </w:p>
          <w:p w14:paraId="3B2291D9"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47BCD403" wp14:editId="321E47A4">
                  <wp:extent cx="114300" cy="114300"/>
                  <wp:effectExtent l="0" t="0" r="0" b="0"/>
                  <wp:docPr id="24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5" w:type="dxa"/>
            <w:tcBorders>
              <w:top w:val="single" w:sz="12" w:space="0" w:color="BABABA"/>
              <w:left w:val="single" w:sz="12" w:space="0" w:color="BABABA"/>
              <w:bottom w:val="single" w:sz="12" w:space="0" w:color="BABABA"/>
              <w:right w:val="single" w:sz="12" w:space="0" w:color="BABABA"/>
            </w:tcBorders>
          </w:tcPr>
          <w:p w14:paraId="3841FA97" w14:textId="77777777" w:rsidR="0077484B" w:rsidRPr="00B31EF0" w:rsidRDefault="0077484B" w:rsidP="0077484B">
            <w:pPr>
              <w:pStyle w:val="TableParagraph"/>
              <w:jc w:val="center"/>
              <w:rPr>
                <w:sz w:val="19"/>
                <w:szCs w:val="19"/>
              </w:rPr>
            </w:pPr>
          </w:p>
          <w:p w14:paraId="563734A4"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4EAF1C2B" wp14:editId="2ED8834D">
                  <wp:extent cx="114300" cy="114300"/>
                  <wp:effectExtent l="0" t="0" r="0" b="0"/>
                  <wp:docPr id="24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0" w:type="dxa"/>
            <w:tcBorders>
              <w:top w:val="single" w:sz="12" w:space="0" w:color="BABABA"/>
              <w:left w:val="single" w:sz="12" w:space="0" w:color="BABABA"/>
              <w:bottom w:val="single" w:sz="12" w:space="0" w:color="BABABA"/>
              <w:right w:val="single" w:sz="12" w:space="0" w:color="BABABA"/>
            </w:tcBorders>
          </w:tcPr>
          <w:p w14:paraId="1EEB63DA" w14:textId="77777777" w:rsidR="0077484B" w:rsidRPr="00B31EF0" w:rsidRDefault="0077484B" w:rsidP="0077484B">
            <w:pPr>
              <w:pStyle w:val="TableParagraph"/>
              <w:jc w:val="center"/>
              <w:rPr>
                <w:sz w:val="19"/>
                <w:szCs w:val="19"/>
              </w:rPr>
            </w:pPr>
          </w:p>
          <w:p w14:paraId="476267BB" w14:textId="77777777" w:rsidR="0077484B" w:rsidRPr="00B31EF0" w:rsidRDefault="0077484B" w:rsidP="0077484B">
            <w:pPr>
              <w:pStyle w:val="TableParagraph"/>
              <w:jc w:val="center"/>
              <w:rPr>
                <w:sz w:val="19"/>
                <w:szCs w:val="19"/>
              </w:rPr>
            </w:pPr>
            <w:r w:rsidRPr="00B31EF0">
              <w:rPr>
                <w:noProof/>
                <w:sz w:val="19"/>
                <w:szCs w:val="19"/>
                <w:lang w:val="en-GB" w:eastAsia="en-GB"/>
              </w:rPr>
              <w:drawing>
                <wp:inline distT="0" distB="0" distL="0" distR="0" wp14:anchorId="4331E71B" wp14:editId="6C7BD13F">
                  <wp:extent cx="114300" cy="114300"/>
                  <wp:effectExtent l="0" t="0" r="0" b="0"/>
                  <wp:docPr id="25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61B9D4D9" w14:textId="77777777" w:rsidR="0077484B" w:rsidRPr="0077484B" w:rsidRDefault="0077484B" w:rsidP="0077484B">
      <w:pPr>
        <w:spacing w:before="124" w:line="232" w:lineRule="auto"/>
        <w:jc w:val="both"/>
        <w:rPr>
          <w:rFonts w:ascii="Calibri" w:hAnsi="Calibri" w:cs="Calibri"/>
          <w:b/>
          <w:sz w:val="22"/>
          <w:szCs w:val="22"/>
        </w:rPr>
      </w:pPr>
      <w:r w:rsidRPr="0077484B">
        <w:rPr>
          <w:rFonts w:ascii="Calibri" w:hAnsi="Calibri" w:cs="Calibri"/>
          <w:b/>
          <w:sz w:val="22"/>
          <w:szCs w:val="22"/>
        </w:rPr>
        <w:t>Please specify what other main challenge(s) or risk(s) the increased use of AI- based models is likely to raise for customers/investors:</w:t>
      </w:r>
    </w:p>
    <w:p w14:paraId="638F7DE4" w14:textId="77777777" w:rsidR="0077484B" w:rsidRPr="0077484B" w:rsidRDefault="0077484B" w:rsidP="0077484B">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Based on the EBA report on Big Data and Advanced Analytics</w:t>
      </w:r>
      <w:r w:rsidRPr="0077484B">
        <w:rPr>
          <w:rStyle w:val="FootnoteReference"/>
          <w:rFonts w:ascii="Calibri" w:eastAsiaTheme="minorHAnsi" w:hAnsi="Calibri" w:cs="Calibri"/>
          <w:b w:val="0"/>
          <w:bCs w:val="0"/>
          <w:color w:val="000000"/>
          <w:sz w:val="22"/>
          <w:szCs w:val="22"/>
          <w:lang w:val="en-GB"/>
        </w:rPr>
        <w:footnoteReference w:id="31"/>
      </w:r>
      <w:r w:rsidRPr="0077484B">
        <w:rPr>
          <w:rFonts w:ascii="Calibri" w:eastAsiaTheme="minorHAnsi" w:hAnsi="Calibri" w:cs="Calibri"/>
          <w:b w:val="0"/>
          <w:bCs w:val="0"/>
          <w:color w:val="000000"/>
          <w:sz w:val="22"/>
          <w:szCs w:val="22"/>
          <w:lang w:val="en-GB"/>
        </w:rPr>
        <w:t>, we wish to note that the increased use of AI- based models can raise the following main challenges or risks for customers/investors:</w:t>
      </w:r>
    </w:p>
    <w:p w14:paraId="021B7E56" w14:textId="1FCA79FE" w:rsidR="00844C23" w:rsidRPr="00F53324" w:rsidRDefault="0077484B" w:rsidP="00F53324">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7F3CC8">
        <w:rPr>
          <w:rFonts w:ascii="Calibri" w:eastAsiaTheme="minorHAnsi" w:hAnsi="Calibri" w:cs="Calibri"/>
          <w:b w:val="0"/>
          <w:bCs w:val="0"/>
          <w:color w:val="000000"/>
          <w:sz w:val="22"/>
          <w:szCs w:val="22"/>
          <w:lang w:val="en-GB"/>
        </w:rPr>
        <w:t>The growing use of AI-based models can</w:t>
      </w:r>
      <w:r w:rsidRPr="00F53324">
        <w:rPr>
          <w:rFonts w:ascii="Calibri" w:eastAsiaTheme="minorHAnsi" w:hAnsi="Calibri" w:cs="Calibri"/>
          <w:b w:val="0"/>
          <w:bCs w:val="0"/>
          <w:color w:val="000000"/>
          <w:sz w:val="22"/>
          <w:szCs w:val="22"/>
          <w:lang w:val="en-GB"/>
        </w:rPr>
        <w:t xml:space="preserve"> </w:t>
      </w:r>
      <w:r w:rsidRPr="00F53324">
        <w:rPr>
          <w:rFonts w:ascii="Calibri" w:eastAsiaTheme="minorHAnsi" w:hAnsi="Calibri" w:cs="Calibri"/>
          <w:bCs w:val="0"/>
          <w:color w:val="000000"/>
          <w:sz w:val="22"/>
          <w:szCs w:val="22"/>
          <w:lang w:val="en-GB"/>
        </w:rPr>
        <w:t>influence decisions that affect customers</w:t>
      </w:r>
      <w:r w:rsidRPr="007F3CC8">
        <w:rPr>
          <w:rFonts w:ascii="Calibri" w:eastAsiaTheme="minorHAnsi" w:hAnsi="Calibri" w:cs="Calibri"/>
          <w:b w:val="0"/>
          <w:bCs w:val="0"/>
          <w:color w:val="000000"/>
          <w:sz w:val="22"/>
          <w:szCs w:val="22"/>
          <w:lang w:val="en-GB"/>
        </w:rPr>
        <w:t xml:space="preserve"> raising the focus on ethical considerations, in particular when models with decision autonomy will start to update automatically.</w:t>
      </w:r>
      <w:r w:rsidRPr="00F53324">
        <w:rPr>
          <w:rFonts w:ascii="Calibri" w:eastAsiaTheme="minorHAnsi" w:hAnsi="Calibri" w:cs="Calibri"/>
          <w:b w:val="0"/>
          <w:bCs w:val="0"/>
          <w:color w:val="000000"/>
          <w:sz w:val="22"/>
          <w:szCs w:val="22"/>
          <w:lang w:val="en-GB"/>
        </w:rPr>
        <w:t xml:space="preserve"> </w:t>
      </w:r>
      <w:r w:rsidR="00F53324">
        <w:rPr>
          <w:rFonts w:ascii="Calibri" w:eastAsiaTheme="minorHAnsi" w:hAnsi="Calibri" w:cs="Calibri"/>
          <w:b w:val="0"/>
          <w:bCs w:val="0"/>
          <w:color w:val="000000"/>
          <w:sz w:val="22"/>
          <w:szCs w:val="22"/>
          <w:lang w:val="en-GB"/>
        </w:rPr>
        <w:t xml:space="preserve">Potential impact on institutions’ reputational risk </w:t>
      </w:r>
      <w:r w:rsidR="00F53324" w:rsidRPr="00F53324">
        <w:rPr>
          <w:rFonts w:ascii="Calibri" w:eastAsiaTheme="minorHAnsi" w:hAnsi="Calibri" w:cs="Calibri"/>
          <w:b w:val="0"/>
          <w:bCs w:val="0"/>
          <w:color w:val="000000"/>
          <w:sz w:val="22"/>
          <w:szCs w:val="22"/>
          <w:lang w:val="en-GB"/>
        </w:rPr>
        <w:t>management</w:t>
      </w:r>
      <w:r w:rsidR="00F53324">
        <w:rPr>
          <w:rFonts w:ascii="Calibri" w:eastAsiaTheme="minorHAnsi" w:hAnsi="Calibri" w:cs="Calibri"/>
          <w:b w:val="0"/>
          <w:bCs w:val="0"/>
          <w:color w:val="000000"/>
          <w:sz w:val="22"/>
          <w:szCs w:val="22"/>
          <w:lang w:val="en-GB"/>
        </w:rPr>
        <w:t xml:space="preserve"> should be also considered.</w:t>
      </w:r>
    </w:p>
    <w:p w14:paraId="552C5AA0" w14:textId="60671A5E" w:rsidR="0077484B" w:rsidRPr="0077484B" w:rsidRDefault="0077484B" w:rsidP="0077484B">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Potential lack of trust o</w:t>
      </w:r>
      <w:r w:rsidR="00E91185">
        <w:rPr>
          <w:rFonts w:ascii="Calibri" w:eastAsiaTheme="minorHAnsi" w:hAnsi="Calibri" w:cs="Calibri"/>
          <w:b w:val="0"/>
          <w:bCs w:val="0"/>
          <w:color w:val="000000"/>
          <w:sz w:val="22"/>
          <w:szCs w:val="22"/>
          <w:lang w:val="en-GB"/>
        </w:rPr>
        <w:t>n</w:t>
      </w:r>
      <w:r w:rsidRPr="0077484B">
        <w:rPr>
          <w:rFonts w:ascii="Calibri" w:eastAsiaTheme="minorHAnsi" w:hAnsi="Calibri" w:cs="Calibri"/>
          <w:b w:val="0"/>
          <w:bCs w:val="0"/>
          <w:color w:val="000000"/>
          <w:sz w:val="22"/>
          <w:szCs w:val="22"/>
          <w:lang w:val="en-GB"/>
        </w:rPr>
        <w:t xml:space="preserve"> AI-based applications by customers/investors in case their outputs </w:t>
      </w:r>
      <w:r w:rsidRPr="0077484B">
        <w:rPr>
          <w:rFonts w:ascii="Calibri" w:eastAsiaTheme="minorHAnsi" w:hAnsi="Calibri" w:cs="Calibri"/>
          <w:bCs w:val="0"/>
          <w:color w:val="000000"/>
          <w:sz w:val="22"/>
          <w:szCs w:val="22"/>
          <w:lang w:val="en-GB"/>
        </w:rPr>
        <w:t>violate ethical standards leading to possible mistreatment or harm</w:t>
      </w:r>
      <w:r w:rsidRPr="0077484B">
        <w:rPr>
          <w:rFonts w:ascii="Calibri" w:eastAsiaTheme="minorHAnsi" w:hAnsi="Calibri" w:cs="Calibri"/>
          <w:b w:val="0"/>
          <w:bCs w:val="0"/>
          <w:color w:val="000000"/>
          <w:sz w:val="22"/>
          <w:szCs w:val="22"/>
          <w:lang w:val="en-GB"/>
        </w:rPr>
        <w:t xml:space="preserve"> – directly or </w:t>
      </w:r>
      <w:r w:rsidRPr="0077484B">
        <w:rPr>
          <w:rFonts w:ascii="Calibri" w:eastAsiaTheme="minorHAnsi" w:hAnsi="Calibri" w:cs="Calibri"/>
          <w:b w:val="0"/>
          <w:bCs w:val="0"/>
          <w:color w:val="000000"/>
          <w:sz w:val="22"/>
          <w:szCs w:val="22"/>
          <w:lang w:val="en-GB"/>
        </w:rPr>
        <w:lastRenderedPageBreak/>
        <w:t>indirectly – of customers because of the institutions’ deployment of AI.</w:t>
      </w:r>
    </w:p>
    <w:p w14:paraId="219D9B78" w14:textId="77777777" w:rsidR="0077484B" w:rsidRPr="0077484B" w:rsidRDefault="0077484B" w:rsidP="0077484B">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 xml:space="preserve">AI-based applications could (inadvertently or otherwise) </w:t>
      </w:r>
      <w:r w:rsidRPr="0077484B">
        <w:rPr>
          <w:rFonts w:ascii="Calibri" w:eastAsiaTheme="minorHAnsi" w:hAnsi="Calibri" w:cs="Calibri"/>
          <w:bCs w:val="0"/>
          <w:color w:val="000000"/>
          <w:sz w:val="22"/>
          <w:szCs w:val="22"/>
          <w:lang w:val="en-GB"/>
        </w:rPr>
        <w:t>exploit behavioural patterns or psychological biases that are harmful to the financial well-being of consumers</w:t>
      </w:r>
      <w:r w:rsidRPr="0077484B">
        <w:rPr>
          <w:rFonts w:ascii="Calibri" w:eastAsiaTheme="minorHAnsi" w:hAnsi="Calibri" w:cs="Calibri"/>
          <w:b w:val="0"/>
          <w:bCs w:val="0"/>
          <w:color w:val="000000"/>
          <w:sz w:val="22"/>
          <w:szCs w:val="22"/>
          <w:lang w:val="en-GB"/>
        </w:rPr>
        <w:t xml:space="preserve">. To this end, due consideration should be given to the interest of the consumer in the design and approval of customer-oriented use of AI-based applications. Another risk might be that AI-based applications could (inadvertently or otherwise) </w:t>
      </w:r>
      <w:r w:rsidRPr="0077484B">
        <w:rPr>
          <w:rFonts w:ascii="Calibri" w:eastAsiaTheme="minorHAnsi" w:hAnsi="Calibri" w:cs="Calibri"/>
          <w:bCs w:val="0"/>
          <w:color w:val="000000"/>
          <w:sz w:val="22"/>
          <w:szCs w:val="22"/>
          <w:lang w:val="en-GB"/>
        </w:rPr>
        <w:t>nudge consumers towards choices that are harmful to their financial well-being</w:t>
      </w:r>
      <w:r w:rsidRPr="0077484B">
        <w:rPr>
          <w:rFonts w:ascii="Calibri" w:eastAsiaTheme="minorHAnsi" w:hAnsi="Calibri" w:cs="Calibri"/>
          <w:b w:val="0"/>
          <w:bCs w:val="0"/>
          <w:color w:val="000000"/>
          <w:sz w:val="22"/>
          <w:szCs w:val="22"/>
          <w:lang w:val="en-GB"/>
        </w:rPr>
        <w:t>.</w:t>
      </w:r>
    </w:p>
    <w:p w14:paraId="36622149" w14:textId="2AEDFDD0" w:rsidR="0077484B" w:rsidRPr="0077484B" w:rsidRDefault="0077484B" w:rsidP="0077484B">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77484B">
        <w:rPr>
          <w:rFonts w:ascii="Calibri" w:eastAsiaTheme="minorHAnsi" w:hAnsi="Calibri" w:cs="Calibri"/>
          <w:b w:val="0"/>
          <w:bCs w:val="0"/>
          <w:color w:val="000000"/>
          <w:sz w:val="22"/>
          <w:szCs w:val="22"/>
          <w:lang w:val="en-GB"/>
        </w:rPr>
        <w:t>Attention should be paid to robo-advisors, that might, for example, favour investment funds with higher commission or do not avoid mis</w:t>
      </w:r>
      <w:r w:rsidR="00E91185">
        <w:rPr>
          <w:rFonts w:ascii="Calibri" w:eastAsiaTheme="minorHAnsi" w:hAnsi="Calibri" w:cs="Calibri"/>
          <w:b w:val="0"/>
          <w:bCs w:val="0"/>
          <w:color w:val="000000"/>
          <w:sz w:val="22"/>
          <w:szCs w:val="22"/>
          <w:lang w:val="en-GB"/>
        </w:rPr>
        <w:t>selling.</w:t>
      </w:r>
    </w:p>
    <w:p w14:paraId="6DA3CD6D" w14:textId="77777777" w:rsidR="0077484B" w:rsidRPr="0077484B" w:rsidRDefault="0077484B" w:rsidP="0077484B">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77484B">
        <w:rPr>
          <w:rFonts w:ascii="Calibri" w:eastAsiaTheme="minorHAnsi" w:hAnsi="Calibri" w:cs="Calibri"/>
          <w:bCs w:val="0"/>
          <w:color w:val="000000"/>
          <w:sz w:val="22"/>
          <w:szCs w:val="22"/>
          <w:lang w:val="en-GB"/>
        </w:rPr>
        <w:t>Risk of financial exclusion</w:t>
      </w:r>
      <w:r w:rsidRPr="0077484B">
        <w:rPr>
          <w:rFonts w:ascii="Calibri" w:eastAsiaTheme="minorHAnsi" w:hAnsi="Calibri" w:cs="Calibri"/>
          <w:b w:val="0"/>
          <w:bCs w:val="0"/>
          <w:color w:val="000000"/>
          <w:sz w:val="22"/>
          <w:szCs w:val="22"/>
          <w:lang w:val="en-GB"/>
        </w:rPr>
        <w:t xml:space="preserve"> for consumers who do not have the data required or do not want to share such data. At present, institutions extract valuable information by profiling users, i.e. by collecting data related to their behaviour (e.g. consumption behaviour, payment timeliness behaviour). These alternative sources of data may be used by AI-based models to make automatic decisions (e.g. to accept or refuse a loan request) that could negatively impact the user and determine his or her access to the (financial) service proposed. </w:t>
      </w:r>
    </w:p>
    <w:p w14:paraId="4455B194" w14:textId="6895A85D" w:rsidR="001A03C6" w:rsidRPr="00565044" w:rsidRDefault="0077484B" w:rsidP="00565044">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color w:val="000000"/>
          <w:sz w:val="22"/>
          <w:szCs w:val="22"/>
          <w:lang w:val="en-GB"/>
        </w:rPr>
      </w:pPr>
      <w:r w:rsidRPr="0077484B">
        <w:rPr>
          <w:rFonts w:ascii="Calibri" w:eastAsiaTheme="minorHAnsi" w:hAnsi="Calibri" w:cs="Calibri"/>
          <w:b w:val="0"/>
          <w:bCs w:val="0"/>
          <w:color w:val="000000"/>
          <w:sz w:val="22"/>
          <w:szCs w:val="22"/>
          <w:lang w:val="en-GB"/>
        </w:rPr>
        <w:t xml:space="preserve">Similarly, </w:t>
      </w:r>
      <w:r w:rsidRPr="0077484B">
        <w:rPr>
          <w:rFonts w:ascii="Calibri" w:eastAsiaTheme="minorHAnsi" w:hAnsi="Calibri" w:cs="Calibri"/>
          <w:bCs w:val="0"/>
          <w:color w:val="000000"/>
          <w:sz w:val="22"/>
          <w:szCs w:val="22"/>
          <w:lang w:val="en-GB"/>
        </w:rPr>
        <w:t>profiling</w:t>
      </w:r>
      <w:r w:rsidRPr="0077484B">
        <w:rPr>
          <w:rFonts w:ascii="Calibri" w:eastAsiaTheme="minorHAnsi" w:hAnsi="Calibri" w:cs="Calibri"/>
          <w:b w:val="0"/>
          <w:bCs w:val="0"/>
          <w:color w:val="000000"/>
          <w:sz w:val="22"/>
          <w:szCs w:val="22"/>
          <w:lang w:val="en-GB"/>
        </w:rPr>
        <w:t xml:space="preserve"> could become so granular that the concept of risk spreading in prices for services in general among different customers could lead to prices becoming very high (exclusion) for customers who fall into riskier categories (sometimes regardless of their actions, for example if they are ill or disabled). </w:t>
      </w:r>
      <w:r w:rsidR="001A03C6" w:rsidRPr="00565044">
        <w:rPr>
          <w:rFonts w:ascii="Calibri" w:eastAsiaTheme="minorHAnsi" w:hAnsi="Calibri" w:cs="Calibri"/>
          <w:b w:val="0"/>
          <w:bCs w:val="0"/>
          <w:color w:val="000000"/>
          <w:sz w:val="22"/>
          <w:szCs w:val="22"/>
          <w:lang w:val="en-GB"/>
        </w:rPr>
        <w:t xml:space="preserve">Moreover, </w:t>
      </w:r>
      <w:r w:rsidR="001A03C6">
        <w:rPr>
          <w:rFonts w:ascii="Calibri" w:eastAsiaTheme="minorHAnsi" w:hAnsi="Calibri" w:cs="Calibri"/>
          <w:b w:val="0"/>
          <w:bCs w:val="0"/>
          <w:color w:val="000000"/>
          <w:sz w:val="22"/>
          <w:szCs w:val="22"/>
          <w:lang w:val="en-GB"/>
        </w:rPr>
        <w:t xml:space="preserve">this can further reduce the </w:t>
      </w:r>
      <w:r w:rsidR="001A03C6" w:rsidRPr="00565044">
        <w:rPr>
          <w:rFonts w:ascii="Calibri" w:eastAsiaTheme="minorHAnsi" w:hAnsi="Calibri" w:cs="Calibri"/>
          <w:b w:val="0"/>
          <w:bCs w:val="0"/>
          <w:color w:val="000000"/>
          <w:sz w:val="22"/>
          <w:szCs w:val="22"/>
          <w:lang w:val="en-GB"/>
        </w:rPr>
        <w:t xml:space="preserve">capacity </w:t>
      </w:r>
      <w:r w:rsidR="001A03C6">
        <w:rPr>
          <w:rFonts w:ascii="Calibri" w:eastAsiaTheme="minorHAnsi" w:hAnsi="Calibri" w:cs="Calibri"/>
          <w:b w:val="0"/>
          <w:bCs w:val="0"/>
          <w:color w:val="000000"/>
          <w:sz w:val="22"/>
          <w:szCs w:val="22"/>
          <w:lang w:val="en-GB"/>
        </w:rPr>
        <w:t xml:space="preserve">of consumers </w:t>
      </w:r>
      <w:r w:rsidR="001A03C6" w:rsidRPr="00565044">
        <w:rPr>
          <w:rFonts w:ascii="Calibri" w:eastAsiaTheme="minorHAnsi" w:hAnsi="Calibri" w:cs="Calibri"/>
          <w:b w:val="0"/>
          <w:bCs w:val="0"/>
          <w:color w:val="000000"/>
          <w:sz w:val="22"/>
          <w:szCs w:val="22"/>
          <w:lang w:val="en-GB"/>
        </w:rPr>
        <w:t xml:space="preserve">to compare offers. </w:t>
      </w:r>
    </w:p>
    <w:p w14:paraId="257BE588" w14:textId="160C5632" w:rsidR="0077484B" w:rsidRPr="0077484B" w:rsidRDefault="0077484B" w:rsidP="0077484B">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595C67">
        <w:rPr>
          <w:rFonts w:ascii="Calibri" w:eastAsiaTheme="minorHAnsi" w:hAnsi="Calibri" w:cs="Calibri"/>
          <w:b w:val="0"/>
          <w:bCs w:val="0"/>
          <w:color w:val="000000"/>
          <w:sz w:val="22"/>
          <w:szCs w:val="22"/>
          <w:lang w:val="en-GB"/>
        </w:rPr>
        <w:t>Risk of ‘generic’ custo</w:t>
      </w:r>
      <w:r w:rsidRPr="0077484B">
        <w:rPr>
          <w:rFonts w:ascii="Calibri" w:eastAsiaTheme="minorHAnsi" w:hAnsi="Calibri" w:cs="Calibri"/>
          <w:b w:val="0"/>
          <w:color w:val="000000"/>
          <w:sz w:val="22"/>
          <w:szCs w:val="22"/>
          <w:lang w:val="en-GB"/>
        </w:rPr>
        <w:t>mer consent for data processing, without allowing customers to make an informed decision and potentially being ‘forced’ into providing consent without no alternative, as a ‘take or leave it’ condition.</w:t>
      </w:r>
    </w:p>
    <w:p w14:paraId="062C5D6F" w14:textId="77777777" w:rsidR="0077484B" w:rsidRPr="006D045B" w:rsidRDefault="0077484B" w:rsidP="0077484B">
      <w:pPr>
        <w:pStyle w:val="Heading2"/>
        <w:tabs>
          <w:tab w:val="left" w:pos="416"/>
        </w:tabs>
        <w:spacing w:before="1"/>
        <w:rPr>
          <w:rFonts w:ascii="Calibri" w:hAnsi="Calibri" w:cs="Calibri"/>
          <w:sz w:val="24"/>
          <w:szCs w:val="24"/>
        </w:rPr>
      </w:pPr>
      <w:r w:rsidRPr="006D045B">
        <w:rPr>
          <w:rFonts w:ascii="Calibri" w:hAnsi="Calibri" w:cs="Calibri"/>
          <w:color w:val="000000" w:themeColor="text1"/>
          <w:sz w:val="24"/>
          <w:szCs w:val="24"/>
        </w:rPr>
        <w:t xml:space="preserve">3. </w:t>
      </w:r>
      <w:r w:rsidRPr="006D045B">
        <w:rPr>
          <w:rFonts w:ascii="Calibri" w:hAnsi="Calibri" w:cs="Calibri"/>
          <w:sz w:val="24"/>
          <w:szCs w:val="24"/>
        </w:rPr>
        <w:t>Supervisory authorities</w:t>
      </w:r>
    </w:p>
    <w:tbl>
      <w:tblPr>
        <w:tblW w:w="8305" w:type="dxa"/>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711"/>
        <w:gridCol w:w="1125"/>
        <w:gridCol w:w="976"/>
        <w:gridCol w:w="948"/>
        <w:gridCol w:w="976"/>
        <w:gridCol w:w="976"/>
        <w:gridCol w:w="593"/>
      </w:tblGrid>
      <w:tr w:rsidR="0077484B" w14:paraId="5F4070DD" w14:textId="77777777" w:rsidTr="006D045B">
        <w:trPr>
          <w:trHeight w:val="1682"/>
          <w:jc w:val="center"/>
        </w:trPr>
        <w:tc>
          <w:tcPr>
            <w:tcW w:w="2711" w:type="dxa"/>
            <w:tcBorders>
              <w:top w:val="single" w:sz="12" w:space="0" w:color="BABABA"/>
            </w:tcBorders>
          </w:tcPr>
          <w:p w14:paraId="63C13C72" w14:textId="77777777" w:rsidR="0077484B" w:rsidRDefault="0077484B" w:rsidP="00F20316">
            <w:pPr>
              <w:pStyle w:val="TableParagraph"/>
              <w:rPr>
                <w:rFonts w:ascii="Times New Roman"/>
              </w:rPr>
            </w:pPr>
          </w:p>
        </w:tc>
        <w:tc>
          <w:tcPr>
            <w:tcW w:w="1125" w:type="dxa"/>
            <w:tcBorders>
              <w:top w:val="single" w:sz="12" w:space="0" w:color="BABABA"/>
            </w:tcBorders>
          </w:tcPr>
          <w:p w14:paraId="0738C632" w14:textId="77777777" w:rsidR="0077484B" w:rsidRPr="00B31EF0" w:rsidRDefault="0077484B" w:rsidP="00F20316">
            <w:pPr>
              <w:pStyle w:val="TableParagraph"/>
              <w:spacing w:line="574" w:lineRule="exact"/>
              <w:ind w:left="20"/>
              <w:jc w:val="center"/>
              <w:rPr>
                <w:sz w:val="15"/>
                <w:szCs w:val="15"/>
              </w:rPr>
            </w:pPr>
            <w:r w:rsidRPr="00B31EF0">
              <w:rPr>
                <w:w w:val="99"/>
                <w:sz w:val="15"/>
                <w:szCs w:val="15"/>
              </w:rPr>
              <w:t>1</w:t>
            </w:r>
          </w:p>
          <w:p w14:paraId="28182B68" w14:textId="77777777" w:rsidR="0077484B" w:rsidRPr="00B31EF0" w:rsidRDefault="0077484B" w:rsidP="00F20316">
            <w:pPr>
              <w:pStyle w:val="TableParagraph"/>
              <w:spacing w:line="318" w:lineRule="exact"/>
              <w:ind w:left="153" w:right="133"/>
              <w:jc w:val="center"/>
              <w:rPr>
                <w:sz w:val="15"/>
                <w:szCs w:val="15"/>
              </w:rPr>
            </w:pPr>
            <w:r w:rsidRPr="00B31EF0">
              <w:rPr>
                <w:w w:val="105"/>
                <w:sz w:val="15"/>
                <w:szCs w:val="15"/>
              </w:rPr>
              <w:t>(irrelevant)</w:t>
            </w:r>
          </w:p>
        </w:tc>
        <w:tc>
          <w:tcPr>
            <w:tcW w:w="976" w:type="dxa"/>
            <w:tcBorders>
              <w:top w:val="single" w:sz="12" w:space="0" w:color="BABABA"/>
            </w:tcBorders>
          </w:tcPr>
          <w:p w14:paraId="4245F3F2" w14:textId="77777777" w:rsidR="0077484B" w:rsidRPr="00B31EF0" w:rsidRDefault="0077484B" w:rsidP="00F20316">
            <w:pPr>
              <w:pStyle w:val="TableParagraph"/>
              <w:spacing w:line="574" w:lineRule="exact"/>
              <w:ind w:left="21"/>
              <w:jc w:val="center"/>
              <w:rPr>
                <w:sz w:val="15"/>
                <w:szCs w:val="15"/>
              </w:rPr>
            </w:pPr>
            <w:r w:rsidRPr="00B31EF0">
              <w:rPr>
                <w:w w:val="99"/>
                <w:sz w:val="15"/>
                <w:szCs w:val="15"/>
              </w:rPr>
              <w:t>2</w:t>
            </w:r>
          </w:p>
          <w:p w14:paraId="10AC697A" w14:textId="77777777" w:rsidR="0077484B" w:rsidRPr="00B31EF0" w:rsidRDefault="0077484B" w:rsidP="00F20316">
            <w:pPr>
              <w:pStyle w:val="TableParagraph"/>
              <w:spacing w:before="4" w:line="199" w:lineRule="auto"/>
              <w:ind w:left="185" w:right="162" w:hanging="54"/>
              <w:jc w:val="center"/>
              <w:rPr>
                <w:sz w:val="15"/>
                <w:szCs w:val="15"/>
              </w:rPr>
            </w:pPr>
            <w:r w:rsidRPr="00B31EF0">
              <w:rPr>
                <w:w w:val="105"/>
                <w:sz w:val="15"/>
                <w:szCs w:val="15"/>
              </w:rPr>
              <w:t xml:space="preserve">(rather not </w:t>
            </w:r>
            <w:r w:rsidRPr="00B31EF0">
              <w:rPr>
                <w:sz w:val="15"/>
                <w:szCs w:val="15"/>
              </w:rPr>
              <w:t>relevant)</w:t>
            </w:r>
          </w:p>
        </w:tc>
        <w:tc>
          <w:tcPr>
            <w:tcW w:w="948" w:type="dxa"/>
            <w:tcBorders>
              <w:top w:val="single" w:sz="12" w:space="0" w:color="BABABA"/>
            </w:tcBorders>
          </w:tcPr>
          <w:p w14:paraId="415729A3" w14:textId="77777777" w:rsidR="0077484B" w:rsidRPr="00B31EF0" w:rsidRDefault="0077484B" w:rsidP="00F20316">
            <w:pPr>
              <w:pStyle w:val="TableParagraph"/>
              <w:spacing w:line="574" w:lineRule="exact"/>
              <w:ind w:left="22"/>
              <w:jc w:val="center"/>
              <w:rPr>
                <w:sz w:val="15"/>
                <w:szCs w:val="15"/>
              </w:rPr>
            </w:pPr>
            <w:r w:rsidRPr="00B31EF0">
              <w:rPr>
                <w:w w:val="99"/>
                <w:sz w:val="15"/>
                <w:szCs w:val="15"/>
              </w:rPr>
              <w:t>3</w:t>
            </w:r>
          </w:p>
          <w:p w14:paraId="47E53485" w14:textId="77777777" w:rsidR="0077484B" w:rsidRPr="00B31EF0" w:rsidRDefault="0077484B" w:rsidP="00F20316">
            <w:pPr>
              <w:pStyle w:val="TableParagraph"/>
              <w:spacing w:line="318" w:lineRule="exact"/>
              <w:ind w:left="157" w:right="135"/>
              <w:jc w:val="center"/>
              <w:rPr>
                <w:sz w:val="15"/>
                <w:szCs w:val="15"/>
              </w:rPr>
            </w:pPr>
            <w:r w:rsidRPr="00B31EF0">
              <w:rPr>
                <w:w w:val="105"/>
                <w:sz w:val="15"/>
                <w:szCs w:val="15"/>
              </w:rPr>
              <w:t>(neutral)</w:t>
            </w:r>
          </w:p>
        </w:tc>
        <w:tc>
          <w:tcPr>
            <w:tcW w:w="976" w:type="dxa"/>
            <w:tcBorders>
              <w:top w:val="single" w:sz="12" w:space="0" w:color="BABABA"/>
            </w:tcBorders>
          </w:tcPr>
          <w:p w14:paraId="3F1CB825" w14:textId="77777777" w:rsidR="0077484B" w:rsidRPr="00B31EF0" w:rsidRDefault="0077484B" w:rsidP="00F20316">
            <w:pPr>
              <w:pStyle w:val="TableParagraph"/>
              <w:spacing w:line="574" w:lineRule="exact"/>
              <w:ind w:left="22"/>
              <w:jc w:val="center"/>
              <w:rPr>
                <w:sz w:val="15"/>
                <w:szCs w:val="15"/>
              </w:rPr>
            </w:pPr>
            <w:r w:rsidRPr="00B31EF0">
              <w:rPr>
                <w:w w:val="99"/>
                <w:sz w:val="15"/>
                <w:szCs w:val="15"/>
              </w:rPr>
              <w:t>4</w:t>
            </w:r>
          </w:p>
          <w:p w14:paraId="4BD13783" w14:textId="77777777" w:rsidR="0077484B" w:rsidRPr="00B31EF0" w:rsidRDefault="0077484B" w:rsidP="00F20316">
            <w:pPr>
              <w:pStyle w:val="TableParagraph"/>
              <w:spacing w:before="4" w:line="199" w:lineRule="auto"/>
              <w:ind w:left="186" w:right="161" w:hanging="54"/>
              <w:jc w:val="center"/>
              <w:rPr>
                <w:sz w:val="15"/>
                <w:szCs w:val="15"/>
              </w:rPr>
            </w:pPr>
            <w:r w:rsidRPr="00B31EF0">
              <w:rPr>
                <w:w w:val="105"/>
                <w:sz w:val="15"/>
                <w:szCs w:val="15"/>
              </w:rPr>
              <w:t xml:space="preserve">(rather </w:t>
            </w:r>
            <w:r w:rsidRPr="00B31EF0">
              <w:rPr>
                <w:sz w:val="15"/>
                <w:szCs w:val="15"/>
              </w:rPr>
              <w:t>relevant)</w:t>
            </w:r>
          </w:p>
        </w:tc>
        <w:tc>
          <w:tcPr>
            <w:tcW w:w="976" w:type="dxa"/>
            <w:tcBorders>
              <w:top w:val="single" w:sz="12" w:space="0" w:color="BABABA"/>
            </w:tcBorders>
          </w:tcPr>
          <w:p w14:paraId="344B6ECA" w14:textId="77777777" w:rsidR="0077484B" w:rsidRPr="00B31EF0" w:rsidRDefault="0077484B" w:rsidP="00F20316">
            <w:pPr>
              <w:pStyle w:val="TableParagraph"/>
              <w:spacing w:line="574" w:lineRule="exact"/>
              <w:ind w:left="23"/>
              <w:jc w:val="center"/>
              <w:rPr>
                <w:sz w:val="15"/>
                <w:szCs w:val="15"/>
              </w:rPr>
            </w:pPr>
            <w:r w:rsidRPr="00B31EF0">
              <w:rPr>
                <w:w w:val="99"/>
                <w:sz w:val="15"/>
                <w:szCs w:val="15"/>
              </w:rPr>
              <w:t>5</w:t>
            </w:r>
          </w:p>
          <w:p w14:paraId="4CE5F8D3" w14:textId="77777777" w:rsidR="0077484B" w:rsidRPr="00B31EF0" w:rsidRDefault="0077484B" w:rsidP="00F20316">
            <w:pPr>
              <w:pStyle w:val="TableParagraph"/>
              <w:spacing w:before="4" w:line="199" w:lineRule="auto"/>
              <w:ind w:left="186" w:right="161" w:hanging="55"/>
              <w:jc w:val="center"/>
              <w:rPr>
                <w:sz w:val="15"/>
                <w:szCs w:val="15"/>
              </w:rPr>
            </w:pPr>
            <w:r w:rsidRPr="00B31EF0">
              <w:rPr>
                <w:w w:val="105"/>
                <w:sz w:val="15"/>
                <w:szCs w:val="15"/>
              </w:rPr>
              <w:t xml:space="preserve">(fully </w:t>
            </w:r>
            <w:r w:rsidRPr="00B31EF0">
              <w:rPr>
                <w:sz w:val="15"/>
                <w:szCs w:val="15"/>
              </w:rPr>
              <w:t>relevant)</w:t>
            </w:r>
          </w:p>
        </w:tc>
        <w:tc>
          <w:tcPr>
            <w:tcW w:w="593" w:type="dxa"/>
            <w:tcBorders>
              <w:top w:val="single" w:sz="12" w:space="0" w:color="BABABA"/>
            </w:tcBorders>
          </w:tcPr>
          <w:p w14:paraId="2D878E65" w14:textId="77777777" w:rsidR="0077484B" w:rsidRPr="00B31EF0" w:rsidRDefault="0077484B" w:rsidP="00F20316">
            <w:pPr>
              <w:pStyle w:val="TableParagraph"/>
              <w:spacing w:line="505" w:lineRule="exact"/>
              <w:ind w:left="186"/>
              <w:rPr>
                <w:sz w:val="15"/>
                <w:szCs w:val="15"/>
              </w:rPr>
            </w:pPr>
            <w:r w:rsidRPr="00B31EF0">
              <w:rPr>
                <w:sz w:val="15"/>
                <w:szCs w:val="15"/>
              </w:rPr>
              <w:t>N.</w:t>
            </w:r>
          </w:p>
          <w:p w14:paraId="446E8711" w14:textId="77777777" w:rsidR="0077484B" w:rsidRPr="00B31EF0" w:rsidRDefault="0077484B" w:rsidP="00F20316">
            <w:pPr>
              <w:pStyle w:val="TableParagraph"/>
              <w:spacing w:line="529" w:lineRule="exact"/>
              <w:ind w:left="195"/>
              <w:rPr>
                <w:sz w:val="15"/>
                <w:szCs w:val="15"/>
              </w:rPr>
            </w:pPr>
            <w:r w:rsidRPr="00B31EF0">
              <w:rPr>
                <w:sz w:val="15"/>
                <w:szCs w:val="15"/>
              </w:rPr>
              <w:t>A.</w:t>
            </w:r>
          </w:p>
        </w:tc>
      </w:tr>
      <w:tr w:rsidR="0077484B" w14:paraId="2529458A" w14:textId="77777777" w:rsidTr="006D045B">
        <w:trPr>
          <w:trHeight w:val="1500"/>
          <w:jc w:val="center"/>
        </w:trPr>
        <w:tc>
          <w:tcPr>
            <w:tcW w:w="2711" w:type="dxa"/>
          </w:tcPr>
          <w:p w14:paraId="4636B862" w14:textId="77777777" w:rsidR="0077484B" w:rsidRDefault="0077484B" w:rsidP="00F20316">
            <w:pPr>
              <w:pStyle w:val="TableParagraph"/>
              <w:spacing w:before="61" w:line="199" w:lineRule="auto"/>
              <w:ind w:left="185" w:right="350"/>
              <w:rPr>
                <w:sz w:val="19"/>
              </w:rPr>
            </w:pPr>
            <w:r>
              <w:rPr>
                <w:w w:val="105"/>
                <w:sz w:val="19"/>
              </w:rPr>
              <w:t>3.1. Lack of expertise in understanding more complex AI-based models used by the supervised entities</w:t>
            </w:r>
          </w:p>
        </w:tc>
        <w:tc>
          <w:tcPr>
            <w:tcW w:w="1125" w:type="dxa"/>
          </w:tcPr>
          <w:p w14:paraId="3C4C693C" w14:textId="77777777" w:rsidR="0077484B" w:rsidRDefault="0077484B" w:rsidP="00F20316">
            <w:pPr>
              <w:pStyle w:val="TableParagraph"/>
              <w:rPr>
                <w:rFonts w:ascii="Arial"/>
                <w:b/>
                <w:sz w:val="20"/>
              </w:rPr>
            </w:pPr>
          </w:p>
          <w:p w14:paraId="5A6DF045" w14:textId="77777777" w:rsidR="0077484B" w:rsidRDefault="0077484B" w:rsidP="00F20316">
            <w:pPr>
              <w:pStyle w:val="TableParagraph"/>
              <w:rPr>
                <w:rFonts w:ascii="Arial"/>
                <w:b/>
                <w:sz w:val="20"/>
              </w:rPr>
            </w:pPr>
          </w:p>
          <w:p w14:paraId="46A7803A" w14:textId="77777777" w:rsidR="0077484B" w:rsidRDefault="0077484B" w:rsidP="00F20316">
            <w:pPr>
              <w:pStyle w:val="TableParagraph"/>
              <w:spacing w:before="8"/>
              <w:rPr>
                <w:rFonts w:ascii="Arial"/>
                <w:b/>
                <w:sz w:val="11"/>
              </w:rPr>
            </w:pPr>
          </w:p>
          <w:p w14:paraId="22EEFFE6" w14:textId="77777777" w:rsidR="0077484B" w:rsidRDefault="0077484B"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3B35D44E" wp14:editId="1B1E94EC">
                  <wp:extent cx="114300" cy="114300"/>
                  <wp:effectExtent l="0" t="0" r="0" b="0"/>
                  <wp:docPr id="25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45DBD154" w14:textId="77777777" w:rsidR="0077484B" w:rsidRDefault="0077484B" w:rsidP="00F20316">
            <w:pPr>
              <w:pStyle w:val="TableParagraph"/>
              <w:rPr>
                <w:rFonts w:ascii="Arial"/>
                <w:b/>
                <w:sz w:val="20"/>
              </w:rPr>
            </w:pPr>
          </w:p>
          <w:p w14:paraId="1CFA54E4" w14:textId="77777777" w:rsidR="0077484B" w:rsidRDefault="0077484B" w:rsidP="00F20316">
            <w:pPr>
              <w:pStyle w:val="TableParagraph"/>
              <w:rPr>
                <w:rFonts w:ascii="Arial"/>
                <w:b/>
                <w:sz w:val="20"/>
              </w:rPr>
            </w:pPr>
          </w:p>
          <w:p w14:paraId="4A976C58" w14:textId="77777777" w:rsidR="0077484B" w:rsidRDefault="0077484B" w:rsidP="00F20316">
            <w:pPr>
              <w:pStyle w:val="TableParagraph"/>
              <w:spacing w:before="8"/>
              <w:rPr>
                <w:rFonts w:ascii="Arial"/>
                <w:b/>
                <w:sz w:val="11"/>
              </w:rPr>
            </w:pPr>
          </w:p>
          <w:p w14:paraId="2E244AAE"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F43DA60" wp14:editId="691DA15D">
                  <wp:extent cx="114300" cy="114300"/>
                  <wp:effectExtent l="0" t="0" r="0" b="0"/>
                  <wp:docPr id="25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8" w:type="dxa"/>
          </w:tcPr>
          <w:p w14:paraId="4151BF77" w14:textId="77777777" w:rsidR="0077484B" w:rsidRDefault="0077484B" w:rsidP="00F20316">
            <w:pPr>
              <w:pStyle w:val="TableParagraph"/>
              <w:rPr>
                <w:rFonts w:ascii="Arial"/>
                <w:b/>
                <w:sz w:val="20"/>
              </w:rPr>
            </w:pPr>
          </w:p>
          <w:p w14:paraId="782B124B" w14:textId="77777777" w:rsidR="0077484B" w:rsidRDefault="0077484B" w:rsidP="00F20316">
            <w:pPr>
              <w:pStyle w:val="TableParagraph"/>
              <w:rPr>
                <w:rFonts w:ascii="Arial"/>
                <w:b/>
                <w:sz w:val="20"/>
              </w:rPr>
            </w:pPr>
          </w:p>
          <w:p w14:paraId="2769ADD3" w14:textId="77777777" w:rsidR="0077484B" w:rsidRDefault="0077484B" w:rsidP="00F20316">
            <w:pPr>
              <w:pStyle w:val="TableParagraph"/>
              <w:spacing w:before="8"/>
              <w:rPr>
                <w:rFonts w:ascii="Arial"/>
                <w:b/>
                <w:sz w:val="11"/>
              </w:rPr>
            </w:pPr>
          </w:p>
          <w:p w14:paraId="1C3E44C2" w14:textId="77777777" w:rsidR="0077484B" w:rsidRDefault="0077484B" w:rsidP="00F20316">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30C45CCE" wp14:editId="78291383">
                  <wp:extent cx="114300" cy="114300"/>
                  <wp:effectExtent l="0" t="0" r="0" b="0"/>
                  <wp:docPr id="25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1BE0766F" w14:textId="77777777" w:rsidR="0077484B" w:rsidRDefault="0077484B" w:rsidP="00F20316">
            <w:pPr>
              <w:pStyle w:val="TableParagraph"/>
              <w:rPr>
                <w:rFonts w:ascii="Arial"/>
                <w:b/>
                <w:sz w:val="20"/>
              </w:rPr>
            </w:pPr>
          </w:p>
          <w:p w14:paraId="0D2C3D65" w14:textId="77777777" w:rsidR="0077484B" w:rsidRDefault="0077484B" w:rsidP="00F20316">
            <w:pPr>
              <w:pStyle w:val="TableParagraph"/>
              <w:rPr>
                <w:rFonts w:ascii="Arial"/>
                <w:b/>
                <w:sz w:val="20"/>
              </w:rPr>
            </w:pPr>
          </w:p>
          <w:p w14:paraId="753C0096" w14:textId="77777777" w:rsidR="0077484B" w:rsidRDefault="0077484B" w:rsidP="00F20316">
            <w:pPr>
              <w:pStyle w:val="TableParagraph"/>
              <w:spacing w:before="8"/>
              <w:rPr>
                <w:rFonts w:ascii="Arial"/>
                <w:b/>
                <w:sz w:val="11"/>
              </w:rPr>
            </w:pPr>
          </w:p>
          <w:p w14:paraId="19EF83D7"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5ADE9022" wp14:editId="274C58D2">
                  <wp:extent cx="114300" cy="114300"/>
                  <wp:effectExtent l="0" t="0" r="0" b="0"/>
                  <wp:docPr id="25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14A180A3" w14:textId="77777777" w:rsidR="0077484B" w:rsidRDefault="0077484B" w:rsidP="00F20316">
            <w:pPr>
              <w:pStyle w:val="TableParagraph"/>
              <w:rPr>
                <w:rFonts w:ascii="Arial"/>
                <w:b/>
                <w:sz w:val="20"/>
              </w:rPr>
            </w:pPr>
          </w:p>
          <w:p w14:paraId="12D0A32B" w14:textId="77777777" w:rsidR="0077484B" w:rsidRDefault="0077484B" w:rsidP="00F20316">
            <w:pPr>
              <w:pStyle w:val="TableParagraph"/>
              <w:rPr>
                <w:rFonts w:ascii="Arial"/>
                <w:b/>
                <w:sz w:val="20"/>
              </w:rPr>
            </w:pPr>
          </w:p>
          <w:p w14:paraId="691053B4" w14:textId="77777777" w:rsidR="0077484B" w:rsidRDefault="0077484B" w:rsidP="00F20316">
            <w:pPr>
              <w:pStyle w:val="TableParagraph"/>
              <w:spacing w:before="8"/>
              <w:rPr>
                <w:rFonts w:ascii="Arial"/>
                <w:b/>
                <w:sz w:val="11"/>
              </w:rPr>
            </w:pPr>
          </w:p>
          <w:p w14:paraId="32680B3D" w14:textId="6BDEE645" w:rsidR="0077484B" w:rsidRDefault="0077484B" w:rsidP="00F20316">
            <w:pPr>
              <w:pStyle w:val="TableParagraph"/>
              <w:spacing w:line="180" w:lineRule="exact"/>
              <w:ind w:left="468"/>
              <w:rPr>
                <w:rFonts w:ascii="Arial"/>
                <w:sz w:val="18"/>
              </w:rPr>
            </w:pPr>
            <w:r>
              <w:rPr>
                <w:rFonts w:ascii="Arial"/>
                <w:noProof/>
                <w:position w:val="-3"/>
                <w:sz w:val="18"/>
                <w:lang w:val="en-GB" w:eastAsia="en-GB"/>
              </w:rPr>
              <w:t>X</w:t>
            </w:r>
          </w:p>
        </w:tc>
        <w:tc>
          <w:tcPr>
            <w:tcW w:w="593" w:type="dxa"/>
          </w:tcPr>
          <w:p w14:paraId="5C83FDBF" w14:textId="77777777" w:rsidR="0077484B" w:rsidRDefault="0077484B" w:rsidP="00F20316">
            <w:pPr>
              <w:pStyle w:val="TableParagraph"/>
              <w:rPr>
                <w:rFonts w:ascii="Arial"/>
                <w:b/>
                <w:sz w:val="20"/>
              </w:rPr>
            </w:pPr>
          </w:p>
          <w:p w14:paraId="4EAA7961" w14:textId="77777777" w:rsidR="0077484B" w:rsidRDefault="0077484B" w:rsidP="00F20316">
            <w:pPr>
              <w:pStyle w:val="TableParagraph"/>
              <w:rPr>
                <w:rFonts w:ascii="Arial"/>
                <w:b/>
                <w:sz w:val="20"/>
              </w:rPr>
            </w:pPr>
          </w:p>
          <w:p w14:paraId="7CFF54C7" w14:textId="77777777" w:rsidR="0077484B" w:rsidRDefault="0077484B" w:rsidP="00F20316">
            <w:pPr>
              <w:pStyle w:val="TableParagraph"/>
              <w:spacing w:before="8"/>
              <w:rPr>
                <w:rFonts w:ascii="Arial"/>
                <w:b/>
                <w:sz w:val="11"/>
              </w:rPr>
            </w:pPr>
          </w:p>
          <w:p w14:paraId="6A644EA0" w14:textId="77777777" w:rsidR="0077484B" w:rsidRDefault="0077484B" w:rsidP="00F20316">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6CCA6BCA" wp14:editId="2C96214A">
                  <wp:extent cx="114300" cy="114300"/>
                  <wp:effectExtent l="0" t="0" r="0" b="0"/>
                  <wp:docPr id="25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47F89AB0" w14:textId="77777777" w:rsidTr="006D045B">
        <w:trPr>
          <w:trHeight w:val="1500"/>
          <w:jc w:val="center"/>
        </w:trPr>
        <w:tc>
          <w:tcPr>
            <w:tcW w:w="2711" w:type="dxa"/>
          </w:tcPr>
          <w:p w14:paraId="3B5D8AD0" w14:textId="77777777" w:rsidR="0077484B" w:rsidRDefault="0077484B" w:rsidP="00F20316">
            <w:pPr>
              <w:pStyle w:val="TableParagraph"/>
              <w:spacing w:before="61" w:line="199" w:lineRule="auto"/>
              <w:ind w:left="185" w:right="242"/>
              <w:rPr>
                <w:sz w:val="19"/>
              </w:rPr>
            </w:pPr>
            <w:r>
              <w:rPr>
                <w:w w:val="105"/>
                <w:sz w:val="19"/>
              </w:rPr>
              <w:lastRenderedPageBreak/>
              <w:t>3.2. Lack of clarity in explainability requirements, which may lead to reject these models</w:t>
            </w:r>
          </w:p>
        </w:tc>
        <w:tc>
          <w:tcPr>
            <w:tcW w:w="1125" w:type="dxa"/>
          </w:tcPr>
          <w:p w14:paraId="0EA31293" w14:textId="77777777" w:rsidR="0077484B" w:rsidRDefault="0077484B" w:rsidP="00F20316">
            <w:pPr>
              <w:pStyle w:val="TableParagraph"/>
              <w:rPr>
                <w:rFonts w:ascii="Arial"/>
                <w:b/>
                <w:sz w:val="20"/>
              </w:rPr>
            </w:pPr>
          </w:p>
          <w:p w14:paraId="210C500B" w14:textId="77777777" w:rsidR="0077484B" w:rsidRDefault="0077484B" w:rsidP="00F20316">
            <w:pPr>
              <w:pStyle w:val="TableParagraph"/>
              <w:rPr>
                <w:rFonts w:ascii="Arial"/>
                <w:b/>
                <w:sz w:val="20"/>
              </w:rPr>
            </w:pPr>
          </w:p>
          <w:p w14:paraId="70678A23" w14:textId="77777777" w:rsidR="0077484B" w:rsidRDefault="0077484B" w:rsidP="00F20316">
            <w:pPr>
              <w:pStyle w:val="TableParagraph"/>
              <w:spacing w:before="8"/>
              <w:rPr>
                <w:rFonts w:ascii="Arial"/>
                <w:b/>
                <w:sz w:val="11"/>
              </w:rPr>
            </w:pPr>
          </w:p>
          <w:p w14:paraId="4F2B603E" w14:textId="77777777" w:rsidR="0077484B" w:rsidRDefault="0077484B"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687E5EF" wp14:editId="768CB153">
                  <wp:extent cx="114300" cy="114300"/>
                  <wp:effectExtent l="0" t="0" r="0" b="0"/>
                  <wp:docPr id="25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4E180A5B" w14:textId="77777777" w:rsidR="0077484B" w:rsidRDefault="0077484B" w:rsidP="00F20316">
            <w:pPr>
              <w:pStyle w:val="TableParagraph"/>
              <w:rPr>
                <w:rFonts w:ascii="Arial"/>
                <w:b/>
                <w:sz w:val="20"/>
              </w:rPr>
            </w:pPr>
          </w:p>
          <w:p w14:paraId="0B522B1D" w14:textId="77777777" w:rsidR="0077484B" w:rsidRDefault="0077484B" w:rsidP="00F20316">
            <w:pPr>
              <w:pStyle w:val="TableParagraph"/>
              <w:rPr>
                <w:rFonts w:ascii="Arial"/>
                <w:b/>
                <w:sz w:val="20"/>
              </w:rPr>
            </w:pPr>
          </w:p>
          <w:p w14:paraId="6A4CBA25" w14:textId="77777777" w:rsidR="0077484B" w:rsidRDefault="0077484B" w:rsidP="00F20316">
            <w:pPr>
              <w:pStyle w:val="TableParagraph"/>
              <w:spacing w:before="8"/>
              <w:rPr>
                <w:rFonts w:ascii="Arial"/>
                <w:b/>
                <w:sz w:val="11"/>
              </w:rPr>
            </w:pPr>
          </w:p>
          <w:p w14:paraId="1C8E09A4"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E7BC381" wp14:editId="3D07D333">
                  <wp:extent cx="114300" cy="114300"/>
                  <wp:effectExtent l="0" t="0" r="0" b="0"/>
                  <wp:docPr id="25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8" w:type="dxa"/>
          </w:tcPr>
          <w:p w14:paraId="10149726" w14:textId="77777777" w:rsidR="0077484B" w:rsidRDefault="0077484B" w:rsidP="00F20316">
            <w:pPr>
              <w:pStyle w:val="TableParagraph"/>
              <w:rPr>
                <w:rFonts w:ascii="Arial"/>
                <w:b/>
                <w:sz w:val="20"/>
              </w:rPr>
            </w:pPr>
          </w:p>
          <w:p w14:paraId="00F7339F" w14:textId="77777777" w:rsidR="0077484B" w:rsidRDefault="0077484B" w:rsidP="00F20316">
            <w:pPr>
              <w:pStyle w:val="TableParagraph"/>
              <w:rPr>
                <w:rFonts w:ascii="Arial"/>
                <w:b/>
                <w:sz w:val="20"/>
              </w:rPr>
            </w:pPr>
          </w:p>
          <w:p w14:paraId="268411B0" w14:textId="77777777" w:rsidR="0077484B" w:rsidRDefault="0077484B" w:rsidP="00F20316">
            <w:pPr>
              <w:pStyle w:val="TableParagraph"/>
              <w:spacing w:before="8"/>
              <w:rPr>
                <w:rFonts w:ascii="Arial"/>
                <w:b/>
                <w:sz w:val="11"/>
              </w:rPr>
            </w:pPr>
          </w:p>
          <w:p w14:paraId="33A745E3" w14:textId="77777777" w:rsidR="0077484B" w:rsidRDefault="0077484B" w:rsidP="00F20316">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703E333A" wp14:editId="1D4020E6">
                  <wp:extent cx="114300" cy="114300"/>
                  <wp:effectExtent l="0" t="0" r="0" b="0"/>
                  <wp:docPr id="25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3330D63E" w14:textId="77777777" w:rsidR="0077484B" w:rsidRDefault="0077484B" w:rsidP="00F20316">
            <w:pPr>
              <w:pStyle w:val="TableParagraph"/>
              <w:rPr>
                <w:rFonts w:ascii="Arial"/>
                <w:b/>
                <w:sz w:val="20"/>
              </w:rPr>
            </w:pPr>
          </w:p>
          <w:p w14:paraId="7397D044" w14:textId="77777777" w:rsidR="0077484B" w:rsidRDefault="0077484B" w:rsidP="00F20316">
            <w:pPr>
              <w:pStyle w:val="TableParagraph"/>
              <w:rPr>
                <w:rFonts w:ascii="Arial"/>
                <w:b/>
                <w:sz w:val="20"/>
              </w:rPr>
            </w:pPr>
          </w:p>
          <w:p w14:paraId="221DAAB1" w14:textId="77777777" w:rsidR="0077484B" w:rsidRDefault="0077484B" w:rsidP="00F20316">
            <w:pPr>
              <w:pStyle w:val="TableParagraph"/>
              <w:spacing w:before="8"/>
              <w:rPr>
                <w:rFonts w:ascii="Arial"/>
                <w:b/>
                <w:sz w:val="11"/>
              </w:rPr>
            </w:pPr>
          </w:p>
          <w:p w14:paraId="672A0C69" w14:textId="43B9EBEB" w:rsidR="0077484B" w:rsidRDefault="0077484B" w:rsidP="00F20316">
            <w:pPr>
              <w:pStyle w:val="TableParagraph"/>
              <w:spacing w:line="180" w:lineRule="exact"/>
              <w:ind w:left="468"/>
              <w:rPr>
                <w:rFonts w:ascii="Arial"/>
                <w:sz w:val="18"/>
              </w:rPr>
            </w:pPr>
            <w:r>
              <w:rPr>
                <w:rFonts w:ascii="Arial"/>
                <w:noProof/>
                <w:position w:val="-3"/>
                <w:sz w:val="18"/>
                <w:lang w:val="en-GB" w:eastAsia="en-GB"/>
              </w:rPr>
              <w:t>X</w:t>
            </w:r>
          </w:p>
        </w:tc>
        <w:tc>
          <w:tcPr>
            <w:tcW w:w="976" w:type="dxa"/>
          </w:tcPr>
          <w:p w14:paraId="532AF641" w14:textId="77777777" w:rsidR="0077484B" w:rsidRDefault="0077484B" w:rsidP="00F20316">
            <w:pPr>
              <w:pStyle w:val="TableParagraph"/>
              <w:rPr>
                <w:rFonts w:ascii="Arial"/>
                <w:b/>
                <w:sz w:val="20"/>
              </w:rPr>
            </w:pPr>
          </w:p>
          <w:p w14:paraId="3235FAD9" w14:textId="77777777" w:rsidR="0077484B" w:rsidRDefault="0077484B" w:rsidP="00F20316">
            <w:pPr>
              <w:pStyle w:val="TableParagraph"/>
              <w:rPr>
                <w:rFonts w:ascii="Arial"/>
                <w:b/>
                <w:sz w:val="20"/>
              </w:rPr>
            </w:pPr>
          </w:p>
          <w:p w14:paraId="5BE52B80" w14:textId="77777777" w:rsidR="0077484B" w:rsidRDefault="0077484B" w:rsidP="00F20316">
            <w:pPr>
              <w:pStyle w:val="TableParagraph"/>
              <w:spacing w:before="8"/>
              <w:rPr>
                <w:rFonts w:ascii="Arial"/>
                <w:b/>
                <w:sz w:val="11"/>
              </w:rPr>
            </w:pPr>
          </w:p>
          <w:p w14:paraId="01C2B115"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275BAF99" wp14:editId="036C3EED">
                  <wp:extent cx="114300" cy="114300"/>
                  <wp:effectExtent l="0" t="0" r="0" b="0"/>
                  <wp:docPr id="25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3" w:type="dxa"/>
          </w:tcPr>
          <w:p w14:paraId="25103578" w14:textId="77777777" w:rsidR="0077484B" w:rsidRDefault="0077484B" w:rsidP="00F20316">
            <w:pPr>
              <w:pStyle w:val="TableParagraph"/>
              <w:rPr>
                <w:rFonts w:ascii="Arial"/>
                <w:b/>
                <w:sz w:val="20"/>
              </w:rPr>
            </w:pPr>
          </w:p>
          <w:p w14:paraId="79DFF0F8" w14:textId="77777777" w:rsidR="0077484B" w:rsidRDefault="0077484B" w:rsidP="00F20316">
            <w:pPr>
              <w:pStyle w:val="TableParagraph"/>
              <w:rPr>
                <w:rFonts w:ascii="Arial"/>
                <w:b/>
                <w:sz w:val="20"/>
              </w:rPr>
            </w:pPr>
          </w:p>
          <w:p w14:paraId="1F2C49AA" w14:textId="77777777" w:rsidR="0077484B" w:rsidRDefault="0077484B" w:rsidP="00F20316">
            <w:pPr>
              <w:pStyle w:val="TableParagraph"/>
              <w:spacing w:before="8"/>
              <w:rPr>
                <w:rFonts w:ascii="Arial"/>
                <w:b/>
                <w:sz w:val="11"/>
              </w:rPr>
            </w:pPr>
          </w:p>
          <w:p w14:paraId="0112C412" w14:textId="77777777" w:rsidR="0077484B" w:rsidRDefault="0077484B" w:rsidP="00F20316">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6AB6C25E" wp14:editId="004B79CD">
                  <wp:extent cx="114300" cy="114300"/>
                  <wp:effectExtent l="0" t="0" r="0" b="0"/>
                  <wp:docPr id="25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5434B1D2" w14:textId="77777777" w:rsidTr="006D045B">
        <w:trPr>
          <w:trHeight w:val="1201"/>
          <w:jc w:val="center"/>
        </w:trPr>
        <w:tc>
          <w:tcPr>
            <w:tcW w:w="2711" w:type="dxa"/>
          </w:tcPr>
          <w:p w14:paraId="27533BF7" w14:textId="77777777" w:rsidR="0077484B" w:rsidRDefault="0077484B" w:rsidP="00F20316">
            <w:pPr>
              <w:pStyle w:val="TableParagraph"/>
              <w:spacing w:before="61" w:line="199" w:lineRule="auto"/>
              <w:ind w:left="185" w:right="109"/>
              <w:rPr>
                <w:sz w:val="19"/>
              </w:rPr>
            </w:pPr>
            <w:r>
              <w:rPr>
                <w:w w:val="105"/>
                <w:sz w:val="19"/>
              </w:rPr>
              <w:t>3.3. Lack of adequate coordination with other authorities (e.g. data protection)</w:t>
            </w:r>
          </w:p>
        </w:tc>
        <w:tc>
          <w:tcPr>
            <w:tcW w:w="1125" w:type="dxa"/>
          </w:tcPr>
          <w:p w14:paraId="3F30327F" w14:textId="77777777" w:rsidR="0077484B" w:rsidRDefault="0077484B" w:rsidP="00F20316">
            <w:pPr>
              <w:pStyle w:val="TableParagraph"/>
              <w:rPr>
                <w:rFonts w:ascii="Arial"/>
                <w:b/>
                <w:sz w:val="20"/>
              </w:rPr>
            </w:pPr>
          </w:p>
          <w:p w14:paraId="370DFBB8" w14:textId="77777777" w:rsidR="0077484B" w:rsidRDefault="0077484B" w:rsidP="00F20316">
            <w:pPr>
              <w:pStyle w:val="TableParagraph"/>
              <w:spacing w:before="9"/>
              <w:rPr>
                <w:rFonts w:ascii="Arial"/>
                <w:b/>
                <w:sz w:val="18"/>
              </w:rPr>
            </w:pPr>
          </w:p>
          <w:p w14:paraId="2E7E838F" w14:textId="77777777" w:rsidR="0077484B" w:rsidRDefault="0077484B"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6A8C654B" wp14:editId="2716D474">
                  <wp:extent cx="114300" cy="114300"/>
                  <wp:effectExtent l="0" t="0" r="0" b="0"/>
                  <wp:docPr id="25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4689C3E4" w14:textId="77777777" w:rsidR="0077484B" w:rsidRDefault="0077484B" w:rsidP="00F20316">
            <w:pPr>
              <w:pStyle w:val="TableParagraph"/>
              <w:rPr>
                <w:rFonts w:ascii="Arial"/>
                <w:b/>
                <w:sz w:val="20"/>
              </w:rPr>
            </w:pPr>
          </w:p>
          <w:p w14:paraId="2E2CCB7C" w14:textId="77777777" w:rsidR="0077484B" w:rsidRDefault="0077484B" w:rsidP="00F20316">
            <w:pPr>
              <w:pStyle w:val="TableParagraph"/>
              <w:spacing w:before="9"/>
              <w:rPr>
                <w:rFonts w:ascii="Arial"/>
                <w:b/>
                <w:sz w:val="18"/>
              </w:rPr>
            </w:pPr>
          </w:p>
          <w:p w14:paraId="07871CBB"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31E11EB6" wp14:editId="24640B47">
                  <wp:extent cx="114300" cy="114300"/>
                  <wp:effectExtent l="0" t="0" r="0" b="0"/>
                  <wp:docPr id="25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8" w:type="dxa"/>
          </w:tcPr>
          <w:p w14:paraId="6565ECC0" w14:textId="77777777" w:rsidR="0077484B" w:rsidRDefault="0077484B" w:rsidP="00F20316">
            <w:pPr>
              <w:pStyle w:val="TableParagraph"/>
              <w:rPr>
                <w:rFonts w:ascii="Arial"/>
                <w:b/>
                <w:sz w:val="20"/>
              </w:rPr>
            </w:pPr>
          </w:p>
          <w:p w14:paraId="12387225" w14:textId="77777777" w:rsidR="0077484B" w:rsidRDefault="0077484B" w:rsidP="00F20316">
            <w:pPr>
              <w:pStyle w:val="TableParagraph"/>
              <w:spacing w:before="9"/>
              <w:rPr>
                <w:rFonts w:ascii="Arial"/>
                <w:b/>
                <w:sz w:val="18"/>
              </w:rPr>
            </w:pPr>
          </w:p>
          <w:p w14:paraId="1A7FBA9A" w14:textId="77777777" w:rsidR="0077484B" w:rsidRDefault="0077484B" w:rsidP="00F20316">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2D11707F" wp14:editId="1115797A">
                  <wp:extent cx="114300" cy="114300"/>
                  <wp:effectExtent l="0" t="0" r="0" b="0"/>
                  <wp:docPr id="25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31267286" w14:textId="77777777" w:rsidR="0077484B" w:rsidRDefault="0077484B" w:rsidP="00F20316">
            <w:pPr>
              <w:pStyle w:val="TableParagraph"/>
              <w:rPr>
                <w:rFonts w:ascii="Arial"/>
                <w:b/>
                <w:sz w:val="20"/>
              </w:rPr>
            </w:pPr>
          </w:p>
          <w:p w14:paraId="2B044A95" w14:textId="77777777" w:rsidR="0077484B" w:rsidRDefault="0077484B" w:rsidP="00F20316">
            <w:pPr>
              <w:pStyle w:val="TableParagraph"/>
              <w:spacing w:before="9"/>
              <w:rPr>
                <w:rFonts w:ascii="Arial"/>
                <w:b/>
                <w:sz w:val="18"/>
              </w:rPr>
            </w:pPr>
          </w:p>
          <w:p w14:paraId="5EAE100B" w14:textId="208158D0" w:rsidR="0077484B" w:rsidRDefault="0077484B" w:rsidP="00F20316">
            <w:pPr>
              <w:pStyle w:val="TableParagraph"/>
              <w:spacing w:line="180" w:lineRule="exact"/>
              <w:ind w:left="468"/>
              <w:rPr>
                <w:rFonts w:ascii="Arial"/>
                <w:sz w:val="18"/>
              </w:rPr>
            </w:pPr>
            <w:r>
              <w:rPr>
                <w:rFonts w:ascii="Arial"/>
                <w:noProof/>
                <w:position w:val="-3"/>
                <w:sz w:val="18"/>
                <w:lang w:val="en-GB" w:eastAsia="en-GB"/>
              </w:rPr>
              <w:t>X</w:t>
            </w:r>
          </w:p>
        </w:tc>
        <w:tc>
          <w:tcPr>
            <w:tcW w:w="976" w:type="dxa"/>
          </w:tcPr>
          <w:p w14:paraId="56AA4EA3" w14:textId="77777777" w:rsidR="0077484B" w:rsidRDefault="0077484B" w:rsidP="00F20316">
            <w:pPr>
              <w:pStyle w:val="TableParagraph"/>
              <w:rPr>
                <w:rFonts w:ascii="Arial"/>
                <w:b/>
                <w:sz w:val="20"/>
              </w:rPr>
            </w:pPr>
          </w:p>
          <w:p w14:paraId="5E97987B" w14:textId="77777777" w:rsidR="0077484B" w:rsidRDefault="0077484B" w:rsidP="00F20316">
            <w:pPr>
              <w:pStyle w:val="TableParagraph"/>
              <w:spacing w:before="9"/>
              <w:rPr>
                <w:rFonts w:ascii="Arial"/>
                <w:b/>
                <w:sz w:val="18"/>
              </w:rPr>
            </w:pPr>
          </w:p>
          <w:p w14:paraId="78C19BA5"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5837F354" wp14:editId="757EB7E0">
                  <wp:extent cx="114300" cy="114300"/>
                  <wp:effectExtent l="0" t="0" r="0" b="0"/>
                  <wp:docPr id="25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3" w:type="dxa"/>
          </w:tcPr>
          <w:p w14:paraId="367CF789" w14:textId="77777777" w:rsidR="0077484B" w:rsidRDefault="0077484B" w:rsidP="00F20316">
            <w:pPr>
              <w:pStyle w:val="TableParagraph"/>
              <w:rPr>
                <w:rFonts w:ascii="Arial"/>
                <w:b/>
                <w:sz w:val="20"/>
              </w:rPr>
            </w:pPr>
          </w:p>
          <w:p w14:paraId="73312081" w14:textId="77777777" w:rsidR="0077484B" w:rsidRDefault="0077484B" w:rsidP="00F20316">
            <w:pPr>
              <w:pStyle w:val="TableParagraph"/>
              <w:spacing w:before="9"/>
              <w:rPr>
                <w:rFonts w:ascii="Arial"/>
                <w:b/>
                <w:sz w:val="18"/>
              </w:rPr>
            </w:pPr>
          </w:p>
          <w:p w14:paraId="3EB8D79F" w14:textId="77777777" w:rsidR="0077484B" w:rsidRDefault="0077484B" w:rsidP="00F20316">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19610ED4" wp14:editId="3B8297A2">
                  <wp:extent cx="114300" cy="114300"/>
                  <wp:effectExtent l="0" t="0" r="0" b="0"/>
                  <wp:docPr id="25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02D0CF6B" w14:textId="77777777" w:rsidTr="006D045B">
        <w:trPr>
          <w:trHeight w:val="605"/>
          <w:jc w:val="center"/>
        </w:trPr>
        <w:tc>
          <w:tcPr>
            <w:tcW w:w="2711" w:type="dxa"/>
          </w:tcPr>
          <w:p w14:paraId="0496B4F0" w14:textId="77777777" w:rsidR="0077484B" w:rsidRDefault="0077484B" w:rsidP="00F20316">
            <w:pPr>
              <w:pStyle w:val="TableParagraph"/>
              <w:spacing w:before="17"/>
              <w:ind w:left="185"/>
              <w:rPr>
                <w:sz w:val="19"/>
              </w:rPr>
            </w:pPr>
            <w:r>
              <w:rPr>
                <w:w w:val="105"/>
                <w:sz w:val="19"/>
              </w:rPr>
              <w:t>3.4. Biases</w:t>
            </w:r>
          </w:p>
        </w:tc>
        <w:tc>
          <w:tcPr>
            <w:tcW w:w="1125" w:type="dxa"/>
          </w:tcPr>
          <w:p w14:paraId="24A80107" w14:textId="77777777" w:rsidR="0077484B" w:rsidRDefault="0077484B" w:rsidP="00F20316">
            <w:pPr>
              <w:pStyle w:val="TableParagraph"/>
              <w:rPr>
                <w:rFonts w:ascii="Arial"/>
                <w:b/>
                <w:sz w:val="13"/>
              </w:rPr>
            </w:pPr>
          </w:p>
          <w:p w14:paraId="5C3C38F7" w14:textId="77777777" w:rsidR="0077484B" w:rsidRDefault="0077484B"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1BFFF9AC" wp14:editId="4619EA77">
                  <wp:extent cx="114300" cy="114300"/>
                  <wp:effectExtent l="0" t="0" r="0" b="0"/>
                  <wp:docPr id="25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0D624A41" w14:textId="77777777" w:rsidR="0077484B" w:rsidRDefault="0077484B" w:rsidP="00F20316">
            <w:pPr>
              <w:pStyle w:val="TableParagraph"/>
              <w:rPr>
                <w:rFonts w:ascii="Arial"/>
                <w:b/>
                <w:sz w:val="13"/>
              </w:rPr>
            </w:pPr>
          </w:p>
          <w:p w14:paraId="0EC75005"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B44ACCC" wp14:editId="44A5F895">
                  <wp:extent cx="114300" cy="114300"/>
                  <wp:effectExtent l="0" t="0" r="0" b="0"/>
                  <wp:docPr id="25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8" w:type="dxa"/>
          </w:tcPr>
          <w:p w14:paraId="0F559055" w14:textId="77777777" w:rsidR="0077484B" w:rsidRDefault="0077484B" w:rsidP="00F20316">
            <w:pPr>
              <w:pStyle w:val="TableParagraph"/>
              <w:rPr>
                <w:rFonts w:ascii="Arial"/>
                <w:b/>
                <w:sz w:val="13"/>
              </w:rPr>
            </w:pPr>
          </w:p>
          <w:p w14:paraId="608ECF6A" w14:textId="77EF376D" w:rsidR="0077484B" w:rsidRDefault="005765CE" w:rsidP="00F20316">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3C1CB458" wp14:editId="343F718E">
                  <wp:extent cx="114300" cy="114300"/>
                  <wp:effectExtent l="0" t="0" r="0" b="0"/>
                  <wp:docPr id="277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61B7FABC" w14:textId="77777777" w:rsidR="0077484B" w:rsidRDefault="0077484B" w:rsidP="00F20316">
            <w:pPr>
              <w:pStyle w:val="TableParagraph"/>
              <w:rPr>
                <w:rFonts w:ascii="Arial"/>
                <w:b/>
                <w:sz w:val="13"/>
              </w:rPr>
            </w:pPr>
          </w:p>
          <w:p w14:paraId="6A1AE758" w14:textId="2F2E3993" w:rsidR="0077484B" w:rsidRDefault="005765CE" w:rsidP="00F20316">
            <w:pPr>
              <w:pStyle w:val="TableParagraph"/>
              <w:spacing w:line="180" w:lineRule="exact"/>
              <w:ind w:left="468"/>
              <w:rPr>
                <w:rFonts w:ascii="Arial"/>
                <w:sz w:val="18"/>
              </w:rPr>
            </w:pPr>
            <w:r>
              <w:rPr>
                <w:rFonts w:ascii="Arial"/>
                <w:noProof/>
                <w:position w:val="-3"/>
                <w:sz w:val="18"/>
                <w:lang w:val="en-GB" w:eastAsia="en-GB"/>
              </w:rPr>
              <w:t xml:space="preserve">X </w:t>
            </w:r>
          </w:p>
        </w:tc>
        <w:tc>
          <w:tcPr>
            <w:tcW w:w="976" w:type="dxa"/>
          </w:tcPr>
          <w:p w14:paraId="252A0E23" w14:textId="77777777" w:rsidR="0077484B" w:rsidRDefault="0077484B" w:rsidP="00F20316">
            <w:pPr>
              <w:pStyle w:val="TableParagraph"/>
              <w:rPr>
                <w:rFonts w:ascii="Arial"/>
                <w:b/>
                <w:sz w:val="13"/>
              </w:rPr>
            </w:pPr>
          </w:p>
          <w:p w14:paraId="596D0F28"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AC30191" wp14:editId="5620043F">
                  <wp:extent cx="114300" cy="114300"/>
                  <wp:effectExtent l="0" t="0" r="0" b="0"/>
                  <wp:docPr id="25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3" w:type="dxa"/>
          </w:tcPr>
          <w:p w14:paraId="47EB6572" w14:textId="77777777" w:rsidR="0077484B" w:rsidRDefault="0077484B" w:rsidP="00F20316">
            <w:pPr>
              <w:pStyle w:val="TableParagraph"/>
              <w:rPr>
                <w:rFonts w:ascii="Arial"/>
                <w:b/>
                <w:sz w:val="13"/>
              </w:rPr>
            </w:pPr>
          </w:p>
          <w:p w14:paraId="2C9FA02E" w14:textId="77777777" w:rsidR="0077484B" w:rsidRDefault="0077484B" w:rsidP="00F20316">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254FC64C" wp14:editId="00770A2F">
                  <wp:extent cx="114300" cy="114300"/>
                  <wp:effectExtent l="0" t="0" r="0" b="0"/>
                  <wp:docPr id="25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484B" w14:paraId="34A1B8A8" w14:textId="77777777" w:rsidTr="006D045B">
        <w:trPr>
          <w:trHeight w:val="606"/>
          <w:jc w:val="center"/>
        </w:trPr>
        <w:tc>
          <w:tcPr>
            <w:tcW w:w="2711" w:type="dxa"/>
          </w:tcPr>
          <w:p w14:paraId="1FB1F305" w14:textId="77777777" w:rsidR="0077484B" w:rsidRDefault="0077484B" w:rsidP="00F20316">
            <w:pPr>
              <w:pStyle w:val="TableParagraph"/>
              <w:spacing w:before="17"/>
              <w:ind w:left="185"/>
              <w:rPr>
                <w:sz w:val="19"/>
              </w:rPr>
            </w:pPr>
            <w:r>
              <w:rPr>
                <w:w w:val="105"/>
                <w:sz w:val="19"/>
              </w:rPr>
              <w:t>3.5. Other</w:t>
            </w:r>
          </w:p>
        </w:tc>
        <w:tc>
          <w:tcPr>
            <w:tcW w:w="1125" w:type="dxa"/>
          </w:tcPr>
          <w:p w14:paraId="08C4D4AC" w14:textId="77777777" w:rsidR="0077484B" w:rsidRDefault="0077484B" w:rsidP="00F20316">
            <w:pPr>
              <w:pStyle w:val="TableParagraph"/>
              <w:rPr>
                <w:rFonts w:ascii="Arial"/>
                <w:b/>
                <w:sz w:val="13"/>
              </w:rPr>
            </w:pPr>
          </w:p>
          <w:p w14:paraId="021F8A67" w14:textId="77777777" w:rsidR="0077484B" w:rsidRDefault="0077484B" w:rsidP="00F20316">
            <w:pPr>
              <w:pStyle w:val="TableParagraph"/>
              <w:spacing w:line="180" w:lineRule="exact"/>
              <w:ind w:left="553"/>
              <w:rPr>
                <w:rFonts w:ascii="Arial"/>
                <w:sz w:val="18"/>
              </w:rPr>
            </w:pPr>
            <w:r>
              <w:rPr>
                <w:rFonts w:ascii="Arial"/>
                <w:noProof/>
                <w:position w:val="-3"/>
                <w:sz w:val="18"/>
                <w:lang w:val="en-GB" w:eastAsia="en-GB"/>
              </w:rPr>
              <w:drawing>
                <wp:inline distT="0" distB="0" distL="0" distR="0" wp14:anchorId="71CE65DE" wp14:editId="1626E9B7">
                  <wp:extent cx="114300" cy="114300"/>
                  <wp:effectExtent l="0" t="0" r="0" b="0"/>
                  <wp:docPr id="25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0F0D4293" w14:textId="77777777" w:rsidR="0077484B" w:rsidRDefault="0077484B" w:rsidP="00F20316">
            <w:pPr>
              <w:pStyle w:val="TableParagraph"/>
              <w:rPr>
                <w:rFonts w:ascii="Arial"/>
                <w:b/>
                <w:sz w:val="13"/>
              </w:rPr>
            </w:pPr>
          </w:p>
          <w:p w14:paraId="0ABFBAE1"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6DE0DE6E" wp14:editId="66C210B4">
                  <wp:extent cx="114300" cy="114300"/>
                  <wp:effectExtent l="0" t="0" r="0" b="0"/>
                  <wp:docPr id="25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48" w:type="dxa"/>
          </w:tcPr>
          <w:p w14:paraId="7870FA10" w14:textId="77777777" w:rsidR="0077484B" w:rsidRDefault="0077484B" w:rsidP="00F20316">
            <w:pPr>
              <w:pStyle w:val="TableParagraph"/>
              <w:rPr>
                <w:rFonts w:ascii="Arial"/>
                <w:b/>
                <w:sz w:val="13"/>
              </w:rPr>
            </w:pPr>
          </w:p>
          <w:p w14:paraId="21363E16" w14:textId="77777777" w:rsidR="0077484B" w:rsidRDefault="0077484B" w:rsidP="00F20316">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3E07B536" wp14:editId="48BFC111">
                  <wp:extent cx="114300" cy="114300"/>
                  <wp:effectExtent l="0" t="0" r="0" b="0"/>
                  <wp:docPr id="25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38F898A6" w14:textId="77777777" w:rsidR="0077484B" w:rsidRDefault="0077484B" w:rsidP="00F20316">
            <w:pPr>
              <w:pStyle w:val="TableParagraph"/>
              <w:rPr>
                <w:rFonts w:ascii="Arial"/>
                <w:b/>
                <w:sz w:val="13"/>
              </w:rPr>
            </w:pPr>
          </w:p>
          <w:p w14:paraId="3404FD29"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7F5E8AF4" wp14:editId="6905B46A">
                  <wp:extent cx="114300" cy="114300"/>
                  <wp:effectExtent l="0" t="0" r="0" b="0"/>
                  <wp:docPr id="25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6" w:type="dxa"/>
          </w:tcPr>
          <w:p w14:paraId="3E70D41A" w14:textId="77777777" w:rsidR="0077484B" w:rsidRDefault="0077484B" w:rsidP="00F20316">
            <w:pPr>
              <w:pStyle w:val="TableParagraph"/>
              <w:rPr>
                <w:rFonts w:ascii="Arial"/>
                <w:b/>
                <w:sz w:val="13"/>
              </w:rPr>
            </w:pPr>
          </w:p>
          <w:p w14:paraId="0985CADB" w14:textId="77777777" w:rsidR="0077484B" w:rsidRDefault="0077484B" w:rsidP="00F20316">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AE7376D" wp14:editId="3346202C">
                  <wp:extent cx="114300" cy="114300"/>
                  <wp:effectExtent l="0" t="0" r="0" b="0"/>
                  <wp:docPr id="25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593" w:type="dxa"/>
          </w:tcPr>
          <w:p w14:paraId="6CC3EC21" w14:textId="77777777" w:rsidR="0077484B" w:rsidRDefault="0077484B" w:rsidP="00F20316">
            <w:pPr>
              <w:pStyle w:val="TableParagraph"/>
              <w:rPr>
                <w:rFonts w:ascii="Arial"/>
                <w:b/>
                <w:sz w:val="13"/>
              </w:rPr>
            </w:pPr>
          </w:p>
          <w:p w14:paraId="33468D26" w14:textId="77777777" w:rsidR="0077484B" w:rsidRDefault="0077484B" w:rsidP="00F20316">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244D0E14" wp14:editId="3B21E3CB">
                  <wp:extent cx="114300" cy="114300"/>
                  <wp:effectExtent l="0" t="0" r="0" b="0"/>
                  <wp:docPr id="25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7B2FC44F" w14:textId="77777777" w:rsidR="0077484B" w:rsidRDefault="0077484B" w:rsidP="00251E66">
      <w:pPr>
        <w:spacing w:line="232" w:lineRule="auto"/>
        <w:ind w:left="115"/>
        <w:rPr>
          <w:rFonts w:ascii="Calibri" w:hAnsi="Calibri" w:cs="Calibri"/>
          <w:b/>
          <w:sz w:val="22"/>
          <w:szCs w:val="22"/>
        </w:rPr>
      </w:pPr>
    </w:p>
    <w:p w14:paraId="5CDEB472" w14:textId="1573166B" w:rsidR="0077484B" w:rsidRPr="006D045B" w:rsidRDefault="0077484B" w:rsidP="006D045B">
      <w:pPr>
        <w:spacing w:before="124"/>
        <w:rPr>
          <w:rFonts w:ascii="Calibri" w:hAnsi="Calibri" w:cs="Calibri"/>
          <w:b/>
        </w:rPr>
      </w:pPr>
      <w:r w:rsidRPr="006D045B">
        <w:rPr>
          <w:rFonts w:ascii="Calibri" w:hAnsi="Calibri" w:cs="Calibri"/>
          <w:b/>
        </w:rPr>
        <w:t>Please specify what other main challenge(s) or risk(s) the increased use of AI- based models is likely to raise for the supervisory authorities:</w:t>
      </w:r>
    </w:p>
    <w:p w14:paraId="306CE25D" w14:textId="77777777" w:rsidR="0077484B" w:rsidRPr="002A56E0" w:rsidRDefault="0077484B" w:rsidP="0077484B">
      <w:pPr>
        <w:pStyle w:val="Heading2"/>
        <w:tabs>
          <w:tab w:val="left" w:pos="3118"/>
          <w:tab w:val="left" w:pos="8931"/>
        </w:tabs>
        <w:spacing w:before="240" w:after="120" w:line="276" w:lineRule="auto"/>
        <w:ind w:left="0" w:right="96"/>
        <w:jc w:val="both"/>
        <w:rPr>
          <w:rFonts w:ascii="Calibri" w:eastAsiaTheme="minorHAnsi" w:hAnsi="Calibri" w:cs="Calibri"/>
          <w:b w:val="0"/>
          <w:bCs w:val="0"/>
          <w:color w:val="000000"/>
          <w:sz w:val="22"/>
          <w:szCs w:val="22"/>
          <w:u w:val="single"/>
          <w:lang w:val="en-GB"/>
        </w:rPr>
      </w:pPr>
      <w:r w:rsidRPr="002A56E0">
        <w:rPr>
          <w:rFonts w:ascii="Calibri" w:eastAsiaTheme="minorHAnsi" w:hAnsi="Calibri" w:cs="Calibri"/>
          <w:b w:val="0"/>
          <w:bCs w:val="0"/>
          <w:color w:val="000000"/>
          <w:sz w:val="22"/>
          <w:szCs w:val="22"/>
          <w:lang w:val="en-GB"/>
        </w:rPr>
        <w:t>Based on the EBA report on Big Data and Advanced Analytics</w:t>
      </w:r>
      <w:r w:rsidRPr="002A56E0">
        <w:rPr>
          <w:rStyle w:val="FootnoteReference"/>
          <w:rFonts w:ascii="Calibri" w:eastAsiaTheme="minorHAnsi" w:hAnsi="Calibri" w:cs="Calibri"/>
          <w:b w:val="0"/>
          <w:bCs w:val="0"/>
          <w:color w:val="000000"/>
          <w:sz w:val="22"/>
          <w:szCs w:val="22"/>
          <w:lang w:val="en-GB"/>
        </w:rPr>
        <w:footnoteReference w:id="32"/>
      </w:r>
      <w:r w:rsidRPr="002A56E0">
        <w:rPr>
          <w:rFonts w:ascii="Calibri" w:eastAsiaTheme="minorHAnsi" w:hAnsi="Calibri" w:cs="Calibri"/>
          <w:b w:val="0"/>
          <w:bCs w:val="0"/>
          <w:color w:val="000000"/>
          <w:sz w:val="22"/>
          <w:szCs w:val="22"/>
          <w:lang w:val="en-GB"/>
        </w:rPr>
        <w:t>, we wish to note that the increased use of AI- based models can raise the following main challenges or risks for supervisory authorities:</w:t>
      </w:r>
    </w:p>
    <w:p w14:paraId="4B6DF578" w14:textId="2DBE3E2D" w:rsidR="002A56E0" w:rsidRPr="002A56E0" w:rsidRDefault="0077484B" w:rsidP="002A56E0">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2A56E0">
        <w:rPr>
          <w:rFonts w:ascii="Calibri" w:eastAsiaTheme="minorHAnsi" w:hAnsi="Calibri" w:cs="Calibri"/>
          <w:b w:val="0"/>
          <w:bCs w:val="0"/>
          <w:color w:val="000000"/>
          <w:sz w:val="22"/>
          <w:szCs w:val="22"/>
          <w:lang w:val="en-GB"/>
        </w:rPr>
        <w:t xml:space="preserve">Potential </w:t>
      </w:r>
      <w:r w:rsidRPr="00B31EF0">
        <w:rPr>
          <w:rFonts w:ascii="Calibri" w:eastAsiaTheme="minorHAnsi" w:hAnsi="Calibri" w:cs="Calibri"/>
          <w:b w:val="0"/>
          <w:bCs w:val="0"/>
          <w:color w:val="000000"/>
          <w:sz w:val="22"/>
          <w:szCs w:val="22"/>
          <w:lang w:val="en-GB"/>
        </w:rPr>
        <w:t xml:space="preserve">lack of technical skills and expertise </w:t>
      </w:r>
      <w:r w:rsidRPr="002A56E0">
        <w:rPr>
          <w:rFonts w:ascii="Calibri" w:eastAsiaTheme="minorHAnsi" w:hAnsi="Calibri" w:cs="Calibri"/>
          <w:b w:val="0"/>
          <w:bCs w:val="0"/>
          <w:color w:val="000000"/>
          <w:sz w:val="22"/>
          <w:szCs w:val="22"/>
          <w:lang w:val="en-GB"/>
        </w:rPr>
        <w:t xml:space="preserve">may deteriorate the adequacy and effectiveness of supervisory work when it comes to the use of AI and as a result, it may not support a technology neutral approach </w:t>
      </w:r>
      <w:r w:rsidR="00FE15B8">
        <w:rPr>
          <w:rFonts w:ascii="Calibri" w:eastAsiaTheme="minorHAnsi" w:hAnsi="Calibri" w:cs="Calibri"/>
          <w:b w:val="0"/>
          <w:bCs w:val="0"/>
          <w:color w:val="000000"/>
          <w:sz w:val="22"/>
          <w:szCs w:val="22"/>
          <w:lang w:val="en-GB"/>
        </w:rPr>
        <w:t xml:space="preserve">for </w:t>
      </w:r>
      <w:r w:rsidRPr="002A56E0">
        <w:rPr>
          <w:rFonts w:ascii="Calibri" w:eastAsiaTheme="minorHAnsi" w:hAnsi="Calibri" w:cs="Calibri"/>
          <w:b w:val="0"/>
          <w:bCs w:val="0"/>
          <w:color w:val="000000"/>
          <w:sz w:val="22"/>
          <w:szCs w:val="22"/>
          <w:lang w:val="en-GB"/>
        </w:rPr>
        <w:t xml:space="preserve">the use of AI. Moreover, necessary skills to enforce good practices </w:t>
      </w:r>
      <w:r w:rsidR="00FE15B8">
        <w:rPr>
          <w:rFonts w:ascii="Calibri" w:eastAsiaTheme="minorHAnsi" w:hAnsi="Calibri" w:cs="Calibri"/>
          <w:b w:val="0"/>
          <w:bCs w:val="0"/>
          <w:color w:val="000000"/>
          <w:sz w:val="22"/>
          <w:szCs w:val="22"/>
          <w:lang w:val="en-GB"/>
        </w:rPr>
        <w:t xml:space="preserve">for </w:t>
      </w:r>
      <w:r w:rsidRPr="002A56E0">
        <w:rPr>
          <w:rFonts w:ascii="Calibri" w:eastAsiaTheme="minorHAnsi" w:hAnsi="Calibri" w:cs="Calibri"/>
          <w:b w:val="0"/>
          <w:bCs w:val="0"/>
          <w:color w:val="000000"/>
          <w:sz w:val="22"/>
          <w:szCs w:val="22"/>
          <w:lang w:val="en-GB"/>
        </w:rPr>
        <w:t>AI are in large part not present in the regulatory community, which could make it challenging for supervisors to fully appreciate the new opportunities and threats</w:t>
      </w:r>
      <w:r w:rsidR="000B5E80">
        <w:rPr>
          <w:rFonts w:ascii="Calibri" w:eastAsiaTheme="minorHAnsi" w:hAnsi="Calibri" w:cs="Calibri"/>
          <w:b w:val="0"/>
          <w:bCs w:val="0"/>
          <w:color w:val="000000"/>
          <w:sz w:val="22"/>
          <w:szCs w:val="22"/>
          <w:lang w:val="en-GB"/>
        </w:rPr>
        <w:t>, including adequate involvement of ICT experts</w:t>
      </w:r>
      <w:r w:rsidRPr="002A56E0">
        <w:rPr>
          <w:rFonts w:ascii="Calibri" w:eastAsiaTheme="minorHAnsi" w:hAnsi="Calibri" w:cs="Calibri"/>
          <w:b w:val="0"/>
          <w:bCs w:val="0"/>
          <w:color w:val="000000"/>
          <w:sz w:val="22"/>
          <w:szCs w:val="22"/>
          <w:lang w:val="en-GB"/>
        </w:rPr>
        <w:t>.</w:t>
      </w:r>
    </w:p>
    <w:p w14:paraId="62DB1492" w14:textId="4D61328A" w:rsidR="0077484B" w:rsidRPr="00DC5E05" w:rsidRDefault="0077484B" w:rsidP="002A56E0">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2A56E0">
        <w:rPr>
          <w:rFonts w:ascii="Calibri" w:eastAsiaTheme="minorHAnsi" w:hAnsi="Calibri" w:cs="Calibri"/>
          <w:b w:val="0"/>
          <w:color w:val="000000"/>
          <w:sz w:val="22"/>
          <w:szCs w:val="22"/>
          <w:lang w:val="en-GB"/>
        </w:rPr>
        <w:t>Potential lack of regulatory clarity and certainty can lead to limited use of AI-based models and reduced benefits from its use in case</w:t>
      </w:r>
      <w:r w:rsidR="00FE15B8">
        <w:rPr>
          <w:rFonts w:ascii="Calibri" w:eastAsiaTheme="minorHAnsi" w:hAnsi="Calibri" w:cs="Calibri"/>
          <w:b w:val="0"/>
          <w:color w:val="000000"/>
          <w:sz w:val="22"/>
          <w:szCs w:val="22"/>
          <w:lang w:val="en-GB"/>
        </w:rPr>
        <w:t>s</w:t>
      </w:r>
      <w:r w:rsidRPr="002A56E0">
        <w:rPr>
          <w:rFonts w:ascii="Calibri" w:eastAsiaTheme="minorHAnsi" w:hAnsi="Calibri" w:cs="Calibri"/>
          <w:b w:val="0"/>
          <w:color w:val="000000"/>
          <w:sz w:val="22"/>
          <w:szCs w:val="22"/>
          <w:lang w:val="en-GB"/>
        </w:rPr>
        <w:t xml:space="preserve"> where supervisors will not be able to provide guidance to </w:t>
      </w:r>
      <w:r w:rsidRPr="00DC5E05">
        <w:rPr>
          <w:rFonts w:ascii="Calibri" w:eastAsiaTheme="minorHAnsi" w:hAnsi="Calibri" w:cs="Calibri"/>
          <w:b w:val="0"/>
          <w:bCs w:val="0"/>
          <w:color w:val="000000"/>
          <w:sz w:val="22"/>
          <w:szCs w:val="22"/>
          <w:lang w:val="en-GB"/>
        </w:rPr>
        <w:t>institutions on how to implement AI-based models in regulated activities.</w:t>
      </w:r>
    </w:p>
    <w:p w14:paraId="6BA1BCA0" w14:textId="24E34729" w:rsidR="00DC5E05" w:rsidRPr="00DC5E05" w:rsidRDefault="00DC5E05" w:rsidP="00DC5E05">
      <w:pPr>
        <w:pStyle w:val="Heading2"/>
        <w:numPr>
          <w:ilvl w:val="0"/>
          <w:numId w:val="20"/>
        </w:numPr>
        <w:tabs>
          <w:tab w:val="left" w:pos="3118"/>
          <w:tab w:val="left" w:pos="8931"/>
        </w:tabs>
        <w:spacing w:before="240" w:after="120" w:line="276" w:lineRule="auto"/>
        <w:ind w:right="96"/>
        <w:jc w:val="both"/>
        <w:rPr>
          <w:rFonts w:ascii="Calibri" w:eastAsiaTheme="minorHAnsi" w:hAnsi="Calibri" w:cs="Calibri"/>
          <w:b w:val="0"/>
          <w:bCs w:val="0"/>
          <w:color w:val="000000"/>
          <w:sz w:val="22"/>
          <w:szCs w:val="22"/>
          <w:lang w:val="en-GB"/>
        </w:rPr>
      </w:pPr>
      <w:r w:rsidRPr="00DC5E05">
        <w:rPr>
          <w:rFonts w:ascii="Calibri" w:eastAsiaTheme="minorHAnsi" w:hAnsi="Calibri" w:cs="Calibri"/>
          <w:b w:val="0"/>
          <w:bCs w:val="0"/>
          <w:color w:val="000000"/>
          <w:sz w:val="22"/>
          <w:szCs w:val="22"/>
          <w:lang w:val="en-GB"/>
        </w:rPr>
        <w:t xml:space="preserve">Potential dependency on third parties from the </w:t>
      </w:r>
      <w:r w:rsidRPr="007F3CC8">
        <w:rPr>
          <w:rFonts w:ascii="Calibri" w:eastAsiaTheme="minorHAnsi" w:hAnsi="Calibri" w:cs="Calibri"/>
          <w:b w:val="0"/>
          <w:bCs w:val="0"/>
          <w:color w:val="000000"/>
          <w:sz w:val="22"/>
          <w:szCs w:val="22"/>
          <w:lang w:val="en-GB"/>
        </w:rPr>
        <w:t>provision of AI solutions.</w:t>
      </w:r>
      <w:r w:rsidRPr="00DC5E05">
        <w:rPr>
          <w:rFonts w:ascii="Calibri" w:eastAsiaTheme="minorHAnsi" w:hAnsi="Calibri" w:cs="Calibri"/>
          <w:b w:val="0"/>
          <w:bCs w:val="0"/>
          <w:color w:val="000000"/>
          <w:sz w:val="22"/>
          <w:szCs w:val="22"/>
          <w:lang w:val="en-GB"/>
        </w:rPr>
        <w:t xml:space="preserve"> For example, smaller might not be </w:t>
      </w:r>
      <w:r w:rsidRPr="007F3CC8">
        <w:rPr>
          <w:rFonts w:ascii="Calibri" w:eastAsiaTheme="minorHAnsi" w:hAnsi="Calibri" w:cs="Calibri"/>
          <w:b w:val="0"/>
          <w:bCs w:val="0"/>
          <w:color w:val="000000"/>
          <w:sz w:val="22"/>
          <w:szCs w:val="22"/>
          <w:lang w:val="en-GB"/>
        </w:rPr>
        <w:t>able to afford in-house development</w:t>
      </w:r>
      <w:r w:rsidRPr="00DC5E05">
        <w:rPr>
          <w:rFonts w:ascii="Calibri" w:eastAsiaTheme="minorHAnsi" w:hAnsi="Calibri" w:cs="Calibri"/>
          <w:b w:val="0"/>
          <w:bCs w:val="0"/>
          <w:color w:val="000000"/>
          <w:sz w:val="22"/>
          <w:szCs w:val="22"/>
          <w:lang w:val="en-GB"/>
        </w:rPr>
        <w:t xml:space="preserve">. It remains to be seen if the regulatory and supervisory framework on outsourcing would be sufficient.  </w:t>
      </w:r>
    </w:p>
    <w:p w14:paraId="3E54DAB0" w14:textId="1B0911ED" w:rsidR="002A56E0" w:rsidRPr="006D045B" w:rsidRDefault="002A56E0" w:rsidP="002A56E0">
      <w:pPr>
        <w:pStyle w:val="Heading2"/>
        <w:tabs>
          <w:tab w:val="left" w:pos="3118"/>
          <w:tab w:val="left" w:pos="8931"/>
        </w:tabs>
        <w:spacing w:before="240" w:after="120" w:line="276" w:lineRule="auto"/>
        <w:ind w:left="0" w:right="96"/>
        <w:jc w:val="both"/>
        <w:rPr>
          <w:rFonts w:ascii="Calibri" w:hAnsi="Calibri" w:cs="Calibri"/>
          <w:sz w:val="24"/>
          <w:szCs w:val="24"/>
        </w:rPr>
      </w:pPr>
      <w:r w:rsidRPr="006D045B">
        <w:rPr>
          <w:rFonts w:ascii="Calibri" w:hAnsi="Calibri" w:cs="Calibri"/>
          <w:sz w:val="24"/>
          <w:szCs w:val="24"/>
        </w:rPr>
        <w:t>Question 40. In your opinion, what are the best ways to address these new issues?</w:t>
      </w:r>
    </w:p>
    <w:p w14:paraId="460165C6" w14:textId="59D780C1" w:rsidR="002A56E0" w:rsidRPr="006D045B" w:rsidRDefault="002A56E0" w:rsidP="002A56E0">
      <w:pPr>
        <w:pStyle w:val="Heading2"/>
        <w:tabs>
          <w:tab w:val="left" w:pos="3118"/>
          <w:tab w:val="left" w:pos="8931"/>
        </w:tabs>
        <w:spacing w:before="240" w:after="120" w:line="276" w:lineRule="auto"/>
        <w:ind w:left="0" w:right="96"/>
        <w:jc w:val="both"/>
        <w:rPr>
          <w:rFonts w:ascii="Calibri" w:hAnsi="Calibri" w:cs="Calibri"/>
          <w:sz w:val="24"/>
          <w:szCs w:val="24"/>
        </w:rPr>
      </w:pPr>
      <w:r w:rsidRPr="006D045B">
        <w:rPr>
          <w:rFonts w:ascii="Calibri" w:hAnsi="Calibri" w:cs="Calibri"/>
          <w:sz w:val="24"/>
          <w:szCs w:val="24"/>
        </w:rPr>
        <w:t>Please rate each proposal from 1 to 5</w:t>
      </w:r>
    </w:p>
    <w:tbl>
      <w:tblPr>
        <w:tblW w:w="8568" w:type="dxa"/>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797"/>
        <w:gridCol w:w="1160"/>
        <w:gridCol w:w="1007"/>
        <w:gridCol w:w="978"/>
        <w:gridCol w:w="1007"/>
        <w:gridCol w:w="1007"/>
        <w:gridCol w:w="612"/>
      </w:tblGrid>
      <w:tr w:rsidR="002A56E0" w14:paraId="22A37CA0" w14:textId="77777777" w:rsidTr="006D045B">
        <w:trPr>
          <w:trHeight w:val="1724"/>
          <w:jc w:val="center"/>
        </w:trPr>
        <w:tc>
          <w:tcPr>
            <w:tcW w:w="2797" w:type="dxa"/>
          </w:tcPr>
          <w:p w14:paraId="2674342D" w14:textId="77777777" w:rsidR="002A56E0" w:rsidRDefault="002A56E0" w:rsidP="00F20316">
            <w:pPr>
              <w:pStyle w:val="TableParagraph"/>
              <w:rPr>
                <w:rFonts w:ascii="Times New Roman"/>
              </w:rPr>
            </w:pPr>
          </w:p>
        </w:tc>
        <w:tc>
          <w:tcPr>
            <w:tcW w:w="1160" w:type="dxa"/>
          </w:tcPr>
          <w:p w14:paraId="53026DF3" w14:textId="77777777" w:rsidR="002A56E0" w:rsidRPr="006D045B" w:rsidRDefault="002A56E0" w:rsidP="00F20316">
            <w:pPr>
              <w:pStyle w:val="TableParagraph"/>
              <w:spacing w:before="122" w:line="695" w:lineRule="exact"/>
              <w:ind w:left="20"/>
              <w:jc w:val="center"/>
              <w:rPr>
                <w:sz w:val="16"/>
                <w:szCs w:val="16"/>
              </w:rPr>
            </w:pPr>
            <w:r w:rsidRPr="006D045B">
              <w:rPr>
                <w:w w:val="99"/>
                <w:sz w:val="16"/>
                <w:szCs w:val="16"/>
              </w:rPr>
              <w:t>1</w:t>
            </w:r>
          </w:p>
          <w:p w14:paraId="1F40E7AF" w14:textId="77777777" w:rsidR="002A56E0" w:rsidRPr="006D045B" w:rsidRDefault="002A56E0" w:rsidP="00F20316">
            <w:pPr>
              <w:pStyle w:val="TableParagraph"/>
              <w:spacing w:line="318" w:lineRule="exact"/>
              <w:ind w:left="153" w:right="133"/>
              <w:jc w:val="center"/>
              <w:rPr>
                <w:sz w:val="16"/>
                <w:szCs w:val="16"/>
              </w:rPr>
            </w:pPr>
            <w:r w:rsidRPr="006D045B">
              <w:rPr>
                <w:w w:val="105"/>
                <w:sz w:val="16"/>
                <w:szCs w:val="16"/>
              </w:rPr>
              <w:t>(irrelevant)</w:t>
            </w:r>
          </w:p>
        </w:tc>
        <w:tc>
          <w:tcPr>
            <w:tcW w:w="1007" w:type="dxa"/>
          </w:tcPr>
          <w:p w14:paraId="1804E757" w14:textId="77777777" w:rsidR="002A56E0" w:rsidRPr="006D045B" w:rsidRDefault="002A56E0" w:rsidP="00F20316">
            <w:pPr>
              <w:pStyle w:val="TableParagraph"/>
              <w:spacing w:line="657" w:lineRule="exact"/>
              <w:ind w:left="21"/>
              <w:jc w:val="center"/>
              <w:rPr>
                <w:sz w:val="16"/>
                <w:szCs w:val="16"/>
              </w:rPr>
            </w:pPr>
            <w:r w:rsidRPr="006D045B">
              <w:rPr>
                <w:w w:val="99"/>
                <w:sz w:val="16"/>
                <w:szCs w:val="16"/>
              </w:rPr>
              <w:t>2</w:t>
            </w:r>
          </w:p>
          <w:p w14:paraId="0F2BA204" w14:textId="77777777" w:rsidR="002A56E0" w:rsidRPr="006D045B" w:rsidRDefault="002A56E0" w:rsidP="00F20316">
            <w:pPr>
              <w:pStyle w:val="TableParagraph"/>
              <w:spacing w:before="4" w:line="199" w:lineRule="auto"/>
              <w:ind w:left="185" w:right="162" w:hanging="54"/>
              <w:jc w:val="center"/>
              <w:rPr>
                <w:sz w:val="16"/>
                <w:szCs w:val="16"/>
              </w:rPr>
            </w:pPr>
            <w:r w:rsidRPr="006D045B">
              <w:rPr>
                <w:w w:val="105"/>
                <w:sz w:val="16"/>
                <w:szCs w:val="16"/>
              </w:rPr>
              <w:t xml:space="preserve">(rather not </w:t>
            </w:r>
            <w:r w:rsidRPr="006D045B">
              <w:rPr>
                <w:sz w:val="16"/>
                <w:szCs w:val="16"/>
              </w:rPr>
              <w:t>relevant)</w:t>
            </w:r>
          </w:p>
        </w:tc>
        <w:tc>
          <w:tcPr>
            <w:tcW w:w="978" w:type="dxa"/>
          </w:tcPr>
          <w:p w14:paraId="17F329C7" w14:textId="77777777" w:rsidR="002A56E0" w:rsidRPr="006D045B" w:rsidRDefault="002A56E0" w:rsidP="00F20316">
            <w:pPr>
              <w:pStyle w:val="TableParagraph"/>
              <w:spacing w:before="122" w:line="695" w:lineRule="exact"/>
              <w:ind w:left="22"/>
              <w:jc w:val="center"/>
              <w:rPr>
                <w:sz w:val="16"/>
                <w:szCs w:val="16"/>
              </w:rPr>
            </w:pPr>
            <w:r w:rsidRPr="006D045B">
              <w:rPr>
                <w:w w:val="99"/>
                <w:sz w:val="16"/>
                <w:szCs w:val="16"/>
              </w:rPr>
              <w:t>3</w:t>
            </w:r>
          </w:p>
          <w:p w14:paraId="66968537" w14:textId="77777777" w:rsidR="002A56E0" w:rsidRPr="006D045B" w:rsidRDefault="002A56E0" w:rsidP="00F20316">
            <w:pPr>
              <w:pStyle w:val="TableParagraph"/>
              <w:spacing w:line="318" w:lineRule="exact"/>
              <w:ind w:left="157" w:right="135"/>
              <w:jc w:val="center"/>
              <w:rPr>
                <w:sz w:val="16"/>
                <w:szCs w:val="16"/>
              </w:rPr>
            </w:pPr>
            <w:r w:rsidRPr="006D045B">
              <w:rPr>
                <w:w w:val="105"/>
                <w:sz w:val="16"/>
                <w:szCs w:val="16"/>
              </w:rPr>
              <w:t>(neutral)</w:t>
            </w:r>
          </w:p>
        </w:tc>
        <w:tc>
          <w:tcPr>
            <w:tcW w:w="1007" w:type="dxa"/>
          </w:tcPr>
          <w:p w14:paraId="37818B96" w14:textId="77777777" w:rsidR="002A56E0" w:rsidRPr="006D045B" w:rsidRDefault="002A56E0" w:rsidP="00F20316">
            <w:pPr>
              <w:pStyle w:val="TableParagraph"/>
              <w:spacing w:before="110" w:line="695" w:lineRule="exact"/>
              <w:ind w:left="22"/>
              <w:jc w:val="center"/>
              <w:rPr>
                <w:sz w:val="16"/>
                <w:szCs w:val="16"/>
              </w:rPr>
            </w:pPr>
            <w:r w:rsidRPr="006D045B">
              <w:rPr>
                <w:w w:val="99"/>
                <w:sz w:val="16"/>
                <w:szCs w:val="16"/>
              </w:rPr>
              <w:t>4</w:t>
            </w:r>
          </w:p>
          <w:p w14:paraId="7FD4D5F3" w14:textId="77777777" w:rsidR="002A56E0" w:rsidRPr="006D045B" w:rsidRDefault="002A56E0" w:rsidP="00F20316">
            <w:pPr>
              <w:pStyle w:val="TableParagraph"/>
              <w:spacing w:before="4" w:line="199" w:lineRule="auto"/>
              <w:ind w:left="186" w:right="161" w:hanging="54"/>
              <w:jc w:val="center"/>
              <w:rPr>
                <w:sz w:val="16"/>
                <w:szCs w:val="16"/>
              </w:rPr>
            </w:pPr>
            <w:r w:rsidRPr="006D045B">
              <w:rPr>
                <w:w w:val="105"/>
                <w:sz w:val="16"/>
                <w:szCs w:val="16"/>
              </w:rPr>
              <w:t xml:space="preserve">(rather </w:t>
            </w:r>
            <w:r w:rsidRPr="006D045B">
              <w:rPr>
                <w:sz w:val="16"/>
                <w:szCs w:val="16"/>
              </w:rPr>
              <w:t>relevant)</w:t>
            </w:r>
          </w:p>
        </w:tc>
        <w:tc>
          <w:tcPr>
            <w:tcW w:w="1007" w:type="dxa"/>
          </w:tcPr>
          <w:p w14:paraId="2320D107" w14:textId="77777777" w:rsidR="002A56E0" w:rsidRPr="006D045B" w:rsidRDefault="002A56E0" w:rsidP="00F20316">
            <w:pPr>
              <w:pStyle w:val="TableParagraph"/>
              <w:spacing w:before="110" w:line="695" w:lineRule="exact"/>
              <w:ind w:left="23"/>
              <w:jc w:val="center"/>
              <w:rPr>
                <w:sz w:val="16"/>
                <w:szCs w:val="16"/>
              </w:rPr>
            </w:pPr>
            <w:r w:rsidRPr="006D045B">
              <w:rPr>
                <w:w w:val="99"/>
                <w:sz w:val="16"/>
                <w:szCs w:val="16"/>
              </w:rPr>
              <w:t>5</w:t>
            </w:r>
          </w:p>
          <w:p w14:paraId="3CFFB5DC" w14:textId="77777777" w:rsidR="002A56E0" w:rsidRPr="006D045B" w:rsidRDefault="002A56E0" w:rsidP="00F20316">
            <w:pPr>
              <w:pStyle w:val="TableParagraph"/>
              <w:spacing w:before="4" w:line="199" w:lineRule="auto"/>
              <w:ind w:left="186" w:right="161" w:hanging="55"/>
              <w:jc w:val="center"/>
              <w:rPr>
                <w:sz w:val="16"/>
                <w:szCs w:val="16"/>
              </w:rPr>
            </w:pPr>
            <w:r w:rsidRPr="006D045B">
              <w:rPr>
                <w:w w:val="105"/>
                <w:sz w:val="16"/>
                <w:szCs w:val="16"/>
              </w:rPr>
              <w:t xml:space="preserve">(fully </w:t>
            </w:r>
            <w:r w:rsidRPr="006D045B">
              <w:rPr>
                <w:sz w:val="16"/>
                <w:szCs w:val="16"/>
              </w:rPr>
              <w:t>relevant)</w:t>
            </w:r>
          </w:p>
        </w:tc>
        <w:tc>
          <w:tcPr>
            <w:tcW w:w="612" w:type="dxa"/>
          </w:tcPr>
          <w:p w14:paraId="38F09B3B" w14:textId="77777777" w:rsidR="002A56E0" w:rsidRPr="006D045B" w:rsidRDefault="002A56E0" w:rsidP="00F20316">
            <w:pPr>
              <w:pStyle w:val="TableParagraph"/>
              <w:spacing w:before="312" w:line="529" w:lineRule="exact"/>
              <w:ind w:left="186"/>
              <w:rPr>
                <w:sz w:val="16"/>
                <w:szCs w:val="16"/>
              </w:rPr>
            </w:pPr>
            <w:r w:rsidRPr="006D045B">
              <w:rPr>
                <w:sz w:val="16"/>
                <w:szCs w:val="16"/>
              </w:rPr>
              <w:t>N.</w:t>
            </w:r>
          </w:p>
          <w:p w14:paraId="017FE5E7" w14:textId="77777777" w:rsidR="002A56E0" w:rsidRPr="006D045B" w:rsidRDefault="002A56E0" w:rsidP="00F20316">
            <w:pPr>
              <w:pStyle w:val="TableParagraph"/>
              <w:spacing w:line="529" w:lineRule="exact"/>
              <w:ind w:left="195"/>
              <w:rPr>
                <w:sz w:val="16"/>
                <w:szCs w:val="16"/>
              </w:rPr>
            </w:pPr>
            <w:r w:rsidRPr="006D045B">
              <w:rPr>
                <w:sz w:val="16"/>
                <w:szCs w:val="16"/>
              </w:rPr>
              <w:t>A.</w:t>
            </w:r>
          </w:p>
        </w:tc>
      </w:tr>
      <w:tr w:rsidR="002A56E0" w14:paraId="5B9675BD" w14:textId="77777777" w:rsidTr="006D045B">
        <w:trPr>
          <w:trHeight w:val="423"/>
          <w:jc w:val="center"/>
        </w:trPr>
        <w:tc>
          <w:tcPr>
            <w:tcW w:w="2797" w:type="dxa"/>
          </w:tcPr>
          <w:p w14:paraId="01DCA6B8" w14:textId="77777777" w:rsidR="002A56E0" w:rsidRPr="00B31EF0" w:rsidRDefault="002A56E0" w:rsidP="002A56E0">
            <w:pPr>
              <w:pStyle w:val="TableParagraph"/>
              <w:rPr>
                <w:sz w:val="19"/>
                <w:szCs w:val="19"/>
              </w:rPr>
            </w:pPr>
            <w:r w:rsidRPr="00B31EF0">
              <w:rPr>
                <w:sz w:val="19"/>
                <w:szCs w:val="19"/>
              </w:rPr>
              <w:t>New EU rules on AI at</w:t>
            </w:r>
          </w:p>
          <w:p w14:paraId="08F49AD8" w14:textId="77777777" w:rsidR="002A56E0" w:rsidRPr="00B31EF0" w:rsidRDefault="002A56E0" w:rsidP="002A56E0">
            <w:pPr>
              <w:pStyle w:val="TableParagraph"/>
              <w:rPr>
                <w:sz w:val="19"/>
                <w:szCs w:val="19"/>
              </w:rPr>
            </w:pPr>
            <w:r w:rsidRPr="00B31EF0">
              <w:rPr>
                <w:sz w:val="19"/>
                <w:szCs w:val="19"/>
              </w:rPr>
              <w:t>horizontal level</w:t>
            </w:r>
          </w:p>
        </w:tc>
        <w:tc>
          <w:tcPr>
            <w:tcW w:w="1160" w:type="dxa"/>
          </w:tcPr>
          <w:p w14:paraId="2AE4F437" w14:textId="77777777" w:rsidR="002A56E0" w:rsidRPr="00B31EF0" w:rsidRDefault="002A56E0" w:rsidP="002A56E0">
            <w:pPr>
              <w:pStyle w:val="TableParagraph"/>
              <w:jc w:val="center"/>
              <w:rPr>
                <w:sz w:val="19"/>
                <w:szCs w:val="19"/>
              </w:rPr>
            </w:pPr>
          </w:p>
          <w:p w14:paraId="2C799EBD"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12E7CF21" wp14:editId="6201D1B8">
                  <wp:extent cx="114300" cy="114300"/>
                  <wp:effectExtent l="0" t="0" r="0" b="0"/>
                  <wp:docPr id="25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50CB8F2A" w14:textId="77777777" w:rsidR="002A56E0" w:rsidRPr="00B31EF0" w:rsidRDefault="002A56E0" w:rsidP="002A56E0">
            <w:pPr>
              <w:pStyle w:val="TableParagraph"/>
              <w:jc w:val="center"/>
              <w:rPr>
                <w:sz w:val="19"/>
                <w:szCs w:val="19"/>
              </w:rPr>
            </w:pPr>
          </w:p>
          <w:p w14:paraId="2C401FEE"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7AD76A8A" wp14:editId="351F2326">
                  <wp:extent cx="114300" cy="114300"/>
                  <wp:effectExtent l="0" t="0" r="0" b="0"/>
                  <wp:docPr id="25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3315AB34" w14:textId="77777777" w:rsidR="002A56E0" w:rsidRPr="00B31EF0" w:rsidRDefault="002A56E0" w:rsidP="002A56E0">
            <w:pPr>
              <w:pStyle w:val="TableParagraph"/>
              <w:jc w:val="center"/>
              <w:rPr>
                <w:sz w:val="19"/>
                <w:szCs w:val="19"/>
              </w:rPr>
            </w:pPr>
          </w:p>
          <w:p w14:paraId="6155B724"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06943BC1" wp14:editId="7FC51182">
                  <wp:extent cx="114300" cy="114300"/>
                  <wp:effectExtent l="0" t="0" r="0" b="0"/>
                  <wp:docPr id="25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305FC455" w14:textId="77777777" w:rsidR="002A56E0" w:rsidRPr="00B31EF0" w:rsidRDefault="002A56E0" w:rsidP="002A56E0">
            <w:pPr>
              <w:pStyle w:val="TableParagraph"/>
              <w:jc w:val="center"/>
              <w:rPr>
                <w:sz w:val="19"/>
                <w:szCs w:val="19"/>
              </w:rPr>
            </w:pPr>
          </w:p>
          <w:p w14:paraId="64FBCC11" w14:textId="2052BCBA" w:rsidR="002A56E0" w:rsidRPr="00B31EF0" w:rsidRDefault="002A56E0" w:rsidP="002A56E0">
            <w:pPr>
              <w:pStyle w:val="TableParagraph"/>
              <w:jc w:val="center"/>
              <w:rPr>
                <w:sz w:val="19"/>
                <w:szCs w:val="19"/>
              </w:rPr>
            </w:pPr>
            <w:r w:rsidRPr="00B31EF0">
              <w:rPr>
                <w:sz w:val="19"/>
                <w:szCs w:val="19"/>
              </w:rPr>
              <w:t>X</w:t>
            </w:r>
          </w:p>
        </w:tc>
        <w:tc>
          <w:tcPr>
            <w:tcW w:w="1007" w:type="dxa"/>
          </w:tcPr>
          <w:p w14:paraId="2AD08430" w14:textId="77777777" w:rsidR="002A56E0" w:rsidRPr="00B31EF0" w:rsidRDefault="002A56E0" w:rsidP="002A56E0">
            <w:pPr>
              <w:pStyle w:val="TableParagraph"/>
              <w:jc w:val="center"/>
              <w:rPr>
                <w:sz w:val="19"/>
                <w:szCs w:val="19"/>
              </w:rPr>
            </w:pPr>
          </w:p>
          <w:p w14:paraId="1C6C0161"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63849453" wp14:editId="703B3241">
                  <wp:extent cx="114300" cy="114300"/>
                  <wp:effectExtent l="0" t="0" r="0" b="0"/>
                  <wp:docPr id="25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2" w:type="dxa"/>
          </w:tcPr>
          <w:p w14:paraId="767D94D7" w14:textId="77777777" w:rsidR="002A56E0" w:rsidRPr="00B31EF0" w:rsidRDefault="002A56E0" w:rsidP="002A56E0">
            <w:pPr>
              <w:pStyle w:val="TableParagraph"/>
              <w:jc w:val="center"/>
              <w:rPr>
                <w:sz w:val="19"/>
                <w:szCs w:val="19"/>
              </w:rPr>
            </w:pPr>
          </w:p>
          <w:p w14:paraId="4AC3FB8F"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2A03DC5A" wp14:editId="71294288">
                  <wp:extent cx="114300" cy="114300"/>
                  <wp:effectExtent l="0" t="0" r="0" b="0"/>
                  <wp:docPr id="25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A56E0" w14:paraId="74F17C91" w14:textId="77777777" w:rsidTr="006D045B">
        <w:trPr>
          <w:trHeight w:val="423"/>
          <w:jc w:val="center"/>
        </w:trPr>
        <w:tc>
          <w:tcPr>
            <w:tcW w:w="2797" w:type="dxa"/>
          </w:tcPr>
          <w:p w14:paraId="362FB6DE" w14:textId="77777777" w:rsidR="002A56E0" w:rsidRPr="00B31EF0" w:rsidRDefault="002A56E0" w:rsidP="002A56E0">
            <w:pPr>
              <w:pStyle w:val="TableParagraph"/>
              <w:rPr>
                <w:sz w:val="19"/>
                <w:szCs w:val="19"/>
              </w:rPr>
            </w:pPr>
            <w:r w:rsidRPr="00B31EF0">
              <w:rPr>
                <w:sz w:val="19"/>
                <w:szCs w:val="19"/>
              </w:rPr>
              <w:t>New EU rules on AI for the financial sector</w:t>
            </w:r>
          </w:p>
        </w:tc>
        <w:tc>
          <w:tcPr>
            <w:tcW w:w="1160" w:type="dxa"/>
          </w:tcPr>
          <w:p w14:paraId="5F872901" w14:textId="77777777" w:rsidR="002A56E0" w:rsidRPr="00B31EF0" w:rsidRDefault="002A56E0" w:rsidP="002A56E0">
            <w:pPr>
              <w:pStyle w:val="TableParagraph"/>
              <w:jc w:val="center"/>
              <w:rPr>
                <w:sz w:val="19"/>
                <w:szCs w:val="19"/>
              </w:rPr>
            </w:pPr>
          </w:p>
          <w:p w14:paraId="5F3CFAB5"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56EA5371" wp14:editId="768FEF96">
                  <wp:extent cx="114300" cy="114300"/>
                  <wp:effectExtent l="0" t="0" r="0" b="0"/>
                  <wp:docPr id="25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416AC872" w14:textId="77777777" w:rsidR="002A56E0" w:rsidRPr="00B31EF0" w:rsidRDefault="002A56E0" w:rsidP="002A56E0">
            <w:pPr>
              <w:pStyle w:val="TableParagraph"/>
              <w:jc w:val="center"/>
              <w:rPr>
                <w:sz w:val="19"/>
                <w:szCs w:val="19"/>
              </w:rPr>
            </w:pPr>
          </w:p>
          <w:p w14:paraId="38989D53" w14:textId="764DC7FE" w:rsidR="002A56E0" w:rsidRPr="00B31EF0" w:rsidRDefault="002A56E0" w:rsidP="002A56E0">
            <w:pPr>
              <w:pStyle w:val="TableParagraph"/>
              <w:jc w:val="center"/>
              <w:rPr>
                <w:sz w:val="19"/>
                <w:szCs w:val="19"/>
              </w:rPr>
            </w:pPr>
            <w:r w:rsidRPr="00B31EF0">
              <w:rPr>
                <w:sz w:val="19"/>
                <w:szCs w:val="19"/>
              </w:rPr>
              <w:t>X</w:t>
            </w:r>
          </w:p>
        </w:tc>
        <w:tc>
          <w:tcPr>
            <w:tcW w:w="978" w:type="dxa"/>
          </w:tcPr>
          <w:p w14:paraId="51D83FCF" w14:textId="77777777" w:rsidR="002A56E0" w:rsidRPr="00B31EF0" w:rsidRDefault="002A56E0" w:rsidP="002A56E0">
            <w:pPr>
              <w:pStyle w:val="TableParagraph"/>
              <w:jc w:val="center"/>
              <w:rPr>
                <w:sz w:val="19"/>
                <w:szCs w:val="19"/>
              </w:rPr>
            </w:pPr>
          </w:p>
          <w:p w14:paraId="7014CD0D" w14:textId="74ECDDA3"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3DFF99F2" wp14:editId="11C1A9C4">
                  <wp:extent cx="114300" cy="114300"/>
                  <wp:effectExtent l="0" t="0" r="0" b="0"/>
                  <wp:docPr id="277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690B584B" w14:textId="77777777" w:rsidR="002A56E0" w:rsidRPr="00B31EF0" w:rsidRDefault="002A56E0" w:rsidP="002A56E0">
            <w:pPr>
              <w:pStyle w:val="TableParagraph"/>
              <w:jc w:val="center"/>
              <w:rPr>
                <w:sz w:val="19"/>
                <w:szCs w:val="19"/>
              </w:rPr>
            </w:pPr>
          </w:p>
          <w:p w14:paraId="734716BA"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2AC00FF0" wp14:editId="25304381">
                  <wp:extent cx="114300" cy="114300"/>
                  <wp:effectExtent l="0" t="0" r="0" b="0"/>
                  <wp:docPr id="25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093FC37A" w14:textId="77777777" w:rsidR="002A56E0" w:rsidRPr="00B31EF0" w:rsidRDefault="002A56E0" w:rsidP="002A56E0">
            <w:pPr>
              <w:pStyle w:val="TableParagraph"/>
              <w:jc w:val="center"/>
              <w:rPr>
                <w:sz w:val="19"/>
                <w:szCs w:val="19"/>
              </w:rPr>
            </w:pPr>
          </w:p>
          <w:p w14:paraId="6E3AD3FE"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479A731F" wp14:editId="0B3F3C24">
                  <wp:extent cx="114300" cy="114300"/>
                  <wp:effectExtent l="0" t="0" r="0" b="0"/>
                  <wp:docPr id="25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2" w:type="dxa"/>
          </w:tcPr>
          <w:p w14:paraId="61E3ABB6" w14:textId="77777777" w:rsidR="002A56E0" w:rsidRPr="00B31EF0" w:rsidRDefault="002A56E0" w:rsidP="002A56E0">
            <w:pPr>
              <w:pStyle w:val="TableParagraph"/>
              <w:jc w:val="center"/>
              <w:rPr>
                <w:sz w:val="19"/>
                <w:szCs w:val="19"/>
              </w:rPr>
            </w:pPr>
          </w:p>
          <w:p w14:paraId="763F4971"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13F2D652" wp14:editId="6614C5D4">
                  <wp:extent cx="114300" cy="114300"/>
                  <wp:effectExtent l="0" t="0" r="0" b="0"/>
                  <wp:docPr id="25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A56E0" w14:paraId="6DBE96C5" w14:textId="77777777" w:rsidTr="006D045B">
        <w:trPr>
          <w:trHeight w:val="423"/>
          <w:jc w:val="center"/>
        </w:trPr>
        <w:tc>
          <w:tcPr>
            <w:tcW w:w="2797" w:type="dxa"/>
          </w:tcPr>
          <w:p w14:paraId="6F44C514" w14:textId="77777777" w:rsidR="002A56E0" w:rsidRPr="00B31EF0" w:rsidRDefault="002A56E0" w:rsidP="002A56E0">
            <w:pPr>
              <w:pStyle w:val="TableParagraph"/>
              <w:rPr>
                <w:sz w:val="19"/>
                <w:szCs w:val="19"/>
              </w:rPr>
            </w:pPr>
            <w:r w:rsidRPr="00B31EF0">
              <w:rPr>
                <w:sz w:val="19"/>
                <w:szCs w:val="19"/>
              </w:rPr>
              <w:t>Guidance at EU level for the financial sector</w:t>
            </w:r>
          </w:p>
        </w:tc>
        <w:tc>
          <w:tcPr>
            <w:tcW w:w="1160" w:type="dxa"/>
          </w:tcPr>
          <w:p w14:paraId="3C497A97" w14:textId="77777777" w:rsidR="002A56E0" w:rsidRPr="00B31EF0" w:rsidRDefault="002A56E0" w:rsidP="002A56E0">
            <w:pPr>
              <w:pStyle w:val="TableParagraph"/>
              <w:jc w:val="center"/>
              <w:rPr>
                <w:sz w:val="19"/>
                <w:szCs w:val="19"/>
              </w:rPr>
            </w:pPr>
          </w:p>
          <w:p w14:paraId="69F0C31A"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45F63F24" wp14:editId="12E11BDA">
                  <wp:extent cx="114300" cy="114300"/>
                  <wp:effectExtent l="0" t="0" r="0" b="0"/>
                  <wp:docPr id="25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5479AAE4" w14:textId="77777777" w:rsidR="002A56E0" w:rsidRPr="00B31EF0" w:rsidRDefault="002A56E0" w:rsidP="002A56E0">
            <w:pPr>
              <w:pStyle w:val="TableParagraph"/>
              <w:jc w:val="center"/>
              <w:rPr>
                <w:sz w:val="19"/>
                <w:szCs w:val="19"/>
              </w:rPr>
            </w:pPr>
          </w:p>
          <w:p w14:paraId="5A9DBCA0"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60F63084" wp14:editId="5FB02C3D">
                  <wp:extent cx="114300" cy="114300"/>
                  <wp:effectExtent l="0" t="0" r="0" b="0"/>
                  <wp:docPr id="25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705A311F" w14:textId="77777777" w:rsidR="002A56E0" w:rsidRPr="00B31EF0" w:rsidRDefault="002A56E0" w:rsidP="002A56E0">
            <w:pPr>
              <w:pStyle w:val="TableParagraph"/>
              <w:jc w:val="center"/>
              <w:rPr>
                <w:sz w:val="19"/>
                <w:szCs w:val="19"/>
              </w:rPr>
            </w:pPr>
          </w:p>
          <w:p w14:paraId="4F1B5AC9"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049E1CC5" wp14:editId="40C267AA">
                  <wp:extent cx="114300" cy="114300"/>
                  <wp:effectExtent l="0" t="0" r="0" b="0"/>
                  <wp:docPr id="25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6776B9D8" w14:textId="77777777" w:rsidR="002A56E0" w:rsidRPr="00B31EF0" w:rsidRDefault="002A56E0" w:rsidP="002A56E0">
            <w:pPr>
              <w:pStyle w:val="TableParagraph"/>
              <w:jc w:val="center"/>
              <w:rPr>
                <w:sz w:val="19"/>
                <w:szCs w:val="19"/>
              </w:rPr>
            </w:pPr>
          </w:p>
          <w:p w14:paraId="50C471BA"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7D0FC423" wp14:editId="60E47BAF">
                  <wp:extent cx="114300" cy="114300"/>
                  <wp:effectExtent l="0" t="0" r="0" b="0"/>
                  <wp:docPr id="25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1B4BD9BE" w14:textId="77777777" w:rsidR="002A56E0" w:rsidRPr="00B31EF0" w:rsidRDefault="002A56E0" w:rsidP="002A56E0">
            <w:pPr>
              <w:pStyle w:val="TableParagraph"/>
              <w:jc w:val="center"/>
              <w:rPr>
                <w:sz w:val="19"/>
                <w:szCs w:val="19"/>
              </w:rPr>
            </w:pPr>
          </w:p>
          <w:p w14:paraId="47ED1A73" w14:textId="1073DE9E" w:rsidR="002A56E0" w:rsidRPr="00B31EF0" w:rsidRDefault="002A56E0" w:rsidP="002A56E0">
            <w:pPr>
              <w:pStyle w:val="TableParagraph"/>
              <w:jc w:val="center"/>
              <w:rPr>
                <w:sz w:val="19"/>
                <w:szCs w:val="19"/>
              </w:rPr>
            </w:pPr>
            <w:r w:rsidRPr="00B31EF0">
              <w:rPr>
                <w:sz w:val="19"/>
                <w:szCs w:val="19"/>
              </w:rPr>
              <w:t>X</w:t>
            </w:r>
          </w:p>
        </w:tc>
        <w:tc>
          <w:tcPr>
            <w:tcW w:w="612" w:type="dxa"/>
          </w:tcPr>
          <w:p w14:paraId="6E1C921B" w14:textId="77777777" w:rsidR="002A56E0" w:rsidRPr="00B31EF0" w:rsidRDefault="002A56E0" w:rsidP="002A56E0">
            <w:pPr>
              <w:pStyle w:val="TableParagraph"/>
              <w:jc w:val="center"/>
              <w:rPr>
                <w:sz w:val="19"/>
                <w:szCs w:val="19"/>
              </w:rPr>
            </w:pPr>
          </w:p>
          <w:p w14:paraId="591DF7F7"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71FCB9E9" wp14:editId="07751BBB">
                  <wp:extent cx="114300" cy="114300"/>
                  <wp:effectExtent l="0" t="0" r="0" b="0"/>
                  <wp:docPr id="25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A56E0" w14:paraId="4FFBBCB8" w14:textId="77777777" w:rsidTr="006D045B">
        <w:trPr>
          <w:trHeight w:val="423"/>
          <w:jc w:val="center"/>
        </w:trPr>
        <w:tc>
          <w:tcPr>
            <w:tcW w:w="2797" w:type="dxa"/>
          </w:tcPr>
          <w:p w14:paraId="43AAEDD1" w14:textId="77777777" w:rsidR="002A56E0" w:rsidRPr="00B31EF0" w:rsidRDefault="002A56E0" w:rsidP="002A56E0">
            <w:pPr>
              <w:pStyle w:val="TableParagraph"/>
              <w:rPr>
                <w:sz w:val="19"/>
                <w:szCs w:val="19"/>
              </w:rPr>
            </w:pPr>
            <w:r w:rsidRPr="00B31EF0">
              <w:rPr>
                <w:sz w:val="19"/>
                <w:szCs w:val="19"/>
              </w:rPr>
              <w:t>Experimentation on specific AI applications under the control of competent authorities</w:t>
            </w:r>
          </w:p>
        </w:tc>
        <w:tc>
          <w:tcPr>
            <w:tcW w:w="1160" w:type="dxa"/>
          </w:tcPr>
          <w:p w14:paraId="0F723449" w14:textId="77777777" w:rsidR="002A56E0" w:rsidRPr="00B31EF0" w:rsidRDefault="002A56E0" w:rsidP="002A56E0">
            <w:pPr>
              <w:pStyle w:val="TableParagraph"/>
              <w:jc w:val="center"/>
              <w:rPr>
                <w:sz w:val="19"/>
                <w:szCs w:val="19"/>
              </w:rPr>
            </w:pPr>
          </w:p>
          <w:p w14:paraId="2B4C8154" w14:textId="77777777" w:rsidR="002A56E0" w:rsidRPr="00B31EF0" w:rsidRDefault="002A56E0" w:rsidP="002A56E0">
            <w:pPr>
              <w:pStyle w:val="TableParagraph"/>
              <w:jc w:val="center"/>
              <w:rPr>
                <w:sz w:val="19"/>
                <w:szCs w:val="19"/>
              </w:rPr>
            </w:pPr>
          </w:p>
          <w:p w14:paraId="310A3ED2"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32B5809E" wp14:editId="78140343">
                  <wp:extent cx="114300" cy="114300"/>
                  <wp:effectExtent l="0" t="0" r="0" b="0"/>
                  <wp:docPr id="25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7118C6D1" w14:textId="77777777" w:rsidR="002A56E0" w:rsidRPr="00B31EF0" w:rsidRDefault="002A56E0" w:rsidP="002A56E0">
            <w:pPr>
              <w:pStyle w:val="TableParagraph"/>
              <w:jc w:val="center"/>
              <w:rPr>
                <w:sz w:val="19"/>
                <w:szCs w:val="19"/>
              </w:rPr>
            </w:pPr>
          </w:p>
          <w:p w14:paraId="5E903988" w14:textId="77777777" w:rsidR="002A56E0" w:rsidRPr="00B31EF0" w:rsidRDefault="002A56E0" w:rsidP="002A56E0">
            <w:pPr>
              <w:pStyle w:val="TableParagraph"/>
              <w:jc w:val="center"/>
              <w:rPr>
                <w:sz w:val="19"/>
                <w:szCs w:val="19"/>
              </w:rPr>
            </w:pPr>
          </w:p>
          <w:p w14:paraId="5DFC0F1D"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32CE27B0" wp14:editId="29D558A4">
                  <wp:extent cx="114300" cy="114300"/>
                  <wp:effectExtent l="0" t="0" r="0" b="0"/>
                  <wp:docPr id="26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29DCBD47" w14:textId="77777777" w:rsidR="002A56E0" w:rsidRPr="00B31EF0" w:rsidRDefault="002A56E0" w:rsidP="002A56E0">
            <w:pPr>
              <w:pStyle w:val="TableParagraph"/>
              <w:jc w:val="center"/>
              <w:rPr>
                <w:sz w:val="19"/>
                <w:szCs w:val="19"/>
              </w:rPr>
            </w:pPr>
          </w:p>
          <w:p w14:paraId="14561C4B" w14:textId="77777777" w:rsidR="002A56E0" w:rsidRPr="00B31EF0" w:rsidRDefault="002A56E0" w:rsidP="002A56E0">
            <w:pPr>
              <w:pStyle w:val="TableParagraph"/>
              <w:jc w:val="center"/>
              <w:rPr>
                <w:sz w:val="19"/>
                <w:szCs w:val="19"/>
              </w:rPr>
            </w:pPr>
          </w:p>
          <w:p w14:paraId="4688385F" w14:textId="14E33538" w:rsidR="002A56E0" w:rsidRPr="00B31EF0" w:rsidRDefault="00B61F4C" w:rsidP="002A56E0">
            <w:pPr>
              <w:pStyle w:val="TableParagraph"/>
              <w:jc w:val="center"/>
              <w:rPr>
                <w:sz w:val="19"/>
                <w:szCs w:val="19"/>
              </w:rPr>
            </w:pPr>
            <w:r w:rsidRPr="00B31EF0">
              <w:rPr>
                <w:noProof/>
                <w:sz w:val="19"/>
                <w:szCs w:val="19"/>
                <w:lang w:val="en-GB" w:eastAsia="en-GB"/>
              </w:rPr>
              <w:t>X</w:t>
            </w:r>
          </w:p>
        </w:tc>
        <w:tc>
          <w:tcPr>
            <w:tcW w:w="1007" w:type="dxa"/>
          </w:tcPr>
          <w:p w14:paraId="72E76728" w14:textId="77777777" w:rsidR="002A56E0" w:rsidRPr="00B31EF0" w:rsidRDefault="002A56E0" w:rsidP="002A56E0">
            <w:pPr>
              <w:pStyle w:val="TableParagraph"/>
              <w:jc w:val="center"/>
              <w:rPr>
                <w:sz w:val="19"/>
                <w:szCs w:val="19"/>
              </w:rPr>
            </w:pPr>
          </w:p>
          <w:p w14:paraId="326D50C9" w14:textId="77777777" w:rsidR="002A56E0" w:rsidRPr="00B31EF0" w:rsidRDefault="002A56E0" w:rsidP="002A56E0">
            <w:pPr>
              <w:pStyle w:val="TableParagraph"/>
              <w:jc w:val="center"/>
              <w:rPr>
                <w:sz w:val="19"/>
                <w:szCs w:val="19"/>
              </w:rPr>
            </w:pPr>
          </w:p>
          <w:p w14:paraId="26C0EE30" w14:textId="5FCF38CF" w:rsidR="002A56E0" w:rsidRPr="00B31EF0" w:rsidRDefault="00B61F4C" w:rsidP="002A56E0">
            <w:pPr>
              <w:pStyle w:val="TableParagraph"/>
              <w:jc w:val="center"/>
              <w:rPr>
                <w:sz w:val="19"/>
                <w:szCs w:val="19"/>
              </w:rPr>
            </w:pPr>
            <w:r w:rsidRPr="00B31EF0">
              <w:rPr>
                <w:noProof/>
                <w:sz w:val="19"/>
                <w:szCs w:val="19"/>
                <w:lang w:val="en-GB" w:eastAsia="en-GB"/>
              </w:rPr>
              <w:drawing>
                <wp:inline distT="0" distB="0" distL="0" distR="0" wp14:anchorId="4874CB77" wp14:editId="43AE6F1E">
                  <wp:extent cx="114300" cy="114300"/>
                  <wp:effectExtent l="0" t="0" r="0" b="0"/>
                  <wp:docPr id="276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527E5FA2" w14:textId="77777777" w:rsidR="002A56E0" w:rsidRPr="00B31EF0" w:rsidRDefault="002A56E0" w:rsidP="002A56E0">
            <w:pPr>
              <w:pStyle w:val="TableParagraph"/>
              <w:jc w:val="center"/>
              <w:rPr>
                <w:sz w:val="19"/>
                <w:szCs w:val="19"/>
              </w:rPr>
            </w:pPr>
          </w:p>
          <w:p w14:paraId="5527AC88" w14:textId="77777777" w:rsidR="002A56E0" w:rsidRPr="00B31EF0" w:rsidRDefault="002A56E0" w:rsidP="002A56E0">
            <w:pPr>
              <w:pStyle w:val="TableParagraph"/>
              <w:jc w:val="center"/>
              <w:rPr>
                <w:sz w:val="19"/>
                <w:szCs w:val="19"/>
              </w:rPr>
            </w:pPr>
          </w:p>
          <w:p w14:paraId="6E12BFB6"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71BE7848" wp14:editId="331946DC">
                  <wp:extent cx="114300" cy="114300"/>
                  <wp:effectExtent l="0" t="0" r="0" b="0"/>
                  <wp:docPr id="26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2" w:type="dxa"/>
          </w:tcPr>
          <w:p w14:paraId="60518EF1" w14:textId="77777777" w:rsidR="002A56E0" w:rsidRPr="00B31EF0" w:rsidRDefault="002A56E0" w:rsidP="002A56E0">
            <w:pPr>
              <w:pStyle w:val="TableParagraph"/>
              <w:jc w:val="center"/>
              <w:rPr>
                <w:sz w:val="19"/>
                <w:szCs w:val="19"/>
              </w:rPr>
            </w:pPr>
          </w:p>
          <w:p w14:paraId="33E5AE0F" w14:textId="77777777" w:rsidR="002A56E0" w:rsidRPr="00B31EF0" w:rsidRDefault="002A56E0" w:rsidP="002A56E0">
            <w:pPr>
              <w:pStyle w:val="TableParagraph"/>
              <w:jc w:val="center"/>
              <w:rPr>
                <w:sz w:val="19"/>
                <w:szCs w:val="19"/>
              </w:rPr>
            </w:pPr>
          </w:p>
          <w:p w14:paraId="0D534E9E"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6BC0448E" wp14:editId="4A12E53C">
                  <wp:extent cx="114300" cy="114300"/>
                  <wp:effectExtent l="0" t="0" r="0" b="0"/>
                  <wp:docPr id="26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A56E0" w14:paraId="5F2F21D8" w14:textId="77777777" w:rsidTr="006D045B">
        <w:trPr>
          <w:trHeight w:val="423"/>
          <w:jc w:val="center"/>
        </w:trPr>
        <w:tc>
          <w:tcPr>
            <w:tcW w:w="2797" w:type="dxa"/>
          </w:tcPr>
          <w:p w14:paraId="0783B6F7" w14:textId="77777777" w:rsidR="002A56E0" w:rsidRPr="00B31EF0" w:rsidRDefault="002A56E0" w:rsidP="002A56E0">
            <w:pPr>
              <w:pStyle w:val="TableParagraph"/>
              <w:rPr>
                <w:sz w:val="19"/>
                <w:szCs w:val="19"/>
              </w:rPr>
            </w:pPr>
            <w:r w:rsidRPr="00B31EF0">
              <w:rPr>
                <w:sz w:val="19"/>
                <w:szCs w:val="19"/>
              </w:rPr>
              <w:t>Certification of AI systems</w:t>
            </w:r>
          </w:p>
        </w:tc>
        <w:tc>
          <w:tcPr>
            <w:tcW w:w="1160" w:type="dxa"/>
          </w:tcPr>
          <w:p w14:paraId="630EC638" w14:textId="77777777" w:rsidR="002A56E0" w:rsidRPr="00B31EF0" w:rsidRDefault="002A56E0" w:rsidP="002A56E0">
            <w:pPr>
              <w:pStyle w:val="TableParagraph"/>
              <w:jc w:val="center"/>
              <w:rPr>
                <w:sz w:val="19"/>
                <w:szCs w:val="19"/>
              </w:rPr>
            </w:pPr>
          </w:p>
          <w:p w14:paraId="48D73DCA"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51F10D21" wp14:editId="27919F21">
                  <wp:extent cx="114300" cy="114300"/>
                  <wp:effectExtent l="0" t="0" r="0" b="0"/>
                  <wp:docPr id="26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046A5A5C" w14:textId="77777777" w:rsidR="002A56E0" w:rsidRPr="00B31EF0" w:rsidRDefault="002A56E0" w:rsidP="002A56E0">
            <w:pPr>
              <w:pStyle w:val="TableParagraph"/>
              <w:jc w:val="center"/>
              <w:rPr>
                <w:sz w:val="19"/>
                <w:szCs w:val="19"/>
              </w:rPr>
            </w:pPr>
          </w:p>
          <w:p w14:paraId="7F192514"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18927D4C" wp14:editId="46DD8AF3">
                  <wp:extent cx="114300" cy="114300"/>
                  <wp:effectExtent l="0" t="0" r="0" b="0"/>
                  <wp:docPr id="26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02B0702C" w14:textId="77777777" w:rsidR="002A56E0" w:rsidRPr="00B31EF0" w:rsidRDefault="002A56E0" w:rsidP="002A56E0">
            <w:pPr>
              <w:pStyle w:val="TableParagraph"/>
              <w:jc w:val="center"/>
              <w:rPr>
                <w:sz w:val="19"/>
                <w:szCs w:val="19"/>
              </w:rPr>
            </w:pPr>
          </w:p>
          <w:p w14:paraId="45CBFDDC" w14:textId="316143EF" w:rsidR="002A56E0" w:rsidRPr="00B31EF0" w:rsidRDefault="00E2084A" w:rsidP="002A56E0">
            <w:pPr>
              <w:pStyle w:val="TableParagraph"/>
              <w:jc w:val="center"/>
              <w:rPr>
                <w:sz w:val="19"/>
                <w:szCs w:val="19"/>
              </w:rPr>
            </w:pPr>
            <w:r w:rsidRPr="00B31EF0">
              <w:rPr>
                <w:noProof/>
                <w:sz w:val="19"/>
                <w:szCs w:val="19"/>
                <w:lang w:val="en-GB" w:eastAsia="en-GB"/>
              </w:rPr>
              <w:t>X</w:t>
            </w:r>
          </w:p>
        </w:tc>
        <w:tc>
          <w:tcPr>
            <w:tcW w:w="1007" w:type="dxa"/>
          </w:tcPr>
          <w:p w14:paraId="3DD6AB67" w14:textId="77777777" w:rsidR="002A56E0" w:rsidRPr="00B31EF0" w:rsidRDefault="002A56E0" w:rsidP="002A56E0">
            <w:pPr>
              <w:pStyle w:val="TableParagraph"/>
              <w:jc w:val="center"/>
              <w:rPr>
                <w:sz w:val="19"/>
                <w:szCs w:val="19"/>
              </w:rPr>
            </w:pPr>
          </w:p>
          <w:p w14:paraId="6F7A6E06"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3CED596E" wp14:editId="788CB73C">
                  <wp:extent cx="114300" cy="114300"/>
                  <wp:effectExtent l="0" t="0" r="0" b="0"/>
                  <wp:docPr id="26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46DBD3B1" w14:textId="77777777" w:rsidR="002A56E0" w:rsidRPr="00B31EF0" w:rsidRDefault="002A56E0" w:rsidP="002A56E0">
            <w:pPr>
              <w:pStyle w:val="TableParagraph"/>
              <w:jc w:val="center"/>
              <w:rPr>
                <w:sz w:val="19"/>
                <w:szCs w:val="19"/>
              </w:rPr>
            </w:pPr>
          </w:p>
          <w:p w14:paraId="7A54FC59"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495E76AD" wp14:editId="47FBAAAE">
                  <wp:extent cx="114300" cy="114300"/>
                  <wp:effectExtent l="0" t="0" r="0" b="0"/>
                  <wp:docPr id="26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2" w:type="dxa"/>
          </w:tcPr>
          <w:p w14:paraId="2961D460" w14:textId="77777777" w:rsidR="002A56E0" w:rsidRPr="00B31EF0" w:rsidRDefault="002A56E0" w:rsidP="002A56E0">
            <w:pPr>
              <w:pStyle w:val="TableParagraph"/>
              <w:jc w:val="center"/>
              <w:rPr>
                <w:sz w:val="19"/>
                <w:szCs w:val="19"/>
              </w:rPr>
            </w:pPr>
          </w:p>
          <w:p w14:paraId="291D2C09"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1CCFBB44" wp14:editId="684FE250">
                  <wp:extent cx="114300" cy="114300"/>
                  <wp:effectExtent l="0" t="0" r="0" b="0"/>
                  <wp:docPr id="26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A56E0" w14:paraId="7190CB28" w14:textId="77777777" w:rsidTr="006D045B">
        <w:trPr>
          <w:trHeight w:val="423"/>
          <w:jc w:val="center"/>
        </w:trPr>
        <w:tc>
          <w:tcPr>
            <w:tcW w:w="2797" w:type="dxa"/>
          </w:tcPr>
          <w:p w14:paraId="2E324DBC" w14:textId="77777777" w:rsidR="002A56E0" w:rsidRPr="00B31EF0" w:rsidRDefault="002A56E0" w:rsidP="002A56E0">
            <w:pPr>
              <w:pStyle w:val="TableParagraph"/>
              <w:rPr>
                <w:sz w:val="19"/>
                <w:szCs w:val="19"/>
              </w:rPr>
            </w:pPr>
            <w:r w:rsidRPr="00B31EF0">
              <w:rPr>
                <w:sz w:val="19"/>
                <w:szCs w:val="19"/>
              </w:rPr>
              <w:t>Auditing of AI systems</w:t>
            </w:r>
          </w:p>
        </w:tc>
        <w:tc>
          <w:tcPr>
            <w:tcW w:w="1160" w:type="dxa"/>
          </w:tcPr>
          <w:p w14:paraId="5ADCFF36" w14:textId="77777777" w:rsidR="002A56E0" w:rsidRPr="00B31EF0" w:rsidRDefault="002A56E0" w:rsidP="002A56E0">
            <w:pPr>
              <w:pStyle w:val="TableParagraph"/>
              <w:jc w:val="center"/>
              <w:rPr>
                <w:sz w:val="19"/>
                <w:szCs w:val="19"/>
              </w:rPr>
            </w:pPr>
          </w:p>
          <w:p w14:paraId="6B379341"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5BAA0342" wp14:editId="244BDFE8">
                  <wp:extent cx="114300" cy="114300"/>
                  <wp:effectExtent l="0" t="0" r="0" b="0"/>
                  <wp:docPr id="26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4E19203F" w14:textId="77777777" w:rsidR="002A56E0" w:rsidRPr="00B31EF0" w:rsidRDefault="002A56E0" w:rsidP="002A56E0">
            <w:pPr>
              <w:pStyle w:val="TableParagraph"/>
              <w:jc w:val="center"/>
              <w:rPr>
                <w:sz w:val="19"/>
                <w:szCs w:val="19"/>
              </w:rPr>
            </w:pPr>
          </w:p>
          <w:p w14:paraId="34F6DFA3"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0DD99476" wp14:editId="6F2129C9">
                  <wp:extent cx="114300" cy="114300"/>
                  <wp:effectExtent l="0" t="0" r="0" b="0"/>
                  <wp:docPr id="26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7DEE4661" w14:textId="77777777" w:rsidR="002A56E0" w:rsidRPr="00B31EF0" w:rsidRDefault="002A56E0" w:rsidP="002A56E0">
            <w:pPr>
              <w:pStyle w:val="TableParagraph"/>
              <w:jc w:val="center"/>
              <w:rPr>
                <w:sz w:val="19"/>
                <w:szCs w:val="19"/>
              </w:rPr>
            </w:pPr>
          </w:p>
          <w:p w14:paraId="390EF318"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664D09B1" wp14:editId="3479A6F0">
                  <wp:extent cx="114300" cy="114300"/>
                  <wp:effectExtent l="0" t="0" r="0" b="0"/>
                  <wp:docPr id="26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0D90C34D" w14:textId="77777777" w:rsidR="002A56E0" w:rsidRPr="00B31EF0" w:rsidRDefault="002A56E0" w:rsidP="002A56E0">
            <w:pPr>
              <w:pStyle w:val="TableParagraph"/>
              <w:jc w:val="center"/>
              <w:rPr>
                <w:sz w:val="19"/>
                <w:szCs w:val="19"/>
              </w:rPr>
            </w:pPr>
          </w:p>
          <w:p w14:paraId="05A123D0" w14:textId="44A876A8" w:rsidR="002A56E0" w:rsidRPr="00B31EF0" w:rsidRDefault="00E2084A" w:rsidP="002A56E0">
            <w:pPr>
              <w:pStyle w:val="TableParagraph"/>
              <w:jc w:val="center"/>
              <w:rPr>
                <w:sz w:val="19"/>
                <w:szCs w:val="19"/>
              </w:rPr>
            </w:pPr>
            <w:r w:rsidRPr="00B31EF0">
              <w:rPr>
                <w:noProof/>
                <w:sz w:val="19"/>
                <w:szCs w:val="19"/>
                <w:lang w:val="en-GB" w:eastAsia="en-GB"/>
              </w:rPr>
              <w:t>X</w:t>
            </w:r>
          </w:p>
        </w:tc>
        <w:tc>
          <w:tcPr>
            <w:tcW w:w="1007" w:type="dxa"/>
          </w:tcPr>
          <w:p w14:paraId="11E796F1" w14:textId="77777777" w:rsidR="002A56E0" w:rsidRPr="00B31EF0" w:rsidRDefault="002A56E0" w:rsidP="002A56E0">
            <w:pPr>
              <w:pStyle w:val="TableParagraph"/>
              <w:jc w:val="center"/>
              <w:rPr>
                <w:sz w:val="19"/>
                <w:szCs w:val="19"/>
              </w:rPr>
            </w:pPr>
          </w:p>
          <w:p w14:paraId="7C964DC0"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01651A2C" wp14:editId="1EA9CDF2">
                  <wp:extent cx="114300" cy="114300"/>
                  <wp:effectExtent l="0" t="0" r="0" b="0"/>
                  <wp:docPr id="26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2" w:type="dxa"/>
          </w:tcPr>
          <w:p w14:paraId="2D31B36A" w14:textId="77777777" w:rsidR="002A56E0" w:rsidRPr="00B31EF0" w:rsidRDefault="002A56E0" w:rsidP="002A56E0">
            <w:pPr>
              <w:pStyle w:val="TableParagraph"/>
              <w:jc w:val="center"/>
              <w:rPr>
                <w:sz w:val="19"/>
                <w:szCs w:val="19"/>
              </w:rPr>
            </w:pPr>
          </w:p>
          <w:p w14:paraId="66BCBC4D"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734E8D16" wp14:editId="278777F9">
                  <wp:extent cx="114300" cy="114300"/>
                  <wp:effectExtent l="0" t="0" r="0" b="0"/>
                  <wp:docPr id="26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4"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2A56E0" w14:paraId="27BF7460" w14:textId="77777777" w:rsidTr="006D045B">
        <w:trPr>
          <w:trHeight w:val="423"/>
          <w:jc w:val="center"/>
        </w:trPr>
        <w:tc>
          <w:tcPr>
            <w:tcW w:w="2797" w:type="dxa"/>
          </w:tcPr>
          <w:p w14:paraId="5ACEC107" w14:textId="77777777" w:rsidR="002A56E0" w:rsidRPr="00B31EF0" w:rsidRDefault="002A56E0" w:rsidP="002A56E0">
            <w:pPr>
              <w:pStyle w:val="TableParagraph"/>
              <w:rPr>
                <w:sz w:val="19"/>
                <w:szCs w:val="19"/>
              </w:rPr>
            </w:pPr>
            <w:r w:rsidRPr="00B31EF0">
              <w:rPr>
                <w:sz w:val="19"/>
                <w:szCs w:val="19"/>
              </w:rPr>
              <w:t>Registration with and access to AI systems for relevant supervisory authorities</w:t>
            </w:r>
          </w:p>
        </w:tc>
        <w:tc>
          <w:tcPr>
            <w:tcW w:w="1160" w:type="dxa"/>
          </w:tcPr>
          <w:p w14:paraId="48D0215A" w14:textId="77777777" w:rsidR="002A56E0" w:rsidRPr="00B31EF0" w:rsidRDefault="002A56E0" w:rsidP="002A56E0">
            <w:pPr>
              <w:pStyle w:val="TableParagraph"/>
              <w:jc w:val="center"/>
              <w:rPr>
                <w:sz w:val="19"/>
                <w:szCs w:val="19"/>
              </w:rPr>
            </w:pPr>
          </w:p>
          <w:p w14:paraId="739C648A" w14:textId="77777777" w:rsidR="002A56E0" w:rsidRPr="00B31EF0" w:rsidRDefault="002A56E0" w:rsidP="002A56E0">
            <w:pPr>
              <w:pStyle w:val="TableParagraph"/>
              <w:jc w:val="center"/>
              <w:rPr>
                <w:sz w:val="19"/>
                <w:szCs w:val="19"/>
              </w:rPr>
            </w:pPr>
          </w:p>
          <w:p w14:paraId="51CA0315"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131247C7" wp14:editId="3F58593C">
                  <wp:extent cx="114299" cy="114300"/>
                  <wp:effectExtent l="0" t="0" r="0" b="0"/>
                  <wp:docPr id="26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6"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1007" w:type="dxa"/>
          </w:tcPr>
          <w:p w14:paraId="4DE52DB2" w14:textId="77777777" w:rsidR="002A56E0" w:rsidRPr="00B31EF0" w:rsidRDefault="002A56E0" w:rsidP="002A56E0">
            <w:pPr>
              <w:pStyle w:val="TableParagraph"/>
              <w:jc w:val="center"/>
              <w:rPr>
                <w:sz w:val="19"/>
                <w:szCs w:val="19"/>
              </w:rPr>
            </w:pPr>
          </w:p>
          <w:p w14:paraId="6C16E32C" w14:textId="77777777" w:rsidR="002A56E0" w:rsidRPr="00B31EF0" w:rsidRDefault="002A56E0" w:rsidP="002A56E0">
            <w:pPr>
              <w:pStyle w:val="TableParagraph"/>
              <w:jc w:val="center"/>
              <w:rPr>
                <w:sz w:val="19"/>
                <w:szCs w:val="19"/>
              </w:rPr>
            </w:pPr>
          </w:p>
          <w:p w14:paraId="45160333" w14:textId="2AF84BCD" w:rsidR="002A56E0" w:rsidRPr="00B31EF0" w:rsidRDefault="00760FDA" w:rsidP="002A56E0">
            <w:pPr>
              <w:pStyle w:val="TableParagraph"/>
              <w:jc w:val="center"/>
              <w:rPr>
                <w:sz w:val="19"/>
                <w:szCs w:val="19"/>
              </w:rPr>
            </w:pPr>
            <w:r w:rsidRPr="00B31EF0">
              <w:rPr>
                <w:noProof/>
                <w:sz w:val="19"/>
                <w:szCs w:val="19"/>
                <w:lang w:val="en-GB" w:eastAsia="en-GB"/>
              </w:rPr>
              <w:drawing>
                <wp:inline distT="0" distB="0" distL="0" distR="0" wp14:anchorId="50FEFBC9" wp14:editId="610E2A1B">
                  <wp:extent cx="114300" cy="114300"/>
                  <wp:effectExtent l="0" t="0" r="0" b="0"/>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78858AE0" w14:textId="77777777" w:rsidR="002A56E0" w:rsidRPr="00B31EF0" w:rsidRDefault="002A56E0" w:rsidP="002A56E0">
            <w:pPr>
              <w:pStyle w:val="TableParagraph"/>
              <w:jc w:val="center"/>
              <w:rPr>
                <w:sz w:val="19"/>
                <w:szCs w:val="19"/>
              </w:rPr>
            </w:pPr>
          </w:p>
          <w:p w14:paraId="362D9AED" w14:textId="77777777" w:rsidR="002A56E0" w:rsidRPr="00B31EF0" w:rsidRDefault="002A56E0" w:rsidP="002A56E0">
            <w:pPr>
              <w:pStyle w:val="TableParagraph"/>
              <w:jc w:val="center"/>
              <w:rPr>
                <w:sz w:val="19"/>
                <w:szCs w:val="19"/>
              </w:rPr>
            </w:pPr>
          </w:p>
          <w:p w14:paraId="0E9D5124" w14:textId="1280B7D7" w:rsidR="002A56E0" w:rsidRPr="00B31EF0" w:rsidRDefault="00760FDA" w:rsidP="002A56E0">
            <w:pPr>
              <w:pStyle w:val="TableParagraph"/>
              <w:jc w:val="center"/>
              <w:rPr>
                <w:sz w:val="19"/>
                <w:szCs w:val="19"/>
              </w:rPr>
            </w:pPr>
            <w:r w:rsidRPr="00B31EF0">
              <w:rPr>
                <w:noProof/>
                <w:sz w:val="19"/>
                <w:szCs w:val="19"/>
                <w:lang w:val="en-GB" w:eastAsia="en-GB"/>
              </w:rPr>
              <w:t xml:space="preserve"> X</w:t>
            </w:r>
          </w:p>
        </w:tc>
        <w:tc>
          <w:tcPr>
            <w:tcW w:w="1007" w:type="dxa"/>
          </w:tcPr>
          <w:p w14:paraId="443E79CA" w14:textId="77777777" w:rsidR="002A56E0" w:rsidRPr="00B31EF0" w:rsidRDefault="002A56E0" w:rsidP="002A56E0">
            <w:pPr>
              <w:pStyle w:val="TableParagraph"/>
              <w:jc w:val="center"/>
              <w:rPr>
                <w:sz w:val="19"/>
                <w:szCs w:val="19"/>
              </w:rPr>
            </w:pPr>
          </w:p>
          <w:p w14:paraId="2BD31E90" w14:textId="77777777" w:rsidR="002A56E0" w:rsidRPr="00B31EF0" w:rsidRDefault="002A56E0" w:rsidP="002A56E0">
            <w:pPr>
              <w:pStyle w:val="TableParagraph"/>
              <w:jc w:val="center"/>
              <w:rPr>
                <w:sz w:val="19"/>
                <w:szCs w:val="19"/>
              </w:rPr>
            </w:pPr>
          </w:p>
          <w:p w14:paraId="5D484E88"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3D78EFD0" wp14:editId="6394CCF0">
                  <wp:extent cx="114299" cy="114300"/>
                  <wp:effectExtent l="0" t="0" r="0" b="0"/>
                  <wp:docPr id="26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2"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1007" w:type="dxa"/>
          </w:tcPr>
          <w:p w14:paraId="39F9978A" w14:textId="77777777" w:rsidR="002A56E0" w:rsidRPr="00B31EF0" w:rsidRDefault="002A56E0" w:rsidP="002A56E0">
            <w:pPr>
              <w:pStyle w:val="TableParagraph"/>
              <w:jc w:val="center"/>
              <w:rPr>
                <w:sz w:val="19"/>
                <w:szCs w:val="19"/>
              </w:rPr>
            </w:pPr>
          </w:p>
          <w:p w14:paraId="373764B2" w14:textId="77777777" w:rsidR="002A56E0" w:rsidRPr="00B31EF0" w:rsidRDefault="002A56E0" w:rsidP="002A56E0">
            <w:pPr>
              <w:pStyle w:val="TableParagraph"/>
              <w:jc w:val="center"/>
              <w:rPr>
                <w:sz w:val="19"/>
                <w:szCs w:val="19"/>
              </w:rPr>
            </w:pPr>
          </w:p>
          <w:p w14:paraId="631ED927"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5E86ECE0" wp14:editId="793A3778">
                  <wp:extent cx="114299" cy="114300"/>
                  <wp:effectExtent l="0" t="0" r="0" b="0"/>
                  <wp:docPr id="26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 name="image1.png"/>
                          <pic:cNvPicPr/>
                        </pic:nvPicPr>
                        <pic:blipFill>
                          <a:blip r:embed="rId19" cstate="print"/>
                          <a:stretch>
                            <a:fillRect/>
                          </a:stretch>
                        </pic:blipFill>
                        <pic:spPr>
                          <a:xfrm>
                            <a:off x="0" y="0"/>
                            <a:ext cx="114299" cy="114300"/>
                          </a:xfrm>
                          <a:prstGeom prst="rect">
                            <a:avLst/>
                          </a:prstGeom>
                        </pic:spPr>
                      </pic:pic>
                    </a:graphicData>
                  </a:graphic>
                </wp:inline>
              </w:drawing>
            </w:r>
          </w:p>
        </w:tc>
        <w:tc>
          <w:tcPr>
            <w:tcW w:w="612" w:type="dxa"/>
          </w:tcPr>
          <w:p w14:paraId="317D9ADD" w14:textId="77777777" w:rsidR="002A56E0" w:rsidRPr="00B31EF0" w:rsidRDefault="002A56E0" w:rsidP="002A56E0">
            <w:pPr>
              <w:pStyle w:val="TableParagraph"/>
              <w:jc w:val="center"/>
              <w:rPr>
                <w:sz w:val="19"/>
                <w:szCs w:val="19"/>
              </w:rPr>
            </w:pPr>
          </w:p>
          <w:p w14:paraId="3AAAE721" w14:textId="77777777" w:rsidR="002A56E0" w:rsidRPr="00B31EF0" w:rsidRDefault="002A56E0" w:rsidP="002A56E0">
            <w:pPr>
              <w:pStyle w:val="TableParagraph"/>
              <w:jc w:val="center"/>
              <w:rPr>
                <w:sz w:val="19"/>
                <w:szCs w:val="19"/>
              </w:rPr>
            </w:pPr>
          </w:p>
          <w:p w14:paraId="4971A478"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496EFE97" wp14:editId="4229B468">
                  <wp:extent cx="114299" cy="114300"/>
                  <wp:effectExtent l="0" t="0" r="0" b="0"/>
                  <wp:docPr id="26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 name="image1.png"/>
                          <pic:cNvPicPr/>
                        </pic:nvPicPr>
                        <pic:blipFill>
                          <a:blip r:embed="rId19" cstate="print"/>
                          <a:stretch>
                            <a:fillRect/>
                          </a:stretch>
                        </pic:blipFill>
                        <pic:spPr>
                          <a:xfrm>
                            <a:off x="0" y="0"/>
                            <a:ext cx="114299" cy="114300"/>
                          </a:xfrm>
                          <a:prstGeom prst="rect">
                            <a:avLst/>
                          </a:prstGeom>
                        </pic:spPr>
                      </pic:pic>
                    </a:graphicData>
                  </a:graphic>
                </wp:inline>
              </w:drawing>
            </w:r>
          </w:p>
        </w:tc>
      </w:tr>
      <w:tr w:rsidR="002A56E0" w14:paraId="1692A59A" w14:textId="77777777" w:rsidTr="006D045B">
        <w:trPr>
          <w:trHeight w:val="423"/>
          <w:jc w:val="center"/>
        </w:trPr>
        <w:tc>
          <w:tcPr>
            <w:tcW w:w="2797" w:type="dxa"/>
          </w:tcPr>
          <w:p w14:paraId="76E0461D" w14:textId="77777777" w:rsidR="002A56E0" w:rsidRPr="00B31EF0" w:rsidRDefault="002A56E0" w:rsidP="002A56E0">
            <w:pPr>
              <w:pStyle w:val="TableParagraph"/>
              <w:rPr>
                <w:sz w:val="19"/>
                <w:szCs w:val="19"/>
              </w:rPr>
            </w:pPr>
            <w:r w:rsidRPr="00B31EF0">
              <w:rPr>
                <w:sz w:val="19"/>
                <w:szCs w:val="19"/>
              </w:rPr>
              <w:t>Other</w:t>
            </w:r>
          </w:p>
        </w:tc>
        <w:tc>
          <w:tcPr>
            <w:tcW w:w="1160" w:type="dxa"/>
          </w:tcPr>
          <w:p w14:paraId="14EEAC11" w14:textId="77777777" w:rsidR="002A56E0" w:rsidRPr="00B31EF0" w:rsidRDefault="002A56E0" w:rsidP="002A56E0">
            <w:pPr>
              <w:pStyle w:val="TableParagraph"/>
              <w:jc w:val="center"/>
              <w:rPr>
                <w:sz w:val="19"/>
                <w:szCs w:val="19"/>
              </w:rPr>
            </w:pPr>
          </w:p>
          <w:p w14:paraId="234BC073"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54FAD38B" wp14:editId="35926C90">
                  <wp:extent cx="114300" cy="114300"/>
                  <wp:effectExtent l="0" t="0" r="0" b="0"/>
                  <wp:docPr id="26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2C22BF11" w14:textId="77777777" w:rsidR="002A56E0" w:rsidRPr="00B31EF0" w:rsidRDefault="002A56E0" w:rsidP="002A56E0">
            <w:pPr>
              <w:pStyle w:val="TableParagraph"/>
              <w:jc w:val="center"/>
              <w:rPr>
                <w:sz w:val="19"/>
                <w:szCs w:val="19"/>
              </w:rPr>
            </w:pPr>
          </w:p>
          <w:p w14:paraId="4C08A6FF"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4D5BADD3" wp14:editId="51284581">
                  <wp:extent cx="114300" cy="114300"/>
                  <wp:effectExtent l="0" t="0" r="0" b="0"/>
                  <wp:docPr id="26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978" w:type="dxa"/>
          </w:tcPr>
          <w:p w14:paraId="02FB6AD8" w14:textId="77777777" w:rsidR="002A56E0" w:rsidRPr="00B31EF0" w:rsidRDefault="002A56E0" w:rsidP="002A56E0">
            <w:pPr>
              <w:pStyle w:val="TableParagraph"/>
              <w:jc w:val="center"/>
              <w:rPr>
                <w:sz w:val="19"/>
                <w:szCs w:val="19"/>
              </w:rPr>
            </w:pPr>
          </w:p>
          <w:p w14:paraId="023E8AA8"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10FF3524" wp14:editId="29A6604D">
                  <wp:extent cx="114300" cy="114300"/>
                  <wp:effectExtent l="0" t="0" r="0" b="0"/>
                  <wp:docPr id="26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345A0CA0" w14:textId="77777777" w:rsidR="002A56E0" w:rsidRPr="00B31EF0" w:rsidRDefault="002A56E0" w:rsidP="002A56E0">
            <w:pPr>
              <w:pStyle w:val="TableParagraph"/>
              <w:jc w:val="center"/>
              <w:rPr>
                <w:sz w:val="19"/>
                <w:szCs w:val="19"/>
              </w:rPr>
            </w:pPr>
          </w:p>
          <w:p w14:paraId="7DA32C6F"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6EC9229E" wp14:editId="3541ED87">
                  <wp:extent cx="114300" cy="114300"/>
                  <wp:effectExtent l="0" t="0" r="0" b="0"/>
                  <wp:docPr id="26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07" w:type="dxa"/>
          </w:tcPr>
          <w:p w14:paraId="77ECA079" w14:textId="77777777" w:rsidR="002A56E0" w:rsidRPr="00B31EF0" w:rsidRDefault="002A56E0" w:rsidP="002A56E0">
            <w:pPr>
              <w:pStyle w:val="TableParagraph"/>
              <w:jc w:val="center"/>
              <w:rPr>
                <w:sz w:val="19"/>
                <w:szCs w:val="19"/>
              </w:rPr>
            </w:pPr>
          </w:p>
          <w:p w14:paraId="4BD52F6D"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3D421DB3" wp14:editId="2C7A24B6">
                  <wp:extent cx="114300" cy="114300"/>
                  <wp:effectExtent l="0" t="0" r="0" b="0"/>
                  <wp:docPr id="26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12" w:type="dxa"/>
          </w:tcPr>
          <w:p w14:paraId="4C8950F9" w14:textId="77777777" w:rsidR="002A56E0" w:rsidRPr="00B31EF0" w:rsidRDefault="002A56E0" w:rsidP="002A56E0">
            <w:pPr>
              <w:pStyle w:val="TableParagraph"/>
              <w:jc w:val="center"/>
              <w:rPr>
                <w:sz w:val="19"/>
                <w:szCs w:val="19"/>
              </w:rPr>
            </w:pPr>
          </w:p>
          <w:p w14:paraId="4AF43B45" w14:textId="77777777" w:rsidR="002A56E0" w:rsidRPr="00B31EF0" w:rsidRDefault="002A56E0" w:rsidP="002A56E0">
            <w:pPr>
              <w:pStyle w:val="TableParagraph"/>
              <w:jc w:val="center"/>
              <w:rPr>
                <w:sz w:val="19"/>
                <w:szCs w:val="19"/>
              </w:rPr>
            </w:pPr>
            <w:r w:rsidRPr="00B31EF0">
              <w:rPr>
                <w:noProof/>
                <w:sz w:val="19"/>
                <w:szCs w:val="19"/>
                <w:lang w:val="en-GB" w:eastAsia="en-GB"/>
              </w:rPr>
              <w:drawing>
                <wp:inline distT="0" distB="0" distL="0" distR="0" wp14:anchorId="64DF14EF" wp14:editId="5D330537">
                  <wp:extent cx="114300" cy="114300"/>
                  <wp:effectExtent l="0" t="0" r="0" b="0"/>
                  <wp:docPr id="26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66FD1C16" w14:textId="1BB24142" w:rsidR="002A56E0" w:rsidRDefault="002A56E0" w:rsidP="002A56E0">
      <w:pPr>
        <w:spacing w:before="117"/>
        <w:rPr>
          <w:rFonts w:asciiTheme="minorHAnsi" w:hAnsiTheme="minorHAnsi" w:hint="eastAsia"/>
          <w:b/>
        </w:rPr>
      </w:pPr>
    </w:p>
    <w:p w14:paraId="7D10F023" w14:textId="77A0D346" w:rsidR="002A56E0" w:rsidRDefault="002A56E0" w:rsidP="002A56E0">
      <w:pPr>
        <w:spacing w:before="117"/>
        <w:rPr>
          <w:rFonts w:ascii="Calibri" w:hAnsi="Calibri" w:cs="Calibri"/>
          <w:b/>
        </w:rPr>
      </w:pPr>
      <w:r w:rsidRPr="006D045B">
        <w:rPr>
          <w:rFonts w:ascii="Calibri" w:hAnsi="Calibri" w:cs="Calibri"/>
          <w:b/>
        </w:rPr>
        <w:t>Please specify what other way(s) could be best to address these new issues:</w:t>
      </w:r>
    </w:p>
    <w:p w14:paraId="1FE113B2" w14:textId="77777777" w:rsidR="00E2084A" w:rsidRPr="00B907E2" w:rsidRDefault="00E2084A" w:rsidP="00E2084A">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u w:val="single"/>
          <w:lang w:val="en-GB"/>
        </w:rPr>
      </w:pPr>
      <w:r w:rsidRPr="00B907E2">
        <w:rPr>
          <w:rFonts w:asciiTheme="majorHAnsi" w:eastAsiaTheme="minorHAnsi" w:hAnsiTheme="majorHAnsi" w:cstheme="majorHAnsi"/>
          <w:b w:val="0"/>
          <w:bCs w:val="0"/>
          <w:color w:val="000000"/>
          <w:sz w:val="22"/>
          <w:szCs w:val="22"/>
          <w:u w:val="single"/>
          <w:lang w:val="en-GB"/>
        </w:rPr>
        <w:t>For the European Commission</w:t>
      </w:r>
    </w:p>
    <w:p w14:paraId="4D07DD8F" w14:textId="77777777" w:rsidR="00611856" w:rsidRPr="00244400" w:rsidRDefault="00611856" w:rsidP="00611856">
      <w:pPr>
        <w:pStyle w:val="CommentText"/>
        <w:jc w:val="both"/>
        <w:rPr>
          <w:rFonts w:asciiTheme="majorHAnsi" w:eastAsiaTheme="minorHAnsi" w:hAnsiTheme="majorHAnsi" w:cstheme="majorHAnsi"/>
          <w:color w:val="000000"/>
          <w:sz w:val="22"/>
          <w:szCs w:val="22"/>
          <w:bdr w:val="none" w:sz="0" w:space="0" w:color="auto"/>
          <w:lang w:val="en-GB"/>
        </w:rPr>
      </w:pPr>
      <w:r w:rsidRPr="00244400">
        <w:rPr>
          <w:rFonts w:ascii="Calibri" w:eastAsiaTheme="minorHAnsi" w:hAnsi="Calibri" w:cs="Calibri"/>
          <w:color w:val="000000"/>
          <w:sz w:val="22"/>
          <w:szCs w:val="22"/>
          <w:bdr w:val="none" w:sz="0" w:space="0" w:color="auto"/>
          <w:lang w:val="en-GB"/>
        </w:rPr>
        <w:t xml:space="preserve">In general, it should be noted that AI encompasses a broad variety of different methods </w:t>
      </w:r>
      <w:r w:rsidRPr="00621BFC">
        <w:rPr>
          <w:rFonts w:ascii="Calibri" w:eastAsiaTheme="minorHAnsi" w:hAnsi="Calibri" w:cs="Calibri"/>
          <w:color w:val="000000"/>
          <w:sz w:val="22"/>
          <w:szCs w:val="22"/>
          <w:bdr w:val="none" w:sz="0" w:space="0" w:color="auto"/>
          <w:lang w:val="en-GB"/>
        </w:rPr>
        <w:t>therefore,</w:t>
      </w:r>
      <w:r w:rsidRPr="00244400">
        <w:rPr>
          <w:rFonts w:ascii="Calibri" w:eastAsiaTheme="minorHAnsi" w:hAnsi="Calibri" w:cs="Calibri"/>
          <w:color w:val="000000"/>
          <w:sz w:val="22"/>
          <w:szCs w:val="22"/>
          <w:bdr w:val="none" w:sz="0" w:space="0" w:color="auto"/>
          <w:lang w:val="en-GB"/>
        </w:rPr>
        <w:t xml:space="preserve"> a “one size fits all”</w:t>
      </w:r>
      <w:r>
        <w:rPr>
          <w:rFonts w:ascii="Calibri" w:eastAsiaTheme="minorHAnsi" w:hAnsi="Calibri" w:cs="Calibri"/>
          <w:color w:val="000000"/>
          <w:sz w:val="22"/>
          <w:szCs w:val="22"/>
          <w:bdr w:val="none" w:sz="0" w:space="0" w:color="auto"/>
          <w:lang w:val="en-GB"/>
        </w:rPr>
        <w:t xml:space="preserve"> </w:t>
      </w:r>
      <w:r w:rsidRPr="00244400">
        <w:rPr>
          <w:rFonts w:ascii="Calibri" w:eastAsiaTheme="minorHAnsi" w:hAnsi="Calibri" w:cs="Calibri"/>
          <w:color w:val="000000"/>
          <w:sz w:val="22"/>
          <w:szCs w:val="22"/>
          <w:bdr w:val="none" w:sz="0" w:space="0" w:color="auto"/>
          <w:lang w:val="en-GB"/>
        </w:rPr>
        <w:t xml:space="preserve">approach </w:t>
      </w:r>
      <w:r>
        <w:rPr>
          <w:rFonts w:ascii="Calibri" w:eastAsiaTheme="minorHAnsi" w:hAnsi="Calibri" w:cs="Calibri"/>
          <w:color w:val="000000"/>
          <w:sz w:val="22"/>
          <w:szCs w:val="22"/>
          <w:bdr w:val="none" w:sz="0" w:space="0" w:color="auto"/>
          <w:lang w:val="en-GB"/>
        </w:rPr>
        <w:t xml:space="preserve">may </w:t>
      </w:r>
      <w:r w:rsidRPr="00244400">
        <w:rPr>
          <w:rFonts w:ascii="Calibri" w:eastAsiaTheme="minorHAnsi" w:hAnsi="Calibri" w:cs="Calibri"/>
          <w:color w:val="000000"/>
          <w:sz w:val="22"/>
          <w:szCs w:val="22"/>
          <w:bdr w:val="none" w:sz="0" w:space="0" w:color="auto"/>
          <w:lang w:val="en-GB"/>
        </w:rPr>
        <w:t xml:space="preserve">probably not </w:t>
      </w:r>
      <w:r w:rsidRPr="00621BFC">
        <w:rPr>
          <w:rFonts w:ascii="Calibri" w:eastAsiaTheme="minorHAnsi" w:hAnsi="Calibri" w:cs="Calibri"/>
          <w:color w:val="000000"/>
          <w:sz w:val="22"/>
          <w:szCs w:val="22"/>
          <w:bdr w:val="none" w:sz="0" w:space="0" w:color="auto"/>
          <w:lang w:val="en-GB"/>
        </w:rPr>
        <w:t>b</w:t>
      </w:r>
      <w:r>
        <w:rPr>
          <w:rFonts w:ascii="Calibri" w:eastAsiaTheme="minorHAnsi" w:hAnsi="Calibri" w:cs="Calibri"/>
          <w:color w:val="000000"/>
          <w:sz w:val="22"/>
          <w:szCs w:val="22"/>
          <w:bdr w:val="none" w:sz="0" w:space="0" w:color="auto"/>
          <w:lang w:val="en-GB"/>
        </w:rPr>
        <w:t>e s</w:t>
      </w:r>
      <w:r w:rsidRPr="00244400">
        <w:rPr>
          <w:rFonts w:ascii="Calibri" w:eastAsiaTheme="minorHAnsi" w:hAnsi="Calibri" w:cs="Calibri"/>
          <w:color w:val="000000"/>
          <w:sz w:val="22"/>
          <w:szCs w:val="22"/>
          <w:bdr w:val="none" w:sz="0" w:space="0" w:color="auto"/>
          <w:lang w:val="en-GB"/>
        </w:rPr>
        <w:t>uitable</w:t>
      </w:r>
      <w:r>
        <w:rPr>
          <w:rFonts w:ascii="Calibri" w:eastAsiaTheme="minorHAnsi" w:hAnsi="Calibri" w:cs="Calibri"/>
          <w:color w:val="000000"/>
          <w:sz w:val="22"/>
          <w:szCs w:val="22"/>
          <w:bdr w:val="none" w:sz="0" w:space="0" w:color="auto"/>
          <w:lang w:val="en-GB"/>
        </w:rPr>
        <w:t xml:space="preserve"> for all the methods.</w:t>
      </w:r>
    </w:p>
    <w:p w14:paraId="18BD5ED2" w14:textId="41CB8819" w:rsidR="00E2084A" w:rsidRPr="00B907E2" w:rsidRDefault="00611856" w:rsidP="00611856">
      <w:pPr>
        <w:pStyle w:val="Heading2"/>
        <w:numPr>
          <w:ilvl w:val="0"/>
          <w:numId w:val="20"/>
        </w:numPr>
        <w:tabs>
          <w:tab w:val="left" w:pos="3118"/>
          <w:tab w:val="left" w:pos="8931"/>
        </w:tabs>
        <w:spacing w:before="240" w:after="120" w:line="276" w:lineRule="auto"/>
        <w:ind w:right="96"/>
        <w:jc w:val="both"/>
        <w:rPr>
          <w:rFonts w:asciiTheme="majorHAnsi" w:eastAsiaTheme="minorHAnsi" w:hAnsiTheme="majorHAnsi" w:cstheme="majorHAnsi"/>
          <w:bCs w:val="0"/>
          <w:color w:val="000000"/>
          <w:sz w:val="22"/>
          <w:szCs w:val="22"/>
          <w:lang w:val="en-GB"/>
        </w:rPr>
      </w:pPr>
      <w:r w:rsidRPr="00B907E2">
        <w:rPr>
          <w:rFonts w:asciiTheme="majorHAnsi" w:eastAsiaTheme="minorHAnsi" w:hAnsiTheme="majorHAnsi" w:cstheme="majorHAnsi"/>
          <w:bCs w:val="0"/>
          <w:color w:val="000000"/>
          <w:sz w:val="22"/>
          <w:szCs w:val="22"/>
          <w:lang w:val="en-GB"/>
        </w:rPr>
        <w:t xml:space="preserve"> </w:t>
      </w:r>
      <w:r w:rsidR="00E2084A" w:rsidRPr="00B907E2">
        <w:rPr>
          <w:rFonts w:asciiTheme="majorHAnsi" w:eastAsiaTheme="minorHAnsi" w:hAnsiTheme="majorHAnsi" w:cstheme="majorHAnsi"/>
          <w:bCs w:val="0"/>
          <w:color w:val="000000"/>
          <w:sz w:val="22"/>
          <w:szCs w:val="22"/>
          <w:lang w:val="en-GB"/>
        </w:rPr>
        <w:t>High-level AI principle-based framework</w:t>
      </w:r>
    </w:p>
    <w:p w14:paraId="33EB58E2" w14:textId="5227A8F9" w:rsidR="00E2084A" w:rsidRPr="00B907E2" w:rsidRDefault="00251E66" w:rsidP="00E2084A">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lang w:val="en-GB"/>
        </w:rPr>
      </w:pPr>
      <w:r>
        <w:rPr>
          <w:rFonts w:asciiTheme="majorHAnsi" w:eastAsiaTheme="minorHAnsi" w:hAnsiTheme="majorHAnsi" w:cstheme="majorHAnsi"/>
          <w:b w:val="0"/>
          <w:bCs w:val="0"/>
          <w:color w:val="000000"/>
          <w:sz w:val="22"/>
          <w:szCs w:val="22"/>
          <w:lang w:val="en-GB"/>
        </w:rPr>
        <w:t>The EBA believes</w:t>
      </w:r>
      <w:r w:rsidR="00E2084A" w:rsidRPr="00B907E2">
        <w:rPr>
          <w:rFonts w:asciiTheme="majorHAnsi" w:eastAsiaTheme="minorHAnsi" w:hAnsiTheme="majorHAnsi" w:cstheme="majorHAnsi"/>
          <w:b w:val="0"/>
          <w:bCs w:val="0"/>
          <w:color w:val="000000"/>
          <w:sz w:val="22"/>
          <w:szCs w:val="22"/>
          <w:lang w:val="en-GB"/>
        </w:rPr>
        <w:t xml:space="preserve"> that the existing EU regulatory framework provides sufficient basis for the use of AI in the financial services and therefore </w:t>
      </w:r>
      <w:r w:rsidR="00E2084A" w:rsidRPr="00B907E2">
        <w:rPr>
          <w:rFonts w:asciiTheme="majorHAnsi" w:eastAsiaTheme="minorHAnsi" w:hAnsiTheme="majorHAnsi" w:cstheme="majorHAnsi"/>
          <w:bCs w:val="0"/>
          <w:color w:val="000000"/>
          <w:sz w:val="22"/>
          <w:szCs w:val="22"/>
          <w:lang w:val="en-GB"/>
        </w:rPr>
        <w:t>we do not see the need of a new AI-specific regulation with prescribed requirements</w:t>
      </w:r>
      <w:r w:rsidR="00E2084A" w:rsidRPr="00B907E2">
        <w:rPr>
          <w:rFonts w:asciiTheme="majorHAnsi" w:eastAsiaTheme="minorHAnsi" w:hAnsiTheme="majorHAnsi" w:cstheme="majorHAnsi"/>
          <w:b w:val="0"/>
          <w:bCs w:val="0"/>
          <w:color w:val="000000"/>
          <w:sz w:val="22"/>
          <w:szCs w:val="22"/>
          <w:lang w:val="en-GB"/>
        </w:rPr>
        <w:t xml:space="preserve">, which might set at risk the desired balance between innovation and the stability of the financial system. Nevertheless, </w:t>
      </w:r>
      <w:r w:rsidR="00E2084A" w:rsidRPr="00B907E2">
        <w:rPr>
          <w:rFonts w:asciiTheme="majorHAnsi" w:eastAsiaTheme="minorHAnsi" w:hAnsiTheme="majorHAnsi" w:cstheme="majorHAnsi"/>
          <w:bCs w:val="0"/>
          <w:color w:val="000000"/>
          <w:sz w:val="22"/>
          <w:szCs w:val="22"/>
          <w:lang w:val="en-GB"/>
        </w:rPr>
        <w:t>a high-level AI principle-based framework could serve as an appropriate foundation for the wider use of AI in the financial services</w:t>
      </w:r>
      <w:r w:rsidR="00E2084A" w:rsidRPr="00621BFC">
        <w:rPr>
          <w:rFonts w:asciiTheme="majorHAnsi" w:eastAsiaTheme="minorHAnsi" w:hAnsiTheme="majorHAnsi" w:cstheme="majorHAnsi"/>
          <w:bCs w:val="0"/>
          <w:color w:val="000000"/>
          <w:sz w:val="22"/>
          <w:szCs w:val="22"/>
          <w:lang w:val="en-GB"/>
        </w:rPr>
        <w:t xml:space="preserve">, </w:t>
      </w:r>
      <w:r w:rsidR="00621BFC" w:rsidRPr="00B907E2">
        <w:rPr>
          <w:rFonts w:asciiTheme="majorHAnsi" w:eastAsiaTheme="minorHAnsi" w:hAnsiTheme="majorHAnsi" w:cstheme="majorHAnsi"/>
          <w:b w:val="0"/>
          <w:bCs w:val="0"/>
          <w:color w:val="000000"/>
          <w:sz w:val="22"/>
          <w:szCs w:val="22"/>
          <w:lang w:val="en-GB"/>
        </w:rPr>
        <w:t>covering areas already listed by the High-Level Expert Group on Artificial Intelligence</w:t>
      </w:r>
      <w:r w:rsidR="00621BFC">
        <w:rPr>
          <w:rFonts w:asciiTheme="majorHAnsi" w:eastAsiaTheme="minorHAnsi" w:hAnsiTheme="majorHAnsi" w:cstheme="majorHAnsi"/>
          <w:b w:val="0"/>
          <w:bCs w:val="0"/>
          <w:color w:val="000000"/>
          <w:sz w:val="22"/>
          <w:szCs w:val="22"/>
          <w:lang w:val="en-GB"/>
        </w:rPr>
        <w:t>,</w:t>
      </w:r>
      <w:r w:rsidR="00621BFC" w:rsidRPr="00621BFC">
        <w:rPr>
          <w:rFonts w:asciiTheme="majorHAnsi" w:eastAsiaTheme="minorHAnsi" w:hAnsiTheme="majorHAnsi" w:cstheme="majorHAnsi"/>
          <w:b w:val="0"/>
          <w:bCs w:val="0"/>
          <w:color w:val="000000"/>
          <w:sz w:val="22"/>
          <w:szCs w:val="22"/>
          <w:lang w:val="en-GB"/>
        </w:rPr>
        <w:t xml:space="preserve"> </w:t>
      </w:r>
      <w:r w:rsidR="00621BFC" w:rsidRPr="007F3CC8">
        <w:rPr>
          <w:rFonts w:asciiTheme="majorHAnsi" w:eastAsiaTheme="minorHAnsi" w:hAnsiTheme="majorHAnsi" w:cstheme="majorHAnsi"/>
          <w:b w:val="0"/>
          <w:bCs w:val="0"/>
          <w:color w:val="000000"/>
          <w:sz w:val="22"/>
          <w:szCs w:val="22"/>
          <w:lang w:val="en-GB"/>
        </w:rPr>
        <w:t>respecting though and not contradict</w:t>
      </w:r>
      <w:r w:rsidR="00621BFC">
        <w:rPr>
          <w:rFonts w:asciiTheme="majorHAnsi" w:eastAsiaTheme="minorHAnsi" w:hAnsiTheme="majorHAnsi" w:cstheme="majorHAnsi"/>
          <w:b w:val="0"/>
          <w:bCs w:val="0"/>
          <w:color w:val="000000"/>
          <w:sz w:val="22"/>
          <w:szCs w:val="22"/>
          <w:lang w:val="en-GB"/>
        </w:rPr>
        <w:t>ing</w:t>
      </w:r>
      <w:r w:rsidR="00621BFC" w:rsidRPr="007F3CC8">
        <w:rPr>
          <w:rFonts w:asciiTheme="majorHAnsi" w:eastAsiaTheme="minorHAnsi" w:hAnsiTheme="majorHAnsi" w:cstheme="majorHAnsi"/>
          <w:b w:val="0"/>
          <w:bCs w:val="0"/>
          <w:color w:val="000000"/>
          <w:sz w:val="22"/>
          <w:szCs w:val="22"/>
          <w:lang w:val="en-GB"/>
        </w:rPr>
        <w:t xml:space="preserve"> existing financial regulation.</w:t>
      </w:r>
      <w:r w:rsidR="00621BFC">
        <w:rPr>
          <w:rFonts w:asciiTheme="majorHAnsi" w:eastAsiaTheme="minorHAnsi" w:hAnsiTheme="majorHAnsi" w:cstheme="majorHAnsi"/>
          <w:b w:val="0"/>
          <w:bCs w:val="0"/>
          <w:color w:val="000000"/>
          <w:sz w:val="22"/>
          <w:szCs w:val="22"/>
          <w:lang w:val="en-GB"/>
        </w:rPr>
        <w:t xml:space="preserve"> </w:t>
      </w:r>
      <w:r w:rsidR="00E2084A" w:rsidRPr="00B907E2">
        <w:rPr>
          <w:rFonts w:asciiTheme="majorHAnsi" w:eastAsiaTheme="minorHAnsi" w:hAnsiTheme="majorHAnsi" w:cstheme="majorHAnsi"/>
          <w:b w:val="0"/>
          <w:bCs w:val="0"/>
          <w:color w:val="000000"/>
          <w:sz w:val="22"/>
          <w:szCs w:val="22"/>
          <w:lang w:val="en-GB"/>
        </w:rPr>
        <w:t xml:space="preserve">   </w:t>
      </w:r>
    </w:p>
    <w:p w14:paraId="66BDB196" w14:textId="1728D71F" w:rsidR="00E2084A" w:rsidRPr="00B907E2" w:rsidRDefault="00E2084A" w:rsidP="00E2084A">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lang w:val="en-GB"/>
        </w:rPr>
      </w:pPr>
      <w:r w:rsidRPr="00B907E2">
        <w:rPr>
          <w:rFonts w:asciiTheme="majorHAnsi" w:eastAsiaTheme="minorHAnsi" w:hAnsiTheme="majorHAnsi" w:cstheme="majorHAnsi"/>
          <w:bCs w:val="0"/>
          <w:color w:val="000000"/>
          <w:sz w:val="22"/>
          <w:szCs w:val="22"/>
          <w:lang w:val="en-GB"/>
        </w:rPr>
        <w:lastRenderedPageBreak/>
        <w:t xml:space="preserve">Such a framework could cover, alongside with sectorial guidance, ethics, avoidance of bias, fairness, transparency (explainability and interpretability), </w:t>
      </w:r>
      <w:r w:rsidR="00ED53D4">
        <w:rPr>
          <w:rFonts w:asciiTheme="majorHAnsi" w:eastAsiaTheme="minorHAnsi" w:hAnsiTheme="majorHAnsi" w:cstheme="majorHAnsi"/>
          <w:bCs w:val="0"/>
          <w:color w:val="000000"/>
          <w:sz w:val="22"/>
          <w:szCs w:val="22"/>
          <w:lang w:val="en-GB"/>
        </w:rPr>
        <w:t xml:space="preserve">level of </w:t>
      </w:r>
      <w:r w:rsidRPr="00B907E2">
        <w:rPr>
          <w:rFonts w:asciiTheme="majorHAnsi" w:eastAsiaTheme="minorHAnsi" w:hAnsiTheme="majorHAnsi" w:cstheme="majorHAnsi"/>
          <w:bCs w:val="0"/>
          <w:color w:val="000000"/>
          <w:sz w:val="22"/>
          <w:szCs w:val="22"/>
          <w:lang w:val="en-GB"/>
        </w:rPr>
        <w:t xml:space="preserve">human involvement, security and accountability </w:t>
      </w:r>
      <w:r w:rsidRPr="00B907E2">
        <w:rPr>
          <w:rFonts w:asciiTheme="majorHAnsi" w:eastAsiaTheme="minorHAnsi" w:hAnsiTheme="majorHAnsi" w:cstheme="majorHAnsi"/>
          <w:b w:val="0"/>
          <w:bCs w:val="0"/>
          <w:color w:val="000000"/>
          <w:sz w:val="22"/>
          <w:szCs w:val="22"/>
          <w:lang w:val="en-GB"/>
        </w:rPr>
        <w:t xml:space="preserve">on AI-based applications. </w:t>
      </w:r>
      <w:r w:rsidR="008C5FFF">
        <w:rPr>
          <w:rFonts w:asciiTheme="majorHAnsi" w:eastAsiaTheme="minorHAnsi" w:hAnsiTheme="majorHAnsi" w:cstheme="majorHAnsi"/>
          <w:b w:val="0"/>
          <w:bCs w:val="0"/>
          <w:color w:val="000000"/>
          <w:sz w:val="22"/>
          <w:szCs w:val="22"/>
          <w:lang w:val="en-GB"/>
        </w:rPr>
        <w:t>Please refer below to the ‘Potential role and work for the EBA’.</w:t>
      </w:r>
      <w:r w:rsidRPr="00B907E2">
        <w:rPr>
          <w:rFonts w:asciiTheme="majorHAnsi" w:eastAsiaTheme="minorHAnsi" w:hAnsiTheme="majorHAnsi" w:cstheme="majorHAnsi"/>
          <w:b w:val="0"/>
          <w:bCs w:val="0"/>
          <w:color w:val="000000"/>
          <w:sz w:val="22"/>
          <w:szCs w:val="22"/>
          <w:lang w:val="en-GB"/>
        </w:rPr>
        <w:t xml:space="preserve"> </w:t>
      </w:r>
    </w:p>
    <w:p w14:paraId="1652BF61" w14:textId="77777777" w:rsidR="00E2084A" w:rsidRPr="00B907E2" w:rsidRDefault="00E2084A" w:rsidP="00E2084A">
      <w:pPr>
        <w:pStyle w:val="Heading2"/>
        <w:numPr>
          <w:ilvl w:val="0"/>
          <w:numId w:val="20"/>
        </w:numPr>
        <w:tabs>
          <w:tab w:val="left" w:pos="3118"/>
          <w:tab w:val="left" w:pos="8931"/>
        </w:tabs>
        <w:spacing w:before="240" w:after="120" w:line="276" w:lineRule="auto"/>
        <w:ind w:right="96"/>
        <w:jc w:val="both"/>
        <w:rPr>
          <w:rFonts w:asciiTheme="majorHAnsi" w:eastAsiaTheme="minorHAnsi" w:hAnsiTheme="majorHAnsi" w:cstheme="majorHAnsi"/>
          <w:bCs w:val="0"/>
          <w:color w:val="000000"/>
          <w:sz w:val="22"/>
          <w:szCs w:val="22"/>
          <w:lang w:val="en-GB"/>
        </w:rPr>
      </w:pPr>
      <w:r w:rsidRPr="00B907E2">
        <w:rPr>
          <w:rFonts w:asciiTheme="majorHAnsi" w:eastAsiaTheme="minorHAnsi" w:hAnsiTheme="majorHAnsi" w:cstheme="majorHAnsi"/>
          <w:bCs w:val="0"/>
          <w:color w:val="000000"/>
          <w:sz w:val="22"/>
          <w:szCs w:val="22"/>
          <w:lang w:val="en-GB"/>
        </w:rPr>
        <w:t>Clarity on the interaction of GDPR and AI</w:t>
      </w:r>
    </w:p>
    <w:p w14:paraId="23D46ABC" w14:textId="3D43C17D" w:rsidR="00BD6FD2" w:rsidRPr="00B907E2" w:rsidRDefault="00BD6FD2" w:rsidP="00BD6FD2">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lang w:val="en-GB"/>
        </w:rPr>
      </w:pPr>
      <w:r w:rsidRPr="00B907E2">
        <w:rPr>
          <w:rFonts w:asciiTheme="majorHAnsi" w:eastAsiaTheme="minorHAnsi" w:hAnsiTheme="majorHAnsi" w:cstheme="majorHAnsi"/>
          <w:b w:val="0"/>
          <w:bCs w:val="0"/>
          <w:color w:val="000000"/>
          <w:sz w:val="22"/>
          <w:szCs w:val="22"/>
          <w:lang w:val="en-GB"/>
        </w:rPr>
        <w:t xml:space="preserve">The GDPR has set a strong framework for the protection of personal data and has increased the focus on proper data governance frameworks and strategies. Nevertheless, when it comes to the interaction of GDPR and the use of AI in the financial services, </w:t>
      </w:r>
      <w:r w:rsidR="00A61584">
        <w:rPr>
          <w:rFonts w:asciiTheme="majorHAnsi" w:eastAsiaTheme="minorHAnsi" w:hAnsiTheme="majorHAnsi" w:cstheme="majorHAnsi"/>
          <w:bCs w:val="0"/>
          <w:color w:val="000000"/>
          <w:sz w:val="22"/>
          <w:szCs w:val="22"/>
          <w:lang w:val="en-GB"/>
        </w:rPr>
        <w:t>the EBA</w:t>
      </w:r>
      <w:r w:rsidRPr="00B907E2">
        <w:rPr>
          <w:rFonts w:asciiTheme="majorHAnsi" w:eastAsiaTheme="minorHAnsi" w:hAnsiTheme="majorHAnsi" w:cstheme="majorHAnsi"/>
          <w:bCs w:val="0"/>
          <w:color w:val="000000"/>
          <w:sz w:val="22"/>
          <w:szCs w:val="22"/>
          <w:lang w:val="en-GB"/>
        </w:rPr>
        <w:t xml:space="preserve"> would recommend the development of sectoral guidance on data protection for financial services </w:t>
      </w:r>
      <w:r w:rsidRPr="00B907E2">
        <w:rPr>
          <w:rFonts w:asciiTheme="majorHAnsi" w:eastAsiaTheme="minorHAnsi" w:hAnsiTheme="majorHAnsi" w:cstheme="majorHAnsi"/>
          <w:bCs w:val="0"/>
          <w:i/>
          <w:color w:val="000000"/>
          <w:sz w:val="22"/>
          <w:szCs w:val="22"/>
          <w:lang w:val="en-GB"/>
        </w:rPr>
        <w:t>or</w:t>
      </w:r>
      <w:r w:rsidRPr="00B907E2">
        <w:rPr>
          <w:rFonts w:asciiTheme="majorHAnsi" w:eastAsiaTheme="minorHAnsi" w:hAnsiTheme="majorHAnsi" w:cstheme="majorHAnsi"/>
          <w:bCs w:val="0"/>
          <w:color w:val="000000"/>
          <w:sz w:val="22"/>
          <w:szCs w:val="22"/>
          <w:lang w:val="en-GB"/>
        </w:rPr>
        <w:t xml:space="preserve"> the development of supplementary guidance to the industry on the interaction of GDPR and AI</w:t>
      </w:r>
      <w:r w:rsidRPr="00B907E2">
        <w:rPr>
          <w:rFonts w:asciiTheme="majorHAnsi" w:eastAsiaTheme="minorHAnsi" w:hAnsiTheme="majorHAnsi" w:cstheme="majorHAnsi"/>
          <w:b w:val="0"/>
          <w:bCs w:val="0"/>
          <w:color w:val="000000"/>
          <w:sz w:val="22"/>
          <w:szCs w:val="22"/>
          <w:lang w:val="en-GB"/>
        </w:rPr>
        <w:t xml:space="preserve">. In particular, such guidance could include clarifications and consistent interpretation of related provisions of the GDPR that could further support the use of AI within the financial sector.  </w:t>
      </w:r>
    </w:p>
    <w:p w14:paraId="270F6DD7" w14:textId="345D9BA5" w:rsidR="00BD6FD2" w:rsidRPr="00B907E2" w:rsidRDefault="00BD6FD2" w:rsidP="00BD6FD2">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lang w:val="en-GB"/>
        </w:rPr>
      </w:pPr>
      <w:r w:rsidRPr="00B907E2">
        <w:rPr>
          <w:rFonts w:asciiTheme="majorHAnsi" w:eastAsiaTheme="minorHAnsi" w:hAnsiTheme="majorHAnsi" w:cstheme="majorHAnsi"/>
          <w:b w:val="0"/>
          <w:bCs w:val="0"/>
          <w:color w:val="000000"/>
          <w:sz w:val="22"/>
          <w:szCs w:val="22"/>
          <w:lang w:val="en-GB"/>
        </w:rPr>
        <w:t>Following our recent analysis, a number of areas were noted, which may benefit from further guidance and consistent interpretation across the EU:</w:t>
      </w:r>
    </w:p>
    <w:p w14:paraId="15F585C8" w14:textId="0C206968" w:rsidR="00BD6FD2" w:rsidRPr="00B907E2" w:rsidRDefault="00BD6FD2" w:rsidP="00BD6FD2">
      <w:pPr>
        <w:pStyle w:val="Heading2"/>
        <w:numPr>
          <w:ilvl w:val="0"/>
          <w:numId w:val="21"/>
        </w:numPr>
        <w:tabs>
          <w:tab w:val="left" w:pos="3118"/>
          <w:tab w:val="left" w:pos="8931"/>
        </w:tabs>
        <w:spacing w:before="240" w:after="120" w:line="276" w:lineRule="auto"/>
        <w:ind w:left="284" w:right="96" w:hanging="284"/>
        <w:jc w:val="both"/>
        <w:rPr>
          <w:rFonts w:asciiTheme="majorHAnsi" w:eastAsiaTheme="minorHAnsi" w:hAnsiTheme="majorHAnsi" w:cstheme="majorHAnsi"/>
          <w:b w:val="0"/>
          <w:bCs w:val="0"/>
          <w:color w:val="000000"/>
          <w:sz w:val="22"/>
          <w:szCs w:val="22"/>
          <w:lang w:val="en-GB"/>
        </w:rPr>
      </w:pPr>
      <w:r w:rsidRPr="00B907E2">
        <w:rPr>
          <w:rFonts w:asciiTheme="majorHAnsi" w:eastAsiaTheme="minorHAnsi" w:hAnsiTheme="majorHAnsi" w:cstheme="majorHAnsi"/>
          <w:b w:val="0"/>
          <w:bCs w:val="0"/>
          <w:color w:val="000000"/>
          <w:sz w:val="22"/>
          <w:szCs w:val="22"/>
          <w:lang w:val="en-GB"/>
        </w:rPr>
        <w:t xml:space="preserve">Clarity on whether customers’ information on </w:t>
      </w:r>
      <w:r w:rsidRPr="003F4674">
        <w:rPr>
          <w:rFonts w:asciiTheme="majorHAnsi" w:eastAsiaTheme="minorHAnsi" w:hAnsiTheme="majorHAnsi" w:cstheme="majorHAnsi"/>
          <w:b w:val="0"/>
          <w:bCs w:val="0"/>
          <w:color w:val="000000"/>
          <w:sz w:val="22"/>
          <w:szCs w:val="22"/>
          <w:lang w:val="en-GB"/>
        </w:rPr>
        <w:t>publicly available data</w:t>
      </w:r>
      <w:r>
        <w:rPr>
          <w:rFonts w:asciiTheme="majorHAnsi" w:eastAsiaTheme="minorHAnsi" w:hAnsiTheme="majorHAnsi" w:cstheme="majorHAnsi"/>
          <w:b w:val="0"/>
          <w:bCs w:val="0"/>
          <w:color w:val="000000"/>
          <w:sz w:val="22"/>
          <w:szCs w:val="22"/>
          <w:lang w:val="en-GB"/>
        </w:rPr>
        <w:t xml:space="preserve"> (e.g. </w:t>
      </w:r>
      <w:r w:rsidRPr="00B907E2">
        <w:rPr>
          <w:rFonts w:asciiTheme="majorHAnsi" w:eastAsiaTheme="minorHAnsi" w:hAnsiTheme="majorHAnsi" w:cstheme="majorHAnsi"/>
          <w:b w:val="0"/>
          <w:bCs w:val="0"/>
          <w:color w:val="000000"/>
          <w:sz w:val="22"/>
          <w:szCs w:val="22"/>
          <w:lang w:val="en-GB"/>
        </w:rPr>
        <w:t xml:space="preserve">social media) could be used for credit worthiness or product development purposes, accompanied by related conditions e.g. </w:t>
      </w:r>
      <w:r w:rsidR="00B624FD">
        <w:rPr>
          <w:rFonts w:asciiTheme="majorHAnsi" w:eastAsiaTheme="minorHAnsi" w:hAnsiTheme="majorHAnsi" w:cstheme="majorHAnsi"/>
          <w:b w:val="0"/>
          <w:bCs w:val="0"/>
          <w:color w:val="000000"/>
          <w:sz w:val="22"/>
          <w:szCs w:val="22"/>
          <w:lang w:val="en-GB"/>
        </w:rPr>
        <w:t xml:space="preserve">whether </w:t>
      </w:r>
      <w:r w:rsidRPr="00B907E2">
        <w:rPr>
          <w:rFonts w:asciiTheme="majorHAnsi" w:eastAsiaTheme="minorHAnsi" w:hAnsiTheme="majorHAnsi" w:cstheme="majorHAnsi"/>
          <w:b w:val="0"/>
          <w:bCs w:val="0"/>
          <w:color w:val="000000"/>
          <w:sz w:val="22"/>
          <w:szCs w:val="22"/>
          <w:lang w:val="en-GB"/>
        </w:rPr>
        <w:t>customer notification</w:t>
      </w:r>
      <w:r>
        <w:rPr>
          <w:rFonts w:asciiTheme="majorHAnsi" w:eastAsiaTheme="minorHAnsi" w:hAnsiTheme="majorHAnsi" w:cstheme="majorHAnsi"/>
          <w:b w:val="0"/>
          <w:bCs w:val="0"/>
          <w:color w:val="000000"/>
          <w:sz w:val="22"/>
          <w:szCs w:val="22"/>
          <w:lang w:val="en-GB"/>
        </w:rPr>
        <w:t xml:space="preserve"> and </w:t>
      </w:r>
      <w:r w:rsidRPr="00B907E2">
        <w:rPr>
          <w:rFonts w:asciiTheme="majorHAnsi" w:eastAsiaTheme="minorHAnsi" w:hAnsiTheme="majorHAnsi" w:cstheme="majorHAnsi"/>
          <w:b w:val="0"/>
          <w:bCs w:val="0"/>
          <w:color w:val="000000"/>
          <w:sz w:val="22"/>
          <w:szCs w:val="22"/>
          <w:lang w:val="en-GB"/>
        </w:rPr>
        <w:t>consent</w:t>
      </w:r>
      <w:r w:rsidR="00B624FD">
        <w:rPr>
          <w:rFonts w:asciiTheme="majorHAnsi" w:eastAsiaTheme="minorHAnsi" w:hAnsiTheme="majorHAnsi" w:cstheme="majorHAnsi"/>
          <w:b w:val="0"/>
          <w:bCs w:val="0"/>
          <w:color w:val="000000"/>
          <w:sz w:val="22"/>
          <w:szCs w:val="22"/>
          <w:lang w:val="en-GB"/>
        </w:rPr>
        <w:t xml:space="preserve"> are needed</w:t>
      </w:r>
      <w:r w:rsidRPr="00B907E2">
        <w:rPr>
          <w:rFonts w:asciiTheme="majorHAnsi" w:eastAsiaTheme="minorHAnsi" w:hAnsiTheme="majorHAnsi" w:cstheme="majorHAnsi"/>
          <w:b w:val="0"/>
          <w:bCs w:val="0"/>
          <w:color w:val="000000"/>
          <w:sz w:val="22"/>
          <w:szCs w:val="22"/>
          <w:lang w:val="en-GB"/>
        </w:rPr>
        <w:t xml:space="preserve">. </w:t>
      </w:r>
    </w:p>
    <w:p w14:paraId="071A17BC" w14:textId="77777777" w:rsidR="00BD6FD2" w:rsidRPr="00B907E2" w:rsidRDefault="00BD6FD2" w:rsidP="00BD6FD2">
      <w:pPr>
        <w:pStyle w:val="Heading2"/>
        <w:numPr>
          <w:ilvl w:val="0"/>
          <w:numId w:val="21"/>
        </w:numPr>
        <w:tabs>
          <w:tab w:val="left" w:pos="3118"/>
          <w:tab w:val="left" w:pos="8931"/>
        </w:tabs>
        <w:spacing w:before="240" w:after="120" w:line="276" w:lineRule="auto"/>
        <w:ind w:left="284" w:right="96" w:hanging="284"/>
        <w:jc w:val="both"/>
        <w:rPr>
          <w:rFonts w:asciiTheme="majorHAnsi" w:eastAsiaTheme="minorHAnsi" w:hAnsiTheme="majorHAnsi" w:cstheme="majorHAnsi"/>
          <w:b w:val="0"/>
          <w:bCs w:val="0"/>
          <w:color w:val="000000"/>
          <w:sz w:val="22"/>
          <w:szCs w:val="22"/>
          <w:lang w:val="en-GB"/>
        </w:rPr>
      </w:pPr>
      <w:r w:rsidRPr="00B907E2">
        <w:rPr>
          <w:rFonts w:asciiTheme="majorHAnsi" w:eastAsiaTheme="minorHAnsi" w:hAnsiTheme="majorHAnsi" w:cstheme="majorHAnsi"/>
          <w:b w:val="0"/>
          <w:bCs w:val="0"/>
          <w:color w:val="000000"/>
          <w:sz w:val="22"/>
          <w:szCs w:val="22"/>
          <w:lang w:val="en-GB"/>
        </w:rPr>
        <w:t>Guidance on requirements and measures to be taken when personal data</w:t>
      </w:r>
      <w:r>
        <w:rPr>
          <w:rFonts w:asciiTheme="majorHAnsi" w:eastAsiaTheme="minorHAnsi" w:hAnsiTheme="majorHAnsi" w:cstheme="majorHAnsi"/>
          <w:b w:val="0"/>
          <w:bCs w:val="0"/>
          <w:color w:val="000000"/>
          <w:sz w:val="22"/>
          <w:szCs w:val="22"/>
          <w:lang w:val="en-GB"/>
        </w:rPr>
        <w:t xml:space="preserve"> is obtained </w:t>
      </w:r>
      <w:r w:rsidRPr="00B907E2">
        <w:rPr>
          <w:rFonts w:asciiTheme="majorHAnsi" w:eastAsiaTheme="minorHAnsi" w:hAnsiTheme="majorHAnsi" w:cstheme="majorHAnsi"/>
          <w:b w:val="0"/>
          <w:bCs w:val="0"/>
          <w:color w:val="000000"/>
          <w:sz w:val="22"/>
          <w:szCs w:val="22"/>
          <w:lang w:val="en-GB"/>
        </w:rPr>
        <w:t>from third parties (e.g. performance of due diligence, customer consent).</w:t>
      </w:r>
    </w:p>
    <w:p w14:paraId="0F0D451E" w14:textId="4E8BB363" w:rsidR="00BD6FD2" w:rsidRPr="00B907E2" w:rsidRDefault="00BD6FD2" w:rsidP="00BD6FD2">
      <w:pPr>
        <w:pStyle w:val="Heading2"/>
        <w:numPr>
          <w:ilvl w:val="0"/>
          <w:numId w:val="21"/>
        </w:numPr>
        <w:tabs>
          <w:tab w:val="left" w:pos="3118"/>
          <w:tab w:val="left" w:pos="8931"/>
        </w:tabs>
        <w:spacing w:before="240" w:after="120" w:line="276" w:lineRule="auto"/>
        <w:ind w:left="284" w:right="96" w:hanging="284"/>
        <w:jc w:val="both"/>
        <w:rPr>
          <w:rFonts w:asciiTheme="majorHAnsi" w:eastAsiaTheme="minorHAnsi" w:hAnsiTheme="majorHAnsi" w:cstheme="majorHAnsi"/>
          <w:b w:val="0"/>
          <w:bCs w:val="0"/>
          <w:color w:val="000000"/>
          <w:sz w:val="22"/>
          <w:szCs w:val="22"/>
          <w:lang w:val="en-GB"/>
        </w:rPr>
      </w:pPr>
      <w:r w:rsidRPr="00B907E2">
        <w:rPr>
          <w:rFonts w:asciiTheme="majorHAnsi" w:eastAsiaTheme="minorHAnsi" w:hAnsiTheme="majorHAnsi" w:cstheme="majorHAnsi"/>
          <w:b w:val="0"/>
          <w:bCs w:val="0"/>
          <w:color w:val="000000"/>
          <w:sz w:val="22"/>
          <w:szCs w:val="22"/>
          <w:lang w:val="en-GB"/>
        </w:rPr>
        <w:t>Given that AI models require real data for training purposes, clarity on the</w:t>
      </w:r>
      <w:r w:rsidRPr="00C54C30">
        <w:rPr>
          <w:rFonts w:asciiTheme="majorHAnsi" w:eastAsiaTheme="minorHAnsi" w:hAnsiTheme="majorHAnsi" w:cstheme="majorHAnsi"/>
          <w:b w:val="0"/>
          <w:bCs w:val="0"/>
          <w:color w:val="000000"/>
          <w:sz w:val="22"/>
          <w:szCs w:val="22"/>
          <w:lang w:val="en-GB"/>
        </w:rPr>
        <w:t xml:space="preserve"> conditions that need to be met, cov</w:t>
      </w:r>
      <w:r>
        <w:rPr>
          <w:rFonts w:asciiTheme="majorHAnsi" w:eastAsiaTheme="minorHAnsi" w:hAnsiTheme="majorHAnsi" w:cstheme="majorHAnsi"/>
          <w:b w:val="0"/>
          <w:bCs w:val="0"/>
          <w:color w:val="000000"/>
          <w:sz w:val="22"/>
          <w:szCs w:val="22"/>
          <w:lang w:val="en-GB"/>
        </w:rPr>
        <w:t xml:space="preserve">ering </w:t>
      </w:r>
      <w:r w:rsidRPr="00B907E2">
        <w:rPr>
          <w:rFonts w:asciiTheme="majorHAnsi" w:eastAsiaTheme="minorHAnsi" w:hAnsiTheme="majorHAnsi" w:cstheme="majorHAnsi"/>
          <w:b w:val="0"/>
          <w:bCs w:val="0"/>
          <w:color w:val="000000"/>
          <w:sz w:val="22"/>
          <w:szCs w:val="22"/>
          <w:lang w:val="en-GB"/>
        </w:rPr>
        <w:t xml:space="preserve">whether process of personal data is allowed </w:t>
      </w:r>
      <w:r w:rsidR="00B624FD">
        <w:rPr>
          <w:rFonts w:asciiTheme="majorHAnsi" w:eastAsiaTheme="minorHAnsi" w:hAnsiTheme="majorHAnsi" w:cstheme="majorHAnsi"/>
          <w:b w:val="0"/>
          <w:bCs w:val="0"/>
          <w:color w:val="000000"/>
          <w:sz w:val="22"/>
          <w:szCs w:val="22"/>
          <w:lang w:val="en-GB"/>
        </w:rPr>
        <w:t xml:space="preserve">without a specific consent </w:t>
      </w:r>
      <w:r w:rsidRPr="00B907E2">
        <w:rPr>
          <w:rFonts w:asciiTheme="majorHAnsi" w:eastAsiaTheme="minorHAnsi" w:hAnsiTheme="majorHAnsi" w:cstheme="majorHAnsi"/>
          <w:b w:val="0"/>
          <w:bCs w:val="0"/>
          <w:color w:val="000000"/>
          <w:sz w:val="22"/>
          <w:szCs w:val="22"/>
          <w:lang w:val="en-GB"/>
        </w:rPr>
        <w:t>under anonymisation or pseudonymisation techniques as well as the timing and adequacy of customer prior consent</w:t>
      </w:r>
      <w:r w:rsidR="00B624FD">
        <w:rPr>
          <w:rFonts w:asciiTheme="majorHAnsi" w:eastAsiaTheme="minorHAnsi" w:hAnsiTheme="majorHAnsi" w:cstheme="majorHAnsi"/>
          <w:b w:val="0"/>
          <w:bCs w:val="0"/>
          <w:color w:val="000000"/>
          <w:sz w:val="22"/>
          <w:szCs w:val="22"/>
          <w:lang w:val="en-GB"/>
        </w:rPr>
        <w:t xml:space="preserve"> if needed</w:t>
      </w:r>
      <w:r w:rsidRPr="00B907E2">
        <w:rPr>
          <w:rFonts w:asciiTheme="majorHAnsi" w:eastAsiaTheme="minorHAnsi" w:hAnsiTheme="majorHAnsi" w:cstheme="majorHAnsi"/>
          <w:b w:val="0"/>
          <w:bCs w:val="0"/>
          <w:color w:val="000000"/>
          <w:sz w:val="22"/>
          <w:szCs w:val="22"/>
          <w:lang w:val="en-GB"/>
        </w:rPr>
        <w:t xml:space="preserve">, taking into account that both the specific type of data and the specific target (purpose of the data processing) are unknown until the deployment into production. </w:t>
      </w:r>
    </w:p>
    <w:p w14:paraId="0B213DC2" w14:textId="77777777" w:rsidR="00BD6FD2" w:rsidRPr="00B86ABB" w:rsidRDefault="00BD6FD2" w:rsidP="00BD6FD2">
      <w:pPr>
        <w:pStyle w:val="Heading2"/>
        <w:numPr>
          <w:ilvl w:val="0"/>
          <w:numId w:val="21"/>
        </w:numPr>
        <w:tabs>
          <w:tab w:val="left" w:pos="3118"/>
          <w:tab w:val="left" w:pos="8931"/>
        </w:tabs>
        <w:spacing w:before="240" w:after="120" w:line="276" w:lineRule="auto"/>
        <w:ind w:left="284" w:right="96" w:hanging="284"/>
        <w:jc w:val="both"/>
        <w:rPr>
          <w:rFonts w:ascii="Calibri" w:eastAsiaTheme="minorHAnsi" w:hAnsi="Calibri" w:cs="Calibri"/>
          <w:b w:val="0"/>
          <w:bCs w:val="0"/>
          <w:color w:val="000000"/>
          <w:sz w:val="22"/>
          <w:szCs w:val="22"/>
          <w:u w:val="single"/>
          <w:lang w:val="en-GB"/>
        </w:rPr>
      </w:pPr>
      <w:r w:rsidRPr="00B86ABB">
        <w:rPr>
          <w:rFonts w:asciiTheme="majorHAnsi" w:eastAsiaTheme="minorHAnsi" w:hAnsiTheme="majorHAnsi" w:cstheme="majorHAnsi"/>
          <w:b w:val="0"/>
          <w:color w:val="000000"/>
          <w:sz w:val="22"/>
          <w:szCs w:val="22"/>
          <w:lang w:val="en-GB"/>
        </w:rPr>
        <w:t>Guidance on specific conditions that need to be met to ensure acceptable anonymisation of personal data to allow data processing or data sharing.</w:t>
      </w:r>
    </w:p>
    <w:p w14:paraId="154AF540" w14:textId="77777777" w:rsidR="00BD6FD2" w:rsidRPr="00B907E2" w:rsidRDefault="00BD6FD2" w:rsidP="00BD6FD2">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u w:val="single"/>
          <w:lang w:val="en-GB"/>
        </w:rPr>
      </w:pPr>
      <w:r w:rsidRPr="00B907E2">
        <w:rPr>
          <w:rFonts w:asciiTheme="majorHAnsi" w:eastAsiaTheme="minorHAnsi" w:hAnsiTheme="majorHAnsi" w:cstheme="majorHAnsi"/>
          <w:b w:val="0"/>
          <w:bCs w:val="0"/>
          <w:color w:val="000000"/>
          <w:sz w:val="22"/>
          <w:szCs w:val="22"/>
          <w:u w:val="single"/>
          <w:lang w:val="en-GB"/>
        </w:rPr>
        <w:t xml:space="preserve">For supervisory authorities </w:t>
      </w:r>
    </w:p>
    <w:p w14:paraId="77AF4D72" w14:textId="77777777" w:rsidR="00BD6FD2" w:rsidRPr="005723F9" w:rsidRDefault="00BD6FD2" w:rsidP="00BD6FD2">
      <w:pPr>
        <w:pStyle w:val="Heading2"/>
        <w:numPr>
          <w:ilvl w:val="0"/>
          <w:numId w:val="20"/>
        </w:numPr>
        <w:tabs>
          <w:tab w:val="left" w:pos="3118"/>
          <w:tab w:val="left" w:pos="8931"/>
        </w:tabs>
        <w:spacing w:before="240" w:after="120" w:line="276" w:lineRule="auto"/>
        <w:ind w:left="284" w:right="96" w:hanging="284"/>
        <w:jc w:val="both"/>
        <w:rPr>
          <w:rFonts w:asciiTheme="majorHAnsi" w:hAnsiTheme="majorHAnsi" w:cstheme="majorHAnsi"/>
          <w:b w:val="0"/>
          <w:sz w:val="22"/>
          <w:szCs w:val="22"/>
        </w:rPr>
      </w:pPr>
      <w:r w:rsidRPr="00B86ABB">
        <w:rPr>
          <w:rFonts w:asciiTheme="majorHAnsi" w:eastAsiaTheme="minorHAnsi" w:hAnsiTheme="majorHAnsi" w:cstheme="majorHAnsi"/>
          <w:color w:val="000000"/>
          <w:sz w:val="22"/>
          <w:szCs w:val="22"/>
          <w:lang w:val="en-GB"/>
        </w:rPr>
        <w:t>Obtain the skills, knowledge and expertise</w:t>
      </w:r>
      <w:r w:rsidRPr="005723F9">
        <w:rPr>
          <w:rFonts w:asciiTheme="majorHAnsi" w:eastAsiaTheme="minorHAnsi" w:hAnsiTheme="majorHAnsi" w:cstheme="majorHAnsi"/>
          <w:b w:val="0"/>
          <w:color w:val="000000"/>
          <w:sz w:val="22"/>
          <w:szCs w:val="22"/>
          <w:lang w:val="en-GB"/>
        </w:rPr>
        <w:t xml:space="preserve"> to appropriately challenge AI-based solutions and identify potential risks. These can build on supervisors’ strengths in oversight of risk in general, including ICT, governance and consumer protection risks.</w:t>
      </w:r>
    </w:p>
    <w:p w14:paraId="1B3B0D45" w14:textId="2F6F7D1F" w:rsidR="00BD6FD2" w:rsidRPr="00621BFC" w:rsidRDefault="00BD6FD2" w:rsidP="00BD6FD2">
      <w:pPr>
        <w:pStyle w:val="Heading2"/>
        <w:numPr>
          <w:ilvl w:val="0"/>
          <w:numId w:val="20"/>
        </w:numPr>
        <w:tabs>
          <w:tab w:val="left" w:pos="3118"/>
          <w:tab w:val="left" w:pos="8931"/>
        </w:tabs>
        <w:spacing w:before="240" w:after="120" w:line="276" w:lineRule="auto"/>
        <w:ind w:left="284" w:right="96" w:hanging="284"/>
        <w:jc w:val="both"/>
        <w:rPr>
          <w:rFonts w:asciiTheme="majorHAnsi" w:eastAsiaTheme="minorHAnsi" w:hAnsiTheme="majorHAnsi" w:cstheme="majorHAnsi"/>
          <w:b w:val="0"/>
          <w:color w:val="000000"/>
          <w:sz w:val="22"/>
          <w:szCs w:val="22"/>
          <w:lang w:val="en-GB"/>
        </w:rPr>
      </w:pPr>
      <w:r w:rsidRPr="005723F9">
        <w:rPr>
          <w:rFonts w:asciiTheme="majorHAnsi" w:eastAsiaTheme="minorHAnsi" w:hAnsiTheme="majorHAnsi" w:cstheme="majorHAnsi"/>
          <w:bCs w:val="0"/>
          <w:color w:val="000000"/>
          <w:sz w:val="22"/>
          <w:szCs w:val="22"/>
          <w:lang w:val="en-GB"/>
        </w:rPr>
        <w:t>Reconsider the profile of the future supervisor</w:t>
      </w:r>
      <w:r w:rsidRPr="00B86ABB">
        <w:rPr>
          <w:rFonts w:asciiTheme="majorHAnsi" w:eastAsiaTheme="minorHAnsi" w:hAnsiTheme="majorHAnsi" w:cstheme="majorHAnsi"/>
          <w:b w:val="0"/>
          <w:bCs w:val="0"/>
          <w:color w:val="000000"/>
          <w:sz w:val="22"/>
          <w:szCs w:val="22"/>
          <w:lang w:val="en-GB"/>
        </w:rPr>
        <w:t xml:space="preserve">, who could combine skills already present in the supervisory community with insights into the use of new technologies, data and ethical </w:t>
      </w:r>
      <w:r w:rsidRPr="00621BFC">
        <w:rPr>
          <w:rFonts w:asciiTheme="majorHAnsi" w:eastAsiaTheme="minorHAnsi" w:hAnsiTheme="majorHAnsi" w:cstheme="majorHAnsi"/>
          <w:b w:val="0"/>
          <w:color w:val="000000"/>
          <w:sz w:val="22"/>
          <w:szCs w:val="22"/>
          <w:lang w:val="en-GB"/>
        </w:rPr>
        <w:t xml:space="preserve">aspects. </w:t>
      </w:r>
    </w:p>
    <w:p w14:paraId="60DEBA33" w14:textId="77777777" w:rsidR="00621BFC" w:rsidRPr="00B907E2" w:rsidRDefault="00621BFC" w:rsidP="00621BFC">
      <w:pPr>
        <w:pStyle w:val="Heading2"/>
        <w:numPr>
          <w:ilvl w:val="0"/>
          <w:numId w:val="20"/>
        </w:numPr>
        <w:tabs>
          <w:tab w:val="left" w:pos="3118"/>
          <w:tab w:val="left" w:pos="8931"/>
        </w:tabs>
        <w:spacing w:before="240" w:after="120" w:line="276" w:lineRule="auto"/>
        <w:ind w:left="284" w:right="96" w:hanging="284"/>
        <w:jc w:val="both"/>
        <w:rPr>
          <w:rFonts w:asciiTheme="majorHAnsi" w:eastAsiaTheme="minorHAnsi" w:hAnsiTheme="majorHAnsi" w:cstheme="majorHAnsi"/>
          <w:b w:val="0"/>
          <w:bCs w:val="0"/>
          <w:color w:val="000000"/>
          <w:sz w:val="22"/>
          <w:szCs w:val="22"/>
          <w:lang w:val="en-GB"/>
        </w:rPr>
      </w:pPr>
      <w:r>
        <w:rPr>
          <w:rFonts w:asciiTheme="majorHAnsi" w:eastAsiaTheme="minorHAnsi" w:hAnsiTheme="majorHAnsi" w:cstheme="majorHAnsi"/>
          <w:b w:val="0"/>
          <w:bCs w:val="0"/>
          <w:color w:val="000000"/>
          <w:sz w:val="22"/>
          <w:szCs w:val="22"/>
          <w:lang w:val="en-GB"/>
        </w:rPr>
        <w:lastRenderedPageBreak/>
        <w:t>C</w:t>
      </w:r>
      <w:r w:rsidRPr="00B907E2">
        <w:rPr>
          <w:rFonts w:asciiTheme="majorHAnsi" w:eastAsiaTheme="minorHAnsi" w:hAnsiTheme="majorHAnsi" w:cstheme="majorHAnsi"/>
          <w:b w:val="0"/>
          <w:bCs w:val="0"/>
          <w:color w:val="000000"/>
          <w:sz w:val="22"/>
          <w:szCs w:val="22"/>
          <w:lang w:val="en-GB"/>
        </w:rPr>
        <w:t>onsider</w:t>
      </w:r>
      <w:r>
        <w:rPr>
          <w:rFonts w:asciiTheme="majorHAnsi" w:eastAsiaTheme="minorHAnsi" w:hAnsiTheme="majorHAnsi" w:cstheme="majorHAnsi"/>
          <w:b w:val="0"/>
          <w:bCs w:val="0"/>
          <w:color w:val="000000"/>
          <w:sz w:val="22"/>
          <w:szCs w:val="22"/>
          <w:lang w:val="en-GB"/>
        </w:rPr>
        <w:t xml:space="preserve"> the</w:t>
      </w:r>
      <w:r w:rsidRPr="00B907E2">
        <w:rPr>
          <w:rFonts w:asciiTheme="majorHAnsi" w:eastAsiaTheme="minorHAnsi" w:hAnsiTheme="majorHAnsi" w:cstheme="majorHAnsi"/>
          <w:b w:val="0"/>
          <w:bCs w:val="0"/>
          <w:color w:val="000000"/>
          <w:sz w:val="22"/>
          <w:szCs w:val="22"/>
          <w:lang w:val="en-GB"/>
        </w:rPr>
        <w:t xml:space="preserve"> </w:t>
      </w:r>
      <w:r w:rsidRPr="005723F9">
        <w:rPr>
          <w:rFonts w:asciiTheme="majorHAnsi" w:eastAsiaTheme="minorHAnsi" w:hAnsiTheme="majorHAnsi" w:cstheme="majorHAnsi"/>
          <w:bCs w:val="0"/>
          <w:color w:val="000000"/>
          <w:sz w:val="22"/>
          <w:szCs w:val="22"/>
          <w:lang w:val="en-GB"/>
        </w:rPr>
        <w:t>internal use of AI</w:t>
      </w:r>
      <w:r w:rsidRPr="00B907E2">
        <w:rPr>
          <w:rFonts w:asciiTheme="majorHAnsi" w:eastAsiaTheme="minorHAnsi" w:hAnsiTheme="majorHAnsi" w:cstheme="majorHAnsi"/>
          <w:b w:val="0"/>
          <w:bCs w:val="0"/>
          <w:color w:val="000000"/>
          <w:sz w:val="22"/>
          <w:szCs w:val="22"/>
          <w:lang w:val="en-GB"/>
        </w:rPr>
        <w:t xml:space="preserve"> as a way to both reap benefits and, perhaps more importantly, increase understanding.</w:t>
      </w:r>
    </w:p>
    <w:p w14:paraId="631FE34E" w14:textId="5ED9EB1B" w:rsidR="00621BFC" w:rsidRPr="007F3CC8" w:rsidRDefault="00C35E2F" w:rsidP="00BD6FD2">
      <w:pPr>
        <w:pStyle w:val="Heading2"/>
        <w:numPr>
          <w:ilvl w:val="0"/>
          <w:numId w:val="20"/>
        </w:numPr>
        <w:tabs>
          <w:tab w:val="left" w:pos="3118"/>
          <w:tab w:val="left" w:pos="8931"/>
        </w:tabs>
        <w:spacing w:before="240" w:after="120" w:line="276" w:lineRule="auto"/>
        <w:ind w:left="284" w:right="96" w:hanging="284"/>
        <w:jc w:val="both"/>
        <w:rPr>
          <w:rFonts w:asciiTheme="majorHAnsi" w:eastAsiaTheme="minorHAnsi" w:hAnsiTheme="majorHAnsi" w:cstheme="majorHAnsi"/>
          <w:b w:val="0"/>
          <w:color w:val="000000"/>
          <w:sz w:val="22"/>
          <w:szCs w:val="22"/>
          <w:lang w:val="en-GB"/>
        </w:rPr>
      </w:pPr>
      <w:r w:rsidRPr="008B1909">
        <w:rPr>
          <w:rFonts w:asciiTheme="majorHAnsi" w:eastAsiaTheme="minorHAnsi" w:hAnsiTheme="majorHAnsi" w:cstheme="majorHAnsi"/>
          <w:color w:val="000000"/>
          <w:sz w:val="22"/>
          <w:szCs w:val="22"/>
          <w:lang w:val="en-GB"/>
        </w:rPr>
        <w:t>Intensify dialogue with the industry</w:t>
      </w:r>
      <w:r w:rsidRPr="00B86ABB">
        <w:rPr>
          <w:rFonts w:asciiTheme="majorHAnsi" w:eastAsiaTheme="minorHAnsi" w:hAnsiTheme="majorHAnsi" w:cstheme="majorHAnsi"/>
          <w:color w:val="000000"/>
          <w:sz w:val="22"/>
          <w:szCs w:val="22"/>
          <w:lang w:val="en-GB"/>
        </w:rPr>
        <w:t xml:space="preserve"> </w:t>
      </w:r>
      <w:r w:rsidRPr="007F3CC8">
        <w:rPr>
          <w:rFonts w:asciiTheme="majorHAnsi" w:eastAsiaTheme="minorHAnsi" w:hAnsiTheme="majorHAnsi" w:cstheme="majorHAnsi"/>
          <w:b w:val="0"/>
          <w:color w:val="000000"/>
          <w:sz w:val="22"/>
          <w:szCs w:val="22"/>
          <w:lang w:val="en-GB"/>
        </w:rPr>
        <w:t>a</w:t>
      </w:r>
      <w:r>
        <w:rPr>
          <w:rFonts w:asciiTheme="majorHAnsi" w:eastAsiaTheme="minorHAnsi" w:hAnsiTheme="majorHAnsi" w:cstheme="majorHAnsi"/>
          <w:b w:val="0"/>
          <w:color w:val="000000"/>
          <w:sz w:val="22"/>
          <w:szCs w:val="22"/>
          <w:lang w:val="en-GB"/>
        </w:rPr>
        <w:t>nd particularly e</w:t>
      </w:r>
      <w:r w:rsidRPr="004339B1">
        <w:rPr>
          <w:rFonts w:asciiTheme="majorHAnsi" w:eastAsiaTheme="minorHAnsi" w:hAnsiTheme="majorHAnsi" w:cstheme="majorHAnsi"/>
          <w:b w:val="0"/>
          <w:color w:val="000000"/>
          <w:sz w:val="22"/>
          <w:szCs w:val="22"/>
          <w:lang w:val="en-GB"/>
        </w:rPr>
        <w:t>ngage</w:t>
      </w:r>
      <w:r>
        <w:rPr>
          <w:rFonts w:asciiTheme="majorHAnsi" w:eastAsiaTheme="minorHAnsi" w:hAnsiTheme="majorHAnsi" w:cstheme="majorHAnsi"/>
          <w:b w:val="0"/>
          <w:color w:val="000000"/>
          <w:sz w:val="22"/>
          <w:szCs w:val="22"/>
          <w:lang w:val="en-GB"/>
        </w:rPr>
        <w:t xml:space="preserve"> timely</w:t>
      </w:r>
      <w:r w:rsidRPr="004339B1">
        <w:rPr>
          <w:rFonts w:asciiTheme="majorHAnsi" w:eastAsiaTheme="minorHAnsi" w:hAnsiTheme="majorHAnsi" w:cstheme="majorHAnsi"/>
          <w:b w:val="0"/>
          <w:color w:val="000000"/>
          <w:sz w:val="22"/>
          <w:szCs w:val="22"/>
          <w:lang w:val="en-GB"/>
        </w:rPr>
        <w:t xml:space="preserve"> </w:t>
      </w:r>
      <w:r>
        <w:rPr>
          <w:rFonts w:asciiTheme="majorHAnsi" w:eastAsiaTheme="minorHAnsi" w:hAnsiTheme="majorHAnsi" w:cstheme="majorHAnsi"/>
          <w:b w:val="0"/>
          <w:color w:val="000000"/>
          <w:sz w:val="22"/>
          <w:szCs w:val="22"/>
          <w:lang w:val="en-GB"/>
        </w:rPr>
        <w:t xml:space="preserve">in the development of potential industry AI standards to understand </w:t>
      </w:r>
      <w:r w:rsidRPr="004339B1">
        <w:rPr>
          <w:rFonts w:asciiTheme="majorHAnsi" w:eastAsiaTheme="minorHAnsi" w:hAnsiTheme="majorHAnsi" w:cstheme="majorHAnsi"/>
          <w:b w:val="0"/>
          <w:color w:val="000000"/>
          <w:sz w:val="22"/>
          <w:szCs w:val="22"/>
          <w:lang w:val="en-GB"/>
        </w:rPr>
        <w:t xml:space="preserve">their quality and limitations as well as to learn from them. </w:t>
      </w:r>
    </w:p>
    <w:p w14:paraId="0DEF1AC5" w14:textId="1D0AF4DD" w:rsidR="00BD6FD2" w:rsidRPr="00B86ABB" w:rsidRDefault="00C35E2F" w:rsidP="00BD6FD2">
      <w:pPr>
        <w:pStyle w:val="Heading2"/>
        <w:numPr>
          <w:ilvl w:val="0"/>
          <w:numId w:val="20"/>
        </w:numPr>
        <w:tabs>
          <w:tab w:val="left" w:pos="3118"/>
          <w:tab w:val="left" w:pos="8931"/>
        </w:tabs>
        <w:spacing w:before="240" w:after="120" w:line="276" w:lineRule="auto"/>
        <w:ind w:left="284" w:right="96" w:hanging="284"/>
        <w:jc w:val="both"/>
        <w:rPr>
          <w:rFonts w:asciiTheme="majorHAnsi" w:eastAsiaTheme="minorHAnsi" w:hAnsiTheme="majorHAnsi" w:cstheme="majorHAnsi"/>
          <w:b w:val="0"/>
          <w:bCs w:val="0"/>
          <w:color w:val="000000"/>
          <w:sz w:val="22"/>
          <w:szCs w:val="22"/>
          <w:lang w:val="en-GB"/>
        </w:rPr>
      </w:pPr>
      <w:r>
        <w:rPr>
          <w:rFonts w:asciiTheme="majorHAnsi" w:eastAsiaTheme="minorHAnsi" w:hAnsiTheme="majorHAnsi" w:cstheme="majorHAnsi"/>
          <w:color w:val="000000"/>
          <w:sz w:val="22"/>
          <w:szCs w:val="22"/>
          <w:lang w:val="en-GB"/>
        </w:rPr>
        <w:t>I</w:t>
      </w:r>
      <w:r w:rsidR="00BD6FD2" w:rsidRPr="005723F9">
        <w:rPr>
          <w:rFonts w:asciiTheme="majorHAnsi" w:eastAsiaTheme="minorHAnsi" w:hAnsiTheme="majorHAnsi" w:cstheme="majorHAnsi"/>
          <w:bCs w:val="0"/>
          <w:color w:val="000000"/>
          <w:sz w:val="22"/>
          <w:szCs w:val="22"/>
          <w:lang w:val="en-GB"/>
        </w:rPr>
        <w:t>mprove, at national and European levels, dialogue with the data protection authorities</w:t>
      </w:r>
      <w:r w:rsidR="00BD6FD2" w:rsidRPr="00B86ABB">
        <w:rPr>
          <w:rFonts w:asciiTheme="majorHAnsi" w:eastAsiaTheme="minorHAnsi" w:hAnsiTheme="majorHAnsi" w:cstheme="majorHAnsi"/>
          <w:b w:val="0"/>
          <w:bCs w:val="0"/>
          <w:color w:val="000000"/>
          <w:sz w:val="22"/>
          <w:szCs w:val="22"/>
          <w:lang w:val="en-GB"/>
        </w:rPr>
        <w:t xml:space="preserve"> to assess the potential opportunities</w:t>
      </w:r>
      <w:r w:rsidR="00B624FD">
        <w:rPr>
          <w:rFonts w:asciiTheme="majorHAnsi" w:eastAsiaTheme="minorHAnsi" w:hAnsiTheme="majorHAnsi" w:cstheme="majorHAnsi"/>
          <w:b w:val="0"/>
          <w:bCs w:val="0"/>
          <w:color w:val="000000"/>
          <w:sz w:val="22"/>
          <w:szCs w:val="22"/>
          <w:lang w:val="en-GB"/>
        </w:rPr>
        <w:t xml:space="preserve"> and risks</w:t>
      </w:r>
      <w:r w:rsidR="00BD6FD2" w:rsidRPr="00B86ABB">
        <w:rPr>
          <w:rFonts w:asciiTheme="majorHAnsi" w:eastAsiaTheme="minorHAnsi" w:hAnsiTheme="majorHAnsi" w:cstheme="majorHAnsi"/>
          <w:b w:val="0"/>
          <w:bCs w:val="0"/>
          <w:color w:val="000000"/>
          <w:sz w:val="22"/>
          <w:szCs w:val="22"/>
          <w:lang w:val="en-GB"/>
        </w:rPr>
        <w:t xml:space="preserve"> that may arise for the financial system from the framework of the GDPR. </w:t>
      </w:r>
    </w:p>
    <w:p w14:paraId="28E2BAEE" w14:textId="77777777" w:rsidR="00BD6FD2" w:rsidRPr="00B907E2" w:rsidRDefault="00BD6FD2" w:rsidP="00BD6FD2">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u w:val="single"/>
          <w:lang w:val="en-GB"/>
        </w:rPr>
      </w:pPr>
      <w:r>
        <w:rPr>
          <w:rFonts w:asciiTheme="majorHAnsi" w:eastAsiaTheme="minorHAnsi" w:hAnsiTheme="majorHAnsi" w:cstheme="majorHAnsi"/>
          <w:b w:val="0"/>
          <w:bCs w:val="0"/>
          <w:color w:val="000000"/>
          <w:sz w:val="22"/>
          <w:szCs w:val="22"/>
          <w:u w:val="single"/>
          <w:lang w:val="en-GB"/>
        </w:rPr>
        <w:t>Potential role and work for the European Banking Authority</w:t>
      </w:r>
    </w:p>
    <w:p w14:paraId="1D29FB41" w14:textId="729F664F" w:rsidR="00BD6FD2" w:rsidRDefault="00BD6FD2" w:rsidP="00BD6FD2">
      <w:pPr>
        <w:pStyle w:val="Heading2"/>
        <w:numPr>
          <w:ilvl w:val="0"/>
          <w:numId w:val="20"/>
        </w:numPr>
        <w:tabs>
          <w:tab w:val="left" w:pos="3118"/>
          <w:tab w:val="left" w:pos="8931"/>
        </w:tabs>
        <w:spacing w:before="240" w:after="120" w:line="276" w:lineRule="auto"/>
        <w:ind w:left="284" w:right="96" w:hanging="284"/>
        <w:jc w:val="both"/>
        <w:rPr>
          <w:rFonts w:asciiTheme="majorHAnsi" w:eastAsiaTheme="minorHAnsi" w:hAnsiTheme="majorHAnsi" w:cstheme="majorHAnsi"/>
          <w:b w:val="0"/>
          <w:bCs w:val="0"/>
          <w:color w:val="000000"/>
          <w:sz w:val="22"/>
          <w:szCs w:val="22"/>
          <w:lang w:val="en-GB"/>
        </w:rPr>
      </w:pPr>
      <w:r w:rsidRPr="005723F9">
        <w:rPr>
          <w:rFonts w:asciiTheme="majorHAnsi" w:eastAsiaTheme="minorHAnsi" w:hAnsiTheme="majorHAnsi" w:cstheme="majorHAnsi"/>
          <w:bCs w:val="0"/>
          <w:color w:val="000000"/>
          <w:sz w:val="22"/>
          <w:szCs w:val="22"/>
          <w:lang w:val="en-GB"/>
        </w:rPr>
        <w:t>Support supervisory authorities</w:t>
      </w:r>
      <w:r>
        <w:rPr>
          <w:rFonts w:asciiTheme="majorHAnsi" w:eastAsiaTheme="minorHAnsi" w:hAnsiTheme="majorHAnsi" w:cstheme="majorHAnsi"/>
          <w:b w:val="0"/>
          <w:bCs w:val="0"/>
          <w:color w:val="000000"/>
          <w:sz w:val="22"/>
          <w:szCs w:val="22"/>
          <w:lang w:val="en-GB"/>
        </w:rPr>
        <w:t xml:space="preserve"> in all the above, particularly in building knowledge and expertise on </w:t>
      </w:r>
      <w:r w:rsidR="008B0FE7">
        <w:rPr>
          <w:rFonts w:asciiTheme="majorHAnsi" w:eastAsiaTheme="minorHAnsi" w:hAnsiTheme="majorHAnsi" w:cstheme="majorHAnsi"/>
          <w:b w:val="0"/>
          <w:bCs w:val="0"/>
          <w:color w:val="000000"/>
          <w:sz w:val="22"/>
          <w:szCs w:val="22"/>
          <w:lang w:val="en-GB"/>
        </w:rPr>
        <w:t>AI</w:t>
      </w:r>
      <w:r>
        <w:rPr>
          <w:rFonts w:asciiTheme="majorHAnsi" w:eastAsiaTheme="minorHAnsi" w:hAnsiTheme="majorHAnsi" w:cstheme="majorHAnsi"/>
          <w:b w:val="0"/>
          <w:bCs w:val="0"/>
          <w:color w:val="000000"/>
          <w:sz w:val="22"/>
          <w:szCs w:val="22"/>
          <w:lang w:val="en-GB"/>
        </w:rPr>
        <w:t xml:space="preserve"> and facilitate intensive dialogue with the industry and data protection authorities. </w:t>
      </w:r>
    </w:p>
    <w:p w14:paraId="3B734355" w14:textId="51776E2C" w:rsidR="002A56E0" w:rsidRPr="00EB5033" w:rsidRDefault="00BD6FD2" w:rsidP="00BD6FD2">
      <w:pPr>
        <w:pStyle w:val="Heading2"/>
        <w:tabs>
          <w:tab w:val="left" w:pos="3118"/>
          <w:tab w:val="left" w:pos="8931"/>
        </w:tabs>
        <w:spacing w:before="240" w:after="120" w:line="276" w:lineRule="auto"/>
        <w:ind w:left="0" w:right="96"/>
        <w:jc w:val="both"/>
        <w:rPr>
          <w:rFonts w:asciiTheme="majorHAnsi" w:eastAsiaTheme="minorHAnsi" w:hAnsiTheme="majorHAnsi" w:cstheme="majorHAnsi"/>
          <w:b w:val="0"/>
          <w:bCs w:val="0"/>
          <w:color w:val="000000"/>
          <w:sz w:val="22"/>
          <w:szCs w:val="22"/>
          <w:lang w:val="en-GB"/>
        </w:rPr>
      </w:pPr>
      <w:r w:rsidRPr="00EB5033">
        <w:rPr>
          <w:rFonts w:asciiTheme="majorHAnsi" w:eastAsiaTheme="minorHAnsi" w:hAnsiTheme="majorHAnsi" w:cstheme="majorHAnsi"/>
          <w:b w:val="0"/>
          <w:color w:val="000000"/>
          <w:sz w:val="22"/>
          <w:szCs w:val="22"/>
          <w:lang w:val="en-GB"/>
        </w:rPr>
        <w:t xml:space="preserve">Based on the upcoming initiatives of the European Commission, </w:t>
      </w:r>
      <w:r w:rsidRPr="00EB5033">
        <w:rPr>
          <w:rFonts w:asciiTheme="majorHAnsi" w:eastAsiaTheme="minorHAnsi" w:hAnsiTheme="majorHAnsi" w:cstheme="majorHAnsi"/>
          <w:color w:val="000000"/>
          <w:sz w:val="22"/>
          <w:szCs w:val="22"/>
          <w:lang w:val="en-GB"/>
        </w:rPr>
        <w:t xml:space="preserve">the EBA could develop </w:t>
      </w:r>
      <w:r w:rsidR="00EB5033">
        <w:rPr>
          <w:rFonts w:asciiTheme="majorHAnsi" w:eastAsiaTheme="minorHAnsi" w:hAnsiTheme="majorHAnsi" w:cstheme="majorHAnsi"/>
          <w:color w:val="000000"/>
          <w:sz w:val="22"/>
          <w:szCs w:val="22"/>
          <w:lang w:val="en-GB"/>
        </w:rPr>
        <w:t xml:space="preserve">in the medium-term </w:t>
      </w:r>
      <w:r w:rsidRPr="00EB5033">
        <w:rPr>
          <w:rFonts w:asciiTheme="majorHAnsi" w:eastAsiaTheme="minorHAnsi" w:hAnsiTheme="majorHAnsi" w:cstheme="majorHAnsi"/>
          <w:color w:val="000000"/>
          <w:sz w:val="22"/>
          <w:szCs w:val="22"/>
          <w:lang w:val="en-GB"/>
        </w:rPr>
        <w:t xml:space="preserve">minimum supervisory expectations on </w:t>
      </w:r>
      <w:r w:rsidRPr="00EB5033">
        <w:rPr>
          <w:rFonts w:asciiTheme="majorHAnsi" w:eastAsiaTheme="minorHAnsi" w:hAnsiTheme="majorHAnsi" w:cstheme="majorHAnsi"/>
          <w:bCs w:val="0"/>
          <w:color w:val="000000"/>
          <w:sz w:val="22"/>
          <w:szCs w:val="22"/>
          <w:lang w:val="en-GB"/>
        </w:rPr>
        <w:t xml:space="preserve">data management </w:t>
      </w:r>
      <w:r w:rsidRPr="00EB5033">
        <w:rPr>
          <w:rFonts w:asciiTheme="majorHAnsi" w:eastAsiaTheme="minorHAnsi" w:hAnsiTheme="majorHAnsi" w:cstheme="majorHAnsi"/>
          <w:color w:val="000000"/>
          <w:sz w:val="22"/>
          <w:szCs w:val="22"/>
          <w:lang w:val="en-GB"/>
        </w:rPr>
        <w:t xml:space="preserve">(including </w:t>
      </w:r>
      <w:r w:rsidRPr="00EB5033">
        <w:rPr>
          <w:rFonts w:asciiTheme="majorHAnsi" w:eastAsiaTheme="minorHAnsi" w:hAnsiTheme="majorHAnsi" w:cstheme="majorHAnsi"/>
          <w:bCs w:val="0"/>
          <w:color w:val="000000"/>
          <w:sz w:val="22"/>
          <w:szCs w:val="22"/>
          <w:lang w:val="en-GB"/>
        </w:rPr>
        <w:t>data quality</w:t>
      </w:r>
      <w:r w:rsidRPr="00EB5033">
        <w:rPr>
          <w:rFonts w:asciiTheme="majorHAnsi" w:eastAsiaTheme="minorHAnsi" w:hAnsiTheme="majorHAnsi" w:cstheme="majorHAnsi"/>
          <w:color w:val="000000"/>
          <w:sz w:val="22"/>
          <w:szCs w:val="22"/>
          <w:lang w:val="en-GB"/>
        </w:rPr>
        <w:t>) and the explainability of AI-based models</w:t>
      </w:r>
      <w:r w:rsidRPr="00EB5033">
        <w:rPr>
          <w:rFonts w:asciiTheme="majorHAnsi" w:eastAsiaTheme="minorHAnsi" w:hAnsiTheme="majorHAnsi" w:cstheme="majorHAnsi"/>
          <w:b w:val="0"/>
          <w:color w:val="000000"/>
          <w:sz w:val="22"/>
          <w:szCs w:val="22"/>
          <w:lang w:val="en-GB"/>
        </w:rPr>
        <w:t>. Supervisory expectations on</w:t>
      </w:r>
      <w:r w:rsidR="00EB5033">
        <w:rPr>
          <w:rFonts w:asciiTheme="majorHAnsi" w:eastAsiaTheme="minorHAnsi" w:hAnsiTheme="majorHAnsi" w:cstheme="majorHAnsi"/>
          <w:b w:val="0"/>
          <w:color w:val="000000"/>
          <w:sz w:val="22"/>
          <w:szCs w:val="22"/>
          <w:lang w:val="en-GB"/>
        </w:rPr>
        <w:t xml:space="preserve"> the type and applications of</w:t>
      </w:r>
      <w:r w:rsidRPr="00EB5033">
        <w:rPr>
          <w:rFonts w:asciiTheme="majorHAnsi" w:eastAsiaTheme="minorHAnsi" w:hAnsiTheme="majorHAnsi" w:cstheme="majorHAnsi"/>
          <w:b w:val="0"/>
          <w:color w:val="000000"/>
          <w:sz w:val="22"/>
          <w:szCs w:val="22"/>
          <w:lang w:val="en-GB"/>
        </w:rPr>
        <w:t xml:space="preserve"> AI models could remove any related ambiguity and bring more confidence in the development of proper AI solutions. </w:t>
      </w:r>
      <w:r w:rsidR="007D5A5D" w:rsidRPr="00EB5033">
        <w:rPr>
          <w:rFonts w:asciiTheme="majorHAnsi" w:eastAsiaTheme="minorHAnsi" w:hAnsiTheme="majorHAnsi" w:cstheme="majorHAnsi"/>
          <w:b w:val="0"/>
          <w:bCs w:val="0"/>
          <w:color w:val="000000"/>
          <w:sz w:val="22"/>
          <w:szCs w:val="22"/>
          <w:lang w:val="en-GB"/>
        </w:rPr>
        <w:t xml:space="preserve"> </w:t>
      </w:r>
    </w:p>
    <w:p w14:paraId="048719B7" w14:textId="77777777" w:rsidR="00A61584" w:rsidRDefault="00777E00" w:rsidP="00777E00">
      <w:pPr>
        <w:pStyle w:val="body0"/>
        <w:spacing w:line="240" w:lineRule="auto"/>
        <w:rPr>
          <w:b/>
          <w:color w:val="000000" w:themeColor="text1"/>
          <w:spacing w:val="-15"/>
          <w:sz w:val="24"/>
          <w:szCs w:val="24"/>
        </w:rPr>
      </w:pPr>
      <w:r w:rsidRPr="006D045B">
        <w:rPr>
          <w:b/>
          <w:color w:val="000000" w:themeColor="text1"/>
          <w:sz w:val="24"/>
          <w:szCs w:val="24"/>
        </w:rPr>
        <w:t>Question 41. In your opinion, what are the main barriers for new RegTech solutions to scale up in the Single Market</w:t>
      </w:r>
      <w:r w:rsidR="00A61584">
        <w:rPr>
          <w:b/>
          <w:color w:val="000000" w:themeColor="text1"/>
          <w:spacing w:val="-15"/>
          <w:sz w:val="24"/>
          <w:szCs w:val="24"/>
        </w:rPr>
        <w:t>?</w:t>
      </w:r>
    </w:p>
    <w:p w14:paraId="791EED78" w14:textId="5CF029F9" w:rsidR="00777E00" w:rsidRPr="00A61584" w:rsidRDefault="00777E00" w:rsidP="00777E00">
      <w:pPr>
        <w:pStyle w:val="body0"/>
        <w:spacing w:line="240" w:lineRule="auto"/>
        <w:rPr>
          <w:b/>
          <w:color w:val="000000" w:themeColor="text1"/>
          <w:spacing w:val="-15"/>
          <w:sz w:val="24"/>
          <w:szCs w:val="24"/>
        </w:rPr>
      </w:pPr>
      <w:r w:rsidRPr="006D045B">
        <w:rPr>
          <w:color w:val="000000" w:themeColor="text1"/>
          <w:spacing w:val="-15"/>
        </w:rPr>
        <w:t>[</w:t>
      </w:r>
      <w:r w:rsidR="00A61584">
        <w:rPr>
          <w:i/>
          <w:color w:val="000000" w:themeColor="text1"/>
          <w:spacing w:val="-15"/>
        </w:rPr>
        <w:t>A</w:t>
      </w:r>
      <w:r w:rsidRPr="006D045B">
        <w:rPr>
          <w:i/>
          <w:color w:val="000000" w:themeColor="text1"/>
          <w:spacing w:val="-15"/>
        </w:rPr>
        <w:t>nswered in part only because we do not have data to comment from the perspective of RegTech providers (commercial stakeholders).</w:t>
      </w:r>
      <w:r w:rsidRPr="006D045B">
        <w:rPr>
          <w:color w:val="000000" w:themeColor="text1"/>
          <w:spacing w:val="-15"/>
        </w:rPr>
        <w:t>]</w:t>
      </w:r>
    </w:p>
    <w:p w14:paraId="1A547E82" w14:textId="7B00EAE8" w:rsidR="00777E00" w:rsidRPr="006D045B" w:rsidRDefault="00777E00" w:rsidP="00777E00">
      <w:pPr>
        <w:pStyle w:val="Heading2"/>
        <w:spacing w:before="117"/>
        <w:ind w:left="0"/>
        <w:rPr>
          <w:rFonts w:ascii="Calibri" w:hAnsi="Calibri" w:cs="Calibri"/>
          <w:sz w:val="24"/>
          <w:szCs w:val="24"/>
        </w:rPr>
      </w:pPr>
      <w:r w:rsidRPr="006D045B">
        <w:rPr>
          <w:rFonts w:ascii="Calibri" w:hAnsi="Calibri" w:cs="Calibri"/>
          <w:sz w:val="24"/>
          <w:szCs w:val="24"/>
        </w:rPr>
        <w:t>Financial service providers:</w:t>
      </w:r>
    </w:p>
    <w:p w14:paraId="6D40C01D" w14:textId="77777777" w:rsidR="00777E00" w:rsidRPr="00777E00" w:rsidRDefault="00777E00" w:rsidP="00777E00">
      <w:pPr>
        <w:pStyle w:val="Heading2"/>
        <w:spacing w:before="117"/>
        <w:ind w:left="0"/>
        <w:rPr>
          <w:rFonts w:ascii="Calibri" w:hAnsi="Calibri" w:cs="Calibri"/>
          <w:sz w:val="22"/>
          <w:szCs w:val="22"/>
        </w:rPr>
      </w:pPr>
    </w:p>
    <w:tbl>
      <w:tblPr>
        <w:tblW w:w="9146" w:type="dxa"/>
        <w:jc w:val="center"/>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2859"/>
        <w:gridCol w:w="1239"/>
        <w:gridCol w:w="1201"/>
        <w:gridCol w:w="1044"/>
        <w:gridCol w:w="1075"/>
        <w:gridCol w:w="1075"/>
        <w:gridCol w:w="653"/>
      </w:tblGrid>
      <w:tr w:rsidR="00777E00" w14:paraId="18699330" w14:textId="77777777" w:rsidTr="007516A1">
        <w:trPr>
          <w:trHeight w:val="1619"/>
          <w:jc w:val="center"/>
        </w:trPr>
        <w:tc>
          <w:tcPr>
            <w:tcW w:w="2859" w:type="dxa"/>
          </w:tcPr>
          <w:p w14:paraId="52E728BB" w14:textId="77777777" w:rsidR="00777E00" w:rsidRDefault="00777E00" w:rsidP="00147A22">
            <w:pPr>
              <w:pStyle w:val="TableParagraph"/>
              <w:rPr>
                <w:rFonts w:ascii="Times New Roman"/>
              </w:rPr>
            </w:pPr>
          </w:p>
        </w:tc>
        <w:tc>
          <w:tcPr>
            <w:tcW w:w="1239" w:type="dxa"/>
          </w:tcPr>
          <w:p w14:paraId="09127EC7" w14:textId="77777777" w:rsidR="00777E00" w:rsidRPr="006D045B" w:rsidRDefault="00777E00" w:rsidP="00147A22">
            <w:pPr>
              <w:pStyle w:val="TableParagraph"/>
              <w:spacing w:before="258" w:line="695" w:lineRule="exact"/>
              <w:ind w:left="20"/>
              <w:jc w:val="center"/>
              <w:rPr>
                <w:sz w:val="16"/>
                <w:szCs w:val="16"/>
              </w:rPr>
            </w:pPr>
            <w:r w:rsidRPr="006D045B">
              <w:rPr>
                <w:w w:val="99"/>
                <w:sz w:val="16"/>
                <w:szCs w:val="16"/>
              </w:rPr>
              <w:t>1</w:t>
            </w:r>
          </w:p>
          <w:p w14:paraId="259660E7" w14:textId="77777777" w:rsidR="00777E00" w:rsidRPr="006D045B" w:rsidRDefault="00777E00" w:rsidP="00147A22">
            <w:pPr>
              <w:pStyle w:val="TableParagraph"/>
              <w:spacing w:line="318" w:lineRule="exact"/>
              <w:ind w:left="154" w:right="133"/>
              <w:jc w:val="center"/>
              <w:rPr>
                <w:sz w:val="16"/>
                <w:szCs w:val="16"/>
              </w:rPr>
            </w:pPr>
            <w:r w:rsidRPr="006D045B">
              <w:rPr>
                <w:w w:val="105"/>
                <w:sz w:val="16"/>
                <w:szCs w:val="16"/>
              </w:rPr>
              <w:t>(irrelevant)</w:t>
            </w:r>
          </w:p>
        </w:tc>
        <w:tc>
          <w:tcPr>
            <w:tcW w:w="1201" w:type="dxa"/>
          </w:tcPr>
          <w:p w14:paraId="151031C5" w14:textId="77777777" w:rsidR="00777E00" w:rsidRPr="006D045B" w:rsidRDefault="00777E00" w:rsidP="00147A22">
            <w:pPr>
              <w:pStyle w:val="TableParagraph"/>
              <w:spacing w:line="657" w:lineRule="exact"/>
              <w:ind w:left="20"/>
              <w:jc w:val="center"/>
              <w:rPr>
                <w:sz w:val="16"/>
                <w:szCs w:val="16"/>
              </w:rPr>
            </w:pPr>
            <w:r w:rsidRPr="006D045B">
              <w:rPr>
                <w:w w:val="99"/>
                <w:sz w:val="16"/>
                <w:szCs w:val="16"/>
              </w:rPr>
              <w:t>2</w:t>
            </w:r>
          </w:p>
          <w:p w14:paraId="295220B8" w14:textId="77777777" w:rsidR="00777E00" w:rsidRPr="006D045B" w:rsidRDefault="00777E00" w:rsidP="00147A22">
            <w:pPr>
              <w:pStyle w:val="TableParagraph"/>
              <w:spacing w:before="4" w:line="199" w:lineRule="auto"/>
              <w:ind w:left="252" w:right="229" w:hanging="54"/>
              <w:jc w:val="center"/>
              <w:rPr>
                <w:sz w:val="16"/>
                <w:szCs w:val="16"/>
              </w:rPr>
            </w:pPr>
            <w:r w:rsidRPr="006D045B">
              <w:rPr>
                <w:w w:val="105"/>
                <w:sz w:val="16"/>
                <w:szCs w:val="16"/>
              </w:rPr>
              <w:t xml:space="preserve">(rather not </w:t>
            </w:r>
            <w:r w:rsidRPr="006D045B">
              <w:rPr>
                <w:sz w:val="16"/>
                <w:szCs w:val="16"/>
              </w:rPr>
              <w:t>relevant)</w:t>
            </w:r>
          </w:p>
        </w:tc>
        <w:tc>
          <w:tcPr>
            <w:tcW w:w="1044" w:type="dxa"/>
          </w:tcPr>
          <w:p w14:paraId="4EBDF7A1" w14:textId="77777777" w:rsidR="00777E00" w:rsidRPr="006D045B" w:rsidRDefault="00777E00" w:rsidP="00147A22">
            <w:pPr>
              <w:pStyle w:val="TableParagraph"/>
              <w:spacing w:before="258" w:line="695" w:lineRule="exact"/>
              <w:ind w:left="22"/>
              <w:jc w:val="center"/>
              <w:rPr>
                <w:sz w:val="16"/>
                <w:szCs w:val="16"/>
              </w:rPr>
            </w:pPr>
            <w:r w:rsidRPr="006D045B">
              <w:rPr>
                <w:w w:val="99"/>
                <w:sz w:val="16"/>
                <w:szCs w:val="16"/>
              </w:rPr>
              <w:t>3</w:t>
            </w:r>
          </w:p>
          <w:p w14:paraId="68D1AB96" w14:textId="77777777" w:rsidR="00777E00" w:rsidRPr="006D045B" w:rsidRDefault="00777E00" w:rsidP="00147A22">
            <w:pPr>
              <w:pStyle w:val="TableParagraph"/>
              <w:spacing w:line="318" w:lineRule="exact"/>
              <w:ind w:left="157" w:right="135"/>
              <w:jc w:val="center"/>
              <w:rPr>
                <w:sz w:val="16"/>
                <w:szCs w:val="16"/>
              </w:rPr>
            </w:pPr>
            <w:r w:rsidRPr="006D045B">
              <w:rPr>
                <w:w w:val="105"/>
                <w:sz w:val="16"/>
                <w:szCs w:val="16"/>
              </w:rPr>
              <w:t>(neutral)</w:t>
            </w:r>
          </w:p>
        </w:tc>
        <w:tc>
          <w:tcPr>
            <w:tcW w:w="1075" w:type="dxa"/>
          </w:tcPr>
          <w:p w14:paraId="4EB07A00" w14:textId="77777777" w:rsidR="00777E00" w:rsidRPr="006D045B" w:rsidRDefault="00777E00" w:rsidP="00147A22">
            <w:pPr>
              <w:pStyle w:val="TableParagraph"/>
              <w:spacing w:before="110" w:line="695" w:lineRule="exact"/>
              <w:ind w:left="22"/>
              <w:jc w:val="center"/>
              <w:rPr>
                <w:sz w:val="16"/>
                <w:szCs w:val="16"/>
              </w:rPr>
            </w:pPr>
            <w:r w:rsidRPr="006D045B">
              <w:rPr>
                <w:w w:val="99"/>
                <w:sz w:val="16"/>
                <w:szCs w:val="16"/>
              </w:rPr>
              <w:t>4</w:t>
            </w:r>
          </w:p>
          <w:p w14:paraId="63452A0A" w14:textId="77777777" w:rsidR="00777E00" w:rsidRPr="006D045B" w:rsidRDefault="00777E00" w:rsidP="00147A22">
            <w:pPr>
              <w:pStyle w:val="TableParagraph"/>
              <w:spacing w:before="4" w:line="199" w:lineRule="auto"/>
              <w:ind w:left="186" w:right="161" w:hanging="54"/>
              <w:jc w:val="center"/>
              <w:rPr>
                <w:sz w:val="16"/>
                <w:szCs w:val="16"/>
              </w:rPr>
            </w:pPr>
            <w:r w:rsidRPr="006D045B">
              <w:rPr>
                <w:w w:val="105"/>
                <w:sz w:val="16"/>
                <w:szCs w:val="16"/>
              </w:rPr>
              <w:t xml:space="preserve">(rather </w:t>
            </w:r>
            <w:r w:rsidRPr="006D045B">
              <w:rPr>
                <w:sz w:val="16"/>
                <w:szCs w:val="16"/>
              </w:rPr>
              <w:t>relevant)</w:t>
            </w:r>
          </w:p>
        </w:tc>
        <w:tc>
          <w:tcPr>
            <w:tcW w:w="1075" w:type="dxa"/>
          </w:tcPr>
          <w:p w14:paraId="6F6AABE1" w14:textId="77777777" w:rsidR="00777E00" w:rsidRPr="006D045B" w:rsidRDefault="00777E00" w:rsidP="00147A22">
            <w:pPr>
              <w:pStyle w:val="TableParagraph"/>
              <w:spacing w:before="110" w:line="695" w:lineRule="exact"/>
              <w:ind w:left="23"/>
              <w:jc w:val="center"/>
              <w:rPr>
                <w:sz w:val="16"/>
                <w:szCs w:val="16"/>
              </w:rPr>
            </w:pPr>
            <w:r w:rsidRPr="006D045B">
              <w:rPr>
                <w:w w:val="99"/>
                <w:sz w:val="16"/>
                <w:szCs w:val="16"/>
              </w:rPr>
              <w:t>5</w:t>
            </w:r>
          </w:p>
          <w:p w14:paraId="6A50C64E" w14:textId="77777777" w:rsidR="00777E00" w:rsidRPr="006D045B" w:rsidRDefault="00777E00" w:rsidP="00147A22">
            <w:pPr>
              <w:pStyle w:val="TableParagraph"/>
              <w:spacing w:before="4" w:line="199" w:lineRule="auto"/>
              <w:ind w:left="186" w:right="161" w:hanging="55"/>
              <w:jc w:val="center"/>
              <w:rPr>
                <w:sz w:val="16"/>
                <w:szCs w:val="16"/>
              </w:rPr>
            </w:pPr>
            <w:r w:rsidRPr="006D045B">
              <w:rPr>
                <w:w w:val="105"/>
                <w:sz w:val="16"/>
                <w:szCs w:val="16"/>
              </w:rPr>
              <w:t xml:space="preserve">(fully </w:t>
            </w:r>
            <w:r w:rsidRPr="006D045B">
              <w:rPr>
                <w:sz w:val="16"/>
                <w:szCs w:val="16"/>
              </w:rPr>
              <w:t>relevant)</w:t>
            </w:r>
          </w:p>
        </w:tc>
        <w:tc>
          <w:tcPr>
            <w:tcW w:w="653" w:type="dxa"/>
          </w:tcPr>
          <w:p w14:paraId="37D48A02" w14:textId="77777777" w:rsidR="00777E00" w:rsidRPr="006D045B" w:rsidRDefault="00777E00" w:rsidP="00147A22">
            <w:pPr>
              <w:pStyle w:val="TableParagraph"/>
              <w:spacing w:before="254" w:line="529" w:lineRule="exact"/>
              <w:ind w:left="186"/>
              <w:rPr>
                <w:sz w:val="16"/>
                <w:szCs w:val="16"/>
              </w:rPr>
            </w:pPr>
            <w:r w:rsidRPr="006D045B">
              <w:rPr>
                <w:sz w:val="16"/>
                <w:szCs w:val="16"/>
              </w:rPr>
              <w:t>N.</w:t>
            </w:r>
          </w:p>
          <w:p w14:paraId="6FBF493D" w14:textId="77777777" w:rsidR="00777E00" w:rsidRPr="006D045B" w:rsidRDefault="00777E00" w:rsidP="00147A22">
            <w:pPr>
              <w:pStyle w:val="TableParagraph"/>
              <w:spacing w:line="529" w:lineRule="exact"/>
              <w:ind w:left="195"/>
              <w:rPr>
                <w:sz w:val="16"/>
                <w:szCs w:val="16"/>
              </w:rPr>
            </w:pPr>
            <w:r w:rsidRPr="006D045B">
              <w:rPr>
                <w:sz w:val="16"/>
                <w:szCs w:val="16"/>
              </w:rPr>
              <w:t>A.</w:t>
            </w:r>
          </w:p>
        </w:tc>
      </w:tr>
      <w:tr w:rsidR="00777E00" w14:paraId="5147B071" w14:textId="77777777" w:rsidTr="007516A1">
        <w:trPr>
          <w:trHeight w:val="892"/>
          <w:jc w:val="center"/>
        </w:trPr>
        <w:tc>
          <w:tcPr>
            <w:tcW w:w="2859" w:type="dxa"/>
          </w:tcPr>
          <w:p w14:paraId="25404CD0" w14:textId="77777777" w:rsidR="00777E00" w:rsidRDefault="00777E00" w:rsidP="00147A22">
            <w:pPr>
              <w:pStyle w:val="TableParagraph"/>
              <w:spacing w:before="69" w:line="199" w:lineRule="auto"/>
              <w:ind w:left="185" w:right="286"/>
              <w:rPr>
                <w:sz w:val="19"/>
              </w:rPr>
            </w:pPr>
            <w:r>
              <w:rPr>
                <w:w w:val="105"/>
                <w:sz w:val="19"/>
              </w:rPr>
              <w:t>Lack of harmonisation of EU rules</w:t>
            </w:r>
          </w:p>
        </w:tc>
        <w:tc>
          <w:tcPr>
            <w:tcW w:w="1239" w:type="dxa"/>
          </w:tcPr>
          <w:p w14:paraId="2ECFA021" w14:textId="77777777" w:rsidR="00777E00" w:rsidRDefault="00777E00" w:rsidP="00147A22">
            <w:pPr>
              <w:pStyle w:val="TableParagraph"/>
              <w:spacing w:before="7"/>
              <w:rPr>
                <w:rFonts w:ascii="Arial"/>
                <w:b/>
                <w:sz w:val="26"/>
              </w:rPr>
            </w:pPr>
          </w:p>
          <w:p w14:paraId="6E3EE049" w14:textId="77777777" w:rsidR="00777E00" w:rsidRDefault="00777E00" w:rsidP="00147A22">
            <w:pPr>
              <w:pStyle w:val="TableParagraph"/>
              <w:spacing w:line="180" w:lineRule="exact"/>
              <w:ind w:left="554"/>
              <w:rPr>
                <w:rFonts w:ascii="Arial"/>
                <w:sz w:val="18"/>
              </w:rPr>
            </w:pPr>
            <w:r>
              <w:rPr>
                <w:rFonts w:ascii="Arial"/>
                <w:noProof/>
                <w:position w:val="-3"/>
                <w:sz w:val="18"/>
                <w:lang w:val="en-GB" w:eastAsia="en-GB"/>
              </w:rPr>
              <w:drawing>
                <wp:inline distT="0" distB="0" distL="0" distR="0" wp14:anchorId="5E1B6A41" wp14:editId="5CC81614">
                  <wp:extent cx="114300" cy="114300"/>
                  <wp:effectExtent l="0" t="0" r="0" b="0"/>
                  <wp:docPr id="27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201" w:type="dxa"/>
          </w:tcPr>
          <w:p w14:paraId="7D2F499A" w14:textId="77777777" w:rsidR="00777E00" w:rsidRDefault="00777E00" w:rsidP="00147A22">
            <w:pPr>
              <w:pStyle w:val="TableParagraph"/>
              <w:spacing w:before="7"/>
              <w:rPr>
                <w:rFonts w:ascii="Arial"/>
                <w:b/>
                <w:sz w:val="26"/>
              </w:rPr>
            </w:pPr>
          </w:p>
          <w:p w14:paraId="1A27872B" w14:textId="77777777" w:rsidR="00777E00" w:rsidRDefault="00777E00" w:rsidP="00147A22">
            <w:pPr>
              <w:pStyle w:val="TableParagraph"/>
              <w:spacing w:line="180" w:lineRule="exact"/>
              <w:ind w:left="534"/>
              <w:rPr>
                <w:rFonts w:ascii="Arial"/>
                <w:sz w:val="18"/>
              </w:rPr>
            </w:pPr>
            <w:r>
              <w:rPr>
                <w:rFonts w:ascii="Arial"/>
                <w:noProof/>
                <w:position w:val="-3"/>
                <w:sz w:val="18"/>
                <w:lang w:val="en-GB" w:eastAsia="en-GB"/>
              </w:rPr>
              <w:drawing>
                <wp:inline distT="0" distB="0" distL="0" distR="0" wp14:anchorId="0303EEA3" wp14:editId="48E68FDF">
                  <wp:extent cx="114300" cy="114300"/>
                  <wp:effectExtent l="0" t="0" r="0" b="0"/>
                  <wp:docPr id="27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4" w:type="dxa"/>
          </w:tcPr>
          <w:p w14:paraId="79793796" w14:textId="77777777" w:rsidR="00777E00" w:rsidRDefault="00777E00" w:rsidP="00147A22">
            <w:pPr>
              <w:pStyle w:val="TableParagraph"/>
              <w:spacing w:before="7"/>
              <w:rPr>
                <w:rFonts w:ascii="Arial"/>
                <w:b/>
                <w:sz w:val="26"/>
              </w:rPr>
            </w:pPr>
          </w:p>
          <w:p w14:paraId="3A5673D2" w14:textId="77777777" w:rsidR="00777E00" w:rsidRDefault="00777E00"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502A41BE" wp14:editId="0028FDCE">
                  <wp:extent cx="114300" cy="114300"/>
                  <wp:effectExtent l="0" t="0" r="0" b="0"/>
                  <wp:docPr id="27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75" w:type="dxa"/>
          </w:tcPr>
          <w:p w14:paraId="21A622B9" w14:textId="77777777" w:rsidR="00777E00" w:rsidRDefault="00777E00" w:rsidP="00147A22">
            <w:pPr>
              <w:pStyle w:val="TableParagraph"/>
              <w:spacing w:before="7"/>
              <w:rPr>
                <w:rFonts w:ascii="Arial"/>
                <w:b/>
                <w:sz w:val="26"/>
              </w:rPr>
            </w:pPr>
          </w:p>
          <w:p w14:paraId="7D8EC81A" w14:textId="01A470A5" w:rsidR="00777E00" w:rsidRDefault="00777E00" w:rsidP="00777E00">
            <w:pPr>
              <w:pStyle w:val="TableParagraph"/>
              <w:spacing w:line="180" w:lineRule="exact"/>
              <w:ind w:left="468"/>
              <w:rPr>
                <w:rFonts w:ascii="Arial"/>
                <w:sz w:val="18"/>
              </w:rPr>
            </w:pPr>
            <w:r w:rsidRPr="00777E00">
              <w:rPr>
                <w:rFonts w:ascii="Arial"/>
                <w:color w:val="000000" w:themeColor="text1"/>
                <w:sz w:val="18"/>
              </w:rPr>
              <w:t>X</w:t>
            </w:r>
          </w:p>
        </w:tc>
        <w:tc>
          <w:tcPr>
            <w:tcW w:w="1075" w:type="dxa"/>
          </w:tcPr>
          <w:p w14:paraId="699F96C9" w14:textId="77777777" w:rsidR="00777E00" w:rsidRDefault="00777E00" w:rsidP="00147A22">
            <w:pPr>
              <w:pStyle w:val="TableParagraph"/>
              <w:spacing w:before="7"/>
              <w:rPr>
                <w:rFonts w:ascii="Arial"/>
                <w:b/>
                <w:sz w:val="26"/>
              </w:rPr>
            </w:pPr>
          </w:p>
          <w:p w14:paraId="2A689B46" w14:textId="77777777" w:rsidR="00777E00" w:rsidRDefault="00777E00"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46F7E704" wp14:editId="2F666EED">
                  <wp:extent cx="114300" cy="114300"/>
                  <wp:effectExtent l="0" t="0" r="0" b="0"/>
                  <wp:docPr id="27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3" w:type="dxa"/>
          </w:tcPr>
          <w:p w14:paraId="0A19A8BF" w14:textId="77777777" w:rsidR="00777E00" w:rsidRDefault="00777E00" w:rsidP="00147A22">
            <w:pPr>
              <w:pStyle w:val="TableParagraph"/>
              <w:spacing w:before="7"/>
              <w:rPr>
                <w:rFonts w:ascii="Arial"/>
                <w:b/>
                <w:sz w:val="26"/>
              </w:rPr>
            </w:pPr>
          </w:p>
          <w:p w14:paraId="156B5279" w14:textId="77777777" w:rsidR="00777E00" w:rsidRDefault="00777E00"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07BA5836" wp14:editId="12D6C87E">
                  <wp:extent cx="114300" cy="114300"/>
                  <wp:effectExtent l="0" t="0" r="0" b="0"/>
                  <wp:docPr id="27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6"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7E00" w14:paraId="7ED60FF0" w14:textId="77777777" w:rsidTr="007516A1">
        <w:trPr>
          <w:trHeight w:val="892"/>
          <w:jc w:val="center"/>
        </w:trPr>
        <w:tc>
          <w:tcPr>
            <w:tcW w:w="2859" w:type="dxa"/>
          </w:tcPr>
          <w:p w14:paraId="4648B9A4" w14:textId="77777777" w:rsidR="00777E00" w:rsidRDefault="00777E00" w:rsidP="00147A22">
            <w:pPr>
              <w:pStyle w:val="TableParagraph"/>
              <w:spacing w:before="69" w:line="199" w:lineRule="auto"/>
              <w:ind w:left="185" w:right="286"/>
              <w:rPr>
                <w:sz w:val="19"/>
              </w:rPr>
            </w:pPr>
            <w:r>
              <w:rPr>
                <w:w w:val="105"/>
                <w:sz w:val="19"/>
              </w:rPr>
              <w:t>Lack of trust in newly developed solutions</w:t>
            </w:r>
          </w:p>
        </w:tc>
        <w:tc>
          <w:tcPr>
            <w:tcW w:w="1239" w:type="dxa"/>
          </w:tcPr>
          <w:p w14:paraId="6F069334" w14:textId="77777777" w:rsidR="00777E00" w:rsidRDefault="00777E00" w:rsidP="00147A22">
            <w:pPr>
              <w:pStyle w:val="TableParagraph"/>
              <w:spacing w:before="7"/>
              <w:rPr>
                <w:rFonts w:ascii="Arial"/>
                <w:b/>
                <w:sz w:val="26"/>
              </w:rPr>
            </w:pPr>
          </w:p>
          <w:p w14:paraId="6A4A2ECB" w14:textId="77777777" w:rsidR="00777E00" w:rsidRDefault="00777E00" w:rsidP="00147A22">
            <w:pPr>
              <w:pStyle w:val="TableParagraph"/>
              <w:spacing w:line="180" w:lineRule="exact"/>
              <w:ind w:left="554"/>
              <w:rPr>
                <w:rFonts w:ascii="Arial"/>
                <w:sz w:val="18"/>
              </w:rPr>
            </w:pPr>
            <w:r>
              <w:rPr>
                <w:rFonts w:ascii="Arial"/>
                <w:noProof/>
                <w:position w:val="-3"/>
                <w:sz w:val="18"/>
                <w:lang w:val="en-GB" w:eastAsia="en-GB"/>
              </w:rPr>
              <w:drawing>
                <wp:inline distT="0" distB="0" distL="0" distR="0" wp14:anchorId="54D63814" wp14:editId="39323AD9">
                  <wp:extent cx="114300" cy="114300"/>
                  <wp:effectExtent l="0" t="0" r="0" b="0"/>
                  <wp:docPr id="27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201" w:type="dxa"/>
          </w:tcPr>
          <w:p w14:paraId="3AF21A28" w14:textId="77777777" w:rsidR="00777E00" w:rsidRDefault="00777E00" w:rsidP="00147A22">
            <w:pPr>
              <w:pStyle w:val="TableParagraph"/>
              <w:spacing w:before="7"/>
              <w:rPr>
                <w:rFonts w:ascii="Arial"/>
                <w:b/>
                <w:sz w:val="26"/>
              </w:rPr>
            </w:pPr>
          </w:p>
          <w:p w14:paraId="74E24665" w14:textId="77777777" w:rsidR="00777E00" w:rsidRDefault="00777E00" w:rsidP="00147A22">
            <w:pPr>
              <w:pStyle w:val="TableParagraph"/>
              <w:spacing w:line="180" w:lineRule="exact"/>
              <w:ind w:left="534"/>
              <w:rPr>
                <w:rFonts w:ascii="Arial"/>
                <w:sz w:val="18"/>
              </w:rPr>
            </w:pPr>
            <w:r>
              <w:rPr>
                <w:rFonts w:ascii="Arial"/>
                <w:noProof/>
                <w:position w:val="-3"/>
                <w:sz w:val="18"/>
                <w:lang w:val="en-GB" w:eastAsia="en-GB"/>
              </w:rPr>
              <w:drawing>
                <wp:inline distT="0" distB="0" distL="0" distR="0" wp14:anchorId="570859AB" wp14:editId="7664CFDB">
                  <wp:extent cx="114300" cy="114300"/>
                  <wp:effectExtent l="0" t="0" r="0" b="0"/>
                  <wp:docPr id="27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4" w:type="dxa"/>
          </w:tcPr>
          <w:p w14:paraId="27B3970A" w14:textId="77777777" w:rsidR="00777E00" w:rsidRDefault="00777E00" w:rsidP="00147A22">
            <w:pPr>
              <w:pStyle w:val="TableParagraph"/>
              <w:spacing w:before="7"/>
              <w:rPr>
                <w:rFonts w:ascii="Arial"/>
                <w:b/>
                <w:sz w:val="26"/>
              </w:rPr>
            </w:pPr>
          </w:p>
          <w:p w14:paraId="2FB62856" w14:textId="36828FC6" w:rsidR="00777E00" w:rsidRDefault="004C2B53" w:rsidP="00147A22">
            <w:pPr>
              <w:pStyle w:val="TableParagraph"/>
              <w:spacing w:line="180" w:lineRule="exact"/>
              <w:ind w:left="451"/>
              <w:rPr>
                <w:rFonts w:ascii="Arial"/>
                <w:sz w:val="18"/>
              </w:rPr>
            </w:pPr>
            <w:r w:rsidRPr="00777E00">
              <w:rPr>
                <w:rFonts w:ascii="Arial"/>
                <w:color w:val="000000" w:themeColor="text1"/>
                <w:sz w:val="18"/>
              </w:rPr>
              <w:t>X</w:t>
            </w:r>
          </w:p>
        </w:tc>
        <w:tc>
          <w:tcPr>
            <w:tcW w:w="1075" w:type="dxa"/>
          </w:tcPr>
          <w:p w14:paraId="7A362C94" w14:textId="77777777" w:rsidR="00777E00" w:rsidRPr="00777E00" w:rsidRDefault="00777E00" w:rsidP="00147A22">
            <w:pPr>
              <w:pStyle w:val="TableParagraph"/>
              <w:spacing w:before="7"/>
              <w:rPr>
                <w:rFonts w:ascii="Arial"/>
                <w:b/>
                <w:color w:val="000000" w:themeColor="text1"/>
                <w:sz w:val="26"/>
              </w:rPr>
            </w:pPr>
          </w:p>
          <w:p w14:paraId="0B591298" w14:textId="0F7E9D50" w:rsidR="00777E00" w:rsidRDefault="004C2B53"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765AC94" wp14:editId="629A6B2D">
                  <wp:extent cx="114300" cy="11430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75" w:type="dxa"/>
          </w:tcPr>
          <w:p w14:paraId="732B0930" w14:textId="77777777" w:rsidR="00777E00" w:rsidRDefault="00777E00" w:rsidP="00147A22">
            <w:pPr>
              <w:pStyle w:val="TableParagraph"/>
              <w:spacing w:before="7"/>
              <w:rPr>
                <w:rFonts w:ascii="Arial"/>
                <w:b/>
                <w:sz w:val="26"/>
              </w:rPr>
            </w:pPr>
          </w:p>
          <w:p w14:paraId="550C6A93" w14:textId="77777777" w:rsidR="00777E00" w:rsidRDefault="00777E00"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0D43FA08" wp14:editId="03DBCEDD">
                  <wp:extent cx="114300" cy="114300"/>
                  <wp:effectExtent l="0" t="0" r="0" b="0"/>
                  <wp:docPr id="27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3" w:type="dxa"/>
          </w:tcPr>
          <w:p w14:paraId="58617838" w14:textId="77777777" w:rsidR="00777E00" w:rsidRDefault="00777E00" w:rsidP="00147A22">
            <w:pPr>
              <w:pStyle w:val="TableParagraph"/>
              <w:spacing w:before="7"/>
              <w:rPr>
                <w:rFonts w:ascii="Arial"/>
                <w:b/>
                <w:sz w:val="26"/>
              </w:rPr>
            </w:pPr>
          </w:p>
          <w:p w14:paraId="2E4DEEFC" w14:textId="77777777" w:rsidR="00777E00" w:rsidRDefault="00777E00"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229BB27A" wp14:editId="4A1AC305">
                  <wp:extent cx="114300" cy="114300"/>
                  <wp:effectExtent l="0" t="0" r="0" b="0"/>
                  <wp:docPr id="27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7E00" w14:paraId="0EDD24EA" w14:textId="77777777" w:rsidTr="007516A1">
        <w:trPr>
          <w:trHeight w:val="892"/>
          <w:jc w:val="center"/>
        </w:trPr>
        <w:tc>
          <w:tcPr>
            <w:tcW w:w="2859" w:type="dxa"/>
          </w:tcPr>
          <w:p w14:paraId="752E5495" w14:textId="77777777" w:rsidR="00777E00" w:rsidRDefault="00777E00" w:rsidP="00147A22">
            <w:pPr>
              <w:pStyle w:val="TableParagraph"/>
              <w:spacing w:before="69" w:line="199" w:lineRule="auto"/>
              <w:ind w:left="185" w:right="164"/>
              <w:rPr>
                <w:sz w:val="19"/>
              </w:rPr>
            </w:pPr>
            <w:r>
              <w:rPr>
                <w:w w:val="105"/>
                <w:sz w:val="19"/>
              </w:rPr>
              <w:lastRenderedPageBreak/>
              <w:t>Lack of harmonised approach to RegTech within the EU</w:t>
            </w:r>
          </w:p>
        </w:tc>
        <w:tc>
          <w:tcPr>
            <w:tcW w:w="1239" w:type="dxa"/>
          </w:tcPr>
          <w:p w14:paraId="0D6FD5A3" w14:textId="77777777" w:rsidR="00777E00" w:rsidRDefault="00777E00" w:rsidP="00147A22">
            <w:pPr>
              <w:pStyle w:val="TableParagraph"/>
              <w:spacing w:before="7"/>
              <w:rPr>
                <w:rFonts w:ascii="Arial"/>
                <w:b/>
                <w:sz w:val="26"/>
              </w:rPr>
            </w:pPr>
          </w:p>
          <w:p w14:paraId="16638B49" w14:textId="77777777" w:rsidR="00777E00" w:rsidRDefault="00777E00" w:rsidP="00147A22">
            <w:pPr>
              <w:pStyle w:val="TableParagraph"/>
              <w:spacing w:line="180" w:lineRule="exact"/>
              <w:ind w:left="554"/>
              <w:rPr>
                <w:rFonts w:ascii="Arial"/>
                <w:sz w:val="18"/>
              </w:rPr>
            </w:pPr>
            <w:r>
              <w:rPr>
                <w:rFonts w:ascii="Arial"/>
                <w:noProof/>
                <w:position w:val="-3"/>
                <w:sz w:val="18"/>
                <w:lang w:val="en-GB" w:eastAsia="en-GB"/>
              </w:rPr>
              <w:drawing>
                <wp:inline distT="0" distB="0" distL="0" distR="0" wp14:anchorId="7FB86257" wp14:editId="5FA1A767">
                  <wp:extent cx="114300" cy="114300"/>
                  <wp:effectExtent l="0" t="0" r="0" b="0"/>
                  <wp:docPr id="27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201" w:type="dxa"/>
          </w:tcPr>
          <w:p w14:paraId="03E3246C" w14:textId="77777777" w:rsidR="00777E00" w:rsidRDefault="00777E00" w:rsidP="00147A22">
            <w:pPr>
              <w:pStyle w:val="TableParagraph"/>
              <w:spacing w:before="7"/>
              <w:rPr>
                <w:rFonts w:ascii="Arial"/>
                <w:b/>
                <w:sz w:val="26"/>
              </w:rPr>
            </w:pPr>
          </w:p>
          <w:p w14:paraId="3BF8FFDA" w14:textId="77777777" w:rsidR="00777E00" w:rsidRDefault="00777E00" w:rsidP="00147A22">
            <w:pPr>
              <w:pStyle w:val="TableParagraph"/>
              <w:spacing w:line="180" w:lineRule="exact"/>
              <w:ind w:left="534"/>
              <w:rPr>
                <w:rFonts w:ascii="Arial"/>
                <w:sz w:val="18"/>
              </w:rPr>
            </w:pPr>
            <w:r>
              <w:rPr>
                <w:rFonts w:ascii="Arial"/>
                <w:noProof/>
                <w:position w:val="-3"/>
                <w:sz w:val="18"/>
                <w:lang w:val="en-GB" w:eastAsia="en-GB"/>
              </w:rPr>
              <w:drawing>
                <wp:inline distT="0" distB="0" distL="0" distR="0" wp14:anchorId="57A007BD" wp14:editId="3155B806">
                  <wp:extent cx="114300" cy="114300"/>
                  <wp:effectExtent l="0" t="0" r="0" b="0"/>
                  <wp:docPr id="27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4" w:type="dxa"/>
          </w:tcPr>
          <w:p w14:paraId="5A7C2603" w14:textId="77777777" w:rsidR="00777E00" w:rsidRDefault="00777E00" w:rsidP="00147A22">
            <w:pPr>
              <w:pStyle w:val="TableParagraph"/>
              <w:spacing w:before="7"/>
              <w:rPr>
                <w:rFonts w:ascii="Arial"/>
                <w:b/>
                <w:sz w:val="26"/>
              </w:rPr>
            </w:pPr>
          </w:p>
          <w:p w14:paraId="67CB166E" w14:textId="77777777" w:rsidR="00777E00" w:rsidRDefault="00777E00"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40819A44" wp14:editId="4708059C">
                  <wp:extent cx="114300" cy="114300"/>
                  <wp:effectExtent l="0" t="0" r="0" b="0"/>
                  <wp:docPr id="27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75" w:type="dxa"/>
          </w:tcPr>
          <w:p w14:paraId="752875E4" w14:textId="77777777" w:rsidR="00777E00" w:rsidRDefault="00777E00" w:rsidP="00147A22">
            <w:pPr>
              <w:pStyle w:val="TableParagraph"/>
              <w:spacing w:before="7"/>
              <w:rPr>
                <w:rFonts w:ascii="Arial"/>
                <w:b/>
                <w:sz w:val="26"/>
              </w:rPr>
            </w:pPr>
          </w:p>
          <w:p w14:paraId="2C3F964E" w14:textId="3B2E6C00" w:rsidR="00777E00" w:rsidRDefault="00777E00" w:rsidP="00147A22">
            <w:pPr>
              <w:pStyle w:val="TableParagraph"/>
              <w:spacing w:line="180" w:lineRule="exact"/>
              <w:ind w:left="468"/>
              <w:rPr>
                <w:rFonts w:ascii="Arial"/>
                <w:sz w:val="18"/>
              </w:rPr>
            </w:pPr>
            <w:r>
              <w:rPr>
                <w:rFonts w:ascii="Arial"/>
                <w:noProof/>
                <w:position w:val="-3"/>
                <w:sz w:val="18"/>
                <w:lang w:val="en-GB" w:eastAsia="en-GB"/>
              </w:rPr>
              <w:t xml:space="preserve"> </w:t>
            </w:r>
            <w:r w:rsidR="004C2B53" w:rsidRPr="00777E00">
              <w:rPr>
                <w:rFonts w:ascii="Arial"/>
                <w:color w:val="000000" w:themeColor="text1"/>
                <w:sz w:val="18"/>
              </w:rPr>
              <w:t>X</w:t>
            </w:r>
          </w:p>
        </w:tc>
        <w:tc>
          <w:tcPr>
            <w:tcW w:w="1075" w:type="dxa"/>
          </w:tcPr>
          <w:p w14:paraId="1E75E629" w14:textId="77777777" w:rsidR="00777E00" w:rsidRDefault="00777E00" w:rsidP="00147A22">
            <w:pPr>
              <w:pStyle w:val="TableParagraph"/>
              <w:spacing w:before="7"/>
              <w:rPr>
                <w:rFonts w:ascii="Arial"/>
                <w:b/>
                <w:sz w:val="26"/>
              </w:rPr>
            </w:pPr>
          </w:p>
          <w:p w14:paraId="2C0B72BC" w14:textId="5B20E230" w:rsidR="00777E00" w:rsidRDefault="004C2B53"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17923CBB" wp14:editId="60309DFC">
                  <wp:extent cx="114300" cy="114300"/>
                  <wp:effectExtent l="0" t="0" r="0" b="0"/>
                  <wp:docPr id="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0"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653" w:type="dxa"/>
          </w:tcPr>
          <w:p w14:paraId="4E3D66D8" w14:textId="77777777" w:rsidR="00777E00" w:rsidRDefault="00777E00" w:rsidP="00147A22">
            <w:pPr>
              <w:pStyle w:val="TableParagraph"/>
              <w:spacing w:before="7"/>
              <w:rPr>
                <w:rFonts w:ascii="Arial"/>
                <w:b/>
                <w:sz w:val="26"/>
              </w:rPr>
            </w:pPr>
          </w:p>
          <w:p w14:paraId="249F506D" w14:textId="77777777" w:rsidR="00777E00" w:rsidRDefault="00777E00"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2706755F" wp14:editId="3DD17482">
                  <wp:extent cx="114300" cy="114300"/>
                  <wp:effectExtent l="0" t="0" r="0" b="0"/>
                  <wp:docPr id="27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0"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r w:rsidR="00777E00" w14:paraId="5541F330" w14:textId="77777777" w:rsidTr="007516A1">
        <w:trPr>
          <w:trHeight w:val="597"/>
          <w:jc w:val="center"/>
        </w:trPr>
        <w:tc>
          <w:tcPr>
            <w:tcW w:w="2859" w:type="dxa"/>
          </w:tcPr>
          <w:p w14:paraId="54DDEB24" w14:textId="77777777" w:rsidR="00777E00" w:rsidRDefault="00777E00" w:rsidP="00147A22">
            <w:pPr>
              <w:pStyle w:val="TableParagraph"/>
              <w:spacing w:before="25"/>
              <w:ind w:left="185"/>
              <w:rPr>
                <w:sz w:val="19"/>
              </w:rPr>
            </w:pPr>
            <w:r>
              <w:rPr>
                <w:w w:val="105"/>
                <w:sz w:val="19"/>
              </w:rPr>
              <w:t>Other</w:t>
            </w:r>
          </w:p>
        </w:tc>
        <w:tc>
          <w:tcPr>
            <w:tcW w:w="1239" w:type="dxa"/>
          </w:tcPr>
          <w:p w14:paraId="60929E84" w14:textId="77777777" w:rsidR="00777E00" w:rsidRDefault="00777E00" w:rsidP="00147A22">
            <w:pPr>
              <w:pStyle w:val="TableParagraph"/>
              <w:spacing w:before="8"/>
              <w:rPr>
                <w:rFonts w:ascii="Arial"/>
                <w:b/>
                <w:sz w:val="13"/>
              </w:rPr>
            </w:pPr>
          </w:p>
          <w:p w14:paraId="73D81101" w14:textId="77777777" w:rsidR="00777E00" w:rsidRDefault="00777E00" w:rsidP="00147A22">
            <w:pPr>
              <w:pStyle w:val="TableParagraph"/>
              <w:spacing w:line="180" w:lineRule="exact"/>
              <w:ind w:left="554"/>
              <w:rPr>
                <w:rFonts w:ascii="Arial"/>
                <w:sz w:val="18"/>
              </w:rPr>
            </w:pPr>
            <w:r>
              <w:rPr>
                <w:rFonts w:ascii="Arial"/>
                <w:noProof/>
                <w:position w:val="-3"/>
                <w:sz w:val="18"/>
                <w:lang w:val="en-GB" w:eastAsia="en-GB"/>
              </w:rPr>
              <w:drawing>
                <wp:inline distT="0" distB="0" distL="0" distR="0" wp14:anchorId="276F8581" wp14:editId="7C617D60">
                  <wp:extent cx="114300" cy="114300"/>
                  <wp:effectExtent l="0" t="0" r="0" b="0"/>
                  <wp:docPr id="27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2"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201" w:type="dxa"/>
          </w:tcPr>
          <w:p w14:paraId="43115883" w14:textId="77777777" w:rsidR="00777E00" w:rsidRDefault="00777E00" w:rsidP="00147A22">
            <w:pPr>
              <w:pStyle w:val="TableParagraph"/>
              <w:spacing w:before="8"/>
              <w:rPr>
                <w:rFonts w:ascii="Arial"/>
                <w:b/>
                <w:sz w:val="13"/>
              </w:rPr>
            </w:pPr>
          </w:p>
          <w:p w14:paraId="0B7D6AE4" w14:textId="77777777" w:rsidR="00777E00" w:rsidRDefault="00777E00" w:rsidP="00147A22">
            <w:pPr>
              <w:pStyle w:val="TableParagraph"/>
              <w:spacing w:line="180" w:lineRule="exact"/>
              <w:ind w:left="534"/>
              <w:rPr>
                <w:rFonts w:ascii="Arial"/>
                <w:sz w:val="18"/>
              </w:rPr>
            </w:pPr>
            <w:r>
              <w:rPr>
                <w:rFonts w:ascii="Arial"/>
                <w:noProof/>
                <w:position w:val="-3"/>
                <w:sz w:val="18"/>
                <w:lang w:val="en-GB" w:eastAsia="en-GB"/>
              </w:rPr>
              <w:drawing>
                <wp:inline distT="0" distB="0" distL="0" distR="0" wp14:anchorId="4313D212" wp14:editId="6A6EE2AA">
                  <wp:extent cx="114300" cy="114300"/>
                  <wp:effectExtent l="0" t="0" r="0" b="0"/>
                  <wp:docPr id="27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4"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44" w:type="dxa"/>
          </w:tcPr>
          <w:p w14:paraId="657A6360" w14:textId="77777777" w:rsidR="00777E00" w:rsidRDefault="00777E00" w:rsidP="00147A22">
            <w:pPr>
              <w:pStyle w:val="TableParagraph"/>
              <w:spacing w:before="8"/>
              <w:rPr>
                <w:rFonts w:ascii="Arial"/>
                <w:b/>
                <w:sz w:val="13"/>
              </w:rPr>
            </w:pPr>
          </w:p>
          <w:p w14:paraId="23433CB5" w14:textId="77777777" w:rsidR="00777E00" w:rsidRDefault="00777E00" w:rsidP="00147A22">
            <w:pPr>
              <w:pStyle w:val="TableParagraph"/>
              <w:spacing w:line="180" w:lineRule="exact"/>
              <w:ind w:left="451"/>
              <w:rPr>
                <w:rFonts w:ascii="Arial"/>
                <w:sz w:val="18"/>
              </w:rPr>
            </w:pPr>
            <w:r>
              <w:rPr>
                <w:rFonts w:ascii="Arial"/>
                <w:noProof/>
                <w:position w:val="-3"/>
                <w:sz w:val="18"/>
                <w:lang w:val="en-GB" w:eastAsia="en-GB"/>
              </w:rPr>
              <w:drawing>
                <wp:inline distT="0" distB="0" distL="0" distR="0" wp14:anchorId="3AFA83B4" wp14:editId="379B521B">
                  <wp:extent cx="114300" cy="114300"/>
                  <wp:effectExtent l="0" t="0" r="0" b="0"/>
                  <wp:docPr id="27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75" w:type="dxa"/>
          </w:tcPr>
          <w:p w14:paraId="657CB5A2" w14:textId="77777777" w:rsidR="00777E00" w:rsidRDefault="00777E00" w:rsidP="00147A22">
            <w:pPr>
              <w:pStyle w:val="TableParagraph"/>
              <w:spacing w:before="8"/>
              <w:rPr>
                <w:rFonts w:ascii="Arial"/>
                <w:b/>
                <w:sz w:val="13"/>
              </w:rPr>
            </w:pPr>
          </w:p>
          <w:p w14:paraId="7C50E56F" w14:textId="77777777" w:rsidR="00777E00" w:rsidRDefault="00777E00" w:rsidP="00147A22">
            <w:pPr>
              <w:pStyle w:val="TableParagraph"/>
              <w:spacing w:line="180" w:lineRule="exact"/>
              <w:ind w:left="468"/>
              <w:rPr>
                <w:rFonts w:ascii="Arial"/>
                <w:sz w:val="18"/>
              </w:rPr>
            </w:pPr>
            <w:r>
              <w:rPr>
                <w:rFonts w:ascii="Arial"/>
                <w:noProof/>
                <w:position w:val="-3"/>
                <w:sz w:val="18"/>
                <w:lang w:val="en-GB" w:eastAsia="en-GB"/>
              </w:rPr>
              <w:drawing>
                <wp:inline distT="0" distB="0" distL="0" distR="0" wp14:anchorId="5CA994BF" wp14:editId="70BC5367">
                  <wp:extent cx="114300" cy="114300"/>
                  <wp:effectExtent l="0" t="0" r="0" b="0"/>
                  <wp:docPr id="27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 name="image1.png"/>
                          <pic:cNvPicPr/>
                        </pic:nvPicPr>
                        <pic:blipFill>
                          <a:blip r:embed="rId19" cstate="print"/>
                          <a:stretch>
                            <a:fillRect/>
                          </a:stretch>
                        </pic:blipFill>
                        <pic:spPr>
                          <a:xfrm>
                            <a:off x="0" y="0"/>
                            <a:ext cx="114300" cy="114300"/>
                          </a:xfrm>
                          <a:prstGeom prst="rect">
                            <a:avLst/>
                          </a:prstGeom>
                        </pic:spPr>
                      </pic:pic>
                    </a:graphicData>
                  </a:graphic>
                </wp:inline>
              </w:drawing>
            </w:r>
          </w:p>
        </w:tc>
        <w:tc>
          <w:tcPr>
            <w:tcW w:w="1075" w:type="dxa"/>
          </w:tcPr>
          <w:p w14:paraId="467ECE82" w14:textId="77777777" w:rsidR="00777E00" w:rsidRDefault="00777E00" w:rsidP="00147A22">
            <w:pPr>
              <w:pStyle w:val="TableParagraph"/>
              <w:spacing w:before="8"/>
              <w:rPr>
                <w:rFonts w:ascii="Arial"/>
                <w:b/>
                <w:sz w:val="13"/>
              </w:rPr>
            </w:pPr>
          </w:p>
          <w:p w14:paraId="09C51C62" w14:textId="48608B91" w:rsidR="00777E00" w:rsidRDefault="003D5A85" w:rsidP="00147A22">
            <w:pPr>
              <w:pStyle w:val="TableParagraph"/>
              <w:spacing w:line="180" w:lineRule="exact"/>
              <w:ind w:left="468"/>
              <w:rPr>
                <w:rFonts w:ascii="Arial"/>
                <w:sz w:val="18"/>
              </w:rPr>
            </w:pPr>
            <w:r>
              <w:rPr>
                <w:rFonts w:ascii="Arial"/>
                <w:sz w:val="18"/>
              </w:rPr>
              <w:t>X</w:t>
            </w:r>
          </w:p>
        </w:tc>
        <w:tc>
          <w:tcPr>
            <w:tcW w:w="653" w:type="dxa"/>
          </w:tcPr>
          <w:p w14:paraId="69DE9631" w14:textId="77777777" w:rsidR="00777E00" w:rsidRDefault="00777E00" w:rsidP="00147A22">
            <w:pPr>
              <w:pStyle w:val="TableParagraph"/>
              <w:spacing w:before="8"/>
              <w:rPr>
                <w:rFonts w:ascii="Arial"/>
                <w:b/>
                <w:sz w:val="13"/>
              </w:rPr>
            </w:pPr>
          </w:p>
          <w:p w14:paraId="1B34D7A7" w14:textId="77777777" w:rsidR="00777E00" w:rsidRDefault="00777E00" w:rsidP="00147A22">
            <w:pPr>
              <w:pStyle w:val="TableParagraph"/>
              <w:spacing w:line="180" w:lineRule="exact"/>
              <w:ind w:left="245"/>
              <w:rPr>
                <w:rFonts w:ascii="Arial"/>
                <w:sz w:val="18"/>
              </w:rPr>
            </w:pPr>
            <w:r>
              <w:rPr>
                <w:rFonts w:ascii="Arial"/>
                <w:noProof/>
                <w:position w:val="-3"/>
                <w:sz w:val="18"/>
                <w:lang w:val="en-GB" w:eastAsia="en-GB"/>
              </w:rPr>
              <w:drawing>
                <wp:inline distT="0" distB="0" distL="0" distR="0" wp14:anchorId="18C0397F" wp14:editId="216A7A0E">
                  <wp:extent cx="114300" cy="114300"/>
                  <wp:effectExtent l="0" t="0" r="0" b="0"/>
                  <wp:docPr id="28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2" name="image1.png"/>
                          <pic:cNvPicPr/>
                        </pic:nvPicPr>
                        <pic:blipFill>
                          <a:blip r:embed="rId19" cstate="print"/>
                          <a:stretch>
                            <a:fillRect/>
                          </a:stretch>
                        </pic:blipFill>
                        <pic:spPr>
                          <a:xfrm>
                            <a:off x="0" y="0"/>
                            <a:ext cx="114300" cy="114300"/>
                          </a:xfrm>
                          <a:prstGeom prst="rect">
                            <a:avLst/>
                          </a:prstGeom>
                        </pic:spPr>
                      </pic:pic>
                    </a:graphicData>
                  </a:graphic>
                </wp:inline>
              </w:drawing>
            </w:r>
          </w:p>
        </w:tc>
      </w:tr>
    </w:tbl>
    <w:p w14:paraId="541A51C6" w14:textId="5AAA7E9E" w:rsidR="007516A1" w:rsidRPr="006D045B" w:rsidRDefault="007516A1" w:rsidP="00CC6A0F">
      <w:pPr>
        <w:spacing w:before="276"/>
        <w:jc w:val="both"/>
        <w:rPr>
          <w:rFonts w:ascii="Calibri" w:hAnsi="Calibri" w:cs="Calibri"/>
          <w:b/>
        </w:rPr>
      </w:pPr>
      <w:r w:rsidRPr="006D045B">
        <w:rPr>
          <w:rFonts w:ascii="Calibri" w:hAnsi="Calibri" w:cs="Calibri"/>
          <w:b/>
        </w:rPr>
        <w:t xml:space="preserve">Please specify what are the other main </w:t>
      </w:r>
      <w:r w:rsidR="00CC6A0F">
        <w:rPr>
          <w:rFonts w:ascii="Calibri" w:hAnsi="Calibri" w:cs="Calibri"/>
          <w:b/>
        </w:rPr>
        <w:t>barrier(s) for new financial</w:t>
      </w:r>
      <w:r w:rsidRPr="006D045B">
        <w:rPr>
          <w:rFonts w:ascii="Calibri" w:hAnsi="Calibri" w:cs="Calibri"/>
          <w:b/>
        </w:rPr>
        <w:t xml:space="preserve"> service providers solutions to scale up in the Single Market:</w:t>
      </w:r>
    </w:p>
    <w:p w14:paraId="3B1B8760" w14:textId="1E1B5FEC" w:rsidR="007516A1" w:rsidRDefault="007516A1" w:rsidP="007516A1">
      <w:pPr>
        <w:jc w:val="both"/>
        <w:rPr>
          <w:rFonts w:ascii="Calibri" w:hAnsi="Calibri" w:cs="Calibri"/>
          <w:color w:val="000000" w:themeColor="text1"/>
          <w:sz w:val="22"/>
          <w:szCs w:val="22"/>
        </w:rPr>
      </w:pPr>
    </w:p>
    <w:p w14:paraId="385364C7" w14:textId="77777777" w:rsidR="002E21A3" w:rsidRPr="007516A1" w:rsidRDefault="002E21A3" w:rsidP="006D045B">
      <w:pPr>
        <w:spacing w:line="276" w:lineRule="auto"/>
        <w:jc w:val="both"/>
        <w:rPr>
          <w:rFonts w:ascii="Calibri" w:hAnsi="Calibri" w:cs="Calibri"/>
          <w:color w:val="000000" w:themeColor="text1"/>
          <w:sz w:val="22"/>
          <w:szCs w:val="22"/>
        </w:rPr>
      </w:pPr>
      <w:r w:rsidRPr="007516A1">
        <w:rPr>
          <w:rFonts w:ascii="Calibri" w:hAnsi="Calibri" w:cs="Calibri"/>
          <w:color w:val="000000" w:themeColor="text1"/>
          <w:sz w:val="22"/>
          <w:szCs w:val="22"/>
        </w:rPr>
        <w:t xml:space="preserve">The EBA conducts semi-annual Risk Assessment Questionnaires (RAQs) among </w:t>
      </w:r>
      <w:r>
        <w:rPr>
          <w:rFonts w:ascii="Calibri" w:hAnsi="Calibri" w:cs="Calibri"/>
          <w:color w:val="000000" w:themeColor="text1"/>
          <w:sz w:val="22"/>
          <w:szCs w:val="22"/>
        </w:rPr>
        <w:t>the largest EU banks</w:t>
      </w:r>
      <w:r w:rsidRPr="007516A1">
        <w:rPr>
          <w:rFonts w:ascii="Calibri" w:hAnsi="Calibri" w:cs="Calibri"/>
          <w:color w:val="000000" w:themeColor="text1"/>
          <w:sz w:val="22"/>
          <w:szCs w:val="22"/>
        </w:rPr>
        <w:t xml:space="preserve">, in order to collect information on the market trends in the banking sector. The </w:t>
      </w:r>
      <w:r>
        <w:rPr>
          <w:rFonts w:ascii="Calibri" w:hAnsi="Calibri" w:cs="Calibri"/>
          <w:color w:val="000000" w:themeColor="text1"/>
          <w:sz w:val="22"/>
          <w:szCs w:val="22"/>
        </w:rPr>
        <w:t xml:space="preserve">spring 2020 </w:t>
      </w:r>
      <w:r w:rsidRPr="007516A1">
        <w:rPr>
          <w:rFonts w:ascii="Calibri" w:hAnsi="Calibri" w:cs="Calibri"/>
          <w:color w:val="000000" w:themeColor="text1"/>
          <w:sz w:val="22"/>
          <w:szCs w:val="22"/>
        </w:rPr>
        <w:t>RAQ</w:t>
      </w:r>
      <w:r>
        <w:rPr>
          <w:rFonts w:ascii="Calibri" w:hAnsi="Calibri" w:cs="Calibri"/>
          <w:color w:val="000000" w:themeColor="text1"/>
          <w:sz w:val="22"/>
          <w:szCs w:val="22"/>
        </w:rPr>
        <w:t xml:space="preserve"> </w:t>
      </w:r>
      <w:r w:rsidRPr="007516A1">
        <w:rPr>
          <w:rFonts w:ascii="Calibri" w:hAnsi="Calibri" w:cs="Calibri"/>
          <w:color w:val="000000" w:themeColor="text1"/>
          <w:sz w:val="22"/>
          <w:szCs w:val="22"/>
        </w:rPr>
        <w:t xml:space="preserve">included questions on RegTech aimed to better understand the current landscape and identify any barriers hindering the possibility to fully leverage innovative tools for regulatory compliance. </w:t>
      </w:r>
    </w:p>
    <w:p w14:paraId="724DEA40" w14:textId="77777777" w:rsidR="002E21A3" w:rsidRPr="007516A1" w:rsidRDefault="002E21A3" w:rsidP="006D045B">
      <w:pPr>
        <w:spacing w:line="276" w:lineRule="auto"/>
        <w:jc w:val="both"/>
        <w:rPr>
          <w:rFonts w:ascii="Calibri" w:hAnsi="Calibri" w:cs="Calibri"/>
          <w:color w:val="000000" w:themeColor="text1"/>
          <w:sz w:val="22"/>
          <w:szCs w:val="22"/>
        </w:rPr>
      </w:pPr>
    </w:p>
    <w:p w14:paraId="32208FCA" w14:textId="3741D524" w:rsidR="002E21A3" w:rsidRPr="007516A1" w:rsidRDefault="002E21A3" w:rsidP="006D045B">
      <w:pPr>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rPr>
        <w:t xml:space="preserve">Responses from </w:t>
      </w:r>
      <w:r w:rsidR="0049032C">
        <w:rPr>
          <w:rFonts w:ascii="Calibri" w:hAnsi="Calibri" w:cs="Calibri"/>
          <w:color w:val="000000" w:themeColor="text1"/>
          <w:sz w:val="22"/>
          <w:szCs w:val="22"/>
        </w:rPr>
        <w:t xml:space="preserve">a sample of </w:t>
      </w:r>
      <w:r>
        <w:rPr>
          <w:rFonts w:ascii="Calibri" w:hAnsi="Calibri" w:cs="Calibri"/>
          <w:color w:val="000000" w:themeColor="text1"/>
          <w:sz w:val="22"/>
          <w:szCs w:val="22"/>
        </w:rPr>
        <w:t xml:space="preserve">50 EU </w:t>
      </w:r>
      <w:r w:rsidR="0049032C">
        <w:rPr>
          <w:rFonts w:ascii="Calibri" w:hAnsi="Calibri" w:cs="Calibri"/>
          <w:color w:val="000000" w:themeColor="text1"/>
          <w:sz w:val="22"/>
          <w:szCs w:val="22"/>
        </w:rPr>
        <w:t xml:space="preserve">(mostly </w:t>
      </w:r>
      <w:r w:rsidR="00CB1331">
        <w:rPr>
          <w:rFonts w:ascii="Calibri" w:hAnsi="Calibri" w:cs="Calibri"/>
          <w:color w:val="000000" w:themeColor="text1"/>
          <w:sz w:val="22"/>
          <w:szCs w:val="22"/>
        </w:rPr>
        <w:t>large</w:t>
      </w:r>
      <w:r w:rsidR="0049032C">
        <w:rPr>
          <w:rFonts w:ascii="Calibri" w:hAnsi="Calibri" w:cs="Calibri"/>
          <w:color w:val="000000" w:themeColor="text1"/>
          <w:sz w:val="22"/>
          <w:szCs w:val="22"/>
        </w:rPr>
        <w:t>)</w:t>
      </w:r>
      <w:r>
        <w:rPr>
          <w:rFonts w:ascii="Calibri" w:hAnsi="Calibri" w:cs="Calibri"/>
          <w:color w:val="000000" w:themeColor="text1"/>
          <w:sz w:val="22"/>
          <w:szCs w:val="22"/>
        </w:rPr>
        <w:t xml:space="preserve"> banks </w:t>
      </w:r>
      <w:r w:rsidRPr="007516A1">
        <w:rPr>
          <w:rFonts w:ascii="Calibri" w:hAnsi="Calibri" w:cs="Calibri"/>
          <w:color w:val="000000" w:themeColor="text1"/>
          <w:sz w:val="22"/>
          <w:szCs w:val="22"/>
        </w:rPr>
        <w:t xml:space="preserve">have shown </w:t>
      </w:r>
      <w:r>
        <w:rPr>
          <w:rFonts w:ascii="Calibri" w:hAnsi="Calibri" w:cs="Calibri"/>
          <w:color w:val="000000" w:themeColor="text1"/>
          <w:sz w:val="22"/>
          <w:szCs w:val="22"/>
        </w:rPr>
        <w:t xml:space="preserve">a significant interest in RegTech, as around 42% EU </w:t>
      </w:r>
      <w:r w:rsidR="00B35C73">
        <w:rPr>
          <w:rFonts w:ascii="Calibri" w:hAnsi="Calibri" w:cs="Calibri"/>
          <w:color w:val="000000" w:themeColor="text1"/>
          <w:sz w:val="22"/>
          <w:szCs w:val="22"/>
        </w:rPr>
        <w:t xml:space="preserve">respondents </w:t>
      </w:r>
      <w:r>
        <w:rPr>
          <w:rFonts w:ascii="Calibri" w:hAnsi="Calibri" w:cs="Calibri"/>
          <w:color w:val="000000" w:themeColor="text1"/>
          <w:sz w:val="22"/>
          <w:szCs w:val="22"/>
        </w:rPr>
        <w:t xml:space="preserve">reported to </w:t>
      </w:r>
      <w:r w:rsidRPr="007516A1">
        <w:rPr>
          <w:rFonts w:ascii="Calibri" w:hAnsi="Calibri" w:cs="Calibri"/>
          <w:color w:val="000000" w:themeColor="text1"/>
          <w:sz w:val="22"/>
          <w:szCs w:val="22"/>
        </w:rPr>
        <w:t xml:space="preserve">have implemented at least one RegTech solution. </w:t>
      </w:r>
      <w:r w:rsidR="00FA1474">
        <w:rPr>
          <w:rFonts w:ascii="Calibri" w:hAnsi="Calibri" w:cs="Calibri"/>
          <w:color w:val="000000" w:themeColor="text1"/>
          <w:sz w:val="22"/>
          <w:szCs w:val="22"/>
        </w:rPr>
        <w:t>Banks</w:t>
      </w:r>
      <w:r w:rsidR="00FA1474" w:rsidRPr="007516A1">
        <w:rPr>
          <w:rFonts w:ascii="Calibri" w:hAnsi="Calibri" w:cs="Calibri"/>
          <w:color w:val="000000" w:themeColor="text1"/>
          <w:sz w:val="22"/>
          <w:szCs w:val="22"/>
        </w:rPr>
        <w:t xml:space="preserve"> </w:t>
      </w:r>
      <w:r w:rsidRPr="007516A1">
        <w:rPr>
          <w:rFonts w:ascii="Calibri" w:hAnsi="Calibri" w:cs="Calibri"/>
          <w:color w:val="000000" w:themeColor="text1"/>
          <w:sz w:val="22"/>
          <w:szCs w:val="22"/>
        </w:rPr>
        <w:t>have adopted a wide range of RegTech solutions</w:t>
      </w:r>
      <w:r>
        <w:rPr>
          <w:rFonts w:ascii="Calibri" w:hAnsi="Calibri" w:cs="Calibri"/>
          <w:color w:val="000000" w:themeColor="text1"/>
          <w:sz w:val="22"/>
          <w:szCs w:val="22"/>
        </w:rPr>
        <w:t xml:space="preserve"> aiming </w:t>
      </w:r>
      <w:r w:rsidRPr="007516A1">
        <w:rPr>
          <w:rFonts w:ascii="Calibri" w:hAnsi="Calibri" w:cs="Calibri"/>
          <w:color w:val="000000" w:themeColor="text1"/>
          <w:sz w:val="22"/>
          <w:szCs w:val="22"/>
        </w:rPr>
        <w:t xml:space="preserve">to automate compliance processes. In particular, the main areas of RegTech solutions are the following: </w:t>
      </w:r>
    </w:p>
    <w:p w14:paraId="2638F9A6" w14:textId="105346C4" w:rsidR="002E21A3" w:rsidRPr="007516A1" w:rsidRDefault="009A1F79" w:rsidP="006D045B">
      <w:pPr>
        <w:pStyle w:val="ListParagraph"/>
        <w:numPr>
          <w:ilvl w:val="0"/>
          <w:numId w:val="15"/>
        </w:numPr>
        <w:spacing w:after="120"/>
        <w:ind w:left="714" w:hanging="357"/>
        <w:contextualSpacing/>
        <w:rPr>
          <w:rFonts w:ascii="Calibri" w:hAnsi="Calibri" w:cs="Calibri"/>
          <w:color w:val="000000" w:themeColor="text1"/>
          <w:szCs w:val="22"/>
        </w:rPr>
      </w:pPr>
      <w:r>
        <w:rPr>
          <w:rFonts w:ascii="Calibri" w:hAnsi="Calibri" w:cs="Calibri"/>
          <w:color w:val="000000" w:themeColor="text1"/>
          <w:szCs w:val="22"/>
        </w:rPr>
        <w:t>a</w:t>
      </w:r>
      <w:r w:rsidR="002E21A3" w:rsidRPr="007516A1">
        <w:rPr>
          <w:rFonts w:ascii="Calibri" w:hAnsi="Calibri" w:cs="Calibri"/>
          <w:color w:val="000000" w:themeColor="text1"/>
          <w:szCs w:val="22"/>
        </w:rPr>
        <w:t>nti-money laundering (e.g. digital identification and KYC);</w:t>
      </w:r>
    </w:p>
    <w:p w14:paraId="46BDDD6F" w14:textId="168A8B2F" w:rsidR="00790227" w:rsidRPr="007516A1" w:rsidRDefault="009A1F79" w:rsidP="00790227">
      <w:pPr>
        <w:pStyle w:val="ListParagraph"/>
        <w:numPr>
          <w:ilvl w:val="0"/>
          <w:numId w:val="15"/>
        </w:numPr>
        <w:spacing w:after="120"/>
        <w:ind w:left="714" w:hanging="357"/>
        <w:contextualSpacing/>
        <w:rPr>
          <w:rFonts w:ascii="Calibri" w:hAnsi="Calibri" w:cs="Calibri"/>
          <w:color w:val="000000" w:themeColor="text1"/>
          <w:szCs w:val="22"/>
        </w:rPr>
      </w:pPr>
      <w:r>
        <w:rPr>
          <w:rFonts w:ascii="Calibri" w:hAnsi="Calibri" w:cs="Calibri"/>
          <w:color w:val="000000" w:themeColor="text1"/>
          <w:szCs w:val="22"/>
        </w:rPr>
        <w:t>t</w:t>
      </w:r>
      <w:r w:rsidR="00790227" w:rsidRPr="007516A1">
        <w:rPr>
          <w:rFonts w:ascii="Calibri" w:hAnsi="Calibri" w:cs="Calibri"/>
          <w:color w:val="000000" w:themeColor="text1"/>
          <w:szCs w:val="22"/>
        </w:rPr>
        <w:t>ransaction monitoring (e.g. tools leveraging on artificial intelligence and machine learning to identify frauds);</w:t>
      </w:r>
    </w:p>
    <w:p w14:paraId="391EF151" w14:textId="232DB0F1" w:rsidR="00790227" w:rsidRPr="007516A1" w:rsidRDefault="009A1F79" w:rsidP="00790227">
      <w:pPr>
        <w:pStyle w:val="ListParagraph"/>
        <w:numPr>
          <w:ilvl w:val="0"/>
          <w:numId w:val="15"/>
        </w:numPr>
        <w:spacing w:after="120"/>
        <w:ind w:left="714" w:hanging="357"/>
        <w:contextualSpacing/>
        <w:rPr>
          <w:rFonts w:ascii="Calibri" w:hAnsi="Calibri" w:cs="Calibri"/>
          <w:color w:val="000000" w:themeColor="text1"/>
          <w:szCs w:val="22"/>
        </w:rPr>
      </w:pPr>
      <w:r>
        <w:rPr>
          <w:rFonts w:ascii="Calibri" w:hAnsi="Calibri" w:cs="Calibri"/>
          <w:color w:val="000000" w:themeColor="text1"/>
          <w:szCs w:val="22"/>
        </w:rPr>
        <w:t>r</w:t>
      </w:r>
      <w:r w:rsidR="00790227" w:rsidRPr="007516A1">
        <w:rPr>
          <w:rFonts w:ascii="Calibri" w:hAnsi="Calibri" w:cs="Calibri"/>
          <w:color w:val="000000" w:themeColor="text1"/>
          <w:szCs w:val="22"/>
        </w:rPr>
        <w:t>eporting;</w:t>
      </w:r>
    </w:p>
    <w:p w14:paraId="1F29EF14" w14:textId="406F38AE" w:rsidR="00790227" w:rsidRPr="007516A1" w:rsidRDefault="009A1F79" w:rsidP="00790227">
      <w:pPr>
        <w:pStyle w:val="ListParagraph"/>
        <w:numPr>
          <w:ilvl w:val="0"/>
          <w:numId w:val="15"/>
        </w:numPr>
        <w:spacing w:after="120"/>
        <w:ind w:left="714" w:hanging="357"/>
        <w:contextualSpacing/>
        <w:rPr>
          <w:rFonts w:ascii="Calibri" w:hAnsi="Calibri" w:cs="Calibri"/>
          <w:color w:val="000000" w:themeColor="text1"/>
          <w:szCs w:val="22"/>
        </w:rPr>
      </w:pPr>
      <w:r>
        <w:rPr>
          <w:rFonts w:ascii="Calibri" w:hAnsi="Calibri" w:cs="Calibri"/>
          <w:color w:val="000000" w:themeColor="text1"/>
          <w:szCs w:val="22"/>
        </w:rPr>
        <w:t>r</w:t>
      </w:r>
      <w:r w:rsidR="00790227" w:rsidRPr="007516A1">
        <w:rPr>
          <w:rFonts w:ascii="Calibri" w:hAnsi="Calibri" w:cs="Calibri"/>
          <w:color w:val="000000" w:themeColor="text1"/>
          <w:szCs w:val="22"/>
        </w:rPr>
        <w:t>isk management;</w:t>
      </w:r>
    </w:p>
    <w:p w14:paraId="1E67C38A" w14:textId="1F0C59E3" w:rsidR="00790227" w:rsidRPr="007516A1" w:rsidRDefault="009A1F79" w:rsidP="00790227">
      <w:pPr>
        <w:pStyle w:val="ListParagraph"/>
        <w:numPr>
          <w:ilvl w:val="0"/>
          <w:numId w:val="15"/>
        </w:numPr>
        <w:spacing w:after="120"/>
        <w:ind w:left="714" w:hanging="357"/>
        <w:contextualSpacing/>
        <w:rPr>
          <w:rFonts w:ascii="Calibri" w:hAnsi="Calibri" w:cs="Calibri"/>
          <w:color w:val="000000" w:themeColor="text1"/>
          <w:szCs w:val="22"/>
        </w:rPr>
      </w:pPr>
      <w:r>
        <w:rPr>
          <w:rFonts w:ascii="Calibri" w:hAnsi="Calibri" w:cs="Calibri"/>
          <w:color w:val="000000" w:themeColor="text1"/>
          <w:szCs w:val="22"/>
        </w:rPr>
        <w:t>m</w:t>
      </w:r>
      <w:r w:rsidR="00790227">
        <w:rPr>
          <w:rFonts w:ascii="Calibri" w:hAnsi="Calibri" w:cs="Calibri"/>
          <w:color w:val="000000" w:themeColor="text1"/>
          <w:szCs w:val="22"/>
        </w:rPr>
        <w:t>onitoring regulatory requirements</w:t>
      </w:r>
      <w:r w:rsidR="00251E66">
        <w:rPr>
          <w:rFonts w:ascii="Calibri" w:hAnsi="Calibri" w:cs="Calibri"/>
          <w:color w:val="000000" w:themeColor="text1"/>
          <w:szCs w:val="22"/>
        </w:rPr>
        <w:t>;</w:t>
      </w:r>
    </w:p>
    <w:p w14:paraId="72CE10CC" w14:textId="0676EF97" w:rsidR="002E21A3" w:rsidRPr="007516A1" w:rsidRDefault="009A1F79" w:rsidP="00251E66">
      <w:pPr>
        <w:pStyle w:val="ListParagraph"/>
        <w:numPr>
          <w:ilvl w:val="0"/>
          <w:numId w:val="15"/>
        </w:numPr>
        <w:spacing w:after="0"/>
        <w:ind w:left="714" w:hanging="357"/>
        <w:contextualSpacing/>
        <w:rPr>
          <w:rFonts w:ascii="Calibri" w:hAnsi="Calibri" w:cs="Calibri"/>
          <w:color w:val="000000" w:themeColor="text1"/>
          <w:szCs w:val="22"/>
        </w:rPr>
      </w:pPr>
      <w:r>
        <w:rPr>
          <w:rFonts w:ascii="Calibri" w:hAnsi="Calibri" w:cs="Calibri"/>
          <w:color w:val="000000" w:themeColor="text1"/>
          <w:szCs w:val="22"/>
        </w:rPr>
        <w:t>s</w:t>
      </w:r>
      <w:r w:rsidR="002E21A3" w:rsidRPr="007516A1">
        <w:rPr>
          <w:rFonts w:ascii="Calibri" w:hAnsi="Calibri" w:cs="Calibri"/>
          <w:color w:val="000000" w:themeColor="text1"/>
          <w:szCs w:val="22"/>
        </w:rPr>
        <w:t>trong customer authenticat</w:t>
      </w:r>
      <w:r w:rsidR="00251E66">
        <w:rPr>
          <w:rFonts w:ascii="Calibri" w:hAnsi="Calibri" w:cs="Calibri"/>
          <w:color w:val="000000" w:themeColor="text1"/>
          <w:szCs w:val="22"/>
        </w:rPr>
        <w:t>ion.</w:t>
      </w:r>
    </w:p>
    <w:p w14:paraId="7A873D59" w14:textId="77777777" w:rsidR="002E21A3" w:rsidRPr="007516A1" w:rsidRDefault="002E21A3" w:rsidP="006D045B">
      <w:pPr>
        <w:spacing w:line="276" w:lineRule="auto"/>
        <w:jc w:val="both"/>
        <w:rPr>
          <w:rFonts w:ascii="Calibri" w:hAnsi="Calibri" w:cs="Calibri"/>
          <w:color w:val="000000" w:themeColor="text1"/>
          <w:sz w:val="22"/>
          <w:szCs w:val="22"/>
        </w:rPr>
      </w:pPr>
    </w:p>
    <w:p w14:paraId="31498BAD" w14:textId="77777777" w:rsidR="002E21A3" w:rsidRPr="007516A1" w:rsidRDefault="002E21A3" w:rsidP="006D045B">
      <w:pPr>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rPr>
        <w:t xml:space="preserve">In terms of the </w:t>
      </w:r>
      <w:r w:rsidRPr="007516A1">
        <w:rPr>
          <w:rFonts w:ascii="Calibri" w:hAnsi="Calibri" w:cs="Calibri"/>
          <w:color w:val="000000" w:themeColor="text1"/>
          <w:sz w:val="22"/>
          <w:szCs w:val="22"/>
        </w:rPr>
        <w:t>challenges faced in the development and implementation of RegTech solutions</w:t>
      </w:r>
      <w:r>
        <w:rPr>
          <w:rFonts w:ascii="Calibri" w:hAnsi="Calibri" w:cs="Calibri"/>
          <w:color w:val="000000" w:themeColor="text1"/>
          <w:sz w:val="22"/>
          <w:szCs w:val="22"/>
        </w:rPr>
        <w:t xml:space="preserve">, </w:t>
      </w:r>
      <w:r w:rsidRPr="007516A1">
        <w:rPr>
          <w:rFonts w:ascii="Calibri" w:hAnsi="Calibri" w:cs="Calibri"/>
          <w:color w:val="000000" w:themeColor="text1"/>
          <w:sz w:val="22"/>
          <w:szCs w:val="22"/>
        </w:rPr>
        <w:t xml:space="preserve">40% </w:t>
      </w:r>
      <w:r>
        <w:rPr>
          <w:rFonts w:ascii="Calibri" w:hAnsi="Calibri" w:cs="Calibri"/>
          <w:color w:val="000000" w:themeColor="text1"/>
          <w:sz w:val="22"/>
          <w:szCs w:val="22"/>
        </w:rPr>
        <w:t xml:space="preserve">of EU banks reported the </w:t>
      </w:r>
      <w:r w:rsidRPr="002327B1">
        <w:rPr>
          <w:rFonts w:ascii="Calibri" w:hAnsi="Calibri" w:cs="Calibri"/>
          <w:b/>
          <w:color w:val="000000" w:themeColor="text1"/>
          <w:sz w:val="22"/>
          <w:szCs w:val="22"/>
        </w:rPr>
        <w:t>‘dependency on third party providers’</w:t>
      </w:r>
      <w:r>
        <w:rPr>
          <w:rFonts w:ascii="Calibri" w:hAnsi="Calibri" w:cs="Calibri"/>
          <w:color w:val="000000" w:themeColor="text1"/>
          <w:sz w:val="22"/>
          <w:szCs w:val="22"/>
        </w:rPr>
        <w:t xml:space="preserve"> as the biggest issue. </w:t>
      </w:r>
      <w:r w:rsidRPr="007516A1">
        <w:rPr>
          <w:rFonts w:ascii="Calibri" w:hAnsi="Calibri" w:cs="Calibri"/>
          <w:color w:val="000000" w:themeColor="text1"/>
          <w:sz w:val="22"/>
          <w:szCs w:val="22"/>
        </w:rPr>
        <w:t>Furthermore, approximately one out of three respondents consider</w:t>
      </w:r>
      <w:r>
        <w:rPr>
          <w:rFonts w:ascii="Calibri" w:hAnsi="Calibri" w:cs="Calibri"/>
          <w:color w:val="000000" w:themeColor="text1"/>
          <w:sz w:val="22"/>
          <w:szCs w:val="22"/>
        </w:rPr>
        <w:t>s</w:t>
      </w:r>
      <w:r w:rsidRPr="007516A1">
        <w:rPr>
          <w:rFonts w:ascii="Calibri" w:hAnsi="Calibri" w:cs="Calibri"/>
          <w:color w:val="000000" w:themeColor="text1"/>
          <w:sz w:val="22"/>
          <w:szCs w:val="22"/>
        </w:rPr>
        <w:t xml:space="preserve"> the following elements as</w:t>
      </w:r>
      <w:r>
        <w:rPr>
          <w:rFonts w:ascii="Calibri" w:hAnsi="Calibri" w:cs="Calibri"/>
          <w:color w:val="000000" w:themeColor="text1"/>
          <w:sz w:val="22"/>
          <w:szCs w:val="22"/>
        </w:rPr>
        <w:t xml:space="preserve"> challenges </w:t>
      </w:r>
      <w:r w:rsidRPr="007516A1">
        <w:rPr>
          <w:rFonts w:ascii="Calibri" w:hAnsi="Calibri" w:cs="Calibri"/>
          <w:color w:val="000000" w:themeColor="text1"/>
          <w:sz w:val="22"/>
          <w:szCs w:val="22"/>
        </w:rPr>
        <w:t>to the deployment of RegTech solutions:</w:t>
      </w:r>
    </w:p>
    <w:p w14:paraId="6D802790" w14:textId="77777777" w:rsidR="002E21A3" w:rsidRPr="007516A1" w:rsidRDefault="002E21A3" w:rsidP="006D045B">
      <w:pPr>
        <w:pStyle w:val="ListParagraph"/>
        <w:widowControl w:val="0"/>
        <w:numPr>
          <w:ilvl w:val="0"/>
          <w:numId w:val="16"/>
        </w:numPr>
        <w:autoSpaceDE w:val="0"/>
        <w:autoSpaceDN w:val="0"/>
        <w:spacing w:before="120" w:after="120"/>
        <w:ind w:left="782" w:hanging="357"/>
        <w:rPr>
          <w:rFonts w:ascii="Calibri" w:hAnsi="Calibri" w:cs="Calibri"/>
          <w:color w:val="000000" w:themeColor="text1"/>
          <w:szCs w:val="22"/>
        </w:rPr>
      </w:pPr>
      <w:r w:rsidRPr="007516A1">
        <w:rPr>
          <w:rFonts w:ascii="Calibri" w:hAnsi="Calibri" w:cs="Calibri"/>
          <w:color w:val="000000" w:themeColor="text1"/>
          <w:szCs w:val="22"/>
        </w:rPr>
        <w:t xml:space="preserve">organisational mindset and internal culture (34%); </w:t>
      </w:r>
    </w:p>
    <w:p w14:paraId="687AB699" w14:textId="77777777" w:rsidR="002E21A3" w:rsidRPr="007516A1" w:rsidRDefault="002E21A3" w:rsidP="006D045B">
      <w:pPr>
        <w:pStyle w:val="ListParagraph"/>
        <w:widowControl w:val="0"/>
        <w:numPr>
          <w:ilvl w:val="0"/>
          <w:numId w:val="16"/>
        </w:numPr>
        <w:autoSpaceDE w:val="0"/>
        <w:autoSpaceDN w:val="0"/>
        <w:spacing w:before="120" w:after="120"/>
        <w:ind w:left="782" w:hanging="357"/>
        <w:rPr>
          <w:rFonts w:ascii="Calibri" w:hAnsi="Calibri" w:cs="Calibri"/>
          <w:color w:val="000000" w:themeColor="text1"/>
          <w:szCs w:val="22"/>
        </w:rPr>
      </w:pPr>
      <w:r w:rsidRPr="007516A1">
        <w:rPr>
          <w:rFonts w:ascii="Calibri" w:hAnsi="Calibri" w:cs="Calibri"/>
          <w:color w:val="000000" w:themeColor="text1"/>
          <w:szCs w:val="22"/>
        </w:rPr>
        <w:t>adequacy of internal skills, expertise and resources (32%)</w:t>
      </w:r>
      <w:r>
        <w:rPr>
          <w:rFonts w:ascii="Calibri" w:hAnsi="Calibri" w:cs="Calibri"/>
          <w:color w:val="000000" w:themeColor="text1"/>
          <w:szCs w:val="22"/>
        </w:rPr>
        <w:t>;</w:t>
      </w:r>
    </w:p>
    <w:p w14:paraId="4784D10D" w14:textId="415A9C09" w:rsidR="002E21A3" w:rsidRDefault="002E21A3" w:rsidP="00251E66">
      <w:pPr>
        <w:pStyle w:val="ListParagraph"/>
        <w:widowControl w:val="0"/>
        <w:numPr>
          <w:ilvl w:val="0"/>
          <w:numId w:val="16"/>
        </w:numPr>
        <w:autoSpaceDE w:val="0"/>
        <w:autoSpaceDN w:val="0"/>
        <w:spacing w:before="120" w:after="120"/>
        <w:ind w:left="782" w:hanging="357"/>
        <w:rPr>
          <w:rFonts w:ascii="Calibri" w:hAnsi="Calibri" w:cs="Calibri"/>
          <w:color w:val="000000" w:themeColor="text1"/>
          <w:szCs w:val="22"/>
        </w:rPr>
      </w:pPr>
      <w:r w:rsidRPr="007516A1">
        <w:rPr>
          <w:rFonts w:ascii="Calibri" w:hAnsi="Calibri" w:cs="Calibri"/>
          <w:color w:val="000000" w:themeColor="text1"/>
          <w:szCs w:val="22"/>
        </w:rPr>
        <w:t>management of third parties (28%)</w:t>
      </w:r>
      <w:r w:rsidR="00E82DA1">
        <w:rPr>
          <w:rFonts w:ascii="Calibri" w:hAnsi="Calibri" w:cs="Calibri"/>
          <w:color w:val="000000" w:themeColor="text1"/>
          <w:szCs w:val="22"/>
        </w:rPr>
        <w:t>.</w:t>
      </w:r>
      <w:r w:rsidRPr="0020519A">
        <w:rPr>
          <w:rFonts w:ascii="Calibri" w:hAnsi="Calibri" w:cs="Calibri"/>
          <w:color w:val="000000" w:themeColor="text1"/>
          <w:szCs w:val="22"/>
        </w:rPr>
        <w:t xml:space="preserve"> </w:t>
      </w:r>
    </w:p>
    <w:p w14:paraId="4C20E926" w14:textId="77777777" w:rsidR="00251E66" w:rsidRPr="00251E66" w:rsidRDefault="00251E66" w:rsidP="00251E66">
      <w:pPr>
        <w:pStyle w:val="ListParagraph"/>
        <w:widowControl w:val="0"/>
        <w:autoSpaceDE w:val="0"/>
        <w:autoSpaceDN w:val="0"/>
        <w:spacing w:after="0"/>
        <w:ind w:left="782"/>
        <w:rPr>
          <w:rFonts w:ascii="Calibri" w:hAnsi="Calibri" w:cs="Calibri"/>
          <w:color w:val="000000" w:themeColor="text1"/>
          <w:szCs w:val="22"/>
        </w:rPr>
      </w:pPr>
    </w:p>
    <w:p w14:paraId="6F920FC8" w14:textId="77777777" w:rsidR="00251E66" w:rsidRDefault="002E21A3" w:rsidP="00251E66">
      <w:pPr>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rPr>
        <w:t>T</w:t>
      </w:r>
      <w:r w:rsidRPr="007516A1">
        <w:rPr>
          <w:rFonts w:ascii="Calibri" w:hAnsi="Calibri" w:cs="Calibri"/>
          <w:color w:val="000000" w:themeColor="text1"/>
          <w:sz w:val="22"/>
          <w:szCs w:val="22"/>
        </w:rPr>
        <w:t>he adequacy of external resources (18%)</w:t>
      </w:r>
      <w:r>
        <w:rPr>
          <w:rFonts w:ascii="Calibri" w:hAnsi="Calibri" w:cs="Calibri"/>
          <w:color w:val="000000" w:themeColor="text1"/>
          <w:sz w:val="22"/>
          <w:szCs w:val="22"/>
        </w:rPr>
        <w:t xml:space="preserve"> appears to be a </w:t>
      </w:r>
      <w:r w:rsidRPr="007516A1">
        <w:rPr>
          <w:rFonts w:ascii="Calibri" w:hAnsi="Calibri" w:cs="Calibri"/>
          <w:color w:val="000000" w:themeColor="text1"/>
          <w:sz w:val="22"/>
          <w:szCs w:val="22"/>
        </w:rPr>
        <w:t>minor source of</w:t>
      </w:r>
      <w:r>
        <w:rPr>
          <w:rFonts w:ascii="Calibri" w:hAnsi="Calibri" w:cs="Calibri"/>
          <w:color w:val="000000" w:themeColor="text1"/>
          <w:sz w:val="22"/>
          <w:szCs w:val="22"/>
        </w:rPr>
        <w:t xml:space="preserve"> challenge. </w:t>
      </w:r>
      <w:r w:rsidRPr="007516A1">
        <w:rPr>
          <w:rFonts w:ascii="Calibri" w:hAnsi="Calibri" w:cs="Calibri"/>
          <w:color w:val="000000" w:themeColor="text1"/>
          <w:sz w:val="22"/>
          <w:szCs w:val="22"/>
        </w:rPr>
        <w:t xml:space="preserve">Some respondents also reported </w:t>
      </w:r>
      <w:r>
        <w:rPr>
          <w:rFonts w:ascii="Calibri" w:hAnsi="Calibri" w:cs="Calibri"/>
          <w:color w:val="000000" w:themeColor="text1"/>
          <w:sz w:val="22"/>
          <w:szCs w:val="22"/>
        </w:rPr>
        <w:t>challenges</w:t>
      </w:r>
      <w:r w:rsidRPr="007516A1">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related </w:t>
      </w:r>
      <w:r w:rsidRPr="007516A1">
        <w:rPr>
          <w:rFonts w:ascii="Calibri" w:hAnsi="Calibri" w:cs="Calibri"/>
          <w:color w:val="000000" w:themeColor="text1"/>
          <w:sz w:val="22"/>
          <w:szCs w:val="22"/>
        </w:rPr>
        <w:t>to: (i) carry</w:t>
      </w:r>
      <w:r>
        <w:rPr>
          <w:rFonts w:ascii="Calibri" w:hAnsi="Calibri" w:cs="Calibri"/>
          <w:color w:val="000000" w:themeColor="text1"/>
          <w:sz w:val="22"/>
          <w:szCs w:val="22"/>
        </w:rPr>
        <w:t>ing</w:t>
      </w:r>
      <w:r w:rsidRPr="007516A1">
        <w:rPr>
          <w:rFonts w:ascii="Calibri" w:hAnsi="Calibri" w:cs="Calibri"/>
          <w:color w:val="000000" w:themeColor="text1"/>
          <w:sz w:val="22"/>
          <w:szCs w:val="22"/>
        </w:rPr>
        <w:t xml:space="preserve"> out the due diligence on service providers, especially the ones located in non-EU countries; (ii) fully understand</w:t>
      </w:r>
      <w:r>
        <w:rPr>
          <w:rFonts w:ascii="Calibri" w:hAnsi="Calibri" w:cs="Calibri"/>
          <w:color w:val="000000" w:themeColor="text1"/>
          <w:sz w:val="22"/>
          <w:szCs w:val="22"/>
        </w:rPr>
        <w:t>ing</w:t>
      </w:r>
      <w:r w:rsidRPr="007516A1">
        <w:rPr>
          <w:rFonts w:ascii="Calibri" w:hAnsi="Calibri" w:cs="Calibri"/>
          <w:color w:val="000000" w:themeColor="text1"/>
          <w:sz w:val="22"/>
          <w:szCs w:val="22"/>
        </w:rPr>
        <w:t xml:space="preserve"> algorithms and the whole tech-process behind the proposed solution</w:t>
      </w:r>
      <w:r>
        <w:rPr>
          <w:rFonts w:ascii="Calibri" w:hAnsi="Calibri" w:cs="Calibri"/>
          <w:color w:val="000000" w:themeColor="text1"/>
          <w:sz w:val="22"/>
          <w:szCs w:val="22"/>
        </w:rPr>
        <w:t>s</w:t>
      </w:r>
      <w:r w:rsidRPr="007516A1">
        <w:rPr>
          <w:rFonts w:ascii="Calibri" w:hAnsi="Calibri" w:cs="Calibri"/>
          <w:color w:val="000000" w:themeColor="text1"/>
          <w:sz w:val="22"/>
          <w:szCs w:val="22"/>
        </w:rPr>
        <w:t>; (iii) assess</w:t>
      </w:r>
      <w:r>
        <w:rPr>
          <w:rFonts w:ascii="Calibri" w:hAnsi="Calibri" w:cs="Calibri"/>
          <w:color w:val="000000" w:themeColor="text1"/>
          <w:sz w:val="22"/>
          <w:szCs w:val="22"/>
        </w:rPr>
        <w:t>ing</w:t>
      </w:r>
      <w:r w:rsidRPr="007516A1">
        <w:rPr>
          <w:rFonts w:ascii="Calibri" w:hAnsi="Calibri" w:cs="Calibri"/>
          <w:color w:val="000000" w:themeColor="text1"/>
          <w:sz w:val="22"/>
          <w:szCs w:val="22"/>
        </w:rPr>
        <w:t xml:space="preserve"> the risks linked to the use of such RegTech solutions; and (iv) gather</w:t>
      </w:r>
      <w:r>
        <w:rPr>
          <w:rFonts w:ascii="Calibri" w:hAnsi="Calibri" w:cs="Calibri"/>
          <w:color w:val="000000" w:themeColor="text1"/>
          <w:sz w:val="22"/>
          <w:szCs w:val="22"/>
        </w:rPr>
        <w:t>ing</w:t>
      </w:r>
      <w:r w:rsidRPr="007516A1">
        <w:rPr>
          <w:rFonts w:ascii="Calibri" w:hAnsi="Calibri" w:cs="Calibri"/>
          <w:color w:val="000000" w:themeColor="text1"/>
          <w:sz w:val="22"/>
          <w:szCs w:val="22"/>
        </w:rPr>
        <w:t xml:space="preserve"> quality data.</w:t>
      </w:r>
      <w:r w:rsidR="00A81DAF">
        <w:rPr>
          <w:rFonts w:ascii="Calibri" w:hAnsi="Calibri" w:cs="Calibri"/>
          <w:color w:val="000000" w:themeColor="text1"/>
          <w:sz w:val="22"/>
          <w:szCs w:val="22"/>
        </w:rPr>
        <w:t xml:space="preserve"> </w:t>
      </w:r>
      <w:r w:rsidR="00EF1EDA">
        <w:rPr>
          <w:rFonts w:ascii="Calibri" w:hAnsi="Calibri" w:cs="Calibri"/>
          <w:color w:val="000000" w:themeColor="text1"/>
          <w:sz w:val="22"/>
          <w:szCs w:val="22"/>
        </w:rPr>
        <w:t>In the EBA’s view t</w:t>
      </w:r>
      <w:r w:rsidR="00EF1EDA" w:rsidRPr="00EF1EDA">
        <w:rPr>
          <w:rFonts w:ascii="Calibri" w:hAnsi="Calibri" w:cs="Calibri"/>
          <w:color w:val="000000" w:themeColor="text1"/>
          <w:sz w:val="22"/>
          <w:szCs w:val="22"/>
        </w:rPr>
        <w:t xml:space="preserve">his may indicate that further work might be needed in the </w:t>
      </w:r>
      <w:r w:rsidR="00AB1D13">
        <w:rPr>
          <w:rFonts w:ascii="Calibri" w:hAnsi="Calibri" w:cs="Calibri"/>
          <w:color w:val="000000" w:themeColor="text1"/>
          <w:sz w:val="22"/>
          <w:szCs w:val="22"/>
        </w:rPr>
        <w:t xml:space="preserve">scope of </w:t>
      </w:r>
      <w:r w:rsidR="00EF1EDA" w:rsidRPr="00EF1EDA">
        <w:rPr>
          <w:rFonts w:ascii="Calibri" w:hAnsi="Calibri" w:cs="Calibri"/>
          <w:color w:val="000000" w:themeColor="text1"/>
          <w:sz w:val="22"/>
          <w:szCs w:val="22"/>
        </w:rPr>
        <w:t>application outsourcing requirements</w:t>
      </w:r>
      <w:r w:rsidR="004B19DA">
        <w:rPr>
          <w:rFonts w:ascii="Calibri" w:hAnsi="Calibri" w:cs="Calibri"/>
          <w:color w:val="000000" w:themeColor="text1"/>
          <w:sz w:val="22"/>
          <w:szCs w:val="22"/>
        </w:rPr>
        <w:t>.</w:t>
      </w:r>
    </w:p>
    <w:p w14:paraId="22BBE809" w14:textId="77777777" w:rsidR="00251E66" w:rsidRPr="00251E66" w:rsidRDefault="00251E66" w:rsidP="00251E66">
      <w:pPr>
        <w:spacing w:line="276" w:lineRule="auto"/>
        <w:jc w:val="both"/>
        <w:rPr>
          <w:rFonts w:ascii="Calibri" w:hAnsi="Calibri" w:cs="Calibri"/>
          <w:color w:val="000000" w:themeColor="text1"/>
          <w:sz w:val="22"/>
          <w:szCs w:val="22"/>
        </w:rPr>
      </w:pPr>
    </w:p>
    <w:p w14:paraId="1459A9C2" w14:textId="3C7EC503" w:rsidR="002E21A3" w:rsidRPr="00251E66" w:rsidRDefault="002E21A3" w:rsidP="00251E66">
      <w:pPr>
        <w:spacing w:line="276" w:lineRule="auto"/>
        <w:jc w:val="both"/>
        <w:rPr>
          <w:rFonts w:ascii="Calibri" w:hAnsi="Calibri" w:cs="Calibri"/>
          <w:color w:val="000000" w:themeColor="text1"/>
          <w:sz w:val="22"/>
          <w:szCs w:val="22"/>
        </w:rPr>
      </w:pPr>
      <w:r w:rsidRPr="00251E66">
        <w:rPr>
          <w:rFonts w:ascii="Calibri" w:hAnsi="Calibri" w:cs="Calibri"/>
          <w:color w:val="000000" w:themeColor="text1"/>
          <w:sz w:val="22"/>
          <w:szCs w:val="22"/>
        </w:rPr>
        <w:t xml:space="preserve">Interestingly, </w:t>
      </w:r>
      <w:r w:rsidR="00E82DA1" w:rsidRPr="00251E66">
        <w:rPr>
          <w:rFonts w:ascii="Calibri" w:hAnsi="Calibri" w:cs="Calibri"/>
          <w:color w:val="000000" w:themeColor="text1"/>
          <w:sz w:val="22"/>
          <w:szCs w:val="22"/>
        </w:rPr>
        <w:t xml:space="preserve">the legal environment in general (28%) and the specific </w:t>
      </w:r>
      <w:r w:rsidRPr="00251E66">
        <w:rPr>
          <w:rFonts w:ascii="Calibri" w:hAnsi="Calibri" w:cs="Calibri"/>
          <w:b/>
          <w:color w:val="000000" w:themeColor="text1"/>
          <w:sz w:val="22"/>
          <w:szCs w:val="22"/>
        </w:rPr>
        <w:t xml:space="preserve">regulatory </w:t>
      </w:r>
      <w:r w:rsidR="003F6F28" w:rsidRPr="00251E66">
        <w:rPr>
          <w:rFonts w:ascii="Calibri" w:hAnsi="Calibri" w:cs="Calibri"/>
          <w:b/>
          <w:color w:val="000000" w:themeColor="text1"/>
          <w:sz w:val="22"/>
          <w:szCs w:val="22"/>
        </w:rPr>
        <w:t>appr</w:t>
      </w:r>
      <w:r w:rsidR="00B6511C" w:rsidRPr="00251E66">
        <w:rPr>
          <w:rFonts w:ascii="Calibri" w:hAnsi="Calibri" w:cs="Calibri"/>
          <w:b/>
          <w:color w:val="000000" w:themeColor="text1"/>
          <w:sz w:val="22"/>
          <w:szCs w:val="22"/>
        </w:rPr>
        <w:t>o</w:t>
      </w:r>
      <w:r w:rsidR="003F6F28" w:rsidRPr="00251E66">
        <w:rPr>
          <w:rFonts w:ascii="Calibri" w:hAnsi="Calibri" w:cs="Calibri"/>
          <w:b/>
          <w:color w:val="000000" w:themeColor="text1"/>
          <w:sz w:val="22"/>
          <w:szCs w:val="22"/>
        </w:rPr>
        <w:t>ach</w:t>
      </w:r>
      <w:r w:rsidR="00E82DA1" w:rsidRPr="00251E66">
        <w:rPr>
          <w:rFonts w:ascii="Calibri" w:hAnsi="Calibri" w:cs="Calibri"/>
          <w:b/>
          <w:color w:val="000000" w:themeColor="text1"/>
          <w:sz w:val="22"/>
          <w:szCs w:val="22"/>
        </w:rPr>
        <w:t xml:space="preserve">, </w:t>
      </w:r>
      <w:r w:rsidR="00E82DA1" w:rsidRPr="00251E66">
        <w:rPr>
          <w:rFonts w:ascii="Calibri" w:hAnsi="Calibri" w:cs="Calibri"/>
          <w:color w:val="000000" w:themeColor="text1"/>
          <w:sz w:val="22"/>
          <w:szCs w:val="22"/>
        </w:rPr>
        <w:t xml:space="preserve">including the approach </w:t>
      </w:r>
      <w:r w:rsidR="00E72542" w:rsidRPr="00251E66">
        <w:rPr>
          <w:rFonts w:ascii="Calibri" w:hAnsi="Calibri" w:cs="Calibri"/>
          <w:color w:val="000000" w:themeColor="text1"/>
          <w:sz w:val="22"/>
          <w:szCs w:val="22"/>
        </w:rPr>
        <w:t>by</w:t>
      </w:r>
      <w:r w:rsidR="00E82DA1" w:rsidRPr="00251E66">
        <w:rPr>
          <w:rFonts w:ascii="Calibri" w:hAnsi="Calibri" w:cs="Calibri"/>
          <w:color w:val="000000" w:themeColor="text1"/>
          <w:sz w:val="22"/>
          <w:szCs w:val="22"/>
        </w:rPr>
        <w:t xml:space="preserve"> and expectation</w:t>
      </w:r>
      <w:r w:rsidR="00DC5B93" w:rsidRPr="00251E66">
        <w:rPr>
          <w:rFonts w:ascii="Calibri" w:hAnsi="Calibri" w:cs="Calibri"/>
          <w:color w:val="000000" w:themeColor="text1"/>
          <w:sz w:val="22"/>
          <w:szCs w:val="22"/>
        </w:rPr>
        <w:t>s</w:t>
      </w:r>
      <w:r w:rsidR="00E82DA1" w:rsidRPr="00251E66">
        <w:rPr>
          <w:rFonts w:ascii="Calibri" w:hAnsi="Calibri" w:cs="Calibri"/>
          <w:color w:val="000000" w:themeColor="text1"/>
          <w:sz w:val="22"/>
          <w:szCs w:val="22"/>
        </w:rPr>
        <w:t xml:space="preserve"> of regulators and supervisors</w:t>
      </w:r>
      <w:r w:rsidR="00E82DA1" w:rsidRPr="00251E66">
        <w:rPr>
          <w:rFonts w:ascii="Calibri" w:hAnsi="Calibri" w:cs="Calibri"/>
          <w:b/>
          <w:color w:val="000000" w:themeColor="text1"/>
          <w:sz w:val="22"/>
          <w:szCs w:val="22"/>
        </w:rPr>
        <w:t xml:space="preserve"> </w:t>
      </w:r>
      <w:r w:rsidR="00E82DA1" w:rsidRPr="00251E66">
        <w:rPr>
          <w:rFonts w:ascii="Calibri" w:hAnsi="Calibri" w:cs="Calibri"/>
          <w:color w:val="000000" w:themeColor="text1"/>
          <w:sz w:val="22"/>
          <w:szCs w:val="22"/>
        </w:rPr>
        <w:t xml:space="preserve">(24%) are indicated </w:t>
      </w:r>
      <w:r w:rsidRPr="00251E66">
        <w:rPr>
          <w:rFonts w:ascii="Calibri" w:hAnsi="Calibri" w:cs="Calibri"/>
          <w:color w:val="000000" w:themeColor="text1"/>
          <w:sz w:val="22"/>
          <w:szCs w:val="22"/>
        </w:rPr>
        <w:t xml:space="preserve">as another challenge in the implementation of RegTech solutions. This confirms our recent observations that </w:t>
      </w:r>
      <w:r w:rsidRPr="00251E66">
        <w:rPr>
          <w:rFonts w:ascii="Calibri" w:hAnsi="Calibri" w:cs="Calibri"/>
          <w:b/>
          <w:color w:val="000000" w:themeColor="text1"/>
          <w:sz w:val="22"/>
          <w:szCs w:val="22"/>
        </w:rPr>
        <w:t xml:space="preserve">the existing EU </w:t>
      </w:r>
      <w:r w:rsidR="00E82DA1" w:rsidRPr="00251E66">
        <w:rPr>
          <w:rFonts w:ascii="Calibri" w:hAnsi="Calibri" w:cs="Calibri"/>
          <w:b/>
          <w:color w:val="000000" w:themeColor="text1"/>
          <w:sz w:val="22"/>
          <w:szCs w:val="22"/>
        </w:rPr>
        <w:t xml:space="preserve">legal and </w:t>
      </w:r>
      <w:r w:rsidRPr="00251E66">
        <w:rPr>
          <w:rFonts w:ascii="Calibri" w:hAnsi="Calibri" w:cs="Calibri"/>
          <w:b/>
          <w:color w:val="000000" w:themeColor="text1"/>
          <w:sz w:val="22"/>
          <w:szCs w:val="22"/>
        </w:rPr>
        <w:t xml:space="preserve">regulatory framework may pose some challenges in the deployment of RegTech solutions but it is not the main barrier to scale up RegTech solutions in the Single Market. </w:t>
      </w:r>
    </w:p>
    <w:p w14:paraId="1B3B945D" w14:textId="0D6BF369" w:rsidR="00320968" w:rsidRDefault="002E21A3" w:rsidP="006D045B">
      <w:pPr>
        <w:pStyle w:val="body0"/>
        <w:rPr>
          <w:color w:val="000000" w:themeColor="text1"/>
        </w:rPr>
      </w:pPr>
      <w:r w:rsidRPr="007516A1">
        <w:rPr>
          <w:color w:val="000000" w:themeColor="text1"/>
        </w:rPr>
        <w:t>As an example</w:t>
      </w:r>
      <w:r>
        <w:rPr>
          <w:color w:val="000000" w:themeColor="text1"/>
        </w:rPr>
        <w:t xml:space="preserve"> of regulatory challenges</w:t>
      </w:r>
      <w:r w:rsidRPr="007516A1">
        <w:rPr>
          <w:color w:val="000000" w:themeColor="text1"/>
        </w:rPr>
        <w:t xml:space="preserve">, several respondents pointed out </w:t>
      </w:r>
      <w:r>
        <w:rPr>
          <w:color w:val="000000" w:themeColor="text1"/>
        </w:rPr>
        <w:t xml:space="preserve">the </w:t>
      </w:r>
      <w:r w:rsidRPr="007516A1">
        <w:rPr>
          <w:color w:val="000000" w:themeColor="text1"/>
        </w:rPr>
        <w:t xml:space="preserve">high level of complexity and continuously evolving nature of the regulatory landscape, which hinders the possibility to rely on RegTech solutions for regulatory adherence. </w:t>
      </w:r>
      <w:r w:rsidR="00930305">
        <w:rPr>
          <w:color w:val="000000" w:themeColor="text1"/>
        </w:rPr>
        <w:t>Acquiring and implementing RegT</w:t>
      </w:r>
      <w:r w:rsidR="00930305" w:rsidRPr="00930305">
        <w:rPr>
          <w:color w:val="000000" w:themeColor="text1"/>
        </w:rPr>
        <w:t xml:space="preserve">ech solutions in the existing infrastructure is typically costly, </w:t>
      </w:r>
      <w:r w:rsidR="00930305">
        <w:rPr>
          <w:color w:val="000000" w:themeColor="text1"/>
        </w:rPr>
        <w:t>therefore financial</w:t>
      </w:r>
      <w:r w:rsidR="00930305" w:rsidRPr="00930305">
        <w:rPr>
          <w:color w:val="000000" w:themeColor="text1"/>
        </w:rPr>
        <w:t xml:space="preserve"> institutions need </w:t>
      </w:r>
      <w:r w:rsidR="00597998">
        <w:rPr>
          <w:color w:val="000000" w:themeColor="text1"/>
        </w:rPr>
        <w:t xml:space="preserve">to have certainty that </w:t>
      </w:r>
      <w:r w:rsidR="00930305" w:rsidRPr="00930305">
        <w:rPr>
          <w:color w:val="000000" w:themeColor="text1"/>
        </w:rPr>
        <w:t xml:space="preserve">investment </w:t>
      </w:r>
      <w:r w:rsidR="00597998">
        <w:rPr>
          <w:color w:val="000000" w:themeColor="text1"/>
        </w:rPr>
        <w:t xml:space="preserve">will serve the purpose </w:t>
      </w:r>
      <w:r w:rsidR="00930305" w:rsidRPr="00930305">
        <w:rPr>
          <w:color w:val="000000" w:themeColor="text1"/>
        </w:rPr>
        <w:t>for the longer term.</w:t>
      </w:r>
      <w:r w:rsidR="00597998">
        <w:rPr>
          <w:color w:val="000000" w:themeColor="text1"/>
        </w:rPr>
        <w:t xml:space="preserve"> </w:t>
      </w:r>
      <w:r w:rsidRPr="007516A1">
        <w:rPr>
          <w:color w:val="000000" w:themeColor="text1"/>
        </w:rPr>
        <w:t>For example, Natural Language Processing tools are not currently able to substitute a manual horizontal legislation tracking process and a lot of expert-based work will continue to be required to properly scan the regulatory horizon. Moreover, a few respondents also underlined the difficulty to balance and reconcile competing (and sometimes conflicting) regulatory expectations of how data should be captured and managed (including GDPR requirements), often dependent on the country and interpretation of the legislation/regulation.</w:t>
      </w:r>
      <w:r>
        <w:rPr>
          <w:color w:val="000000" w:themeColor="text1"/>
        </w:rPr>
        <w:t xml:space="preserve"> Please also refer to our response in Question 6.1.</w:t>
      </w:r>
    </w:p>
    <w:p w14:paraId="24B0DC56" w14:textId="0DF5B455" w:rsidR="006C0FCB" w:rsidRDefault="00251E66" w:rsidP="006D045B">
      <w:pPr>
        <w:pStyle w:val="body0"/>
      </w:pPr>
      <w:r>
        <w:rPr>
          <w:color w:val="000000" w:themeColor="text1"/>
        </w:rPr>
        <w:t>The lack of harmonis</w:t>
      </w:r>
      <w:r w:rsidR="00CB1331">
        <w:rPr>
          <w:color w:val="000000" w:themeColor="text1"/>
        </w:rPr>
        <w:t xml:space="preserve">ation in certain areas of regulation has been identified as a barrier for the scale up of innovative solutions also in the </w:t>
      </w:r>
      <w:r w:rsidR="00CB1331" w:rsidRPr="008569FD">
        <w:rPr>
          <w:i/>
          <w:color w:val="000000" w:themeColor="text1"/>
        </w:rPr>
        <w:t xml:space="preserve">EBA Report </w:t>
      </w:r>
      <w:r w:rsidR="00CB1331" w:rsidRPr="003E40AD">
        <w:rPr>
          <w:i/>
        </w:rPr>
        <w:t>on potential impediments to the cross-border provision of banking and payment services</w:t>
      </w:r>
      <w:r w:rsidR="00CB1331">
        <w:t xml:space="preserve">. For example, reference is made to the existing domestic restrictions to remote customer on-boarding and to the outsourcing of certain AML-related tasks (e.g. ongoing monitoring of customers and sanctions screening). </w:t>
      </w:r>
    </w:p>
    <w:p w14:paraId="5E6DF4D0" w14:textId="0C29E0BD" w:rsidR="00CB1331" w:rsidRDefault="00CB1331" w:rsidP="006D045B">
      <w:pPr>
        <w:pStyle w:val="body0"/>
      </w:pPr>
      <w:r>
        <w:t xml:space="preserve">Finally, in the EBA’s view, other factors </w:t>
      </w:r>
      <w:r w:rsidR="00EF1EDA">
        <w:t>that</w:t>
      </w:r>
      <w:r>
        <w:t xml:space="preserve"> might constitute a barrier to the scale up of RegTech solutions are:</w:t>
      </w:r>
    </w:p>
    <w:p w14:paraId="3C9FB79D" w14:textId="63047FDF" w:rsidR="00CB1331" w:rsidRPr="00CB1331" w:rsidRDefault="0004399D" w:rsidP="00CB1331">
      <w:pPr>
        <w:pStyle w:val="ListParagraph"/>
        <w:numPr>
          <w:ilvl w:val="0"/>
          <w:numId w:val="42"/>
        </w:numPr>
        <w:rPr>
          <w:rFonts w:ascii="Calibri" w:hAnsi="Calibri" w:cs="Calibri"/>
          <w:color w:val="000000" w:themeColor="text1"/>
          <w:szCs w:val="22"/>
        </w:rPr>
      </w:pPr>
      <w:r>
        <w:rPr>
          <w:rFonts w:ascii="Calibri" w:hAnsi="Calibri" w:cs="Calibri"/>
          <w:color w:val="000000" w:themeColor="text1"/>
          <w:szCs w:val="22"/>
        </w:rPr>
        <w:t>the</w:t>
      </w:r>
      <w:r w:rsidR="00A03358">
        <w:rPr>
          <w:rFonts w:ascii="Calibri" w:hAnsi="Calibri" w:cs="Calibri"/>
          <w:color w:val="000000" w:themeColor="text1"/>
          <w:szCs w:val="22"/>
        </w:rPr>
        <w:t xml:space="preserve"> circumstance </w:t>
      </w:r>
      <w:r w:rsidR="00CB1331" w:rsidRPr="00CB1331">
        <w:rPr>
          <w:rFonts w:ascii="Calibri" w:hAnsi="Calibri" w:cs="Calibri"/>
          <w:color w:val="000000" w:themeColor="text1"/>
          <w:szCs w:val="22"/>
        </w:rPr>
        <w:t>that many financial institutions</w:t>
      </w:r>
      <w:r w:rsidR="00CB1331">
        <w:rPr>
          <w:rFonts w:ascii="Calibri" w:hAnsi="Calibri" w:cs="Calibri"/>
          <w:color w:val="000000" w:themeColor="text1"/>
          <w:szCs w:val="22"/>
        </w:rPr>
        <w:t>, especially small</w:t>
      </w:r>
      <w:r>
        <w:rPr>
          <w:rFonts w:ascii="Calibri" w:hAnsi="Calibri" w:cs="Calibri"/>
          <w:color w:val="000000" w:themeColor="text1"/>
          <w:szCs w:val="22"/>
        </w:rPr>
        <w:t>er</w:t>
      </w:r>
      <w:r w:rsidR="00CB1331">
        <w:rPr>
          <w:rFonts w:ascii="Calibri" w:hAnsi="Calibri" w:cs="Calibri"/>
          <w:color w:val="000000" w:themeColor="text1"/>
          <w:szCs w:val="22"/>
        </w:rPr>
        <w:t xml:space="preserve"> ones,</w:t>
      </w:r>
      <w:r w:rsidR="00CB1331" w:rsidRPr="00CB1331">
        <w:rPr>
          <w:rFonts w:ascii="Calibri" w:hAnsi="Calibri" w:cs="Calibri"/>
          <w:color w:val="000000" w:themeColor="text1"/>
          <w:szCs w:val="22"/>
        </w:rPr>
        <w:t xml:space="preserve"> </w:t>
      </w:r>
      <w:r w:rsidR="00A03358">
        <w:rPr>
          <w:rFonts w:ascii="Calibri" w:hAnsi="Calibri" w:cs="Calibri"/>
          <w:color w:val="000000" w:themeColor="text1"/>
          <w:szCs w:val="22"/>
        </w:rPr>
        <w:t>are</w:t>
      </w:r>
      <w:r w:rsidR="00CB1331" w:rsidRPr="00CB1331">
        <w:rPr>
          <w:rFonts w:ascii="Calibri" w:hAnsi="Calibri" w:cs="Calibri"/>
          <w:color w:val="000000" w:themeColor="text1"/>
          <w:szCs w:val="22"/>
        </w:rPr>
        <w:t xml:space="preserve"> still  unfamiliar with RegTech possibilities, reliability, and acceptance</w:t>
      </w:r>
      <w:r w:rsidR="00A03358">
        <w:rPr>
          <w:rFonts w:ascii="Calibri" w:hAnsi="Calibri" w:cs="Calibri"/>
          <w:color w:val="000000" w:themeColor="text1"/>
          <w:szCs w:val="22"/>
        </w:rPr>
        <w:t xml:space="preserve">, due to the </w:t>
      </w:r>
      <w:r w:rsidR="00A03358" w:rsidRPr="00CB1331">
        <w:rPr>
          <w:rFonts w:ascii="Calibri" w:hAnsi="Calibri" w:cs="Calibri"/>
          <w:color w:val="000000" w:themeColor="text1"/>
          <w:szCs w:val="22"/>
        </w:rPr>
        <w:t>limited track record of most RegTech solutions</w:t>
      </w:r>
      <w:r w:rsidR="00413028">
        <w:rPr>
          <w:rFonts w:ascii="Calibri" w:hAnsi="Calibri" w:cs="Calibri"/>
          <w:color w:val="000000" w:themeColor="text1"/>
          <w:szCs w:val="22"/>
        </w:rPr>
        <w:t xml:space="preserve">. This </w:t>
      </w:r>
      <w:r w:rsidR="00070C95">
        <w:rPr>
          <w:rFonts w:ascii="Calibri" w:hAnsi="Calibri" w:cs="Calibri"/>
          <w:color w:val="000000" w:themeColor="text1"/>
          <w:szCs w:val="22"/>
        </w:rPr>
        <w:t>impede</w:t>
      </w:r>
      <w:r w:rsidR="00095F40">
        <w:rPr>
          <w:rFonts w:ascii="Calibri" w:hAnsi="Calibri" w:cs="Calibri"/>
          <w:color w:val="000000" w:themeColor="text1"/>
          <w:szCs w:val="22"/>
        </w:rPr>
        <w:t>s</w:t>
      </w:r>
      <w:r w:rsidR="00413028">
        <w:rPr>
          <w:rFonts w:ascii="Calibri" w:hAnsi="Calibri" w:cs="Calibri"/>
          <w:color w:val="000000" w:themeColor="text1"/>
          <w:szCs w:val="22"/>
        </w:rPr>
        <w:t xml:space="preserve"> procurement procedures</w:t>
      </w:r>
      <w:r w:rsidR="00CB1331">
        <w:t>;</w:t>
      </w:r>
    </w:p>
    <w:p w14:paraId="6A100F62" w14:textId="7AFBDBB1" w:rsidR="00CB1331" w:rsidRPr="00CB1331" w:rsidRDefault="00324688" w:rsidP="008569FD">
      <w:pPr>
        <w:pStyle w:val="body0"/>
        <w:numPr>
          <w:ilvl w:val="0"/>
          <w:numId w:val="42"/>
        </w:numPr>
        <w:rPr>
          <w:color w:val="000000" w:themeColor="text1"/>
        </w:rPr>
      </w:pPr>
      <w:r>
        <w:rPr>
          <w:color w:val="000000" w:themeColor="text1"/>
        </w:rPr>
        <w:t>f</w:t>
      </w:r>
      <w:r w:rsidR="00CB1331">
        <w:rPr>
          <w:color w:val="000000" w:themeColor="text1"/>
        </w:rPr>
        <w:t xml:space="preserve">inancial institutions’ </w:t>
      </w:r>
      <w:r w:rsidR="00CB1331" w:rsidRPr="005B1404">
        <w:rPr>
          <w:color w:val="000000" w:themeColor="text1"/>
        </w:rPr>
        <w:t>legacy systems and procedures</w:t>
      </w:r>
      <w:r w:rsidR="00CB1331">
        <w:rPr>
          <w:color w:val="000000" w:themeColor="text1"/>
        </w:rPr>
        <w:t>, which might impede the</w:t>
      </w:r>
      <w:r w:rsidR="00CB1331" w:rsidRPr="005B1404">
        <w:rPr>
          <w:color w:val="000000" w:themeColor="text1"/>
        </w:rPr>
        <w:t xml:space="preserve"> smooth and quick integration of Reg</w:t>
      </w:r>
      <w:r w:rsidR="00CB1331">
        <w:rPr>
          <w:color w:val="000000" w:themeColor="text1"/>
        </w:rPr>
        <w:t>T</w:t>
      </w:r>
      <w:r w:rsidR="00CB1331" w:rsidRPr="005B1404">
        <w:rPr>
          <w:color w:val="000000" w:themeColor="text1"/>
        </w:rPr>
        <w:t>ech solutions</w:t>
      </w:r>
      <w:r w:rsidR="00CB1331">
        <w:rPr>
          <w:color w:val="000000" w:themeColor="text1"/>
        </w:rPr>
        <w:t>.</w:t>
      </w:r>
    </w:p>
    <w:p w14:paraId="60436A63" w14:textId="7D5C5AA6" w:rsidR="00777E00" w:rsidRPr="006D045B" w:rsidRDefault="007516A1" w:rsidP="00777E00">
      <w:pPr>
        <w:pStyle w:val="body0"/>
        <w:spacing w:line="240" w:lineRule="auto"/>
        <w:rPr>
          <w:b/>
          <w:color w:val="000000" w:themeColor="text1"/>
          <w:sz w:val="24"/>
          <w:szCs w:val="24"/>
          <w:lang w:val="en"/>
        </w:rPr>
      </w:pPr>
      <w:r w:rsidRPr="006D045B">
        <w:rPr>
          <w:b/>
          <w:sz w:val="24"/>
          <w:szCs w:val="24"/>
        </w:rPr>
        <w:t>Question 42. In your opinion, are initiatives needed at EU level to support the deployment of these solutions, ensure convergence among different authorities and enable RegTech to scale up in the Single Market?</w:t>
      </w:r>
    </w:p>
    <w:p w14:paraId="0AEBE1E9" w14:textId="069E249B" w:rsidR="00631677" w:rsidRDefault="007516A1" w:rsidP="007516A1">
      <w:pPr>
        <w:pStyle w:val="body0"/>
        <w:jc w:val="center"/>
      </w:pPr>
      <w:r w:rsidRPr="008475DD">
        <w:rPr>
          <w:rFonts w:cstheme="minorHAnsi"/>
          <w:b/>
          <w:noProof/>
          <w:lang w:val="en-GB"/>
        </w:rPr>
        <w:drawing>
          <wp:inline distT="0" distB="0" distL="0" distR="0" wp14:anchorId="377346DF" wp14:editId="5C72A8E2">
            <wp:extent cx="3277057" cy="676369"/>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057" cy="676369"/>
                    </a:xfrm>
                    <a:prstGeom prst="rect">
                      <a:avLst/>
                    </a:prstGeom>
                  </pic:spPr>
                </pic:pic>
              </a:graphicData>
            </a:graphic>
          </wp:inline>
        </w:drawing>
      </w:r>
    </w:p>
    <w:p w14:paraId="35EE50EB" w14:textId="7C77FCE7" w:rsidR="008F6510" w:rsidRPr="00A12183" w:rsidRDefault="007516A1" w:rsidP="00A12183">
      <w:pPr>
        <w:pStyle w:val="body0"/>
        <w:spacing w:line="240" w:lineRule="auto"/>
        <w:rPr>
          <w:b/>
          <w:sz w:val="24"/>
          <w:szCs w:val="24"/>
        </w:rPr>
      </w:pPr>
      <w:r w:rsidRPr="006D045B">
        <w:rPr>
          <w:b/>
          <w:sz w:val="24"/>
          <w:szCs w:val="24"/>
        </w:rPr>
        <w:lastRenderedPageBreak/>
        <w:t xml:space="preserve">Question 42.1 Please explain your answer to question 42 and, if necessary, please explain your </w:t>
      </w:r>
      <w:r w:rsidR="00A12183">
        <w:rPr>
          <w:b/>
          <w:sz w:val="24"/>
          <w:szCs w:val="24"/>
        </w:rPr>
        <w:t>reasoning and provide examples:</w:t>
      </w:r>
    </w:p>
    <w:p w14:paraId="48648222" w14:textId="0D8FC0D3" w:rsidR="00A12183" w:rsidRPr="002E21A3" w:rsidRDefault="00A12183" w:rsidP="00A12183">
      <w:pPr>
        <w:pStyle w:val="Titlelevel3"/>
        <w:spacing w:line="276" w:lineRule="auto"/>
        <w:jc w:val="both"/>
        <w:rPr>
          <w:rFonts w:eastAsia="Arial Unicode MS"/>
          <w:b w:val="0"/>
          <w:color w:val="000000" w:themeColor="text1"/>
          <w:sz w:val="22"/>
          <w:szCs w:val="22"/>
        </w:rPr>
      </w:pPr>
      <w:r w:rsidRPr="002E21A3">
        <w:rPr>
          <w:rFonts w:eastAsia="Arial Unicode MS"/>
          <w:b w:val="0"/>
          <w:color w:val="000000" w:themeColor="text1"/>
          <w:sz w:val="22"/>
          <w:szCs w:val="22"/>
        </w:rPr>
        <w:t xml:space="preserve">RegTech, if properly facilitated and implemented, can play a significant role to </w:t>
      </w:r>
      <w:r w:rsidR="0067151C">
        <w:rPr>
          <w:rFonts w:eastAsia="Arial Unicode MS"/>
          <w:b w:val="0"/>
          <w:color w:val="000000" w:themeColor="text1"/>
          <w:sz w:val="22"/>
          <w:szCs w:val="22"/>
        </w:rPr>
        <w:t>increase</w:t>
      </w:r>
      <w:r w:rsidR="009E44E7">
        <w:rPr>
          <w:rFonts w:eastAsia="Arial Unicode MS"/>
          <w:b w:val="0"/>
          <w:color w:val="000000" w:themeColor="text1"/>
          <w:sz w:val="22"/>
          <w:szCs w:val="22"/>
        </w:rPr>
        <w:t>,</w:t>
      </w:r>
      <w:r w:rsidR="009F42D4">
        <w:rPr>
          <w:rFonts w:eastAsia="Arial Unicode MS"/>
          <w:b w:val="0"/>
          <w:color w:val="000000" w:themeColor="text1"/>
          <w:sz w:val="22"/>
          <w:szCs w:val="22"/>
        </w:rPr>
        <w:t xml:space="preserve"> first</w:t>
      </w:r>
      <w:r w:rsidR="004C7247">
        <w:rPr>
          <w:rFonts w:eastAsia="Arial Unicode MS"/>
          <w:b w:val="0"/>
          <w:color w:val="000000" w:themeColor="text1"/>
          <w:sz w:val="22"/>
          <w:szCs w:val="22"/>
        </w:rPr>
        <w:t xml:space="preserve"> and foremost</w:t>
      </w:r>
      <w:r w:rsidR="009E44E7">
        <w:rPr>
          <w:rFonts w:eastAsia="Arial Unicode MS"/>
          <w:b w:val="0"/>
          <w:color w:val="000000" w:themeColor="text1"/>
          <w:sz w:val="22"/>
          <w:szCs w:val="22"/>
        </w:rPr>
        <w:t xml:space="preserve">, </w:t>
      </w:r>
      <w:r w:rsidR="009F42D4">
        <w:rPr>
          <w:rFonts w:eastAsia="Arial Unicode MS"/>
          <w:b w:val="0"/>
          <w:color w:val="000000" w:themeColor="text1"/>
          <w:sz w:val="22"/>
          <w:szCs w:val="22"/>
        </w:rPr>
        <w:t xml:space="preserve">compliance effectiveness, but also </w:t>
      </w:r>
      <w:r w:rsidR="00970981">
        <w:rPr>
          <w:rFonts w:eastAsia="Arial Unicode MS"/>
          <w:b w:val="0"/>
          <w:color w:val="000000" w:themeColor="text1"/>
          <w:sz w:val="22"/>
          <w:szCs w:val="22"/>
        </w:rPr>
        <w:t xml:space="preserve">contribute to </w:t>
      </w:r>
      <w:r w:rsidR="00346684">
        <w:rPr>
          <w:rFonts w:eastAsia="Arial Unicode MS"/>
          <w:b w:val="0"/>
          <w:color w:val="000000" w:themeColor="text1"/>
          <w:sz w:val="22"/>
          <w:szCs w:val="22"/>
        </w:rPr>
        <w:t xml:space="preserve">a </w:t>
      </w:r>
      <w:r w:rsidR="00970981">
        <w:rPr>
          <w:rFonts w:eastAsia="Arial Unicode MS"/>
          <w:b w:val="0"/>
          <w:color w:val="000000" w:themeColor="text1"/>
          <w:sz w:val="22"/>
          <w:szCs w:val="22"/>
        </w:rPr>
        <w:t>great</w:t>
      </w:r>
      <w:r w:rsidR="00346684">
        <w:rPr>
          <w:rFonts w:eastAsia="Arial Unicode MS"/>
          <w:b w:val="0"/>
          <w:color w:val="000000" w:themeColor="text1"/>
          <w:sz w:val="22"/>
          <w:szCs w:val="22"/>
        </w:rPr>
        <w:t>er</w:t>
      </w:r>
      <w:r w:rsidR="00970981">
        <w:rPr>
          <w:rFonts w:eastAsia="Arial Unicode MS"/>
          <w:b w:val="0"/>
          <w:color w:val="000000" w:themeColor="text1"/>
          <w:sz w:val="22"/>
          <w:szCs w:val="22"/>
        </w:rPr>
        <w:t xml:space="preserve"> </w:t>
      </w:r>
      <w:r w:rsidR="009F42D4">
        <w:rPr>
          <w:rFonts w:eastAsia="Arial Unicode MS"/>
          <w:b w:val="0"/>
          <w:color w:val="000000" w:themeColor="text1"/>
          <w:sz w:val="22"/>
          <w:szCs w:val="22"/>
        </w:rPr>
        <w:t>efficiency</w:t>
      </w:r>
      <w:r w:rsidRPr="002E21A3">
        <w:rPr>
          <w:rFonts w:eastAsia="Arial Unicode MS"/>
          <w:b w:val="0"/>
          <w:color w:val="000000" w:themeColor="text1"/>
          <w:sz w:val="22"/>
          <w:szCs w:val="22"/>
        </w:rPr>
        <w:t xml:space="preserve">. </w:t>
      </w:r>
    </w:p>
    <w:p w14:paraId="2135BED3" w14:textId="39BFE239" w:rsidR="00A12183" w:rsidRPr="00B3404E" w:rsidRDefault="00A12183" w:rsidP="00C70C58">
      <w:pPr>
        <w:pStyle w:val="Titlelevel3"/>
        <w:spacing w:line="276" w:lineRule="auto"/>
        <w:jc w:val="both"/>
        <w:rPr>
          <w:bCs w:val="0"/>
          <w:color w:val="000000" w:themeColor="text1"/>
          <w:sz w:val="22"/>
          <w:szCs w:val="22"/>
        </w:rPr>
      </w:pPr>
      <w:r w:rsidRPr="002E21A3">
        <w:rPr>
          <w:rFonts w:eastAsia="Arial Unicode MS"/>
          <w:b w:val="0"/>
          <w:color w:val="000000" w:themeColor="text1"/>
          <w:sz w:val="22"/>
          <w:szCs w:val="22"/>
        </w:rPr>
        <w:t xml:space="preserve">To give a few examples, </w:t>
      </w:r>
      <w:r w:rsidR="004C7247">
        <w:rPr>
          <w:rFonts w:eastAsia="Arial Unicode MS"/>
          <w:b w:val="0"/>
          <w:color w:val="000000" w:themeColor="text1"/>
          <w:sz w:val="22"/>
          <w:szCs w:val="22"/>
        </w:rPr>
        <w:t xml:space="preserve">deployed </w:t>
      </w:r>
      <w:r w:rsidR="009052C5">
        <w:rPr>
          <w:rFonts w:eastAsia="Arial Unicode MS"/>
          <w:b w:val="0"/>
          <w:color w:val="000000" w:themeColor="text1"/>
          <w:sz w:val="22"/>
          <w:szCs w:val="22"/>
        </w:rPr>
        <w:t>RegT</w:t>
      </w:r>
      <w:r w:rsidR="004C7247" w:rsidRPr="004C7247">
        <w:rPr>
          <w:rFonts w:eastAsia="Arial Unicode MS"/>
          <w:b w:val="0"/>
          <w:color w:val="000000" w:themeColor="text1"/>
          <w:sz w:val="22"/>
          <w:szCs w:val="22"/>
        </w:rPr>
        <w:t xml:space="preserve">ech </w:t>
      </w:r>
      <w:r w:rsidR="004C7247">
        <w:rPr>
          <w:rFonts w:eastAsia="Arial Unicode MS"/>
          <w:b w:val="0"/>
          <w:color w:val="000000" w:themeColor="text1"/>
          <w:sz w:val="22"/>
          <w:szCs w:val="22"/>
        </w:rPr>
        <w:t>solutions could increase</w:t>
      </w:r>
      <w:r w:rsidR="004C7247" w:rsidRPr="004C7247">
        <w:rPr>
          <w:rFonts w:eastAsia="Arial Unicode MS"/>
          <w:b w:val="0"/>
          <w:color w:val="000000" w:themeColor="text1"/>
          <w:sz w:val="22"/>
          <w:szCs w:val="22"/>
        </w:rPr>
        <w:t xml:space="preserve"> effectiveness of AML</w:t>
      </w:r>
      <w:r w:rsidR="004C7247">
        <w:rPr>
          <w:rFonts w:eastAsia="Arial Unicode MS"/>
          <w:b w:val="0"/>
          <w:color w:val="000000" w:themeColor="text1"/>
          <w:sz w:val="22"/>
          <w:szCs w:val="22"/>
        </w:rPr>
        <w:t>/CFT</w:t>
      </w:r>
      <w:r w:rsidR="004C7247" w:rsidRPr="004C7247">
        <w:rPr>
          <w:rFonts w:eastAsia="Arial Unicode MS"/>
          <w:b w:val="0"/>
          <w:color w:val="000000" w:themeColor="text1"/>
          <w:sz w:val="22"/>
          <w:szCs w:val="22"/>
        </w:rPr>
        <w:t xml:space="preserve"> pr</w:t>
      </w:r>
      <w:r w:rsidR="004C7247">
        <w:rPr>
          <w:rFonts w:eastAsia="Arial Unicode MS"/>
          <w:b w:val="0"/>
          <w:color w:val="000000" w:themeColor="text1"/>
          <w:sz w:val="22"/>
          <w:szCs w:val="22"/>
        </w:rPr>
        <w:t>ocesses (e. g</w:t>
      </w:r>
      <w:r w:rsidR="004C7247" w:rsidRPr="004C7247">
        <w:rPr>
          <w:rFonts w:eastAsia="Arial Unicode MS"/>
          <w:b w:val="0"/>
          <w:color w:val="000000" w:themeColor="text1"/>
          <w:sz w:val="22"/>
          <w:szCs w:val="22"/>
        </w:rPr>
        <w:t xml:space="preserve">. </w:t>
      </w:r>
      <w:r w:rsidR="004C7247">
        <w:rPr>
          <w:rFonts w:eastAsia="Arial Unicode MS"/>
          <w:b w:val="0"/>
          <w:color w:val="000000" w:themeColor="text1"/>
          <w:sz w:val="22"/>
          <w:szCs w:val="22"/>
        </w:rPr>
        <w:t xml:space="preserve">better </w:t>
      </w:r>
      <w:r w:rsidR="004C7247" w:rsidRPr="004C7247">
        <w:rPr>
          <w:rFonts w:eastAsia="Arial Unicode MS"/>
          <w:b w:val="0"/>
          <w:color w:val="000000" w:themeColor="text1"/>
          <w:sz w:val="22"/>
          <w:szCs w:val="22"/>
        </w:rPr>
        <w:t xml:space="preserve">data quality, </w:t>
      </w:r>
      <w:r w:rsidR="004C7247">
        <w:rPr>
          <w:rFonts w:eastAsia="Arial Unicode MS"/>
          <w:b w:val="0"/>
          <w:color w:val="000000" w:themeColor="text1"/>
          <w:sz w:val="22"/>
          <w:szCs w:val="22"/>
        </w:rPr>
        <w:t>reduction in h</w:t>
      </w:r>
      <w:r w:rsidR="004C7247" w:rsidRPr="004C7247">
        <w:rPr>
          <w:rFonts w:eastAsia="Arial Unicode MS"/>
          <w:b w:val="0"/>
          <w:color w:val="000000" w:themeColor="text1"/>
          <w:sz w:val="22"/>
          <w:szCs w:val="22"/>
        </w:rPr>
        <w:t>uman errors’</w:t>
      </w:r>
      <w:r w:rsidR="004C7247">
        <w:rPr>
          <w:rFonts w:eastAsia="Arial Unicode MS"/>
          <w:b w:val="0"/>
          <w:color w:val="000000" w:themeColor="text1"/>
          <w:sz w:val="22"/>
          <w:szCs w:val="22"/>
        </w:rPr>
        <w:t>)</w:t>
      </w:r>
      <w:r w:rsidR="004C7247" w:rsidRPr="004C7247">
        <w:rPr>
          <w:rFonts w:eastAsia="Arial Unicode MS"/>
          <w:b w:val="0"/>
          <w:color w:val="000000" w:themeColor="text1"/>
          <w:sz w:val="22"/>
          <w:szCs w:val="22"/>
        </w:rPr>
        <w:t xml:space="preserve">. </w:t>
      </w:r>
      <w:r w:rsidR="004C7247">
        <w:rPr>
          <w:rFonts w:eastAsia="Arial Unicode MS"/>
          <w:b w:val="0"/>
          <w:color w:val="000000" w:themeColor="text1"/>
          <w:sz w:val="22"/>
          <w:szCs w:val="22"/>
        </w:rPr>
        <w:t xml:space="preserve">In addition, in the environment where </w:t>
      </w:r>
      <w:r w:rsidRPr="002E21A3">
        <w:rPr>
          <w:rFonts w:eastAsia="Arial Unicode MS"/>
          <w:b w:val="0"/>
          <w:color w:val="000000" w:themeColor="text1"/>
          <w:sz w:val="22"/>
          <w:szCs w:val="22"/>
        </w:rPr>
        <w:t>banks’ profitability is forecasted to be negatively affected by lower volumes, higher credit risk, and reduced fee and commissions income</w:t>
      </w:r>
      <w:r w:rsidR="004C7247">
        <w:rPr>
          <w:rFonts w:eastAsia="Arial Unicode MS"/>
          <w:b w:val="0"/>
          <w:color w:val="000000" w:themeColor="text1"/>
          <w:sz w:val="22"/>
          <w:szCs w:val="22"/>
        </w:rPr>
        <w:t xml:space="preserve">, </w:t>
      </w:r>
      <w:r w:rsidRPr="003E5928">
        <w:rPr>
          <w:b w:val="0"/>
          <w:color w:val="000000" w:themeColor="text1"/>
          <w:sz w:val="22"/>
          <w:szCs w:val="22"/>
        </w:rPr>
        <w:t xml:space="preserve">resource-intense and costly </w:t>
      </w:r>
      <w:r w:rsidRPr="003E5928">
        <w:rPr>
          <w:b w:val="0"/>
          <w:bCs w:val="0"/>
          <w:color w:val="000000" w:themeColor="text1"/>
          <w:sz w:val="22"/>
          <w:szCs w:val="22"/>
        </w:rPr>
        <w:t>task</w:t>
      </w:r>
      <w:r w:rsidR="004C7247" w:rsidRPr="003E5928">
        <w:rPr>
          <w:b w:val="0"/>
          <w:bCs w:val="0"/>
          <w:color w:val="000000" w:themeColor="text1"/>
          <w:sz w:val="22"/>
          <w:szCs w:val="22"/>
        </w:rPr>
        <w:t>s</w:t>
      </w:r>
      <w:r w:rsidRPr="003E5928">
        <w:rPr>
          <w:b w:val="0"/>
          <w:bCs w:val="0"/>
          <w:color w:val="000000" w:themeColor="text1"/>
          <w:sz w:val="22"/>
          <w:szCs w:val="22"/>
        </w:rPr>
        <w:t xml:space="preserve"> </w:t>
      </w:r>
      <w:r w:rsidR="004C7247" w:rsidRPr="003E5928">
        <w:rPr>
          <w:b w:val="0"/>
          <w:bCs w:val="0"/>
          <w:color w:val="000000" w:themeColor="text1"/>
          <w:sz w:val="22"/>
          <w:szCs w:val="22"/>
        </w:rPr>
        <w:t>can be an additional drag</w:t>
      </w:r>
      <w:r w:rsidRPr="003E5928">
        <w:rPr>
          <w:b w:val="0"/>
          <w:color w:val="000000" w:themeColor="text1"/>
          <w:sz w:val="22"/>
          <w:szCs w:val="22"/>
        </w:rPr>
        <w:t xml:space="preserve"> for institutions </w:t>
      </w:r>
      <w:r w:rsidR="004C7247" w:rsidRPr="003E5928">
        <w:rPr>
          <w:b w:val="0"/>
          <w:bCs w:val="0"/>
          <w:color w:val="000000" w:themeColor="text1"/>
          <w:sz w:val="22"/>
          <w:szCs w:val="22"/>
        </w:rPr>
        <w:t xml:space="preserve">that are </w:t>
      </w:r>
      <w:r w:rsidRPr="003E5928">
        <w:rPr>
          <w:b w:val="0"/>
          <w:color w:val="000000" w:themeColor="text1"/>
          <w:sz w:val="22"/>
          <w:szCs w:val="22"/>
        </w:rPr>
        <w:t xml:space="preserve">still highly reliant on manual </w:t>
      </w:r>
      <w:r w:rsidRPr="003E5928">
        <w:rPr>
          <w:b w:val="0"/>
          <w:bCs w:val="0"/>
          <w:color w:val="000000" w:themeColor="text1"/>
          <w:sz w:val="22"/>
          <w:szCs w:val="22"/>
        </w:rPr>
        <w:t>workflow</w:t>
      </w:r>
      <w:r w:rsidR="004C7247" w:rsidRPr="003E5928">
        <w:rPr>
          <w:b w:val="0"/>
          <w:bCs w:val="0"/>
          <w:color w:val="000000" w:themeColor="text1"/>
          <w:sz w:val="22"/>
          <w:szCs w:val="22"/>
        </w:rPr>
        <w:t>s</w:t>
      </w:r>
      <w:r w:rsidRPr="003E5928">
        <w:rPr>
          <w:b w:val="0"/>
          <w:color w:val="000000" w:themeColor="text1"/>
          <w:sz w:val="22"/>
          <w:szCs w:val="22"/>
        </w:rPr>
        <w:t>.</w:t>
      </w:r>
      <w:r w:rsidRPr="00B3404E">
        <w:rPr>
          <w:color w:val="000000" w:themeColor="text1"/>
          <w:sz w:val="22"/>
          <w:szCs w:val="22"/>
        </w:rPr>
        <w:t xml:space="preserve"> </w:t>
      </w:r>
    </w:p>
    <w:p w14:paraId="110EF8D1" w14:textId="1352DC02" w:rsidR="00A12183" w:rsidRPr="002E21A3" w:rsidRDefault="00A12183" w:rsidP="00A12183">
      <w:pPr>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rPr>
        <w:t>Thus, a</w:t>
      </w:r>
      <w:r w:rsidRPr="002E21A3">
        <w:rPr>
          <w:rFonts w:ascii="Calibri" w:hAnsi="Calibri" w:cs="Calibri"/>
          <w:color w:val="000000" w:themeColor="text1"/>
          <w:sz w:val="22"/>
          <w:szCs w:val="22"/>
        </w:rPr>
        <w:t>n EU-wide</w:t>
      </w:r>
      <w:r>
        <w:rPr>
          <w:rFonts w:ascii="Calibri" w:hAnsi="Calibri" w:cs="Calibri"/>
          <w:color w:val="000000" w:themeColor="text1"/>
          <w:sz w:val="22"/>
          <w:szCs w:val="22"/>
        </w:rPr>
        <w:t xml:space="preserve"> </w:t>
      </w:r>
      <w:r w:rsidRPr="002E21A3">
        <w:rPr>
          <w:rFonts w:ascii="Calibri" w:hAnsi="Calibri" w:cs="Calibri"/>
          <w:color w:val="000000" w:themeColor="text1"/>
          <w:sz w:val="22"/>
          <w:szCs w:val="22"/>
        </w:rPr>
        <w:t xml:space="preserve">cooperation is important to </w:t>
      </w:r>
      <w:r w:rsidR="00D72CAB">
        <w:rPr>
          <w:rFonts w:ascii="Calibri" w:hAnsi="Calibri" w:cs="Calibri"/>
          <w:color w:val="000000" w:themeColor="text1"/>
          <w:sz w:val="22"/>
          <w:szCs w:val="22"/>
        </w:rPr>
        <w:t>ensure that the</w:t>
      </w:r>
      <w:r w:rsidR="00543372">
        <w:rPr>
          <w:rFonts w:ascii="Calibri" w:hAnsi="Calibri" w:cs="Calibri"/>
          <w:color w:val="000000" w:themeColor="text1"/>
          <w:sz w:val="22"/>
          <w:szCs w:val="22"/>
        </w:rPr>
        <w:t xml:space="preserve"> legal</w:t>
      </w:r>
      <w:r w:rsidR="00D72CAB">
        <w:rPr>
          <w:rFonts w:ascii="Calibri" w:hAnsi="Calibri" w:cs="Calibri"/>
          <w:color w:val="000000" w:themeColor="text1"/>
          <w:sz w:val="22"/>
          <w:szCs w:val="22"/>
        </w:rPr>
        <w:t xml:space="preserve"> </w:t>
      </w:r>
      <w:r w:rsidR="00FF74AD">
        <w:rPr>
          <w:rFonts w:ascii="Calibri" w:hAnsi="Calibri" w:cs="Calibri"/>
          <w:color w:val="000000" w:themeColor="text1"/>
          <w:sz w:val="22"/>
          <w:szCs w:val="22"/>
        </w:rPr>
        <w:t xml:space="preserve">and regulatory </w:t>
      </w:r>
      <w:r w:rsidR="00D72CAB">
        <w:rPr>
          <w:rFonts w:ascii="Calibri" w:hAnsi="Calibri" w:cs="Calibri"/>
          <w:color w:val="000000" w:themeColor="text1"/>
          <w:sz w:val="22"/>
          <w:szCs w:val="22"/>
        </w:rPr>
        <w:t>environment</w:t>
      </w:r>
      <w:r w:rsidR="00251E66">
        <w:rPr>
          <w:rFonts w:ascii="Calibri" w:hAnsi="Calibri" w:cs="Calibri"/>
          <w:color w:val="000000" w:themeColor="text1"/>
          <w:sz w:val="22"/>
          <w:szCs w:val="22"/>
        </w:rPr>
        <w:t xml:space="preserve">: </w:t>
      </w:r>
      <w:r w:rsidR="0074594C">
        <w:rPr>
          <w:rFonts w:ascii="Calibri" w:hAnsi="Calibri" w:cs="Calibri"/>
          <w:color w:val="000000" w:themeColor="text1"/>
          <w:sz w:val="22"/>
          <w:szCs w:val="22"/>
        </w:rPr>
        <w:t>on one hand, facilitate</w:t>
      </w:r>
      <w:r w:rsidR="003E42B1">
        <w:rPr>
          <w:rFonts w:ascii="Calibri" w:hAnsi="Calibri" w:cs="Calibri"/>
          <w:color w:val="000000" w:themeColor="text1"/>
          <w:sz w:val="22"/>
          <w:szCs w:val="22"/>
        </w:rPr>
        <w:t>s</w:t>
      </w:r>
      <w:r w:rsidR="0074594C">
        <w:rPr>
          <w:rFonts w:ascii="Calibri" w:hAnsi="Calibri" w:cs="Calibri"/>
          <w:color w:val="000000" w:themeColor="text1"/>
          <w:sz w:val="22"/>
          <w:szCs w:val="22"/>
        </w:rPr>
        <w:t xml:space="preserve"> the scale up of RegTech at EU level</w:t>
      </w:r>
      <w:r w:rsidR="00480AE1">
        <w:rPr>
          <w:rFonts w:ascii="Calibri" w:hAnsi="Calibri" w:cs="Calibri"/>
          <w:color w:val="000000" w:themeColor="text1"/>
          <w:sz w:val="22"/>
          <w:szCs w:val="22"/>
        </w:rPr>
        <w:t xml:space="preserve">, </w:t>
      </w:r>
      <w:r w:rsidR="0074594C">
        <w:rPr>
          <w:rFonts w:ascii="Calibri" w:hAnsi="Calibri" w:cs="Calibri"/>
          <w:color w:val="000000" w:themeColor="text1"/>
          <w:sz w:val="22"/>
          <w:szCs w:val="22"/>
        </w:rPr>
        <w:t xml:space="preserve">fostering the development of solutions </w:t>
      </w:r>
      <w:r w:rsidR="00480AE1">
        <w:rPr>
          <w:rFonts w:ascii="Calibri" w:hAnsi="Calibri" w:cs="Calibri"/>
          <w:color w:val="000000" w:themeColor="text1"/>
          <w:sz w:val="22"/>
          <w:szCs w:val="22"/>
        </w:rPr>
        <w:t>which might provide benefits to the financial sector, in terms, for example, of</w:t>
      </w:r>
      <w:r w:rsidR="0074594C">
        <w:rPr>
          <w:rFonts w:ascii="Calibri" w:hAnsi="Calibri" w:cs="Calibri"/>
          <w:color w:val="000000" w:themeColor="text1"/>
          <w:sz w:val="22"/>
          <w:szCs w:val="22"/>
        </w:rPr>
        <w:t xml:space="preserve"> effectiveness of risk management</w:t>
      </w:r>
      <w:r w:rsidR="00480AE1">
        <w:rPr>
          <w:rFonts w:ascii="Calibri" w:hAnsi="Calibri" w:cs="Calibri"/>
          <w:color w:val="000000" w:themeColor="text1"/>
          <w:sz w:val="22"/>
          <w:szCs w:val="22"/>
        </w:rPr>
        <w:t xml:space="preserve"> </w:t>
      </w:r>
      <w:r w:rsidR="0074594C">
        <w:rPr>
          <w:rFonts w:ascii="Calibri" w:hAnsi="Calibri" w:cs="Calibri"/>
          <w:color w:val="000000" w:themeColor="text1"/>
          <w:sz w:val="22"/>
          <w:szCs w:val="22"/>
        </w:rPr>
        <w:t>and efficienc</w:t>
      </w:r>
      <w:r w:rsidR="00480AE1">
        <w:rPr>
          <w:rFonts w:ascii="Calibri" w:hAnsi="Calibri" w:cs="Calibri"/>
          <w:color w:val="000000" w:themeColor="text1"/>
          <w:sz w:val="22"/>
          <w:szCs w:val="22"/>
        </w:rPr>
        <w:t xml:space="preserve">y; </w:t>
      </w:r>
      <w:r w:rsidR="0074594C">
        <w:rPr>
          <w:rFonts w:ascii="Calibri" w:hAnsi="Calibri" w:cs="Calibri"/>
          <w:color w:val="000000" w:themeColor="text1"/>
          <w:sz w:val="22"/>
          <w:szCs w:val="22"/>
        </w:rPr>
        <w:t>an</w:t>
      </w:r>
      <w:r w:rsidR="00251E66">
        <w:rPr>
          <w:rFonts w:ascii="Calibri" w:hAnsi="Calibri" w:cs="Calibri"/>
          <w:color w:val="000000" w:themeColor="text1"/>
          <w:sz w:val="22"/>
          <w:szCs w:val="22"/>
        </w:rPr>
        <w:t>d,</w:t>
      </w:r>
      <w:r w:rsidR="00480AE1">
        <w:rPr>
          <w:rFonts w:ascii="Calibri" w:hAnsi="Calibri" w:cs="Calibri"/>
          <w:color w:val="000000" w:themeColor="text1"/>
          <w:sz w:val="22"/>
          <w:szCs w:val="22"/>
        </w:rPr>
        <w:t xml:space="preserve"> </w:t>
      </w:r>
      <w:r w:rsidR="0074594C">
        <w:rPr>
          <w:rFonts w:ascii="Calibri" w:hAnsi="Calibri" w:cs="Calibri"/>
          <w:color w:val="000000" w:themeColor="text1"/>
          <w:sz w:val="22"/>
          <w:szCs w:val="22"/>
        </w:rPr>
        <w:t xml:space="preserve">on the other hand, addresses the potential risk </w:t>
      </w:r>
      <w:r w:rsidR="00480AE1">
        <w:rPr>
          <w:rFonts w:ascii="Calibri" w:hAnsi="Calibri" w:cs="Calibri"/>
          <w:color w:val="000000" w:themeColor="text1"/>
          <w:sz w:val="22"/>
          <w:szCs w:val="22"/>
        </w:rPr>
        <w:t>which may arise from the use of such solution</w:t>
      </w:r>
      <w:r w:rsidR="005F700D">
        <w:rPr>
          <w:rFonts w:ascii="Calibri" w:hAnsi="Calibri" w:cs="Calibri"/>
          <w:color w:val="000000" w:themeColor="text1"/>
          <w:sz w:val="22"/>
          <w:szCs w:val="22"/>
        </w:rPr>
        <w:t>s</w:t>
      </w:r>
      <w:r w:rsidR="00480AE1">
        <w:rPr>
          <w:rFonts w:ascii="Calibri" w:hAnsi="Calibri" w:cs="Calibri"/>
          <w:color w:val="000000" w:themeColor="text1"/>
          <w:sz w:val="22"/>
          <w:szCs w:val="22"/>
        </w:rPr>
        <w:t>.</w:t>
      </w:r>
      <w:r w:rsidR="0074594C">
        <w:rPr>
          <w:rFonts w:ascii="Calibri" w:hAnsi="Calibri" w:cs="Calibri"/>
          <w:color w:val="000000" w:themeColor="text1"/>
          <w:sz w:val="22"/>
          <w:szCs w:val="22"/>
        </w:rPr>
        <w:t xml:space="preserve"> </w:t>
      </w:r>
      <w:r w:rsidRPr="002E21A3">
        <w:rPr>
          <w:rFonts w:ascii="Calibri" w:hAnsi="Calibri" w:cs="Calibri"/>
          <w:color w:val="000000" w:themeColor="text1"/>
          <w:sz w:val="22"/>
          <w:szCs w:val="22"/>
        </w:rPr>
        <w:t>We see</w:t>
      </w:r>
      <w:r w:rsidRPr="008D3828">
        <w:rPr>
          <w:rFonts w:ascii="Calibri" w:hAnsi="Calibri" w:cs="Calibri"/>
          <w:color w:val="000000" w:themeColor="text1"/>
          <w:sz w:val="22"/>
          <w:szCs w:val="22"/>
        </w:rPr>
        <w:t xml:space="preserve"> </w:t>
      </w:r>
      <w:r w:rsidR="00150287">
        <w:rPr>
          <w:rFonts w:ascii="Calibri" w:hAnsi="Calibri" w:cs="Calibri"/>
          <w:color w:val="000000" w:themeColor="text1"/>
          <w:sz w:val="22"/>
          <w:szCs w:val="22"/>
        </w:rPr>
        <w:t>that</w:t>
      </w:r>
      <w:r w:rsidR="00251E66">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the EBA </w:t>
      </w:r>
      <w:r w:rsidR="00251E66">
        <w:rPr>
          <w:rFonts w:ascii="Calibri" w:hAnsi="Calibri" w:cs="Calibri"/>
          <w:color w:val="000000" w:themeColor="text1"/>
          <w:sz w:val="22"/>
          <w:szCs w:val="22"/>
        </w:rPr>
        <w:t xml:space="preserve">and the European Forum for Innovation Facilitators (EFIF) </w:t>
      </w:r>
      <w:r w:rsidR="00150287">
        <w:rPr>
          <w:rFonts w:ascii="Calibri" w:hAnsi="Calibri" w:cs="Calibri"/>
          <w:color w:val="000000" w:themeColor="text1"/>
          <w:sz w:val="22"/>
          <w:szCs w:val="22"/>
        </w:rPr>
        <w:t xml:space="preserve">can play a </w:t>
      </w:r>
      <w:r w:rsidRPr="002E21A3">
        <w:rPr>
          <w:rFonts w:ascii="Calibri" w:hAnsi="Calibri" w:cs="Calibri"/>
          <w:color w:val="000000" w:themeColor="text1"/>
          <w:sz w:val="22"/>
          <w:szCs w:val="22"/>
        </w:rPr>
        <w:t xml:space="preserve">very important </w:t>
      </w:r>
      <w:r w:rsidR="00150287">
        <w:rPr>
          <w:rFonts w:ascii="Calibri" w:hAnsi="Calibri" w:cs="Calibri"/>
          <w:color w:val="000000" w:themeColor="text1"/>
          <w:sz w:val="22"/>
          <w:szCs w:val="22"/>
        </w:rPr>
        <w:t xml:space="preserve">role </w:t>
      </w:r>
      <w:r w:rsidRPr="002E21A3">
        <w:rPr>
          <w:rFonts w:ascii="Calibri" w:hAnsi="Calibri" w:cs="Calibri"/>
          <w:color w:val="000000" w:themeColor="text1"/>
          <w:sz w:val="22"/>
          <w:szCs w:val="22"/>
        </w:rPr>
        <w:t>in this field.</w:t>
      </w:r>
    </w:p>
    <w:p w14:paraId="066C3562" w14:textId="1016BDBF" w:rsidR="00A12183" w:rsidRPr="002E21A3" w:rsidRDefault="00A12183" w:rsidP="00A12183">
      <w:pPr>
        <w:pStyle w:val="Titlelevel3"/>
        <w:spacing w:line="276" w:lineRule="auto"/>
        <w:jc w:val="both"/>
        <w:rPr>
          <w:rFonts w:eastAsia="Arial Unicode MS"/>
          <w:b w:val="0"/>
          <w:color w:val="000000" w:themeColor="text1"/>
          <w:sz w:val="22"/>
          <w:szCs w:val="22"/>
        </w:rPr>
      </w:pPr>
      <w:r w:rsidRPr="002E21A3">
        <w:rPr>
          <w:rFonts w:eastAsia="Arial Unicode MS"/>
          <w:b w:val="0"/>
          <w:color w:val="000000" w:themeColor="text1"/>
          <w:sz w:val="22"/>
          <w:szCs w:val="22"/>
        </w:rPr>
        <w:t xml:space="preserve">In particular, </w:t>
      </w:r>
      <w:r w:rsidR="00251E66">
        <w:rPr>
          <w:rFonts w:eastAsia="Arial Unicode MS"/>
          <w:b w:val="0"/>
          <w:color w:val="000000" w:themeColor="text1"/>
          <w:sz w:val="22"/>
          <w:szCs w:val="22"/>
        </w:rPr>
        <w:t>EFIF</w:t>
      </w:r>
      <w:r w:rsidRPr="002E21A3">
        <w:rPr>
          <w:rFonts w:eastAsia="Arial Unicode MS"/>
          <w:b w:val="0"/>
          <w:color w:val="000000" w:themeColor="text1"/>
          <w:sz w:val="22"/>
          <w:szCs w:val="22"/>
        </w:rPr>
        <w:t xml:space="preserve"> can focus on identification of </w:t>
      </w:r>
      <w:r>
        <w:rPr>
          <w:rFonts w:eastAsia="Arial Unicode MS"/>
          <w:b w:val="0"/>
          <w:color w:val="000000" w:themeColor="text1"/>
          <w:sz w:val="22"/>
          <w:szCs w:val="22"/>
        </w:rPr>
        <w:t xml:space="preserve">RegTech </w:t>
      </w:r>
      <w:r w:rsidRPr="002E21A3">
        <w:rPr>
          <w:rFonts w:eastAsia="Arial Unicode MS"/>
          <w:b w:val="0"/>
          <w:color w:val="000000" w:themeColor="text1"/>
          <w:sz w:val="22"/>
          <w:szCs w:val="22"/>
        </w:rPr>
        <w:t>use cases in the EU financial sector, regulatory and supervisory issues arising and experience acquired by the competent authorities, with a view to promoting a common approach to the use of RegTech and supporting interoperability.</w:t>
      </w:r>
    </w:p>
    <w:p w14:paraId="0048A0B6" w14:textId="77777777" w:rsidR="00A12183" w:rsidRPr="002E21A3" w:rsidRDefault="00A12183" w:rsidP="00A12183">
      <w:pPr>
        <w:spacing w:before="120" w:after="120" w:line="276" w:lineRule="auto"/>
        <w:jc w:val="both"/>
        <w:rPr>
          <w:rFonts w:ascii="Calibri" w:hAnsi="Calibri" w:cs="Calibri"/>
          <w:color w:val="000000" w:themeColor="text1"/>
          <w:sz w:val="22"/>
          <w:szCs w:val="22"/>
        </w:rPr>
      </w:pPr>
      <w:r w:rsidRPr="002E21A3">
        <w:rPr>
          <w:rFonts w:ascii="Calibri" w:hAnsi="Calibri" w:cs="Calibri"/>
          <w:color w:val="000000" w:themeColor="text1"/>
          <w:sz w:val="22"/>
          <w:szCs w:val="22"/>
        </w:rPr>
        <w:t>EFIF can provide a good overview of technology trends and use cases and major regulatory and supervisory themes, including any areas in which:</w:t>
      </w:r>
    </w:p>
    <w:p w14:paraId="7D4A0AC1" w14:textId="77777777" w:rsidR="00A12183" w:rsidRPr="002E21A3" w:rsidRDefault="00A12183" w:rsidP="00A12183">
      <w:pPr>
        <w:pStyle w:val="ListParagraph"/>
        <w:numPr>
          <w:ilvl w:val="0"/>
          <w:numId w:val="18"/>
        </w:numPr>
        <w:spacing w:before="120" w:after="120"/>
        <w:ind w:left="771" w:hanging="357"/>
        <w:contextualSpacing/>
        <w:rPr>
          <w:rFonts w:ascii="Calibri" w:hAnsi="Calibri" w:cs="Calibri"/>
          <w:color w:val="000000" w:themeColor="text1"/>
          <w:szCs w:val="22"/>
        </w:rPr>
      </w:pPr>
      <w:r w:rsidRPr="002E21A3">
        <w:rPr>
          <w:rFonts w:ascii="Calibri" w:hAnsi="Calibri" w:cs="Calibri"/>
          <w:color w:val="000000" w:themeColor="text1"/>
          <w:szCs w:val="22"/>
        </w:rPr>
        <w:t>common views on the appropriate regulatory and supervisory response are reached;</w:t>
      </w:r>
    </w:p>
    <w:p w14:paraId="1C8B8780" w14:textId="77777777" w:rsidR="00A12183" w:rsidRPr="002E21A3" w:rsidRDefault="00A12183" w:rsidP="00B60B99">
      <w:pPr>
        <w:pStyle w:val="ListParagraph"/>
        <w:numPr>
          <w:ilvl w:val="0"/>
          <w:numId w:val="18"/>
        </w:numPr>
        <w:spacing w:before="120" w:after="120"/>
        <w:ind w:left="771" w:hanging="357"/>
        <w:contextualSpacing/>
        <w:rPr>
          <w:rFonts w:ascii="Calibri" w:hAnsi="Calibri" w:cs="Calibri"/>
          <w:color w:val="000000" w:themeColor="text1"/>
          <w:szCs w:val="22"/>
        </w:rPr>
      </w:pPr>
      <w:r w:rsidRPr="002E21A3">
        <w:rPr>
          <w:rFonts w:ascii="Calibri" w:hAnsi="Calibri" w:cs="Calibri"/>
          <w:color w:val="000000" w:themeColor="text1"/>
          <w:szCs w:val="22"/>
        </w:rPr>
        <w:t xml:space="preserve">recurrent regulatory obstacles or gaps impeding the scaling up of financial innovation are observed that may warrant attention by the ESAs and/or European Commission; </w:t>
      </w:r>
    </w:p>
    <w:p w14:paraId="5A15B398" w14:textId="52087AA8" w:rsidR="00FD4200" w:rsidRDefault="00FD4200" w:rsidP="00FD4200">
      <w:pPr>
        <w:pStyle w:val="ListParagraph"/>
        <w:numPr>
          <w:ilvl w:val="0"/>
          <w:numId w:val="18"/>
        </w:numPr>
        <w:spacing w:before="120" w:after="120"/>
        <w:ind w:left="771" w:hanging="357"/>
        <w:contextualSpacing/>
        <w:rPr>
          <w:rFonts w:ascii="Calibri" w:hAnsi="Calibri" w:cs="Calibri"/>
          <w:color w:val="000000" w:themeColor="text1"/>
          <w:szCs w:val="22"/>
        </w:rPr>
      </w:pPr>
      <w:r w:rsidRPr="00E765C6">
        <w:rPr>
          <w:rFonts w:ascii="Calibri" w:hAnsi="Calibri" w:cs="Calibri"/>
          <w:color w:val="000000" w:themeColor="text1"/>
          <w:szCs w:val="22"/>
        </w:rPr>
        <w:t xml:space="preserve">recurrent risks with reference </w:t>
      </w:r>
      <w:r>
        <w:rPr>
          <w:rFonts w:ascii="Calibri" w:hAnsi="Calibri" w:cs="Calibri"/>
          <w:color w:val="000000" w:themeColor="text1"/>
          <w:szCs w:val="22"/>
        </w:rPr>
        <w:t>to the use of RegT</w:t>
      </w:r>
      <w:r w:rsidRPr="00FD4200">
        <w:rPr>
          <w:rFonts w:ascii="Calibri" w:hAnsi="Calibri" w:cs="Calibri"/>
          <w:color w:val="000000" w:themeColor="text1"/>
          <w:szCs w:val="22"/>
        </w:rPr>
        <w:t>ech solutions</w:t>
      </w:r>
      <w:r w:rsidR="0098557D" w:rsidRPr="0098557D">
        <w:rPr>
          <w:rFonts w:ascii="Calibri" w:hAnsi="Calibri" w:cs="Calibri"/>
          <w:color w:val="000000" w:themeColor="text1"/>
          <w:szCs w:val="22"/>
        </w:rPr>
        <w:t xml:space="preserve"> </w:t>
      </w:r>
      <w:r w:rsidR="0098557D">
        <w:rPr>
          <w:rFonts w:ascii="Calibri" w:hAnsi="Calibri" w:cs="Calibri"/>
          <w:color w:val="000000" w:themeColor="text1"/>
          <w:szCs w:val="22"/>
        </w:rPr>
        <w:t xml:space="preserve">are </w:t>
      </w:r>
      <w:r w:rsidR="00E62554">
        <w:rPr>
          <w:rFonts w:ascii="Calibri" w:hAnsi="Calibri" w:cs="Calibri"/>
          <w:color w:val="000000" w:themeColor="text1"/>
          <w:szCs w:val="22"/>
        </w:rPr>
        <w:t>identified</w:t>
      </w:r>
      <w:r>
        <w:rPr>
          <w:rFonts w:ascii="Calibri" w:hAnsi="Calibri" w:cs="Calibri"/>
          <w:color w:val="000000" w:themeColor="text1"/>
          <w:szCs w:val="22"/>
        </w:rPr>
        <w:t>;</w:t>
      </w:r>
    </w:p>
    <w:p w14:paraId="0D97B09A" w14:textId="2A565414" w:rsidR="00FD4200" w:rsidRPr="002E21A3" w:rsidRDefault="00FD4200" w:rsidP="00FD4200">
      <w:pPr>
        <w:pStyle w:val="ListParagraph"/>
        <w:numPr>
          <w:ilvl w:val="0"/>
          <w:numId w:val="18"/>
        </w:numPr>
        <w:spacing w:before="120" w:after="120"/>
        <w:ind w:left="771" w:hanging="357"/>
        <w:contextualSpacing/>
        <w:rPr>
          <w:rFonts w:ascii="Calibri" w:hAnsi="Calibri" w:cs="Calibri"/>
          <w:color w:val="000000" w:themeColor="text1"/>
          <w:szCs w:val="22"/>
        </w:rPr>
      </w:pPr>
      <w:r w:rsidRPr="00E765C6">
        <w:rPr>
          <w:rFonts w:ascii="Calibri" w:hAnsi="Calibri" w:cs="Calibri"/>
          <w:color w:val="000000" w:themeColor="text1"/>
          <w:szCs w:val="22"/>
        </w:rPr>
        <w:t>analysis of the effectiveness of Reg</w:t>
      </w:r>
      <w:r>
        <w:rPr>
          <w:rFonts w:ascii="Calibri" w:hAnsi="Calibri" w:cs="Calibri"/>
          <w:color w:val="000000" w:themeColor="text1"/>
          <w:szCs w:val="22"/>
        </w:rPr>
        <w:t>T</w:t>
      </w:r>
      <w:r w:rsidRPr="00E765C6">
        <w:rPr>
          <w:rFonts w:ascii="Calibri" w:hAnsi="Calibri" w:cs="Calibri"/>
          <w:color w:val="000000" w:themeColor="text1"/>
          <w:szCs w:val="22"/>
        </w:rPr>
        <w:t>ech solutions to achieve AML/CFT goals compared to more traditional solutions</w:t>
      </w:r>
      <w:r w:rsidR="0098557D">
        <w:rPr>
          <w:rFonts w:ascii="Calibri" w:hAnsi="Calibri" w:cs="Calibri"/>
          <w:color w:val="000000" w:themeColor="text1"/>
          <w:szCs w:val="22"/>
        </w:rPr>
        <w:t xml:space="preserve"> is conducted; and</w:t>
      </w:r>
    </w:p>
    <w:p w14:paraId="2FDA0541" w14:textId="50EE09D1" w:rsidR="00A12183" w:rsidRDefault="00FD4200" w:rsidP="00B60B99">
      <w:pPr>
        <w:pStyle w:val="ListParagraph"/>
        <w:numPr>
          <w:ilvl w:val="0"/>
          <w:numId w:val="18"/>
        </w:numPr>
        <w:spacing w:before="120" w:after="120"/>
        <w:ind w:left="771" w:hanging="357"/>
        <w:contextualSpacing/>
        <w:rPr>
          <w:rFonts w:ascii="Calibri" w:hAnsi="Calibri" w:cs="Calibri"/>
          <w:color w:val="000000" w:themeColor="text1"/>
          <w:szCs w:val="22"/>
        </w:rPr>
      </w:pPr>
      <w:r w:rsidRPr="002E21A3">
        <w:rPr>
          <w:rFonts w:ascii="Calibri" w:hAnsi="Calibri" w:cs="Calibri"/>
          <w:color w:val="000000" w:themeColor="text1"/>
          <w:szCs w:val="22"/>
        </w:rPr>
        <w:t xml:space="preserve"> </w:t>
      </w:r>
      <w:r w:rsidR="00A12183" w:rsidRPr="002E21A3">
        <w:rPr>
          <w:rFonts w:ascii="Calibri" w:hAnsi="Calibri" w:cs="Calibri"/>
          <w:color w:val="000000" w:themeColor="text1"/>
          <w:szCs w:val="22"/>
        </w:rPr>
        <w:t>policy action may be needed.</w:t>
      </w:r>
    </w:p>
    <w:p w14:paraId="5A085A97" w14:textId="507B3D47" w:rsidR="00A12183" w:rsidRPr="003C27BF" w:rsidRDefault="00A12183" w:rsidP="00A12183">
      <w:pPr>
        <w:pStyle w:val="Titlelevel3"/>
        <w:spacing w:line="276" w:lineRule="auto"/>
        <w:jc w:val="both"/>
        <w:rPr>
          <w:rFonts w:eastAsia="Arial Unicode MS"/>
          <w:b w:val="0"/>
          <w:color w:val="000000" w:themeColor="text1"/>
          <w:sz w:val="22"/>
          <w:szCs w:val="22"/>
        </w:rPr>
      </w:pPr>
      <w:r w:rsidRPr="002E21A3">
        <w:rPr>
          <w:rFonts w:eastAsia="Arial Unicode MS"/>
          <w:b w:val="0"/>
          <w:color w:val="000000" w:themeColor="text1"/>
          <w:sz w:val="22"/>
          <w:szCs w:val="22"/>
        </w:rPr>
        <w:t xml:space="preserve">The EBA </w:t>
      </w:r>
      <w:r>
        <w:rPr>
          <w:rFonts w:eastAsia="Arial Unicode MS"/>
          <w:b w:val="0"/>
          <w:color w:val="000000" w:themeColor="text1"/>
          <w:sz w:val="22"/>
          <w:szCs w:val="22"/>
        </w:rPr>
        <w:t>is well placed to</w:t>
      </w:r>
      <w:r w:rsidRPr="002E21A3">
        <w:rPr>
          <w:rFonts w:eastAsia="Arial Unicode MS"/>
          <w:b w:val="0"/>
          <w:color w:val="000000" w:themeColor="text1"/>
          <w:sz w:val="22"/>
          <w:szCs w:val="22"/>
        </w:rPr>
        <w:t xml:space="preserve"> conduct deeper analysis</w:t>
      </w:r>
      <w:r w:rsidR="00D743B7">
        <w:rPr>
          <w:rFonts w:eastAsia="Arial Unicode MS"/>
          <w:b w:val="0"/>
          <w:color w:val="000000" w:themeColor="text1"/>
          <w:sz w:val="22"/>
          <w:szCs w:val="22"/>
        </w:rPr>
        <w:t xml:space="preserve"> on s</w:t>
      </w:r>
      <w:r w:rsidRPr="002E21A3">
        <w:rPr>
          <w:rFonts w:eastAsia="Arial Unicode MS"/>
          <w:b w:val="0"/>
          <w:color w:val="000000" w:themeColor="text1"/>
          <w:sz w:val="22"/>
          <w:szCs w:val="22"/>
        </w:rPr>
        <w:t xml:space="preserve">elected RegTech use cases and issue </w:t>
      </w:r>
      <w:r w:rsidR="00D743B7">
        <w:rPr>
          <w:rFonts w:eastAsia="Arial Unicode MS"/>
          <w:b w:val="0"/>
          <w:color w:val="000000" w:themeColor="text1"/>
          <w:sz w:val="22"/>
          <w:szCs w:val="22"/>
        </w:rPr>
        <w:t xml:space="preserve">an </w:t>
      </w:r>
      <w:r w:rsidRPr="002E21A3">
        <w:rPr>
          <w:rFonts w:eastAsia="Arial Unicode MS"/>
          <w:b w:val="0"/>
          <w:color w:val="000000" w:themeColor="text1"/>
          <w:sz w:val="22"/>
          <w:szCs w:val="22"/>
        </w:rPr>
        <w:t>opinion on legislative changes needed</w:t>
      </w:r>
      <w:r w:rsidR="00D743B7">
        <w:rPr>
          <w:rFonts w:eastAsia="Arial Unicode MS"/>
          <w:b w:val="0"/>
          <w:color w:val="000000" w:themeColor="text1"/>
          <w:sz w:val="22"/>
          <w:szCs w:val="22"/>
        </w:rPr>
        <w:t xml:space="preserve"> to support the uptake of RegTech solutions</w:t>
      </w:r>
      <w:r w:rsidRPr="002E21A3">
        <w:rPr>
          <w:rFonts w:eastAsia="Arial Unicode MS"/>
          <w:b w:val="0"/>
          <w:color w:val="000000" w:themeColor="text1"/>
          <w:sz w:val="22"/>
          <w:szCs w:val="22"/>
        </w:rPr>
        <w:t>.</w:t>
      </w:r>
      <w:r w:rsidR="00EE17DB">
        <w:rPr>
          <w:rFonts w:eastAsia="Arial Unicode MS"/>
          <w:b w:val="0"/>
          <w:color w:val="000000" w:themeColor="text1"/>
          <w:sz w:val="22"/>
          <w:szCs w:val="22"/>
        </w:rPr>
        <w:t xml:space="preserve"> The EBA has already started investigating the use of RegTech in the financial sector, aiming to release its finding</w:t>
      </w:r>
      <w:r w:rsidR="00AB1D13">
        <w:rPr>
          <w:rFonts w:eastAsia="Arial Unicode MS"/>
          <w:b w:val="0"/>
          <w:color w:val="000000" w:themeColor="text1"/>
          <w:sz w:val="22"/>
          <w:szCs w:val="22"/>
        </w:rPr>
        <w:t>s</w:t>
      </w:r>
      <w:r w:rsidR="00EE17DB">
        <w:rPr>
          <w:rFonts w:eastAsia="Arial Unicode MS"/>
          <w:b w:val="0"/>
          <w:color w:val="000000" w:themeColor="text1"/>
          <w:sz w:val="22"/>
          <w:szCs w:val="22"/>
        </w:rPr>
        <w:t xml:space="preserve"> in early 2021.</w:t>
      </w:r>
    </w:p>
    <w:p w14:paraId="0D8833BE" w14:textId="77777777" w:rsidR="00A12183" w:rsidRPr="0091179D" w:rsidRDefault="00A12183" w:rsidP="00A12183">
      <w:pPr>
        <w:spacing w:before="120" w:after="120" w:line="276" w:lineRule="auto"/>
        <w:jc w:val="both"/>
        <w:rPr>
          <w:rFonts w:ascii="Calibri" w:hAnsi="Calibri"/>
          <w:color w:val="000000" w:themeColor="text1"/>
          <w:sz w:val="22"/>
        </w:rPr>
      </w:pPr>
      <w:r>
        <w:rPr>
          <w:rFonts w:ascii="Calibri" w:hAnsi="Calibri"/>
          <w:b/>
          <w:color w:val="000000" w:themeColor="text1"/>
          <w:sz w:val="22"/>
        </w:rPr>
        <w:t>R</w:t>
      </w:r>
      <w:r w:rsidRPr="0091179D">
        <w:rPr>
          <w:rFonts w:ascii="Calibri" w:hAnsi="Calibri"/>
          <w:b/>
          <w:color w:val="000000" w:themeColor="text1"/>
          <w:sz w:val="22"/>
        </w:rPr>
        <w:t>egTech initiatives at EU level</w:t>
      </w:r>
      <w:r w:rsidRPr="0091179D">
        <w:rPr>
          <w:rFonts w:ascii="Calibri" w:hAnsi="Calibri"/>
          <w:color w:val="000000" w:themeColor="text1"/>
          <w:sz w:val="22"/>
        </w:rPr>
        <w:t xml:space="preserve"> could focus to facilitate financial institutions’ engagement with third party (RegTech) providers to i) aid the screening process, ii) reduce the costs of ‘due diligence’, and iii) provide additional assurance of the quality of the services provided. </w:t>
      </w:r>
    </w:p>
    <w:p w14:paraId="3D35AE2E" w14:textId="77777777" w:rsidR="00A12183" w:rsidRPr="0091179D" w:rsidRDefault="00A12183" w:rsidP="00A12183">
      <w:pPr>
        <w:spacing w:before="120" w:after="120" w:line="276" w:lineRule="auto"/>
        <w:jc w:val="both"/>
        <w:rPr>
          <w:rFonts w:ascii="Calibri" w:hAnsi="Calibri"/>
          <w:color w:val="000000" w:themeColor="text1"/>
          <w:sz w:val="22"/>
        </w:rPr>
      </w:pPr>
      <w:r w:rsidRPr="0091179D">
        <w:rPr>
          <w:rFonts w:ascii="Calibri" w:hAnsi="Calibri"/>
          <w:color w:val="000000" w:themeColor="text1"/>
          <w:sz w:val="22"/>
        </w:rPr>
        <w:t>In practice, this support could take the form of:</w:t>
      </w:r>
    </w:p>
    <w:p w14:paraId="4F67F05A" w14:textId="1E1F30CF" w:rsidR="00A12183" w:rsidRPr="0091179D" w:rsidRDefault="00A12183" w:rsidP="0094778F">
      <w:pPr>
        <w:pStyle w:val="ListParagraph"/>
        <w:numPr>
          <w:ilvl w:val="0"/>
          <w:numId w:val="26"/>
        </w:numPr>
        <w:tabs>
          <w:tab w:val="left" w:pos="5954"/>
        </w:tabs>
        <w:spacing w:before="120" w:after="120"/>
        <w:rPr>
          <w:rFonts w:ascii="Calibri" w:hAnsi="Calibri"/>
          <w:color w:val="000000" w:themeColor="text1"/>
        </w:rPr>
      </w:pPr>
      <w:r w:rsidRPr="0091179D">
        <w:rPr>
          <w:rFonts w:ascii="Calibri" w:hAnsi="Calibri"/>
          <w:color w:val="000000" w:themeColor="text1"/>
        </w:rPr>
        <w:lastRenderedPageBreak/>
        <w:t>[</w:t>
      </w:r>
      <w:r w:rsidRPr="0091179D">
        <w:rPr>
          <w:rFonts w:ascii="Calibri" w:hAnsi="Calibri"/>
          <w:i/>
          <w:color w:val="000000" w:themeColor="text1"/>
        </w:rPr>
        <w:t>short term solution</w:t>
      </w:r>
      <w:r w:rsidRPr="0091179D">
        <w:rPr>
          <w:rFonts w:ascii="Calibri" w:hAnsi="Calibri"/>
          <w:color w:val="000000" w:themeColor="text1"/>
        </w:rPr>
        <w:t xml:space="preserve">] </w:t>
      </w:r>
      <w:r w:rsidRPr="0091179D">
        <w:rPr>
          <w:rFonts w:ascii="Calibri" w:hAnsi="Calibri"/>
          <w:b/>
          <w:color w:val="000000" w:themeColor="text1"/>
        </w:rPr>
        <w:t>promoting the development of an industry sponsored RegTech platform</w:t>
      </w:r>
      <w:r w:rsidRPr="0091179D">
        <w:rPr>
          <w:rFonts w:ascii="Calibri" w:hAnsi="Calibri"/>
          <w:color w:val="000000" w:themeColor="text1"/>
        </w:rPr>
        <w:t xml:space="preserve">, which could </w:t>
      </w:r>
      <w:r w:rsidR="00E975CB">
        <w:rPr>
          <w:rFonts w:ascii="Calibri" w:hAnsi="Calibri"/>
          <w:color w:val="000000" w:themeColor="text1"/>
        </w:rPr>
        <w:t xml:space="preserve"> </w:t>
      </w:r>
      <w:r w:rsidRPr="0091179D">
        <w:rPr>
          <w:rFonts w:ascii="Calibri" w:hAnsi="Calibri"/>
          <w:color w:val="000000" w:themeColor="text1"/>
        </w:rPr>
        <w:t>collect</w:t>
      </w:r>
      <w:r>
        <w:rPr>
          <w:rFonts w:ascii="Calibri" w:hAnsi="Calibri"/>
          <w:color w:val="000000" w:themeColor="text1"/>
        </w:rPr>
        <w:t xml:space="preserve"> and disseminate</w:t>
      </w:r>
      <w:r w:rsidRPr="0091179D">
        <w:rPr>
          <w:rFonts w:ascii="Calibri" w:hAnsi="Calibri"/>
          <w:color w:val="000000" w:themeColor="text1"/>
        </w:rPr>
        <w:t xml:space="preserve"> </w:t>
      </w:r>
      <w:r w:rsidR="00204E3D">
        <w:rPr>
          <w:rFonts w:ascii="Calibri" w:hAnsi="Calibri"/>
          <w:color w:val="000000" w:themeColor="text1"/>
        </w:rPr>
        <w:t xml:space="preserve">(on a voluntary basis) </w:t>
      </w:r>
      <w:r w:rsidRPr="0091179D">
        <w:rPr>
          <w:rFonts w:ascii="Calibri" w:hAnsi="Calibri"/>
          <w:color w:val="000000" w:themeColor="text1"/>
        </w:rPr>
        <w:t xml:space="preserve">RegTech solutions already implemented </w:t>
      </w:r>
      <w:r>
        <w:rPr>
          <w:rFonts w:ascii="Calibri" w:hAnsi="Calibri" w:cs="Calibri"/>
          <w:color w:val="000000" w:themeColor="text1"/>
          <w:szCs w:val="22"/>
        </w:rPr>
        <w:t>by</w:t>
      </w:r>
      <w:r w:rsidRPr="0091179D">
        <w:rPr>
          <w:rFonts w:ascii="Calibri" w:hAnsi="Calibri"/>
          <w:color w:val="000000" w:themeColor="text1"/>
        </w:rPr>
        <w:t xml:space="preserve"> EU financial </w:t>
      </w:r>
      <w:r>
        <w:rPr>
          <w:rFonts w:ascii="Calibri" w:hAnsi="Calibri" w:cs="Calibri"/>
          <w:color w:val="000000" w:themeColor="text1"/>
          <w:szCs w:val="22"/>
        </w:rPr>
        <w:t>institutions in a single website, provide information on functioning of reported solutions</w:t>
      </w:r>
      <w:r w:rsidRPr="0091179D">
        <w:rPr>
          <w:rFonts w:ascii="Calibri" w:hAnsi="Calibri"/>
          <w:color w:val="000000" w:themeColor="text1"/>
        </w:rPr>
        <w:t xml:space="preserve"> and help </w:t>
      </w:r>
      <w:r>
        <w:rPr>
          <w:rFonts w:ascii="Calibri" w:hAnsi="Calibri"/>
          <w:color w:val="000000" w:themeColor="text1"/>
        </w:rPr>
        <w:t>to connect</w:t>
      </w:r>
      <w:r w:rsidRPr="0091179D">
        <w:rPr>
          <w:rFonts w:ascii="Calibri" w:hAnsi="Calibri"/>
          <w:color w:val="000000" w:themeColor="text1"/>
        </w:rPr>
        <w:t xml:space="preserve"> financial institutions and RegTech providers in the EU</w:t>
      </w:r>
      <w:r w:rsidR="000733AB">
        <w:rPr>
          <w:rFonts w:ascii="Calibri" w:hAnsi="Calibri"/>
          <w:color w:val="000000" w:themeColor="text1"/>
        </w:rPr>
        <w:t xml:space="preserve">. However, before proceeding, a comprehensive analysis should be conducted on how to address any arising competition issues to avoid promoting </w:t>
      </w:r>
      <w:r w:rsidR="000733AB" w:rsidRPr="000733AB">
        <w:rPr>
          <w:rFonts w:ascii="Calibri" w:hAnsi="Calibri"/>
          <w:color w:val="000000" w:themeColor="text1"/>
        </w:rPr>
        <w:t>some solutions/technology providers in detriment of others</w:t>
      </w:r>
      <w:r w:rsidR="000733AB">
        <w:rPr>
          <w:rFonts w:ascii="Calibri" w:hAnsi="Calibri"/>
          <w:color w:val="000000" w:themeColor="text1"/>
        </w:rPr>
        <w:t>;</w:t>
      </w:r>
    </w:p>
    <w:p w14:paraId="40FD00FC" w14:textId="16762B5A" w:rsidR="00A12183" w:rsidRDefault="00A12183" w:rsidP="00A12183">
      <w:pPr>
        <w:pStyle w:val="ListParagraph"/>
        <w:numPr>
          <w:ilvl w:val="0"/>
          <w:numId w:val="26"/>
        </w:numPr>
        <w:spacing w:before="120" w:after="120"/>
        <w:rPr>
          <w:rFonts w:ascii="Calibri" w:hAnsi="Calibri"/>
          <w:color w:val="000000" w:themeColor="text1"/>
        </w:rPr>
      </w:pPr>
      <w:r w:rsidRPr="0091179D">
        <w:rPr>
          <w:rFonts w:ascii="Calibri" w:hAnsi="Calibri"/>
          <w:color w:val="000000" w:themeColor="text1"/>
        </w:rPr>
        <w:t>[</w:t>
      </w:r>
      <w:r w:rsidRPr="0091179D">
        <w:rPr>
          <w:rFonts w:ascii="Calibri" w:hAnsi="Calibri"/>
          <w:i/>
          <w:color w:val="000000" w:themeColor="text1"/>
        </w:rPr>
        <w:t>medium term solution</w:t>
      </w:r>
      <w:r w:rsidRPr="0091179D">
        <w:rPr>
          <w:rFonts w:ascii="Calibri" w:hAnsi="Calibri"/>
          <w:color w:val="000000" w:themeColor="text1"/>
        </w:rPr>
        <w:t>]</w:t>
      </w:r>
      <w:r w:rsidRPr="0091179D">
        <w:rPr>
          <w:rFonts w:ascii="Calibri" w:hAnsi="Calibri"/>
          <w:b/>
          <w:color w:val="000000" w:themeColor="text1"/>
        </w:rPr>
        <w:t xml:space="preserve"> certification of RegTech </w:t>
      </w:r>
      <w:r w:rsidR="00CF520E" w:rsidRPr="00CF520E">
        <w:rPr>
          <w:rFonts w:ascii="Calibri" w:hAnsi="Calibri"/>
          <w:b/>
          <w:color w:val="000000" w:themeColor="text1"/>
        </w:rPr>
        <w:t>products, services and processes</w:t>
      </w:r>
      <w:r w:rsidRPr="0091179D">
        <w:rPr>
          <w:rFonts w:ascii="Calibri" w:hAnsi="Calibri"/>
          <w:b/>
          <w:color w:val="000000" w:themeColor="text1"/>
        </w:rPr>
        <w:t xml:space="preserve">, </w:t>
      </w:r>
      <w:r>
        <w:rPr>
          <w:rFonts w:ascii="Calibri" w:hAnsi="Calibri" w:cs="Calibri"/>
          <w:color w:val="000000" w:themeColor="text1"/>
          <w:szCs w:val="22"/>
        </w:rPr>
        <w:t>for example</w:t>
      </w:r>
      <w:r w:rsidRPr="0091179D">
        <w:rPr>
          <w:rFonts w:ascii="Calibri" w:hAnsi="Calibri"/>
          <w:color w:val="000000" w:themeColor="text1"/>
        </w:rPr>
        <w:t xml:space="preserve"> external ICT/cyber security certification for RegTech providers to demonstrate adherence to fundamental security principles and techniques of their technological solutions (potentially falling under the </w:t>
      </w:r>
      <w:r w:rsidRPr="0091179D">
        <w:rPr>
          <w:rFonts w:ascii="Calibri" w:hAnsi="Calibri"/>
          <w:b/>
          <w:color w:val="000000" w:themeColor="text1"/>
        </w:rPr>
        <w:t>EU cybersecurity certification framework</w:t>
      </w:r>
      <w:r w:rsidRPr="0091179D">
        <w:rPr>
          <w:rStyle w:val="FootnoteReference"/>
          <w:rFonts w:ascii="Calibri" w:hAnsi="Calibri"/>
          <w:color w:val="000000" w:themeColor="text1"/>
        </w:rPr>
        <w:footnoteReference w:id="33"/>
      </w:r>
      <w:r w:rsidRPr="0091179D">
        <w:rPr>
          <w:rFonts w:ascii="Calibri" w:hAnsi="Calibri"/>
          <w:color w:val="000000" w:themeColor="text1"/>
        </w:rPr>
        <w:t xml:space="preserve"> that ENISA is currently working on)</w:t>
      </w:r>
      <w:r w:rsidR="002E0E83">
        <w:rPr>
          <w:rFonts w:ascii="Calibri" w:hAnsi="Calibri"/>
          <w:color w:val="000000" w:themeColor="text1"/>
        </w:rPr>
        <w:t>. Such a c</w:t>
      </w:r>
      <w:r w:rsidR="002E0E83" w:rsidRPr="00B67115">
        <w:rPr>
          <w:rFonts w:ascii="Calibri" w:hAnsi="Calibri"/>
          <w:color w:val="000000" w:themeColor="text1"/>
        </w:rPr>
        <w:t xml:space="preserve">ertification </w:t>
      </w:r>
      <w:r w:rsidR="002E0E83">
        <w:rPr>
          <w:rFonts w:ascii="Calibri" w:hAnsi="Calibri"/>
          <w:color w:val="000000" w:themeColor="text1"/>
        </w:rPr>
        <w:t>would be only one</w:t>
      </w:r>
      <w:r w:rsidR="002E0E83" w:rsidRPr="00B67115">
        <w:rPr>
          <w:rFonts w:ascii="Calibri" w:hAnsi="Calibri"/>
          <w:color w:val="000000" w:themeColor="text1"/>
        </w:rPr>
        <w:t xml:space="preserve"> component in the due diligence process</w:t>
      </w:r>
      <w:r w:rsidR="002E0E83">
        <w:rPr>
          <w:rFonts w:ascii="Calibri" w:hAnsi="Calibri"/>
          <w:color w:val="000000" w:themeColor="text1"/>
        </w:rPr>
        <w:t>;</w:t>
      </w:r>
      <w:r w:rsidR="002E0E83" w:rsidRPr="00B67115">
        <w:rPr>
          <w:rFonts w:ascii="Calibri" w:hAnsi="Calibri"/>
          <w:color w:val="000000" w:themeColor="text1"/>
        </w:rPr>
        <w:t xml:space="preserve">   </w:t>
      </w:r>
    </w:p>
    <w:p w14:paraId="676D7741" w14:textId="1B597B6E" w:rsidR="00D743B7" w:rsidRPr="003F3AE1" w:rsidRDefault="00A12183" w:rsidP="00D743B7">
      <w:pPr>
        <w:pStyle w:val="ListParagraph"/>
        <w:numPr>
          <w:ilvl w:val="0"/>
          <w:numId w:val="26"/>
        </w:numPr>
        <w:spacing w:before="120" w:after="0"/>
        <w:rPr>
          <w:rFonts w:asciiTheme="majorHAnsi" w:hAnsiTheme="majorHAnsi" w:cstheme="majorHAnsi"/>
          <w:color w:val="000000" w:themeColor="text1"/>
          <w:szCs w:val="22"/>
        </w:rPr>
      </w:pPr>
      <w:r w:rsidRPr="003F3AE1">
        <w:rPr>
          <w:rFonts w:asciiTheme="majorHAnsi" w:hAnsiTheme="majorHAnsi" w:cstheme="majorHAnsi"/>
          <w:color w:val="000000" w:themeColor="text1"/>
          <w:szCs w:val="22"/>
        </w:rPr>
        <w:t>[</w:t>
      </w:r>
      <w:r w:rsidRPr="003F3AE1">
        <w:rPr>
          <w:rFonts w:asciiTheme="majorHAnsi" w:hAnsiTheme="majorHAnsi" w:cstheme="majorHAnsi"/>
          <w:i/>
          <w:color w:val="000000" w:themeColor="text1"/>
          <w:szCs w:val="22"/>
        </w:rPr>
        <w:t>long term solution</w:t>
      </w:r>
      <w:r w:rsidRPr="003F3AE1">
        <w:rPr>
          <w:rFonts w:asciiTheme="majorHAnsi" w:hAnsiTheme="majorHAnsi" w:cstheme="majorHAnsi"/>
          <w:color w:val="000000" w:themeColor="text1"/>
          <w:szCs w:val="22"/>
        </w:rPr>
        <w:t xml:space="preserve">] </w:t>
      </w:r>
      <w:r w:rsidR="00204E3D">
        <w:rPr>
          <w:rFonts w:asciiTheme="majorHAnsi" w:hAnsiTheme="majorHAnsi" w:cstheme="majorHAnsi"/>
          <w:b/>
          <w:color w:val="000000" w:themeColor="text1"/>
          <w:szCs w:val="22"/>
        </w:rPr>
        <w:t xml:space="preserve">oversight </w:t>
      </w:r>
      <w:r w:rsidRPr="003F3AE1">
        <w:rPr>
          <w:rFonts w:asciiTheme="majorHAnsi" w:hAnsiTheme="majorHAnsi" w:cstheme="majorHAnsi"/>
          <w:b/>
          <w:color w:val="000000" w:themeColor="text1"/>
          <w:szCs w:val="22"/>
        </w:rPr>
        <w:t>of RegTech service providers,</w:t>
      </w:r>
      <w:r w:rsidRPr="003F3AE1">
        <w:rPr>
          <w:rFonts w:asciiTheme="majorHAnsi" w:hAnsiTheme="majorHAnsi" w:cstheme="majorHAnsi"/>
          <w:szCs w:val="22"/>
        </w:rPr>
        <w:t xml:space="preserve"> </w:t>
      </w:r>
      <w:r w:rsidR="004A3C5E" w:rsidRPr="003F3AE1">
        <w:rPr>
          <w:rFonts w:asciiTheme="majorHAnsi" w:hAnsiTheme="majorHAnsi" w:cstheme="majorHAnsi"/>
          <w:szCs w:val="22"/>
        </w:rPr>
        <w:t xml:space="preserve">that provide </w:t>
      </w:r>
      <w:r w:rsidR="00754F79" w:rsidRPr="003F3AE1">
        <w:rPr>
          <w:rFonts w:asciiTheme="majorHAnsi" w:hAnsiTheme="majorHAnsi" w:cstheme="majorHAnsi"/>
          <w:szCs w:val="22"/>
        </w:rPr>
        <w:t xml:space="preserve">certain </w:t>
      </w:r>
      <w:r w:rsidR="004A3C5E" w:rsidRPr="003F3AE1">
        <w:rPr>
          <w:rFonts w:asciiTheme="majorHAnsi" w:hAnsiTheme="majorHAnsi" w:cstheme="majorHAnsi"/>
          <w:color w:val="000000" w:themeColor="text1"/>
          <w:szCs w:val="22"/>
        </w:rPr>
        <w:t xml:space="preserve">activities which pose </w:t>
      </w:r>
      <w:r w:rsidR="006366BF" w:rsidRPr="003F3AE1">
        <w:rPr>
          <w:rFonts w:asciiTheme="majorHAnsi" w:hAnsiTheme="majorHAnsi" w:cstheme="majorHAnsi"/>
          <w:color w:val="000000" w:themeColor="text1"/>
          <w:szCs w:val="22"/>
        </w:rPr>
        <w:t xml:space="preserve">risk or </w:t>
      </w:r>
      <w:r w:rsidR="004A3C5E" w:rsidRPr="003F3AE1">
        <w:rPr>
          <w:rFonts w:asciiTheme="majorHAnsi" w:hAnsiTheme="majorHAnsi" w:cstheme="majorHAnsi"/>
          <w:color w:val="000000" w:themeColor="text1"/>
          <w:szCs w:val="22"/>
        </w:rPr>
        <w:t>are relevant for financial stability</w:t>
      </w:r>
      <w:r w:rsidR="00FC1BEB" w:rsidRPr="003F3AE1">
        <w:rPr>
          <w:rFonts w:asciiTheme="majorHAnsi" w:hAnsiTheme="majorHAnsi" w:cstheme="majorHAnsi"/>
          <w:color w:val="000000" w:themeColor="text1"/>
          <w:szCs w:val="22"/>
        </w:rPr>
        <w:t xml:space="preserve">. In particular, </w:t>
      </w:r>
      <w:r w:rsidR="00882A93">
        <w:rPr>
          <w:rFonts w:asciiTheme="majorHAnsi" w:hAnsiTheme="majorHAnsi" w:cstheme="majorHAnsi"/>
          <w:color w:val="000000" w:themeColor="text1"/>
          <w:szCs w:val="22"/>
        </w:rPr>
        <w:t>critical</w:t>
      </w:r>
      <w:r w:rsidR="00FC1BEB" w:rsidRPr="003F3AE1">
        <w:rPr>
          <w:rFonts w:asciiTheme="majorHAnsi" w:hAnsiTheme="majorHAnsi" w:cstheme="majorHAnsi"/>
          <w:color w:val="000000" w:themeColor="text1"/>
          <w:szCs w:val="22"/>
        </w:rPr>
        <w:t xml:space="preserve"> RegTech service providers might </w:t>
      </w:r>
      <w:r w:rsidR="00882A93">
        <w:rPr>
          <w:rFonts w:asciiTheme="majorHAnsi" w:hAnsiTheme="majorHAnsi" w:cstheme="majorHAnsi"/>
          <w:color w:val="000000" w:themeColor="text1"/>
          <w:szCs w:val="22"/>
        </w:rPr>
        <w:t xml:space="preserve">fall under an </w:t>
      </w:r>
      <w:r w:rsidR="00882A93" w:rsidRPr="003F3AE1">
        <w:rPr>
          <w:rFonts w:asciiTheme="majorHAnsi" w:hAnsiTheme="majorHAnsi" w:cstheme="majorHAnsi"/>
          <w:color w:val="000000" w:themeColor="text1"/>
          <w:szCs w:val="22"/>
        </w:rPr>
        <w:t>oversight framework</w:t>
      </w:r>
      <w:r w:rsidR="00882A93">
        <w:rPr>
          <w:rFonts w:asciiTheme="majorHAnsi" w:hAnsiTheme="majorHAnsi" w:cstheme="majorHAnsi"/>
          <w:color w:val="000000" w:themeColor="text1"/>
          <w:szCs w:val="22"/>
        </w:rPr>
        <w:t xml:space="preserve">, covering among others </w:t>
      </w:r>
      <w:r w:rsidRPr="003F3AE1">
        <w:rPr>
          <w:rFonts w:asciiTheme="majorHAnsi" w:hAnsiTheme="majorHAnsi" w:cstheme="majorHAnsi"/>
          <w:color w:val="000000" w:themeColor="text1"/>
          <w:szCs w:val="22"/>
        </w:rPr>
        <w:t>ICT</w:t>
      </w:r>
      <w:r w:rsidR="00882A93">
        <w:rPr>
          <w:rFonts w:asciiTheme="majorHAnsi" w:hAnsiTheme="majorHAnsi" w:cstheme="majorHAnsi"/>
          <w:color w:val="000000" w:themeColor="text1"/>
          <w:szCs w:val="22"/>
        </w:rPr>
        <w:t xml:space="preserve"> and security, governance, operational and capac</w:t>
      </w:r>
      <w:r w:rsidR="009A1F79">
        <w:rPr>
          <w:rFonts w:asciiTheme="majorHAnsi" w:hAnsiTheme="majorHAnsi" w:cstheme="majorHAnsi"/>
          <w:color w:val="000000" w:themeColor="text1"/>
          <w:szCs w:val="22"/>
        </w:rPr>
        <w:t>ity aspects, in line with the ‘o</w:t>
      </w:r>
      <w:r w:rsidR="00882A93">
        <w:rPr>
          <w:rFonts w:asciiTheme="majorHAnsi" w:hAnsiTheme="majorHAnsi" w:cstheme="majorHAnsi"/>
          <w:color w:val="000000" w:themeColor="text1"/>
          <w:szCs w:val="22"/>
        </w:rPr>
        <w:t>versight of third party providers’ proposals presented in the European Commission’s consultation document on Digital O</w:t>
      </w:r>
      <w:r w:rsidR="00882A93" w:rsidRPr="003E5928">
        <w:rPr>
          <w:rFonts w:asciiTheme="majorHAnsi" w:hAnsiTheme="majorHAnsi" w:cstheme="majorHAnsi"/>
          <w:color w:val="000000" w:themeColor="text1"/>
          <w:szCs w:val="22"/>
        </w:rPr>
        <w:t>perational Resilience Framework for financial service</w:t>
      </w:r>
      <w:r w:rsidR="00882A93">
        <w:rPr>
          <w:rFonts w:asciiTheme="majorHAnsi" w:hAnsiTheme="majorHAnsi" w:cstheme="majorHAnsi"/>
          <w:color w:val="000000" w:themeColor="text1"/>
          <w:szCs w:val="22"/>
        </w:rPr>
        <w:t>s.</w:t>
      </w:r>
      <w:r w:rsidRPr="003F3AE1">
        <w:rPr>
          <w:rFonts w:asciiTheme="majorHAnsi" w:hAnsiTheme="majorHAnsi" w:cstheme="majorHAnsi"/>
          <w:color w:val="000000" w:themeColor="text1"/>
          <w:szCs w:val="22"/>
        </w:rPr>
        <w:t xml:space="preserve"> This could create a culture of trust and facilitate to scale up solutions across the single market of EU.</w:t>
      </w:r>
    </w:p>
    <w:p w14:paraId="1E567766" w14:textId="7DDDA0B5" w:rsidR="001A787D" w:rsidRPr="008F6510" w:rsidRDefault="008F5042" w:rsidP="00B67115">
      <w:pPr>
        <w:pStyle w:val="Titlelevel3"/>
        <w:spacing w:line="276" w:lineRule="auto"/>
        <w:jc w:val="both"/>
        <w:rPr>
          <w:rFonts w:ascii="Arial"/>
          <w:sz w:val="27"/>
        </w:rPr>
      </w:pPr>
      <w:r>
        <w:rPr>
          <w:rFonts w:eastAsia="Arial Unicode MS"/>
          <w:b w:val="0"/>
          <w:color w:val="000000" w:themeColor="text1"/>
          <w:sz w:val="22"/>
          <w:szCs w:val="22"/>
        </w:rPr>
        <w:t xml:space="preserve">Nevertheless, </w:t>
      </w:r>
      <w:r w:rsidRPr="008F5042">
        <w:rPr>
          <w:rFonts w:eastAsia="Arial Unicode MS"/>
          <w:b w:val="0"/>
          <w:color w:val="000000" w:themeColor="text1"/>
          <w:sz w:val="22"/>
          <w:szCs w:val="22"/>
        </w:rPr>
        <w:t xml:space="preserve">the costs and benefits </w:t>
      </w:r>
      <w:r>
        <w:rPr>
          <w:rFonts w:eastAsia="Arial Unicode MS"/>
          <w:b w:val="0"/>
          <w:color w:val="000000" w:themeColor="text1"/>
          <w:sz w:val="22"/>
          <w:szCs w:val="22"/>
        </w:rPr>
        <w:t>of potential certification</w:t>
      </w:r>
      <w:r w:rsidR="00AB1D13">
        <w:rPr>
          <w:rFonts w:eastAsia="Arial Unicode MS"/>
          <w:b w:val="0"/>
          <w:color w:val="000000" w:themeColor="text1"/>
          <w:sz w:val="22"/>
          <w:szCs w:val="22"/>
        </w:rPr>
        <w:t xml:space="preserve"> of RegTech services</w:t>
      </w:r>
      <w:r>
        <w:rPr>
          <w:rFonts w:eastAsia="Arial Unicode MS"/>
          <w:b w:val="0"/>
          <w:color w:val="000000" w:themeColor="text1"/>
          <w:sz w:val="22"/>
          <w:szCs w:val="22"/>
        </w:rPr>
        <w:t xml:space="preserve"> and/or registration of RegTech </w:t>
      </w:r>
      <w:r w:rsidR="00AB1D13">
        <w:rPr>
          <w:rFonts w:eastAsia="Arial Unicode MS"/>
          <w:b w:val="0"/>
          <w:color w:val="000000" w:themeColor="text1"/>
          <w:sz w:val="22"/>
          <w:szCs w:val="22"/>
        </w:rPr>
        <w:t>providers would</w:t>
      </w:r>
      <w:r>
        <w:rPr>
          <w:rFonts w:eastAsia="Arial Unicode MS"/>
          <w:b w:val="0"/>
          <w:color w:val="000000" w:themeColor="text1"/>
          <w:sz w:val="22"/>
          <w:szCs w:val="22"/>
        </w:rPr>
        <w:t xml:space="preserve"> need to be carefully assessed as </w:t>
      </w:r>
      <w:r w:rsidR="0029426E">
        <w:rPr>
          <w:rFonts w:eastAsia="Arial Unicode MS"/>
          <w:b w:val="0"/>
          <w:color w:val="000000" w:themeColor="text1"/>
          <w:sz w:val="22"/>
          <w:szCs w:val="22"/>
        </w:rPr>
        <w:t xml:space="preserve">such solutions </w:t>
      </w:r>
      <w:r>
        <w:rPr>
          <w:rFonts w:eastAsia="Arial Unicode MS"/>
          <w:b w:val="0"/>
          <w:color w:val="000000" w:themeColor="text1"/>
          <w:sz w:val="22"/>
          <w:szCs w:val="22"/>
        </w:rPr>
        <w:t xml:space="preserve">will </w:t>
      </w:r>
      <w:r w:rsidR="001A787D">
        <w:rPr>
          <w:rFonts w:eastAsia="Arial Unicode MS"/>
          <w:b w:val="0"/>
          <w:color w:val="000000" w:themeColor="text1"/>
          <w:sz w:val="22"/>
          <w:szCs w:val="22"/>
        </w:rPr>
        <w:t xml:space="preserve">require ongoing monitoring of compliance with the related </w:t>
      </w:r>
      <w:r w:rsidR="001A787D" w:rsidRPr="00B67115">
        <w:rPr>
          <w:rFonts w:eastAsia="Arial Unicode MS"/>
          <w:b w:val="0"/>
          <w:color w:val="000000" w:themeColor="text1"/>
          <w:sz w:val="22"/>
          <w:szCs w:val="22"/>
        </w:rPr>
        <w:t>requirements</w:t>
      </w:r>
      <w:r w:rsidR="001A787D">
        <w:rPr>
          <w:rFonts w:eastAsia="Arial Unicode MS"/>
          <w:b w:val="0"/>
          <w:color w:val="000000" w:themeColor="text1"/>
          <w:sz w:val="22"/>
          <w:szCs w:val="22"/>
        </w:rPr>
        <w:t xml:space="preserve"> while </w:t>
      </w:r>
      <w:r w:rsidR="001A787D" w:rsidRPr="00EE3C1A">
        <w:rPr>
          <w:rFonts w:eastAsia="Arial Unicode MS"/>
          <w:b w:val="0"/>
          <w:color w:val="000000" w:themeColor="text1"/>
          <w:sz w:val="22"/>
          <w:szCs w:val="22"/>
        </w:rPr>
        <w:t xml:space="preserve">necessary </w:t>
      </w:r>
      <w:r w:rsidR="006E4A71">
        <w:rPr>
          <w:rFonts w:eastAsia="Arial Unicode MS"/>
          <w:b w:val="0"/>
          <w:color w:val="000000" w:themeColor="text1"/>
          <w:sz w:val="22"/>
          <w:szCs w:val="22"/>
        </w:rPr>
        <w:t xml:space="preserve">measures </w:t>
      </w:r>
      <w:r w:rsidR="001A787D" w:rsidRPr="00EE3C1A">
        <w:rPr>
          <w:rFonts w:eastAsia="Arial Unicode MS"/>
          <w:b w:val="0"/>
          <w:color w:val="000000" w:themeColor="text1"/>
          <w:sz w:val="22"/>
          <w:szCs w:val="22"/>
        </w:rPr>
        <w:t xml:space="preserve">should be taken to prevent unintended consequences </w:t>
      </w:r>
      <w:r w:rsidR="001A787D">
        <w:rPr>
          <w:rFonts w:eastAsia="Arial Unicode MS"/>
          <w:b w:val="0"/>
          <w:color w:val="000000" w:themeColor="text1"/>
          <w:sz w:val="22"/>
          <w:szCs w:val="22"/>
        </w:rPr>
        <w:t xml:space="preserve">on </w:t>
      </w:r>
      <w:r w:rsidR="001A787D" w:rsidRPr="00EE3C1A">
        <w:rPr>
          <w:rFonts w:eastAsia="Arial Unicode MS"/>
          <w:b w:val="0"/>
          <w:color w:val="000000" w:themeColor="text1"/>
          <w:sz w:val="22"/>
          <w:szCs w:val="22"/>
        </w:rPr>
        <w:t>technological neutrality</w:t>
      </w:r>
      <w:r w:rsidR="001A787D">
        <w:rPr>
          <w:rFonts w:eastAsia="Arial Unicode MS"/>
          <w:b w:val="0"/>
          <w:color w:val="000000" w:themeColor="text1"/>
          <w:sz w:val="22"/>
          <w:szCs w:val="22"/>
        </w:rPr>
        <w:t xml:space="preserve"> (e.g. of </w:t>
      </w:r>
      <w:r w:rsidR="001A787D" w:rsidRPr="00EE3C1A">
        <w:rPr>
          <w:rFonts w:eastAsia="Arial Unicode MS"/>
          <w:b w:val="0"/>
          <w:color w:val="000000" w:themeColor="text1"/>
          <w:sz w:val="22"/>
          <w:szCs w:val="22"/>
        </w:rPr>
        <w:t>AML legislative acts</w:t>
      </w:r>
      <w:r w:rsidR="001A787D">
        <w:rPr>
          <w:rFonts w:eastAsia="Arial Unicode MS"/>
          <w:b w:val="0"/>
          <w:color w:val="000000" w:themeColor="text1"/>
          <w:sz w:val="22"/>
          <w:szCs w:val="22"/>
        </w:rPr>
        <w:t>)</w:t>
      </w:r>
      <w:r w:rsidR="006E4A71">
        <w:rPr>
          <w:rFonts w:eastAsia="Arial Unicode MS"/>
          <w:b w:val="0"/>
          <w:color w:val="000000" w:themeColor="text1"/>
          <w:sz w:val="22"/>
          <w:szCs w:val="22"/>
        </w:rPr>
        <w:t xml:space="preserve"> and to ensure proportionality</w:t>
      </w:r>
      <w:r w:rsidR="001A787D">
        <w:rPr>
          <w:rFonts w:eastAsia="Arial Unicode MS"/>
          <w:b w:val="0"/>
          <w:color w:val="000000" w:themeColor="text1"/>
          <w:sz w:val="22"/>
          <w:szCs w:val="22"/>
        </w:rPr>
        <w:t xml:space="preserve">. In addition, caution should be taken to prevent any perceived </w:t>
      </w:r>
      <w:r w:rsidR="001A787D" w:rsidRPr="00145FCE">
        <w:rPr>
          <w:rFonts w:eastAsia="Arial Unicode MS"/>
          <w:b w:val="0"/>
          <w:color w:val="000000" w:themeColor="text1"/>
          <w:sz w:val="22"/>
          <w:szCs w:val="22"/>
        </w:rPr>
        <w:t>transfer of responsibility</w:t>
      </w:r>
      <w:r w:rsidR="001A787D">
        <w:rPr>
          <w:rFonts w:eastAsia="Arial Unicode MS"/>
          <w:b w:val="0"/>
          <w:color w:val="000000" w:themeColor="text1"/>
          <w:sz w:val="22"/>
          <w:szCs w:val="22"/>
        </w:rPr>
        <w:t xml:space="preserve"> </w:t>
      </w:r>
      <w:r w:rsidR="001A787D" w:rsidRPr="00145FCE">
        <w:rPr>
          <w:rFonts w:eastAsia="Arial Unicode MS"/>
          <w:b w:val="0"/>
          <w:color w:val="000000" w:themeColor="text1"/>
          <w:sz w:val="22"/>
          <w:szCs w:val="22"/>
        </w:rPr>
        <w:t xml:space="preserve">to third party service providers, which would be contrary </w:t>
      </w:r>
      <w:r w:rsidR="001A787D">
        <w:rPr>
          <w:rFonts w:eastAsia="Arial Unicode MS"/>
          <w:b w:val="0"/>
          <w:color w:val="000000" w:themeColor="text1"/>
          <w:sz w:val="22"/>
          <w:szCs w:val="22"/>
        </w:rPr>
        <w:t>certain regulatory requirements</w:t>
      </w:r>
      <w:r w:rsidR="006E4A71">
        <w:rPr>
          <w:rFonts w:eastAsia="Arial Unicode MS"/>
          <w:b w:val="0"/>
          <w:color w:val="000000" w:themeColor="text1"/>
          <w:sz w:val="22"/>
          <w:szCs w:val="22"/>
        </w:rPr>
        <w:t xml:space="preserve"> and to ensure a level playing field between </w:t>
      </w:r>
      <w:r w:rsidR="009D5FA2">
        <w:rPr>
          <w:rFonts w:eastAsia="Arial Unicode MS"/>
          <w:b w:val="0"/>
          <w:color w:val="000000" w:themeColor="text1"/>
          <w:sz w:val="22"/>
          <w:szCs w:val="22"/>
        </w:rPr>
        <w:t xml:space="preserve">critical </w:t>
      </w:r>
      <w:r w:rsidR="006E4A71">
        <w:rPr>
          <w:rFonts w:eastAsia="Arial Unicode MS"/>
          <w:b w:val="0"/>
          <w:color w:val="000000" w:themeColor="text1"/>
          <w:sz w:val="22"/>
          <w:szCs w:val="22"/>
        </w:rPr>
        <w:t>RegTech providers and other critical third party providers (</w:t>
      </w:r>
      <w:r w:rsidR="006E4A71" w:rsidRPr="005C2ABF">
        <w:rPr>
          <w:rFonts w:eastAsia="Arial Unicode MS"/>
          <w:b w:val="0"/>
          <w:i/>
          <w:color w:val="000000" w:themeColor="text1"/>
          <w:sz w:val="22"/>
          <w:szCs w:val="22"/>
        </w:rPr>
        <w:t>e.g.</w:t>
      </w:r>
      <w:r w:rsidR="006E4A71">
        <w:rPr>
          <w:rFonts w:eastAsia="Arial Unicode MS"/>
          <w:b w:val="0"/>
          <w:color w:val="000000" w:themeColor="text1"/>
          <w:sz w:val="22"/>
          <w:szCs w:val="22"/>
        </w:rPr>
        <w:t xml:space="preserve"> cloud </w:t>
      </w:r>
      <w:r w:rsidR="00F34C89">
        <w:rPr>
          <w:rFonts w:eastAsia="Arial Unicode MS"/>
          <w:b w:val="0"/>
          <w:color w:val="000000" w:themeColor="text1"/>
          <w:sz w:val="22"/>
          <w:szCs w:val="22"/>
        </w:rPr>
        <w:t xml:space="preserve">service </w:t>
      </w:r>
      <w:r w:rsidR="006E4A71">
        <w:rPr>
          <w:rFonts w:eastAsia="Arial Unicode MS"/>
          <w:b w:val="0"/>
          <w:color w:val="000000" w:themeColor="text1"/>
          <w:sz w:val="22"/>
          <w:szCs w:val="22"/>
        </w:rPr>
        <w:t>providers)</w:t>
      </w:r>
      <w:r w:rsidR="009A1F79">
        <w:rPr>
          <w:rFonts w:eastAsia="Arial Unicode MS"/>
          <w:b w:val="0"/>
          <w:color w:val="000000" w:themeColor="text1"/>
          <w:sz w:val="22"/>
          <w:szCs w:val="22"/>
        </w:rPr>
        <w:t>.</w:t>
      </w:r>
    </w:p>
    <w:p w14:paraId="7A7E0596" w14:textId="26F73BC9" w:rsidR="008F6510" w:rsidRPr="0020127E" w:rsidRDefault="008F6510" w:rsidP="006D045B">
      <w:pPr>
        <w:jc w:val="both"/>
        <w:rPr>
          <w:rFonts w:ascii="Calibri" w:hAnsi="Calibri" w:cs="Calibri"/>
          <w:b/>
        </w:rPr>
      </w:pPr>
      <w:r w:rsidRPr="006D045B">
        <w:rPr>
          <w:rFonts w:ascii="Calibri" w:hAnsi="Calibri" w:cs="Calibri"/>
          <w:b/>
        </w:rPr>
        <w:t>Ques</w:t>
      </w:r>
      <w:r w:rsidRPr="0020127E">
        <w:rPr>
          <w:rFonts w:ascii="Calibri" w:hAnsi="Calibri" w:cs="Calibri"/>
          <w:b/>
        </w:rPr>
        <w:t>tion 43. In your opinion, which parts of financial services legislation would benefit the most from being translated into machine-executable form?</w:t>
      </w:r>
    </w:p>
    <w:p w14:paraId="75BD4444" w14:textId="77777777" w:rsidR="008F6510" w:rsidRPr="0020127E" w:rsidRDefault="008F6510" w:rsidP="008F6510">
      <w:pPr>
        <w:jc w:val="both"/>
        <w:rPr>
          <w:rFonts w:ascii="Calibri" w:hAnsi="Calibri" w:cs="Calibri"/>
          <w:b/>
        </w:rPr>
      </w:pPr>
    </w:p>
    <w:p w14:paraId="18BE0A1B" w14:textId="79097297" w:rsidR="008F6510" w:rsidRPr="0020127E" w:rsidRDefault="008F6510" w:rsidP="008F6510">
      <w:pPr>
        <w:jc w:val="both"/>
        <w:rPr>
          <w:rFonts w:ascii="Calibri" w:hAnsi="Calibri" w:cs="Calibri"/>
          <w:b/>
        </w:rPr>
      </w:pPr>
      <w:r w:rsidRPr="0020127E">
        <w:rPr>
          <w:rFonts w:ascii="Calibri" w:hAnsi="Calibri" w:cs="Calibri"/>
          <w:b/>
        </w:rPr>
        <w:t>Please specify what are the potential benefits and risks associated with machine-executable financial services legislation:</w:t>
      </w:r>
    </w:p>
    <w:p w14:paraId="3D335656" w14:textId="77777777" w:rsidR="008F6510" w:rsidRDefault="008F6510" w:rsidP="008F6510">
      <w:pPr>
        <w:jc w:val="both"/>
        <w:rPr>
          <w:rFonts w:ascii="Calibri" w:hAnsi="Calibri" w:cs="Calibri"/>
          <w:sz w:val="22"/>
          <w:szCs w:val="22"/>
          <w:lang w:val="en-GB"/>
        </w:rPr>
      </w:pPr>
    </w:p>
    <w:p w14:paraId="0D68EACD" w14:textId="7D80DDCF" w:rsidR="008F6510" w:rsidRDefault="0020127E" w:rsidP="00AE5693">
      <w:pPr>
        <w:spacing w:before="120" w:after="240" w:line="276" w:lineRule="auto"/>
        <w:jc w:val="both"/>
        <w:rPr>
          <w:rFonts w:ascii="Calibri" w:hAnsi="Calibri" w:cs="Calibri"/>
          <w:sz w:val="22"/>
          <w:szCs w:val="22"/>
          <w:lang w:val="en-GB"/>
        </w:rPr>
      </w:pPr>
      <w:r>
        <w:rPr>
          <w:rFonts w:ascii="Calibri" w:hAnsi="Calibri" w:cs="Calibri"/>
          <w:sz w:val="22"/>
          <w:szCs w:val="22"/>
          <w:lang w:val="en-GB"/>
        </w:rPr>
        <w:t xml:space="preserve">The EBA highlights </w:t>
      </w:r>
      <w:r w:rsidR="008F6510" w:rsidRPr="008F6510">
        <w:rPr>
          <w:rFonts w:ascii="Calibri" w:hAnsi="Calibri" w:cs="Calibri"/>
          <w:sz w:val="22"/>
          <w:szCs w:val="22"/>
          <w:lang w:val="en-GB"/>
        </w:rPr>
        <w:t xml:space="preserve">financial institutions’ reporting regulations would </w:t>
      </w:r>
      <w:r w:rsidR="005A6497">
        <w:rPr>
          <w:rFonts w:ascii="Calibri" w:hAnsi="Calibri" w:cs="Calibri"/>
          <w:sz w:val="22"/>
          <w:szCs w:val="22"/>
          <w:lang w:val="en-GB"/>
        </w:rPr>
        <w:t xml:space="preserve">benefit from the translation </w:t>
      </w:r>
      <w:r w:rsidR="008F6510" w:rsidRPr="008F6510">
        <w:rPr>
          <w:rFonts w:ascii="Calibri" w:hAnsi="Calibri" w:cs="Calibri"/>
          <w:sz w:val="22"/>
          <w:szCs w:val="22"/>
          <w:lang w:val="en-GB"/>
        </w:rPr>
        <w:t xml:space="preserve">into machine-executable form. A clear benefit is the elimination of the need by institutions to interpret the legislation if not sufficiently clear, or the possibility of misinterpreting it otherwise. This would not only benefit the institutions, which could reduce their compliance and reporting </w:t>
      </w:r>
      <w:r w:rsidR="008F6510" w:rsidRPr="008F6510">
        <w:rPr>
          <w:rFonts w:ascii="Calibri" w:hAnsi="Calibri" w:cs="Calibri"/>
          <w:sz w:val="22"/>
          <w:szCs w:val="22"/>
          <w:lang w:val="en-GB"/>
        </w:rPr>
        <w:lastRenderedPageBreak/>
        <w:t xml:space="preserve">costs, but also the authorities, which would receive homogeneous data from the different institutions for their supervisory tasks, data expected to be also of higher quality. </w:t>
      </w:r>
      <w:r w:rsidR="00656BE9" w:rsidRPr="00565044">
        <w:rPr>
          <w:rFonts w:ascii="Calibri" w:hAnsi="Calibri" w:cs="Calibri"/>
          <w:sz w:val="22"/>
          <w:szCs w:val="22"/>
          <w:lang w:val="en-GB"/>
        </w:rPr>
        <w:t xml:space="preserve">This more accurate and uniform industry reporting could also allow faster risk identification by regulators. </w:t>
      </w:r>
      <w:r w:rsidR="008F6510" w:rsidRPr="008F6510">
        <w:rPr>
          <w:rFonts w:ascii="Calibri" w:hAnsi="Calibri" w:cs="Calibri"/>
          <w:sz w:val="22"/>
          <w:szCs w:val="22"/>
          <w:lang w:val="en-GB"/>
        </w:rPr>
        <w:t xml:space="preserve">This would also reduce the resources and time allocated to data validation, to the benefit of data analysis. Another advantage would be that changes in regulatory requirements could be implemented in </w:t>
      </w:r>
      <w:r w:rsidR="00FE15B8">
        <w:rPr>
          <w:rFonts w:ascii="Calibri" w:hAnsi="Calibri" w:cs="Calibri"/>
          <w:sz w:val="22"/>
          <w:szCs w:val="22"/>
          <w:lang w:val="en-GB"/>
        </w:rPr>
        <w:t xml:space="preserve">a swifter </w:t>
      </w:r>
      <w:r w:rsidR="008F6510" w:rsidRPr="008F6510">
        <w:rPr>
          <w:rFonts w:ascii="Calibri" w:hAnsi="Calibri" w:cs="Calibri"/>
          <w:sz w:val="22"/>
          <w:szCs w:val="22"/>
          <w:lang w:val="en-GB"/>
        </w:rPr>
        <w:t xml:space="preserve">manner. On the other hand, one of the main challenges of developing a proper machine-executable reporting regulation is that the underlying legislation, e.g. the CRR, may be too complex and difficult to automate. A way to overcome this would be to already translate into machine-readable </w:t>
      </w:r>
      <w:r w:rsidR="00FE15B8">
        <w:rPr>
          <w:rFonts w:ascii="Calibri" w:hAnsi="Calibri" w:cs="Calibri"/>
          <w:sz w:val="22"/>
          <w:szCs w:val="22"/>
          <w:lang w:val="en-GB"/>
        </w:rPr>
        <w:t>form th</w:t>
      </w:r>
      <w:r w:rsidR="00656BE9">
        <w:rPr>
          <w:rFonts w:ascii="Calibri" w:hAnsi="Calibri" w:cs="Calibri"/>
          <w:sz w:val="22"/>
          <w:szCs w:val="22"/>
          <w:lang w:val="en-GB"/>
        </w:rPr>
        <w:t>e</w:t>
      </w:r>
      <w:r w:rsidR="00FE15B8">
        <w:rPr>
          <w:rFonts w:ascii="Calibri" w:hAnsi="Calibri" w:cs="Calibri"/>
          <w:sz w:val="22"/>
          <w:szCs w:val="22"/>
          <w:lang w:val="en-GB"/>
        </w:rPr>
        <w:t xml:space="preserve"> </w:t>
      </w:r>
      <w:r w:rsidR="008F6510" w:rsidRPr="008F6510">
        <w:rPr>
          <w:rFonts w:ascii="Calibri" w:hAnsi="Calibri" w:cs="Calibri"/>
          <w:sz w:val="22"/>
          <w:szCs w:val="22"/>
          <w:lang w:val="en-GB"/>
        </w:rPr>
        <w:t>underlying legislation, at least the parts directly related to calculations like the calculation of the capital requirements or the supervisory ratios.  Converting those regulations may be in turn rather complex, in particular with the existence of national discretions and optionalities allowed by the regulations or possibly the different accounting standards. There may be a need to rethink the way regulations are conceived in order to be able to achieve the standardisation/ automation needed for a machine executable regulation.</w:t>
      </w:r>
      <w:r w:rsidR="00EC5684">
        <w:rPr>
          <w:rFonts w:ascii="Calibri" w:hAnsi="Calibri" w:cs="Calibri"/>
          <w:sz w:val="22"/>
          <w:szCs w:val="22"/>
          <w:lang w:val="en-GB"/>
        </w:rPr>
        <w:t xml:space="preserve"> </w:t>
      </w:r>
      <w:r w:rsidR="00A74E29" w:rsidRPr="00A74E29">
        <w:t xml:space="preserve"> </w:t>
      </w:r>
      <w:r w:rsidR="00A74E29" w:rsidRPr="00A74E29">
        <w:rPr>
          <w:rFonts w:ascii="Calibri" w:hAnsi="Calibri" w:cs="Calibri"/>
          <w:sz w:val="22"/>
          <w:szCs w:val="22"/>
          <w:lang w:val="en-GB"/>
        </w:rPr>
        <w:t>In doing so, it should be investigated whether these developments could bring any potential risk of reducing accountability and responsibility for financial reporting</w:t>
      </w:r>
      <w:r w:rsidR="00A74E29">
        <w:rPr>
          <w:rFonts w:ascii="Calibri" w:hAnsi="Calibri" w:cs="Calibri"/>
          <w:sz w:val="22"/>
          <w:szCs w:val="22"/>
          <w:lang w:val="en-GB"/>
        </w:rPr>
        <w:t>.</w:t>
      </w:r>
    </w:p>
    <w:p w14:paraId="4604DC09" w14:textId="39995EDD" w:rsidR="005A6497" w:rsidRDefault="005A6497" w:rsidP="005A6497">
      <w:pPr>
        <w:pStyle w:val="Heading2"/>
        <w:spacing w:line="232" w:lineRule="auto"/>
        <w:ind w:left="0" w:right="-8"/>
        <w:jc w:val="both"/>
        <w:rPr>
          <w:rFonts w:ascii="Calibri" w:hAnsi="Calibri" w:cs="Calibri"/>
          <w:sz w:val="24"/>
          <w:szCs w:val="24"/>
        </w:rPr>
      </w:pPr>
      <w:r w:rsidRPr="005A6497">
        <w:rPr>
          <w:rFonts w:ascii="Calibri" w:hAnsi="Calibri" w:cs="Calibri"/>
          <w:spacing w:val="3"/>
          <w:sz w:val="24"/>
          <w:szCs w:val="24"/>
        </w:rPr>
        <w:t xml:space="preserve">Question </w:t>
      </w:r>
      <w:r w:rsidRPr="005A6497">
        <w:rPr>
          <w:rFonts w:ascii="Calibri" w:hAnsi="Calibri" w:cs="Calibri"/>
          <w:spacing w:val="2"/>
          <w:sz w:val="24"/>
          <w:szCs w:val="24"/>
        </w:rPr>
        <w:t xml:space="preserve">44. The </w:t>
      </w:r>
      <w:r w:rsidRPr="005A6497">
        <w:rPr>
          <w:rFonts w:ascii="Calibri" w:hAnsi="Calibri" w:cs="Calibri"/>
          <w:spacing w:val="3"/>
          <w:sz w:val="24"/>
          <w:szCs w:val="24"/>
        </w:rPr>
        <w:t xml:space="preserve">Commission </w:t>
      </w:r>
      <w:r w:rsidRPr="005A6497">
        <w:rPr>
          <w:rFonts w:ascii="Calibri" w:hAnsi="Calibri" w:cs="Calibri"/>
          <w:sz w:val="24"/>
          <w:szCs w:val="24"/>
        </w:rPr>
        <w:t xml:space="preserve">is </w:t>
      </w:r>
      <w:r w:rsidRPr="005A6497">
        <w:rPr>
          <w:rFonts w:ascii="Calibri" w:hAnsi="Calibri" w:cs="Calibri"/>
          <w:spacing w:val="3"/>
          <w:sz w:val="24"/>
          <w:szCs w:val="24"/>
        </w:rPr>
        <w:t xml:space="preserve">working </w:t>
      </w:r>
      <w:r w:rsidRPr="005A6497">
        <w:rPr>
          <w:rFonts w:ascii="Calibri" w:hAnsi="Calibri" w:cs="Calibri"/>
          <w:sz w:val="24"/>
          <w:szCs w:val="24"/>
        </w:rPr>
        <w:t xml:space="preserve">on </w:t>
      </w:r>
      <w:r w:rsidRPr="005A6497">
        <w:rPr>
          <w:rFonts w:ascii="Calibri" w:hAnsi="Calibri" w:cs="Calibri"/>
          <w:spacing w:val="3"/>
          <w:sz w:val="24"/>
          <w:szCs w:val="24"/>
        </w:rPr>
        <w:t xml:space="preserve">standardising concept </w:t>
      </w:r>
      <w:r w:rsidRPr="005A6497">
        <w:rPr>
          <w:rFonts w:ascii="Calibri" w:hAnsi="Calibri" w:cs="Calibri"/>
          <w:sz w:val="24"/>
          <w:szCs w:val="24"/>
        </w:rPr>
        <w:t>definitions and reporting obligations across the whole EU financial services</w:t>
      </w:r>
      <w:r w:rsidR="00DB631C">
        <w:rPr>
          <w:rFonts w:ascii="Calibri" w:hAnsi="Calibri" w:cs="Calibri"/>
          <w:sz w:val="24"/>
          <w:szCs w:val="24"/>
        </w:rPr>
        <w:t xml:space="preserve"> legislation</w:t>
      </w:r>
      <w:r w:rsidRPr="005A6497">
        <w:rPr>
          <w:rFonts w:ascii="Calibri" w:hAnsi="Calibri" w:cs="Calibri"/>
          <w:sz w:val="24"/>
          <w:szCs w:val="24"/>
        </w:rPr>
        <w:t>.</w:t>
      </w:r>
      <w:r w:rsidRPr="005A6497">
        <w:rPr>
          <w:rFonts w:ascii="Calibri" w:hAnsi="Calibri" w:cs="Calibri"/>
          <w:color w:val="FF0000"/>
          <w:sz w:val="24"/>
          <w:szCs w:val="24"/>
        </w:rPr>
        <w:t xml:space="preserve"> </w:t>
      </w:r>
      <w:r w:rsidRPr="005A6497">
        <w:rPr>
          <w:rFonts w:ascii="Calibri" w:hAnsi="Calibri" w:cs="Calibri"/>
          <w:sz w:val="24"/>
          <w:szCs w:val="24"/>
        </w:rPr>
        <w:t xml:space="preserve">Do you see </w:t>
      </w:r>
      <w:r w:rsidRPr="005A6497">
        <w:rPr>
          <w:rFonts w:ascii="Calibri" w:hAnsi="Calibri" w:cs="Calibri"/>
          <w:spacing w:val="2"/>
          <w:sz w:val="24"/>
          <w:szCs w:val="24"/>
        </w:rPr>
        <w:t xml:space="preserve">additional initiatives that </w:t>
      </w:r>
      <w:r w:rsidRPr="005A6497">
        <w:rPr>
          <w:rFonts w:ascii="Calibri" w:hAnsi="Calibri" w:cs="Calibri"/>
          <w:sz w:val="24"/>
          <w:szCs w:val="24"/>
        </w:rPr>
        <w:t xml:space="preserve">it </w:t>
      </w:r>
      <w:r w:rsidRPr="005A6497">
        <w:rPr>
          <w:rFonts w:ascii="Calibri" w:hAnsi="Calibri" w:cs="Calibri"/>
          <w:spacing w:val="2"/>
          <w:sz w:val="24"/>
          <w:szCs w:val="24"/>
        </w:rPr>
        <w:t xml:space="preserve">should take </w:t>
      </w:r>
      <w:r w:rsidRPr="005A6497">
        <w:rPr>
          <w:rFonts w:ascii="Calibri" w:hAnsi="Calibri" w:cs="Calibri"/>
          <w:sz w:val="24"/>
          <w:szCs w:val="24"/>
        </w:rPr>
        <w:t xml:space="preserve">to </w:t>
      </w:r>
      <w:r w:rsidRPr="005A6497">
        <w:rPr>
          <w:rFonts w:ascii="Calibri" w:hAnsi="Calibri" w:cs="Calibri"/>
          <w:spacing w:val="2"/>
          <w:sz w:val="24"/>
          <w:szCs w:val="24"/>
        </w:rPr>
        <w:t xml:space="preserve">support </w:t>
      </w:r>
      <w:r w:rsidRPr="005A6497">
        <w:rPr>
          <w:rFonts w:ascii="Calibri" w:hAnsi="Calibri" w:cs="Calibri"/>
          <w:sz w:val="24"/>
          <w:szCs w:val="24"/>
        </w:rPr>
        <w:t xml:space="preserve">a </w:t>
      </w:r>
      <w:r w:rsidRPr="005A6497">
        <w:rPr>
          <w:rFonts w:ascii="Calibri" w:hAnsi="Calibri" w:cs="Calibri"/>
          <w:spacing w:val="2"/>
          <w:sz w:val="24"/>
          <w:szCs w:val="24"/>
        </w:rPr>
        <w:t xml:space="preserve">move </w:t>
      </w:r>
      <w:r w:rsidRPr="005A6497">
        <w:rPr>
          <w:rFonts w:ascii="Calibri" w:hAnsi="Calibri" w:cs="Calibri"/>
          <w:sz w:val="24"/>
          <w:szCs w:val="24"/>
        </w:rPr>
        <w:t xml:space="preserve">towards a fully </w:t>
      </w:r>
      <w:r w:rsidR="00AD21E4">
        <w:rPr>
          <w:rFonts w:ascii="Calibri" w:hAnsi="Calibri" w:cs="Calibri"/>
          <w:sz w:val="24"/>
          <w:szCs w:val="24"/>
        </w:rPr>
        <w:t xml:space="preserve">digitalised </w:t>
      </w:r>
      <w:r w:rsidRPr="005A6497">
        <w:rPr>
          <w:rFonts w:ascii="Calibri" w:hAnsi="Calibri" w:cs="Calibri"/>
          <w:sz w:val="24"/>
          <w:szCs w:val="24"/>
        </w:rPr>
        <w:t>supervisory  approach  in  the  area  of  financial</w:t>
      </w:r>
      <w:r w:rsidR="00AD21E4">
        <w:rPr>
          <w:rFonts w:ascii="Calibri" w:hAnsi="Calibri" w:cs="Calibri"/>
          <w:sz w:val="24"/>
          <w:szCs w:val="24"/>
        </w:rPr>
        <w:t xml:space="preserve"> services</w:t>
      </w:r>
      <w:r w:rsidRPr="005A6497">
        <w:rPr>
          <w:rFonts w:ascii="Calibri" w:hAnsi="Calibri" w:cs="Calibri"/>
          <w:sz w:val="24"/>
          <w:szCs w:val="24"/>
        </w:rPr>
        <w:t>? Please explain your reasoning and provide examples if needed:</w:t>
      </w:r>
    </w:p>
    <w:p w14:paraId="4C533B32" w14:textId="6A6A8956" w:rsidR="004F3311" w:rsidRPr="00AE5693" w:rsidRDefault="004F3311" w:rsidP="005A6497">
      <w:pPr>
        <w:pStyle w:val="Heading2"/>
        <w:spacing w:line="232" w:lineRule="auto"/>
        <w:ind w:left="0" w:right="383"/>
        <w:jc w:val="both"/>
        <w:rPr>
          <w:rFonts w:ascii="Calibri" w:eastAsia="Arial Unicode MS" w:hAnsi="Calibri" w:cs="Calibri"/>
          <w:b w:val="0"/>
          <w:bCs w:val="0"/>
          <w:sz w:val="22"/>
          <w:szCs w:val="22"/>
          <w:bdr w:val="nil"/>
          <w:lang w:val="en-GB"/>
        </w:rPr>
      </w:pPr>
    </w:p>
    <w:p w14:paraId="0E38BF69" w14:textId="22D650FB" w:rsidR="00701647" w:rsidRDefault="00AD21E4" w:rsidP="00AD21E4">
      <w:pPr>
        <w:pStyle w:val="CommentText"/>
        <w:spacing w:line="276" w:lineRule="auto"/>
        <w:jc w:val="both"/>
        <w:rPr>
          <w:rFonts w:ascii="Calibri" w:hAnsi="Calibri" w:cs="Calibri"/>
          <w:sz w:val="22"/>
          <w:szCs w:val="22"/>
        </w:rPr>
      </w:pPr>
      <w:r w:rsidRPr="0020127E">
        <w:rPr>
          <w:rFonts w:ascii="Calibri" w:hAnsi="Calibri" w:cs="Calibri"/>
          <w:sz w:val="22"/>
          <w:szCs w:val="22"/>
        </w:rPr>
        <w:t>From a reporting perspective, the EBA strongly supports the work on</w:t>
      </w:r>
      <w:r w:rsidRPr="00DB631C">
        <w:rPr>
          <w:rFonts w:ascii="Calibri" w:hAnsi="Calibri" w:cs="Calibri"/>
          <w:sz w:val="22"/>
          <w:szCs w:val="22"/>
          <w:lang w:val="en-GB"/>
        </w:rPr>
        <w:t xml:space="preserve"> standardising</w:t>
      </w:r>
      <w:r w:rsidRPr="0020127E">
        <w:rPr>
          <w:rFonts w:ascii="Calibri" w:hAnsi="Calibri" w:cs="Calibri"/>
          <w:sz w:val="22"/>
          <w:szCs w:val="22"/>
        </w:rPr>
        <w:t xml:space="preserve"> concepts, definitions and reporting obligations across EU financial services legislation. </w:t>
      </w:r>
      <w:r w:rsidR="00656BE9" w:rsidRPr="0020127E">
        <w:rPr>
          <w:rFonts w:ascii="Calibri" w:hAnsi="Calibri" w:cs="Calibri"/>
          <w:sz w:val="22"/>
          <w:szCs w:val="22"/>
        </w:rPr>
        <w:t>Standardi</w:t>
      </w:r>
      <w:r w:rsidR="0020127E">
        <w:rPr>
          <w:rFonts w:ascii="Calibri" w:hAnsi="Calibri" w:cs="Calibri"/>
          <w:sz w:val="22"/>
          <w:szCs w:val="22"/>
        </w:rPr>
        <w:t>s</w:t>
      </w:r>
      <w:r w:rsidR="00656BE9" w:rsidRPr="0020127E">
        <w:rPr>
          <w:rFonts w:ascii="Calibri" w:hAnsi="Calibri" w:cs="Calibri"/>
          <w:sz w:val="22"/>
          <w:szCs w:val="22"/>
        </w:rPr>
        <w:t xml:space="preserve">ed concepts and definitions are necessary prerequisites for the digitalisation of supervision </w:t>
      </w:r>
      <w:r w:rsidR="002E21AA" w:rsidRPr="0020127E">
        <w:rPr>
          <w:rFonts w:ascii="Calibri" w:hAnsi="Calibri" w:cs="Calibri"/>
          <w:sz w:val="22"/>
          <w:szCs w:val="22"/>
        </w:rPr>
        <w:t xml:space="preserve">and </w:t>
      </w:r>
      <w:r w:rsidR="002E21AA">
        <w:rPr>
          <w:rFonts w:ascii="Calibri" w:hAnsi="Calibri" w:cs="Calibri"/>
          <w:sz w:val="22"/>
          <w:szCs w:val="22"/>
        </w:rPr>
        <w:t xml:space="preserve">the scale up of RegTech solutions, </w:t>
      </w:r>
      <w:r w:rsidR="00656BE9" w:rsidRPr="0020127E" w:rsidDel="007C5936">
        <w:rPr>
          <w:rFonts w:ascii="Calibri" w:hAnsi="Calibri" w:cs="Calibri"/>
          <w:sz w:val="22"/>
          <w:szCs w:val="22"/>
        </w:rPr>
        <w:t>and</w:t>
      </w:r>
      <w:r w:rsidR="00656BE9" w:rsidRPr="0020127E">
        <w:rPr>
          <w:rFonts w:ascii="Calibri" w:hAnsi="Calibri" w:cs="Calibri"/>
          <w:sz w:val="22"/>
          <w:szCs w:val="22"/>
        </w:rPr>
        <w:t xml:space="preserve"> especially </w:t>
      </w:r>
      <w:r w:rsidR="007C5936">
        <w:rPr>
          <w:rFonts w:ascii="Calibri" w:hAnsi="Calibri" w:cs="Calibri"/>
          <w:sz w:val="22"/>
          <w:szCs w:val="22"/>
        </w:rPr>
        <w:t xml:space="preserve">in the area of </w:t>
      </w:r>
      <w:r w:rsidR="00656BE9" w:rsidRPr="0020127E">
        <w:rPr>
          <w:rFonts w:ascii="Calibri" w:hAnsi="Calibri" w:cs="Calibri"/>
          <w:sz w:val="22"/>
          <w:szCs w:val="22"/>
        </w:rPr>
        <w:t xml:space="preserve">supervisory reporting. </w:t>
      </w:r>
      <w:r w:rsidR="00701647">
        <w:rPr>
          <w:rFonts w:ascii="Calibri" w:hAnsi="Calibri" w:cs="Calibri"/>
          <w:sz w:val="22"/>
          <w:szCs w:val="22"/>
        </w:rPr>
        <w:t xml:space="preserve">Indeed, </w:t>
      </w:r>
      <w:r w:rsidR="00701647" w:rsidRPr="00E96A25">
        <w:rPr>
          <w:rFonts w:ascii="Calibri" w:hAnsi="Calibri" w:cs="Calibri"/>
          <w:sz w:val="22"/>
          <w:szCs w:val="22"/>
        </w:rPr>
        <w:t>technological solutions are more likely to thrive where there are standardized protocols and structured data, on which technology-enabled application</w:t>
      </w:r>
      <w:r w:rsidR="00E96A25">
        <w:rPr>
          <w:rFonts w:ascii="Calibri" w:hAnsi="Calibri" w:cs="Calibri"/>
          <w:sz w:val="22"/>
          <w:szCs w:val="22"/>
        </w:rPr>
        <w:t>s</w:t>
      </w:r>
      <w:r w:rsidR="00701647" w:rsidRPr="00E96A25">
        <w:rPr>
          <w:rFonts w:ascii="Calibri" w:hAnsi="Calibri" w:cs="Calibri"/>
          <w:sz w:val="22"/>
          <w:szCs w:val="22"/>
        </w:rPr>
        <w:t xml:space="preserve"> can build and add value.</w:t>
      </w:r>
    </w:p>
    <w:p w14:paraId="7F985844" w14:textId="77777777" w:rsidR="00701647" w:rsidRDefault="00701647" w:rsidP="00AD21E4">
      <w:pPr>
        <w:pStyle w:val="CommentText"/>
        <w:spacing w:line="276" w:lineRule="auto"/>
        <w:jc w:val="both"/>
        <w:rPr>
          <w:rFonts w:ascii="Calibri" w:hAnsi="Calibri" w:cs="Calibri"/>
          <w:sz w:val="22"/>
          <w:szCs w:val="22"/>
        </w:rPr>
      </w:pPr>
    </w:p>
    <w:p w14:paraId="09DA177A" w14:textId="2C1EE178" w:rsidR="00AD21E4" w:rsidRDefault="00656BE9" w:rsidP="00AD21E4">
      <w:pPr>
        <w:pStyle w:val="CommentText"/>
        <w:spacing w:line="276" w:lineRule="auto"/>
        <w:jc w:val="both"/>
      </w:pPr>
      <w:r w:rsidRPr="0020127E">
        <w:rPr>
          <w:rFonts w:ascii="Calibri" w:hAnsi="Calibri" w:cs="Calibri"/>
          <w:sz w:val="22"/>
          <w:szCs w:val="22"/>
        </w:rPr>
        <w:t>Together with standardisation, overall consistency should be ensured among different regulatory frameworks (e.g. the CRD/CRR package and the Mi</w:t>
      </w:r>
      <w:r w:rsidR="0020127E">
        <w:rPr>
          <w:rFonts w:ascii="Calibri" w:hAnsi="Calibri" w:cs="Calibri"/>
          <w:sz w:val="22"/>
          <w:szCs w:val="22"/>
        </w:rPr>
        <w:t>FID</w:t>
      </w:r>
      <w:r w:rsidRPr="0020127E">
        <w:rPr>
          <w:rFonts w:ascii="Calibri" w:hAnsi="Calibri" w:cs="Calibri"/>
          <w:sz w:val="22"/>
          <w:szCs w:val="22"/>
        </w:rPr>
        <w:t>2/Mi</w:t>
      </w:r>
      <w:r w:rsidR="0020127E">
        <w:rPr>
          <w:rFonts w:ascii="Calibri" w:hAnsi="Calibri" w:cs="Calibri"/>
          <w:sz w:val="22"/>
          <w:szCs w:val="22"/>
        </w:rPr>
        <w:t>FIR</w:t>
      </w:r>
      <w:r w:rsidRPr="0020127E">
        <w:rPr>
          <w:rFonts w:ascii="Calibri" w:hAnsi="Calibri" w:cs="Calibri"/>
          <w:sz w:val="22"/>
          <w:szCs w:val="22"/>
        </w:rPr>
        <w:t xml:space="preserve"> framework) that may apply to the same intermediaries (e.g. </w:t>
      </w:r>
      <w:r w:rsidR="00B665DC">
        <w:rPr>
          <w:rFonts w:ascii="Calibri" w:hAnsi="Calibri" w:cs="Calibri"/>
          <w:sz w:val="22"/>
          <w:szCs w:val="22"/>
        </w:rPr>
        <w:t>credit institutions</w:t>
      </w:r>
      <w:r w:rsidRPr="0020127E">
        <w:rPr>
          <w:rFonts w:ascii="Calibri" w:hAnsi="Calibri" w:cs="Calibri"/>
          <w:sz w:val="22"/>
          <w:szCs w:val="22"/>
        </w:rPr>
        <w:t xml:space="preserve">, investment firms). </w:t>
      </w:r>
      <w:r w:rsidR="00AD21E4" w:rsidRPr="0020127E">
        <w:rPr>
          <w:rFonts w:ascii="Calibri" w:hAnsi="Calibri" w:cs="Calibri"/>
          <w:sz w:val="22"/>
          <w:szCs w:val="22"/>
        </w:rPr>
        <w:t>The ESAs can bring valuable views into this work and we stand ready to collaborate with the Commission on standardisation and harmonization of definitions and reporting obligations.</w:t>
      </w:r>
    </w:p>
    <w:p w14:paraId="1DCE729F" w14:textId="28A14BFE" w:rsidR="005A6497" w:rsidRDefault="005A6497" w:rsidP="008F6510">
      <w:pPr>
        <w:jc w:val="both"/>
        <w:rPr>
          <w:rFonts w:ascii="Calibri" w:hAnsi="Calibri" w:cs="Calibri"/>
          <w:b/>
        </w:rPr>
      </w:pPr>
    </w:p>
    <w:p w14:paraId="63864665" w14:textId="2DAE7EA8" w:rsidR="008F6510" w:rsidRPr="00CC6A0F" w:rsidRDefault="008F6510" w:rsidP="008F6510">
      <w:pPr>
        <w:jc w:val="both"/>
        <w:rPr>
          <w:rFonts w:ascii="Calibri" w:hAnsi="Calibri" w:cs="Calibri"/>
          <w:b/>
          <w:spacing w:val="27"/>
        </w:rPr>
      </w:pPr>
      <w:r w:rsidRPr="007B0D54">
        <w:rPr>
          <w:rFonts w:ascii="Calibri" w:hAnsi="Calibri" w:cs="Calibri"/>
          <w:b/>
        </w:rPr>
        <w:t xml:space="preserve">Question 45. What are the potential benefits and drawbacks of a stronger use of supervisory data combined with other publicly available data (e.g. </w:t>
      </w:r>
      <w:r w:rsidR="00EF2764">
        <w:rPr>
          <w:rFonts w:ascii="Calibri" w:hAnsi="Calibri" w:cs="Calibri"/>
          <w:b/>
        </w:rPr>
        <w:t>social media data for effective supervision?</w:t>
      </w:r>
      <w:r w:rsidR="00CC6A0F" w:rsidRPr="007B0D54">
        <w:rPr>
          <w:rFonts w:ascii="Calibri" w:hAnsi="Calibri" w:cs="Calibri"/>
          <w:b/>
          <w:spacing w:val="27"/>
        </w:rPr>
        <w:t xml:space="preserve"> </w:t>
      </w:r>
      <w:r w:rsidRPr="007B0D54">
        <w:rPr>
          <w:rFonts w:ascii="Calibri" w:hAnsi="Calibri" w:cs="Calibri"/>
          <w:b/>
        </w:rPr>
        <w:t>Please explain your reasoning and provide examples if needed:</w:t>
      </w:r>
    </w:p>
    <w:p w14:paraId="6D519A15" w14:textId="5693850A" w:rsidR="00F0650B" w:rsidRDefault="00B41206" w:rsidP="00B41206">
      <w:pPr>
        <w:pStyle w:val="body0"/>
        <w:rPr>
          <w:rFonts w:eastAsia="Arial Unicode MS"/>
          <w:color w:val="auto"/>
          <w:lang w:val="en-GB" w:eastAsia="en-US"/>
        </w:rPr>
      </w:pPr>
      <w:r>
        <w:rPr>
          <w:rFonts w:eastAsia="Arial Unicode MS"/>
          <w:color w:val="auto"/>
          <w:lang w:val="en-GB" w:eastAsia="en-US"/>
        </w:rPr>
        <w:t>The stronger use of supervisory data along with other publicly available data may increase the effectiveness of supervisory understanding through increased better knowledge of context.</w:t>
      </w:r>
      <w:r w:rsidR="00DB631C">
        <w:rPr>
          <w:rFonts w:eastAsia="Arial Unicode MS"/>
          <w:color w:val="auto"/>
          <w:lang w:val="en-GB" w:eastAsia="en-US"/>
        </w:rPr>
        <w:t xml:space="preserve"> </w:t>
      </w:r>
      <w:r w:rsidR="006768E5">
        <w:rPr>
          <w:rFonts w:eastAsia="Arial Unicode MS"/>
          <w:color w:val="auto"/>
          <w:lang w:val="en-GB" w:eastAsia="en-US"/>
        </w:rPr>
        <w:t>SupT</w:t>
      </w:r>
      <w:r w:rsidR="006768E5" w:rsidRPr="006768E5">
        <w:rPr>
          <w:rFonts w:eastAsia="Arial Unicode MS"/>
          <w:color w:val="auto"/>
          <w:lang w:val="en-GB" w:eastAsia="en-US"/>
        </w:rPr>
        <w:t>ech applications</w:t>
      </w:r>
      <w:r w:rsidR="006768E5">
        <w:rPr>
          <w:rFonts w:eastAsia="Arial Unicode MS"/>
          <w:color w:val="auto"/>
          <w:lang w:val="en-GB" w:eastAsia="en-US"/>
        </w:rPr>
        <w:t>, in particular,</w:t>
      </w:r>
      <w:r w:rsidR="006768E5" w:rsidRPr="006768E5">
        <w:rPr>
          <w:rFonts w:eastAsia="Arial Unicode MS"/>
          <w:color w:val="auto"/>
          <w:lang w:val="en-GB" w:eastAsia="en-US"/>
        </w:rPr>
        <w:t xml:space="preserve"> are capable of combining multiple data sources</w:t>
      </w:r>
      <w:r w:rsidR="006768E5">
        <w:rPr>
          <w:rFonts w:eastAsia="Arial Unicode MS"/>
          <w:color w:val="auto"/>
          <w:lang w:val="en-GB" w:eastAsia="en-US"/>
        </w:rPr>
        <w:t xml:space="preserve"> (often </w:t>
      </w:r>
      <w:r w:rsidR="006768E5" w:rsidRPr="006768E5">
        <w:rPr>
          <w:rFonts w:eastAsia="Arial Unicode MS"/>
          <w:color w:val="auto"/>
          <w:lang w:val="en-GB" w:eastAsia="en-US"/>
        </w:rPr>
        <w:lastRenderedPageBreak/>
        <w:t>structured and unstructured data</w:t>
      </w:r>
      <w:r w:rsidR="006768E5">
        <w:rPr>
          <w:rFonts w:eastAsia="Arial Unicode MS"/>
          <w:color w:val="auto"/>
          <w:lang w:val="en-GB" w:eastAsia="en-US"/>
        </w:rPr>
        <w:t>)</w:t>
      </w:r>
      <w:r w:rsidR="006768E5" w:rsidRPr="006768E5">
        <w:rPr>
          <w:rFonts w:eastAsia="Arial Unicode MS"/>
          <w:color w:val="auto"/>
          <w:lang w:val="en-GB" w:eastAsia="en-US"/>
        </w:rPr>
        <w:t xml:space="preserve"> to support analytical work.</w:t>
      </w:r>
      <w:r w:rsidR="006768E5">
        <w:rPr>
          <w:rFonts w:eastAsia="Arial Unicode MS"/>
          <w:color w:val="auto"/>
          <w:lang w:val="en-GB" w:eastAsia="en-US"/>
        </w:rPr>
        <w:t xml:space="preserve"> </w:t>
      </w:r>
      <w:r>
        <w:rPr>
          <w:rFonts w:eastAsia="Arial Unicode MS"/>
          <w:color w:val="auto"/>
          <w:lang w:val="en-GB" w:eastAsia="en-US"/>
        </w:rPr>
        <w:t xml:space="preserve">There are examples of successful use of combination of supervisory and other publicly available data, while consideration should be given to the scope and use of publicly available data for supervisory purposes. </w:t>
      </w:r>
    </w:p>
    <w:p w14:paraId="6800129A" w14:textId="10342A46" w:rsidR="00B41206" w:rsidRDefault="00B41206" w:rsidP="00B41206">
      <w:pPr>
        <w:pStyle w:val="body0"/>
        <w:rPr>
          <w:rFonts w:eastAsia="Arial Unicode MS"/>
          <w:color w:val="auto"/>
          <w:lang w:val="en-GB" w:eastAsia="en-US"/>
        </w:rPr>
      </w:pPr>
      <w:r>
        <w:rPr>
          <w:rFonts w:eastAsia="Arial Unicode MS"/>
          <w:color w:val="auto"/>
          <w:lang w:val="en-GB" w:eastAsia="en-US"/>
        </w:rPr>
        <w:t xml:space="preserve">For example, we have observed that: </w:t>
      </w:r>
    </w:p>
    <w:p w14:paraId="1B3A49A4" w14:textId="148904FE" w:rsidR="008A7F2F" w:rsidRDefault="008A7F2F" w:rsidP="008A7F2F">
      <w:pPr>
        <w:pStyle w:val="body0"/>
        <w:numPr>
          <w:ilvl w:val="0"/>
          <w:numId w:val="32"/>
        </w:numPr>
        <w:spacing w:before="120"/>
        <w:rPr>
          <w:rFonts w:eastAsia="Arial Unicode MS"/>
          <w:color w:val="auto"/>
          <w:lang w:val="en-GB" w:eastAsia="en-US"/>
        </w:rPr>
      </w:pPr>
      <w:r w:rsidRPr="008A7F2F">
        <w:rPr>
          <w:rFonts w:eastAsia="Arial Unicode MS"/>
          <w:color w:val="auto"/>
          <w:lang w:val="en-GB" w:eastAsia="en-US"/>
        </w:rPr>
        <w:t xml:space="preserve">suspicious transactions reports (structured data) </w:t>
      </w:r>
      <w:r>
        <w:rPr>
          <w:rFonts w:eastAsia="Arial Unicode MS"/>
          <w:color w:val="auto"/>
          <w:lang w:val="en-GB" w:eastAsia="en-US"/>
        </w:rPr>
        <w:t xml:space="preserve">have been combined </w:t>
      </w:r>
      <w:r w:rsidRPr="008A7F2F">
        <w:rPr>
          <w:rFonts w:eastAsia="Arial Unicode MS"/>
          <w:color w:val="auto"/>
          <w:lang w:val="en-GB" w:eastAsia="en-US"/>
        </w:rPr>
        <w:t xml:space="preserve">with press reviews (unstructured data) for </w:t>
      </w:r>
      <w:r w:rsidR="00615864">
        <w:rPr>
          <w:rFonts w:eastAsia="Arial Unicode MS"/>
          <w:color w:val="auto"/>
          <w:lang w:val="en-GB" w:eastAsia="en-US"/>
        </w:rPr>
        <w:t>AML/CFT purposes</w:t>
      </w:r>
      <w:r>
        <w:rPr>
          <w:rFonts w:eastAsia="Arial Unicode MS"/>
          <w:color w:val="auto"/>
          <w:lang w:val="en-GB" w:eastAsia="en-US"/>
        </w:rPr>
        <w:t>;</w:t>
      </w:r>
    </w:p>
    <w:p w14:paraId="5A1DA090" w14:textId="77777777" w:rsidR="00545F1A" w:rsidRDefault="00B41206" w:rsidP="00085992">
      <w:pPr>
        <w:pStyle w:val="body0"/>
        <w:numPr>
          <w:ilvl w:val="0"/>
          <w:numId w:val="32"/>
        </w:numPr>
        <w:spacing w:before="120"/>
        <w:rPr>
          <w:lang w:val="en-GB"/>
        </w:rPr>
      </w:pPr>
      <w:r>
        <w:rPr>
          <w:rFonts w:eastAsia="Arial Unicode MS"/>
          <w:color w:val="auto"/>
          <w:lang w:val="en-GB" w:eastAsia="en-US"/>
        </w:rPr>
        <w:t>s</w:t>
      </w:r>
      <w:r w:rsidRPr="00706D19">
        <w:rPr>
          <w:rFonts w:eastAsia="Arial Unicode MS"/>
          <w:color w:val="auto"/>
          <w:lang w:val="en-GB" w:eastAsia="en-US"/>
        </w:rPr>
        <w:t xml:space="preserve">ocial media </w:t>
      </w:r>
      <w:r>
        <w:rPr>
          <w:rFonts w:eastAsia="Arial Unicode MS"/>
          <w:color w:val="auto"/>
          <w:lang w:val="en-GB" w:eastAsia="en-US"/>
        </w:rPr>
        <w:t xml:space="preserve">data have been used </w:t>
      </w:r>
      <w:r w:rsidRPr="00706D19">
        <w:rPr>
          <w:rFonts w:eastAsia="Arial Unicode MS"/>
          <w:color w:val="auto"/>
          <w:lang w:val="en-GB" w:eastAsia="en-US"/>
        </w:rPr>
        <w:t>to assess customer</w:t>
      </w:r>
      <w:r>
        <w:rPr>
          <w:rFonts w:eastAsia="Arial Unicode MS"/>
          <w:color w:val="auto"/>
          <w:lang w:val="en-GB" w:eastAsia="en-US"/>
        </w:rPr>
        <w:t>s’</w:t>
      </w:r>
      <w:r w:rsidRPr="00706D19">
        <w:rPr>
          <w:rFonts w:eastAsia="Arial Unicode MS"/>
          <w:color w:val="auto"/>
          <w:lang w:val="en-GB" w:eastAsia="en-US"/>
        </w:rPr>
        <w:t xml:space="preserve"> sentiment towards specific companies and the effect on stock returns,</w:t>
      </w:r>
      <w:r>
        <w:rPr>
          <w:rFonts w:eastAsia="Arial Unicode MS"/>
          <w:color w:val="auto"/>
          <w:lang w:val="en-GB" w:eastAsia="en-US"/>
        </w:rPr>
        <w:t xml:space="preserve"> volatility and trading volumes; </w:t>
      </w:r>
    </w:p>
    <w:p w14:paraId="75360CB5" w14:textId="77777777" w:rsidR="00B41206" w:rsidRDefault="00B41206" w:rsidP="00565044">
      <w:pPr>
        <w:pStyle w:val="body0"/>
        <w:numPr>
          <w:ilvl w:val="0"/>
          <w:numId w:val="32"/>
        </w:numPr>
        <w:spacing w:before="120"/>
        <w:rPr>
          <w:rFonts w:eastAsia="Arial Unicode MS"/>
          <w:color w:val="auto"/>
          <w:lang w:val="en-GB" w:eastAsia="en-US"/>
        </w:rPr>
      </w:pPr>
      <w:r>
        <w:rPr>
          <w:rFonts w:eastAsia="Arial Unicode MS"/>
          <w:color w:val="auto"/>
          <w:lang w:val="en-GB" w:eastAsia="en-US"/>
        </w:rPr>
        <w:t>news channels have been</w:t>
      </w:r>
      <w:r w:rsidRPr="00706D19">
        <w:rPr>
          <w:rFonts w:eastAsia="Arial Unicode MS"/>
          <w:color w:val="auto"/>
          <w:lang w:val="en-GB" w:eastAsia="en-US"/>
        </w:rPr>
        <w:t xml:space="preserve"> used to measure economic policy uncertainty and to investigate payment card sca</w:t>
      </w:r>
      <w:r>
        <w:rPr>
          <w:rFonts w:eastAsia="Arial Unicode MS"/>
          <w:color w:val="auto"/>
          <w:lang w:val="en-GB" w:eastAsia="en-US"/>
        </w:rPr>
        <w:t xml:space="preserve">ms; </w:t>
      </w:r>
    </w:p>
    <w:p w14:paraId="35926F72" w14:textId="77777777" w:rsidR="00B41206" w:rsidRDefault="00B41206" w:rsidP="00B41206">
      <w:pPr>
        <w:pStyle w:val="body0"/>
        <w:numPr>
          <w:ilvl w:val="0"/>
          <w:numId w:val="32"/>
        </w:numPr>
        <w:spacing w:before="120"/>
        <w:ind w:left="714" w:hanging="357"/>
        <w:rPr>
          <w:rFonts w:eastAsia="Arial Unicode MS"/>
          <w:color w:val="auto"/>
          <w:lang w:val="en-GB" w:eastAsia="en-US"/>
        </w:rPr>
      </w:pPr>
      <w:r w:rsidRPr="00706D19">
        <w:rPr>
          <w:rFonts w:eastAsia="Arial Unicode MS"/>
          <w:color w:val="auto"/>
          <w:lang w:val="en-GB" w:eastAsia="en-US"/>
        </w:rPr>
        <w:t xml:space="preserve">data from online real estate ads extracted from the web </w:t>
      </w:r>
      <w:r>
        <w:rPr>
          <w:rFonts w:eastAsia="Arial Unicode MS"/>
          <w:color w:val="auto"/>
          <w:lang w:val="en-GB" w:eastAsia="en-US"/>
        </w:rPr>
        <w:t xml:space="preserve">have been used to elucidate the structure of the </w:t>
      </w:r>
      <w:r w:rsidRPr="00706D19">
        <w:rPr>
          <w:rFonts w:eastAsia="Arial Unicode MS"/>
          <w:color w:val="auto"/>
          <w:lang w:val="en-GB" w:eastAsia="en-US"/>
        </w:rPr>
        <w:t>real estate market</w:t>
      </w:r>
      <w:r>
        <w:rPr>
          <w:rFonts w:eastAsia="Arial Unicode MS"/>
          <w:color w:val="auto"/>
          <w:lang w:val="en-GB" w:eastAsia="en-US"/>
        </w:rPr>
        <w:t xml:space="preserve"> in the relevant jurisdiction</w:t>
      </w:r>
      <w:r w:rsidRPr="00706D19">
        <w:rPr>
          <w:rFonts w:eastAsia="Arial Unicode MS"/>
          <w:color w:val="auto"/>
          <w:lang w:val="en-GB" w:eastAsia="en-US"/>
        </w:rPr>
        <w:t>.</w:t>
      </w:r>
    </w:p>
    <w:p w14:paraId="4DCA2D46" w14:textId="77777777" w:rsidR="00B41206" w:rsidRDefault="00B41206" w:rsidP="00B41206">
      <w:pPr>
        <w:pStyle w:val="body0"/>
        <w:rPr>
          <w:rFonts w:eastAsia="Arial Unicode MS"/>
          <w:color w:val="auto"/>
          <w:lang w:val="en-GB" w:eastAsia="en-US"/>
        </w:rPr>
      </w:pPr>
      <w:r>
        <w:rPr>
          <w:rFonts w:eastAsia="Arial Unicode MS"/>
          <w:color w:val="auto"/>
          <w:lang w:val="en-GB" w:eastAsia="en-US"/>
        </w:rPr>
        <w:t>Potential benefits could be:</w:t>
      </w:r>
    </w:p>
    <w:p w14:paraId="6037AD7F" w14:textId="7ECBB8C8" w:rsidR="00B41206" w:rsidRPr="007D106E" w:rsidRDefault="00B41206" w:rsidP="00B41206">
      <w:pPr>
        <w:pStyle w:val="body0"/>
        <w:numPr>
          <w:ilvl w:val="0"/>
          <w:numId w:val="33"/>
        </w:numPr>
        <w:spacing w:before="120"/>
        <w:ind w:left="760" w:hanging="357"/>
      </w:pPr>
      <w:r w:rsidRPr="00761B12">
        <w:rPr>
          <w:rFonts w:eastAsia="Arial Unicode MS"/>
          <w:b/>
          <w:color w:val="auto"/>
          <w:lang w:val="en-GB" w:eastAsia="en-US"/>
        </w:rPr>
        <w:t>Enhanced effectiveness, reduced costs and improved capabilities</w:t>
      </w:r>
      <w:r w:rsidRPr="00761B12">
        <w:rPr>
          <w:rFonts w:eastAsia="Arial Unicode MS"/>
          <w:b/>
          <w:i/>
          <w:color w:val="auto"/>
          <w:lang w:val="en-GB" w:eastAsia="en-US"/>
        </w:rPr>
        <w:t>,</w:t>
      </w:r>
      <w:r>
        <w:rPr>
          <w:rFonts w:eastAsia="Arial Unicode MS"/>
          <w:color w:val="auto"/>
          <w:lang w:val="en-GB" w:eastAsia="en-US"/>
        </w:rPr>
        <w:t xml:space="preserve"> assuming legacy IT systems have adequate capacity and </w:t>
      </w:r>
      <w:r w:rsidR="00BE12D0">
        <w:rPr>
          <w:rFonts w:eastAsia="Arial Unicode MS"/>
          <w:color w:val="auto"/>
          <w:lang w:val="en-GB" w:eastAsia="en-US"/>
        </w:rPr>
        <w:t>do not pose</w:t>
      </w:r>
      <w:r>
        <w:rPr>
          <w:rFonts w:eastAsia="Arial Unicode MS"/>
          <w:color w:val="auto"/>
          <w:lang w:val="en-GB" w:eastAsia="en-US"/>
        </w:rPr>
        <w:t xml:space="preserve"> a burden. The </w:t>
      </w:r>
      <w:r>
        <w:t>emergence of innovative technologies might significantly improve analytical capabilities while enhancing effectiveness.  Potential cost reductions may result through data analytics solutions.</w:t>
      </w:r>
    </w:p>
    <w:p w14:paraId="5307BD86" w14:textId="77777777" w:rsidR="00B41206" w:rsidRPr="00761B12" w:rsidRDefault="00B41206" w:rsidP="00B41206">
      <w:pPr>
        <w:pStyle w:val="body0"/>
        <w:numPr>
          <w:ilvl w:val="0"/>
          <w:numId w:val="33"/>
        </w:numPr>
        <w:spacing w:before="120"/>
        <w:ind w:left="760" w:hanging="357"/>
        <w:rPr>
          <w:rFonts w:eastAsia="Arial Unicode MS"/>
          <w:color w:val="auto"/>
          <w:lang w:val="en-GB" w:eastAsia="en-US"/>
        </w:rPr>
      </w:pPr>
      <w:r w:rsidRPr="00761B12">
        <w:rPr>
          <w:b/>
        </w:rPr>
        <w:t>Improved traditional or manual processes and potentially faster supervisory action</w:t>
      </w:r>
      <w:r>
        <w:t xml:space="preserve">. This may result from improved off-site monitoring, along with better and earlier detection of potential risks. </w:t>
      </w:r>
    </w:p>
    <w:p w14:paraId="6AFE9618" w14:textId="0754A237" w:rsidR="00B41206" w:rsidRDefault="00B41206" w:rsidP="001360BC">
      <w:pPr>
        <w:pStyle w:val="body0"/>
        <w:numPr>
          <w:ilvl w:val="0"/>
          <w:numId w:val="33"/>
        </w:numPr>
        <w:spacing w:before="120"/>
        <w:rPr>
          <w:rFonts w:eastAsia="Arial Unicode MS"/>
          <w:color w:val="auto"/>
          <w:lang w:val="en-GB" w:eastAsia="en-US"/>
        </w:rPr>
      </w:pPr>
      <w:r w:rsidRPr="001360BC">
        <w:rPr>
          <w:b/>
        </w:rPr>
        <w:t>Enhanced supervisory capabilities through automating data gathering and analysis</w:t>
      </w:r>
      <w:r>
        <w:t>, allowing the identification of potential supervisory issues. Moreover, the combination of available structured and unstructured data might enrich analyses.</w:t>
      </w:r>
      <w:r w:rsidR="001360BC" w:rsidRPr="001360BC">
        <w:t xml:space="preserve"> </w:t>
      </w:r>
      <w:r w:rsidR="001360BC">
        <w:t>For example, c</w:t>
      </w:r>
      <w:r w:rsidR="001360BC" w:rsidRPr="001360BC">
        <w:t xml:space="preserve">onsidering that currently most of supervised institutions are using social networking websites to promote their products and services, social media data </w:t>
      </w:r>
      <w:r w:rsidR="000E6A49">
        <w:t xml:space="preserve">becomes </w:t>
      </w:r>
      <w:r w:rsidR="001360BC" w:rsidRPr="001360BC">
        <w:t>really relevant to perform monitoring and supervisory activities, in particular to identify new products and services and to oversee the compliance with legal and regulatory requirements (e.g. advertising’s oversight).</w:t>
      </w:r>
    </w:p>
    <w:p w14:paraId="43D0FD72" w14:textId="77777777" w:rsidR="00B41206" w:rsidRDefault="00B41206" w:rsidP="00B41206">
      <w:pPr>
        <w:pStyle w:val="body0"/>
      </w:pPr>
      <w:r>
        <w:rPr>
          <w:rFonts w:eastAsia="Arial Unicode MS"/>
          <w:color w:val="auto"/>
          <w:lang w:val="en-GB" w:eastAsia="en-US"/>
        </w:rPr>
        <w:t>On the other hand, it should be taken into consideration that</w:t>
      </w:r>
      <w:r>
        <w:rPr>
          <w:lang w:val="en-GB"/>
        </w:rPr>
        <w:t xml:space="preserve"> t</w:t>
      </w:r>
      <w:r>
        <w:t>echnical, data quality, legal, operational, reputational, resource, internal support and practical challenges may be encountered:</w:t>
      </w:r>
    </w:p>
    <w:p w14:paraId="4397D974" w14:textId="5D1E8C69" w:rsidR="00B41206" w:rsidRPr="00754293" w:rsidRDefault="009A1F79" w:rsidP="00B41206">
      <w:pPr>
        <w:pStyle w:val="body0"/>
        <w:numPr>
          <w:ilvl w:val="0"/>
          <w:numId w:val="33"/>
        </w:numPr>
        <w:spacing w:before="120"/>
        <w:ind w:left="760" w:hanging="357"/>
      </w:pPr>
      <w:r>
        <w:t>t</w:t>
      </w:r>
      <w:r w:rsidR="00B41206">
        <w:t>echnical issues relate to computational capacity constraints and lack of transparency on how some technologies work;</w:t>
      </w:r>
    </w:p>
    <w:p w14:paraId="337E0538" w14:textId="2C7D6C28" w:rsidR="00B41206" w:rsidRPr="00761B12" w:rsidRDefault="009A1F79" w:rsidP="00B41206">
      <w:pPr>
        <w:pStyle w:val="body0"/>
        <w:numPr>
          <w:ilvl w:val="0"/>
          <w:numId w:val="33"/>
        </w:numPr>
        <w:spacing w:before="120"/>
        <w:ind w:left="760" w:hanging="357"/>
      </w:pPr>
      <w:r>
        <w:rPr>
          <w:rFonts w:eastAsia="Arial Unicode MS"/>
          <w:color w:val="auto"/>
          <w:lang w:val="en-GB" w:eastAsia="en-US"/>
        </w:rPr>
        <w:t>d</w:t>
      </w:r>
      <w:r w:rsidR="00B41206" w:rsidRPr="00754293">
        <w:rPr>
          <w:rFonts w:eastAsia="Arial Unicode MS"/>
          <w:color w:val="auto"/>
          <w:lang w:val="en-GB" w:eastAsia="en-US"/>
        </w:rPr>
        <w:t xml:space="preserve">ata quality </w:t>
      </w:r>
      <w:r w:rsidR="00B41206">
        <w:rPr>
          <w:rFonts w:eastAsia="Arial Unicode MS"/>
          <w:color w:val="auto"/>
          <w:lang w:val="en-GB" w:eastAsia="en-US"/>
        </w:rPr>
        <w:t>and completeness can be a concern</w:t>
      </w:r>
      <w:r w:rsidR="00B41206" w:rsidRPr="00754293">
        <w:rPr>
          <w:rFonts w:eastAsia="Arial Unicode MS"/>
          <w:color w:val="auto"/>
          <w:lang w:val="en-GB" w:eastAsia="en-US"/>
        </w:rPr>
        <w:t xml:space="preserve"> for non-traditional sources of informatio</w:t>
      </w:r>
      <w:r w:rsidR="00B41206">
        <w:rPr>
          <w:rFonts w:eastAsia="Arial Unicode MS"/>
          <w:color w:val="auto"/>
          <w:lang w:val="en-GB" w:eastAsia="en-US"/>
        </w:rPr>
        <w:t xml:space="preserve">n (e.g. social media); </w:t>
      </w:r>
    </w:p>
    <w:p w14:paraId="049AF32A" w14:textId="77777777" w:rsidR="00B41206" w:rsidRPr="00761B12" w:rsidRDefault="00B41206" w:rsidP="00B41206">
      <w:pPr>
        <w:pStyle w:val="body0"/>
        <w:numPr>
          <w:ilvl w:val="0"/>
          <w:numId w:val="33"/>
        </w:numPr>
        <w:spacing w:before="120"/>
        <w:ind w:left="760" w:hanging="357"/>
      </w:pPr>
      <w:r>
        <w:rPr>
          <w:rFonts w:eastAsia="Arial Unicode MS"/>
          <w:color w:val="auto"/>
          <w:lang w:val="en-GB" w:eastAsia="en-US"/>
        </w:rPr>
        <w:lastRenderedPageBreak/>
        <w:t>enforceability of supervisory measures in case of reliance on (invalidated) publicly available media may be an issue;</w:t>
      </w:r>
    </w:p>
    <w:p w14:paraId="476F401D" w14:textId="56A80D92" w:rsidR="00B41206" w:rsidRPr="00332B9C" w:rsidRDefault="009A1F79" w:rsidP="00B41206">
      <w:pPr>
        <w:pStyle w:val="body0"/>
        <w:numPr>
          <w:ilvl w:val="0"/>
          <w:numId w:val="33"/>
        </w:numPr>
        <w:spacing w:before="120"/>
        <w:ind w:left="760" w:hanging="357"/>
      </w:pPr>
      <w:r>
        <w:t>r</w:t>
      </w:r>
      <w:r w:rsidR="00B41206">
        <w:t>esource challenges in terms of having the right talent, skills and expertise</w:t>
      </w:r>
      <w:r w:rsidR="006768E5">
        <w:t>;</w:t>
      </w:r>
      <w:r w:rsidR="00B41206">
        <w:t xml:space="preserve"> </w:t>
      </w:r>
    </w:p>
    <w:p w14:paraId="11FB78AC" w14:textId="77E5B908" w:rsidR="00B41206" w:rsidRPr="00754293" w:rsidRDefault="009A1F79" w:rsidP="00B41206">
      <w:pPr>
        <w:pStyle w:val="body0"/>
        <w:numPr>
          <w:ilvl w:val="0"/>
          <w:numId w:val="33"/>
        </w:numPr>
        <w:spacing w:before="120"/>
        <w:ind w:left="760" w:hanging="357"/>
      </w:pPr>
      <w:r>
        <w:t>p</w:t>
      </w:r>
      <w:r w:rsidR="00B41206">
        <w:t>ublic data sources might include a lot of unstructured data, which can be difficult to handle;</w:t>
      </w:r>
    </w:p>
    <w:p w14:paraId="775113AE" w14:textId="77777777" w:rsidR="00B41206" w:rsidRPr="00631677" w:rsidRDefault="00B41206" w:rsidP="00B41206">
      <w:pPr>
        <w:pStyle w:val="body0"/>
        <w:numPr>
          <w:ilvl w:val="0"/>
          <w:numId w:val="33"/>
        </w:numPr>
        <w:spacing w:before="120"/>
        <w:ind w:left="760" w:hanging="357"/>
      </w:pPr>
      <w:r>
        <w:rPr>
          <w:rFonts w:eastAsia="Arial Unicode MS"/>
          <w:color w:val="auto"/>
          <w:lang w:val="en-GB" w:eastAsia="en-US"/>
        </w:rPr>
        <w:t>the reliance on social media data can cause privacy concerns.</w:t>
      </w:r>
    </w:p>
    <w:p w14:paraId="7C6CF910" w14:textId="77777777" w:rsidR="00B41206" w:rsidRDefault="00B41206" w:rsidP="00B41206">
      <w:pPr>
        <w:pStyle w:val="body0"/>
        <w:rPr>
          <w:rFonts w:eastAsia="Arial Unicode MS"/>
          <w:color w:val="auto"/>
          <w:lang w:val="en-GB" w:eastAsia="en-US"/>
        </w:rPr>
      </w:pPr>
      <w:r>
        <w:rPr>
          <w:rFonts w:eastAsia="Arial Unicode MS"/>
          <w:color w:val="auto"/>
          <w:lang w:val="en-GB" w:eastAsia="en-US"/>
        </w:rPr>
        <w:t>The facilitation of the SupTech would require addressing the following issues:</w:t>
      </w:r>
    </w:p>
    <w:p w14:paraId="7B9BC894" w14:textId="42F322CE" w:rsidR="00B41206" w:rsidRDefault="009A1F79" w:rsidP="00B41206">
      <w:pPr>
        <w:pStyle w:val="body0"/>
        <w:numPr>
          <w:ilvl w:val="0"/>
          <w:numId w:val="30"/>
        </w:numPr>
        <w:spacing w:before="120"/>
        <w:ind w:left="714" w:hanging="357"/>
        <w:rPr>
          <w:rFonts w:eastAsia="Arial Unicode MS"/>
          <w:color w:val="auto"/>
          <w:lang w:val="en-GB" w:eastAsia="en-US"/>
        </w:rPr>
      </w:pPr>
      <w:r>
        <w:rPr>
          <w:rFonts w:eastAsia="Arial Unicode MS"/>
          <w:color w:val="auto"/>
          <w:lang w:val="en-GB" w:eastAsia="en-US"/>
        </w:rPr>
        <w:t>u</w:t>
      </w:r>
      <w:r w:rsidR="00B41206">
        <w:rPr>
          <w:rFonts w:eastAsia="Arial Unicode MS"/>
          <w:color w:val="auto"/>
          <w:lang w:val="en-GB" w:eastAsia="en-US"/>
        </w:rPr>
        <w:t xml:space="preserve">pgrading existing ICT infrastructure to enable collection and analysis of data; </w:t>
      </w:r>
    </w:p>
    <w:p w14:paraId="226ADA04" w14:textId="0D7715F1" w:rsidR="00B41206" w:rsidRDefault="009A1F79" w:rsidP="00B41206">
      <w:pPr>
        <w:pStyle w:val="body0"/>
        <w:numPr>
          <w:ilvl w:val="0"/>
          <w:numId w:val="30"/>
        </w:numPr>
        <w:spacing w:before="120"/>
        <w:ind w:left="714" w:hanging="357"/>
        <w:rPr>
          <w:rFonts w:eastAsia="Arial Unicode MS"/>
          <w:color w:val="auto"/>
          <w:lang w:val="en-GB" w:eastAsia="en-US"/>
        </w:rPr>
      </w:pPr>
      <w:r>
        <w:rPr>
          <w:rFonts w:eastAsia="Arial Unicode MS"/>
          <w:color w:val="auto"/>
          <w:lang w:val="en-GB" w:eastAsia="en-US"/>
        </w:rPr>
        <w:t>d</w:t>
      </w:r>
      <w:r w:rsidR="00B41206">
        <w:rPr>
          <w:rFonts w:eastAsia="Arial Unicode MS"/>
          <w:color w:val="auto"/>
          <w:lang w:val="en-GB" w:eastAsia="en-US"/>
        </w:rPr>
        <w:t xml:space="preserve">eveloping reliable technology-enabled supervisory solutions; and </w:t>
      </w:r>
    </w:p>
    <w:p w14:paraId="783A95DB" w14:textId="715B4A4E" w:rsidR="00B41206" w:rsidRDefault="009A1F79" w:rsidP="00B41206">
      <w:pPr>
        <w:pStyle w:val="body0"/>
        <w:numPr>
          <w:ilvl w:val="0"/>
          <w:numId w:val="30"/>
        </w:numPr>
        <w:spacing w:before="120"/>
        <w:ind w:left="714" w:hanging="357"/>
        <w:rPr>
          <w:rFonts w:eastAsia="Arial Unicode MS"/>
          <w:color w:val="auto"/>
          <w:lang w:val="en-GB" w:eastAsia="en-US"/>
        </w:rPr>
      </w:pPr>
      <w:r>
        <w:rPr>
          <w:rFonts w:eastAsia="Arial Unicode MS"/>
          <w:color w:val="auto"/>
          <w:lang w:val="en-GB" w:eastAsia="en-US"/>
        </w:rPr>
        <w:t>b</w:t>
      </w:r>
      <w:r w:rsidR="00B41206">
        <w:rPr>
          <w:rFonts w:eastAsia="Arial Unicode MS"/>
          <w:color w:val="auto"/>
          <w:lang w:val="en-GB" w:eastAsia="en-US"/>
        </w:rPr>
        <w:t xml:space="preserve">uilding the necessary skillsets and digital supervisory culture. </w:t>
      </w:r>
    </w:p>
    <w:p w14:paraId="7A93DA8E" w14:textId="77777777" w:rsidR="00B41206" w:rsidRDefault="00B41206" w:rsidP="00B41206">
      <w:pPr>
        <w:pStyle w:val="body0"/>
        <w:rPr>
          <w:rFonts w:eastAsia="Arial Unicode MS"/>
          <w:color w:val="auto"/>
          <w:lang w:val="en-GB" w:eastAsia="en-US"/>
        </w:rPr>
      </w:pPr>
      <w:r>
        <w:rPr>
          <w:rFonts w:eastAsia="Arial Unicode MS"/>
          <w:color w:val="auto"/>
          <w:lang w:val="en-GB" w:eastAsia="en-US"/>
        </w:rPr>
        <w:t xml:space="preserve">While the build-up of the necessary underlying IT infrastructure falls under the responsibility of individual competent authorities, it is important to ensure coordination to make sure that the systems remain compatible. </w:t>
      </w:r>
    </w:p>
    <w:p w14:paraId="52D7B87B" w14:textId="77777777" w:rsidR="00E971B7" w:rsidRDefault="00B41206" w:rsidP="00E971B7">
      <w:pPr>
        <w:pStyle w:val="body0"/>
        <w:spacing w:after="0"/>
        <w:rPr>
          <w:rFonts w:eastAsia="Arial Unicode MS"/>
          <w:color w:val="auto"/>
          <w:lang w:val="en-GB" w:eastAsia="en-US"/>
        </w:rPr>
      </w:pPr>
      <w:r>
        <w:rPr>
          <w:rFonts w:eastAsia="Arial Unicode MS"/>
          <w:color w:val="auto"/>
          <w:lang w:val="en-GB" w:eastAsia="en-US"/>
        </w:rPr>
        <w:t>To increase the effectiveness of supervision</w:t>
      </w:r>
      <w:r w:rsidR="00882A93">
        <w:rPr>
          <w:rFonts w:eastAsia="Arial Unicode MS"/>
          <w:color w:val="auto"/>
          <w:lang w:val="en-GB" w:eastAsia="en-US"/>
        </w:rPr>
        <w:t xml:space="preserve"> via leveraging on technological innovation</w:t>
      </w:r>
      <w:r>
        <w:rPr>
          <w:rFonts w:eastAsia="Arial Unicode MS"/>
          <w:color w:val="auto"/>
          <w:lang w:val="en-GB" w:eastAsia="en-US"/>
        </w:rPr>
        <w:t xml:space="preserve">, an emphasis should be made </w:t>
      </w:r>
      <w:r w:rsidR="00882A93">
        <w:rPr>
          <w:rFonts w:eastAsia="Arial Unicode MS"/>
          <w:color w:val="auto"/>
          <w:lang w:val="en-GB" w:eastAsia="en-US"/>
        </w:rPr>
        <w:t xml:space="preserve">in the medium-long term </w:t>
      </w:r>
      <w:r>
        <w:rPr>
          <w:rFonts w:eastAsia="Arial Unicode MS"/>
          <w:color w:val="auto"/>
          <w:lang w:val="en-GB" w:eastAsia="en-US"/>
        </w:rPr>
        <w:t xml:space="preserve">on the creation of the </w:t>
      </w:r>
      <w:r>
        <w:rPr>
          <w:rFonts w:eastAsia="Arial Unicode MS"/>
          <w:b/>
          <w:color w:val="auto"/>
          <w:lang w:val="en-GB" w:eastAsia="en-US"/>
        </w:rPr>
        <w:t>European Strategy for the</w:t>
      </w:r>
      <w:r>
        <w:rPr>
          <w:rFonts w:eastAsia="Arial Unicode MS"/>
          <w:color w:val="auto"/>
          <w:lang w:val="en-GB" w:eastAsia="en-US"/>
        </w:rPr>
        <w:t xml:space="preserve"> </w:t>
      </w:r>
      <w:r>
        <w:rPr>
          <w:rFonts w:eastAsia="Arial Unicode MS"/>
          <w:b/>
          <w:color w:val="auto"/>
          <w:lang w:val="en-GB" w:eastAsia="en-US"/>
        </w:rPr>
        <w:t>supervisory technologies (SupTech)</w:t>
      </w:r>
      <w:r w:rsidR="000B5E80">
        <w:rPr>
          <w:rFonts w:eastAsia="Arial Unicode MS"/>
          <w:color w:val="auto"/>
          <w:lang w:val="en-GB" w:eastAsia="en-US"/>
        </w:rPr>
        <w:t>, recognising also the strong linkages between SupTech and RegTech</w:t>
      </w:r>
      <w:r w:rsidR="00F34C89">
        <w:rPr>
          <w:rFonts w:eastAsia="Arial Unicode MS"/>
          <w:color w:val="auto"/>
          <w:lang w:val="en-GB" w:eastAsia="en-US"/>
        </w:rPr>
        <w:t xml:space="preserve">, and leveraging on the experience from the existing </w:t>
      </w:r>
      <w:r w:rsidR="00F34C89" w:rsidRPr="00F34C89">
        <w:rPr>
          <w:rFonts w:eastAsia="Arial Unicode MS"/>
          <w:color w:val="auto"/>
          <w:lang w:val="en-GB" w:eastAsia="en-US"/>
        </w:rPr>
        <w:t xml:space="preserve">SupTech </w:t>
      </w:r>
      <w:r w:rsidR="00F34C89">
        <w:rPr>
          <w:rFonts w:eastAsia="Arial Unicode MS"/>
          <w:color w:val="auto"/>
          <w:lang w:val="en-GB" w:eastAsia="en-US"/>
        </w:rPr>
        <w:t>solutions across competent authorities</w:t>
      </w:r>
      <w:r w:rsidR="000B5E80">
        <w:rPr>
          <w:rFonts w:eastAsia="Arial Unicode MS"/>
          <w:color w:val="auto"/>
          <w:lang w:val="en-GB" w:eastAsia="en-US"/>
        </w:rPr>
        <w:t xml:space="preserve">. </w:t>
      </w:r>
    </w:p>
    <w:p w14:paraId="0DC65A9E" w14:textId="033BB4F2" w:rsidR="00960FC3" w:rsidRDefault="00FF14DA" w:rsidP="00E971B7">
      <w:pPr>
        <w:pStyle w:val="body0"/>
        <w:spacing w:after="0"/>
        <w:rPr>
          <w:b/>
        </w:rPr>
      </w:pPr>
      <w:r w:rsidRPr="006D045B">
        <w:rPr>
          <w:color w:val="000000" w:themeColor="text1"/>
        </w:rPr>
        <w:t>Additional funding could also</w:t>
      </w:r>
      <w:r w:rsidRPr="00FF14DA">
        <w:rPr>
          <w:b/>
          <w:color w:val="000000" w:themeColor="text1"/>
        </w:rPr>
        <w:t xml:space="preserve"> </w:t>
      </w:r>
      <w:r w:rsidRPr="00BA1111">
        <w:rPr>
          <w:color w:val="000000" w:themeColor="text1"/>
        </w:rPr>
        <w:t xml:space="preserve">be applied </w:t>
      </w:r>
      <w:r>
        <w:rPr>
          <w:color w:val="000000" w:themeColor="text1"/>
        </w:rPr>
        <w:t>by the EBA to</w:t>
      </w:r>
      <w:r>
        <w:rPr>
          <w:b/>
          <w:color w:val="000000" w:themeColor="text1"/>
        </w:rPr>
        <w:t xml:space="preserve"> facilitate the gathering of best practices and trends on SupTech and</w:t>
      </w:r>
      <w:r w:rsidRPr="006D045B">
        <w:rPr>
          <w:color w:val="000000" w:themeColor="text1"/>
        </w:rPr>
        <w:t xml:space="preserve"> promote/facilitate (collective) development of selected specific SupTech use cases for the benefit of supervisory and regul</w:t>
      </w:r>
      <w:r w:rsidRPr="00E31192">
        <w:t>atory authorities in the EU.</w:t>
      </w:r>
      <w:r>
        <w:rPr>
          <w:b/>
        </w:rPr>
        <w:t xml:space="preserve"> The EBA could also act as a center for excellence and networking in this context and help instigate scalable SupTech across the Single Market.</w:t>
      </w:r>
    </w:p>
    <w:p w14:paraId="24996462" w14:textId="77777777" w:rsidR="00E971B7" w:rsidRPr="00E971B7" w:rsidRDefault="00E971B7" w:rsidP="00E971B7">
      <w:pPr>
        <w:pStyle w:val="body0"/>
        <w:spacing w:before="0" w:after="0"/>
        <w:rPr>
          <w:rFonts w:eastAsia="Arial Unicode MS"/>
          <w:color w:val="auto"/>
          <w:lang w:val="en-GB" w:eastAsia="en-US"/>
        </w:rPr>
      </w:pPr>
    </w:p>
    <w:p w14:paraId="46FB262B" w14:textId="633BE096" w:rsidR="00D04B8B" w:rsidRPr="00960FC3" w:rsidRDefault="00D04B8B" w:rsidP="00D04B8B">
      <w:pPr>
        <w:jc w:val="both"/>
        <w:rPr>
          <w:rFonts w:ascii="Calibri" w:hAnsi="Calibri" w:cs="Calibri"/>
          <w:b/>
        </w:rPr>
      </w:pPr>
      <w:r>
        <w:rPr>
          <w:rFonts w:ascii="Calibri" w:hAnsi="Calibri" w:cs="Calibri"/>
          <w:b/>
        </w:rPr>
        <w:t>Q</w:t>
      </w:r>
      <w:r w:rsidRPr="00960FC3">
        <w:rPr>
          <w:rFonts w:ascii="Calibri" w:hAnsi="Calibri" w:cs="Calibri"/>
          <w:b/>
        </w:rPr>
        <w:t>uestion 47. Are there specific measures needed at EU level to ensure that the digital transformation of the European financial sector is environmentally sustainable?</w:t>
      </w:r>
    </w:p>
    <w:p w14:paraId="2BF40A8D" w14:textId="77777777" w:rsidR="00D04B8B" w:rsidRDefault="00D04B8B" w:rsidP="00D04B8B">
      <w:pPr>
        <w:pStyle w:val="body0"/>
        <w:rPr>
          <w:lang w:val="en-GB"/>
        </w:rPr>
      </w:pPr>
      <w:r>
        <w:rPr>
          <w:lang w:val="en-GB"/>
        </w:rPr>
        <w:t xml:space="preserve">The </w:t>
      </w:r>
      <w:r w:rsidRPr="008E4B7C">
        <w:rPr>
          <w:lang w:val="en-GB"/>
        </w:rPr>
        <w:t>EBA has highlighted in different publications the potential</w:t>
      </w:r>
      <w:r>
        <w:rPr>
          <w:lang w:val="en-GB"/>
        </w:rPr>
        <w:t xml:space="preserve"> opportunities,</w:t>
      </w:r>
      <w:r w:rsidRPr="008E4B7C">
        <w:rPr>
          <w:lang w:val="en-GB"/>
        </w:rPr>
        <w:t xml:space="preserve"> risks and uncertainties that may come with the use of financial technologies</w:t>
      </w:r>
      <w:r>
        <w:rPr>
          <w:lang w:val="en-GB"/>
        </w:rPr>
        <w:t xml:space="preserve">, and sees technologies as an important enabler of sustainable development. At the same time some technologies can be resource intensive and some consideration to green labelling could be considered for key technologies.   </w:t>
      </w:r>
    </w:p>
    <w:p w14:paraId="4C458F46" w14:textId="77777777" w:rsidR="00D04B8B" w:rsidRDefault="00D04B8B" w:rsidP="00D04B8B">
      <w:pPr>
        <w:pStyle w:val="body0"/>
        <w:rPr>
          <w:lang w:val="en-GB"/>
        </w:rPr>
      </w:pPr>
      <w:r>
        <w:rPr>
          <w:lang w:val="en-GB"/>
        </w:rPr>
        <w:t xml:space="preserve">For policy makers on digital transformation, it will be important to integrate </w:t>
      </w:r>
      <w:r w:rsidRPr="00FD2B4B">
        <w:rPr>
          <w:lang w:val="en-GB"/>
        </w:rPr>
        <w:t>environmental, social and governance</w:t>
      </w:r>
      <w:r>
        <w:rPr>
          <w:lang w:val="en-GB"/>
        </w:rPr>
        <w:t xml:space="preserve"> (ESG) impact assessments as an integral part of policymaking,</w:t>
      </w:r>
      <w:r w:rsidRPr="00CD14E0">
        <w:rPr>
          <w:lang w:val="en-GB"/>
        </w:rPr>
        <w:t xml:space="preserve"> </w:t>
      </w:r>
      <w:r>
        <w:rPr>
          <w:lang w:val="en-GB"/>
        </w:rPr>
        <w:t xml:space="preserve">including digital transformation related policies. Such an assessment could guide policy makers in evaluating potential environmental impacts (and social impacts) of their policies. For instance, </w:t>
      </w:r>
      <w:r w:rsidRPr="00FD2B4B">
        <w:rPr>
          <w:lang w:val="en-GB"/>
        </w:rPr>
        <w:t xml:space="preserve">based on the EBA Regulation the EBA shall </w:t>
      </w:r>
      <w:r w:rsidRPr="00FD2B4B">
        <w:t>in its activities</w:t>
      </w:r>
      <w:r>
        <w:t xml:space="preserve"> (including related to technological innovation)</w:t>
      </w:r>
      <w:r w:rsidRPr="00FD2B4B">
        <w:t xml:space="preserve"> take into </w:t>
      </w:r>
      <w:r w:rsidRPr="00FD2B4B">
        <w:lastRenderedPageBreak/>
        <w:t xml:space="preserve">account </w:t>
      </w:r>
      <w:r w:rsidRPr="00FD2B4B">
        <w:rPr>
          <w:lang w:val="en-GB"/>
        </w:rPr>
        <w:t xml:space="preserve">the integration of </w:t>
      </w:r>
      <w:r>
        <w:rPr>
          <w:lang w:val="en-GB"/>
        </w:rPr>
        <w:t xml:space="preserve">ESG </w:t>
      </w:r>
      <w:r w:rsidRPr="00FD2B4B">
        <w:rPr>
          <w:lang w:val="en-GB"/>
        </w:rPr>
        <w:t>related factors.</w:t>
      </w:r>
      <w:r>
        <w:rPr>
          <w:lang w:val="en-GB"/>
        </w:rPr>
        <w:t xml:space="preserve"> Similar provisions are included in the mandates of other EU</w:t>
      </w:r>
      <w:bookmarkStart w:id="0" w:name="_GoBack"/>
      <w:bookmarkEnd w:id="0"/>
      <w:r>
        <w:rPr>
          <w:lang w:val="en-GB"/>
        </w:rPr>
        <w:t xml:space="preserve"> bodies. Having specific responsibility to conduct ESG impact assessments for all relevant public policy makers would support environmentally sustainable digital transformation.</w:t>
      </w:r>
    </w:p>
    <w:p w14:paraId="23965848" w14:textId="77777777" w:rsidR="00D04B8B" w:rsidRDefault="00D04B8B" w:rsidP="00D04B8B">
      <w:pPr>
        <w:pStyle w:val="body0"/>
        <w:rPr>
          <w:lang w:val="en-GB"/>
        </w:rPr>
      </w:pPr>
      <w:r w:rsidRPr="008E4B7C">
        <w:rPr>
          <w:lang w:val="en-GB"/>
        </w:rPr>
        <w:t xml:space="preserve">Even though digitalisation offers new </w:t>
      </w:r>
      <w:r>
        <w:rPr>
          <w:lang w:val="en-GB"/>
        </w:rPr>
        <w:t>opportunities</w:t>
      </w:r>
      <w:r w:rsidRPr="008E4B7C">
        <w:rPr>
          <w:lang w:val="en-GB"/>
        </w:rPr>
        <w:t xml:space="preserve"> for European citizens, it is important to ensure that the</w:t>
      </w:r>
      <w:r>
        <w:rPr>
          <w:lang w:val="en-GB"/>
        </w:rPr>
        <w:t xml:space="preserve"> integration of</w:t>
      </w:r>
      <w:r w:rsidRPr="008E4B7C">
        <w:rPr>
          <w:lang w:val="en-GB"/>
        </w:rPr>
        <w:t xml:space="preserve"> new technologies </w:t>
      </w:r>
      <w:r>
        <w:rPr>
          <w:lang w:val="en-GB"/>
        </w:rPr>
        <w:t>benefits</w:t>
      </w:r>
      <w:r w:rsidRPr="008E4B7C">
        <w:rPr>
          <w:lang w:val="en-GB"/>
        </w:rPr>
        <w:t xml:space="preserve"> society as a whole and do</w:t>
      </w:r>
      <w:r>
        <w:rPr>
          <w:lang w:val="en-GB"/>
        </w:rPr>
        <w:t>es</w:t>
      </w:r>
      <w:r w:rsidRPr="008E4B7C">
        <w:rPr>
          <w:lang w:val="en-GB"/>
        </w:rPr>
        <w:t xml:space="preserve"> not exacerbate existing structural inequalities in society and/or market concentration in </w:t>
      </w:r>
      <w:r>
        <w:rPr>
          <w:lang w:val="en-GB"/>
        </w:rPr>
        <w:t xml:space="preserve">markets for financial </w:t>
      </w:r>
      <w:r w:rsidRPr="008E4B7C">
        <w:rPr>
          <w:lang w:val="en-GB"/>
        </w:rPr>
        <w:t>products and services. In the context of climate-risks, the impact of both physical and transition risks is likely to be unevenly distributed affecting more severely low-income regions and households. It would be important to avoid that these impacts are amplified by that of digitalisation.</w:t>
      </w:r>
    </w:p>
    <w:p w14:paraId="59C5928E" w14:textId="77777777" w:rsidR="00D04B8B" w:rsidRPr="00631677" w:rsidRDefault="00D04B8B" w:rsidP="00D04B8B">
      <w:pPr>
        <w:pStyle w:val="body0"/>
      </w:pPr>
      <w:r w:rsidRPr="000C35D7">
        <w:rPr>
          <w:lang w:val="en-GB"/>
        </w:rPr>
        <w:t>The EBA provide</w:t>
      </w:r>
      <w:r>
        <w:rPr>
          <w:lang w:val="en-GB"/>
        </w:rPr>
        <w:t>s</w:t>
      </w:r>
      <w:r w:rsidRPr="000C35D7">
        <w:rPr>
          <w:lang w:val="en-GB"/>
        </w:rPr>
        <w:t xml:space="preserve"> more details </w:t>
      </w:r>
      <w:r>
        <w:rPr>
          <w:lang w:val="en-GB"/>
        </w:rPr>
        <w:t xml:space="preserve">on a related question on how technologies can support sustainable development goals </w:t>
      </w:r>
      <w:r w:rsidRPr="000C35D7">
        <w:rPr>
          <w:lang w:val="en-GB"/>
        </w:rPr>
        <w:t xml:space="preserve">in its response to the </w:t>
      </w:r>
      <w:r>
        <w:rPr>
          <w:lang w:val="en-GB"/>
        </w:rPr>
        <w:t>consultation on the Re</w:t>
      </w:r>
      <w:r w:rsidRPr="000C35D7">
        <w:rPr>
          <w:lang w:val="en-GB"/>
        </w:rPr>
        <w:t>new</w:t>
      </w:r>
      <w:r>
        <w:rPr>
          <w:lang w:val="en-GB"/>
        </w:rPr>
        <w:t>ed</w:t>
      </w:r>
      <w:r w:rsidRPr="000C35D7">
        <w:rPr>
          <w:lang w:val="en-GB"/>
        </w:rPr>
        <w:t xml:space="preserve"> </w:t>
      </w:r>
      <w:r>
        <w:rPr>
          <w:lang w:val="en-GB"/>
        </w:rPr>
        <w:t>Sustainable</w:t>
      </w:r>
      <w:r w:rsidRPr="000C35D7">
        <w:rPr>
          <w:lang w:val="en-GB"/>
        </w:rPr>
        <w:t xml:space="preserve"> </w:t>
      </w:r>
      <w:r>
        <w:rPr>
          <w:lang w:val="en-GB"/>
        </w:rPr>
        <w:t>F</w:t>
      </w:r>
      <w:r w:rsidRPr="000C35D7">
        <w:rPr>
          <w:lang w:val="en-GB"/>
        </w:rPr>
        <w:t xml:space="preserve">inance </w:t>
      </w:r>
      <w:r>
        <w:rPr>
          <w:lang w:val="en-GB"/>
        </w:rPr>
        <w:t>S</w:t>
      </w:r>
      <w:r w:rsidRPr="000C35D7">
        <w:rPr>
          <w:lang w:val="en-GB"/>
        </w:rPr>
        <w:t>trategy.</w:t>
      </w:r>
    </w:p>
    <w:p w14:paraId="1E5A612C" w14:textId="37035A47" w:rsidR="00960FC3" w:rsidRPr="00631677" w:rsidRDefault="00960FC3" w:rsidP="00D04B8B">
      <w:pPr>
        <w:jc w:val="both"/>
      </w:pPr>
    </w:p>
    <w:sectPr w:rsidR="00960FC3" w:rsidRPr="00631677">
      <w:headerReference w:type="default" r:id="rId26"/>
      <w:footerReference w:type="default" r:id="rId27"/>
      <w:pgSz w:w="11900" w:h="16840"/>
      <w:pgMar w:top="2268" w:right="1418"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5CAA9" w14:textId="77777777" w:rsidR="00155360" w:rsidRDefault="00155360">
      <w:r>
        <w:separator/>
      </w:r>
    </w:p>
  </w:endnote>
  <w:endnote w:type="continuationSeparator" w:id="0">
    <w:p w14:paraId="63450194" w14:textId="77777777" w:rsidR="00155360" w:rsidRDefault="00155360">
      <w:r>
        <w:continuationSeparator/>
      </w:r>
    </w:p>
  </w:endnote>
  <w:endnote w:type="continuationNotice" w:id="1">
    <w:p w14:paraId="4E2E04D2" w14:textId="77777777" w:rsidR="00155360" w:rsidRDefault="00155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ova">
    <w:altName w:val="Arial"/>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00598"/>
      <w:docPartObj>
        <w:docPartGallery w:val="Page Numbers (Bottom of Page)"/>
        <w:docPartUnique/>
      </w:docPartObj>
    </w:sdtPr>
    <w:sdtEndPr>
      <w:rPr>
        <w:noProof/>
      </w:rPr>
    </w:sdtEndPr>
    <w:sdtContent>
      <w:p w14:paraId="3B7B7245" w14:textId="0EF68BBD" w:rsidR="00155360" w:rsidRDefault="00155360">
        <w:pPr>
          <w:pStyle w:val="Footer"/>
          <w:jc w:val="right"/>
        </w:pPr>
        <w:r>
          <w:fldChar w:fldCharType="begin"/>
        </w:r>
        <w:r>
          <w:instrText xml:space="preserve"> PAGE   \* MERGEFORMAT </w:instrText>
        </w:r>
        <w:r>
          <w:fldChar w:fldCharType="separate"/>
        </w:r>
        <w:r w:rsidR="009A1F79">
          <w:rPr>
            <w:noProof/>
          </w:rPr>
          <w:t>57</w:t>
        </w:r>
        <w:r>
          <w:rPr>
            <w:noProof/>
          </w:rPr>
          <w:fldChar w:fldCharType="end"/>
        </w:r>
      </w:p>
    </w:sdtContent>
  </w:sdt>
  <w:p w14:paraId="73B8EA04" w14:textId="77777777" w:rsidR="00155360" w:rsidRDefault="00155360">
    <w:pPr>
      <w:pStyle w:val="Footer"/>
    </w:pPr>
  </w:p>
  <w:p w14:paraId="39F56CAD" w14:textId="77777777" w:rsidR="00155360" w:rsidRDefault="001553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A048C" w14:textId="77777777" w:rsidR="00155360" w:rsidRDefault="00155360">
      <w:r>
        <w:separator/>
      </w:r>
    </w:p>
  </w:footnote>
  <w:footnote w:type="continuationSeparator" w:id="0">
    <w:p w14:paraId="696997E0" w14:textId="77777777" w:rsidR="00155360" w:rsidRDefault="00155360">
      <w:r>
        <w:continuationSeparator/>
      </w:r>
    </w:p>
  </w:footnote>
  <w:footnote w:type="continuationNotice" w:id="1">
    <w:p w14:paraId="4432EFBE" w14:textId="77777777" w:rsidR="00155360" w:rsidRDefault="00155360"/>
  </w:footnote>
  <w:footnote w:id="2">
    <w:p w14:paraId="300DBF59" w14:textId="7EFABBF5" w:rsidR="00A61584" w:rsidRPr="00A61584" w:rsidRDefault="00A61584">
      <w:pPr>
        <w:pStyle w:val="FootnoteText"/>
        <w:rPr>
          <w:lang w:val="en-GB"/>
        </w:rPr>
      </w:pPr>
      <w:r>
        <w:rPr>
          <w:rStyle w:val="FootnoteReference"/>
        </w:rPr>
        <w:footnoteRef/>
      </w:r>
      <w:r>
        <w:t xml:space="preserve"> </w:t>
      </w:r>
      <w:r w:rsidRPr="00A61584">
        <w:rPr>
          <w:rStyle w:val="Hyperlink"/>
          <w:sz w:val="22"/>
          <w:szCs w:val="22"/>
        </w:rPr>
        <w:t>https://ec.europa.eu/info/consultations/finance-2020-digital-finance-strategy_en</w:t>
      </w:r>
    </w:p>
  </w:footnote>
  <w:footnote w:id="3">
    <w:p w14:paraId="0A6794D2" w14:textId="77777777" w:rsidR="00155360" w:rsidRDefault="00155360" w:rsidP="00DA39A8">
      <w:pPr>
        <w:pStyle w:val="FootnoteText"/>
      </w:pPr>
      <w:r>
        <w:rPr>
          <w:rStyle w:val="FootnoteReference"/>
        </w:rPr>
        <w:footnoteRef/>
      </w:r>
      <w:r>
        <w:t xml:space="preserve"> </w:t>
      </w:r>
      <w:hyperlink r:id="rId1" w:history="1">
        <w:r w:rsidRPr="00D613D7">
          <w:rPr>
            <w:rStyle w:val="Hyperlink"/>
          </w:rPr>
          <w:t>https://eba.europa.eu/eba-calls-european-commission-take-action-facilitate-scaling-cross-border-activity</w:t>
        </w:r>
      </w:hyperlink>
      <w:r>
        <w:t xml:space="preserve"> </w:t>
      </w:r>
    </w:p>
  </w:footnote>
  <w:footnote w:id="4">
    <w:p w14:paraId="5243565B" w14:textId="77777777" w:rsidR="00155360" w:rsidRPr="00714889" w:rsidRDefault="00155360" w:rsidP="00941715">
      <w:pPr>
        <w:pStyle w:val="FootnoteText"/>
        <w:rPr>
          <w:lang w:val="en-GB"/>
        </w:rPr>
      </w:pPr>
      <w:r>
        <w:rPr>
          <w:rStyle w:val="FootnoteReference"/>
        </w:rPr>
        <w:footnoteRef/>
      </w:r>
      <w:r>
        <w:t xml:space="preserve"> </w:t>
      </w:r>
      <w:hyperlink r:id="rId2" w:history="1">
        <w:r w:rsidRPr="004641CC">
          <w:rPr>
            <w:rStyle w:val="Hyperlink"/>
          </w:rPr>
          <w:t>https://eba.europa.eu/eba-reports-on-crypto-assets</w:t>
        </w:r>
      </w:hyperlink>
      <w:r>
        <w:t xml:space="preserve"> </w:t>
      </w:r>
    </w:p>
  </w:footnote>
  <w:footnote w:id="5">
    <w:p w14:paraId="42C4F2D6" w14:textId="77777777" w:rsidR="00155360" w:rsidRDefault="00155360" w:rsidP="00DA39A8">
      <w:pPr>
        <w:pStyle w:val="FootnoteText"/>
      </w:pPr>
      <w:r>
        <w:rPr>
          <w:rStyle w:val="FootnoteReference"/>
        </w:rPr>
        <w:footnoteRef/>
      </w:r>
      <w:r>
        <w:t xml:space="preserve"> EBA Risk Assessment Report 2019, </w:t>
      </w:r>
      <w:hyperlink r:id="rId3" w:history="1">
        <w:r>
          <w:rPr>
            <w:rStyle w:val="Hyperlink"/>
          </w:rPr>
          <w:t>https://eba.europa.eu/risk-analysis-and-data/risk-assessment-reports</w:t>
        </w:r>
      </w:hyperlink>
    </w:p>
  </w:footnote>
  <w:footnote w:id="6">
    <w:p w14:paraId="5FE5D4D5" w14:textId="52C7861B" w:rsidR="00155360" w:rsidRPr="00E73445" w:rsidRDefault="00155360">
      <w:pPr>
        <w:pStyle w:val="FootnoteText"/>
        <w:rPr>
          <w:lang w:val="en-GB"/>
        </w:rPr>
      </w:pPr>
      <w:r>
        <w:rPr>
          <w:rStyle w:val="FootnoteReference"/>
        </w:rPr>
        <w:footnoteRef/>
      </w:r>
      <w:r>
        <w:t xml:space="preserve"> </w:t>
      </w:r>
      <w:hyperlink r:id="rId4" w:history="1">
        <w:r w:rsidRPr="00607330">
          <w:rPr>
            <w:rStyle w:val="Hyperlink"/>
          </w:rPr>
          <w:t>https://eba.europa.eu/financial-innovation-and-fintech/fintech-knowledge-hub</w:t>
        </w:r>
      </w:hyperlink>
      <w:r>
        <w:t xml:space="preserve"> </w:t>
      </w:r>
    </w:p>
  </w:footnote>
  <w:footnote w:id="7">
    <w:p w14:paraId="260225A2" w14:textId="77777777" w:rsidR="00155360" w:rsidRPr="00443DD3" w:rsidRDefault="00155360" w:rsidP="00E044BE">
      <w:pPr>
        <w:pStyle w:val="FootnoteText"/>
        <w:rPr>
          <w:lang w:val="en-GB"/>
        </w:rPr>
      </w:pPr>
      <w:r>
        <w:rPr>
          <w:rStyle w:val="FootnoteReference"/>
        </w:rPr>
        <w:footnoteRef/>
      </w:r>
      <w:r>
        <w:t xml:space="preserve"> </w:t>
      </w:r>
      <w:hyperlink r:id="rId5" w:history="1">
        <w:r w:rsidRPr="006A40B7">
          <w:rPr>
            <w:rStyle w:val="Hyperlink"/>
          </w:rPr>
          <w:t>https://eba.europa.eu/eba-report-identifies-key-challenges-roll-out-big-data-and-advanced-analytics</w:t>
        </w:r>
      </w:hyperlink>
      <w:r>
        <w:t xml:space="preserve"> </w:t>
      </w:r>
    </w:p>
  </w:footnote>
  <w:footnote w:id="8">
    <w:p w14:paraId="151F29DD" w14:textId="77777777" w:rsidR="00155360" w:rsidRDefault="00155360" w:rsidP="00F20316">
      <w:pPr>
        <w:pStyle w:val="FootnoteText"/>
      </w:pPr>
      <w:r>
        <w:rPr>
          <w:rStyle w:val="FootnoteReference"/>
        </w:rPr>
        <w:footnoteRef/>
      </w:r>
      <w:r>
        <w:t xml:space="preserve"> </w:t>
      </w:r>
      <w:hyperlink r:id="rId6" w:history="1">
        <w:r w:rsidRPr="00F55F2C">
          <w:rPr>
            <w:rStyle w:val="Hyperlink"/>
          </w:rPr>
          <w:t>https://eba.europa.eu/eba-calls-european-commission-take-action-facilitate-scaling-cross-border-activity</w:t>
        </w:r>
      </w:hyperlink>
      <w:r>
        <w:t xml:space="preserve"> </w:t>
      </w:r>
    </w:p>
  </w:footnote>
  <w:footnote w:id="9">
    <w:p w14:paraId="0E8E4AA8" w14:textId="77777777" w:rsidR="00155360" w:rsidRDefault="00155360" w:rsidP="0019769E">
      <w:pPr>
        <w:pStyle w:val="FootnoteText"/>
      </w:pPr>
      <w:r>
        <w:rPr>
          <w:rStyle w:val="FootnoteReference"/>
        </w:rPr>
        <w:footnoteRef/>
      </w:r>
      <w:r>
        <w:t xml:space="preserve"> </w:t>
      </w:r>
      <w:hyperlink r:id="rId7" w:history="1">
        <w:r w:rsidRPr="00F55F2C">
          <w:rPr>
            <w:rStyle w:val="Hyperlink"/>
          </w:rPr>
          <w:t>https://eba.europa.eu/financial-innovation-and-fintech/fintech-knowledge-hub</w:t>
        </w:r>
      </w:hyperlink>
      <w:r>
        <w:t xml:space="preserve"> </w:t>
      </w:r>
    </w:p>
  </w:footnote>
  <w:footnote w:id="10">
    <w:p w14:paraId="03D2D2FF" w14:textId="77777777" w:rsidR="00155360" w:rsidRDefault="00155360" w:rsidP="0019769E">
      <w:pPr>
        <w:pStyle w:val="FootnoteText"/>
      </w:pPr>
      <w:r>
        <w:rPr>
          <w:rStyle w:val="FootnoteReference"/>
        </w:rPr>
        <w:footnoteRef/>
      </w:r>
      <w:r>
        <w:t xml:space="preserve"> </w:t>
      </w:r>
      <w:hyperlink r:id="rId8" w:history="1">
        <w:r w:rsidRPr="00F55F2C">
          <w:rPr>
            <w:rStyle w:val="Hyperlink"/>
          </w:rPr>
          <w:t>https://esas-joint-committee.europa.eu/Pages/Activities/EFIF/European-Forum-for-Innovation-Facilitators.aspx</w:t>
        </w:r>
      </w:hyperlink>
      <w:r>
        <w:t xml:space="preserve"> </w:t>
      </w:r>
    </w:p>
  </w:footnote>
  <w:footnote w:id="11">
    <w:p w14:paraId="4C81110C" w14:textId="77777777" w:rsidR="00155360" w:rsidRDefault="00155360" w:rsidP="00147A22">
      <w:pPr>
        <w:pStyle w:val="FootnoteText"/>
      </w:pPr>
      <w:r>
        <w:rPr>
          <w:rStyle w:val="FootnoteReference"/>
        </w:rPr>
        <w:footnoteRef/>
      </w:r>
      <w:r>
        <w:t xml:space="preserve"> </w:t>
      </w:r>
      <w:hyperlink r:id="rId9" w:history="1">
        <w:r>
          <w:rPr>
            <w:rStyle w:val="Hyperlink"/>
          </w:rPr>
          <w:t>https://eba.europa.eu/sites/default/documents/files/document_library/Risk%20Analysis%20and%20Data/Risk%20Assessment%20Reports/2019/Risk%20Assessment%20Report_November%202019.PDF</w:t>
        </w:r>
      </w:hyperlink>
    </w:p>
  </w:footnote>
  <w:footnote w:id="12">
    <w:p w14:paraId="2A039875" w14:textId="77777777" w:rsidR="00155360" w:rsidRPr="00200073" w:rsidRDefault="00155360" w:rsidP="008F702C">
      <w:pPr>
        <w:pStyle w:val="FootnoteText"/>
      </w:pPr>
      <w:r>
        <w:rPr>
          <w:rStyle w:val="FootnoteReference"/>
        </w:rPr>
        <w:footnoteRef/>
      </w:r>
      <w:r>
        <w:t xml:space="preserve"> Based on a sample size of 65 EU banks. </w:t>
      </w:r>
    </w:p>
  </w:footnote>
  <w:footnote w:id="13">
    <w:p w14:paraId="266DCE7C" w14:textId="77777777" w:rsidR="00155360" w:rsidRPr="00D13616" w:rsidRDefault="00155360" w:rsidP="002C19E3">
      <w:pPr>
        <w:pStyle w:val="FootnoteText"/>
      </w:pPr>
      <w:r>
        <w:rPr>
          <w:rStyle w:val="FootnoteReference"/>
        </w:rPr>
        <w:footnoteRef/>
      </w:r>
      <w:r>
        <w:t xml:space="preserve"> </w:t>
      </w:r>
      <w:r w:rsidRPr="00803699">
        <w:t xml:space="preserve"> For example, as regards whether obliged institutions using a public DLT should carry out due diligence procedures of miners or nodes executing a smart contract and receiving a small fee for that (gas) to comply with their AML/FT obligations.</w:t>
      </w:r>
    </w:p>
  </w:footnote>
  <w:footnote w:id="14">
    <w:p w14:paraId="0E77C51E" w14:textId="77777777" w:rsidR="00155360" w:rsidRDefault="00155360" w:rsidP="00147A22">
      <w:pPr>
        <w:pStyle w:val="FootnoteText"/>
      </w:pPr>
      <w:r>
        <w:rPr>
          <w:rStyle w:val="FootnoteReference"/>
        </w:rPr>
        <w:footnoteRef/>
      </w:r>
      <w:r>
        <w:rPr>
          <w:rStyle w:val="FootnoteReference"/>
        </w:rPr>
        <w:footnoteRef/>
      </w:r>
      <w:r>
        <w:t xml:space="preserve"> </w:t>
      </w:r>
      <w:hyperlink r:id="rId10" w:history="1">
        <w:r>
          <w:rPr>
            <w:rStyle w:val="Hyperlink"/>
          </w:rPr>
          <w:t>https://ec.europa.eu/info/sites/info/files/180308-action-plan-fintech_en.pdf</w:t>
        </w:r>
      </w:hyperlink>
    </w:p>
  </w:footnote>
  <w:footnote w:id="15">
    <w:p w14:paraId="35AD7074" w14:textId="05C5D154" w:rsidR="00155360" w:rsidRPr="00242415" w:rsidRDefault="00155360">
      <w:pPr>
        <w:pStyle w:val="FootnoteText"/>
      </w:pPr>
      <w:r>
        <w:rPr>
          <w:rStyle w:val="FootnoteReference"/>
        </w:rPr>
        <w:footnoteRef/>
      </w:r>
      <w:r>
        <w:t xml:space="preserve"> </w:t>
      </w:r>
      <w:hyperlink r:id="rId11" w:history="1">
        <w:r>
          <w:rPr>
            <w:rStyle w:val="Hyperlink"/>
          </w:rPr>
          <w:t>https://ec.europa.eu/info/sites/info/files/business_economy_euro/banking_and_finance/documents/2019-financial-services-digital-resilience-consultation-document_en.pdf</w:t>
        </w:r>
      </w:hyperlink>
    </w:p>
  </w:footnote>
  <w:footnote w:id="16">
    <w:p w14:paraId="1413FEDB" w14:textId="77777777" w:rsidR="00155360" w:rsidRDefault="00155360" w:rsidP="00AF7985">
      <w:pPr>
        <w:pStyle w:val="FootnoteText"/>
      </w:pPr>
      <w:r>
        <w:rPr>
          <w:rStyle w:val="FootnoteReference"/>
        </w:rPr>
        <w:footnoteRef/>
      </w:r>
      <w:r>
        <w:t xml:space="preserve"> </w:t>
      </w:r>
      <w:hyperlink r:id="rId12" w:history="1">
        <w:r w:rsidRPr="00F55F2C">
          <w:rPr>
            <w:rStyle w:val="Hyperlink"/>
          </w:rPr>
          <w:t>https://eba.europa.eu/eba-reports-on-crypto-assets</w:t>
        </w:r>
      </w:hyperlink>
      <w:r>
        <w:t xml:space="preserve"> </w:t>
      </w:r>
    </w:p>
  </w:footnote>
  <w:footnote w:id="17">
    <w:p w14:paraId="5E24D779" w14:textId="77777777" w:rsidR="00155360" w:rsidRDefault="00155360" w:rsidP="00AF7985">
      <w:pPr>
        <w:pStyle w:val="FootnoteText"/>
      </w:pPr>
      <w:r>
        <w:rPr>
          <w:rStyle w:val="FootnoteReference"/>
        </w:rPr>
        <w:footnoteRef/>
      </w:r>
      <w:r>
        <w:t xml:space="preserve"> </w:t>
      </w:r>
      <w:hyperlink r:id="rId13" w:history="1">
        <w:r w:rsidRPr="00F55F2C">
          <w:rPr>
            <w:rStyle w:val="Hyperlink"/>
          </w:rPr>
          <w:t>https://eba.europa.eu/eba-publishes-report-on-regulatory-perimeter-regulatory-status-and-authorisation-approaches-in-relation-to-fintech-activities</w:t>
        </w:r>
      </w:hyperlink>
      <w:r>
        <w:t xml:space="preserve"> </w:t>
      </w:r>
    </w:p>
  </w:footnote>
  <w:footnote w:id="18">
    <w:p w14:paraId="412483CC" w14:textId="77777777" w:rsidR="00155360" w:rsidRDefault="00155360" w:rsidP="0070668B">
      <w:pPr>
        <w:pStyle w:val="FootnoteText"/>
      </w:pPr>
      <w:r>
        <w:rPr>
          <w:rStyle w:val="FootnoteReference"/>
        </w:rPr>
        <w:footnoteRef/>
      </w:r>
      <w:r>
        <w:t xml:space="preserve"> </w:t>
      </w:r>
      <w:hyperlink r:id="rId14" w:history="1">
        <w:r w:rsidRPr="00F55F2C">
          <w:rPr>
            <w:rStyle w:val="Hyperlink"/>
          </w:rPr>
          <w:t>https://esas-joint-committee.europa.eu/Pages/Activities/EFIF/European-Forum-for-Innovation-Facilitators.aspx</w:t>
        </w:r>
      </w:hyperlink>
      <w:r>
        <w:t xml:space="preserve"> </w:t>
      </w:r>
    </w:p>
  </w:footnote>
  <w:footnote w:id="19">
    <w:p w14:paraId="1251E193" w14:textId="77777777" w:rsidR="00155360" w:rsidRDefault="00155360" w:rsidP="003E3122">
      <w:pPr>
        <w:pStyle w:val="FootnoteText"/>
      </w:pPr>
      <w:r>
        <w:rPr>
          <w:rStyle w:val="FootnoteReference"/>
        </w:rPr>
        <w:footnoteRef/>
      </w:r>
      <w:r>
        <w:t xml:space="preserve"> </w:t>
      </w:r>
      <w:hyperlink r:id="rId15" w:history="1">
        <w:r w:rsidRPr="00D613D7">
          <w:rPr>
            <w:rStyle w:val="Hyperlink"/>
          </w:rPr>
          <w:t>https://eba.europa.eu/eba-calls-european-commission-take-action-facilitate-scaling-cross-border-activity</w:t>
        </w:r>
      </w:hyperlink>
      <w:r>
        <w:t xml:space="preserve"> </w:t>
      </w:r>
    </w:p>
  </w:footnote>
  <w:footnote w:id="20">
    <w:p w14:paraId="6A47763A" w14:textId="77777777" w:rsidR="00155360" w:rsidRPr="0098783D" w:rsidRDefault="00155360" w:rsidP="003E3122">
      <w:pPr>
        <w:pStyle w:val="FootnoteText"/>
        <w:rPr>
          <w:b/>
        </w:rPr>
      </w:pPr>
      <w:r>
        <w:rPr>
          <w:rStyle w:val="FootnoteReference"/>
        </w:rPr>
        <w:footnoteRef/>
      </w:r>
      <w:hyperlink r:id="rId16" w:history="1">
        <w:r>
          <w:rPr>
            <w:rStyle w:val="Hyperlink"/>
          </w:rPr>
          <w:t>https://eba.europa.eu/esas-publish-recommendations-on-the-supervision-of-retail-financial-services-provided-across-borders</w:t>
        </w:r>
      </w:hyperlink>
      <w:r>
        <w:t>.</w:t>
      </w:r>
    </w:p>
  </w:footnote>
  <w:footnote w:id="21">
    <w:p w14:paraId="528F8741" w14:textId="77777777" w:rsidR="00155360" w:rsidRDefault="00155360" w:rsidP="003E3122">
      <w:pPr>
        <w:pStyle w:val="FootnoteText"/>
      </w:pPr>
      <w:r>
        <w:rPr>
          <w:rStyle w:val="FootnoteReference"/>
        </w:rPr>
        <w:footnoteRef/>
      </w:r>
      <w:r>
        <w:t xml:space="preserve"> </w:t>
      </w:r>
      <w:hyperlink r:id="rId17" w:history="1">
        <w:r>
          <w:rPr>
            <w:rStyle w:val="Hyperlink"/>
          </w:rPr>
          <w:t>https://eba.europa.eu/eba-publishes-opinion-disclosure-consumers-buying-financial-services-through-digital-channels</w:t>
        </w:r>
      </w:hyperlink>
    </w:p>
  </w:footnote>
  <w:footnote w:id="22">
    <w:p w14:paraId="6744AFF0" w14:textId="77777777" w:rsidR="00155360" w:rsidRDefault="00155360" w:rsidP="003E3122">
      <w:pPr>
        <w:pStyle w:val="FootnoteText"/>
      </w:pPr>
      <w:r>
        <w:rPr>
          <w:rStyle w:val="FootnoteReference"/>
        </w:rPr>
        <w:footnoteRef/>
      </w:r>
      <w:r>
        <w:t xml:space="preserve"> </w:t>
      </w:r>
      <w:hyperlink r:id="rId18" w:history="1">
        <w:r w:rsidRPr="00D613D7">
          <w:rPr>
            <w:rStyle w:val="Hyperlink"/>
          </w:rPr>
          <w:t>https://eba.europa.eu/eba-reports-on-crypto-assets</w:t>
        </w:r>
      </w:hyperlink>
      <w:r>
        <w:t>.</w:t>
      </w:r>
    </w:p>
  </w:footnote>
  <w:footnote w:id="23">
    <w:p w14:paraId="0742FDDB" w14:textId="77777777" w:rsidR="00155360" w:rsidRPr="009F2B6F" w:rsidRDefault="00155360" w:rsidP="008F702C">
      <w:pPr>
        <w:pStyle w:val="FootnoteText"/>
      </w:pPr>
      <w:r>
        <w:rPr>
          <w:rStyle w:val="FootnoteReference"/>
        </w:rPr>
        <w:footnoteRef/>
      </w:r>
      <w:r>
        <w:t xml:space="preserve"> </w:t>
      </w:r>
      <w:hyperlink r:id="rId19" w:history="1">
        <w:r>
          <w:rPr>
            <w:rStyle w:val="Hyperlink"/>
          </w:rPr>
          <w:t>https://eba.europa.eu/esas-publish-joint-advice-on-information-and-communication-technology-risk-management-and-cybersecurity</w:t>
        </w:r>
      </w:hyperlink>
    </w:p>
  </w:footnote>
  <w:footnote w:id="24">
    <w:p w14:paraId="7213CA09" w14:textId="77777777" w:rsidR="00155360" w:rsidRPr="00D42C7B" w:rsidRDefault="00155360" w:rsidP="00AB71DD">
      <w:pPr>
        <w:pStyle w:val="FootnoteText"/>
        <w:rPr>
          <w:lang w:val="en-GB"/>
        </w:rPr>
      </w:pPr>
      <w:r>
        <w:rPr>
          <w:rStyle w:val="FootnoteReference"/>
        </w:rPr>
        <w:footnoteRef/>
      </w:r>
      <w:r>
        <w:t xml:space="preserve"> </w:t>
      </w:r>
      <w:hyperlink r:id="rId20" w:history="1">
        <w:r>
          <w:rPr>
            <w:rStyle w:val="Hyperlink"/>
          </w:rPr>
          <w:t>https://eba.europa.eu/regulation-and-policy/anti-money-laundering-and-e-money/guidelines-on-risk-factors-and-simplified-and-enhanced-customer-due-diligence</w:t>
        </w:r>
      </w:hyperlink>
    </w:p>
  </w:footnote>
  <w:footnote w:id="25">
    <w:p w14:paraId="321BE8AC" w14:textId="77777777" w:rsidR="00155360" w:rsidRPr="0089402B" w:rsidRDefault="00155360" w:rsidP="00782D94">
      <w:pPr>
        <w:pStyle w:val="FootnoteText"/>
        <w:rPr>
          <w:lang w:val="en-GB"/>
        </w:rPr>
      </w:pPr>
      <w:r>
        <w:rPr>
          <w:rStyle w:val="FootnoteReference"/>
        </w:rPr>
        <w:footnoteRef/>
      </w:r>
      <w:r>
        <w:t xml:space="preserve"> </w:t>
      </w:r>
      <w:hyperlink r:id="rId21" w:history="1">
        <w:r>
          <w:rPr>
            <w:rStyle w:val="Hyperlink"/>
          </w:rPr>
          <w:t>https://esas-joint-committee.europa.eu/Publications/Opinions/Opinion%20on%20the%20use%20of%20innovative%20solutions%20by%20credit%20and%20financial%20institutions%20(JC-2017-81).pdf</w:t>
        </w:r>
      </w:hyperlink>
    </w:p>
  </w:footnote>
  <w:footnote w:id="26">
    <w:p w14:paraId="18FB623C" w14:textId="77777777" w:rsidR="00155360" w:rsidRDefault="00155360" w:rsidP="0019769E">
      <w:pPr>
        <w:pStyle w:val="FootnoteText"/>
      </w:pPr>
      <w:r>
        <w:rPr>
          <w:rStyle w:val="FootnoteReference"/>
        </w:rPr>
        <w:footnoteRef/>
      </w:r>
      <w:r>
        <w:t xml:space="preserve"> </w:t>
      </w:r>
      <w:hyperlink r:id="rId22" w:history="1">
        <w:r w:rsidRPr="00F55F2C">
          <w:rPr>
            <w:rStyle w:val="Hyperlink"/>
          </w:rPr>
          <w:t>https://eba.europa.eu/esas-publish-joint-report-on-regulatory-sandboxes-and-innovation-hubs</w:t>
        </w:r>
      </w:hyperlink>
      <w:r>
        <w:t xml:space="preserve"> </w:t>
      </w:r>
    </w:p>
  </w:footnote>
  <w:footnote w:id="27">
    <w:p w14:paraId="4D52FA77" w14:textId="77777777" w:rsidR="00155360" w:rsidRDefault="00155360" w:rsidP="00821BA5">
      <w:pPr>
        <w:pStyle w:val="FootnoteText"/>
      </w:pPr>
      <w:r>
        <w:rPr>
          <w:rStyle w:val="FootnoteReference"/>
        </w:rPr>
        <w:footnoteRef/>
      </w:r>
      <w:r>
        <w:t xml:space="preserve"> </w:t>
      </w:r>
      <w:hyperlink r:id="rId23" w:history="1">
        <w:r w:rsidRPr="00F55F2C">
          <w:rPr>
            <w:rStyle w:val="Hyperlink"/>
          </w:rPr>
          <w:t>https://esas-joint-committee.europa.eu/Pages/Activities/EFIF/European-Forum-for-Innovation-Facilitators.aspx</w:t>
        </w:r>
      </w:hyperlink>
      <w:r>
        <w:t xml:space="preserve"> </w:t>
      </w:r>
    </w:p>
  </w:footnote>
  <w:footnote w:id="28">
    <w:p w14:paraId="1E772A7F" w14:textId="77777777" w:rsidR="00155360" w:rsidRDefault="00155360" w:rsidP="00821BA5">
      <w:pPr>
        <w:pStyle w:val="FootnoteText"/>
      </w:pPr>
      <w:r>
        <w:rPr>
          <w:rStyle w:val="FootnoteReference"/>
        </w:rPr>
        <w:footnoteRef/>
      </w:r>
      <w:r>
        <w:t xml:space="preserve"> </w:t>
      </w:r>
      <w:hyperlink r:id="rId24" w:history="1">
        <w:r w:rsidRPr="00F55F2C">
          <w:rPr>
            <w:rStyle w:val="Hyperlink"/>
          </w:rPr>
          <w:t>https://eba.europa.eu/eba-calls-european-commission-take-action-facilitate-scaling-cross-border-activity</w:t>
        </w:r>
      </w:hyperlink>
      <w:r>
        <w:t xml:space="preserve"> </w:t>
      </w:r>
    </w:p>
  </w:footnote>
  <w:footnote w:id="29">
    <w:p w14:paraId="631CE66A" w14:textId="74313BDE" w:rsidR="00155360" w:rsidRPr="0065249D" w:rsidRDefault="00155360">
      <w:pPr>
        <w:pStyle w:val="FootnoteText"/>
        <w:rPr>
          <w:lang w:val="en-GB"/>
        </w:rPr>
      </w:pPr>
      <w:r>
        <w:rPr>
          <w:rStyle w:val="FootnoteReference"/>
        </w:rPr>
        <w:footnoteRef/>
      </w:r>
      <w:r>
        <w:t xml:space="preserve"> </w:t>
      </w:r>
      <w:hyperlink r:id="rId25" w:history="1">
        <w:r w:rsidRPr="004641CC">
          <w:rPr>
            <w:rStyle w:val="Hyperlink"/>
          </w:rPr>
          <w:t>https://eba.europa.eu/eba-reports-on-crypto-assets</w:t>
        </w:r>
      </w:hyperlink>
      <w:r>
        <w:t xml:space="preserve"> </w:t>
      </w:r>
    </w:p>
  </w:footnote>
  <w:footnote w:id="30">
    <w:p w14:paraId="12BDA2C4" w14:textId="77777777" w:rsidR="00155360" w:rsidRDefault="00155360" w:rsidP="0077484B">
      <w:pPr>
        <w:pStyle w:val="FootnoteText"/>
      </w:pPr>
      <w:r>
        <w:rPr>
          <w:rStyle w:val="FootnoteReference"/>
        </w:rPr>
        <w:footnoteRef/>
      </w:r>
      <w:r>
        <w:t xml:space="preserve"> </w:t>
      </w:r>
      <w:hyperlink r:id="rId26" w:history="1">
        <w:r>
          <w:rPr>
            <w:rStyle w:val="Hyperlink"/>
          </w:rPr>
          <w:t>https://eba.europa.eu/eba-report-identifies-key-challenges-roll-out-big-data-and-advanced-analytics</w:t>
        </w:r>
      </w:hyperlink>
    </w:p>
  </w:footnote>
  <w:footnote w:id="31">
    <w:p w14:paraId="1A1C40B2" w14:textId="77777777" w:rsidR="00155360" w:rsidRDefault="00155360" w:rsidP="0077484B">
      <w:pPr>
        <w:pStyle w:val="FootnoteText"/>
      </w:pPr>
      <w:r>
        <w:rPr>
          <w:rStyle w:val="FootnoteReference"/>
        </w:rPr>
        <w:footnoteRef/>
      </w:r>
      <w:r>
        <w:t xml:space="preserve"> </w:t>
      </w:r>
      <w:hyperlink r:id="rId27" w:history="1">
        <w:r>
          <w:rPr>
            <w:rStyle w:val="Hyperlink"/>
          </w:rPr>
          <w:t>https://eba.europa.eu/eba-report-identifies-key-challenges-roll-out-big-data-and-advanced-analytics</w:t>
        </w:r>
      </w:hyperlink>
    </w:p>
  </w:footnote>
  <w:footnote w:id="32">
    <w:p w14:paraId="5D54ADA7" w14:textId="77777777" w:rsidR="00155360" w:rsidRDefault="00155360" w:rsidP="0077484B">
      <w:pPr>
        <w:pStyle w:val="FootnoteText"/>
      </w:pPr>
      <w:r>
        <w:rPr>
          <w:rStyle w:val="FootnoteReference"/>
        </w:rPr>
        <w:footnoteRef/>
      </w:r>
      <w:r>
        <w:t xml:space="preserve"> </w:t>
      </w:r>
      <w:hyperlink r:id="rId28" w:history="1">
        <w:r>
          <w:rPr>
            <w:rStyle w:val="Hyperlink"/>
          </w:rPr>
          <w:t>https://eba.europa.eu/eba-report-identifies-key-challenges-roll-out-big-data-and-advanced-analytics</w:t>
        </w:r>
      </w:hyperlink>
    </w:p>
  </w:footnote>
  <w:footnote w:id="33">
    <w:p w14:paraId="0DC89F01" w14:textId="77777777" w:rsidR="00155360" w:rsidRPr="00CA3592" w:rsidRDefault="00155360" w:rsidP="00A12183">
      <w:pPr>
        <w:pStyle w:val="FootnoteText"/>
        <w:rPr>
          <w:lang w:val="en-GB"/>
        </w:rPr>
      </w:pPr>
      <w:r>
        <w:rPr>
          <w:rStyle w:val="FootnoteReference"/>
        </w:rPr>
        <w:footnoteRef/>
      </w:r>
      <w:r>
        <w:t xml:space="preserve"> </w:t>
      </w:r>
      <w:hyperlink r:id="rId29" w:history="1">
        <w:r>
          <w:rPr>
            <w:rStyle w:val="Hyperlink"/>
          </w:rPr>
          <w:t>https://www.enisa.europa.eu/topics/standards/certification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A79E0" w14:textId="77777777" w:rsidR="00155360" w:rsidRDefault="00155360">
    <w:pPr>
      <w:pStyle w:val="HeaderFooter"/>
    </w:pPr>
    <w:r>
      <w:rPr>
        <w:noProof/>
      </w:rPr>
      <w:drawing>
        <wp:anchor distT="152400" distB="152400" distL="152400" distR="152400" simplePos="0" relativeHeight="251658240" behindDoc="1" locked="0" layoutInCell="1" allowOverlap="1" wp14:anchorId="08FE84E2" wp14:editId="273C8521">
          <wp:simplePos x="0" y="0"/>
          <wp:positionH relativeFrom="page">
            <wp:posOffset>5448300</wp:posOffset>
          </wp:positionH>
          <wp:positionV relativeFrom="page">
            <wp:posOffset>467994</wp:posOffset>
          </wp:positionV>
          <wp:extent cx="1207770" cy="447675"/>
          <wp:effectExtent l="0" t="0" r="0" b="0"/>
          <wp:wrapNone/>
          <wp:docPr id="23" name="officeArt object" descr="EBA-logo-full-colour.png"/>
          <wp:cNvGraphicFramePr/>
          <a:graphic xmlns:a="http://schemas.openxmlformats.org/drawingml/2006/main">
            <a:graphicData uri="http://schemas.openxmlformats.org/drawingml/2006/picture">
              <pic:pic xmlns:pic="http://schemas.openxmlformats.org/drawingml/2006/picture">
                <pic:nvPicPr>
                  <pic:cNvPr id="1073741829" name="EBA-logo-full-colour.png" descr="EBA-logo-full-colour.png"/>
                  <pic:cNvPicPr>
                    <a:picLocks noChangeAspect="1"/>
                  </pic:cNvPicPr>
                </pic:nvPicPr>
                <pic:blipFill>
                  <a:blip r:embed="rId1">
                    <a:extLst/>
                  </a:blip>
                  <a:stretch>
                    <a:fillRect/>
                  </a:stretch>
                </pic:blipFill>
                <pic:spPr>
                  <a:xfrm>
                    <a:off x="0" y="0"/>
                    <a:ext cx="1207770" cy="447675"/>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1" behindDoc="1" locked="0" layoutInCell="1" allowOverlap="1" wp14:anchorId="57CC1136" wp14:editId="4ABD36BC">
              <wp:simplePos x="0" y="0"/>
              <wp:positionH relativeFrom="page">
                <wp:posOffset>1009014</wp:posOffset>
              </wp:positionH>
              <wp:positionV relativeFrom="page">
                <wp:posOffset>9973309</wp:posOffset>
              </wp:positionV>
              <wp:extent cx="5723891" cy="0"/>
              <wp:effectExtent l="0" t="0" r="0" b="0"/>
              <wp:wrapNone/>
              <wp:docPr id="1073741830" name="officeArt object" descr="Straight Connector 11"/>
              <wp:cNvGraphicFramePr/>
              <a:graphic xmlns:a="http://schemas.openxmlformats.org/drawingml/2006/main">
                <a:graphicData uri="http://schemas.microsoft.com/office/word/2010/wordprocessingShape">
                  <wps:wsp>
                    <wps:cNvCnPr/>
                    <wps:spPr>
                      <a:xfrm>
                        <a:off x="0" y="0"/>
                        <a:ext cx="5723891" cy="0"/>
                      </a:xfrm>
                      <a:prstGeom prst="line">
                        <a:avLst/>
                      </a:prstGeom>
                      <a:noFill/>
                      <a:ln w="12700" cap="flat">
                        <a:solidFill>
                          <a:schemeClr val="accent1"/>
                        </a:solidFill>
                        <a:prstDash val="solid"/>
                        <a:round/>
                      </a:ln>
                      <a:effectLst/>
                    </wps:spPr>
                    <wps:bodyPr/>
                  </wps:wsp>
                </a:graphicData>
              </a:graphic>
            </wp:anchor>
          </w:drawing>
        </mc:Choice>
        <mc:Fallback>
          <w:pict>
            <v:line w14:anchorId="150F86F7" id="officeArt object" o:spid="_x0000_s1026" alt="Straight Connector 11" style="position:absolute;z-index:-251658239;visibility:visible;mso-wrap-style:square;mso-wrap-distance-left:12pt;mso-wrap-distance-top:12pt;mso-wrap-distance-right:12pt;mso-wrap-distance-bottom:12pt;mso-position-horizontal:absolute;mso-position-horizontal-relative:page;mso-position-vertical:absolute;mso-position-vertical-relative:page" from="79.45pt,785.3pt" to="530.15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" strokecolor="#2f5773 [3204]" strokeweight="1pt">
              <w10:wrap anchorx="page" anchory="page"/>
            </v:line>
          </w:pict>
        </mc:Fallback>
      </mc:AlternateContent>
    </w:r>
  </w:p>
  <w:p w14:paraId="39F15340" w14:textId="77777777" w:rsidR="00155360" w:rsidRDefault="0015536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15pt;height:9.15pt;visibility:visible;mso-wrap-style:square" o:bullet="t">
        <v:imagedata r:id="rId1" o:title=""/>
      </v:shape>
    </w:pict>
  </w:numPicBullet>
  <w:abstractNum w:abstractNumId="0" w15:restartNumberingAfterBreak="0">
    <w:nsid w:val="008342D0"/>
    <w:multiLevelType w:val="hybridMultilevel"/>
    <w:tmpl w:val="EB9EC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11E0DFA"/>
    <w:multiLevelType w:val="hybridMultilevel"/>
    <w:tmpl w:val="BB52AA58"/>
    <w:lvl w:ilvl="0" w:tplc="08090001">
      <w:start w:val="1"/>
      <w:numFmt w:val="bullet"/>
      <w:lvlText w:val=""/>
      <w:lvlJc w:val="left"/>
      <w:pPr>
        <w:ind w:left="985" w:hanging="360"/>
      </w:pPr>
      <w:rPr>
        <w:rFonts w:ascii="Symbol" w:hAnsi="Symbol" w:hint="default"/>
      </w:rPr>
    </w:lvl>
    <w:lvl w:ilvl="1" w:tplc="08090003" w:tentative="1">
      <w:start w:val="1"/>
      <w:numFmt w:val="bullet"/>
      <w:lvlText w:val="o"/>
      <w:lvlJc w:val="left"/>
      <w:pPr>
        <w:ind w:left="1705" w:hanging="360"/>
      </w:pPr>
      <w:rPr>
        <w:rFonts w:ascii="Courier New" w:hAnsi="Courier New" w:cs="Courier New" w:hint="default"/>
      </w:rPr>
    </w:lvl>
    <w:lvl w:ilvl="2" w:tplc="08090005" w:tentative="1">
      <w:start w:val="1"/>
      <w:numFmt w:val="bullet"/>
      <w:lvlText w:val=""/>
      <w:lvlJc w:val="left"/>
      <w:pPr>
        <w:ind w:left="2425" w:hanging="360"/>
      </w:pPr>
      <w:rPr>
        <w:rFonts w:ascii="Wingdings" w:hAnsi="Wingdings" w:hint="default"/>
      </w:rPr>
    </w:lvl>
    <w:lvl w:ilvl="3" w:tplc="08090001" w:tentative="1">
      <w:start w:val="1"/>
      <w:numFmt w:val="bullet"/>
      <w:lvlText w:val=""/>
      <w:lvlJc w:val="left"/>
      <w:pPr>
        <w:ind w:left="3145" w:hanging="360"/>
      </w:pPr>
      <w:rPr>
        <w:rFonts w:ascii="Symbol" w:hAnsi="Symbol" w:hint="default"/>
      </w:rPr>
    </w:lvl>
    <w:lvl w:ilvl="4" w:tplc="08090003" w:tentative="1">
      <w:start w:val="1"/>
      <w:numFmt w:val="bullet"/>
      <w:lvlText w:val="o"/>
      <w:lvlJc w:val="left"/>
      <w:pPr>
        <w:ind w:left="3865" w:hanging="360"/>
      </w:pPr>
      <w:rPr>
        <w:rFonts w:ascii="Courier New" w:hAnsi="Courier New" w:cs="Courier New" w:hint="default"/>
      </w:rPr>
    </w:lvl>
    <w:lvl w:ilvl="5" w:tplc="08090005" w:tentative="1">
      <w:start w:val="1"/>
      <w:numFmt w:val="bullet"/>
      <w:lvlText w:val=""/>
      <w:lvlJc w:val="left"/>
      <w:pPr>
        <w:ind w:left="4585" w:hanging="360"/>
      </w:pPr>
      <w:rPr>
        <w:rFonts w:ascii="Wingdings" w:hAnsi="Wingdings" w:hint="default"/>
      </w:rPr>
    </w:lvl>
    <w:lvl w:ilvl="6" w:tplc="08090001" w:tentative="1">
      <w:start w:val="1"/>
      <w:numFmt w:val="bullet"/>
      <w:lvlText w:val=""/>
      <w:lvlJc w:val="left"/>
      <w:pPr>
        <w:ind w:left="5305" w:hanging="360"/>
      </w:pPr>
      <w:rPr>
        <w:rFonts w:ascii="Symbol" w:hAnsi="Symbol" w:hint="default"/>
      </w:rPr>
    </w:lvl>
    <w:lvl w:ilvl="7" w:tplc="08090003" w:tentative="1">
      <w:start w:val="1"/>
      <w:numFmt w:val="bullet"/>
      <w:lvlText w:val="o"/>
      <w:lvlJc w:val="left"/>
      <w:pPr>
        <w:ind w:left="6025" w:hanging="360"/>
      </w:pPr>
      <w:rPr>
        <w:rFonts w:ascii="Courier New" w:hAnsi="Courier New" w:cs="Courier New" w:hint="default"/>
      </w:rPr>
    </w:lvl>
    <w:lvl w:ilvl="8" w:tplc="08090005" w:tentative="1">
      <w:start w:val="1"/>
      <w:numFmt w:val="bullet"/>
      <w:lvlText w:val=""/>
      <w:lvlJc w:val="left"/>
      <w:pPr>
        <w:ind w:left="6745" w:hanging="360"/>
      </w:pPr>
      <w:rPr>
        <w:rFonts w:ascii="Wingdings" w:hAnsi="Wingdings" w:hint="default"/>
      </w:rPr>
    </w:lvl>
  </w:abstractNum>
  <w:abstractNum w:abstractNumId="2" w15:restartNumberingAfterBreak="0">
    <w:nsid w:val="01596C01"/>
    <w:multiLevelType w:val="hybridMultilevel"/>
    <w:tmpl w:val="43C438F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30EF3"/>
    <w:multiLevelType w:val="hybridMultilevel"/>
    <w:tmpl w:val="72CA0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896412"/>
    <w:multiLevelType w:val="hybridMultilevel"/>
    <w:tmpl w:val="CB48434C"/>
    <w:lvl w:ilvl="0" w:tplc="436CD5AC">
      <w:start w:val="1"/>
      <w:numFmt w:val="bullet"/>
      <w:lvlText w:val=""/>
      <w:lvlPicBulletId w:val="0"/>
      <w:lvlJc w:val="left"/>
      <w:pPr>
        <w:tabs>
          <w:tab w:val="num" w:pos="720"/>
        </w:tabs>
        <w:ind w:left="720" w:hanging="360"/>
      </w:pPr>
      <w:rPr>
        <w:rFonts w:ascii="Symbol" w:hAnsi="Symbol" w:hint="default"/>
      </w:rPr>
    </w:lvl>
    <w:lvl w:ilvl="1" w:tplc="DE7E3F28" w:tentative="1">
      <w:start w:val="1"/>
      <w:numFmt w:val="bullet"/>
      <w:lvlText w:val=""/>
      <w:lvlJc w:val="left"/>
      <w:pPr>
        <w:tabs>
          <w:tab w:val="num" w:pos="1440"/>
        </w:tabs>
        <w:ind w:left="1440" w:hanging="360"/>
      </w:pPr>
      <w:rPr>
        <w:rFonts w:ascii="Symbol" w:hAnsi="Symbol" w:hint="default"/>
      </w:rPr>
    </w:lvl>
    <w:lvl w:ilvl="2" w:tplc="2D48748A" w:tentative="1">
      <w:start w:val="1"/>
      <w:numFmt w:val="bullet"/>
      <w:lvlText w:val=""/>
      <w:lvlJc w:val="left"/>
      <w:pPr>
        <w:tabs>
          <w:tab w:val="num" w:pos="2160"/>
        </w:tabs>
        <w:ind w:left="2160" w:hanging="360"/>
      </w:pPr>
      <w:rPr>
        <w:rFonts w:ascii="Symbol" w:hAnsi="Symbol" w:hint="default"/>
      </w:rPr>
    </w:lvl>
    <w:lvl w:ilvl="3" w:tplc="4300EC3C" w:tentative="1">
      <w:start w:val="1"/>
      <w:numFmt w:val="bullet"/>
      <w:lvlText w:val=""/>
      <w:lvlJc w:val="left"/>
      <w:pPr>
        <w:tabs>
          <w:tab w:val="num" w:pos="2880"/>
        </w:tabs>
        <w:ind w:left="2880" w:hanging="360"/>
      </w:pPr>
      <w:rPr>
        <w:rFonts w:ascii="Symbol" w:hAnsi="Symbol" w:hint="default"/>
      </w:rPr>
    </w:lvl>
    <w:lvl w:ilvl="4" w:tplc="78E8DC16" w:tentative="1">
      <w:start w:val="1"/>
      <w:numFmt w:val="bullet"/>
      <w:lvlText w:val=""/>
      <w:lvlJc w:val="left"/>
      <w:pPr>
        <w:tabs>
          <w:tab w:val="num" w:pos="3600"/>
        </w:tabs>
        <w:ind w:left="3600" w:hanging="360"/>
      </w:pPr>
      <w:rPr>
        <w:rFonts w:ascii="Symbol" w:hAnsi="Symbol" w:hint="default"/>
      </w:rPr>
    </w:lvl>
    <w:lvl w:ilvl="5" w:tplc="C840C582" w:tentative="1">
      <w:start w:val="1"/>
      <w:numFmt w:val="bullet"/>
      <w:lvlText w:val=""/>
      <w:lvlJc w:val="left"/>
      <w:pPr>
        <w:tabs>
          <w:tab w:val="num" w:pos="4320"/>
        </w:tabs>
        <w:ind w:left="4320" w:hanging="360"/>
      </w:pPr>
      <w:rPr>
        <w:rFonts w:ascii="Symbol" w:hAnsi="Symbol" w:hint="default"/>
      </w:rPr>
    </w:lvl>
    <w:lvl w:ilvl="6" w:tplc="8B26C7C6" w:tentative="1">
      <w:start w:val="1"/>
      <w:numFmt w:val="bullet"/>
      <w:lvlText w:val=""/>
      <w:lvlJc w:val="left"/>
      <w:pPr>
        <w:tabs>
          <w:tab w:val="num" w:pos="5040"/>
        </w:tabs>
        <w:ind w:left="5040" w:hanging="360"/>
      </w:pPr>
      <w:rPr>
        <w:rFonts w:ascii="Symbol" w:hAnsi="Symbol" w:hint="default"/>
      </w:rPr>
    </w:lvl>
    <w:lvl w:ilvl="7" w:tplc="7E12F582" w:tentative="1">
      <w:start w:val="1"/>
      <w:numFmt w:val="bullet"/>
      <w:lvlText w:val=""/>
      <w:lvlJc w:val="left"/>
      <w:pPr>
        <w:tabs>
          <w:tab w:val="num" w:pos="5760"/>
        </w:tabs>
        <w:ind w:left="5760" w:hanging="360"/>
      </w:pPr>
      <w:rPr>
        <w:rFonts w:ascii="Symbol" w:hAnsi="Symbol" w:hint="default"/>
      </w:rPr>
    </w:lvl>
    <w:lvl w:ilvl="8" w:tplc="3076902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0C8D27DC"/>
    <w:multiLevelType w:val="hybridMultilevel"/>
    <w:tmpl w:val="C660E9C2"/>
    <w:lvl w:ilvl="0" w:tplc="470AAFF4">
      <w:start w:val="1"/>
      <w:numFmt w:val="decimal"/>
      <w:lvlText w:val="%1."/>
      <w:lvlJc w:val="left"/>
      <w:pPr>
        <w:ind w:left="360" w:hanging="360"/>
      </w:pPr>
      <w:rPr>
        <w:b w:val="0"/>
        <w:i w:val="0"/>
      </w:rPr>
    </w:lvl>
    <w:lvl w:ilvl="1" w:tplc="5BBEDB8C">
      <w:numFmt w:val="bullet"/>
      <w:lvlText w:val="•"/>
      <w:lvlJc w:val="left"/>
      <w:pPr>
        <w:ind w:left="885" w:hanging="165"/>
      </w:pPr>
      <w:rPr>
        <w:rFonts w:asciiTheme="minorHAnsi" w:eastAsiaTheme="majorEastAsia" w:hAnsiTheme="minorHAns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DCB62FA"/>
    <w:multiLevelType w:val="hybridMultilevel"/>
    <w:tmpl w:val="C5A868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6106EA"/>
    <w:multiLevelType w:val="hybridMultilevel"/>
    <w:tmpl w:val="BA087B9E"/>
    <w:lvl w:ilvl="0" w:tplc="BEFC7EBA">
      <w:start w:val="1"/>
      <w:numFmt w:val="bullet"/>
      <w:lvlText w:val=""/>
      <w:lvlJc w:val="left"/>
      <w:pPr>
        <w:ind w:left="787" w:hanging="360"/>
      </w:pPr>
      <w:rPr>
        <w:rFonts w:ascii="Wingdings" w:hAnsi="Wingdings" w:hint="default"/>
        <w:color w:val="auto"/>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9" w15:restartNumberingAfterBreak="0">
    <w:nsid w:val="176A7D6E"/>
    <w:multiLevelType w:val="hybridMultilevel"/>
    <w:tmpl w:val="767CF0C4"/>
    <w:lvl w:ilvl="0" w:tplc="FA509AAE">
      <w:start w:val="1"/>
      <w:numFmt w:val="lowerLetter"/>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227618"/>
    <w:multiLevelType w:val="hybridMultilevel"/>
    <w:tmpl w:val="159A054E"/>
    <w:lvl w:ilvl="0" w:tplc="08090001">
      <w:start w:val="1"/>
      <w:numFmt w:val="bullet"/>
      <w:lvlText w:val=""/>
      <w:lvlJc w:val="left"/>
      <w:pPr>
        <w:ind w:left="985" w:hanging="360"/>
      </w:pPr>
      <w:rPr>
        <w:rFonts w:ascii="Symbol" w:hAnsi="Symbol" w:hint="default"/>
      </w:rPr>
    </w:lvl>
    <w:lvl w:ilvl="1" w:tplc="08090003" w:tentative="1">
      <w:start w:val="1"/>
      <w:numFmt w:val="bullet"/>
      <w:lvlText w:val="o"/>
      <w:lvlJc w:val="left"/>
      <w:pPr>
        <w:ind w:left="1705" w:hanging="360"/>
      </w:pPr>
      <w:rPr>
        <w:rFonts w:ascii="Courier New" w:hAnsi="Courier New" w:cs="Courier New" w:hint="default"/>
      </w:rPr>
    </w:lvl>
    <w:lvl w:ilvl="2" w:tplc="08090005" w:tentative="1">
      <w:start w:val="1"/>
      <w:numFmt w:val="bullet"/>
      <w:lvlText w:val=""/>
      <w:lvlJc w:val="left"/>
      <w:pPr>
        <w:ind w:left="2425" w:hanging="360"/>
      </w:pPr>
      <w:rPr>
        <w:rFonts w:ascii="Wingdings" w:hAnsi="Wingdings" w:hint="default"/>
      </w:rPr>
    </w:lvl>
    <w:lvl w:ilvl="3" w:tplc="08090001" w:tentative="1">
      <w:start w:val="1"/>
      <w:numFmt w:val="bullet"/>
      <w:lvlText w:val=""/>
      <w:lvlJc w:val="left"/>
      <w:pPr>
        <w:ind w:left="3145" w:hanging="360"/>
      </w:pPr>
      <w:rPr>
        <w:rFonts w:ascii="Symbol" w:hAnsi="Symbol" w:hint="default"/>
      </w:rPr>
    </w:lvl>
    <w:lvl w:ilvl="4" w:tplc="08090003" w:tentative="1">
      <w:start w:val="1"/>
      <w:numFmt w:val="bullet"/>
      <w:lvlText w:val="o"/>
      <w:lvlJc w:val="left"/>
      <w:pPr>
        <w:ind w:left="3865" w:hanging="360"/>
      </w:pPr>
      <w:rPr>
        <w:rFonts w:ascii="Courier New" w:hAnsi="Courier New" w:cs="Courier New" w:hint="default"/>
      </w:rPr>
    </w:lvl>
    <w:lvl w:ilvl="5" w:tplc="08090005" w:tentative="1">
      <w:start w:val="1"/>
      <w:numFmt w:val="bullet"/>
      <w:lvlText w:val=""/>
      <w:lvlJc w:val="left"/>
      <w:pPr>
        <w:ind w:left="4585" w:hanging="360"/>
      </w:pPr>
      <w:rPr>
        <w:rFonts w:ascii="Wingdings" w:hAnsi="Wingdings" w:hint="default"/>
      </w:rPr>
    </w:lvl>
    <w:lvl w:ilvl="6" w:tplc="08090001" w:tentative="1">
      <w:start w:val="1"/>
      <w:numFmt w:val="bullet"/>
      <w:lvlText w:val=""/>
      <w:lvlJc w:val="left"/>
      <w:pPr>
        <w:ind w:left="5305" w:hanging="360"/>
      </w:pPr>
      <w:rPr>
        <w:rFonts w:ascii="Symbol" w:hAnsi="Symbol" w:hint="default"/>
      </w:rPr>
    </w:lvl>
    <w:lvl w:ilvl="7" w:tplc="08090003" w:tentative="1">
      <w:start w:val="1"/>
      <w:numFmt w:val="bullet"/>
      <w:lvlText w:val="o"/>
      <w:lvlJc w:val="left"/>
      <w:pPr>
        <w:ind w:left="6025" w:hanging="360"/>
      </w:pPr>
      <w:rPr>
        <w:rFonts w:ascii="Courier New" w:hAnsi="Courier New" w:cs="Courier New" w:hint="default"/>
      </w:rPr>
    </w:lvl>
    <w:lvl w:ilvl="8" w:tplc="08090005" w:tentative="1">
      <w:start w:val="1"/>
      <w:numFmt w:val="bullet"/>
      <w:lvlText w:val=""/>
      <w:lvlJc w:val="left"/>
      <w:pPr>
        <w:ind w:left="6745" w:hanging="360"/>
      </w:pPr>
      <w:rPr>
        <w:rFonts w:ascii="Wingdings" w:hAnsi="Wingdings" w:hint="default"/>
      </w:rPr>
    </w:lvl>
  </w:abstractNum>
  <w:abstractNum w:abstractNumId="11" w15:restartNumberingAfterBreak="0">
    <w:nsid w:val="24285829"/>
    <w:multiLevelType w:val="hybridMultilevel"/>
    <w:tmpl w:val="CA188C0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CE1AD4"/>
    <w:multiLevelType w:val="hybridMultilevel"/>
    <w:tmpl w:val="FECC6640"/>
    <w:lvl w:ilvl="0" w:tplc="78A61E6A">
      <w:start w:val="1"/>
      <w:numFmt w:val="bullet"/>
      <w:lvlText w:val="-"/>
      <w:lvlJc w:val="left"/>
      <w:pPr>
        <w:ind w:left="788" w:hanging="360"/>
      </w:pPr>
      <w:rPr>
        <w:rFonts w:ascii="Arial Unicode MS" w:eastAsia="Arial Unicode MS" w:hAnsi="Arial Unicode MS" w:cs="Arial Unicode MS" w:hint="eastAsia"/>
      </w:rPr>
    </w:lvl>
    <w:lvl w:ilvl="1" w:tplc="08090003" w:tentative="1">
      <w:start w:val="1"/>
      <w:numFmt w:val="bullet"/>
      <w:lvlText w:val="o"/>
      <w:lvlJc w:val="left"/>
      <w:pPr>
        <w:ind w:left="1603" w:hanging="360"/>
      </w:pPr>
      <w:rPr>
        <w:rFonts w:ascii="Courier New" w:hAnsi="Courier New" w:cs="Courier New" w:hint="default"/>
      </w:rPr>
    </w:lvl>
    <w:lvl w:ilvl="2" w:tplc="08090005" w:tentative="1">
      <w:start w:val="1"/>
      <w:numFmt w:val="bullet"/>
      <w:lvlText w:val=""/>
      <w:lvlJc w:val="left"/>
      <w:pPr>
        <w:ind w:left="2323" w:hanging="360"/>
      </w:pPr>
      <w:rPr>
        <w:rFonts w:ascii="Wingdings" w:hAnsi="Wingdings" w:hint="default"/>
      </w:rPr>
    </w:lvl>
    <w:lvl w:ilvl="3" w:tplc="08090001" w:tentative="1">
      <w:start w:val="1"/>
      <w:numFmt w:val="bullet"/>
      <w:lvlText w:val=""/>
      <w:lvlJc w:val="left"/>
      <w:pPr>
        <w:ind w:left="3043" w:hanging="360"/>
      </w:pPr>
      <w:rPr>
        <w:rFonts w:ascii="Symbol" w:hAnsi="Symbol" w:hint="default"/>
      </w:rPr>
    </w:lvl>
    <w:lvl w:ilvl="4" w:tplc="08090003" w:tentative="1">
      <w:start w:val="1"/>
      <w:numFmt w:val="bullet"/>
      <w:lvlText w:val="o"/>
      <w:lvlJc w:val="left"/>
      <w:pPr>
        <w:ind w:left="3763" w:hanging="360"/>
      </w:pPr>
      <w:rPr>
        <w:rFonts w:ascii="Courier New" w:hAnsi="Courier New" w:cs="Courier New" w:hint="default"/>
      </w:rPr>
    </w:lvl>
    <w:lvl w:ilvl="5" w:tplc="08090005" w:tentative="1">
      <w:start w:val="1"/>
      <w:numFmt w:val="bullet"/>
      <w:lvlText w:val=""/>
      <w:lvlJc w:val="left"/>
      <w:pPr>
        <w:ind w:left="4483" w:hanging="360"/>
      </w:pPr>
      <w:rPr>
        <w:rFonts w:ascii="Wingdings" w:hAnsi="Wingdings" w:hint="default"/>
      </w:rPr>
    </w:lvl>
    <w:lvl w:ilvl="6" w:tplc="08090001" w:tentative="1">
      <w:start w:val="1"/>
      <w:numFmt w:val="bullet"/>
      <w:lvlText w:val=""/>
      <w:lvlJc w:val="left"/>
      <w:pPr>
        <w:ind w:left="5203" w:hanging="360"/>
      </w:pPr>
      <w:rPr>
        <w:rFonts w:ascii="Symbol" w:hAnsi="Symbol" w:hint="default"/>
      </w:rPr>
    </w:lvl>
    <w:lvl w:ilvl="7" w:tplc="08090003" w:tentative="1">
      <w:start w:val="1"/>
      <w:numFmt w:val="bullet"/>
      <w:lvlText w:val="o"/>
      <w:lvlJc w:val="left"/>
      <w:pPr>
        <w:ind w:left="5923" w:hanging="360"/>
      </w:pPr>
      <w:rPr>
        <w:rFonts w:ascii="Courier New" w:hAnsi="Courier New" w:cs="Courier New" w:hint="default"/>
      </w:rPr>
    </w:lvl>
    <w:lvl w:ilvl="8" w:tplc="08090005" w:tentative="1">
      <w:start w:val="1"/>
      <w:numFmt w:val="bullet"/>
      <w:lvlText w:val=""/>
      <w:lvlJc w:val="left"/>
      <w:pPr>
        <w:ind w:left="6643" w:hanging="360"/>
      </w:pPr>
      <w:rPr>
        <w:rFonts w:ascii="Wingdings" w:hAnsi="Wingdings" w:hint="default"/>
      </w:rPr>
    </w:lvl>
  </w:abstractNum>
  <w:abstractNum w:abstractNumId="13" w15:restartNumberingAfterBreak="0">
    <w:nsid w:val="26B539EB"/>
    <w:multiLevelType w:val="hybridMultilevel"/>
    <w:tmpl w:val="5C98B040"/>
    <w:lvl w:ilvl="0" w:tplc="334072F8">
      <w:start w:val="1"/>
      <w:numFmt w:val="decimal"/>
      <w:lvlText w:val="%1."/>
      <w:lvlJc w:val="left"/>
      <w:pPr>
        <w:ind w:left="415" w:hanging="301"/>
      </w:pPr>
      <w:rPr>
        <w:rFonts w:ascii="Arial" w:eastAsia="Arial" w:hAnsi="Arial" w:cs="Arial" w:hint="default"/>
        <w:b/>
        <w:bCs/>
        <w:w w:val="100"/>
        <w:sz w:val="27"/>
        <w:szCs w:val="27"/>
      </w:rPr>
    </w:lvl>
    <w:lvl w:ilvl="1" w:tplc="2E363872">
      <w:numFmt w:val="bullet"/>
      <w:lvlText w:val="•"/>
      <w:lvlJc w:val="left"/>
      <w:pPr>
        <w:ind w:left="1408" w:hanging="301"/>
      </w:pPr>
      <w:rPr>
        <w:rFonts w:hint="default"/>
      </w:rPr>
    </w:lvl>
    <w:lvl w:ilvl="2" w:tplc="BF1AF19A">
      <w:numFmt w:val="bullet"/>
      <w:lvlText w:val="•"/>
      <w:lvlJc w:val="left"/>
      <w:pPr>
        <w:ind w:left="2397" w:hanging="301"/>
      </w:pPr>
      <w:rPr>
        <w:rFonts w:hint="default"/>
      </w:rPr>
    </w:lvl>
    <w:lvl w:ilvl="3" w:tplc="433A6068">
      <w:numFmt w:val="bullet"/>
      <w:lvlText w:val="•"/>
      <w:lvlJc w:val="left"/>
      <w:pPr>
        <w:ind w:left="3385" w:hanging="301"/>
      </w:pPr>
      <w:rPr>
        <w:rFonts w:hint="default"/>
      </w:rPr>
    </w:lvl>
    <w:lvl w:ilvl="4" w:tplc="DAC20096">
      <w:numFmt w:val="bullet"/>
      <w:lvlText w:val="•"/>
      <w:lvlJc w:val="left"/>
      <w:pPr>
        <w:ind w:left="4374" w:hanging="301"/>
      </w:pPr>
      <w:rPr>
        <w:rFonts w:hint="default"/>
      </w:rPr>
    </w:lvl>
    <w:lvl w:ilvl="5" w:tplc="EA3A6188">
      <w:numFmt w:val="bullet"/>
      <w:lvlText w:val="•"/>
      <w:lvlJc w:val="left"/>
      <w:pPr>
        <w:ind w:left="5362" w:hanging="301"/>
      </w:pPr>
      <w:rPr>
        <w:rFonts w:hint="default"/>
      </w:rPr>
    </w:lvl>
    <w:lvl w:ilvl="6" w:tplc="204A1F44">
      <w:numFmt w:val="bullet"/>
      <w:lvlText w:val="•"/>
      <w:lvlJc w:val="left"/>
      <w:pPr>
        <w:ind w:left="6351" w:hanging="301"/>
      </w:pPr>
      <w:rPr>
        <w:rFonts w:hint="default"/>
      </w:rPr>
    </w:lvl>
    <w:lvl w:ilvl="7" w:tplc="E940FCCA">
      <w:numFmt w:val="bullet"/>
      <w:lvlText w:val="•"/>
      <w:lvlJc w:val="left"/>
      <w:pPr>
        <w:ind w:left="7339" w:hanging="301"/>
      </w:pPr>
      <w:rPr>
        <w:rFonts w:hint="default"/>
      </w:rPr>
    </w:lvl>
    <w:lvl w:ilvl="8" w:tplc="9C5AD204">
      <w:numFmt w:val="bullet"/>
      <w:lvlText w:val="•"/>
      <w:lvlJc w:val="left"/>
      <w:pPr>
        <w:ind w:left="8328" w:hanging="301"/>
      </w:pPr>
      <w:rPr>
        <w:rFonts w:hint="default"/>
      </w:rPr>
    </w:lvl>
  </w:abstractNum>
  <w:abstractNum w:abstractNumId="14" w15:restartNumberingAfterBreak="0">
    <w:nsid w:val="27ED6869"/>
    <w:multiLevelType w:val="hybridMultilevel"/>
    <w:tmpl w:val="75B647F0"/>
    <w:numStyleLink w:val="ImportedStyle6"/>
  </w:abstractNum>
  <w:abstractNum w:abstractNumId="15" w15:restartNumberingAfterBreak="0">
    <w:nsid w:val="28806DE5"/>
    <w:multiLevelType w:val="multilevel"/>
    <w:tmpl w:val="7F2AD2EE"/>
    <w:lvl w:ilvl="0">
      <w:start w:val="1"/>
      <w:numFmt w:val="decimal"/>
      <w:pStyle w:val="Title1"/>
      <w:lvlText w:val="%1."/>
      <w:lvlJc w:val="left"/>
      <w:pPr>
        <w:ind w:left="360" w:hanging="360"/>
      </w:pPr>
    </w:lvl>
    <w:lvl w:ilvl="1">
      <w:start w:val="1"/>
      <w:numFmt w:val="decimal"/>
      <w:pStyle w:val="Title2"/>
      <w:lvlText w:val="%1.%2."/>
      <w:lvlJc w:val="left"/>
      <w:pPr>
        <w:ind w:left="792" w:hanging="432"/>
      </w:pPr>
    </w:lvl>
    <w:lvl w:ilvl="2">
      <w:start w:val="1"/>
      <w:numFmt w:val="decimal"/>
      <w:lvlText w:val="%1.%2.%3."/>
      <w:lvlJc w:val="left"/>
      <w:pPr>
        <w:ind w:left="1224" w:hanging="504"/>
      </w:pPr>
    </w:lvl>
    <w:lvl w:ilvl="3">
      <w:start w:val="1"/>
      <w:numFmt w:val="decimal"/>
      <w:pStyle w:val="Title3"/>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92226F"/>
    <w:multiLevelType w:val="hybridMultilevel"/>
    <w:tmpl w:val="D2466918"/>
    <w:numStyleLink w:val="ImportedStyle3"/>
  </w:abstractNum>
  <w:abstractNum w:abstractNumId="17" w15:restartNumberingAfterBreak="0">
    <w:nsid w:val="29351C25"/>
    <w:multiLevelType w:val="hybridMultilevel"/>
    <w:tmpl w:val="8A44E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BD36C2A"/>
    <w:multiLevelType w:val="hybridMultilevel"/>
    <w:tmpl w:val="8D740DE4"/>
    <w:lvl w:ilvl="0" w:tplc="85DA63E4">
      <w:start w:val="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CD22325"/>
    <w:multiLevelType w:val="hybridMultilevel"/>
    <w:tmpl w:val="3C308168"/>
    <w:lvl w:ilvl="0" w:tplc="BEFC7EBA">
      <w:start w:val="1"/>
      <w:numFmt w:val="bullet"/>
      <w:lvlText w:val=""/>
      <w:lvlJc w:val="left"/>
      <w:pPr>
        <w:ind w:left="4755"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E843A55"/>
    <w:multiLevelType w:val="hybridMultilevel"/>
    <w:tmpl w:val="57DACD20"/>
    <w:lvl w:ilvl="0" w:tplc="C02CE0CA">
      <w:start w:val="4"/>
      <w:numFmt w:val="bullet"/>
      <w:lvlText w:val="-"/>
      <w:lvlJc w:val="left"/>
      <w:pPr>
        <w:ind w:left="720" w:hanging="360"/>
      </w:pPr>
      <w:rPr>
        <w:rFonts w:ascii="Calibri" w:eastAsia="Calibri" w:hAnsi="Calibri" w:cs="Calibri"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14851B9"/>
    <w:multiLevelType w:val="hybridMultilevel"/>
    <w:tmpl w:val="1D4415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F9747B0"/>
    <w:multiLevelType w:val="hybridMultilevel"/>
    <w:tmpl w:val="56660E46"/>
    <w:lvl w:ilvl="0" w:tplc="2F4857F8">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4534DE"/>
    <w:multiLevelType w:val="hybridMultilevel"/>
    <w:tmpl w:val="D2466918"/>
    <w:styleLink w:val="ImportedStyle3"/>
    <w:lvl w:ilvl="0" w:tplc="2414718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9A68D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E0230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80E5B9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0646D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A92AA0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EA623CF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1C12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1C635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6724AE5"/>
    <w:multiLevelType w:val="hybridMultilevel"/>
    <w:tmpl w:val="DDE07D7E"/>
    <w:lvl w:ilvl="0" w:tplc="584CF080">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346B1"/>
    <w:multiLevelType w:val="hybridMultilevel"/>
    <w:tmpl w:val="75B647F0"/>
    <w:styleLink w:val="ImportedStyle6"/>
    <w:lvl w:ilvl="0" w:tplc="504AA6F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FA758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19A329C">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E54F02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F4EF92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A98BBA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D849EA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80848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F4A0A4">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BDB4EDD"/>
    <w:multiLevelType w:val="hybridMultilevel"/>
    <w:tmpl w:val="2C16C2BA"/>
    <w:lvl w:ilvl="0" w:tplc="7EDE8134">
      <w:start w:val="4"/>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7" w15:restartNumberingAfterBreak="0">
    <w:nsid w:val="4E4E5AE0"/>
    <w:multiLevelType w:val="hybridMultilevel"/>
    <w:tmpl w:val="A34E6990"/>
    <w:lvl w:ilvl="0" w:tplc="08723BD4">
      <w:start w:val="5"/>
      <w:numFmt w:val="bullet"/>
      <w:lvlText w:val=""/>
      <w:lvlJc w:val="left"/>
      <w:pPr>
        <w:ind w:left="720" w:hanging="360"/>
      </w:pPr>
      <w:rPr>
        <w:rFonts w:ascii="Wingdings" w:eastAsia="Arial Unicode MS"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5B4646"/>
    <w:multiLevelType w:val="hybridMultilevel"/>
    <w:tmpl w:val="8170295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855BE1"/>
    <w:multiLevelType w:val="multilevel"/>
    <w:tmpl w:val="67E2D7A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2D19A9"/>
    <w:multiLevelType w:val="hybridMultilevel"/>
    <w:tmpl w:val="3FB68872"/>
    <w:lvl w:ilvl="0" w:tplc="BEFC7EBA">
      <w:start w:val="1"/>
      <w:numFmt w:val="bullet"/>
      <w:lvlText w:val=""/>
      <w:lvlJc w:val="left"/>
      <w:pPr>
        <w:ind w:left="776" w:hanging="360"/>
      </w:pPr>
      <w:rPr>
        <w:rFonts w:ascii="Wingdings" w:hAnsi="Wingdings" w:hint="default"/>
        <w:color w:val="auto"/>
      </w:rPr>
    </w:lvl>
    <w:lvl w:ilvl="1" w:tplc="08090003">
      <w:start w:val="1"/>
      <w:numFmt w:val="bullet"/>
      <w:lvlText w:val="o"/>
      <w:lvlJc w:val="left"/>
      <w:pPr>
        <w:ind w:left="1496" w:hanging="360"/>
      </w:pPr>
      <w:rPr>
        <w:rFonts w:ascii="Courier New" w:hAnsi="Courier New" w:cs="Courier New" w:hint="default"/>
      </w:rPr>
    </w:lvl>
    <w:lvl w:ilvl="2" w:tplc="08090005">
      <w:start w:val="1"/>
      <w:numFmt w:val="bullet"/>
      <w:lvlText w:val=""/>
      <w:lvlJc w:val="left"/>
      <w:pPr>
        <w:ind w:left="2216" w:hanging="360"/>
      </w:pPr>
      <w:rPr>
        <w:rFonts w:ascii="Wingdings" w:hAnsi="Wingdings" w:hint="default"/>
      </w:rPr>
    </w:lvl>
    <w:lvl w:ilvl="3" w:tplc="08090001">
      <w:start w:val="1"/>
      <w:numFmt w:val="bullet"/>
      <w:lvlText w:val=""/>
      <w:lvlJc w:val="left"/>
      <w:pPr>
        <w:ind w:left="2936" w:hanging="360"/>
      </w:pPr>
      <w:rPr>
        <w:rFonts w:ascii="Symbol" w:hAnsi="Symbol" w:hint="default"/>
      </w:rPr>
    </w:lvl>
    <w:lvl w:ilvl="4" w:tplc="08090003">
      <w:start w:val="1"/>
      <w:numFmt w:val="bullet"/>
      <w:lvlText w:val="o"/>
      <w:lvlJc w:val="left"/>
      <w:pPr>
        <w:ind w:left="3656" w:hanging="360"/>
      </w:pPr>
      <w:rPr>
        <w:rFonts w:ascii="Courier New" w:hAnsi="Courier New" w:cs="Courier New" w:hint="default"/>
      </w:rPr>
    </w:lvl>
    <w:lvl w:ilvl="5" w:tplc="08090005">
      <w:start w:val="1"/>
      <w:numFmt w:val="bullet"/>
      <w:lvlText w:val=""/>
      <w:lvlJc w:val="left"/>
      <w:pPr>
        <w:ind w:left="4376" w:hanging="360"/>
      </w:pPr>
      <w:rPr>
        <w:rFonts w:ascii="Wingdings" w:hAnsi="Wingdings" w:hint="default"/>
      </w:rPr>
    </w:lvl>
    <w:lvl w:ilvl="6" w:tplc="08090001">
      <w:start w:val="1"/>
      <w:numFmt w:val="bullet"/>
      <w:lvlText w:val=""/>
      <w:lvlJc w:val="left"/>
      <w:pPr>
        <w:ind w:left="5096" w:hanging="360"/>
      </w:pPr>
      <w:rPr>
        <w:rFonts w:ascii="Symbol" w:hAnsi="Symbol" w:hint="default"/>
      </w:rPr>
    </w:lvl>
    <w:lvl w:ilvl="7" w:tplc="08090003">
      <w:start w:val="1"/>
      <w:numFmt w:val="bullet"/>
      <w:lvlText w:val="o"/>
      <w:lvlJc w:val="left"/>
      <w:pPr>
        <w:ind w:left="5816" w:hanging="360"/>
      </w:pPr>
      <w:rPr>
        <w:rFonts w:ascii="Courier New" w:hAnsi="Courier New" w:cs="Courier New" w:hint="default"/>
      </w:rPr>
    </w:lvl>
    <w:lvl w:ilvl="8" w:tplc="08090005">
      <w:start w:val="1"/>
      <w:numFmt w:val="bullet"/>
      <w:lvlText w:val=""/>
      <w:lvlJc w:val="left"/>
      <w:pPr>
        <w:ind w:left="6536" w:hanging="360"/>
      </w:pPr>
      <w:rPr>
        <w:rFonts w:ascii="Wingdings" w:hAnsi="Wingdings" w:hint="default"/>
      </w:rPr>
    </w:lvl>
  </w:abstractNum>
  <w:abstractNum w:abstractNumId="31" w15:restartNumberingAfterBreak="0">
    <w:nsid w:val="508243B7"/>
    <w:multiLevelType w:val="hybridMultilevel"/>
    <w:tmpl w:val="1DF81F72"/>
    <w:lvl w:ilvl="0" w:tplc="BEFC7EBA">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511254E3"/>
    <w:multiLevelType w:val="hybridMultilevel"/>
    <w:tmpl w:val="C518E62E"/>
    <w:lvl w:ilvl="0" w:tplc="1682DD90">
      <w:start w:val="1"/>
      <w:numFmt w:val="decimal"/>
      <w:lvlText w:val="%1."/>
      <w:lvlJc w:val="left"/>
      <w:pPr>
        <w:ind w:left="835" w:hanging="264"/>
      </w:pPr>
      <w:rPr>
        <w:rFonts w:ascii="Arial Unicode MS" w:eastAsia="Arial Unicode MS" w:hAnsi="Arial Unicode MS" w:cs="Arial Unicode MS" w:hint="default"/>
        <w:w w:val="99"/>
        <w:sz w:val="19"/>
        <w:szCs w:val="19"/>
      </w:rPr>
    </w:lvl>
    <w:lvl w:ilvl="1" w:tplc="698CA184">
      <w:numFmt w:val="bullet"/>
      <w:lvlText w:val="•"/>
      <w:lvlJc w:val="left"/>
      <w:pPr>
        <w:ind w:left="1798" w:hanging="264"/>
      </w:pPr>
      <w:rPr>
        <w:rFonts w:hint="default"/>
      </w:rPr>
    </w:lvl>
    <w:lvl w:ilvl="2" w:tplc="D654D42C">
      <w:numFmt w:val="bullet"/>
      <w:lvlText w:val="•"/>
      <w:lvlJc w:val="left"/>
      <w:pPr>
        <w:ind w:left="2757" w:hanging="264"/>
      </w:pPr>
      <w:rPr>
        <w:rFonts w:hint="default"/>
      </w:rPr>
    </w:lvl>
    <w:lvl w:ilvl="3" w:tplc="3446B6DC">
      <w:numFmt w:val="bullet"/>
      <w:lvlText w:val="•"/>
      <w:lvlJc w:val="left"/>
      <w:pPr>
        <w:ind w:left="3715" w:hanging="264"/>
      </w:pPr>
      <w:rPr>
        <w:rFonts w:hint="default"/>
      </w:rPr>
    </w:lvl>
    <w:lvl w:ilvl="4" w:tplc="B380D872">
      <w:numFmt w:val="bullet"/>
      <w:lvlText w:val="•"/>
      <w:lvlJc w:val="left"/>
      <w:pPr>
        <w:ind w:left="4674" w:hanging="264"/>
      </w:pPr>
      <w:rPr>
        <w:rFonts w:hint="default"/>
      </w:rPr>
    </w:lvl>
    <w:lvl w:ilvl="5" w:tplc="053653E6">
      <w:numFmt w:val="bullet"/>
      <w:lvlText w:val="•"/>
      <w:lvlJc w:val="left"/>
      <w:pPr>
        <w:ind w:left="5632" w:hanging="264"/>
      </w:pPr>
      <w:rPr>
        <w:rFonts w:hint="default"/>
      </w:rPr>
    </w:lvl>
    <w:lvl w:ilvl="6" w:tplc="0FE62E78">
      <w:numFmt w:val="bullet"/>
      <w:lvlText w:val="•"/>
      <w:lvlJc w:val="left"/>
      <w:pPr>
        <w:ind w:left="6591" w:hanging="264"/>
      </w:pPr>
      <w:rPr>
        <w:rFonts w:hint="default"/>
      </w:rPr>
    </w:lvl>
    <w:lvl w:ilvl="7" w:tplc="117870FC">
      <w:numFmt w:val="bullet"/>
      <w:lvlText w:val="•"/>
      <w:lvlJc w:val="left"/>
      <w:pPr>
        <w:ind w:left="7549" w:hanging="264"/>
      </w:pPr>
      <w:rPr>
        <w:rFonts w:hint="default"/>
      </w:rPr>
    </w:lvl>
    <w:lvl w:ilvl="8" w:tplc="D42E69B0">
      <w:numFmt w:val="bullet"/>
      <w:lvlText w:val="•"/>
      <w:lvlJc w:val="left"/>
      <w:pPr>
        <w:ind w:left="8508" w:hanging="264"/>
      </w:pPr>
      <w:rPr>
        <w:rFonts w:hint="default"/>
      </w:rPr>
    </w:lvl>
  </w:abstractNum>
  <w:abstractNum w:abstractNumId="33" w15:restartNumberingAfterBreak="0">
    <w:nsid w:val="521A04D4"/>
    <w:multiLevelType w:val="hybridMultilevel"/>
    <w:tmpl w:val="D36A1414"/>
    <w:lvl w:ilvl="0" w:tplc="CBBA11F2">
      <w:start w:val="1"/>
      <w:numFmt w:val="bullet"/>
      <w:lvlText w:val=""/>
      <w:lvlPicBulletId w:val="0"/>
      <w:lvlJc w:val="left"/>
      <w:pPr>
        <w:tabs>
          <w:tab w:val="num" w:pos="720"/>
        </w:tabs>
        <w:ind w:left="720" w:hanging="360"/>
      </w:pPr>
      <w:rPr>
        <w:rFonts w:ascii="Symbol" w:hAnsi="Symbol" w:hint="default"/>
      </w:rPr>
    </w:lvl>
    <w:lvl w:ilvl="1" w:tplc="ED58E2C0" w:tentative="1">
      <w:start w:val="1"/>
      <w:numFmt w:val="bullet"/>
      <w:lvlText w:val=""/>
      <w:lvlJc w:val="left"/>
      <w:pPr>
        <w:tabs>
          <w:tab w:val="num" w:pos="1440"/>
        </w:tabs>
        <w:ind w:left="1440" w:hanging="360"/>
      </w:pPr>
      <w:rPr>
        <w:rFonts w:ascii="Symbol" w:hAnsi="Symbol" w:hint="default"/>
      </w:rPr>
    </w:lvl>
    <w:lvl w:ilvl="2" w:tplc="A2AAFAB8" w:tentative="1">
      <w:start w:val="1"/>
      <w:numFmt w:val="bullet"/>
      <w:lvlText w:val=""/>
      <w:lvlJc w:val="left"/>
      <w:pPr>
        <w:tabs>
          <w:tab w:val="num" w:pos="2160"/>
        </w:tabs>
        <w:ind w:left="2160" w:hanging="360"/>
      </w:pPr>
      <w:rPr>
        <w:rFonts w:ascii="Symbol" w:hAnsi="Symbol" w:hint="default"/>
      </w:rPr>
    </w:lvl>
    <w:lvl w:ilvl="3" w:tplc="F9A85EAE" w:tentative="1">
      <w:start w:val="1"/>
      <w:numFmt w:val="bullet"/>
      <w:lvlText w:val=""/>
      <w:lvlJc w:val="left"/>
      <w:pPr>
        <w:tabs>
          <w:tab w:val="num" w:pos="2880"/>
        </w:tabs>
        <w:ind w:left="2880" w:hanging="360"/>
      </w:pPr>
      <w:rPr>
        <w:rFonts w:ascii="Symbol" w:hAnsi="Symbol" w:hint="default"/>
      </w:rPr>
    </w:lvl>
    <w:lvl w:ilvl="4" w:tplc="B9C2E4EA" w:tentative="1">
      <w:start w:val="1"/>
      <w:numFmt w:val="bullet"/>
      <w:lvlText w:val=""/>
      <w:lvlJc w:val="left"/>
      <w:pPr>
        <w:tabs>
          <w:tab w:val="num" w:pos="3600"/>
        </w:tabs>
        <w:ind w:left="3600" w:hanging="360"/>
      </w:pPr>
      <w:rPr>
        <w:rFonts w:ascii="Symbol" w:hAnsi="Symbol" w:hint="default"/>
      </w:rPr>
    </w:lvl>
    <w:lvl w:ilvl="5" w:tplc="7D3619C0" w:tentative="1">
      <w:start w:val="1"/>
      <w:numFmt w:val="bullet"/>
      <w:lvlText w:val=""/>
      <w:lvlJc w:val="left"/>
      <w:pPr>
        <w:tabs>
          <w:tab w:val="num" w:pos="4320"/>
        </w:tabs>
        <w:ind w:left="4320" w:hanging="360"/>
      </w:pPr>
      <w:rPr>
        <w:rFonts w:ascii="Symbol" w:hAnsi="Symbol" w:hint="default"/>
      </w:rPr>
    </w:lvl>
    <w:lvl w:ilvl="6" w:tplc="4F2820C2" w:tentative="1">
      <w:start w:val="1"/>
      <w:numFmt w:val="bullet"/>
      <w:lvlText w:val=""/>
      <w:lvlJc w:val="left"/>
      <w:pPr>
        <w:tabs>
          <w:tab w:val="num" w:pos="5040"/>
        </w:tabs>
        <w:ind w:left="5040" w:hanging="360"/>
      </w:pPr>
      <w:rPr>
        <w:rFonts w:ascii="Symbol" w:hAnsi="Symbol" w:hint="default"/>
      </w:rPr>
    </w:lvl>
    <w:lvl w:ilvl="7" w:tplc="068202C2" w:tentative="1">
      <w:start w:val="1"/>
      <w:numFmt w:val="bullet"/>
      <w:lvlText w:val=""/>
      <w:lvlJc w:val="left"/>
      <w:pPr>
        <w:tabs>
          <w:tab w:val="num" w:pos="5760"/>
        </w:tabs>
        <w:ind w:left="5760" w:hanging="360"/>
      </w:pPr>
      <w:rPr>
        <w:rFonts w:ascii="Symbol" w:hAnsi="Symbol" w:hint="default"/>
      </w:rPr>
    </w:lvl>
    <w:lvl w:ilvl="8" w:tplc="0E4CE634"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53A65D22"/>
    <w:multiLevelType w:val="hybridMultilevel"/>
    <w:tmpl w:val="5B08A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587E0C"/>
    <w:multiLevelType w:val="hybridMultilevel"/>
    <w:tmpl w:val="E11A5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113ACD"/>
    <w:multiLevelType w:val="hybridMultilevel"/>
    <w:tmpl w:val="20527582"/>
    <w:lvl w:ilvl="0" w:tplc="08090001">
      <w:start w:val="1"/>
      <w:numFmt w:val="bullet"/>
      <w:lvlText w:val=""/>
      <w:lvlJc w:val="left"/>
      <w:pPr>
        <w:ind w:left="720" w:hanging="360"/>
      </w:pPr>
      <w:rPr>
        <w:rFonts w:ascii="Symbol" w:hAnsi="Symbol" w:hint="default"/>
      </w:rPr>
    </w:lvl>
    <w:lvl w:ilvl="1" w:tplc="584CF080">
      <w:start w:val="2"/>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234694"/>
    <w:multiLevelType w:val="hybridMultilevel"/>
    <w:tmpl w:val="CD3615BE"/>
    <w:lvl w:ilvl="0" w:tplc="BEFC7EBA">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3AF0CB2"/>
    <w:multiLevelType w:val="hybridMultilevel"/>
    <w:tmpl w:val="85082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DDD053B"/>
    <w:multiLevelType w:val="hybridMultilevel"/>
    <w:tmpl w:val="6D1AEBC6"/>
    <w:lvl w:ilvl="0" w:tplc="6E1C7F5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385B1D"/>
    <w:multiLevelType w:val="hybridMultilevel"/>
    <w:tmpl w:val="4C1AC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EA3FDA"/>
    <w:multiLevelType w:val="hybridMultilevel"/>
    <w:tmpl w:val="9484010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8216957"/>
    <w:multiLevelType w:val="hybridMultilevel"/>
    <w:tmpl w:val="FA483396"/>
    <w:lvl w:ilvl="0" w:tplc="08090001">
      <w:start w:val="1"/>
      <w:numFmt w:val="bullet"/>
      <w:lvlText w:val=""/>
      <w:lvlJc w:val="left"/>
      <w:pPr>
        <w:ind w:left="1105" w:hanging="360"/>
      </w:pPr>
      <w:rPr>
        <w:rFonts w:ascii="Symbol" w:hAnsi="Symbol" w:hint="default"/>
      </w:rPr>
    </w:lvl>
    <w:lvl w:ilvl="1" w:tplc="08090003" w:tentative="1">
      <w:start w:val="1"/>
      <w:numFmt w:val="bullet"/>
      <w:lvlText w:val="o"/>
      <w:lvlJc w:val="left"/>
      <w:pPr>
        <w:ind w:left="1825" w:hanging="360"/>
      </w:pPr>
      <w:rPr>
        <w:rFonts w:ascii="Courier New" w:hAnsi="Courier New" w:cs="Courier New" w:hint="default"/>
      </w:rPr>
    </w:lvl>
    <w:lvl w:ilvl="2" w:tplc="08090005" w:tentative="1">
      <w:start w:val="1"/>
      <w:numFmt w:val="bullet"/>
      <w:lvlText w:val=""/>
      <w:lvlJc w:val="left"/>
      <w:pPr>
        <w:ind w:left="2545" w:hanging="360"/>
      </w:pPr>
      <w:rPr>
        <w:rFonts w:ascii="Wingdings" w:hAnsi="Wingdings" w:hint="default"/>
      </w:rPr>
    </w:lvl>
    <w:lvl w:ilvl="3" w:tplc="08090001" w:tentative="1">
      <w:start w:val="1"/>
      <w:numFmt w:val="bullet"/>
      <w:lvlText w:val=""/>
      <w:lvlJc w:val="left"/>
      <w:pPr>
        <w:ind w:left="3265" w:hanging="360"/>
      </w:pPr>
      <w:rPr>
        <w:rFonts w:ascii="Symbol" w:hAnsi="Symbol" w:hint="default"/>
      </w:rPr>
    </w:lvl>
    <w:lvl w:ilvl="4" w:tplc="08090003" w:tentative="1">
      <w:start w:val="1"/>
      <w:numFmt w:val="bullet"/>
      <w:lvlText w:val="o"/>
      <w:lvlJc w:val="left"/>
      <w:pPr>
        <w:ind w:left="3985" w:hanging="360"/>
      </w:pPr>
      <w:rPr>
        <w:rFonts w:ascii="Courier New" w:hAnsi="Courier New" w:cs="Courier New" w:hint="default"/>
      </w:rPr>
    </w:lvl>
    <w:lvl w:ilvl="5" w:tplc="08090005" w:tentative="1">
      <w:start w:val="1"/>
      <w:numFmt w:val="bullet"/>
      <w:lvlText w:val=""/>
      <w:lvlJc w:val="left"/>
      <w:pPr>
        <w:ind w:left="4705" w:hanging="360"/>
      </w:pPr>
      <w:rPr>
        <w:rFonts w:ascii="Wingdings" w:hAnsi="Wingdings" w:hint="default"/>
      </w:rPr>
    </w:lvl>
    <w:lvl w:ilvl="6" w:tplc="08090001" w:tentative="1">
      <w:start w:val="1"/>
      <w:numFmt w:val="bullet"/>
      <w:lvlText w:val=""/>
      <w:lvlJc w:val="left"/>
      <w:pPr>
        <w:ind w:left="5425" w:hanging="360"/>
      </w:pPr>
      <w:rPr>
        <w:rFonts w:ascii="Symbol" w:hAnsi="Symbol" w:hint="default"/>
      </w:rPr>
    </w:lvl>
    <w:lvl w:ilvl="7" w:tplc="08090003" w:tentative="1">
      <w:start w:val="1"/>
      <w:numFmt w:val="bullet"/>
      <w:lvlText w:val="o"/>
      <w:lvlJc w:val="left"/>
      <w:pPr>
        <w:ind w:left="6145" w:hanging="360"/>
      </w:pPr>
      <w:rPr>
        <w:rFonts w:ascii="Courier New" w:hAnsi="Courier New" w:cs="Courier New" w:hint="default"/>
      </w:rPr>
    </w:lvl>
    <w:lvl w:ilvl="8" w:tplc="08090005" w:tentative="1">
      <w:start w:val="1"/>
      <w:numFmt w:val="bullet"/>
      <w:lvlText w:val=""/>
      <w:lvlJc w:val="left"/>
      <w:pPr>
        <w:ind w:left="6865" w:hanging="360"/>
      </w:pPr>
      <w:rPr>
        <w:rFonts w:ascii="Wingdings" w:hAnsi="Wingdings" w:hint="default"/>
      </w:rPr>
    </w:lvl>
  </w:abstractNum>
  <w:abstractNum w:abstractNumId="43" w15:restartNumberingAfterBreak="0">
    <w:nsid w:val="78C91938"/>
    <w:multiLevelType w:val="hybridMultilevel"/>
    <w:tmpl w:val="F544BA36"/>
    <w:lvl w:ilvl="0" w:tplc="50DA36C8">
      <w:numFmt w:val="bullet"/>
      <w:lvlText w:val=""/>
      <w:lvlJc w:val="left"/>
      <w:pPr>
        <w:ind w:left="720" w:hanging="360"/>
      </w:pPr>
      <w:rPr>
        <w:rFonts w:ascii="Symbol" w:eastAsia="Arial Unicode MS" w:hAnsi="Symbol"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79934DE0"/>
    <w:multiLevelType w:val="hybridMultilevel"/>
    <w:tmpl w:val="4134DD54"/>
    <w:lvl w:ilvl="0" w:tplc="2CEA8F84">
      <w:numFmt w:val="bullet"/>
      <w:lvlText w:val="-"/>
      <w:lvlJc w:val="left"/>
      <w:pPr>
        <w:ind w:left="720" w:hanging="360"/>
      </w:pPr>
      <w:rPr>
        <w:rFonts w:ascii="Arial Nova" w:eastAsia="Calibri" w:hAnsi="Arial Nova"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5" w15:restartNumberingAfterBreak="0">
    <w:nsid w:val="7A5A1181"/>
    <w:multiLevelType w:val="hybridMultilevel"/>
    <w:tmpl w:val="80F60470"/>
    <w:lvl w:ilvl="0" w:tplc="0D746AF4">
      <w:start w:val="1"/>
      <w:numFmt w:val="bullet"/>
      <w:lvlText w:val="-"/>
      <w:lvlJc w:val="left"/>
      <w:pPr>
        <w:ind w:left="720" w:hanging="360"/>
      </w:pPr>
      <w:rPr>
        <w:rFonts w:ascii="Calibri" w:eastAsia="A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B4BB9"/>
    <w:multiLevelType w:val="hybridMultilevel"/>
    <w:tmpl w:val="54104FAC"/>
    <w:lvl w:ilvl="0" w:tplc="08090001">
      <w:start w:val="1"/>
      <w:numFmt w:val="bullet"/>
      <w:lvlText w:val=""/>
      <w:lvlJc w:val="left"/>
      <w:pPr>
        <w:ind w:left="720" w:hanging="360"/>
      </w:pPr>
      <w:rPr>
        <w:rFonts w:ascii="Symbol" w:hAnsi="Symbol" w:hint="default"/>
      </w:rPr>
    </w:lvl>
    <w:lvl w:ilvl="1" w:tplc="584CF080">
      <w:start w:val="2"/>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16"/>
    <w:lvlOverride w:ilvl="0">
      <w:lvl w:ilvl="0" w:tplc="CA6C17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DC882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CC65AF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60A06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A81DD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52A2D0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2AF53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DD0BF6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9D64E2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5"/>
  </w:num>
  <w:num w:numId="5">
    <w:abstractNumId w:val="14"/>
  </w:num>
  <w:num w:numId="6">
    <w:abstractNumId w:val="15"/>
  </w:num>
  <w:num w:numId="7">
    <w:abstractNumId w:val="29"/>
  </w:num>
  <w:num w:numId="8">
    <w:abstractNumId w:val="6"/>
  </w:num>
  <w:num w:numId="9">
    <w:abstractNumId w:val="20"/>
  </w:num>
  <w:num w:numId="10">
    <w:abstractNumId w:val="45"/>
  </w:num>
  <w:num w:numId="11">
    <w:abstractNumId w:val="2"/>
  </w:num>
  <w:num w:numId="12">
    <w:abstractNumId w:val="4"/>
  </w:num>
  <w:num w:numId="13">
    <w:abstractNumId w:val="18"/>
  </w:num>
  <w:num w:numId="14">
    <w:abstractNumId w:val="32"/>
  </w:num>
  <w:num w:numId="15">
    <w:abstractNumId w:val="3"/>
  </w:num>
  <w:num w:numId="16">
    <w:abstractNumId w:val="8"/>
  </w:num>
  <w:num w:numId="17">
    <w:abstractNumId w:val="19"/>
  </w:num>
  <w:num w:numId="18">
    <w:abstractNumId w:val="30"/>
  </w:num>
  <w:num w:numId="19">
    <w:abstractNumId w:val="13"/>
  </w:num>
  <w:num w:numId="20">
    <w:abstractNumId w:val="46"/>
  </w:num>
  <w:num w:numId="21">
    <w:abstractNumId w:val="24"/>
  </w:num>
  <w:num w:numId="22">
    <w:abstractNumId w:val="11"/>
  </w:num>
  <w:num w:numId="23">
    <w:abstractNumId w:val="28"/>
  </w:num>
  <w:num w:numId="24">
    <w:abstractNumId w:val="36"/>
  </w:num>
  <w:num w:numId="25">
    <w:abstractNumId w:val="22"/>
  </w:num>
  <w:num w:numId="26">
    <w:abstractNumId w:val="7"/>
  </w:num>
  <w:num w:numId="27">
    <w:abstractNumId w:val="38"/>
  </w:num>
  <w:num w:numId="28">
    <w:abstractNumId w:val="42"/>
  </w:num>
  <w:num w:numId="29">
    <w:abstractNumId w:val="17"/>
  </w:num>
  <w:num w:numId="30">
    <w:abstractNumId w:val="31"/>
  </w:num>
  <w:num w:numId="31">
    <w:abstractNumId w:val="37"/>
  </w:num>
  <w:num w:numId="32">
    <w:abstractNumId w:val="39"/>
  </w:num>
  <w:num w:numId="33">
    <w:abstractNumId w:val="0"/>
  </w:num>
  <w:num w:numId="34">
    <w:abstractNumId w:val="10"/>
  </w:num>
  <w:num w:numId="35">
    <w:abstractNumId w:val="1"/>
  </w:num>
  <w:num w:numId="36">
    <w:abstractNumId w:val="12"/>
  </w:num>
  <w:num w:numId="37">
    <w:abstractNumId w:val="34"/>
  </w:num>
  <w:num w:numId="38">
    <w:abstractNumId w:val="5"/>
  </w:num>
  <w:num w:numId="39">
    <w:abstractNumId w:val="44"/>
  </w:num>
  <w:num w:numId="40">
    <w:abstractNumId w:val="33"/>
  </w:num>
  <w:num w:numId="41">
    <w:abstractNumId w:val="27"/>
  </w:num>
  <w:num w:numId="42">
    <w:abstractNumId w:val="9"/>
  </w:num>
  <w:num w:numId="43">
    <w:abstractNumId w:val="21"/>
  </w:num>
  <w:num w:numId="44">
    <w:abstractNumId w:val="26"/>
  </w:num>
  <w:num w:numId="45">
    <w:abstractNumId w:val="35"/>
  </w:num>
  <w:num w:numId="46">
    <w:abstractNumId w:val="43"/>
  </w:num>
  <w:num w:numId="47">
    <w:abstractNumId w:val="41"/>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AE75CF86"/>
  </w:docVars>
  <w:rsids>
    <w:rsidRoot w:val="00B93526"/>
    <w:rsid w:val="00004524"/>
    <w:rsid w:val="00011CA0"/>
    <w:rsid w:val="00017C63"/>
    <w:rsid w:val="00021596"/>
    <w:rsid w:val="00024463"/>
    <w:rsid w:val="000245A3"/>
    <w:rsid w:val="00025B29"/>
    <w:rsid w:val="000318FF"/>
    <w:rsid w:val="00036B5A"/>
    <w:rsid w:val="00036D35"/>
    <w:rsid w:val="000435F4"/>
    <w:rsid w:val="0004399D"/>
    <w:rsid w:val="00047B42"/>
    <w:rsid w:val="00051717"/>
    <w:rsid w:val="00051FE1"/>
    <w:rsid w:val="0005421E"/>
    <w:rsid w:val="00060E44"/>
    <w:rsid w:val="00060E45"/>
    <w:rsid w:val="00062CB8"/>
    <w:rsid w:val="000650E8"/>
    <w:rsid w:val="00066208"/>
    <w:rsid w:val="000666AF"/>
    <w:rsid w:val="00067D9A"/>
    <w:rsid w:val="00070163"/>
    <w:rsid w:val="00070547"/>
    <w:rsid w:val="00070C95"/>
    <w:rsid w:val="000733AB"/>
    <w:rsid w:val="00075320"/>
    <w:rsid w:val="00081216"/>
    <w:rsid w:val="000818A5"/>
    <w:rsid w:val="00081BDA"/>
    <w:rsid w:val="000824A6"/>
    <w:rsid w:val="00083107"/>
    <w:rsid w:val="00085992"/>
    <w:rsid w:val="00085C44"/>
    <w:rsid w:val="0009492C"/>
    <w:rsid w:val="00095F40"/>
    <w:rsid w:val="0009673C"/>
    <w:rsid w:val="000A056F"/>
    <w:rsid w:val="000A41A8"/>
    <w:rsid w:val="000A433F"/>
    <w:rsid w:val="000A4F12"/>
    <w:rsid w:val="000A654C"/>
    <w:rsid w:val="000A6F89"/>
    <w:rsid w:val="000B5E80"/>
    <w:rsid w:val="000C0DA8"/>
    <w:rsid w:val="000D0A0A"/>
    <w:rsid w:val="000D1DB9"/>
    <w:rsid w:val="000D3BEF"/>
    <w:rsid w:val="000D48A4"/>
    <w:rsid w:val="000D74CC"/>
    <w:rsid w:val="000E01BC"/>
    <w:rsid w:val="000E04F5"/>
    <w:rsid w:val="000E0A14"/>
    <w:rsid w:val="000E6A49"/>
    <w:rsid w:val="000F0CAB"/>
    <w:rsid w:val="000F13A8"/>
    <w:rsid w:val="000F32EC"/>
    <w:rsid w:val="000F380E"/>
    <w:rsid w:val="00105495"/>
    <w:rsid w:val="0010617B"/>
    <w:rsid w:val="0011005B"/>
    <w:rsid w:val="0011011E"/>
    <w:rsid w:val="001156E9"/>
    <w:rsid w:val="00122BE2"/>
    <w:rsid w:val="0012451D"/>
    <w:rsid w:val="00130BBF"/>
    <w:rsid w:val="00132034"/>
    <w:rsid w:val="001360BC"/>
    <w:rsid w:val="00136680"/>
    <w:rsid w:val="00137229"/>
    <w:rsid w:val="00137BBF"/>
    <w:rsid w:val="0014388C"/>
    <w:rsid w:val="00144916"/>
    <w:rsid w:val="00145083"/>
    <w:rsid w:val="00145553"/>
    <w:rsid w:val="00147A22"/>
    <w:rsid w:val="00150287"/>
    <w:rsid w:val="00152BBC"/>
    <w:rsid w:val="00152CBD"/>
    <w:rsid w:val="00155360"/>
    <w:rsid w:val="001644AB"/>
    <w:rsid w:val="001707E6"/>
    <w:rsid w:val="00171156"/>
    <w:rsid w:val="0017165F"/>
    <w:rsid w:val="001725D4"/>
    <w:rsid w:val="001736F6"/>
    <w:rsid w:val="0018062B"/>
    <w:rsid w:val="00184016"/>
    <w:rsid w:val="00186D2F"/>
    <w:rsid w:val="0019284C"/>
    <w:rsid w:val="001964D5"/>
    <w:rsid w:val="0019769E"/>
    <w:rsid w:val="001A03C6"/>
    <w:rsid w:val="001A0FF7"/>
    <w:rsid w:val="001A129F"/>
    <w:rsid w:val="001A787D"/>
    <w:rsid w:val="001B44DF"/>
    <w:rsid w:val="001C37A0"/>
    <w:rsid w:val="001C3B87"/>
    <w:rsid w:val="001C65B9"/>
    <w:rsid w:val="001C6A5B"/>
    <w:rsid w:val="001C7336"/>
    <w:rsid w:val="001D0AFC"/>
    <w:rsid w:val="001D12DA"/>
    <w:rsid w:val="001D3BF9"/>
    <w:rsid w:val="001D5621"/>
    <w:rsid w:val="001D5DB7"/>
    <w:rsid w:val="001D7E2E"/>
    <w:rsid w:val="001E64E0"/>
    <w:rsid w:val="001E7A8E"/>
    <w:rsid w:val="001F027F"/>
    <w:rsid w:val="001F6D1E"/>
    <w:rsid w:val="001F79A2"/>
    <w:rsid w:val="0020127E"/>
    <w:rsid w:val="00204627"/>
    <w:rsid w:val="00204E3D"/>
    <w:rsid w:val="0020519A"/>
    <w:rsid w:val="00212BB9"/>
    <w:rsid w:val="002137FA"/>
    <w:rsid w:val="00213AFC"/>
    <w:rsid w:val="00214C85"/>
    <w:rsid w:val="002153F2"/>
    <w:rsid w:val="0022244D"/>
    <w:rsid w:val="00223C92"/>
    <w:rsid w:val="002260E7"/>
    <w:rsid w:val="00226A0F"/>
    <w:rsid w:val="0023437F"/>
    <w:rsid w:val="00237C5D"/>
    <w:rsid w:val="00240F39"/>
    <w:rsid w:val="00242415"/>
    <w:rsid w:val="002431E9"/>
    <w:rsid w:val="00243BE8"/>
    <w:rsid w:val="002472F5"/>
    <w:rsid w:val="00247C0B"/>
    <w:rsid w:val="00251E66"/>
    <w:rsid w:val="00256578"/>
    <w:rsid w:val="0025682F"/>
    <w:rsid w:val="002611DB"/>
    <w:rsid w:val="00273A6B"/>
    <w:rsid w:val="00274574"/>
    <w:rsid w:val="00276C64"/>
    <w:rsid w:val="00277AD0"/>
    <w:rsid w:val="00277D52"/>
    <w:rsid w:val="002826F1"/>
    <w:rsid w:val="002850ED"/>
    <w:rsid w:val="00287727"/>
    <w:rsid w:val="00287779"/>
    <w:rsid w:val="00293AC1"/>
    <w:rsid w:val="0029426E"/>
    <w:rsid w:val="00295AD1"/>
    <w:rsid w:val="002A56E0"/>
    <w:rsid w:val="002B0C71"/>
    <w:rsid w:val="002B70BF"/>
    <w:rsid w:val="002C19E3"/>
    <w:rsid w:val="002C580E"/>
    <w:rsid w:val="002C73AC"/>
    <w:rsid w:val="002D1BC7"/>
    <w:rsid w:val="002D221D"/>
    <w:rsid w:val="002D542C"/>
    <w:rsid w:val="002D5478"/>
    <w:rsid w:val="002D68CA"/>
    <w:rsid w:val="002E0E83"/>
    <w:rsid w:val="002E120B"/>
    <w:rsid w:val="002E21A3"/>
    <w:rsid w:val="002E21AA"/>
    <w:rsid w:val="002E2E08"/>
    <w:rsid w:val="002E33BF"/>
    <w:rsid w:val="002F3920"/>
    <w:rsid w:val="002F4B27"/>
    <w:rsid w:val="002F5C20"/>
    <w:rsid w:val="002F6D23"/>
    <w:rsid w:val="003022B3"/>
    <w:rsid w:val="00302489"/>
    <w:rsid w:val="003057D5"/>
    <w:rsid w:val="00307C79"/>
    <w:rsid w:val="003156BF"/>
    <w:rsid w:val="00315786"/>
    <w:rsid w:val="00317F6B"/>
    <w:rsid w:val="00320968"/>
    <w:rsid w:val="00324688"/>
    <w:rsid w:val="00332801"/>
    <w:rsid w:val="00333C4E"/>
    <w:rsid w:val="003371DA"/>
    <w:rsid w:val="00337495"/>
    <w:rsid w:val="003417C0"/>
    <w:rsid w:val="00342E24"/>
    <w:rsid w:val="00346684"/>
    <w:rsid w:val="00351B1C"/>
    <w:rsid w:val="003521BF"/>
    <w:rsid w:val="0035458D"/>
    <w:rsid w:val="00357AF7"/>
    <w:rsid w:val="003600D2"/>
    <w:rsid w:val="00360E2C"/>
    <w:rsid w:val="003640FB"/>
    <w:rsid w:val="00367C92"/>
    <w:rsid w:val="0037318B"/>
    <w:rsid w:val="0037432C"/>
    <w:rsid w:val="003755A3"/>
    <w:rsid w:val="003771DD"/>
    <w:rsid w:val="00380F15"/>
    <w:rsid w:val="00386CCA"/>
    <w:rsid w:val="00391C34"/>
    <w:rsid w:val="00392517"/>
    <w:rsid w:val="00393018"/>
    <w:rsid w:val="003966B7"/>
    <w:rsid w:val="00396E25"/>
    <w:rsid w:val="003A6450"/>
    <w:rsid w:val="003B745C"/>
    <w:rsid w:val="003C1C4A"/>
    <w:rsid w:val="003C4CAE"/>
    <w:rsid w:val="003C549F"/>
    <w:rsid w:val="003C7954"/>
    <w:rsid w:val="003D2A3A"/>
    <w:rsid w:val="003D2EA4"/>
    <w:rsid w:val="003D54DE"/>
    <w:rsid w:val="003D5A85"/>
    <w:rsid w:val="003D72B1"/>
    <w:rsid w:val="003E01B1"/>
    <w:rsid w:val="003E289A"/>
    <w:rsid w:val="003E3122"/>
    <w:rsid w:val="003E40AD"/>
    <w:rsid w:val="003E42B1"/>
    <w:rsid w:val="003E5928"/>
    <w:rsid w:val="003E78F8"/>
    <w:rsid w:val="003F145F"/>
    <w:rsid w:val="003F3AE1"/>
    <w:rsid w:val="003F5010"/>
    <w:rsid w:val="003F6F28"/>
    <w:rsid w:val="00401D12"/>
    <w:rsid w:val="00402E57"/>
    <w:rsid w:val="00407C28"/>
    <w:rsid w:val="00410CB1"/>
    <w:rsid w:val="0041272D"/>
    <w:rsid w:val="004129C7"/>
    <w:rsid w:val="00413028"/>
    <w:rsid w:val="00417047"/>
    <w:rsid w:val="00417A44"/>
    <w:rsid w:val="00427276"/>
    <w:rsid w:val="00430A02"/>
    <w:rsid w:val="00433533"/>
    <w:rsid w:val="00434393"/>
    <w:rsid w:val="0043509A"/>
    <w:rsid w:val="004368E2"/>
    <w:rsid w:val="0043759E"/>
    <w:rsid w:val="00447672"/>
    <w:rsid w:val="00447DCA"/>
    <w:rsid w:val="004521D8"/>
    <w:rsid w:val="004578EA"/>
    <w:rsid w:val="00457919"/>
    <w:rsid w:val="00460C0B"/>
    <w:rsid w:val="00460D44"/>
    <w:rsid w:val="00463D10"/>
    <w:rsid w:val="004648A9"/>
    <w:rsid w:val="00467837"/>
    <w:rsid w:val="004714B7"/>
    <w:rsid w:val="00474265"/>
    <w:rsid w:val="00480AE1"/>
    <w:rsid w:val="004837F0"/>
    <w:rsid w:val="0049032C"/>
    <w:rsid w:val="00492D94"/>
    <w:rsid w:val="004930F2"/>
    <w:rsid w:val="00494B3D"/>
    <w:rsid w:val="00494FEB"/>
    <w:rsid w:val="004A1CD5"/>
    <w:rsid w:val="004A2037"/>
    <w:rsid w:val="004A266C"/>
    <w:rsid w:val="004A2CA8"/>
    <w:rsid w:val="004A321C"/>
    <w:rsid w:val="004A3C5E"/>
    <w:rsid w:val="004B0E74"/>
    <w:rsid w:val="004B19DA"/>
    <w:rsid w:val="004B3C1E"/>
    <w:rsid w:val="004B431C"/>
    <w:rsid w:val="004B4D44"/>
    <w:rsid w:val="004B5A2E"/>
    <w:rsid w:val="004C033C"/>
    <w:rsid w:val="004C055C"/>
    <w:rsid w:val="004C1E6E"/>
    <w:rsid w:val="004C2B53"/>
    <w:rsid w:val="004C3034"/>
    <w:rsid w:val="004C5F71"/>
    <w:rsid w:val="004C7247"/>
    <w:rsid w:val="004D2C68"/>
    <w:rsid w:val="004D6A84"/>
    <w:rsid w:val="004E1D93"/>
    <w:rsid w:val="004F21D9"/>
    <w:rsid w:val="004F3311"/>
    <w:rsid w:val="0050432D"/>
    <w:rsid w:val="00505C4E"/>
    <w:rsid w:val="005073F2"/>
    <w:rsid w:val="00512B16"/>
    <w:rsid w:val="005219B1"/>
    <w:rsid w:val="00524559"/>
    <w:rsid w:val="00524CE3"/>
    <w:rsid w:val="00526F17"/>
    <w:rsid w:val="0053459A"/>
    <w:rsid w:val="00540CE9"/>
    <w:rsid w:val="00542C6B"/>
    <w:rsid w:val="005430B3"/>
    <w:rsid w:val="00543372"/>
    <w:rsid w:val="00545F1A"/>
    <w:rsid w:val="0055180C"/>
    <w:rsid w:val="00554FA4"/>
    <w:rsid w:val="0055630E"/>
    <w:rsid w:val="00556FA4"/>
    <w:rsid w:val="0056114E"/>
    <w:rsid w:val="00561DD5"/>
    <w:rsid w:val="00563CB5"/>
    <w:rsid w:val="00565044"/>
    <w:rsid w:val="00566452"/>
    <w:rsid w:val="0057008E"/>
    <w:rsid w:val="005765CE"/>
    <w:rsid w:val="005771A3"/>
    <w:rsid w:val="00582C6C"/>
    <w:rsid w:val="00583137"/>
    <w:rsid w:val="00583731"/>
    <w:rsid w:val="00583B01"/>
    <w:rsid w:val="00584C09"/>
    <w:rsid w:val="00586531"/>
    <w:rsid w:val="00590105"/>
    <w:rsid w:val="00591C19"/>
    <w:rsid w:val="00595C67"/>
    <w:rsid w:val="005961FB"/>
    <w:rsid w:val="0059642D"/>
    <w:rsid w:val="00597998"/>
    <w:rsid w:val="005A17CF"/>
    <w:rsid w:val="005A3F8C"/>
    <w:rsid w:val="005A6497"/>
    <w:rsid w:val="005B1404"/>
    <w:rsid w:val="005B1E4B"/>
    <w:rsid w:val="005B2DAC"/>
    <w:rsid w:val="005B4D3A"/>
    <w:rsid w:val="005C007D"/>
    <w:rsid w:val="005C054E"/>
    <w:rsid w:val="005C2ABF"/>
    <w:rsid w:val="005D52E7"/>
    <w:rsid w:val="005E0220"/>
    <w:rsid w:val="005E18C6"/>
    <w:rsid w:val="005E6FA1"/>
    <w:rsid w:val="005F376F"/>
    <w:rsid w:val="005F39A3"/>
    <w:rsid w:val="005F4A65"/>
    <w:rsid w:val="005F579A"/>
    <w:rsid w:val="005F700D"/>
    <w:rsid w:val="005F7D35"/>
    <w:rsid w:val="0060784E"/>
    <w:rsid w:val="00607F88"/>
    <w:rsid w:val="006101D1"/>
    <w:rsid w:val="00611856"/>
    <w:rsid w:val="00611A51"/>
    <w:rsid w:val="0061206B"/>
    <w:rsid w:val="0061464F"/>
    <w:rsid w:val="00614FC0"/>
    <w:rsid w:val="00615864"/>
    <w:rsid w:val="00616644"/>
    <w:rsid w:val="00621BFC"/>
    <w:rsid w:val="00624265"/>
    <w:rsid w:val="00625C46"/>
    <w:rsid w:val="00631677"/>
    <w:rsid w:val="006318A0"/>
    <w:rsid w:val="00633F81"/>
    <w:rsid w:val="006358BB"/>
    <w:rsid w:val="006366BF"/>
    <w:rsid w:val="0063765D"/>
    <w:rsid w:val="00637BF1"/>
    <w:rsid w:val="006425EB"/>
    <w:rsid w:val="00643A51"/>
    <w:rsid w:val="006454D7"/>
    <w:rsid w:val="006458F7"/>
    <w:rsid w:val="00652306"/>
    <w:rsid w:val="0065249D"/>
    <w:rsid w:val="006533FD"/>
    <w:rsid w:val="00656BE9"/>
    <w:rsid w:val="00660780"/>
    <w:rsid w:val="00661B0A"/>
    <w:rsid w:val="006652BD"/>
    <w:rsid w:val="0067151C"/>
    <w:rsid w:val="006730E3"/>
    <w:rsid w:val="00673C3A"/>
    <w:rsid w:val="006768E5"/>
    <w:rsid w:val="00682E32"/>
    <w:rsid w:val="0068581C"/>
    <w:rsid w:val="00685BD8"/>
    <w:rsid w:val="00685FBC"/>
    <w:rsid w:val="00687107"/>
    <w:rsid w:val="006874BA"/>
    <w:rsid w:val="0069385C"/>
    <w:rsid w:val="00696559"/>
    <w:rsid w:val="006A29B0"/>
    <w:rsid w:val="006A3121"/>
    <w:rsid w:val="006A68ED"/>
    <w:rsid w:val="006A7191"/>
    <w:rsid w:val="006B1AB7"/>
    <w:rsid w:val="006B208E"/>
    <w:rsid w:val="006B541B"/>
    <w:rsid w:val="006C03B8"/>
    <w:rsid w:val="006C0FCB"/>
    <w:rsid w:val="006C12D1"/>
    <w:rsid w:val="006C3AE0"/>
    <w:rsid w:val="006C7FAA"/>
    <w:rsid w:val="006D045B"/>
    <w:rsid w:val="006D7B64"/>
    <w:rsid w:val="006E0221"/>
    <w:rsid w:val="006E26F9"/>
    <w:rsid w:val="006E4A71"/>
    <w:rsid w:val="006E5452"/>
    <w:rsid w:val="006E5813"/>
    <w:rsid w:val="006E608C"/>
    <w:rsid w:val="006F211E"/>
    <w:rsid w:val="006F5BE7"/>
    <w:rsid w:val="006F6D35"/>
    <w:rsid w:val="00701647"/>
    <w:rsid w:val="0070668B"/>
    <w:rsid w:val="00707246"/>
    <w:rsid w:val="007121F3"/>
    <w:rsid w:val="00712EAA"/>
    <w:rsid w:val="00714889"/>
    <w:rsid w:val="00721E61"/>
    <w:rsid w:val="007221CB"/>
    <w:rsid w:val="007221E1"/>
    <w:rsid w:val="00734BDA"/>
    <w:rsid w:val="00734D9D"/>
    <w:rsid w:val="00742069"/>
    <w:rsid w:val="007444D7"/>
    <w:rsid w:val="0074594C"/>
    <w:rsid w:val="0074628F"/>
    <w:rsid w:val="007468E7"/>
    <w:rsid w:val="00750A46"/>
    <w:rsid w:val="007516A1"/>
    <w:rsid w:val="00754F79"/>
    <w:rsid w:val="00760E88"/>
    <w:rsid w:val="00760FDA"/>
    <w:rsid w:val="00762E2D"/>
    <w:rsid w:val="00762F15"/>
    <w:rsid w:val="00767BA6"/>
    <w:rsid w:val="00770893"/>
    <w:rsid w:val="00770C69"/>
    <w:rsid w:val="007719FD"/>
    <w:rsid w:val="00773EFF"/>
    <w:rsid w:val="0077484B"/>
    <w:rsid w:val="00777E00"/>
    <w:rsid w:val="00782609"/>
    <w:rsid w:val="00782871"/>
    <w:rsid w:val="00782D94"/>
    <w:rsid w:val="00787713"/>
    <w:rsid w:val="00790227"/>
    <w:rsid w:val="0079304A"/>
    <w:rsid w:val="0079484A"/>
    <w:rsid w:val="007962D9"/>
    <w:rsid w:val="007A401A"/>
    <w:rsid w:val="007A4150"/>
    <w:rsid w:val="007B0D54"/>
    <w:rsid w:val="007B7B70"/>
    <w:rsid w:val="007C2C53"/>
    <w:rsid w:val="007C35C0"/>
    <w:rsid w:val="007C5936"/>
    <w:rsid w:val="007D42EF"/>
    <w:rsid w:val="007D5A5D"/>
    <w:rsid w:val="007E082A"/>
    <w:rsid w:val="007E2598"/>
    <w:rsid w:val="007E2F99"/>
    <w:rsid w:val="007E556D"/>
    <w:rsid w:val="007E5902"/>
    <w:rsid w:val="007E591D"/>
    <w:rsid w:val="007E6C71"/>
    <w:rsid w:val="007F37D5"/>
    <w:rsid w:val="007F3CC8"/>
    <w:rsid w:val="007F5656"/>
    <w:rsid w:val="008031C8"/>
    <w:rsid w:val="00803699"/>
    <w:rsid w:val="00805A4F"/>
    <w:rsid w:val="008065C6"/>
    <w:rsid w:val="00807AA7"/>
    <w:rsid w:val="00810752"/>
    <w:rsid w:val="008133E6"/>
    <w:rsid w:val="008141AF"/>
    <w:rsid w:val="00821BA5"/>
    <w:rsid w:val="008234DC"/>
    <w:rsid w:val="00830ECA"/>
    <w:rsid w:val="008320B3"/>
    <w:rsid w:val="0083506F"/>
    <w:rsid w:val="00840D9B"/>
    <w:rsid w:val="00843A42"/>
    <w:rsid w:val="00844C23"/>
    <w:rsid w:val="00847782"/>
    <w:rsid w:val="00851D35"/>
    <w:rsid w:val="008548D7"/>
    <w:rsid w:val="0085533C"/>
    <w:rsid w:val="008557F1"/>
    <w:rsid w:val="008569FD"/>
    <w:rsid w:val="00863BD6"/>
    <w:rsid w:val="0086409B"/>
    <w:rsid w:val="0086553D"/>
    <w:rsid w:val="00871CF6"/>
    <w:rsid w:val="00874F5A"/>
    <w:rsid w:val="00876D2E"/>
    <w:rsid w:val="008813AC"/>
    <w:rsid w:val="008821CD"/>
    <w:rsid w:val="00882A93"/>
    <w:rsid w:val="0089335A"/>
    <w:rsid w:val="0089352C"/>
    <w:rsid w:val="008940C2"/>
    <w:rsid w:val="008943AA"/>
    <w:rsid w:val="00895A15"/>
    <w:rsid w:val="00895AF8"/>
    <w:rsid w:val="0089757A"/>
    <w:rsid w:val="008A0122"/>
    <w:rsid w:val="008A1A1E"/>
    <w:rsid w:val="008A6112"/>
    <w:rsid w:val="008A7F2F"/>
    <w:rsid w:val="008B0FE7"/>
    <w:rsid w:val="008B1A7E"/>
    <w:rsid w:val="008B6E5B"/>
    <w:rsid w:val="008B7957"/>
    <w:rsid w:val="008C3644"/>
    <w:rsid w:val="008C3667"/>
    <w:rsid w:val="008C51D5"/>
    <w:rsid w:val="008C5437"/>
    <w:rsid w:val="008C5FFF"/>
    <w:rsid w:val="008C7A3B"/>
    <w:rsid w:val="008D0684"/>
    <w:rsid w:val="008D1013"/>
    <w:rsid w:val="008D3828"/>
    <w:rsid w:val="008D5604"/>
    <w:rsid w:val="008D5B2A"/>
    <w:rsid w:val="008D6031"/>
    <w:rsid w:val="008E128B"/>
    <w:rsid w:val="008E19B4"/>
    <w:rsid w:val="008E3C6D"/>
    <w:rsid w:val="008F04D5"/>
    <w:rsid w:val="008F0F93"/>
    <w:rsid w:val="008F5042"/>
    <w:rsid w:val="008F6345"/>
    <w:rsid w:val="008F6510"/>
    <w:rsid w:val="008F7022"/>
    <w:rsid w:val="008F702C"/>
    <w:rsid w:val="00901803"/>
    <w:rsid w:val="009046BE"/>
    <w:rsid w:val="00904BF2"/>
    <w:rsid w:val="009052C5"/>
    <w:rsid w:val="0091079F"/>
    <w:rsid w:val="00914121"/>
    <w:rsid w:val="00915E2A"/>
    <w:rsid w:val="009203A7"/>
    <w:rsid w:val="00922742"/>
    <w:rsid w:val="00930305"/>
    <w:rsid w:val="00933C4E"/>
    <w:rsid w:val="00934584"/>
    <w:rsid w:val="009349D2"/>
    <w:rsid w:val="00940C7B"/>
    <w:rsid w:val="00941715"/>
    <w:rsid w:val="0094778F"/>
    <w:rsid w:val="0094793B"/>
    <w:rsid w:val="00960908"/>
    <w:rsid w:val="00960FC3"/>
    <w:rsid w:val="0096677A"/>
    <w:rsid w:val="00970981"/>
    <w:rsid w:val="00974151"/>
    <w:rsid w:val="00974698"/>
    <w:rsid w:val="009821EE"/>
    <w:rsid w:val="0098557D"/>
    <w:rsid w:val="00985A98"/>
    <w:rsid w:val="00993023"/>
    <w:rsid w:val="009931DC"/>
    <w:rsid w:val="009943EF"/>
    <w:rsid w:val="0099461E"/>
    <w:rsid w:val="00994D93"/>
    <w:rsid w:val="00995700"/>
    <w:rsid w:val="009968AD"/>
    <w:rsid w:val="009A0627"/>
    <w:rsid w:val="009A1F79"/>
    <w:rsid w:val="009A2A73"/>
    <w:rsid w:val="009A344B"/>
    <w:rsid w:val="009A7D9E"/>
    <w:rsid w:val="009B155E"/>
    <w:rsid w:val="009B3C62"/>
    <w:rsid w:val="009B7490"/>
    <w:rsid w:val="009C0B8F"/>
    <w:rsid w:val="009C0C03"/>
    <w:rsid w:val="009C3314"/>
    <w:rsid w:val="009C36BF"/>
    <w:rsid w:val="009C4C52"/>
    <w:rsid w:val="009D0616"/>
    <w:rsid w:val="009D2F8B"/>
    <w:rsid w:val="009D525D"/>
    <w:rsid w:val="009D5FA2"/>
    <w:rsid w:val="009D7095"/>
    <w:rsid w:val="009E32A1"/>
    <w:rsid w:val="009E44E7"/>
    <w:rsid w:val="009F1272"/>
    <w:rsid w:val="009F42D4"/>
    <w:rsid w:val="009F5320"/>
    <w:rsid w:val="009F673C"/>
    <w:rsid w:val="009F6791"/>
    <w:rsid w:val="00A00E77"/>
    <w:rsid w:val="00A03358"/>
    <w:rsid w:val="00A12183"/>
    <w:rsid w:val="00A122B8"/>
    <w:rsid w:val="00A124A1"/>
    <w:rsid w:val="00A127EE"/>
    <w:rsid w:val="00A201CE"/>
    <w:rsid w:val="00A27E3C"/>
    <w:rsid w:val="00A33CA3"/>
    <w:rsid w:val="00A36B25"/>
    <w:rsid w:val="00A370DC"/>
    <w:rsid w:val="00A370E9"/>
    <w:rsid w:val="00A420A0"/>
    <w:rsid w:val="00A438E5"/>
    <w:rsid w:val="00A471BF"/>
    <w:rsid w:val="00A47AB6"/>
    <w:rsid w:val="00A560FA"/>
    <w:rsid w:val="00A61306"/>
    <w:rsid w:val="00A61584"/>
    <w:rsid w:val="00A64A04"/>
    <w:rsid w:val="00A674B6"/>
    <w:rsid w:val="00A74260"/>
    <w:rsid w:val="00A74E29"/>
    <w:rsid w:val="00A779B4"/>
    <w:rsid w:val="00A80914"/>
    <w:rsid w:val="00A81DAF"/>
    <w:rsid w:val="00A822DC"/>
    <w:rsid w:val="00A86168"/>
    <w:rsid w:val="00A861E3"/>
    <w:rsid w:val="00A94E5C"/>
    <w:rsid w:val="00A96891"/>
    <w:rsid w:val="00A97C42"/>
    <w:rsid w:val="00AA33E9"/>
    <w:rsid w:val="00AA370F"/>
    <w:rsid w:val="00AA4DD3"/>
    <w:rsid w:val="00AA52B3"/>
    <w:rsid w:val="00AA5EE1"/>
    <w:rsid w:val="00AA6881"/>
    <w:rsid w:val="00AA7A84"/>
    <w:rsid w:val="00AB1D13"/>
    <w:rsid w:val="00AB33B5"/>
    <w:rsid w:val="00AB56DC"/>
    <w:rsid w:val="00AB5A3B"/>
    <w:rsid w:val="00AB62B2"/>
    <w:rsid w:val="00AB71DD"/>
    <w:rsid w:val="00AC7E1A"/>
    <w:rsid w:val="00AD21E4"/>
    <w:rsid w:val="00AD338F"/>
    <w:rsid w:val="00AE0FF6"/>
    <w:rsid w:val="00AE1C5A"/>
    <w:rsid w:val="00AE320D"/>
    <w:rsid w:val="00AE4B96"/>
    <w:rsid w:val="00AE5693"/>
    <w:rsid w:val="00AE7376"/>
    <w:rsid w:val="00AF159D"/>
    <w:rsid w:val="00AF1859"/>
    <w:rsid w:val="00AF45B5"/>
    <w:rsid w:val="00AF73FA"/>
    <w:rsid w:val="00AF7985"/>
    <w:rsid w:val="00B00BAF"/>
    <w:rsid w:val="00B0570A"/>
    <w:rsid w:val="00B058CC"/>
    <w:rsid w:val="00B13B47"/>
    <w:rsid w:val="00B15A58"/>
    <w:rsid w:val="00B25A8C"/>
    <w:rsid w:val="00B30093"/>
    <w:rsid w:val="00B31EF0"/>
    <w:rsid w:val="00B32AEA"/>
    <w:rsid w:val="00B33A2C"/>
    <w:rsid w:val="00B33C12"/>
    <w:rsid w:val="00B3506D"/>
    <w:rsid w:val="00B35B12"/>
    <w:rsid w:val="00B35C73"/>
    <w:rsid w:val="00B379CB"/>
    <w:rsid w:val="00B41206"/>
    <w:rsid w:val="00B421AE"/>
    <w:rsid w:val="00B444F0"/>
    <w:rsid w:val="00B53C56"/>
    <w:rsid w:val="00B57848"/>
    <w:rsid w:val="00B5795D"/>
    <w:rsid w:val="00B57FA7"/>
    <w:rsid w:val="00B60B99"/>
    <w:rsid w:val="00B61F4C"/>
    <w:rsid w:val="00B624FD"/>
    <w:rsid w:val="00B6511C"/>
    <w:rsid w:val="00B65A53"/>
    <w:rsid w:val="00B663FC"/>
    <w:rsid w:val="00B665DC"/>
    <w:rsid w:val="00B67115"/>
    <w:rsid w:val="00B734A6"/>
    <w:rsid w:val="00B807A0"/>
    <w:rsid w:val="00B8197B"/>
    <w:rsid w:val="00B81A95"/>
    <w:rsid w:val="00B93526"/>
    <w:rsid w:val="00B9368B"/>
    <w:rsid w:val="00B96E01"/>
    <w:rsid w:val="00BA06D9"/>
    <w:rsid w:val="00BA1111"/>
    <w:rsid w:val="00BA5A25"/>
    <w:rsid w:val="00BA7F84"/>
    <w:rsid w:val="00BB0252"/>
    <w:rsid w:val="00BC2B2C"/>
    <w:rsid w:val="00BC2D22"/>
    <w:rsid w:val="00BC4630"/>
    <w:rsid w:val="00BC5C96"/>
    <w:rsid w:val="00BC5F5B"/>
    <w:rsid w:val="00BC6857"/>
    <w:rsid w:val="00BD1924"/>
    <w:rsid w:val="00BD32E0"/>
    <w:rsid w:val="00BD6C9A"/>
    <w:rsid w:val="00BD6FD2"/>
    <w:rsid w:val="00BE12D0"/>
    <w:rsid w:val="00BE6B64"/>
    <w:rsid w:val="00BE704D"/>
    <w:rsid w:val="00BE710A"/>
    <w:rsid w:val="00BF5787"/>
    <w:rsid w:val="00BF5E5A"/>
    <w:rsid w:val="00BF6A54"/>
    <w:rsid w:val="00C11106"/>
    <w:rsid w:val="00C11BB8"/>
    <w:rsid w:val="00C14449"/>
    <w:rsid w:val="00C20C0F"/>
    <w:rsid w:val="00C2109D"/>
    <w:rsid w:val="00C219F9"/>
    <w:rsid w:val="00C2431E"/>
    <w:rsid w:val="00C25258"/>
    <w:rsid w:val="00C25FDA"/>
    <w:rsid w:val="00C33C5D"/>
    <w:rsid w:val="00C34236"/>
    <w:rsid w:val="00C3551B"/>
    <w:rsid w:val="00C35E2F"/>
    <w:rsid w:val="00C37D0C"/>
    <w:rsid w:val="00C424C5"/>
    <w:rsid w:val="00C4279B"/>
    <w:rsid w:val="00C45EC4"/>
    <w:rsid w:val="00C53087"/>
    <w:rsid w:val="00C54592"/>
    <w:rsid w:val="00C54B56"/>
    <w:rsid w:val="00C63911"/>
    <w:rsid w:val="00C672AE"/>
    <w:rsid w:val="00C70C58"/>
    <w:rsid w:val="00C70E7E"/>
    <w:rsid w:val="00C73665"/>
    <w:rsid w:val="00C76C31"/>
    <w:rsid w:val="00C77117"/>
    <w:rsid w:val="00C810D3"/>
    <w:rsid w:val="00C8530E"/>
    <w:rsid w:val="00C8787D"/>
    <w:rsid w:val="00C9154A"/>
    <w:rsid w:val="00C963E5"/>
    <w:rsid w:val="00C965C6"/>
    <w:rsid w:val="00CA1DA8"/>
    <w:rsid w:val="00CA2E1D"/>
    <w:rsid w:val="00CA523C"/>
    <w:rsid w:val="00CA5DB1"/>
    <w:rsid w:val="00CB1331"/>
    <w:rsid w:val="00CB182F"/>
    <w:rsid w:val="00CB1881"/>
    <w:rsid w:val="00CB2D1B"/>
    <w:rsid w:val="00CB2F40"/>
    <w:rsid w:val="00CB37E3"/>
    <w:rsid w:val="00CB47CF"/>
    <w:rsid w:val="00CB4E80"/>
    <w:rsid w:val="00CC036D"/>
    <w:rsid w:val="00CC6A0F"/>
    <w:rsid w:val="00CC6C11"/>
    <w:rsid w:val="00CD02F2"/>
    <w:rsid w:val="00CD048F"/>
    <w:rsid w:val="00CD113A"/>
    <w:rsid w:val="00CD2A78"/>
    <w:rsid w:val="00CD764A"/>
    <w:rsid w:val="00CD7AEB"/>
    <w:rsid w:val="00CE2688"/>
    <w:rsid w:val="00CE7FAF"/>
    <w:rsid w:val="00CF2684"/>
    <w:rsid w:val="00CF2E3A"/>
    <w:rsid w:val="00CF520E"/>
    <w:rsid w:val="00D04828"/>
    <w:rsid w:val="00D04B8B"/>
    <w:rsid w:val="00D05CEA"/>
    <w:rsid w:val="00D06923"/>
    <w:rsid w:val="00D11A54"/>
    <w:rsid w:val="00D12255"/>
    <w:rsid w:val="00D17B0B"/>
    <w:rsid w:val="00D17F8D"/>
    <w:rsid w:val="00D21353"/>
    <w:rsid w:val="00D21C58"/>
    <w:rsid w:val="00D22D97"/>
    <w:rsid w:val="00D24FD8"/>
    <w:rsid w:val="00D2770E"/>
    <w:rsid w:val="00D3464B"/>
    <w:rsid w:val="00D35440"/>
    <w:rsid w:val="00D37090"/>
    <w:rsid w:val="00D40C33"/>
    <w:rsid w:val="00D4213C"/>
    <w:rsid w:val="00D46240"/>
    <w:rsid w:val="00D46C65"/>
    <w:rsid w:val="00D511C5"/>
    <w:rsid w:val="00D558D1"/>
    <w:rsid w:val="00D56EF5"/>
    <w:rsid w:val="00D57D72"/>
    <w:rsid w:val="00D62C4D"/>
    <w:rsid w:val="00D64D1D"/>
    <w:rsid w:val="00D674E1"/>
    <w:rsid w:val="00D7203F"/>
    <w:rsid w:val="00D72CAB"/>
    <w:rsid w:val="00D73C83"/>
    <w:rsid w:val="00D743B7"/>
    <w:rsid w:val="00D826A0"/>
    <w:rsid w:val="00D82700"/>
    <w:rsid w:val="00D85152"/>
    <w:rsid w:val="00D875FC"/>
    <w:rsid w:val="00D90208"/>
    <w:rsid w:val="00D91761"/>
    <w:rsid w:val="00D94E5A"/>
    <w:rsid w:val="00DA0515"/>
    <w:rsid w:val="00DA39A8"/>
    <w:rsid w:val="00DA3BD5"/>
    <w:rsid w:val="00DA6D19"/>
    <w:rsid w:val="00DB0605"/>
    <w:rsid w:val="00DB3437"/>
    <w:rsid w:val="00DB3B47"/>
    <w:rsid w:val="00DB631C"/>
    <w:rsid w:val="00DC223A"/>
    <w:rsid w:val="00DC24BA"/>
    <w:rsid w:val="00DC507B"/>
    <w:rsid w:val="00DC5B93"/>
    <w:rsid w:val="00DC5D0E"/>
    <w:rsid w:val="00DC5E05"/>
    <w:rsid w:val="00DD3B78"/>
    <w:rsid w:val="00DD3D7E"/>
    <w:rsid w:val="00DE11B2"/>
    <w:rsid w:val="00DF31C3"/>
    <w:rsid w:val="00E00761"/>
    <w:rsid w:val="00E044BE"/>
    <w:rsid w:val="00E04BDE"/>
    <w:rsid w:val="00E061F4"/>
    <w:rsid w:val="00E11AD6"/>
    <w:rsid w:val="00E2084A"/>
    <w:rsid w:val="00E20B6B"/>
    <w:rsid w:val="00E234FB"/>
    <w:rsid w:val="00E25787"/>
    <w:rsid w:val="00E25AA7"/>
    <w:rsid w:val="00E26AE6"/>
    <w:rsid w:val="00E300B3"/>
    <w:rsid w:val="00E3031A"/>
    <w:rsid w:val="00E31192"/>
    <w:rsid w:val="00E36F5B"/>
    <w:rsid w:val="00E37F87"/>
    <w:rsid w:val="00E40C88"/>
    <w:rsid w:val="00E4739F"/>
    <w:rsid w:val="00E53EB2"/>
    <w:rsid w:val="00E55BB6"/>
    <w:rsid w:val="00E57172"/>
    <w:rsid w:val="00E61C1D"/>
    <w:rsid w:val="00E62554"/>
    <w:rsid w:val="00E63D2A"/>
    <w:rsid w:val="00E651FE"/>
    <w:rsid w:val="00E72542"/>
    <w:rsid w:val="00E73445"/>
    <w:rsid w:val="00E758D4"/>
    <w:rsid w:val="00E75E94"/>
    <w:rsid w:val="00E77317"/>
    <w:rsid w:val="00E81688"/>
    <w:rsid w:val="00E82DA1"/>
    <w:rsid w:val="00E83595"/>
    <w:rsid w:val="00E83B51"/>
    <w:rsid w:val="00E86B7B"/>
    <w:rsid w:val="00E86DE1"/>
    <w:rsid w:val="00E91185"/>
    <w:rsid w:val="00E920FE"/>
    <w:rsid w:val="00E9385F"/>
    <w:rsid w:val="00E938D7"/>
    <w:rsid w:val="00E94D3C"/>
    <w:rsid w:val="00E96A25"/>
    <w:rsid w:val="00E971B7"/>
    <w:rsid w:val="00E975CB"/>
    <w:rsid w:val="00EA0BD1"/>
    <w:rsid w:val="00EA1327"/>
    <w:rsid w:val="00EA4476"/>
    <w:rsid w:val="00EA6B72"/>
    <w:rsid w:val="00EA7384"/>
    <w:rsid w:val="00EB4843"/>
    <w:rsid w:val="00EB5033"/>
    <w:rsid w:val="00EB5E54"/>
    <w:rsid w:val="00EB70FF"/>
    <w:rsid w:val="00EC2295"/>
    <w:rsid w:val="00EC2369"/>
    <w:rsid w:val="00EC2C24"/>
    <w:rsid w:val="00EC4651"/>
    <w:rsid w:val="00EC5684"/>
    <w:rsid w:val="00ED0745"/>
    <w:rsid w:val="00ED312A"/>
    <w:rsid w:val="00ED5340"/>
    <w:rsid w:val="00ED53D4"/>
    <w:rsid w:val="00EE0FB1"/>
    <w:rsid w:val="00EE17DB"/>
    <w:rsid w:val="00EE1E76"/>
    <w:rsid w:val="00EE467B"/>
    <w:rsid w:val="00EE707D"/>
    <w:rsid w:val="00EE7B64"/>
    <w:rsid w:val="00EF1EDA"/>
    <w:rsid w:val="00EF2764"/>
    <w:rsid w:val="00EF5353"/>
    <w:rsid w:val="00EF5666"/>
    <w:rsid w:val="00EF5CCD"/>
    <w:rsid w:val="00F00C7E"/>
    <w:rsid w:val="00F00CDD"/>
    <w:rsid w:val="00F00E20"/>
    <w:rsid w:val="00F020AB"/>
    <w:rsid w:val="00F04307"/>
    <w:rsid w:val="00F0522A"/>
    <w:rsid w:val="00F059D6"/>
    <w:rsid w:val="00F05D66"/>
    <w:rsid w:val="00F0650B"/>
    <w:rsid w:val="00F109E6"/>
    <w:rsid w:val="00F14E74"/>
    <w:rsid w:val="00F20316"/>
    <w:rsid w:val="00F20374"/>
    <w:rsid w:val="00F2290E"/>
    <w:rsid w:val="00F24EAE"/>
    <w:rsid w:val="00F273BB"/>
    <w:rsid w:val="00F27C7B"/>
    <w:rsid w:val="00F31C4B"/>
    <w:rsid w:val="00F34C89"/>
    <w:rsid w:val="00F41000"/>
    <w:rsid w:val="00F43385"/>
    <w:rsid w:val="00F476CE"/>
    <w:rsid w:val="00F52DFC"/>
    <w:rsid w:val="00F53324"/>
    <w:rsid w:val="00F64C40"/>
    <w:rsid w:val="00F65504"/>
    <w:rsid w:val="00F65C6E"/>
    <w:rsid w:val="00F70CD5"/>
    <w:rsid w:val="00F74FFC"/>
    <w:rsid w:val="00F80C94"/>
    <w:rsid w:val="00F819FE"/>
    <w:rsid w:val="00F90787"/>
    <w:rsid w:val="00F90FE7"/>
    <w:rsid w:val="00F91133"/>
    <w:rsid w:val="00F97842"/>
    <w:rsid w:val="00FA1474"/>
    <w:rsid w:val="00FA4188"/>
    <w:rsid w:val="00FA7A26"/>
    <w:rsid w:val="00FB1622"/>
    <w:rsid w:val="00FB1738"/>
    <w:rsid w:val="00FB543C"/>
    <w:rsid w:val="00FB6D0C"/>
    <w:rsid w:val="00FC1BEB"/>
    <w:rsid w:val="00FC425B"/>
    <w:rsid w:val="00FC4EE4"/>
    <w:rsid w:val="00FC709D"/>
    <w:rsid w:val="00FD01A1"/>
    <w:rsid w:val="00FD0A02"/>
    <w:rsid w:val="00FD4200"/>
    <w:rsid w:val="00FD4D8F"/>
    <w:rsid w:val="00FD648C"/>
    <w:rsid w:val="00FD67C7"/>
    <w:rsid w:val="00FD69A6"/>
    <w:rsid w:val="00FD7331"/>
    <w:rsid w:val="00FE15B8"/>
    <w:rsid w:val="00FE1FC4"/>
    <w:rsid w:val="00FE289E"/>
    <w:rsid w:val="00FE50BC"/>
    <w:rsid w:val="00FE5C97"/>
    <w:rsid w:val="00FF14DA"/>
    <w:rsid w:val="00FF19AD"/>
    <w:rsid w:val="00FF542A"/>
    <w:rsid w:val="00FF5D6E"/>
    <w:rsid w:val="00FF739C"/>
    <w:rsid w:val="00FF74AD"/>
    <w:rsid w:val="00FF757C"/>
    <w:rsid w:val="00FF7C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2537E8"/>
  <w15:docId w15:val="{5E47AF6F-1DAC-4F9C-8607-ABB4F5C86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821BA5"/>
    <w:pPr>
      <w:keepNext/>
      <w:keepLines/>
      <w:spacing w:before="240"/>
      <w:outlineLvl w:val="0"/>
    </w:pPr>
    <w:rPr>
      <w:rFonts w:asciiTheme="majorHAnsi" w:eastAsiaTheme="majorEastAsia" w:hAnsiTheme="majorHAnsi" w:cstheme="majorBidi"/>
      <w:color w:val="234156" w:themeColor="accent1" w:themeShade="BF"/>
      <w:sz w:val="32"/>
      <w:szCs w:val="32"/>
    </w:rPr>
  </w:style>
  <w:style w:type="paragraph" w:styleId="Heading2">
    <w:name w:val="heading 2"/>
    <w:basedOn w:val="Normal"/>
    <w:link w:val="Heading2Char"/>
    <w:uiPriority w:val="1"/>
    <w:qFormat/>
    <w:rsid w:val="00821BA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5"/>
      <w:outlineLvl w:val="1"/>
    </w:pPr>
    <w:rPr>
      <w:rFonts w:ascii="Arial" w:eastAsia="Arial" w:hAnsi="Arial" w:cs="Arial"/>
      <w:b/>
      <w:bCs/>
      <w:sz w:val="27"/>
      <w:szCs w:val="27"/>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Runningtitle">
    <w:name w:val="Running title"/>
    <w:rPr>
      <w:rFonts w:ascii="Calibri" w:eastAsia="Calibri" w:hAnsi="Calibri" w:cs="Calibri"/>
      <w:caps/>
      <w:color w:val="000000"/>
      <w:sz w:val="16"/>
      <w:szCs w:val="16"/>
      <w:u w:color="000000"/>
      <w:lang w:val="en-US"/>
    </w:rPr>
  </w:style>
  <w:style w:type="paragraph" w:styleId="Footer">
    <w:name w:val="footer"/>
    <w:link w:val="FooterChar"/>
    <w:uiPriority w:val="99"/>
    <w:pPr>
      <w:tabs>
        <w:tab w:val="center" w:pos="4320"/>
        <w:tab w:val="right" w:pos="8640"/>
      </w:tabs>
    </w:pPr>
    <w:rPr>
      <w:rFonts w:ascii="Calibri" w:eastAsia="Calibri" w:hAnsi="Calibri" w:cs="Calibri"/>
      <w:color w:val="000000"/>
      <w:sz w:val="22"/>
      <w:szCs w:val="22"/>
      <w:u w:color="000000"/>
      <w:lang w:val="en-US"/>
    </w:rPr>
  </w:style>
  <w:style w:type="paragraph" w:customStyle="1" w:styleId="Body">
    <w:name w:val="Body"/>
    <w:rPr>
      <w:rFonts w:ascii="Calibri" w:eastAsia="Calibri" w:hAnsi="Calibri" w:cs="Calibri"/>
      <w:color w:val="000000"/>
      <w:sz w:val="22"/>
      <w:szCs w:val="22"/>
      <w:u w:color="000000"/>
    </w:rPr>
  </w:style>
  <w:style w:type="paragraph" w:styleId="Title">
    <w:name w:val="Title"/>
    <w:next w:val="Body"/>
    <w:pPr>
      <w:pBdr>
        <w:bottom w:val="single" w:sz="8" w:space="0" w:color="2F5773"/>
      </w:pBdr>
      <w:spacing w:after="300"/>
    </w:pPr>
    <w:rPr>
      <w:rFonts w:ascii="Calibri" w:eastAsia="Calibri" w:hAnsi="Calibri" w:cs="Calibri"/>
      <w:color w:val="2F5773"/>
      <w:spacing w:val="5"/>
      <w:kern w:val="28"/>
      <w:sz w:val="52"/>
      <w:szCs w:val="52"/>
      <w:u w:color="2F5773"/>
      <w:lang w:val="en-US"/>
    </w:rPr>
  </w:style>
  <w:style w:type="paragraph" w:customStyle="1" w:styleId="Titlelevel2">
    <w:name w:val="Title level 2"/>
    <w:pPr>
      <w:spacing w:before="240" w:after="240"/>
    </w:pPr>
    <w:rPr>
      <w:rFonts w:ascii="Calibri" w:eastAsia="Calibri" w:hAnsi="Calibri" w:cs="Calibri"/>
      <w:color w:val="2F5773"/>
      <w:sz w:val="32"/>
      <w:szCs w:val="32"/>
      <w:u w:color="2F5773"/>
      <w:lang w:val="en-US"/>
    </w:rPr>
  </w:style>
  <w:style w:type="paragraph" w:customStyle="1" w:styleId="Numberedtitlelevel3">
    <w:name w:val="Numbered title level 3"/>
    <w:next w:val="body0"/>
    <w:pPr>
      <w:spacing w:before="240" w:after="240"/>
    </w:pPr>
    <w:rPr>
      <w:rFonts w:ascii="Calibri" w:eastAsia="Calibri" w:hAnsi="Calibri" w:cs="Calibri"/>
      <w:b/>
      <w:bCs/>
      <w:color w:val="2F5773"/>
      <w:sz w:val="24"/>
      <w:szCs w:val="24"/>
      <w:u w:color="2F5773"/>
      <w:lang w:val="en-US"/>
    </w:rPr>
  </w:style>
  <w:style w:type="paragraph" w:customStyle="1" w:styleId="body0">
    <w:name w:val="body"/>
    <w:qFormat/>
    <w:pPr>
      <w:spacing w:before="240" w:after="120" w:line="276" w:lineRule="auto"/>
      <w:jc w:val="both"/>
    </w:pPr>
    <w:rPr>
      <w:rFonts w:ascii="Calibri" w:eastAsia="Calibri" w:hAnsi="Calibri" w:cs="Calibri"/>
      <w:color w:val="000000"/>
      <w:sz w:val="22"/>
      <w:szCs w:val="22"/>
      <w:u w:color="000000"/>
      <w:lang w:val="en-US"/>
    </w:rPr>
  </w:style>
  <w:style w:type="numbering" w:customStyle="1" w:styleId="ImportedStyle3">
    <w:name w:val="Imported Style 3"/>
    <w:pPr>
      <w:numPr>
        <w:numId w:val="1"/>
      </w:numPr>
    </w:pPr>
  </w:style>
  <w:style w:type="paragraph" w:styleId="FootnoteText">
    <w:name w:val="footnote text"/>
    <w:link w:val="FootnoteTextChar"/>
    <w:uiPriority w:val="99"/>
    <w:pPr>
      <w:spacing w:before="80" w:line="200" w:lineRule="exact"/>
      <w:jc w:val="both"/>
    </w:pPr>
    <w:rPr>
      <w:rFonts w:ascii="Calibri" w:eastAsia="Calibri" w:hAnsi="Calibri" w:cs="Calibri"/>
      <w:color w:val="000000"/>
      <w:sz w:val="18"/>
      <w:szCs w:val="18"/>
      <w:u w:color="000000"/>
      <w:lang w:val="en-US"/>
    </w:rPr>
  </w:style>
  <w:style w:type="character" w:customStyle="1" w:styleId="Hyperlink0">
    <w:name w:val="Hyperlink.0"/>
    <w:basedOn w:val="Hyperlink"/>
    <w:rPr>
      <w:color w:val="2F5773"/>
      <w:u w:val="single" w:color="2F5773"/>
    </w:rPr>
  </w:style>
  <w:style w:type="paragraph" w:customStyle="1" w:styleId="Default">
    <w:name w:val="Default"/>
    <w:rPr>
      <w:rFonts w:ascii="Helvetica Neue" w:eastAsia="Helvetica Neue" w:hAnsi="Helvetica Neue" w:cs="Helvetica Neue"/>
      <w:color w:val="000000"/>
      <w:sz w:val="22"/>
      <w:szCs w:val="22"/>
    </w:rPr>
  </w:style>
  <w:style w:type="paragraph" w:customStyle="1" w:styleId="Numberedtitlelevel4">
    <w:name w:val="Numbered title level 4"/>
    <w:pPr>
      <w:spacing w:before="240" w:after="240"/>
    </w:pPr>
    <w:rPr>
      <w:rFonts w:ascii="Calibri" w:eastAsia="Calibri" w:hAnsi="Calibri" w:cs="Calibri"/>
      <w:color w:val="E98E31"/>
      <w:sz w:val="24"/>
      <w:szCs w:val="24"/>
      <w:u w:color="E98E31"/>
      <w:lang w:val="en-US"/>
    </w:rPr>
  </w:style>
  <w:style w:type="paragraph" w:customStyle="1" w:styleId="numberedparagraph">
    <w:name w:val="numbered paragraph"/>
    <w:pPr>
      <w:tabs>
        <w:tab w:val="left" w:pos="284"/>
      </w:tabs>
      <w:spacing w:before="240" w:after="120" w:line="276" w:lineRule="auto"/>
      <w:jc w:val="both"/>
    </w:pPr>
    <w:rPr>
      <w:rFonts w:ascii="Calibri" w:eastAsia="Calibri" w:hAnsi="Calibri" w:cs="Calibri"/>
      <w:color w:val="000000"/>
      <w:sz w:val="22"/>
      <w:szCs w:val="22"/>
      <w:u w:color="000000"/>
      <w:lang w:val="en-US"/>
    </w:rPr>
  </w:style>
  <w:style w:type="character" w:customStyle="1" w:styleId="Hyperlink1">
    <w:name w:val="Hyperlink.1"/>
    <w:basedOn w:val="Hyperlink0"/>
    <w:rPr>
      <w:color w:val="2F5773"/>
      <w:u w:val="single" w:color="2F5773"/>
      <w:lang w:val="en-US"/>
    </w:rPr>
  </w:style>
  <w:style w:type="paragraph" w:customStyle="1" w:styleId="Titlelevel3">
    <w:name w:val="Title level 3"/>
    <w:qFormat/>
    <w:pPr>
      <w:spacing w:before="240" w:after="240"/>
    </w:pPr>
    <w:rPr>
      <w:rFonts w:ascii="Calibri" w:eastAsia="Calibri" w:hAnsi="Calibri" w:cs="Calibri"/>
      <w:b/>
      <w:bCs/>
      <w:color w:val="2F5773"/>
      <w:sz w:val="24"/>
      <w:szCs w:val="24"/>
      <w:u w:color="2F5773"/>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numbering" w:customStyle="1" w:styleId="ImportedStyle6">
    <w:name w:val="Imported Style 6"/>
    <w:pPr>
      <w:numPr>
        <w:numId w:val="4"/>
      </w:numPr>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558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58D1"/>
    <w:rPr>
      <w:rFonts w:ascii="Segoe UI" w:hAnsi="Segoe UI" w:cs="Segoe UI"/>
      <w:sz w:val="18"/>
      <w:szCs w:val="18"/>
      <w:lang w:val="en-US" w:eastAsia="en-US"/>
    </w:rPr>
  </w:style>
  <w:style w:type="character" w:styleId="FootnoteReference">
    <w:name w:val="footnote reference"/>
    <w:basedOn w:val="DefaultParagraphFont"/>
    <w:uiPriority w:val="99"/>
    <w:semiHidden/>
    <w:unhideWhenUsed/>
    <w:qFormat/>
    <w:rsid w:val="00D558D1"/>
    <w:rPr>
      <w:vertAlign w:val="superscript"/>
    </w:rPr>
  </w:style>
  <w:style w:type="paragraph" w:styleId="Header">
    <w:name w:val="header"/>
    <w:basedOn w:val="Normal"/>
    <w:link w:val="HeaderChar"/>
    <w:uiPriority w:val="99"/>
    <w:unhideWhenUsed/>
    <w:rsid w:val="00024463"/>
    <w:pPr>
      <w:tabs>
        <w:tab w:val="center" w:pos="4513"/>
        <w:tab w:val="right" w:pos="9026"/>
      </w:tabs>
    </w:pPr>
  </w:style>
  <w:style w:type="character" w:customStyle="1" w:styleId="HeaderChar">
    <w:name w:val="Header Char"/>
    <w:basedOn w:val="DefaultParagraphFont"/>
    <w:link w:val="Header"/>
    <w:uiPriority w:val="99"/>
    <w:rsid w:val="00024463"/>
    <w:rPr>
      <w:sz w:val="24"/>
      <w:szCs w:val="24"/>
      <w:lang w:val="en-US" w:eastAsia="en-US"/>
    </w:rPr>
  </w:style>
  <w:style w:type="paragraph" w:customStyle="1" w:styleId="Title1">
    <w:name w:val="Title 1"/>
    <w:basedOn w:val="ListParagraph"/>
    <w:link w:val="Title1Char"/>
    <w:autoRedefine/>
    <w:rsid w:val="00024463"/>
    <w:pPr>
      <w:numPr>
        <w:numId w:val="6"/>
      </w:numPr>
      <w:ind w:left="720"/>
    </w:pPr>
    <w:rPr>
      <w:rFonts w:asciiTheme="majorHAnsi" w:hAnsiTheme="majorHAnsi"/>
      <w:b/>
      <w:sz w:val="28"/>
    </w:rPr>
  </w:style>
  <w:style w:type="character" w:customStyle="1" w:styleId="Title1Char">
    <w:name w:val="Title 1 Char"/>
    <w:basedOn w:val="DefaultParagraphFont"/>
    <w:link w:val="Title1"/>
    <w:rsid w:val="00024463"/>
    <w:rPr>
      <w:rFonts w:asciiTheme="majorHAnsi" w:eastAsiaTheme="majorEastAsia" w:hAnsiTheme="majorHAnsi" w:cstheme="minorBidi"/>
      <w:b/>
      <w:sz w:val="28"/>
      <w:bdr w:val="none" w:sz="0" w:space="0" w:color="auto"/>
      <w:lang w:eastAsia="en-US"/>
    </w:rPr>
  </w:style>
  <w:style w:type="paragraph" w:styleId="ListParagraph">
    <w:name w:val="List Paragraph"/>
    <w:aliases w:val="Dot pt,List Paragraph1,Colorful List - Accent 11,No Spacing1,List Paragraph Char Char Char,Indicator Text,Numbered Para 1,Bullet 1,F5 List Paragraph,Bullet Points,List Paragraph2,List Paragraph12,MAIN CONTENT,Normal numbered,OBC Bullet,EC"/>
    <w:basedOn w:val="Normal"/>
    <w:link w:val="ListParagraphChar"/>
    <w:uiPriority w:val="34"/>
    <w:qFormat/>
    <w:rsid w:val="00024463"/>
    <w:pPr>
      <w:pBdr>
        <w:top w:val="none" w:sz="0" w:space="0" w:color="auto"/>
        <w:left w:val="none" w:sz="0" w:space="0" w:color="auto"/>
        <w:bottom w:val="none" w:sz="0" w:space="0" w:color="auto"/>
        <w:right w:val="none" w:sz="0" w:space="0" w:color="auto"/>
        <w:between w:val="none" w:sz="0" w:space="0" w:color="auto"/>
        <w:bar w:val="none" w:sz="0" w:color="auto"/>
      </w:pBdr>
      <w:spacing w:after="250" w:line="276" w:lineRule="auto"/>
      <w:jc w:val="both"/>
    </w:pPr>
    <w:rPr>
      <w:rFonts w:asciiTheme="minorHAnsi" w:eastAsiaTheme="majorEastAsia" w:hAnsiTheme="minorHAnsi" w:cstheme="minorBidi"/>
      <w:sz w:val="22"/>
      <w:szCs w:val="20"/>
      <w:bdr w:val="none" w:sz="0" w:space="0" w:color="auto"/>
      <w:lang w:val="en-GB"/>
    </w:rPr>
  </w:style>
  <w:style w:type="paragraph" w:customStyle="1" w:styleId="Title3">
    <w:name w:val="Title 3"/>
    <w:basedOn w:val="ListParagraph"/>
    <w:autoRedefine/>
    <w:rsid w:val="00024463"/>
    <w:pPr>
      <w:numPr>
        <w:ilvl w:val="3"/>
        <w:numId w:val="6"/>
      </w:numPr>
      <w:ind w:left="2880" w:hanging="360"/>
    </w:pPr>
  </w:style>
  <w:style w:type="paragraph" w:customStyle="1" w:styleId="Title2">
    <w:name w:val="Title 2"/>
    <w:basedOn w:val="Title1"/>
    <w:autoRedefine/>
    <w:rsid w:val="00024463"/>
    <w:pPr>
      <w:numPr>
        <w:ilvl w:val="1"/>
      </w:numPr>
      <w:spacing w:after="0"/>
      <w:ind w:left="0" w:firstLine="0"/>
    </w:pPr>
  </w:style>
  <w:style w:type="character" w:customStyle="1" w:styleId="ListParagraphChar">
    <w:name w:val="List Paragraph Char"/>
    <w:aliases w:val="Dot pt Char,List Paragraph1 Char,Colorful List - Accent 11 Char,No Spacing1 Char,List Paragraph Char Char Char Char,Indicator Text Char,Numbered Para 1 Char,Bullet 1 Char,F5 List Paragraph Char,Bullet Points Char,List Paragraph2 Char"/>
    <w:basedOn w:val="DefaultParagraphFont"/>
    <w:link w:val="ListParagraph"/>
    <w:uiPriority w:val="1"/>
    <w:qFormat/>
    <w:rsid w:val="00024463"/>
    <w:rPr>
      <w:rFonts w:asciiTheme="minorHAnsi" w:eastAsiaTheme="majorEastAsia" w:hAnsiTheme="minorHAnsi" w:cstheme="minorBidi"/>
      <w:sz w:val="22"/>
      <w:bdr w:val="none" w:sz="0" w:space="0" w:color="auto"/>
      <w:lang w:eastAsia="en-US"/>
    </w:rPr>
  </w:style>
  <w:style w:type="table" w:styleId="TableGrid">
    <w:name w:val="Table Grid"/>
    <w:basedOn w:val="TableNormal"/>
    <w:uiPriority w:val="39"/>
    <w:rsid w:val="00024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D2A3A"/>
    <w:rPr>
      <w:color w:val="FF00FF" w:themeColor="followedHyperlink"/>
      <w:u w:val="single"/>
    </w:rPr>
  </w:style>
  <w:style w:type="paragraph" w:styleId="CommentSubject">
    <w:name w:val="annotation subject"/>
    <w:basedOn w:val="CommentText"/>
    <w:next w:val="CommentText"/>
    <w:link w:val="CommentSubjectChar"/>
    <w:uiPriority w:val="99"/>
    <w:semiHidden/>
    <w:unhideWhenUsed/>
    <w:rsid w:val="00DF31C3"/>
    <w:rPr>
      <w:b/>
      <w:bCs/>
    </w:rPr>
  </w:style>
  <w:style w:type="character" w:customStyle="1" w:styleId="CommentSubjectChar">
    <w:name w:val="Comment Subject Char"/>
    <w:basedOn w:val="CommentTextChar"/>
    <w:link w:val="CommentSubject"/>
    <w:uiPriority w:val="99"/>
    <w:semiHidden/>
    <w:rsid w:val="00DF31C3"/>
    <w:rPr>
      <w:b/>
      <w:bCs/>
      <w:lang w:val="en-US" w:eastAsia="en-US"/>
    </w:rPr>
  </w:style>
  <w:style w:type="paragraph" w:styleId="Revision">
    <w:name w:val="Revision"/>
    <w:hidden/>
    <w:uiPriority w:val="99"/>
    <w:semiHidden/>
    <w:rsid w:val="00DF31C3"/>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2Char">
    <w:name w:val="Heading 2 Char"/>
    <w:basedOn w:val="DefaultParagraphFont"/>
    <w:link w:val="Heading2"/>
    <w:uiPriority w:val="1"/>
    <w:rsid w:val="00821BA5"/>
    <w:rPr>
      <w:rFonts w:ascii="Arial" w:eastAsia="Arial" w:hAnsi="Arial" w:cs="Arial"/>
      <w:b/>
      <w:bCs/>
      <w:sz w:val="27"/>
      <w:szCs w:val="27"/>
      <w:bdr w:val="none" w:sz="0" w:space="0" w:color="auto"/>
      <w:lang w:val="en-US" w:eastAsia="en-US"/>
    </w:rPr>
  </w:style>
  <w:style w:type="character" w:customStyle="1" w:styleId="FootnoteTextChar">
    <w:name w:val="Footnote Text Char"/>
    <w:basedOn w:val="DefaultParagraphFont"/>
    <w:link w:val="FootnoteText"/>
    <w:uiPriority w:val="99"/>
    <w:rsid w:val="00821BA5"/>
    <w:rPr>
      <w:rFonts w:ascii="Calibri" w:eastAsia="Calibri" w:hAnsi="Calibri" w:cs="Calibri"/>
      <w:color w:val="000000"/>
      <w:sz w:val="18"/>
      <w:szCs w:val="18"/>
      <w:u w:color="000000"/>
      <w:lang w:val="en-US"/>
    </w:rPr>
  </w:style>
  <w:style w:type="character" w:customStyle="1" w:styleId="Heading1Char">
    <w:name w:val="Heading 1 Char"/>
    <w:basedOn w:val="DefaultParagraphFont"/>
    <w:link w:val="Heading1"/>
    <w:uiPriority w:val="9"/>
    <w:rsid w:val="00821BA5"/>
    <w:rPr>
      <w:rFonts w:asciiTheme="majorHAnsi" w:eastAsiaTheme="majorEastAsia" w:hAnsiTheme="majorHAnsi" w:cstheme="majorBidi"/>
      <w:color w:val="234156" w:themeColor="accent1" w:themeShade="BF"/>
      <w:sz w:val="32"/>
      <w:szCs w:val="32"/>
      <w:lang w:val="en-US" w:eastAsia="en-US"/>
    </w:rPr>
  </w:style>
  <w:style w:type="paragraph" w:customStyle="1" w:styleId="TableParagraph">
    <w:name w:val="Table Paragraph"/>
    <w:basedOn w:val="Normal"/>
    <w:uiPriority w:val="1"/>
    <w:qFormat/>
    <w:rsid w:val="0019769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Unicode MS" w:hAnsi="Arial Unicode MS" w:cs="Arial Unicode MS"/>
      <w:sz w:val="22"/>
      <w:szCs w:val="22"/>
      <w:bdr w:val="none" w:sz="0" w:space="0" w:color="auto"/>
    </w:rPr>
  </w:style>
  <w:style w:type="paragraph" w:styleId="BodyText">
    <w:name w:val="Body Text"/>
    <w:basedOn w:val="Normal"/>
    <w:link w:val="BodyTextChar"/>
    <w:uiPriority w:val="1"/>
    <w:qFormat/>
    <w:rsid w:val="0019769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Unicode MS" w:hAnsi="Arial Unicode MS" w:cs="Arial Unicode MS"/>
      <w:sz w:val="19"/>
      <w:szCs w:val="19"/>
      <w:bdr w:val="none" w:sz="0" w:space="0" w:color="auto"/>
    </w:rPr>
  </w:style>
  <w:style w:type="character" w:customStyle="1" w:styleId="BodyTextChar">
    <w:name w:val="Body Text Char"/>
    <w:basedOn w:val="DefaultParagraphFont"/>
    <w:link w:val="BodyText"/>
    <w:uiPriority w:val="1"/>
    <w:rsid w:val="0019769E"/>
    <w:rPr>
      <w:rFonts w:ascii="Arial Unicode MS" w:hAnsi="Arial Unicode MS" w:cs="Arial Unicode MS"/>
      <w:sz w:val="19"/>
      <w:szCs w:val="19"/>
      <w:bdr w:val="none" w:sz="0" w:space="0" w:color="auto"/>
      <w:lang w:val="en-US" w:eastAsia="en-US"/>
    </w:rPr>
  </w:style>
  <w:style w:type="paragraph" w:customStyle="1" w:styleId="bullet1">
    <w:name w:val="bullet 1"/>
    <w:basedOn w:val="Normal"/>
    <w:next w:val="Normal"/>
    <w:qFormat/>
    <w:rsid w:val="0019769E"/>
    <w:pPr>
      <w:numPr>
        <w:numId w:val="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jc w:val="both"/>
    </w:pPr>
    <w:rPr>
      <w:rFonts w:asciiTheme="minorHAnsi" w:eastAsiaTheme="minorEastAsia" w:hAnsiTheme="minorHAnsi" w:cstheme="minorBidi"/>
      <w:sz w:val="22"/>
      <w:szCs w:val="22"/>
      <w:bdr w:val="none" w:sz="0" w:space="0" w:color="auto"/>
    </w:rPr>
  </w:style>
  <w:style w:type="character" w:customStyle="1" w:styleId="FooterChar">
    <w:name w:val="Footer Char"/>
    <w:basedOn w:val="DefaultParagraphFont"/>
    <w:link w:val="Footer"/>
    <w:uiPriority w:val="99"/>
    <w:rsid w:val="0060784E"/>
    <w:rPr>
      <w:rFonts w:ascii="Calibri" w:eastAsia="Calibri" w:hAnsi="Calibri" w:cs="Calibri"/>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040">
      <w:bodyDiv w:val="1"/>
      <w:marLeft w:val="0"/>
      <w:marRight w:val="0"/>
      <w:marTop w:val="0"/>
      <w:marBottom w:val="0"/>
      <w:divBdr>
        <w:top w:val="none" w:sz="0" w:space="0" w:color="auto"/>
        <w:left w:val="none" w:sz="0" w:space="0" w:color="auto"/>
        <w:bottom w:val="none" w:sz="0" w:space="0" w:color="auto"/>
        <w:right w:val="none" w:sz="0" w:space="0" w:color="auto"/>
      </w:divBdr>
    </w:div>
    <w:div w:id="104543323">
      <w:bodyDiv w:val="1"/>
      <w:marLeft w:val="0"/>
      <w:marRight w:val="0"/>
      <w:marTop w:val="0"/>
      <w:marBottom w:val="0"/>
      <w:divBdr>
        <w:top w:val="none" w:sz="0" w:space="0" w:color="auto"/>
        <w:left w:val="none" w:sz="0" w:space="0" w:color="auto"/>
        <w:bottom w:val="none" w:sz="0" w:space="0" w:color="auto"/>
        <w:right w:val="none" w:sz="0" w:space="0" w:color="auto"/>
      </w:divBdr>
    </w:div>
    <w:div w:id="207376841">
      <w:bodyDiv w:val="1"/>
      <w:marLeft w:val="0"/>
      <w:marRight w:val="0"/>
      <w:marTop w:val="0"/>
      <w:marBottom w:val="0"/>
      <w:divBdr>
        <w:top w:val="none" w:sz="0" w:space="0" w:color="auto"/>
        <w:left w:val="none" w:sz="0" w:space="0" w:color="auto"/>
        <w:bottom w:val="none" w:sz="0" w:space="0" w:color="auto"/>
        <w:right w:val="none" w:sz="0" w:space="0" w:color="auto"/>
      </w:divBdr>
    </w:div>
    <w:div w:id="416905871">
      <w:bodyDiv w:val="1"/>
      <w:marLeft w:val="0"/>
      <w:marRight w:val="0"/>
      <w:marTop w:val="0"/>
      <w:marBottom w:val="0"/>
      <w:divBdr>
        <w:top w:val="none" w:sz="0" w:space="0" w:color="auto"/>
        <w:left w:val="none" w:sz="0" w:space="0" w:color="auto"/>
        <w:bottom w:val="none" w:sz="0" w:space="0" w:color="auto"/>
        <w:right w:val="none" w:sz="0" w:space="0" w:color="auto"/>
      </w:divBdr>
    </w:div>
    <w:div w:id="613252280">
      <w:bodyDiv w:val="1"/>
      <w:marLeft w:val="0"/>
      <w:marRight w:val="0"/>
      <w:marTop w:val="0"/>
      <w:marBottom w:val="0"/>
      <w:divBdr>
        <w:top w:val="none" w:sz="0" w:space="0" w:color="auto"/>
        <w:left w:val="none" w:sz="0" w:space="0" w:color="auto"/>
        <w:bottom w:val="none" w:sz="0" w:space="0" w:color="auto"/>
        <w:right w:val="none" w:sz="0" w:space="0" w:color="auto"/>
      </w:divBdr>
    </w:div>
    <w:div w:id="615872023">
      <w:bodyDiv w:val="1"/>
      <w:marLeft w:val="0"/>
      <w:marRight w:val="0"/>
      <w:marTop w:val="0"/>
      <w:marBottom w:val="0"/>
      <w:divBdr>
        <w:top w:val="none" w:sz="0" w:space="0" w:color="auto"/>
        <w:left w:val="none" w:sz="0" w:space="0" w:color="auto"/>
        <w:bottom w:val="none" w:sz="0" w:space="0" w:color="auto"/>
        <w:right w:val="none" w:sz="0" w:space="0" w:color="auto"/>
      </w:divBdr>
    </w:div>
    <w:div w:id="707149299">
      <w:bodyDiv w:val="1"/>
      <w:marLeft w:val="0"/>
      <w:marRight w:val="0"/>
      <w:marTop w:val="0"/>
      <w:marBottom w:val="0"/>
      <w:divBdr>
        <w:top w:val="none" w:sz="0" w:space="0" w:color="auto"/>
        <w:left w:val="none" w:sz="0" w:space="0" w:color="auto"/>
        <w:bottom w:val="none" w:sz="0" w:space="0" w:color="auto"/>
        <w:right w:val="none" w:sz="0" w:space="0" w:color="auto"/>
      </w:divBdr>
    </w:div>
    <w:div w:id="846020249">
      <w:bodyDiv w:val="1"/>
      <w:marLeft w:val="0"/>
      <w:marRight w:val="0"/>
      <w:marTop w:val="0"/>
      <w:marBottom w:val="0"/>
      <w:divBdr>
        <w:top w:val="none" w:sz="0" w:space="0" w:color="auto"/>
        <w:left w:val="none" w:sz="0" w:space="0" w:color="auto"/>
        <w:bottom w:val="none" w:sz="0" w:space="0" w:color="auto"/>
        <w:right w:val="none" w:sz="0" w:space="0" w:color="auto"/>
      </w:divBdr>
    </w:div>
    <w:div w:id="960578828">
      <w:bodyDiv w:val="1"/>
      <w:marLeft w:val="0"/>
      <w:marRight w:val="0"/>
      <w:marTop w:val="0"/>
      <w:marBottom w:val="0"/>
      <w:divBdr>
        <w:top w:val="none" w:sz="0" w:space="0" w:color="auto"/>
        <w:left w:val="none" w:sz="0" w:space="0" w:color="auto"/>
        <w:bottom w:val="none" w:sz="0" w:space="0" w:color="auto"/>
        <w:right w:val="none" w:sz="0" w:space="0" w:color="auto"/>
      </w:divBdr>
    </w:div>
    <w:div w:id="1211498684">
      <w:bodyDiv w:val="1"/>
      <w:marLeft w:val="0"/>
      <w:marRight w:val="0"/>
      <w:marTop w:val="0"/>
      <w:marBottom w:val="0"/>
      <w:divBdr>
        <w:top w:val="none" w:sz="0" w:space="0" w:color="auto"/>
        <w:left w:val="none" w:sz="0" w:space="0" w:color="auto"/>
        <w:bottom w:val="none" w:sz="0" w:space="0" w:color="auto"/>
        <w:right w:val="none" w:sz="0" w:space="0" w:color="auto"/>
      </w:divBdr>
    </w:div>
    <w:div w:id="1246919989">
      <w:bodyDiv w:val="1"/>
      <w:marLeft w:val="0"/>
      <w:marRight w:val="0"/>
      <w:marTop w:val="0"/>
      <w:marBottom w:val="0"/>
      <w:divBdr>
        <w:top w:val="none" w:sz="0" w:space="0" w:color="auto"/>
        <w:left w:val="none" w:sz="0" w:space="0" w:color="auto"/>
        <w:bottom w:val="none" w:sz="0" w:space="0" w:color="auto"/>
        <w:right w:val="none" w:sz="0" w:space="0" w:color="auto"/>
      </w:divBdr>
    </w:div>
    <w:div w:id="1465544450">
      <w:bodyDiv w:val="1"/>
      <w:marLeft w:val="0"/>
      <w:marRight w:val="0"/>
      <w:marTop w:val="0"/>
      <w:marBottom w:val="0"/>
      <w:divBdr>
        <w:top w:val="none" w:sz="0" w:space="0" w:color="auto"/>
        <w:left w:val="none" w:sz="0" w:space="0" w:color="auto"/>
        <w:bottom w:val="none" w:sz="0" w:space="0" w:color="auto"/>
        <w:right w:val="none" w:sz="0" w:space="0" w:color="auto"/>
      </w:divBdr>
    </w:div>
    <w:div w:id="20113248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as-joint-committee.europa.eu/Pages/Activities/EFIF/European-Forum-for-Innovation-Facilitators.aspx" TargetMode="External"/><Relationship Id="rId18" Type="http://schemas.openxmlformats.org/officeDocument/2006/relationships/hyperlink" Target="https://eba.europa.eu/eba-publishes-its-roadmap-on-fintech"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c.europa.eu/info/sites/info/files/business_economy_euro/banking_and_finance/documents/191113-report-expert-group-regulatory-obstacles-financial-innovation_en.pdf" TargetMode="External"/><Relationship Id="rId7" Type="http://schemas.openxmlformats.org/officeDocument/2006/relationships/settings" Target="settings.xml"/><Relationship Id="rId12" Type="http://schemas.openxmlformats.org/officeDocument/2006/relationships/hyperlink" Target="https://eba.europa.eu/financial-innovation-and-fintech/fintech-knowledge-hub" TargetMode="External"/><Relationship Id="rId17" Type="http://schemas.openxmlformats.org/officeDocument/2006/relationships/image" Target="media/image2.png"/><Relationship Id="rId25" Type="http://schemas.openxmlformats.org/officeDocument/2006/relationships/hyperlink" Target="https://eba.europa.eu/sites/default/documents/files/document_library/Consumer%20Corner/Financial%20education/EBA%20Financial%20Education%20Report%202019-2020%20-%20FINAL%20-%20Combined.pdf" TargetMode="External"/><Relationship Id="rId2" Type="http://schemas.openxmlformats.org/officeDocument/2006/relationships/customXml" Target="../customXml/item2.xml"/><Relationship Id="rId16" Type="http://schemas.openxmlformats.org/officeDocument/2006/relationships/hyperlink" Target="https://eba.europa.eu/eba-calls-european-commission-take-action-facilitate-scaling-cross-border-activity" TargetMode="Externa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consultations/finance-2020-digital-finance-strategy_en" TargetMode="External"/><Relationship Id="rId24" Type="http://schemas.openxmlformats.org/officeDocument/2006/relationships/hyperlink" Target="https://eba.europa.eu/sites/default/documents/files/document_library/0.%20EBA_Factsheet%20for%20consumers_Final_New_0.pdf" TargetMode="External"/><Relationship Id="rId5" Type="http://schemas.openxmlformats.org/officeDocument/2006/relationships/numbering" Target="numbering.xml"/><Relationship Id="rId15" Type="http://schemas.openxmlformats.org/officeDocument/2006/relationships/hyperlink" Target="https://eba.europa.eu/esas-publish-recommendations-on-the-supervision-of-retail-financial-services-provided-across-borders" TargetMode="External"/><Relationship Id="rId23" Type="http://schemas.openxmlformats.org/officeDocument/2006/relationships/hyperlink" Target="https://eba.europa.eu/eba-publishes-its-roadmap-on-fintech"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ba.europa.eu/eba-publishes-opinion-disclosure-consumers-buying-financial-services-through-digital-channels" TargetMode="External"/><Relationship Id="rId22" Type="http://schemas.openxmlformats.org/officeDocument/2006/relationships/hyperlink" Target="https://esas-joint-committee.europa.eu/Pages/Activities/EFIF/European-Forum-for-Innovation-Facilitators.aspx"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sas-joint-committee.europa.eu/Pages/Activities/EFIF/European-Forum-for-Innovation-Facilitators.aspx" TargetMode="External"/><Relationship Id="rId13" Type="http://schemas.openxmlformats.org/officeDocument/2006/relationships/hyperlink" Target="https://eba.europa.eu/eba-publishes-report-on-regulatory-perimeter-regulatory-status-and-authorisation-approaches-in-relation-to-fintech-activities" TargetMode="External"/><Relationship Id="rId18" Type="http://schemas.openxmlformats.org/officeDocument/2006/relationships/hyperlink" Target="https://eba.europa.eu/eba-reports-on-crypto-assets" TargetMode="External"/><Relationship Id="rId26" Type="http://schemas.openxmlformats.org/officeDocument/2006/relationships/hyperlink" Target="https://eba.europa.eu/eba-report-identifies-key-challenges-roll-out-big-data-and-advanced-analytics" TargetMode="External"/><Relationship Id="rId3" Type="http://schemas.openxmlformats.org/officeDocument/2006/relationships/hyperlink" Target="https://eba.europa.eu/risk-analysis-and-data/risk-assessment-reports" TargetMode="External"/><Relationship Id="rId21" Type="http://schemas.openxmlformats.org/officeDocument/2006/relationships/hyperlink" Target="https://esas-joint-committee.europa.eu/Publications/Opinions/Opinion%20on%20the%20use%20of%20innovative%20solutions%20by%20credit%20and%20financial%20institutions%20(JC-2017-81).pdf" TargetMode="External"/><Relationship Id="rId7" Type="http://schemas.openxmlformats.org/officeDocument/2006/relationships/hyperlink" Target="https://eba.europa.eu/financial-innovation-and-fintech/fintech-knowledge-hub" TargetMode="External"/><Relationship Id="rId12" Type="http://schemas.openxmlformats.org/officeDocument/2006/relationships/hyperlink" Target="https://eba.europa.eu/eba-reports-on-crypto-assets" TargetMode="External"/><Relationship Id="rId17" Type="http://schemas.openxmlformats.org/officeDocument/2006/relationships/hyperlink" Target="https://eba.europa.eu/eba-publishes-opinion-disclosure-consumers-buying-financial-services-through-digital-channels" TargetMode="External"/><Relationship Id="rId25" Type="http://schemas.openxmlformats.org/officeDocument/2006/relationships/hyperlink" Target="https://eba.europa.eu/eba-reports-on-crypto-assets" TargetMode="External"/><Relationship Id="rId2" Type="http://schemas.openxmlformats.org/officeDocument/2006/relationships/hyperlink" Target="https://eba.europa.eu/eba-reports-on-crypto-assets" TargetMode="External"/><Relationship Id="rId16" Type="http://schemas.openxmlformats.org/officeDocument/2006/relationships/hyperlink" Target="https://eba.europa.eu/esas-publish-recommendations-on-the-supervision-of-retail-financial-services-provided-across-borders" TargetMode="External"/><Relationship Id="rId20" Type="http://schemas.openxmlformats.org/officeDocument/2006/relationships/hyperlink" Target="https://eba.europa.eu/regulation-and-policy/anti-money-laundering-and-e-money/guidelines-on-risk-factors-and-simplified-and-enhanced-customer-due-diligence" TargetMode="External"/><Relationship Id="rId29" Type="http://schemas.openxmlformats.org/officeDocument/2006/relationships/hyperlink" Target="https://www.enisa.europa.eu/topics/standards/certification" TargetMode="External"/><Relationship Id="rId1" Type="http://schemas.openxmlformats.org/officeDocument/2006/relationships/hyperlink" Target="https://eba.europa.eu/eba-calls-european-commission-take-action-facilitate-scaling-cross-border-activity" TargetMode="External"/><Relationship Id="rId6" Type="http://schemas.openxmlformats.org/officeDocument/2006/relationships/hyperlink" Target="https://eba.europa.eu/eba-calls-european-commission-take-action-facilitate-scaling-cross-border-activity" TargetMode="External"/><Relationship Id="rId11" Type="http://schemas.openxmlformats.org/officeDocument/2006/relationships/hyperlink" Target="https://ec.europa.eu/info/sites/info/files/business_economy_euro/banking_and_finance/documents/2019-financial-services-digital-resilience-consultation-document_en.pdf" TargetMode="External"/><Relationship Id="rId24" Type="http://schemas.openxmlformats.org/officeDocument/2006/relationships/hyperlink" Target="https://eba.europa.eu/eba-calls-european-commission-take-action-facilitate-scaling-cross-border-activity" TargetMode="External"/><Relationship Id="rId5" Type="http://schemas.openxmlformats.org/officeDocument/2006/relationships/hyperlink" Target="https://eba.europa.eu/eba-report-identifies-key-challenges-roll-out-big-data-and-advanced-analytics" TargetMode="External"/><Relationship Id="rId15" Type="http://schemas.openxmlformats.org/officeDocument/2006/relationships/hyperlink" Target="https://eba.europa.eu/eba-calls-european-commission-take-action-facilitate-scaling-cross-border-activity" TargetMode="External"/><Relationship Id="rId23" Type="http://schemas.openxmlformats.org/officeDocument/2006/relationships/hyperlink" Target="https://esas-joint-committee.europa.eu/Pages/Activities/EFIF/European-Forum-for-Innovation-Facilitators.aspx" TargetMode="External"/><Relationship Id="rId28" Type="http://schemas.openxmlformats.org/officeDocument/2006/relationships/hyperlink" Target="https://eba.europa.eu/eba-report-identifies-key-challenges-roll-out-big-data-and-advanced-analytics" TargetMode="External"/><Relationship Id="rId10" Type="http://schemas.openxmlformats.org/officeDocument/2006/relationships/hyperlink" Target="https://ec.europa.eu/info/sites/info/files/180308-action-plan-fintech_en.pdf" TargetMode="External"/><Relationship Id="rId19" Type="http://schemas.openxmlformats.org/officeDocument/2006/relationships/hyperlink" Target="https://eba.europa.eu/esas-publish-joint-advice-on-information-and-communication-technology-risk-management-and-cybersecurity" TargetMode="External"/><Relationship Id="rId4" Type="http://schemas.openxmlformats.org/officeDocument/2006/relationships/hyperlink" Target="https://eba.europa.eu/financial-innovation-and-fintech/fintech-knowledge-hub" TargetMode="External"/><Relationship Id="rId9" Type="http://schemas.openxmlformats.org/officeDocument/2006/relationships/hyperlink" Target="https://eba.europa.eu/sites/default/documents/files/document_library/Risk%20Analysis%20and%20Data/Risk%20Assessment%20Reports/2019/Risk%20Assessment%20Report_November%202019.PDF" TargetMode="External"/><Relationship Id="rId14" Type="http://schemas.openxmlformats.org/officeDocument/2006/relationships/hyperlink" Target="https://esas-joint-committee.europa.eu/Pages/Activities/EFIF/European-Forum-for-Innovation-Facilitators.aspx" TargetMode="External"/><Relationship Id="rId22" Type="http://schemas.openxmlformats.org/officeDocument/2006/relationships/hyperlink" Target="https://eba.europa.eu/esas-publish-joint-report-on-regulatory-sandboxes-and-innovation-hubs" TargetMode="External"/><Relationship Id="rId27" Type="http://schemas.openxmlformats.org/officeDocument/2006/relationships/hyperlink" Target="https://eba.europa.eu/eba-report-identifies-key-challenges-roll-out-big-data-and-advanced-analytic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emplate">
      <a:dk1>
        <a:srgbClr val="000000"/>
      </a:dk1>
      <a:lt1>
        <a:srgbClr val="FFFFFF"/>
      </a:lt1>
      <a:dk2>
        <a:srgbClr val="A7A7A7"/>
      </a:dk2>
      <a:lt2>
        <a:srgbClr val="535353"/>
      </a:lt2>
      <a:accent1>
        <a:srgbClr val="2F5773"/>
      </a:accent1>
      <a:accent2>
        <a:srgbClr val="EA933B"/>
      </a:accent2>
      <a:accent3>
        <a:srgbClr val="D44D2A"/>
      </a:accent3>
      <a:accent4>
        <a:srgbClr val="49AB74"/>
      </a:accent4>
      <a:accent5>
        <a:srgbClr val="52666E"/>
      </a:accent5>
      <a:accent6>
        <a:srgbClr val="163A5A"/>
      </a:accent6>
      <a:hlink>
        <a:srgbClr val="0000FF"/>
      </a:hlink>
      <a:folHlink>
        <a:srgbClr val="FF00FF"/>
      </a:folHlink>
    </a:clrScheme>
    <a:fontScheme name="EBA template">
      <a:majorFont>
        <a:latin typeface="Calibri"/>
        <a:ea typeface="Calibri"/>
        <a:cs typeface="Calibri"/>
      </a:majorFont>
      <a:minorFont>
        <a:latin typeface="Helvetica Neue"/>
        <a:ea typeface="Helvetica Neue"/>
        <a:cs typeface="Helvetica Neue"/>
      </a:minorFont>
    </a:fontScheme>
    <a:fmtScheme name="EBA templa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1F34E633C0A4CB493D45A2716614F" ma:contentTypeVersion="1" ma:contentTypeDescription="Create a new document." ma:contentTypeScope="" ma:versionID="a994b31da6379b82982acbb8afe83ed2">
  <xsd:schema xmlns:xsd="http://www.w3.org/2001/XMLSchema" xmlns:xs="http://www.w3.org/2001/XMLSchema" xmlns:p="http://schemas.microsoft.com/office/2006/metadata/properties" xmlns:ns2="30438e74-cf15-4631-b2d7-34dfe68b53a9" targetNamespace="http://schemas.microsoft.com/office/2006/metadata/properties" ma:root="true" ma:fieldsID="42bc381e214aaa7e3ead2bd40616cc8f" ns2:_="">
    <xsd:import namespace="30438e74-cf15-4631-b2d7-34dfe68b53a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38e74-cf15-4631-b2d7-34dfe68b53a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B05BF-902D-47DD-B01D-640CAC267F25}">
  <ds:schemaRefs>
    <ds:schemaRef ds:uri="http://purl.org/dc/terms/"/>
    <ds:schemaRef ds:uri="http://schemas.openxmlformats.org/package/2006/metadata/core-properties"/>
    <ds:schemaRef ds:uri="30438e74-cf15-4631-b2d7-34dfe68b53a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008B41F-C839-4F5D-AE41-4CCCDCB0F4FB}">
  <ds:schemaRefs>
    <ds:schemaRef ds:uri="http://schemas.microsoft.com/sharepoint/v3/contenttype/forms"/>
  </ds:schemaRefs>
</ds:datastoreItem>
</file>

<file path=customXml/itemProps3.xml><?xml version="1.0" encoding="utf-8"?>
<ds:datastoreItem xmlns:ds="http://schemas.openxmlformats.org/officeDocument/2006/customXml" ds:itemID="{53E79C40-3514-470F-9E5C-EFBFD0238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38e74-cf15-4631-b2d7-34dfe68b5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7F14C8-8902-49FB-AEA7-8093DCE61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57</Pages>
  <Words>19850</Words>
  <Characters>113148</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BS 2018  (Cover note - Crypto-assets) - 251118.docx</vt:lpstr>
    </vt:vector>
  </TitlesOfParts>
  <Company>European Banking Authority</Company>
  <LinksUpToDate>false</LinksUpToDate>
  <CharactersWithSpaces>132733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 2018  (Cover note - Crypto-assets) - 251118.docx</dc:title>
  <dc:creator>Elisabeth Noble</dc:creator>
  <cp:lastModifiedBy>Elisabeth Noble</cp:lastModifiedBy>
  <cp:revision>19</cp:revision>
  <dcterms:created xsi:type="dcterms:W3CDTF">2020-06-25T09:35:00Z</dcterms:created>
  <dcterms:modified xsi:type="dcterms:W3CDTF">2020-06-26T08:01:00Z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0x0101009311F34E633C0A4CB493D45A2716614F</vt:lpwstr>
  </property>
  <property fmtid="{D5CDD505-2E9C-101B-9397-08002B2CF9AE}" pid="3" name="_dlc_DocId">
    <vt:lpwstr>EBA1-884073753-5744</vt:lpwstr>
  </property>
  <property fmtid="{D5CDD505-2E9C-101B-9397-08002B2CF9AE}" pid="4" name="_dlc_DocIdItemGuid">
    <vt:lpwstr>397c6411-c3dc-4f29-a3ee-dbb0ab334e7c</vt:lpwstr>
  </property>
  <property fmtid="{D5CDD505-2E9C-101B-9397-08002B2CF9AE}" pid="5" name="_dlc_DocIdUrl">
    <vt:lpwstr>https://eden.eba.europa.eu/sites/1/_layouts/15/DocIdRedir.aspx?ID=EBA1-884073753-5744, EBA1-884073753-5744</vt:lpwstr>
  </property>
  <property fmtid="{D5CDD505-2E9C-101B-9397-08002B2CF9AE}" pid="6" name="EBADocType">
    <vt:lpwstr>77;#Cover Note|7ec4b98f-e92d-481c-b914-0e72845b7fe9</vt:lpwstr>
  </property>
  <property fmtid="{D5CDD505-2E9C-101B-9397-08002B2CF9AE}" pid="7" name="TaxKeyword">
    <vt:lpwstr/>
  </property>
  <property fmtid="{D5CDD505-2E9C-101B-9397-08002B2CF9AE}" pid="8" name="EBAArea">
    <vt:lpwstr>562;#Banking Markets Innovation and Products|a2b5a4dc-df32-4219-8406-cca7c5b48275</vt:lpwstr>
  </property>
  <property fmtid="{D5CDD505-2E9C-101B-9397-08002B2CF9AE}" pid="9" name="EBACommittee">
    <vt:lpwstr>45;#BoS - Board of Supervisors|9af0f18d-9d58-4a84-ab18-071ff5c72f88</vt:lpwstr>
  </property>
  <property fmtid="{D5CDD505-2E9C-101B-9397-08002B2CF9AE}" pid="10" name="EBADocStatus">
    <vt:lpwstr>2;#Draft|115d3ff0-460a-41a8-840f-d4bcac6af7ae</vt:lpwstr>
  </property>
  <property fmtid="{D5CDD505-2E9C-101B-9397-08002B2CF9AE}" pid="11" name="EBAClassification">
    <vt:lpwstr>1;#EBA Regular Use|673df51a-f469-42a2-9fef-2c1ec5d2112b</vt:lpwstr>
  </property>
  <property fmtid="{D5CDD505-2E9C-101B-9397-08002B2CF9AE}" pid="12" name="EBALanguage">
    <vt:lpwstr>3;#English|3ee17bb8-53a7-48d3-a155-9295f801b1fc</vt:lpwstr>
  </property>
  <property fmtid="{D5CDD505-2E9C-101B-9397-08002B2CF9AE}" pid="13" name="EBASubject">
    <vt:lpwstr>99;#Financial Innovation|9988c581-cbc0-4c9d-94b7-faab330a97e6</vt:lpwstr>
  </property>
  <property fmtid="{D5CDD505-2E9C-101B-9397-08002B2CF9AE}" pid="14" name="EBADocSource">
    <vt:lpwstr>26;#Internal|0d2c9447-eca2-4d4f-bd4c-e82a43be7f58</vt:lpwstr>
  </property>
  <property fmtid="{D5CDD505-2E9C-101B-9397-08002B2CF9AE}" pid="15" name="EBAPARetentionAction">
    <vt:lpwstr/>
  </property>
</Properties>
</file>