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3ED55" w14:textId="1A3521B7" w:rsidR="00701ED1" w:rsidRDefault="00F56A41" w:rsidP="00E557C7">
      <w:r w:rsidRPr="008F09EB">
        <w:rPr>
          <w:noProof/>
          <w:lang w:eastAsia="en-GB"/>
        </w:rPr>
        <w:drawing>
          <wp:anchor distT="0" distB="0" distL="114300" distR="114300" simplePos="0" relativeHeight="251659264" behindDoc="0" locked="0" layoutInCell="1" allowOverlap="1" wp14:anchorId="0B485005" wp14:editId="6822584B">
            <wp:simplePos x="0" y="0"/>
            <wp:positionH relativeFrom="page">
              <wp:posOffset>457156</wp:posOffset>
            </wp:positionH>
            <wp:positionV relativeFrom="page">
              <wp:posOffset>658672</wp:posOffset>
            </wp:positionV>
            <wp:extent cx="1701209" cy="676231"/>
            <wp:effectExtent l="0" t="0" r="0" b="0"/>
            <wp:wrapSquare wrapText="bothSides"/>
            <wp:docPr id="5" name="Picture 5" descr="AF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ME LOGO"/>
                    <pic:cNvPicPr>
                      <a:picLocks noChangeAspect="1" noChangeArrowheads="1"/>
                    </pic:cNvPicPr>
                  </pic:nvPicPr>
                  <pic:blipFill>
                    <a:blip r:embed="rId8"/>
                    <a:srcRect/>
                    <a:stretch>
                      <a:fillRect/>
                    </a:stretch>
                  </pic:blipFill>
                  <pic:spPr bwMode="auto">
                    <a:xfrm>
                      <a:off x="0" y="0"/>
                      <a:ext cx="1701209" cy="67623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873E105" w14:textId="77777777" w:rsidR="00701ED1" w:rsidRDefault="00701ED1" w:rsidP="00E557C7"/>
    <w:p w14:paraId="7B28B5CE" w14:textId="77777777" w:rsidR="00701ED1" w:rsidRDefault="00701ED1" w:rsidP="00E557C7"/>
    <w:p w14:paraId="51A23482" w14:textId="0F85C2D9" w:rsidR="00E557C7" w:rsidRDefault="00F56A41" w:rsidP="00F56A41">
      <w:pPr>
        <w:jc w:val="right"/>
      </w:pPr>
      <w:r>
        <w:t>Association for Financial Markets in Europe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7"/>
      </w:tblGrid>
      <w:tr w:rsidR="00E557C7" w:rsidRPr="00764FAA" w14:paraId="5A5D0FB4" w14:textId="77777777" w:rsidTr="003E07DA">
        <w:tc>
          <w:tcPr>
            <w:tcW w:w="10467" w:type="dxa"/>
            <w:tcBorders>
              <w:top w:val="single" w:sz="24" w:space="0" w:color="78A22F"/>
              <w:bottom w:val="single" w:sz="24" w:space="0" w:color="78A22F"/>
            </w:tcBorders>
          </w:tcPr>
          <w:p w14:paraId="0D8462D8" w14:textId="2D154B12" w:rsidR="00F56A41" w:rsidRDefault="00F56A41" w:rsidP="003E07DA">
            <w:pPr>
              <w:rPr>
                <w:b/>
                <w:color w:val="78A22F"/>
                <w:sz w:val="36"/>
                <w:szCs w:val="36"/>
              </w:rPr>
            </w:pPr>
            <w:r>
              <w:rPr>
                <w:b/>
                <w:color w:val="78A22F"/>
                <w:sz w:val="36"/>
                <w:szCs w:val="36"/>
              </w:rPr>
              <w:t>Consultation Response</w:t>
            </w:r>
          </w:p>
          <w:p w14:paraId="56C55217" w14:textId="1AFF12E0" w:rsidR="00E557C7" w:rsidRPr="00485A59" w:rsidRDefault="00701ED1" w:rsidP="003E07DA">
            <w:pPr>
              <w:rPr>
                <w:rFonts w:cs="Arial"/>
                <w:b/>
                <w:sz w:val="32"/>
                <w:szCs w:val="32"/>
              </w:rPr>
            </w:pPr>
            <w:r w:rsidRPr="00485A59">
              <w:rPr>
                <w:rFonts w:cs="Arial"/>
                <w:b/>
                <w:sz w:val="32"/>
                <w:szCs w:val="32"/>
              </w:rPr>
              <w:t xml:space="preserve">European </w:t>
            </w:r>
            <w:r w:rsidR="00DC20C0" w:rsidRPr="00485A59">
              <w:rPr>
                <w:rFonts w:cs="Arial"/>
                <w:b/>
                <w:sz w:val="32"/>
                <w:szCs w:val="32"/>
              </w:rPr>
              <w:t xml:space="preserve">Commission </w:t>
            </w:r>
            <w:r w:rsidR="00F71F7C" w:rsidRPr="00485A59">
              <w:rPr>
                <w:rFonts w:cs="Arial"/>
                <w:b/>
                <w:sz w:val="32"/>
                <w:szCs w:val="32"/>
              </w:rPr>
              <w:t xml:space="preserve">Public Consultation </w:t>
            </w:r>
            <w:r w:rsidR="00092DE9" w:rsidRPr="00485A59">
              <w:rPr>
                <w:rFonts w:cs="Arial"/>
                <w:b/>
                <w:sz w:val="32"/>
                <w:szCs w:val="32"/>
              </w:rPr>
              <w:t xml:space="preserve">on </w:t>
            </w:r>
            <w:r w:rsidR="00ED543B" w:rsidRPr="00485A59">
              <w:rPr>
                <w:rFonts w:cs="Arial"/>
                <w:b/>
                <w:sz w:val="32"/>
                <w:szCs w:val="32"/>
              </w:rPr>
              <w:t>‘</w:t>
            </w:r>
            <w:r w:rsidR="0037338A">
              <w:rPr>
                <w:rFonts w:cs="Arial"/>
                <w:b/>
                <w:sz w:val="32"/>
                <w:szCs w:val="32"/>
              </w:rPr>
              <w:t>A New Digital Finance Strategy for Europe / FinTech Action Plan</w:t>
            </w:r>
            <w:r w:rsidR="005E6179">
              <w:rPr>
                <w:rFonts w:cs="Arial"/>
                <w:b/>
                <w:sz w:val="32"/>
                <w:szCs w:val="32"/>
              </w:rPr>
              <w:t>’</w:t>
            </w:r>
          </w:p>
          <w:p w14:paraId="6AEB27A7" w14:textId="452EB3CA" w:rsidR="00E557C7" w:rsidRPr="005552E0" w:rsidRDefault="003E359A" w:rsidP="003E07DA">
            <w:pPr>
              <w:rPr>
                <w:rFonts w:cs="Arial"/>
                <w:b/>
                <w:sz w:val="28"/>
                <w:szCs w:val="28"/>
              </w:rPr>
            </w:pPr>
            <w:r>
              <w:rPr>
                <w:rFonts w:cs="Arial"/>
                <w:bCs/>
                <w:sz w:val="28"/>
                <w:szCs w:val="28"/>
              </w:rPr>
              <w:t>26</w:t>
            </w:r>
            <w:r w:rsidR="00E557C7" w:rsidRPr="00485A59">
              <w:rPr>
                <w:rFonts w:cs="Arial"/>
                <w:bCs/>
                <w:sz w:val="28"/>
                <w:szCs w:val="28"/>
                <w:vertAlign w:val="superscript"/>
              </w:rPr>
              <w:t>th</w:t>
            </w:r>
            <w:r w:rsidR="00E557C7" w:rsidRPr="00485A59">
              <w:rPr>
                <w:rFonts w:cs="Arial"/>
                <w:bCs/>
                <w:sz w:val="28"/>
                <w:szCs w:val="28"/>
              </w:rPr>
              <w:t xml:space="preserve"> </w:t>
            </w:r>
            <w:r>
              <w:rPr>
                <w:rFonts w:cs="Arial"/>
                <w:bCs/>
                <w:sz w:val="28"/>
                <w:szCs w:val="28"/>
              </w:rPr>
              <w:t xml:space="preserve">June </w:t>
            </w:r>
            <w:r w:rsidR="00E557C7" w:rsidRPr="00485A59">
              <w:rPr>
                <w:rFonts w:cs="Arial"/>
                <w:bCs/>
                <w:sz w:val="28"/>
                <w:szCs w:val="28"/>
              </w:rPr>
              <w:t>20</w:t>
            </w:r>
            <w:r w:rsidR="00DC20C0" w:rsidRPr="00485A59">
              <w:rPr>
                <w:rFonts w:cs="Arial"/>
                <w:bCs/>
                <w:sz w:val="28"/>
                <w:szCs w:val="28"/>
              </w:rPr>
              <w:t>20</w:t>
            </w:r>
            <w:r w:rsidR="00F71F7C" w:rsidRPr="00485A59">
              <w:rPr>
                <w:rFonts w:cs="Arial"/>
                <w:bCs/>
                <w:sz w:val="28"/>
                <w:szCs w:val="28"/>
              </w:rPr>
              <w:t xml:space="preserve">                                                                                                               </w:t>
            </w:r>
          </w:p>
        </w:tc>
      </w:tr>
    </w:tbl>
    <w:p w14:paraId="3F2CCD74" w14:textId="77777777" w:rsidR="00F56A41" w:rsidRDefault="00F56A41" w:rsidP="00F56A41">
      <w:pPr>
        <w:pStyle w:val="Default"/>
        <w:spacing w:before="0" w:after="120"/>
        <w:rPr>
          <w:rFonts w:asciiTheme="majorHAnsi" w:hAnsiTheme="majorHAnsi" w:cs="Arial"/>
          <w:sz w:val="22"/>
          <w:szCs w:val="22"/>
          <w:lang w:val="en-GB"/>
        </w:rPr>
      </w:pPr>
    </w:p>
    <w:p w14:paraId="1C618F2D" w14:textId="01F8C7FC" w:rsidR="00F56A41" w:rsidRPr="00E917F3" w:rsidRDefault="00F56A41" w:rsidP="00F56A41">
      <w:pPr>
        <w:pStyle w:val="Default"/>
        <w:spacing w:before="0" w:after="120"/>
        <w:rPr>
          <w:sz w:val="22"/>
          <w:szCs w:val="22"/>
          <w:lang w:val="en-GB"/>
        </w:rPr>
      </w:pPr>
      <w:r w:rsidRPr="00E917F3">
        <w:rPr>
          <w:rFonts w:asciiTheme="majorHAnsi" w:hAnsiTheme="majorHAnsi" w:cs="Arial"/>
          <w:sz w:val="22"/>
          <w:szCs w:val="22"/>
          <w:lang w:val="en-GB"/>
        </w:rPr>
        <w:t>The Association for Financial Markets in Europe (</w:t>
      </w:r>
      <w:r w:rsidRPr="00E917F3">
        <w:rPr>
          <w:rFonts w:asciiTheme="majorHAnsi" w:hAnsiTheme="majorHAnsi" w:cs="Arial"/>
          <w:bCs/>
          <w:sz w:val="22"/>
          <w:szCs w:val="22"/>
          <w:lang w:val="en-GB"/>
        </w:rPr>
        <w:t>AFME</w:t>
      </w:r>
      <w:r w:rsidRPr="00E917F3">
        <w:rPr>
          <w:rFonts w:asciiTheme="majorHAnsi" w:hAnsiTheme="majorHAnsi" w:cs="Arial"/>
          <w:sz w:val="22"/>
          <w:szCs w:val="22"/>
          <w:lang w:val="en-GB"/>
        </w:rPr>
        <w:t xml:space="preserve">) welcomes the opportunity to comment on </w:t>
      </w:r>
      <w:r w:rsidR="0037338A" w:rsidRPr="0037338A">
        <w:rPr>
          <w:rFonts w:asciiTheme="majorHAnsi" w:hAnsiTheme="majorHAnsi" w:cs="Arial"/>
          <w:b/>
          <w:bCs/>
          <w:sz w:val="22"/>
          <w:szCs w:val="22"/>
          <w:lang w:val="en-GB"/>
        </w:rPr>
        <w:t>A NEW DIGITAL FINANCE STRATEGY FOR EUROPE / FINTECH ACTION PLAN</w:t>
      </w:r>
      <w:r>
        <w:rPr>
          <w:rFonts w:asciiTheme="majorHAnsi" w:hAnsiTheme="majorHAnsi" w:cs="Arial"/>
          <w:b/>
          <w:bCs/>
          <w:sz w:val="22"/>
          <w:szCs w:val="22"/>
          <w:lang w:val="en-GB"/>
        </w:rPr>
        <w:t>.</w:t>
      </w:r>
      <w:r w:rsidRPr="00E917F3">
        <w:rPr>
          <w:rFonts w:asciiTheme="majorHAnsi" w:hAnsiTheme="majorHAnsi" w:cs="Arial"/>
          <w:sz w:val="22"/>
          <w:szCs w:val="22"/>
          <w:lang w:val="en-GB"/>
        </w:rPr>
        <w:t xml:space="preserve">  </w:t>
      </w:r>
      <w:r w:rsidRPr="00E917F3">
        <w:rPr>
          <w:sz w:val="22"/>
          <w:szCs w:val="22"/>
          <w:lang w:val="en-GB"/>
        </w:rPr>
        <w:t xml:space="preserve">AFME represents a broad array of European and global participants in the wholesale financial markets. Its members comprise pan-EU and global banks as well as key regional banks, brokers, law firms, </w:t>
      </w:r>
      <w:proofErr w:type="gramStart"/>
      <w:r w:rsidRPr="00E917F3">
        <w:rPr>
          <w:sz w:val="22"/>
          <w:szCs w:val="22"/>
          <w:lang w:val="en-GB"/>
        </w:rPr>
        <w:t>investors</w:t>
      </w:r>
      <w:proofErr w:type="gramEnd"/>
      <w:r w:rsidRPr="00E917F3">
        <w:rPr>
          <w:sz w:val="22"/>
          <w:szCs w:val="22"/>
          <w:lang w:val="en-GB"/>
        </w:rPr>
        <w:t xml:space="preserve"> and other financial market participants. We advocate stable, competitive, sustainable European financial markets that support economic growth and benefit society.</w:t>
      </w:r>
    </w:p>
    <w:p w14:paraId="65BE632C" w14:textId="77777777" w:rsidR="00F56A41" w:rsidRPr="00E917F3" w:rsidRDefault="00F56A41" w:rsidP="00F56A41">
      <w:pPr>
        <w:pStyle w:val="Default"/>
        <w:spacing w:before="0" w:after="120"/>
        <w:rPr>
          <w:sz w:val="22"/>
          <w:szCs w:val="22"/>
          <w:lang w:val="en-GB"/>
        </w:rPr>
      </w:pPr>
      <w:r w:rsidRPr="00E917F3">
        <w:rPr>
          <w:sz w:val="22"/>
          <w:szCs w:val="22"/>
          <w:lang w:val="en-GB"/>
        </w:rPr>
        <w:t xml:space="preserve">AFME is the European member of the Global Financial Markets Association (GFMA) a global alliance with the Securities Industry and Financial Markets Association (SIFMA) in the US, and the Asia Securities Industry and Financial Markets Association (ASIFMA) in Asia. </w:t>
      </w:r>
    </w:p>
    <w:p w14:paraId="53EF872B" w14:textId="77777777" w:rsidR="00F56A41" w:rsidRDefault="00F56A41" w:rsidP="00F56A41">
      <w:pPr>
        <w:pStyle w:val="Default"/>
        <w:spacing w:before="0" w:after="120"/>
        <w:jc w:val="left"/>
        <w:rPr>
          <w:sz w:val="22"/>
          <w:szCs w:val="22"/>
          <w:lang w:val="en-GB"/>
        </w:rPr>
      </w:pPr>
      <w:r w:rsidRPr="00C247F1">
        <w:rPr>
          <w:sz w:val="22"/>
          <w:szCs w:val="22"/>
          <w:lang w:val="en-GB"/>
        </w:rPr>
        <w:t>AFME is registered on the EU Transparency Register, registration number 65110063986-76</w:t>
      </w:r>
      <w:r>
        <w:rPr>
          <w:sz w:val="22"/>
          <w:szCs w:val="22"/>
          <w:lang w:val="en-GB"/>
        </w:rPr>
        <w:t>.</w:t>
      </w:r>
    </w:p>
    <w:p w14:paraId="272163F3" w14:textId="0C5E41B7" w:rsidR="00F56A41" w:rsidRPr="004D16CF" w:rsidRDefault="00B83338" w:rsidP="00F56A41">
      <w:pPr>
        <w:pStyle w:val="Default"/>
        <w:spacing w:before="0" w:after="120"/>
        <w:jc w:val="left"/>
        <w:rPr>
          <w:rFonts w:asciiTheme="majorHAnsi" w:hAnsiTheme="majorHAnsi" w:cs="Arial"/>
          <w:sz w:val="22"/>
          <w:szCs w:val="22"/>
          <w:lang w:val="en-GB"/>
        </w:rPr>
      </w:pPr>
      <w:r>
        <w:rPr>
          <w:rFonts w:asciiTheme="majorHAnsi" w:hAnsiTheme="majorHAnsi" w:cs="Arial"/>
          <w:sz w:val="22"/>
          <w:szCs w:val="22"/>
          <w:lang w:val="en-GB"/>
        </w:rPr>
        <w:t>O</w:t>
      </w:r>
      <w:r w:rsidR="00F56A41" w:rsidRPr="004D16CF">
        <w:rPr>
          <w:rFonts w:asciiTheme="majorHAnsi" w:hAnsiTheme="majorHAnsi" w:cs="Arial"/>
          <w:sz w:val="22"/>
          <w:szCs w:val="22"/>
          <w:lang w:val="en-GB"/>
        </w:rPr>
        <w:t>ur high-level response to the consultation</w:t>
      </w:r>
      <w:r>
        <w:rPr>
          <w:rFonts w:asciiTheme="majorHAnsi" w:hAnsiTheme="majorHAnsi" w:cs="Arial"/>
          <w:sz w:val="22"/>
          <w:szCs w:val="22"/>
          <w:lang w:val="en-GB"/>
        </w:rPr>
        <w:t xml:space="preserve"> and </w:t>
      </w:r>
      <w:r w:rsidR="00F56A41" w:rsidRPr="004D16CF">
        <w:rPr>
          <w:rFonts w:asciiTheme="majorHAnsi" w:hAnsiTheme="majorHAnsi" w:cs="Arial"/>
          <w:sz w:val="22"/>
          <w:szCs w:val="22"/>
          <w:lang w:val="en-GB"/>
        </w:rPr>
        <w:t xml:space="preserve">answers to the individual questions </w:t>
      </w:r>
      <w:r>
        <w:rPr>
          <w:rFonts w:asciiTheme="majorHAnsi" w:hAnsiTheme="majorHAnsi" w:cs="Arial"/>
          <w:sz w:val="22"/>
          <w:szCs w:val="22"/>
          <w:lang w:val="en-GB"/>
        </w:rPr>
        <w:t>is provided below</w:t>
      </w:r>
      <w:r w:rsidR="00F56A41" w:rsidRPr="004D16CF">
        <w:rPr>
          <w:rFonts w:asciiTheme="majorHAnsi" w:hAnsiTheme="majorHAnsi" w:cs="Arial"/>
          <w:sz w:val="22"/>
          <w:szCs w:val="22"/>
          <w:lang w:val="en-GB"/>
        </w:rPr>
        <w:t xml:space="preserve">. </w:t>
      </w:r>
    </w:p>
    <w:p w14:paraId="29331DB7" w14:textId="77777777" w:rsidR="00092DE9" w:rsidRDefault="00092DE9" w:rsidP="00C82A60">
      <w:pPr>
        <w:pStyle w:val="Default"/>
        <w:spacing w:before="0" w:after="120"/>
        <w:rPr>
          <w:rFonts w:asciiTheme="majorHAnsi" w:hAnsiTheme="majorHAnsi"/>
          <w:b/>
          <w:i/>
          <w:lang w:val="en-GB"/>
        </w:rPr>
      </w:pPr>
    </w:p>
    <w:p w14:paraId="1136A9A6" w14:textId="7C73A2F1" w:rsidR="00980155" w:rsidRPr="004756C9" w:rsidRDefault="001675E9" w:rsidP="00092DE9">
      <w:pPr>
        <w:pStyle w:val="Default"/>
        <w:numPr>
          <w:ilvl w:val="0"/>
          <w:numId w:val="1"/>
        </w:numPr>
        <w:spacing w:before="0" w:after="120"/>
        <w:rPr>
          <w:rFonts w:asciiTheme="majorHAnsi" w:hAnsiTheme="majorHAnsi"/>
          <w:b/>
          <w:lang w:val="en-GB"/>
        </w:rPr>
      </w:pPr>
      <w:r>
        <w:rPr>
          <w:rFonts w:asciiTheme="majorHAnsi" w:hAnsiTheme="majorHAnsi"/>
          <w:b/>
          <w:lang w:val="en-GB"/>
        </w:rPr>
        <w:t>Executive Summary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2D69B" w:themeFill="accent3" w:themeFillTint="99"/>
        <w:tblLook w:val="04A0" w:firstRow="1" w:lastRow="0" w:firstColumn="1" w:lastColumn="0" w:noHBand="0" w:noVBand="1"/>
      </w:tblPr>
      <w:tblGrid>
        <w:gridCol w:w="10457"/>
      </w:tblGrid>
      <w:tr w:rsidR="00092DE9" w:rsidRPr="00CA5C2D" w14:paraId="3C18D88F" w14:textId="77777777" w:rsidTr="003E07DA">
        <w:tc>
          <w:tcPr>
            <w:tcW w:w="10457" w:type="dxa"/>
            <w:shd w:val="clear" w:color="auto" w:fill="C2D69B" w:themeFill="accent3" w:themeFillTint="99"/>
          </w:tcPr>
          <w:p w14:paraId="30E64E7C" w14:textId="296F0181" w:rsidR="001675E9" w:rsidRDefault="001675E9" w:rsidP="001675E9">
            <w:pPr>
              <w:rPr>
                <w:rFonts w:ascii="Cambria" w:eastAsia="Times New Roman" w:hAnsi="Cambria"/>
                <w:sz w:val="20"/>
                <w:szCs w:val="20"/>
                <w:lang w:eastAsia="en-GB"/>
              </w:rPr>
            </w:pPr>
            <w:r w:rsidRPr="00E64862">
              <w:rPr>
                <w:rFonts w:ascii="Cambria" w:eastAsia="Times New Roman" w:hAnsi="Cambria"/>
                <w:sz w:val="20"/>
                <w:szCs w:val="20"/>
                <w:lang w:eastAsia="en-GB"/>
              </w:rPr>
              <w:t>AFME welcomes the</w:t>
            </w:r>
            <w:r>
              <w:rPr>
                <w:rFonts w:ascii="Cambria" w:eastAsia="Times New Roman" w:hAnsi="Cambria"/>
                <w:sz w:val="20"/>
                <w:szCs w:val="20"/>
                <w:lang w:eastAsia="en-GB"/>
              </w:rPr>
              <w:t xml:space="preserve"> European Commission’s public consultation on ‘</w:t>
            </w:r>
            <w:r w:rsidRPr="00FB0D9C">
              <w:rPr>
                <w:rFonts w:ascii="Cambria" w:eastAsia="Times New Roman" w:hAnsi="Cambria"/>
                <w:b/>
                <w:bCs/>
                <w:i/>
                <w:iCs/>
                <w:sz w:val="20"/>
                <w:szCs w:val="20"/>
                <w:lang w:eastAsia="en-GB"/>
              </w:rPr>
              <w:t>A New</w:t>
            </w:r>
            <w:r>
              <w:rPr>
                <w:rFonts w:ascii="Cambria" w:eastAsia="Times New Roman" w:hAnsi="Cambria"/>
                <w:sz w:val="20"/>
                <w:szCs w:val="20"/>
                <w:lang w:eastAsia="en-GB"/>
              </w:rPr>
              <w:t xml:space="preserve"> </w:t>
            </w:r>
            <w:r w:rsidRPr="00ED53FC">
              <w:rPr>
                <w:rFonts w:ascii="Cambria" w:eastAsia="Times New Roman" w:hAnsi="Cambria" w:cs="Times New Roman"/>
                <w:b/>
                <w:i/>
                <w:iCs/>
                <w:sz w:val="20"/>
                <w:szCs w:val="20"/>
                <w:lang w:eastAsia="en-GB"/>
              </w:rPr>
              <w:t xml:space="preserve">Digital </w:t>
            </w:r>
            <w:r>
              <w:rPr>
                <w:rFonts w:ascii="Cambria" w:eastAsia="Times New Roman" w:hAnsi="Cambria" w:cs="Times New Roman"/>
                <w:b/>
                <w:i/>
                <w:iCs/>
                <w:sz w:val="20"/>
                <w:szCs w:val="20"/>
                <w:lang w:eastAsia="en-GB"/>
              </w:rPr>
              <w:t>Finance Strategy for Europe / FinTech Action Plan</w:t>
            </w:r>
            <w:r>
              <w:rPr>
                <w:rFonts w:ascii="Cambria" w:eastAsia="Times New Roman" w:hAnsi="Cambria" w:cs="Times New Roman"/>
                <w:b/>
                <w:sz w:val="20"/>
                <w:szCs w:val="20"/>
                <w:lang w:eastAsia="en-GB"/>
              </w:rPr>
              <w:t>’ (the “CP”)</w:t>
            </w:r>
            <w:r w:rsidRPr="00AC28D4">
              <w:rPr>
                <w:rFonts w:ascii="Cambria" w:eastAsia="Times New Roman" w:hAnsi="Cambria" w:cs="Times New Roman"/>
                <w:bCs/>
                <w:sz w:val="20"/>
                <w:szCs w:val="20"/>
                <w:lang w:eastAsia="en-GB"/>
              </w:rPr>
              <w:t>.</w:t>
            </w:r>
            <w:r w:rsidRPr="00737E26" w:rsidDel="008139D1">
              <w:rPr>
                <w:rFonts w:ascii="Cambria" w:eastAsia="Times New Roman" w:hAnsi="Cambria"/>
                <w:bCs/>
                <w:sz w:val="20"/>
                <w:szCs w:val="20"/>
                <w:lang w:eastAsia="en-GB"/>
              </w:rPr>
              <w:t xml:space="preserve"> </w:t>
            </w:r>
            <w:r>
              <w:rPr>
                <w:rFonts w:ascii="Cambria" w:eastAsia="Times New Roman" w:hAnsi="Cambria"/>
                <w:sz w:val="20"/>
                <w:szCs w:val="20"/>
                <w:lang w:eastAsia="en-GB"/>
              </w:rPr>
              <w:t xml:space="preserve"> We believe that this CP is a positive effort to</w:t>
            </w:r>
            <w:r w:rsidRPr="00E64862">
              <w:rPr>
                <w:rFonts w:ascii="Cambria" w:eastAsia="Times New Roman" w:hAnsi="Cambria"/>
                <w:sz w:val="20"/>
                <w:szCs w:val="20"/>
                <w:lang w:eastAsia="en-GB"/>
              </w:rPr>
              <w:t xml:space="preserve"> </w:t>
            </w:r>
            <w:r>
              <w:rPr>
                <w:rFonts w:ascii="Cambria" w:eastAsia="Times New Roman" w:hAnsi="Cambria"/>
                <w:sz w:val="20"/>
                <w:szCs w:val="20"/>
                <w:lang w:eastAsia="en-GB"/>
              </w:rPr>
              <w:t>further deepen the European Single Market for digital financial services, shape a</w:t>
            </w:r>
            <w:r w:rsidR="0002549C">
              <w:rPr>
                <w:rFonts w:ascii="Cambria" w:eastAsia="Times New Roman" w:hAnsi="Cambria"/>
                <w:sz w:val="20"/>
                <w:szCs w:val="20"/>
                <w:lang w:eastAsia="en-GB"/>
              </w:rPr>
              <w:t xml:space="preserve"> </w:t>
            </w:r>
            <w:r>
              <w:rPr>
                <w:rFonts w:ascii="Cambria" w:eastAsia="Times New Roman" w:hAnsi="Cambria"/>
                <w:sz w:val="20"/>
                <w:szCs w:val="20"/>
                <w:lang w:eastAsia="en-GB"/>
              </w:rPr>
              <w:t>European financial services regulatory framework which is more supportive of innovation, and enhance the resiliency of the financial system.</w:t>
            </w:r>
          </w:p>
          <w:p w14:paraId="0E5DBD06" w14:textId="22997D9E" w:rsidR="001675E9" w:rsidRDefault="001675E9" w:rsidP="001675E9">
            <w:pPr>
              <w:rPr>
                <w:rFonts w:eastAsia="Times New Roman"/>
                <w:sz w:val="20"/>
                <w:szCs w:val="20"/>
                <w:lang w:eastAsia="en-GB"/>
              </w:rPr>
            </w:pPr>
            <w:r w:rsidRPr="00E64862">
              <w:rPr>
                <w:rFonts w:ascii="Cambria" w:eastAsia="Times New Roman" w:hAnsi="Cambria"/>
                <w:sz w:val="20"/>
                <w:szCs w:val="20"/>
                <w:lang w:eastAsia="en-GB"/>
              </w:rPr>
              <w:t>AFME recognises the increasing importance of digitisation for financial services and the wider-economy,</w:t>
            </w:r>
            <w:r>
              <w:rPr>
                <w:rFonts w:ascii="Cambria" w:eastAsia="Times New Roman" w:hAnsi="Cambria"/>
                <w:sz w:val="20"/>
                <w:szCs w:val="20"/>
                <w:lang w:eastAsia="en-GB"/>
              </w:rPr>
              <w:t xml:space="preserve"> and the need </w:t>
            </w:r>
            <w:r w:rsidRPr="000D2013">
              <w:rPr>
                <w:rFonts w:ascii="Cambria" w:eastAsia="Times New Roman" w:hAnsi="Cambria"/>
                <w:sz w:val="20"/>
                <w:szCs w:val="20"/>
                <w:lang w:eastAsia="en-GB"/>
              </w:rPr>
              <w:t xml:space="preserve">to </w:t>
            </w:r>
            <w:r>
              <w:rPr>
                <w:rFonts w:ascii="Cambria" w:eastAsia="Times New Roman" w:hAnsi="Cambria"/>
                <w:sz w:val="20"/>
                <w:szCs w:val="20"/>
                <w:lang w:eastAsia="en-GB"/>
              </w:rPr>
              <w:t xml:space="preserve">continue supporting </w:t>
            </w:r>
            <w:r w:rsidRPr="000D2013">
              <w:rPr>
                <w:rFonts w:ascii="Cambria" w:eastAsia="Times New Roman" w:hAnsi="Cambria"/>
                <w:sz w:val="20"/>
                <w:szCs w:val="20"/>
                <w:lang w:eastAsia="en-GB"/>
              </w:rPr>
              <w:t xml:space="preserve">the development of digital finance in the EU.  </w:t>
            </w:r>
            <w:r>
              <w:rPr>
                <w:rFonts w:ascii="Cambria" w:eastAsia="Times New Roman" w:hAnsi="Cambria"/>
                <w:sz w:val="20"/>
                <w:szCs w:val="20"/>
                <w:lang w:eastAsia="en-GB"/>
              </w:rPr>
              <w:t>T</w:t>
            </w:r>
            <w:r>
              <w:rPr>
                <w:rFonts w:eastAsia="Times New Roman"/>
                <w:sz w:val="20"/>
                <w:szCs w:val="20"/>
                <w:lang w:eastAsia="en-GB"/>
              </w:rPr>
              <w:t xml:space="preserve">he European Commission, </w:t>
            </w:r>
            <w:r w:rsidRPr="00F143BB">
              <w:rPr>
                <w:rFonts w:eastAsia="Times New Roman"/>
                <w:sz w:val="20"/>
                <w:szCs w:val="20"/>
                <w:lang w:eastAsia="en-GB"/>
              </w:rPr>
              <w:t>through a combination of policies</w:t>
            </w:r>
            <w:r w:rsidR="009D5500">
              <w:rPr>
                <w:rFonts w:eastAsia="Times New Roman"/>
                <w:sz w:val="20"/>
                <w:szCs w:val="20"/>
                <w:lang w:eastAsia="en-GB"/>
              </w:rPr>
              <w:t xml:space="preserve"> (e.g. financial services specific and </w:t>
            </w:r>
            <w:r w:rsidR="009D5500" w:rsidRPr="00F143BB">
              <w:rPr>
                <w:rFonts w:eastAsia="Times New Roman"/>
                <w:sz w:val="20"/>
                <w:szCs w:val="20"/>
                <w:lang w:eastAsia="en-GB"/>
              </w:rPr>
              <w:t>horizontal</w:t>
            </w:r>
            <w:r w:rsidR="009D5500">
              <w:rPr>
                <w:rFonts w:eastAsia="Times New Roman"/>
                <w:sz w:val="20"/>
                <w:szCs w:val="20"/>
                <w:lang w:eastAsia="en-GB"/>
              </w:rPr>
              <w:t>)</w:t>
            </w:r>
            <w:r>
              <w:rPr>
                <w:rFonts w:eastAsia="Times New Roman"/>
                <w:sz w:val="20"/>
                <w:szCs w:val="20"/>
                <w:lang w:eastAsia="en-GB"/>
              </w:rPr>
              <w:t xml:space="preserve">, has increasingly </w:t>
            </w:r>
            <w:r w:rsidRPr="00F143BB">
              <w:rPr>
                <w:rFonts w:eastAsia="Times New Roman"/>
                <w:sz w:val="20"/>
                <w:szCs w:val="20"/>
                <w:lang w:eastAsia="en-GB"/>
              </w:rPr>
              <w:t>embrace</w:t>
            </w:r>
            <w:r>
              <w:rPr>
                <w:rFonts w:eastAsia="Times New Roman"/>
                <w:sz w:val="20"/>
                <w:szCs w:val="20"/>
                <w:lang w:eastAsia="en-GB"/>
              </w:rPr>
              <w:t>d</w:t>
            </w:r>
            <w:r w:rsidRPr="00F143BB">
              <w:rPr>
                <w:rFonts w:eastAsia="Times New Roman"/>
                <w:sz w:val="20"/>
                <w:szCs w:val="20"/>
                <w:lang w:eastAsia="en-GB"/>
              </w:rPr>
              <w:t xml:space="preserve"> digitisation and innovation </w:t>
            </w:r>
            <w:r>
              <w:rPr>
                <w:rFonts w:eastAsia="Times New Roman"/>
                <w:sz w:val="20"/>
                <w:szCs w:val="20"/>
                <w:lang w:eastAsia="en-GB"/>
              </w:rPr>
              <w:t>for</w:t>
            </w:r>
            <w:r w:rsidRPr="00F143BB">
              <w:rPr>
                <w:rFonts w:eastAsia="Times New Roman"/>
                <w:sz w:val="20"/>
                <w:szCs w:val="20"/>
                <w:lang w:eastAsia="en-GB"/>
              </w:rPr>
              <w:t xml:space="preserve"> the financial sector</w:t>
            </w:r>
            <w:r>
              <w:rPr>
                <w:rFonts w:eastAsia="Times New Roman"/>
                <w:sz w:val="20"/>
                <w:szCs w:val="20"/>
                <w:lang w:eastAsia="en-GB"/>
              </w:rPr>
              <w:t xml:space="preserve"> over the past five years.  In </w:t>
            </w:r>
            <w:r w:rsidRPr="00F143BB">
              <w:rPr>
                <w:rFonts w:eastAsia="Times New Roman"/>
                <w:sz w:val="20"/>
                <w:szCs w:val="20"/>
                <w:lang w:eastAsia="en-GB"/>
              </w:rPr>
              <w:t xml:space="preserve">a fast-evolving and competitive environment, Europe must continue to set ambitious goals </w:t>
            </w:r>
            <w:r>
              <w:rPr>
                <w:rFonts w:eastAsia="Times New Roman"/>
                <w:sz w:val="20"/>
                <w:szCs w:val="20"/>
                <w:lang w:eastAsia="en-GB"/>
              </w:rPr>
              <w:t>for</w:t>
            </w:r>
            <w:r w:rsidRPr="00F143BB">
              <w:rPr>
                <w:rFonts w:eastAsia="Times New Roman"/>
                <w:sz w:val="20"/>
                <w:szCs w:val="20"/>
                <w:lang w:eastAsia="en-GB"/>
              </w:rPr>
              <w:t xml:space="preserve"> </w:t>
            </w:r>
            <w:r>
              <w:rPr>
                <w:rFonts w:eastAsia="Times New Roman"/>
                <w:sz w:val="20"/>
                <w:szCs w:val="20"/>
                <w:lang w:eastAsia="en-GB"/>
              </w:rPr>
              <w:t xml:space="preserve">the </w:t>
            </w:r>
            <w:r w:rsidRPr="00F143BB">
              <w:rPr>
                <w:rFonts w:eastAsia="Times New Roman"/>
                <w:sz w:val="20"/>
                <w:szCs w:val="20"/>
                <w:lang w:eastAsia="en-GB"/>
              </w:rPr>
              <w:t>adoption</w:t>
            </w:r>
            <w:r>
              <w:rPr>
                <w:rFonts w:eastAsia="Times New Roman"/>
                <w:sz w:val="20"/>
                <w:szCs w:val="20"/>
                <w:lang w:eastAsia="en-GB"/>
              </w:rPr>
              <w:t xml:space="preserve"> and </w:t>
            </w:r>
            <w:r w:rsidRPr="00F143BB">
              <w:rPr>
                <w:rFonts w:eastAsia="Times New Roman"/>
                <w:sz w:val="20"/>
                <w:szCs w:val="20"/>
                <w:lang w:eastAsia="en-GB"/>
              </w:rPr>
              <w:t>scaling</w:t>
            </w:r>
            <w:r>
              <w:rPr>
                <w:rFonts w:eastAsia="Times New Roman"/>
                <w:sz w:val="20"/>
                <w:szCs w:val="20"/>
                <w:lang w:eastAsia="en-GB"/>
              </w:rPr>
              <w:t>-</w:t>
            </w:r>
            <w:r w:rsidRPr="00F143BB">
              <w:rPr>
                <w:rFonts w:eastAsia="Times New Roman"/>
                <w:sz w:val="20"/>
                <w:szCs w:val="20"/>
                <w:lang w:eastAsia="en-GB"/>
              </w:rPr>
              <w:t>up of innovati</w:t>
            </w:r>
            <w:r>
              <w:rPr>
                <w:rFonts w:eastAsia="Times New Roman"/>
                <w:sz w:val="20"/>
                <w:szCs w:val="20"/>
                <w:lang w:eastAsia="en-GB"/>
              </w:rPr>
              <w:t>ve</w:t>
            </w:r>
            <w:r w:rsidRPr="00F143BB">
              <w:rPr>
                <w:rFonts w:eastAsia="Times New Roman"/>
                <w:sz w:val="20"/>
                <w:szCs w:val="20"/>
                <w:lang w:eastAsia="en-GB"/>
              </w:rPr>
              <w:t xml:space="preserve"> technologies</w:t>
            </w:r>
            <w:r>
              <w:rPr>
                <w:rFonts w:eastAsia="Times New Roman"/>
                <w:sz w:val="20"/>
                <w:szCs w:val="20"/>
                <w:lang w:eastAsia="en-GB"/>
              </w:rPr>
              <w:t xml:space="preserve"> and</w:t>
            </w:r>
            <w:r w:rsidRPr="00F143BB">
              <w:rPr>
                <w:rFonts w:eastAsia="Times New Roman"/>
                <w:sz w:val="20"/>
                <w:szCs w:val="20"/>
                <w:lang w:eastAsia="en-GB"/>
              </w:rPr>
              <w:t xml:space="preserve"> ensure consumers and </w:t>
            </w:r>
            <w:r>
              <w:rPr>
                <w:rFonts w:eastAsia="Times New Roman"/>
                <w:sz w:val="20"/>
                <w:szCs w:val="20"/>
                <w:lang w:eastAsia="en-GB"/>
              </w:rPr>
              <w:t>firms</w:t>
            </w:r>
            <w:r w:rsidRPr="00F143BB">
              <w:rPr>
                <w:rFonts w:eastAsia="Times New Roman"/>
                <w:sz w:val="20"/>
                <w:szCs w:val="20"/>
                <w:lang w:eastAsia="en-GB"/>
              </w:rPr>
              <w:t xml:space="preserve"> remain at the forefront of global trends</w:t>
            </w:r>
            <w:r>
              <w:rPr>
                <w:rFonts w:eastAsia="Times New Roman"/>
                <w:sz w:val="20"/>
                <w:szCs w:val="20"/>
                <w:lang w:eastAsia="en-GB"/>
              </w:rPr>
              <w:t>.</w:t>
            </w:r>
            <w:r w:rsidR="009D5500">
              <w:rPr>
                <w:rFonts w:eastAsia="Times New Roman"/>
                <w:sz w:val="20"/>
                <w:szCs w:val="20"/>
                <w:lang w:eastAsia="en-GB"/>
              </w:rPr>
              <w:t xml:space="preserve"> </w:t>
            </w:r>
          </w:p>
          <w:p w14:paraId="3D2937B7" w14:textId="10A2D92B" w:rsidR="001675E9" w:rsidRDefault="00BC3B7E" w:rsidP="001675E9">
            <w:pPr>
              <w:rPr>
                <w:rFonts w:ascii="Cambria" w:eastAsia="Times New Roman" w:hAnsi="Cambria"/>
                <w:sz w:val="20"/>
                <w:szCs w:val="20"/>
                <w:lang w:eastAsia="en-GB"/>
              </w:rPr>
            </w:pPr>
            <w:r>
              <w:rPr>
                <w:rFonts w:ascii="Cambria" w:eastAsia="Times New Roman" w:hAnsi="Cambria"/>
                <w:sz w:val="20"/>
                <w:szCs w:val="20"/>
                <w:lang w:eastAsia="en-GB"/>
              </w:rPr>
              <w:t xml:space="preserve">Overall, </w:t>
            </w:r>
            <w:r w:rsidR="001675E9" w:rsidRPr="000D2013">
              <w:rPr>
                <w:rFonts w:ascii="Cambria" w:eastAsia="Times New Roman" w:hAnsi="Cambria"/>
                <w:sz w:val="20"/>
                <w:szCs w:val="20"/>
                <w:lang w:eastAsia="en-GB"/>
              </w:rPr>
              <w:t xml:space="preserve">AFME </w:t>
            </w:r>
            <w:r w:rsidR="001675E9">
              <w:rPr>
                <w:rFonts w:ascii="Cambria" w:eastAsia="Times New Roman" w:hAnsi="Cambria"/>
                <w:sz w:val="20"/>
                <w:szCs w:val="20"/>
                <w:lang w:eastAsia="en-GB"/>
              </w:rPr>
              <w:t xml:space="preserve">is </w:t>
            </w:r>
            <w:r w:rsidR="001675E9" w:rsidRPr="000D2013">
              <w:rPr>
                <w:rFonts w:ascii="Cambria" w:eastAsia="Times New Roman" w:hAnsi="Cambria"/>
                <w:sz w:val="20"/>
                <w:szCs w:val="20"/>
                <w:lang w:eastAsia="en-GB"/>
              </w:rPr>
              <w:t>support</w:t>
            </w:r>
            <w:r w:rsidR="001675E9">
              <w:rPr>
                <w:rFonts w:ascii="Cambria" w:eastAsia="Times New Roman" w:hAnsi="Cambria"/>
                <w:sz w:val="20"/>
                <w:szCs w:val="20"/>
                <w:lang w:eastAsia="en-GB"/>
              </w:rPr>
              <w:t xml:space="preserve">ive of </w:t>
            </w:r>
            <w:r w:rsidR="001675E9" w:rsidRPr="000D2013">
              <w:rPr>
                <w:rFonts w:ascii="Cambria" w:eastAsia="Times New Roman" w:hAnsi="Cambria"/>
                <w:sz w:val="20"/>
                <w:szCs w:val="20"/>
                <w:lang w:eastAsia="en-GB"/>
              </w:rPr>
              <w:t>the propos</w:t>
            </w:r>
            <w:r w:rsidR="001675E9">
              <w:rPr>
                <w:rFonts w:ascii="Cambria" w:eastAsia="Times New Roman" w:hAnsi="Cambria"/>
                <w:sz w:val="20"/>
                <w:szCs w:val="20"/>
                <w:lang w:eastAsia="en-GB"/>
              </w:rPr>
              <w:t>als set out in the CP and the three focus areas</w:t>
            </w:r>
            <w:r w:rsidR="001675E9" w:rsidRPr="000D2013">
              <w:rPr>
                <w:rFonts w:ascii="Cambria" w:eastAsia="Times New Roman" w:hAnsi="Cambria"/>
                <w:sz w:val="20"/>
                <w:szCs w:val="20"/>
                <w:lang w:eastAsia="en-GB"/>
              </w:rPr>
              <w:t xml:space="preserve"> </w:t>
            </w:r>
            <w:r w:rsidR="001675E9">
              <w:rPr>
                <w:rFonts w:ascii="Cambria" w:eastAsia="Times New Roman" w:hAnsi="Cambria"/>
                <w:sz w:val="20"/>
                <w:szCs w:val="20"/>
                <w:lang w:eastAsia="en-GB"/>
              </w:rPr>
              <w:t>for policy over the next five years (</w:t>
            </w:r>
            <w:r w:rsidR="001F77DF">
              <w:rPr>
                <w:rFonts w:ascii="Cambria" w:eastAsia="Times New Roman" w:hAnsi="Cambria"/>
                <w:sz w:val="20"/>
                <w:szCs w:val="20"/>
                <w:lang w:eastAsia="en-GB"/>
              </w:rPr>
              <w:t xml:space="preserve">1. </w:t>
            </w:r>
            <w:r w:rsidR="001675E9" w:rsidRPr="001675E9">
              <w:rPr>
                <w:rFonts w:ascii="Cambria" w:eastAsia="Times New Roman" w:hAnsi="Cambria"/>
                <w:sz w:val="20"/>
                <w:szCs w:val="20"/>
                <w:lang w:eastAsia="en-GB"/>
              </w:rPr>
              <w:t>ensuring that the EU financial services regulatory framework is fit for the digital age;</w:t>
            </w:r>
            <w:r w:rsidR="001675E9">
              <w:rPr>
                <w:rFonts w:ascii="Cambria" w:eastAsia="Times New Roman" w:hAnsi="Cambria"/>
                <w:sz w:val="20"/>
                <w:szCs w:val="20"/>
                <w:lang w:eastAsia="en-GB"/>
              </w:rPr>
              <w:t xml:space="preserve"> </w:t>
            </w:r>
            <w:r w:rsidR="001F77DF">
              <w:rPr>
                <w:rFonts w:ascii="Cambria" w:eastAsia="Times New Roman" w:hAnsi="Cambria"/>
                <w:sz w:val="20"/>
                <w:szCs w:val="20"/>
                <w:lang w:eastAsia="en-GB"/>
              </w:rPr>
              <w:t xml:space="preserve">2. </w:t>
            </w:r>
            <w:r w:rsidR="001675E9" w:rsidRPr="001675E9">
              <w:rPr>
                <w:rFonts w:ascii="Cambria" w:eastAsia="Times New Roman" w:hAnsi="Cambria"/>
                <w:sz w:val="20"/>
                <w:szCs w:val="20"/>
                <w:lang w:eastAsia="en-GB"/>
              </w:rPr>
              <w:t>enabling consumers and firms to reap the opportunities offered by the EU-wide Single Market for digital financial</w:t>
            </w:r>
            <w:r w:rsidR="001675E9">
              <w:rPr>
                <w:rFonts w:ascii="Cambria" w:eastAsia="Times New Roman" w:hAnsi="Cambria"/>
                <w:sz w:val="20"/>
                <w:szCs w:val="20"/>
                <w:lang w:eastAsia="en-GB"/>
              </w:rPr>
              <w:t xml:space="preserve"> </w:t>
            </w:r>
            <w:r w:rsidR="001675E9" w:rsidRPr="001675E9">
              <w:rPr>
                <w:rFonts w:ascii="Cambria" w:eastAsia="Times New Roman" w:hAnsi="Cambria"/>
                <w:sz w:val="20"/>
                <w:szCs w:val="20"/>
                <w:lang w:eastAsia="en-GB"/>
              </w:rPr>
              <w:t>services</w:t>
            </w:r>
            <w:r w:rsidR="001675E9">
              <w:rPr>
                <w:rFonts w:ascii="Cambria" w:eastAsia="Times New Roman" w:hAnsi="Cambria"/>
                <w:sz w:val="20"/>
                <w:szCs w:val="20"/>
                <w:lang w:eastAsia="en-GB"/>
              </w:rPr>
              <w:t xml:space="preserve">; and </w:t>
            </w:r>
            <w:r w:rsidR="001F77DF">
              <w:rPr>
                <w:rFonts w:ascii="Cambria" w:eastAsia="Times New Roman" w:hAnsi="Cambria"/>
                <w:sz w:val="20"/>
                <w:szCs w:val="20"/>
                <w:lang w:eastAsia="en-GB"/>
              </w:rPr>
              <w:t xml:space="preserve">3. </w:t>
            </w:r>
            <w:r w:rsidR="001675E9" w:rsidRPr="001675E9">
              <w:rPr>
                <w:rFonts w:ascii="Cambria" w:eastAsia="Times New Roman" w:hAnsi="Cambria"/>
                <w:sz w:val="20"/>
                <w:szCs w:val="20"/>
                <w:lang w:eastAsia="en-GB"/>
              </w:rPr>
              <w:t>promoting a data-driven financial sector for the benefit of EU consumers and firms</w:t>
            </w:r>
            <w:r w:rsidR="001675E9">
              <w:rPr>
                <w:rFonts w:ascii="Cambria" w:eastAsia="Times New Roman" w:hAnsi="Cambria"/>
                <w:sz w:val="20"/>
                <w:szCs w:val="20"/>
                <w:lang w:eastAsia="en-GB"/>
              </w:rPr>
              <w:t>).</w:t>
            </w:r>
            <w:r w:rsidR="009D5500">
              <w:rPr>
                <w:rFonts w:ascii="Cambria" w:eastAsia="Times New Roman" w:hAnsi="Cambria"/>
                <w:sz w:val="20"/>
                <w:szCs w:val="20"/>
                <w:lang w:eastAsia="en-GB"/>
              </w:rPr>
              <w:t xml:space="preserve"> </w:t>
            </w:r>
          </w:p>
          <w:p w14:paraId="714B4B95" w14:textId="107CC94F" w:rsidR="001675E9" w:rsidRDefault="001675E9" w:rsidP="00AF6407">
            <w:pPr>
              <w:jc w:val="left"/>
              <w:rPr>
                <w:rFonts w:ascii="Cambria" w:eastAsia="Times New Roman" w:hAnsi="Cambria"/>
                <w:sz w:val="20"/>
                <w:szCs w:val="20"/>
                <w:lang w:eastAsia="en-GB"/>
              </w:rPr>
            </w:pPr>
            <w:r w:rsidRPr="00B115BF">
              <w:rPr>
                <w:rFonts w:ascii="Cambria" w:eastAsia="Times New Roman" w:hAnsi="Cambria"/>
                <w:sz w:val="20"/>
                <w:szCs w:val="20"/>
                <w:lang w:eastAsia="en-GB"/>
              </w:rPr>
              <w:t xml:space="preserve">These priorities will </w:t>
            </w:r>
            <w:r>
              <w:rPr>
                <w:rFonts w:ascii="Cambria" w:eastAsia="Times New Roman" w:hAnsi="Cambria"/>
                <w:sz w:val="20"/>
                <w:szCs w:val="20"/>
                <w:lang w:eastAsia="en-GB"/>
              </w:rPr>
              <w:t>support the further development of an</w:t>
            </w:r>
            <w:r w:rsidRPr="000D2013">
              <w:rPr>
                <w:rFonts w:ascii="Cambria" w:eastAsia="Times New Roman" w:hAnsi="Cambria"/>
                <w:sz w:val="20"/>
                <w:szCs w:val="20"/>
                <w:lang w:eastAsia="en-GB"/>
              </w:rPr>
              <w:t xml:space="preserve"> </w:t>
            </w:r>
            <w:r>
              <w:rPr>
                <w:rFonts w:ascii="Cambria" w:eastAsia="Times New Roman" w:hAnsi="Cambria"/>
                <w:sz w:val="20"/>
                <w:szCs w:val="20"/>
                <w:lang w:eastAsia="en-GB"/>
              </w:rPr>
              <w:t xml:space="preserve">EU </w:t>
            </w:r>
            <w:r w:rsidRPr="000D2013">
              <w:rPr>
                <w:rFonts w:ascii="Cambria" w:eastAsia="Times New Roman" w:hAnsi="Cambria"/>
                <w:sz w:val="20"/>
                <w:szCs w:val="20"/>
                <w:lang w:eastAsia="en-GB"/>
              </w:rPr>
              <w:t xml:space="preserve">financial services regulatory framework </w:t>
            </w:r>
            <w:r>
              <w:rPr>
                <w:rFonts w:ascii="Cambria" w:eastAsia="Times New Roman" w:hAnsi="Cambria"/>
                <w:sz w:val="20"/>
                <w:szCs w:val="20"/>
                <w:lang w:eastAsia="en-GB"/>
              </w:rPr>
              <w:t>that is</w:t>
            </w:r>
            <w:r w:rsidRPr="000D2013">
              <w:rPr>
                <w:rFonts w:ascii="Cambria" w:eastAsia="Times New Roman" w:hAnsi="Cambria"/>
                <w:sz w:val="20"/>
                <w:szCs w:val="20"/>
                <w:lang w:eastAsia="en-GB"/>
              </w:rPr>
              <w:t xml:space="preserve"> technology neutral and innovation-friendl</w:t>
            </w:r>
            <w:r>
              <w:rPr>
                <w:rFonts w:ascii="Cambria" w:eastAsia="Times New Roman" w:hAnsi="Cambria"/>
                <w:sz w:val="20"/>
                <w:szCs w:val="20"/>
                <w:lang w:eastAsia="en-GB"/>
              </w:rPr>
              <w:t>y, reduce</w:t>
            </w:r>
            <w:r w:rsidR="007D085A">
              <w:rPr>
                <w:rFonts w:ascii="Cambria" w:eastAsia="Times New Roman" w:hAnsi="Cambria"/>
                <w:sz w:val="20"/>
                <w:szCs w:val="20"/>
                <w:lang w:eastAsia="en-GB"/>
              </w:rPr>
              <w:t>s</w:t>
            </w:r>
            <w:r w:rsidRPr="000D2013">
              <w:rPr>
                <w:rFonts w:ascii="Cambria" w:eastAsia="Times New Roman" w:hAnsi="Cambria"/>
                <w:sz w:val="20"/>
                <w:szCs w:val="20"/>
                <w:lang w:eastAsia="en-GB"/>
              </w:rPr>
              <w:t xml:space="preserve"> fragmentation of the </w:t>
            </w:r>
            <w:r>
              <w:rPr>
                <w:rFonts w:ascii="Cambria" w:eastAsia="Times New Roman" w:hAnsi="Cambria"/>
                <w:sz w:val="20"/>
                <w:szCs w:val="20"/>
                <w:lang w:eastAsia="en-GB"/>
              </w:rPr>
              <w:t xml:space="preserve">European </w:t>
            </w:r>
            <w:r w:rsidRPr="000D2013">
              <w:rPr>
                <w:rFonts w:ascii="Cambria" w:eastAsia="Times New Roman" w:hAnsi="Cambria"/>
                <w:sz w:val="20"/>
                <w:szCs w:val="20"/>
                <w:lang w:eastAsia="en-GB"/>
              </w:rPr>
              <w:t>Single Market for digital financial services</w:t>
            </w:r>
            <w:r>
              <w:rPr>
                <w:rFonts w:ascii="Cambria" w:eastAsia="Times New Roman" w:hAnsi="Cambria"/>
                <w:sz w:val="20"/>
                <w:szCs w:val="20"/>
                <w:lang w:eastAsia="en-GB"/>
              </w:rPr>
              <w:t>, and increases the uptake of</w:t>
            </w:r>
            <w:r w:rsidRPr="00B115BF">
              <w:rPr>
                <w:rFonts w:ascii="Cambria" w:eastAsia="Times New Roman" w:hAnsi="Cambria"/>
                <w:sz w:val="20"/>
                <w:szCs w:val="20"/>
                <w:lang w:eastAsia="en-GB"/>
              </w:rPr>
              <w:t xml:space="preserve"> </w:t>
            </w:r>
            <w:r>
              <w:rPr>
                <w:rFonts w:ascii="Cambria" w:eastAsia="Times New Roman" w:hAnsi="Cambria"/>
                <w:sz w:val="20"/>
                <w:szCs w:val="20"/>
                <w:lang w:eastAsia="en-GB"/>
              </w:rPr>
              <w:t xml:space="preserve">innovative technologies in the </w:t>
            </w:r>
            <w:r w:rsidRPr="00B115BF">
              <w:rPr>
                <w:rFonts w:ascii="Cambria" w:eastAsia="Times New Roman" w:hAnsi="Cambria"/>
                <w:sz w:val="20"/>
                <w:szCs w:val="20"/>
                <w:lang w:eastAsia="en-GB"/>
              </w:rPr>
              <w:t xml:space="preserve">financial </w:t>
            </w:r>
            <w:r>
              <w:rPr>
                <w:rFonts w:ascii="Cambria" w:eastAsia="Times New Roman" w:hAnsi="Cambria"/>
                <w:sz w:val="20"/>
                <w:szCs w:val="20"/>
                <w:lang w:eastAsia="en-GB"/>
              </w:rPr>
              <w:t xml:space="preserve">sector.  </w:t>
            </w:r>
          </w:p>
          <w:p w14:paraId="1E438B22" w14:textId="268F2A27" w:rsidR="00B83338" w:rsidRPr="00B83338" w:rsidRDefault="00B83338" w:rsidP="00B83338">
            <w:pPr>
              <w:rPr>
                <w:rFonts w:eastAsia="Times New Roman"/>
                <w:sz w:val="20"/>
                <w:szCs w:val="20"/>
                <w:lang w:eastAsia="en-GB"/>
              </w:rPr>
            </w:pPr>
            <w:r w:rsidRPr="00735388">
              <w:rPr>
                <w:rFonts w:ascii="Cambria" w:eastAsia="Times New Roman" w:hAnsi="Cambria"/>
                <w:sz w:val="20"/>
                <w:szCs w:val="20"/>
                <w:lang w:eastAsia="en-GB"/>
              </w:rPr>
              <w:t xml:space="preserve">However, while it is </w:t>
            </w:r>
            <w:r>
              <w:rPr>
                <w:rFonts w:ascii="Cambria" w:eastAsia="Times New Roman" w:hAnsi="Cambria"/>
                <w:sz w:val="20"/>
                <w:szCs w:val="20"/>
                <w:lang w:eastAsia="en-GB"/>
              </w:rPr>
              <w:t xml:space="preserve">crucial </w:t>
            </w:r>
            <w:r w:rsidRPr="00735388">
              <w:rPr>
                <w:rFonts w:ascii="Cambria" w:eastAsia="Times New Roman" w:hAnsi="Cambria"/>
                <w:sz w:val="20"/>
                <w:szCs w:val="20"/>
                <w:lang w:eastAsia="en-GB"/>
              </w:rPr>
              <w:t xml:space="preserve">the European Commission continues to deliver on </w:t>
            </w:r>
            <w:r>
              <w:rPr>
                <w:rFonts w:ascii="Cambria" w:eastAsia="Times New Roman" w:hAnsi="Cambria"/>
                <w:sz w:val="20"/>
                <w:szCs w:val="20"/>
                <w:lang w:eastAsia="en-GB"/>
              </w:rPr>
              <w:t xml:space="preserve">a Digital Finance Strategy </w:t>
            </w:r>
            <w:r w:rsidRPr="00735388">
              <w:rPr>
                <w:rFonts w:ascii="Cambria" w:eastAsia="Times New Roman" w:hAnsi="Cambria"/>
                <w:sz w:val="20"/>
                <w:szCs w:val="20"/>
                <w:lang w:eastAsia="en-GB"/>
              </w:rPr>
              <w:t>agenda</w:t>
            </w:r>
            <w:r>
              <w:rPr>
                <w:rFonts w:ascii="Cambria" w:eastAsia="Times New Roman" w:hAnsi="Cambria"/>
                <w:sz w:val="20"/>
                <w:szCs w:val="20"/>
                <w:lang w:eastAsia="en-GB"/>
              </w:rPr>
              <w:t xml:space="preserve"> for the future of Europe</w:t>
            </w:r>
            <w:r w:rsidRPr="00735388">
              <w:rPr>
                <w:rFonts w:ascii="Cambria" w:eastAsia="Times New Roman" w:hAnsi="Cambria"/>
                <w:sz w:val="20"/>
                <w:szCs w:val="20"/>
                <w:lang w:eastAsia="en-GB"/>
              </w:rPr>
              <w:t xml:space="preserve">, it is </w:t>
            </w:r>
            <w:r>
              <w:rPr>
                <w:rFonts w:ascii="Cambria" w:eastAsia="Times New Roman" w:hAnsi="Cambria"/>
                <w:sz w:val="20"/>
                <w:szCs w:val="20"/>
                <w:lang w:eastAsia="en-GB"/>
              </w:rPr>
              <w:t xml:space="preserve">equally </w:t>
            </w:r>
            <w:r w:rsidRPr="00735388">
              <w:rPr>
                <w:rFonts w:ascii="Cambria" w:eastAsia="Times New Roman" w:hAnsi="Cambria"/>
                <w:sz w:val="20"/>
                <w:szCs w:val="20"/>
                <w:lang w:eastAsia="en-GB"/>
              </w:rPr>
              <w:t xml:space="preserve">important </w:t>
            </w:r>
            <w:r>
              <w:rPr>
                <w:rFonts w:ascii="Cambria" w:eastAsia="Times New Roman" w:hAnsi="Cambria"/>
                <w:sz w:val="20"/>
                <w:szCs w:val="20"/>
                <w:lang w:eastAsia="en-GB"/>
              </w:rPr>
              <w:t xml:space="preserve">that more frequent </w:t>
            </w:r>
            <w:r w:rsidRPr="00735388">
              <w:rPr>
                <w:rFonts w:ascii="Cambria" w:eastAsia="Times New Roman" w:hAnsi="Cambria"/>
                <w:sz w:val="20"/>
                <w:szCs w:val="20"/>
                <w:lang w:eastAsia="en-GB"/>
              </w:rPr>
              <w:t>evaluations are conducted</w:t>
            </w:r>
            <w:r>
              <w:rPr>
                <w:rFonts w:ascii="Cambria" w:eastAsia="Times New Roman" w:hAnsi="Cambria"/>
                <w:sz w:val="20"/>
                <w:szCs w:val="20"/>
                <w:lang w:eastAsia="en-GB"/>
              </w:rPr>
              <w:t xml:space="preserve"> to </w:t>
            </w:r>
            <w:r w:rsidRPr="00735388">
              <w:rPr>
                <w:rFonts w:ascii="Cambria" w:eastAsia="Times New Roman" w:hAnsi="Cambria"/>
                <w:sz w:val="20"/>
                <w:szCs w:val="20"/>
                <w:lang w:eastAsia="en-GB"/>
              </w:rPr>
              <w:t xml:space="preserve">ensure policies </w:t>
            </w:r>
            <w:r>
              <w:rPr>
                <w:rFonts w:ascii="Cambria" w:eastAsia="Times New Roman" w:hAnsi="Cambria"/>
                <w:sz w:val="20"/>
                <w:szCs w:val="20"/>
                <w:lang w:eastAsia="en-GB"/>
              </w:rPr>
              <w:t xml:space="preserve">implemented </w:t>
            </w:r>
            <w:r w:rsidRPr="00735388">
              <w:rPr>
                <w:rFonts w:ascii="Cambria" w:eastAsia="Times New Roman" w:hAnsi="Cambria"/>
                <w:sz w:val="20"/>
                <w:szCs w:val="20"/>
                <w:lang w:eastAsia="en-GB"/>
              </w:rPr>
              <w:t>meet the</w:t>
            </w:r>
            <w:r>
              <w:rPr>
                <w:rFonts w:ascii="Cambria" w:eastAsia="Times New Roman" w:hAnsi="Cambria"/>
                <w:sz w:val="20"/>
                <w:szCs w:val="20"/>
                <w:lang w:eastAsia="en-GB"/>
              </w:rPr>
              <w:t>ir intended objective and current needs</w:t>
            </w:r>
            <w:r w:rsidRPr="00735388">
              <w:rPr>
                <w:rFonts w:ascii="Cambria" w:eastAsia="Times New Roman" w:hAnsi="Cambria"/>
                <w:sz w:val="20"/>
                <w:szCs w:val="20"/>
                <w:lang w:eastAsia="en-GB"/>
              </w:rPr>
              <w:t>.</w:t>
            </w:r>
            <w:r>
              <w:rPr>
                <w:rFonts w:ascii="Cambria" w:eastAsia="Times New Roman" w:hAnsi="Cambria"/>
                <w:sz w:val="20"/>
                <w:szCs w:val="20"/>
                <w:lang w:eastAsia="en-GB"/>
              </w:rPr>
              <w:t xml:space="preserve"> </w:t>
            </w:r>
            <w:r w:rsidRPr="008D4468">
              <w:rPr>
                <w:rFonts w:ascii="Cambria" w:eastAsia="Times New Roman" w:hAnsi="Cambria"/>
                <w:sz w:val="20"/>
                <w:szCs w:val="20"/>
                <w:lang w:eastAsia="en-GB"/>
              </w:rPr>
              <w:t xml:space="preserve"> </w:t>
            </w:r>
            <w:r>
              <w:rPr>
                <w:rFonts w:ascii="Cambria" w:eastAsia="Times New Roman" w:hAnsi="Cambria"/>
                <w:sz w:val="20"/>
                <w:szCs w:val="20"/>
                <w:lang w:eastAsia="en-GB"/>
              </w:rPr>
              <w:t>The current wide-scale public and private sector responses to COVID19 is likely to have profound repercussions, and</w:t>
            </w:r>
            <w:r w:rsidR="00CB0254">
              <w:rPr>
                <w:rFonts w:ascii="Cambria" w:eastAsia="Times New Roman" w:hAnsi="Cambria"/>
                <w:sz w:val="20"/>
                <w:szCs w:val="20"/>
                <w:lang w:eastAsia="en-GB"/>
              </w:rPr>
              <w:t xml:space="preserve"> </w:t>
            </w:r>
            <w:r>
              <w:rPr>
                <w:rFonts w:ascii="Cambria" w:eastAsia="Times New Roman" w:hAnsi="Cambria"/>
                <w:sz w:val="20"/>
                <w:szCs w:val="20"/>
                <w:lang w:eastAsia="en-GB"/>
              </w:rPr>
              <w:t>the EU may find it beneficial to evaluate if the policy priorities developed in 2019/2020 are still adequate or if potential adjustments may be required.</w:t>
            </w:r>
          </w:p>
          <w:p w14:paraId="1076F0DB" w14:textId="5AF89D21" w:rsidR="00431180" w:rsidRPr="00B83338" w:rsidRDefault="001675E9" w:rsidP="00735388">
            <w:pPr>
              <w:jc w:val="left"/>
              <w:rPr>
                <w:rFonts w:eastAsia="Times New Roman"/>
                <w:sz w:val="20"/>
                <w:szCs w:val="20"/>
                <w:lang w:eastAsia="en-GB"/>
              </w:rPr>
            </w:pPr>
            <w:r>
              <w:rPr>
                <w:rFonts w:ascii="Cambria" w:eastAsia="Times New Roman" w:hAnsi="Cambria"/>
                <w:sz w:val="20"/>
                <w:szCs w:val="20"/>
                <w:lang w:eastAsia="en-GB"/>
              </w:rPr>
              <w:t>To support this CP w</w:t>
            </w:r>
            <w:r w:rsidRPr="00B115BF">
              <w:rPr>
                <w:rFonts w:ascii="Cambria" w:eastAsia="Times New Roman" w:hAnsi="Cambria"/>
                <w:sz w:val="20"/>
                <w:szCs w:val="20"/>
                <w:lang w:eastAsia="en-GB"/>
              </w:rPr>
              <w:t xml:space="preserve">e </w:t>
            </w:r>
            <w:r>
              <w:rPr>
                <w:rFonts w:ascii="Cambria" w:eastAsia="Times New Roman" w:hAnsi="Cambria"/>
                <w:sz w:val="20"/>
                <w:szCs w:val="20"/>
                <w:lang w:eastAsia="en-GB"/>
              </w:rPr>
              <w:t xml:space="preserve">have provided </w:t>
            </w:r>
            <w:r>
              <w:rPr>
                <w:rFonts w:eastAsia="Times New Roman"/>
                <w:sz w:val="20"/>
                <w:szCs w:val="20"/>
                <w:lang w:eastAsia="en-GB"/>
              </w:rPr>
              <w:t xml:space="preserve">the following </w:t>
            </w:r>
            <w:r w:rsidR="008D4468">
              <w:rPr>
                <w:rFonts w:eastAsia="Times New Roman"/>
                <w:sz w:val="20"/>
                <w:szCs w:val="20"/>
                <w:lang w:eastAsia="en-GB"/>
              </w:rPr>
              <w:t xml:space="preserve">four </w:t>
            </w:r>
            <w:r>
              <w:rPr>
                <w:rFonts w:eastAsia="Times New Roman"/>
                <w:sz w:val="20"/>
                <w:szCs w:val="20"/>
                <w:lang w:eastAsia="en-GB"/>
              </w:rPr>
              <w:t>recommendations</w:t>
            </w:r>
            <w:r w:rsidR="00BC3B7E">
              <w:rPr>
                <w:rFonts w:eastAsia="Times New Roman"/>
                <w:sz w:val="20"/>
                <w:szCs w:val="20"/>
                <w:lang w:eastAsia="en-GB"/>
              </w:rPr>
              <w:t xml:space="preserve"> </w:t>
            </w:r>
            <w:r w:rsidR="00B83338">
              <w:rPr>
                <w:rFonts w:eastAsia="Times New Roman"/>
                <w:sz w:val="20"/>
                <w:szCs w:val="20"/>
                <w:lang w:eastAsia="en-GB"/>
              </w:rPr>
              <w:t xml:space="preserve">which </w:t>
            </w:r>
            <w:r w:rsidR="00431180">
              <w:rPr>
                <w:rFonts w:eastAsia="Times New Roman"/>
                <w:b/>
                <w:i/>
                <w:iCs/>
                <w:sz w:val="20"/>
                <w:szCs w:val="20"/>
                <w:lang w:eastAsia="en-GB"/>
              </w:rPr>
              <w:t>aim to support the Commission’s efforts in ensuring</w:t>
            </w:r>
            <w:r w:rsidR="00B83338">
              <w:rPr>
                <w:rFonts w:eastAsia="Times New Roman"/>
                <w:b/>
                <w:i/>
                <w:iCs/>
                <w:sz w:val="20"/>
                <w:szCs w:val="20"/>
                <w:lang w:eastAsia="en-GB"/>
              </w:rPr>
              <w:t>:</w:t>
            </w:r>
            <w:r w:rsidR="00431180">
              <w:rPr>
                <w:rFonts w:eastAsia="Times New Roman"/>
                <w:b/>
                <w:i/>
                <w:iCs/>
                <w:sz w:val="20"/>
                <w:szCs w:val="20"/>
                <w:lang w:eastAsia="en-GB"/>
              </w:rPr>
              <w:t xml:space="preserve"> the EU regulatory framework for innovative technologies in </w:t>
            </w:r>
            <w:r w:rsidR="009022CE">
              <w:rPr>
                <w:rFonts w:eastAsia="Times New Roman"/>
                <w:b/>
                <w:i/>
                <w:iCs/>
                <w:sz w:val="20"/>
                <w:szCs w:val="20"/>
                <w:lang w:eastAsia="en-GB"/>
              </w:rPr>
              <w:t xml:space="preserve">wholesale </w:t>
            </w:r>
            <w:r w:rsidR="00B83338">
              <w:rPr>
                <w:rFonts w:eastAsia="Times New Roman"/>
                <w:b/>
                <w:i/>
                <w:iCs/>
                <w:sz w:val="20"/>
                <w:szCs w:val="20"/>
                <w:lang w:eastAsia="en-GB"/>
              </w:rPr>
              <w:t>f</w:t>
            </w:r>
            <w:r w:rsidR="00431180">
              <w:rPr>
                <w:rFonts w:eastAsia="Times New Roman"/>
                <w:b/>
                <w:i/>
                <w:iCs/>
                <w:sz w:val="20"/>
                <w:szCs w:val="20"/>
                <w:lang w:eastAsia="en-GB"/>
              </w:rPr>
              <w:t xml:space="preserve">inancial </w:t>
            </w:r>
            <w:r w:rsidR="00B83338">
              <w:rPr>
                <w:rFonts w:eastAsia="Times New Roman"/>
                <w:b/>
                <w:i/>
                <w:iCs/>
                <w:sz w:val="20"/>
                <w:szCs w:val="20"/>
                <w:lang w:eastAsia="en-GB"/>
              </w:rPr>
              <w:t>s</w:t>
            </w:r>
            <w:r w:rsidR="00431180">
              <w:rPr>
                <w:rFonts w:eastAsia="Times New Roman"/>
                <w:b/>
                <w:i/>
                <w:iCs/>
                <w:sz w:val="20"/>
                <w:szCs w:val="20"/>
                <w:lang w:eastAsia="en-GB"/>
              </w:rPr>
              <w:t>ervices supports innovation</w:t>
            </w:r>
            <w:r w:rsidR="00B83338">
              <w:rPr>
                <w:rFonts w:eastAsia="Times New Roman"/>
                <w:b/>
                <w:i/>
                <w:iCs/>
                <w:sz w:val="20"/>
                <w:szCs w:val="20"/>
                <w:lang w:eastAsia="en-GB"/>
              </w:rPr>
              <w:t>;</w:t>
            </w:r>
            <w:r w:rsidR="007D085A">
              <w:rPr>
                <w:rFonts w:eastAsia="Times New Roman"/>
                <w:b/>
                <w:i/>
                <w:iCs/>
                <w:sz w:val="20"/>
                <w:szCs w:val="20"/>
                <w:lang w:eastAsia="en-GB"/>
              </w:rPr>
              <w:t xml:space="preserve"> a competitive level playing field</w:t>
            </w:r>
            <w:r w:rsidR="00B83338">
              <w:rPr>
                <w:rFonts w:eastAsia="Times New Roman"/>
                <w:b/>
                <w:i/>
                <w:iCs/>
                <w:sz w:val="20"/>
                <w:szCs w:val="20"/>
                <w:lang w:eastAsia="en-GB"/>
              </w:rPr>
              <w:t>;</w:t>
            </w:r>
            <w:r w:rsidR="007D085A">
              <w:rPr>
                <w:rFonts w:eastAsia="Times New Roman"/>
                <w:b/>
                <w:i/>
                <w:iCs/>
                <w:sz w:val="20"/>
                <w:szCs w:val="20"/>
                <w:lang w:eastAsia="en-GB"/>
              </w:rPr>
              <w:t xml:space="preserve"> </w:t>
            </w:r>
            <w:r w:rsidR="00431180">
              <w:rPr>
                <w:rFonts w:eastAsia="Times New Roman"/>
                <w:b/>
                <w:i/>
                <w:iCs/>
                <w:sz w:val="20"/>
                <w:szCs w:val="20"/>
                <w:lang w:eastAsia="en-GB"/>
              </w:rPr>
              <w:t xml:space="preserve">and the future competitiveness of the EU. </w:t>
            </w:r>
          </w:p>
          <w:p w14:paraId="46615DF0" w14:textId="77777777" w:rsidR="00AE7B34" w:rsidRDefault="00AE7B34" w:rsidP="00AE7B34">
            <w:pPr>
              <w:pStyle w:val="ListParagraph"/>
              <w:spacing w:after="0" w:line="260" w:lineRule="atLeast"/>
              <w:ind w:left="1080"/>
              <w:jc w:val="both"/>
              <w:rPr>
                <w:b/>
                <w:bCs/>
                <w:i/>
                <w:iCs/>
                <w:sz w:val="20"/>
                <w:szCs w:val="20"/>
              </w:rPr>
            </w:pPr>
          </w:p>
          <w:p w14:paraId="2ACABDC1" w14:textId="55CB2E3D" w:rsidR="00FE2A51" w:rsidRPr="00AF6407" w:rsidRDefault="00AE7B34" w:rsidP="006273E5">
            <w:pPr>
              <w:pStyle w:val="ListParagraph"/>
              <w:numPr>
                <w:ilvl w:val="0"/>
                <w:numId w:val="54"/>
              </w:numPr>
              <w:rPr>
                <w:sz w:val="20"/>
                <w:szCs w:val="20"/>
              </w:rPr>
            </w:pPr>
            <w:r>
              <w:rPr>
                <w:b/>
                <w:bCs/>
                <w:i/>
                <w:iCs/>
                <w:sz w:val="20"/>
                <w:szCs w:val="20"/>
              </w:rPr>
              <w:lastRenderedPageBreak/>
              <w:t>AFME recommends the Commission ensure t</w:t>
            </w:r>
            <w:r w:rsidR="00513A06" w:rsidRPr="00AF6407">
              <w:rPr>
                <w:b/>
                <w:bCs/>
                <w:i/>
                <w:iCs/>
                <w:sz w:val="20"/>
                <w:szCs w:val="20"/>
              </w:rPr>
              <w:t xml:space="preserve">he EU regulatory framework for innovative technologies is globally consistent, wherever possible, to support </w:t>
            </w:r>
            <w:r w:rsidR="001F6F0F">
              <w:rPr>
                <w:b/>
                <w:bCs/>
                <w:i/>
                <w:iCs/>
                <w:sz w:val="20"/>
                <w:szCs w:val="20"/>
              </w:rPr>
              <w:t xml:space="preserve">EU </w:t>
            </w:r>
            <w:r w:rsidR="00513A06" w:rsidRPr="00AF6407">
              <w:rPr>
                <w:b/>
                <w:bCs/>
                <w:i/>
                <w:iCs/>
                <w:sz w:val="20"/>
                <w:szCs w:val="20"/>
              </w:rPr>
              <w:t>competitiveness</w:t>
            </w:r>
            <w:r w:rsidR="00B83338">
              <w:rPr>
                <w:b/>
                <w:bCs/>
                <w:i/>
                <w:iCs/>
                <w:sz w:val="20"/>
                <w:szCs w:val="20"/>
              </w:rPr>
              <w:t xml:space="preserve"> and </w:t>
            </w:r>
            <w:r w:rsidR="00B83338" w:rsidRPr="00AF6407">
              <w:rPr>
                <w:b/>
                <w:bCs/>
                <w:i/>
                <w:iCs/>
                <w:sz w:val="20"/>
                <w:szCs w:val="20"/>
              </w:rPr>
              <w:t>sufficiently mitigate risks</w:t>
            </w:r>
            <w:r w:rsidR="00513A06" w:rsidRPr="00AF6407">
              <w:rPr>
                <w:b/>
                <w:bCs/>
                <w:i/>
                <w:iCs/>
                <w:sz w:val="20"/>
                <w:szCs w:val="20"/>
              </w:rPr>
              <w:t>.</w:t>
            </w:r>
          </w:p>
          <w:p w14:paraId="40FE798D" w14:textId="1DA65914" w:rsidR="00431180" w:rsidRPr="00735388" w:rsidRDefault="00431180">
            <w:pPr>
              <w:pStyle w:val="ListParagraph"/>
              <w:numPr>
                <w:ilvl w:val="1"/>
                <w:numId w:val="54"/>
              </w:numPr>
              <w:spacing w:after="0" w:line="260" w:lineRule="atLeast"/>
              <w:jc w:val="both"/>
              <w:rPr>
                <w:sz w:val="20"/>
                <w:szCs w:val="20"/>
              </w:rPr>
            </w:pPr>
            <w:r>
              <w:rPr>
                <w:rFonts w:eastAsia="Times New Roman"/>
                <w:sz w:val="20"/>
                <w:szCs w:val="20"/>
                <w:lang w:eastAsia="en-GB"/>
              </w:rPr>
              <w:t>AFME recommends the European Commission take into consideration that the EU financial sector is part of a globally interconnected market of clients, competitors, suppliers.</w:t>
            </w:r>
            <w:r w:rsidR="0071358C">
              <w:rPr>
                <w:rFonts w:eastAsia="Times New Roman"/>
                <w:sz w:val="20"/>
                <w:szCs w:val="20"/>
                <w:lang w:eastAsia="en-GB"/>
              </w:rPr>
              <w:t xml:space="preserve"> </w:t>
            </w:r>
            <w:r>
              <w:rPr>
                <w:rFonts w:eastAsia="Times New Roman"/>
                <w:sz w:val="20"/>
                <w:szCs w:val="20"/>
                <w:lang w:eastAsia="en-GB"/>
              </w:rPr>
              <w:t xml:space="preserve"> Therefore, any EU specific legislation</w:t>
            </w:r>
            <w:r w:rsidR="00F9406A">
              <w:rPr>
                <w:rFonts w:eastAsia="Times New Roman"/>
                <w:sz w:val="20"/>
                <w:szCs w:val="20"/>
                <w:lang w:eastAsia="en-GB"/>
              </w:rPr>
              <w:t xml:space="preserve"> or policy</w:t>
            </w:r>
            <w:r>
              <w:rPr>
                <w:rFonts w:eastAsia="Times New Roman"/>
                <w:sz w:val="20"/>
                <w:szCs w:val="20"/>
                <w:lang w:eastAsia="en-GB"/>
              </w:rPr>
              <w:t>, that is not globally consistent, risks reducing the attractiveness of Europe as a global hub for innovation</w:t>
            </w:r>
            <w:r w:rsidR="00F9406A">
              <w:rPr>
                <w:rFonts w:eastAsia="Times New Roman"/>
                <w:sz w:val="20"/>
                <w:szCs w:val="20"/>
                <w:lang w:eastAsia="en-GB"/>
              </w:rPr>
              <w:t xml:space="preserve">, </w:t>
            </w:r>
            <w:r w:rsidR="0071358C">
              <w:rPr>
                <w:rFonts w:eastAsia="Times New Roman"/>
                <w:sz w:val="20"/>
                <w:szCs w:val="20"/>
                <w:lang w:eastAsia="en-GB"/>
              </w:rPr>
              <w:t xml:space="preserve">compared to other jurisdictions, </w:t>
            </w:r>
            <w:r w:rsidR="00F9406A">
              <w:rPr>
                <w:rFonts w:eastAsia="Times New Roman"/>
                <w:sz w:val="20"/>
                <w:szCs w:val="20"/>
                <w:lang w:eastAsia="en-GB"/>
              </w:rPr>
              <w:t>potentially isolating the EU from a global market of innovators</w:t>
            </w:r>
            <w:r w:rsidR="0071358C">
              <w:rPr>
                <w:rFonts w:eastAsia="Times New Roman"/>
                <w:sz w:val="20"/>
                <w:szCs w:val="20"/>
                <w:lang w:eastAsia="en-GB"/>
              </w:rPr>
              <w:t xml:space="preserve">. </w:t>
            </w:r>
            <w:r w:rsidR="00F9406A">
              <w:rPr>
                <w:rFonts w:eastAsia="Times New Roman"/>
                <w:sz w:val="20"/>
                <w:szCs w:val="20"/>
                <w:lang w:eastAsia="en-GB"/>
              </w:rPr>
              <w:t xml:space="preserve"> </w:t>
            </w:r>
            <w:r w:rsidR="0071358C">
              <w:rPr>
                <w:rFonts w:eastAsia="Times New Roman"/>
                <w:sz w:val="20"/>
                <w:szCs w:val="20"/>
                <w:lang w:eastAsia="en-GB"/>
              </w:rPr>
              <w:t xml:space="preserve">This may potentially make </w:t>
            </w:r>
            <w:r w:rsidR="00B83338">
              <w:rPr>
                <w:rFonts w:eastAsia="Times New Roman"/>
                <w:sz w:val="20"/>
                <w:szCs w:val="20"/>
                <w:lang w:eastAsia="en-GB"/>
              </w:rPr>
              <w:t xml:space="preserve">it </w:t>
            </w:r>
            <w:r w:rsidR="0071358C">
              <w:rPr>
                <w:rFonts w:eastAsia="Times New Roman"/>
                <w:sz w:val="20"/>
                <w:szCs w:val="20"/>
                <w:lang w:eastAsia="en-GB"/>
              </w:rPr>
              <w:t xml:space="preserve">more difficult for firms to operate cross-border, thus </w:t>
            </w:r>
            <w:r>
              <w:rPr>
                <w:rFonts w:eastAsia="Times New Roman"/>
                <w:sz w:val="20"/>
                <w:szCs w:val="20"/>
                <w:lang w:eastAsia="en-GB"/>
              </w:rPr>
              <w:t>reduc</w:t>
            </w:r>
            <w:r w:rsidR="0071358C">
              <w:rPr>
                <w:rFonts w:eastAsia="Times New Roman"/>
                <w:sz w:val="20"/>
                <w:szCs w:val="20"/>
                <w:lang w:eastAsia="en-GB"/>
              </w:rPr>
              <w:t>ing</w:t>
            </w:r>
            <w:r>
              <w:rPr>
                <w:rFonts w:eastAsia="Times New Roman"/>
                <w:sz w:val="20"/>
                <w:szCs w:val="20"/>
                <w:lang w:eastAsia="en-GB"/>
              </w:rPr>
              <w:t xml:space="preserve"> </w:t>
            </w:r>
            <w:r w:rsidR="0071358C">
              <w:rPr>
                <w:rFonts w:eastAsia="Times New Roman"/>
                <w:sz w:val="20"/>
                <w:szCs w:val="20"/>
                <w:lang w:eastAsia="en-GB"/>
              </w:rPr>
              <w:t xml:space="preserve">the </w:t>
            </w:r>
            <w:r>
              <w:rPr>
                <w:rFonts w:eastAsia="Times New Roman"/>
                <w:sz w:val="20"/>
                <w:szCs w:val="20"/>
                <w:lang w:eastAsia="en-GB"/>
              </w:rPr>
              <w:t xml:space="preserve">competitiveness </w:t>
            </w:r>
            <w:r w:rsidR="0071358C">
              <w:rPr>
                <w:rFonts w:eastAsia="Times New Roman"/>
                <w:sz w:val="20"/>
                <w:szCs w:val="20"/>
                <w:lang w:eastAsia="en-GB"/>
              </w:rPr>
              <w:t xml:space="preserve">of the EU and its </w:t>
            </w:r>
            <w:r>
              <w:rPr>
                <w:rFonts w:eastAsia="Times New Roman"/>
                <w:sz w:val="20"/>
                <w:szCs w:val="20"/>
                <w:lang w:eastAsia="en-GB"/>
              </w:rPr>
              <w:t>potential role in servicing global wholesale markets.</w:t>
            </w:r>
            <w:r w:rsidR="00F9406A">
              <w:rPr>
                <w:rFonts w:eastAsia="Times New Roman"/>
                <w:sz w:val="20"/>
                <w:szCs w:val="20"/>
                <w:lang w:eastAsia="en-GB"/>
              </w:rPr>
              <w:t xml:space="preserve"> </w:t>
            </w:r>
            <w:r>
              <w:rPr>
                <w:rFonts w:eastAsia="Times New Roman"/>
                <w:sz w:val="20"/>
                <w:szCs w:val="20"/>
                <w:lang w:eastAsia="en-GB"/>
              </w:rPr>
              <w:t xml:space="preserve"> AFME believes that maintaining Europe</w:t>
            </w:r>
            <w:r w:rsidR="00F9406A">
              <w:rPr>
                <w:rFonts w:eastAsia="Times New Roman"/>
                <w:sz w:val="20"/>
                <w:szCs w:val="20"/>
                <w:lang w:eastAsia="en-GB"/>
              </w:rPr>
              <w:t>’s</w:t>
            </w:r>
            <w:r>
              <w:rPr>
                <w:rFonts w:eastAsia="Times New Roman"/>
                <w:sz w:val="20"/>
                <w:szCs w:val="20"/>
                <w:lang w:eastAsia="en-GB"/>
              </w:rPr>
              <w:t xml:space="preserve"> attractiveness and competitiveness for innovative technologies will further the accomplishment of key European projects such as the EU Single Market and Capital Markets Union.</w:t>
            </w:r>
          </w:p>
          <w:p w14:paraId="440AA218" w14:textId="51F76144" w:rsidR="007A2133" w:rsidRPr="00735388" w:rsidRDefault="00513A06" w:rsidP="000B6B93">
            <w:pPr>
              <w:pStyle w:val="ListParagraph"/>
              <w:numPr>
                <w:ilvl w:val="1"/>
                <w:numId w:val="54"/>
              </w:numPr>
              <w:spacing w:after="0" w:line="260" w:lineRule="atLeast"/>
              <w:jc w:val="both"/>
              <w:rPr>
                <w:sz w:val="20"/>
                <w:szCs w:val="20"/>
              </w:rPr>
            </w:pPr>
            <w:r w:rsidRPr="00AC0620">
              <w:rPr>
                <w:sz w:val="20"/>
                <w:szCs w:val="20"/>
              </w:rPr>
              <w:t xml:space="preserve">A globally </w:t>
            </w:r>
            <w:r>
              <w:rPr>
                <w:sz w:val="20"/>
                <w:szCs w:val="20"/>
              </w:rPr>
              <w:t xml:space="preserve">consistent </w:t>
            </w:r>
            <w:r w:rsidRPr="00AC0620">
              <w:rPr>
                <w:sz w:val="20"/>
                <w:szCs w:val="20"/>
              </w:rPr>
              <w:t>regulatory framework is critical for maintaining financial stability and protecting end users, to address gaps in supervision across jurisdictions</w:t>
            </w:r>
            <w:r>
              <w:rPr>
                <w:sz w:val="20"/>
                <w:szCs w:val="20"/>
              </w:rPr>
              <w:t xml:space="preserve"> </w:t>
            </w:r>
            <w:r w:rsidRPr="00AC0620">
              <w:rPr>
                <w:sz w:val="20"/>
                <w:szCs w:val="20"/>
              </w:rPr>
              <w:t>that could create systemic vulnerabilities</w:t>
            </w:r>
            <w:r>
              <w:rPr>
                <w:sz w:val="20"/>
                <w:szCs w:val="20"/>
              </w:rPr>
              <w:t>,</w:t>
            </w:r>
            <w:r w:rsidRPr="00AC0620">
              <w:rPr>
                <w:sz w:val="20"/>
                <w:szCs w:val="20"/>
              </w:rPr>
              <w:t xml:space="preserve"> as the use </w:t>
            </w:r>
            <w:r>
              <w:rPr>
                <w:sz w:val="20"/>
                <w:szCs w:val="20"/>
              </w:rPr>
              <w:t xml:space="preserve">of innovative technologies </w:t>
            </w:r>
            <w:r w:rsidRPr="00AC0620">
              <w:rPr>
                <w:sz w:val="20"/>
                <w:szCs w:val="20"/>
              </w:rPr>
              <w:t xml:space="preserve">continues to grow. </w:t>
            </w:r>
            <w:r>
              <w:rPr>
                <w:sz w:val="20"/>
                <w:szCs w:val="20"/>
              </w:rPr>
              <w:t xml:space="preserve"> A</w:t>
            </w:r>
            <w:r w:rsidRPr="00AC0620">
              <w:rPr>
                <w:sz w:val="20"/>
                <w:szCs w:val="20"/>
              </w:rPr>
              <w:t xml:space="preserve">ny European </w:t>
            </w:r>
            <w:r>
              <w:rPr>
                <w:sz w:val="20"/>
                <w:szCs w:val="20"/>
              </w:rPr>
              <w:t xml:space="preserve">developments on the regulation of innovative technologies </w:t>
            </w:r>
            <w:r w:rsidRPr="00AC0620">
              <w:rPr>
                <w:sz w:val="20"/>
                <w:szCs w:val="20"/>
              </w:rPr>
              <w:t xml:space="preserve">should </w:t>
            </w:r>
            <w:r>
              <w:rPr>
                <w:sz w:val="20"/>
                <w:szCs w:val="20"/>
              </w:rPr>
              <w:t xml:space="preserve">be consistent with </w:t>
            </w:r>
            <w:r w:rsidRPr="00AC0620">
              <w:rPr>
                <w:sz w:val="20"/>
                <w:szCs w:val="20"/>
              </w:rPr>
              <w:t xml:space="preserve">on-going global </w:t>
            </w:r>
            <w:r>
              <w:rPr>
                <w:sz w:val="20"/>
                <w:szCs w:val="20"/>
              </w:rPr>
              <w:t xml:space="preserve">risk assessments or </w:t>
            </w:r>
            <w:r w:rsidRPr="00AC0620">
              <w:rPr>
                <w:sz w:val="20"/>
                <w:szCs w:val="20"/>
              </w:rPr>
              <w:t>initiatives (e.g. G7/G20, FSB, BIS, IOSCO</w:t>
            </w:r>
            <w:r w:rsidRPr="00C776E3">
              <w:rPr>
                <w:sz w:val="20"/>
                <w:szCs w:val="20"/>
              </w:rPr>
              <w:t>)</w:t>
            </w:r>
            <w:r w:rsidR="00FE2A51">
              <w:rPr>
                <w:sz w:val="20"/>
                <w:szCs w:val="20"/>
              </w:rPr>
              <w:t xml:space="preserve"> and adhere to global standards</w:t>
            </w:r>
            <w:r w:rsidR="003502F7">
              <w:rPr>
                <w:sz w:val="20"/>
                <w:szCs w:val="20"/>
              </w:rPr>
              <w:t>, to maintain interoperability</w:t>
            </w:r>
            <w:r w:rsidRPr="00C776E3">
              <w:rPr>
                <w:sz w:val="20"/>
                <w:szCs w:val="20"/>
              </w:rPr>
              <w:t>.</w:t>
            </w:r>
            <w:r w:rsidR="0071358C">
              <w:rPr>
                <w:sz w:val="20"/>
                <w:szCs w:val="20"/>
              </w:rPr>
              <w:t xml:space="preserve"> </w:t>
            </w:r>
            <w:r w:rsidR="00D64E4C">
              <w:rPr>
                <w:sz w:val="20"/>
                <w:szCs w:val="20"/>
              </w:rPr>
              <w:t xml:space="preserve"> </w:t>
            </w:r>
            <w:r w:rsidR="00CB3DA1">
              <w:rPr>
                <w:sz w:val="20"/>
                <w:szCs w:val="20"/>
              </w:rPr>
              <w:t>AFME supports the development of technology s</w:t>
            </w:r>
            <w:r w:rsidR="00CB3DA1" w:rsidRPr="00CB3DA1">
              <w:rPr>
                <w:sz w:val="20"/>
                <w:szCs w:val="20"/>
              </w:rPr>
              <w:t>tandard</w:t>
            </w:r>
            <w:r w:rsidR="00CB3DA1">
              <w:rPr>
                <w:sz w:val="20"/>
                <w:szCs w:val="20"/>
              </w:rPr>
              <w:t>s</w:t>
            </w:r>
            <w:r w:rsidR="00CB3DA1" w:rsidRPr="00CB3DA1">
              <w:rPr>
                <w:sz w:val="20"/>
                <w:szCs w:val="20"/>
              </w:rPr>
              <w:t xml:space="preserve"> </w:t>
            </w:r>
            <w:r w:rsidR="00CB3DA1" w:rsidRPr="00735388">
              <w:rPr>
                <w:sz w:val="20"/>
                <w:szCs w:val="20"/>
              </w:rPr>
              <w:t xml:space="preserve">and/or </w:t>
            </w:r>
            <w:r w:rsidR="00AA736F">
              <w:rPr>
                <w:sz w:val="20"/>
                <w:szCs w:val="20"/>
              </w:rPr>
              <w:t xml:space="preserve">of </w:t>
            </w:r>
            <w:r w:rsidR="00CB3DA1" w:rsidRPr="00735388">
              <w:rPr>
                <w:sz w:val="20"/>
                <w:szCs w:val="20"/>
              </w:rPr>
              <w:t xml:space="preserve">interoperable </w:t>
            </w:r>
            <w:r w:rsidR="00CB3DA1">
              <w:rPr>
                <w:sz w:val="20"/>
                <w:szCs w:val="20"/>
              </w:rPr>
              <w:t xml:space="preserve">standards </w:t>
            </w:r>
            <w:r w:rsidR="00CB3DA1" w:rsidRPr="00735388">
              <w:rPr>
                <w:sz w:val="20"/>
                <w:szCs w:val="20"/>
              </w:rPr>
              <w:t>among</w:t>
            </w:r>
            <w:r w:rsidR="00CB3DA1">
              <w:rPr>
                <w:sz w:val="20"/>
                <w:szCs w:val="20"/>
              </w:rPr>
              <w:t>st</w:t>
            </w:r>
            <w:r w:rsidR="00CB3DA1" w:rsidRPr="00735388">
              <w:rPr>
                <w:sz w:val="20"/>
                <w:szCs w:val="20"/>
              </w:rPr>
              <w:t xml:space="preserve"> </w:t>
            </w:r>
            <w:r w:rsidR="00CB3DA1">
              <w:rPr>
                <w:sz w:val="20"/>
                <w:szCs w:val="20"/>
              </w:rPr>
              <w:t xml:space="preserve">innovative technologies, that will </w:t>
            </w:r>
            <w:r w:rsidR="00CB3DA1" w:rsidRPr="00735388">
              <w:rPr>
                <w:sz w:val="20"/>
                <w:szCs w:val="20"/>
              </w:rPr>
              <w:t>enable</w:t>
            </w:r>
            <w:r w:rsidR="00CB3DA1">
              <w:rPr>
                <w:sz w:val="20"/>
                <w:szCs w:val="20"/>
              </w:rPr>
              <w:t xml:space="preserve"> their efficient use in wholesale markets, and beyond</w:t>
            </w:r>
            <w:r w:rsidR="00CB3DA1" w:rsidRPr="00735388">
              <w:rPr>
                <w:sz w:val="20"/>
                <w:szCs w:val="20"/>
              </w:rPr>
              <w:t>.</w:t>
            </w:r>
          </w:p>
          <w:p w14:paraId="4FFA26AA" w14:textId="187C1438" w:rsidR="00AE7B34" w:rsidRPr="00735388" w:rsidRDefault="00513A06" w:rsidP="000B6B93">
            <w:pPr>
              <w:pStyle w:val="ListParagraph"/>
              <w:numPr>
                <w:ilvl w:val="1"/>
                <w:numId w:val="54"/>
              </w:numPr>
              <w:rPr>
                <w:rFonts w:eastAsia="Times New Roman"/>
                <w:sz w:val="20"/>
                <w:szCs w:val="20"/>
                <w:lang w:eastAsia="en-GB"/>
              </w:rPr>
            </w:pPr>
            <w:r>
              <w:rPr>
                <w:sz w:val="20"/>
                <w:szCs w:val="20"/>
              </w:rPr>
              <w:t xml:space="preserve">Alongside global consistency of regulatory frameworks, AFME believes the testing of innovative technologies across multiple jurisdictions should be accelerated in </w:t>
            </w:r>
            <w:r w:rsidR="005D5F62">
              <w:rPr>
                <w:sz w:val="20"/>
                <w:szCs w:val="20"/>
              </w:rPr>
              <w:t xml:space="preserve">the </w:t>
            </w:r>
            <w:r>
              <w:rPr>
                <w:sz w:val="20"/>
                <w:szCs w:val="20"/>
              </w:rPr>
              <w:t>EU</w:t>
            </w:r>
            <w:r w:rsidR="00B83338">
              <w:rPr>
                <w:sz w:val="20"/>
                <w:szCs w:val="20"/>
              </w:rPr>
              <w:t>.  This will</w:t>
            </w:r>
            <w:r>
              <w:rPr>
                <w:sz w:val="20"/>
                <w:szCs w:val="20"/>
              </w:rPr>
              <w:t xml:space="preserve"> </w:t>
            </w:r>
            <w:r w:rsidRPr="008350B9">
              <w:rPr>
                <w:rFonts w:eastAsia="Times New Roman"/>
                <w:sz w:val="20"/>
                <w:szCs w:val="20"/>
                <w:lang w:eastAsia="en-GB"/>
              </w:rPr>
              <w:t>ensure adequate and consistent levels of knowledge and understanding of innovation subject matter</w:t>
            </w:r>
            <w:r w:rsidR="00B83338">
              <w:rPr>
                <w:rFonts w:eastAsia="Times New Roman"/>
                <w:sz w:val="20"/>
                <w:szCs w:val="20"/>
                <w:lang w:eastAsia="en-GB"/>
              </w:rPr>
              <w:t>s</w:t>
            </w:r>
            <w:r>
              <w:rPr>
                <w:rFonts w:eastAsia="Times New Roman"/>
                <w:sz w:val="20"/>
                <w:szCs w:val="20"/>
                <w:lang w:eastAsia="en-GB"/>
              </w:rPr>
              <w:t xml:space="preserve"> globally. </w:t>
            </w:r>
            <w:r w:rsidR="0071358C">
              <w:rPr>
                <w:rFonts w:eastAsia="Times New Roman"/>
                <w:sz w:val="20"/>
                <w:szCs w:val="20"/>
                <w:lang w:eastAsia="en-GB"/>
              </w:rPr>
              <w:t xml:space="preserve"> </w:t>
            </w:r>
            <w:r>
              <w:rPr>
                <w:sz w:val="20"/>
                <w:szCs w:val="20"/>
                <w:lang w:eastAsia="en-GB"/>
              </w:rPr>
              <w:t xml:space="preserve">Efforts </w:t>
            </w:r>
            <w:r w:rsidRPr="008350B9">
              <w:rPr>
                <w:sz w:val="20"/>
                <w:szCs w:val="20"/>
              </w:rPr>
              <w:t>should focus on facilitating knowledge sharing</w:t>
            </w:r>
            <w:r>
              <w:rPr>
                <w:sz w:val="20"/>
                <w:szCs w:val="20"/>
              </w:rPr>
              <w:t xml:space="preserve">, </w:t>
            </w:r>
            <w:r w:rsidRPr="008350B9">
              <w:rPr>
                <w:sz w:val="20"/>
                <w:szCs w:val="20"/>
              </w:rPr>
              <w:t xml:space="preserve">education between regulators </w:t>
            </w:r>
            <w:r>
              <w:rPr>
                <w:sz w:val="20"/>
                <w:szCs w:val="20"/>
              </w:rPr>
              <w:t xml:space="preserve">and </w:t>
            </w:r>
            <w:r w:rsidRPr="008350B9">
              <w:rPr>
                <w:sz w:val="20"/>
                <w:szCs w:val="20"/>
              </w:rPr>
              <w:t xml:space="preserve">a wider network of </w:t>
            </w:r>
            <w:r>
              <w:rPr>
                <w:sz w:val="20"/>
                <w:szCs w:val="20"/>
              </w:rPr>
              <w:t xml:space="preserve">market </w:t>
            </w:r>
            <w:r w:rsidRPr="008350B9">
              <w:rPr>
                <w:sz w:val="20"/>
                <w:szCs w:val="20"/>
              </w:rPr>
              <w:t xml:space="preserve">participants, and joint </w:t>
            </w:r>
            <w:r>
              <w:rPr>
                <w:sz w:val="20"/>
                <w:szCs w:val="20"/>
              </w:rPr>
              <w:t xml:space="preserve">work </w:t>
            </w:r>
            <w:r w:rsidRPr="008350B9">
              <w:rPr>
                <w:sz w:val="20"/>
                <w:szCs w:val="20"/>
              </w:rPr>
              <w:t xml:space="preserve">on policy and regulatory requirements applied to innovative </w:t>
            </w:r>
            <w:r>
              <w:rPr>
                <w:sz w:val="20"/>
                <w:szCs w:val="20"/>
              </w:rPr>
              <w:t>technologies</w:t>
            </w:r>
            <w:r w:rsidR="00D64E4C">
              <w:rPr>
                <w:sz w:val="20"/>
                <w:szCs w:val="20"/>
              </w:rPr>
              <w:t xml:space="preserve">, </w:t>
            </w:r>
            <w:r w:rsidR="00EE2CE3">
              <w:rPr>
                <w:sz w:val="20"/>
                <w:szCs w:val="20"/>
              </w:rPr>
              <w:t xml:space="preserve">ensuring they are safely implemented.  </w:t>
            </w:r>
            <w:r w:rsidRPr="00735388">
              <w:rPr>
                <w:sz w:val="20"/>
                <w:szCs w:val="20"/>
              </w:rPr>
              <w:t>AFME is supportive of global initiatives such as the BIS Innovation hub</w:t>
            </w:r>
            <w:r>
              <w:rPr>
                <w:rStyle w:val="FootnoteReference"/>
                <w:sz w:val="20"/>
                <w:szCs w:val="20"/>
              </w:rPr>
              <w:footnoteReference w:id="1"/>
            </w:r>
            <w:r w:rsidRPr="00735388">
              <w:rPr>
                <w:sz w:val="20"/>
                <w:szCs w:val="20"/>
              </w:rPr>
              <w:t>, the Global Financial Innovation Network (GFIN)</w:t>
            </w:r>
            <w:r>
              <w:rPr>
                <w:rStyle w:val="FootnoteReference"/>
                <w:sz w:val="20"/>
                <w:szCs w:val="20"/>
              </w:rPr>
              <w:footnoteReference w:id="2"/>
            </w:r>
            <w:r w:rsidRPr="00735388">
              <w:rPr>
                <w:sz w:val="20"/>
                <w:szCs w:val="20"/>
              </w:rPr>
              <w:t xml:space="preserve"> </w:t>
            </w:r>
            <w:r w:rsidR="00B83338">
              <w:rPr>
                <w:sz w:val="20"/>
                <w:szCs w:val="20"/>
              </w:rPr>
              <w:t>and</w:t>
            </w:r>
            <w:r w:rsidR="00B83338" w:rsidRPr="00735388">
              <w:rPr>
                <w:sz w:val="20"/>
                <w:szCs w:val="20"/>
              </w:rPr>
              <w:t xml:space="preserve"> </w:t>
            </w:r>
            <w:r w:rsidRPr="00735388">
              <w:rPr>
                <w:sz w:val="20"/>
                <w:szCs w:val="20"/>
              </w:rPr>
              <w:t>the International Association for Trusted Blockchain Applications (INATBA)</w:t>
            </w:r>
            <w:r>
              <w:rPr>
                <w:rStyle w:val="FootnoteReference"/>
                <w:sz w:val="20"/>
                <w:szCs w:val="20"/>
              </w:rPr>
              <w:footnoteReference w:id="3"/>
            </w:r>
            <w:r w:rsidR="00B83338">
              <w:rPr>
                <w:sz w:val="20"/>
                <w:szCs w:val="20"/>
              </w:rPr>
              <w:t>,</w:t>
            </w:r>
            <w:r w:rsidR="005D5F62">
              <w:rPr>
                <w:sz w:val="20"/>
                <w:szCs w:val="20"/>
              </w:rPr>
              <w:t xml:space="preserve"> and encourages the </w:t>
            </w:r>
            <w:r w:rsidR="005D5F62" w:rsidRPr="005D5F62">
              <w:rPr>
                <w:sz w:val="20"/>
                <w:szCs w:val="20"/>
              </w:rPr>
              <w:t>European Forum for Innovation Facilitators (EFIF)</w:t>
            </w:r>
            <w:r w:rsidR="005D5F62">
              <w:rPr>
                <w:rStyle w:val="FootnoteReference"/>
                <w:sz w:val="20"/>
                <w:szCs w:val="20"/>
              </w:rPr>
              <w:footnoteReference w:id="4"/>
            </w:r>
            <w:r w:rsidR="005D5F62">
              <w:rPr>
                <w:sz w:val="20"/>
                <w:szCs w:val="20"/>
              </w:rPr>
              <w:t xml:space="preserve"> to take part in relevant forums </w:t>
            </w:r>
            <w:r w:rsidR="00AA736F">
              <w:rPr>
                <w:sz w:val="20"/>
                <w:szCs w:val="20"/>
              </w:rPr>
              <w:t xml:space="preserve">for the </w:t>
            </w:r>
            <w:r w:rsidR="005D5F62">
              <w:rPr>
                <w:sz w:val="20"/>
                <w:szCs w:val="20"/>
              </w:rPr>
              <w:t xml:space="preserve">sharing </w:t>
            </w:r>
            <w:r w:rsidR="00AA736F">
              <w:rPr>
                <w:sz w:val="20"/>
                <w:szCs w:val="20"/>
              </w:rPr>
              <w:t xml:space="preserve">of </w:t>
            </w:r>
            <w:r w:rsidR="005D5F62">
              <w:rPr>
                <w:sz w:val="20"/>
                <w:szCs w:val="20"/>
              </w:rPr>
              <w:t>lessons learned</w:t>
            </w:r>
            <w:r w:rsidR="00AA736F">
              <w:rPr>
                <w:sz w:val="20"/>
                <w:szCs w:val="20"/>
              </w:rPr>
              <w:t xml:space="preserve"> related to innovative technologies</w:t>
            </w:r>
            <w:r w:rsidR="005D5F62">
              <w:rPr>
                <w:sz w:val="20"/>
                <w:szCs w:val="20"/>
              </w:rPr>
              <w:t>.</w:t>
            </w:r>
          </w:p>
          <w:p w14:paraId="6C976E7F" w14:textId="77777777" w:rsidR="003502F7" w:rsidRDefault="003502F7" w:rsidP="00AF6407">
            <w:pPr>
              <w:pStyle w:val="ListParagraph"/>
              <w:rPr>
                <w:rFonts w:eastAsia="Times New Roman"/>
                <w:b/>
                <w:bCs/>
                <w:i/>
                <w:iCs/>
                <w:sz w:val="20"/>
                <w:szCs w:val="20"/>
                <w:lang w:eastAsia="en-GB"/>
              </w:rPr>
            </w:pPr>
          </w:p>
          <w:p w14:paraId="0C9E449A" w14:textId="6B566617" w:rsidR="003502F7" w:rsidRDefault="003502F7" w:rsidP="006273E5">
            <w:pPr>
              <w:pStyle w:val="ListParagraph"/>
              <w:numPr>
                <w:ilvl w:val="0"/>
                <w:numId w:val="54"/>
              </w:numPr>
              <w:rPr>
                <w:rFonts w:eastAsia="Times New Roman"/>
                <w:b/>
                <w:bCs/>
                <w:i/>
                <w:iCs/>
                <w:sz w:val="20"/>
                <w:szCs w:val="20"/>
                <w:lang w:eastAsia="en-GB"/>
              </w:rPr>
            </w:pPr>
            <w:r>
              <w:rPr>
                <w:rFonts w:eastAsia="Times New Roman"/>
                <w:b/>
                <w:bCs/>
                <w:i/>
                <w:iCs/>
                <w:sz w:val="20"/>
                <w:szCs w:val="20"/>
                <w:lang w:eastAsia="en-GB"/>
              </w:rPr>
              <w:t xml:space="preserve">To establish a truly accommodative regulatory framework for technology innovation, </w:t>
            </w:r>
            <w:r w:rsidRPr="005E0DDE">
              <w:rPr>
                <w:rFonts w:eastAsia="Times New Roman"/>
                <w:b/>
                <w:bCs/>
                <w:i/>
                <w:iCs/>
                <w:sz w:val="20"/>
                <w:szCs w:val="20"/>
                <w:lang w:eastAsia="en-GB"/>
              </w:rPr>
              <w:t xml:space="preserve">AFME </w:t>
            </w:r>
            <w:r>
              <w:rPr>
                <w:rFonts w:eastAsia="Times New Roman"/>
                <w:b/>
                <w:bCs/>
                <w:i/>
                <w:iCs/>
                <w:sz w:val="20"/>
                <w:szCs w:val="20"/>
                <w:lang w:eastAsia="en-GB"/>
              </w:rPr>
              <w:t xml:space="preserve">recommends </w:t>
            </w:r>
            <w:r w:rsidRPr="005E0DDE">
              <w:rPr>
                <w:rFonts w:eastAsia="Times New Roman"/>
                <w:b/>
                <w:bCs/>
                <w:i/>
                <w:iCs/>
                <w:sz w:val="20"/>
                <w:szCs w:val="20"/>
                <w:lang w:eastAsia="en-GB"/>
              </w:rPr>
              <w:t xml:space="preserve">the </w:t>
            </w:r>
            <w:r w:rsidRPr="005459DF">
              <w:rPr>
                <w:rFonts w:eastAsia="Times New Roman"/>
                <w:b/>
                <w:bCs/>
                <w:i/>
                <w:iCs/>
                <w:sz w:val="20"/>
                <w:szCs w:val="20"/>
                <w:lang w:eastAsia="en-GB"/>
              </w:rPr>
              <w:t>European</w:t>
            </w:r>
            <w:r w:rsidRPr="000D2013">
              <w:rPr>
                <w:rFonts w:eastAsia="Times New Roman"/>
                <w:sz w:val="20"/>
                <w:szCs w:val="20"/>
                <w:lang w:eastAsia="en-GB"/>
              </w:rPr>
              <w:t xml:space="preserve"> </w:t>
            </w:r>
            <w:r w:rsidRPr="005E0DDE">
              <w:rPr>
                <w:rFonts w:eastAsia="Times New Roman"/>
                <w:b/>
                <w:bCs/>
                <w:i/>
                <w:iCs/>
                <w:sz w:val="20"/>
                <w:szCs w:val="20"/>
                <w:lang w:eastAsia="en-GB"/>
              </w:rPr>
              <w:t xml:space="preserve">Commission </w:t>
            </w:r>
            <w:r>
              <w:rPr>
                <w:rFonts w:eastAsia="Times New Roman"/>
                <w:b/>
                <w:bCs/>
                <w:i/>
                <w:iCs/>
                <w:sz w:val="20"/>
                <w:szCs w:val="20"/>
                <w:lang w:eastAsia="en-GB"/>
              </w:rPr>
              <w:t xml:space="preserve">develop a clear strategic vision and make progress on increasing the </w:t>
            </w:r>
            <w:r w:rsidRPr="00053D55">
              <w:rPr>
                <w:rFonts w:eastAsia="Times New Roman"/>
                <w:b/>
                <w:bCs/>
                <w:i/>
                <w:iCs/>
                <w:sz w:val="20"/>
                <w:szCs w:val="20"/>
                <w:lang w:eastAsia="en-GB"/>
              </w:rPr>
              <w:t>uptake of innovative technologies in the financial sector</w:t>
            </w:r>
            <w:r>
              <w:rPr>
                <w:rFonts w:eastAsia="Times New Roman"/>
                <w:b/>
                <w:bCs/>
                <w:i/>
                <w:iCs/>
                <w:sz w:val="20"/>
                <w:szCs w:val="20"/>
                <w:lang w:eastAsia="en-GB"/>
              </w:rPr>
              <w:t>.</w:t>
            </w:r>
          </w:p>
          <w:p w14:paraId="2EBA9233" w14:textId="6514E7D8" w:rsidR="003502F7" w:rsidRPr="00735388" w:rsidRDefault="006273E5">
            <w:pPr>
              <w:pStyle w:val="ListParagraph"/>
              <w:numPr>
                <w:ilvl w:val="1"/>
                <w:numId w:val="54"/>
              </w:numPr>
              <w:rPr>
                <w:sz w:val="20"/>
                <w:szCs w:val="20"/>
              </w:rPr>
            </w:pPr>
            <w:r w:rsidRPr="001803BB">
              <w:rPr>
                <w:sz w:val="20"/>
                <w:szCs w:val="20"/>
              </w:rPr>
              <w:t xml:space="preserve">First, </w:t>
            </w:r>
            <w:r w:rsidR="003502F7" w:rsidRPr="001803BB">
              <w:rPr>
                <w:sz w:val="20"/>
                <w:szCs w:val="20"/>
              </w:rPr>
              <w:t xml:space="preserve">AFME recommends the European Commission develop a clear strategic vision for the digital transformation of the EU financial sector.  </w:t>
            </w:r>
            <w:r w:rsidR="00A47A42">
              <w:rPr>
                <w:sz w:val="20"/>
                <w:szCs w:val="20"/>
              </w:rPr>
              <w:t xml:space="preserve">Currently it is not clear how the various policies initiated </w:t>
            </w:r>
            <w:r w:rsidR="001803BB" w:rsidRPr="001803BB">
              <w:rPr>
                <w:sz w:val="20"/>
                <w:szCs w:val="20"/>
              </w:rPr>
              <w:t>by the European Commission in 2020 (e.g. a digital operational resilience framework for financial services</w:t>
            </w:r>
            <w:r w:rsidR="001803BB" w:rsidRPr="00AF6407">
              <w:rPr>
                <w:sz w:val="22"/>
                <w:szCs w:val="22"/>
                <w:vertAlign w:val="superscript"/>
              </w:rPr>
              <w:footnoteReference w:id="5"/>
            </w:r>
            <w:r w:rsidR="001803BB" w:rsidRPr="001803BB">
              <w:rPr>
                <w:sz w:val="20"/>
                <w:szCs w:val="20"/>
              </w:rPr>
              <w:t>, an EU framework for markets in crypto-assets</w:t>
            </w:r>
            <w:r w:rsidR="001803BB" w:rsidRPr="00AF6407">
              <w:rPr>
                <w:sz w:val="22"/>
                <w:szCs w:val="22"/>
                <w:vertAlign w:val="superscript"/>
              </w:rPr>
              <w:footnoteReference w:id="6"/>
            </w:r>
            <w:r w:rsidR="00A47A42">
              <w:rPr>
                <w:sz w:val="20"/>
                <w:szCs w:val="20"/>
              </w:rPr>
              <w:t xml:space="preserve">, </w:t>
            </w:r>
            <w:r w:rsidR="00A47A42" w:rsidRPr="001803BB">
              <w:rPr>
                <w:sz w:val="20"/>
                <w:szCs w:val="20"/>
              </w:rPr>
              <w:t>a European strategy for data</w:t>
            </w:r>
            <w:r w:rsidR="00A47A42" w:rsidRPr="00AF6407">
              <w:rPr>
                <w:sz w:val="22"/>
                <w:szCs w:val="22"/>
                <w:vertAlign w:val="superscript"/>
              </w:rPr>
              <w:footnoteReference w:id="7"/>
            </w:r>
            <w:r w:rsidR="00A47A42" w:rsidRPr="001803BB">
              <w:rPr>
                <w:sz w:val="20"/>
                <w:szCs w:val="20"/>
              </w:rPr>
              <w:t>, a white paper on artificial intelligence</w:t>
            </w:r>
            <w:r w:rsidR="00A47A42" w:rsidRPr="00AF6407">
              <w:rPr>
                <w:sz w:val="22"/>
                <w:szCs w:val="22"/>
                <w:vertAlign w:val="superscript"/>
              </w:rPr>
              <w:footnoteReference w:id="8"/>
            </w:r>
            <w:r w:rsidR="00A47A42" w:rsidRPr="001803BB">
              <w:rPr>
                <w:sz w:val="20"/>
                <w:szCs w:val="20"/>
              </w:rPr>
              <w:t>, standard contractual clauses for cloud use by financial institutions</w:t>
            </w:r>
            <w:r w:rsidR="00A47A42" w:rsidRPr="00AF6407">
              <w:rPr>
                <w:sz w:val="22"/>
                <w:szCs w:val="22"/>
                <w:vertAlign w:val="superscript"/>
              </w:rPr>
              <w:footnoteReference w:id="9"/>
            </w:r>
            <w:r w:rsidR="00A47A42" w:rsidRPr="001803BB">
              <w:rPr>
                <w:sz w:val="20"/>
                <w:szCs w:val="20"/>
              </w:rPr>
              <w:t>)</w:t>
            </w:r>
            <w:r w:rsidR="00A47A42">
              <w:rPr>
                <w:sz w:val="20"/>
                <w:szCs w:val="20"/>
              </w:rPr>
              <w:t xml:space="preserve">, </w:t>
            </w:r>
            <w:r w:rsidR="00A47A42" w:rsidRPr="001803BB">
              <w:rPr>
                <w:sz w:val="20"/>
                <w:szCs w:val="20"/>
              </w:rPr>
              <w:t>complement</w:t>
            </w:r>
            <w:r w:rsidR="00A47A42">
              <w:rPr>
                <w:sz w:val="20"/>
                <w:szCs w:val="20"/>
              </w:rPr>
              <w:t>/interact with</w:t>
            </w:r>
            <w:r w:rsidR="00A47A42" w:rsidRPr="001803BB">
              <w:rPr>
                <w:sz w:val="20"/>
                <w:szCs w:val="20"/>
              </w:rPr>
              <w:t xml:space="preserve"> each other </w:t>
            </w:r>
            <w:r w:rsidR="00A47A42">
              <w:rPr>
                <w:sz w:val="20"/>
                <w:szCs w:val="20"/>
              </w:rPr>
              <w:t xml:space="preserve">or build on </w:t>
            </w:r>
            <w:r w:rsidR="001803BB" w:rsidRPr="001803BB">
              <w:rPr>
                <w:sz w:val="20"/>
                <w:szCs w:val="20"/>
              </w:rPr>
              <w:t>from previous achievements (e.g. FinTech action plan</w:t>
            </w:r>
            <w:r w:rsidR="001803BB" w:rsidRPr="00AF6407">
              <w:rPr>
                <w:sz w:val="22"/>
                <w:szCs w:val="22"/>
                <w:vertAlign w:val="superscript"/>
              </w:rPr>
              <w:footnoteReference w:id="10"/>
            </w:r>
            <w:r w:rsidR="008A37FB">
              <w:rPr>
                <w:sz w:val="20"/>
                <w:szCs w:val="20"/>
              </w:rPr>
              <w:t>, ROFIEG report</w:t>
            </w:r>
            <w:r w:rsidR="008A37FB">
              <w:rPr>
                <w:rStyle w:val="FootnoteReference"/>
                <w:sz w:val="20"/>
                <w:szCs w:val="20"/>
              </w:rPr>
              <w:footnoteReference w:id="11"/>
            </w:r>
            <w:r w:rsidR="001803BB" w:rsidRPr="001803BB">
              <w:rPr>
                <w:sz w:val="20"/>
                <w:szCs w:val="20"/>
              </w:rPr>
              <w:t>).</w:t>
            </w:r>
            <w:r w:rsidR="001803BB">
              <w:rPr>
                <w:sz w:val="20"/>
                <w:szCs w:val="20"/>
              </w:rPr>
              <w:t xml:space="preserve"> </w:t>
            </w:r>
            <w:r w:rsidR="007E238E">
              <w:rPr>
                <w:sz w:val="20"/>
                <w:szCs w:val="20"/>
              </w:rPr>
              <w:t xml:space="preserve"> </w:t>
            </w:r>
            <w:r w:rsidR="001803BB">
              <w:rPr>
                <w:sz w:val="20"/>
                <w:szCs w:val="20"/>
              </w:rPr>
              <w:t>I</w:t>
            </w:r>
            <w:r w:rsidR="003502F7" w:rsidRPr="00735388">
              <w:rPr>
                <w:sz w:val="20"/>
                <w:szCs w:val="20"/>
              </w:rPr>
              <w:t>n particular</w:t>
            </w:r>
            <w:r w:rsidR="001803BB">
              <w:rPr>
                <w:sz w:val="20"/>
                <w:szCs w:val="20"/>
              </w:rPr>
              <w:t xml:space="preserve">, </w:t>
            </w:r>
            <w:r w:rsidR="003502F7" w:rsidRPr="00735388">
              <w:rPr>
                <w:sz w:val="20"/>
                <w:szCs w:val="20"/>
              </w:rPr>
              <w:t xml:space="preserve">similar questions are repeated in different consultations (e.g. on data, artificial intelligence, third party oversight), thus creating confusion. </w:t>
            </w:r>
            <w:r w:rsidR="007E238E">
              <w:rPr>
                <w:sz w:val="20"/>
                <w:szCs w:val="20"/>
              </w:rPr>
              <w:t xml:space="preserve"> </w:t>
            </w:r>
            <w:r w:rsidR="008D2F79">
              <w:rPr>
                <w:sz w:val="20"/>
                <w:szCs w:val="20"/>
              </w:rPr>
              <w:t>Similarly</w:t>
            </w:r>
            <w:r w:rsidR="00A47A42">
              <w:rPr>
                <w:sz w:val="20"/>
                <w:szCs w:val="20"/>
              </w:rPr>
              <w:t xml:space="preserve">, it is not </w:t>
            </w:r>
            <w:r w:rsidR="008D2F79">
              <w:rPr>
                <w:sz w:val="20"/>
                <w:szCs w:val="20"/>
              </w:rPr>
              <w:t xml:space="preserve">explicit </w:t>
            </w:r>
            <w:r w:rsidR="00A47A42">
              <w:rPr>
                <w:sz w:val="20"/>
                <w:szCs w:val="20"/>
              </w:rPr>
              <w:t xml:space="preserve">how the different Directorate Generals (DGs) </w:t>
            </w:r>
            <w:r w:rsidR="00E9615C">
              <w:rPr>
                <w:sz w:val="20"/>
                <w:szCs w:val="20"/>
              </w:rPr>
              <w:t xml:space="preserve">may </w:t>
            </w:r>
            <w:r w:rsidR="00A47A42">
              <w:rPr>
                <w:sz w:val="20"/>
                <w:szCs w:val="20"/>
              </w:rPr>
              <w:t xml:space="preserve">collaborate or </w:t>
            </w:r>
            <w:r w:rsidR="00F9406A">
              <w:rPr>
                <w:sz w:val="20"/>
                <w:szCs w:val="20"/>
              </w:rPr>
              <w:t xml:space="preserve">oversee </w:t>
            </w:r>
            <w:r w:rsidR="008D2F79">
              <w:rPr>
                <w:sz w:val="20"/>
                <w:szCs w:val="20"/>
              </w:rPr>
              <w:t xml:space="preserve">the </w:t>
            </w:r>
            <w:r w:rsidR="00F9406A">
              <w:rPr>
                <w:sz w:val="20"/>
                <w:szCs w:val="20"/>
              </w:rPr>
              <w:t>policies</w:t>
            </w:r>
            <w:r w:rsidR="008D2F79">
              <w:rPr>
                <w:sz w:val="20"/>
                <w:szCs w:val="20"/>
              </w:rPr>
              <w:t xml:space="preserve"> proposed</w:t>
            </w:r>
            <w:r w:rsidR="00EE2CE3">
              <w:rPr>
                <w:sz w:val="20"/>
                <w:szCs w:val="20"/>
              </w:rPr>
              <w:t xml:space="preserve">, </w:t>
            </w:r>
            <w:proofErr w:type="gramStart"/>
            <w:r w:rsidR="00EE2CE3">
              <w:rPr>
                <w:sz w:val="20"/>
                <w:szCs w:val="20"/>
              </w:rPr>
              <w:t xml:space="preserve">in particular </w:t>
            </w:r>
            <w:r w:rsidR="007E238E">
              <w:rPr>
                <w:sz w:val="20"/>
                <w:szCs w:val="20"/>
              </w:rPr>
              <w:t>if</w:t>
            </w:r>
            <w:proofErr w:type="gramEnd"/>
            <w:r w:rsidR="007E238E">
              <w:rPr>
                <w:sz w:val="20"/>
                <w:szCs w:val="20"/>
              </w:rPr>
              <w:t xml:space="preserve"> </w:t>
            </w:r>
            <w:r w:rsidR="00EE2CE3">
              <w:rPr>
                <w:sz w:val="20"/>
                <w:szCs w:val="20"/>
              </w:rPr>
              <w:t xml:space="preserve">horizontal policies </w:t>
            </w:r>
            <w:r w:rsidR="007E238E">
              <w:rPr>
                <w:sz w:val="20"/>
                <w:szCs w:val="20"/>
              </w:rPr>
              <w:t xml:space="preserve">that apply across sectors, </w:t>
            </w:r>
            <w:r w:rsidR="00EE2CE3">
              <w:rPr>
                <w:sz w:val="20"/>
                <w:szCs w:val="20"/>
              </w:rPr>
              <w:t xml:space="preserve">interact with </w:t>
            </w:r>
            <w:r w:rsidR="007E238E">
              <w:rPr>
                <w:sz w:val="20"/>
                <w:szCs w:val="20"/>
              </w:rPr>
              <w:t xml:space="preserve">specific </w:t>
            </w:r>
            <w:r w:rsidR="00EE2CE3">
              <w:rPr>
                <w:sz w:val="20"/>
                <w:szCs w:val="20"/>
              </w:rPr>
              <w:t>financial services requirements</w:t>
            </w:r>
            <w:r w:rsidR="007E238E">
              <w:rPr>
                <w:sz w:val="20"/>
                <w:szCs w:val="20"/>
              </w:rPr>
              <w:t>.</w:t>
            </w:r>
            <w:r w:rsidR="00A47A42">
              <w:rPr>
                <w:sz w:val="20"/>
                <w:szCs w:val="20"/>
              </w:rPr>
              <w:t xml:space="preserve"> </w:t>
            </w:r>
            <w:r w:rsidR="003A5111">
              <w:rPr>
                <w:sz w:val="20"/>
                <w:szCs w:val="20"/>
              </w:rPr>
              <w:t xml:space="preserve"> </w:t>
            </w:r>
          </w:p>
          <w:p w14:paraId="4489E760" w14:textId="53135D19" w:rsidR="006273E5" w:rsidRPr="001C6513" w:rsidRDefault="006273E5" w:rsidP="006273E5">
            <w:pPr>
              <w:pStyle w:val="ListParagraph"/>
              <w:numPr>
                <w:ilvl w:val="1"/>
                <w:numId w:val="54"/>
              </w:numPr>
              <w:spacing w:after="120"/>
              <w:rPr>
                <w:sz w:val="20"/>
                <w:szCs w:val="20"/>
              </w:rPr>
            </w:pPr>
            <w:r w:rsidRPr="001C6513">
              <w:rPr>
                <w:sz w:val="20"/>
                <w:szCs w:val="20"/>
              </w:rPr>
              <w:t xml:space="preserve">Second, AFME recommends the European Commission develop a 'roadmap' to </w:t>
            </w:r>
            <w:r w:rsidR="003A5111">
              <w:rPr>
                <w:sz w:val="20"/>
                <w:szCs w:val="20"/>
              </w:rPr>
              <w:t xml:space="preserve">support </w:t>
            </w:r>
            <w:r w:rsidRPr="001C6513">
              <w:rPr>
                <w:sz w:val="20"/>
                <w:szCs w:val="20"/>
              </w:rPr>
              <w:t xml:space="preserve">the strategic vision and incrementally </w:t>
            </w:r>
            <w:r w:rsidR="003A5111">
              <w:rPr>
                <w:sz w:val="20"/>
                <w:szCs w:val="20"/>
              </w:rPr>
              <w:t xml:space="preserve">deliver </w:t>
            </w:r>
            <w:r w:rsidRPr="001C6513">
              <w:rPr>
                <w:sz w:val="20"/>
                <w:szCs w:val="20"/>
              </w:rPr>
              <w:t xml:space="preserve">a truly accommodative regulatory framework for </w:t>
            </w:r>
            <w:r w:rsidRPr="001C6513">
              <w:rPr>
                <w:sz w:val="20"/>
                <w:szCs w:val="20"/>
              </w:rPr>
              <w:lastRenderedPageBreak/>
              <w:t xml:space="preserve">technology innovation.  A 'roadmap' would provide additional clarity and support the coordination of efforts between various European market participants and EU/Member State level </w:t>
            </w:r>
            <w:r w:rsidR="00C30695">
              <w:rPr>
                <w:sz w:val="20"/>
                <w:szCs w:val="20"/>
              </w:rPr>
              <w:t>authorities</w:t>
            </w:r>
            <w:r w:rsidRPr="001C6513">
              <w:rPr>
                <w:sz w:val="20"/>
                <w:szCs w:val="20"/>
              </w:rPr>
              <w:t xml:space="preserve">, fostering common understanding of EU shared goals, removing duplicative or potentially conflicting European policy initiatives. </w:t>
            </w:r>
          </w:p>
          <w:p w14:paraId="797E24CA" w14:textId="1E9D1A8C" w:rsidR="006273E5" w:rsidRDefault="006273E5" w:rsidP="006273E5">
            <w:pPr>
              <w:pStyle w:val="ListParagraph"/>
              <w:numPr>
                <w:ilvl w:val="1"/>
                <w:numId w:val="54"/>
              </w:numPr>
              <w:spacing w:after="120"/>
              <w:rPr>
                <w:sz w:val="20"/>
                <w:szCs w:val="20"/>
              </w:rPr>
            </w:pPr>
            <w:r>
              <w:rPr>
                <w:sz w:val="20"/>
                <w:szCs w:val="20"/>
              </w:rPr>
              <w:t>Third</w:t>
            </w:r>
            <w:r w:rsidRPr="001C6513">
              <w:rPr>
                <w:sz w:val="20"/>
                <w:szCs w:val="20"/>
              </w:rPr>
              <w:t>, AFME recommends the European Commission identif</w:t>
            </w:r>
            <w:r w:rsidR="005330BA">
              <w:rPr>
                <w:sz w:val="20"/>
                <w:szCs w:val="20"/>
              </w:rPr>
              <w:t>y</w:t>
            </w:r>
            <w:r w:rsidRPr="001C6513">
              <w:rPr>
                <w:sz w:val="20"/>
                <w:szCs w:val="20"/>
              </w:rPr>
              <w:t xml:space="preserve"> a list of targeted actions, based on a thorough analysis of past and current legislative proposals, that will deliver on the roadmap and strategic vision in the near to medium term.  Actions should focus on: </w:t>
            </w:r>
            <w:proofErr w:type="spellStart"/>
            <w:r w:rsidRPr="001C6513">
              <w:rPr>
                <w:sz w:val="20"/>
                <w:szCs w:val="20"/>
              </w:rPr>
              <w:t>i</w:t>
            </w:r>
            <w:proofErr w:type="spellEnd"/>
            <w:r w:rsidRPr="001C6513">
              <w:rPr>
                <w:sz w:val="20"/>
                <w:szCs w:val="20"/>
              </w:rPr>
              <w:t xml:space="preserve">/ removing barriers to innovation; ii/ addressing market failures; iii/ evolving the EU regulatory framework to become fit for the digital age.  Actions also should be measurable and reviewed </w:t>
            </w:r>
            <w:r w:rsidR="002C46CA">
              <w:rPr>
                <w:sz w:val="20"/>
                <w:szCs w:val="20"/>
              </w:rPr>
              <w:t xml:space="preserve">periodically, when relevant, </w:t>
            </w:r>
            <w:r w:rsidRPr="001C6513">
              <w:rPr>
                <w:sz w:val="20"/>
                <w:szCs w:val="20"/>
              </w:rPr>
              <w:t xml:space="preserve">to assess their effectiveness against the goals developed.   </w:t>
            </w:r>
          </w:p>
          <w:p w14:paraId="0DE54200" w14:textId="28E77268" w:rsidR="006273E5" w:rsidRPr="001C6513" w:rsidRDefault="006273E5" w:rsidP="006273E5">
            <w:pPr>
              <w:pStyle w:val="ListParagraph"/>
              <w:numPr>
                <w:ilvl w:val="1"/>
                <w:numId w:val="54"/>
              </w:numPr>
              <w:spacing w:after="120"/>
              <w:rPr>
                <w:sz w:val="20"/>
                <w:szCs w:val="20"/>
              </w:rPr>
            </w:pPr>
            <w:r>
              <w:rPr>
                <w:sz w:val="20"/>
                <w:szCs w:val="20"/>
              </w:rPr>
              <w:t xml:space="preserve">Finally, AFME recommends the </w:t>
            </w:r>
            <w:r w:rsidRPr="005459DF">
              <w:rPr>
                <w:sz w:val="20"/>
                <w:szCs w:val="20"/>
              </w:rPr>
              <w:t xml:space="preserve">European </w:t>
            </w:r>
            <w:r>
              <w:rPr>
                <w:sz w:val="20"/>
                <w:szCs w:val="20"/>
              </w:rPr>
              <w:t xml:space="preserve">Commission carefully assess the impact of current and proposed legislation on the competitiveness of financial </w:t>
            </w:r>
            <w:r w:rsidR="002500DC">
              <w:rPr>
                <w:sz w:val="20"/>
                <w:szCs w:val="20"/>
              </w:rPr>
              <w:t xml:space="preserve">services </w:t>
            </w:r>
            <w:r>
              <w:rPr>
                <w:sz w:val="20"/>
                <w:szCs w:val="20"/>
              </w:rPr>
              <w:t xml:space="preserve">firms.  EU legislations such as </w:t>
            </w:r>
            <w:r w:rsidR="005330BA">
              <w:rPr>
                <w:sz w:val="20"/>
                <w:szCs w:val="20"/>
              </w:rPr>
              <w:t>the EBA Material Risk Takers</w:t>
            </w:r>
            <w:r w:rsidR="005330BA">
              <w:rPr>
                <w:rStyle w:val="FootnoteReference"/>
                <w:sz w:val="20"/>
                <w:szCs w:val="20"/>
              </w:rPr>
              <w:footnoteReference w:id="12"/>
            </w:r>
            <w:r w:rsidR="005330BA">
              <w:rPr>
                <w:sz w:val="20"/>
                <w:szCs w:val="20"/>
              </w:rPr>
              <w:t>, the PSD2</w:t>
            </w:r>
            <w:r w:rsidR="005330BA">
              <w:rPr>
                <w:rStyle w:val="FootnoteReference"/>
                <w:sz w:val="20"/>
                <w:szCs w:val="20"/>
              </w:rPr>
              <w:footnoteReference w:id="13"/>
            </w:r>
            <w:r w:rsidR="00CC5EA5">
              <w:rPr>
                <w:sz w:val="20"/>
                <w:szCs w:val="20"/>
              </w:rPr>
              <w:t xml:space="preserve">, </w:t>
            </w:r>
            <w:r w:rsidR="005330BA">
              <w:rPr>
                <w:sz w:val="20"/>
                <w:szCs w:val="20"/>
              </w:rPr>
              <w:t xml:space="preserve">the </w:t>
            </w:r>
            <w:r w:rsidR="002500DC">
              <w:rPr>
                <w:sz w:val="20"/>
                <w:szCs w:val="20"/>
              </w:rPr>
              <w:t>p</w:t>
            </w:r>
            <w:r w:rsidR="005330BA">
              <w:rPr>
                <w:sz w:val="20"/>
                <w:szCs w:val="20"/>
              </w:rPr>
              <w:t>rudential treatment of innovation for banks</w:t>
            </w:r>
            <w:r>
              <w:rPr>
                <w:sz w:val="20"/>
                <w:szCs w:val="20"/>
              </w:rPr>
              <w:t xml:space="preserve">, </w:t>
            </w:r>
            <w:r w:rsidR="00CC5EA5" w:rsidRPr="00CC5EA5">
              <w:rPr>
                <w:sz w:val="20"/>
                <w:szCs w:val="20"/>
              </w:rPr>
              <w:t>rules and regulations requir</w:t>
            </w:r>
            <w:r w:rsidR="00CC5EA5">
              <w:rPr>
                <w:sz w:val="20"/>
                <w:szCs w:val="20"/>
              </w:rPr>
              <w:t>ing</w:t>
            </w:r>
            <w:r w:rsidR="00CC5EA5" w:rsidRPr="00CC5EA5">
              <w:rPr>
                <w:sz w:val="20"/>
                <w:szCs w:val="20"/>
              </w:rPr>
              <w:t xml:space="preserve"> wet signatures</w:t>
            </w:r>
            <w:r w:rsidR="00CC5EA5">
              <w:rPr>
                <w:sz w:val="20"/>
                <w:szCs w:val="20"/>
              </w:rPr>
              <w:t>/</w:t>
            </w:r>
            <w:r w:rsidR="00CC5EA5" w:rsidRPr="00CC5EA5">
              <w:rPr>
                <w:sz w:val="20"/>
                <w:szCs w:val="20"/>
              </w:rPr>
              <w:t xml:space="preserve">processing </w:t>
            </w:r>
            <w:r w:rsidR="00CC5EA5">
              <w:rPr>
                <w:sz w:val="20"/>
                <w:szCs w:val="20"/>
              </w:rPr>
              <w:t xml:space="preserve">or </w:t>
            </w:r>
            <w:r w:rsidR="00CC5EA5" w:rsidRPr="00CC5EA5">
              <w:rPr>
                <w:sz w:val="20"/>
                <w:szCs w:val="20"/>
              </w:rPr>
              <w:t>receiving physical documents</w:t>
            </w:r>
            <w:r w:rsidR="00CC5EA5">
              <w:rPr>
                <w:sz w:val="20"/>
                <w:szCs w:val="20"/>
              </w:rPr>
              <w:t>/</w:t>
            </w:r>
            <w:r w:rsidR="00CC5EA5" w:rsidRPr="00CC5EA5">
              <w:rPr>
                <w:sz w:val="20"/>
                <w:szCs w:val="20"/>
              </w:rPr>
              <w:t>in person voting and AGMs</w:t>
            </w:r>
            <w:r w:rsidR="00CC5EA5">
              <w:rPr>
                <w:sz w:val="20"/>
                <w:szCs w:val="20"/>
              </w:rPr>
              <w:t xml:space="preserve">, </w:t>
            </w:r>
            <w:r>
              <w:rPr>
                <w:sz w:val="20"/>
                <w:szCs w:val="20"/>
              </w:rPr>
              <w:t xml:space="preserve">may place </w:t>
            </w:r>
            <w:r w:rsidR="002500DC">
              <w:rPr>
                <w:sz w:val="20"/>
                <w:szCs w:val="20"/>
              </w:rPr>
              <w:t xml:space="preserve">an </w:t>
            </w:r>
            <w:r>
              <w:rPr>
                <w:sz w:val="20"/>
                <w:szCs w:val="20"/>
              </w:rPr>
              <w:t>additional burden (such as higher operational costs or barriers to innovation)</w:t>
            </w:r>
            <w:r w:rsidR="002500DC">
              <w:rPr>
                <w:sz w:val="20"/>
                <w:szCs w:val="20"/>
              </w:rPr>
              <w:t xml:space="preserve"> </w:t>
            </w:r>
            <w:r>
              <w:rPr>
                <w:sz w:val="20"/>
                <w:szCs w:val="20"/>
              </w:rPr>
              <w:t xml:space="preserve">compared to other market participants, </w:t>
            </w:r>
            <w:r w:rsidR="002500DC">
              <w:rPr>
                <w:sz w:val="20"/>
                <w:szCs w:val="20"/>
              </w:rPr>
              <w:t xml:space="preserve">thus </w:t>
            </w:r>
            <w:r>
              <w:rPr>
                <w:sz w:val="20"/>
                <w:szCs w:val="20"/>
              </w:rPr>
              <w:t xml:space="preserve">reducing </w:t>
            </w:r>
            <w:r w:rsidR="002500DC">
              <w:rPr>
                <w:sz w:val="20"/>
                <w:szCs w:val="20"/>
              </w:rPr>
              <w:t xml:space="preserve">financial services </w:t>
            </w:r>
            <w:r>
              <w:rPr>
                <w:sz w:val="20"/>
                <w:szCs w:val="20"/>
              </w:rPr>
              <w:t xml:space="preserve">firms’ ability to innovate and competitiveness over time. </w:t>
            </w:r>
            <w:r w:rsidR="002500DC">
              <w:rPr>
                <w:sz w:val="20"/>
                <w:szCs w:val="20"/>
              </w:rPr>
              <w:t xml:space="preserve"> </w:t>
            </w:r>
            <w:r>
              <w:rPr>
                <w:sz w:val="20"/>
                <w:szCs w:val="20"/>
              </w:rPr>
              <w:t xml:space="preserve">The Commission could conduct more frequent reviews of policies implemented, with the support of market </w:t>
            </w:r>
            <w:r w:rsidR="00C30695">
              <w:rPr>
                <w:sz w:val="20"/>
                <w:szCs w:val="20"/>
              </w:rPr>
              <w:t>participants</w:t>
            </w:r>
            <w:r>
              <w:rPr>
                <w:sz w:val="20"/>
                <w:szCs w:val="20"/>
              </w:rPr>
              <w:t>, to assess if policies developed have indeed met their objectives</w:t>
            </w:r>
          </w:p>
          <w:p w14:paraId="173E1A76" w14:textId="6D8ADC49" w:rsidR="006273E5" w:rsidRPr="005459DF" w:rsidRDefault="006273E5" w:rsidP="006273E5">
            <w:pPr>
              <w:pStyle w:val="ListParagraph"/>
              <w:numPr>
                <w:ilvl w:val="1"/>
                <w:numId w:val="54"/>
              </w:numPr>
              <w:rPr>
                <w:sz w:val="20"/>
                <w:szCs w:val="20"/>
              </w:rPr>
            </w:pPr>
            <w:r w:rsidRPr="001C6513">
              <w:rPr>
                <w:sz w:val="20"/>
                <w:szCs w:val="20"/>
              </w:rPr>
              <w:t xml:space="preserve">AFME believes that these </w:t>
            </w:r>
            <w:r>
              <w:rPr>
                <w:sz w:val="20"/>
                <w:szCs w:val="20"/>
              </w:rPr>
              <w:t xml:space="preserve">four </w:t>
            </w:r>
            <w:r w:rsidRPr="001C6513">
              <w:rPr>
                <w:sz w:val="20"/>
                <w:szCs w:val="20"/>
              </w:rPr>
              <w:t>recommendations would support prioritisation of efforts and target areas with greatest benefits and impact, to deliver on the goals developed by the European Commission</w:t>
            </w:r>
            <w:r>
              <w:rPr>
                <w:sz w:val="20"/>
                <w:szCs w:val="20"/>
              </w:rPr>
              <w:t>.</w:t>
            </w:r>
          </w:p>
          <w:p w14:paraId="2504C5B5" w14:textId="77777777" w:rsidR="005B3476" w:rsidRPr="005B3476" w:rsidRDefault="005B3476" w:rsidP="00735388">
            <w:pPr>
              <w:pStyle w:val="ListParagraph"/>
              <w:ind w:left="1800"/>
              <w:rPr>
                <w:rFonts w:eastAsia="Times New Roman"/>
                <w:sz w:val="20"/>
                <w:szCs w:val="20"/>
                <w:lang w:eastAsia="en-GB"/>
              </w:rPr>
            </w:pPr>
          </w:p>
          <w:p w14:paraId="4C6E749D" w14:textId="77777777" w:rsidR="00AE7B34" w:rsidRPr="00AC28D4" w:rsidRDefault="00AE7B34" w:rsidP="006273E5">
            <w:pPr>
              <w:pStyle w:val="ListParagraph"/>
              <w:numPr>
                <w:ilvl w:val="0"/>
                <w:numId w:val="54"/>
              </w:numPr>
              <w:rPr>
                <w:rFonts w:eastAsia="Times New Roman"/>
                <w:i/>
                <w:iCs/>
                <w:sz w:val="20"/>
                <w:szCs w:val="20"/>
                <w:lang w:eastAsia="en-GB"/>
              </w:rPr>
            </w:pPr>
            <w:r>
              <w:rPr>
                <w:rFonts w:eastAsia="Times New Roman"/>
                <w:b/>
                <w:bCs/>
                <w:i/>
                <w:iCs/>
                <w:sz w:val="20"/>
                <w:szCs w:val="20"/>
                <w:lang w:eastAsia="en-GB"/>
              </w:rPr>
              <w:t>The</w:t>
            </w:r>
            <w:r w:rsidRPr="00AC0620">
              <w:rPr>
                <w:rFonts w:eastAsia="Times New Roman"/>
                <w:b/>
                <w:bCs/>
                <w:i/>
                <w:iCs/>
                <w:sz w:val="20"/>
                <w:szCs w:val="20"/>
                <w:lang w:eastAsia="en-GB"/>
              </w:rPr>
              <w:t xml:space="preserve"> EU regulatory framework </w:t>
            </w:r>
            <w:r>
              <w:rPr>
                <w:rFonts w:eastAsia="Times New Roman"/>
                <w:b/>
                <w:bCs/>
                <w:i/>
                <w:iCs/>
                <w:sz w:val="20"/>
                <w:szCs w:val="20"/>
                <w:lang w:eastAsia="en-GB"/>
              </w:rPr>
              <w:t>for supporting technology adoption and innovation must remain</w:t>
            </w:r>
            <w:r w:rsidRPr="00AC0620">
              <w:rPr>
                <w:rFonts w:eastAsia="Times New Roman"/>
                <w:b/>
                <w:bCs/>
                <w:i/>
                <w:iCs/>
                <w:sz w:val="20"/>
                <w:szCs w:val="20"/>
                <w:lang w:eastAsia="en-GB"/>
              </w:rPr>
              <w:t xml:space="preserve"> </w:t>
            </w:r>
            <w:r w:rsidRPr="00AC28D4">
              <w:rPr>
                <w:rFonts w:eastAsia="Times New Roman"/>
                <w:b/>
                <w:bCs/>
                <w:i/>
                <w:iCs/>
                <w:sz w:val="20"/>
                <w:szCs w:val="20"/>
                <w:lang w:eastAsia="en-GB"/>
              </w:rPr>
              <w:t xml:space="preserve">technology neutral and </w:t>
            </w:r>
            <w:r w:rsidRPr="00AC0620">
              <w:rPr>
                <w:rFonts w:eastAsia="Times New Roman"/>
                <w:b/>
                <w:bCs/>
                <w:i/>
                <w:iCs/>
                <w:sz w:val="20"/>
                <w:szCs w:val="20"/>
                <w:lang w:eastAsia="en-GB"/>
              </w:rPr>
              <w:t>principles based.</w:t>
            </w:r>
          </w:p>
          <w:p w14:paraId="447C7ECE" w14:textId="3DE02ED5" w:rsidR="00AE7B34" w:rsidRPr="00E233A4" w:rsidRDefault="00AE7B34" w:rsidP="006273E5">
            <w:pPr>
              <w:pStyle w:val="ListParagraph"/>
              <w:numPr>
                <w:ilvl w:val="1"/>
                <w:numId w:val="54"/>
              </w:numPr>
              <w:rPr>
                <w:rFonts w:eastAsia="Times New Roman"/>
                <w:sz w:val="20"/>
                <w:szCs w:val="20"/>
                <w:lang w:eastAsia="en-GB"/>
              </w:rPr>
            </w:pPr>
            <w:r w:rsidRPr="00E233A4">
              <w:rPr>
                <w:rFonts w:eastAsia="Times New Roman"/>
                <w:sz w:val="20"/>
                <w:szCs w:val="20"/>
                <w:lang w:eastAsia="en-GB"/>
              </w:rPr>
              <w:t>In line with global standard</w:t>
            </w:r>
            <w:r w:rsidR="003B2ACD">
              <w:rPr>
                <w:rFonts w:eastAsia="Times New Roman"/>
                <w:sz w:val="20"/>
                <w:szCs w:val="20"/>
                <w:lang w:eastAsia="en-GB"/>
              </w:rPr>
              <w:t>isation</w:t>
            </w:r>
            <w:r w:rsidRPr="00E233A4">
              <w:rPr>
                <w:rFonts w:eastAsia="Times New Roman"/>
                <w:sz w:val="20"/>
                <w:szCs w:val="20"/>
                <w:lang w:eastAsia="en-GB"/>
              </w:rPr>
              <w:t xml:space="preserve">, </w:t>
            </w:r>
            <w:r>
              <w:rPr>
                <w:rFonts w:eastAsia="Times New Roman"/>
                <w:sz w:val="20"/>
                <w:szCs w:val="20"/>
                <w:lang w:eastAsia="en-GB"/>
              </w:rPr>
              <w:t xml:space="preserve">technology neutrality and </w:t>
            </w:r>
            <w:r w:rsidRPr="00E233A4">
              <w:rPr>
                <w:rFonts w:eastAsia="Times New Roman"/>
                <w:sz w:val="20"/>
                <w:szCs w:val="20"/>
                <w:lang w:eastAsia="en-GB"/>
              </w:rPr>
              <w:t>principles-based legislation</w:t>
            </w:r>
            <w:r>
              <w:rPr>
                <w:rFonts w:eastAsia="Times New Roman"/>
                <w:sz w:val="20"/>
                <w:szCs w:val="20"/>
                <w:lang w:eastAsia="en-GB"/>
              </w:rPr>
              <w:t xml:space="preserve"> </w:t>
            </w:r>
            <w:r w:rsidRPr="00E233A4">
              <w:rPr>
                <w:rFonts w:eastAsia="Times New Roman"/>
                <w:sz w:val="20"/>
                <w:szCs w:val="20"/>
                <w:lang w:eastAsia="en-GB"/>
              </w:rPr>
              <w:t>provide the flexibility needed for firms to implement appropriate control</w:t>
            </w:r>
            <w:r w:rsidR="003B2ACD">
              <w:rPr>
                <w:rFonts w:eastAsia="Times New Roman"/>
                <w:sz w:val="20"/>
                <w:szCs w:val="20"/>
                <w:lang w:eastAsia="en-GB"/>
              </w:rPr>
              <w:t>, in a risk based and proportionate manner,</w:t>
            </w:r>
            <w:r>
              <w:rPr>
                <w:rFonts w:eastAsia="Times New Roman"/>
                <w:sz w:val="20"/>
                <w:szCs w:val="20"/>
                <w:lang w:eastAsia="en-GB"/>
              </w:rPr>
              <w:t xml:space="preserve"> </w:t>
            </w:r>
            <w:r w:rsidR="003B2ACD">
              <w:rPr>
                <w:rFonts w:eastAsia="Times New Roman"/>
                <w:sz w:val="20"/>
                <w:szCs w:val="20"/>
                <w:lang w:eastAsia="en-GB"/>
              </w:rPr>
              <w:t xml:space="preserve">that </w:t>
            </w:r>
            <w:r>
              <w:rPr>
                <w:rFonts w:eastAsia="Times New Roman"/>
                <w:sz w:val="20"/>
                <w:szCs w:val="20"/>
                <w:lang w:eastAsia="en-GB"/>
              </w:rPr>
              <w:t xml:space="preserve">meet the </w:t>
            </w:r>
            <w:r w:rsidRPr="00E233A4">
              <w:rPr>
                <w:rFonts w:eastAsia="Times New Roman"/>
                <w:sz w:val="20"/>
                <w:szCs w:val="20"/>
                <w:lang w:eastAsia="en-GB"/>
              </w:rPr>
              <w:t>continuously evolving nature of technology.  F</w:t>
            </w:r>
            <w:r w:rsidRPr="00AC28D4">
              <w:rPr>
                <w:rFonts w:eastAsia="Times New Roman"/>
                <w:sz w:val="20"/>
                <w:szCs w:val="20"/>
                <w:lang w:eastAsia="en-GB"/>
              </w:rPr>
              <w:t>irms of different size and complexity may present different risks</w:t>
            </w:r>
            <w:r>
              <w:rPr>
                <w:rFonts w:eastAsia="Times New Roman"/>
                <w:sz w:val="20"/>
                <w:szCs w:val="20"/>
                <w:lang w:eastAsia="en-GB"/>
              </w:rPr>
              <w:t xml:space="preserve">, </w:t>
            </w:r>
            <w:r w:rsidRPr="00E233A4">
              <w:rPr>
                <w:rFonts w:eastAsia="Times New Roman"/>
                <w:sz w:val="20"/>
                <w:szCs w:val="20"/>
                <w:lang w:eastAsia="en-GB"/>
              </w:rPr>
              <w:t xml:space="preserve">and </w:t>
            </w:r>
            <w:r>
              <w:rPr>
                <w:rFonts w:eastAsia="Times New Roman"/>
                <w:sz w:val="20"/>
                <w:szCs w:val="20"/>
                <w:lang w:eastAsia="en-GB"/>
              </w:rPr>
              <w:t xml:space="preserve">therefore </w:t>
            </w:r>
            <w:r w:rsidRPr="00E233A4">
              <w:rPr>
                <w:rFonts w:eastAsia="Times New Roman"/>
                <w:sz w:val="20"/>
                <w:szCs w:val="20"/>
                <w:lang w:eastAsia="en-GB"/>
              </w:rPr>
              <w:t>implement different controls, while mitigat</w:t>
            </w:r>
            <w:r>
              <w:rPr>
                <w:rFonts w:eastAsia="Times New Roman"/>
                <w:sz w:val="20"/>
                <w:szCs w:val="20"/>
                <w:lang w:eastAsia="en-GB"/>
              </w:rPr>
              <w:t>ing</w:t>
            </w:r>
            <w:r w:rsidRPr="00E233A4">
              <w:rPr>
                <w:rFonts w:eastAsia="Times New Roman"/>
                <w:sz w:val="20"/>
                <w:szCs w:val="20"/>
                <w:lang w:eastAsia="en-GB"/>
              </w:rPr>
              <w:t xml:space="preserve"> risk</w:t>
            </w:r>
            <w:r>
              <w:rPr>
                <w:rFonts w:eastAsia="Times New Roman"/>
                <w:sz w:val="20"/>
                <w:szCs w:val="20"/>
                <w:lang w:eastAsia="en-GB"/>
              </w:rPr>
              <w:t>s</w:t>
            </w:r>
            <w:r w:rsidRPr="00E233A4">
              <w:rPr>
                <w:rFonts w:eastAsia="Times New Roman"/>
                <w:sz w:val="20"/>
                <w:szCs w:val="20"/>
                <w:lang w:eastAsia="en-GB"/>
              </w:rPr>
              <w:t xml:space="preserve"> </w:t>
            </w:r>
            <w:r>
              <w:rPr>
                <w:rFonts w:eastAsia="Times New Roman"/>
                <w:sz w:val="20"/>
                <w:szCs w:val="20"/>
                <w:lang w:eastAsia="en-GB"/>
              </w:rPr>
              <w:t xml:space="preserve">and </w:t>
            </w:r>
            <w:r w:rsidRPr="00E233A4">
              <w:rPr>
                <w:rFonts w:eastAsia="Times New Roman"/>
                <w:sz w:val="20"/>
                <w:szCs w:val="20"/>
                <w:lang w:eastAsia="en-GB"/>
              </w:rPr>
              <w:t xml:space="preserve">demonstrating similar outcomes.  AFME believes that the introduction of </w:t>
            </w:r>
            <w:r w:rsidRPr="00AC28D4">
              <w:rPr>
                <w:rFonts w:eastAsia="Times New Roman"/>
                <w:sz w:val="20"/>
                <w:szCs w:val="20"/>
                <w:lang w:eastAsia="en-GB"/>
              </w:rPr>
              <w:t xml:space="preserve">prescriptive and detailed </w:t>
            </w:r>
            <w:r>
              <w:rPr>
                <w:rFonts w:eastAsia="Times New Roman"/>
                <w:sz w:val="20"/>
                <w:szCs w:val="20"/>
                <w:lang w:eastAsia="en-GB"/>
              </w:rPr>
              <w:t xml:space="preserve">legislative </w:t>
            </w:r>
            <w:r w:rsidRPr="00AC28D4">
              <w:rPr>
                <w:rFonts w:eastAsia="Times New Roman"/>
                <w:sz w:val="20"/>
                <w:szCs w:val="20"/>
                <w:lang w:eastAsia="en-GB"/>
              </w:rPr>
              <w:t>requirements</w:t>
            </w:r>
            <w:r w:rsidRPr="00E233A4">
              <w:rPr>
                <w:rFonts w:eastAsia="Times New Roman"/>
                <w:sz w:val="20"/>
                <w:szCs w:val="20"/>
                <w:lang w:eastAsia="en-GB"/>
              </w:rPr>
              <w:t xml:space="preserve"> </w:t>
            </w:r>
            <w:proofErr w:type="gramStart"/>
            <w:r>
              <w:rPr>
                <w:rFonts w:eastAsia="Times New Roman"/>
                <w:sz w:val="20"/>
                <w:szCs w:val="20"/>
                <w:lang w:eastAsia="en-GB"/>
              </w:rPr>
              <w:t>are</w:t>
            </w:r>
            <w:proofErr w:type="gramEnd"/>
            <w:r>
              <w:rPr>
                <w:rFonts w:eastAsia="Times New Roman"/>
                <w:sz w:val="20"/>
                <w:szCs w:val="20"/>
                <w:lang w:eastAsia="en-GB"/>
              </w:rPr>
              <w:t xml:space="preserve"> at risk</w:t>
            </w:r>
            <w:r w:rsidRPr="00E233A4">
              <w:rPr>
                <w:rFonts w:eastAsia="Times New Roman"/>
                <w:sz w:val="20"/>
                <w:szCs w:val="20"/>
                <w:lang w:eastAsia="en-GB"/>
              </w:rPr>
              <w:t xml:space="preserve"> of </w:t>
            </w:r>
            <w:r w:rsidRPr="00AC28D4">
              <w:rPr>
                <w:rFonts w:eastAsia="Times New Roman"/>
                <w:sz w:val="20"/>
                <w:szCs w:val="20"/>
                <w:lang w:eastAsia="en-GB"/>
              </w:rPr>
              <w:t>becom</w:t>
            </w:r>
            <w:r w:rsidRPr="00E233A4">
              <w:rPr>
                <w:rFonts w:eastAsia="Times New Roman"/>
                <w:sz w:val="20"/>
                <w:szCs w:val="20"/>
                <w:lang w:eastAsia="en-GB"/>
              </w:rPr>
              <w:t>ing</w:t>
            </w:r>
            <w:r w:rsidRPr="00AC28D4">
              <w:rPr>
                <w:rFonts w:eastAsia="Times New Roman"/>
                <w:sz w:val="20"/>
                <w:szCs w:val="20"/>
                <w:lang w:eastAsia="en-GB"/>
              </w:rPr>
              <w:t xml:space="preserve"> obsolete in the short to medium term</w:t>
            </w:r>
            <w:r w:rsidRPr="00E233A4">
              <w:rPr>
                <w:rFonts w:eastAsia="Times New Roman"/>
                <w:sz w:val="20"/>
                <w:szCs w:val="20"/>
                <w:lang w:eastAsia="en-GB"/>
              </w:rPr>
              <w:t xml:space="preserve">, </w:t>
            </w:r>
            <w:r>
              <w:rPr>
                <w:rFonts w:eastAsia="Times New Roman"/>
                <w:sz w:val="20"/>
                <w:szCs w:val="20"/>
                <w:lang w:eastAsia="en-GB"/>
              </w:rPr>
              <w:t>as innovation in technology and new services continues at pace.</w:t>
            </w:r>
          </w:p>
          <w:p w14:paraId="52A37859" w14:textId="743A4807" w:rsidR="003B2ACD" w:rsidRPr="00AF6407" w:rsidRDefault="003B2ACD" w:rsidP="006273E5">
            <w:pPr>
              <w:pStyle w:val="ListParagraph"/>
              <w:numPr>
                <w:ilvl w:val="1"/>
                <w:numId w:val="54"/>
              </w:numPr>
              <w:rPr>
                <w:rFonts w:eastAsia="Times New Roman"/>
                <w:sz w:val="20"/>
                <w:szCs w:val="20"/>
                <w:lang w:eastAsia="en-GB"/>
              </w:rPr>
            </w:pPr>
            <w:r w:rsidRPr="00AC28D4">
              <w:rPr>
                <w:rFonts w:eastAsia="Times New Roman"/>
                <w:sz w:val="20"/>
                <w:szCs w:val="20"/>
                <w:lang w:eastAsia="en-GB"/>
              </w:rPr>
              <w:t xml:space="preserve">AFME recommends the </w:t>
            </w:r>
            <w:r>
              <w:rPr>
                <w:rFonts w:eastAsia="Times New Roman"/>
                <w:sz w:val="20"/>
                <w:szCs w:val="20"/>
                <w:lang w:eastAsia="en-GB"/>
              </w:rPr>
              <w:t xml:space="preserve">legislative </w:t>
            </w:r>
            <w:r w:rsidRPr="00AC28D4">
              <w:rPr>
                <w:rFonts w:eastAsia="Times New Roman"/>
                <w:sz w:val="20"/>
                <w:szCs w:val="20"/>
                <w:lang w:eastAsia="en-GB"/>
              </w:rPr>
              <w:t>proposal</w:t>
            </w:r>
            <w:r>
              <w:rPr>
                <w:rFonts w:eastAsia="Times New Roman"/>
                <w:sz w:val="20"/>
                <w:szCs w:val="20"/>
                <w:lang w:eastAsia="en-GB"/>
              </w:rPr>
              <w:t>s</w:t>
            </w:r>
            <w:r w:rsidRPr="00AC28D4">
              <w:rPr>
                <w:rFonts w:eastAsia="Times New Roman"/>
                <w:sz w:val="20"/>
                <w:szCs w:val="20"/>
                <w:lang w:eastAsia="en-GB"/>
              </w:rPr>
              <w:t xml:space="preserve"> focus on how firms can demonstrate outcomes </w:t>
            </w:r>
            <w:r>
              <w:rPr>
                <w:rFonts w:eastAsia="Times New Roman"/>
                <w:sz w:val="20"/>
                <w:szCs w:val="20"/>
                <w:lang w:eastAsia="en-GB"/>
              </w:rPr>
              <w:t xml:space="preserve">that </w:t>
            </w:r>
            <w:r w:rsidRPr="00AC28D4">
              <w:rPr>
                <w:rFonts w:eastAsia="Times New Roman"/>
                <w:sz w:val="20"/>
                <w:szCs w:val="20"/>
                <w:lang w:eastAsia="en-GB"/>
              </w:rPr>
              <w:t>mitigate risks</w:t>
            </w:r>
            <w:r>
              <w:rPr>
                <w:rFonts w:eastAsia="Times New Roman"/>
                <w:sz w:val="20"/>
                <w:szCs w:val="20"/>
                <w:lang w:eastAsia="en-GB"/>
              </w:rPr>
              <w:t xml:space="preserve"> </w:t>
            </w:r>
            <w:r w:rsidRPr="00AC28D4">
              <w:rPr>
                <w:rFonts w:eastAsia="Times New Roman"/>
                <w:sz w:val="20"/>
                <w:szCs w:val="20"/>
                <w:lang w:eastAsia="en-GB"/>
              </w:rPr>
              <w:t xml:space="preserve">and are aligned with regulatory expectations.  </w:t>
            </w:r>
            <w:r>
              <w:rPr>
                <w:rFonts w:eastAsia="Times New Roman"/>
                <w:sz w:val="20"/>
                <w:szCs w:val="20"/>
                <w:lang w:eastAsia="en-GB"/>
              </w:rPr>
              <w:t>T</w:t>
            </w:r>
            <w:r w:rsidRPr="00AC28D4">
              <w:rPr>
                <w:rFonts w:eastAsia="Times New Roman"/>
                <w:sz w:val="20"/>
                <w:szCs w:val="20"/>
                <w:lang w:eastAsia="en-GB"/>
              </w:rPr>
              <w:t>echnology neutral</w:t>
            </w:r>
            <w:r>
              <w:rPr>
                <w:rFonts w:eastAsia="Times New Roman"/>
                <w:sz w:val="20"/>
                <w:szCs w:val="20"/>
                <w:lang w:eastAsia="en-GB"/>
              </w:rPr>
              <w:t>ity</w:t>
            </w:r>
            <w:r w:rsidRPr="00AC28D4">
              <w:rPr>
                <w:rFonts w:eastAsia="Times New Roman"/>
                <w:sz w:val="20"/>
                <w:szCs w:val="20"/>
                <w:lang w:eastAsia="en-GB"/>
              </w:rPr>
              <w:t xml:space="preserve"> and principles-based legislation would also align with the final guidance developed </w:t>
            </w:r>
            <w:r>
              <w:rPr>
                <w:rFonts w:eastAsia="Times New Roman"/>
                <w:sz w:val="20"/>
                <w:szCs w:val="20"/>
                <w:lang w:eastAsia="en-GB"/>
              </w:rPr>
              <w:t xml:space="preserve">in the European Banking Authority ‘Fintech </w:t>
            </w:r>
            <w:proofErr w:type="gramStart"/>
            <w:r>
              <w:rPr>
                <w:rFonts w:eastAsia="Times New Roman"/>
                <w:sz w:val="20"/>
                <w:szCs w:val="20"/>
                <w:lang w:eastAsia="en-GB"/>
              </w:rPr>
              <w:t>Roadmap‘</w:t>
            </w:r>
            <w:proofErr w:type="gramEnd"/>
            <w:r>
              <w:rPr>
                <w:rStyle w:val="FootnoteReference"/>
                <w:rFonts w:eastAsia="Times New Roman"/>
                <w:sz w:val="20"/>
                <w:szCs w:val="20"/>
                <w:lang w:eastAsia="en-GB"/>
              </w:rPr>
              <w:footnoteReference w:id="14"/>
            </w:r>
            <w:r w:rsidR="007E0282">
              <w:rPr>
                <w:rFonts w:eastAsia="Times New Roman"/>
                <w:sz w:val="20"/>
                <w:szCs w:val="20"/>
                <w:lang w:eastAsia="en-GB"/>
              </w:rPr>
              <w:t>.</w:t>
            </w:r>
          </w:p>
          <w:p w14:paraId="6F1F43C0" w14:textId="77777777" w:rsidR="003F4A07" w:rsidRPr="00AF6407" w:rsidRDefault="003F4A07" w:rsidP="00AF6407">
            <w:pPr>
              <w:pStyle w:val="ListParagraph"/>
              <w:ind w:left="1440"/>
              <w:rPr>
                <w:rFonts w:eastAsia="Times New Roman"/>
                <w:sz w:val="20"/>
                <w:szCs w:val="20"/>
                <w:lang w:eastAsia="en-GB"/>
              </w:rPr>
            </w:pPr>
          </w:p>
          <w:p w14:paraId="65875C9D" w14:textId="0ACFCA7C" w:rsidR="00F14D0B" w:rsidRPr="00AC0620" w:rsidRDefault="00F14D0B" w:rsidP="006273E5">
            <w:pPr>
              <w:pStyle w:val="ListParagraph"/>
              <w:numPr>
                <w:ilvl w:val="0"/>
                <w:numId w:val="54"/>
              </w:numPr>
              <w:rPr>
                <w:rFonts w:eastAsia="Times New Roman"/>
                <w:i/>
                <w:iCs/>
                <w:sz w:val="20"/>
                <w:szCs w:val="20"/>
                <w:lang w:eastAsia="en-GB"/>
              </w:rPr>
            </w:pPr>
            <w:r>
              <w:rPr>
                <w:rFonts w:eastAsia="Times New Roman"/>
                <w:b/>
                <w:bCs/>
                <w:i/>
                <w:iCs/>
                <w:sz w:val="20"/>
                <w:szCs w:val="20"/>
                <w:lang w:eastAsia="en-GB"/>
              </w:rPr>
              <w:t>A</w:t>
            </w:r>
            <w:r w:rsidRPr="00AC28D4">
              <w:rPr>
                <w:rFonts w:eastAsia="Times New Roman"/>
                <w:b/>
                <w:bCs/>
                <w:i/>
                <w:iCs/>
                <w:sz w:val="20"/>
                <w:szCs w:val="20"/>
                <w:lang w:eastAsia="en-GB"/>
              </w:rPr>
              <w:t xml:space="preserve"> competitive level</w:t>
            </w:r>
            <w:r>
              <w:rPr>
                <w:rFonts w:eastAsia="Times New Roman"/>
                <w:b/>
                <w:bCs/>
                <w:i/>
                <w:iCs/>
                <w:sz w:val="20"/>
                <w:szCs w:val="20"/>
                <w:lang w:eastAsia="en-GB"/>
              </w:rPr>
              <w:t>-</w:t>
            </w:r>
            <w:r w:rsidRPr="00AC28D4">
              <w:rPr>
                <w:rFonts w:eastAsia="Times New Roman"/>
                <w:b/>
                <w:bCs/>
                <w:i/>
                <w:iCs/>
                <w:sz w:val="20"/>
                <w:szCs w:val="20"/>
                <w:lang w:eastAsia="en-GB"/>
              </w:rPr>
              <w:t xml:space="preserve">playing field is </w:t>
            </w:r>
            <w:r>
              <w:rPr>
                <w:rFonts w:eastAsia="Times New Roman"/>
                <w:b/>
                <w:bCs/>
                <w:i/>
                <w:iCs/>
                <w:sz w:val="20"/>
                <w:szCs w:val="20"/>
                <w:lang w:eastAsia="en-GB"/>
              </w:rPr>
              <w:t xml:space="preserve">needed to ensure all firms involved in financial services adhere to </w:t>
            </w:r>
            <w:r w:rsidRPr="00AF6407">
              <w:rPr>
                <w:rFonts w:eastAsia="Times New Roman"/>
                <w:b/>
                <w:bCs/>
                <w:i/>
                <w:iCs/>
                <w:sz w:val="20"/>
                <w:szCs w:val="20"/>
                <w:lang w:eastAsia="en-GB"/>
              </w:rPr>
              <w:t>the ‘same risk, same activity, same regulation’</w:t>
            </w:r>
            <w:r w:rsidR="00C30695">
              <w:rPr>
                <w:rFonts w:eastAsia="Times New Roman"/>
                <w:b/>
                <w:bCs/>
                <w:i/>
                <w:iCs/>
                <w:sz w:val="20"/>
                <w:szCs w:val="20"/>
                <w:lang w:eastAsia="en-GB"/>
              </w:rPr>
              <w:t>.</w:t>
            </w:r>
            <w:r>
              <w:rPr>
                <w:rFonts w:eastAsia="Times New Roman"/>
                <w:b/>
                <w:bCs/>
                <w:i/>
                <w:iCs/>
                <w:sz w:val="20"/>
                <w:szCs w:val="20"/>
                <w:lang w:eastAsia="en-GB"/>
              </w:rPr>
              <w:t xml:space="preserve"> </w:t>
            </w:r>
          </w:p>
          <w:p w14:paraId="14F8E7DA" w14:textId="6A4A7178" w:rsidR="00F14D0B" w:rsidRDefault="00CB0254" w:rsidP="006273E5">
            <w:pPr>
              <w:pStyle w:val="ListParagraph"/>
              <w:numPr>
                <w:ilvl w:val="1"/>
                <w:numId w:val="54"/>
              </w:numPr>
              <w:rPr>
                <w:rFonts w:eastAsia="Times New Roman"/>
                <w:sz w:val="20"/>
                <w:szCs w:val="20"/>
                <w:lang w:eastAsia="en-GB"/>
              </w:rPr>
            </w:pPr>
            <w:r>
              <w:rPr>
                <w:rFonts w:eastAsia="Times New Roman"/>
                <w:sz w:val="20"/>
                <w:szCs w:val="20"/>
                <w:lang w:eastAsia="en-GB"/>
              </w:rPr>
              <w:t>While AFME is supportive of innovation and increased market competition, a</w:t>
            </w:r>
            <w:r w:rsidR="00F14D0B" w:rsidRPr="00D1468E">
              <w:rPr>
                <w:rFonts w:eastAsia="Times New Roman"/>
                <w:sz w:val="20"/>
                <w:szCs w:val="20"/>
                <w:lang w:eastAsia="en-GB"/>
              </w:rPr>
              <w:t xml:space="preserve"> level playing field </w:t>
            </w:r>
            <w:r w:rsidR="00F14D0B">
              <w:rPr>
                <w:rFonts w:eastAsia="Times New Roman"/>
                <w:sz w:val="20"/>
                <w:szCs w:val="20"/>
                <w:lang w:eastAsia="en-GB"/>
              </w:rPr>
              <w:t xml:space="preserve">for all financial services </w:t>
            </w:r>
            <w:r w:rsidR="00367283">
              <w:rPr>
                <w:rFonts w:eastAsia="Times New Roman"/>
                <w:sz w:val="20"/>
                <w:szCs w:val="20"/>
                <w:lang w:eastAsia="en-GB"/>
              </w:rPr>
              <w:t xml:space="preserve">firms </w:t>
            </w:r>
            <w:r w:rsidR="00F14D0B" w:rsidRPr="00D1468E">
              <w:rPr>
                <w:rFonts w:eastAsia="Times New Roman"/>
                <w:sz w:val="20"/>
                <w:szCs w:val="20"/>
                <w:lang w:eastAsia="en-GB"/>
              </w:rPr>
              <w:t xml:space="preserve">is needed </w:t>
            </w:r>
            <w:r w:rsidR="00053D55">
              <w:rPr>
                <w:rFonts w:eastAsia="Times New Roman"/>
                <w:sz w:val="20"/>
                <w:szCs w:val="20"/>
                <w:lang w:eastAsia="en-GB"/>
              </w:rPr>
              <w:t xml:space="preserve">to </w:t>
            </w:r>
            <w:r w:rsidR="006809B5" w:rsidRPr="006809B5">
              <w:rPr>
                <w:rFonts w:eastAsia="Times New Roman"/>
                <w:sz w:val="20"/>
                <w:szCs w:val="20"/>
                <w:lang w:eastAsia="en-GB"/>
              </w:rPr>
              <w:t xml:space="preserve">manage </w:t>
            </w:r>
            <w:r>
              <w:rPr>
                <w:rFonts w:eastAsia="Times New Roman"/>
                <w:sz w:val="20"/>
                <w:szCs w:val="20"/>
                <w:lang w:eastAsia="en-GB"/>
              </w:rPr>
              <w:t xml:space="preserve">and appropriately mitigate any </w:t>
            </w:r>
            <w:r w:rsidR="006809B5" w:rsidRPr="006809B5">
              <w:rPr>
                <w:rFonts w:eastAsia="Times New Roman"/>
                <w:sz w:val="20"/>
                <w:szCs w:val="20"/>
                <w:lang w:eastAsia="en-GB"/>
              </w:rPr>
              <w:t>risk</w:t>
            </w:r>
            <w:r>
              <w:rPr>
                <w:rFonts w:eastAsia="Times New Roman"/>
                <w:sz w:val="20"/>
                <w:szCs w:val="20"/>
                <w:lang w:eastAsia="en-GB"/>
              </w:rPr>
              <w:t>s</w:t>
            </w:r>
            <w:r w:rsidR="006809B5" w:rsidRPr="006809B5">
              <w:rPr>
                <w:rFonts w:eastAsia="Times New Roman"/>
                <w:sz w:val="20"/>
                <w:szCs w:val="20"/>
                <w:lang w:eastAsia="en-GB"/>
              </w:rPr>
              <w:t xml:space="preserve"> to consumers</w:t>
            </w:r>
            <w:r w:rsidR="00053D55">
              <w:rPr>
                <w:rFonts w:eastAsia="Times New Roman"/>
                <w:sz w:val="20"/>
                <w:szCs w:val="20"/>
                <w:lang w:eastAsia="en-GB"/>
              </w:rPr>
              <w:t xml:space="preserve"> and </w:t>
            </w:r>
            <w:r w:rsidR="006809B5" w:rsidRPr="006809B5">
              <w:rPr>
                <w:rFonts w:eastAsia="Times New Roman"/>
                <w:sz w:val="20"/>
                <w:szCs w:val="20"/>
                <w:lang w:eastAsia="en-GB"/>
              </w:rPr>
              <w:t>financial stability.</w:t>
            </w:r>
            <w:r w:rsidR="00F14D0B">
              <w:rPr>
                <w:rFonts w:eastAsia="Times New Roman"/>
                <w:sz w:val="20"/>
                <w:szCs w:val="20"/>
                <w:lang w:eastAsia="en-GB"/>
              </w:rPr>
              <w:t xml:space="preserve"> </w:t>
            </w:r>
            <w:r w:rsidR="006809B5">
              <w:rPr>
                <w:rFonts w:eastAsia="Times New Roman"/>
                <w:sz w:val="20"/>
                <w:szCs w:val="20"/>
                <w:lang w:eastAsia="en-GB"/>
              </w:rPr>
              <w:t xml:space="preserve">A </w:t>
            </w:r>
            <w:r w:rsidR="00F14D0B">
              <w:rPr>
                <w:rFonts w:eastAsia="Times New Roman"/>
                <w:sz w:val="20"/>
                <w:szCs w:val="20"/>
                <w:lang w:eastAsia="en-GB"/>
              </w:rPr>
              <w:t xml:space="preserve">level-playing field should be maintained based on </w:t>
            </w:r>
            <w:r w:rsidR="00F14D0B" w:rsidRPr="00D1468E">
              <w:rPr>
                <w:rFonts w:eastAsia="Times New Roman"/>
                <w:sz w:val="20"/>
                <w:szCs w:val="20"/>
                <w:lang w:eastAsia="en-GB"/>
              </w:rPr>
              <w:t>the principle of ‘same risk, same activity, same regulation’</w:t>
            </w:r>
            <w:bookmarkStart w:id="0" w:name="_Hlk35245643"/>
            <w:r w:rsidR="006809B5">
              <w:rPr>
                <w:rFonts w:eastAsia="Times New Roman"/>
                <w:sz w:val="20"/>
                <w:szCs w:val="20"/>
                <w:lang w:eastAsia="en-GB"/>
              </w:rPr>
              <w:t>.</w:t>
            </w:r>
          </w:p>
          <w:p w14:paraId="2BE3507E" w14:textId="281D7FA9" w:rsidR="00F14D0B" w:rsidRPr="00735388" w:rsidRDefault="00F14D0B" w:rsidP="006273E5">
            <w:pPr>
              <w:pStyle w:val="ListParagraph"/>
              <w:numPr>
                <w:ilvl w:val="1"/>
                <w:numId w:val="54"/>
              </w:numPr>
              <w:rPr>
                <w:rFonts w:eastAsia="Times New Roman"/>
                <w:sz w:val="20"/>
                <w:szCs w:val="20"/>
                <w:lang w:eastAsia="en-GB"/>
              </w:rPr>
            </w:pPr>
            <w:r w:rsidRPr="003268D2">
              <w:rPr>
                <w:sz w:val="20"/>
                <w:szCs w:val="20"/>
              </w:rPr>
              <w:t xml:space="preserve">This should include the applicability of existing regulation to other entities who may be currently outside the </w:t>
            </w:r>
            <w:r>
              <w:rPr>
                <w:sz w:val="20"/>
                <w:szCs w:val="20"/>
              </w:rPr>
              <w:t xml:space="preserve">financial services </w:t>
            </w:r>
            <w:r w:rsidRPr="003268D2">
              <w:rPr>
                <w:sz w:val="20"/>
                <w:szCs w:val="20"/>
              </w:rPr>
              <w:t xml:space="preserve">regulatory </w:t>
            </w:r>
            <w:r>
              <w:rPr>
                <w:sz w:val="20"/>
                <w:szCs w:val="20"/>
              </w:rPr>
              <w:t xml:space="preserve">framework and may be </w:t>
            </w:r>
            <w:r w:rsidRPr="003268D2">
              <w:rPr>
                <w:sz w:val="20"/>
                <w:szCs w:val="20"/>
              </w:rPr>
              <w:t>conduct</w:t>
            </w:r>
            <w:r>
              <w:rPr>
                <w:sz w:val="20"/>
                <w:szCs w:val="20"/>
              </w:rPr>
              <w:t xml:space="preserve">ing the </w:t>
            </w:r>
            <w:r w:rsidRPr="003268D2">
              <w:rPr>
                <w:sz w:val="20"/>
                <w:szCs w:val="20"/>
              </w:rPr>
              <w:t>same or similar activities as regulated financial institutions</w:t>
            </w:r>
            <w:r>
              <w:rPr>
                <w:sz w:val="20"/>
                <w:szCs w:val="20"/>
              </w:rPr>
              <w:t>.</w:t>
            </w:r>
            <w:r w:rsidRPr="003268D2">
              <w:rPr>
                <w:sz w:val="20"/>
                <w:szCs w:val="20"/>
              </w:rPr>
              <w:t xml:space="preserve"> </w:t>
            </w:r>
            <w:r>
              <w:rPr>
                <w:sz w:val="20"/>
                <w:szCs w:val="20"/>
              </w:rPr>
              <w:t xml:space="preserve"> In such cases, </w:t>
            </w:r>
            <w:r w:rsidRPr="0089532F">
              <w:rPr>
                <w:sz w:val="20"/>
                <w:szCs w:val="20"/>
              </w:rPr>
              <w:t>these entities should also be included</w:t>
            </w:r>
            <w:r>
              <w:rPr>
                <w:sz w:val="20"/>
                <w:szCs w:val="20"/>
              </w:rPr>
              <w:t>,</w:t>
            </w:r>
            <w:r w:rsidRPr="0089532F">
              <w:rPr>
                <w:sz w:val="20"/>
                <w:szCs w:val="20"/>
              </w:rPr>
              <w:t xml:space="preserve"> where applicable</w:t>
            </w:r>
            <w:r>
              <w:rPr>
                <w:sz w:val="20"/>
                <w:szCs w:val="20"/>
              </w:rPr>
              <w:t xml:space="preserve">, </w:t>
            </w:r>
            <w:r w:rsidRPr="0089532F">
              <w:rPr>
                <w:sz w:val="20"/>
                <w:szCs w:val="20"/>
              </w:rPr>
              <w:t xml:space="preserve">within the </w:t>
            </w:r>
            <w:r>
              <w:rPr>
                <w:sz w:val="20"/>
                <w:szCs w:val="20"/>
              </w:rPr>
              <w:t xml:space="preserve">financial services </w:t>
            </w:r>
            <w:r w:rsidRPr="0089532F">
              <w:rPr>
                <w:sz w:val="20"/>
                <w:szCs w:val="20"/>
              </w:rPr>
              <w:t>regulatory perimeter</w:t>
            </w:r>
            <w:r>
              <w:rPr>
                <w:sz w:val="20"/>
                <w:szCs w:val="20"/>
              </w:rPr>
              <w:t xml:space="preserve"> to mitigate any </w:t>
            </w:r>
            <w:r w:rsidRPr="00AC28D4">
              <w:rPr>
                <w:sz w:val="20"/>
                <w:szCs w:val="20"/>
              </w:rPr>
              <w:t>risks that such activit</w:t>
            </w:r>
            <w:r>
              <w:rPr>
                <w:sz w:val="20"/>
                <w:szCs w:val="20"/>
              </w:rPr>
              <w:t xml:space="preserve">y </w:t>
            </w:r>
            <w:r w:rsidRPr="00AC28D4">
              <w:rPr>
                <w:sz w:val="20"/>
                <w:szCs w:val="20"/>
              </w:rPr>
              <w:t>may entail</w:t>
            </w:r>
            <w:r>
              <w:rPr>
                <w:sz w:val="20"/>
                <w:szCs w:val="20"/>
              </w:rPr>
              <w:t xml:space="preserve">, </w:t>
            </w:r>
            <w:r w:rsidRPr="00AC28D4">
              <w:rPr>
                <w:sz w:val="20"/>
                <w:szCs w:val="20"/>
              </w:rPr>
              <w:t xml:space="preserve">to protect investors/consumers, market integrity and financial stability. </w:t>
            </w:r>
            <w:bookmarkEnd w:id="0"/>
            <w:r>
              <w:rPr>
                <w:sz w:val="20"/>
                <w:szCs w:val="20"/>
              </w:rPr>
              <w:t xml:space="preserve"> </w:t>
            </w:r>
            <w:r w:rsidRPr="00AC28D4">
              <w:rPr>
                <w:sz w:val="20"/>
                <w:szCs w:val="20"/>
              </w:rPr>
              <w:t xml:space="preserve">For instance, </w:t>
            </w:r>
            <w:r>
              <w:rPr>
                <w:sz w:val="20"/>
                <w:szCs w:val="20"/>
              </w:rPr>
              <w:t xml:space="preserve">to </w:t>
            </w:r>
            <w:r w:rsidRPr="00AC28D4">
              <w:rPr>
                <w:rFonts w:eastAsia="Times New Roman"/>
                <w:sz w:val="20"/>
                <w:szCs w:val="20"/>
                <w:lang w:eastAsia="en-GB"/>
              </w:rPr>
              <w:t>the extent a</w:t>
            </w:r>
            <w:r w:rsidR="00431180">
              <w:rPr>
                <w:rFonts w:eastAsia="Times New Roman"/>
                <w:sz w:val="20"/>
                <w:szCs w:val="20"/>
                <w:lang w:eastAsia="en-GB"/>
              </w:rPr>
              <w:t xml:space="preserve"> part of a </w:t>
            </w:r>
            <w:r w:rsidRPr="00AC28D4">
              <w:rPr>
                <w:rFonts w:eastAsia="Times New Roman"/>
                <w:sz w:val="20"/>
                <w:szCs w:val="20"/>
                <w:lang w:eastAsia="en-GB"/>
              </w:rPr>
              <w:t>technology firm provid</w:t>
            </w:r>
            <w:r>
              <w:rPr>
                <w:rFonts w:eastAsia="Times New Roman"/>
                <w:sz w:val="20"/>
                <w:szCs w:val="20"/>
                <w:lang w:eastAsia="en-GB"/>
              </w:rPr>
              <w:t>es</w:t>
            </w:r>
            <w:r w:rsidRPr="00AC28D4">
              <w:rPr>
                <w:rFonts w:eastAsia="Times New Roman"/>
                <w:sz w:val="20"/>
                <w:szCs w:val="20"/>
                <w:lang w:eastAsia="en-GB"/>
              </w:rPr>
              <w:t xml:space="preserve"> financial products or services</w:t>
            </w:r>
            <w:r>
              <w:rPr>
                <w:rFonts w:eastAsia="Times New Roman"/>
                <w:sz w:val="20"/>
                <w:szCs w:val="20"/>
                <w:lang w:eastAsia="en-GB"/>
              </w:rPr>
              <w:t xml:space="preserve">, </w:t>
            </w:r>
            <w:r w:rsidRPr="00AC28D4">
              <w:rPr>
                <w:rFonts w:eastAsia="Times New Roman"/>
                <w:sz w:val="20"/>
                <w:szCs w:val="20"/>
                <w:lang w:eastAsia="en-GB"/>
              </w:rPr>
              <w:t xml:space="preserve">akin to a regulated financial institution, </w:t>
            </w:r>
            <w:r w:rsidR="00431180">
              <w:rPr>
                <w:rFonts w:eastAsia="Times New Roman"/>
                <w:sz w:val="20"/>
                <w:szCs w:val="20"/>
                <w:lang w:eastAsia="en-GB"/>
              </w:rPr>
              <w:t xml:space="preserve">that part of the firm </w:t>
            </w:r>
            <w:r w:rsidRPr="00AC28D4">
              <w:rPr>
                <w:rFonts w:eastAsia="Times New Roman"/>
                <w:sz w:val="20"/>
                <w:szCs w:val="20"/>
                <w:lang w:eastAsia="en-GB"/>
              </w:rPr>
              <w:t xml:space="preserve">should be regulated in the same way as </w:t>
            </w:r>
            <w:r w:rsidR="00431180">
              <w:rPr>
                <w:rFonts w:eastAsia="Times New Roman"/>
                <w:sz w:val="20"/>
                <w:szCs w:val="20"/>
                <w:lang w:eastAsia="en-GB"/>
              </w:rPr>
              <w:t xml:space="preserve">an </w:t>
            </w:r>
            <w:r w:rsidRPr="00AC28D4">
              <w:rPr>
                <w:rFonts w:eastAsia="Times New Roman"/>
                <w:sz w:val="20"/>
                <w:szCs w:val="20"/>
                <w:lang w:eastAsia="en-GB"/>
              </w:rPr>
              <w:t>incumbent counterpart</w:t>
            </w:r>
            <w:r w:rsidRPr="00AC28D4">
              <w:rPr>
                <w:sz w:val="20"/>
                <w:szCs w:val="20"/>
              </w:rPr>
              <w:t>.</w:t>
            </w:r>
          </w:p>
          <w:p w14:paraId="7D6C5872" w14:textId="521CCFF4" w:rsidR="00994284" w:rsidRDefault="00CA0FAA" w:rsidP="00994284">
            <w:pPr>
              <w:pStyle w:val="ListParagraph"/>
              <w:numPr>
                <w:ilvl w:val="1"/>
                <w:numId w:val="54"/>
              </w:numPr>
              <w:rPr>
                <w:rFonts w:eastAsia="Times New Roman"/>
                <w:sz w:val="20"/>
                <w:szCs w:val="20"/>
                <w:lang w:eastAsia="en-GB"/>
              </w:rPr>
            </w:pPr>
            <w:r w:rsidRPr="00994284">
              <w:rPr>
                <w:rFonts w:eastAsia="Times New Roman"/>
                <w:sz w:val="20"/>
                <w:szCs w:val="20"/>
                <w:lang w:eastAsia="en-GB"/>
              </w:rPr>
              <w:t xml:space="preserve">This </w:t>
            </w:r>
            <w:r w:rsidR="00E12D81">
              <w:rPr>
                <w:rFonts w:eastAsia="Times New Roman"/>
                <w:sz w:val="20"/>
                <w:szCs w:val="20"/>
                <w:lang w:eastAsia="en-GB"/>
              </w:rPr>
              <w:t xml:space="preserve">could </w:t>
            </w:r>
            <w:r w:rsidRPr="00994284">
              <w:rPr>
                <w:rFonts w:eastAsia="Times New Roman"/>
                <w:sz w:val="20"/>
                <w:szCs w:val="20"/>
                <w:lang w:eastAsia="en-GB"/>
              </w:rPr>
              <w:t xml:space="preserve">also include alleviating parts of the prudential, </w:t>
            </w:r>
            <w:r w:rsidR="00C30695" w:rsidRPr="00994284">
              <w:rPr>
                <w:rFonts w:eastAsia="Times New Roman"/>
                <w:sz w:val="20"/>
                <w:szCs w:val="20"/>
                <w:lang w:eastAsia="en-GB"/>
              </w:rPr>
              <w:t>regulatory,</w:t>
            </w:r>
            <w:r w:rsidRPr="00994284">
              <w:rPr>
                <w:rFonts w:eastAsia="Times New Roman"/>
                <w:sz w:val="20"/>
                <w:szCs w:val="20"/>
                <w:lang w:eastAsia="en-GB"/>
              </w:rPr>
              <w:t xml:space="preserve"> and supervisory framework </w:t>
            </w:r>
            <w:r w:rsidR="00994284" w:rsidRPr="00994284">
              <w:rPr>
                <w:rFonts w:eastAsia="Times New Roman"/>
                <w:sz w:val="20"/>
                <w:szCs w:val="20"/>
                <w:lang w:eastAsia="en-GB"/>
              </w:rPr>
              <w:t>of non-core banking businesses</w:t>
            </w:r>
            <w:r w:rsidR="00E12D81">
              <w:rPr>
                <w:rFonts w:eastAsia="Times New Roman"/>
                <w:sz w:val="20"/>
                <w:szCs w:val="20"/>
                <w:lang w:eastAsia="en-GB"/>
              </w:rPr>
              <w:t>. C</w:t>
            </w:r>
            <w:r w:rsidR="00994284" w:rsidRPr="00994284">
              <w:rPr>
                <w:rFonts w:eastAsia="Times New Roman"/>
                <w:sz w:val="20"/>
                <w:szCs w:val="20"/>
                <w:lang w:eastAsia="en-GB"/>
              </w:rPr>
              <w:t xml:space="preserve">urrently the consolidated application of prudential requirements </w:t>
            </w:r>
            <w:r w:rsidR="00994284" w:rsidRPr="00994284">
              <w:rPr>
                <w:rFonts w:eastAsia="Times New Roman"/>
                <w:sz w:val="20"/>
                <w:szCs w:val="20"/>
                <w:lang w:eastAsia="en-GB"/>
              </w:rPr>
              <w:lastRenderedPageBreak/>
              <w:t xml:space="preserve">applies to all entities within the banking group.  As a result, in performing these non-core activities (i.e. not funded with deposits), banks </w:t>
            </w:r>
            <w:r w:rsidR="00994284">
              <w:rPr>
                <w:rFonts w:eastAsia="Times New Roman"/>
                <w:sz w:val="20"/>
                <w:szCs w:val="20"/>
                <w:lang w:eastAsia="en-GB"/>
              </w:rPr>
              <w:t xml:space="preserve">have a higher </w:t>
            </w:r>
            <w:r w:rsidR="00994284" w:rsidRPr="00994284">
              <w:rPr>
                <w:rFonts w:eastAsia="Times New Roman"/>
                <w:sz w:val="20"/>
                <w:szCs w:val="20"/>
                <w:lang w:eastAsia="en-GB"/>
              </w:rPr>
              <w:t xml:space="preserve">cost and time-to-market </w:t>
            </w:r>
            <w:r w:rsidR="00994284">
              <w:rPr>
                <w:rFonts w:eastAsia="Times New Roman"/>
                <w:sz w:val="20"/>
                <w:szCs w:val="20"/>
                <w:lang w:eastAsia="en-GB"/>
              </w:rPr>
              <w:t>that their technology counterparts</w:t>
            </w:r>
            <w:r w:rsidR="00367283">
              <w:rPr>
                <w:rFonts w:eastAsia="Times New Roman"/>
                <w:sz w:val="20"/>
                <w:szCs w:val="20"/>
                <w:lang w:eastAsia="en-GB"/>
              </w:rPr>
              <w:t>,</w:t>
            </w:r>
            <w:r w:rsidR="00994284">
              <w:rPr>
                <w:rFonts w:eastAsia="Times New Roman"/>
                <w:sz w:val="20"/>
                <w:szCs w:val="20"/>
                <w:lang w:eastAsia="en-GB"/>
              </w:rPr>
              <w:t xml:space="preserve"> </w:t>
            </w:r>
            <w:r w:rsidR="00994284" w:rsidRPr="00CA0FAA">
              <w:rPr>
                <w:rFonts w:eastAsia="Times New Roman"/>
                <w:sz w:val="20"/>
                <w:szCs w:val="20"/>
                <w:lang w:eastAsia="en-GB"/>
              </w:rPr>
              <w:t>subject to activity-specific regulation</w:t>
            </w:r>
            <w:r w:rsidR="00994284">
              <w:rPr>
                <w:rFonts w:eastAsia="Times New Roman"/>
                <w:sz w:val="20"/>
                <w:szCs w:val="20"/>
                <w:lang w:eastAsia="en-GB"/>
              </w:rPr>
              <w:t>.</w:t>
            </w:r>
          </w:p>
          <w:p w14:paraId="381D0A19" w14:textId="18F24551" w:rsidR="00CA0FAA" w:rsidRPr="00735388" w:rsidRDefault="00A720E3">
            <w:pPr>
              <w:pStyle w:val="ListParagraph"/>
              <w:numPr>
                <w:ilvl w:val="1"/>
                <w:numId w:val="54"/>
              </w:numPr>
              <w:rPr>
                <w:rFonts w:eastAsia="Times New Roman"/>
                <w:sz w:val="20"/>
                <w:szCs w:val="20"/>
                <w:lang w:eastAsia="en-GB"/>
              </w:rPr>
            </w:pPr>
            <w:r>
              <w:rPr>
                <w:rFonts w:cs="Cambria"/>
                <w:sz w:val="20"/>
                <w:szCs w:val="20"/>
              </w:rPr>
              <w:t>Moreover, w</w:t>
            </w:r>
            <w:r w:rsidR="00E12D81" w:rsidRPr="008C1579">
              <w:rPr>
                <w:rFonts w:cs="Cambria"/>
                <w:sz w:val="20"/>
                <w:szCs w:val="20"/>
              </w:rPr>
              <w:t>e believe further examination</w:t>
            </w:r>
            <w:r w:rsidR="00B60D66">
              <w:rPr>
                <w:rFonts w:cs="Cambria"/>
                <w:sz w:val="20"/>
                <w:szCs w:val="20"/>
              </w:rPr>
              <w:t>s</w:t>
            </w:r>
            <w:r w:rsidR="00E12D81" w:rsidRPr="008C1579">
              <w:rPr>
                <w:rFonts w:cs="Cambria"/>
                <w:sz w:val="20"/>
                <w:szCs w:val="20"/>
              </w:rPr>
              <w:t xml:space="preserve"> </w:t>
            </w:r>
            <w:r w:rsidR="00B60D66">
              <w:rPr>
                <w:rFonts w:cs="Cambria"/>
                <w:sz w:val="20"/>
                <w:szCs w:val="20"/>
              </w:rPr>
              <w:t xml:space="preserve">are required </w:t>
            </w:r>
            <w:r w:rsidR="00E12D81" w:rsidRPr="008C1579">
              <w:rPr>
                <w:rFonts w:cs="Cambria"/>
                <w:sz w:val="20"/>
                <w:szCs w:val="20"/>
              </w:rPr>
              <w:t>regarding situations where, due to regulatory requirements, organisations have had to bear the costs for the business models of their competitors (for instance where PSD2 has given rise to organisations being able to develop banking services without the cost of maintaining banking technology infrastructure). These initiatives could limit firm's incentive and ability to invest in innovative technologies but may also have negative implications on their ability to maintain and continuously improve their technical infrastructure and business model.</w:t>
            </w:r>
            <w:r w:rsidR="006E4CA0">
              <w:rPr>
                <w:sz w:val="20"/>
                <w:szCs w:val="20"/>
              </w:rPr>
              <w:t xml:space="preserve"> Similarly</w:t>
            </w:r>
            <w:r w:rsidR="006E4CA0" w:rsidRPr="006E4CA0">
              <w:rPr>
                <w:rFonts w:cs="Cambria"/>
                <w:sz w:val="20"/>
                <w:szCs w:val="20"/>
              </w:rPr>
              <w:t xml:space="preserve">, firms should be able to retain elaborated/inferred data insights </w:t>
            </w:r>
            <w:r w:rsidR="006E4CA0">
              <w:rPr>
                <w:rFonts w:cs="Cambria"/>
                <w:sz w:val="20"/>
                <w:szCs w:val="20"/>
              </w:rPr>
              <w:t xml:space="preserve">they generate, </w:t>
            </w:r>
            <w:r w:rsidR="006E4CA0" w:rsidRPr="006E4CA0">
              <w:rPr>
                <w:rFonts w:cs="Cambria"/>
                <w:sz w:val="20"/>
                <w:szCs w:val="20"/>
              </w:rPr>
              <w:t xml:space="preserve">under this level playing field. </w:t>
            </w:r>
            <w:r w:rsidR="006E4CA0">
              <w:rPr>
                <w:rFonts w:cs="Cambria"/>
                <w:sz w:val="20"/>
                <w:szCs w:val="20"/>
              </w:rPr>
              <w:t>As t</w:t>
            </w:r>
            <w:r w:rsidR="006E4CA0" w:rsidRPr="006E4CA0">
              <w:rPr>
                <w:rFonts w:cs="Cambria"/>
                <w:sz w:val="20"/>
                <w:szCs w:val="20"/>
              </w:rPr>
              <w:t>his data is the product of the intellectual property of an organisation, to continue encourag</w:t>
            </w:r>
            <w:r w:rsidR="006E4CA0">
              <w:rPr>
                <w:rFonts w:cs="Cambria"/>
                <w:sz w:val="20"/>
                <w:szCs w:val="20"/>
              </w:rPr>
              <w:t>ing</w:t>
            </w:r>
            <w:r w:rsidR="006E4CA0" w:rsidRPr="006E4CA0">
              <w:rPr>
                <w:rFonts w:cs="Cambria"/>
                <w:sz w:val="20"/>
                <w:szCs w:val="20"/>
              </w:rPr>
              <w:t xml:space="preserve"> research, development and innovation, organisations must be able to retain this value</w:t>
            </w:r>
            <w:r w:rsidR="006E4CA0">
              <w:rPr>
                <w:rFonts w:cs="Cambria"/>
                <w:sz w:val="20"/>
                <w:szCs w:val="20"/>
              </w:rPr>
              <w:t>.</w:t>
            </w:r>
          </w:p>
          <w:p w14:paraId="13E7BBB5" w14:textId="3662AB1E" w:rsidR="0038607D" w:rsidRPr="00A4762B" w:rsidRDefault="001E6675" w:rsidP="00092DE9">
            <w:pPr>
              <w:rPr>
                <w:rFonts w:ascii="Cambria" w:eastAsia="Times New Roman" w:hAnsi="Cambria"/>
                <w:sz w:val="20"/>
                <w:szCs w:val="20"/>
                <w:lang w:eastAsia="en-GB"/>
              </w:rPr>
            </w:pPr>
            <w:r w:rsidRPr="001E6675">
              <w:rPr>
                <w:rFonts w:ascii="Cambria" w:eastAsia="Times New Roman" w:hAnsi="Cambria"/>
                <w:sz w:val="20"/>
                <w:szCs w:val="20"/>
                <w:lang w:eastAsia="en-GB"/>
              </w:rPr>
              <w:t>AFME welcome</w:t>
            </w:r>
            <w:r w:rsidR="00850ABA">
              <w:rPr>
                <w:rFonts w:ascii="Cambria" w:eastAsia="Times New Roman" w:hAnsi="Cambria"/>
                <w:sz w:val="20"/>
                <w:szCs w:val="20"/>
                <w:lang w:eastAsia="en-GB"/>
              </w:rPr>
              <w:t>s</w:t>
            </w:r>
            <w:r w:rsidRPr="001E6675">
              <w:rPr>
                <w:rFonts w:ascii="Cambria" w:eastAsia="Times New Roman" w:hAnsi="Cambria"/>
                <w:sz w:val="20"/>
                <w:szCs w:val="20"/>
                <w:lang w:eastAsia="en-GB"/>
              </w:rPr>
              <w:t xml:space="preserve"> the opportunity to discuss </w:t>
            </w:r>
            <w:r w:rsidR="0038607D">
              <w:rPr>
                <w:rFonts w:ascii="Cambria" w:eastAsia="Times New Roman" w:hAnsi="Cambria"/>
                <w:sz w:val="20"/>
                <w:szCs w:val="20"/>
                <w:lang w:eastAsia="en-GB"/>
              </w:rPr>
              <w:t xml:space="preserve">the recommendations made in </w:t>
            </w:r>
            <w:r w:rsidRPr="001E6675">
              <w:rPr>
                <w:rFonts w:ascii="Cambria" w:eastAsia="Times New Roman" w:hAnsi="Cambria"/>
                <w:sz w:val="20"/>
                <w:szCs w:val="20"/>
                <w:lang w:eastAsia="en-GB"/>
              </w:rPr>
              <w:t xml:space="preserve">response to this </w:t>
            </w:r>
            <w:r w:rsidR="00D445F3">
              <w:rPr>
                <w:rFonts w:ascii="Cambria" w:eastAsia="Times New Roman" w:hAnsi="Cambria"/>
                <w:sz w:val="20"/>
                <w:szCs w:val="20"/>
                <w:lang w:eastAsia="en-GB"/>
              </w:rPr>
              <w:t>CP</w:t>
            </w:r>
            <w:r w:rsidR="0038607D">
              <w:rPr>
                <w:rFonts w:ascii="Cambria" w:eastAsia="Times New Roman" w:hAnsi="Cambria"/>
                <w:sz w:val="20"/>
                <w:szCs w:val="20"/>
                <w:lang w:eastAsia="en-GB"/>
              </w:rPr>
              <w:t xml:space="preserve"> </w:t>
            </w:r>
            <w:r w:rsidRPr="001E6675">
              <w:rPr>
                <w:rFonts w:ascii="Cambria" w:eastAsia="Times New Roman" w:hAnsi="Cambria"/>
                <w:sz w:val="20"/>
                <w:szCs w:val="20"/>
                <w:lang w:eastAsia="en-GB"/>
              </w:rPr>
              <w:t xml:space="preserve">and </w:t>
            </w:r>
            <w:r w:rsidR="00C30695">
              <w:rPr>
                <w:rFonts w:ascii="Cambria" w:eastAsia="Times New Roman" w:hAnsi="Cambria"/>
                <w:sz w:val="20"/>
                <w:szCs w:val="20"/>
                <w:lang w:eastAsia="en-GB"/>
              </w:rPr>
              <w:t xml:space="preserve">to </w:t>
            </w:r>
            <w:r w:rsidR="0038607D">
              <w:rPr>
                <w:rFonts w:ascii="Cambria" w:eastAsia="Times New Roman" w:hAnsi="Cambria"/>
                <w:sz w:val="20"/>
                <w:szCs w:val="20"/>
                <w:lang w:eastAsia="en-GB"/>
              </w:rPr>
              <w:t xml:space="preserve">continue to </w:t>
            </w:r>
            <w:r w:rsidRPr="001E6675">
              <w:rPr>
                <w:rFonts w:ascii="Cambria" w:eastAsia="Times New Roman" w:hAnsi="Cambria"/>
                <w:sz w:val="20"/>
                <w:szCs w:val="20"/>
                <w:lang w:eastAsia="en-GB"/>
              </w:rPr>
              <w:t xml:space="preserve">identify opportunities </w:t>
            </w:r>
            <w:r w:rsidR="00C80FA9">
              <w:rPr>
                <w:rFonts w:ascii="Cambria" w:eastAsia="Times New Roman" w:hAnsi="Cambria"/>
                <w:sz w:val="20"/>
                <w:szCs w:val="20"/>
                <w:lang w:eastAsia="en-GB"/>
              </w:rPr>
              <w:t>to</w:t>
            </w:r>
            <w:r w:rsidRPr="001E6675">
              <w:rPr>
                <w:rFonts w:ascii="Cambria" w:eastAsia="Times New Roman" w:hAnsi="Cambria"/>
                <w:sz w:val="20"/>
                <w:szCs w:val="20"/>
                <w:lang w:eastAsia="en-GB"/>
              </w:rPr>
              <w:t xml:space="preserve"> support </w:t>
            </w:r>
            <w:r w:rsidR="00C30695">
              <w:rPr>
                <w:rFonts w:ascii="Cambria" w:eastAsia="Times New Roman" w:hAnsi="Cambria"/>
                <w:sz w:val="20"/>
                <w:szCs w:val="20"/>
                <w:lang w:eastAsia="en-GB"/>
              </w:rPr>
              <w:t xml:space="preserve">the Commission in </w:t>
            </w:r>
            <w:r w:rsidRPr="001E6675">
              <w:rPr>
                <w:rFonts w:ascii="Cambria" w:eastAsia="Times New Roman" w:hAnsi="Cambria"/>
                <w:sz w:val="20"/>
                <w:szCs w:val="20"/>
                <w:lang w:eastAsia="en-GB"/>
              </w:rPr>
              <w:t xml:space="preserve">this </w:t>
            </w:r>
            <w:r w:rsidR="00D445F3">
              <w:rPr>
                <w:rFonts w:ascii="Cambria" w:eastAsia="Times New Roman" w:hAnsi="Cambria"/>
                <w:sz w:val="20"/>
                <w:szCs w:val="20"/>
                <w:lang w:eastAsia="en-GB"/>
              </w:rPr>
              <w:t xml:space="preserve">important </w:t>
            </w:r>
            <w:r w:rsidR="001C6218" w:rsidRPr="001E6675">
              <w:rPr>
                <w:rFonts w:ascii="Cambria" w:eastAsia="Times New Roman" w:hAnsi="Cambria"/>
                <w:sz w:val="20"/>
                <w:szCs w:val="20"/>
                <w:lang w:eastAsia="en-GB"/>
              </w:rPr>
              <w:t>initiative</w:t>
            </w:r>
            <w:r w:rsidR="001C6218">
              <w:rPr>
                <w:rFonts w:ascii="Cambria" w:eastAsia="Times New Roman" w:hAnsi="Cambria"/>
                <w:sz w:val="20"/>
                <w:szCs w:val="20"/>
                <w:lang w:eastAsia="en-GB"/>
              </w:rPr>
              <w:t>.</w:t>
            </w:r>
            <w:r w:rsidR="00AA0CF9">
              <w:rPr>
                <w:rFonts w:ascii="Cambria" w:eastAsia="Times New Roman" w:hAnsi="Cambria"/>
                <w:sz w:val="20"/>
                <w:szCs w:val="20"/>
                <w:lang w:eastAsia="en-GB"/>
              </w:rPr>
              <w:t xml:space="preserve"> </w:t>
            </w:r>
          </w:p>
        </w:tc>
      </w:tr>
      <w:tr w:rsidR="001675E9" w:rsidRPr="00CA5C2D" w14:paraId="0192B458" w14:textId="77777777" w:rsidTr="003E07DA">
        <w:tc>
          <w:tcPr>
            <w:tcW w:w="10457" w:type="dxa"/>
            <w:shd w:val="clear" w:color="auto" w:fill="C2D69B" w:themeFill="accent3" w:themeFillTint="99"/>
          </w:tcPr>
          <w:p w14:paraId="65DD9B10" w14:textId="77777777" w:rsidR="001675E9" w:rsidRPr="004756C9" w:rsidDel="001675E9" w:rsidRDefault="001675E9" w:rsidP="001675E9">
            <w:pPr>
              <w:rPr>
                <w:rFonts w:ascii="Cambria" w:eastAsia="Times New Roman" w:hAnsi="Cambria"/>
                <w:b/>
                <w:sz w:val="20"/>
                <w:szCs w:val="20"/>
                <w:lang w:eastAsia="en-GB"/>
              </w:rPr>
            </w:pPr>
          </w:p>
        </w:tc>
      </w:tr>
    </w:tbl>
    <w:p w14:paraId="4E68D299" w14:textId="571EB399" w:rsidR="00281C36" w:rsidRDefault="00281C36" w:rsidP="00C82A60">
      <w:pPr>
        <w:pStyle w:val="Default"/>
        <w:spacing w:before="0" w:after="120"/>
        <w:rPr>
          <w:rFonts w:asciiTheme="majorHAnsi" w:hAnsiTheme="majorHAnsi"/>
          <w:b/>
          <w:lang w:val="en-GB"/>
        </w:rPr>
      </w:pPr>
    </w:p>
    <w:p w14:paraId="2A8EFABA" w14:textId="769C07C3" w:rsidR="00A61DEC" w:rsidRPr="00764FAA" w:rsidRDefault="00F45FB1" w:rsidP="00F36C06">
      <w:pPr>
        <w:pStyle w:val="Default"/>
        <w:numPr>
          <w:ilvl w:val="0"/>
          <w:numId w:val="1"/>
        </w:numPr>
        <w:spacing w:before="0" w:after="120"/>
        <w:rPr>
          <w:rFonts w:asciiTheme="majorHAnsi" w:hAnsiTheme="majorHAnsi"/>
          <w:b/>
          <w:lang w:val="en-GB"/>
        </w:rPr>
      </w:pPr>
      <w:r>
        <w:rPr>
          <w:rFonts w:asciiTheme="majorHAnsi" w:hAnsiTheme="majorHAnsi"/>
          <w:b/>
          <w:lang w:val="en-GB"/>
        </w:rPr>
        <w:t xml:space="preserve">Comments to the </w:t>
      </w:r>
      <w:r w:rsidR="008945E7">
        <w:rPr>
          <w:rFonts w:asciiTheme="majorHAnsi" w:hAnsiTheme="majorHAnsi"/>
          <w:b/>
          <w:lang w:val="en-GB"/>
        </w:rPr>
        <w:t xml:space="preserve">sections of the public </w:t>
      </w:r>
      <w:r>
        <w:rPr>
          <w:rFonts w:asciiTheme="majorHAnsi" w:hAnsiTheme="majorHAnsi"/>
          <w:b/>
          <w:lang w:val="en-GB"/>
        </w:rPr>
        <w:t xml:space="preserve">consultation </w:t>
      </w:r>
    </w:p>
    <w:p w14:paraId="4A356964" w14:textId="77777777" w:rsidR="00A61DEC" w:rsidRPr="00764FAA" w:rsidRDefault="00A61DEC" w:rsidP="00C82A60">
      <w:pPr>
        <w:pStyle w:val="Default"/>
        <w:spacing w:before="0" w:after="120"/>
        <w:rPr>
          <w:rFonts w:asciiTheme="majorHAnsi" w:hAnsiTheme="majorHAnsi"/>
          <w:lang w:val="en-GB"/>
        </w:rPr>
      </w:pPr>
    </w:p>
    <w:p w14:paraId="0026CD00" w14:textId="62592063" w:rsidR="00AD7F94" w:rsidRDefault="008945E7" w:rsidP="00FB5C0A">
      <w:pPr>
        <w:spacing w:after="120"/>
        <w:ind w:firstLine="360"/>
        <w:rPr>
          <w:b/>
          <w:i/>
          <w:sz w:val="20"/>
          <w:szCs w:val="20"/>
        </w:rPr>
      </w:pPr>
      <w:r>
        <w:rPr>
          <w:b/>
          <w:i/>
          <w:sz w:val="20"/>
          <w:szCs w:val="20"/>
        </w:rPr>
        <w:t>Introduction</w:t>
      </w:r>
    </w:p>
    <w:p w14:paraId="67C037B7" w14:textId="56B016E4" w:rsidR="002E1C4E" w:rsidRPr="00777E20" w:rsidRDefault="002E1C4E" w:rsidP="002E1C4E">
      <w:pPr>
        <w:rPr>
          <w:rFonts w:cs="Cambria"/>
          <w:b/>
          <w:sz w:val="20"/>
          <w:szCs w:val="20"/>
        </w:rPr>
      </w:pPr>
    </w:p>
    <w:tbl>
      <w:tblPr>
        <w:tblStyle w:val="TableGrid"/>
        <w:tblW w:w="0" w:type="auto"/>
        <w:tblLook w:val="04A0" w:firstRow="1" w:lastRow="0" w:firstColumn="1" w:lastColumn="0" w:noHBand="0" w:noVBand="1"/>
      </w:tblPr>
      <w:tblGrid>
        <w:gridCol w:w="1271"/>
        <w:gridCol w:w="2268"/>
        <w:gridCol w:w="6918"/>
      </w:tblGrid>
      <w:tr w:rsidR="002E1C4E" w14:paraId="53575CDB" w14:textId="77777777" w:rsidTr="00485A59">
        <w:trPr>
          <w:trHeight w:val="226"/>
        </w:trPr>
        <w:tc>
          <w:tcPr>
            <w:tcW w:w="1271" w:type="dxa"/>
            <w:shd w:val="clear" w:color="auto" w:fill="D6E3BC" w:themeFill="accent3" w:themeFillTint="66"/>
          </w:tcPr>
          <w:p w14:paraId="542668BB" w14:textId="3F22E28E" w:rsidR="002E1C4E" w:rsidRPr="00DB5E67" w:rsidRDefault="008945E7" w:rsidP="00FC3EF0">
            <w:pPr>
              <w:spacing w:after="120"/>
              <w:rPr>
                <w:b/>
                <w:sz w:val="20"/>
                <w:szCs w:val="20"/>
              </w:rPr>
            </w:pPr>
            <w:r>
              <w:rPr>
                <w:b/>
                <w:sz w:val="20"/>
                <w:szCs w:val="20"/>
              </w:rPr>
              <w:t>Question</w:t>
            </w:r>
          </w:p>
        </w:tc>
        <w:tc>
          <w:tcPr>
            <w:tcW w:w="2268" w:type="dxa"/>
            <w:shd w:val="clear" w:color="auto" w:fill="D6E3BC" w:themeFill="accent3" w:themeFillTint="66"/>
          </w:tcPr>
          <w:p w14:paraId="608CB46F" w14:textId="5FD7F8EA" w:rsidR="002E1C4E" w:rsidRPr="00DB5E67" w:rsidRDefault="005B344E" w:rsidP="00FC3EF0">
            <w:pPr>
              <w:spacing w:after="120"/>
              <w:rPr>
                <w:b/>
                <w:sz w:val="20"/>
                <w:szCs w:val="20"/>
              </w:rPr>
            </w:pPr>
            <w:r>
              <w:rPr>
                <w:b/>
                <w:sz w:val="20"/>
                <w:szCs w:val="20"/>
              </w:rPr>
              <w:t>In scope/Out of scope</w:t>
            </w:r>
          </w:p>
        </w:tc>
        <w:tc>
          <w:tcPr>
            <w:tcW w:w="6918" w:type="dxa"/>
            <w:shd w:val="clear" w:color="auto" w:fill="D6E3BC" w:themeFill="accent3" w:themeFillTint="66"/>
          </w:tcPr>
          <w:p w14:paraId="10F2F2C0" w14:textId="7B7507DD" w:rsidR="002E1C4E" w:rsidRPr="00DB5E67" w:rsidRDefault="005B344E" w:rsidP="00FC3EF0">
            <w:pPr>
              <w:spacing w:after="120"/>
              <w:rPr>
                <w:b/>
                <w:sz w:val="20"/>
                <w:szCs w:val="20"/>
              </w:rPr>
            </w:pPr>
            <w:r>
              <w:rPr>
                <w:b/>
                <w:sz w:val="20"/>
                <w:szCs w:val="20"/>
              </w:rPr>
              <w:t>Response</w:t>
            </w:r>
          </w:p>
        </w:tc>
      </w:tr>
      <w:tr w:rsidR="002E1C4E" w14:paraId="73B75395" w14:textId="77777777" w:rsidTr="00485A59">
        <w:trPr>
          <w:trHeight w:val="352"/>
        </w:trPr>
        <w:tc>
          <w:tcPr>
            <w:tcW w:w="1271" w:type="dxa"/>
          </w:tcPr>
          <w:p w14:paraId="599224BC" w14:textId="0674FCA0" w:rsidR="002E1C4E" w:rsidRPr="00DB5E67" w:rsidRDefault="008945E7" w:rsidP="00FC3EF0">
            <w:pPr>
              <w:spacing w:after="120"/>
              <w:rPr>
                <w:sz w:val="20"/>
                <w:szCs w:val="20"/>
              </w:rPr>
            </w:pPr>
            <w:r>
              <w:rPr>
                <w:sz w:val="20"/>
                <w:szCs w:val="20"/>
              </w:rPr>
              <w:t>1</w:t>
            </w:r>
          </w:p>
        </w:tc>
        <w:tc>
          <w:tcPr>
            <w:tcW w:w="2268" w:type="dxa"/>
          </w:tcPr>
          <w:p w14:paraId="147124B0" w14:textId="48FFB879" w:rsidR="006F6ECE" w:rsidRPr="006F6ECE" w:rsidRDefault="005B344E" w:rsidP="00485A59">
            <w:pPr>
              <w:rPr>
                <w:bCs/>
                <w:lang w:eastAsia="en-GB"/>
              </w:rPr>
            </w:pPr>
            <w:r w:rsidRPr="00485A59">
              <w:rPr>
                <w:rFonts w:eastAsia="Times New Roman" w:cs="Times New Roman"/>
                <w:sz w:val="20"/>
                <w:szCs w:val="20"/>
                <w:lang w:eastAsia="en-GB"/>
              </w:rPr>
              <w:t xml:space="preserve">AFME to respond </w:t>
            </w:r>
          </w:p>
        </w:tc>
        <w:tc>
          <w:tcPr>
            <w:tcW w:w="6918" w:type="dxa"/>
          </w:tcPr>
          <w:p w14:paraId="45190899" w14:textId="6CB0EA8A" w:rsidR="00473C3E" w:rsidRDefault="001F2C9C" w:rsidP="00473C3E">
            <w:pPr>
              <w:pStyle w:val="ListParagraph"/>
              <w:numPr>
                <w:ilvl w:val="0"/>
                <w:numId w:val="26"/>
              </w:numPr>
              <w:spacing w:after="120"/>
              <w:ind w:left="184" w:hanging="184"/>
              <w:rPr>
                <w:sz w:val="20"/>
                <w:szCs w:val="20"/>
              </w:rPr>
            </w:pPr>
            <w:r>
              <w:rPr>
                <w:sz w:val="20"/>
                <w:szCs w:val="20"/>
              </w:rPr>
              <w:t xml:space="preserve">The </w:t>
            </w:r>
            <w:r w:rsidR="004051AC">
              <w:rPr>
                <w:rFonts w:eastAsia="Times New Roman"/>
                <w:sz w:val="20"/>
                <w:szCs w:val="20"/>
                <w:lang w:eastAsia="en-GB"/>
              </w:rPr>
              <w:t>Expert Group on Regulatory Obstacles to Financial Innovation (</w:t>
            </w:r>
            <w:r w:rsidR="001E79D7">
              <w:rPr>
                <w:sz w:val="20"/>
                <w:szCs w:val="20"/>
              </w:rPr>
              <w:t>ROFIEG</w:t>
            </w:r>
            <w:r w:rsidR="004051AC">
              <w:rPr>
                <w:sz w:val="20"/>
                <w:szCs w:val="20"/>
              </w:rPr>
              <w:t>)</w:t>
            </w:r>
            <w:r>
              <w:rPr>
                <w:sz w:val="20"/>
                <w:szCs w:val="20"/>
              </w:rPr>
              <w:t xml:space="preserve"> </w:t>
            </w:r>
            <w:r w:rsidR="00A704F5">
              <w:rPr>
                <w:sz w:val="20"/>
                <w:szCs w:val="20"/>
              </w:rPr>
              <w:t xml:space="preserve">published in December 2019 </w:t>
            </w:r>
            <w:r w:rsidR="004051AC">
              <w:rPr>
                <w:sz w:val="20"/>
                <w:szCs w:val="20"/>
              </w:rPr>
              <w:t xml:space="preserve">a report </w:t>
            </w:r>
            <w:r w:rsidR="00445C99">
              <w:rPr>
                <w:sz w:val="20"/>
                <w:szCs w:val="20"/>
              </w:rPr>
              <w:t>set</w:t>
            </w:r>
            <w:r w:rsidR="004051AC">
              <w:rPr>
                <w:sz w:val="20"/>
                <w:szCs w:val="20"/>
              </w:rPr>
              <w:t>ting</w:t>
            </w:r>
            <w:r w:rsidR="00445C99">
              <w:rPr>
                <w:sz w:val="20"/>
                <w:szCs w:val="20"/>
              </w:rPr>
              <w:t xml:space="preserve"> out to </w:t>
            </w:r>
            <w:r w:rsidR="00445C99" w:rsidRPr="00445C99">
              <w:rPr>
                <w:sz w:val="20"/>
                <w:szCs w:val="20"/>
              </w:rPr>
              <w:t>identif</w:t>
            </w:r>
            <w:r w:rsidR="00445C99">
              <w:rPr>
                <w:sz w:val="20"/>
                <w:szCs w:val="20"/>
              </w:rPr>
              <w:t>y</w:t>
            </w:r>
            <w:r w:rsidR="00445C99" w:rsidRPr="00445C99">
              <w:rPr>
                <w:sz w:val="20"/>
                <w:szCs w:val="20"/>
              </w:rPr>
              <w:t xml:space="preserve"> regulatory obstacles to</w:t>
            </w:r>
            <w:r w:rsidR="00445C99">
              <w:rPr>
                <w:sz w:val="20"/>
                <w:szCs w:val="20"/>
              </w:rPr>
              <w:t xml:space="preserve"> </w:t>
            </w:r>
            <w:r w:rsidR="00445C99" w:rsidRPr="00445C99">
              <w:rPr>
                <w:sz w:val="20"/>
                <w:szCs w:val="20"/>
              </w:rPr>
              <w:t>financial innovation</w:t>
            </w:r>
            <w:r w:rsidR="004051AC">
              <w:rPr>
                <w:sz w:val="20"/>
                <w:szCs w:val="20"/>
              </w:rPr>
              <w:t xml:space="preserve">. The report made 30 recommendations </w:t>
            </w:r>
            <w:r w:rsidR="004051AC" w:rsidRPr="00445C99">
              <w:rPr>
                <w:sz w:val="20"/>
                <w:szCs w:val="20"/>
              </w:rPr>
              <w:t>to address these issues</w:t>
            </w:r>
            <w:r w:rsidR="00B86FD8">
              <w:rPr>
                <w:sz w:val="20"/>
                <w:szCs w:val="20"/>
              </w:rPr>
              <w:t xml:space="preserve"> and </w:t>
            </w:r>
            <w:r w:rsidR="00B86FD8" w:rsidRPr="00B86FD8">
              <w:rPr>
                <w:sz w:val="20"/>
                <w:szCs w:val="20"/>
              </w:rPr>
              <w:t>create an accommodative framework for technology-enabled provision of financial services (‘FinTech’) in the EU</w:t>
            </w:r>
            <w:r w:rsidR="004051AC">
              <w:rPr>
                <w:sz w:val="20"/>
                <w:szCs w:val="20"/>
              </w:rPr>
              <w:t>.</w:t>
            </w:r>
          </w:p>
          <w:p w14:paraId="4278F27D" w14:textId="0D47E7A4" w:rsidR="004051AC" w:rsidRPr="00AF6407" w:rsidRDefault="004051AC" w:rsidP="00AF6407">
            <w:pPr>
              <w:pStyle w:val="ListParagraph"/>
              <w:numPr>
                <w:ilvl w:val="0"/>
                <w:numId w:val="26"/>
              </w:numPr>
              <w:spacing w:after="120"/>
              <w:ind w:left="184" w:hanging="184"/>
              <w:rPr>
                <w:sz w:val="20"/>
                <w:szCs w:val="20"/>
              </w:rPr>
            </w:pPr>
            <w:r w:rsidRPr="002F184D">
              <w:rPr>
                <w:rFonts w:eastAsia="Times New Roman"/>
                <w:sz w:val="20"/>
                <w:szCs w:val="20"/>
                <w:lang w:eastAsia="en-GB"/>
              </w:rPr>
              <w:t xml:space="preserve">AFME supports the conclusions brought forward by the </w:t>
            </w:r>
            <w:r>
              <w:rPr>
                <w:rFonts w:eastAsia="Times New Roman"/>
                <w:sz w:val="20"/>
                <w:szCs w:val="20"/>
                <w:lang w:eastAsia="en-GB"/>
              </w:rPr>
              <w:t>ROFIEG report and e</w:t>
            </w:r>
            <w:r w:rsidRPr="00AC0620">
              <w:rPr>
                <w:rFonts w:eastAsia="Times New Roman"/>
                <w:sz w:val="20"/>
                <w:szCs w:val="20"/>
                <w:lang w:eastAsia="en-GB"/>
              </w:rPr>
              <w:t>stablishing</w:t>
            </w:r>
            <w:r w:rsidRPr="002F184D">
              <w:rPr>
                <w:rFonts w:eastAsia="Times New Roman"/>
                <w:sz w:val="20"/>
                <w:szCs w:val="20"/>
                <w:lang w:eastAsia="en-GB"/>
              </w:rPr>
              <w:t xml:space="preserve"> </w:t>
            </w:r>
            <w:r>
              <w:rPr>
                <w:rFonts w:eastAsia="Times New Roman"/>
                <w:sz w:val="20"/>
                <w:szCs w:val="20"/>
                <w:lang w:eastAsia="en-GB"/>
              </w:rPr>
              <w:t xml:space="preserve">priorities in regulating </w:t>
            </w:r>
            <w:r w:rsidRPr="00AC0620">
              <w:rPr>
                <w:rFonts w:eastAsia="Times New Roman"/>
                <w:sz w:val="20"/>
                <w:szCs w:val="20"/>
                <w:lang w:eastAsia="en-GB"/>
              </w:rPr>
              <w:t>FinTech</w:t>
            </w:r>
            <w:r>
              <w:rPr>
                <w:rStyle w:val="FootnoteReference"/>
                <w:rFonts w:eastAsia="Times New Roman"/>
                <w:sz w:val="20"/>
                <w:szCs w:val="20"/>
                <w:lang w:eastAsia="en-GB"/>
              </w:rPr>
              <w:footnoteReference w:id="15"/>
            </w:r>
            <w:r>
              <w:rPr>
                <w:sz w:val="20"/>
                <w:szCs w:val="20"/>
              </w:rPr>
              <w:t>:</w:t>
            </w:r>
          </w:p>
          <w:p w14:paraId="514C53AD" w14:textId="74939AC7" w:rsidR="004051AC" w:rsidRDefault="00E57885" w:rsidP="004051AC">
            <w:pPr>
              <w:pStyle w:val="ListParagraph"/>
              <w:numPr>
                <w:ilvl w:val="1"/>
                <w:numId w:val="26"/>
              </w:numPr>
              <w:spacing w:after="120"/>
              <w:ind w:left="606" w:hanging="284"/>
              <w:rPr>
                <w:sz w:val="20"/>
                <w:szCs w:val="20"/>
              </w:rPr>
            </w:pPr>
            <w:proofErr w:type="spellStart"/>
            <w:r>
              <w:rPr>
                <w:sz w:val="20"/>
                <w:szCs w:val="20"/>
              </w:rPr>
              <w:t>E</w:t>
            </w:r>
            <w:r w:rsidR="004051AC" w:rsidRPr="004051AC">
              <w:rPr>
                <w:sz w:val="20"/>
                <w:szCs w:val="20"/>
              </w:rPr>
              <w:t>xplainability</w:t>
            </w:r>
            <w:proofErr w:type="spellEnd"/>
            <w:r w:rsidR="004051AC" w:rsidRPr="004051AC">
              <w:rPr>
                <w:sz w:val="20"/>
                <w:szCs w:val="20"/>
              </w:rPr>
              <w:t xml:space="preserve"> and interpretability of technology</w:t>
            </w:r>
            <w:r w:rsidR="004051AC" w:rsidRPr="00AF6407">
              <w:rPr>
                <w:sz w:val="20"/>
                <w:szCs w:val="20"/>
              </w:rPr>
              <w:t>, especially AI, as measures to protect consumers and businesses and facilitate supervision, or to meet supervisory expectations</w:t>
            </w:r>
            <w:r>
              <w:rPr>
                <w:sz w:val="20"/>
                <w:szCs w:val="20"/>
              </w:rPr>
              <w:t>.</w:t>
            </w:r>
          </w:p>
          <w:p w14:paraId="16804605" w14:textId="37459DCA" w:rsidR="004051AC" w:rsidRDefault="00E57885" w:rsidP="004051AC">
            <w:pPr>
              <w:pStyle w:val="ListParagraph"/>
              <w:numPr>
                <w:ilvl w:val="1"/>
                <w:numId w:val="26"/>
              </w:numPr>
              <w:spacing w:after="120"/>
              <w:ind w:left="606" w:hanging="284"/>
              <w:rPr>
                <w:sz w:val="20"/>
                <w:szCs w:val="20"/>
              </w:rPr>
            </w:pPr>
            <w:r>
              <w:rPr>
                <w:sz w:val="20"/>
                <w:szCs w:val="20"/>
              </w:rPr>
              <w:t>C</w:t>
            </w:r>
            <w:r w:rsidR="004051AC" w:rsidRPr="00AF6407">
              <w:rPr>
                <w:sz w:val="20"/>
                <w:szCs w:val="20"/>
              </w:rPr>
              <w:t>reation of a regulatory framework built on the principle that activities that create</w:t>
            </w:r>
            <w:r w:rsidR="004051AC">
              <w:rPr>
                <w:sz w:val="20"/>
                <w:szCs w:val="20"/>
              </w:rPr>
              <w:t xml:space="preserve"> </w:t>
            </w:r>
            <w:r w:rsidR="004051AC" w:rsidRPr="00AF6407">
              <w:rPr>
                <w:sz w:val="20"/>
                <w:szCs w:val="20"/>
              </w:rPr>
              <w:t>the same risks should be governed by the same rules, with a view to ensuring adequate</w:t>
            </w:r>
            <w:r w:rsidR="004051AC">
              <w:rPr>
                <w:sz w:val="20"/>
                <w:szCs w:val="20"/>
              </w:rPr>
              <w:t xml:space="preserve"> </w:t>
            </w:r>
            <w:r w:rsidR="004051AC" w:rsidRPr="00AF6407">
              <w:rPr>
                <w:sz w:val="20"/>
                <w:szCs w:val="20"/>
              </w:rPr>
              <w:t>regulation and supervision and maintaining a level playing field</w:t>
            </w:r>
            <w:r>
              <w:rPr>
                <w:sz w:val="20"/>
                <w:szCs w:val="20"/>
              </w:rPr>
              <w:t>.</w:t>
            </w:r>
          </w:p>
          <w:p w14:paraId="1CD9F27A" w14:textId="4D020EDB" w:rsidR="004051AC" w:rsidRDefault="00E57885" w:rsidP="004051AC">
            <w:pPr>
              <w:pStyle w:val="ListParagraph"/>
              <w:numPr>
                <w:ilvl w:val="1"/>
                <w:numId w:val="26"/>
              </w:numPr>
              <w:spacing w:after="120"/>
              <w:ind w:left="606" w:hanging="284"/>
              <w:rPr>
                <w:sz w:val="20"/>
                <w:szCs w:val="20"/>
              </w:rPr>
            </w:pPr>
            <w:r>
              <w:rPr>
                <w:sz w:val="20"/>
                <w:szCs w:val="20"/>
              </w:rPr>
              <w:t>E</w:t>
            </w:r>
            <w:r w:rsidR="004051AC" w:rsidRPr="00AF6407">
              <w:rPr>
                <w:sz w:val="20"/>
                <w:szCs w:val="20"/>
              </w:rPr>
              <w:t xml:space="preserve">nding regulatory fragmentation, especially </w:t>
            </w:r>
            <w:proofErr w:type="gramStart"/>
            <w:r w:rsidR="004051AC" w:rsidRPr="00AF6407">
              <w:rPr>
                <w:sz w:val="20"/>
                <w:szCs w:val="20"/>
              </w:rPr>
              <w:t>in the area of</w:t>
            </w:r>
            <w:proofErr w:type="gramEnd"/>
            <w:r w:rsidR="004051AC" w:rsidRPr="00AF6407">
              <w:rPr>
                <w:sz w:val="20"/>
                <w:szCs w:val="20"/>
              </w:rPr>
              <w:t xml:space="preserve"> customer due diligence/KYC, as an important step towards creating a level playing field</w:t>
            </w:r>
            <w:r>
              <w:rPr>
                <w:sz w:val="20"/>
                <w:szCs w:val="20"/>
              </w:rPr>
              <w:t>.</w:t>
            </w:r>
          </w:p>
          <w:p w14:paraId="366F7FDE" w14:textId="2D3F2C4A" w:rsidR="004051AC" w:rsidRDefault="00E57885" w:rsidP="004051AC">
            <w:pPr>
              <w:pStyle w:val="ListParagraph"/>
              <w:numPr>
                <w:ilvl w:val="1"/>
                <w:numId w:val="26"/>
              </w:numPr>
              <w:spacing w:after="120"/>
              <w:ind w:left="606" w:hanging="284"/>
              <w:rPr>
                <w:sz w:val="20"/>
                <w:szCs w:val="20"/>
              </w:rPr>
            </w:pPr>
            <w:r>
              <w:rPr>
                <w:sz w:val="20"/>
                <w:szCs w:val="20"/>
              </w:rPr>
              <w:t>P</w:t>
            </w:r>
            <w:r w:rsidR="004051AC" w:rsidRPr="00AF6407">
              <w:rPr>
                <w:sz w:val="20"/>
                <w:szCs w:val="20"/>
              </w:rPr>
              <w:t>reventing unfair treatment of competing downstream services by large, verticall</w:t>
            </w:r>
            <w:r w:rsidR="004051AC">
              <w:rPr>
                <w:sz w:val="20"/>
                <w:szCs w:val="20"/>
              </w:rPr>
              <w:t xml:space="preserve">y </w:t>
            </w:r>
            <w:r w:rsidR="004051AC" w:rsidRPr="00AF6407">
              <w:rPr>
                <w:sz w:val="20"/>
                <w:szCs w:val="20"/>
              </w:rPr>
              <w:t xml:space="preserve">integrated platforms, </w:t>
            </w:r>
            <w:proofErr w:type="gramStart"/>
            <w:r w:rsidR="004051AC" w:rsidRPr="00AF6407">
              <w:rPr>
                <w:sz w:val="20"/>
                <w:szCs w:val="20"/>
              </w:rPr>
              <w:t>in order to</w:t>
            </w:r>
            <w:proofErr w:type="gramEnd"/>
            <w:r w:rsidR="004051AC" w:rsidRPr="00AF6407">
              <w:rPr>
                <w:sz w:val="20"/>
                <w:szCs w:val="20"/>
              </w:rPr>
              <w:t xml:space="preserve"> strengthen innovation and maintain consumer choices</w:t>
            </w:r>
            <w:r>
              <w:rPr>
                <w:sz w:val="20"/>
                <w:szCs w:val="20"/>
              </w:rPr>
              <w:t>.</w:t>
            </w:r>
          </w:p>
          <w:p w14:paraId="3BD07E3E" w14:textId="7EF4E259" w:rsidR="00362030" w:rsidRDefault="00E57885" w:rsidP="00362030">
            <w:pPr>
              <w:pStyle w:val="ListParagraph"/>
              <w:numPr>
                <w:ilvl w:val="1"/>
                <w:numId w:val="26"/>
              </w:numPr>
              <w:spacing w:after="120"/>
              <w:ind w:left="606" w:hanging="284"/>
              <w:rPr>
                <w:sz w:val="20"/>
                <w:szCs w:val="20"/>
              </w:rPr>
            </w:pPr>
            <w:r>
              <w:rPr>
                <w:sz w:val="20"/>
                <w:szCs w:val="20"/>
              </w:rPr>
              <w:t>S</w:t>
            </w:r>
            <w:r w:rsidR="004051AC" w:rsidRPr="00AF6407">
              <w:rPr>
                <w:sz w:val="20"/>
                <w:szCs w:val="20"/>
              </w:rPr>
              <w:t xml:space="preserve">trengthening framework for access to, processing and sharing of data, </w:t>
            </w:r>
            <w:proofErr w:type="gramStart"/>
            <w:r w:rsidR="004051AC" w:rsidRPr="00AF6407">
              <w:rPr>
                <w:sz w:val="20"/>
                <w:szCs w:val="20"/>
              </w:rPr>
              <w:t>in</w:t>
            </w:r>
            <w:r w:rsidR="004051AC">
              <w:rPr>
                <w:sz w:val="20"/>
                <w:szCs w:val="20"/>
              </w:rPr>
              <w:t xml:space="preserve"> </w:t>
            </w:r>
            <w:r w:rsidR="004051AC" w:rsidRPr="00AF6407">
              <w:rPr>
                <w:sz w:val="20"/>
                <w:szCs w:val="20"/>
              </w:rPr>
              <w:t>order to</w:t>
            </w:r>
            <w:proofErr w:type="gramEnd"/>
            <w:r w:rsidR="004051AC" w:rsidRPr="00AF6407">
              <w:rPr>
                <w:sz w:val="20"/>
                <w:szCs w:val="20"/>
              </w:rPr>
              <w:t xml:space="preserve"> promote innovation and competition and establish a level playing field amongst</w:t>
            </w:r>
            <w:r w:rsidR="004051AC">
              <w:rPr>
                <w:sz w:val="20"/>
                <w:szCs w:val="20"/>
              </w:rPr>
              <w:t xml:space="preserve"> a</w:t>
            </w:r>
            <w:r w:rsidR="004051AC" w:rsidRPr="00AF6407">
              <w:rPr>
                <w:sz w:val="20"/>
                <w:szCs w:val="20"/>
              </w:rPr>
              <w:t>ctors</w:t>
            </w:r>
            <w:r>
              <w:rPr>
                <w:sz w:val="20"/>
                <w:szCs w:val="20"/>
              </w:rPr>
              <w:t>.</w:t>
            </w:r>
          </w:p>
          <w:p w14:paraId="020ACF17" w14:textId="1084D819" w:rsidR="00362030" w:rsidRPr="00AF6407" w:rsidRDefault="00E57885" w:rsidP="00AF6407">
            <w:pPr>
              <w:pStyle w:val="ListParagraph"/>
              <w:numPr>
                <w:ilvl w:val="1"/>
                <w:numId w:val="26"/>
              </w:numPr>
              <w:spacing w:after="120"/>
              <w:ind w:left="606" w:hanging="284"/>
              <w:rPr>
                <w:sz w:val="20"/>
                <w:szCs w:val="20"/>
              </w:rPr>
            </w:pPr>
            <w:r>
              <w:rPr>
                <w:sz w:val="20"/>
                <w:szCs w:val="20"/>
              </w:rPr>
              <w:t>A</w:t>
            </w:r>
            <w:r w:rsidR="00362030" w:rsidRPr="00AF6407">
              <w:rPr>
                <w:sz w:val="20"/>
                <w:szCs w:val="20"/>
              </w:rPr>
              <w:t xml:space="preserve">ll </w:t>
            </w:r>
            <w:r w:rsidR="00362030">
              <w:rPr>
                <w:sz w:val="20"/>
                <w:szCs w:val="20"/>
              </w:rPr>
              <w:t>r</w:t>
            </w:r>
            <w:r w:rsidR="00362030" w:rsidRPr="00AF6407">
              <w:rPr>
                <w:sz w:val="20"/>
                <w:szCs w:val="20"/>
              </w:rPr>
              <w:t>ecommendations are best</w:t>
            </w:r>
            <w:r w:rsidR="00362030">
              <w:rPr>
                <w:sz w:val="20"/>
                <w:szCs w:val="20"/>
              </w:rPr>
              <w:t xml:space="preserve"> </w:t>
            </w:r>
            <w:r w:rsidR="00362030" w:rsidRPr="00AF6407">
              <w:rPr>
                <w:sz w:val="20"/>
                <w:szCs w:val="20"/>
              </w:rPr>
              <w:t>pursued</w:t>
            </w:r>
            <w:r w:rsidR="00362030">
              <w:rPr>
                <w:sz w:val="20"/>
                <w:szCs w:val="20"/>
              </w:rPr>
              <w:t xml:space="preserve"> </w:t>
            </w:r>
            <w:r w:rsidR="00362030" w:rsidRPr="00AF6407">
              <w:rPr>
                <w:sz w:val="20"/>
                <w:szCs w:val="20"/>
              </w:rPr>
              <w:t>by regulation that is neutral</w:t>
            </w:r>
            <w:r w:rsidR="00362030">
              <w:rPr>
                <w:sz w:val="20"/>
                <w:szCs w:val="20"/>
              </w:rPr>
              <w:t xml:space="preserve"> and international cooperation in setting relevant standards, ideally leading to </w:t>
            </w:r>
            <w:r w:rsidR="001C3C7A">
              <w:rPr>
                <w:sz w:val="20"/>
                <w:szCs w:val="20"/>
              </w:rPr>
              <w:t>i</w:t>
            </w:r>
            <w:r w:rsidR="00362030">
              <w:rPr>
                <w:sz w:val="20"/>
                <w:szCs w:val="20"/>
              </w:rPr>
              <w:t>nteroperability.</w:t>
            </w:r>
          </w:p>
        </w:tc>
      </w:tr>
      <w:tr w:rsidR="002E1C4E" w14:paraId="55737957" w14:textId="77777777" w:rsidTr="00485A59">
        <w:trPr>
          <w:trHeight w:val="70"/>
        </w:trPr>
        <w:tc>
          <w:tcPr>
            <w:tcW w:w="1271" w:type="dxa"/>
          </w:tcPr>
          <w:p w14:paraId="6C168BFE" w14:textId="70EBFB26" w:rsidR="002E1C4E" w:rsidRDefault="001E79D7" w:rsidP="00FC3EF0">
            <w:pPr>
              <w:spacing w:after="120"/>
              <w:rPr>
                <w:sz w:val="20"/>
                <w:szCs w:val="20"/>
              </w:rPr>
            </w:pPr>
            <w:r>
              <w:rPr>
                <w:sz w:val="20"/>
                <w:szCs w:val="20"/>
              </w:rPr>
              <w:lastRenderedPageBreak/>
              <w:t>2</w:t>
            </w:r>
          </w:p>
        </w:tc>
        <w:tc>
          <w:tcPr>
            <w:tcW w:w="2268" w:type="dxa"/>
          </w:tcPr>
          <w:p w14:paraId="38058762" w14:textId="309AC169" w:rsidR="002E1C4E" w:rsidRPr="006F6ECE" w:rsidRDefault="005B344E" w:rsidP="00485A59">
            <w:pPr>
              <w:rPr>
                <w:rFonts w:eastAsia="Times New Roman"/>
                <w:b/>
                <w:sz w:val="20"/>
                <w:szCs w:val="20"/>
                <w:lang w:eastAsia="en-GB"/>
              </w:rPr>
            </w:pPr>
            <w:r>
              <w:rPr>
                <w:rFonts w:eastAsia="Times New Roman" w:cs="Times New Roman"/>
                <w:sz w:val="20"/>
                <w:szCs w:val="20"/>
                <w:lang w:eastAsia="en-GB"/>
              </w:rPr>
              <w:t xml:space="preserve">AFME to respond </w:t>
            </w:r>
          </w:p>
        </w:tc>
        <w:tc>
          <w:tcPr>
            <w:tcW w:w="6918" w:type="dxa"/>
          </w:tcPr>
          <w:p w14:paraId="4C387050" w14:textId="5BC45005" w:rsidR="00FA5858" w:rsidRDefault="00445C99" w:rsidP="00FA5858">
            <w:pPr>
              <w:pStyle w:val="ListParagraph"/>
              <w:numPr>
                <w:ilvl w:val="0"/>
                <w:numId w:val="26"/>
              </w:numPr>
              <w:spacing w:after="120"/>
              <w:ind w:left="184" w:hanging="184"/>
              <w:rPr>
                <w:sz w:val="20"/>
                <w:szCs w:val="20"/>
              </w:rPr>
            </w:pPr>
            <w:r>
              <w:rPr>
                <w:sz w:val="20"/>
                <w:szCs w:val="20"/>
              </w:rPr>
              <w:t xml:space="preserve">AFME agrees with the benefits of an accommodative </w:t>
            </w:r>
            <w:r w:rsidR="00FA5858">
              <w:rPr>
                <w:sz w:val="20"/>
                <w:szCs w:val="20"/>
              </w:rPr>
              <w:t xml:space="preserve">EU regulatory framework for new digital technology driven services and business models, </w:t>
            </w:r>
            <w:r w:rsidR="00CB12A7">
              <w:rPr>
                <w:sz w:val="20"/>
                <w:szCs w:val="20"/>
              </w:rPr>
              <w:t xml:space="preserve">as </w:t>
            </w:r>
            <w:r w:rsidR="00FA5858">
              <w:rPr>
                <w:sz w:val="20"/>
                <w:szCs w:val="20"/>
              </w:rPr>
              <w:t>identified in the ROFIEG report</w:t>
            </w:r>
            <w:r w:rsidR="00CB12A7">
              <w:rPr>
                <w:sz w:val="20"/>
                <w:szCs w:val="20"/>
              </w:rPr>
              <w:t>:</w:t>
            </w:r>
          </w:p>
          <w:p w14:paraId="5FB7B547" w14:textId="7E8CD774" w:rsidR="006273E5" w:rsidRDefault="00E57885" w:rsidP="00AF6407">
            <w:pPr>
              <w:pStyle w:val="ListParagraph"/>
              <w:numPr>
                <w:ilvl w:val="1"/>
                <w:numId w:val="26"/>
              </w:numPr>
              <w:spacing w:after="120"/>
              <w:ind w:left="606" w:hanging="284"/>
              <w:rPr>
                <w:sz w:val="20"/>
                <w:szCs w:val="20"/>
              </w:rPr>
            </w:pPr>
            <w:r>
              <w:rPr>
                <w:sz w:val="20"/>
                <w:szCs w:val="20"/>
              </w:rPr>
              <w:t>A</w:t>
            </w:r>
            <w:r w:rsidR="006273E5">
              <w:rPr>
                <w:sz w:val="20"/>
                <w:szCs w:val="20"/>
              </w:rPr>
              <w:t xml:space="preserve">chieve a high degree of security, </w:t>
            </w:r>
            <w:r w:rsidR="006273E5" w:rsidRPr="006273E5">
              <w:rPr>
                <w:sz w:val="20"/>
                <w:szCs w:val="20"/>
              </w:rPr>
              <w:t>resilience</w:t>
            </w:r>
            <w:r w:rsidR="006273E5">
              <w:rPr>
                <w:sz w:val="20"/>
                <w:szCs w:val="20"/>
              </w:rPr>
              <w:t xml:space="preserve"> and client/</w:t>
            </w:r>
            <w:r w:rsidR="006273E5" w:rsidRPr="006273E5">
              <w:rPr>
                <w:sz w:val="20"/>
                <w:szCs w:val="20"/>
              </w:rPr>
              <w:t xml:space="preserve">consumer </w:t>
            </w:r>
            <w:r w:rsidR="006273E5">
              <w:rPr>
                <w:sz w:val="20"/>
                <w:szCs w:val="20"/>
              </w:rPr>
              <w:t xml:space="preserve">protection (e.g. including data </w:t>
            </w:r>
            <w:r w:rsidR="006273E5" w:rsidRPr="006273E5">
              <w:rPr>
                <w:sz w:val="20"/>
                <w:szCs w:val="20"/>
              </w:rPr>
              <w:t>protection</w:t>
            </w:r>
            <w:proofErr w:type="gramStart"/>
            <w:r w:rsidR="006273E5">
              <w:rPr>
                <w:sz w:val="20"/>
                <w:szCs w:val="20"/>
              </w:rPr>
              <w:t>);</w:t>
            </w:r>
            <w:proofErr w:type="gramEnd"/>
          </w:p>
          <w:p w14:paraId="40F810C6" w14:textId="5362E34A" w:rsidR="00CB12A7" w:rsidRDefault="00E57885" w:rsidP="00AF6407">
            <w:pPr>
              <w:pStyle w:val="ListParagraph"/>
              <w:numPr>
                <w:ilvl w:val="1"/>
                <w:numId w:val="26"/>
              </w:numPr>
              <w:spacing w:after="120"/>
              <w:ind w:left="606" w:hanging="284"/>
              <w:rPr>
                <w:sz w:val="20"/>
                <w:szCs w:val="20"/>
              </w:rPr>
            </w:pPr>
            <w:r>
              <w:rPr>
                <w:sz w:val="20"/>
                <w:szCs w:val="20"/>
              </w:rPr>
              <w:t>E</w:t>
            </w:r>
            <w:r w:rsidR="00CB12A7" w:rsidRPr="00CB12A7">
              <w:rPr>
                <w:sz w:val="20"/>
                <w:szCs w:val="20"/>
              </w:rPr>
              <w:t>nabl</w:t>
            </w:r>
            <w:r w:rsidR="00CB12A7">
              <w:rPr>
                <w:sz w:val="20"/>
                <w:szCs w:val="20"/>
              </w:rPr>
              <w:t>e</w:t>
            </w:r>
            <w:r w:rsidR="00CB12A7" w:rsidRPr="00CB12A7">
              <w:rPr>
                <w:sz w:val="20"/>
                <w:szCs w:val="20"/>
              </w:rPr>
              <w:t xml:space="preserve"> market participants to provide financial services at lower </w:t>
            </w:r>
            <w:proofErr w:type="gramStart"/>
            <w:r w:rsidR="00CB12A7">
              <w:rPr>
                <w:sz w:val="20"/>
                <w:szCs w:val="20"/>
              </w:rPr>
              <w:t>cost;</w:t>
            </w:r>
            <w:proofErr w:type="gramEnd"/>
          </w:p>
          <w:p w14:paraId="379D459E" w14:textId="3246241E" w:rsidR="00CB12A7" w:rsidRDefault="00FA4DF4" w:rsidP="00CB12A7">
            <w:pPr>
              <w:pStyle w:val="ListParagraph"/>
              <w:numPr>
                <w:ilvl w:val="1"/>
                <w:numId w:val="26"/>
              </w:numPr>
              <w:spacing w:after="120"/>
              <w:ind w:left="606" w:hanging="284"/>
              <w:rPr>
                <w:sz w:val="20"/>
                <w:szCs w:val="20"/>
              </w:rPr>
            </w:pPr>
            <w:r>
              <w:rPr>
                <w:sz w:val="20"/>
                <w:szCs w:val="20"/>
              </w:rPr>
              <w:t>E</w:t>
            </w:r>
            <w:r w:rsidR="00CB12A7" w:rsidRPr="00CB12A7">
              <w:rPr>
                <w:sz w:val="20"/>
                <w:szCs w:val="20"/>
              </w:rPr>
              <w:t>nable market participants to develop a broader range of products and services,</w:t>
            </w:r>
          </w:p>
          <w:p w14:paraId="5BF61D3B" w14:textId="58AD2AC1" w:rsidR="00CB12A7" w:rsidRDefault="00E57885" w:rsidP="00CB12A7">
            <w:pPr>
              <w:pStyle w:val="ListParagraph"/>
              <w:numPr>
                <w:ilvl w:val="1"/>
                <w:numId w:val="26"/>
              </w:numPr>
              <w:spacing w:after="120"/>
              <w:ind w:left="606" w:hanging="284"/>
              <w:rPr>
                <w:sz w:val="20"/>
                <w:szCs w:val="20"/>
              </w:rPr>
            </w:pPr>
            <w:r>
              <w:rPr>
                <w:sz w:val="20"/>
                <w:szCs w:val="20"/>
              </w:rPr>
              <w:t>O</w:t>
            </w:r>
            <w:r w:rsidR="00CB12A7" w:rsidRPr="00CB12A7">
              <w:rPr>
                <w:sz w:val="20"/>
                <w:szCs w:val="20"/>
              </w:rPr>
              <w:t>pen certain products or services to consumers or businesses that were previously excluded</w:t>
            </w:r>
            <w:r w:rsidR="006273E5">
              <w:rPr>
                <w:sz w:val="20"/>
                <w:szCs w:val="20"/>
              </w:rPr>
              <w:t>;</w:t>
            </w:r>
            <w:r>
              <w:rPr>
                <w:sz w:val="20"/>
                <w:szCs w:val="20"/>
              </w:rPr>
              <w:t xml:space="preserve"> and</w:t>
            </w:r>
          </w:p>
          <w:p w14:paraId="69E8F085" w14:textId="064E24BB" w:rsidR="00CB12A7" w:rsidRDefault="00E57885" w:rsidP="00AF6407">
            <w:pPr>
              <w:pStyle w:val="ListParagraph"/>
              <w:numPr>
                <w:ilvl w:val="1"/>
                <w:numId w:val="26"/>
              </w:numPr>
              <w:spacing w:after="120"/>
              <w:ind w:left="606" w:hanging="284"/>
              <w:rPr>
                <w:sz w:val="20"/>
                <w:szCs w:val="20"/>
              </w:rPr>
            </w:pPr>
            <w:r>
              <w:rPr>
                <w:sz w:val="20"/>
                <w:szCs w:val="20"/>
              </w:rPr>
              <w:t>A</w:t>
            </w:r>
            <w:r w:rsidR="00CB12A7" w:rsidRPr="00CB12A7">
              <w:rPr>
                <w:sz w:val="20"/>
                <w:szCs w:val="20"/>
              </w:rPr>
              <w:t>chieve more effective regulation and compliance</w:t>
            </w:r>
            <w:r w:rsidR="00CB12A7">
              <w:rPr>
                <w:sz w:val="20"/>
                <w:szCs w:val="20"/>
              </w:rPr>
              <w:t xml:space="preserve"> of relevant market players.</w:t>
            </w:r>
          </w:p>
          <w:p w14:paraId="47279B09" w14:textId="3E0DB4A4" w:rsidR="00060897" w:rsidRPr="00AF6407" w:rsidRDefault="00A44821">
            <w:pPr>
              <w:pStyle w:val="ListParagraph"/>
              <w:numPr>
                <w:ilvl w:val="0"/>
                <w:numId w:val="26"/>
              </w:numPr>
              <w:spacing w:after="120"/>
              <w:ind w:left="184" w:hanging="184"/>
              <w:rPr>
                <w:sz w:val="20"/>
                <w:szCs w:val="20"/>
              </w:rPr>
            </w:pPr>
            <w:r>
              <w:rPr>
                <w:sz w:val="20"/>
                <w:szCs w:val="20"/>
              </w:rPr>
              <w:t xml:space="preserve">Similarly, in line with the ROFIEG report, </w:t>
            </w:r>
            <w:r w:rsidR="001565E0" w:rsidRPr="00AF6407">
              <w:rPr>
                <w:sz w:val="20"/>
                <w:szCs w:val="20"/>
              </w:rPr>
              <w:t>AFME agrees that it is important to distinguish risks between those that are ‘traditional risks’</w:t>
            </w:r>
            <w:r w:rsidR="009D2849" w:rsidRPr="00AF6407">
              <w:rPr>
                <w:sz w:val="20"/>
                <w:szCs w:val="20"/>
              </w:rPr>
              <w:t>,</w:t>
            </w:r>
            <w:r w:rsidR="001565E0" w:rsidRPr="00AF6407">
              <w:rPr>
                <w:sz w:val="20"/>
                <w:szCs w:val="20"/>
              </w:rPr>
              <w:t xml:space="preserve"> linked to the provision financial service, versus those that are specific to the technology itself</w:t>
            </w:r>
            <w:r>
              <w:rPr>
                <w:sz w:val="20"/>
                <w:szCs w:val="20"/>
              </w:rPr>
              <w:t xml:space="preserve"> (</w:t>
            </w:r>
            <w:hyperlink r:id="rId9" w:history="1">
              <w:r w:rsidRPr="00556172">
                <w:rPr>
                  <w:rStyle w:val="Hyperlink"/>
                  <w:sz w:val="20"/>
                  <w:szCs w:val="20"/>
                </w:rPr>
                <w:t>https://ec.europa.eu/info/publications/191113-report-expert-group-regulatory-obstacles-financial-innovation_en</w:t>
              </w:r>
            </w:hyperlink>
            <w:r>
              <w:rPr>
                <w:sz w:val="20"/>
                <w:szCs w:val="20"/>
              </w:rPr>
              <w:t xml:space="preserve"> p.11)</w:t>
            </w:r>
            <w:r w:rsidR="00E9127E">
              <w:rPr>
                <w:sz w:val="20"/>
                <w:szCs w:val="20"/>
              </w:rPr>
              <w:t>.</w:t>
            </w:r>
          </w:p>
        </w:tc>
      </w:tr>
      <w:tr w:rsidR="00D01FC8" w14:paraId="107200BC" w14:textId="77777777" w:rsidTr="00485A59">
        <w:trPr>
          <w:trHeight w:val="115"/>
        </w:trPr>
        <w:tc>
          <w:tcPr>
            <w:tcW w:w="1271" w:type="dxa"/>
          </w:tcPr>
          <w:p w14:paraId="607E8435" w14:textId="2F90CF67" w:rsidR="00D01FC8" w:rsidRDefault="00060897" w:rsidP="00FC3EF0">
            <w:pPr>
              <w:spacing w:after="120"/>
              <w:rPr>
                <w:sz w:val="20"/>
                <w:szCs w:val="20"/>
              </w:rPr>
            </w:pPr>
            <w:r>
              <w:rPr>
                <w:sz w:val="20"/>
                <w:szCs w:val="20"/>
              </w:rPr>
              <w:t>3</w:t>
            </w:r>
          </w:p>
        </w:tc>
        <w:tc>
          <w:tcPr>
            <w:tcW w:w="2268" w:type="dxa"/>
          </w:tcPr>
          <w:p w14:paraId="70A2DD49" w14:textId="61717EBA" w:rsidR="00D01FC8" w:rsidRPr="006F6ECE" w:rsidRDefault="005B344E" w:rsidP="00485A59">
            <w:pPr>
              <w:rPr>
                <w:b/>
                <w:lang w:eastAsia="en-GB"/>
              </w:rPr>
            </w:pPr>
            <w:r w:rsidRPr="00485A59">
              <w:rPr>
                <w:rFonts w:eastAsia="Times New Roman" w:cs="Times New Roman"/>
                <w:sz w:val="20"/>
                <w:szCs w:val="20"/>
                <w:lang w:eastAsia="en-GB"/>
              </w:rPr>
              <w:t>AFME to respond</w:t>
            </w:r>
          </w:p>
        </w:tc>
        <w:tc>
          <w:tcPr>
            <w:tcW w:w="6918" w:type="dxa"/>
          </w:tcPr>
          <w:p w14:paraId="33103946" w14:textId="55B48F94" w:rsidR="00E04F86" w:rsidRPr="000C453F" w:rsidRDefault="00060897" w:rsidP="006F6ECE">
            <w:pPr>
              <w:spacing w:after="120"/>
              <w:ind w:left="57"/>
              <w:rPr>
                <w:sz w:val="20"/>
                <w:szCs w:val="20"/>
              </w:rPr>
            </w:pPr>
            <w:r>
              <w:rPr>
                <w:sz w:val="20"/>
                <w:szCs w:val="20"/>
              </w:rPr>
              <w:t>Yes</w:t>
            </w:r>
          </w:p>
        </w:tc>
      </w:tr>
      <w:tr w:rsidR="008945E7" w14:paraId="1A79E14A" w14:textId="77777777" w:rsidTr="00485A59">
        <w:trPr>
          <w:trHeight w:val="364"/>
        </w:trPr>
        <w:tc>
          <w:tcPr>
            <w:tcW w:w="1271" w:type="dxa"/>
          </w:tcPr>
          <w:p w14:paraId="7C06FCDB" w14:textId="76B71604" w:rsidR="008945E7" w:rsidRDefault="00060897" w:rsidP="008945E7">
            <w:pPr>
              <w:spacing w:after="120"/>
              <w:rPr>
                <w:sz w:val="20"/>
                <w:szCs w:val="20"/>
              </w:rPr>
            </w:pPr>
            <w:r>
              <w:rPr>
                <w:sz w:val="20"/>
                <w:szCs w:val="20"/>
              </w:rPr>
              <w:t>3</w:t>
            </w:r>
            <w:r w:rsidR="008945E7">
              <w:rPr>
                <w:sz w:val="20"/>
                <w:szCs w:val="20"/>
              </w:rPr>
              <w:t>.1</w:t>
            </w:r>
          </w:p>
        </w:tc>
        <w:tc>
          <w:tcPr>
            <w:tcW w:w="2268" w:type="dxa"/>
          </w:tcPr>
          <w:p w14:paraId="331F58AB" w14:textId="4F05514D" w:rsidR="008945E7" w:rsidRPr="006F6ECE" w:rsidRDefault="004B6B8C" w:rsidP="00485A59">
            <w:pPr>
              <w:rPr>
                <w:b/>
                <w:lang w:eastAsia="en-GB"/>
              </w:rPr>
            </w:pPr>
            <w:r w:rsidRPr="00485A59">
              <w:rPr>
                <w:rFonts w:eastAsia="Times New Roman" w:cs="Times New Roman"/>
                <w:sz w:val="20"/>
                <w:szCs w:val="20"/>
                <w:lang w:eastAsia="en-GB"/>
              </w:rPr>
              <w:t>AFME to respond</w:t>
            </w:r>
          </w:p>
        </w:tc>
        <w:tc>
          <w:tcPr>
            <w:tcW w:w="6918" w:type="dxa"/>
          </w:tcPr>
          <w:p w14:paraId="6E57F9C6" w14:textId="2ED7C608" w:rsidR="00A44821" w:rsidRPr="00AF6407" w:rsidRDefault="00060897" w:rsidP="00735388">
            <w:pPr>
              <w:pStyle w:val="ListParagraph"/>
              <w:numPr>
                <w:ilvl w:val="0"/>
                <w:numId w:val="26"/>
              </w:numPr>
              <w:spacing w:after="120"/>
              <w:ind w:left="184" w:hanging="184"/>
              <w:rPr>
                <w:sz w:val="20"/>
                <w:szCs w:val="20"/>
              </w:rPr>
            </w:pPr>
            <w:r w:rsidRPr="00AF6407">
              <w:rPr>
                <w:sz w:val="20"/>
                <w:szCs w:val="20"/>
              </w:rPr>
              <w:t>Other areas meriting attention</w:t>
            </w:r>
            <w:r w:rsidR="001565E0" w:rsidRPr="00AF6407">
              <w:rPr>
                <w:sz w:val="20"/>
                <w:szCs w:val="20"/>
              </w:rPr>
              <w:t xml:space="preserve"> from the Commission:</w:t>
            </w:r>
          </w:p>
          <w:p w14:paraId="05505148" w14:textId="77777777" w:rsidR="001C6513" w:rsidRPr="00E20D62" w:rsidRDefault="001C6513" w:rsidP="00735388">
            <w:pPr>
              <w:pStyle w:val="ListParagraph"/>
              <w:numPr>
                <w:ilvl w:val="0"/>
                <w:numId w:val="26"/>
              </w:numPr>
              <w:spacing w:after="120"/>
              <w:ind w:left="184" w:hanging="184"/>
              <w:rPr>
                <w:sz w:val="20"/>
                <w:szCs w:val="20"/>
              </w:rPr>
            </w:pPr>
            <w:r w:rsidRPr="00AF6407">
              <w:rPr>
                <w:sz w:val="20"/>
                <w:szCs w:val="20"/>
              </w:rPr>
              <w:t>AFME recommends the Commission continue to ensure the EU regulatory framework for innovative technologies is globally consistent, wherever possible, to sufficiently mitigate risks and support the competitiveness of firms.</w:t>
            </w:r>
          </w:p>
          <w:p w14:paraId="754AEE00" w14:textId="77777777" w:rsidR="001C6513" w:rsidRPr="00C776E3" w:rsidRDefault="001C6513" w:rsidP="00735388">
            <w:pPr>
              <w:pStyle w:val="ListParagraph"/>
              <w:numPr>
                <w:ilvl w:val="1"/>
                <w:numId w:val="26"/>
              </w:numPr>
              <w:spacing w:after="120"/>
              <w:ind w:left="606" w:hanging="284"/>
              <w:rPr>
                <w:sz w:val="20"/>
                <w:szCs w:val="20"/>
              </w:rPr>
            </w:pPr>
            <w:r w:rsidRPr="00AC0620">
              <w:rPr>
                <w:sz w:val="20"/>
                <w:szCs w:val="20"/>
              </w:rPr>
              <w:t xml:space="preserve">A globally </w:t>
            </w:r>
            <w:r>
              <w:rPr>
                <w:sz w:val="20"/>
                <w:szCs w:val="20"/>
              </w:rPr>
              <w:t xml:space="preserve">consistent </w:t>
            </w:r>
            <w:r w:rsidRPr="00AC0620">
              <w:rPr>
                <w:sz w:val="20"/>
                <w:szCs w:val="20"/>
              </w:rPr>
              <w:t>regulatory framework is critical for maintaining financial stability and protecting end users, to address gaps in supervision across jurisdictions</w:t>
            </w:r>
            <w:r>
              <w:rPr>
                <w:sz w:val="20"/>
                <w:szCs w:val="20"/>
              </w:rPr>
              <w:t xml:space="preserve"> </w:t>
            </w:r>
            <w:r w:rsidRPr="00AC0620">
              <w:rPr>
                <w:sz w:val="20"/>
                <w:szCs w:val="20"/>
              </w:rPr>
              <w:t>that could create systemic vulnerabilities</w:t>
            </w:r>
            <w:r>
              <w:rPr>
                <w:sz w:val="20"/>
                <w:szCs w:val="20"/>
              </w:rPr>
              <w:t>,</w:t>
            </w:r>
            <w:r w:rsidRPr="00AC0620">
              <w:rPr>
                <w:sz w:val="20"/>
                <w:szCs w:val="20"/>
              </w:rPr>
              <w:t xml:space="preserve"> as the use </w:t>
            </w:r>
            <w:r>
              <w:rPr>
                <w:sz w:val="20"/>
                <w:szCs w:val="20"/>
              </w:rPr>
              <w:t xml:space="preserve">of innovative technologies </w:t>
            </w:r>
            <w:r w:rsidRPr="00AC0620">
              <w:rPr>
                <w:sz w:val="20"/>
                <w:szCs w:val="20"/>
              </w:rPr>
              <w:t xml:space="preserve">continues to grow. </w:t>
            </w:r>
            <w:r>
              <w:rPr>
                <w:sz w:val="20"/>
                <w:szCs w:val="20"/>
              </w:rPr>
              <w:t xml:space="preserve"> A</w:t>
            </w:r>
            <w:r w:rsidRPr="00AC0620">
              <w:rPr>
                <w:sz w:val="20"/>
                <w:szCs w:val="20"/>
              </w:rPr>
              <w:t xml:space="preserve">ny European </w:t>
            </w:r>
            <w:r>
              <w:rPr>
                <w:sz w:val="20"/>
                <w:szCs w:val="20"/>
              </w:rPr>
              <w:t xml:space="preserve">developments on the regulation of innovative technologies </w:t>
            </w:r>
            <w:r w:rsidRPr="00AC0620">
              <w:rPr>
                <w:sz w:val="20"/>
                <w:szCs w:val="20"/>
              </w:rPr>
              <w:t xml:space="preserve">should </w:t>
            </w:r>
            <w:r>
              <w:rPr>
                <w:sz w:val="20"/>
                <w:szCs w:val="20"/>
              </w:rPr>
              <w:t xml:space="preserve">be consistent with </w:t>
            </w:r>
            <w:r w:rsidRPr="00AC0620">
              <w:rPr>
                <w:sz w:val="20"/>
                <w:szCs w:val="20"/>
              </w:rPr>
              <w:t xml:space="preserve">on-going global </w:t>
            </w:r>
            <w:r>
              <w:rPr>
                <w:sz w:val="20"/>
                <w:szCs w:val="20"/>
              </w:rPr>
              <w:t xml:space="preserve">risk assessments or </w:t>
            </w:r>
            <w:r w:rsidRPr="00AC0620">
              <w:rPr>
                <w:sz w:val="20"/>
                <w:szCs w:val="20"/>
              </w:rPr>
              <w:t>initiatives (e.g. G7/G20, FSB, BIS, IOSCO</w:t>
            </w:r>
            <w:r w:rsidRPr="00C776E3">
              <w:rPr>
                <w:sz w:val="20"/>
                <w:szCs w:val="20"/>
              </w:rPr>
              <w:t>).</w:t>
            </w:r>
          </w:p>
          <w:p w14:paraId="569974B4" w14:textId="7EE3BBA6" w:rsidR="001C6513" w:rsidRPr="00735388" w:rsidRDefault="001C6513" w:rsidP="00735388">
            <w:pPr>
              <w:pStyle w:val="ListParagraph"/>
              <w:numPr>
                <w:ilvl w:val="1"/>
                <w:numId w:val="26"/>
              </w:numPr>
              <w:spacing w:after="120"/>
              <w:ind w:left="606" w:hanging="284"/>
              <w:rPr>
                <w:rFonts w:eastAsia="Times New Roman"/>
                <w:sz w:val="20"/>
                <w:szCs w:val="20"/>
                <w:lang w:eastAsia="en-GB"/>
              </w:rPr>
            </w:pPr>
            <w:r>
              <w:rPr>
                <w:sz w:val="20"/>
                <w:szCs w:val="20"/>
              </w:rPr>
              <w:t xml:space="preserve">Alongside global consistency of regulatory frameworks, AFME believes the testing of innovative technologies across multiple jurisdictions, should be accelerated in the EU to </w:t>
            </w:r>
            <w:r w:rsidRPr="00AF6407">
              <w:rPr>
                <w:sz w:val="20"/>
                <w:szCs w:val="20"/>
              </w:rPr>
              <w:t xml:space="preserve">ensure adequate and consistent levels of knowledge and understanding of innovation subject matter, globally. </w:t>
            </w:r>
            <w:r>
              <w:rPr>
                <w:sz w:val="20"/>
                <w:szCs w:val="20"/>
              </w:rPr>
              <w:t xml:space="preserve">Efforts </w:t>
            </w:r>
            <w:r w:rsidRPr="00E20D62">
              <w:rPr>
                <w:sz w:val="20"/>
                <w:szCs w:val="20"/>
              </w:rPr>
              <w:t>should focus on facilitating knowledge sharing</w:t>
            </w:r>
            <w:r>
              <w:rPr>
                <w:sz w:val="20"/>
                <w:szCs w:val="20"/>
              </w:rPr>
              <w:t xml:space="preserve">, </w:t>
            </w:r>
            <w:r w:rsidRPr="00E20D62">
              <w:rPr>
                <w:sz w:val="20"/>
                <w:szCs w:val="20"/>
              </w:rPr>
              <w:t xml:space="preserve">education between regulators </w:t>
            </w:r>
            <w:r>
              <w:rPr>
                <w:sz w:val="20"/>
                <w:szCs w:val="20"/>
              </w:rPr>
              <w:t xml:space="preserve">and </w:t>
            </w:r>
            <w:r w:rsidRPr="00E20D62">
              <w:rPr>
                <w:sz w:val="20"/>
                <w:szCs w:val="20"/>
              </w:rPr>
              <w:t xml:space="preserve">a wider network of </w:t>
            </w:r>
            <w:r>
              <w:rPr>
                <w:sz w:val="20"/>
                <w:szCs w:val="20"/>
              </w:rPr>
              <w:t xml:space="preserve">market </w:t>
            </w:r>
            <w:r w:rsidRPr="00E20D62">
              <w:rPr>
                <w:sz w:val="20"/>
                <w:szCs w:val="20"/>
              </w:rPr>
              <w:t xml:space="preserve">participants, and joint </w:t>
            </w:r>
            <w:r>
              <w:rPr>
                <w:sz w:val="20"/>
                <w:szCs w:val="20"/>
              </w:rPr>
              <w:t xml:space="preserve">work </w:t>
            </w:r>
            <w:r w:rsidRPr="00E20D62">
              <w:rPr>
                <w:sz w:val="20"/>
                <w:szCs w:val="20"/>
              </w:rPr>
              <w:t xml:space="preserve">on policy and regulatory requirements applied to innovative </w:t>
            </w:r>
            <w:r>
              <w:rPr>
                <w:sz w:val="20"/>
                <w:szCs w:val="20"/>
              </w:rPr>
              <w:t>technologies. AFME is supportive of global initiatives such as the BIS Innovation hub, the Global Financial Innovation Network (GFIN) or the International Association for Trusted Blockchain Applications (INATBA)</w:t>
            </w:r>
            <w:r w:rsidR="005D5F62">
              <w:rPr>
                <w:sz w:val="20"/>
                <w:szCs w:val="20"/>
              </w:rPr>
              <w:t xml:space="preserve"> and encourages the </w:t>
            </w:r>
            <w:r w:rsidR="005D5F62" w:rsidRPr="005D5F62">
              <w:rPr>
                <w:sz w:val="20"/>
                <w:szCs w:val="20"/>
              </w:rPr>
              <w:t>European Forum for Innovation Facilitators (EFIF)</w:t>
            </w:r>
            <w:r w:rsidR="005D5F62">
              <w:rPr>
                <w:sz w:val="20"/>
                <w:szCs w:val="20"/>
              </w:rPr>
              <w:t xml:space="preserve"> </w:t>
            </w:r>
            <w:r w:rsidR="00AA736F">
              <w:rPr>
                <w:sz w:val="20"/>
                <w:szCs w:val="20"/>
              </w:rPr>
              <w:t>to take part in relevant forums for the sharing of lessons learned related to innovative technologies</w:t>
            </w:r>
            <w:r w:rsidR="005D5F62">
              <w:rPr>
                <w:sz w:val="20"/>
                <w:szCs w:val="20"/>
              </w:rPr>
              <w:t>.</w:t>
            </w:r>
          </w:p>
          <w:p w14:paraId="1EECF937" w14:textId="0F4ACF6F" w:rsidR="001C6513" w:rsidRDefault="001C6513" w:rsidP="00735388">
            <w:pPr>
              <w:pStyle w:val="ListParagraph"/>
              <w:numPr>
                <w:ilvl w:val="1"/>
                <w:numId w:val="26"/>
              </w:numPr>
              <w:spacing w:after="120"/>
              <w:ind w:left="606" w:hanging="284"/>
              <w:rPr>
                <w:sz w:val="20"/>
                <w:szCs w:val="20"/>
              </w:rPr>
            </w:pPr>
            <w:r w:rsidRPr="00AF6407">
              <w:rPr>
                <w:sz w:val="20"/>
                <w:szCs w:val="20"/>
              </w:rPr>
              <w:t>Finally, AFME recommends the European Commission take into consideration, that the EU financial sector is part of a globally interconnected market of client, competitors, suppliers. Therefore, any EU specific legislation, that is not globally consistent, risks stifling the competitiveness of EU firms compared to peers in other jurisdictions.</w:t>
            </w:r>
          </w:p>
          <w:p w14:paraId="30569DC2" w14:textId="7501E677" w:rsidR="001C6513" w:rsidRPr="00AF6407" w:rsidRDefault="001C6513" w:rsidP="00735388">
            <w:pPr>
              <w:pStyle w:val="ListParagraph"/>
              <w:numPr>
                <w:ilvl w:val="0"/>
                <w:numId w:val="26"/>
              </w:numPr>
              <w:spacing w:after="120"/>
              <w:ind w:left="184" w:hanging="184"/>
              <w:rPr>
                <w:sz w:val="20"/>
                <w:szCs w:val="20"/>
              </w:rPr>
            </w:pPr>
            <w:r w:rsidRPr="00AF6407">
              <w:rPr>
                <w:sz w:val="20"/>
                <w:szCs w:val="20"/>
              </w:rPr>
              <w:t xml:space="preserve">To establish a truly accommodative regulatory framework for technology innovation, AFME </w:t>
            </w:r>
            <w:r w:rsidR="00502EA4">
              <w:rPr>
                <w:sz w:val="20"/>
                <w:szCs w:val="20"/>
              </w:rPr>
              <w:t xml:space="preserve">has four </w:t>
            </w:r>
            <w:r w:rsidRPr="00AF6407">
              <w:rPr>
                <w:sz w:val="20"/>
                <w:szCs w:val="20"/>
              </w:rPr>
              <w:t>recommend</w:t>
            </w:r>
            <w:r w:rsidR="00502EA4">
              <w:rPr>
                <w:sz w:val="20"/>
                <w:szCs w:val="20"/>
              </w:rPr>
              <w:t xml:space="preserve">ations for </w:t>
            </w:r>
            <w:r w:rsidRPr="00AF6407">
              <w:rPr>
                <w:sz w:val="20"/>
                <w:szCs w:val="20"/>
              </w:rPr>
              <w:t>the European Commission</w:t>
            </w:r>
            <w:r w:rsidR="00502EA4">
              <w:rPr>
                <w:sz w:val="20"/>
                <w:szCs w:val="20"/>
              </w:rPr>
              <w:t>:</w:t>
            </w:r>
          </w:p>
          <w:p w14:paraId="66DCD99B" w14:textId="5DEEB8A6" w:rsidR="006576AB" w:rsidRPr="00660509" w:rsidRDefault="006576AB" w:rsidP="00735388">
            <w:pPr>
              <w:pStyle w:val="ListParagraph"/>
              <w:numPr>
                <w:ilvl w:val="1"/>
                <w:numId w:val="26"/>
              </w:numPr>
              <w:spacing w:after="120"/>
              <w:ind w:left="606" w:hanging="284"/>
              <w:rPr>
                <w:sz w:val="20"/>
                <w:szCs w:val="20"/>
              </w:rPr>
            </w:pPr>
            <w:r w:rsidRPr="001803BB">
              <w:rPr>
                <w:sz w:val="20"/>
                <w:szCs w:val="20"/>
              </w:rPr>
              <w:t xml:space="preserve">First, AFME recommends the European Commission develop a clear strategic vision for the digital transformation of the EU financial sector.  </w:t>
            </w:r>
            <w:r>
              <w:rPr>
                <w:sz w:val="20"/>
                <w:szCs w:val="20"/>
              </w:rPr>
              <w:t xml:space="preserve">Currently it is not clear how the various policies initiated </w:t>
            </w:r>
            <w:r w:rsidRPr="001803BB">
              <w:rPr>
                <w:sz w:val="20"/>
                <w:szCs w:val="20"/>
              </w:rPr>
              <w:t xml:space="preserve">by the European Commission in 2020 (e.g. a digital operational resilience </w:t>
            </w:r>
            <w:r w:rsidRPr="001803BB">
              <w:rPr>
                <w:sz w:val="20"/>
                <w:szCs w:val="20"/>
              </w:rPr>
              <w:lastRenderedPageBreak/>
              <w:t>framework for financial services, an EU framework for markets in crypto-assets</w:t>
            </w:r>
            <w:r>
              <w:rPr>
                <w:sz w:val="20"/>
                <w:szCs w:val="20"/>
              </w:rPr>
              <w:t xml:space="preserve">, </w:t>
            </w:r>
            <w:r w:rsidRPr="001803BB">
              <w:rPr>
                <w:sz w:val="20"/>
                <w:szCs w:val="20"/>
              </w:rPr>
              <w:t>a European strategy for data, a white paper on artificial intelligence,</w:t>
            </w:r>
            <w:r w:rsidR="00913AC4">
              <w:rPr>
                <w:sz w:val="20"/>
                <w:szCs w:val="20"/>
              </w:rPr>
              <w:t xml:space="preserve"> </w:t>
            </w:r>
            <w:r w:rsidRPr="001803BB">
              <w:rPr>
                <w:sz w:val="20"/>
                <w:szCs w:val="20"/>
              </w:rPr>
              <w:t>standard contractual clauses for cloud use by financial institutions)</w:t>
            </w:r>
            <w:r>
              <w:rPr>
                <w:sz w:val="20"/>
                <w:szCs w:val="20"/>
              </w:rPr>
              <w:t xml:space="preserve">, </w:t>
            </w:r>
            <w:r w:rsidRPr="001803BB">
              <w:rPr>
                <w:sz w:val="20"/>
                <w:szCs w:val="20"/>
              </w:rPr>
              <w:t>complement</w:t>
            </w:r>
            <w:r>
              <w:rPr>
                <w:sz w:val="20"/>
                <w:szCs w:val="20"/>
              </w:rPr>
              <w:t>/interact with</w:t>
            </w:r>
            <w:r w:rsidRPr="001803BB">
              <w:rPr>
                <w:sz w:val="20"/>
                <w:szCs w:val="20"/>
              </w:rPr>
              <w:t xml:space="preserve"> each other </w:t>
            </w:r>
            <w:r>
              <w:rPr>
                <w:sz w:val="20"/>
                <w:szCs w:val="20"/>
              </w:rPr>
              <w:t xml:space="preserve">or build on </w:t>
            </w:r>
            <w:r w:rsidRPr="001803BB">
              <w:rPr>
                <w:sz w:val="20"/>
                <w:szCs w:val="20"/>
              </w:rPr>
              <w:t>from previous achievements (e.g. FinTech action plan</w:t>
            </w:r>
            <w:r>
              <w:rPr>
                <w:sz w:val="20"/>
                <w:szCs w:val="20"/>
              </w:rPr>
              <w:t>, ROFIEG report</w:t>
            </w:r>
            <w:r w:rsidRPr="001803BB">
              <w:rPr>
                <w:sz w:val="20"/>
                <w:szCs w:val="20"/>
              </w:rPr>
              <w:t>).</w:t>
            </w:r>
            <w:r>
              <w:rPr>
                <w:sz w:val="20"/>
                <w:szCs w:val="20"/>
              </w:rPr>
              <w:t xml:space="preserve">  I</w:t>
            </w:r>
            <w:r w:rsidRPr="00660509">
              <w:rPr>
                <w:sz w:val="20"/>
                <w:szCs w:val="20"/>
              </w:rPr>
              <w:t>n particular</w:t>
            </w:r>
            <w:r>
              <w:rPr>
                <w:sz w:val="20"/>
                <w:szCs w:val="20"/>
              </w:rPr>
              <w:t xml:space="preserve">, </w:t>
            </w:r>
            <w:r w:rsidRPr="00660509">
              <w:rPr>
                <w:sz w:val="20"/>
                <w:szCs w:val="20"/>
              </w:rPr>
              <w:t xml:space="preserve">similar questions are repeated in different consultations (e.g. on data, artificial intelligence, third party oversight), thus creating confusion. </w:t>
            </w:r>
            <w:r>
              <w:rPr>
                <w:sz w:val="20"/>
                <w:szCs w:val="20"/>
              </w:rPr>
              <w:t xml:space="preserve"> Similarly, it is not explicit how the different Directorate Generals (DGs) may collaborate or oversee the policies proposed, </w:t>
            </w:r>
            <w:proofErr w:type="gramStart"/>
            <w:r>
              <w:rPr>
                <w:sz w:val="20"/>
                <w:szCs w:val="20"/>
              </w:rPr>
              <w:t>in particular if</w:t>
            </w:r>
            <w:proofErr w:type="gramEnd"/>
            <w:r>
              <w:rPr>
                <w:sz w:val="20"/>
                <w:szCs w:val="20"/>
              </w:rPr>
              <w:t xml:space="preserve"> horizontal policies that apply across sectors, interact with specific financial services requirements.  </w:t>
            </w:r>
          </w:p>
          <w:p w14:paraId="39C7A74C" w14:textId="77777777" w:rsidR="001C6513" w:rsidRPr="001C6513" w:rsidRDefault="001C6513" w:rsidP="00735388">
            <w:pPr>
              <w:pStyle w:val="ListParagraph"/>
              <w:numPr>
                <w:ilvl w:val="1"/>
                <w:numId w:val="26"/>
              </w:numPr>
              <w:spacing w:after="120"/>
              <w:ind w:left="606" w:hanging="284"/>
              <w:rPr>
                <w:sz w:val="20"/>
                <w:szCs w:val="20"/>
              </w:rPr>
            </w:pPr>
            <w:r w:rsidRPr="001C6513">
              <w:rPr>
                <w:sz w:val="20"/>
                <w:szCs w:val="20"/>
              </w:rPr>
              <w:t xml:space="preserve">Second, AFME recommends the European Commission develop a 'roadmap' to deliver on the strategic vision and incrementally deliver a truly accommodative regulatory framework for technology innovation.  A 'roadmap' would provide additional clarity and support the coordination of efforts between various European actors, such as market participants and EU/Member State level actors, fostering common understanding of EU shared goals, removing duplicative or potentially conflicting European policy initiatives. </w:t>
            </w:r>
          </w:p>
          <w:p w14:paraId="0BD537BF" w14:textId="745544FB" w:rsidR="006273E5" w:rsidRDefault="006273E5" w:rsidP="00735388">
            <w:pPr>
              <w:pStyle w:val="ListParagraph"/>
              <w:numPr>
                <w:ilvl w:val="1"/>
                <w:numId w:val="26"/>
              </w:numPr>
              <w:spacing w:after="120"/>
              <w:ind w:left="606" w:hanging="284"/>
              <w:rPr>
                <w:sz w:val="20"/>
                <w:szCs w:val="20"/>
              </w:rPr>
            </w:pPr>
            <w:r>
              <w:rPr>
                <w:sz w:val="20"/>
                <w:szCs w:val="20"/>
              </w:rPr>
              <w:t>Third</w:t>
            </w:r>
            <w:r w:rsidR="001C6513" w:rsidRPr="001C6513">
              <w:rPr>
                <w:sz w:val="20"/>
                <w:szCs w:val="20"/>
              </w:rPr>
              <w:t xml:space="preserve">, AFME recommends the European Commission identifies a list of targeted actions, based on a thorough analysis of past and current legislative proposals, that will deliver on the roadmap and strategic vision in the near to medium term.  Actions should focus on: </w:t>
            </w:r>
            <w:proofErr w:type="spellStart"/>
            <w:r w:rsidR="001C6513" w:rsidRPr="001C6513">
              <w:rPr>
                <w:sz w:val="20"/>
                <w:szCs w:val="20"/>
              </w:rPr>
              <w:t>i</w:t>
            </w:r>
            <w:proofErr w:type="spellEnd"/>
            <w:r w:rsidR="001C6513" w:rsidRPr="001C6513">
              <w:rPr>
                <w:sz w:val="20"/>
                <w:szCs w:val="20"/>
              </w:rPr>
              <w:t>/ removing barriers to innovation; ii/ addressing market failures; iii/ evolving the EU regulatory framework to become fit for the digital age.  Actions also should be measurable and regularly reviewed to assess their effectiveness against the goals developed.</w:t>
            </w:r>
          </w:p>
          <w:p w14:paraId="3B69F304" w14:textId="60F26FC1" w:rsidR="001C6513" w:rsidRPr="00735388" w:rsidRDefault="006273E5" w:rsidP="00735388">
            <w:pPr>
              <w:pStyle w:val="ListParagraph"/>
              <w:numPr>
                <w:ilvl w:val="1"/>
                <w:numId w:val="26"/>
              </w:numPr>
              <w:spacing w:after="120"/>
              <w:ind w:left="606" w:hanging="284"/>
              <w:rPr>
                <w:sz w:val="20"/>
                <w:szCs w:val="20"/>
              </w:rPr>
            </w:pPr>
            <w:r w:rsidRPr="00735388">
              <w:rPr>
                <w:sz w:val="20"/>
                <w:szCs w:val="20"/>
              </w:rPr>
              <w:t xml:space="preserve">Finally, AFME recommends the European Commission carefully assess the impact of current and proposed legislation on the competitiveness of financial firms.  EU legislations such as </w:t>
            </w:r>
            <w:r w:rsidR="00BE6601">
              <w:rPr>
                <w:sz w:val="20"/>
                <w:szCs w:val="20"/>
              </w:rPr>
              <w:t>the EBA Material Risk Takers, the PSD2 or the prudential treatment of innovation for banks, may place an additional burden (such as higher operational costs or barriers to innovation) compared to other market participants, thus reducing financial services firms’ ability to innovate and competitiveness over time</w:t>
            </w:r>
            <w:r w:rsidRPr="00735388">
              <w:rPr>
                <w:sz w:val="20"/>
                <w:szCs w:val="20"/>
              </w:rPr>
              <w:t>. The Commission could conduct more frequent reviews of policies implemented, with the support of market actors, to assess if policies developed have indeed met their objectives</w:t>
            </w:r>
            <w:r w:rsidR="00BE6601">
              <w:rPr>
                <w:sz w:val="20"/>
                <w:szCs w:val="20"/>
              </w:rPr>
              <w:t>.</w:t>
            </w:r>
            <w:r w:rsidR="001C6513" w:rsidRPr="00735388">
              <w:rPr>
                <w:sz w:val="20"/>
                <w:szCs w:val="20"/>
              </w:rPr>
              <w:t xml:space="preserve">   </w:t>
            </w:r>
          </w:p>
          <w:p w14:paraId="54995C61" w14:textId="064455E3" w:rsidR="001565E0" w:rsidRPr="00AF6407" w:rsidRDefault="001C6513" w:rsidP="00735388">
            <w:pPr>
              <w:pStyle w:val="ListParagraph"/>
              <w:numPr>
                <w:ilvl w:val="1"/>
                <w:numId w:val="26"/>
              </w:numPr>
              <w:spacing w:after="120"/>
              <w:ind w:left="606" w:hanging="284"/>
              <w:rPr>
                <w:rFonts w:cs="Cambria"/>
                <w:sz w:val="20"/>
                <w:szCs w:val="20"/>
              </w:rPr>
            </w:pPr>
            <w:r w:rsidRPr="001C6513">
              <w:rPr>
                <w:sz w:val="20"/>
                <w:szCs w:val="20"/>
              </w:rPr>
              <w:t xml:space="preserve">AFME believes that these </w:t>
            </w:r>
            <w:r w:rsidR="006273E5">
              <w:rPr>
                <w:sz w:val="20"/>
                <w:szCs w:val="20"/>
              </w:rPr>
              <w:t xml:space="preserve">four </w:t>
            </w:r>
            <w:r w:rsidRPr="001C6513">
              <w:rPr>
                <w:sz w:val="20"/>
                <w:szCs w:val="20"/>
              </w:rPr>
              <w:t xml:space="preserve">recommendations would support prioritisation of efforts and target areas with greatest benefits and impact, to deliver on the goals developed by the European Commission. </w:t>
            </w:r>
          </w:p>
        </w:tc>
      </w:tr>
    </w:tbl>
    <w:p w14:paraId="15843ED4" w14:textId="50F2E5B1" w:rsidR="002E1C4E" w:rsidRDefault="002E1C4E" w:rsidP="00B57903">
      <w:pPr>
        <w:rPr>
          <w:b/>
          <w:i/>
          <w:sz w:val="20"/>
          <w:szCs w:val="20"/>
        </w:rPr>
      </w:pPr>
    </w:p>
    <w:p w14:paraId="2A698610" w14:textId="72DE9588" w:rsidR="00147DD7" w:rsidRPr="00060897" w:rsidRDefault="00060897" w:rsidP="00060897">
      <w:pPr>
        <w:pStyle w:val="ListParagraph"/>
        <w:numPr>
          <w:ilvl w:val="0"/>
          <w:numId w:val="34"/>
        </w:numPr>
        <w:rPr>
          <w:b/>
          <w:i/>
          <w:sz w:val="20"/>
          <w:szCs w:val="20"/>
        </w:rPr>
      </w:pPr>
      <w:r w:rsidRPr="00060897">
        <w:rPr>
          <w:b/>
          <w:i/>
          <w:sz w:val="20"/>
          <w:szCs w:val="20"/>
        </w:rPr>
        <w:t>Ensuring a technology-neutral and innovation friendly EU financial services regulatory framework</w:t>
      </w:r>
    </w:p>
    <w:p w14:paraId="6F18D968" w14:textId="08C67CF6" w:rsidR="00147DD7" w:rsidRPr="008945E7" w:rsidRDefault="00147DD7" w:rsidP="00735388">
      <w:pPr>
        <w:rPr>
          <w:rFonts w:cs="Cambria"/>
        </w:rPr>
      </w:pPr>
    </w:p>
    <w:tbl>
      <w:tblPr>
        <w:tblStyle w:val="TableGrid"/>
        <w:tblW w:w="0" w:type="auto"/>
        <w:tblLook w:val="04A0" w:firstRow="1" w:lastRow="0" w:firstColumn="1" w:lastColumn="0" w:noHBand="0" w:noVBand="1"/>
      </w:tblPr>
      <w:tblGrid>
        <w:gridCol w:w="1271"/>
        <w:gridCol w:w="2126"/>
        <w:gridCol w:w="7060"/>
      </w:tblGrid>
      <w:tr w:rsidR="00147DD7" w:rsidRPr="00DB5E67" w14:paraId="08B5C484" w14:textId="77777777" w:rsidTr="0053138D">
        <w:trPr>
          <w:trHeight w:val="226"/>
        </w:trPr>
        <w:tc>
          <w:tcPr>
            <w:tcW w:w="1271" w:type="dxa"/>
            <w:shd w:val="clear" w:color="auto" w:fill="D6E3BC" w:themeFill="accent3" w:themeFillTint="66"/>
          </w:tcPr>
          <w:p w14:paraId="1307A23C" w14:textId="77777777" w:rsidR="00147DD7" w:rsidRPr="00DB5E67" w:rsidRDefault="00147DD7" w:rsidP="0053138D">
            <w:pPr>
              <w:spacing w:after="120"/>
              <w:rPr>
                <w:b/>
                <w:sz w:val="20"/>
                <w:szCs w:val="20"/>
              </w:rPr>
            </w:pPr>
            <w:r>
              <w:rPr>
                <w:b/>
                <w:sz w:val="20"/>
                <w:szCs w:val="20"/>
              </w:rPr>
              <w:t>Question</w:t>
            </w:r>
          </w:p>
        </w:tc>
        <w:tc>
          <w:tcPr>
            <w:tcW w:w="2126" w:type="dxa"/>
            <w:shd w:val="clear" w:color="auto" w:fill="D6E3BC" w:themeFill="accent3" w:themeFillTint="66"/>
          </w:tcPr>
          <w:p w14:paraId="26E79517" w14:textId="77777777" w:rsidR="00147DD7" w:rsidRPr="00DB5E67" w:rsidRDefault="00147DD7" w:rsidP="0053138D">
            <w:pPr>
              <w:spacing w:after="120"/>
              <w:rPr>
                <w:b/>
                <w:sz w:val="20"/>
                <w:szCs w:val="20"/>
              </w:rPr>
            </w:pPr>
            <w:r w:rsidRPr="00DB5E67">
              <w:rPr>
                <w:b/>
                <w:sz w:val="20"/>
                <w:szCs w:val="20"/>
              </w:rPr>
              <w:t>Comment</w:t>
            </w:r>
          </w:p>
        </w:tc>
        <w:tc>
          <w:tcPr>
            <w:tcW w:w="7060" w:type="dxa"/>
            <w:shd w:val="clear" w:color="auto" w:fill="D6E3BC" w:themeFill="accent3" w:themeFillTint="66"/>
          </w:tcPr>
          <w:p w14:paraId="1D4F5D2A" w14:textId="77777777" w:rsidR="00147DD7" w:rsidRPr="00DB5E67" w:rsidRDefault="00147DD7" w:rsidP="0053138D">
            <w:pPr>
              <w:spacing w:after="120"/>
              <w:rPr>
                <w:b/>
                <w:sz w:val="20"/>
                <w:szCs w:val="20"/>
              </w:rPr>
            </w:pPr>
            <w:r w:rsidRPr="00DB5E67">
              <w:rPr>
                <w:b/>
                <w:sz w:val="20"/>
                <w:szCs w:val="20"/>
              </w:rPr>
              <w:t>Reasoning</w:t>
            </w:r>
          </w:p>
        </w:tc>
      </w:tr>
      <w:tr w:rsidR="00147DD7" w:rsidRPr="00DB5E67" w14:paraId="200C02F7" w14:textId="77777777" w:rsidTr="0053138D">
        <w:trPr>
          <w:trHeight w:val="352"/>
        </w:trPr>
        <w:tc>
          <w:tcPr>
            <w:tcW w:w="1271" w:type="dxa"/>
          </w:tcPr>
          <w:p w14:paraId="4040AE88" w14:textId="52DF6BC5" w:rsidR="00147DD7" w:rsidRPr="00DB5E67" w:rsidRDefault="00060897" w:rsidP="0053138D">
            <w:pPr>
              <w:spacing w:after="120"/>
              <w:rPr>
                <w:sz w:val="20"/>
                <w:szCs w:val="20"/>
              </w:rPr>
            </w:pPr>
            <w:r>
              <w:rPr>
                <w:sz w:val="20"/>
                <w:szCs w:val="20"/>
              </w:rPr>
              <w:t>4</w:t>
            </w:r>
          </w:p>
        </w:tc>
        <w:tc>
          <w:tcPr>
            <w:tcW w:w="2126" w:type="dxa"/>
          </w:tcPr>
          <w:p w14:paraId="3894D651" w14:textId="6036423A" w:rsidR="00147DD7" w:rsidRPr="00AC7952" w:rsidRDefault="00A409A3" w:rsidP="00AC7952">
            <w:pPr>
              <w:rPr>
                <w:rFonts w:eastAsia="Times New Roman"/>
                <w:bCs/>
                <w:sz w:val="20"/>
                <w:szCs w:val="20"/>
                <w:lang w:eastAsia="en-GB"/>
              </w:rPr>
            </w:pPr>
            <w:r w:rsidRPr="00AC7952">
              <w:rPr>
                <w:rFonts w:eastAsia="Times New Roman"/>
                <w:bCs/>
                <w:sz w:val="20"/>
                <w:szCs w:val="20"/>
                <w:lang w:eastAsia="en-GB"/>
              </w:rPr>
              <w:t>AFME to respond</w:t>
            </w:r>
          </w:p>
        </w:tc>
        <w:tc>
          <w:tcPr>
            <w:tcW w:w="7060" w:type="dxa"/>
          </w:tcPr>
          <w:p w14:paraId="40EEB113" w14:textId="0E3D5D68" w:rsidR="00147DD7" w:rsidRPr="00DB5E67" w:rsidRDefault="00464B19" w:rsidP="0053138D">
            <w:pPr>
              <w:spacing w:after="120"/>
              <w:rPr>
                <w:sz w:val="20"/>
                <w:szCs w:val="20"/>
              </w:rPr>
            </w:pPr>
            <w:r>
              <w:rPr>
                <w:sz w:val="20"/>
                <w:szCs w:val="20"/>
              </w:rPr>
              <w:t>No</w:t>
            </w:r>
          </w:p>
        </w:tc>
      </w:tr>
      <w:tr w:rsidR="00147DD7" w:rsidRPr="002E1C4E" w14:paraId="12987CE2" w14:textId="77777777" w:rsidTr="00735388">
        <w:trPr>
          <w:trHeight w:val="70"/>
        </w:trPr>
        <w:tc>
          <w:tcPr>
            <w:tcW w:w="1271" w:type="dxa"/>
          </w:tcPr>
          <w:p w14:paraId="07DA8823" w14:textId="7E6EE8F1" w:rsidR="00147DD7" w:rsidRDefault="005B2CE4" w:rsidP="0053138D">
            <w:pPr>
              <w:spacing w:after="120"/>
              <w:rPr>
                <w:sz w:val="20"/>
                <w:szCs w:val="20"/>
              </w:rPr>
            </w:pPr>
            <w:r>
              <w:rPr>
                <w:sz w:val="20"/>
                <w:szCs w:val="20"/>
              </w:rPr>
              <w:t>4</w:t>
            </w:r>
            <w:r w:rsidR="00147DD7">
              <w:rPr>
                <w:sz w:val="20"/>
                <w:szCs w:val="20"/>
              </w:rPr>
              <w:t>.1</w:t>
            </w:r>
          </w:p>
        </w:tc>
        <w:tc>
          <w:tcPr>
            <w:tcW w:w="2126" w:type="dxa"/>
          </w:tcPr>
          <w:p w14:paraId="15A12308" w14:textId="3317FD59" w:rsidR="00147DD7" w:rsidRPr="00AC7952" w:rsidRDefault="00A409A3" w:rsidP="00AC7952">
            <w:pPr>
              <w:rPr>
                <w:rFonts w:eastAsia="Times New Roman"/>
                <w:b/>
                <w:sz w:val="20"/>
                <w:szCs w:val="20"/>
                <w:lang w:eastAsia="en-GB"/>
              </w:rPr>
            </w:pPr>
            <w:r w:rsidRPr="00AC7952">
              <w:rPr>
                <w:rFonts w:eastAsia="Times New Roman"/>
                <w:bCs/>
                <w:sz w:val="20"/>
                <w:szCs w:val="20"/>
                <w:lang w:eastAsia="en-GB"/>
              </w:rPr>
              <w:t>AFME to respond</w:t>
            </w:r>
          </w:p>
        </w:tc>
        <w:tc>
          <w:tcPr>
            <w:tcW w:w="7060" w:type="dxa"/>
            <w:shd w:val="clear" w:color="auto" w:fill="auto"/>
          </w:tcPr>
          <w:p w14:paraId="0BF963E2" w14:textId="41B49400" w:rsidR="006C4720" w:rsidRDefault="0072689D" w:rsidP="006C4720">
            <w:pPr>
              <w:pStyle w:val="ListParagraph"/>
              <w:numPr>
                <w:ilvl w:val="0"/>
                <w:numId w:val="26"/>
              </w:numPr>
              <w:spacing w:after="120"/>
              <w:ind w:left="184" w:hanging="142"/>
              <w:rPr>
                <w:rFonts w:cs="Cambria"/>
                <w:sz w:val="20"/>
                <w:szCs w:val="20"/>
              </w:rPr>
            </w:pPr>
            <w:r w:rsidRPr="00AF6407">
              <w:rPr>
                <w:rFonts w:cs="Cambria"/>
                <w:sz w:val="20"/>
                <w:szCs w:val="20"/>
              </w:rPr>
              <w:t>While the EU regulatory framework is ‘technology neutral’</w:t>
            </w:r>
            <w:r w:rsidR="002F5008">
              <w:rPr>
                <w:rFonts w:cs="Cambria"/>
                <w:sz w:val="20"/>
                <w:szCs w:val="20"/>
              </w:rPr>
              <w:t>,</w:t>
            </w:r>
            <w:r w:rsidRPr="00AF6407">
              <w:rPr>
                <w:rFonts w:cs="Cambria"/>
                <w:sz w:val="20"/>
                <w:szCs w:val="20"/>
              </w:rPr>
              <w:t xml:space="preserve"> AFME believes </w:t>
            </w:r>
            <w:r w:rsidR="001C6513" w:rsidRPr="00572898">
              <w:rPr>
                <w:rFonts w:cs="Cambria"/>
                <w:sz w:val="20"/>
                <w:szCs w:val="20"/>
              </w:rPr>
              <w:t xml:space="preserve">the EU regulatory framework </w:t>
            </w:r>
            <w:r w:rsidR="00271B7F">
              <w:rPr>
                <w:rFonts w:cs="Cambria"/>
                <w:sz w:val="20"/>
                <w:szCs w:val="20"/>
              </w:rPr>
              <w:t xml:space="preserve">for innovative technologies </w:t>
            </w:r>
            <w:r w:rsidR="006C4720">
              <w:rPr>
                <w:rFonts w:cs="Cambria"/>
                <w:sz w:val="20"/>
                <w:szCs w:val="20"/>
              </w:rPr>
              <w:t xml:space="preserve">is not innovation friendly. </w:t>
            </w:r>
          </w:p>
          <w:p w14:paraId="6D3CD65B" w14:textId="790F0F68" w:rsidR="006C4720" w:rsidRPr="00735388" w:rsidRDefault="006C4720" w:rsidP="00735388">
            <w:pPr>
              <w:pStyle w:val="ListParagraph"/>
              <w:numPr>
                <w:ilvl w:val="0"/>
                <w:numId w:val="26"/>
              </w:numPr>
              <w:spacing w:after="120"/>
              <w:ind w:left="184" w:hanging="142"/>
              <w:rPr>
                <w:rFonts w:cs="Cambria"/>
                <w:sz w:val="20"/>
                <w:szCs w:val="20"/>
              </w:rPr>
            </w:pPr>
            <w:r>
              <w:rPr>
                <w:rFonts w:cs="Cambria"/>
                <w:sz w:val="20"/>
                <w:szCs w:val="20"/>
              </w:rPr>
              <w:t>T</w:t>
            </w:r>
            <w:r w:rsidRPr="00735388">
              <w:rPr>
                <w:rFonts w:cs="Cambria"/>
                <w:sz w:val="20"/>
                <w:szCs w:val="20"/>
              </w:rPr>
              <w:t xml:space="preserve">he consolidated application of prudential requirements implies that, even if some of the services offered by banks can be conducted by subsidiaries that are not funded with deposits, authorities extend the application of prudential requirements to all entities within </w:t>
            </w:r>
            <w:r>
              <w:rPr>
                <w:rFonts w:cs="Cambria"/>
                <w:sz w:val="20"/>
                <w:szCs w:val="20"/>
              </w:rPr>
              <w:t xml:space="preserve">the </w:t>
            </w:r>
            <w:r w:rsidRPr="00735388">
              <w:rPr>
                <w:rFonts w:cs="Cambria"/>
                <w:sz w:val="20"/>
                <w:szCs w:val="20"/>
              </w:rPr>
              <w:t>banking group. As a result, in performing th</w:t>
            </w:r>
            <w:r w:rsidR="00D43F4D">
              <w:rPr>
                <w:rFonts w:cs="Cambria"/>
                <w:sz w:val="20"/>
                <w:szCs w:val="20"/>
              </w:rPr>
              <w:t>ese</w:t>
            </w:r>
            <w:r w:rsidRPr="00735388">
              <w:rPr>
                <w:rFonts w:cs="Cambria"/>
                <w:sz w:val="20"/>
                <w:szCs w:val="20"/>
              </w:rPr>
              <w:t xml:space="preserve"> non-core activities (i.e. not funded with deposits), banks </w:t>
            </w:r>
            <w:proofErr w:type="gramStart"/>
            <w:r w:rsidRPr="00735388">
              <w:rPr>
                <w:rFonts w:cs="Cambria"/>
                <w:sz w:val="20"/>
                <w:szCs w:val="20"/>
              </w:rPr>
              <w:lastRenderedPageBreak/>
              <w:t>have t</w:t>
            </w:r>
            <w:r w:rsidR="001312E0">
              <w:rPr>
                <w:rFonts w:cs="Cambria"/>
                <w:sz w:val="20"/>
                <w:szCs w:val="20"/>
              </w:rPr>
              <w:t>o</w:t>
            </w:r>
            <w:proofErr w:type="gramEnd"/>
            <w:r w:rsidR="001312E0">
              <w:rPr>
                <w:rFonts w:cs="Cambria"/>
                <w:sz w:val="20"/>
                <w:szCs w:val="20"/>
              </w:rPr>
              <w:t xml:space="preserve"> </w:t>
            </w:r>
            <w:r w:rsidR="00D43F4D">
              <w:rPr>
                <w:rFonts w:cs="Cambria"/>
                <w:sz w:val="20"/>
                <w:szCs w:val="20"/>
              </w:rPr>
              <w:t xml:space="preserve">account for the </w:t>
            </w:r>
            <w:r w:rsidRPr="00735388">
              <w:rPr>
                <w:rFonts w:cs="Cambria"/>
                <w:sz w:val="20"/>
                <w:szCs w:val="20"/>
              </w:rPr>
              <w:t>additional burden of prudential regulation and supervision</w:t>
            </w:r>
            <w:r w:rsidR="00D43F4D">
              <w:rPr>
                <w:rFonts w:cs="Cambria"/>
                <w:sz w:val="20"/>
                <w:szCs w:val="20"/>
              </w:rPr>
              <w:t xml:space="preserve">, </w:t>
            </w:r>
            <w:r>
              <w:rPr>
                <w:rFonts w:cs="Cambria"/>
                <w:sz w:val="20"/>
                <w:szCs w:val="20"/>
              </w:rPr>
              <w:t>regardless of the activity it is conducting</w:t>
            </w:r>
            <w:r w:rsidRPr="00735388">
              <w:rPr>
                <w:rFonts w:cs="Cambria"/>
                <w:sz w:val="20"/>
                <w:szCs w:val="20"/>
              </w:rPr>
              <w:t xml:space="preserve">. </w:t>
            </w:r>
            <w:r>
              <w:rPr>
                <w:rFonts w:cs="Cambria"/>
                <w:sz w:val="20"/>
                <w:szCs w:val="20"/>
              </w:rPr>
              <w:t>T</w:t>
            </w:r>
            <w:r w:rsidRPr="00735388">
              <w:rPr>
                <w:rFonts w:cs="Cambria"/>
                <w:sz w:val="20"/>
                <w:szCs w:val="20"/>
              </w:rPr>
              <w:t>he application of prudential rules also increases the cost and time-to-market of banks' digital transformation process</w:t>
            </w:r>
            <w:r>
              <w:rPr>
                <w:rFonts w:cs="Cambria"/>
                <w:sz w:val="20"/>
                <w:szCs w:val="20"/>
              </w:rPr>
              <w:t>es</w:t>
            </w:r>
            <w:r w:rsidRPr="00735388">
              <w:rPr>
                <w:rFonts w:cs="Cambria"/>
                <w:sz w:val="20"/>
                <w:szCs w:val="20"/>
              </w:rPr>
              <w:t xml:space="preserve"> (e.g. imposing </w:t>
            </w:r>
            <w:r>
              <w:rPr>
                <w:rFonts w:cs="Cambria"/>
                <w:sz w:val="20"/>
                <w:szCs w:val="20"/>
              </w:rPr>
              <w:t xml:space="preserve">stringent </w:t>
            </w:r>
            <w:r w:rsidRPr="00735388">
              <w:rPr>
                <w:rFonts w:cs="Cambria"/>
                <w:sz w:val="20"/>
                <w:szCs w:val="20"/>
              </w:rPr>
              <w:t>internal control</w:t>
            </w:r>
            <w:r>
              <w:rPr>
                <w:rFonts w:cs="Cambria"/>
                <w:sz w:val="20"/>
                <w:szCs w:val="20"/>
              </w:rPr>
              <w:t>s</w:t>
            </w:r>
            <w:r w:rsidRPr="00735388">
              <w:rPr>
                <w:rFonts w:cs="Cambria"/>
                <w:sz w:val="20"/>
                <w:szCs w:val="20"/>
              </w:rPr>
              <w:t xml:space="preserve"> and risk management frameworks)</w:t>
            </w:r>
            <w:r w:rsidRPr="00FD358A">
              <w:rPr>
                <w:rFonts w:cs="Cambria"/>
                <w:sz w:val="20"/>
                <w:szCs w:val="20"/>
              </w:rPr>
              <w:t xml:space="preserve">, which </w:t>
            </w:r>
            <w:r w:rsidR="002F5FF9" w:rsidRPr="00FD358A">
              <w:rPr>
                <w:rFonts w:cs="Cambria"/>
                <w:sz w:val="20"/>
                <w:szCs w:val="20"/>
              </w:rPr>
              <w:t xml:space="preserve">add additional challenges </w:t>
            </w:r>
            <w:r w:rsidRPr="00735388">
              <w:rPr>
                <w:rFonts w:cs="Cambria"/>
                <w:sz w:val="20"/>
                <w:szCs w:val="20"/>
              </w:rPr>
              <w:t xml:space="preserve">for talent attraction and retention.     </w:t>
            </w:r>
          </w:p>
          <w:p w14:paraId="14DE51B1" w14:textId="25FA0374" w:rsidR="00C45C8F" w:rsidRPr="002F5FF9" w:rsidRDefault="002F5FF9" w:rsidP="00FD358A">
            <w:pPr>
              <w:pStyle w:val="ListParagraph"/>
              <w:numPr>
                <w:ilvl w:val="0"/>
                <w:numId w:val="26"/>
              </w:numPr>
              <w:spacing w:after="120"/>
              <w:ind w:left="184" w:hanging="142"/>
              <w:rPr>
                <w:rFonts w:cs="Cambria"/>
                <w:sz w:val="20"/>
                <w:szCs w:val="20"/>
              </w:rPr>
            </w:pPr>
            <w:r w:rsidRPr="00FD358A">
              <w:rPr>
                <w:rFonts w:cs="Cambria"/>
                <w:sz w:val="20"/>
                <w:szCs w:val="20"/>
              </w:rPr>
              <w:t xml:space="preserve">The EU regulatory framework for innovation technologies is </w:t>
            </w:r>
            <w:r w:rsidR="002F5008" w:rsidRPr="00FD358A">
              <w:rPr>
                <w:rFonts w:cs="Cambria"/>
                <w:sz w:val="20"/>
                <w:szCs w:val="20"/>
              </w:rPr>
              <w:t>fragmented</w:t>
            </w:r>
            <w:r w:rsidRPr="002F5FF9">
              <w:rPr>
                <w:rFonts w:cs="Cambria"/>
                <w:sz w:val="20"/>
                <w:szCs w:val="20"/>
              </w:rPr>
              <w:t xml:space="preserve">, </w:t>
            </w:r>
            <w:r w:rsidR="00271B7F" w:rsidRPr="002F5FF9">
              <w:rPr>
                <w:rFonts w:cs="Cambria"/>
                <w:sz w:val="20"/>
                <w:szCs w:val="20"/>
              </w:rPr>
              <w:t>due to divergen</w:t>
            </w:r>
            <w:r w:rsidRPr="002F5FF9">
              <w:rPr>
                <w:rFonts w:cs="Cambria"/>
                <w:sz w:val="20"/>
                <w:szCs w:val="20"/>
              </w:rPr>
              <w:t>t</w:t>
            </w:r>
            <w:r w:rsidR="00271B7F" w:rsidRPr="002F5FF9">
              <w:rPr>
                <w:rFonts w:cs="Cambria"/>
                <w:sz w:val="20"/>
                <w:szCs w:val="20"/>
              </w:rPr>
              <w:t xml:space="preserve"> </w:t>
            </w:r>
            <w:r w:rsidR="002F5008" w:rsidRPr="002F5FF9">
              <w:rPr>
                <w:rFonts w:cs="Cambria"/>
                <w:sz w:val="20"/>
                <w:szCs w:val="20"/>
              </w:rPr>
              <w:t>implementation</w:t>
            </w:r>
            <w:r w:rsidRPr="002F5FF9">
              <w:rPr>
                <w:rFonts w:cs="Cambria"/>
                <w:sz w:val="20"/>
                <w:szCs w:val="20"/>
              </w:rPr>
              <w:t>s</w:t>
            </w:r>
            <w:r w:rsidR="002F5008" w:rsidRPr="002F5FF9">
              <w:rPr>
                <w:rFonts w:cs="Cambria"/>
                <w:sz w:val="20"/>
                <w:szCs w:val="20"/>
              </w:rPr>
              <w:t xml:space="preserve"> and interpretation</w:t>
            </w:r>
            <w:r w:rsidRPr="002F5FF9">
              <w:rPr>
                <w:rFonts w:cs="Cambria"/>
                <w:sz w:val="20"/>
                <w:szCs w:val="20"/>
              </w:rPr>
              <w:t>s</w:t>
            </w:r>
            <w:r w:rsidR="002F5008" w:rsidRPr="002F5FF9">
              <w:rPr>
                <w:rFonts w:cs="Cambria"/>
                <w:sz w:val="20"/>
                <w:szCs w:val="20"/>
              </w:rPr>
              <w:t xml:space="preserve"> </w:t>
            </w:r>
            <w:r w:rsidRPr="002F5FF9">
              <w:rPr>
                <w:rFonts w:cs="Cambria"/>
                <w:sz w:val="20"/>
                <w:szCs w:val="20"/>
              </w:rPr>
              <w:t xml:space="preserve">by </w:t>
            </w:r>
            <w:r w:rsidR="002F5008" w:rsidRPr="002F5FF9">
              <w:rPr>
                <w:rFonts w:cs="Cambria"/>
                <w:sz w:val="20"/>
                <w:szCs w:val="20"/>
              </w:rPr>
              <w:t>M</w:t>
            </w:r>
            <w:r w:rsidR="00271B7F" w:rsidRPr="002F5FF9">
              <w:rPr>
                <w:rFonts w:cs="Cambria"/>
                <w:sz w:val="20"/>
                <w:szCs w:val="20"/>
              </w:rPr>
              <w:t xml:space="preserve">ember </w:t>
            </w:r>
            <w:r w:rsidR="002F5008" w:rsidRPr="002F5FF9">
              <w:rPr>
                <w:rFonts w:cs="Cambria"/>
                <w:sz w:val="20"/>
                <w:szCs w:val="20"/>
              </w:rPr>
              <w:t>S</w:t>
            </w:r>
            <w:r w:rsidR="00271B7F" w:rsidRPr="002F5FF9">
              <w:rPr>
                <w:rFonts w:cs="Cambria"/>
                <w:sz w:val="20"/>
                <w:szCs w:val="20"/>
              </w:rPr>
              <w:t>tate</w:t>
            </w:r>
            <w:r w:rsidR="002F5008" w:rsidRPr="002F5FF9">
              <w:rPr>
                <w:rFonts w:cs="Cambria"/>
                <w:sz w:val="20"/>
                <w:szCs w:val="20"/>
              </w:rPr>
              <w:t xml:space="preserve"> N</w:t>
            </w:r>
            <w:r w:rsidR="00271B7F" w:rsidRPr="002F5FF9">
              <w:rPr>
                <w:rFonts w:cs="Cambria"/>
                <w:sz w:val="20"/>
                <w:szCs w:val="20"/>
              </w:rPr>
              <w:t>ational Competent Authorities</w:t>
            </w:r>
            <w:r w:rsidR="002F5008" w:rsidRPr="002F5FF9">
              <w:rPr>
                <w:rFonts w:cs="Cambria"/>
                <w:sz w:val="20"/>
                <w:szCs w:val="20"/>
              </w:rPr>
              <w:t>/Supervisory authorities</w:t>
            </w:r>
            <w:r w:rsidRPr="002F5FF9">
              <w:rPr>
                <w:rFonts w:cs="Cambria"/>
                <w:sz w:val="20"/>
                <w:szCs w:val="20"/>
              </w:rPr>
              <w:t xml:space="preserve">, </w:t>
            </w:r>
            <w:r w:rsidR="00271B7F" w:rsidRPr="002F5FF9">
              <w:rPr>
                <w:rFonts w:cs="Cambria"/>
                <w:sz w:val="20"/>
                <w:szCs w:val="20"/>
              </w:rPr>
              <w:t>of EU guidance and requirements</w:t>
            </w:r>
            <w:r w:rsidRPr="002F5FF9">
              <w:rPr>
                <w:rFonts w:cs="Cambria"/>
                <w:sz w:val="20"/>
                <w:szCs w:val="20"/>
              </w:rPr>
              <w:t>. This fragmentation adds additional complexity and cost for firms:</w:t>
            </w:r>
          </w:p>
          <w:p w14:paraId="14792DA3" w14:textId="0232D8EB" w:rsidR="002F5FF9" w:rsidRDefault="007F7255" w:rsidP="002F5FF9">
            <w:pPr>
              <w:pStyle w:val="ListParagraph"/>
              <w:numPr>
                <w:ilvl w:val="1"/>
                <w:numId w:val="26"/>
              </w:numPr>
              <w:spacing w:after="120"/>
              <w:ind w:left="606" w:hanging="284"/>
              <w:rPr>
                <w:sz w:val="20"/>
                <w:szCs w:val="20"/>
              </w:rPr>
            </w:pPr>
            <w:r w:rsidRPr="00735388">
              <w:rPr>
                <w:rFonts w:cs="Cambria"/>
                <w:b/>
                <w:bCs/>
                <w:sz w:val="20"/>
                <w:szCs w:val="20"/>
              </w:rPr>
              <w:t>Outsourcing</w:t>
            </w:r>
            <w:r>
              <w:rPr>
                <w:rFonts w:cs="Cambria"/>
                <w:sz w:val="20"/>
                <w:szCs w:val="20"/>
              </w:rPr>
              <w:t xml:space="preserve">: </w:t>
            </w:r>
            <w:r w:rsidR="002F5FF9" w:rsidRPr="00FD358A">
              <w:rPr>
                <w:rFonts w:cs="Cambria"/>
                <w:sz w:val="20"/>
                <w:szCs w:val="20"/>
              </w:rPr>
              <w:t>the</w:t>
            </w:r>
            <w:r w:rsidR="002F5FF9" w:rsidRPr="00FD358A">
              <w:rPr>
                <w:sz w:val="20"/>
                <w:szCs w:val="20"/>
              </w:rPr>
              <w:t xml:space="preserve"> European Banking Authority (EBA) Guidelines on Outsourcing Arran</w:t>
            </w:r>
            <w:r w:rsidR="002F5FF9" w:rsidRPr="002F5FF9">
              <w:rPr>
                <w:sz w:val="20"/>
                <w:szCs w:val="20"/>
              </w:rPr>
              <w:t>gements</w:t>
            </w:r>
            <w:r w:rsidR="002564F9">
              <w:rPr>
                <w:rStyle w:val="FootnoteReference"/>
                <w:sz w:val="20"/>
                <w:szCs w:val="20"/>
              </w:rPr>
              <w:footnoteReference w:id="16"/>
            </w:r>
            <w:r w:rsidR="002F5FF9" w:rsidRPr="002F5FF9">
              <w:rPr>
                <w:sz w:val="20"/>
                <w:szCs w:val="20"/>
              </w:rPr>
              <w:t xml:space="preserve">, which have significant requirements related to the adoption of cloud computing, have been implemented by </w:t>
            </w:r>
            <w:r w:rsidR="00397574">
              <w:rPr>
                <w:sz w:val="20"/>
                <w:szCs w:val="20"/>
              </w:rPr>
              <w:t>national competent authorities (N</w:t>
            </w:r>
            <w:r w:rsidR="002F5FF9" w:rsidRPr="002F5FF9">
              <w:rPr>
                <w:sz w:val="20"/>
                <w:szCs w:val="20"/>
              </w:rPr>
              <w:t>C</w:t>
            </w:r>
            <w:r w:rsidR="00397574">
              <w:rPr>
                <w:sz w:val="20"/>
                <w:szCs w:val="20"/>
              </w:rPr>
              <w:t>A</w:t>
            </w:r>
            <w:r w:rsidR="002F5FF9" w:rsidRPr="002F5FF9">
              <w:rPr>
                <w:sz w:val="20"/>
                <w:szCs w:val="20"/>
              </w:rPr>
              <w:t>s</w:t>
            </w:r>
            <w:r w:rsidR="00397574">
              <w:rPr>
                <w:sz w:val="20"/>
                <w:szCs w:val="20"/>
              </w:rPr>
              <w:t>)</w:t>
            </w:r>
            <w:r w:rsidR="002F5FF9" w:rsidRPr="002F5FF9">
              <w:rPr>
                <w:sz w:val="20"/>
                <w:szCs w:val="20"/>
              </w:rPr>
              <w:t xml:space="preserve">. Whilst welcome by the industry, the </w:t>
            </w:r>
            <w:r w:rsidR="00397574">
              <w:rPr>
                <w:sz w:val="20"/>
                <w:szCs w:val="20"/>
              </w:rPr>
              <w:t xml:space="preserve">guidelines </w:t>
            </w:r>
            <w:r w:rsidR="002F5FF9" w:rsidRPr="002F5FF9">
              <w:rPr>
                <w:sz w:val="20"/>
                <w:szCs w:val="20"/>
              </w:rPr>
              <w:t xml:space="preserve">require further support to harmonise differences between </w:t>
            </w:r>
            <w:r w:rsidR="00397574">
              <w:rPr>
                <w:sz w:val="20"/>
                <w:szCs w:val="20"/>
              </w:rPr>
              <w:t>N</w:t>
            </w:r>
            <w:r w:rsidR="00397574" w:rsidRPr="002F5FF9">
              <w:rPr>
                <w:sz w:val="20"/>
                <w:szCs w:val="20"/>
              </w:rPr>
              <w:t>C</w:t>
            </w:r>
            <w:r w:rsidR="00397574">
              <w:rPr>
                <w:sz w:val="20"/>
                <w:szCs w:val="20"/>
              </w:rPr>
              <w:t xml:space="preserve">A </w:t>
            </w:r>
            <w:r w:rsidR="002F5FF9" w:rsidRPr="002F5FF9">
              <w:rPr>
                <w:sz w:val="20"/>
                <w:szCs w:val="20"/>
              </w:rPr>
              <w:t xml:space="preserve">interpretations, representing a hurdle to financial institutions continued adoption of cloud solutions. For example, the Luxembourg </w:t>
            </w:r>
            <w:r w:rsidR="00397574">
              <w:rPr>
                <w:sz w:val="20"/>
                <w:szCs w:val="20"/>
              </w:rPr>
              <w:t xml:space="preserve">Commission de Surveillance du </w:t>
            </w:r>
            <w:proofErr w:type="spellStart"/>
            <w:r w:rsidR="00397574">
              <w:rPr>
                <w:sz w:val="20"/>
                <w:szCs w:val="20"/>
              </w:rPr>
              <w:t>Secteur</w:t>
            </w:r>
            <w:proofErr w:type="spellEnd"/>
            <w:r w:rsidR="00397574">
              <w:rPr>
                <w:sz w:val="20"/>
                <w:szCs w:val="20"/>
              </w:rPr>
              <w:t xml:space="preserve"> Financier (</w:t>
            </w:r>
            <w:r w:rsidR="002F5FF9" w:rsidRPr="002F5FF9">
              <w:rPr>
                <w:sz w:val="20"/>
                <w:szCs w:val="20"/>
              </w:rPr>
              <w:t>CSSF</w:t>
            </w:r>
            <w:r w:rsidR="00397574">
              <w:rPr>
                <w:sz w:val="20"/>
                <w:szCs w:val="20"/>
              </w:rPr>
              <w:t>)</w:t>
            </w:r>
            <w:r w:rsidR="002F5FF9" w:rsidRPr="002F5FF9">
              <w:rPr>
                <w:sz w:val="20"/>
                <w:szCs w:val="20"/>
              </w:rPr>
              <w:t xml:space="preserve"> Cloud Circular imposes notification and approval requirements for the use of cloud platforms constituting “material activities” </w:t>
            </w:r>
            <w:r w:rsidR="002F5FF9" w:rsidRPr="00FD358A">
              <w:rPr>
                <w:sz w:val="20"/>
                <w:szCs w:val="20"/>
                <w:vertAlign w:val="superscript"/>
              </w:rPr>
              <w:footnoteReference w:id="17"/>
            </w:r>
            <w:r w:rsidR="002F5FF9" w:rsidRPr="00FD358A">
              <w:rPr>
                <w:sz w:val="20"/>
                <w:szCs w:val="20"/>
              </w:rPr>
              <w:t xml:space="preserve">. However, the </w:t>
            </w:r>
            <w:r w:rsidR="002F5FF9" w:rsidRPr="002F5FF9">
              <w:rPr>
                <w:sz w:val="20"/>
                <w:szCs w:val="20"/>
              </w:rPr>
              <w:t>EBA requires firms to undertake their own assessment of whether an outsourcing agreement is “critical or important” (i.e., material), and there is no set notification that is specific to cloud.  Further, the circular also includes private cloud adoption within the circular requirements, which deviates from the approaches taken by other NCAs</w:t>
            </w:r>
            <w:r w:rsidR="002F5FF9" w:rsidRPr="00AF6407">
              <w:rPr>
                <w:sz w:val="20"/>
                <w:szCs w:val="20"/>
              </w:rPr>
              <w:t xml:space="preserve">. </w:t>
            </w:r>
          </w:p>
          <w:p w14:paraId="3264BDC4" w14:textId="50211C95" w:rsidR="002F5FF9" w:rsidRPr="00FD358A" w:rsidRDefault="007F7255" w:rsidP="002F5FF9">
            <w:pPr>
              <w:pStyle w:val="ListParagraph"/>
              <w:numPr>
                <w:ilvl w:val="1"/>
                <w:numId w:val="26"/>
              </w:numPr>
              <w:spacing w:after="120"/>
              <w:ind w:left="606" w:hanging="284"/>
              <w:rPr>
                <w:sz w:val="20"/>
                <w:szCs w:val="20"/>
              </w:rPr>
            </w:pPr>
            <w:r w:rsidRPr="00735388">
              <w:rPr>
                <w:rFonts w:cs="Cambria"/>
                <w:b/>
                <w:bCs/>
                <w:sz w:val="20"/>
                <w:szCs w:val="20"/>
              </w:rPr>
              <w:t>Digital on-boarding</w:t>
            </w:r>
            <w:r>
              <w:rPr>
                <w:rFonts w:cs="Cambria"/>
                <w:sz w:val="20"/>
                <w:szCs w:val="20"/>
              </w:rPr>
              <w:t xml:space="preserve">: </w:t>
            </w:r>
            <w:r w:rsidR="002F5FF9">
              <w:rPr>
                <w:rFonts w:cs="Cambria"/>
                <w:sz w:val="20"/>
                <w:szCs w:val="20"/>
              </w:rPr>
              <w:t>P</w:t>
            </w:r>
            <w:r w:rsidR="002F5FF9" w:rsidRPr="0074772C">
              <w:rPr>
                <w:rFonts w:cs="Cambria"/>
                <w:sz w:val="20"/>
                <w:szCs w:val="20"/>
              </w:rPr>
              <w:t>rocedure differ in EU countr</w:t>
            </w:r>
            <w:r w:rsidR="008C1579">
              <w:rPr>
                <w:rFonts w:cs="Cambria"/>
                <w:sz w:val="20"/>
                <w:szCs w:val="20"/>
              </w:rPr>
              <w:t>ies</w:t>
            </w:r>
            <w:r w:rsidR="002F5FF9">
              <w:rPr>
                <w:rFonts w:cs="Cambria"/>
                <w:sz w:val="20"/>
                <w:szCs w:val="20"/>
              </w:rPr>
              <w:t xml:space="preserve"> for </w:t>
            </w:r>
            <w:r w:rsidR="002F5FF9" w:rsidRPr="00735388">
              <w:rPr>
                <w:rFonts w:cs="Cambria"/>
                <w:sz w:val="20"/>
                <w:szCs w:val="20"/>
              </w:rPr>
              <w:t xml:space="preserve">digital on-boarding, as </w:t>
            </w:r>
            <w:r w:rsidR="002F5FF9">
              <w:rPr>
                <w:rFonts w:cs="Cambria"/>
                <w:sz w:val="20"/>
                <w:szCs w:val="20"/>
              </w:rPr>
              <w:t xml:space="preserve">each country requires </w:t>
            </w:r>
            <w:r w:rsidR="002F5FF9" w:rsidRPr="00735388">
              <w:rPr>
                <w:rFonts w:cs="Cambria"/>
                <w:sz w:val="20"/>
                <w:szCs w:val="20"/>
              </w:rPr>
              <w:t xml:space="preserve">different national identification requirements (i.e. the relevant ID card or any other particular documentation, a corporate document that assures customer identity, etc.). </w:t>
            </w:r>
          </w:p>
          <w:p w14:paraId="6E873284" w14:textId="76E541EC" w:rsidR="002F5FF9" w:rsidRPr="00FD358A" w:rsidRDefault="007F7255" w:rsidP="002F5FF9">
            <w:pPr>
              <w:pStyle w:val="ListParagraph"/>
              <w:numPr>
                <w:ilvl w:val="1"/>
                <w:numId w:val="26"/>
              </w:numPr>
              <w:spacing w:after="120"/>
              <w:ind w:left="606" w:hanging="284"/>
              <w:rPr>
                <w:sz w:val="20"/>
                <w:szCs w:val="20"/>
              </w:rPr>
            </w:pPr>
            <w:r w:rsidRPr="00735388">
              <w:rPr>
                <w:rFonts w:cs="Cambria"/>
                <w:b/>
                <w:bCs/>
                <w:sz w:val="20"/>
                <w:szCs w:val="20"/>
              </w:rPr>
              <w:t>Electronic signatures</w:t>
            </w:r>
            <w:r>
              <w:rPr>
                <w:rFonts w:cs="Cambria"/>
                <w:sz w:val="20"/>
                <w:szCs w:val="20"/>
              </w:rPr>
              <w:t xml:space="preserve">: Procedures to </w:t>
            </w:r>
            <w:r w:rsidRPr="0074772C">
              <w:rPr>
                <w:rFonts w:cs="Cambria"/>
                <w:sz w:val="20"/>
                <w:szCs w:val="20"/>
              </w:rPr>
              <w:t>conclude contract</w:t>
            </w:r>
            <w:r>
              <w:rPr>
                <w:rFonts w:cs="Cambria"/>
                <w:sz w:val="20"/>
                <w:szCs w:val="20"/>
              </w:rPr>
              <w:t>s</w:t>
            </w:r>
            <w:r w:rsidRPr="0074772C">
              <w:rPr>
                <w:rFonts w:cs="Cambria"/>
                <w:sz w:val="20"/>
                <w:szCs w:val="20"/>
              </w:rPr>
              <w:t xml:space="preserve"> </w:t>
            </w:r>
            <w:r>
              <w:rPr>
                <w:rFonts w:cs="Cambria"/>
                <w:sz w:val="20"/>
                <w:szCs w:val="20"/>
              </w:rPr>
              <w:t xml:space="preserve">by electronic signature vary </w:t>
            </w:r>
            <w:r w:rsidR="002F5FF9" w:rsidRPr="00735388">
              <w:rPr>
                <w:rFonts w:cs="Cambria"/>
                <w:sz w:val="20"/>
                <w:szCs w:val="20"/>
              </w:rPr>
              <w:t>among EU Member States.</w:t>
            </w:r>
            <w:r w:rsidR="007E1643">
              <w:rPr>
                <w:rFonts w:cs="Cambria"/>
                <w:sz w:val="20"/>
                <w:szCs w:val="20"/>
              </w:rPr>
              <w:t xml:space="preserve"> </w:t>
            </w:r>
            <w:r w:rsidR="00982400">
              <w:rPr>
                <w:rFonts w:cs="Cambria"/>
                <w:sz w:val="20"/>
                <w:szCs w:val="20"/>
              </w:rPr>
              <w:t>R</w:t>
            </w:r>
            <w:r w:rsidR="007E1643" w:rsidRPr="007E1643">
              <w:rPr>
                <w:rFonts w:cs="Cambria"/>
                <w:sz w:val="20"/>
                <w:szCs w:val="20"/>
              </w:rPr>
              <w:t>ules and regulations requiring wet signatures/processing or receiving physical documents/in person voting and AGMs</w:t>
            </w:r>
            <w:r w:rsidR="00982400">
              <w:rPr>
                <w:rFonts w:cs="Cambria"/>
                <w:sz w:val="20"/>
                <w:szCs w:val="20"/>
              </w:rPr>
              <w:t xml:space="preserve">, have caused </w:t>
            </w:r>
            <w:r w:rsidR="00982400" w:rsidRPr="00982400">
              <w:rPr>
                <w:rFonts w:cs="Cambria"/>
                <w:sz w:val="20"/>
                <w:szCs w:val="20"/>
              </w:rPr>
              <w:t xml:space="preserve">delays </w:t>
            </w:r>
            <w:r w:rsidR="00982400">
              <w:rPr>
                <w:rFonts w:cs="Cambria"/>
                <w:sz w:val="20"/>
                <w:szCs w:val="20"/>
              </w:rPr>
              <w:t xml:space="preserve">to financial services operations </w:t>
            </w:r>
            <w:r w:rsidR="00982400" w:rsidRPr="00982400">
              <w:rPr>
                <w:rFonts w:cs="Cambria"/>
                <w:sz w:val="20"/>
                <w:szCs w:val="20"/>
              </w:rPr>
              <w:t xml:space="preserve">during COVID and </w:t>
            </w:r>
            <w:r w:rsidR="00982400">
              <w:rPr>
                <w:rFonts w:cs="Cambria"/>
                <w:sz w:val="20"/>
                <w:szCs w:val="20"/>
              </w:rPr>
              <w:t xml:space="preserve">should </w:t>
            </w:r>
            <w:r w:rsidR="00982400" w:rsidRPr="00982400">
              <w:rPr>
                <w:rFonts w:cs="Cambria"/>
                <w:sz w:val="20"/>
                <w:szCs w:val="20"/>
              </w:rPr>
              <w:t xml:space="preserve">be </w:t>
            </w:r>
            <w:r w:rsidR="00982400">
              <w:rPr>
                <w:rFonts w:cs="Cambria"/>
                <w:sz w:val="20"/>
                <w:szCs w:val="20"/>
              </w:rPr>
              <w:t>reviewed/</w:t>
            </w:r>
            <w:r w:rsidR="00982400" w:rsidRPr="00982400">
              <w:rPr>
                <w:rFonts w:cs="Cambria"/>
                <w:sz w:val="20"/>
                <w:szCs w:val="20"/>
              </w:rPr>
              <w:t>addressed by EU policy makers going forward.</w:t>
            </w:r>
          </w:p>
          <w:p w14:paraId="1B44EF97" w14:textId="41C9C48C" w:rsidR="002F5FF9" w:rsidRPr="00735388" w:rsidRDefault="007F7255" w:rsidP="00735388">
            <w:pPr>
              <w:pStyle w:val="ListParagraph"/>
              <w:numPr>
                <w:ilvl w:val="0"/>
                <w:numId w:val="26"/>
              </w:numPr>
              <w:spacing w:after="120"/>
              <w:ind w:left="184" w:hanging="142"/>
              <w:rPr>
                <w:sz w:val="20"/>
                <w:szCs w:val="20"/>
              </w:rPr>
            </w:pPr>
            <w:r>
              <w:rPr>
                <w:sz w:val="20"/>
                <w:szCs w:val="20"/>
              </w:rPr>
              <w:t xml:space="preserve">The </w:t>
            </w:r>
            <w:r w:rsidR="008C1579">
              <w:rPr>
                <w:sz w:val="20"/>
                <w:szCs w:val="20"/>
              </w:rPr>
              <w:t xml:space="preserve">competitive level playing field for </w:t>
            </w:r>
            <w:r>
              <w:rPr>
                <w:sz w:val="20"/>
                <w:szCs w:val="20"/>
              </w:rPr>
              <w:t xml:space="preserve">innovative technologies </w:t>
            </w:r>
            <w:r w:rsidR="008C1579">
              <w:rPr>
                <w:sz w:val="20"/>
                <w:szCs w:val="20"/>
              </w:rPr>
              <w:t>requires further examination</w:t>
            </w:r>
            <w:r w:rsidR="00D43F4D">
              <w:rPr>
                <w:sz w:val="20"/>
                <w:szCs w:val="20"/>
              </w:rPr>
              <w:t xml:space="preserve"> in the EU</w:t>
            </w:r>
            <w:r w:rsidR="008C1579">
              <w:rPr>
                <w:sz w:val="20"/>
                <w:szCs w:val="20"/>
              </w:rPr>
              <w:t>:</w:t>
            </w:r>
          </w:p>
          <w:p w14:paraId="66274A88" w14:textId="09128077" w:rsidR="008C1579" w:rsidRPr="008C1579" w:rsidRDefault="008C1579" w:rsidP="00735388">
            <w:pPr>
              <w:pStyle w:val="ListParagraph"/>
              <w:numPr>
                <w:ilvl w:val="1"/>
                <w:numId w:val="26"/>
              </w:numPr>
              <w:spacing w:after="120"/>
              <w:ind w:left="606" w:hanging="284"/>
              <w:rPr>
                <w:rFonts w:cs="Cambria"/>
                <w:sz w:val="20"/>
                <w:szCs w:val="20"/>
              </w:rPr>
            </w:pPr>
            <w:r w:rsidRPr="00735388">
              <w:rPr>
                <w:rFonts w:cs="Cambria"/>
                <w:b/>
                <w:bCs/>
                <w:sz w:val="20"/>
                <w:szCs w:val="20"/>
              </w:rPr>
              <w:t>PSD2:</w:t>
            </w:r>
            <w:r>
              <w:rPr>
                <w:rFonts w:cs="Cambria"/>
                <w:sz w:val="20"/>
                <w:szCs w:val="20"/>
              </w:rPr>
              <w:t xml:space="preserve"> </w:t>
            </w:r>
            <w:r w:rsidRPr="008C1579">
              <w:rPr>
                <w:rFonts w:cs="Cambria"/>
                <w:sz w:val="20"/>
                <w:szCs w:val="20"/>
              </w:rPr>
              <w:t>We believe that further examination is needed regarding situations where, due to regulatory requirements, organisations have had to bear the costs for the business models of their competitors (for instance where PSD2</w:t>
            </w:r>
            <w:r w:rsidR="00D32EC1">
              <w:rPr>
                <w:rStyle w:val="FootnoteReference"/>
                <w:rFonts w:cs="Cambria"/>
                <w:sz w:val="20"/>
                <w:szCs w:val="20"/>
              </w:rPr>
              <w:footnoteReference w:id="18"/>
            </w:r>
            <w:r w:rsidRPr="008C1579">
              <w:rPr>
                <w:rFonts w:cs="Cambria"/>
                <w:sz w:val="20"/>
                <w:szCs w:val="20"/>
              </w:rPr>
              <w:t xml:space="preserve"> has given rise to organisations being able to develop banking services without the cost of maintaining banking technology infrastructure). These initiatives could limit firm's incentive and ability to invest in innovative technologies but may also have negative implications on their ability to maintain and continuously improve their technical infrastructure and business model.</w:t>
            </w:r>
          </w:p>
          <w:p w14:paraId="65102737" w14:textId="45CD80B1" w:rsidR="006E7DD5" w:rsidRPr="0074772C" w:rsidRDefault="006E7DD5" w:rsidP="006E7DD5">
            <w:pPr>
              <w:pStyle w:val="ListParagraph"/>
              <w:numPr>
                <w:ilvl w:val="0"/>
                <w:numId w:val="26"/>
              </w:numPr>
              <w:spacing w:after="120"/>
              <w:ind w:left="184" w:hanging="142"/>
              <w:rPr>
                <w:sz w:val="20"/>
                <w:szCs w:val="20"/>
              </w:rPr>
            </w:pPr>
            <w:r>
              <w:rPr>
                <w:sz w:val="20"/>
                <w:szCs w:val="20"/>
              </w:rPr>
              <w:t xml:space="preserve">The EU regulatory framework for innovative technologies must remain technology neutral and </w:t>
            </w:r>
            <w:r w:rsidRPr="00E233A4">
              <w:rPr>
                <w:rFonts w:eastAsia="Times New Roman"/>
                <w:sz w:val="20"/>
                <w:szCs w:val="20"/>
                <w:lang w:eastAsia="en-GB"/>
              </w:rPr>
              <w:t>principles-based</w:t>
            </w:r>
            <w:r>
              <w:rPr>
                <w:sz w:val="20"/>
                <w:szCs w:val="20"/>
              </w:rPr>
              <w:t>:</w:t>
            </w:r>
          </w:p>
          <w:p w14:paraId="5FF8C445" w14:textId="27EB9A5C" w:rsidR="006E7DD5" w:rsidRDefault="006E7DD5" w:rsidP="006E7DD5">
            <w:pPr>
              <w:pStyle w:val="ListParagraph"/>
              <w:numPr>
                <w:ilvl w:val="1"/>
                <w:numId w:val="26"/>
              </w:numPr>
              <w:spacing w:after="120"/>
              <w:ind w:left="606" w:hanging="284"/>
              <w:rPr>
                <w:rFonts w:cs="Cambria"/>
                <w:sz w:val="20"/>
                <w:szCs w:val="20"/>
              </w:rPr>
            </w:pPr>
            <w:r w:rsidRPr="0074772C">
              <w:rPr>
                <w:rFonts w:cs="Cambria"/>
                <w:b/>
                <w:bCs/>
                <w:sz w:val="20"/>
                <w:szCs w:val="20"/>
              </w:rPr>
              <w:t>PSD2:</w:t>
            </w:r>
            <w:r>
              <w:rPr>
                <w:rFonts w:cs="Cambria"/>
                <w:sz w:val="20"/>
                <w:szCs w:val="20"/>
              </w:rPr>
              <w:t xml:space="preserve"> P</w:t>
            </w:r>
            <w:r w:rsidRPr="006E7DD5">
              <w:rPr>
                <w:rFonts w:cs="Cambria"/>
                <w:sz w:val="20"/>
                <w:szCs w:val="20"/>
              </w:rPr>
              <w:t xml:space="preserve">rescriptive </w:t>
            </w:r>
            <w:r>
              <w:rPr>
                <w:rFonts w:cs="Cambria"/>
                <w:sz w:val="20"/>
                <w:szCs w:val="20"/>
              </w:rPr>
              <w:t xml:space="preserve">and detailed requirements for </w:t>
            </w:r>
            <w:r w:rsidRPr="006E7DD5">
              <w:rPr>
                <w:rFonts w:cs="Cambria"/>
                <w:sz w:val="20"/>
                <w:szCs w:val="20"/>
              </w:rPr>
              <w:t xml:space="preserve">Strong Customer Authentication </w:t>
            </w:r>
            <w:r>
              <w:rPr>
                <w:rFonts w:cs="Cambria"/>
                <w:sz w:val="20"/>
                <w:szCs w:val="20"/>
              </w:rPr>
              <w:t xml:space="preserve">(SCA) </w:t>
            </w:r>
            <w:r w:rsidRPr="006E7DD5">
              <w:rPr>
                <w:rFonts w:cs="Cambria"/>
                <w:sz w:val="20"/>
                <w:szCs w:val="20"/>
              </w:rPr>
              <w:t>rules in PSD2</w:t>
            </w:r>
            <w:r>
              <w:rPr>
                <w:rFonts w:cs="Cambria"/>
                <w:sz w:val="20"/>
                <w:szCs w:val="20"/>
              </w:rPr>
              <w:t xml:space="preserve">, may improve </w:t>
            </w:r>
            <w:r w:rsidRPr="006E7DD5">
              <w:rPr>
                <w:rFonts w:cs="Cambria"/>
                <w:sz w:val="20"/>
                <w:szCs w:val="20"/>
              </w:rPr>
              <w:t>overall security levels</w:t>
            </w:r>
            <w:r>
              <w:rPr>
                <w:rFonts w:cs="Cambria"/>
                <w:sz w:val="20"/>
                <w:szCs w:val="20"/>
              </w:rPr>
              <w:t xml:space="preserve">, </w:t>
            </w:r>
            <w:r>
              <w:rPr>
                <w:rFonts w:cs="Cambria"/>
                <w:sz w:val="20"/>
                <w:szCs w:val="20"/>
              </w:rPr>
              <w:lastRenderedPageBreak/>
              <w:t xml:space="preserve">at the same time the application of SCA when </w:t>
            </w:r>
            <w:r w:rsidRPr="006E7DD5">
              <w:rPr>
                <w:rFonts w:cs="Cambria"/>
                <w:sz w:val="20"/>
                <w:szCs w:val="20"/>
              </w:rPr>
              <w:t>accessing information from a payment account</w:t>
            </w:r>
            <w:r>
              <w:rPr>
                <w:rFonts w:cs="Cambria"/>
                <w:sz w:val="20"/>
                <w:szCs w:val="20"/>
              </w:rPr>
              <w:t xml:space="preserve"> or when </w:t>
            </w:r>
            <w:r w:rsidRPr="006E7DD5">
              <w:rPr>
                <w:rFonts w:cs="Cambria"/>
                <w:sz w:val="20"/>
                <w:szCs w:val="20"/>
              </w:rPr>
              <w:t>certain limits have been reached</w:t>
            </w:r>
            <w:r>
              <w:rPr>
                <w:rFonts w:cs="Cambria"/>
                <w:sz w:val="20"/>
                <w:szCs w:val="20"/>
              </w:rPr>
              <w:t xml:space="preserve"> </w:t>
            </w:r>
            <w:r w:rsidR="00D32EC1">
              <w:rPr>
                <w:rFonts w:cs="Cambria"/>
                <w:sz w:val="20"/>
                <w:szCs w:val="20"/>
              </w:rPr>
              <w:t xml:space="preserve">(for instance </w:t>
            </w:r>
            <w:r>
              <w:rPr>
                <w:rFonts w:cs="Cambria"/>
                <w:sz w:val="20"/>
                <w:szCs w:val="20"/>
              </w:rPr>
              <w:t>for contactless transactions</w:t>
            </w:r>
            <w:r w:rsidR="00D32EC1">
              <w:rPr>
                <w:rFonts w:cs="Cambria"/>
                <w:sz w:val="20"/>
                <w:szCs w:val="20"/>
              </w:rPr>
              <w:t>)</w:t>
            </w:r>
            <w:r>
              <w:rPr>
                <w:rFonts w:cs="Cambria"/>
                <w:sz w:val="20"/>
                <w:szCs w:val="20"/>
              </w:rPr>
              <w:t xml:space="preserve">, </w:t>
            </w:r>
            <w:r w:rsidRPr="006E7DD5">
              <w:rPr>
                <w:rFonts w:cs="Cambria"/>
                <w:sz w:val="20"/>
                <w:szCs w:val="20"/>
              </w:rPr>
              <w:t>raise barriers to innovation without necessarily reducing the risk posed by th</w:t>
            </w:r>
            <w:r>
              <w:rPr>
                <w:rFonts w:cs="Cambria"/>
                <w:sz w:val="20"/>
                <w:szCs w:val="20"/>
              </w:rPr>
              <w:t>ose</w:t>
            </w:r>
            <w:r w:rsidRPr="006E7DD5">
              <w:rPr>
                <w:rFonts w:cs="Cambria"/>
                <w:sz w:val="20"/>
                <w:szCs w:val="20"/>
              </w:rPr>
              <w:t xml:space="preserve"> operation</w:t>
            </w:r>
            <w:r>
              <w:rPr>
                <w:rFonts w:cs="Cambria"/>
                <w:sz w:val="20"/>
                <w:szCs w:val="20"/>
              </w:rPr>
              <w:t>s.</w:t>
            </w:r>
          </w:p>
          <w:p w14:paraId="7F20FF53" w14:textId="148D95CA" w:rsidR="00B913F5" w:rsidRDefault="00D43F4D" w:rsidP="00B913F5">
            <w:pPr>
              <w:pStyle w:val="ListParagraph"/>
              <w:numPr>
                <w:ilvl w:val="0"/>
                <w:numId w:val="26"/>
              </w:numPr>
              <w:spacing w:after="120"/>
              <w:ind w:left="184" w:hanging="142"/>
              <w:rPr>
                <w:rFonts w:cs="Cambria"/>
                <w:sz w:val="20"/>
                <w:szCs w:val="20"/>
              </w:rPr>
            </w:pPr>
            <w:r>
              <w:rPr>
                <w:rFonts w:cs="Cambria"/>
                <w:sz w:val="20"/>
                <w:szCs w:val="20"/>
              </w:rPr>
              <w:t>Finally, a</w:t>
            </w:r>
            <w:r w:rsidR="00B913F5">
              <w:rPr>
                <w:rFonts w:cs="Cambria"/>
                <w:sz w:val="20"/>
                <w:szCs w:val="20"/>
              </w:rPr>
              <w:t>s stated in the ROFIEG report</w:t>
            </w:r>
            <w:r w:rsidR="00B913F5">
              <w:rPr>
                <w:rStyle w:val="FootnoteReference"/>
                <w:rFonts w:cs="Cambria"/>
                <w:sz w:val="20"/>
                <w:szCs w:val="20"/>
              </w:rPr>
              <w:footnoteReference w:id="19"/>
            </w:r>
            <w:r w:rsidR="00B913F5">
              <w:rPr>
                <w:rFonts w:cs="Cambria"/>
                <w:sz w:val="20"/>
                <w:szCs w:val="20"/>
              </w:rPr>
              <w:t xml:space="preserve">, ‘the current EU legal and regulatory framework </w:t>
            </w:r>
            <w:r w:rsidR="00B913F5" w:rsidRPr="00B913F5">
              <w:rPr>
                <w:rFonts w:cs="Cambria"/>
                <w:sz w:val="20"/>
                <w:szCs w:val="20"/>
              </w:rPr>
              <w:t>is built around traditional bilateral</w:t>
            </w:r>
            <w:r w:rsidR="00B913F5">
              <w:rPr>
                <w:rFonts w:cs="Cambria"/>
                <w:sz w:val="20"/>
                <w:szCs w:val="20"/>
              </w:rPr>
              <w:t xml:space="preserve"> </w:t>
            </w:r>
            <w:r w:rsidR="00B913F5" w:rsidRPr="00735388">
              <w:rPr>
                <w:rFonts w:cs="Cambria"/>
                <w:sz w:val="20"/>
                <w:szCs w:val="20"/>
              </w:rPr>
              <w:t>understanding of outsourcing and account relationships as building blocks of the financial</w:t>
            </w:r>
            <w:r w:rsidR="00B913F5">
              <w:rPr>
                <w:rFonts w:cs="Cambria"/>
                <w:sz w:val="20"/>
                <w:szCs w:val="20"/>
              </w:rPr>
              <w:t xml:space="preserve"> market.</w:t>
            </w:r>
            <w:r w:rsidR="00B913F5">
              <w:t xml:space="preserve"> </w:t>
            </w:r>
            <w:r w:rsidR="00B913F5" w:rsidRPr="00B913F5">
              <w:rPr>
                <w:rFonts w:cs="Cambria"/>
                <w:sz w:val="20"/>
                <w:szCs w:val="20"/>
              </w:rPr>
              <w:t xml:space="preserve">Wherever services, products or functions will in the future be delivered using </w:t>
            </w:r>
            <w:r w:rsidR="00B913F5">
              <w:rPr>
                <w:rFonts w:cs="Cambria"/>
                <w:sz w:val="20"/>
                <w:szCs w:val="20"/>
              </w:rPr>
              <w:t xml:space="preserve">a </w:t>
            </w:r>
            <w:r w:rsidR="00B913F5" w:rsidRPr="00735388">
              <w:rPr>
                <w:rFonts w:cs="Cambria"/>
                <w:sz w:val="20"/>
                <w:szCs w:val="20"/>
              </w:rPr>
              <w:t xml:space="preserve">distributed setting (e.g. in asset settlement, payment, </w:t>
            </w:r>
            <w:proofErr w:type="gramStart"/>
            <w:r w:rsidR="00B913F5" w:rsidRPr="00735388">
              <w:rPr>
                <w:rFonts w:cs="Cambria"/>
                <w:sz w:val="20"/>
                <w:szCs w:val="20"/>
              </w:rPr>
              <w:t>crypto-assets</w:t>
            </w:r>
            <w:proofErr w:type="gramEnd"/>
            <w:r w:rsidR="00B913F5" w:rsidRPr="00735388">
              <w:rPr>
                <w:rFonts w:cs="Cambria"/>
                <w:sz w:val="20"/>
                <w:szCs w:val="20"/>
              </w:rPr>
              <w:t>, etc.), the current legal and</w:t>
            </w:r>
            <w:r w:rsidR="00B913F5">
              <w:rPr>
                <w:rFonts w:cs="Cambria"/>
                <w:sz w:val="20"/>
                <w:szCs w:val="20"/>
              </w:rPr>
              <w:t xml:space="preserve"> </w:t>
            </w:r>
            <w:r w:rsidR="00B913F5" w:rsidRPr="00735388">
              <w:rPr>
                <w:rFonts w:cs="Cambria"/>
                <w:sz w:val="20"/>
                <w:szCs w:val="20"/>
              </w:rPr>
              <w:t>regulatory framework will not apply smoothly</w:t>
            </w:r>
            <w:r w:rsidR="00B913F5">
              <w:rPr>
                <w:rFonts w:cs="Cambria"/>
                <w:sz w:val="20"/>
                <w:szCs w:val="20"/>
              </w:rPr>
              <w:t>.</w:t>
            </w:r>
            <w:r w:rsidR="00C6388E">
              <w:rPr>
                <w:rFonts w:cs="Cambria"/>
                <w:sz w:val="20"/>
                <w:szCs w:val="20"/>
              </w:rPr>
              <w:t>’</w:t>
            </w:r>
          </w:p>
          <w:p w14:paraId="07FB60E2" w14:textId="33DBE942" w:rsidR="00C6388E" w:rsidRPr="00735388" w:rsidRDefault="00C6388E" w:rsidP="00735388">
            <w:pPr>
              <w:pStyle w:val="ListParagraph"/>
              <w:numPr>
                <w:ilvl w:val="1"/>
                <w:numId w:val="26"/>
              </w:numPr>
              <w:spacing w:after="120"/>
              <w:ind w:left="606" w:hanging="284"/>
              <w:rPr>
                <w:rFonts w:cs="Cambria"/>
                <w:sz w:val="20"/>
                <w:szCs w:val="20"/>
              </w:rPr>
            </w:pPr>
            <w:r>
              <w:rPr>
                <w:rFonts w:cs="Cambria"/>
                <w:sz w:val="20"/>
                <w:szCs w:val="20"/>
              </w:rPr>
              <w:t xml:space="preserve">The report further elaborates (p.50-51) </w:t>
            </w:r>
            <w:r w:rsidR="006E4CA0" w:rsidRPr="006E4CA0">
              <w:rPr>
                <w:rFonts w:cs="Cambria"/>
                <w:sz w:val="20"/>
                <w:szCs w:val="20"/>
              </w:rPr>
              <w:t>on where the application of specific regulation will need to be considered DLT/blockchain context</w:t>
            </w:r>
            <w:r w:rsidR="006E4CA0">
              <w:rPr>
                <w:rFonts w:cs="Cambria"/>
                <w:sz w:val="20"/>
                <w:szCs w:val="20"/>
              </w:rPr>
              <w:t xml:space="preserve">. </w:t>
            </w:r>
            <w:r w:rsidR="006E4CA0" w:rsidRPr="006E4CA0">
              <w:rPr>
                <w:rFonts w:cs="Cambria"/>
                <w:sz w:val="20"/>
                <w:szCs w:val="20"/>
              </w:rPr>
              <w:t xml:space="preserve">As noted on pages 50-51 </w:t>
            </w:r>
            <w:r>
              <w:rPr>
                <w:rFonts w:cs="Cambria"/>
                <w:sz w:val="20"/>
                <w:szCs w:val="20"/>
              </w:rPr>
              <w:t>‘</w:t>
            </w:r>
            <w:r w:rsidR="0035057B" w:rsidRPr="0035057B">
              <w:rPr>
                <w:rFonts w:cs="Cambria"/>
                <w:sz w:val="20"/>
                <w:szCs w:val="20"/>
              </w:rPr>
              <w:t>Wherever an existing regulation, such as CSDR, EMIR, FCD, SFD, MiFID, the SIPS</w:t>
            </w:r>
            <w:r w:rsidR="0035057B">
              <w:rPr>
                <w:rFonts w:cs="Cambria"/>
                <w:sz w:val="20"/>
                <w:szCs w:val="20"/>
              </w:rPr>
              <w:t xml:space="preserve"> </w:t>
            </w:r>
            <w:r w:rsidR="0035057B" w:rsidRPr="00735388">
              <w:rPr>
                <w:rFonts w:cs="Cambria"/>
                <w:sz w:val="20"/>
                <w:szCs w:val="20"/>
              </w:rPr>
              <w:t>Regulation and AMLD, is engaged, defined terms and established concepts may not apply</w:t>
            </w:r>
            <w:r w:rsidR="0035057B">
              <w:rPr>
                <w:rFonts w:cs="Cambria"/>
                <w:sz w:val="20"/>
                <w:szCs w:val="20"/>
              </w:rPr>
              <w:t xml:space="preserve"> </w:t>
            </w:r>
            <w:r w:rsidR="0035057B" w:rsidRPr="00735388">
              <w:rPr>
                <w:rFonts w:cs="Cambria"/>
                <w:sz w:val="20"/>
                <w:szCs w:val="20"/>
              </w:rPr>
              <w:t>unambiguously. For instance, fundamental notions such as ‘account’, ‘client’, ‘customer’ nee</w:t>
            </w:r>
            <w:r w:rsidR="0035057B">
              <w:rPr>
                <w:rFonts w:cs="Cambria"/>
                <w:sz w:val="20"/>
                <w:szCs w:val="20"/>
              </w:rPr>
              <w:t xml:space="preserve">d </w:t>
            </w:r>
            <w:r w:rsidR="0035057B" w:rsidRPr="00735388">
              <w:rPr>
                <w:rFonts w:cs="Cambria"/>
                <w:sz w:val="20"/>
                <w:szCs w:val="20"/>
              </w:rPr>
              <w:t>clarification as they are based on a ‘bilateral view’ of relationships which cannot be applied</w:t>
            </w:r>
            <w:r w:rsidR="0035057B">
              <w:rPr>
                <w:rFonts w:cs="Cambria"/>
                <w:sz w:val="20"/>
                <w:szCs w:val="20"/>
              </w:rPr>
              <w:t xml:space="preserve"> </w:t>
            </w:r>
            <w:r w:rsidR="0035057B" w:rsidRPr="00735388">
              <w:rPr>
                <w:rFonts w:cs="Cambria"/>
                <w:sz w:val="20"/>
                <w:szCs w:val="20"/>
              </w:rPr>
              <w:t>smoothly in the context of a DLT network. Concepts such as ‘trade repository’, which is an</w:t>
            </w:r>
            <w:r w:rsidR="0035057B">
              <w:rPr>
                <w:rFonts w:cs="Cambria"/>
                <w:sz w:val="20"/>
                <w:szCs w:val="20"/>
              </w:rPr>
              <w:t xml:space="preserve"> </w:t>
            </w:r>
            <w:r w:rsidR="0035057B" w:rsidRPr="00735388">
              <w:rPr>
                <w:rFonts w:cs="Cambria"/>
                <w:sz w:val="20"/>
                <w:szCs w:val="20"/>
              </w:rPr>
              <w:t>entity connected to the market through a large number of bilateral relationships, may need to</w:t>
            </w:r>
            <w:r w:rsidR="0035057B">
              <w:rPr>
                <w:rFonts w:cs="Cambria"/>
                <w:sz w:val="20"/>
                <w:szCs w:val="20"/>
              </w:rPr>
              <w:t xml:space="preserve"> </w:t>
            </w:r>
            <w:r w:rsidR="0035057B" w:rsidRPr="00735388">
              <w:rPr>
                <w:rFonts w:cs="Cambria"/>
                <w:sz w:val="20"/>
                <w:szCs w:val="20"/>
              </w:rPr>
              <w:t>be translated into the multilateral context of distributed financial networks, as would terms such</w:t>
            </w:r>
            <w:r w:rsidR="0035057B">
              <w:rPr>
                <w:rFonts w:cs="Cambria"/>
                <w:sz w:val="20"/>
                <w:szCs w:val="20"/>
              </w:rPr>
              <w:t xml:space="preserve"> </w:t>
            </w:r>
            <w:r w:rsidR="0035057B" w:rsidRPr="00735388">
              <w:rPr>
                <w:rFonts w:cs="Cambria"/>
                <w:sz w:val="20"/>
                <w:szCs w:val="20"/>
              </w:rPr>
              <w:t>as ‘system’, ‘book entry’, ‘settlement’, or ‘finality’. Similarly, fundamental ideas of client asset</w:t>
            </w:r>
            <w:r w:rsidR="0035057B">
              <w:rPr>
                <w:rFonts w:cs="Cambria"/>
                <w:sz w:val="20"/>
                <w:szCs w:val="20"/>
              </w:rPr>
              <w:t xml:space="preserve"> </w:t>
            </w:r>
            <w:r w:rsidR="0035057B" w:rsidRPr="00735388">
              <w:rPr>
                <w:rFonts w:cs="Cambria"/>
                <w:sz w:val="20"/>
                <w:szCs w:val="20"/>
              </w:rPr>
              <w:t>protection or segregation are not translated easily into a distributed, multilateral environment</w:t>
            </w:r>
            <w:r w:rsidR="0035057B">
              <w:rPr>
                <w:rFonts w:cs="Cambria"/>
                <w:sz w:val="20"/>
                <w:szCs w:val="20"/>
              </w:rPr>
              <w:t xml:space="preserve">. </w:t>
            </w:r>
            <w:r w:rsidRPr="00735388">
              <w:rPr>
                <w:rFonts w:cs="Cambria"/>
                <w:sz w:val="20"/>
                <w:szCs w:val="20"/>
              </w:rPr>
              <w:t>The relevant questions will inevitably occur wherever market participants and supervisors</w:t>
            </w:r>
            <w:r>
              <w:rPr>
                <w:rFonts w:cs="Cambria"/>
                <w:sz w:val="20"/>
                <w:szCs w:val="20"/>
              </w:rPr>
              <w:t xml:space="preserve"> </w:t>
            </w:r>
            <w:r w:rsidRPr="00735388">
              <w:rPr>
                <w:rFonts w:cs="Cambria"/>
                <w:sz w:val="20"/>
                <w:szCs w:val="20"/>
              </w:rPr>
              <w:t>attempt to use and supervise distributed financial networks under existing rules and any absence</w:t>
            </w:r>
            <w:r>
              <w:rPr>
                <w:rFonts w:cs="Cambria"/>
                <w:sz w:val="20"/>
                <w:szCs w:val="20"/>
              </w:rPr>
              <w:t xml:space="preserve"> </w:t>
            </w:r>
            <w:r w:rsidRPr="00735388">
              <w:rPr>
                <w:rFonts w:cs="Cambria"/>
                <w:sz w:val="20"/>
                <w:szCs w:val="20"/>
              </w:rPr>
              <w:t>of clarity will restrict market participants’ and supervisors’ openness to this technology. In</w:t>
            </w:r>
            <w:r>
              <w:rPr>
                <w:rFonts w:cs="Cambria"/>
                <w:sz w:val="20"/>
                <w:szCs w:val="20"/>
              </w:rPr>
              <w:t xml:space="preserve"> </w:t>
            </w:r>
            <w:r w:rsidRPr="00735388">
              <w:rPr>
                <w:rFonts w:cs="Cambria"/>
                <w:sz w:val="20"/>
                <w:szCs w:val="20"/>
              </w:rPr>
              <w:t>responding to these questions, it is important to ensure consistency and uniformity regarding</w:t>
            </w:r>
            <w:r>
              <w:rPr>
                <w:rFonts w:cs="Cambria"/>
                <w:sz w:val="20"/>
                <w:szCs w:val="20"/>
              </w:rPr>
              <w:t xml:space="preserve"> </w:t>
            </w:r>
            <w:r w:rsidRPr="00735388">
              <w:rPr>
                <w:rFonts w:cs="Cambria"/>
                <w:sz w:val="20"/>
                <w:szCs w:val="20"/>
              </w:rPr>
              <w:t>the concrete applications of regulatory terms and concepts across the EU. Sectoral divergences,</w:t>
            </w:r>
            <w:r>
              <w:rPr>
                <w:rFonts w:cs="Cambria"/>
                <w:sz w:val="20"/>
                <w:szCs w:val="20"/>
              </w:rPr>
              <w:t xml:space="preserve"> </w:t>
            </w:r>
            <w:r w:rsidRPr="00735388">
              <w:rPr>
                <w:rFonts w:cs="Cambria"/>
                <w:sz w:val="20"/>
                <w:szCs w:val="20"/>
              </w:rPr>
              <w:t>e.g. per relevant regulatory area, or approaches fragmented along jurisdictional borders, would</w:t>
            </w:r>
            <w:r>
              <w:rPr>
                <w:rFonts w:cs="Cambria"/>
                <w:sz w:val="20"/>
                <w:szCs w:val="20"/>
              </w:rPr>
              <w:t xml:space="preserve"> gravely restrict the adoption of such network across the EU.’</w:t>
            </w:r>
          </w:p>
          <w:p w14:paraId="61C9B7AE" w14:textId="60EE82DD" w:rsidR="009C6F39" w:rsidRPr="00AF6407" w:rsidRDefault="009C6F39" w:rsidP="00735388"/>
        </w:tc>
      </w:tr>
      <w:tr w:rsidR="00147DD7" w:rsidRPr="00E04F86" w14:paraId="1406E6ED" w14:textId="77777777" w:rsidTr="0053138D">
        <w:trPr>
          <w:trHeight w:val="115"/>
        </w:trPr>
        <w:tc>
          <w:tcPr>
            <w:tcW w:w="1271" w:type="dxa"/>
          </w:tcPr>
          <w:p w14:paraId="7EFBA870" w14:textId="0DAEE129" w:rsidR="00147DD7" w:rsidRDefault="005B2CE4" w:rsidP="0053138D">
            <w:pPr>
              <w:spacing w:after="120"/>
              <w:rPr>
                <w:sz w:val="20"/>
                <w:szCs w:val="20"/>
              </w:rPr>
            </w:pPr>
            <w:r>
              <w:rPr>
                <w:sz w:val="20"/>
                <w:szCs w:val="20"/>
              </w:rPr>
              <w:lastRenderedPageBreak/>
              <w:t>5</w:t>
            </w:r>
          </w:p>
        </w:tc>
        <w:tc>
          <w:tcPr>
            <w:tcW w:w="2126" w:type="dxa"/>
          </w:tcPr>
          <w:p w14:paraId="3807844D" w14:textId="3DC9291D" w:rsidR="00147DD7" w:rsidRPr="00844BDC" w:rsidRDefault="000C224F" w:rsidP="00844BDC">
            <w:pPr>
              <w:rPr>
                <w:rFonts w:eastAsia="Times New Roman"/>
                <w:b/>
                <w:sz w:val="20"/>
                <w:szCs w:val="20"/>
                <w:lang w:eastAsia="en-GB"/>
              </w:rPr>
            </w:pPr>
            <w:r w:rsidRPr="00844BDC">
              <w:rPr>
                <w:rFonts w:eastAsia="Times New Roman"/>
                <w:sz w:val="20"/>
                <w:szCs w:val="20"/>
                <w:lang w:eastAsia="en-GB"/>
              </w:rPr>
              <w:t xml:space="preserve">AFME to </w:t>
            </w:r>
            <w:r w:rsidR="005B2CE4" w:rsidRPr="005B2CE4">
              <w:rPr>
                <w:rFonts w:eastAsia="Times New Roman"/>
                <w:sz w:val="20"/>
                <w:szCs w:val="20"/>
                <w:u w:val="single"/>
                <w:lang w:eastAsia="en-GB"/>
              </w:rPr>
              <w:t>not</w:t>
            </w:r>
            <w:r w:rsidR="005B2CE4">
              <w:rPr>
                <w:rFonts w:eastAsia="Times New Roman"/>
                <w:sz w:val="20"/>
                <w:szCs w:val="20"/>
                <w:lang w:eastAsia="en-GB"/>
              </w:rPr>
              <w:t xml:space="preserve"> </w:t>
            </w:r>
            <w:r w:rsidRPr="00844BDC">
              <w:rPr>
                <w:rFonts w:eastAsia="Times New Roman"/>
                <w:sz w:val="20"/>
                <w:szCs w:val="20"/>
                <w:lang w:eastAsia="en-GB"/>
              </w:rPr>
              <w:t>respond</w:t>
            </w:r>
          </w:p>
        </w:tc>
        <w:tc>
          <w:tcPr>
            <w:tcW w:w="7060" w:type="dxa"/>
          </w:tcPr>
          <w:p w14:paraId="136B3CC4" w14:textId="09FF3AA8" w:rsidR="00147DD7" w:rsidRPr="00844BDC" w:rsidRDefault="00147DD7" w:rsidP="00844BDC">
            <w:pPr>
              <w:spacing w:after="120"/>
              <w:rPr>
                <w:rFonts w:cs="Cambria"/>
                <w:sz w:val="20"/>
                <w:szCs w:val="20"/>
              </w:rPr>
            </w:pPr>
          </w:p>
        </w:tc>
      </w:tr>
      <w:tr w:rsidR="005E6E22" w:rsidRPr="00E04F86" w14:paraId="7A3F01E5" w14:textId="77777777" w:rsidTr="00817541">
        <w:trPr>
          <w:trHeight w:val="115"/>
        </w:trPr>
        <w:tc>
          <w:tcPr>
            <w:tcW w:w="1271" w:type="dxa"/>
          </w:tcPr>
          <w:p w14:paraId="6EB39873" w14:textId="4EEBBF29" w:rsidR="005E6E22" w:rsidRDefault="005B2CE4" w:rsidP="00817541">
            <w:pPr>
              <w:spacing w:after="120"/>
              <w:rPr>
                <w:sz w:val="20"/>
                <w:szCs w:val="20"/>
              </w:rPr>
            </w:pPr>
            <w:r>
              <w:rPr>
                <w:sz w:val="20"/>
                <w:szCs w:val="20"/>
              </w:rPr>
              <w:t>5</w:t>
            </w:r>
            <w:r w:rsidR="005E6E22">
              <w:rPr>
                <w:sz w:val="20"/>
                <w:szCs w:val="20"/>
              </w:rPr>
              <w:t>.1</w:t>
            </w:r>
          </w:p>
        </w:tc>
        <w:tc>
          <w:tcPr>
            <w:tcW w:w="2126" w:type="dxa"/>
          </w:tcPr>
          <w:p w14:paraId="5BDC9959" w14:textId="53869AC1" w:rsidR="005E6E22" w:rsidRPr="00844BDC" w:rsidRDefault="00747F9C" w:rsidP="00844BDC">
            <w:pPr>
              <w:rPr>
                <w:rFonts w:eastAsia="Times New Roman"/>
                <w:b/>
                <w:sz w:val="20"/>
                <w:szCs w:val="20"/>
                <w:lang w:eastAsia="en-GB"/>
              </w:rPr>
            </w:pPr>
            <w:r w:rsidRPr="00844BDC">
              <w:rPr>
                <w:rFonts w:eastAsia="Times New Roman"/>
                <w:sz w:val="20"/>
                <w:szCs w:val="20"/>
                <w:lang w:eastAsia="en-GB"/>
              </w:rPr>
              <w:t xml:space="preserve">AFME to </w:t>
            </w:r>
            <w:r w:rsidR="005B2CE4" w:rsidRPr="005B2CE4">
              <w:rPr>
                <w:rFonts w:eastAsia="Times New Roman"/>
                <w:sz w:val="20"/>
                <w:szCs w:val="20"/>
                <w:u w:val="single"/>
                <w:lang w:eastAsia="en-GB"/>
              </w:rPr>
              <w:t>not</w:t>
            </w:r>
            <w:r w:rsidR="005B2CE4">
              <w:rPr>
                <w:rFonts w:eastAsia="Times New Roman"/>
                <w:sz w:val="20"/>
                <w:szCs w:val="20"/>
                <w:lang w:eastAsia="en-GB"/>
              </w:rPr>
              <w:t xml:space="preserve"> </w:t>
            </w:r>
            <w:r w:rsidRPr="00844BDC">
              <w:rPr>
                <w:rFonts w:eastAsia="Times New Roman"/>
                <w:sz w:val="20"/>
                <w:szCs w:val="20"/>
                <w:lang w:eastAsia="en-GB"/>
              </w:rPr>
              <w:t>respond</w:t>
            </w:r>
          </w:p>
        </w:tc>
        <w:tc>
          <w:tcPr>
            <w:tcW w:w="7060" w:type="dxa"/>
          </w:tcPr>
          <w:p w14:paraId="38F3C0FA" w14:textId="6DEBCC08" w:rsidR="00D63AFD" w:rsidRPr="005B2CE4" w:rsidRDefault="00D63AFD" w:rsidP="005B2CE4">
            <w:pPr>
              <w:spacing w:after="120"/>
              <w:rPr>
                <w:sz w:val="20"/>
                <w:szCs w:val="20"/>
              </w:rPr>
            </w:pPr>
          </w:p>
        </w:tc>
      </w:tr>
      <w:tr w:rsidR="00531247" w14:paraId="1774A3CD" w14:textId="77777777" w:rsidTr="00531247">
        <w:trPr>
          <w:trHeight w:val="364"/>
        </w:trPr>
        <w:tc>
          <w:tcPr>
            <w:tcW w:w="10457" w:type="dxa"/>
            <w:gridSpan w:val="3"/>
            <w:shd w:val="clear" w:color="auto" w:fill="D6E3BC" w:themeFill="accent3" w:themeFillTint="66"/>
          </w:tcPr>
          <w:p w14:paraId="1364A758" w14:textId="4B85C774" w:rsidR="00531247" w:rsidRDefault="00531247" w:rsidP="0053138D">
            <w:pPr>
              <w:spacing w:after="120"/>
              <w:ind w:left="57"/>
              <w:rPr>
                <w:sz w:val="20"/>
                <w:szCs w:val="20"/>
              </w:rPr>
            </w:pPr>
            <w:r w:rsidRPr="00531247">
              <w:rPr>
                <w:sz w:val="20"/>
                <w:szCs w:val="20"/>
              </w:rPr>
              <w:t>Identify areas where the financial services regulatory framework may need to be adapted</w:t>
            </w:r>
          </w:p>
        </w:tc>
      </w:tr>
      <w:tr w:rsidR="003F1749" w14:paraId="66C0DCA9" w14:textId="77777777" w:rsidTr="00AF6407">
        <w:trPr>
          <w:trHeight w:val="458"/>
        </w:trPr>
        <w:tc>
          <w:tcPr>
            <w:tcW w:w="1271" w:type="dxa"/>
            <w:vMerge w:val="restart"/>
          </w:tcPr>
          <w:p w14:paraId="70BCB83A" w14:textId="128B73DF" w:rsidR="003F1749" w:rsidRDefault="003F1749" w:rsidP="0053138D">
            <w:pPr>
              <w:spacing w:after="120"/>
              <w:rPr>
                <w:sz w:val="20"/>
                <w:szCs w:val="20"/>
              </w:rPr>
            </w:pPr>
            <w:r>
              <w:rPr>
                <w:sz w:val="20"/>
                <w:szCs w:val="20"/>
              </w:rPr>
              <w:t>6</w:t>
            </w:r>
          </w:p>
        </w:tc>
        <w:tc>
          <w:tcPr>
            <w:tcW w:w="2126" w:type="dxa"/>
          </w:tcPr>
          <w:p w14:paraId="46A85DC4" w14:textId="0AE8DCA6" w:rsidR="003F1749" w:rsidRPr="00844BDC" w:rsidRDefault="003F1749" w:rsidP="00844BDC">
            <w:pPr>
              <w:rPr>
                <w:rFonts w:eastAsia="Times New Roman"/>
                <w:b/>
                <w:sz w:val="20"/>
                <w:szCs w:val="20"/>
                <w:lang w:eastAsia="en-GB"/>
              </w:rPr>
            </w:pPr>
            <w:r w:rsidRPr="00844BDC">
              <w:rPr>
                <w:rFonts w:eastAsia="Times New Roman"/>
                <w:sz w:val="20"/>
                <w:szCs w:val="20"/>
                <w:lang w:eastAsia="en-GB"/>
              </w:rPr>
              <w:t>AFME to respond</w:t>
            </w:r>
          </w:p>
        </w:tc>
        <w:tc>
          <w:tcPr>
            <w:tcW w:w="7060" w:type="dxa"/>
            <w:shd w:val="clear" w:color="auto" w:fill="auto"/>
          </w:tcPr>
          <w:p w14:paraId="25BD41B3" w14:textId="0127E56C" w:rsidR="003F1749" w:rsidRPr="00A52844" w:rsidRDefault="003F1749" w:rsidP="00531247">
            <w:pPr>
              <w:pStyle w:val="ListParagraph"/>
              <w:numPr>
                <w:ilvl w:val="0"/>
                <w:numId w:val="26"/>
              </w:numPr>
              <w:spacing w:after="120"/>
              <w:ind w:left="184" w:hanging="142"/>
              <w:rPr>
                <w:sz w:val="20"/>
                <w:szCs w:val="20"/>
              </w:rPr>
            </w:pPr>
            <w:r w:rsidRPr="00A52844">
              <w:rPr>
                <w:rFonts w:cs="Cambria"/>
                <w:sz w:val="20"/>
                <w:szCs w:val="20"/>
              </w:rPr>
              <w:t>DLT</w:t>
            </w:r>
            <w:r w:rsidR="005A7D98" w:rsidRPr="00A52844">
              <w:rPr>
                <w:rFonts w:cs="Cambria"/>
                <w:sz w:val="20"/>
                <w:szCs w:val="20"/>
              </w:rPr>
              <w:t xml:space="preserve">: </w:t>
            </w:r>
            <w:r w:rsidR="00CC3D9A" w:rsidRPr="00A52844">
              <w:rPr>
                <w:rFonts w:cs="Cambria"/>
                <w:sz w:val="20"/>
                <w:szCs w:val="20"/>
              </w:rPr>
              <w:t>5</w:t>
            </w:r>
            <w:r w:rsidR="00234259" w:rsidRPr="00A52844">
              <w:rPr>
                <w:rFonts w:cs="Cambria"/>
                <w:sz w:val="20"/>
                <w:szCs w:val="20"/>
              </w:rPr>
              <w:t xml:space="preserve"> - fully relevant </w:t>
            </w:r>
          </w:p>
          <w:p w14:paraId="4ED8D667" w14:textId="0547E112" w:rsidR="003F1749" w:rsidRPr="00A52844" w:rsidRDefault="003F1749" w:rsidP="00531247">
            <w:pPr>
              <w:pStyle w:val="ListParagraph"/>
              <w:numPr>
                <w:ilvl w:val="0"/>
                <w:numId w:val="26"/>
              </w:numPr>
              <w:spacing w:after="120"/>
              <w:ind w:left="184" w:hanging="142"/>
              <w:rPr>
                <w:sz w:val="20"/>
                <w:szCs w:val="20"/>
              </w:rPr>
            </w:pPr>
            <w:r w:rsidRPr="00A52844">
              <w:rPr>
                <w:rFonts w:cs="Cambria"/>
                <w:sz w:val="20"/>
                <w:szCs w:val="20"/>
              </w:rPr>
              <w:t>Cloud</w:t>
            </w:r>
            <w:r w:rsidR="00195492" w:rsidRPr="00A52844">
              <w:rPr>
                <w:rFonts w:cs="Cambria"/>
                <w:sz w:val="20"/>
                <w:szCs w:val="20"/>
              </w:rPr>
              <w:t>:</w:t>
            </w:r>
            <w:r w:rsidR="005A7D98" w:rsidRPr="00A52844">
              <w:rPr>
                <w:rFonts w:cs="Cambria"/>
                <w:sz w:val="20"/>
                <w:szCs w:val="20"/>
              </w:rPr>
              <w:t xml:space="preserve"> 4</w:t>
            </w:r>
            <w:r w:rsidR="00234259" w:rsidRPr="00A52844">
              <w:rPr>
                <w:rFonts w:cs="Cambria"/>
                <w:sz w:val="20"/>
                <w:szCs w:val="20"/>
              </w:rPr>
              <w:t xml:space="preserve"> – rather relevant</w:t>
            </w:r>
          </w:p>
          <w:p w14:paraId="75CED79F" w14:textId="7ED55025" w:rsidR="003F1749" w:rsidRPr="00A52844" w:rsidRDefault="003F1749" w:rsidP="00531247">
            <w:pPr>
              <w:pStyle w:val="ListParagraph"/>
              <w:numPr>
                <w:ilvl w:val="0"/>
                <w:numId w:val="26"/>
              </w:numPr>
              <w:spacing w:after="120"/>
              <w:ind w:left="184" w:hanging="142"/>
              <w:rPr>
                <w:sz w:val="20"/>
                <w:szCs w:val="20"/>
              </w:rPr>
            </w:pPr>
            <w:r w:rsidRPr="00A52844">
              <w:rPr>
                <w:rFonts w:cs="Cambria"/>
                <w:sz w:val="20"/>
                <w:szCs w:val="20"/>
              </w:rPr>
              <w:t>AI/ML</w:t>
            </w:r>
            <w:r w:rsidR="00195492" w:rsidRPr="00A52844">
              <w:rPr>
                <w:rFonts w:cs="Cambria"/>
                <w:sz w:val="20"/>
                <w:szCs w:val="20"/>
              </w:rPr>
              <w:t>:</w:t>
            </w:r>
            <w:r w:rsidR="005A7D98" w:rsidRPr="00A52844">
              <w:rPr>
                <w:rFonts w:cs="Cambria"/>
                <w:sz w:val="20"/>
                <w:szCs w:val="20"/>
              </w:rPr>
              <w:t xml:space="preserve"> </w:t>
            </w:r>
            <w:r w:rsidR="00D8641B">
              <w:rPr>
                <w:rFonts w:cs="Cambria"/>
                <w:sz w:val="20"/>
                <w:szCs w:val="20"/>
              </w:rPr>
              <w:t>5</w:t>
            </w:r>
            <w:r w:rsidR="00234259" w:rsidRPr="00A52844">
              <w:rPr>
                <w:rFonts w:cs="Cambria"/>
                <w:sz w:val="20"/>
                <w:szCs w:val="20"/>
              </w:rPr>
              <w:t xml:space="preserve"> – </w:t>
            </w:r>
            <w:r w:rsidR="00D8641B" w:rsidRPr="00A52844">
              <w:rPr>
                <w:rFonts w:cs="Cambria"/>
                <w:sz w:val="20"/>
                <w:szCs w:val="20"/>
              </w:rPr>
              <w:t>fully relevant</w:t>
            </w:r>
          </w:p>
          <w:p w14:paraId="06BE0EC4" w14:textId="13875C6F" w:rsidR="003F1749" w:rsidRPr="00A52844" w:rsidRDefault="003F1749" w:rsidP="00531247">
            <w:pPr>
              <w:pStyle w:val="ListParagraph"/>
              <w:numPr>
                <w:ilvl w:val="0"/>
                <w:numId w:val="26"/>
              </w:numPr>
              <w:spacing w:after="120"/>
              <w:ind w:left="184" w:hanging="142"/>
              <w:rPr>
                <w:sz w:val="20"/>
                <w:szCs w:val="20"/>
              </w:rPr>
            </w:pPr>
            <w:r w:rsidRPr="00A52844">
              <w:rPr>
                <w:sz w:val="20"/>
                <w:szCs w:val="20"/>
              </w:rPr>
              <w:t>IoT</w:t>
            </w:r>
            <w:r w:rsidR="005A7D98" w:rsidRPr="00A52844">
              <w:rPr>
                <w:sz w:val="20"/>
                <w:szCs w:val="20"/>
              </w:rPr>
              <w:t xml:space="preserve">: </w:t>
            </w:r>
            <w:r w:rsidR="009C6F39" w:rsidRPr="00A52844">
              <w:rPr>
                <w:sz w:val="20"/>
                <w:szCs w:val="20"/>
              </w:rPr>
              <w:t>3</w:t>
            </w:r>
            <w:r w:rsidR="00234259" w:rsidRPr="00A52844">
              <w:rPr>
                <w:sz w:val="20"/>
                <w:szCs w:val="20"/>
              </w:rPr>
              <w:t xml:space="preserve"> – neutral</w:t>
            </w:r>
          </w:p>
          <w:p w14:paraId="0853C54F" w14:textId="4AF1C998" w:rsidR="003F1749" w:rsidRPr="00A52844" w:rsidRDefault="003F1749" w:rsidP="00531247">
            <w:pPr>
              <w:pStyle w:val="ListParagraph"/>
              <w:numPr>
                <w:ilvl w:val="0"/>
                <w:numId w:val="26"/>
              </w:numPr>
              <w:spacing w:after="120"/>
              <w:ind w:left="184" w:hanging="142"/>
              <w:rPr>
                <w:sz w:val="20"/>
                <w:szCs w:val="20"/>
              </w:rPr>
            </w:pPr>
            <w:r w:rsidRPr="00A52844">
              <w:rPr>
                <w:sz w:val="20"/>
                <w:szCs w:val="20"/>
              </w:rPr>
              <w:t>Biometrics</w:t>
            </w:r>
            <w:r w:rsidR="005A7D98" w:rsidRPr="00A52844">
              <w:rPr>
                <w:sz w:val="20"/>
                <w:szCs w:val="20"/>
              </w:rPr>
              <w:t xml:space="preserve">: </w:t>
            </w:r>
            <w:r w:rsidR="00234259" w:rsidRPr="00AF6407">
              <w:rPr>
                <w:sz w:val="20"/>
                <w:szCs w:val="20"/>
              </w:rPr>
              <w:t>N/A</w:t>
            </w:r>
          </w:p>
          <w:p w14:paraId="733EB84F" w14:textId="38CF99B2" w:rsidR="003F1749" w:rsidRPr="00A52844" w:rsidRDefault="003F1749" w:rsidP="00531247">
            <w:pPr>
              <w:pStyle w:val="ListParagraph"/>
              <w:numPr>
                <w:ilvl w:val="0"/>
                <w:numId w:val="26"/>
              </w:numPr>
              <w:spacing w:after="120"/>
              <w:ind w:left="184" w:hanging="142"/>
              <w:rPr>
                <w:sz w:val="20"/>
                <w:szCs w:val="20"/>
              </w:rPr>
            </w:pPr>
            <w:r w:rsidRPr="00A52844">
              <w:rPr>
                <w:sz w:val="20"/>
                <w:szCs w:val="20"/>
              </w:rPr>
              <w:t>Quantum Computing</w:t>
            </w:r>
            <w:r w:rsidR="005A7D98" w:rsidRPr="00A52844">
              <w:rPr>
                <w:sz w:val="20"/>
                <w:szCs w:val="20"/>
              </w:rPr>
              <w:t xml:space="preserve">: </w:t>
            </w:r>
            <w:r w:rsidR="00234259" w:rsidRPr="00A52844">
              <w:rPr>
                <w:sz w:val="20"/>
                <w:szCs w:val="20"/>
              </w:rPr>
              <w:t>3 – neutral</w:t>
            </w:r>
            <w:r w:rsidR="00234259" w:rsidRPr="00A52844" w:rsidDel="00CC3D9A">
              <w:rPr>
                <w:sz w:val="20"/>
                <w:szCs w:val="20"/>
              </w:rPr>
              <w:t xml:space="preserve"> </w:t>
            </w:r>
          </w:p>
          <w:p w14:paraId="4421FBAC" w14:textId="7F7132A0" w:rsidR="003F1749" w:rsidRPr="00A52844" w:rsidRDefault="003F1749" w:rsidP="00531247">
            <w:pPr>
              <w:pStyle w:val="ListParagraph"/>
              <w:numPr>
                <w:ilvl w:val="0"/>
                <w:numId w:val="26"/>
              </w:numPr>
              <w:spacing w:after="120"/>
              <w:ind w:left="184" w:hanging="142"/>
              <w:rPr>
                <w:sz w:val="20"/>
                <w:szCs w:val="20"/>
              </w:rPr>
            </w:pPr>
            <w:r w:rsidRPr="00A52844">
              <w:rPr>
                <w:sz w:val="20"/>
                <w:szCs w:val="20"/>
              </w:rPr>
              <w:t>Other</w:t>
            </w:r>
            <w:r w:rsidR="00DC1F3E">
              <w:rPr>
                <w:sz w:val="20"/>
                <w:szCs w:val="20"/>
              </w:rPr>
              <w:t xml:space="preserve">: </w:t>
            </w:r>
            <w:r w:rsidR="00DC1F3E" w:rsidRPr="00A52844">
              <w:rPr>
                <w:rFonts w:cs="Cambria"/>
                <w:sz w:val="20"/>
                <w:szCs w:val="20"/>
              </w:rPr>
              <w:t>5 - fully relevant</w:t>
            </w:r>
          </w:p>
        </w:tc>
      </w:tr>
      <w:tr w:rsidR="003F1749" w14:paraId="5012C353" w14:textId="77777777" w:rsidTr="00AF6407">
        <w:trPr>
          <w:trHeight w:val="458"/>
        </w:trPr>
        <w:tc>
          <w:tcPr>
            <w:tcW w:w="1271" w:type="dxa"/>
            <w:vMerge/>
          </w:tcPr>
          <w:p w14:paraId="649C8C24" w14:textId="77777777" w:rsidR="003F1749" w:rsidRDefault="003F1749" w:rsidP="0053138D">
            <w:pPr>
              <w:spacing w:after="120"/>
              <w:rPr>
                <w:sz w:val="20"/>
                <w:szCs w:val="20"/>
              </w:rPr>
            </w:pPr>
          </w:p>
        </w:tc>
        <w:tc>
          <w:tcPr>
            <w:tcW w:w="2126" w:type="dxa"/>
          </w:tcPr>
          <w:p w14:paraId="64B91D03" w14:textId="3385393E" w:rsidR="003F1749" w:rsidRPr="00844BDC" w:rsidRDefault="003F1749" w:rsidP="00844BDC">
            <w:pPr>
              <w:rPr>
                <w:rFonts w:eastAsia="Times New Roman"/>
                <w:sz w:val="20"/>
                <w:szCs w:val="20"/>
                <w:lang w:eastAsia="en-GB"/>
              </w:rPr>
            </w:pPr>
            <w:r w:rsidRPr="00844BDC">
              <w:rPr>
                <w:rFonts w:eastAsia="Times New Roman"/>
                <w:sz w:val="20"/>
                <w:szCs w:val="20"/>
                <w:lang w:eastAsia="en-GB"/>
              </w:rPr>
              <w:t xml:space="preserve">AFME to </w:t>
            </w:r>
            <w:r w:rsidR="004C386B" w:rsidRPr="00AF6407">
              <w:rPr>
                <w:rFonts w:eastAsia="Times New Roman"/>
                <w:sz w:val="20"/>
                <w:szCs w:val="20"/>
                <w:u w:val="single"/>
                <w:lang w:eastAsia="en-GB"/>
              </w:rPr>
              <w:t>not</w:t>
            </w:r>
            <w:r w:rsidR="004C386B">
              <w:rPr>
                <w:rFonts w:eastAsia="Times New Roman"/>
                <w:sz w:val="20"/>
                <w:szCs w:val="20"/>
                <w:lang w:eastAsia="en-GB"/>
              </w:rPr>
              <w:t xml:space="preserve"> </w:t>
            </w:r>
            <w:r w:rsidRPr="00844BDC">
              <w:rPr>
                <w:rFonts w:eastAsia="Times New Roman"/>
                <w:sz w:val="20"/>
                <w:szCs w:val="20"/>
                <w:lang w:eastAsia="en-GB"/>
              </w:rPr>
              <w:t>respond</w:t>
            </w:r>
          </w:p>
        </w:tc>
        <w:tc>
          <w:tcPr>
            <w:tcW w:w="7060" w:type="dxa"/>
            <w:shd w:val="clear" w:color="auto" w:fill="auto"/>
          </w:tcPr>
          <w:p w14:paraId="2C9AF76C" w14:textId="0F481477" w:rsidR="004C386B" w:rsidRPr="00AF6407" w:rsidRDefault="004C386B" w:rsidP="00AF6407">
            <w:pPr>
              <w:spacing w:after="120"/>
              <w:rPr>
                <w:rFonts w:cs="Cambria"/>
                <w:sz w:val="20"/>
                <w:szCs w:val="20"/>
              </w:rPr>
            </w:pPr>
            <w:r>
              <w:rPr>
                <w:rFonts w:cs="Cambria"/>
                <w:sz w:val="20"/>
                <w:szCs w:val="20"/>
              </w:rPr>
              <w:t>N/A</w:t>
            </w:r>
          </w:p>
        </w:tc>
      </w:tr>
      <w:tr w:rsidR="00147DD7" w14:paraId="6AA15E30" w14:textId="77777777" w:rsidTr="00AF6407">
        <w:trPr>
          <w:trHeight w:val="552"/>
        </w:trPr>
        <w:tc>
          <w:tcPr>
            <w:tcW w:w="1271" w:type="dxa"/>
          </w:tcPr>
          <w:p w14:paraId="0FDE1DCF" w14:textId="0B1B2790" w:rsidR="00147DD7" w:rsidRDefault="00531247" w:rsidP="0053138D">
            <w:pPr>
              <w:spacing w:after="120"/>
              <w:rPr>
                <w:sz w:val="20"/>
                <w:szCs w:val="20"/>
              </w:rPr>
            </w:pPr>
            <w:r>
              <w:rPr>
                <w:sz w:val="20"/>
                <w:szCs w:val="20"/>
              </w:rPr>
              <w:t>6</w:t>
            </w:r>
            <w:r w:rsidR="00147DD7">
              <w:rPr>
                <w:sz w:val="20"/>
                <w:szCs w:val="20"/>
              </w:rPr>
              <w:t>.</w:t>
            </w:r>
            <w:r>
              <w:rPr>
                <w:sz w:val="20"/>
                <w:szCs w:val="20"/>
              </w:rPr>
              <w:t>1</w:t>
            </w:r>
          </w:p>
        </w:tc>
        <w:tc>
          <w:tcPr>
            <w:tcW w:w="2126" w:type="dxa"/>
          </w:tcPr>
          <w:p w14:paraId="0A62E451" w14:textId="328D642D" w:rsidR="00147DD7" w:rsidRPr="00844BDC" w:rsidRDefault="003116F0" w:rsidP="00844BDC">
            <w:pPr>
              <w:rPr>
                <w:rFonts w:eastAsia="Times New Roman"/>
                <w:b/>
                <w:sz w:val="20"/>
                <w:szCs w:val="20"/>
                <w:lang w:eastAsia="en-GB"/>
              </w:rPr>
            </w:pPr>
            <w:r w:rsidRPr="00844BDC">
              <w:rPr>
                <w:rFonts w:eastAsia="Times New Roman"/>
                <w:sz w:val="20"/>
                <w:szCs w:val="20"/>
                <w:lang w:eastAsia="en-GB"/>
              </w:rPr>
              <w:t>AFME to respond</w:t>
            </w:r>
          </w:p>
        </w:tc>
        <w:tc>
          <w:tcPr>
            <w:tcW w:w="7060" w:type="dxa"/>
            <w:shd w:val="clear" w:color="auto" w:fill="auto"/>
          </w:tcPr>
          <w:p w14:paraId="476F90F4" w14:textId="75808EA3" w:rsidR="002114D4" w:rsidRPr="002114D4" w:rsidRDefault="00D43F4D" w:rsidP="000B6B93">
            <w:pPr>
              <w:pStyle w:val="ListParagraph"/>
              <w:numPr>
                <w:ilvl w:val="0"/>
                <w:numId w:val="26"/>
              </w:numPr>
              <w:spacing w:after="120"/>
              <w:ind w:left="184" w:hanging="142"/>
              <w:rPr>
                <w:sz w:val="20"/>
                <w:szCs w:val="20"/>
              </w:rPr>
            </w:pPr>
            <w:r w:rsidRPr="000B6B93">
              <w:rPr>
                <w:sz w:val="20"/>
                <w:szCs w:val="20"/>
              </w:rPr>
              <w:t>A</w:t>
            </w:r>
            <w:r w:rsidR="004C386B" w:rsidRPr="006576AB">
              <w:rPr>
                <w:sz w:val="20"/>
                <w:szCs w:val="20"/>
              </w:rPr>
              <w:t xml:space="preserve">FME encourages the European Commission consider </w:t>
            </w:r>
            <w:r w:rsidR="00A92BB2" w:rsidRPr="006576AB">
              <w:rPr>
                <w:sz w:val="20"/>
                <w:szCs w:val="20"/>
              </w:rPr>
              <w:t xml:space="preserve">implementing more </w:t>
            </w:r>
            <w:r w:rsidR="004C386B" w:rsidRPr="002114D4">
              <w:rPr>
                <w:sz w:val="20"/>
                <w:szCs w:val="20"/>
              </w:rPr>
              <w:t xml:space="preserve">regular </w:t>
            </w:r>
            <w:r w:rsidR="00A92BB2" w:rsidRPr="002114D4">
              <w:rPr>
                <w:sz w:val="20"/>
                <w:szCs w:val="20"/>
              </w:rPr>
              <w:t xml:space="preserve">policy </w:t>
            </w:r>
            <w:r w:rsidR="004C386B" w:rsidRPr="002114D4">
              <w:rPr>
                <w:sz w:val="20"/>
                <w:szCs w:val="20"/>
              </w:rPr>
              <w:t>review mechanism</w:t>
            </w:r>
            <w:r w:rsidR="00A92BB2" w:rsidRPr="002114D4">
              <w:rPr>
                <w:sz w:val="20"/>
                <w:szCs w:val="20"/>
              </w:rPr>
              <w:t>s, to ensure polic</w:t>
            </w:r>
            <w:r w:rsidR="00E72E8C" w:rsidRPr="002114D4">
              <w:rPr>
                <w:sz w:val="20"/>
                <w:szCs w:val="20"/>
              </w:rPr>
              <w:t>ies</w:t>
            </w:r>
            <w:r w:rsidR="00A92BB2" w:rsidRPr="002114D4">
              <w:rPr>
                <w:sz w:val="20"/>
                <w:szCs w:val="20"/>
              </w:rPr>
              <w:t xml:space="preserve"> are fit for purpose and achieve the goals set out initially. For instance, </w:t>
            </w:r>
            <w:r w:rsidR="00D36026" w:rsidRPr="002114D4">
              <w:rPr>
                <w:sz w:val="20"/>
                <w:szCs w:val="20"/>
              </w:rPr>
              <w:t xml:space="preserve">more regular review processes </w:t>
            </w:r>
            <w:r w:rsidR="00A92BB2" w:rsidRPr="002114D4">
              <w:rPr>
                <w:sz w:val="20"/>
                <w:szCs w:val="20"/>
              </w:rPr>
              <w:t xml:space="preserve">could be supported </w:t>
            </w:r>
            <w:r w:rsidR="00D36026" w:rsidRPr="002114D4">
              <w:rPr>
                <w:sz w:val="20"/>
                <w:szCs w:val="20"/>
              </w:rPr>
              <w:t xml:space="preserve">by </w:t>
            </w:r>
            <w:r w:rsidR="00A92BB2" w:rsidRPr="002114D4">
              <w:rPr>
                <w:sz w:val="20"/>
                <w:szCs w:val="20"/>
              </w:rPr>
              <w:t>Innovation hubs/</w:t>
            </w:r>
            <w:r w:rsidR="00DC1F3E">
              <w:rPr>
                <w:sz w:val="20"/>
                <w:szCs w:val="20"/>
              </w:rPr>
              <w:t>Regulatory s</w:t>
            </w:r>
            <w:r w:rsidR="00A92BB2" w:rsidRPr="002114D4">
              <w:rPr>
                <w:sz w:val="20"/>
                <w:szCs w:val="20"/>
              </w:rPr>
              <w:t xml:space="preserve">andboxes or even an </w:t>
            </w:r>
            <w:r w:rsidR="00A92BB2" w:rsidRPr="002114D4">
              <w:rPr>
                <w:sz w:val="20"/>
                <w:szCs w:val="20"/>
              </w:rPr>
              <w:lastRenderedPageBreak/>
              <w:t xml:space="preserve">independent </w:t>
            </w:r>
            <w:r w:rsidR="00D36026" w:rsidRPr="002114D4">
              <w:rPr>
                <w:sz w:val="20"/>
                <w:szCs w:val="20"/>
              </w:rPr>
              <w:t>‘</w:t>
            </w:r>
            <w:r w:rsidR="00A92BB2" w:rsidRPr="002114D4">
              <w:rPr>
                <w:sz w:val="20"/>
                <w:szCs w:val="20"/>
              </w:rPr>
              <w:t>Technology Committee</w:t>
            </w:r>
            <w:r w:rsidR="00D36026" w:rsidRPr="002114D4">
              <w:rPr>
                <w:sz w:val="20"/>
                <w:szCs w:val="20"/>
              </w:rPr>
              <w:t>’</w:t>
            </w:r>
            <w:r w:rsidR="00A92BB2" w:rsidRPr="002114D4">
              <w:rPr>
                <w:sz w:val="20"/>
                <w:szCs w:val="20"/>
              </w:rPr>
              <w:t>, provid</w:t>
            </w:r>
            <w:r w:rsidR="00D36026" w:rsidRPr="002114D4">
              <w:rPr>
                <w:sz w:val="20"/>
                <w:szCs w:val="20"/>
              </w:rPr>
              <w:t>ing</w:t>
            </w:r>
            <w:r w:rsidR="00A92BB2" w:rsidRPr="002114D4">
              <w:rPr>
                <w:sz w:val="20"/>
                <w:szCs w:val="20"/>
              </w:rPr>
              <w:t xml:space="preserve"> recommendations to the European Commission o</w:t>
            </w:r>
            <w:r w:rsidR="00D36026" w:rsidRPr="002114D4">
              <w:rPr>
                <w:sz w:val="20"/>
                <w:szCs w:val="20"/>
              </w:rPr>
              <w:t>r</w:t>
            </w:r>
            <w:r w:rsidR="00A92BB2" w:rsidRPr="002114D4">
              <w:rPr>
                <w:sz w:val="20"/>
                <w:szCs w:val="20"/>
              </w:rPr>
              <w:t xml:space="preserve"> </w:t>
            </w:r>
            <w:r w:rsidR="00D36026" w:rsidRPr="002114D4">
              <w:rPr>
                <w:sz w:val="20"/>
                <w:szCs w:val="20"/>
              </w:rPr>
              <w:t xml:space="preserve">if </w:t>
            </w:r>
            <w:r w:rsidR="00A92BB2" w:rsidRPr="002114D4">
              <w:rPr>
                <w:sz w:val="20"/>
                <w:szCs w:val="20"/>
              </w:rPr>
              <w:t>policies have contributed to foster a</w:t>
            </w:r>
            <w:r w:rsidR="00D36026" w:rsidRPr="002114D4">
              <w:rPr>
                <w:sz w:val="20"/>
                <w:szCs w:val="20"/>
              </w:rPr>
              <w:t xml:space="preserve"> accommodative regulatory framework for technology innovation</w:t>
            </w:r>
            <w:r w:rsidR="00A92BB2" w:rsidRPr="002114D4">
              <w:rPr>
                <w:sz w:val="20"/>
                <w:szCs w:val="20"/>
              </w:rPr>
              <w:t>.</w:t>
            </w:r>
          </w:p>
          <w:p w14:paraId="32A0DE92" w14:textId="60875B8E" w:rsidR="002114D4" w:rsidRDefault="002114D4" w:rsidP="002114D4">
            <w:pPr>
              <w:pStyle w:val="ListParagraph"/>
              <w:numPr>
                <w:ilvl w:val="0"/>
                <w:numId w:val="26"/>
              </w:numPr>
              <w:spacing w:after="120"/>
              <w:ind w:left="184" w:hanging="142"/>
              <w:rPr>
                <w:sz w:val="20"/>
                <w:szCs w:val="20"/>
              </w:rPr>
            </w:pPr>
            <w:r>
              <w:rPr>
                <w:sz w:val="20"/>
                <w:szCs w:val="20"/>
              </w:rPr>
              <w:t>See AFME’s response provided in Question 4.1.</w:t>
            </w:r>
          </w:p>
          <w:p w14:paraId="04C956C3" w14:textId="5A52B970" w:rsidR="002114D4" w:rsidRDefault="002114D4" w:rsidP="002114D4">
            <w:pPr>
              <w:pStyle w:val="ListParagraph"/>
              <w:numPr>
                <w:ilvl w:val="0"/>
                <w:numId w:val="26"/>
              </w:numPr>
              <w:spacing w:after="120"/>
              <w:ind w:left="184" w:hanging="142"/>
              <w:rPr>
                <w:sz w:val="20"/>
                <w:szCs w:val="20"/>
              </w:rPr>
            </w:pPr>
            <w:r w:rsidRPr="00735388">
              <w:rPr>
                <w:sz w:val="20"/>
                <w:szCs w:val="20"/>
              </w:rPr>
              <w:t xml:space="preserve">To support the response of this CP, we have included in Annex the Executive Summary of recent consultation responses submitted by AFME. </w:t>
            </w:r>
          </w:p>
          <w:p w14:paraId="232E3791" w14:textId="77777777" w:rsidR="002114D4" w:rsidRDefault="002114D4" w:rsidP="002114D4">
            <w:pPr>
              <w:pStyle w:val="ListParagraph"/>
              <w:numPr>
                <w:ilvl w:val="0"/>
                <w:numId w:val="26"/>
              </w:numPr>
              <w:spacing w:after="120"/>
              <w:ind w:left="184" w:hanging="142"/>
              <w:rPr>
                <w:sz w:val="20"/>
                <w:szCs w:val="20"/>
              </w:rPr>
            </w:pPr>
            <w:r w:rsidRPr="00735388">
              <w:rPr>
                <w:sz w:val="20"/>
                <w:szCs w:val="20"/>
              </w:rPr>
              <w:t>In addition, the application of some EU regulation not discussed in this response will also warrant clarification in some instances from a DLT perspective. These include:</w:t>
            </w:r>
          </w:p>
          <w:p w14:paraId="4775756A" w14:textId="4936538D" w:rsidR="002114D4" w:rsidRDefault="002114D4" w:rsidP="00735388">
            <w:pPr>
              <w:pStyle w:val="ListParagraph"/>
              <w:numPr>
                <w:ilvl w:val="1"/>
                <w:numId w:val="26"/>
              </w:numPr>
              <w:spacing w:after="120"/>
              <w:ind w:left="606" w:hanging="284"/>
              <w:rPr>
                <w:sz w:val="20"/>
                <w:szCs w:val="20"/>
              </w:rPr>
            </w:pPr>
            <w:r w:rsidRPr="00735388">
              <w:rPr>
                <w:sz w:val="20"/>
                <w:szCs w:val="20"/>
              </w:rPr>
              <w:t>GDPR: As noted by the European Parliament’s study on Blockchain and GDPR</w:t>
            </w:r>
            <w:r w:rsidR="00DC1F3E">
              <w:rPr>
                <w:rStyle w:val="FootnoteReference"/>
                <w:sz w:val="20"/>
                <w:szCs w:val="20"/>
              </w:rPr>
              <w:footnoteReference w:id="20"/>
            </w:r>
            <w:r w:rsidRPr="00735388">
              <w:rPr>
                <w:sz w:val="20"/>
                <w:szCs w:val="20"/>
              </w:rPr>
              <w:t>, GDPR is based on an underlying assumption that in relation to each personal data point there is at least one natural or legal person; assumes that  can be modified or erased where necessary; and includes requirements of data minimisation and purpose limitation. These requirements can be problematic in a blockchain environment.</w:t>
            </w:r>
          </w:p>
          <w:p w14:paraId="68C668F7" w14:textId="77777777" w:rsidR="002114D4" w:rsidRDefault="002114D4" w:rsidP="002114D4">
            <w:pPr>
              <w:pStyle w:val="ListParagraph"/>
              <w:numPr>
                <w:ilvl w:val="1"/>
                <w:numId w:val="26"/>
              </w:numPr>
              <w:spacing w:after="120"/>
              <w:ind w:left="606" w:hanging="284"/>
              <w:rPr>
                <w:sz w:val="20"/>
                <w:szCs w:val="20"/>
              </w:rPr>
            </w:pPr>
            <w:r w:rsidRPr="00735388">
              <w:rPr>
                <w:sz w:val="20"/>
                <w:szCs w:val="20"/>
              </w:rPr>
              <w:t xml:space="preserve">Banking Secrecy Laws: To the extent that DLT is leveraged for the purposes of information provision, and also more generally within Financial Services, some EU jurisdictions have national confidentiality and banking secrecy legislation that may prevent consistent cross border deployment of DLT technologies.  </w:t>
            </w:r>
          </w:p>
          <w:p w14:paraId="0EDDB625" w14:textId="671A347C" w:rsidR="002114D4" w:rsidRPr="00735388" w:rsidRDefault="002114D4" w:rsidP="00735388">
            <w:pPr>
              <w:pStyle w:val="ListParagraph"/>
              <w:numPr>
                <w:ilvl w:val="1"/>
                <w:numId w:val="26"/>
              </w:numPr>
              <w:spacing w:after="120"/>
              <w:ind w:left="606" w:hanging="284"/>
              <w:rPr>
                <w:sz w:val="20"/>
                <w:szCs w:val="20"/>
              </w:rPr>
            </w:pPr>
            <w:r w:rsidRPr="002114D4">
              <w:rPr>
                <w:sz w:val="20"/>
                <w:szCs w:val="20"/>
              </w:rPr>
              <w:t>The application of other regimes such as, Financial Collateral Directive, Shareholder Rights Directive, and the European Market Infrastructure Regulation (EMIR) will also need to be considered.</w:t>
            </w:r>
          </w:p>
        </w:tc>
      </w:tr>
      <w:tr w:rsidR="003F1749" w14:paraId="3682DFD8" w14:textId="77777777" w:rsidTr="0053138D">
        <w:trPr>
          <w:trHeight w:val="532"/>
        </w:trPr>
        <w:tc>
          <w:tcPr>
            <w:tcW w:w="1271" w:type="dxa"/>
            <w:vMerge w:val="restart"/>
          </w:tcPr>
          <w:p w14:paraId="4BA752D8" w14:textId="654015B2" w:rsidR="003F1749" w:rsidRDefault="003F1749" w:rsidP="00EE3DB5">
            <w:pPr>
              <w:spacing w:after="120"/>
              <w:rPr>
                <w:sz w:val="20"/>
                <w:szCs w:val="20"/>
              </w:rPr>
            </w:pPr>
            <w:r>
              <w:rPr>
                <w:sz w:val="20"/>
                <w:szCs w:val="20"/>
              </w:rPr>
              <w:lastRenderedPageBreak/>
              <w:t>7</w:t>
            </w:r>
          </w:p>
        </w:tc>
        <w:tc>
          <w:tcPr>
            <w:tcW w:w="2126" w:type="dxa"/>
          </w:tcPr>
          <w:p w14:paraId="4DADF7A3" w14:textId="0D56B934" w:rsidR="003F1749" w:rsidRPr="00844BDC" w:rsidRDefault="003F1749" w:rsidP="00844BDC">
            <w:pPr>
              <w:rPr>
                <w:rFonts w:eastAsia="Times New Roman"/>
                <w:b/>
                <w:sz w:val="20"/>
                <w:szCs w:val="20"/>
                <w:lang w:eastAsia="en-GB"/>
              </w:rPr>
            </w:pPr>
            <w:r w:rsidRPr="00844BDC">
              <w:rPr>
                <w:rFonts w:eastAsia="Times New Roman"/>
                <w:sz w:val="20"/>
                <w:szCs w:val="20"/>
                <w:lang w:eastAsia="en-GB"/>
              </w:rPr>
              <w:t>AFME to respond</w:t>
            </w:r>
          </w:p>
        </w:tc>
        <w:tc>
          <w:tcPr>
            <w:tcW w:w="7060" w:type="dxa"/>
          </w:tcPr>
          <w:p w14:paraId="05C70149" w14:textId="249FD946" w:rsidR="003F1749" w:rsidRPr="00D36026" w:rsidRDefault="003F1749" w:rsidP="00657EDD">
            <w:pPr>
              <w:pStyle w:val="ListParagraph"/>
              <w:numPr>
                <w:ilvl w:val="0"/>
                <w:numId w:val="26"/>
              </w:numPr>
              <w:spacing w:after="120"/>
              <w:ind w:left="184" w:hanging="142"/>
              <w:rPr>
                <w:sz w:val="20"/>
                <w:szCs w:val="20"/>
              </w:rPr>
            </w:pPr>
            <w:r w:rsidRPr="00D36026">
              <w:rPr>
                <w:sz w:val="20"/>
                <w:szCs w:val="20"/>
              </w:rPr>
              <w:t>Setting up dedicated observatories to monitor technological and market trends (e.g. EU Blockchain Observatory &amp; Forum; Platform Observatory)</w:t>
            </w:r>
            <w:r w:rsidR="00C42455" w:rsidRPr="00D36026">
              <w:rPr>
                <w:sz w:val="20"/>
                <w:szCs w:val="20"/>
              </w:rPr>
              <w:t xml:space="preserve">: </w:t>
            </w:r>
            <w:r w:rsidR="00B75C16" w:rsidRPr="00D36026">
              <w:rPr>
                <w:sz w:val="20"/>
                <w:szCs w:val="20"/>
              </w:rPr>
              <w:t>5</w:t>
            </w:r>
            <w:r w:rsidR="00D36026">
              <w:rPr>
                <w:sz w:val="20"/>
                <w:szCs w:val="20"/>
              </w:rPr>
              <w:t xml:space="preserve"> - fully relevant</w:t>
            </w:r>
          </w:p>
          <w:p w14:paraId="66566E98" w14:textId="235F08FB" w:rsidR="003F1749" w:rsidRPr="00D36026" w:rsidRDefault="003F1749" w:rsidP="00657EDD">
            <w:pPr>
              <w:pStyle w:val="ListParagraph"/>
              <w:numPr>
                <w:ilvl w:val="0"/>
                <w:numId w:val="26"/>
              </w:numPr>
              <w:spacing w:after="120"/>
              <w:ind w:left="184" w:hanging="142"/>
              <w:rPr>
                <w:sz w:val="20"/>
                <w:szCs w:val="20"/>
              </w:rPr>
            </w:pPr>
            <w:r w:rsidRPr="00D36026">
              <w:rPr>
                <w:sz w:val="20"/>
                <w:szCs w:val="20"/>
              </w:rPr>
              <w:t>Funding experimentation on certain applications of new technologies in finance (</w:t>
            </w:r>
            <w:proofErr w:type="spellStart"/>
            <w:r w:rsidRPr="00D36026">
              <w:rPr>
                <w:sz w:val="20"/>
                <w:szCs w:val="20"/>
              </w:rPr>
              <w:t>e.g</w:t>
            </w:r>
            <w:proofErr w:type="spellEnd"/>
            <w:r w:rsidRPr="00D36026">
              <w:rPr>
                <w:sz w:val="20"/>
                <w:szCs w:val="20"/>
              </w:rPr>
              <w:t xml:space="preserve"> blockchain use cases)</w:t>
            </w:r>
            <w:r w:rsidR="00B75C16" w:rsidRPr="00D36026">
              <w:rPr>
                <w:sz w:val="20"/>
                <w:szCs w:val="20"/>
              </w:rPr>
              <w:t xml:space="preserve">: </w:t>
            </w:r>
            <w:r w:rsidR="00D36026" w:rsidRPr="008350B9">
              <w:rPr>
                <w:sz w:val="20"/>
                <w:szCs w:val="20"/>
              </w:rPr>
              <w:t>5</w:t>
            </w:r>
            <w:r w:rsidR="00D36026">
              <w:rPr>
                <w:sz w:val="20"/>
                <w:szCs w:val="20"/>
              </w:rPr>
              <w:t xml:space="preserve"> - fully relevant</w:t>
            </w:r>
          </w:p>
          <w:p w14:paraId="15E78394" w14:textId="0FE841A7" w:rsidR="003F1749" w:rsidRPr="00D36026" w:rsidRDefault="003F1749" w:rsidP="00657EDD">
            <w:pPr>
              <w:pStyle w:val="ListParagraph"/>
              <w:numPr>
                <w:ilvl w:val="0"/>
                <w:numId w:val="26"/>
              </w:numPr>
              <w:spacing w:after="120"/>
              <w:ind w:left="184" w:hanging="142"/>
              <w:rPr>
                <w:sz w:val="20"/>
                <w:szCs w:val="20"/>
              </w:rPr>
            </w:pPr>
            <w:r w:rsidRPr="00D36026">
              <w:rPr>
                <w:sz w:val="20"/>
                <w:szCs w:val="20"/>
              </w:rPr>
              <w:t>Promoting supervisory innovation hubs and sandboxes</w:t>
            </w:r>
            <w:r w:rsidR="00B75C16" w:rsidRPr="00D36026">
              <w:rPr>
                <w:sz w:val="20"/>
                <w:szCs w:val="20"/>
              </w:rPr>
              <w:t xml:space="preserve">: </w:t>
            </w:r>
            <w:r w:rsidR="00D36026" w:rsidRPr="008350B9">
              <w:rPr>
                <w:sz w:val="20"/>
                <w:szCs w:val="20"/>
              </w:rPr>
              <w:t>5</w:t>
            </w:r>
            <w:r w:rsidR="00D36026">
              <w:rPr>
                <w:sz w:val="20"/>
                <w:szCs w:val="20"/>
              </w:rPr>
              <w:t xml:space="preserve"> - fully relevant</w:t>
            </w:r>
          </w:p>
          <w:p w14:paraId="131A027F" w14:textId="3D0AF73C" w:rsidR="003F1749" w:rsidRPr="00D36026" w:rsidRDefault="003F1749" w:rsidP="00657EDD">
            <w:pPr>
              <w:pStyle w:val="ListParagraph"/>
              <w:numPr>
                <w:ilvl w:val="0"/>
                <w:numId w:val="26"/>
              </w:numPr>
              <w:spacing w:after="120"/>
              <w:ind w:left="184" w:hanging="142"/>
              <w:rPr>
                <w:sz w:val="20"/>
                <w:szCs w:val="20"/>
              </w:rPr>
            </w:pPr>
            <w:r w:rsidRPr="00D36026">
              <w:rPr>
                <w:sz w:val="20"/>
                <w:szCs w:val="20"/>
              </w:rPr>
              <w:t xml:space="preserve">Supporting industry codes of conduct on certain applications of new technologies in finance: </w:t>
            </w:r>
            <w:proofErr w:type="gramStart"/>
            <w:r w:rsidRPr="00D36026">
              <w:rPr>
                <w:sz w:val="20"/>
                <w:szCs w:val="20"/>
              </w:rPr>
              <w:t>as long as</w:t>
            </w:r>
            <w:proofErr w:type="gramEnd"/>
            <w:r w:rsidRPr="00D36026">
              <w:rPr>
                <w:sz w:val="20"/>
                <w:szCs w:val="20"/>
              </w:rPr>
              <w:t xml:space="preserve"> voluntary, based on international standards</w:t>
            </w:r>
            <w:r w:rsidR="00B75C16" w:rsidRPr="00D36026">
              <w:rPr>
                <w:sz w:val="20"/>
                <w:szCs w:val="20"/>
              </w:rPr>
              <w:t>: 4</w:t>
            </w:r>
            <w:r w:rsidR="00D36026">
              <w:rPr>
                <w:sz w:val="20"/>
                <w:szCs w:val="20"/>
              </w:rPr>
              <w:t xml:space="preserve"> – rather relevant</w:t>
            </w:r>
          </w:p>
          <w:p w14:paraId="3559574E" w14:textId="68BB83F3" w:rsidR="003F1749" w:rsidRPr="00D36026" w:rsidRDefault="003F1749" w:rsidP="00657EDD">
            <w:pPr>
              <w:pStyle w:val="ListParagraph"/>
              <w:numPr>
                <w:ilvl w:val="0"/>
                <w:numId w:val="26"/>
              </w:numPr>
              <w:spacing w:after="120"/>
              <w:ind w:left="184" w:hanging="142"/>
              <w:rPr>
                <w:sz w:val="20"/>
                <w:szCs w:val="20"/>
              </w:rPr>
            </w:pPr>
            <w:r w:rsidRPr="00D36026">
              <w:rPr>
                <w:sz w:val="20"/>
                <w:szCs w:val="20"/>
              </w:rPr>
              <w:t>Enhancing legal clarity through guidance at EU level for specific technologies and/or use case</w:t>
            </w:r>
            <w:r w:rsidR="00B75C16" w:rsidRPr="00D36026">
              <w:rPr>
                <w:sz w:val="20"/>
                <w:szCs w:val="20"/>
              </w:rPr>
              <w:t xml:space="preserve">: </w:t>
            </w:r>
            <w:r w:rsidR="00D36026" w:rsidRPr="008350B9">
              <w:rPr>
                <w:sz w:val="20"/>
                <w:szCs w:val="20"/>
              </w:rPr>
              <w:t>5</w:t>
            </w:r>
            <w:r w:rsidR="00D36026">
              <w:rPr>
                <w:sz w:val="20"/>
                <w:szCs w:val="20"/>
              </w:rPr>
              <w:t xml:space="preserve"> - fully relevant</w:t>
            </w:r>
          </w:p>
          <w:p w14:paraId="62E4AE0E" w14:textId="77777777" w:rsidR="003F1749" w:rsidRDefault="003F1749" w:rsidP="00657EDD">
            <w:pPr>
              <w:pStyle w:val="ListParagraph"/>
              <w:numPr>
                <w:ilvl w:val="0"/>
                <w:numId w:val="26"/>
              </w:numPr>
              <w:spacing w:after="120"/>
              <w:ind w:left="184" w:hanging="142"/>
              <w:rPr>
                <w:sz w:val="20"/>
                <w:szCs w:val="20"/>
              </w:rPr>
            </w:pPr>
            <w:r w:rsidRPr="00D36026">
              <w:rPr>
                <w:sz w:val="20"/>
                <w:szCs w:val="20"/>
              </w:rPr>
              <w:t>Creating bespoke EU regimes adapted to nascent markets, possibly on a temporary basis</w:t>
            </w:r>
            <w:r w:rsidR="00B75C16" w:rsidRPr="00D36026">
              <w:rPr>
                <w:sz w:val="20"/>
                <w:szCs w:val="20"/>
              </w:rPr>
              <w:t xml:space="preserve">: </w:t>
            </w:r>
            <w:r w:rsidR="00D36026" w:rsidRPr="008350B9">
              <w:rPr>
                <w:sz w:val="20"/>
                <w:szCs w:val="20"/>
              </w:rPr>
              <w:t>4</w:t>
            </w:r>
            <w:r w:rsidR="00D36026">
              <w:rPr>
                <w:sz w:val="20"/>
                <w:szCs w:val="20"/>
              </w:rPr>
              <w:t xml:space="preserve"> – rather relevant</w:t>
            </w:r>
          </w:p>
          <w:p w14:paraId="260204E7" w14:textId="53D714FB" w:rsidR="00DC1F3E" w:rsidRPr="00657EDD" w:rsidRDefault="00DC1F3E" w:rsidP="00657EDD">
            <w:pPr>
              <w:pStyle w:val="ListParagraph"/>
              <w:numPr>
                <w:ilvl w:val="0"/>
                <w:numId w:val="26"/>
              </w:numPr>
              <w:spacing w:after="120"/>
              <w:ind w:left="184" w:hanging="142"/>
              <w:rPr>
                <w:sz w:val="20"/>
                <w:szCs w:val="20"/>
              </w:rPr>
            </w:pPr>
            <w:r>
              <w:rPr>
                <w:sz w:val="20"/>
                <w:szCs w:val="20"/>
              </w:rPr>
              <w:t xml:space="preserve">Other: </w:t>
            </w:r>
            <w:r w:rsidRPr="00A52844">
              <w:rPr>
                <w:rFonts w:cs="Cambria"/>
                <w:sz w:val="20"/>
                <w:szCs w:val="20"/>
              </w:rPr>
              <w:t>5 - fully relevant</w:t>
            </w:r>
          </w:p>
        </w:tc>
      </w:tr>
      <w:tr w:rsidR="003F1749" w14:paraId="75D51FE5" w14:textId="77777777" w:rsidTr="0053138D">
        <w:trPr>
          <w:trHeight w:val="532"/>
        </w:trPr>
        <w:tc>
          <w:tcPr>
            <w:tcW w:w="1271" w:type="dxa"/>
            <w:vMerge/>
          </w:tcPr>
          <w:p w14:paraId="3C84AB0E" w14:textId="33E39F58" w:rsidR="003F1749" w:rsidRDefault="003F1749" w:rsidP="00531247">
            <w:pPr>
              <w:spacing w:after="120"/>
              <w:rPr>
                <w:sz w:val="20"/>
                <w:szCs w:val="20"/>
              </w:rPr>
            </w:pPr>
          </w:p>
        </w:tc>
        <w:tc>
          <w:tcPr>
            <w:tcW w:w="2126" w:type="dxa"/>
          </w:tcPr>
          <w:p w14:paraId="48A31D9D" w14:textId="5E215423" w:rsidR="003F1749" w:rsidRPr="00844BDC" w:rsidRDefault="003F1749" w:rsidP="00531247">
            <w:pPr>
              <w:rPr>
                <w:rFonts w:eastAsia="Times New Roman"/>
                <w:sz w:val="20"/>
                <w:szCs w:val="20"/>
                <w:lang w:eastAsia="en-GB"/>
              </w:rPr>
            </w:pPr>
            <w:r w:rsidRPr="00844BDC">
              <w:rPr>
                <w:rFonts w:eastAsia="Times New Roman"/>
                <w:sz w:val="20"/>
                <w:szCs w:val="20"/>
                <w:lang w:eastAsia="en-GB"/>
              </w:rPr>
              <w:t>AFME to respond</w:t>
            </w:r>
          </w:p>
        </w:tc>
        <w:tc>
          <w:tcPr>
            <w:tcW w:w="7060" w:type="dxa"/>
          </w:tcPr>
          <w:p w14:paraId="06542BF5" w14:textId="2A53DB91" w:rsidR="00256D07" w:rsidRDefault="00256D07" w:rsidP="00256D07">
            <w:pPr>
              <w:pStyle w:val="ListParagraph"/>
              <w:numPr>
                <w:ilvl w:val="0"/>
                <w:numId w:val="26"/>
              </w:numPr>
              <w:spacing w:after="120"/>
              <w:ind w:left="184" w:hanging="142"/>
              <w:rPr>
                <w:sz w:val="20"/>
                <w:szCs w:val="20"/>
              </w:rPr>
            </w:pPr>
            <w:r>
              <w:rPr>
                <w:sz w:val="20"/>
                <w:szCs w:val="20"/>
              </w:rPr>
              <w:t xml:space="preserve">In support of our </w:t>
            </w:r>
            <w:r w:rsidR="006C6F0E">
              <w:rPr>
                <w:sz w:val="20"/>
                <w:szCs w:val="20"/>
              </w:rPr>
              <w:t xml:space="preserve">response </w:t>
            </w:r>
            <w:r>
              <w:rPr>
                <w:sz w:val="20"/>
                <w:szCs w:val="20"/>
              </w:rPr>
              <w:t xml:space="preserve">provided above, AFME would like </w:t>
            </w:r>
            <w:r w:rsidR="006C6F0E">
              <w:rPr>
                <w:sz w:val="20"/>
                <w:szCs w:val="20"/>
              </w:rPr>
              <w:t>to provide</w:t>
            </w:r>
            <w:r>
              <w:rPr>
                <w:sz w:val="20"/>
                <w:szCs w:val="20"/>
              </w:rPr>
              <w:t xml:space="preserve"> </w:t>
            </w:r>
            <w:r w:rsidR="006C6F0E">
              <w:rPr>
                <w:sz w:val="20"/>
                <w:szCs w:val="20"/>
              </w:rPr>
              <w:t xml:space="preserve">the following </w:t>
            </w:r>
            <w:r>
              <w:rPr>
                <w:sz w:val="20"/>
                <w:szCs w:val="20"/>
              </w:rPr>
              <w:t>additional comments:</w:t>
            </w:r>
          </w:p>
          <w:p w14:paraId="6A8B52B4" w14:textId="5FED073D" w:rsidR="006C6F0E" w:rsidRDefault="00256D07" w:rsidP="006C6F0E">
            <w:pPr>
              <w:pStyle w:val="ListParagraph"/>
              <w:numPr>
                <w:ilvl w:val="1"/>
                <w:numId w:val="26"/>
              </w:numPr>
              <w:spacing w:after="120"/>
              <w:ind w:left="606" w:hanging="284"/>
              <w:rPr>
                <w:sz w:val="20"/>
                <w:szCs w:val="20"/>
              </w:rPr>
            </w:pPr>
            <w:r w:rsidRPr="00AF6407">
              <w:rPr>
                <w:sz w:val="20"/>
                <w:szCs w:val="20"/>
              </w:rPr>
              <w:t xml:space="preserve">Alongside global consistency of regulatory frameworks, AFME believes the testing of innovative technologies across multiple jurisdictions, should be accelerated in the EU to </w:t>
            </w:r>
            <w:r w:rsidRPr="00AF6407">
              <w:rPr>
                <w:rFonts w:eastAsia="Times New Roman"/>
                <w:sz w:val="20"/>
                <w:szCs w:val="20"/>
                <w:lang w:eastAsia="en-GB"/>
              </w:rPr>
              <w:t>ensure adequate and consistent levels of knowledge and understanding of innovation subject matter, globally</w:t>
            </w:r>
            <w:r w:rsidR="006C6F0E">
              <w:rPr>
                <w:rFonts w:eastAsia="Times New Roman"/>
                <w:sz w:val="20"/>
                <w:szCs w:val="20"/>
                <w:lang w:eastAsia="en-GB"/>
              </w:rPr>
              <w:t xml:space="preserve">. </w:t>
            </w:r>
            <w:r w:rsidR="006C6F0E" w:rsidRPr="00AF6407">
              <w:rPr>
                <w:sz w:val="20"/>
                <w:szCs w:val="20"/>
              </w:rPr>
              <w:t>Efforts should focus on facilitating knowledge sharing, education between regulators and a wider network of market participants, and joint work on policy and regulatory requirements applied to innovative technologies. AFME is supportive of global initiatives such as the BIS Innovation hub, the Global Financial Innovation Network (GFIN) or the International Association for Trusted Blockchain Applications (INATBA)</w:t>
            </w:r>
            <w:r w:rsidR="005D5F62">
              <w:rPr>
                <w:sz w:val="20"/>
                <w:szCs w:val="20"/>
              </w:rPr>
              <w:t xml:space="preserve">, and encourages the </w:t>
            </w:r>
            <w:r w:rsidR="005D5F62" w:rsidRPr="005D5F62">
              <w:rPr>
                <w:sz w:val="20"/>
                <w:szCs w:val="20"/>
              </w:rPr>
              <w:t>European Forum for Innovation Facilitators (EFIF)</w:t>
            </w:r>
            <w:r w:rsidR="005D5F62">
              <w:rPr>
                <w:sz w:val="20"/>
                <w:szCs w:val="20"/>
              </w:rPr>
              <w:t xml:space="preserve"> </w:t>
            </w:r>
            <w:r w:rsidR="00AA736F">
              <w:rPr>
                <w:sz w:val="20"/>
                <w:szCs w:val="20"/>
              </w:rPr>
              <w:t>to take part in relevant forums for the sharing of lessons learned related to innovative technologies</w:t>
            </w:r>
            <w:r w:rsidR="005D5F62">
              <w:rPr>
                <w:sz w:val="20"/>
                <w:szCs w:val="20"/>
              </w:rPr>
              <w:t>.</w:t>
            </w:r>
          </w:p>
          <w:p w14:paraId="1C0BFC63" w14:textId="4EB6D416" w:rsidR="006C6F0E" w:rsidRDefault="006C6F0E" w:rsidP="006C6F0E">
            <w:pPr>
              <w:pStyle w:val="ListParagraph"/>
              <w:numPr>
                <w:ilvl w:val="1"/>
                <w:numId w:val="26"/>
              </w:numPr>
              <w:spacing w:after="120"/>
              <w:ind w:left="606" w:hanging="284"/>
              <w:rPr>
                <w:sz w:val="20"/>
                <w:szCs w:val="20"/>
              </w:rPr>
            </w:pPr>
            <w:r>
              <w:rPr>
                <w:sz w:val="20"/>
                <w:szCs w:val="20"/>
              </w:rPr>
              <w:lastRenderedPageBreak/>
              <w:t xml:space="preserve">Regarding </w:t>
            </w:r>
            <w:r w:rsidR="00D36026" w:rsidRPr="00AF6407">
              <w:rPr>
                <w:sz w:val="20"/>
                <w:szCs w:val="20"/>
              </w:rPr>
              <w:t>industry codes of conduct on certain applications of new technologies in finance</w:t>
            </w:r>
            <w:r>
              <w:rPr>
                <w:sz w:val="20"/>
                <w:szCs w:val="20"/>
              </w:rPr>
              <w:t xml:space="preserve">, AFME believes these efforts could positively contribute to the uptake of innovative technologies, </w:t>
            </w:r>
            <w:proofErr w:type="gramStart"/>
            <w:r w:rsidR="00D36026" w:rsidRPr="00AF6407">
              <w:rPr>
                <w:sz w:val="20"/>
                <w:szCs w:val="20"/>
              </w:rPr>
              <w:t>as long as</w:t>
            </w:r>
            <w:proofErr w:type="gramEnd"/>
            <w:r w:rsidR="00D36026" w:rsidRPr="00AF6407">
              <w:rPr>
                <w:sz w:val="20"/>
                <w:szCs w:val="20"/>
              </w:rPr>
              <w:t xml:space="preserve"> </w:t>
            </w:r>
            <w:r>
              <w:rPr>
                <w:sz w:val="20"/>
                <w:szCs w:val="20"/>
              </w:rPr>
              <w:t xml:space="preserve">they are </w:t>
            </w:r>
            <w:r w:rsidR="00D36026" w:rsidRPr="00AF6407">
              <w:rPr>
                <w:sz w:val="20"/>
                <w:szCs w:val="20"/>
              </w:rPr>
              <w:t>voluntary</w:t>
            </w:r>
            <w:r>
              <w:rPr>
                <w:sz w:val="20"/>
                <w:szCs w:val="20"/>
              </w:rPr>
              <w:t xml:space="preserve"> and</w:t>
            </w:r>
            <w:r w:rsidR="00D36026" w:rsidRPr="00AF6407">
              <w:rPr>
                <w:sz w:val="20"/>
                <w:szCs w:val="20"/>
              </w:rPr>
              <w:t xml:space="preserve"> based on international standards</w:t>
            </w:r>
            <w:r>
              <w:rPr>
                <w:sz w:val="20"/>
                <w:szCs w:val="20"/>
              </w:rPr>
              <w:t>. Indeed, there is a risk codes of conducts become obsolete over-time, if they are not reviewed regularly, or only meet specific regional requirements, if they are not based on international standards or are not sufficiently flexible for firms to implement if mandatory or too prescriptive.</w:t>
            </w:r>
          </w:p>
          <w:p w14:paraId="09B61958" w14:textId="235A498D" w:rsidR="005C74CB" w:rsidRDefault="006C6F0E" w:rsidP="005C74CB">
            <w:pPr>
              <w:pStyle w:val="ListParagraph"/>
              <w:numPr>
                <w:ilvl w:val="1"/>
                <w:numId w:val="26"/>
              </w:numPr>
              <w:spacing w:after="120"/>
              <w:ind w:left="606" w:hanging="284"/>
              <w:rPr>
                <w:sz w:val="20"/>
                <w:szCs w:val="20"/>
              </w:rPr>
            </w:pPr>
            <w:r>
              <w:rPr>
                <w:sz w:val="20"/>
                <w:szCs w:val="20"/>
              </w:rPr>
              <w:t>Regarding c</w:t>
            </w:r>
            <w:r w:rsidR="00D36026" w:rsidRPr="00AF6407">
              <w:rPr>
                <w:sz w:val="20"/>
                <w:szCs w:val="20"/>
              </w:rPr>
              <w:t>reating bespoke EU regimes adapted to nascent markets, possibly on a temporary basis</w:t>
            </w:r>
            <w:r>
              <w:rPr>
                <w:sz w:val="20"/>
                <w:szCs w:val="20"/>
              </w:rPr>
              <w:t xml:space="preserve">, AFME believes these efforts could positively contribute to the uptake of innovative technologies, </w:t>
            </w:r>
            <w:r w:rsidRPr="008350B9">
              <w:rPr>
                <w:sz w:val="20"/>
                <w:szCs w:val="20"/>
              </w:rPr>
              <w:t xml:space="preserve">as long as </w:t>
            </w:r>
            <w:r>
              <w:rPr>
                <w:sz w:val="20"/>
                <w:szCs w:val="20"/>
              </w:rPr>
              <w:t>they are harmonised and</w:t>
            </w:r>
            <w:r w:rsidRPr="008350B9">
              <w:rPr>
                <w:sz w:val="20"/>
                <w:szCs w:val="20"/>
              </w:rPr>
              <w:t xml:space="preserve"> </w:t>
            </w:r>
            <w:r>
              <w:rPr>
                <w:sz w:val="20"/>
                <w:szCs w:val="20"/>
              </w:rPr>
              <w:t xml:space="preserve">developed consistently across the </w:t>
            </w:r>
            <w:proofErr w:type="spellStart"/>
            <w:r>
              <w:rPr>
                <w:sz w:val="20"/>
                <w:szCs w:val="20"/>
              </w:rPr>
              <w:t>EU.</w:t>
            </w:r>
            <w:r w:rsidR="00C30695">
              <w:rPr>
                <w:sz w:val="20"/>
                <w:szCs w:val="20"/>
              </w:rPr>
              <w:t>T</w:t>
            </w:r>
            <w:r>
              <w:rPr>
                <w:sz w:val="20"/>
                <w:szCs w:val="20"/>
              </w:rPr>
              <w:t>here</w:t>
            </w:r>
            <w:proofErr w:type="spellEnd"/>
            <w:r>
              <w:rPr>
                <w:sz w:val="20"/>
                <w:szCs w:val="20"/>
              </w:rPr>
              <w:t xml:space="preserve"> is a risk </w:t>
            </w:r>
            <w:r w:rsidR="00C30695">
              <w:rPr>
                <w:sz w:val="20"/>
                <w:szCs w:val="20"/>
              </w:rPr>
              <w:t xml:space="preserve">that </w:t>
            </w:r>
            <w:r>
              <w:rPr>
                <w:sz w:val="20"/>
                <w:szCs w:val="20"/>
              </w:rPr>
              <w:t xml:space="preserve">national bespoke regimes introduce fragmentation in the single market, if approaches only meet national requirements, making </w:t>
            </w:r>
            <w:r w:rsidR="00C30695">
              <w:rPr>
                <w:sz w:val="20"/>
                <w:szCs w:val="20"/>
              </w:rPr>
              <w:t xml:space="preserve">it </w:t>
            </w:r>
            <w:r>
              <w:rPr>
                <w:sz w:val="20"/>
                <w:szCs w:val="20"/>
              </w:rPr>
              <w:t xml:space="preserve">more difficult for firms </w:t>
            </w:r>
            <w:r w:rsidR="00EF44D5">
              <w:rPr>
                <w:sz w:val="20"/>
                <w:szCs w:val="20"/>
              </w:rPr>
              <w:t>that o</w:t>
            </w:r>
            <w:r>
              <w:rPr>
                <w:sz w:val="20"/>
                <w:szCs w:val="20"/>
              </w:rPr>
              <w:t>perate across border</w:t>
            </w:r>
            <w:r w:rsidR="00EF44D5">
              <w:rPr>
                <w:sz w:val="20"/>
                <w:szCs w:val="20"/>
              </w:rPr>
              <w:t xml:space="preserve">s. A </w:t>
            </w:r>
            <w:r>
              <w:rPr>
                <w:sz w:val="20"/>
                <w:szCs w:val="20"/>
              </w:rPr>
              <w:t>single reconciled pan-European approach</w:t>
            </w:r>
            <w:r w:rsidR="00EF44D5">
              <w:rPr>
                <w:sz w:val="20"/>
                <w:szCs w:val="20"/>
              </w:rPr>
              <w:t xml:space="preserve"> would be preferable to bespoke national regimes</w:t>
            </w:r>
            <w:r w:rsidR="00C30695">
              <w:rPr>
                <w:sz w:val="20"/>
                <w:szCs w:val="20"/>
              </w:rPr>
              <w:t>.</w:t>
            </w:r>
          </w:p>
          <w:p w14:paraId="0154B2D5" w14:textId="50B7AE47" w:rsidR="00E72E8C" w:rsidRPr="00735388" w:rsidRDefault="00E72E8C" w:rsidP="000B6B93">
            <w:pPr>
              <w:pStyle w:val="ListParagraph"/>
              <w:numPr>
                <w:ilvl w:val="1"/>
                <w:numId w:val="26"/>
              </w:numPr>
              <w:spacing w:after="120"/>
              <w:ind w:left="606" w:hanging="284"/>
              <w:rPr>
                <w:sz w:val="20"/>
                <w:szCs w:val="20"/>
              </w:rPr>
            </w:pPr>
            <w:r w:rsidRPr="00735388">
              <w:rPr>
                <w:sz w:val="20"/>
                <w:szCs w:val="20"/>
              </w:rPr>
              <w:t xml:space="preserve">AFME is generally supportive of harmonised rules and regulations at EU level. This </w:t>
            </w:r>
            <w:r w:rsidR="005C74CB" w:rsidRPr="00735388">
              <w:rPr>
                <w:sz w:val="20"/>
                <w:szCs w:val="20"/>
              </w:rPr>
              <w:t xml:space="preserve">is to avoid fragmentation and regulatory arbitrage, whilst providing a common and homogenous regulatory framework, </w:t>
            </w:r>
            <w:r w:rsidR="005C74CB">
              <w:rPr>
                <w:sz w:val="20"/>
                <w:szCs w:val="20"/>
              </w:rPr>
              <w:t xml:space="preserve">which in turn </w:t>
            </w:r>
            <w:r w:rsidR="005C74CB" w:rsidRPr="00735388">
              <w:rPr>
                <w:sz w:val="20"/>
                <w:szCs w:val="20"/>
              </w:rPr>
              <w:t>facilitat</w:t>
            </w:r>
            <w:r w:rsidR="005C74CB">
              <w:rPr>
                <w:sz w:val="20"/>
                <w:szCs w:val="20"/>
              </w:rPr>
              <w:t>es</w:t>
            </w:r>
            <w:r w:rsidR="005C74CB" w:rsidRPr="00735388">
              <w:rPr>
                <w:sz w:val="20"/>
                <w:szCs w:val="20"/>
              </w:rPr>
              <w:t xml:space="preserve"> the efficient and scalable functioning of financial markets. </w:t>
            </w:r>
            <w:r w:rsidR="005C74CB">
              <w:rPr>
                <w:sz w:val="20"/>
                <w:szCs w:val="20"/>
              </w:rPr>
              <w:t xml:space="preserve">The </w:t>
            </w:r>
            <w:r w:rsidR="005C74CB" w:rsidRPr="00735388">
              <w:rPr>
                <w:sz w:val="20"/>
                <w:szCs w:val="20"/>
              </w:rPr>
              <w:t>EU should support Member States to coordinate and harmoni</w:t>
            </w:r>
            <w:r w:rsidR="00DC1F3E">
              <w:rPr>
                <w:sz w:val="20"/>
                <w:szCs w:val="20"/>
              </w:rPr>
              <w:t>s</w:t>
            </w:r>
            <w:r w:rsidR="005C74CB" w:rsidRPr="00735388">
              <w:rPr>
                <w:sz w:val="20"/>
                <w:szCs w:val="20"/>
              </w:rPr>
              <w:t xml:space="preserve">e </w:t>
            </w:r>
            <w:r w:rsidR="005C74CB">
              <w:rPr>
                <w:sz w:val="20"/>
                <w:szCs w:val="20"/>
              </w:rPr>
              <w:t xml:space="preserve">national </w:t>
            </w:r>
            <w:r w:rsidR="005C74CB" w:rsidRPr="00735388">
              <w:rPr>
                <w:sz w:val="20"/>
                <w:szCs w:val="20"/>
              </w:rPr>
              <w:t>laws and regulations</w:t>
            </w:r>
            <w:r w:rsidR="005C74CB">
              <w:rPr>
                <w:sz w:val="20"/>
                <w:szCs w:val="20"/>
              </w:rPr>
              <w:t xml:space="preserve">, </w:t>
            </w:r>
            <w:r w:rsidR="005C74CB" w:rsidRPr="00735388">
              <w:rPr>
                <w:sz w:val="20"/>
                <w:szCs w:val="20"/>
              </w:rPr>
              <w:t>related to the financial services industry</w:t>
            </w:r>
            <w:r w:rsidR="005C74CB">
              <w:rPr>
                <w:sz w:val="20"/>
                <w:szCs w:val="20"/>
              </w:rPr>
              <w:t>,</w:t>
            </w:r>
            <w:r w:rsidR="005C74CB" w:rsidRPr="00735388">
              <w:rPr>
                <w:sz w:val="20"/>
                <w:szCs w:val="20"/>
              </w:rPr>
              <w:t xml:space="preserve"> to help standardi</w:t>
            </w:r>
            <w:r w:rsidR="005C74CB">
              <w:rPr>
                <w:sz w:val="20"/>
                <w:szCs w:val="20"/>
              </w:rPr>
              <w:t>se</w:t>
            </w:r>
            <w:r w:rsidR="005C74CB" w:rsidRPr="00735388">
              <w:rPr>
                <w:sz w:val="20"/>
                <w:szCs w:val="20"/>
              </w:rPr>
              <w:t xml:space="preserve"> regulation, aiming at creating efficiencies and economies of scale and promoting innovation.</w:t>
            </w:r>
          </w:p>
          <w:p w14:paraId="34B3EE98" w14:textId="3CD68561" w:rsidR="003E1486" w:rsidRPr="00AF6407" w:rsidRDefault="003E1486" w:rsidP="00AF6407">
            <w:pPr>
              <w:pStyle w:val="ListParagraph"/>
              <w:numPr>
                <w:ilvl w:val="1"/>
                <w:numId w:val="26"/>
              </w:numPr>
              <w:spacing w:after="120"/>
              <w:ind w:left="606" w:hanging="284"/>
              <w:rPr>
                <w:sz w:val="20"/>
                <w:szCs w:val="20"/>
              </w:rPr>
            </w:pPr>
            <w:r>
              <w:rPr>
                <w:sz w:val="20"/>
                <w:szCs w:val="20"/>
              </w:rPr>
              <w:t>For further detail see AFME’s response provided in Question 4.1.</w:t>
            </w:r>
          </w:p>
        </w:tc>
      </w:tr>
      <w:tr w:rsidR="00531247" w14:paraId="57BD99DE" w14:textId="77777777" w:rsidTr="00A67751">
        <w:trPr>
          <w:trHeight w:val="364"/>
        </w:trPr>
        <w:tc>
          <w:tcPr>
            <w:tcW w:w="10457" w:type="dxa"/>
            <w:gridSpan w:val="3"/>
            <w:shd w:val="clear" w:color="auto" w:fill="D6E3BC" w:themeFill="accent3" w:themeFillTint="66"/>
          </w:tcPr>
          <w:p w14:paraId="293E57DE" w14:textId="14064D7A" w:rsidR="00531247" w:rsidRDefault="00531247" w:rsidP="00A67751">
            <w:pPr>
              <w:spacing w:after="120"/>
              <w:ind w:left="57"/>
              <w:rPr>
                <w:sz w:val="20"/>
                <w:szCs w:val="20"/>
              </w:rPr>
            </w:pPr>
            <w:r w:rsidRPr="00531247">
              <w:rPr>
                <w:sz w:val="20"/>
                <w:szCs w:val="20"/>
              </w:rPr>
              <w:lastRenderedPageBreak/>
              <w:t>Assess the need for adapting the existing prudential frameworks to the new financial ecosystem, also to ensure a level playing field</w:t>
            </w:r>
          </w:p>
        </w:tc>
      </w:tr>
      <w:tr w:rsidR="003F1749" w14:paraId="020E015B" w14:textId="77777777" w:rsidTr="00AF6407">
        <w:trPr>
          <w:trHeight w:val="342"/>
        </w:trPr>
        <w:tc>
          <w:tcPr>
            <w:tcW w:w="1271" w:type="dxa"/>
            <w:vMerge w:val="restart"/>
          </w:tcPr>
          <w:p w14:paraId="55D237B6" w14:textId="79CBF445" w:rsidR="003F1749" w:rsidRDefault="003F1749" w:rsidP="00EE3DB5">
            <w:pPr>
              <w:spacing w:after="120"/>
              <w:rPr>
                <w:sz w:val="20"/>
                <w:szCs w:val="20"/>
              </w:rPr>
            </w:pPr>
            <w:r>
              <w:rPr>
                <w:sz w:val="20"/>
                <w:szCs w:val="20"/>
              </w:rPr>
              <w:t>8</w:t>
            </w:r>
          </w:p>
        </w:tc>
        <w:tc>
          <w:tcPr>
            <w:tcW w:w="2126" w:type="dxa"/>
          </w:tcPr>
          <w:p w14:paraId="0B6B9627" w14:textId="4C55A4B8" w:rsidR="003F1749" w:rsidRPr="00807CA3" w:rsidRDefault="003F1749" w:rsidP="00844BDC">
            <w:pPr>
              <w:rPr>
                <w:rFonts w:eastAsia="Times New Roman"/>
                <w:b/>
                <w:sz w:val="20"/>
                <w:szCs w:val="20"/>
                <w:lang w:eastAsia="en-GB"/>
              </w:rPr>
            </w:pPr>
            <w:r w:rsidRPr="00807CA3">
              <w:rPr>
                <w:rFonts w:eastAsia="Times New Roman"/>
                <w:sz w:val="20"/>
                <w:szCs w:val="20"/>
                <w:lang w:eastAsia="en-GB"/>
              </w:rPr>
              <w:t>AFME to respond</w:t>
            </w:r>
          </w:p>
        </w:tc>
        <w:tc>
          <w:tcPr>
            <w:tcW w:w="7060" w:type="dxa"/>
            <w:shd w:val="clear" w:color="auto" w:fill="auto"/>
          </w:tcPr>
          <w:p w14:paraId="40E534D0" w14:textId="4D1F3971"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Intra-European retail payments:</w:t>
            </w:r>
            <w:r w:rsidR="007611DB" w:rsidRPr="00807CA3">
              <w:rPr>
                <w:sz w:val="20"/>
                <w:szCs w:val="20"/>
              </w:rPr>
              <w:t xml:space="preserve"> N/A</w:t>
            </w:r>
          </w:p>
          <w:p w14:paraId="7C9985CF" w14:textId="1D3D0FC4"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Intra-European wholesale payment</w:t>
            </w:r>
            <w:r w:rsidR="00EB2F2D" w:rsidRPr="00807CA3">
              <w:rPr>
                <w:sz w:val="20"/>
                <w:szCs w:val="20"/>
              </w:rPr>
              <w:t xml:space="preserve">: </w:t>
            </w:r>
            <w:r w:rsidR="00A720E3">
              <w:rPr>
                <w:sz w:val="20"/>
                <w:szCs w:val="20"/>
              </w:rPr>
              <w:t>3</w:t>
            </w:r>
            <w:r w:rsidR="00EB2F2D" w:rsidRPr="00807CA3">
              <w:rPr>
                <w:sz w:val="20"/>
                <w:szCs w:val="20"/>
              </w:rPr>
              <w:t xml:space="preserve"> – </w:t>
            </w:r>
            <w:r w:rsidR="00A720E3">
              <w:rPr>
                <w:sz w:val="20"/>
                <w:szCs w:val="20"/>
              </w:rPr>
              <w:t xml:space="preserve">neutral </w:t>
            </w:r>
            <w:r w:rsidR="007611DB" w:rsidRPr="00807CA3">
              <w:rPr>
                <w:sz w:val="20"/>
                <w:szCs w:val="20"/>
              </w:rPr>
              <w:t>(~</w:t>
            </w:r>
            <w:r w:rsidR="00A720E3">
              <w:rPr>
                <w:sz w:val="20"/>
                <w:szCs w:val="20"/>
              </w:rPr>
              <w:t>1</w:t>
            </w:r>
            <w:r w:rsidR="007611DB" w:rsidRPr="00807CA3">
              <w:rPr>
                <w:sz w:val="20"/>
                <w:szCs w:val="20"/>
              </w:rPr>
              <w:t>0% – 2</w:t>
            </w:r>
            <w:r w:rsidR="00A720E3">
              <w:rPr>
                <w:sz w:val="20"/>
                <w:szCs w:val="20"/>
              </w:rPr>
              <w:t>0</w:t>
            </w:r>
            <w:r w:rsidR="007611DB" w:rsidRPr="00807CA3">
              <w:rPr>
                <w:sz w:val="20"/>
                <w:szCs w:val="20"/>
              </w:rPr>
              <w:t>%)</w:t>
            </w:r>
          </w:p>
          <w:p w14:paraId="3FC54222" w14:textId="31165275"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 xml:space="preserve">Consumer credit provision to households with risk taking: </w:t>
            </w:r>
            <w:r w:rsidR="007611DB" w:rsidRPr="00807CA3">
              <w:rPr>
                <w:sz w:val="20"/>
                <w:szCs w:val="20"/>
              </w:rPr>
              <w:t>N/A</w:t>
            </w:r>
          </w:p>
          <w:p w14:paraId="1A7EC4C6" w14:textId="40662BD2"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 xml:space="preserve">Consumer credit distribution to households with partner institution(s): </w:t>
            </w:r>
            <w:r w:rsidR="007611DB" w:rsidRPr="00807CA3">
              <w:rPr>
                <w:sz w:val="20"/>
                <w:szCs w:val="20"/>
              </w:rPr>
              <w:t>N/A</w:t>
            </w:r>
          </w:p>
          <w:p w14:paraId="7B454776" w14:textId="2AABDE8C"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 xml:space="preserve">Mortgage credit provision to households with risk taking: </w:t>
            </w:r>
            <w:r w:rsidR="007611DB" w:rsidRPr="00807CA3">
              <w:rPr>
                <w:sz w:val="20"/>
                <w:szCs w:val="20"/>
              </w:rPr>
              <w:t>N/A</w:t>
            </w:r>
          </w:p>
          <w:p w14:paraId="1DDC5936" w14:textId="1E8570BC"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 xml:space="preserve">Mortgage credit distribution to households with partner institution(s): </w:t>
            </w:r>
            <w:r w:rsidR="007611DB" w:rsidRPr="00807CA3">
              <w:rPr>
                <w:sz w:val="20"/>
                <w:szCs w:val="20"/>
              </w:rPr>
              <w:t>N/A</w:t>
            </w:r>
          </w:p>
          <w:p w14:paraId="58012DF9" w14:textId="5FB7DE7A"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Credit provision to SMEs with risk taking</w:t>
            </w:r>
            <w:r w:rsidR="00EB2F2D" w:rsidRPr="00807CA3">
              <w:rPr>
                <w:sz w:val="20"/>
                <w:szCs w:val="20"/>
              </w:rPr>
              <w:t xml:space="preserve">: </w:t>
            </w:r>
            <w:r w:rsidR="005C74CB">
              <w:rPr>
                <w:sz w:val="20"/>
                <w:szCs w:val="20"/>
              </w:rPr>
              <w:t>3</w:t>
            </w:r>
            <w:r w:rsidR="00EB2F2D" w:rsidRPr="00807CA3">
              <w:rPr>
                <w:sz w:val="20"/>
                <w:szCs w:val="20"/>
              </w:rPr>
              <w:t xml:space="preserve"> –</w:t>
            </w:r>
            <w:r w:rsidR="00C472B1">
              <w:rPr>
                <w:sz w:val="20"/>
                <w:szCs w:val="20"/>
              </w:rPr>
              <w:t xml:space="preserve"> </w:t>
            </w:r>
            <w:r w:rsidR="005C74CB">
              <w:rPr>
                <w:sz w:val="20"/>
                <w:szCs w:val="20"/>
              </w:rPr>
              <w:t>neutral</w:t>
            </w:r>
            <w:r w:rsidR="007611DB" w:rsidRPr="00807CA3">
              <w:rPr>
                <w:sz w:val="20"/>
                <w:szCs w:val="20"/>
              </w:rPr>
              <w:t xml:space="preserve"> </w:t>
            </w:r>
            <w:r w:rsidR="00C472B1" w:rsidRPr="00807CA3">
              <w:rPr>
                <w:sz w:val="20"/>
                <w:szCs w:val="20"/>
              </w:rPr>
              <w:t>(~</w:t>
            </w:r>
            <w:r w:rsidR="005C74CB">
              <w:rPr>
                <w:sz w:val="20"/>
                <w:szCs w:val="20"/>
              </w:rPr>
              <w:t>10</w:t>
            </w:r>
            <w:r w:rsidR="00C472B1" w:rsidRPr="00807CA3">
              <w:rPr>
                <w:sz w:val="20"/>
                <w:szCs w:val="20"/>
              </w:rPr>
              <w:t>% – 2</w:t>
            </w:r>
            <w:r w:rsidR="005C74CB">
              <w:rPr>
                <w:sz w:val="20"/>
                <w:szCs w:val="20"/>
              </w:rPr>
              <w:t>0</w:t>
            </w:r>
            <w:r w:rsidR="00C472B1" w:rsidRPr="00807CA3">
              <w:rPr>
                <w:sz w:val="20"/>
                <w:szCs w:val="20"/>
              </w:rPr>
              <w:t>%)</w:t>
            </w:r>
          </w:p>
          <w:p w14:paraId="44EA99F5" w14:textId="7C4D0226"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Credit distribution to SMEs with partner institution(s)</w:t>
            </w:r>
            <w:r w:rsidR="00007A4F" w:rsidRPr="00807CA3">
              <w:rPr>
                <w:sz w:val="20"/>
                <w:szCs w:val="20"/>
              </w:rPr>
              <w:t xml:space="preserve">: </w:t>
            </w:r>
            <w:r w:rsidR="00C472B1">
              <w:rPr>
                <w:sz w:val="20"/>
                <w:szCs w:val="20"/>
              </w:rPr>
              <w:t>4</w:t>
            </w:r>
            <w:r w:rsidR="00007A4F" w:rsidRPr="00807CA3">
              <w:rPr>
                <w:sz w:val="20"/>
                <w:szCs w:val="20"/>
              </w:rPr>
              <w:t xml:space="preserve"> –significant</w:t>
            </w:r>
            <w:r w:rsidR="007611DB" w:rsidRPr="00807CA3">
              <w:rPr>
                <w:sz w:val="20"/>
                <w:szCs w:val="20"/>
              </w:rPr>
              <w:t xml:space="preserve"> market share </w:t>
            </w:r>
            <w:r w:rsidR="00C472B1" w:rsidRPr="00807CA3">
              <w:rPr>
                <w:sz w:val="20"/>
                <w:szCs w:val="20"/>
              </w:rPr>
              <w:t>(~20% – 25%)</w:t>
            </w:r>
          </w:p>
          <w:p w14:paraId="7DAF4A23" w14:textId="1FEBD3AB"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Syndicated lending services with risk taking:</w:t>
            </w:r>
            <w:r w:rsidR="00007A4F" w:rsidRPr="00807CA3">
              <w:rPr>
                <w:sz w:val="20"/>
                <w:szCs w:val="20"/>
              </w:rPr>
              <w:t xml:space="preserve"> </w:t>
            </w:r>
            <w:r w:rsidR="005C74CB">
              <w:rPr>
                <w:sz w:val="20"/>
                <w:szCs w:val="20"/>
              </w:rPr>
              <w:t>2</w:t>
            </w:r>
            <w:r w:rsidR="007611DB" w:rsidRPr="00807CA3">
              <w:rPr>
                <w:sz w:val="20"/>
                <w:szCs w:val="20"/>
              </w:rPr>
              <w:t xml:space="preserve"> – </w:t>
            </w:r>
            <w:r w:rsidR="005C74CB">
              <w:rPr>
                <w:sz w:val="20"/>
                <w:szCs w:val="20"/>
              </w:rPr>
              <w:t xml:space="preserve">low market share </w:t>
            </w:r>
            <w:r w:rsidR="007611DB" w:rsidRPr="00807CA3">
              <w:rPr>
                <w:sz w:val="20"/>
                <w:szCs w:val="20"/>
              </w:rPr>
              <w:t>(~</w:t>
            </w:r>
            <w:r w:rsidR="005C74CB">
              <w:rPr>
                <w:sz w:val="20"/>
                <w:szCs w:val="20"/>
              </w:rPr>
              <w:t>5</w:t>
            </w:r>
            <w:r w:rsidR="007611DB" w:rsidRPr="00807CA3">
              <w:rPr>
                <w:sz w:val="20"/>
                <w:szCs w:val="20"/>
              </w:rPr>
              <w:t xml:space="preserve">% – </w:t>
            </w:r>
            <w:r w:rsidR="005C74CB">
              <w:rPr>
                <w:sz w:val="20"/>
                <w:szCs w:val="20"/>
              </w:rPr>
              <w:t>1</w:t>
            </w:r>
            <w:r w:rsidR="00A720E3">
              <w:rPr>
                <w:sz w:val="20"/>
                <w:szCs w:val="20"/>
              </w:rPr>
              <w:t>0</w:t>
            </w:r>
            <w:r w:rsidR="007611DB" w:rsidRPr="00807CA3">
              <w:rPr>
                <w:sz w:val="20"/>
                <w:szCs w:val="20"/>
              </w:rPr>
              <w:t>%)</w:t>
            </w:r>
          </w:p>
          <w:p w14:paraId="585F8F3D" w14:textId="25026FBD"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 xml:space="preserve">Risk-taking activities in Life insurance products: </w:t>
            </w:r>
            <w:r w:rsidR="007611DB" w:rsidRPr="00AF6407">
              <w:rPr>
                <w:sz w:val="20"/>
                <w:szCs w:val="20"/>
              </w:rPr>
              <w:t>N/A</w:t>
            </w:r>
          </w:p>
          <w:p w14:paraId="7A778E90" w14:textId="69856F2A"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 xml:space="preserve">Risk-taking activities in Non-life insurance products: </w:t>
            </w:r>
            <w:r w:rsidR="007611DB" w:rsidRPr="00807CA3">
              <w:rPr>
                <w:sz w:val="20"/>
                <w:szCs w:val="20"/>
              </w:rPr>
              <w:t>N/A</w:t>
            </w:r>
          </w:p>
          <w:p w14:paraId="741976C2" w14:textId="3F067F5E"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 xml:space="preserve">Risk-taking activities in pension products: </w:t>
            </w:r>
            <w:r w:rsidR="007611DB" w:rsidRPr="00807CA3">
              <w:rPr>
                <w:sz w:val="20"/>
                <w:szCs w:val="20"/>
              </w:rPr>
              <w:t>N/A</w:t>
            </w:r>
          </w:p>
          <w:p w14:paraId="18E74B94" w14:textId="7750FC35"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Intermediation / Distribution of life insurance products:</w:t>
            </w:r>
            <w:r w:rsidRPr="00807CA3">
              <w:rPr>
                <w:i/>
                <w:iCs/>
                <w:sz w:val="20"/>
                <w:szCs w:val="20"/>
              </w:rPr>
              <w:t xml:space="preserve"> </w:t>
            </w:r>
            <w:r w:rsidR="007611DB" w:rsidRPr="00807CA3">
              <w:rPr>
                <w:sz w:val="20"/>
                <w:szCs w:val="20"/>
              </w:rPr>
              <w:t>N/A</w:t>
            </w:r>
          </w:p>
          <w:p w14:paraId="7BEEC993" w14:textId="78E86CE5"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Intermediation / Distribution of nonlife insurance products:</w:t>
            </w:r>
            <w:r w:rsidRPr="00807CA3">
              <w:rPr>
                <w:i/>
                <w:iCs/>
                <w:sz w:val="20"/>
                <w:szCs w:val="20"/>
              </w:rPr>
              <w:t xml:space="preserve"> </w:t>
            </w:r>
            <w:r w:rsidR="007611DB" w:rsidRPr="00807CA3">
              <w:rPr>
                <w:sz w:val="20"/>
                <w:szCs w:val="20"/>
              </w:rPr>
              <w:t>N/A</w:t>
            </w:r>
          </w:p>
          <w:p w14:paraId="28AE8384" w14:textId="07A67FE9" w:rsidR="003F1749" w:rsidRPr="00807CA3" w:rsidRDefault="003F1749" w:rsidP="00531247">
            <w:pPr>
              <w:pStyle w:val="ListParagraph"/>
              <w:numPr>
                <w:ilvl w:val="0"/>
                <w:numId w:val="26"/>
              </w:numPr>
              <w:spacing w:after="120"/>
              <w:ind w:left="184" w:hanging="142"/>
              <w:rPr>
                <w:sz w:val="20"/>
                <w:szCs w:val="20"/>
              </w:rPr>
            </w:pPr>
            <w:r w:rsidRPr="00807CA3">
              <w:rPr>
                <w:sz w:val="20"/>
                <w:szCs w:val="20"/>
              </w:rPr>
              <w:t>Intermediation / Distribution of pension products:</w:t>
            </w:r>
            <w:r w:rsidRPr="00807CA3">
              <w:rPr>
                <w:i/>
                <w:iCs/>
                <w:sz w:val="20"/>
                <w:szCs w:val="20"/>
              </w:rPr>
              <w:t xml:space="preserve"> </w:t>
            </w:r>
            <w:r w:rsidR="007611DB" w:rsidRPr="00807CA3">
              <w:rPr>
                <w:sz w:val="20"/>
                <w:szCs w:val="20"/>
              </w:rPr>
              <w:t>N/A</w:t>
            </w:r>
          </w:p>
          <w:p w14:paraId="534BFA5F" w14:textId="1985C4B8" w:rsidR="003F1749" w:rsidRPr="00807CA3" w:rsidRDefault="003F1749" w:rsidP="003F1749">
            <w:pPr>
              <w:pStyle w:val="ListParagraph"/>
              <w:numPr>
                <w:ilvl w:val="0"/>
                <w:numId w:val="26"/>
              </w:numPr>
              <w:spacing w:after="120"/>
              <w:ind w:left="184" w:hanging="142"/>
              <w:rPr>
                <w:sz w:val="20"/>
                <w:szCs w:val="20"/>
              </w:rPr>
            </w:pPr>
            <w:r w:rsidRPr="00807CA3">
              <w:rPr>
                <w:sz w:val="20"/>
                <w:szCs w:val="20"/>
              </w:rPr>
              <w:t xml:space="preserve">Other insurance related activities, e.g. claims management: </w:t>
            </w:r>
            <w:r w:rsidR="007611DB" w:rsidRPr="00807CA3">
              <w:rPr>
                <w:sz w:val="20"/>
                <w:szCs w:val="20"/>
              </w:rPr>
              <w:t>N/A</w:t>
            </w:r>
          </w:p>
          <w:p w14:paraId="0FCE9B0D" w14:textId="3BD88DBA" w:rsidR="003F1749" w:rsidRPr="00807CA3" w:rsidRDefault="003F1749" w:rsidP="003F1749">
            <w:pPr>
              <w:pStyle w:val="ListParagraph"/>
              <w:numPr>
                <w:ilvl w:val="0"/>
                <w:numId w:val="26"/>
              </w:numPr>
              <w:spacing w:after="120"/>
              <w:ind w:left="184" w:hanging="142"/>
              <w:rPr>
                <w:sz w:val="20"/>
                <w:szCs w:val="20"/>
              </w:rPr>
            </w:pPr>
            <w:r w:rsidRPr="00807CA3">
              <w:rPr>
                <w:sz w:val="20"/>
                <w:szCs w:val="20"/>
              </w:rPr>
              <w:t xml:space="preserve">Re-insurance services: </w:t>
            </w:r>
            <w:r w:rsidR="007611DB" w:rsidRPr="00807CA3">
              <w:rPr>
                <w:sz w:val="20"/>
                <w:szCs w:val="20"/>
              </w:rPr>
              <w:t>N/A</w:t>
            </w:r>
          </w:p>
          <w:p w14:paraId="6952F346" w14:textId="6D410E36" w:rsidR="003F1749" w:rsidRPr="00807CA3" w:rsidRDefault="003F1749" w:rsidP="003F1749">
            <w:pPr>
              <w:pStyle w:val="ListParagraph"/>
              <w:numPr>
                <w:ilvl w:val="0"/>
                <w:numId w:val="26"/>
              </w:numPr>
              <w:spacing w:after="120"/>
              <w:ind w:left="184" w:hanging="142"/>
              <w:rPr>
                <w:sz w:val="20"/>
                <w:szCs w:val="20"/>
              </w:rPr>
            </w:pPr>
            <w:r w:rsidRPr="00807CA3">
              <w:rPr>
                <w:sz w:val="20"/>
                <w:szCs w:val="20"/>
              </w:rPr>
              <w:t>Investment products distribution</w:t>
            </w:r>
            <w:r w:rsidR="00007A4F" w:rsidRPr="00807CA3">
              <w:rPr>
                <w:sz w:val="20"/>
                <w:szCs w:val="20"/>
              </w:rPr>
              <w:t xml:space="preserve">: </w:t>
            </w:r>
            <w:r w:rsidR="00017629" w:rsidRPr="00807CA3">
              <w:rPr>
                <w:sz w:val="20"/>
                <w:szCs w:val="20"/>
              </w:rPr>
              <w:t>2</w:t>
            </w:r>
            <w:r w:rsidR="00007A4F" w:rsidRPr="00807CA3">
              <w:rPr>
                <w:sz w:val="20"/>
                <w:szCs w:val="20"/>
              </w:rPr>
              <w:t xml:space="preserve"> – </w:t>
            </w:r>
            <w:r w:rsidR="00017629" w:rsidRPr="00807CA3">
              <w:rPr>
                <w:sz w:val="20"/>
                <w:szCs w:val="20"/>
              </w:rPr>
              <w:t xml:space="preserve">low market share </w:t>
            </w:r>
            <w:r w:rsidR="007611DB" w:rsidRPr="00807CA3">
              <w:rPr>
                <w:sz w:val="20"/>
                <w:szCs w:val="20"/>
              </w:rPr>
              <w:t>(~</w:t>
            </w:r>
            <w:r w:rsidR="00017629" w:rsidRPr="00807CA3">
              <w:rPr>
                <w:sz w:val="20"/>
                <w:szCs w:val="20"/>
              </w:rPr>
              <w:t>5</w:t>
            </w:r>
            <w:r w:rsidR="007611DB" w:rsidRPr="00807CA3">
              <w:rPr>
                <w:sz w:val="20"/>
                <w:szCs w:val="20"/>
              </w:rPr>
              <w:t xml:space="preserve">% – </w:t>
            </w:r>
            <w:r w:rsidR="00017629" w:rsidRPr="00807CA3">
              <w:rPr>
                <w:sz w:val="20"/>
                <w:szCs w:val="20"/>
              </w:rPr>
              <w:t>1</w:t>
            </w:r>
            <w:r w:rsidR="007611DB" w:rsidRPr="00807CA3">
              <w:rPr>
                <w:sz w:val="20"/>
                <w:szCs w:val="20"/>
              </w:rPr>
              <w:t>0%)</w:t>
            </w:r>
          </w:p>
          <w:p w14:paraId="0D5348D3" w14:textId="51F20255" w:rsidR="003F1749" w:rsidRPr="00807CA3" w:rsidRDefault="003F1749" w:rsidP="003F1749">
            <w:pPr>
              <w:pStyle w:val="ListParagraph"/>
              <w:numPr>
                <w:ilvl w:val="0"/>
                <w:numId w:val="26"/>
              </w:numPr>
              <w:spacing w:after="120"/>
              <w:ind w:left="184" w:hanging="142"/>
              <w:rPr>
                <w:sz w:val="20"/>
                <w:szCs w:val="20"/>
              </w:rPr>
            </w:pPr>
            <w:r w:rsidRPr="00807CA3">
              <w:rPr>
                <w:sz w:val="20"/>
                <w:szCs w:val="20"/>
              </w:rPr>
              <w:t>Asset management</w:t>
            </w:r>
            <w:r w:rsidR="00007A4F" w:rsidRPr="00807CA3">
              <w:rPr>
                <w:sz w:val="20"/>
                <w:szCs w:val="20"/>
              </w:rPr>
              <w:t xml:space="preserve">: </w:t>
            </w:r>
            <w:r w:rsidR="00017629" w:rsidRPr="00807CA3">
              <w:rPr>
                <w:sz w:val="20"/>
                <w:szCs w:val="20"/>
              </w:rPr>
              <w:t>2 – low market share (~5% – 10%)</w:t>
            </w:r>
            <w:r w:rsidR="00017629" w:rsidRPr="00807CA3" w:rsidDel="007611DB">
              <w:rPr>
                <w:sz w:val="20"/>
                <w:szCs w:val="20"/>
              </w:rPr>
              <w:t xml:space="preserve"> </w:t>
            </w:r>
          </w:p>
          <w:p w14:paraId="396C127C" w14:textId="7DEA1220" w:rsidR="003F1749" w:rsidRPr="00807CA3" w:rsidRDefault="003F1749" w:rsidP="003F1749">
            <w:pPr>
              <w:pStyle w:val="ListParagraph"/>
              <w:numPr>
                <w:ilvl w:val="0"/>
                <w:numId w:val="26"/>
              </w:numPr>
              <w:spacing w:after="120"/>
              <w:ind w:left="184" w:hanging="142"/>
              <w:rPr>
                <w:sz w:val="20"/>
                <w:szCs w:val="20"/>
              </w:rPr>
            </w:pPr>
            <w:r w:rsidRPr="00807CA3">
              <w:rPr>
                <w:sz w:val="20"/>
                <w:szCs w:val="20"/>
              </w:rPr>
              <w:t>Others</w:t>
            </w:r>
            <w:r w:rsidR="00DC1F3E">
              <w:rPr>
                <w:sz w:val="20"/>
                <w:szCs w:val="20"/>
              </w:rPr>
              <w:t xml:space="preserve">: </w:t>
            </w:r>
            <w:r w:rsidR="00DC1F3E" w:rsidRPr="00A52844">
              <w:rPr>
                <w:rFonts w:cs="Cambria"/>
                <w:sz w:val="20"/>
                <w:szCs w:val="20"/>
              </w:rPr>
              <w:t>5 - fully relevant</w:t>
            </w:r>
          </w:p>
        </w:tc>
      </w:tr>
      <w:tr w:rsidR="003F1749" w14:paraId="3DA499D6" w14:textId="77777777" w:rsidTr="0053138D">
        <w:trPr>
          <w:trHeight w:val="342"/>
        </w:trPr>
        <w:tc>
          <w:tcPr>
            <w:tcW w:w="1271" w:type="dxa"/>
            <w:vMerge/>
          </w:tcPr>
          <w:p w14:paraId="29578E02" w14:textId="2456B194" w:rsidR="003F1749" w:rsidRDefault="003F1749" w:rsidP="003F1749">
            <w:pPr>
              <w:spacing w:after="120"/>
              <w:rPr>
                <w:sz w:val="20"/>
                <w:szCs w:val="20"/>
              </w:rPr>
            </w:pPr>
          </w:p>
        </w:tc>
        <w:tc>
          <w:tcPr>
            <w:tcW w:w="2126" w:type="dxa"/>
          </w:tcPr>
          <w:p w14:paraId="1EEFA531" w14:textId="399763A1" w:rsidR="003F1749" w:rsidRPr="00844BDC" w:rsidRDefault="003F1749" w:rsidP="003F1749">
            <w:pPr>
              <w:rPr>
                <w:rFonts w:eastAsia="Times New Roman"/>
                <w:sz w:val="20"/>
                <w:szCs w:val="20"/>
                <w:lang w:eastAsia="en-GB"/>
              </w:rPr>
            </w:pPr>
            <w:r w:rsidRPr="00844BDC">
              <w:rPr>
                <w:rFonts w:eastAsia="Times New Roman"/>
                <w:sz w:val="20"/>
                <w:szCs w:val="20"/>
                <w:lang w:eastAsia="en-GB"/>
              </w:rPr>
              <w:t>AFME to respond</w:t>
            </w:r>
          </w:p>
        </w:tc>
        <w:tc>
          <w:tcPr>
            <w:tcW w:w="7060" w:type="dxa"/>
          </w:tcPr>
          <w:p w14:paraId="1F552E4A" w14:textId="739F6919" w:rsidR="00472D8A" w:rsidRDefault="00472D8A" w:rsidP="00807CA3">
            <w:pPr>
              <w:pStyle w:val="ListParagraph"/>
              <w:numPr>
                <w:ilvl w:val="0"/>
                <w:numId w:val="26"/>
              </w:numPr>
              <w:spacing w:after="120"/>
              <w:ind w:left="184" w:hanging="142"/>
              <w:rPr>
                <w:sz w:val="20"/>
                <w:szCs w:val="20"/>
              </w:rPr>
            </w:pPr>
            <w:r w:rsidRPr="00807CA3">
              <w:rPr>
                <w:sz w:val="20"/>
                <w:szCs w:val="20"/>
              </w:rPr>
              <w:t>As identified by the FSB</w:t>
            </w:r>
            <w:r w:rsidRPr="00807CA3">
              <w:rPr>
                <w:rStyle w:val="FootnoteReference"/>
                <w:sz w:val="20"/>
                <w:szCs w:val="20"/>
              </w:rPr>
              <w:footnoteReference w:id="21"/>
            </w:r>
            <w:r w:rsidRPr="00807CA3">
              <w:rPr>
                <w:sz w:val="20"/>
                <w:szCs w:val="20"/>
              </w:rPr>
              <w:t xml:space="preserve"> and the </w:t>
            </w:r>
            <w:r w:rsidR="00BE4EFF" w:rsidRPr="00807CA3">
              <w:rPr>
                <w:sz w:val="20"/>
                <w:szCs w:val="20"/>
              </w:rPr>
              <w:t>BIS</w:t>
            </w:r>
            <w:r w:rsidR="00BE4EFF" w:rsidRPr="00807CA3">
              <w:rPr>
                <w:rStyle w:val="FootnoteReference"/>
                <w:sz w:val="20"/>
                <w:szCs w:val="20"/>
              </w:rPr>
              <w:footnoteReference w:id="22"/>
            </w:r>
            <w:r w:rsidRPr="00807CA3">
              <w:rPr>
                <w:sz w:val="20"/>
                <w:szCs w:val="20"/>
              </w:rPr>
              <w:t xml:space="preserve">, </w:t>
            </w:r>
            <w:r w:rsidR="00007A4F" w:rsidRPr="00807CA3">
              <w:rPr>
                <w:sz w:val="20"/>
                <w:szCs w:val="20"/>
              </w:rPr>
              <w:t xml:space="preserve">AFME expects technology companies to </w:t>
            </w:r>
            <w:r w:rsidRPr="00807CA3">
              <w:rPr>
                <w:sz w:val="20"/>
                <w:szCs w:val="20"/>
              </w:rPr>
              <w:t xml:space="preserve">progressively </w:t>
            </w:r>
            <w:r w:rsidR="00007A4F" w:rsidRPr="00807CA3">
              <w:rPr>
                <w:sz w:val="20"/>
                <w:szCs w:val="20"/>
              </w:rPr>
              <w:t xml:space="preserve">gain markets </w:t>
            </w:r>
            <w:r w:rsidRPr="00807CA3">
              <w:rPr>
                <w:sz w:val="20"/>
                <w:szCs w:val="20"/>
              </w:rPr>
              <w:t xml:space="preserve">in financial services. </w:t>
            </w:r>
            <w:r w:rsidR="00807CA3" w:rsidRPr="00AF6407">
              <w:rPr>
                <w:sz w:val="20"/>
                <w:szCs w:val="20"/>
              </w:rPr>
              <w:t xml:space="preserve">As stated in the BIS report, </w:t>
            </w:r>
            <w:r w:rsidR="00807CA3" w:rsidRPr="00AF6407">
              <w:rPr>
                <w:sz w:val="20"/>
                <w:szCs w:val="20"/>
              </w:rPr>
              <w:lastRenderedPageBreak/>
              <w:t>p</w:t>
            </w:r>
            <w:r w:rsidRPr="00807CA3">
              <w:rPr>
                <w:sz w:val="20"/>
                <w:szCs w:val="20"/>
              </w:rPr>
              <w:t xml:space="preserve">rovided technology companies are </w:t>
            </w:r>
            <w:r w:rsidR="00931C42" w:rsidRPr="00807CA3">
              <w:rPr>
                <w:sz w:val="20"/>
                <w:szCs w:val="20"/>
              </w:rPr>
              <w:t xml:space="preserve">able to gain sufficient amounts of data on </w:t>
            </w:r>
            <w:r w:rsidR="00DC1F3E">
              <w:rPr>
                <w:sz w:val="20"/>
                <w:szCs w:val="20"/>
              </w:rPr>
              <w:t>clients/</w:t>
            </w:r>
            <w:r w:rsidR="00931C42" w:rsidRPr="00807CA3">
              <w:rPr>
                <w:sz w:val="20"/>
                <w:szCs w:val="20"/>
              </w:rPr>
              <w:t>customer</w:t>
            </w:r>
            <w:r w:rsidR="00807CA3" w:rsidRPr="00AF6407">
              <w:rPr>
                <w:sz w:val="20"/>
                <w:szCs w:val="20"/>
              </w:rPr>
              <w:t>s</w:t>
            </w:r>
            <w:r w:rsidR="00931C42" w:rsidRPr="00807CA3">
              <w:rPr>
                <w:sz w:val="20"/>
                <w:szCs w:val="20"/>
              </w:rPr>
              <w:t xml:space="preserve">, </w:t>
            </w:r>
            <w:r w:rsidR="00807CA3" w:rsidRPr="00AF6407">
              <w:rPr>
                <w:sz w:val="20"/>
                <w:szCs w:val="20"/>
              </w:rPr>
              <w:t xml:space="preserve">and provided that </w:t>
            </w:r>
            <w:r w:rsidR="00DC1F3E">
              <w:rPr>
                <w:sz w:val="20"/>
                <w:szCs w:val="20"/>
              </w:rPr>
              <w:t xml:space="preserve">they </w:t>
            </w:r>
            <w:r w:rsidR="00807CA3" w:rsidRPr="00AF6407">
              <w:rPr>
                <w:sz w:val="20"/>
                <w:szCs w:val="20"/>
              </w:rPr>
              <w:t xml:space="preserve">can leverage a large platform, </w:t>
            </w:r>
            <w:r w:rsidR="00931C42" w:rsidRPr="00807CA3">
              <w:rPr>
                <w:sz w:val="20"/>
                <w:szCs w:val="20"/>
              </w:rPr>
              <w:t>they are able to utilise this data to offer a range of services</w:t>
            </w:r>
            <w:r w:rsidR="00807CA3" w:rsidRPr="00AF6407">
              <w:rPr>
                <w:sz w:val="20"/>
                <w:szCs w:val="20"/>
              </w:rPr>
              <w:t xml:space="preserve"> </w:t>
            </w:r>
            <w:r w:rsidR="00807CA3" w:rsidRPr="00807CA3">
              <w:rPr>
                <w:sz w:val="20"/>
                <w:szCs w:val="20"/>
              </w:rPr>
              <w:t xml:space="preserve">that exploit natural network effects, generating </w:t>
            </w:r>
            <w:r w:rsidR="00807CA3" w:rsidRPr="00AF6407">
              <w:rPr>
                <w:sz w:val="20"/>
                <w:szCs w:val="20"/>
              </w:rPr>
              <w:t>further user activity. Increased user activity then completes the circle, as it generates</w:t>
            </w:r>
            <w:r w:rsidR="00807CA3" w:rsidRPr="00807CA3">
              <w:rPr>
                <w:sz w:val="20"/>
                <w:szCs w:val="20"/>
              </w:rPr>
              <w:t xml:space="preserve"> </w:t>
            </w:r>
            <w:r w:rsidR="00807CA3" w:rsidRPr="00AF6407">
              <w:rPr>
                <w:sz w:val="20"/>
                <w:szCs w:val="20"/>
              </w:rPr>
              <w:t>yet more data.</w:t>
            </w:r>
            <w:r w:rsidR="00F750E6">
              <w:rPr>
                <w:sz w:val="20"/>
                <w:szCs w:val="20"/>
              </w:rPr>
              <w:t xml:space="preserve"> </w:t>
            </w:r>
          </w:p>
          <w:p w14:paraId="70259078" w14:textId="41B0417A" w:rsidR="00807CA3" w:rsidRDefault="00807CA3" w:rsidP="00807CA3">
            <w:pPr>
              <w:pStyle w:val="ListParagraph"/>
              <w:numPr>
                <w:ilvl w:val="0"/>
                <w:numId w:val="26"/>
              </w:numPr>
              <w:spacing w:after="120"/>
              <w:ind w:left="184" w:hanging="142"/>
              <w:rPr>
                <w:sz w:val="20"/>
                <w:szCs w:val="20"/>
              </w:rPr>
            </w:pPr>
            <w:r>
              <w:rPr>
                <w:sz w:val="20"/>
                <w:szCs w:val="20"/>
              </w:rPr>
              <w:t xml:space="preserve">These reports have identified that there are multiple ways technology companies gain entry to financial services, spanning multiple </w:t>
            </w:r>
            <w:r w:rsidR="00DC1F3E">
              <w:rPr>
                <w:sz w:val="20"/>
                <w:szCs w:val="20"/>
              </w:rPr>
              <w:t xml:space="preserve">financial </w:t>
            </w:r>
            <w:r>
              <w:rPr>
                <w:sz w:val="20"/>
                <w:szCs w:val="20"/>
              </w:rPr>
              <w:t>service</w:t>
            </w:r>
            <w:r w:rsidR="00DC1F3E">
              <w:rPr>
                <w:sz w:val="20"/>
                <w:szCs w:val="20"/>
              </w:rPr>
              <w:t>s</w:t>
            </w:r>
            <w:r>
              <w:rPr>
                <w:sz w:val="20"/>
                <w:szCs w:val="20"/>
              </w:rPr>
              <w:t xml:space="preserve"> </w:t>
            </w:r>
            <w:r w:rsidR="00DC1F3E">
              <w:rPr>
                <w:sz w:val="20"/>
                <w:szCs w:val="20"/>
              </w:rPr>
              <w:t>sub-</w:t>
            </w:r>
            <w:r>
              <w:rPr>
                <w:sz w:val="20"/>
                <w:szCs w:val="20"/>
              </w:rPr>
              <w:t>sector</w:t>
            </w:r>
            <w:r w:rsidR="00AE6EC2">
              <w:rPr>
                <w:sz w:val="20"/>
                <w:szCs w:val="20"/>
              </w:rPr>
              <w:t>s</w:t>
            </w:r>
            <w:r>
              <w:rPr>
                <w:sz w:val="20"/>
                <w:szCs w:val="20"/>
              </w:rPr>
              <w:t xml:space="preserve"> (</w:t>
            </w:r>
            <w:r w:rsidR="00DC1F3E">
              <w:rPr>
                <w:sz w:val="20"/>
                <w:szCs w:val="20"/>
              </w:rPr>
              <w:t xml:space="preserve">e.g. </w:t>
            </w:r>
            <w:r>
              <w:rPr>
                <w:sz w:val="20"/>
                <w:szCs w:val="20"/>
              </w:rPr>
              <w:t>retail, payments, credit, wholesale) and geographies.</w:t>
            </w:r>
            <w:r w:rsidR="005B438C">
              <w:rPr>
                <w:sz w:val="20"/>
                <w:szCs w:val="20"/>
              </w:rPr>
              <w:t xml:space="preserve"> While these companies have mainly gained market share in payments and retail</w:t>
            </w:r>
            <w:r w:rsidR="00AE6EC2">
              <w:rPr>
                <w:sz w:val="20"/>
                <w:szCs w:val="20"/>
              </w:rPr>
              <w:t xml:space="preserve"> in recent years; </w:t>
            </w:r>
            <w:r w:rsidR="005B438C">
              <w:rPr>
                <w:sz w:val="20"/>
                <w:szCs w:val="20"/>
              </w:rPr>
              <w:t>there is increasing interest to provide lending and risk services to SMEs</w:t>
            </w:r>
            <w:r w:rsidR="00AE6EC2">
              <w:rPr>
                <w:sz w:val="20"/>
                <w:szCs w:val="20"/>
              </w:rPr>
              <w:t>,</w:t>
            </w:r>
            <w:r w:rsidR="009125C9">
              <w:rPr>
                <w:sz w:val="20"/>
                <w:szCs w:val="20"/>
              </w:rPr>
              <w:t xml:space="preserve"> as well as </w:t>
            </w:r>
            <w:r w:rsidR="00DC1F3E">
              <w:rPr>
                <w:sz w:val="20"/>
                <w:szCs w:val="20"/>
              </w:rPr>
              <w:t xml:space="preserve">in the near future </w:t>
            </w:r>
            <w:r w:rsidR="005B438C">
              <w:rPr>
                <w:sz w:val="20"/>
                <w:szCs w:val="20"/>
              </w:rPr>
              <w:t xml:space="preserve">wholesale markets </w:t>
            </w:r>
            <w:r w:rsidR="009125C9">
              <w:rPr>
                <w:sz w:val="20"/>
                <w:szCs w:val="20"/>
              </w:rPr>
              <w:t xml:space="preserve">(e.g. digital assets) </w:t>
            </w:r>
            <w:r w:rsidR="00DC1F3E">
              <w:rPr>
                <w:sz w:val="20"/>
                <w:szCs w:val="20"/>
              </w:rPr>
              <w:t xml:space="preserve">and </w:t>
            </w:r>
            <w:r w:rsidR="009125C9">
              <w:rPr>
                <w:sz w:val="20"/>
                <w:szCs w:val="20"/>
              </w:rPr>
              <w:t xml:space="preserve">insurance (e.g. </w:t>
            </w:r>
            <w:proofErr w:type="spellStart"/>
            <w:r w:rsidR="009125C9">
              <w:rPr>
                <w:sz w:val="20"/>
                <w:szCs w:val="20"/>
              </w:rPr>
              <w:t>Insu</w:t>
            </w:r>
            <w:r w:rsidR="00DC1F3E">
              <w:rPr>
                <w:sz w:val="20"/>
                <w:szCs w:val="20"/>
              </w:rPr>
              <w:t>ret</w:t>
            </w:r>
            <w:r w:rsidR="009125C9">
              <w:rPr>
                <w:sz w:val="20"/>
                <w:szCs w:val="20"/>
              </w:rPr>
              <w:t>ech</w:t>
            </w:r>
            <w:proofErr w:type="spellEnd"/>
            <w:r w:rsidR="009125C9">
              <w:rPr>
                <w:sz w:val="20"/>
                <w:szCs w:val="20"/>
              </w:rPr>
              <w:t>)</w:t>
            </w:r>
            <w:r w:rsidR="00AE6EC2">
              <w:rPr>
                <w:sz w:val="20"/>
                <w:szCs w:val="20"/>
              </w:rPr>
              <w:t>.</w:t>
            </w:r>
          </w:p>
          <w:p w14:paraId="4FAFDE44" w14:textId="58E352A3" w:rsidR="00F750E6" w:rsidRDefault="00F750E6" w:rsidP="00807CA3">
            <w:pPr>
              <w:pStyle w:val="ListParagraph"/>
              <w:numPr>
                <w:ilvl w:val="0"/>
                <w:numId w:val="26"/>
              </w:numPr>
              <w:spacing w:after="120"/>
              <w:ind w:left="184" w:hanging="142"/>
              <w:rPr>
                <w:sz w:val="20"/>
                <w:szCs w:val="20"/>
              </w:rPr>
            </w:pPr>
            <w:r>
              <w:rPr>
                <w:sz w:val="20"/>
                <w:szCs w:val="20"/>
              </w:rPr>
              <w:t xml:space="preserve">Technology companies are expected to gain market shares </w:t>
            </w:r>
            <w:r w:rsidR="00E57C0E">
              <w:rPr>
                <w:sz w:val="20"/>
                <w:szCs w:val="20"/>
              </w:rPr>
              <w:t>in financial services via</w:t>
            </w:r>
            <w:r>
              <w:rPr>
                <w:sz w:val="20"/>
                <w:szCs w:val="20"/>
              </w:rPr>
              <w:t>:</w:t>
            </w:r>
          </w:p>
          <w:p w14:paraId="14B983C8" w14:textId="70BE840D" w:rsidR="00F750E6" w:rsidRDefault="00F750E6" w:rsidP="00F750E6">
            <w:pPr>
              <w:pStyle w:val="ListParagraph"/>
              <w:numPr>
                <w:ilvl w:val="1"/>
                <w:numId w:val="26"/>
              </w:numPr>
              <w:spacing w:after="120"/>
              <w:ind w:left="606" w:hanging="284"/>
              <w:rPr>
                <w:sz w:val="20"/>
                <w:szCs w:val="20"/>
              </w:rPr>
            </w:pPr>
            <w:r>
              <w:rPr>
                <w:sz w:val="20"/>
                <w:szCs w:val="20"/>
              </w:rPr>
              <w:t>Providing solutions to clients where those can now transact peer-to-peer (e.g. d</w:t>
            </w:r>
            <w:r w:rsidRPr="00F750E6">
              <w:rPr>
                <w:sz w:val="20"/>
                <w:szCs w:val="20"/>
              </w:rPr>
              <w:t>isintermediation</w:t>
            </w:r>
            <w:proofErr w:type="gramStart"/>
            <w:r>
              <w:rPr>
                <w:sz w:val="20"/>
                <w:szCs w:val="20"/>
              </w:rPr>
              <w:t>);</w:t>
            </w:r>
            <w:proofErr w:type="gramEnd"/>
          </w:p>
          <w:p w14:paraId="57DCE9EC" w14:textId="096BF31F" w:rsidR="00F750E6" w:rsidRDefault="00F750E6" w:rsidP="00F750E6">
            <w:pPr>
              <w:pStyle w:val="ListParagraph"/>
              <w:numPr>
                <w:ilvl w:val="1"/>
                <w:numId w:val="26"/>
              </w:numPr>
              <w:spacing w:after="120"/>
              <w:ind w:left="606" w:hanging="284"/>
              <w:rPr>
                <w:sz w:val="20"/>
                <w:szCs w:val="20"/>
              </w:rPr>
            </w:pPr>
            <w:r>
              <w:rPr>
                <w:sz w:val="20"/>
                <w:szCs w:val="20"/>
              </w:rPr>
              <w:t xml:space="preserve">Designing </w:t>
            </w:r>
            <w:r w:rsidR="00E57C0E">
              <w:rPr>
                <w:sz w:val="20"/>
                <w:szCs w:val="20"/>
              </w:rPr>
              <w:t>client/</w:t>
            </w:r>
            <w:r>
              <w:rPr>
                <w:sz w:val="20"/>
                <w:szCs w:val="20"/>
              </w:rPr>
              <w:t>customer centric solutions</w:t>
            </w:r>
            <w:r w:rsidR="00E57C0E">
              <w:rPr>
                <w:sz w:val="20"/>
                <w:szCs w:val="20"/>
              </w:rPr>
              <w:t xml:space="preserve">, </w:t>
            </w:r>
            <w:r>
              <w:rPr>
                <w:sz w:val="20"/>
                <w:szCs w:val="20"/>
              </w:rPr>
              <w:t xml:space="preserve">by harnessing </w:t>
            </w:r>
            <w:r w:rsidR="00E57C0E">
              <w:rPr>
                <w:sz w:val="20"/>
                <w:szCs w:val="20"/>
              </w:rPr>
              <w:t>behavioural data to develop interfaces and offer products/services that may meet expectations (e.g. increasing customer retention/traffic);</w:t>
            </w:r>
            <w:r w:rsidR="005F183B">
              <w:rPr>
                <w:sz w:val="20"/>
                <w:szCs w:val="20"/>
              </w:rPr>
              <w:t xml:space="preserve"> and/or</w:t>
            </w:r>
          </w:p>
          <w:p w14:paraId="1897147B" w14:textId="00796ACB" w:rsidR="00E57C0E" w:rsidRDefault="00E57C0E" w:rsidP="00735388">
            <w:pPr>
              <w:pStyle w:val="ListParagraph"/>
              <w:numPr>
                <w:ilvl w:val="1"/>
                <w:numId w:val="26"/>
              </w:numPr>
              <w:spacing w:after="120"/>
              <w:ind w:left="606" w:hanging="284"/>
              <w:rPr>
                <w:sz w:val="20"/>
                <w:szCs w:val="20"/>
              </w:rPr>
            </w:pPr>
            <w:r>
              <w:rPr>
                <w:sz w:val="20"/>
                <w:szCs w:val="20"/>
              </w:rPr>
              <w:t xml:space="preserve">Partnering with financial institutions to </w:t>
            </w:r>
            <w:r w:rsidRPr="00E57C0E">
              <w:rPr>
                <w:sz w:val="20"/>
                <w:szCs w:val="20"/>
              </w:rPr>
              <w:t xml:space="preserve">integrate </w:t>
            </w:r>
            <w:r>
              <w:rPr>
                <w:sz w:val="20"/>
                <w:szCs w:val="20"/>
              </w:rPr>
              <w:t xml:space="preserve">technology </w:t>
            </w:r>
            <w:r w:rsidRPr="00E57C0E">
              <w:rPr>
                <w:sz w:val="20"/>
                <w:szCs w:val="20"/>
              </w:rPr>
              <w:t xml:space="preserve">solutions </w:t>
            </w:r>
            <w:r>
              <w:rPr>
                <w:sz w:val="20"/>
                <w:szCs w:val="20"/>
              </w:rPr>
              <w:t xml:space="preserve">with </w:t>
            </w:r>
            <w:r w:rsidRPr="00E57C0E">
              <w:rPr>
                <w:sz w:val="20"/>
                <w:szCs w:val="20"/>
              </w:rPr>
              <w:t>regulat</w:t>
            </w:r>
            <w:r>
              <w:rPr>
                <w:sz w:val="20"/>
                <w:szCs w:val="20"/>
              </w:rPr>
              <w:t>ed financial products and services (e.g. developing partnerships)</w:t>
            </w:r>
            <w:r w:rsidRPr="00E57C0E">
              <w:rPr>
                <w:sz w:val="20"/>
                <w:szCs w:val="20"/>
              </w:rPr>
              <w:t>.</w:t>
            </w:r>
          </w:p>
          <w:p w14:paraId="6AA100B2" w14:textId="0FC5B832" w:rsidR="00472D8A" w:rsidRPr="00AF6407" w:rsidRDefault="00B60D66">
            <w:pPr>
              <w:pStyle w:val="ListParagraph"/>
              <w:numPr>
                <w:ilvl w:val="0"/>
                <w:numId w:val="26"/>
              </w:numPr>
              <w:spacing w:after="120"/>
              <w:ind w:left="184" w:hanging="142"/>
              <w:rPr>
                <w:sz w:val="20"/>
                <w:szCs w:val="20"/>
              </w:rPr>
            </w:pPr>
            <w:r>
              <w:rPr>
                <w:rFonts w:eastAsia="Times New Roman"/>
                <w:sz w:val="20"/>
                <w:szCs w:val="20"/>
                <w:lang w:eastAsia="en-GB"/>
              </w:rPr>
              <w:t>While AFME is supportive of innovation and increased market competition,</w:t>
            </w:r>
            <w:r>
              <w:rPr>
                <w:sz w:val="20"/>
                <w:szCs w:val="20"/>
              </w:rPr>
              <w:t xml:space="preserve"> </w:t>
            </w:r>
            <w:r w:rsidR="00807CA3">
              <w:rPr>
                <w:sz w:val="20"/>
                <w:szCs w:val="20"/>
              </w:rPr>
              <w:t>a</w:t>
            </w:r>
            <w:r w:rsidR="00807CA3" w:rsidRPr="00AF6407">
              <w:rPr>
                <w:sz w:val="20"/>
                <w:szCs w:val="20"/>
              </w:rPr>
              <w:t xml:space="preserve"> competitive and level-playing field is needed to ensure all firms involved in financial services adhere to the ‘same risk, same activity, same regulation’</w:t>
            </w:r>
            <w:r w:rsidR="00807CA3">
              <w:rPr>
                <w:sz w:val="20"/>
                <w:szCs w:val="20"/>
              </w:rPr>
              <w:t>.</w:t>
            </w:r>
            <w:r w:rsidR="00807CA3" w:rsidRPr="00AF6407">
              <w:rPr>
                <w:sz w:val="20"/>
                <w:szCs w:val="20"/>
              </w:rPr>
              <w:t xml:space="preserve"> </w:t>
            </w:r>
            <w:r w:rsidR="00807CA3">
              <w:rPr>
                <w:sz w:val="20"/>
                <w:szCs w:val="20"/>
              </w:rPr>
              <w:t xml:space="preserve">This is essential </w:t>
            </w:r>
            <w:r w:rsidR="00807CA3" w:rsidRPr="00AF6407">
              <w:rPr>
                <w:sz w:val="20"/>
                <w:szCs w:val="20"/>
              </w:rPr>
              <w:t xml:space="preserve">for all financial services participants to manage risk to </w:t>
            </w:r>
            <w:r w:rsidR="002C46CA">
              <w:rPr>
                <w:sz w:val="20"/>
                <w:szCs w:val="20"/>
              </w:rPr>
              <w:t>clients/</w:t>
            </w:r>
            <w:r w:rsidR="00807CA3" w:rsidRPr="00AF6407">
              <w:rPr>
                <w:sz w:val="20"/>
                <w:szCs w:val="20"/>
              </w:rPr>
              <w:t>consumers and financial stability. For instance, to the extent a technology firm provides financial products or services, akin to a regulated financial institution, they should be regulated in the same way as their incumbent counterparts.</w:t>
            </w:r>
          </w:p>
        </w:tc>
      </w:tr>
      <w:tr w:rsidR="00EE3DB5" w14:paraId="763701E8" w14:textId="77777777" w:rsidTr="0053138D">
        <w:trPr>
          <w:trHeight w:val="436"/>
        </w:trPr>
        <w:tc>
          <w:tcPr>
            <w:tcW w:w="1271" w:type="dxa"/>
          </w:tcPr>
          <w:p w14:paraId="6E56BF85" w14:textId="730BEFB3" w:rsidR="00EE3DB5" w:rsidRDefault="003F1749" w:rsidP="00EE3DB5">
            <w:pPr>
              <w:spacing w:after="120"/>
              <w:rPr>
                <w:sz w:val="20"/>
                <w:szCs w:val="20"/>
              </w:rPr>
            </w:pPr>
            <w:r>
              <w:rPr>
                <w:sz w:val="20"/>
                <w:szCs w:val="20"/>
              </w:rPr>
              <w:lastRenderedPageBreak/>
              <w:t>8</w:t>
            </w:r>
            <w:r w:rsidR="00EE3DB5">
              <w:rPr>
                <w:sz w:val="20"/>
                <w:szCs w:val="20"/>
              </w:rPr>
              <w:t>.1</w:t>
            </w:r>
          </w:p>
        </w:tc>
        <w:tc>
          <w:tcPr>
            <w:tcW w:w="2126" w:type="dxa"/>
          </w:tcPr>
          <w:p w14:paraId="06ACEE07" w14:textId="02B0ED62" w:rsidR="00EE3DB5" w:rsidRPr="00844BDC" w:rsidRDefault="00C74A07" w:rsidP="00844BDC">
            <w:pPr>
              <w:rPr>
                <w:rFonts w:eastAsia="Times New Roman"/>
                <w:b/>
                <w:sz w:val="20"/>
                <w:szCs w:val="20"/>
                <w:lang w:eastAsia="en-GB"/>
              </w:rPr>
            </w:pPr>
            <w:r w:rsidRPr="00844BDC">
              <w:rPr>
                <w:rFonts w:eastAsia="Times New Roman"/>
                <w:sz w:val="20"/>
                <w:szCs w:val="20"/>
                <w:lang w:eastAsia="en-GB"/>
              </w:rPr>
              <w:t>AFME to respond</w:t>
            </w:r>
          </w:p>
        </w:tc>
        <w:tc>
          <w:tcPr>
            <w:tcW w:w="7060" w:type="dxa"/>
          </w:tcPr>
          <w:p w14:paraId="33343DE3" w14:textId="11A2330A" w:rsidR="00E62E17" w:rsidRPr="00A373BD" w:rsidRDefault="00096B25" w:rsidP="00A373BD">
            <w:pPr>
              <w:pStyle w:val="ListParagraph"/>
              <w:numPr>
                <w:ilvl w:val="0"/>
                <w:numId w:val="26"/>
              </w:numPr>
              <w:spacing w:after="120"/>
              <w:ind w:left="184" w:hanging="142"/>
              <w:rPr>
                <w:rFonts w:cs="Cambria"/>
                <w:sz w:val="20"/>
                <w:szCs w:val="20"/>
              </w:rPr>
            </w:pPr>
            <w:r w:rsidRPr="00AF6407">
              <w:rPr>
                <w:sz w:val="20"/>
                <w:szCs w:val="20"/>
              </w:rPr>
              <w:t>See AFME’s response provided in Question 8.</w:t>
            </w:r>
          </w:p>
        </w:tc>
      </w:tr>
      <w:tr w:rsidR="00EE3DB5" w14:paraId="2684CF5C" w14:textId="77777777" w:rsidTr="00AF6407">
        <w:trPr>
          <w:trHeight w:val="260"/>
        </w:trPr>
        <w:tc>
          <w:tcPr>
            <w:tcW w:w="1271" w:type="dxa"/>
          </w:tcPr>
          <w:p w14:paraId="37511652" w14:textId="45C5A094" w:rsidR="00EE3DB5" w:rsidRDefault="00BF6575" w:rsidP="00EE3DB5">
            <w:pPr>
              <w:spacing w:after="120"/>
              <w:rPr>
                <w:sz w:val="20"/>
                <w:szCs w:val="20"/>
              </w:rPr>
            </w:pPr>
            <w:r>
              <w:rPr>
                <w:sz w:val="20"/>
                <w:szCs w:val="20"/>
              </w:rPr>
              <w:t>9</w:t>
            </w:r>
          </w:p>
        </w:tc>
        <w:tc>
          <w:tcPr>
            <w:tcW w:w="2126" w:type="dxa"/>
          </w:tcPr>
          <w:p w14:paraId="62CE8144" w14:textId="41A07B17" w:rsidR="00EE3DB5" w:rsidRPr="00BF6575" w:rsidRDefault="00B643C0" w:rsidP="00BF6575">
            <w:pPr>
              <w:rPr>
                <w:rFonts w:eastAsia="Times New Roman"/>
                <w:b/>
                <w:sz w:val="20"/>
                <w:szCs w:val="20"/>
                <w:lang w:eastAsia="en-GB"/>
              </w:rPr>
            </w:pPr>
            <w:r w:rsidRPr="00BF6575">
              <w:rPr>
                <w:rFonts w:eastAsia="Times New Roman"/>
                <w:sz w:val="20"/>
                <w:szCs w:val="20"/>
                <w:lang w:eastAsia="en-GB"/>
              </w:rPr>
              <w:t>AFME to respond</w:t>
            </w:r>
          </w:p>
        </w:tc>
        <w:tc>
          <w:tcPr>
            <w:tcW w:w="7060" w:type="dxa"/>
            <w:shd w:val="clear" w:color="auto" w:fill="auto"/>
          </w:tcPr>
          <w:p w14:paraId="2741E898" w14:textId="2EB2E285" w:rsidR="00EE3DB5" w:rsidRPr="00AF6407" w:rsidRDefault="004B0344" w:rsidP="00BF6575">
            <w:pPr>
              <w:spacing w:after="120"/>
              <w:rPr>
                <w:sz w:val="20"/>
                <w:szCs w:val="20"/>
                <w:highlight w:val="yellow"/>
              </w:rPr>
            </w:pPr>
            <w:r w:rsidRPr="00AF6407">
              <w:rPr>
                <w:sz w:val="20"/>
                <w:szCs w:val="20"/>
              </w:rPr>
              <w:t>Yes</w:t>
            </w:r>
            <w:r w:rsidRPr="009A4582">
              <w:rPr>
                <w:sz w:val="20"/>
                <w:szCs w:val="20"/>
              </w:rPr>
              <w:t xml:space="preserve"> </w:t>
            </w:r>
          </w:p>
        </w:tc>
      </w:tr>
      <w:tr w:rsidR="00EE3DB5" w14:paraId="57BD16FB" w14:textId="77777777" w:rsidTr="00147DD7">
        <w:trPr>
          <w:trHeight w:val="412"/>
        </w:trPr>
        <w:tc>
          <w:tcPr>
            <w:tcW w:w="1271" w:type="dxa"/>
          </w:tcPr>
          <w:p w14:paraId="5013C27B" w14:textId="3C4DA875" w:rsidR="00EE3DB5" w:rsidRDefault="00BF6575" w:rsidP="00EE3DB5">
            <w:pPr>
              <w:spacing w:after="120"/>
              <w:rPr>
                <w:sz w:val="20"/>
                <w:szCs w:val="20"/>
              </w:rPr>
            </w:pPr>
            <w:r>
              <w:rPr>
                <w:sz w:val="20"/>
                <w:szCs w:val="20"/>
              </w:rPr>
              <w:t>9.1</w:t>
            </w:r>
          </w:p>
        </w:tc>
        <w:tc>
          <w:tcPr>
            <w:tcW w:w="2126" w:type="dxa"/>
          </w:tcPr>
          <w:p w14:paraId="4CF70B58" w14:textId="70E73CCF" w:rsidR="00EE3DB5" w:rsidRPr="00CA62DC" w:rsidRDefault="0074623D" w:rsidP="00CA62DC">
            <w:pPr>
              <w:rPr>
                <w:sz w:val="20"/>
                <w:szCs w:val="20"/>
              </w:rPr>
            </w:pPr>
            <w:r w:rsidRPr="00CA62DC">
              <w:rPr>
                <w:sz w:val="20"/>
                <w:szCs w:val="20"/>
              </w:rPr>
              <w:t>AFME to respond</w:t>
            </w:r>
          </w:p>
        </w:tc>
        <w:tc>
          <w:tcPr>
            <w:tcW w:w="7060" w:type="dxa"/>
          </w:tcPr>
          <w:p w14:paraId="03A42903" w14:textId="2A300A47" w:rsidR="004B0344" w:rsidRPr="00375E12" w:rsidRDefault="006B1875" w:rsidP="00BF6575">
            <w:pPr>
              <w:pStyle w:val="ListParagraph"/>
              <w:numPr>
                <w:ilvl w:val="0"/>
                <w:numId w:val="26"/>
              </w:numPr>
              <w:spacing w:after="120"/>
              <w:ind w:left="184" w:hanging="142"/>
              <w:rPr>
                <w:sz w:val="20"/>
                <w:szCs w:val="20"/>
              </w:rPr>
            </w:pPr>
            <w:r w:rsidRPr="00375E12">
              <w:rPr>
                <w:sz w:val="20"/>
                <w:szCs w:val="20"/>
              </w:rPr>
              <w:t xml:space="preserve">We believe that further examination is needed regarding situations where, due to regulatory requirements, organisations have had to bear the costs for the business models of their competitors (for instance where PSD2 has </w:t>
            </w:r>
            <w:r w:rsidR="00502729" w:rsidRPr="00375E12">
              <w:rPr>
                <w:sz w:val="20"/>
                <w:szCs w:val="20"/>
              </w:rPr>
              <w:t xml:space="preserve">given rise to </w:t>
            </w:r>
            <w:r w:rsidRPr="00375E12">
              <w:rPr>
                <w:sz w:val="20"/>
                <w:szCs w:val="20"/>
              </w:rPr>
              <w:t xml:space="preserve">organisations </w:t>
            </w:r>
            <w:r w:rsidR="00502729" w:rsidRPr="00375E12">
              <w:rPr>
                <w:sz w:val="20"/>
                <w:szCs w:val="20"/>
              </w:rPr>
              <w:t xml:space="preserve">being able to </w:t>
            </w:r>
            <w:r w:rsidRPr="00375E12">
              <w:rPr>
                <w:sz w:val="20"/>
                <w:szCs w:val="20"/>
              </w:rPr>
              <w:t>develop banking services without</w:t>
            </w:r>
            <w:r w:rsidR="00502729" w:rsidRPr="00375E12">
              <w:rPr>
                <w:sz w:val="20"/>
                <w:szCs w:val="20"/>
              </w:rPr>
              <w:t xml:space="preserve"> the cost of</w:t>
            </w:r>
            <w:r w:rsidRPr="00375E12">
              <w:rPr>
                <w:sz w:val="20"/>
                <w:szCs w:val="20"/>
              </w:rPr>
              <w:t xml:space="preserve"> maintaining banking technology infrastructure). These initiatives could limit firm’s incentive and ability to invest in innovative technologies but may also have negative implications on their ability to maintain and continuously improve their technical infrastructure and business model.</w:t>
            </w:r>
          </w:p>
          <w:p w14:paraId="1B0155DD" w14:textId="430FEE98" w:rsidR="007616AF" w:rsidRPr="00FC7E67" w:rsidRDefault="007616AF" w:rsidP="007616AF">
            <w:pPr>
              <w:pStyle w:val="ListParagraph"/>
              <w:numPr>
                <w:ilvl w:val="0"/>
                <w:numId w:val="26"/>
              </w:numPr>
              <w:spacing w:after="120"/>
              <w:ind w:left="184" w:hanging="142"/>
              <w:rPr>
                <w:rFonts w:cs="Cambria"/>
                <w:sz w:val="20"/>
                <w:szCs w:val="20"/>
              </w:rPr>
            </w:pPr>
            <w:r>
              <w:rPr>
                <w:rFonts w:cs="Cambria"/>
                <w:sz w:val="20"/>
                <w:szCs w:val="20"/>
              </w:rPr>
              <w:t>T</w:t>
            </w:r>
            <w:r w:rsidRPr="00FC7E67">
              <w:rPr>
                <w:rFonts w:cs="Cambria"/>
                <w:sz w:val="20"/>
                <w:szCs w:val="20"/>
              </w:rPr>
              <w:t xml:space="preserve">he consolidated application of prudential requirements implies that, even if some of the services offered by banks can be conducted by subsidiaries that are not funded with deposits, authorities extend the application of prudential requirements to all entities within </w:t>
            </w:r>
            <w:r>
              <w:rPr>
                <w:rFonts w:cs="Cambria"/>
                <w:sz w:val="20"/>
                <w:szCs w:val="20"/>
              </w:rPr>
              <w:t xml:space="preserve">the </w:t>
            </w:r>
            <w:r w:rsidRPr="00FC7E67">
              <w:rPr>
                <w:rFonts w:cs="Cambria"/>
                <w:sz w:val="20"/>
                <w:szCs w:val="20"/>
              </w:rPr>
              <w:t>banking group. As a result, in performing th</w:t>
            </w:r>
            <w:r>
              <w:rPr>
                <w:rFonts w:cs="Cambria"/>
                <w:sz w:val="20"/>
                <w:szCs w:val="20"/>
              </w:rPr>
              <w:t>ese</w:t>
            </w:r>
            <w:r w:rsidRPr="00FC7E67">
              <w:rPr>
                <w:rFonts w:cs="Cambria"/>
                <w:sz w:val="20"/>
                <w:szCs w:val="20"/>
              </w:rPr>
              <w:t xml:space="preserve"> non-core activities (i.e. not funded with deposits), banks </w:t>
            </w:r>
            <w:proofErr w:type="gramStart"/>
            <w:r w:rsidRPr="00FC7E67">
              <w:rPr>
                <w:rFonts w:cs="Cambria"/>
                <w:sz w:val="20"/>
                <w:szCs w:val="20"/>
              </w:rPr>
              <w:t xml:space="preserve">have </w:t>
            </w:r>
            <w:r w:rsidR="007E0C95">
              <w:rPr>
                <w:rFonts w:cs="Cambria"/>
                <w:sz w:val="20"/>
                <w:szCs w:val="20"/>
              </w:rPr>
              <w:t>to</w:t>
            </w:r>
            <w:proofErr w:type="gramEnd"/>
            <w:r w:rsidR="007E0C95">
              <w:rPr>
                <w:rFonts w:cs="Cambria"/>
                <w:sz w:val="20"/>
                <w:szCs w:val="20"/>
              </w:rPr>
              <w:t xml:space="preserve"> </w:t>
            </w:r>
            <w:r>
              <w:rPr>
                <w:rFonts w:cs="Cambria"/>
                <w:sz w:val="20"/>
                <w:szCs w:val="20"/>
              </w:rPr>
              <w:t xml:space="preserve">account for the </w:t>
            </w:r>
            <w:r w:rsidRPr="00FC7E67">
              <w:rPr>
                <w:rFonts w:cs="Cambria"/>
                <w:sz w:val="20"/>
                <w:szCs w:val="20"/>
              </w:rPr>
              <w:t>additional burden of prudential regulation and supervision</w:t>
            </w:r>
            <w:r>
              <w:rPr>
                <w:rFonts w:cs="Cambria"/>
                <w:sz w:val="20"/>
                <w:szCs w:val="20"/>
              </w:rPr>
              <w:t>, regardless of the activity it is conducting</w:t>
            </w:r>
            <w:r w:rsidRPr="00FC7E67">
              <w:rPr>
                <w:rFonts w:cs="Cambria"/>
                <w:sz w:val="20"/>
                <w:szCs w:val="20"/>
              </w:rPr>
              <w:t xml:space="preserve">. </w:t>
            </w:r>
            <w:r>
              <w:rPr>
                <w:rFonts w:cs="Cambria"/>
                <w:sz w:val="20"/>
                <w:szCs w:val="20"/>
              </w:rPr>
              <w:t>T</w:t>
            </w:r>
            <w:r w:rsidRPr="00FC7E67">
              <w:rPr>
                <w:rFonts w:cs="Cambria"/>
                <w:sz w:val="20"/>
                <w:szCs w:val="20"/>
              </w:rPr>
              <w:t>he application of prudential rules also increases the cost and time-to-market of banks' digital transformation process</w:t>
            </w:r>
            <w:r>
              <w:rPr>
                <w:rFonts w:cs="Cambria"/>
                <w:sz w:val="20"/>
                <w:szCs w:val="20"/>
              </w:rPr>
              <w:t>es</w:t>
            </w:r>
            <w:r w:rsidRPr="00FC7E67">
              <w:rPr>
                <w:rFonts w:cs="Cambria"/>
                <w:sz w:val="20"/>
                <w:szCs w:val="20"/>
              </w:rPr>
              <w:t xml:space="preserve"> (e.g. imposing </w:t>
            </w:r>
            <w:r>
              <w:rPr>
                <w:rFonts w:cs="Cambria"/>
                <w:sz w:val="20"/>
                <w:szCs w:val="20"/>
              </w:rPr>
              <w:t xml:space="preserve">stringent </w:t>
            </w:r>
            <w:r w:rsidRPr="00FC7E67">
              <w:rPr>
                <w:rFonts w:cs="Cambria"/>
                <w:sz w:val="20"/>
                <w:szCs w:val="20"/>
              </w:rPr>
              <w:t>internal control</w:t>
            </w:r>
            <w:r>
              <w:rPr>
                <w:rFonts w:cs="Cambria"/>
                <w:sz w:val="20"/>
                <w:szCs w:val="20"/>
              </w:rPr>
              <w:t>s</w:t>
            </w:r>
            <w:r w:rsidRPr="00FC7E67">
              <w:rPr>
                <w:rFonts w:cs="Cambria"/>
                <w:sz w:val="20"/>
                <w:szCs w:val="20"/>
              </w:rPr>
              <w:t xml:space="preserve"> and risk management frameworks)</w:t>
            </w:r>
            <w:r w:rsidRPr="00FD358A">
              <w:rPr>
                <w:rFonts w:cs="Cambria"/>
                <w:sz w:val="20"/>
                <w:szCs w:val="20"/>
              </w:rPr>
              <w:t xml:space="preserve">, which add additional challenges </w:t>
            </w:r>
            <w:r w:rsidRPr="00FC7E67">
              <w:rPr>
                <w:rFonts w:cs="Cambria"/>
                <w:sz w:val="20"/>
                <w:szCs w:val="20"/>
              </w:rPr>
              <w:t xml:space="preserve">for talent attraction and retention.     </w:t>
            </w:r>
          </w:p>
          <w:p w14:paraId="3E327CA5" w14:textId="2671B6D7" w:rsidR="005D7BC3" w:rsidRPr="00AF6407" w:rsidRDefault="005D7BC3">
            <w:pPr>
              <w:pStyle w:val="ListParagraph"/>
              <w:numPr>
                <w:ilvl w:val="0"/>
                <w:numId w:val="26"/>
              </w:numPr>
              <w:spacing w:after="120"/>
              <w:ind w:left="184" w:hanging="142"/>
              <w:rPr>
                <w:sz w:val="20"/>
                <w:szCs w:val="20"/>
              </w:rPr>
            </w:pPr>
            <w:r w:rsidRPr="00375E12">
              <w:rPr>
                <w:sz w:val="20"/>
                <w:szCs w:val="20"/>
              </w:rPr>
              <w:t>Additionally</w:t>
            </w:r>
            <w:r w:rsidR="00502729" w:rsidRPr="00375E12">
              <w:rPr>
                <w:sz w:val="20"/>
                <w:szCs w:val="20"/>
              </w:rPr>
              <w:t xml:space="preserve">, this could result in making more difficult for </w:t>
            </w:r>
            <w:r w:rsidR="00375E12">
              <w:rPr>
                <w:sz w:val="20"/>
                <w:szCs w:val="20"/>
              </w:rPr>
              <w:t xml:space="preserve">potential </w:t>
            </w:r>
            <w:r w:rsidR="00502729" w:rsidRPr="00375E12">
              <w:rPr>
                <w:sz w:val="20"/>
                <w:szCs w:val="20"/>
              </w:rPr>
              <w:t>clients to find/access banks services</w:t>
            </w:r>
            <w:r w:rsidR="00375E12">
              <w:rPr>
                <w:sz w:val="20"/>
                <w:szCs w:val="20"/>
              </w:rPr>
              <w:t>,</w:t>
            </w:r>
            <w:r w:rsidR="00502729" w:rsidRPr="00375E12">
              <w:rPr>
                <w:sz w:val="20"/>
                <w:szCs w:val="20"/>
              </w:rPr>
              <w:t xml:space="preserve"> than non-banks. Currently all </w:t>
            </w:r>
            <w:r w:rsidR="00502729" w:rsidRPr="00AF6407">
              <w:rPr>
                <w:sz w:val="20"/>
                <w:szCs w:val="20"/>
              </w:rPr>
              <w:t xml:space="preserve">entities of </w:t>
            </w:r>
            <w:r w:rsidR="00502729" w:rsidRPr="00375E12">
              <w:rPr>
                <w:sz w:val="20"/>
                <w:szCs w:val="20"/>
              </w:rPr>
              <w:t xml:space="preserve">a bank </w:t>
            </w:r>
            <w:r w:rsidR="00502729" w:rsidRPr="00AF6407">
              <w:rPr>
                <w:sz w:val="20"/>
                <w:szCs w:val="20"/>
              </w:rPr>
              <w:t xml:space="preserve">group </w:t>
            </w:r>
            <w:r w:rsidR="00502729" w:rsidRPr="00375E12">
              <w:rPr>
                <w:sz w:val="20"/>
                <w:szCs w:val="20"/>
              </w:rPr>
              <w:t xml:space="preserve">must </w:t>
            </w:r>
            <w:r w:rsidR="00502729" w:rsidRPr="00AF6407">
              <w:rPr>
                <w:sz w:val="20"/>
                <w:szCs w:val="20"/>
              </w:rPr>
              <w:t xml:space="preserve">apply equally comprehensive </w:t>
            </w:r>
            <w:r w:rsidR="002C46CA">
              <w:rPr>
                <w:sz w:val="20"/>
                <w:szCs w:val="20"/>
              </w:rPr>
              <w:t>client/</w:t>
            </w:r>
            <w:r w:rsidR="00502729" w:rsidRPr="00AF6407">
              <w:rPr>
                <w:sz w:val="20"/>
                <w:szCs w:val="20"/>
              </w:rPr>
              <w:t xml:space="preserve">consumer protection rules. </w:t>
            </w:r>
            <w:r w:rsidR="00502729" w:rsidRPr="00375E12">
              <w:rPr>
                <w:sz w:val="20"/>
                <w:szCs w:val="20"/>
              </w:rPr>
              <w:lastRenderedPageBreak/>
              <w:t>N</w:t>
            </w:r>
            <w:r w:rsidR="00502729" w:rsidRPr="00AF6407">
              <w:rPr>
                <w:sz w:val="20"/>
                <w:szCs w:val="20"/>
              </w:rPr>
              <w:t>on-</w:t>
            </w:r>
            <w:r w:rsidR="00502729" w:rsidRPr="00375E12">
              <w:rPr>
                <w:sz w:val="20"/>
                <w:szCs w:val="20"/>
              </w:rPr>
              <w:t xml:space="preserve">bank group </w:t>
            </w:r>
            <w:r w:rsidR="00502729" w:rsidRPr="00AF6407">
              <w:rPr>
                <w:sz w:val="20"/>
                <w:szCs w:val="20"/>
              </w:rPr>
              <w:t xml:space="preserve">are not obliged to comply with </w:t>
            </w:r>
            <w:r w:rsidR="00502729" w:rsidRPr="00375E12">
              <w:rPr>
                <w:sz w:val="20"/>
                <w:szCs w:val="20"/>
              </w:rPr>
              <w:t xml:space="preserve">these </w:t>
            </w:r>
            <w:r w:rsidR="00502729" w:rsidRPr="00AF6407">
              <w:rPr>
                <w:sz w:val="20"/>
                <w:szCs w:val="20"/>
              </w:rPr>
              <w:t xml:space="preserve">requirements, </w:t>
            </w:r>
            <w:r w:rsidR="00502729" w:rsidRPr="00375E12">
              <w:rPr>
                <w:sz w:val="20"/>
                <w:szCs w:val="20"/>
              </w:rPr>
              <w:t>making it easier for potential clients to find/</w:t>
            </w:r>
            <w:r w:rsidR="00502729" w:rsidRPr="00AF6407">
              <w:rPr>
                <w:sz w:val="20"/>
                <w:szCs w:val="20"/>
              </w:rPr>
              <w:t xml:space="preserve">access </w:t>
            </w:r>
            <w:r w:rsidR="00375E12">
              <w:rPr>
                <w:sz w:val="20"/>
                <w:szCs w:val="20"/>
              </w:rPr>
              <w:t>their services</w:t>
            </w:r>
            <w:r w:rsidR="00502729" w:rsidRPr="00AF6407">
              <w:rPr>
                <w:sz w:val="20"/>
                <w:szCs w:val="20"/>
              </w:rPr>
              <w:t>.</w:t>
            </w:r>
          </w:p>
          <w:p w14:paraId="4427A3B5" w14:textId="44E3E03E" w:rsidR="00502729" w:rsidRPr="00375E12" w:rsidRDefault="00502729" w:rsidP="006B1875">
            <w:pPr>
              <w:pStyle w:val="ListParagraph"/>
              <w:numPr>
                <w:ilvl w:val="0"/>
                <w:numId w:val="26"/>
              </w:numPr>
              <w:spacing w:after="120"/>
              <w:ind w:left="184" w:hanging="142"/>
              <w:rPr>
                <w:sz w:val="20"/>
                <w:szCs w:val="20"/>
              </w:rPr>
            </w:pPr>
            <w:r w:rsidRPr="00375E12">
              <w:rPr>
                <w:sz w:val="20"/>
                <w:szCs w:val="20"/>
              </w:rPr>
              <w:t>AFME recommends the European Commission consider scenarios where</w:t>
            </w:r>
            <w:r w:rsidR="00375E12" w:rsidRPr="00375E12">
              <w:rPr>
                <w:sz w:val="20"/>
                <w:szCs w:val="20"/>
              </w:rPr>
              <w:t>, if certain circumstances are met,</w:t>
            </w:r>
            <w:r w:rsidRPr="00375E12">
              <w:rPr>
                <w:sz w:val="20"/>
                <w:szCs w:val="20"/>
              </w:rPr>
              <w:t xml:space="preserve"> the prudential</w:t>
            </w:r>
            <w:r w:rsidR="00375E12" w:rsidRPr="00375E12">
              <w:rPr>
                <w:sz w:val="20"/>
                <w:szCs w:val="20"/>
              </w:rPr>
              <w:t>, regulatory, supervisory</w:t>
            </w:r>
            <w:r w:rsidRPr="00375E12">
              <w:rPr>
                <w:sz w:val="20"/>
                <w:szCs w:val="20"/>
              </w:rPr>
              <w:t xml:space="preserve"> framework could apply in a proportionate manner, to those activities/function that are not </w:t>
            </w:r>
            <w:r w:rsidR="00375E12" w:rsidRPr="00375E12">
              <w:rPr>
                <w:sz w:val="20"/>
                <w:szCs w:val="20"/>
              </w:rPr>
              <w:t xml:space="preserve">banking activities. </w:t>
            </w:r>
            <w:r w:rsidR="002218A1">
              <w:rPr>
                <w:sz w:val="20"/>
                <w:szCs w:val="20"/>
              </w:rPr>
              <w:t xml:space="preserve">For </w:t>
            </w:r>
            <w:r w:rsidR="007E0C95">
              <w:rPr>
                <w:sz w:val="20"/>
                <w:szCs w:val="20"/>
              </w:rPr>
              <w:t>financial institutions (FIs)</w:t>
            </w:r>
            <w:r w:rsidR="002218A1">
              <w:rPr>
                <w:sz w:val="20"/>
                <w:szCs w:val="20"/>
              </w:rPr>
              <w:t>,</w:t>
            </w:r>
            <w:r w:rsidR="002218A1" w:rsidRPr="005459DF">
              <w:rPr>
                <w:sz w:val="20"/>
                <w:szCs w:val="20"/>
              </w:rPr>
              <w:t xml:space="preserve"> </w:t>
            </w:r>
            <w:r w:rsidR="002218A1">
              <w:rPr>
                <w:sz w:val="20"/>
                <w:szCs w:val="20"/>
              </w:rPr>
              <w:t>t</w:t>
            </w:r>
            <w:r w:rsidR="00375E12" w:rsidRPr="00375E12">
              <w:rPr>
                <w:sz w:val="20"/>
                <w:szCs w:val="20"/>
              </w:rPr>
              <w:t>his may alleviate some of the burden to innovate</w:t>
            </w:r>
            <w:r w:rsidR="002218A1">
              <w:rPr>
                <w:sz w:val="20"/>
                <w:szCs w:val="20"/>
              </w:rPr>
              <w:t xml:space="preserve">, </w:t>
            </w:r>
            <w:r w:rsidR="00375E12" w:rsidRPr="00375E12">
              <w:rPr>
                <w:sz w:val="20"/>
                <w:szCs w:val="20"/>
              </w:rPr>
              <w:t>while levelling the playing field.</w:t>
            </w:r>
            <w:r w:rsidR="00C472B1">
              <w:rPr>
                <w:sz w:val="20"/>
                <w:szCs w:val="20"/>
              </w:rPr>
              <w:t xml:space="preserve"> Conversely, if </w:t>
            </w:r>
            <w:r w:rsidR="00C472B1" w:rsidRPr="00C472B1">
              <w:rPr>
                <w:sz w:val="20"/>
                <w:szCs w:val="20"/>
              </w:rPr>
              <w:t>non-F</w:t>
            </w:r>
            <w:r w:rsidR="00C472B1">
              <w:rPr>
                <w:sz w:val="20"/>
                <w:szCs w:val="20"/>
              </w:rPr>
              <w:t>I</w:t>
            </w:r>
            <w:r w:rsidR="00C472B1" w:rsidRPr="00C472B1">
              <w:rPr>
                <w:sz w:val="20"/>
                <w:szCs w:val="20"/>
              </w:rPr>
              <w:t xml:space="preserve">s conduct banking activities, either directly or indirectly, </w:t>
            </w:r>
            <w:r w:rsidR="00C472B1">
              <w:rPr>
                <w:sz w:val="20"/>
                <w:szCs w:val="20"/>
              </w:rPr>
              <w:t xml:space="preserve">those should be </w:t>
            </w:r>
            <w:r w:rsidR="00C472B1" w:rsidRPr="00C472B1">
              <w:rPr>
                <w:sz w:val="20"/>
                <w:szCs w:val="20"/>
              </w:rPr>
              <w:t>included in the prudential</w:t>
            </w:r>
            <w:r w:rsidR="00C472B1" w:rsidRPr="00375E12">
              <w:rPr>
                <w:sz w:val="20"/>
                <w:szCs w:val="20"/>
              </w:rPr>
              <w:t>, regulatory, supervisory framework</w:t>
            </w:r>
            <w:r w:rsidR="00C472B1">
              <w:rPr>
                <w:sz w:val="20"/>
                <w:szCs w:val="20"/>
              </w:rPr>
              <w:t xml:space="preserve"> in a proportionate manner so as not to stifle innovation.</w:t>
            </w:r>
          </w:p>
          <w:p w14:paraId="3C7B0D61" w14:textId="0786E0EA" w:rsidR="00B7725E" w:rsidRPr="00AF6407" w:rsidRDefault="00375E12">
            <w:pPr>
              <w:pStyle w:val="ListParagraph"/>
              <w:numPr>
                <w:ilvl w:val="0"/>
                <w:numId w:val="26"/>
              </w:numPr>
              <w:spacing w:after="120"/>
              <w:ind w:left="184" w:hanging="142"/>
              <w:rPr>
                <w:sz w:val="20"/>
                <w:szCs w:val="20"/>
              </w:rPr>
            </w:pPr>
            <w:r w:rsidRPr="00375E12">
              <w:rPr>
                <w:sz w:val="20"/>
                <w:szCs w:val="20"/>
              </w:rPr>
              <w:t>Further</w:t>
            </w:r>
            <w:r>
              <w:rPr>
                <w:sz w:val="20"/>
                <w:szCs w:val="20"/>
              </w:rPr>
              <w:t xml:space="preserve">, AFME warrants the European Commission to carefully consider how to appropriately mitigate risks stemming from </w:t>
            </w:r>
            <w:r w:rsidRPr="00375E12">
              <w:rPr>
                <w:sz w:val="20"/>
                <w:szCs w:val="20"/>
              </w:rPr>
              <w:t xml:space="preserve">new </w:t>
            </w:r>
            <w:r w:rsidR="00C30695">
              <w:rPr>
                <w:sz w:val="20"/>
                <w:szCs w:val="20"/>
              </w:rPr>
              <w:t>market entrants</w:t>
            </w:r>
            <w:r>
              <w:rPr>
                <w:sz w:val="20"/>
                <w:szCs w:val="20"/>
              </w:rPr>
              <w:t xml:space="preserve"> which could quickly gain systemic importance</w:t>
            </w:r>
            <w:r w:rsidRPr="00375E12">
              <w:rPr>
                <w:sz w:val="20"/>
                <w:szCs w:val="20"/>
              </w:rPr>
              <w:t xml:space="preserve">. </w:t>
            </w:r>
            <w:r>
              <w:rPr>
                <w:sz w:val="20"/>
                <w:szCs w:val="20"/>
              </w:rPr>
              <w:t>As identified in the BIS report</w:t>
            </w:r>
            <w:r>
              <w:rPr>
                <w:rStyle w:val="FootnoteReference"/>
                <w:sz w:val="20"/>
                <w:szCs w:val="20"/>
              </w:rPr>
              <w:footnoteReference w:id="23"/>
            </w:r>
            <w:r>
              <w:rPr>
                <w:sz w:val="20"/>
                <w:szCs w:val="20"/>
              </w:rPr>
              <w:t xml:space="preserve">, while </w:t>
            </w:r>
            <w:proofErr w:type="spellStart"/>
            <w:r>
              <w:rPr>
                <w:sz w:val="20"/>
                <w:szCs w:val="20"/>
              </w:rPr>
              <w:t>Big</w:t>
            </w:r>
            <w:r w:rsidR="007E0C95">
              <w:rPr>
                <w:sz w:val="20"/>
                <w:szCs w:val="20"/>
              </w:rPr>
              <w:t>T</w:t>
            </w:r>
            <w:r>
              <w:rPr>
                <w:sz w:val="20"/>
                <w:szCs w:val="20"/>
              </w:rPr>
              <w:t>ech</w:t>
            </w:r>
            <w:proofErr w:type="spellEnd"/>
            <w:r>
              <w:rPr>
                <w:sz w:val="20"/>
                <w:szCs w:val="20"/>
              </w:rPr>
              <w:t xml:space="preserve"> present opportunities</w:t>
            </w:r>
            <w:r w:rsidR="002218A1">
              <w:rPr>
                <w:sz w:val="20"/>
                <w:szCs w:val="20"/>
              </w:rPr>
              <w:t xml:space="preserve"> for efficiency</w:t>
            </w:r>
            <w:r w:rsidR="001425ED">
              <w:rPr>
                <w:sz w:val="20"/>
                <w:szCs w:val="20"/>
              </w:rPr>
              <w:t>,</w:t>
            </w:r>
            <w:r w:rsidR="002218A1">
              <w:rPr>
                <w:sz w:val="20"/>
                <w:szCs w:val="20"/>
              </w:rPr>
              <w:t xml:space="preserve"> inclusion</w:t>
            </w:r>
            <w:r>
              <w:rPr>
                <w:sz w:val="20"/>
                <w:szCs w:val="20"/>
              </w:rPr>
              <w:t xml:space="preserve">, </w:t>
            </w:r>
            <w:r w:rsidR="001425ED">
              <w:rPr>
                <w:sz w:val="20"/>
                <w:szCs w:val="20"/>
              </w:rPr>
              <w:t xml:space="preserve">increased market competition, </w:t>
            </w:r>
            <w:r>
              <w:rPr>
                <w:sz w:val="20"/>
                <w:szCs w:val="20"/>
              </w:rPr>
              <w:t xml:space="preserve">regulators should ensure a level playing field </w:t>
            </w:r>
            <w:r w:rsidR="002218A1">
              <w:rPr>
                <w:sz w:val="20"/>
                <w:szCs w:val="20"/>
              </w:rPr>
              <w:t xml:space="preserve">is maintained </w:t>
            </w:r>
            <w:r>
              <w:rPr>
                <w:sz w:val="20"/>
                <w:szCs w:val="20"/>
              </w:rPr>
              <w:t>under the principle of ‘</w:t>
            </w:r>
            <w:r w:rsidRPr="00375E12">
              <w:rPr>
                <w:sz w:val="20"/>
                <w:szCs w:val="20"/>
              </w:rPr>
              <w:t>same risk, same activity, same regulation’</w:t>
            </w:r>
            <w:r>
              <w:rPr>
                <w:sz w:val="20"/>
                <w:szCs w:val="20"/>
              </w:rPr>
              <w:t>.</w:t>
            </w:r>
            <w:r w:rsidR="001425ED">
              <w:rPr>
                <w:sz w:val="20"/>
                <w:szCs w:val="20"/>
              </w:rPr>
              <w:t xml:space="preserve"> This is essential to ensure any risks to clients/consumers or market stability are appropriately mitigated.</w:t>
            </w:r>
            <w:r>
              <w:rPr>
                <w:sz w:val="20"/>
                <w:szCs w:val="20"/>
              </w:rPr>
              <w:t xml:space="preserve"> </w:t>
            </w:r>
            <w:r w:rsidR="001425ED">
              <w:rPr>
                <w:sz w:val="20"/>
                <w:szCs w:val="20"/>
              </w:rPr>
              <w:t xml:space="preserve">However, as stated in the BIS report, </w:t>
            </w:r>
            <w:proofErr w:type="spellStart"/>
            <w:r w:rsidRPr="00375E12">
              <w:rPr>
                <w:sz w:val="20"/>
                <w:szCs w:val="20"/>
              </w:rPr>
              <w:t>Big</w:t>
            </w:r>
            <w:r w:rsidR="007E0C95">
              <w:rPr>
                <w:sz w:val="20"/>
                <w:szCs w:val="20"/>
              </w:rPr>
              <w:t>T</w:t>
            </w:r>
            <w:r w:rsidRPr="00375E12">
              <w:rPr>
                <w:sz w:val="20"/>
                <w:szCs w:val="20"/>
              </w:rPr>
              <w:t>ech</w:t>
            </w:r>
            <w:proofErr w:type="spellEnd"/>
            <w:r>
              <w:rPr>
                <w:sz w:val="20"/>
                <w:szCs w:val="20"/>
              </w:rPr>
              <w:t xml:space="preserve"> </w:t>
            </w:r>
            <w:r w:rsidR="001425ED">
              <w:rPr>
                <w:sz w:val="20"/>
                <w:szCs w:val="20"/>
              </w:rPr>
              <w:t xml:space="preserve">could </w:t>
            </w:r>
            <w:r w:rsidRPr="00375E12">
              <w:rPr>
                <w:sz w:val="20"/>
                <w:szCs w:val="20"/>
              </w:rPr>
              <w:t>present</w:t>
            </w:r>
            <w:r>
              <w:rPr>
                <w:sz w:val="20"/>
                <w:szCs w:val="20"/>
              </w:rPr>
              <w:t xml:space="preserve"> </w:t>
            </w:r>
            <w:r w:rsidRPr="00375E12">
              <w:rPr>
                <w:sz w:val="20"/>
                <w:szCs w:val="20"/>
              </w:rPr>
              <w:t>new and complex trade-offs</w:t>
            </w:r>
            <w:r>
              <w:rPr>
                <w:sz w:val="20"/>
                <w:szCs w:val="20"/>
              </w:rPr>
              <w:t xml:space="preserve">, due to their size and </w:t>
            </w:r>
            <w:r w:rsidR="002218A1">
              <w:rPr>
                <w:sz w:val="20"/>
                <w:szCs w:val="20"/>
              </w:rPr>
              <w:t>innovative business model, where if structural changes are brought may require different policy approaches.</w:t>
            </w:r>
            <w:r w:rsidRPr="00AF6407">
              <w:rPr>
                <w:sz w:val="20"/>
                <w:szCs w:val="20"/>
              </w:rPr>
              <w:t xml:space="preserve"> </w:t>
            </w:r>
          </w:p>
        </w:tc>
      </w:tr>
      <w:tr w:rsidR="00AF5B4C" w14:paraId="667BDDF5" w14:textId="77777777" w:rsidTr="0053138D">
        <w:trPr>
          <w:trHeight w:val="423"/>
        </w:trPr>
        <w:tc>
          <w:tcPr>
            <w:tcW w:w="1271" w:type="dxa"/>
            <w:vMerge w:val="restart"/>
          </w:tcPr>
          <w:p w14:paraId="0C2785BC" w14:textId="42BD4C45" w:rsidR="00AF5B4C" w:rsidRDefault="00AF5B4C" w:rsidP="00EE3DB5">
            <w:pPr>
              <w:spacing w:after="120"/>
              <w:rPr>
                <w:sz w:val="20"/>
                <w:szCs w:val="20"/>
              </w:rPr>
            </w:pPr>
            <w:r>
              <w:rPr>
                <w:sz w:val="20"/>
                <w:szCs w:val="20"/>
              </w:rPr>
              <w:lastRenderedPageBreak/>
              <w:t>10</w:t>
            </w:r>
          </w:p>
        </w:tc>
        <w:tc>
          <w:tcPr>
            <w:tcW w:w="2126" w:type="dxa"/>
          </w:tcPr>
          <w:p w14:paraId="7F051A33" w14:textId="645520E2" w:rsidR="00AF5B4C" w:rsidRPr="00422C40" w:rsidRDefault="00AF5B4C" w:rsidP="00A373BD">
            <w:pPr>
              <w:rPr>
                <w:rFonts w:eastAsia="Times New Roman"/>
                <w:b/>
                <w:sz w:val="20"/>
                <w:szCs w:val="20"/>
                <w:lang w:eastAsia="en-GB"/>
              </w:rPr>
            </w:pPr>
            <w:r w:rsidRPr="00422C40">
              <w:rPr>
                <w:rFonts w:eastAsia="Times New Roman"/>
                <w:sz w:val="20"/>
                <w:szCs w:val="20"/>
                <w:lang w:eastAsia="en-GB"/>
              </w:rPr>
              <w:t>AFME to respond</w:t>
            </w:r>
            <w:r>
              <w:rPr>
                <w:rFonts w:eastAsia="Times New Roman"/>
                <w:sz w:val="20"/>
                <w:szCs w:val="20"/>
                <w:lang w:eastAsia="en-GB"/>
              </w:rPr>
              <w:t xml:space="preserve"> </w:t>
            </w:r>
          </w:p>
        </w:tc>
        <w:tc>
          <w:tcPr>
            <w:tcW w:w="7060" w:type="dxa"/>
          </w:tcPr>
          <w:p w14:paraId="7C9B1B98" w14:textId="2DE33137" w:rsidR="00AF5B4C" w:rsidRDefault="00AF5B4C" w:rsidP="00CA62DC">
            <w:pPr>
              <w:pStyle w:val="ListParagraph"/>
              <w:numPr>
                <w:ilvl w:val="0"/>
                <w:numId w:val="26"/>
              </w:numPr>
              <w:spacing w:after="120"/>
              <w:ind w:left="184" w:hanging="142"/>
              <w:rPr>
                <w:sz w:val="20"/>
                <w:szCs w:val="20"/>
              </w:rPr>
            </w:pPr>
            <w:r w:rsidRPr="00BF6575">
              <w:rPr>
                <w:sz w:val="20"/>
                <w:szCs w:val="20"/>
              </w:rPr>
              <w:t>Liquidity risk in interbank market (e.g. increased volatility)</w:t>
            </w:r>
            <w:r w:rsidR="00007A4F">
              <w:rPr>
                <w:sz w:val="20"/>
                <w:szCs w:val="20"/>
              </w:rPr>
              <w:t xml:space="preserve">: </w:t>
            </w:r>
            <w:r w:rsidR="00E324CF">
              <w:rPr>
                <w:sz w:val="20"/>
                <w:szCs w:val="20"/>
              </w:rPr>
              <w:t>4 – increase in risks</w:t>
            </w:r>
          </w:p>
          <w:p w14:paraId="6102181B" w14:textId="7FE3D1B6" w:rsidR="00AF5B4C" w:rsidRDefault="00AF5B4C" w:rsidP="00CA62DC">
            <w:pPr>
              <w:pStyle w:val="ListParagraph"/>
              <w:numPr>
                <w:ilvl w:val="0"/>
                <w:numId w:val="26"/>
              </w:numPr>
              <w:spacing w:after="120"/>
              <w:ind w:left="184" w:hanging="142"/>
              <w:rPr>
                <w:sz w:val="20"/>
                <w:szCs w:val="20"/>
              </w:rPr>
            </w:pPr>
            <w:r w:rsidRPr="00BF6575">
              <w:rPr>
                <w:sz w:val="20"/>
                <w:szCs w:val="20"/>
              </w:rPr>
              <w:t xml:space="preserve">Liquidity risk for </w:t>
            </w:r>
            <w:proofErr w:type="gramStart"/>
            <w:r w:rsidRPr="00BF6575">
              <w:rPr>
                <w:sz w:val="20"/>
                <w:szCs w:val="20"/>
              </w:rPr>
              <w:t>particular credit</w:t>
            </w:r>
            <w:proofErr w:type="gramEnd"/>
            <w:r w:rsidRPr="00BF6575">
              <w:rPr>
                <w:sz w:val="20"/>
                <w:szCs w:val="20"/>
              </w:rPr>
              <w:t xml:space="preserve"> institutions</w:t>
            </w:r>
            <w:r w:rsidR="00007A4F">
              <w:rPr>
                <w:sz w:val="20"/>
                <w:szCs w:val="20"/>
              </w:rPr>
              <w:t xml:space="preserve">: </w:t>
            </w:r>
            <w:r w:rsidR="00E324CF">
              <w:rPr>
                <w:sz w:val="20"/>
                <w:szCs w:val="20"/>
              </w:rPr>
              <w:t>4 – increase in risks</w:t>
            </w:r>
          </w:p>
          <w:p w14:paraId="43082773" w14:textId="61F11EF0" w:rsidR="00AF5B4C" w:rsidRDefault="00AF5B4C" w:rsidP="00CA62DC">
            <w:pPr>
              <w:pStyle w:val="ListParagraph"/>
              <w:numPr>
                <w:ilvl w:val="0"/>
                <w:numId w:val="26"/>
              </w:numPr>
              <w:spacing w:after="120"/>
              <w:ind w:left="184" w:hanging="142"/>
              <w:rPr>
                <w:sz w:val="20"/>
                <w:szCs w:val="20"/>
              </w:rPr>
            </w:pPr>
            <w:r w:rsidRPr="00BF6575">
              <w:rPr>
                <w:sz w:val="20"/>
                <w:szCs w:val="20"/>
              </w:rPr>
              <w:t>Liquidity risk for asset management companies</w:t>
            </w:r>
            <w:r w:rsidR="00007A4F">
              <w:rPr>
                <w:sz w:val="20"/>
                <w:szCs w:val="20"/>
              </w:rPr>
              <w:t xml:space="preserve">: </w:t>
            </w:r>
            <w:r w:rsidR="00E324CF">
              <w:rPr>
                <w:sz w:val="20"/>
                <w:szCs w:val="20"/>
              </w:rPr>
              <w:t>4 – increase in risks</w:t>
            </w:r>
          </w:p>
          <w:p w14:paraId="37043398" w14:textId="6EE9E350" w:rsidR="00AF5B4C" w:rsidRDefault="00AF5B4C" w:rsidP="00CA62DC">
            <w:pPr>
              <w:pStyle w:val="ListParagraph"/>
              <w:numPr>
                <w:ilvl w:val="0"/>
                <w:numId w:val="26"/>
              </w:numPr>
              <w:spacing w:after="120"/>
              <w:ind w:left="184" w:hanging="142"/>
              <w:rPr>
                <w:sz w:val="20"/>
                <w:szCs w:val="20"/>
              </w:rPr>
            </w:pPr>
            <w:r w:rsidRPr="00BF6575">
              <w:rPr>
                <w:sz w:val="20"/>
                <w:szCs w:val="20"/>
              </w:rPr>
              <w:t>Credit risk</w:t>
            </w:r>
            <w:r w:rsidR="00164F59">
              <w:rPr>
                <w:sz w:val="20"/>
                <w:szCs w:val="20"/>
              </w:rPr>
              <w:t xml:space="preserve"> for </w:t>
            </w:r>
            <w:r w:rsidRPr="00BF6575">
              <w:rPr>
                <w:sz w:val="20"/>
                <w:szCs w:val="20"/>
              </w:rPr>
              <w:t>household lending</w:t>
            </w:r>
            <w:r w:rsidR="00007A4F">
              <w:rPr>
                <w:sz w:val="20"/>
                <w:szCs w:val="20"/>
              </w:rPr>
              <w:t xml:space="preserve">: </w:t>
            </w:r>
            <w:r w:rsidR="00690F06" w:rsidRPr="00AF6407">
              <w:rPr>
                <w:sz w:val="20"/>
                <w:szCs w:val="20"/>
              </w:rPr>
              <w:t>N/A</w:t>
            </w:r>
          </w:p>
          <w:p w14:paraId="11F51AFD" w14:textId="4F0BA357" w:rsidR="00AF5B4C" w:rsidRDefault="00AF5B4C" w:rsidP="00CA62DC">
            <w:pPr>
              <w:pStyle w:val="ListParagraph"/>
              <w:numPr>
                <w:ilvl w:val="0"/>
                <w:numId w:val="26"/>
              </w:numPr>
              <w:spacing w:after="120"/>
              <w:ind w:left="184" w:hanging="142"/>
              <w:rPr>
                <w:sz w:val="20"/>
                <w:szCs w:val="20"/>
              </w:rPr>
            </w:pPr>
            <w:r w:rsidRPr="00BF6575">
              <w:rPr>
                <w:sz w:val="20"/>
                <w:szCs w:val="20"/>
              </w:rPr>
              <w:t>Credit risk</w:t>
            </w:r>
            <w:r w:rsidR="00164F59">
              <w:rPr>
                <w:sz w:val="20"/>
                <w:szCs w:val="20"/>
              </w:rPr>
              <w:t xml:space="preserve"> for </w:t>
            </w:r>
            <w:r w:rsidRPr="00BF6575">
              <w:rPr>
                <w:sz w:val="20"/>
                <w:szCs w:val="20"/>
              </w:rPr>
              <w:t>SME lendin</w:t>
            </w:r>
            <w:r>
              <w:rPr>
                <w:sz w:val="20"/>
                <w:szCs w:val="20"/>
              </w:rPr>
              <w:t>g</w:t>
            </w:r>
            <w:r w:rsidR="00164F59">
              <w:rPr>
                <w:sz w:val="20"/>
                <w:szCs w:val="20"/>
              </w:rPr>
              <w:t>:</w:t>
            </w:r>
            <w:r w:rsidR="00690F06">
              <w:rPr>
                <w:sz w:val="20"/>
                <w:szCs w:val="20"/>
              </w:rPr>
              <w:t xml:space="preserve"> 4</w:t>
            </w:r>
            <w:r w:rsidR="00164F59">
              <w:rPr>
                <w:sz w:val="20"/>
                <w:szCs w:val="20"/>
              </w:rPr>
              <w:t xml:space="preserve"> –</w:t>
            </w:r>
            <w:r w:rsidR="00690F06">
              <w:rPr>
                <w:sz w:val="20"/>
                <w:szCs w:val="20"/>
              </w:rPr>
              <w:t xml:space="preserve"> i</w:t>
            </w:r>
            <w:r w:rsidR="00164F59">
              <w:rPr>
                <w:sz w:val="20"/>
                <w:szCs w:val="20"/>
              </w:rPr>
              <w:t>ncrease in risks</w:t>
            </w:r>
          </w:p>
          <w:p w14:paraId="4D30A13B" w14:textId="539FF458" w:rsidR="00AF5B4C" w:rsidRDefault="00AF5B4C" w:rsidP="00CA62DC">
            <w:pPr>
              <w:pStyle w:val="ListParagraph"/>
              <w:numPr>
                <w:ilvl w:val="0"/>
                <w:numId w:val="26"/>
              </w:numPr>
              <w:spacing w:after="120"/>
              <w:ind w:left="184" w:hanging="142"/>
              <w:rPr>
                <w:sz w:val="20"/>
                <w:szCs w:val="20"/>
              </w:rPr>
            </w:pPr>
            <w:r w:rsidRPr="00BF6575">
              <w:rPr>
                <w:sz w:val="20"/>
                <w:szCs w:val="20"/>
              </w:rPr>
              <w:t>Credit risk</w:t>
            </w:r>
            <w:r w:rsidR="00164F59">
              <w:rPr>
                <w:sz w:val="20"/>
                <w:szCs w:val="20"/>
              </w:rPr>
              <w:t xml:space="preserve"> for </w:t>
            </w:r>
            <w:r w:rsidRPr="00BF6575">
              <w:rPr>
                <w:sz w:val="20"/>
                <w:szCs w:val="20"/>
              </w:rPr>
              <w:t>corporate lending</w:t>
            </w:r>
            <w:r w:rsidR="00164F59">
              <w:rPr>
                <w:sz w:val="20"/>
                <w:szCs w:val="20"/>
              </w:rPr>
              <w:t xml:space="preserve">: </w:t>
            </w:r>
            <w:r w:rsidR="00690F06">
              <w:rPr>
                <w:sz w:val="20"/>
                <w:szCs w:val="20"/>
              </w:rPr>
              <w:t>4 – increase in risks</w:t>
            </w:r>
          </w:p>
          <w:p w14:paraId="026F3325" w14:textId="7A3CC5B6" w:rsidR="00AF5B4C" w:rsidRDefault="00AF5B4C" w:rsidP="00CA62DC">
            <w:pPr>
              <w:pStyle w:val="ListParagraph"/>
              <w:numPr>
                <w:ilvl w:val="0"/>
                <w:numId w:val="26"/>
              </w:numPr>
              <w:spacing w:after="120"/>
              <w:ind w:left="184" w:hanging="142"/>
              <w:rPr>
                <w:sz w:val="20"/>
                <w:szCs w:val="20"/>
              </w:rPr>
            </w:pPr>
            <w:r w:rsidRPr="00BF6575">
              <w:rPr>
                <w:sz w:val="20"/>
                <w:szCs w:val="20"/>
              </w:rPr>
              <w:t>Pro-cyclical credit provision</w:t>
            </w:r>
            <w:r w:rsidR="00164F59">
              <w:rPr>
                <w:sz w:val="20"/>
                <w:szCs w:val="20"/>
              </w:rPr>
              <w:t xml:space="preserve">: </w:t>
            </w:r>
            <w:r w:rsidR="00E324CF">
              <w:rPr>
                <w:sz w:val="20"/>
                <w:szCs w:val="20"/>
              </w:rPr>
              <w:t>4 – increase in risks</w:t>
            </w:r>
          </w:p>
          <w:p w14:paraId="1C5A0AB0" w14:textId="2EF579D8" w:rsidR="00AF5B4C" w:rsidRDefault="00AF5B4C" w:rsidP="00CA62DC">
            <w:pPr>
              <w:pStyle w:val="ListParagraph"/>
              <w:numPr>
                <w:ilvl w:val="0"/>
                <w:numId w:val="26"/>
              </w:numPr>
              <w:spacing w:after="120"/>
              <w:ind w:left="184" w:hanging="142"/>
              <w:rPr>
                <w:sz w:val="20"/>
                <w:szCs w:val="20"/>
              </w:rPr>
            </w:pPr>
            <w:r w:rsidRPr="00BF6575">
              <w:rPr>
                <w:sz w:val="20"/>
                <w:szCs w:val="20"/>
              </w:rPr>
              <w:t>Concentration risk for funds collected and invested (e.g. lack of diversification)</w:t>
            </w:r>
            <w:r w:rsidR="00164F59">
              <w:rPr>
                <w:sz w:val="20"/>
                <w:szCs w:val="20"/>
              </w:rPr>
              <w:t>:</w:t>
            </w:r>
            <w:r w:rsidR="00690F06">
              <w:rPr>
                <w:sz w:val="20"/>
                <w:szCs w:val="20"/>
              </w:rPr>
              <w:t xml:space="preserve"> 3 - neutral</w:t>
            </w:r>
          </w:p>
          <w:p w14:paraId="29DD18F5" w14:textId="0879BFDF" w:rsidR="00AF5B4C" w:rsidRDefault="00AF5B4C" w:rsidP="00CA62DC">
            <w:pPr>
              <w:pStyle w:val="ListParagraph"/>
              <w:numPr>
                <w:ilvl w:val="0"/>
                <w:numId w:val="26"/>
              </w:numPr>
              <w:spacing w:after="120"/>
              <w:ind w:left="184" w:hanging="142"/>
              <w:rPr>
                <w:sz w:val="20"/>
                <w:szCs w:val="20"/>
              </w:rPr>
            </w:pPr>
            <w:r w:rsidRPr="00BF6575">
              <w:rPr>
                <w:sz w:val="20"/>
                <w:szCs w:val="20"/>
              </w:rPr>
              <w:t>Concentration risk for holders of funds (e.g. large deposits or investments held in a bank or fund)</w:t>
            </w:r>
            <w:r w:rsidR="00164F59">
              <w:rPr>
                <w:sz w:val="20"/>
                <w:szCs w:val="20"/>
              </w:rPr>
              <w:t xml:space="preserve">: </w:t>
            </w:r>
            <w:r w:rsidR="00F62EA4">
              <w:rPr>
                <w:sz w:val="20"/>
                <w:szCs w:val="20"/>
              </w:rPr>
              <w:t>4 – increase in risks</w:t>
            </w:r>
          </w:p>
          <w:p w14:paraId="5F1B23F5" w14:textId="0D15AD58" w:rsidR="00AF5B4C" w:rsidRDefault="00AF5B4C" w:rsidP="00CA62DC">
            <w:pPr>
              <w:pStyle w:val="ListParagraph"/>
              <w:numPr>
                <w:ilvl w:val="0"/>
                <w:numId w:val="26"/>
              </w:numPr>
              <w:spacing w:after="120"/>
              <w:ind w:left="184" w:hanging="142"/>
              <w:rPr>
                <w:sz w:val="20"/>
                <w:szCs w:val="20"/>
              </w:rPr>
            </w:pPr>
            <w:r w:rsidRPr="00BF6575">
              <w:rPr>
                <w:sz w:val="20"/>
                <w:szCs w:val="20"/>
              </w:rPr>
              <w:t>Undertaken insurance risk in life insurance</w:t>
            </w:r>
            <w:r w:rsidR="00164F59">
              <w:rPr>
                <w:sz w:val="20"/>
                <w:szCs w:val="20"/>
              </w:rPr>
              <w:t xml:space="preserve">: </w:t>
            </w:r>
            <w:r w:rsidR="00690F06" w:rsidRPr="00AF6407">
              <w:rPr>
                <w:sz w:val="20"/>
                <w:szCs w:val="20"/>
              </w:rPr>
              <w:t>N/A</w:t>
            </w:r>
          </w:p>
          <w:p w14:paraId="1170A5F3" w14:textId="13A7D014" w:rsidR="00AF5B4C" w:rsidRDefault="00AF5B4C" w:rsidP="00CA62DC">
            <w:pPr>
              <w:pStyle w:val="ListParagraph"/>
              <w:numPr>
                <w:ilvl w:val="0"/>
                <w:numId w:val="26"/>
              </w:numPr>
              <w:spacing w:after="120"/>
              <w:ind w:left="184" w:hanging="142"/>
              <w:rPr>
                <w:sz w:val="20"/>
                <w:szCs w:val="20"/>
              </w:rPr>
            </w:pPr>
            <w:r w:rsidRPr="00BF6575">
              <w:rPr>
                <w:sz w:val="20"/>
                <w:szCs w:val="20"/>
              </w:rPr>
              <w:t>Undertaken insurance risk in non-life insurance</w:t>
            </w:r>
            <w:r w:rsidR="00164F59">
              <w:rPr>
                <w:sz w:val="20"/>
                <w:szCs w:val="20"/>
              </w:rPr>
              <w:t xml:space="preserve">: </w:t>
            </w:r>
            <w:r w:rsidR="00690F06" w:rsidRPr="009B4453">
              <w:rPr>
                <w:sz w:val="20"/>
                <w:szCs w:val="20"/>
              </w:rPr>
              <w:t>N/A</w:t>
            </w:r>
          </w:p>
          <w:p w14:paraId="74C15EC0" w14:textId="49C60BBC" w:rsidR="00AF5B4C" w:rsidRDefault="00AF5B4C" w:rsidP="00CA62DC">
            <w:pPr>
              <w:pStyle w:val="ListParagraph"/>
              <w:numPr>
                <w:ilvl w:val="0"/>
                <w:numId w:val="26"/>
              </w:numPr>
              <w:spacing w:after="120"/>
              <w:ind w:left="184" w:hanging="142"/>
              <w:rPr>
                <w:sz w:val="20"/>
                <w:szCs w:val="20"/>
              </w:rPr>
            </w:pPr>
            <w:r w:rsidRPr="00BF6575">
              <w:rPr>
                <w:sz w:val="20"/>
                <w:szCs w:val="20"/>
              </w:rPr>
              <w:t>Operational risks for technology companies and platforms</w:t>
            </w:r>
            <w:r w:rsidR="00164F59">
              <w:rPr>
                <w:sz w:val="20"/>
                <w:szCs w:val="20"/>
              </w:rPr>
              <w:t xml:space="preserve">: </w:t>
            </w:r>
            <w:r w:rsidR="00690F06">
              <w:rPr>
                <w:sz w:val="20"/>
                <w:szCs w:val="20"/>
              </w:rPr>
              <w:t>5</w:t>
            </w:r>
            <w:r w:rsidR="00164F59">
              <w:rPr>
                <w:sz w:val="20"/>
                <w:szCs w:val="20"/>
              </w:rPr>
              <w:t xml:space="preserve"> – </w:t>
            </w:r>
            <w:r w:rsidR="00690F06">
              <w:rPr>
                <w:sz w:val="20"/>
                <w:szCs w:val="20"/>
              </w:rPr>
              <w:t xml:space="preserve">significant </w:t>
            </w:r>
            <w:r w:rsidR="00164F59">
              <w:rPr>
                <w:sz w:val="20"/>
                <w:szCs w:val="20"/>
              </w:rPr>
              <w:t>increase in risks</w:t>
            </w:r>
          </w:p>
          <w:p w14:paraId="5C6CC7C0" w14:textId="4DBD0EF3" w:rsidR="00AF5B4C" w:rsidRDefault="00AF5B4C" w:rsidP="00BF6575">
            <w:pPr>
              <w:pStyle w:val="ListParagraph"/>
              <w:numPr>
                <w:ilvl w:val="0"/>
                <w:numId w:val="26"/>
              </w:numPr>
              <w:spacing w:after="120"/>
              <w:ind w:left="184" w:hanging="142"/>
              <w:rPr>
                <w:sz w:val="20"/>
                <w:szCs w:val="20"/>
              </w:rPr>
            </w:pPr>
            <w:r w:rsidRPr="00BF6575">
              <w:rPr>
                <w:sz w:val="20"/>
                <w:szCs w:val="20"/>
              </w:rPr>
              <w:t>Operational risk for incumbent financial service providers</w:t>
            </w:r>
            <w:r w:rsidR="00164F59">
              <w:rPr>
                <w:sz w:val="20"/>
                <w:szCs w:val="20"/>
              </w:rPr>
              <w:t xml:space="preserve">: </w:t>
            </w:r>
            <w:r w:rsidR="00690F06">
              <w:rPr>
                <w:sz w:val="20"/>
                <w:szCs w:val="20"/>
              </w:rPr>
              <w:t>3 – neutral</w:t>
            </w:r>
          </w:p>
          <w:p w14:paraId="4E816198" w14:textId="68F37071" w:rsidR="00AF5B4C" w:rsidRPr="00007A4F" w:rsidRDefault="00AF5B4C" w:rsidP="00007A4F">
            <w:pPr>
              <w:pStyle w:val="ListParagraph"/>
              <w:numPr>
                <w:ilvl w:val="0"/>
                <w:numId w:val="26"/>
              </w:numPr>
              <w:spacing w:after="120"/>
              <w:ind w:left="184" w:hanging="142"/>
              <w:rPr>
                <w:sz w:val="20"/>
                <w:szCs w:val="20"/>
              </w:rPr>
            </w:pPr>
            <w:r w:rsidRPr="00BF6575">
              <w:rPr>
                <w:sz w:val="20"/>
                <w:szCs w:val="20"/>
              </w:rPr>
              <w:t>Systemic risks (e.g. technology companies and platforms become too big, too interconnected to fail)</w:t>
            </w:r>
            <w:r w:rsidR="00007A4F">
              <w:rPr>
                <w:sz w:val="20"/>
                <w:szCs w:val="20"/>
              </w:rPr>
              <w:t xml:space="preserve">: </w:t>
            </w:r>
            <w:r w:rsidR="00690F06">
              <w:rPr>
                <w:sz w:val="20"/>
                <w:szCs w:val="20"/>
              </w:rPr>
              <w:t>5 – significant increase in risks</w:t>
            </w:r>
          </w:p>
          <w:p w14:paraId="71D49EDA" w14:textId="5E2D9C08" w:rsidR="00AF5B4C" w:rsidRDefault="00AF5B4C" w:rsidP="00BF6575">
            <w:pPr>
              <w:pStyle w:val="ListParagraph"/>
              <w:numPr>
                <w:ilvl w:val="0"/>
                <w:numId w:val="26"/>
              </w:numPr>
              <w:spacing w:after="120"/>
              <w:ind w:left="184" w:hanging="142"/>
              <w:rPr>
                <w:sz w:val="20"/>
                <w:szCs w:val="20"/>
              </w:rPr>
            </w:pPr>
            <w:r w:rsidRPr="00BF6575">
              <w:rPr>
                <w:sz w:val="20"/>
                <w:szCs w:val="20"/>
              </w:rPr>
              <w:t>Money-laundering and terrorism financing risk</w:t>
            </w:r>
            <w:r w:rsidR="00007A4F">
              <w:rPr>
                <w:sz w:val="20"/>
                <w:szCs w:val="20"/>
              </w:rPr>
              <w:t xml:space="preserve">: </w:t>
            </w:r>
            <w:r w:rsidR="00690F06">
              <w:rPr>
                <w:sz w:val="20"/>
                <w:szCs w:val="20"/>
              </w:rPr>
              <w:t>5 – significant increase in risks</w:t>
            </w:r>
          </w:p>
          <w:p w14:paraId="01CB11F0" w14:textId="151609C6" w:rsidR="00AF5B4C" w:rsidRPr="00BF6575" w:rsidRDefault="00AF5B4C" w:rsidP="00BF6575">
            <w:pPr>
              <w:pStyle w:val="ListParagraph"/>
              <w:numPr>
                <w:ilvl w:val="0"/>
                <w:numId w:val="26"/>
              </w:numPr>
              <w:spacing w:after="120"/>
              <w:ind w:left="184" w:hanging="142"/>
              <w:rPr>
                <w:sz w:val="20"/>
                <w:szCs w:val="20"/>
              </w:rPr>
            </w:pPr>
            <w:r w:rsidRPr="00BF6575">
              <w:rPr>
                <w:sz w:val="20"/>
                <w:szCs w:val="20"/>
              </w:rPr>
              <w:t>Other</w:t>
            </w:r>
          </w:p>
        </w:tc>
      </w:tr>
      <w:tr w:rsidR="00AF5B4C" w14:paraId="260197C8" w14:textId="77777777" w:rsidTr="00657EDD">
        <w:trPr>
          <w:trHeight w:val="423"/>
        </w:trPr>
        <w:tc>
          <w:tcPr>
            <w:tcW w:w="1271" w:type="dxa"/>
            <w:vMerge/>
          </w:tcPr>
          <w:p w14:paraId="38FEDB92" w14:textId="528A2EEB" w:rsidR="00AF5B4C" w:rsidRDefault="00AF5B4C" w:rsidP="00EE3DB5">
            <w:pPr>
              <w:spacing w:after="120"/>
              <w:rPr>
                <w:sz w:val="20"/>
                <w:szCs w:val="20"/>
              </w:rPr>
            </w:pPr>
          </w:p>
        </w:tc>
        <w:tc>
          <w:tcPr>
            <w:tcW w:w="2126" w:type="dxa"/>
          </w:tcPr>
          <w:p w14:paraId="705533CA" w14:textId="418AD708" w:rsidR="00AF5B4C" w:rsidRPr="00AF5B4C" w:rsidRDefault="00AF5B4C" w:rsidP="00CA62DC">
            <w:pPr>
              <w:rPr>
                <w:rFonts w:eastAsia="Times New Roman"/>
                <w:sz w:val="20"/>
                <w:szCs w:val="20"/>
                <w:lang w:eastAsia="en-GB"/>
              </w:rPr>
            </w:pPr>
            <w:r w:rsidRPr="00CA62DC">
              <w:rPr>
                <w:rFonts w:eastAsia="Times New Roman"/>
                <w:sz w:val="20"/>
                <w:szCs w:val="20"/>
                <w:lang w:eastAsia="en-GB"/>
              </w:rPr>
              <w:t>AFME to respond</w:t>
            </w:r>
          </w:p>
          <w:p w14:paraId="68B00B3F" w14:textId="21B32312" w:rsidR="00AF5B4C" w:rsidRPr="00CA62DC" w:rsidRDefault="00AF5B4C" w:rsidP="00CA62DC">
            <w:pPr>
              <w:rPr>
                <w:rFonts w:eastAsia="Times New Roman"/>
                <w:b/>
                <w:sz w:val="20"/>
                <w:szCs w:val="20"/>
                <w:lang w:eastAsia="en-GB"/>
              </w:rPr>
            </w:pPr>
          </w:p>
        </w:tc>
        <w:tc>
          <w:tcPr>
            <w:tcW w:w="7060" w:type="dxa"/>
            <w:shd w:val="clear" w:color="auto" w:fill="auto"/>
          </w:tcPr>
          <w:p w14:paraId="2752D1F0" w14:textId="3ADDA61B" w:rsidR="00690F06" w:rsidRDefault="00690F06" w:rsidP="00690F06">
            <w:pPr>
              <w:pStyle w:val="ListParagraph"/>
              <w:numPr>
                <w:ilvl w:val="0"/>
                <w:numId w:val="26"/>
              </w:numPr>
              <w:spacing w:after="120"/>
              <w:ind w:left="184" w:hanging="142"/>
              <w:rPr>
                <w:sz w:val="20"/>
                <w:szCs w:val="20"/>
              </w:rPr>
            </w:pPr>
            <w:r>
              <w:rPr>
                <w:sz w:val="20"/>
                <w:szCs w:val="20"/>
              </w:rPr>
              <w:t>In support of our response provided above, AFME would like to provide the following additional comments relative to potential scenarios/outcomes</w:t>
            </w:r>
            <w:r w:rsidR="00142389">
              <w:rPr>
                <w:sz w:val="20"/>
                <w:szCs w:val="20"/>
              </w:rPr>
              <w:t xml:space="preserve"> over the next 5 to 10 years</w:t>
            </w:r>
            <w:r>
              <w:rPr>
                <w:sz w:val="20"/>
                <w:szCs w:val="20"/>
              </w:rPr>
              <w:t>:</w:t>
            </w:r>
          </w:p>
          <w:p w14:paraId="66DAA8DB" w14:textId="40A0648E" w:rsidR="00690F06" w:rsidRPr="006F6094" w:rsidRDefault="00690F06" w:rsidP="00AF6407">
            <w:pPr>
              <w:pStyle w:val="ListParagraph"/>
              <w:numPr>
                <w:ilvl w:val="1"/>
                <w:numId w:val="26"/>
              </w:numPr>
              <w:spacing w:after="120"/>
              <w:ind w:left="606" w:hanging="284"/>
              <w:rPr>
                <w:sz w:val="20"/>
                <w:szCs w:val="20"/>
              </w:rPr>
            </w:pPr>
            <w:r w:rsidRPr="006F6094">
              <w:rPr>
                <w:sz w:val="20"/>
                <w:szCs w:val="20"/>
              </w:rPr>
              <w:t xml:space="preserve">If technology firms </w:t>
            </w:r>
            <w:r w:rsidR="001425ED">
              <w:rPr>
                <w:sz w:val="20"/>
                <w:szCs w:val="20"/>
              </w:rPr>
              <w:t xml:space="preserve">were to </w:t>
            </w:r>
            <w:r w:rsidRPr="006F6094">
              <w:rPr>
                <w:sz w:val="20"/>
                <w:szCs w:val="20"/>
              </w:rPr>
              <w:t xml:space="preserve">gain </w:t>
            </w:r>
            <w:r w:rsidR="00C00B9F">
              <w:rPr>
                <w:sz w:val="20"/>
                <w:szCs w:val="20"/>
              </w:rPr>
              <w:t xml:space="preserve">sufficient </w:t>
            </w:r>
            <w:r w:rsidRPr="006F6094">
              <w:rPr>
                <w:sz w:val="20"/>
                <w:szCs w:val="20"/>
              </w:rPr>
              <w:t>market shares in financial services in the EU</w:t>
            </w:r>
            <w:r w:rsidR="00C30695">
              <w:rPr>
                <w:sz w:val="20"/>
                <w:szCs w:val="20"/>
              </w:rPr>
              <w:t>,</w:t>
            </w:r>
            <w:r w:rsidRPr="006F6094">
              <w:rPr>
                <w:sz w:val="20"/>
                <w:szCs w:val="20"/>
              </w:rPr>
              <w:t xml:space="preserve"> and the European Commission </w:t>
            </w:r>
            <w:r w:rsidR="001425ED">
              <w:rPr>
                <w:sz w:val="20"/>
                <w:szCs w:val="20"/>
              </w:rPr>
              <w:t xml:space="preserve">were </w:t>
            </w:r>
            <w:r w:rsidRPr="006F6094">
              <w:rPr>
                <w:sz w:val="20"/>
                <w:szCs w:val="20"/>
              </w:rPr>
              <w:t xml:space="preserve">not </w:t>
            </w:r>
            <w:r w:rsidR="001425ED">
              <w:rPr>
                <w:sz w:val="20"/>
                <w:szCs w:val="20"/>
              </w:rPr>
              <w:t xml:space="preserve">to </w:t>
            </w:r>
            <w:r w:rsidRPr="006F6094">
              <w:rPr>
                <w:sz w:val="20"/>
                <w:szCs w:val="20"/>
              </w:rPr>
              <w:t>adhere to the principle of 'same risk, same activity, same regulation'</w:t>
            </w:r>
            <w:r w:rsidR="00C30695">
              <w:rPr>
                <w:sz w:val="20"/>
                <w:szCs w:val="20"/>
              </w:rPr>
              <w:t>,</w:t>
            </w:r>
            <w:r w:rsidRPr="006F6094">
              <w:rPr>
                <w:sz w:val="20"/>
                <w:szCs w:val="20"/>
              </w:rPr>
              <w:t xml:space="preserve"> there is a risk technology firms </w:t>
            </w:r>
            <w:r w:rsidR="001425ED">
              <w:rPr>
                <w:sz w:val="20"/>
                <w:szCs w:val="20"/>
              </w:rPr>
              <w:t xml:space="preserve">may </w:t>
            </w:r>
            <w:r w:rsidRPr="006F6094">
              <w:rPr>
                <w:sz w:val="20"/>
                <w:szCs w:val="20"/>
              </w:rPr>
              <w:t>be able to provide financial services</w:t>
            </w:r>
            <w:r w:rsidR="001D1F14" w:rsidRPr="006F6094">
              <w:rPr>
                <w:sz w:val="20"/>
                <w:szCs w:val="20"/>
              </w:rPr>
              <w:t xml:space="preserve"> to clients/consumers</w:t>
            </w:r>
            <w:r w:rsidRPr="006F6094">
              <w:rPr>
                <w:sz w:val="20"/>
                <w:szCs w:val="20"/>
              </w:rPr>
              <w:t xml:space="preserve">, without </w:t>
            </w:r>
            <w:r w:rsidR="001425ED">
              <w:rPr>
                <w:sz w:val="20"/>
                <w:szCs w:val="20"/>
              </w:rPr>
              <w:t xml:space="preserve">appropriate </w:t>
            </w:r>
            <w:r w:rsidRPr="006F6094">
              <w:rPr>
                <w:sz w:val="20"/>
                <w:szCs w:val="20"/>
              </w:rPr>
              <w:t>regulatory oversight</w:t>
            </w:r>
            <w:r w:rsidR="001D1F14" w:rsidRPr="006F6094">
              <w:rPr>
                <w:sz w:val="20"/>
                <w:szCs w:val="20"/>
              </w:rPr>
              <w:t>, mitigat</w:t>
            </w:r>
            <w:r w:rsidR="00D401BC">
              <w:rPr>
                <w:sz w:val="20"/>
                <w:szCs w:val="20"/>
              </w:rPr>
              <w:t>ing</w:t>
            </w:r>
            <w:r w:rsidR="001D1F14" w:rsidRPr="006F6094">
              <w:rPr>
                <w:sz w:val="20"/>
                <w:szCs w:val="20"/>
              </w:rPr>
              <w:t xml:space="preserve"> </w:t>
            </w:r>
            <w:r w:rsidR="001D1F14" w:rsidRPr="006F6094">
              <w:rPr>
                <w:sz w:val="20"/>
                <w:szCs w:val="20"/>
              </w:rPr>
              <w:lastRenderedPageBreak/>
              <w:t>risks associated with the provision of financial services</w:t>
            </w:r>
            <w:r w:rsidR="00E324CF">
              <w:rPr>
                <w:sz w:val="20"/>
                <w:szCs w:val="20"/>
              </w:rPr>
              <w:t>, potentially leading to an increase in financial risks</w:t>
            </w:r>
            <w:r w:rsidR="001D1F14" w:rsidRPr="006F6094">
              <w:rPr>
                <w:sz w:val="20"/>
                <w:szCs w:val="20"/>
              </w:rPr>
              <w:t>.</w:t>
            </w:r>
          </w:p>
          <w:p w14:paraId="7A57A424" w14:textId="48B344B9" w:rsidR="00B7725E" w:rsidRPr="00735388" w:rsidRDefault="001D1F14">
            <w:pPr>
              <w:pStyle w:val="ListParagraph"/>
              <w:numPr>
                <w:ilvl w:val="1"/>
                <w:numId w:val="26"/>
              </w:numPr>
              <w:spacing w:after="120"/>
              <w:ind w:left="606" w:hanging="284"/>
              <w:rPr>
                <w:sz w:val="20"/>
                <w:szCs w:val="20"/>
              </w:rPr>
            </w:pPr>
            <w:r w:rsidRPr="00690F06">
              <w:rPr>
                <w:sz w:val="20"/>
                <w:szCs w:val="20"/>
              </w:rPr>
              <w:t xml:space="preserve">If technology firms </w:t>
            </w:r>
            <w:r w:rsidR="009B0362">
              <w:rPr>
                <w:sz w:val="20"/>
                <w:szCs w:val="20"/>
              </w:rPr>
              <w:t xml:space="preserve">were to </w:t>
            </w:r>
            <w:r w:rsidRPr="00690F06">
              <w:rPr>
                <w:sz w:val="20"/>
                <w:szCs w:val="20"/>
              </w:rPr>
              <w:t xml:space="preserve">gain </w:t>
            </w:r>
            <w:r w:rsidR="00C00B9F">
              <w:rPr>
                <w:sz w:val="20"/>
                <w:szCs w:val="20"/>
              </w:rPr>
              <w:t xml:space="preserve">sufficient </w:t>
            </w:r>
            <w:r w:rsidRPr="00690F06">
              <w:rPr>
                <w:sz w:val="20"/>
                <w:szCs w:val="20"/>
              </w:rPr>
              <w:t>market shares</w:t>
            </w:r>
            <w:r>
              <w:rPr>
                <w:sz w:val="20"/>
                <w:szCs w:val="20"/>
              </w:rPr>
              <w:t xml:space="preserve"> </w:t>
            </w:r>
            <w:r w:rsidRPr="00690F06">
              <w:rPr>
                <w:sz w:val="20"/>
                <w:szCs w:val="20"/>
              </w:rPr>
              <w:t>in financial services in the EU</w:t>
            </w:r>
            <w:r w:rsidR="00C30695">
              <w:rPr>
                <w:sz w:val="20"/>
                <w:szCs w:val="20"/>
              </w:rPr>
              <w:t>,</w:t>
            </w:r>
            <w:r w:rsidR="00D401BC">
              <w:rPr>
                <w:sz w:val="20"/>
                <w:szCs w:val="20"/>
              </w:rPr>
              <w:t xml:space="preserve"> </w:t>
            </w:r>
            <w:r w:rsidRPr="00690F06">
              <w:rPr>
                <w:sz w:val="20"/>
                <w:szCs w:val="20"/>
              </w:rPr>
              <w:t xml:space="preserve">and the European Commission </w:t>
            </w:r>
            <w:r w:rsidR="009B0362">
              <w:rPr>
                <w:sz w:val="20"/>
                <w:szCs w:val="20"/>
              </w:rPr>
              <w:t xml:space="preserve">were to </w:t>
            </w:r>
            <w:r w:rsidRPr="00AF6407">
              <w:rPr>
                <w:sz w:val="20"/>
                <w:szCs w:val="20"/>
              </w:rPr>
              <w:t>adhere to the base principle of 'same risk, same activity, same regulation'</w:t>
            </w:r>
            <w:r w:rsidR="00C30695">
              <w:rPr>
                <w:sz w:val="20"/>
                <w:szCs w:val="20"/>
              </w:rPr>
              <w:t>,</w:t>
            </w:r>
            <w:r w:rsidRPr="00AF6407">
              <w:rPr>
                <w:sz w:val="20"/>
                <w:szCs w:val="20"/>
              </w:rPr>
              <w:t xml:space="preserve"> there is risk technology firms, due to their size and innovate business model, </w:t>
            </w:r>
            <w:r w:rsidR="009B0362">
              <w:rPr>
                <w:sz w:val="20"/>
                <w:szCs w:val="20"/>
              </w:rPr>
              <w:t xml:space="preserve">may </w:t>
            </w:r>
            <w:r w:rsidRPr="00AF6407">
              <w:rPr>
                <w:sz w:val="20"/>
                <w:szCs w:val="20"/>
              </w:rPr>
              <w:t xml:space="preserve">bring additional risks which </w:t>
            </w:r>
            <w:r w:rsidR="00D401BC">
              <w:rPr>
                <w:sz w:val="20"/>
                <w:szCs w:val="20"/>
              </w:rPr>
              <w:t xml:space="preserve">could </w:t>
            </w:r>
            <w:r w:rsidRPr="00AF6407">
              <w:rPr>
                <w:sz w:val="20"/>
                <w:szCs w:val="20"/>
              </w:rPr>
              <w:t>require different policy approaches</w:t>
            </w:r>
            <w:r w:rsidR="009B0362">
              <w:rPr>
                <w:sz w:val="20"/>
                <w:szCs w:val="20"/>
              </w:rPr>
              <w:t>, as identified in the BIS report</w:t>
            </w:r>
            <w:r w:rsidR="009B0362">
              <w:rPr>
                <w:rStyle w:val="FootnoteReference"/>
                <w:sz w:val="20"/>
                <w:szCs w:val="20"/>
              </w:rPr>
              <w:footnoteReference w:id="24"/>
            </w:r>
            <w:r w:rsidRPr="00AF6407">
              <w:rPr>
                <w:sz w:val="20"/>
                <w:szCs w:val="20"/>
              </w:rPr>
              <w:t xml:space="preserve">. While AFME is supportive of the benefits of increased </w:t>
            </w:r>
            <w:r w:rsidR="009A5B36">
              <w:rPr>
                <w:sz w:val="20"/>
                <w:szCs w:val="20"/>
              </w:rPr>
              <w:t xml:space="preserve">market </w:t>
            </w:r>
            <w:r w:rsidRPr="00AF6407">
              <w:rPr>
                <w:sz w:val="20"/>
                <w:szCs w:val="20"/>
              </w:rPr>
              <w:t xml:space="preserve">competition, technology firms could bring structural changes to the market </w:t>
            </w:r>
            <w:r w:rsidR="00D401BC">
              <w:rPr>
                <w:sz w:val="20"/>
                <w:szCs w:val="20"/>
              </w:rPr>
              <w:t xml:space="preserve">by </w:t>
            </w:r>
            <w:r w:rsidRPr="00AF6407">
              <w:rPr>
                <w:sz w:val="20"/>
                <w:szCs w:val="20"/>
              </w:rPr>
              <w:t>quickly acquir</w:t>
            </w:r>
            <w:r w:rsidR="005721BC" w:rsidRPr="00AF6407">
              <w:rPr>
                <w:sz w:val="20"/>
                <w:szCs w:val="20"/>
              </w:rPr>
              <w:t>ing</w:t>
            </w:r>
            <w:r w:rsidRPr="00AF6407">
              <w:rPr>
                <w:sz w:val="20"/>
                <w:szCs w:val="20"/>
              </w:rPr>
              <w:t xml:space="preserve"> a dominant position or represent</w:t>
            </w:r>
            <w:r w:rsidR="005721BC" w:rsidRPr="00AF6407">
              <w:rPr>
                <w:sz w:val="20"/>
                <w:szCs w:val="20"/>
              </w:rPr>
              <w:t>ing</w:t>
            </w:r>
            <w:r w:rsidRPr="00AF6407">
              <w:rPr>
                <w:sz w:val="20"/>
                <w:szCs w:val="20"/>
              </w:rPr>
              <w:t xml:space="preserve"> a systemic risk </w:t>
            </w:r>
            <w:r w:rsidR="00EB5C6B" w:rsidRPr="00AF6407">
              <w:rPr>
                <w:sz w:val="20"/>
                <w:szCs w:val="20"/>
              </w:rPr>
              <w:t xml:space="preserve">due to their large user base. </w:t>
            </w:r>
            <w:r w:rsidR="007D0FA5" w:rsidRPr="007D0FA5">
              <w:rPr>
                <w:sz w:val="20"/>
                <w:szCs w:val="20"/>
              </w:rPr>
              <w:t xml:space="preserve">For instance, a rapid expansion of credit provision by </w:t>
            </w:r>
            <w:proofErr w:type="spellStart"/>
            <w:r w:rsidR="007D0FA5" w:rsidRPr="007D0FA5">
              <w:rPr>
                <w:sz w:val="20"/>
                <w:szCs w:val="20"/>
              </w:rPr>
              <w:t>BigTech</w:t>
            </w:r>
            <w:proofErr w:type="spellEnd"/>
            <w:r w:rsidR="007D0FA5" w:rsidRPr="007D0FA5">
              <w:rPr>
                <w:sz w:val="20"/>
                <w:szCs w:val="20"/>
              </w:rPr>
              <w:t xml:space="preserve"> firms could lead to enhanced procyclicality in credit provision, as funding flows from </w:t>
            </w:r>
            <w:proofErr w:type="spellStart"/>
            <w:r w:rsidR="007D0FA5" w:rsidRPr="007D0FA5">
              <w:rPr>
                <w:sz w:val="20"/>
                <w:szCs w:val="20"/>
              </w:rPr>
              <w:t>BigTech</w:t>
            </w:r>
            <w:proofErr w:type="spellEnd"/>
            <w:r w:rsidR="007D0FA5" w:rsidRPr="007D0FA5">
              <w:rPr>
                <w:sz w:val="20"/>
                <w:szCs w:val="20"/>
              </w:rPr>
              <w:t xml:space="preserve"> could become large or concentrated in some market segments</w:t>
            </w:r>
            <w:r w:rsidR="007D0FA5">
              <w:rPr>
                <w:sz w:val="20"/>
                <w:szCs w:val="20"/>
              </w:rPr>
              <w:t xml:space="preserve">. It is </w:t>
            </w:r>
            <w:r w:rsidR="00C30695">
              <w:rPr>
                <w:sz w:val="20"/>
                <w:szCs w:val="20"/>
              </w:rPr>
              <w:t>currently</w:t>
            </w:r>
            <w:r w:rsidR="007D0FA5">
              <w:rPr>
                <w:sz w:val="20"/>
                <w:szCs w:val="20"/>
              </w:rPr>
              <w:t xml:space="preserve"> unclear how </w:t>
            </w:r>
            <w:proofErr w:type="spellStart"/>
            <w:r w:rsidR="007D0FA5">
              <w:rPr>
                <w:sz w:val="20"/>
                <w:szCs w:val="20"/>
              </w:rPr>
              <w:t>BigTech</w:t>
            </w:r>
            <w:proofErr w:type="spellEnd"/>
            <w:r w:rsidR="007D0FA5">
              <w:rPr>
                <w:sz w:val="20"/>
                <w:szCs w:val="20"/>
              </w:rPr>
              <w:t xml:space="preserve"> would maintain credit supply or be affected in a downturn. R</w:t>
            </w:r>
            <w:r w:rsidR="007D0FA5" w:rsidRPr="00735388">
              <w:rPr>
                <w:sz w:val="20"/>
                <w:szCs w:val="20"/>
              </w:rPr>
              <w:t xml:space="preserve">eliance on </w:t>
            </w:r>
            <w:proofErr w:type="spellStart"/>
            <w:r w:rsidR="007D0FA5" w:rsidRPr="00735388">
              <w:rPr>
                <w:sz w:val="20"/>
                <w:szCs w:val="20"/>
              </w:rPr>
              <w:t>BigTech</w:t>
            </w:r>
            <w:proofErr w:type="spellEnd"/>
            <w:r w:rsidR="007D0FA5" w:rsidRPr="00735388">
              <w:rPr>
                <w:sz w:val="20"/>
                <w:szCs w:val="20"/>
              </w:rPr>
              <w:t xml:space="preserve"> credit might make it more difficult to provide liquidity to the economy during crisis situations, a role in which banks have proven critical in the situation prompted by COVID19. A</w:t>
            </w:r>
            <w:r w:rsidR="00EB5C6B" w:rsidRPr="00735388">
              <w:rPr>
                <w:sz w:val="20"/>
                <w:szCs w:val="20"/>
              </w:rPr>
              <w:t>s identified in the BIS report, AFME believes any appropriate policy response to those risks</w:t>
            </w:r>
            <w:r w:rsidR="00D401BC" w:rsidRPr="00735388">
              <w:rPr>
                <w:sz w:val="20"/>
                <w:szCs w:val="20"/>
              </w:rPr>
              <w:t xml:space="preserve"> </w:t>
            </w:r>
            <w:r w:rsidR="00EB5C6B" w:rsidRPr="00735388">
              <w:rPr>
                <w:sz w:val="20"/>
                <w:szCs w:val="20"/>
              </w:rPr>
              <w:t>would have to be based on international cooperation, a common assessment of systemic risks and coordinated policy responses</w:t>
            </w:r>
            <w:r w:rsidR="00D401BC" w:rsidRPr="00735388">
              <w:rPr>
                <w:sz w:val="20"/>
                <w:szCs w:val="20"/>
              </w:rPr>
              <w:t>, globally</w:t>
            </w:r>
            <w:r w:rsidR="00EB5C6B" w:rsidRPr="00735388">
              <w:rPr>
                <w:sz w:val="20"/>
                <w:szCs w:val="20"/>
              </w:rPr>
              <w:t xml:space="preserve">. </w:t>
            </w:r>
          </w:p>
          <w:p w14:paraId="44AC6DEB" w14:textId="54DE2B59" w:rsidR="00142389" w:rsidRPr="00735388" w:rsidRDefault="00142389" w:rsidP="00FD358A">
            <w:pPr>
              <w:pStyle w:val="ListParagraph"/>
              <w:numPr>
                <w:ilvl w:val="1"/>
                <w:numId w:val="26"/>
              </w:numPr>
              <w:spacing w:after="120"/>
              <w:ind w:left="606" w:hanging="284"/>
              <w:rPr>
                <w:sz w:val="20"/>
                <w:szCs w:val="20"/>
              </w:rPr>
            </w:pPr>
            <w:r>
              <w:rPr>
                <w:sz w:val="20"/>
                <w:szCs w:val="20"/>
              </w:rPr>
              <w:t>However, regardless of these scenarios, there are potential operational risks stemming from technology firms providing financial services infrastructure</w:t>
            </w:r>
            <w:r w:rsidR="00FD358A">
              <w:rPr>
                <w:sz w:val="20"/>
                <w:szCs w:val="20"/>
              </w:rPr>
              <w:t xml:space="preserve">, where an assessment of appropriate regulatory requirements should be conducted (e.g. </w:t>
            </w:r>
            <w:r w:rsidR="007E0C95">
              <w:rPr>
                <w:sz w:val="20"/>
                <w:szCs w:val="20"/>
              </w:rPr>
              <w:t xml:space="preserve">such as potential applicability of the </w:t>
            </w:r>
            <w:r w:rsidR="00FD358A" w:rsidRPr="00FD358A">
              <w:rPr>
                <w:sz w:val="20"/>
                <w:szCs w:val="20"/>
              </w:rPr>
              <w:t>Principles for Financial Market Infrastructures (PFMI)</w:t>
            </w:r>
            <w:r w:rsidR="007E0C95">
              <w:rPr>
                <w:rStyle w:val="FootnoteReference"/>
                <w:sz w:val="20"/>
                <w:szCs w:val="20"/>
              </w:rPr>
              <w:footnoteReference w:id="25"/>
            </w:r>
            <w:r w:rsidR="00FD358A">
              <w:rPr>
                <w:sz w:val="20"/>
                <w:szCs w:val="20"/>
              </w:rPr>
              <w:t xml:space="preserve">). </w:t>
            </w:r>
            <w:r w:rsidR="007D0FA5">
              <w:rPr>
                <w:sz w:val="20"/>
                <w:szCs w:val="20"/>
              </w:rPr>
              <w:t xml:space="preserve">A significant incident or </w:t>
            </w:r>
            <w:r w:rsidR="007D0FA5" w:rsidRPr="007D0FA5">
              <w:rPr>
                <w:sz w:val="20"/>
                <w:szCs w:val="20"/>
              </w:rPr>
              <w:t xml:space="preserve">failure could cause widespread disruption </w:t>
            </w:r>
            <w:r w:rsidR="007D0FA5">
              <w:rPr>
                <w:sz w:val="20"/>
                <w:szCs w:val="20"/>
              </w:rPr>
              <w:t xml:space="preserve">across the </w:t>
            </w:r>
            <w:r w:rsidR="007D0FA5" w:rsidRPr="007D0FA5">
              <w:rPr>
                <w:sz w:val="20"/>
                <w:szCs w:val="20"/>
              </w:rPr>
              <w:t xml:space="preserve">financial system </w:t>
            </w:r>
            <w:r w:rsidR="007D0FA5">
              <w:rPr>
                <w:sz w:val="20"/>
                <w:szCs w:val="20"/>
              </w:rPr>
              <w:t xml:space="preserve">and </w:t>
            </w:r>
            <w:r w:rsidR="007D0FA5" w:rsidRPr="007D0FA5">
              <w:rPr>
                <w:sz w:val="20"/>
                <w:szCs w:val="20"/>
              </w:rPr>
              <w:t xml:space="preserve">the economy more broadly. </w:t>
            </w:r>
            <w:r w:rsidR="007D0FA5">
              <w:rPr>
                <w:sz w:val="20"/>
                <w:szCs w:val="20"/>
              </w:rPr>
              <w:t>U</w:t>
            </w:r>
            <w:r w:rsidR="007D0FA5" w:rsidRPr="007D0FA5">
              <w:rPr>
                <w:sz w:val="20"/>
                <w:szCs w:val="20"/>
              </w:rPr>
              <w:t xml:space="preserve">nlike </w:t>
            </w:r>
            <w:r w:rsidR="007D0FA5">
              <w:rPr>
                <w:sz w:val="20"/>
                <w:szCs w:val="20"/>
              </w:rPr>
              <w:t xml:space="preserve">regulated entities such as </w:t>
            </w:r>
            <w:r w:rsidR="007D0FA5" w:rsidRPr="007D0FA5">
              <w:rPr>
                <w:sz w:val="20"/>
                <w:szCs w:val="20"/>
              </w:rPr>
              <w:t xml:space="preserve">banks, financial markets infrastructures and other providers of systemic importance, </w:t>
            </w:r>
            <w:r w:rsidR="007D0FA5">
              <w:rPr>
                <w:sz w:val="20"/>
                <w:szCs w:val="20"/>
              </w:rPr>
              <w:t xml:space="preserve">it is currently unclear how technology firms would </w:t>
            </w:r>
            <w:r w:rsidR="007D0FA5" w:rsidRPr="007D0FA5">
              <w:rPr>
                <w:sz w:val="20"/>
                <w:szCs w:val="20"/>
              </w:rPr>
              <w:t xml:space="preserve">ensure continuity in the provision of </w:t>
            </w:r>
            <w:r w:rsidR="00772898">
              <w:rPr>
                <w:sz w:val="20"/>
                <w:szCs w:val="20"/>
              </w:rPr>
              <w:t xml:space="preserve">their </w:t>
            </w:r>
            <w:r w:rsidR="007D0FA5" w:rsidRPr="007D0FA5">
              <w:rPr>
                <w:sz w:val="20"/>
                <w:szCs w:val="20"/>
              </w:rPr>
              <w:t>services</w:t>
            </w:r>
            <w:r w:rsidR="007D0FA5">
              <w:rPr>
                <w:sz w:val="20"/>
                <w:szCs w:val="20"/>
              </w:rPr>
              <w:t xml:space="preserve">, potentially systemic or essential, </w:t>
            </w:r>
            <w:r w:rsidR="007D0FA5" w:rsidRPr="007D0FA5">
              <w:rPr>
                <w:sz w:val="20"/>
                <w:szCs w:val="20"/>
              </w:rPr>
              <w:t>should an idiosyncratic or system-wide event take place.</w:t>
            </w:r>
          </w:p>
        </w:tc>
      </w:tr>
      <w:tr w:rsidR="00AF5B4C" w14:paraId="288728EE" w14:textId="77777777" w:rsidTr="00657EDD">
        <w:trPr>
          <w:trHeight w:val="423"/>
        </w:trPr>
        <w:tc>
          <w:tcPr>
            <w:tcW w:w="1271" w:type="dxa"/>
          </w:tcPr>
          <w:p w14:paraId="47689C56" w14:textId="18CF24FB" w:rsidR="00AF5B4C" w:rsidRDefault="00AF5B4C" w:rsidP="00AF5B4C">
            <w:pPr>
              <w:spacing w:after="120"/>
              <w:rPr>
                <w:sz w:val="20"/>
                <w:szCs w:val="20"/>
              </w:rPr>
            </w:pPr>
            <w:r>
              <w:rPr>
                <w:sz w:val="20"/>
                <w:szCs w:val="20"/>
              </w:rPr>
              <w:lastRenderedPageBreak/>
              <w:t>10.1</w:t>
            </w:r>
          </w:p>
        </w:tc>
        <w:tc>
          <w:tcPr>
            <w:tcW w:w="2126" w:type="dxa"/>
          </w:tcPr>
          <w:p w14:paraId="134272FA" w14:textId="233F1DE3" w:rsidR="00AF5B4C" w:rsidRPr="00CA62DC" w:rsidRDefault="00AF5B4C" w:rsidP="00AF5B4C">
            <w:pPr>
              <w:rPr>
                <w:rFonts w:eastAsia="Times New Roman"/>
                <w:sz w:val="20"/>
                <w:szCs w:val="20"/>
                <w:lang w:eastAsia="en-GB"/>
              </w:rPr>
            </w:pPr>
            <w:r w:rsidRPr="00CA62DC">
              <w:rPr>
                <w:sz w:val="20"/>
                <w:szCs w:val="20"/>
              </w:rPr>
              <w:t xml:space="preserve">AFME to </w:t>
            </w:r>
            <w:r w:rsidR="005721BC" w:rsidRPr="00AF6407">
              <w:rPr>
                <w:sz w:val="20"/>
                <w:szCs w:val="20"/>
                <w:u w:val="single"/>
              </w:rPr>
              <w:t>not</w:t>
            </w:r>
            <w:r w:rsidR="005721BC">
              <w:rPr>
                <w:sz w:val="20"/>
                <w:szCs w:val="20"/>
              </w:rPr>
              <w:t xml:space="preserve"> </w:t>
            </w:r>
            <w:r w:rsidRPr="00CA62DC">
              <w:rPr>
                <w:sz w:val="20"/>
                <w:szCs w:val="20"/>
              </w:rPr>
              <w:t>respond</w:t>
            </w:r>
          </w:p>
        </w:tc>
        <w:tc>
          <w:tcPr>
            <w:tcW w:w="7060" w:type="dxa"/>
            <w:shd w:val="clear" w:color="auto" w:fill="auto"/>
          </w:tcPr>
          <w:p w14:paraId="77418B3A" w14:textId="248CE335" w:rsidR="00AF5B4C" w:rsidRDefault="005721BC" w:rsidP="00AF5B4C">
            <w:pPr>
              <w:pStyle w:val="ListParagraph"/>
              <w:numPr>
                <w:ilvl w:val="0"/>
                <w:numId w:val="26"/>
              </w:numPr>
              <w:spacing w:after="120"/>
              <w:ind w:left="184" w:hanging="142"/>
              <w:rPr>
                <w:sz w:val="20"/>
                <w:szCs w:val="20"/>
              </w:rPr>
            </w:pPr>
            <w:r w:rsidRPr="005721BC">
              <w:rPr>
                <w:sz w:val="20"/>
                <w:szCs w:val="20"/>
              </w:rPr>
              <w:t xml:space="preserve">See AFME’s response provided in Question </w:t>
            </w:r>
            <w:r>
              <w:rPr>
                <w:sz w:val="20"/>
                <w:szCs w:val="20"/>
              </w:rPr>
              <w:t>10</w:t>
            </w:r>
            <w:r w:rsidRPr="005721BC">
              <w:rPr>
                <w:sz w:val="20"/>
                <w:szCs w:val="20"/>
              </w:rPr>
              <w:t>.</w:t>
            </w:r>
          </w:p>
        </w:tc>
      </w:tr>
      <w:tr w:rsidR="00150149" w14:paraId="37F85671" w14:textId="77777777" w:rsidTr="00657EDD">
        <w:trPr>
          <w:trHeight w:val="423"/>
        </w:trPr>
        <w:tc>
          <w:tcPr>
            <w:tcW w:w="1271" w:type="dxa"/>
            <w:vMerge w:val="restart"/>
          </w:tcPr>
          <w:p w14:paraId="2DFB55A8" w14:textId="6F526D08" w:rsidR="00150149" w:rsidRDefault="00150149" w:rsidP="00AF5B4C">
            <w:pPr>
              <w:spacing w:after="120"/>
              <w:rPr>
                <w:sz w:val="20"/>
                <w:szCs w:val="20"/>
              </w:rPr>
            </w:pPr>
            <w:r>
              <w:rPr>
                <w:sz w:val="20"/>
                <w:szCs w:val="20"/>
              </w:rPr>
              <w:t>11</w:t>
            </w:r>
          </w:p>
        </w:tc>
        <w:tc>
          <w:tcPr>
            <w:tcW w:w="2126" w:type="dxa"/>
          </w:tcPr>
          <w:p w14:paraId="1E11DB36" w14:textId="49E106EA" w:rsidR="00164F59" w:rsidRPr="00CA62DC" w:rsidRDefault="00150149" w:rsidP="00AF5B4C">
            <w:pPr>
              <w:rPr>
                <w:sz w:val="20"/>
                <w:szCs w:val="20"/>
              </w:rPr>
            </w:pPr>
            <w:r w:rsidRPr="00CA62DC">
              <w:rPr>
                <w:sz w:val="20"/>
                <w:szCs w:val="20"/>
              </w:rPr>
              <w:t>AFME to respond</w:t>
            </w:r>
          </w:p>
        </w:tc>
        <w:tc>
          <w:tcPr>
            <w:tcW w:w="7060" w:type="dxa"/>
            <w:shd w:val="clear" w:color="auto" w:fill="auto"/>
          </w:tcPr>
          <w:p w14:paraId="33488250" w14:textId="15B1410C" w:rsidR="00150149" w:rsidRPr="00150149" w:rsidRDefault="00150149" w:rsidP="00150149">
            <w:pPr>
              <w:pStyle w:val="ListParagraph"/>
              <w:numPr>
                <w:ilvl w:val="0"/>
                <w:numId w:val="26"/>
              </w:numPr>
              <w:spacing w:after="120"/>
              <w:ind w:left="184" w:hanging="142"/>
              <w:rPr>
                <w:sz w:val="20"/>
                <w:szCs w:val="20"/>
              </w:rPr>
            </w:pPr>
            <w:r w:rsidRPr="00150149">
              <w:rPr>
                <w:sz w:val="20"/>
                <w:szCs w:val="20"/>
              </w:rPr>
              <w:t>Default risk for funds held in non-banks and not protected by Deposit Guarantee Scheme</w:t>
            </w:r>
            <w:r w:rsidR="00164F59">
              <w:rPr>
                <w:sz w:val="20"/>
                <w:szCs w:val="20"/>
              </w:rPr>
              <w:t xml:space="preserve">: </w:t>
            </w:r>
            <w:r w:rsidR="00686A26">
              <w:rPr>
                <w:sz w:val="20"/>
                <w:szCs w:val="20"/>
              </w:rPr>
              <w:t xml:space="preserve">4 </w:t>
            </w:r>
            <w:r w:rsidR="00805E9C">
              <w:rPr>
                <w:sz w:val="20"/>
                <w:szCs w:val="20"/>
              </w:rPr>
              <w:t>–</w:t>
            </w:r>
            <w:r w:rsidR="00686A26">
              <w:rPr>
                <w:sz w:val="20"/>
                <w:szCs w:val="20"/>
              </w:rPr>
              <w:t xml:space="preserve"> </w:t>
            </w:r>
            <w:r w:rsidR="00805E9C">
              <w:rPr>
                <w:sz w:val="20"/>
                <w:szCs w:val="20"/>
              </w:rPr>
              <w:t>increase in risk</w:t>
            </w:r>
          </w:p>
          <w:p w14:paraId="7FBBF40D" w14:textId="4C192AFF" w:rsidR="00150149" w:rsidRPr="00150149" w:rsidRDefault="00150149" w:rsidP="00150149">
            <w:pPr>
              <w:pStyle w:val="ListParagraph"/>
              <w:numPr>
                <w:ilvl w:val="0"/>
                <w:numId w:val="26"/>
              </w:numPr>
              <w:spacing w:after="120"/>
              <w:ind w:left="184" w:hanging="142"/>
              <w:rPr>
                <w:sz w:val="20"/>
                <w:szCs w:val="20"/>
              </w:rPr>
            </w:pPr>
            <w:r w:rsidRPr="00150149">
              <w:rPr>
                <w:sz w:val="20"/>
                <w:szCs w:val="20"/>
              </w:rPr>
              <w:t>Liquidity risk</w:t>
            </w:r>
            <w:r w:rsidR="00805E9C">
              <w:rPr>
                <w:sz w:val="20"/>
                <w:szCs w:val="20"/>
              </w:rPr>
              <w:t xml:space="preserve">: </w:t>
            </w:r>
            <w:r w:rsidR="005721BC">
              <w:rPr>
                <w:sz w:val="20"/>
                <w:szCs w:val="20"/>
              </w:rPr>
              <w:t>3 – neutral</w:t>
            </w:r>
          </w:p>
          <w:p w14:paraId="688E9161" w14:textId="7C9356F8" w:rsidR="00150149" w:rsidRPr="00150149" w:rsidRDefault="00150149" w:rsidP="00150149">
            <w:pPr>
              <w:pStyle w:val="ListParagraph"/>
              <w:numPr>
                <w:ilvl w:val="0"/>
                <w:numId w:val="26"/>
              </w:numPr>
              <w:spacing w:after="120"/>
              <w:ind w:left="184" w:hanging="142"/>
              <w:rPr>
                <w:sz w:val="20"/>
                <w:szCs w:val="20"/>
              </w:rPr>
            </w:pPr>
            <w:proofErr w:type="spellStart"/>
            <w:r w:rsidRPr="00150149">
              <w:rPr>
                <w:sz w:val="20"/>
                <w:szCs w:val="20"/>
              </w:rPr>
              <w:t>Misselling</w:t>
            </w:r>
            <w:proofErr w:type="spellEnd"/>
            <w:r w:rsidRPr="00150149">
              <w:rPr>
                <w:sz w:val="20"/>
                <w:szCs w:val="20"/>
              </w:rPr>
              <w:t xml:space="preserve"> of insurance products</w:t>
            </w:r>
            <w:r>
              <w:rPr>
                <w:sz w:val="20"/>
                <w:szCs w:val="20"/>
              </w:rPr>
              <w:t xml:space="preserve">: </w:t>
            </w:r>
            <w:r w:rsidR="005721BC" w:rsidRPr="00AF6407">
              <w:rPr>
                <w:sz w:val="20"/>
                <w:szCs w:val="20"/>
              </w:rPr>
              <w:t>N/A</w:t>
            </w:r>
          </w:p>
          <w:p w14:paraId="406C1D6A" w14:textId="3B7C5C3C" w:rsidR="00150149" w:rsidRPr="00150149" w:rsidRDefault="00150149" w:rsidP="00150149">
            <w:pPr>
              <w:pStyle w:val="ListParagraph"/>
              <w:numPr>
                <w:ilvl w:val="0"/>
                <w:numId w:val="26"/>
              </w:numPr>
              <w:spacing w:after="120"/>
              <w:ind w:left="184" w:hanging="142"/>
              <w:rPr>
                <w:sz w:val="20"/>
                <w:szCs w:val="20"/>
              </w:rPr>
            </w:pPr>
            <w:proofErr w:type="spellStart"/>
            <w:r w:rsidRPr="00150149">
              <w:rPr>
                <w:sz w:val="20"/>
                <w:szCs w:val="20"/>
              </w:rPr>
              <w:t>Misselling</w:t>
            </w:r>
            <w:proofErr w:type="spellEnd"/>
            <w:r w:rsidRPr="00150149">
              <w:rPr>
                <w:sz w:val="20"/>
                <w:szCs w:val="20"/>
              </w:rPr>
              <w:t xml:space="preserve"> of investment products</w:t>
            </w:r>
            <w:r>
              <w:rPr>
                <w:sz w:val="20"/>
                <w:szCs w:val="20"/>
              </w:rPr>
              <w:t xml:space="preserve">: </w:t>
            </w:r>
            <w:r w:rsidR="005721BC" w:rsidRPr="009B4453">
              <w:rPr>
                <w:sz w:val="20"/>
                <w:szCs w:val="20"/>
              </w:rPr>
              <w:t>N/A</w:t>
            </w:r>
          </w:p>
          <w:p w14:paraId="0EB149EC" w14:textId="55F3B3E4" w:rsidR="00150149" w:rsidRPr="00150149" w:rsidRDefault="00150149" w:rsidP="00150149">
            <w:pPr>
              <w:pStyle w:val="ListParagraph"/>
              <w:numPr>
                <w:ilvl w:val="0"/>
                <w:numId w:val="26"/>
              </w:numPr>
              <w:spacing w:after="120"/>
              <w:ind w:left="184" w:hanging="142"/>
              <w:rPr>
                <w:sz w:val="20"/>
                <w:szCs w:val="20"/>
              </w:rPr>
            </w:pPr>
            <w:proofErr w:type="spellStart"/>
            <w:r w:rsidRPr="00150149">
              <w:rPr>
                <w:sz w:val="20"/>
                <w:szCs w:val="20"/>
              </w:rPr>
              <w:t>Misselling</w:t>
            </w:r>
            <w:proofErr w:type="spellEnd"/>
            <w:r w:rsidRPr="00150149">
              <w:rPr>
                <w:sz w:val="20"/>
                <w:szCs w:val="20"/>
              </w:rPr>
              <w:t xml:space="preserve"> of credit products</w:t>
            </w:r>
            <w:r w:rsidR="00805E9C">
              <w:rPr>
                <w:sz w:val="20"/>
                <w:szCs w:val="20"/>
              </w:rPr>
              <w:t xml:space="preserve">: </w:t>
            </w:r>
            <w:r w:rsidR="00805E9C" w:rsidRPr="00805E9C">
              <w:rPr>
                <w:sz w:val="20"/>
                <w:szCs w:val="20"/>
              </w:rPr>
              <w:t>4 – increase in risk</w:t>
            </w:r>
          </w:p>
          <w:p w14:paraId="426D911D" w14:textId="01490839" w:rsidR="00150149" w:rsidRPr="00150149" w:rsidRDefault="00150149" w:rsidP="00150149">
            <w:pPr>
              <w:pStyle w:val="ListParagraph"/>
              <w:numPr>
                <w:ilvl w:val="0"/>
                <w:numId w:val="26"/>
              </w:numPr>
              <w:spacing w:after="120"/>
              <w:ind w:left="184" w:hanging="142"/>
              <w:rPr>
                <w:sz w:val="20"/>
                <w:szCs w:val="20"/>
              </w:rPr>
            </w:pPr>
            <w:proofErr w:type="spellStart"/>
            <w:r w:rsidRPr="00150149">
              <w:rPr>
                <w:sz w:val="20"/>
                <w:szCs w:val="20"/>
              </w:rPr>
              <w:t>Misselling</w:t>
            </w:r>
            <w:proofErr w:type="spellEnd"/>
            <w:r w:rsidRPr="00150149">
              <w:rPr>
                <w:sz w:val="20"/>
                <w:szCs w:val="20"/>
              </w:rPr>
              <w:t xml:space="preserve"> of pension products</w:t>
            </w:r>
            <w:r>
              <w:rPr>
                <w:sz w:val="20"/>
                <w:szCs w:val="20"/>
              </w:rPr>
              <w:t xml:space="preserve">: </w:t>
            </w:r>
            <w:r w:rsidR="005721BC" w:rsidRPr="009B4453">
              <w:rPr>
                <w:sz w:val="20"/>
                <w:szCs w:val="20"/>
              </w:rPr>
              <w:t>N/A</w:t>
            </w:r>
          </w:p>
          <w:p w14:paraId="0064F016" w14:textId="00B9EE2C" w:rsidR="00150149" w:rsidRPr="00150149" w:rsidRDefault="00150149" w:rsidP="00150149">
            <w:pPr>
              <w:pStyle w:val="ListParagraph"/>
              <w:numPr>
                <w:ilvl w:val="0"/>
                <w:numId w:val="26"/>
              </w:numPr>
              <w:spacing w:after="120"/>
              <w:ind w:left="184" w:hanging="142"/>
              <w:rPr>
                <w:sz w:val="20"/>
                <w:szCs w:val="20"/>
              </w:rPr>
            </w:pPr>
            <w:r w:rsidRPr="00150149">
              <w:rPr>
                <w:sz w:val="20"/>
                <w:szCs w:val="20"/>
              </w:rPr>
              <w:t>Inadequate provision of information</w:t>
            </w:r>
            <w:r w:rsidR="00805E9C">
              <w:rPr>
                <w:sz w:val="20"/>
                <w:szCs w:val="20"/>
              </w:rPr>
              <w:t>: 5</w:t>
            </w:r>
            <w:r w:rsidR="00805E9C" w:rsidRPr="00805E9C">
              <w:rPr>
                <w:sz w:val="20"/>
                <w:szCs w:val="20"/>
              </w:rPr>
              <w:t xml:space="preserve"> – </w:t>
            </w:r>
            <w:r w:rsidR="00805E9C">
              <w:rPr>
                <w:sz w:val="20"/>
                <w:szCs w:val="20"/>
              </w:rPr>
              <w:t xml:space="preserve">significant </w:t>
            </w:r>
            <w:r w:rsidR="00805E9C" w:rsidRPr="00805E9C">
              <w:rPr>
                <w:sz w:val="20"/>
                <w:szCs w:val="20"/>
              </w:rPr>
              <w:t>increase in risk</w:t>
            </w:r>
          </w:p>
          <w:p w14:paraId="22428415" w14:textId="3459BB8B" w:rsidR="00150149" w:rsidRPr="00150149" w:rsidRDefault="00150149" w:rsidP="00150149">
            <w:pPr>
              <w:pStyle w:val="ListParagraph"/>
              <w:numPr>
                <w:ilvl w:val="0"/>
                <w:numId w:val="26"/>
              </w:numPr>
              <w:spacing w:after="120"/>
              <w:ind w:left="184" w:hanging="142"/>
              <w:rPr>
                <w:sz w:val="20"/>
                <w:szCs w:val="20"/>
              </w:rPr>
            </w:pPr>
            <w:r w:rsidRPr="00150149">
              <w:rPr>
                <w:sz w:val="20"/>
                <w:szCs w:val="20"/>
              </w:rPr>
              <w:t>Inadequate complaint and redress process and management</w:t>
            </w:r>
            <w:r w:rsidR="00805E9C">
              <w:rPr>
                <w:sz w:val="20"/>
                <w:szCs w:val="20"/>
              </w:rPr>
              <w:t>: 5</w:t>
            </w:r>
            <w:r w:rsidR="00805E9C" w:rsidRPr="00805E9C">
              <w:rPr>
                <w:sz w:val="20"/>
                <w:szCs w:val="20"/>
              </w:rPr>
              <w:t xml:space="preserve"> – </w:t>
            </w:r>
            <w:r w:rsidR="00805E9C">
              <w:rPr>
                <w:sz w:val="20"/>
                <w:szCs w:val="20"/>
              </w:rPr>
              <w:t xml:space="preserve">significant </w:t>
            </w:r>
            <w:r w:rsidR="00805E9C" w:rsidRPr="00805E9C">
              <w:rPr>
                <w:sz w:val="20"/>
                <w:szCs w:val="20"/>
              </w:rPr>
              <w:t>increase in risk</w:t>
            </w:r>
          </w:p>
          <w:p w14:paraId="6CD1CE87" w14:textId="31C280A7" w:rsidR="00150149" w:rsidRPr="00150149" w:rsidRDefault="00150149" w:rsidP="00150149">
            <w:pPr>
              <w:pStyle w:val="ListParagraph"/>
              <w:numPr>
                <w:ilvl w:val="0"/>
                <w:numId w:val="26"/>
              </w:numPr>
              <w:spacing w:after="120"/>
              <w:ind w:left="184" w:hanging="142"/>
              <w:rPr>
                <w:sz w:val="20"/>
                <w:szCs w:val="20"/>
              </w:rPr>
            </w:pPr>
            <w:r w:rsidRPr="00150149">
              <w:rPr>
                <w:sz w:val="20"/>
                <w:szCs w:val="20"/>
              </w:rPr>
              <w:t>Use/abuse of personal data for financial commercial purposes</w:t>
            </w:r>
            <w:r w:rsidR="00805E9C">
              <w:rPr>
                <w:sz w:val="20"/>
                <w:szCs w:val="20"/>
              </w:rPr>
              <w:t xml:space="preserve">: </w:t>
            </w:r>
            <w:r w:rsidR="00772898">
              <w:rPr>
                <w:sz w:val="20"/>
                <w:szCs w:val="20"/>
              </w:rPr>
              <w:t>4 – increase in risk</w:t>
            </w:r>
          </w:p>
          <w:p w14:paraId="47ECF406" w14:textId="3D205D87" w:rsidR="00150149" w:rsidRPr="00150149" w:rsidRDefault="00150149" w:rsidP="00150149">
            <w:pPr>
              <w:pStyle w:val="ListParagraph"/>
              <w:numPr>
                <w:ilvl w:val="0"/>
                <w:numId w:val="26"/>
              </w:numPr>
              <w:spacing w:after="120"/>
              <w:ind w:left="184" w:hanging="142"/>
              <w:rPr>
                <w:sz w:val="20"/>
                <w:szCs w:val="20"/>
              </w:rPr>
            </w:pPr>
            <w:r w:rsidRPr="00150149">
              <w:rPr>
                <w:sz w:val="20"/>
                <w:szCs w:val="20"/>
              </w:rPr>
              <w:t>Discrimination e.g. based on profiles</w:t>
            </w:r>
            <w:r w:rsidR="00805E9C">
              <w:rPr>
                <w:sz w:val="20"/>
                <w:szCs w:val="20"/>
              </w:rPr>
              <w:t xml:space="preserve">: </w:t>
            </w:r>
            <w:r w:rsidR="00772898">
              <w:rPr>
                <w:sz w:val="20"/>
                <w:szCs w:val="20"/>
              </w:rPr>
              <w:t>3</w:t>
            </w:r>
            <w:r w:rsidR="00805E9C" w:rsidRPr="00805E9C">
              <w:rPr>
                <w:sz w:val="20"/>
                <w:szCs w:val="20"/>
              </w:rPr>
              <w:t xml:space="preserve"> –</w:t>
            </w:r>
            <w:r w:rsidR="00772898">
              <w:rPr>
                <w:sz w:val="20"/>
                <w:szCs w:val="20"/>
              </w:rPr>
              <w:t>neutral</w:t>
            </w:r>
          </w:p>
          <w:p w14:paraId="685A6212" w14:textId="49759FED" w:rsidR="00150149" w:rsidRPr="00150149" w:rsidRDefault="00150149" w:rsidP="00150149">
            <w:pPr>
              <w:pStyle w:val="ListParagraph"/>
              <w:numPr>
                <w:ilvl w:val="0"/>
                <w:numId w:val="26"/>
              </w:numPr>
              <w:spacing w:after="120"/>
              <w:ind w:left="184" w:hanging="142"/>
              <w:rPr>
                <w:sz w:val="20"/>
                <w:szCs w:val="20"/>
              </w:rPr>
            </w:pPr>
            <w:r w:rsidRPr="00150149">
              <w:rPr>
                <w:sz w:val="20"/>
                <w:szCs w:val="20"/>
              </w:rPr>
              <w:t>Operational risk e.g. interrupted service, loss of data</w:t>
            </w:r>
            <w:r w:rsidR="00805E9C">
              <w:rPr>
                <w:sz w:val="20"/>
                <w:szCs w:val="20"/>
              </w:rPr>
              <w:t>: 5</w:t>
            </w:r>
            <w:r w:rsidR="00805E9C" w:rsidRPr="00805E9C">
              <w:rPr>
                <w:sz w:val="20"/>
                <w:szCs w:val="20"/>
              </w:rPr>
              <w:t xml:space="preserve"> – </w:t>
            </w:r>
            <w:r w:rsidR="00805E9C">
              <w:rPr>
                <w:sz w:val="20"/>
                <w:szCs w:val="20"/>
              </w:rPr>
              <w:t xml:space="preserve">significant </w:t>
            </w:r>
            <w:r w:rsidR="00805E9C" w:rsidRPr="00805E9C">
              <w:rPr>
                <w:sz w:val="20"/>
                <w:szCs w:val="20"/>
              </w:rPr>
              <w:t>increase in risk</w:t>
            </w:r>
          </w:p>
          <w:p w14:paraId="2E135D8B" w14:textId="5F9B4FD5" w:rsidR="00150149" w:rsidRDefault="00150149" w:rsidP="00150149">
            <w:pPr>
              <w:pStyle w:val="ListParagraph"/>
              <w:numPr>
                <w:ilvl w:val="0"/>
                <w:numId w:val="26"/>
              </w:numPr>
              <w:spacing w:after="120"/>
              <w:ind w:left="184" w:hanging="142"/>
              <w:rPr>
                <w:sz w:val="20"/>
                <w:szCs w:val="20"/>
              </w:rPr>
            </w:pPr>
            <w:r w:rsidRPr="00150149">
              <w:rPr>
                <w:sz w:val="20"/>
                <w:szCs w:val="20"/>
              </w:rPr>
              <w:t>Other</w:t>
            </w:r>
            <w:r w:rsidR="00D8641B">
              <w:rPr>
                <w:sz w:val="20"/>
                <w:szCs w:val="20"/>
              </w:rPr>
              <w:t>:</w:t>
            </w:r>
          </w:p>
        </w:tc>
      </w:tr>
      <w:tr w:rsidR="005721BC" w14:paraId="0DBF70A3" w14:textId="77777777" w:rsidTr="00657EDD">
        <w:trPr>
          <w:trHeight w:val="423"/>
        </w:trPr>
        <w:tc>
          <w:tcPr>
            <w:tcW w:w="1271" w:type="dxa"/>
            <w:vMerge/>
          </w:tcPr>
          <w:p w14:paraId="0E2FE172" w14:textId="77777777" w:rsidR="005721BC" w:rsidRDefault="005721BC" w:rsidP="005721BC">
            <w:pPr>
              <w:spacing w:after="120"/>
              <w:rPr>
                <w:sz w:val="20"/>
                <w:szCs w:val="20"/>
              </w:rPr>
            </w:pPr>
          </w:p>
        </w:tc>
        <w:tc>
          <w:tcPr>
            <w:tcW w:w="2126" w:type="dxa"/>
          </w:tcPr>
          <w:p w14:paraId="5DE87B19" w14:textId="591D70DD" w:rsidR="005721BC" w:rsidRPr="00CA62DC" w:rsidRDefault="005721BC" w:rsidP="005721BC">
            <w:pPr>
              <w:rPr>
                <w:sz w:val="20"/>
                <w:szCs w:val="20"/>
              </w:rPr>
            </w:pPr>
            <w:r>
              <w:rPr>
                <w:sz w:val="20"/>
                <w:szCs w:val="20"/>
              </w:rPr>
              <w:t>AFME to respond</w:t>
            </w:r>
          </w:p>
        </w:tc>
        <w:tc>
          <w:tcPr>
            <w:tcW w:w="7060" w:type="dxa"/>
            <w:shd w:val="clear" w:color="auto" w:fill="auto"/>
          </w:tcPr>
          <w:p w14:paraId="4AEEED1C" w14:textId="77777777" w:rsidR="005721BC" w:rsidRDefault="005721BC" w:rsidP="005721BC">
            <w:pPr>
              <w:pStyle w:val="ListParagraph"/>
              <w:numPr>
                <w:ilvl w:val="0"/>
                <w:numId w:val="26"/>
              </w:numPr>
              <w:spacing w:after="120"/>
              <w:ind w:left="184" w:hanging="142"/>
              <w:rPr>
                <w:sz w:val="20"/>
                <w:szCs w:val="20"/>
              </w:rPr>
            </w:pPr>
            <w:r w:rsidRPr="005721BC">
              <w:rPr>
                <w:sz w:val="20"/>
                <w:szCs w:val="20"/>
              </w:rPr>
              <w:t xml:space="preserve">See AFME’s response provided in Question </w:t>
            </w:r>
            <w:r>
              <w:rPr>
                <w:sz w:val="20"/>
                <w:szCs w:val="20"/>
              </w:rPr>
              <w:t>10</w:t>
            </w:r>
            <w:r w:rsidRPr="005721BC">
              <w:rPr>
                <w:sz w:val="20"/>
                <w:szCs w:val="20"/>
              </w:rPr>
              <w:t>.</w:t>
            </w:r>
          </w:p>
          <w:p w14:paraId="3AC76020" w14:textId="32302DC6" w:rsidR="00D8641B" w:rsidRDefault="00D8641B" w:rsidP="005721BC">
            <w:pPr>
              <w:pStyle w:val="ListParagraph"/>
              <w:numPr>
                <w:ilvl w:val="0"/>
                <w:numId w:val="26"/>
              </w:numPr>
              <w:spacing w:after="120"/>
              <w:ind w:left="184" w:hanging="142"/>
              <w:rPr>
                <w:sz w:val="20"/>
                <w:szCs w:val="20"/>
              </w:rPr>
            </w:pPr>
            <w:r>
              <w:rPr>
                <w:sz w:val="20"/>
                <w:szCs w:val="20"/>
              </w:rPr>
              <w:t>Additional risks could include increased fraud and compliance risks.</w:t>
            </w:r>
          </w:p>
        </w:tc>
      </w:tr>
      <w:tr w:rsidR="005721BC" w14:paraId="5743F85E" w14:textId="77777777" w:rsidTr="00657EDD">
        <w:trPr>
          <w:trHeight w:val="423"/>
        </w:trPr>
        <w:tc>
          <w:tcPr>
            <w:tcW w:w="1271" w:type="dxa"/>
          </w:tcPr>
          <w:p w14:paraId="122002EC" w14:textId="68F46244" w:rsidR="005721BC" w:rsidRDefault="005721BC" w:rsidP="005721BC">
            <w:pPr>
              <w:spacing w:after="120"/>
              <w:rPr>
                <w:sz w:val="20"/>
                <w:szCs w:val="20"/>
              </w:rPr>
            </w:pPr>
            <w:r>
              <w:rPr>
                <w:sz w:val="20"/>
                <w:szCs w:val="20"/>
              </w:rPr>
              <w:t>11.1</w:t>
            </w:r>
          </w:p>
        </w:tc>
        <w:tc>
          <w:tcPr>
            <w:tcW w:w="2126" w:type="dxa"/>
          </w:tcPr>
          <w:p w14:paraId="711CDBB1" w14:textId="3FFC4816" w:rsidR="005721BC" w:rsidRPr="00CA62DC" w:rsidRDefault="005721BC" w:rsidP="005721BC">
            <w:pPr>
              <w:rPr>
                <w:sz w:val="20"/>
                <w:szCs w:val="20"/>
              </w:rPr>
            </w:pPr>
            <w:r>
              <w:rPr>
                <w:sz w:val="20"/>
                <w:szCs w:val="20"/>
              </w:rPr>
              <w:t>AFME to respond</w:t>
            </w:r>
          </w:p>
        </w:tc>
        <w:tc>
          <w:tcPr>
            <w:tcW w:w="7060" w:type="dxa"/>
            <w:shd w:val="clear" w:color="auto" w:fill="auto"/>
          </w:tcPr>
          <w:p w14:paraId="22B07CAF" w14:textId="7CF25E3E" w:rsidR="00A30D9B" w:rsidRDefault="005721BC" w:rsidP="00A30D9B">
            <w:pPr>
              <w:pStyle w:val="ListParagraph"/>
              <w:numPr>
                <w:ilvl w:val="0"/>
                <w:numId w:val="26"/>
              </w:numPr>
              <w:spacing w:after="120"/>
              <w:ind w:left="184" w:hanging="142"/>
              <w:rPr>
                <w:sz w:val="20"/>
                <w:szCs w:val="20"/>
              </w:rPr>
            </w:pPr>
            <w:r w:rsidRPr="00096B25">
              <w:rPr>
                <w:sz w:val="20"/>
                <w:szCs w:val="20"/>
              </w:rPr>
              <w:t xml:space="preserve">We note that in the context of </w:t>
            </w:r>
            <w:r w:rsidR="007E0C95">
              <w:rPr>
                <w:sz w:val="20"/>
                <w:szCs w:val="20"/>
              </w:rPr>
              <w:t>Anti Money Laundering (</w:t>
            </w:r>
            <w:r w:rsidRPr="00096B25">
              <w:rPr>
                <w:sz w:val="20"/>
                <w:szCs w:val="20"/>
              </w:rPr>
              <w:t>AML</w:t>
            </w:r>
            <w:r w:rsidR="007E0C95">
              <w:rPr>
                <w:sz w:val="20"/>
                <w:szCs w:val="20"/>
              </w:rPr>
              <w:t>)</w:t>
            </w:r>
            <w:r w:rsidRPr="00096B25">
              <w:rPr>
                <w:sz w:val="20"/>
                <w:szCs w:val="20"/>
              </w:rPr>
              <w:t xml:space="preserve"> regulation there is </w:t>
            </w:r>
            <w:r w:rsidR="00313AF6">
              <w:rPr>
                <w:sz w:val="20"/>
                <w:szCs w:val="20"/>
              </w:rPr>
              <w:t xml:space="preserve">appropriate </w:t>
            </w:r>
            <w:r w:rsidRPr="00096B25">
              <w:rPr>
                <w:sz w:val="20"/>
                <w:szCs w:val="20"/>
              </w:rPr>
              <w:t xml:space="preserve">guidance for traditional banking services on the application AML regimes. As noted above, we support the principle of </w:t>
            </w:r>
            <w:r w:rsidRPr="00C85022">
              <w:rPr>
                <w:sz w:val="20"/>
                <w:szCs w:val="20"/>
              </w:rPr>
              <w:t>‘</w:t>
            </w:r>
            <w:r w:rsidR="00C85022" w:rsidRPr="00C85022">
              <w:rPr>
                <w:rFonts w:eastAsia="Times New Roman"/>
                <w:sz w:val="20"/>
                <w:szCs w:val="20"/>
                <w:lang w:eastAsia="en-GB"/>
              </w:rPr>
              <w:t>same risk, same activity, same regulation</w:t>
            </w:r>
            <w:r w:rsidR="00C85022" w:rsidRPr="00C85022">
              <w:rPr>
                <w:rFonts w:eastAsia="Times New Roman"/>
                <w:sz w:val="20"/>
                <w:szCs w:val="20"/>
                <w:lang w:eastAsia="en-GB"/>
              </w:rPr>
              <w:t>’</w:t>
            </w:r>
            <w:r w:rsidRPr="00C85022">
              <w:rPr>
                <w:sz w:val="20"/>
                <w:szCs w:val="20"/>
              </w:rPr>
              <w:t>,</w:t>
            </w:r>
            <w:r w:rsidRPr="00096B25">
              <w:rPr>
                <w:sz w:val="20"/>
                <w:szCs w:val="20"/>
              </w:rPr>
              <w:t xml:space="preserve"> and what may be useful for new </w:t>
            </w:r>
            <w:r w:rsidR="009A5B36">
              <w:rPr>
                <w:sz w:val="20"/>
                <w:szCs w:val="20"/>
              </w:rPr>
              <w:t xml:space="preserve">market entrants </w:t>
            </w:r>
            <w:r w:rsidRPr="00096B25">
              <w:rPr>
                <w:sz w:val="20"/>
                <w:szCs w:val="20"/>
              </w:rPr>
              <w:t>in understanding and applying this principle</w:t>
            </w:r>
            <w:r w:rsidR="009A5B36">
              <w:rPr>
                <w:sz w:val="20"/>
                <w:szCs w:val="20"/>
              </w:rPr>
              <w:t>,</w:t>
            </w:r>
            <w:r w:rsidRPr="00096B25">
              <w:rPr>
                <w:sz w:val="20"/>
                <w:szCs w:val="20"/>
              </w:rPr>
              <w:t xml:space="preserve"> is </w:t>
            </w:r>
            <w:r w:rsidR="00313AF6">
              <w:rPr>
                <w:sz w:val="20"/>
                <w:szCs w:val="20"/>
              </w:rPr>
              <w:t xml:space="preserve">similar </w:t>
            </w:r>
            <w:r w:rsidRPr="00096B25">
              <w:rPr>
                <w:sz w:val="20"/>
                <w:szCs w:val="20"/>
              </w:rPr>
              <w:t>guidance on how they may fall within the financial services regulation regime. For example, FATF</w:t>
            </w:r>
            <w:r w:rsidR="007E0C95">
              <w:rPr>
                <w:rStyle w:val="FootnoteReference"/>
                <w:sz w:val="20"/>
                <w:szCs w:val="20"/>
              </w:rPr>
              <w:footnoteReference w:id="26"/>
            </w:r>
            <w:r w:rsidRPr="00096B25">
              <w:rPr>
                <w:sz w:val="20"/>
                <w:szCs w:val="20"/>
              </w:rPr>
              <w:t xml:space="preserve"> has specific guidance that applies in the context of </w:t>
            </w:r>
            <w:r w:rsidR="007E0C95">
              <w:rPr>
                <w:sz w:val="20"/>
                <w:szCs w:val="20"/>
              </w:rPr>
              <w:t>c</w:t>
            </w:r>
            <w:r w:rsidRPr="00096B25">
              <w:rPr>
                <w:sz w:val="20"/>
                <w:szCs w:val="20"/>
              </w:rPr>
              <w:t xml:space="preserve">orrespondent </w:t>
            </w:r>
            <w:r w:rsidR="007E0C95">
              <w:rPr>
                <w:sz w:val="20"/>
                <w:szCs w:val="20"/>
              </w:rPr>
              <w:t>b</w:t>
            </w:r>
            <w:r w:rsidRPr="00096B25">
              <w:rPr>
                <w:sz w:val="20"/>
                <w:szCs w:val="20"/>
              </w:rPr>
              <w:t xml:space="preserve">anking </w:t>
            </w:r>
            <w:r w:rsidR="007E0C95">
              <w:rPr>
                <w:sz w:val="20"/>
                <w:szCs w:val="20"/>
              </w:rPr>
              <w:t>s</w:t>
            </w:r>
            <w:r w:rsidRPr="00096B25">
              <w:rPr>
                <w:sz w:val="20"/>
                <w:szCs w:val="20"/>
              </w:rPr>
              <w:t>ervices</w:t>
            </w:r>
            <w:r w:rsidR="007E0C95">
              <w:rPr>
                <w:rStyle w:val="FootnoteReference"/>
                <w:sz w:val="20"/>
                <w:szCs w:val="20"/>
              </w:rPr>
              <w:footnoteReference w:id="27"/>
            </w:r>
            <w:r w:rsidRPr="00096B25">
              <w:rPr>
                <w:sz w:val="20"/>
                <w:szCs w:val="20"/>
              </w:rPr>
              <w:t xml:space="preserve">. To the extent that similar guidance was available to new technology companies, this would assist with their compliance journey </w:t>
            </w:r>
            <w:proofErr w:type="gramStart"/>
            <w:r w:rsidRPr="00096B25">
              <w:rPr>
                <w:sz w:val="20"/>
                <w:szCs w:val="20"/>
              </w:rPr>
              <w:t>and also</w:t>
            </w:r>
            <w:proofErr w:type="gramEnd"/>
            <w:r w:rsidRPr="00096B25">
              <w:rPr>
                <w:sz w:val="20"/>
                <w:szCs w:val="20"/>
              </w:rPr>
              <w:t xml:space="preserve"> help to ascertain the AML controls that they are required to embed. Furthermore, this would also assist financial services firms in their onboarding and due diligence process when they are looking to take on such new technology companies as clients.</w:t>
            </w:r>
          </w:p>
          <w:p w14:paraId="67A936BF" w14:textId="20F43B51" w:rsidR="00A30D9B" w:rsidRDefault="002C46CA" w:rsidP="00A30D9B">
            <w:pPr>
              <w:pStyle w:val="ListParagraph"/>
              <w:numPr>
                <w:ilvl w:val="0"/>
                <w:numId w:val="26"/>
              </w:numPr>
              <w:spacing w:after="120"/>
              <w:ind w:left="184" w:hanging="142"/>
              <w:rPr>
                <w:sz w:val="20"/>
                <w:szCs w:val="20"/>
              </w:rPr>
            </w:pPr>
            <w:r>
              <w:rPr>
                <w:sz w:val="20"/>
                <w:szCs w:val="20"/>
              </w:rPr>
              <w:t>Clients/</w:t>
            </w:r>
            <w:r w:rsidR="00A30D9B" w:rsidRPr="00735388">
              <w:rPr>
                <w:sz w:val="20"/>
                <w:szCs w:val="20"/>
              </w:rPr>
              <w:t xml:space="preserve">Consumer risks </w:t>
            </w:r>
            <w:r w:rsidR="00A30D9B">
              <w:rPr>
                <w:sz w:val="20"/>
                <w:szCs w:val="20"/>
              </w:rPr>
              <w:t xml:space="preserve">may </w:t>
            </w:r>
            <w:r w:rsidR="00A30D9B" w:rsidRPr="00735388">
              <w:rPr>
                <w:sz w:val="20"/>
                <w:szCs w:val="20"/>
              </w:rPr>
              <w:t>arise in relation to business models</w:t>
            </w:r>
            <w:r w:rsidR="00A30D9B">
              <w:rPr>
                <w:sz w:val="20"/>
                <w:szCs w:val="20"/>
              </w:rPr>
              <w:t xml:space="preserve">, such as platforms or marketplaces, often </w:t>
            </w:r>
            <w:r w:rsidR="00A30D9B" w:rsidRPr="00735388">
              <w:rPr>
                <w:sz w:val="20"/>
                <w:szCs w:val="20"/>
              </w:rPr>
              <w:t xml:space="preserve">employed by technology </w:t>
            </w:r>
            <w:r w:rsidR="00A30D9B">
              <w:rPr>
                <w:sz w:val="20"/>
                <w:szCs w:val="20"/>
              </w:rPr>
              <w:t>firms, where clients/c</w:t>
            </w:r>
            <w:r w:rsidR="00A30D9B" w:rsidRPr="00735388">
              <w:rPr>
                <w:sz w:val="20"/>
                <w:szCs w:val="20"/>
              </w:rPr>
              <w:t xml:space="preserve">onsumers can </w:t>
            </w:r>
            <w:r w:rsidR="00A30D9B">
              <w:rPr>
                <w:sz w:val="20"/>
                <w:szCs w:val="20"/>
              </w:rPr>
              <w:t xml:space="preserve">access a wide variety of </w:t>
            </w:r>
            <w:r w:rsidR="00A30D9B" w:rsidRPr="00735388">
              <w:rPr>
                <w:sz w:val="20"/>
                <w:szCs w:val="20"/>
              </w:rPr>
              <w:t xml:space="preserve">products </w:t>
            </w:r>
            <w:r w:rsidR="00A30D9B">
              <w:rPr>
                <w:sz w:val="20"/>
                <w:szCs w:val="20"/>
              </w:rPr>
              <w:t xml:space="preserve">from </w:t>
            </w:r>
            <w:r w:rsidR="00A30D9B" w:rsidRPr="00735388">
              <w:rPr>
                <w:sz w:val="20"/>
                <w:szCs w:val="20"/>
              </w:rPr>
              <w:t xml:space="preserve">different providers. </w:t>
            </w:r>
            <w:r w:rsidR="00A30D9B">
              <w:rPr>
                <w:sz w:val="20"/>
                <w:szCs w:val="20"/>
              </w:rPr>
              <w:t xml:space="preserve">As these are generally unregulated, platforms or marketplaces do not always make important information, clear for clients/consumers (e.g. </w:t>
            </w:r>
            <w:r w:rsidR="00A30D9B" w:rsidRPr="00735388">
              <w:rPr>
                <w:sz w:val="20"/>
                <w:szCs w:val="20"/>
              </w:rPr>
              <w:t xml:space="preserve">who is the responsible party, </w:t>
            </w:r>
            <w:r w:rsidR="00A30D9B">
              <w:rPr>
                <w:sz w:val="20"/>
                <w:szCs w:val="20"/>
              </w:rPr>
              <w:t xml:space="preserve">what is </w:t>
            </w:r>
            <w:r w:rsidR="00A30D9B" w:rsidRPr="00735388">
              <w:rPr>
                <w:sz w:val="20"/>
                <w:szCs w:val="20"/>
              </w:rPr>
              <w:t>the regulatory status</w:t>
            </w:r>
            <w:r w:rsidR="00A30D9B">
              <w:rPr>
                <w:sz w:val="20"/>
                <w:szCs w:val="20"/>
              </w:rPr>
              <w:t xml:space="preserve">, who is the </w:t>
            </w:r>
            <w:r w:rsidR="00A30D9B" w:rsidRPr="00735388">
              <w:rPr>
                <w:sz w:val="20"/>
                <w:szCs w:val="20"/>
              </w:rPr>
              <w:t>responsible authority</w:t>
            </w:r>
            <w:r w:rsidR="00A30D9B">
              <w:rPr>
                <w:sz w:val="20"/>
                <w:szCs w:val="20"/>
              </w:rPr>
              <w:t>),</w:t>
            </w:r>
            <w:r w:rsidR="00A30D9B" w:rsidRPr="00735388">
              <w:rPr>
                <w:sz w:val="20"/>
                <w:szCs w:val="20"/>
              </w:rPr>
              <w:t xml:space="preserve"> and might face inadequate complaint and redress processes</w:t>
            </w:r>
            <w:r w:rsidR="00A30D9B">
              <w:rPr>
                <w:sz w:val="20"/>
                <w:szCs w:val="20"/>
              </w:rPr>
              <w:t xml:space="preserve"> as well as increase the risk of mis-selling products</w:t>
            </w:r>
            <w:r w:rsidR="00A30D9B" w:rsidRPr="00735388">
              <w:rPr>
                <w:sz w:val="20"/>
                <w:szCs w:val="20"/>
              </w:rPr>
              <w:t xml:space="preserve">. </w:t>
            </w:r>
            <w:r w:rsidR="00A30D9B">
              <w:rPr>
                <w:sz w:val="20"/>
                <w:szCs w:val="20"/>
              </w:rPr>
              <w:t>Moreover, t</w:t>
            </w:r>
            <w:r w:rsidR="00A30D9B" w:rsidRPr="00735388">
              <w:rPr>
                <w:sz w:val="20"/>
                <w:szCs w:val="20"/>
              </w:rPr>
              <w:t>he lack of a</w:t>
            </w:r>
            <w:r w:rsidR="00A30D9B">
              <w:rPr>
                <w:sz w:val="20"/>
                <w:szCs w:val="20"/>
              </w:rPr>
              <w:t>n appropriate</w:t>
            </w:r>
            <w:r w:rsidR="00A30D9B" w:rsidRPr="00735388">
              <w:rPr>
                <w:sz w:val="20"/>
                <w:szCs w:val="20"/>
              </w:rPr>
              <w:t xml:space="preserve"> regulatory framework </w:t>
            </w:r>
            <w:r w:rsidR="00A30D9B">
              <w:rPr>
                <w:sz w:val="20"/>
                <w:szCs w:val="20"/>
              </w:rPr>
              <w:t xml:space="preserve">for platforms or marketplaces, </w:t>
            </w:r>
            <w:r w:rsidR="00A30D9B" w:rsidRPr="00735388">
              <w:rPr>
                <w:sz w:val="20"/>
                <w:szCs w:val="20"/>
              </w:rPr>
              <w:t xml:space="preserve">generates uncertainty as regards the allocation of liabilities, and whether the responsibility lies with the provider or with the platform. </w:t>
            </w:r>
          </w:p>
          <w:p w14:paraId="48B7F9C6" w14:textId="406BF913" w:rsidR="003F3775" w:rsidRDefault="00A30D9B" w:rsidP="003F3775">
            <w:pPr>
              <w:pStyle w:val="ListParagraph"/>
              <w:numPr>
                <w:ilvl w:val="0"/>
                <w:numId w:val="26"/>
              </w:numPr>
              <w:spacing w:after="120"/>
              <w:ind w:left="184" w:hanging="142"/>
              <w:rPr>
                <w:sz w:val="20"/>
                <w:szCs w:val="20"/>
              </w:rPr>
            </w:pPr>
            <w:r>
              <w:rPr>
                <w:sz w:val="20"/>
                <w:szCs w:val="20"/>
              </w:rPr>
              <w:t>In recent years, t</w:t>
            </w:r>
            <w:r w:rsidRPr="00735388">
              <w:rPr>
                <w:sz w:val="20"/>
                <w:szCs w:val="20"/>
              </w:rPr>
              <w:t xml:space="preserve">echnology </w:t>
            </w:r>
            <w:r>
              <w:rPr>
                <w:sz w:val="20"/>
                <w:szCs w:val="20"/>
              </w:rPr>
              <w:t xml:space="preserve">firms </w:t>
            </w:r>
            <w:r w:rsidRPr="00735388">
              <w:rPr>
                <w:sz w:val="20"/>
                <w:szCs w:val="20"/>
              </w:rPr>
              <w:t xml:space="preserve">have come under increasing scrutiny </w:t>
            </w:r>
            <w:r>
              <w:rPr>
                <w:sz w:val="20"/>
                <w:szCs w:val="20"/>
              </w:rPr>
              <w:t>regarding practices for collecting/using personal data and the level of control</w:t>
            </w:r>
            <w:r w:rsidR="003F3775">
              <w:rPr>
                <w:sz w:val="20"/>
                <w:szCs w:val="20"/>
              </w:rPr>
              <w:t xml:space="preserve"> they are able to provide users.</w:t>
            </w:r>
            <w:r>
              <w:rPr>
                <w:sz w:val="20"/>
                <w:szCs w:val="20"/>
              </w:rPr>
              <w:t xml:space="preserve"> </w:t>
            </w:r>
            <w:r w:rsidRPr="00735388">
              <w:rPr>
                <w:sz w:val="20"/>
                <w:szCs w:val="20"/>
              </w:rPr>
              <w:t>The</w:t>
            </w:r>
            <w:r w:rsidR="003F3775">
              <w:rPr>
                <w:sz w:val="20"/>
                <w:szCs w:val="20"/>
              </w:rPr>
              <w:t>ir</w:t>
            </w:r>
            <w:r w:rsidRPr="00735388">
              <w:rPr>
                <w:sz w:val="20"/>
                <w:szCs w:val="20"/>
              </w:rPr>
              <w:t xml:space="preserve"> </w:t>
            </w:r>
            <w:r w:rsidR="003F3775">
              <w:rPr>
                <w:sz w:val="20"/>
                <w:szCs w:val="20"/>
              </w:rPr>
              <w:t xml:space="preserve">novel business model and global nature may </w:t>
            </w:r>
            <w:r w:rsidRPr="00735388">
              <w:rPr>
                <w:sz w:val="20"/>
                <w:szCs w:val="20"/>
              </w:rPr>
              <w:t xml:space="preserve">pose supervisory and oversight challenges for authorities should they lack the necessary expertise, </w:t>
            </w:r>
            <w:proofErr w:type="gramStart"/>
            <w:r w:rsidRPr="00735388">
              <w:rPr>
                <w:sz w:val="20"/>
                <w:szCs w:val="20"/>
              </w:rPr>
              <w:t>knowledge</w:t>
            </w:r>
            <w:proofErr w:type="gramEnd"/>
            <w:r w:rsidRPr="00735388">
              <w:rPr>
                <w:sz w:val="20"/>
                <w:szCs w:val="20"/>
              </w:rPr>
              <w:t xml:space="preserve"> and capacity within their organization. </w:t>
            </w:r>
          </w:p>
          <w:p w14:paraId="7B250BD6" w14:textId="1C89F752" w:rsidR="00A30D9B" w:rsidRPr="00735388" w:rsidRDefault="003F3775" w:rsidP="00735388">
            <w:pPr>
              <w:pStyle w:val="ListParagraph"/>
              <w:numPr>
                <w:ilvl w:val="0"/>
                <w:numId w:val="26"/>
              </w:numPr>
              <w:spacing w:after="120"/>
              <w:ind w:left="184" w:hanging="142"/>
              <w:rPr>
                <w:sz w:val="20"/>
                <w:szCs w:val="20"/>
              </w:rPr>
            </w:pPr>
            <w:r>
              <w:rPr>
                <w:sz w:val="20"/>
                <w:szCs w:val="20"/>
              </w:rPr>
              <w:t>I</w:t>
            </w:r>
            <w:r w:rsidR="00A30D9B" w:rsidRPr="00735388">
              <w:rPr>
                <w:sz w:val="20"/>
                <w:szCs w:val="20"/>
              </w:rPr>
              <w:t>t is important to note</w:t>
            </w:r>
            <w:r>
              <w:rPr>
                <w:sz w:val="20"/>
                <w:szCs w:val="20"/>
              </w:rPr>
              <w:t xml:space="preserve"> </w:t>
            </w:r>
            <w:r w:rsidR="00A30D9B" w:rsidRPr="00735388">
              <w:rPr>
                <w:sz w:val="20"/>
                <w:szCs w:val="20"/>
              </w:rPr>
              <w:t xml:space="preserve">that </w:t>
            </w:r>
            <w:r w:rsidR="008A2E7A">
              <w:rPr>
                <w:sz w:val="20"/>
                <w:szCs w:val="20"/>
              </w:rPr>
              <w:t xml:space="preserve">the </w:t>
            </w:r>
            <w:r w:rsidR="00A30D9B" w:rsidRPr="00735388">
              <w:rPr>
                <w:sz w:val="20"/>
                <w:szCs w:val="20"/>
              </w:rPr>
              <w:t>likelihood of these risks materializing</w:t>
            </w:r>
            <w:r>
              <w:rPr>
                <w:sz w:val="20"/>
                <w:szCs w:val="20"/>
              </w:rPr>
              <w:t xml:space="preserve"> </w:t>
            </w:r>
            <w:r w:rsidR="00A30D9B" w:rsidRPr="00735388">
              <w:rPr>
                <w:sz w:val="20"/>
                <w:szCs w:val="20"/>
              </w:rPr>
              <w:t>depend</w:t>
            </w:r>
            <w:r w:rsidR="008A2E7A">
              <w:rPr>
                <w:sz w:val="20"/>
                <w:szCs w:val="20"/>
              </w:rPr>
              <w:t>s</w:t>
            </w:r>
            <w:r w:rsidR="00A30D9B" w:rsidRPr="00735388">
              <w:rPr>
                <w:sz w:val="20"/>
                <w:szCs w:val="20"/>
              </w:rPr>
              <w:t xml:space="preserve"> on </w:t>
            </w:r>
            <w:proofErr w:type="gramStart"/>
            <w:r>
              <w:rPr>
                <w:sz w:val="20"/>
                <w:szCs w:val="20"/>
              </w:rPr>
              <w:t>a number of</w:t>
            </w:r>
            <w:proofErr w:type="gramEnd"/>
            <w:r>
              <w:rPr>
                <w:sz w:val="20"/>
                <w:szCs w:val="20"/>
              </w:rPr>
              <w:t xml:space="preserve"> scenarios</w:t>
            </w:r>
            <w:r w:rsidR="008A2E7A">
              <w:rPr>
                <w:sz w:val="20"/>
                <w:szCs w:val="20"/>
              </w:rPr>
              <w:t>,</w:t>
            </w:r>
            <w:r>
              <w:rPr>
                <w:sz w:val="20"/>
                <w:szCs w:val="20"/>
              </w:rPr>
              <w:t xml:space="preserve"> such as </w:t>
            </w:r>
            <w:r w:rsidR="00A30D9B" w:rsidRPr="00735388">
              <w:rPr>
                <w:sz w:val="20"/>
                <w:szCs w:val="20"/>
              </w:rPr>
              <w:t xml:space="preserve">the engagement </w:t>
            </w:r>
            <w:r>
              <w:rPr>
                <w:sz w:val="20"/>
                <w:szCs w:val="20"/>
              </w:rPr>
              <w:t xml:space="preserve">model </w:t>
            </w:r>
            <w:r w:rsidR="00A30D9B" w:rsidRPr="00735388">
              <w:rPr>
                <w:sz w:val="20"/>
                <w:szCs w:val="20"/>
              </w:rPr>
              <w:t xml:space="preserve">chosen by </w:t>
            </w:r>
            <w:proofErr w:type="spellStart"/>
            <w:r w:rsidR="00A30D9B" w:rsidRPr="00735388">
              <w:rPr>
                <w:sz w:val="20"/>
                <w:szCs w:val="20"/>
              </w:rPr>
              <w:t>Bigtech</w:t>
            </w:r>
            <w:proofErr w:type="spellEnd"/>
            <w:r w:rsidR="00A30D9B" w:rsidRPr="00735388">
              <w:rPr>
                <w:sz w:val="20"/>
                <w:szCs w:val="20"/>
              </w:rPr>
              <w:t xml:space="preserve"> companies</w:t>
            </w:r>
            <w:r>
              <w:rPr>
                <w:sz w:val="20"/>
                <w:szCs w:val="20"/>
              </w:rPr>
              <w:t xml:space="preserve"> to interact with financial services</w:t>
            </w:r>
            <w:r w:rsidR="00A30D9B" w:rsidRPr="00735388">
              <w:rPr>
                <w:sz w:val="20"/>
                <w:szCs w:val="20"/>
              </w:rPr>
              <w:t xml:space="preserve">. </w:t>
            </w:r>
            <w:r>
              <w:rPr>
                <w:sz w:val="20"/>
                <w:szCs w:val="20"/>
              </w:rPr>
              <w:t xml:space="preserve">For example, if technology firms where to </w:t>
            </w:r>
            <w:r w:rsidR="00A30D9B" w:rsidRPr="00735388">
              <w:rPr>
                <w:sz w:val="20"/>
                <w:szCs w:val="20"/>
              </w:rPr>
              <w:t xml:space="preserve">collaborate with traditional financial </w:t>
            </w:r>
            <w:r>
              <w:rPr>
                <w:sz w:val="20"/>
                <w:szCs w:val="20"/>
              </w:rPr>
              <w:t>institutions</w:t>
            </w:r>
            <w:r w:rsidR="00A30D9B" w:rsidRPr="00735388">
              <w:rPr>
                <w:sz w:val="20"/>
                <w:szCs w:val="20"/>
              </w:rPr>
              <w:t xml:space="preserve">, they </w:t>
            </w:r>
            <w:proofErr w:type="gramStart"/>
            <w:r>
              <w:rPr>
                <w:sz w:val="20"/>
                <w:szCs w:val="20"/>
              </w:rPr>
              <w:t>would</w:t>
            </w:r>
            <w:proofErr w:type="gramEnd"/>
            <w:r>
              <w:rPr>
                <w:sz w:val="20"/>
                <w:szCs w:val="20"/>
              </w:rPr>
              <w:t xml:space="preserve"> </w:t>
            </w:r>
            <w:r w:rsidR="00A30D9B" w:rsidRPr="00735388">
              <w:rPr>
                <w:sz w:val="20"/>
                <w:szCs w:val="20"/>
              </w:rPr>
              <w:t xml:space="preserve">benefit from </w:t>
            </w:r>
            <w:r>
              <w:rPr>
                <w:sz w:val="20"/>
                <w:szCs w:val="20"/>
              </w:rPr>
              <w:t xml:space="preserve">financial service firms </w:t>
            </w:r>
            <w:r w:rsidR="00A30D9B" w:rsidRPr="00735388">
              <w:rPr>
                <w:sz w:val="20"/>
                <w:szCs w:val="20"/>
              </w:rPr>
              <w:t xml:space="preserve">expertise in regulatory compliance and risk management.      </w:t>
            </w:r>
          </w:p>
        </w:tc>
      </w:tr>
      <w:tr w:rsidR="005721BC" w14:paraId="5C50108B" w14:textId="77777777" w:rsidTr="00657EDD">
        <w:trPr>
          <w:trHeight w:val="423"/>
        </w:trPr>
        <w:tc>
          <w:tcPr>
            <w:tcW w:w="1271" w:type="dxa"/>
          </w:tcPr>
          <w:p w14:paraId="48194545" w14:textId="75D7C403" w:rsidR="005721BC" w:rsidRDefault="005721BC" w:rsidP="005721BC">
            <w:pPr>
              <w:spacing w:after="120"/>
              <w:rPr>
                <w:sz w:val="20"/>
                <w:szCs w:val="20"/>
              </w:rPr>
            </w:pPr>
            <w:r>
              <w:rPr>
                <w:sz w:val="20"/>
                <w:szCs w:val="20"/>
              </w:rPr>
              <w:t>12</w:t>
            </w:r>
          </w:p>
        </w:tc>
        <w:tc>
          <w:tcPr>
            <w:tcW w:w="2126" w:type="dxa"/>
          </w:tcPr>
          <w:p w14:paraId="0C83402F" w14:textId="401EA6E9" w:rsidR="005721BC" w:rsidRPr="00CA62DC" w:rsidRDefault="005721BC" w:rsidP="005721BC">
            <w:pPr>
              <w:rPr>
                <w:sz w:val="20"/>
                <w:szCs w:val="20"/>
              </w:rPr>
            </w:pPr>
            <w:r>
              <w:rPr>
                <w:sz w:val="20"/>
                <w:szCs w:val="20"/>
              </w:rPr>
              <w:t>AFME to respond</w:t>
            </w:r>
          </w:p>
        </w:tc>
        <w:tc>
          <w:tcPr>
            <w:tcW w:w="7060" w:type="dxa"/>
            <w:shd w:val="clear" w:color="auto" w:fill="auto"/>
          </w:tcPr>
          <w:p w14:paraId="6882B8CF" w14:textId="77777777" w:rsidR="00EF7321" w:rsidRDefault="00800D13" w:rsidP="00A05E58">
            <w:pPr>
              <w:pStyle w:val="ListParagraph"/>
              <w:numPr>
                <w:ilvl w:val="0"/>
                <w:numId w:val="26"/>
              </w:numPr>
              <w:spacing w:after="120"/>
              <w:ind w:left="184" w:hanging="142"/>
              <w:rPr>
                <w:sz w:val="20"/>
                <w:szCs w:val="20"/>
              </w:rPr>
            </w:pPr>
            <w:r>
              <w:rPr>
                <w:sz w:val="20"/>
                <w:szCs w:val="20"/>
              </w:rPr>
              <w:t xml:space="preserve">First, AFME encourages the European Commission </w:t>
            </w:r>
            <w:r w:rsidR="00A05E58">
              <w:rPr>
                <w:sz w:val="20"/>
                <w:szCs w:val="20"/>
              </w:rPr>
              <w:t xml:space="preserve">to </w:t>
            </w:r>
            <w:proofErr w:type="gramStart"/>
            <w:r>
              <w:rPr>
                <w:sz w:val="20"/>
                <w:szCs w:val="20"/>
              </w:rPr>
              <w:t>make adjustments to</w:t>
            </w:r>
            <w:proofErr w:type="gramEnd"/>
            <w:r>
              <w:rPr>
                <w:sz w:val="20"/>
                <w:szCs w:val="20"/>
              </w:rPr>
              <w:t xml:space="preserve"> the EU regulatory framework</w:t>
            </w:r>
            <w:r w:rsidR="00A05E58">
              <w:rPr>
                <w:sz w:val="20"/>
                <w:szCs w:val="20"/>
              </w:rPr>
              <w:t xml:space="preserve"> were needed and </w:t>
            </w:r>
            <w:r>
              <w:rPr>
                <w:sz w:val="20"/>
                <w:szCs w:val="20"/>
              </w:rPr>
              <w:t xml:space="preserve">ensure it is more supportive of technology adoption and innovation. </w:t>
            </w:r>
          </w:p>
          <w:p w14:paraId="4CFA56D0" w14:textId="22711D6E" w:rsidR="00A05E58" w:rsidRDefault="00800D13" w:rsidP="00AF6407">
            <w:pPr>
              <w:pStyle w:val="ListParagraph"/>
              <w:numPr>
                <w:ilvl w:val="1"/>
                <w:numId w:val="26"/>
              </w:numPr>
              <w:spacing w:after="120"/>
              <w:ind w:left="606" w:hanging="284"/>
              <w:rPr>
                <w:sz w:val="20"/>
                <w:szCs w:val="20"/>
              </w:rPr>
            </w:pPr>
            <w:r>
              <w:rPr>
                <w:sz w:val="20"/>
                <w:szCs w:val="20"/>
              </w:rPr>
              <w:t xml:space="preserve">We believe this approach would be best supported by a </w:t>
            </w:r>
            <w:r w:rsidRPr="00800D13">
              <w:rPr>
                <w:sz w:val="20"/>
                <w:szCs w:val="20"/>
              </w:rPr>
              <w:t>technology neutral and principles based</w:t>
            </w:r>
            <w:r>
              <w:rPr>
                <w:sz w:val="20"/>
                <w:szCs w:val="20"/>
              </w:rPr>
              <w:t xml:space="preserve"> regulatory framework, </w:t>
            </w:r>
            <w:r w:rsidRPr="00800D13">
              <w:rPr>
                <w:sz w:val="20"/>
                <w:szCs w:val="20"/>
              </w:rPr>
              <w:t>provid</w:t>
            </w:r>
            <w:r>
              <w:rPr>
                <w:sz w:val="20"/>
                <w:szCs w:val="20"/>
              </w:rPr>
              <w:t>ing</w:t>
            </w:r>
            <w:r w:rsidRPr="00800D13">
              <w:rPr>
                <w:sz w:val="20"/>
                <w:szCs w:val="20"/>
              </w:rPr>
              <w:t xml:space="preserve"> the flexibility needed for firms to implement appropriate control, in a risk based and proportionate manner, that meet the continuously evolving nature of technology.</w:t>
            </w:r>
            <w:r w:rsidR="00A05E58">
              <w:rPr>
                <w:sz w:val="20"/>
                <w:szCs w:val="20"/>
              </w:rPr>
              <w:t xml:space="preserve"> </w:t>
            </w:r>
            <w:r w:rsidR="00764284">
              <w:rPr>
                <w:sz w:val="20"/>
                <w:szCs w:val="20"/>
              </w:rPr>
              <w:t>T</w:t>
            </w:r>
            <w:r w:rsidRPr="00800D13">
              <w:rPr>
                <w:sz w:val="20"/>
                <w:szCs w:val="20"/>
              </w:rPr>
              <w:t xml:space="preserve">he introduction of prescriptive and detailed legislative requirements </w:t>
            </w:r>
            <w:proofErr w:type="gramStart"/>
            <w:r w:rsidRPr="00800D13">
              <w:rPr>
                <w:sz w:val="20"/>
                <w:szCs w:val="20"/>
              </w:rPr>
              <w:t>are</w:t>
            </w:r>
            <w:proofErr w:type="gramEnd"/>
            <w:r w:rsidRPr="00800D13">
              <w:rPr>
                <w:sz w:val="20"/>
                <w:szCs w:val="20"/>
              </w:rPr>
              <w:t xml:space="preserve"> at risk of becoming obsolete in the short to medium term, as innovation in technology and new services continue</w:t>
            </w:r>
            <w:r w:rsidR="00764284">
              <w:rPr>
                <w:sz w:val="20"/>
                <w:szCs w:val="20"/>
              </w:rPr>
              <w:t xml:space="preserve"> </w:t>
            </w:r>
            <w:r w:rsidRPr="00800D13">
              <w:rPr>
                <w:sz w:val="20"/>
                <w:szCs w:val="20"/>
              </w:rPr>
              <w:t>at pace</w:t>
            </w:r>
            <w:r w:rsidR="00A05E58">
              <w:rPr>
                <w:sz w:val="20"/>
                <w:szCs w:val="20"/>
              </w:rPr>
              <w:t>.</w:t>
            </w:r>
          </w:p>
          <w:p w14:paraId="4F5FBA7D" w14:textId="16F5DC0E" w:rsidR="00764284" w:rsidRDefault="00764284" w:rsidP="00AF6407">
            <w:pPr>
              <w:pStyle w:val="ListParagraph"/>
              <w:numPr>
                <w:ilvl w:val="1"/>
                <w:numId w:val="26"/>
              </w:numPr>
              <w:spacing w:after="120"/>
              <w:ind w:left="606" w:hanging="284"/>
              <w:rPr>
                <w:sz w:val="20"/>
                <w:szCs w:val="20"/>
              </w:rPr>
            </w:pPr>
            <w:r>
              <w:rPr>
                <w:sz w:val="20"/>
                <w:szCs w:val="20"/>
              </w:rPr>
              <w:t>Additionally, and to support a more innovation regulatory framework</w:t>
            </w:r>
            <w:r w:rsidR="00A05E58">
              <w:rPr>
                <w:sz w:val="20"/>
                <w:szCs w:val="20"/>
              </w:rPr>
              <w:t xml:space="preserve">, </w:t>
            </w:r>
            <w:r w:rsidR="00A05E58" w:rsidRPr="00AF6407">
              <w:rPr>
                <w:sz w:val="20"/>
                <w:szCs w:val="20"/>
              </w:rPr>
              <w:t xml:space="preserve">AFME recommends the European Commission carefully assess the impact of current and proposed legislation on the competitiveness of </w:t>
            </w:r>
            <w:r w:rsidR="00A05E58" w:rsidRPr="00AF6407">
              <w:rPr>
                <w:sz w:val="20"/>
                <w:szCs w:val="20"/>
              </w:rPr>
              <w:lastRenderedPageBreak/>
              <w:t>financial firms</w:t>
            </w:r>
            <w:r w:rsidR="006F6094">
              <w:rPr>
                <w:sz w:val="20"/>
                <w:szCs w:val="20"/>
              </w:rPr>
              <w:t xml:space="preserve"> and ability to innovate</w:t>
            </w:r>
            <w:r w:rsidR="00A05E58" w:rsidRPr="00AF6407">
              <w:rPr>
                <w:sz w:val="20"/>
                <w:szCs w:val="20"/>
              </w:rPr>
              <w:t xml:space="preserve">. The Commission could conduct more frequent reviews of policies implemented </w:t>
            </w:r>
            <w:r w:rsidR="006F6094">
              <w:rPr>
                <w:sz w:val="20"/>
                <w:szCs w:val="20"/>
              </w:rPr>
              <w:t>or mak</w:t>
            </w:r>
            <w:r>
              <w:rPr>
                <w:sz w:val="20"/>
                <w:szCs w:val="20"/>
              </w:rPr>
              <w:t>e</w:t>
            </w:r>
            <w:r w:rsidR="006F6094">
              <w:rPr>
                <w:sz w:val="20"/>
                <w:szCs w:val="20"/>
              </w:rPr>
              <w:t xml:space="preserve"> use of </w:t>
            </w:r>
            <w:r w:rsidR="000D7808">
              <w:rPr>
                <w:sz w:val="20"/>
                <w:szCs w:val="20"/>
              </w:rPr>
              <w:t>innovation hubs/</w:t>
            </w:r>
            <w:r w:rsidR="006F6094">
              <w:rPr>
                <w:sz w:val="20"/>
                <w:szCs w:val="20"/>
              </w:rPr>
              <w:t>regulatory sandboxes for testing</w:t>
            </w:r>
            <w:r>
              <w:rPr>
                <w:sz w:val="20"/>
                <w:szCs w:val="20"/>
              </w:rPr>
              <w:t xml:space="preserve"> innovative technologies</w:t>
            </w:r>
            <w:r w:rsidR="006F6094">
              <w:rPr>
                <w:sz w:val="20"/>
                <w:szCs w:val="20"/>
              </w:rPr>
              <w:t xml:space="preserve">, </w:t>
            </w:r>
            <w:r w:rsidR="00A05E58" w:rsidRPr="00AF6407">
              <w:rPr>
                <w:sz w:val="20"/>
                <w:szCs w:val="20"/>
              </w:rPr>
              <w:t xml:space="preserve">with support of market actors, to assess if policies developed have indeed met </w:t>
            </w:r>
            <w:r w:rsidR="006F6094">
              <w:rPr>
                <w:sz w:val="20"/>
                <w:szCs w:val="20"/>
              </w:rPr>
              <w:t xml:space="preserve">their </w:t>
            </w:r>
            <w:r w:rsidR="00A05E58" w:rsidRPr="00AF6407">
              <w:rPr>
                <w:sz w:val="20"/>
                <w:szCs w:val="20"/>
              </w:rPr>
              <w:t>objectives.</w:t>
            </w:r>
          </w:p>
          <w:p w14:paraId="07122090" w14:textId="791679A4" w:rsidR="005C7AE2" w:rsidRDefault="00A05E58" w:rsidP="00764284">
            <w:pPr>
              <w:pStyle w:val="ListParagraph"/>
              <w:numPr>
                <w:ilvl w:val="0"/>
                <w:numId w:val="26"/>
              </w:numPr>
              <w:spacing w:after="120"/>
              <w:ind w:left="184" w:hanging="142"/>
              <w:rPr>
                <w:sz w:val="20"/>
                <w:szCs w:val="20"/>
              </w:rPr>
            </w:pPr>
            <w:r w:rsidRPr="00AF6407">
              <w:rPr>
                <w:sz w:val="20"/>
                <w:szCs w:val="20"/>
              </w:rPr>
              <w:t xml:space="preserve">Second, </w:t>
            </w:r>
            <w:r w:rsidR="009A5B36">
              <w:rPr>
                <w:sz w:val="20"/>
                <w:szCs w:val="20"/>
              </w:rPr>
              <w:t>w</w:t>
            </w:r>
            <w:r w:rsidR="009A5B36">
              <w:rPr>
                <w:rFonts w:eastAsia="Times New Roman"/>
                <w:sz w:val="20"/>
                <w:szCs w:val="20"/>
                <w:lang w:eastAsia="en-GB"/>
              </w:rPr>
              <w:t>hile AFME is supportive of innovation and increased market competition, a</w:t>
            </w:r>
            <w:r w:rsidR="009A5B36" w:rsidRPr="00D1468E">
              <w:rPr>
                <w:rFonts w:eastAsia="Times New Roman"/>
                <w:sz w:val="20"/>
                <w:szCs w:val="20"/>
                <w:lang w:eastAsia="en-GB"/>
              </w:rPr>
              <w:t xml:space="preserve"> level playing field </w:t>
            </w:r>
            <w:r w:rsidR="009A5B36">
              <w:rPr>
                <w:rFonts w:eastAsia="Times New Roman"/>
                <w:sz w:val="20"/>
                <w:szCs w:val="20"/>
                <w:lang w:eastAsia="en-GB"/>
              </w:rPr>
              <w:t xml:space="preserve">for all financial services firms </w:t>
            </w:r>
            <w:r w:rsidR="009A5B36" w:rsidRPr="00D1468E">
              <w:rPr>
                <w:rFonts w:eastAsia="Times New Roman"/>
                <w:sz w:val="20"/>
                <w:szCs w:val="20"/>
                <w:lang w:eastAsia="en-GB"/>
              </w:rPr>
              <w:t xml:space="preserve">is needed </w:t>
            </w:r>
            <w:r w:rsidR="009A5B36">
              <w:rPr>
                <w:rFonts w:eastAsia="Times New Roman"/>
                <w:sz w:val="20"/>
                <w:szCs w:val="20"/>
                <w:lang w:eastAsia="en-GB"/>
              </w:rPr>
              <w:t xml:space="preserve">to </w:t>
            </w:r>
            <w:r w:rsidR="009A5B36" w:rsidRPr="006809B5">
              <w:rPr>
                <w:rFonts w:eastAsia="Times New Roman"/>
                <w:sz w:val="20"/>
                <w:szCs w:val="20"/>
                <w:lang w:eastAsia="en-GB"/>
              </w:rPr>
              <w:t xml:space="preserve">manage </w:t>
            </w:r>
            <w:r w:rsidR="009A5B36">
              <w:rPr>
                <w:rFonts w:eastAsia="Times New Roman"/>
                <w:sz w:val="20"/>
                <w:szCs w:val="20"/>
                <w:lang w:eastAsia="en-GB"/>
              </w:rPr>
              <w:t xml:space="preserve">and appropriately mitigate any </w:t>
            </w:r>
            <w:r w:rsidR="009A5B36" w:rsidRPr="006809B5">
              <w:rPr>
                <w:rFonts w:eastAsia="Times New Roman"/>
                <w:sz w:val="20"/>
                <w:szCs w:val="20"/>
                <w:lang w:eastAsia="en-GB"/>
              </w:rPr>
              <w:t>risk</w:t>
            </w:r>
            <w:r w:rsidR="009A5B36">
              <w:rPr>
                <w:rFonts w:eastAsia="Times New Roman"/>
                <w:sz w:val="20"/>
                <w:szCs w:val="20"/>
                <w:lang w:eastAsia="en-GB"/>
              </w:rPr>
              <w:t>s</w:t>
            </w:r>
            <w:r w:rsidR="009A5B36" w:rsidRPr="006809B5">
              <w:rPr>
                <w:rFonts w:eastAsia="Times New Roman"/>
                <w:sz w:val="20"/>
                <w:szCs w:val="20"/>
                <w:lang w:eastAsia="en-GB"/>
              </w:rPr>
              <w:t xml:space="preserve"> to consumers</w:t>
            </w:r>
            <w:r w:rsidR="009A5B36">
              <w:rPr>
                <w:rFonts w:eastAsia="Times New Roman"/>
                <w:sz w:val="20"/>
                <w:szCs w:val="20"/>
                <w:lang w:eastAsia="en-GB"/>
              </w:rPr>
              <w:t xml:space="preserve"> and </w:t>
            </w:r>
            <w:r w:rsidR="009A5B36" w:rsidRPr="006809B5">
              <w:rPr>
                <w:rFonts w:eastAsia="Times New Roman"/>
                <w:sz w:val="20"/>
                <w:szCs w:val="20"/>
                <w:lang w:eastAsia="en-GB"/>
              </w:rPr>
              <w:t>financial stability</w:t>
            </w:r>
            <w:r w:rsidR="009A5B36">
              <w:rPr>
                <w:rFonts w:eastAsia="Times New Roman"/>
                <w:sz w:val="20"/>
                <w:szCs w:val="20"/>
                <w:lang w:eastAsia="en-GB"/>
              </w:rPr>
              <w:t xml:space="preserve">. A level-playing field should be maintained based on </w:t>
            </w:r>
            <w:r w:rsidR="009A5B36" w:rsidRPr="00D1468E">
              <w:rPr>
                <w:rFonts w:eastAsia="Times New Roman"/>
                <w:sz w:val="20"/>
                <w:szCs w:val="20"/>
                <w:lang w:eastAsia="en-GB"/>
              </w:rPr>
              <w:t>the principle of ‘same risk, same activity, same regulation’</w:t>
            </w:r>
            <w:r w:rsidR="009A5B36">
              <w:rPr>
                <w:rFonts w:eastAsia="Times New Roman"/>
                <w:sz w:val="20"/>
                <w:szCs w:val="20"/>
                <w:lang w:eastAsia="en-GB"/>
              </w:rPr>
              <w:t>.</w:t>
            </w:r>
          </w:p>
          <w:p w14:paraId="49B039B4" w14:textId="2BD3B372" w:rsidR="005C7AE2" w:rsidRPr="005C7AE2" w:rsidRDefault="005C7AE2" w:rsidP="00735388">
            <w:pPr>
              <w:pStyle w:val="ListParagraph"/>
              <w:numPr>
                <w:ilvl w:val="1"/>
                <w:numId w:val="26"/>
              </w:numPr>
              <w:spacing w:after="120"/>
              <w:ind w:left="606" w:hanging="284"/>
              <w:rPr>
                <w:sz w:val="20"/>
                <w:szCs w:val="20"/>
              </w:rPr>
            </w:pPr>
            <w:r w:rsidRPr="005C7AE2">
              <w:rPr>
                <w:sz w:val="20"/>
                <w:szCs w:val="20"/>
              </w:rPr>
              <w:t xml:space="preserve">This should include the applicability of existing regulation to other entities who may be currently outside the financial services regulatory framework and may be conducting the same or similar activities as regulated financial institutions.  In such cases, these entities should also be included, where applicable, within the financial services regulatory perimeter to mitigate any risks that such activity may entail, to protect </w:t>
            </w:r>
            <w:r w:rsidR="002C46CA">
              <w:rPr>
                <w:sz w:val="20"/>
                <w:szCs w:val="20"/>
              </w:rPr>
              <w:t>clients</w:t>
            </w:r>
            <w:r w:rsidRPr="005C7AE2">
              <w:rPr>
                <w:sz w:val="20"/>
                <w:szCs w:val="20"/>
              </w:rPr>
              <w:t>/consumers, market integrity and financial stability.  For instance, to the extent a part of a technology firm provides financial products or services, akin to a regulated financial institution, that part of the firm should be regulated in the same way as an incumbent counterpart.</w:t>
            </w:r>
          </w:p>
          <w:p w14:paraId="08A27C8B" w14:textId="73E1BE8E" w:rsidR="005C7AE2" w:rsidRPr="005C7AE2" w:rsidRDefault="005C7AE2" w:rsidP="00735388">
            <w:pPr>
              <w:pStyle w:val="ListParagraph"/>
              <w:numPr>
                <w:ilvl w:val="1"/>
                <w:numId w:val="26"/>
              </w:numPr>
              <w:spacing w:after="120"/>
              <w:ind w:left="606" w:hanging="284"/>
              <w:rPr>
                <w:sz w:val="20"/>
                <w:szCs w:val="20"/>
              </w:rPr>
            </w:pPr>
            <w:r w:rsidRPr="005C7AE2">
              <w:rPr>
                <w:sz w:val="20"/>
                <w:szCs w:val="20"/>
              </w:rPr>
              <w:t xml:space="preserve">This could also include alleviating parts of the prudential, </w:t>
            </w:r>
            <w:r w:rsidR="008A2E7A" w:rsidRPr="005C7AE2">
              <w:rPr>
                <w:sz w:val="20"/>
                <w:szCs w:val="20"/>
              </w:rPr>
              <w:t>regulatory,</w:t>
            </w:r>
            <w:r w:rsidRPr="005C7AE2">
              <w:rPr>
                <w:sz w:val="20"/>
                <w:szCs w:val="20"/>
              </w:rPr>
              <w:t xml:space="preserve"> and supervisory framework of non-core banking businesses. Currently the consolidated application of prudential requirements applies to all entities within the banking group.  As a result, in performing these non-core activities (i.e. not funded with deposits), banks have a higher cost and time-to-market that their technology counterparts. subject to activity-specific regulation.</w:t>
            </w:r>
          </w:p>
          <w:p w14:paraId="0C1BAF6F" w14:textId="5355C27B" w:rsidR="00EF7321" w:rsidRDefault="005C7AE2" w:rsidP="005C7AE2">
            <w:pPr>
              <w:pStyle w:val="ListParagraph"/>
              <w:numPr>
                <w:ilvl w:val="1"/>
                <w:numId w:val="26"/>
              </w:numPr>
              <w:spacing w:after="120"/>
              <w:ind w:left="606" w:hanging="284"/>
              <w:rPr>
                <w:sz w:val="20"/>
                <w:szCs w:val="20"/>
              </w:rPr>
            </w:pPr>
            <w:r w:rsidRPr="005C7AE2">
              <w:rPr>
                <w:sz w:val="20"/>
                <w:szCs w:val="20"/>
              </w:rPr>
              <w:t>Moreover, we believe further examination is needed regarding situations where, due to regulatory requirements, organisations have had to bear the costs for the business models of their competitors (for instance where PSD2 has given rise to organisations being able to develop banking services without the cost of maintaining banking technology infrastructure). These initiatives could limit firm's incentive and ability to invest in innovative technologies but may also have negative implications on their ability to maintain and continuously improve their technical infrastructure and business model.</w:t>
            </w:r>
            <w:r w:rsidR="00764284" w:rsidRPr="00735388">
              <w:rPr>
                <w:sz w:val="20"/>
                <w:szCs w:val="20"/>
              </w:rPr>
              <w:t xml:space="preserve"> </w:t>
            </w:r>
          </w:p>
          <w:p w14:paraId="4C304413" w14:textId="77777777" w:rsidR="00E324CF" w:rsidRDefault="00D77094" w:rsidP="00E324CF">
            <w:pPr>
              <w:pStyle w:val="ListParagraph"/>
              <w:numPr>
                <w:ilvl w:val="1"/>
                <w:numId w:val="26"/>
              </w:numPr>
              <w:spacing w:after="120"/>
              <w:ind w:left="606" w:hanging="284"/>
              <w:rPr>
                <w:sz w:val="20"/>
                <w:szCs w:val="20"/>
              </w:rPr>
            </w:pPr>
            <w:r>
              <w:rPr>
                <w:sz w:val="20"/>
                <w:szCs w:val="20"/>
              </w:rPr>
              <w:t>Regarding data, t</w:t>
            </w:r>
            <w:r w:rsidRPr="00D77094">
              <w:rPr>
                <w:sz w:val="20"/>
                <w:szCs w:val="20"/>
              </w:rPr>
              <w:t xml:space="preserve">he EU needs a cross-sectoral framework to empower individuals and firms, ensuring they </w:t>
            </w:r>
            <w:r>
              <w:rPr>
                <w:sz w:val="20"/>
                <w:szCs w:val="20"/>
              </w:rPr>
              <w:t xml:space="preserve">can both maintain control over </w:t>
            </w:r>
            <w:r w:rsidRPr="00D77094">
              <w:rPr>
                <w:sz w:val="20"/>
                <w:szCs w:val="20"/>
              </w:rPr>
              <w:t>when and with whom the</w:t>
            </w:r>
            <w:r>
              <w:rPr>
                <w:sz w:val="20"/>
                <w:szCs w:val="20"/>
              </w:rPr>
              <w:t>ir</w:t>
            </w:r>
            <w:r w:rsidRPr="00D77094">
              <w:rPr>
                <w:sz w:val="20"/>
                <w:szCs w:val="20"/>
              </w:rPr>
              <w:t xml:space="preserve"> </w:t>
            </w:r>
            <w:r>
              <w:rPr>
                <w:sz w:val="20"/>
                <w:szCs w:val="20"/>
              </w:rPr>
              <w:t>data can be shared</w:t>
            </w:r>
            <w:r w:rsidRPr="00D77094">
              <w:rPr>
                <w:sz w:val="20"/>
                <w:szCs w:val="20"/>
              </w:rPr>
              <w:t xml:space="preserve">. This would support greater competition and data-driven innovation, including through greater adoption of </w:t>
            </w:r>
            <w:r w:rsidR="000D7808">
              <w:rPr>
                <w:sz w:val="20"/>
                <w:szCs w:val="20"/>
              </w:rPr>
              <w:t>artificial intelligence</w:t>
            </w:r>
            <w:r w:rsidRPr="00D77094">
              <w:rPr>
                <w:sz w:val="20"/>
                <w:szCs w:val="20"/>
              </w:rPr>
              <w:t xml:space="preserve"> in Europe.</w:t>
            </w:r>
          </w:p>
          <w:p w14:paraId="74A847DB" w14:textId="3D7C77BC" w:rsidR="00E324CF" w:rsidRPr="009726DA" w:rsidRDefault="00E324CF" w:rsidP="00E324CF">
            <w:pPr>
              <w:pStyle w:val="ListParagraph"/>
              <w:numPr>
                <w:ilvl w:val="1"/>
                <w:numId w:val="26"/>
              </w:numPr>
              <w:spacing w:after="120"/>
              <w:ind w:left="606" w:hanging="284"/>
              <w:rPr>
                <w:sz w:val="20"/>
                <w:szCs w:val="20"/>
              </w:rPr>
            </w:pPr>
            <w:r w:rsidRPr="009726DA">
              <w:rPr>
                <w:sz w:val="20"/>
                <w:szCs w:val="20"/>
              </w:rPr>
              <w:t xml:space="preserve">New EU initiatives should ensure that there is fair access by all market players to the relevant technical infrastructure, that is now, or in the future, required for the digital transformation of financial services. </w:t>
            </w:r>
          </w:p>
          <w:p w14:paraId="224215EE" w14:textId="3B1635CC" w:rsidR="00800D13" w:rsidRPr="001B796D" w:rsidRDefault="00764284" w:rsidP="00AF6407">
            <w:pPr>
              <w:pStyle w:val="ListParagraph"/>
              <w:numPr>
                <w:ilvl w:val="1"/>
                <w:numId w:val="26"/>
              </w:numPr>
              <w:spacing w:after="120"/>
              <w:ind w:left="606" w:hanging="284"/>
              <w:rPr>
                <w:sz w:val="20"/>
                <w:szCs w:val="20"/>
              </w:rPr>
            </w:pPr>
            <w:r>
              <w:rPr>
                <w:sz w:val="20"/>
                <w:szCs w:val="20"/>
              </w:rPr>
              <w:t xml:space="preserve">Additionally, and to support a competitive level-playing field, AFME recommends the European Commission remains actively engaged and a contributor to international efforts related to innovative technologies and </w:t>
            </w:r>
            <w:proofErr w:type="spellStart"/>
            <w:r>
              <w:rPr>
                <w:sz w:val="20"/>
                <w:szCs w:val="20"/>
              </w:rPr>
              <w:t>BigTechs</w:t>
            </w:r>
            <w:proofErr w:type="spellEnd"/>
            <w:r>
              <w:rPr>
                <w:sz w:val="20"/>
                <w:szCs w:val="20"/>
              </w:rPr>
              <w:t>. For instance, participation to t</w:t>
            </w:r>
            <w:r w:rsidRPr="00764284">
              <w:rPr>
                <w:sz w:val="20"/>
                <w:szCs w:val="20"/>
              </w:rPr>
              <w:t>he testing of innovative technologies across multiple jurisdictions, should be accelerated in the EU to ensure adequate and consistent levels of knowledge and understanding of innovation subject matter, globally</w:t>
            </w:r>
            <w:r>
              <w:rPr>
                <w:sz w:val="20"/>
                <w:szCs w:val="20"/>
              </w:rPr>
              <w:t>.</w:t>
            </w:r>
            <w:r w:rsidRPr="00764284">
              <w:rPr>
                <w:sz w:val="20"/>
                <w:szCs w:val="20"/>
              </w:rPr>
              <w:t xml:space="preserve"> </w:t>
            </w:r>
            <w:r>
              <w:rPr>
                <w:sz w:val="20"/>
                <w:szCs w:val="20"/>
              </w:rPr>
              <w:t xml:space="preserve">As well, developing </w:t>
            </w:r>
            <w:r w:rsidRPr="00764284">
              <w:rPr>
                <w:sz w:val="20"/>
                <w:szCs w:val="20"/>
              </w:rPr>
              <w:t xml:space="preserve">appropriate policy response </w:t>
            </w:r>
            <w:r>
              <w:rPr>
                <w:sz w:val="20"/>
                <w:szCs w:val="20"/>
              </w:rPr>
              <w:t xml:space="preserve">to </w:t>
            </w:r>
            <w:proofErr w:type="spellStart"/>
            <w:r>
              <w:rPr>
                <w:sz w:val="20"/>
                <w:szCs w:val="20"/>
              </w:rPr>
              <w:t>BigTech</w:t>
            </w:r>
            <w:proofErr w:type="spellEnd"/>
            <w:r>
              <w:rPr>
                <w:sz w:val="20"/>
                <w:szCs w:val="20"/>
              </w:rPr>
              <w:t xml:space="preserve"> must </w:t>
            </w:r>
            <w:r w:rsidRPr="00764284">
              <w:rPr>
                <w:sz w:val="20"/>
                <w:szCs w:val="20"/>
              </w:rPr>
              <w:t>be based on international cooperation, a common assessment of systemic risks and coordinated policy responses,</w:t>
            </w:r>
            <w:r>
              <w:rPr>
                <w:sz w:val="20"/>
                <w:szCs w:val="20"/>
              </w:rPr>
              <w:t xml:space="preserve"> as highlighted in the BIS report</w:t>
            </w:r>
            <w:r>
              <w:rPr>
                <w:rStyle w:val="FootnoteReference"/>
                <w:sz w:val="20"/>
                <w:szCs w:val="20"/>
              </w:rPr>
              <w:footnoteReference w:id="28"/>
            </w:r>
            <w:r>
              <w:rPr>
                <w:sz w:val="20"/>
                <w:szCs w:val="20"/>
              </w:rPr>
              <w:t>.</w:t>
            </w:r>
          </w:p>
        </w:tc>
      </w:tr>
      <w:tr w:rsidR="005721BC" w14:paraId="18DBB46D" w14:textId="77777777" w:rsidTr="00657EDD">
        <w:trPr>
          <w:trHeight w:val="423"/>
        </w:trPr>
        <w:tc>
          <w:tcPr>
            <w:tcW w:w="1271" w:type="dxa"/>
          </w:tcPr>
          <w:p w14:paraId="06979079" w14:textId="739B51A4" w:rsidR="005721BC" w:rsidRDefault="005721BC" w:rsidP="005721BC">
            <w:pPr>
              <w:spacing w:after="120"/>
              <w:rPr>
                <w:sz w:val="20"/>
                <w:szCs w:val="20"/>
              </w:rPr>
            </w:pPr>
            <w:r>
              <w:rPr>
                <w:sz w:val="20"/>
                <w:szCs w:val="20"/>
              </w:rPr>
              <w:lastRenderedPageBreak/>
              <w:t>12.1</w:t>
            </w:r>
          </w:p>
        </w:tc>
        <w:tc>
          <w:tcPr>
            <w:tcW w:w="2126" w:type="dxa"/>
          </w:tcPr>
          <w:p w14:paraId="7F8E1B9D" w14:textId="0782FBCD" w:rsidR="005721BC" w:rsidRPr="00CA62DC" w:rsidRDefault="005721BC" w:rsidP="005721BC">
            <w:pPr>
              <w:rPr>
                <w:sz w:val="20"/>
                <w:szCs w:val="20"/>
              </w:rPr>
            </w:pPr>
            <w:r>
              <w:rPr>
                <w:sz w:val="20"/>
                <w:szCs w:val="20"/>
              </w:rPr>
              <w:t xml:space="preserve">AFME to </w:t>
            </w:r>
            <w:r w:rsidR="00D73988" w:rsidRPr="00AF6407">
              <w:rPr>
                <w:sz w:val="20"/>
                <w:szCs w:val="20"/>
                <w:u w:val="single"/>
              </w:rPr>
              <w:t>not</w:t>
            </w:r>
            <w:r w:rsidR="00D73988">
              <w:rPr>
                <w:sz w:val="20"/>
                <w:szCs w:val="20"/>
              </w:rPr>
              <w:t xml:space="preserve"> </w:t>
            </w:r>
            <w:r>
              <w:rPr>
                <w:sz w:val="20"/>
                <w:szCs w:val="20"/>
              </w:rPr>
              <w:t>respond</w:t>
            </w:r>
          </w:p>
        </w:tc>
        <w:tc>
          <w:tcPr>
            <w:tcW w:w="7060" w:type="dxa"/>
            <w:shd w:val="clear" w:color="auto" w:fill="auto"/>
          </w:tcPr>
          <w:p w14:paraId="09C655F1" w14:textId="5E1AB603" w:rsidR="005721BC" w:rsidRPr="00AF6407" w:rsidRDefault="005721BC" w:rsidP="00AF6407">
            <w:pPr>
              <w:spacing w:after="120"/>
              <w:rPr>
                <w:sz w:val="20"/>
                <w:szCs w:val="20"/>
              </w:rPr>
            </w:pPr>
          </w:p>
        </w:tc>
      </w:tr>
      <w:tr w:rsidR="005721BC" w14:paraId="10CC6339" w14:textId="77777777" w:rsidTr="001B796D">
        <w:trPr>
          <w:trHeight w:val="423"/>
        </w:trPr>
        <w:tc>
          <w:tcPr>
            <w:tcW w:w="10457" w:type="dxa"/>
            <w:gridSpan w:val="3"/>
            <w:shd w:val="clear" w:color="auto" w:fill="D6E3BC" w:themeFill="accent3" w:themeFillTint="66"/>
          </w:tcPr>
          <w:p w14:paraId="6EDC3439" w14:textId="19B98A46" w:rsidR="005721BC" w:rsidRPr="001B796D" w:rsidRDefault="005721BC" w:rsidP="005721BC">
            <w:pPr>
              <w:spacing w:after="120"/>
              <w:rPr>
                <w:sz w:val="20"/>
                <w:szCs w:val="20"/>
              </w:rPr>
            </w:pPr>
            <w:r w:rsidRPr="001B796D">
              <w:rPr>
                <w:sz w:val="20"/>
                <w:szCs w:val="20"/>
              </w:rPr>
              <w:t>Enhance multi-disciplinary cooperation between authorities</w:t>
            </w:r>
          </w:p>
        </w:tc>
      </w:tr>
      <w:tr w:rsidR="005721BC" w14:paraId="53F68DD2" w14:textId="77777777" w:rsidTr="00657EDD">
        <w:trPr>
          <w:trHeight w:val="423"/>
        </w:trPr>
        <w:tc>
          <w:tcPr>
            <w:tcW w:w="1271" w:type="dxa"/>
          </w:tcPr>
          <w:p w14:paraId="3AC3AC90" w14:textId="0BA3CDE8" w:rsidR="005721BC" w:rsidRPr="005C6D66" w:rsidRDefault="005721BC" w:rsidP="005721BC">
            <w:pPr>
              <w:spacing w:after="120"/>
              <w:rPr>
                <w:sz w:val="20"/>
                <w:szCs w:val="20"/>
              </w:rPr>
            </w:pPr>
            <w:r w:rsidRPr="005C6D66">
              <w:rPr>
                <w:sz w:val="20"/>
                <w:szCs w:val="20"/>
              </w:rPr>
              <w:t>13</w:t>
            </w:r>
          </w:p>
        </w:tc>
        <w:tc>
          <w:tcPr>
            <w:tcW w:w="2126" w:type="dxa"/>
          </w:tcPr>
          <w:p w14:paraId="7FBFD0AC" w14:textId="2CB809E4" w:rsidR="005721BC" w:rsidRPr="005C6D66" w:rsidRDefault="005721BC" w:rsidP="005721BC">
            <w:pPr>
              <w:rPr>
                <w:sz w:val="20"/>
                <w:szCs w:val="20"/>
              </w:rPr>
            </w:pPr>
            <w:r w:rsidRPr="005C6D66">
              <w:rPr>
                <w:sz w:val="20"/>
                <w:szCs w:val="20"/>
              </w:rPr>
              <w:t>AFME to respond</w:t>
            </w:r>
          </w:p>
        </w:tc>
        <w:tc>
          <w:tcPr>
            <w:tcW w:w="7060" w:type="dxa"/>
            <w:shd w:val="clear" w:color="auto" w:fill="auto"/>
          </w:tcPr>
          <w:p w14:paraId="5CD0F958" w14:textId="77777777" w:rsidR="00D73988" w:rsidRPr="005C6D66" w:rsidRDefault="00D73988" w:rsidP="00D73988">
            <w:pPr>
              <w:pStyle w:val="ListParagraph"/>
              <w:numPr>
                <w:ilvl w:val="0"/>
                <w:numId w:val="26"/>
              </w:numPr>
              <w:spacing w:after="120"/>
              <w:ind w:left="184" w:hanging="142"/>
              <w:rPr>
                <w:sz w:val="20"/>
                <w:szCs w:val="20"/>
              </w:rPr>
            </w:pPr>
            <w:r w:rsidRPr="005C6D66">
              <w:rPr>
                <w:sz w:val="20"/>
                <w:szCs w:val="20"/>
              </w:rPr>
              <w:t>AFME recommends the Commission ensure the EU regulatory framework for innovative technologies is globally consistent, wherever possible, to sufficiently mitigate risks and support the competitiveness of firms.</w:t>
            </w:r>
          </w:p>
          <w:p w14:paraId="33BC9F3E" w14:textId="16AF43C4" w:rsidR="00D73988" w:rsidRPr="005C6D66" w:rsidRDefault="00D73988" w:rsidP="00D73988">
            <w:pPr>
              <w:pStyle w:val="ListParagraph"/>
              <w:numPr>
                <w:ilvl w:val="0"/>
                <w:numId w:val="26"/>
              </w:numPr>
              <w:spacing w:after="120"/>
              <w:ind w:left="184" w:hanging="142"/>
              <w:rPr>
                <w:sz w:val="20"/>
                <w:szCs w:val="20"/>
              </w:rPr>
            </w:pPr>
            <w:r w:rsidRPr="005C6D66">
              <w:rPr>
                <w:sz w:val="20"/>
                <w:szCs w:val="20"/>
              </w:rPr>
              <w:t xml:space="preserve">A globally consistent regulatory framework is critical for maintaining financial stability and protecting end users, to address gaps in supervision across jurisdictions that could create systemic vulnerabilities, as the use of innovative technologies continues to grow at pace. </w:t>
            </w:r>
            <w:r w:rsidR="0092234F">
              <w:rPr>
                <w:sz w:val="20"/>
                <w:szCs w:val="20"/>
              </w:rPr>
              <w:t>A</w:t>
            </w:r>
            <w:r w:rsidRPr="005C6D66">
              <w:rPr>
                <w:sz w:val="20"/>
                <w:szCs w:val="20"/>
              </w:rPr>
              <w:t>ny European developments on the regulation of innovative technologies should be consistent with on-going global risk assessments or initiatives (e.g. G7/G20, FSB, BIS, IOSCO) and adhere to global standards, to maintain interoperability.</w:t>
            </w:r>
          </w:p>
          <w:p w14:paraId="592F4567" w14:textId="32C1DC0F" w:rsidR="00551E0E" w:rsidRPr="005C6D66" w:rsidRDefault="00551E0E" w:rsidP="00551E0E">
            <w:pPr>
              <w:pStyle w:val="ListParagraph"/>
              <w:numPr>
                <w:ilvl w:val="0"/>
                <w:numId w:val="26"/>
              </w:numPr>
              <w:spacing w:after="120"/>
              <w:ind w:left="184" w:hanging="142"/>
              <w:rPr>
                <w:sz w:val="20"/>
                <w:szCs w:val="20"/>
              </w:rPr>
            </w:pPr>
            <w:r w:rsidRPr="005C6D66">
              <w:rPr>
                <w:sz w:val="20"/>
                <w:szCs w:val="20"/>
              </w:rPr>
              <w:t xml:space="preserve">Many of the challenges created by new entrants in financial services (e.g. competition, data protection, privacy), </w:t>
            </w:r>
            <w:r w:rsidR="0092234F">
              <w:rPr>
                <w:sz w:val="20"/>
                <w:szCs w:val="20"/>
              </w:rPr>
              <w:t xml:space="preserve">where those are technology firms, </w:t>
            </w:r>
            <w:r w:rsidRPr="005C6D66">
              <w:rPr>
                <w:sz w:val="20"/>
                <w:szCs w:val="20"/>
              </w:rPr>
              <w:t xml:space="preserve">are </w:t>
            </w:r>
            <w:r w:rsidR="00B76558" w:rsidRPr="005C6D66">
              <w:rPr>
                <w:sz w:val="20"/>
                <w:szCs w:val="20"/>
              </w:rPr>
              <w:t xml:space="preserve">due </w:t>
            </w:r>
            <w:r w:rsidRPr="005C6D66">
              <w:rPr>
                <w:sz w:val="20"/>
                <w:szCs w:val="20"/>
              </w:rPr>
              <w:t xml:space="preserve">to the </w:t>
            </w:r>
            <w:r w:rsidR="00B76558" w:rsidRPr="005C6D66">
              <w:rPr>
                <w:sz w:val="20"/>
                <w:szCs w:val="20"/>
              </w:rPr>
              <w:t xml:space="preserve">grey areas related to </w:t>
            </w:r>
            <w:r w:rsidR="0092234F">
              <w:rPr>
                <w:sz w:val="20"/>
                <w:szCs w:val="20"/>
              </w:rPr>
              <w:t xml:space="preserve">the </w:t>
            </w:r>
            <w:r w:rsidRPr="005C6D66">
              <w:rPr>
                <w:sz w:val="20"/>
                <w:szCs w:val="20"/>
              </w:rPr>
              <w:t xml:space="preserve">creation of new infrastructures for the global economy. Those </w:t>
            </w:r>
            <w:r w:rsidR="0092234F">
              <w:rPr>
                <w:sz w:val="20"/>
                <w:szCs w:val="20"/>
              </w:rPr>
              <w:t xml:space="preserve">challenges </w:t>
            </w:r>
            <w:r w:rsidRPr="005C6D66">
              <w:rPr>
                <w:sz w:val="20"/>
                <w:szCs w:val="20"/>
              </w:rPr>
              <w:t>expand beyond the financial sector alone</w:t>
            </w:r>
            <w:r w:rsidR="00B76558" w:rsidRPr="005C6D66">
              <w:rPr>
                <w:sz w:val="20"/>
                <w:szCs w:val="20"/>
              </w:rPr>
              <w:t xml:space="preserve">, </w:t>
            </w:r>
            <w:r w:rsidRPr="005C6D66">
              <w:rPr>
                <w:sz w:val="20"/>
                <w:szCs w:val="20"/>
              </w:rPr>
              <w:t xml:space="preserve">and therefore, </w:t>
            </w:r>
            <w:r w:rsidR="0092234F">
              <w:rPr>
                <w:sz w:val="20"/>
                <w:szCs w:val="20"/>
              </w:rPr>
              <w:t xml:space="preserve">are not </w:t>
            </w:r>
            <w:r w:rsidRPr="005C6D66">
              <w:rPr>
                <w:sz w:val="20"/>
                <w:szCs w:val="20"/>
              </w:rPr>
              <w:t>the sole remit of financial authorities. In addition, some of these firms are inherently global, and thus add additional complexity</w:t>
            </w:r>
            <w:r w:rsidR="00B76558" w:rsidRPr="005C6D66">
              <w:rPr>
                <w:sz w:val="20"/>
                <w:szCs w:val="20"/>
              </w:rPr>
              <w:t xml:space="preserve">, </w:t>
            </w:r>
            <w:r w:rsidRPr="005C6D66">
              <w:rPr>
                <w:sz w:val="20"/>
                <w:szCs w:val="20"/>
              </w:rPr>
              <w:t>for adequate governance within national borders. National authorities often lack adequate leverage to apply domestic policies to global companies. An ad-hoc task force created under the supervision of the G20 might be appropriate to coordinate international responses to these challenges.  We encourage EU authorities to actively participate in these international debates.</w:t>
            </w:r>
          </w:p>
          <w:p w14:paraId="44E5544B" w14:textId="16A705B4" w:rsidR="00D73988" w:rsidRPr="005C6D66" w:rsidRDefault="00D73988" w:rsidP="00D73988">
            <w:pPr>
              <w:pStyle w:val="ListParagraph"/>
              <w:numPr>
                <w:ilvl w:val="0"/>
                <w:numId w:val="26"/>
              </w:numPr>
              <w:spacing w:after="120"/>
              <w:ind w:left="184" w:hanging="142"/>
              <w:rPr>
                <w:sz w:val="20"/>
                <w:szCs w:val="20"/>
              </w:rPr>
            </w:pPr>
            <w:r w:rsidRPr="005C6D66">
              <w:rPr>
                <w:sz w:val="20"/>
                <w:szCs w:val="20"/>
              </w:rPr>
              <w:t>Alongside global consistency of regulatory frameworks, AFME believes the testing of innovative technologies across multiple jurisdictions should be accelerated in the EU</w:t>
            </w:r>
            <w:r w:rsidR="008A2E7A">
              <w:rPr>
                <w:sz w:val="20"/>
                <w:szCs w:val="20"/>
              </w:rPr>
              <w:t>.  This is</w:t>
            </w:r>
            <w:r w:rsidRPr="005C6D66">
              <w:rPr>
                <w:sz w:val="20"/>
                <w:szCs w:val="20"/>
              </w:rPr>
              <w:t xml:space="preserve"> to ensure adequate and consistent levels of knowledge and understanding of innovation subject matter globally. Efforts should focus on facilitating knowledge sharing, education between regulators and a wider network of market participants, and joint work on policy and regulatory requirements applied to innovative technologies. AFME is supportive of global initiatives such as the BIS Innovation hub, the Global Financial Innovation Network (GFIN) </w:t>
            </w:r>
            <w:r w:rsidR="008A2E7A">
              <w:rPr>
                <w:sz w:val="20"/>
                <w:szCs w:val="20"/>
              </w:rPr>
              <w:t>and</w:t>
            </w:r>
            <w:r w:rsidR="008A2E7A" w:rsidRPr="005C6D66">
              <w:rPr>
                <w:sz w:val="20"/>
                <w:szCs w:val="20"/>
              </w:rPr>
              <w:t xml:space="preserve"> </w:t>
            </w:r>
            <w:r w:rsidRPr="005C6D66">
              <w:rPr>
                <w:sz w:val="20"/>
                <w:szCs w:val="20"/>
              </w:rPr>
              <w:t>the International Association for Trusted Blockchain Applications (INATBA)</w:t>
            </w:r>
            <w:r w:rsidR="008A2E7A">
              <w:rPr>
                <w:sz w:val="20"/>
                <w:szCs w:val="20"/>
              </w:rPr>
              <w:t>,</w:t>
            </w:r>
            <w:r w:rsidR="005D5F62" w:rsidRPr="005C6D66">
              <w:rPr>
                <w:sz w:val="20"/>
                <w:szCs w:val="20"/>
              </w:rPr>
              <w:t xml:space="preserve"> and encourages the European Forum for Innovation Facilitators (EFIF) </w:t>
            </w:r>
            <w:r w:rsidR="00AA736F" w:rsidRPr="005C6D66">
              <w:rPr>
                <w:sz w:val="20"/>
                <w:szCs w:val="20"/>
              </w:rPr>
              <w:t>to take part in relevant forums for the sharing of lessons learned related to innovative technologies</w:t>
            </w:r>
            <w:r w:rsidR="005D5F62" w:rsidRPr="005C6D66">
              <w:rPr>
                <w:sz w:val="20"/>
                <w:szCs w:val="20"/>
              </w:rPr>
              <w:t>.</w:t>
            </w:r>
          </w:p>
          <w:p w14:paraId="7CB557CF" w14:textId="20929924" w:rsidR="005721BC" w:rsidRPr="00735388" w:rsidRDefault="00D73988" w:rsidP="00735388">
            <w:pPr>
              <w:pStyle w:val="ListParagraph"/>
              <w:numPr>
                <w:ilvl w:val="0"/>
                <w:numId w:val="26"/>
              </w:numPr>
              <w:spacing w:after="120"/>
              <w:ind w:left="184" w:hanging="142"/>
              <w:rPr>
                <w:sz w:val="20"/>
                <w:szCs w:val="20"/>
              </w:rPr>
            </w:pPr>
            <w:r w:rsidRPr="005C6D66">
              <w:rPr>
                <w:sz w:val="20"/>
                <w:szCs w:val="20"/>
              </w:rPr>
              <w:t>Similarly, any EU specific legislation, that is not globally consistent risks stifling the competitiveness of EU firms</w:t>
            </w:r>
            <w:r w:rsidR="008A2E7A">
              <w:rPr>
                <w:sz w:val="20"/>
                <w:szCs w:val="20"/>
              </w:rPr>
              <w:t>,</w:t>
            </w:r>
            <w:r w:rsidRPr="005C6D66">
              <w:rPr>
                <w:sz w:val="20"/>
                <w:szCs w:val="20"/>
              </w:rPr>
              <w:t xml:space="preserve"> compared to peers in other jurisdictions, potentially making more difficult the ability for firms to interoperate or operate cross-border.</w:t>
            </w:r>
          </w:p>
        </w:tc>
      </w:tr>
      <w:tr w:rsidR="005721BC" w14:paraId="6712607A" w14:textId="77777777" w:rsidTr="00657EDD">
        <w:trPr>
          <w:trHeight w:val="423"/>
        </w:trPr>
        <w:tc>
          <w:tcPr>
            <w:tcW w:w="1271" w:type="dxa"/>
          </w:tcPr>
          <w:p w14:paraId="34AB813D" w14:textId="1A13378D" w:rsidR="005721BC" w:rsidRDefault="005721BC" w:rsidP="005721BC">
            <w:pPr>
              <w:spacing w:after="120"/>
              <w:rPr>
                <w:sz w:val="20"/>
                <w:szCs w:val="20"/>
              </w:rPr>
            </w:pPr>
            <w:r>
              <w:rPr>
                <w:sz w:val="20"/>
                <w:szCs w:val="20"/>
              </w:rPr>
              <w:t>14</w:t>
            </w:r>
          </w:p>
        </w:tc>
        <w:tc>
          <w:tcPr>
            <w:tcW w:w="2126" w:type="dxa"/>
          </w:tcPr>
          <w:p w14:paraId="3289D3BB" w14:textId="675E5562" w:rsidR="005721BC" w:rsidRPr="00CA62DC" w:rsidRDefault="005721BC" w:rsidP="005721BC">
            <w:pPr>
              <w:rPr>
                <w:sz w:val="20"/>
                <w:szCs w:val="20"/>
              </w:rPr>
            </w:pPr>
            <w:r>
              <w:rPr>
                <w:sz w:val="20"/>
                <w:szCs w:val="20"/>
              </w:rPr>
              <w:t>AFME to respond</w:t>
            </w:r>
          </w:p>
        </w:tc>
        <w:tc>
          <w:tcPr>
            <w:tcW w:w="7060" w:type="dxa"/>
            <w:shd w:val="clear" w:color="auto" w:fill="auto"/>
          </w:tcPr>
          <w:p w14:paraId="6C8C8D37" w14:textId="2FDA8E55" w:rsidR="005721BC" w:rsidRDefault="00D73988" w:rsidP="005721BC">
            <w:pPr>
              <w:pStyle w:val="ListParagraph"/>
              <w:numPr>
                <w:ilvl w:val="0"/>
                <w:numId w:val="26"/>
              </w:numPr>
              <w:spacing w:after="120"/>
              <w:ind w:left="184" w:hanging="142"/>
              <w:rPr>
                <w:sz w:val="20"/>
                <w:szCs w:val="20"/>
              </w:rPr>
            </w:pPr>
            <w:r w:rsidRPr="005721BC">
              <w:rPr>
                <w:sz w:val="20"/>
                <w:szCs w:val="20"/>
              </w:rPr>
              <w:t xml:space="preserve">See AFME’s response provided in Question </w:t>
            </w:r>
            <w:r>
              <w:rPr>
                <w:sz w:val="20"/>
                <w:szCs w:val="20"/>
              </w:rPr>
              <w:t>13</w:t>
            </w:r>
            <w:r w:rsidRPr="005721BC">
              <w:rPr>
                <w:sz w:val="20"/>
                <w:szCs w:val="20"/>
              </w:rPr>
              <w:t>.</w:t>
            </w:r>
          </w:p>
        </w:tc>
      </w:tr>
    </w:tbl>
    <w:p w14:paraId="436C9EC1" w14:textId="2DF57E2F" w:rsidR="0051090C" w:rsidRDefault="0051090C" w:rsidP="007B416C">
      <w:pPr>
        <w:rPr>
          <w:rFonts w:cs="Cambria"/>
          <w:sz w:val="20"/>
          <w:szCs w:val="20"/>
        </w:rPr>
      </w:pPr>
    </w:p>
    <w:p w14:paraId="5A1F8ADC" w14:textId="1203C66C" w:rsidR="00147DD7" w:rsidRPr="001B796D" w:rsidRDefault="001B796D" w:rsidP="001B796D">
      <w:pPr>
        <w:pStyle w:val="ListParagraph"/>
        <w:numPr>
          <w:ilvl w:val="0"/>
          <w:numId w:val="34"/>
        </w:numPr>
        <w:rPr>
          <w:b/>
          <w:i/>
          <w:sz w:val="20"/>
          <w:szCs w:val="20"/>
        </w:rPr>
      </w:pPr>
      <w:r>
        <w:rPr>
          <w:b/>
          <w:i/>
          <w:sz w:val="20"/>
          <w:szCs w:val="20"/>
        </w:rPr>
        <w:t xml:space="preserve">Removing fragmentation </w:t>
      </w:r>
      <w:r w:rsidRPr="001B796D">
        <w:rPr>
          <w:b/>
          <w:i/>
          <w:sz w:val="20"/>
          <w:szCs w:val="20"/>
        </w:rPr>
        <w:t>in the single market for digital financial services</w:t>
      </w:r>
    </w:p>
    <w:p w14:paraId="23B4E7C9" w14:textId="065ED3BF" w:rsidR="00147DD7" w:rsidRPr="00735388" w:rsidRDefault="00147DD7" w:rsidP="00735388">
      <w:pPr>
        <w:ind w:left="360"/>
        <w:rPr>
          <w:rFonts w:cs="Cambria"/>
          <w:sz w:val="20"/>
          <w:szCs w:val="20"/>
        </w:rPr>
      </w:pPr>
    </w:p>
    <w:tbl>
      <w:tblPr>
        <w:tblStyle w:val="TableGrid"/>
        <w:tblW w:w="0" w:type="auto"/>
        <w:tblLook w:val="04A0" w:firstRow="1" w:lastRow="0" w:firstColumn="1" w:lastColumn="0" w:noHBand="0" w:noVBand="1"/>
      </w:tblPr>
      <w:tblGrid>
        <w:gridCol w:w="1271"/>
        <w:gridCol w:w="2126"/>
        <w:gridCol w:w="7060"/>
      </w:tblGrid>
      <w:tr w:rsidR="00147DD7" w:rsidRPr="00DB5E67" w14:paraId="3466112F" w14:textId="77777777" w:rsidTr="0053138D">
        <w:trPr>
          <w:trHeight w:val="226"/>
        </w:trPr>
        <w:tc>
          <w:tcPr>
            <w:tcW w:w="1271" w:type="dxa"/>
            <w:shd w:val="clear" w:color="auto" w:fill="D6E3BC" w:themeFill="accent3" w:themeFillTint="66"/>
          </w:tcPr>
          <w:p w14:paraId="4EC11E69" w14:textId="77777777" w:rsidR="00147DD7" w:rsidRPr="00DB5E67" w:rsidRDefault="00147DD7" w:rsidP="0053138D">
            <w:pPr>
              <w:spacing w:after="120"/>
              <w:rPr>
                <w:b/>
                <w:sz w:val="20"/>
                <w:szCs w:val="20"/>
              </w:rPr>
            </w:pPr>
            <w:r>
              <w:rPr>
                <w:b/>
                <w:sz w:val="20"/>
                <w:szCs w:val="20"/>
              </w:rPr>
              <w:t>Question</w:t>
            </w:r>
          </w:p>
        </w:tc>
        <w:tc>
          <w:tcPr>
            <w:tcW w:w="2126" w:type="dxa"/>
            <w:shd w:val="clear" w:color="auto" w:fill="D6E3BC" w:themeFill="accent3" w:themeFillTint="66"/>
          </w:tcPr>
          <w:p w14:paraId="61B872C4" w14:textId="77777777" w:rsidR="00147DD7" w:rsidRPr="00DB5E67" w:rsidRDefault="00147DD7" w:rsidP="0053138D">
            <w:pPr>
              <w:spacing w:after="120"/>
              <w:rPr>
                <w:b/>
                <w:sz w:val="20"/>
                <w:szCs w:val="20"/>
              </w:rPr>
            </w:pPr>
            <w:r w:rsidRPr="00DB5E67">
              <w:rPr>
                <w:b/>
                <w:sz w:val="20"/>
                <w:szCs w:val="20"/>
              </w:rPr>
              <w:t>Comment</w:t>
            </w:r>
          </w:p>
        </w:tc>
        <w:tc>
          <w:tcPr>
            <w:tcW w:w="7060" w:type="dxa"/>
            <w:shd w:val="clear" w:color="auto" w:fill="D6E3BC" w:themeFill="accent3" w:themeFillTint="66"/>
          </w:tcPr>
          <w:p w14:paraId="7C17B41F" w14:textId="77777777" w:rsidR="00147DD7" w:rsidRPr="00DB5E67" w:rsidRDefault="00147DD7" w:rsidP="0053138D">
            <w:pPr>
              <w:spacing w:after="120"/>
              <w:rPr>
                <w:b/>
                <w:sz w:val="20"/>
                <w:szCs w:val="20"/>
              </w:rPr>
            </w:pPr>
            <w:r w:rsidRPr="00DB5E67">
              <w:rPr>
                <w:b/>
                <w:sz w:val="20"/>
                <w:szCs w:val="20"/>
              </w:rPr>
              <w:t>Reasoning</w:t>
            </w:r>
          </w:p>
        </w:tc>
      </w:tr>
      <w:tr w:rsidR="00147DD7" w:rsidRPr="00DB5E67" w14:paraId="06737A98" w14:textId="77777777" w:rsidTr="0053138D">
        <w:trPr>
          <w:trHeight w:val="352"/>
        </w:trPr>
        <w:tc>
          <w:tcPr>
            <w:tcW w:w="1271" w:type="dxa"/>
          </w:tcPr>
          <w:p w14:paraId="4AADFEBB" w14:textId="0EF88DCD" w:rsidR="00147DD7" w:rsidRPr="00DB5E67" w:rsidRDefault="0016683E" w:rsidP="0053138D">
            <w:pPr>
              <w:spacing w:after="120"/>
              <w:rPr>
                <w:sz w:val="20"/>
                <w:szCs w:val="20"/>
              </w:rPr>
            </w:pPr>
            <w:r>
              <w:rPr>
                <w:sz w:val="20"/>
                <w:szCs w:val="20"/>
              </w:rPr>
              <w:t>15</w:t>
            </w:r>
          </w:p>
        </w:tc>
        <w:tc>
          <w:tcPr>
            <w:tcW w:w="2126" w:type="dxa"/>
          </w:tcPr>
          <w:p w14:paraId="39203143" w14:textId="1207717B" w:rsidR="00147DD7" w:rsidRPr="0042399D" w:rsidRDefault="007013FF" w:rsidP="0042399D">
            <w:pPr>
              <w:rPr>
                <w:rFonts w:eastAsia="Times New Roman"/>
                <w:bCs/>
                <w:sz w:val="20"/>
                <w:szCs w:val="20"/>
                <w:lang w:eastAsia="en-GB"/>
              </w:rPr>
            </w:pPr>
            <w:r w:rsidRPr="0042399D">
              <w:rPr>
                <w:rFonts w:eastAsia="Times New Roman"/>
                <w:sz w:val="20"/>
                <w:szCs w:val="20"/>
                <w:lang w:eastAsia="en-GB"/>
              </w:rPr>
              <w:t>AFME to respond</w:t>
            </w:r>
          </w:p>
        </w:tc>
        <w:tc>
          <w:tcPr>
            <w:tcW w:w="7060" w:type="dxa"/>
          </w:tcPr>
          <w:p w14:paraId="7993EA89" w14:textId="635B6BEE" w:rsidR="009E18E2" w:rsidRDefault="00892C9D" w:rsidP="009E18E2">
            <w:pPr>
              <w:pStyle w:val="ListParagraph"/>
              <w:numPr>
                <w:ilvl w:val="0"/>
                <w:numId w:val="26"/>
              </w:numPr>
              <w:spacing w:after="120"/>
              <w:ind w:left="184" w:hanging="142"/>
              <w:rPr>
                <w:sz w:val="20"/>
                <w:szCs w:val="20"/>
              </w:rPr>
            </w:pPr>
            <w:r w:rsidRPr="00AF6407">
              <w:rPr>
                <w:sz w:val="20"/>
                <w:szCs w:val="20"/>
              </w:rPr>
              <w:t>Please see AFME</w:t>
            </w:r>
            <w:r w:rsidR="008670D0">
              <w:rPr>
                <w:sz w:val="20"/>
                <w:szCs w:val="20"/>
              </w:rPr>
              <w:t xml:space="preserve">’s </w:t>
            </w:r>
            <w:r w:rsidR="009E18E2">
              <w:rPr>
                <w:sz w:val="20"/>
                <w:szCs w:val="20"/>
              </w:rPr>
              <w:t xml:space="preserve">comments provided in </w:t>
            </w:r>
            <w:r w:rsidR="0092234F">
              <w:rPr>
                <w:sz w:val="20"/>
                <w:szCs w:val="20"/>
              </w:rPr>
              <w:t xml:space="preserve">the </w:t>
            </w:r>
            <w:r w:rsidR="009E18E2">
              <w:rPr>
                <w:sz w:val="20"/>
                <w:szCs w:val="20"/>
              </w:rPr>
              <w:t>Executive Summary.</w:t>
            </w:r>
          </w:p>
          <w:p w14:paraId="140A8049" w14:textId="665D838D" w:rsidR="00727D6D" w:rsidRDefault="009E18E2" w:rsidP="009E18E2">
            <w:pPr>
              <w:pStyle w:val="ListParagraph"/>
              <w:numPr>
                <w:ilvl w:val="0"/>
                <w:numId w:val="26"/>
              </w:numPr>
              <w:spacing w:after="120"/>
              <w:ind w:left="184" w:hanging="142"/>
              <w:rPr>
                <w:sz w:val="20"/>
                <w:szCs w:val="20"/>
              </w:rPr>
            </w:pPr>
            <w:r w:rsidRPr="00735388">
              <w:rPr>
                <w:sz w:val="20"/>
                <w:szCs w:val="20"/>
              </w:rPr>
              <w:t xml:space="preserve">Obstacles </w:t>
            </w:r>
            <w:r>
              <w:rPr>
                <w:sz w:val="20"/>
                <w:szCs w:val="20"/>
              </w:rPr>
              <w:t xml:space="preserve">remain </w:t>
            </w:r>
            <w:r w:rsidRPr="00735388">
              <w:rPr>
                <w:sz w:val="20"/>
                <w:szCs w:val="20"/>
              </w:rPr>
              <w:t xml:space="preserve">to </w:t>
            </w:r>
            <w:r>
              <w:rPr>
                <w:sz w:val="20"/>
                <w:szCs w:val="20"/>
              </w:rPr>
              <w:t>fully deliver a</w:t>
            </w:r>
            <w:r w:rsidRPr="00735388">
              <w:rPr>
                <w:sz w:val="20"/>
                <w:szCs w:val="20"/>
              </w:rPr>
              <w:t xml:space="preserve"> single market for digital financial services</w:t>
            </w:r>
            <w:r>
              <w:rPr>
                <w:sz w:val="20"/>
                <w:szCs w:val="20"/>
              </w:rPr>
              <w:t xml:space="preserve">. </w:t>
            </w:r>
            <w:r w:rsidRPr="00735388">
              <w:rPr>
                <w:sz w:val="20"/>
                <w:szCs w:val="20"/>
              </w:rPr>
              <w:t>The EU regulatory framework for innovation technologies is fragmented, due to divergent implementations and interpretations by Member State National Competent Authorities/Supervisory authorities, of EU guidance and requirements</w:t>
            </w:r>
            <w:r w:rsidR="00727D6D">
              <w:rPr>
                <w:sz w:val="20"/>
                <w:szCs w:val="20"/>
              </w:rPr>
              <w:t xml:space="preserve"> or supervisory practices</w:t>
            </w:r>
            <w:r w:rsidRPr="00735388">
              <w:rPr>
                <w:sz w:val="20"/>
                <w:szCs w:val="20"/>
              </w:rPr>
              <w:t>. This fragmentation adds additional complexity and cost for firms</w:t>
            </w:r>
            <w:r>
              <w:rPr>
                <w:sz w:val="20"/>
                <w:szCs w:val="20"/>
              </w:rPr>
              <w:t xml:space="preserve">. </w:t>
            </w:r>
          </w:p>
          <w:p w14:paraId="0E7741A4" w14:textId="0F64407C" w:rsidR="009E18E2" w:rsidRPr="00735388" w:rsidRDefault="009E18E2" w:rsidP="00735388">
            <w:pPr>
              <w:pStyle w:val="ListParagraph"/>
              <w:numPr>
                <w:ilvl w:val="1"/>
                <w:numId w:val="26"/>
              </w:numPr>
              <w:spacing w:after="120"/>
              <w:ind w:left="606" w:hanging="284"/>
              <w:rPr>
                <w:sz w:val="20"/>
                <w:szCs w:val="20"/>
              </w:rPr>
            </w:pPr>
            <w:r>
              <w:rPr>
                <w:sz w:val="20"/>
                <w:szCs w:val="20"/>
              </w:rPr>
              <w:lastRenderedPageBreak/>
              <w:t>See AFME’s comment provided in response to question 4.1.</w:t>
            </w:r>
          </w:p>
          <w:p w14:paraId="16852007" w14:textId="5E8B3851" w:rsidR="009E18E2" w:rsidRDefault="00727D6D" w:rsidP="00735388">
            <w:pPr>
              <w:pStyle w:val="ListParagraph"/>
              <w:numPr>
                <w:ilvl w:val="1"/>
                <w:numId w:val="26"/>
              </w:numPr>
              <w:spacing w:after="120"/>
              <w:ind w:left="606" w:hanging="284"/>
              <w:rPr>
                <w:sz w:val="20"/>
                <w:szCs w:val="20"/>
              </w:rPr>
            </w:pPr>
            <w:r>
              <w:rPr>
                <w:sz w:val="20"/>
                <w:szCs w:val="20"/>
              </w:rPr>
              <w:t xml:space="preserve">For </w:t>
            </w:r>
            <w:r w:rsidR="009E18E2">
              <w:rPr>
                <w:sz w:val="20"/>
                <w:szCs w:val="20"/>
              </w:rPr>
              <w:t xml:space="preserve">example, </w:t>
            </w:r>
            <w:r w:rsidR="009E18E2" w:rsidRPr="009E18E2">
              <w:rPr>
                <w:sz w:val="20"/>
                <w:szCs w:val="20"/>
              </w:rPr>
              <w:t xml:space="preserve">the use of minimum harmonisation </w:t>
            </w:r>
            <w:r w:rsidR="00A64F21">
              <w:rPr>
                <w:sz w:val="20"/>
                <w:szCs w:val="20"/>
              </w:rPr>
              <w:t>d</w:t>
            </w:r>
            <w:r w:rsidR="009E18E2" w:rsidRPr="009E18E2">
              <w:rPr>
                <w:sz w:val="20"/>
                <w:szCs w:val="20"/>
              </w:rPr>
              <w:t xml:space="preserve">irectives </w:t>
            </w:r>
            <w:r w:rsidR="009E18E2">
              <w:rPr>
                <w:sz w:val="20"/>
                <w:szCs w:val="20"/>
              </w:rPr>
              <w:t xml:space="preserve">for AML </w:t>
            </w:r>
            <w:r>
              <w:rPr>
                <w:sz w:val="20"/>
                <w:szCs w:val="20"/>
              </w:rPr>
              <w:t xml:space="preserve">has led </w:t>
            </w:r>
            <w:r w:rsidR="009E18E2" w:rsidRPr="009E18E2">
              <w:rPr>
                <w:sz w:val="20"/>
                <w:szCs w:val="20"/>
              </w:rPr>
              <w:t>to differences in national implementations</w:t>
            </w:r>
            <w:r w:rsidR="009E18E2">
              <w:rPr>
                <w:sz w:val="20"/>
                <w:szCs w:val="20"/>
              </w:rPr>
              <w:t>. A</w:t>
            </w:r>
            <w:r w:rsidR="009E18E2" w:rsidRPr="009E18E2">
              <w:rPr>
                <w:sz w:val="20"/>
                <w:szCs w:val="20"/>
              </w:rPr>
              <w:t>s a result, requirements for customer identification in digital onboarding processes have followed different paths and speeds in Member States.</w:t>
            </w:r>
            <w:r>
              <w:rPr>
                <w:sz w:val="20"/>
                <w:szCs w:val="20"/>
              </w:rPr>
              <w:t xml:space="preserve"> Another example is t</w:t>
            </w:r>
            <w:r w:rsidR="009E18E2" w:rsidRPr="009E18E2">
              <w:rPr>
                <w:sz w:val="20"/>
                <w:szCs w:val="20"/>
              </w:rPr>
              <w:t>he transposition of the PSD2</w:t>
            </w:r>
            <w:r w:rsidR="00A64F21">
              <w:rPr>
                <w:rStyle w:val="FootnoteReference"/>
                <w:sz w:val="20"/>
                <w:szCs w:val="20"/>
              </w:rPr>
              <w:footnoteReference w:id="29"/>
            </w:r>
            <w:r w:rsidR="00A64F21">
              <w:rPr>
                <w:sz w:val="20"/>
                <w:szCs w:val="20"/>
              </w:rPr>
              <w:t xml:space="preserve"> </w:t>
            </w:r>
            <w:r w:rsidR="009E18E2" w:rsidRPr="009E18E2">
              <w:rPr>
                <w:sz w:val="20"/>
                <w:szCs w:val="20"/>
              </w:rPr>
              <w:t>into the Spanish legislative framework</w:t>
            </w:r>
            <w:r w:rsidR="00A64F21">
              <w:rPr>
                <w:sz w:val="20"/>
                <w:szCs w:val="20"/>
              </w:rPr>
              <w:t>,</w:t>
            </w:r>
            <w:r w:rsidR="009E18E2" w:rsidRPr="009E18E2">
              <w:rPr>
                <w:sz w:val="20"/>
                <w:szCs w:val="20"/>
              </w:rPr>
              <w:t xml:space="preserve"> </w:t>
            </w:r>
            <w:r>
              <w:rPr>
                <w:sz w:val="20"/>
                <w:szCs w:val="20"/>
              </w:rPr>
              <w:t xml:space="preserve">which </w:t>
            </w:r>
            <w:r w:rsidR="009E18E2" w:rsidRPr="009E18E2">
              <w:rPr>
                <w:sz w:val="20"/>
                <w:szCs w:val="20"/>
              </w:rPr>
              <w:t>has led to the imposition of different AML requirements for banks</w:t>
            </w:r>
            <w:r w:rsidR="00A64F21">
              <w:rPr>
                <w:sz w:val="20"/>
                <w:szCs w:val="20"/>
              </w:rPr>
              <w:t>, which need to</w:t>
            </w:r>
            <w:r w:rsidR="009E18E2" w:rsidRPr="009E18E2">
              <w:rPr>
                <w:sz w:val="20"/>
                <w:szCs w:val="20"/>
              </w:rPr>
              <w:t xml:space="preserve"> provid</w:t>
            </w:r>
            <w:r w:rsidR="00A64F21">
              <w:rPr>
                <w:sz w:val="20"/>
                <w:szCs w:val="20"/>
              </w:rPr>
              <w:t>e</w:t>
            </w:r>
            <w:r w:rsidR="009E18E2" w:rsidRPr="009E18E2">
              <w:rPr>
                <w:sz w:val="20"/>
                <w:szCs w:val="20"/>
              </w:rPr>
              <w:t xml:space="preserve"> account information services</w:t>
            </w:r>
            <w:r>
              <w:rPr>
                <w:sz w:val="20"/>
                <w:szCs w:val="20"/>
              </w:rPr>
              <w:t xml:space="preserve">, than </w:t>
            </w:r>
            <w:r w:rsidR="00A64F21">
              <w:rPr>
                <w:sz w:val="20"/>
                <w:szCs w:val="20"/>
              </w:rPr>
              <w:t xml:space="preserve">those imposed for </w:t>
            </w:r>
            <w:r w:rsidR="009E18E2" w:rsidRPr="009E18E2">
              <w:rPr>
                <w:sz w:val="20"/>
                <w:szCs w:val="20"/>
              </w:rPr>
              <w:t xml:space="preserve">non-bank players. </w:t>
            </w:r>
          </w:p>
          <w:p w14:paraId="3AE18618" w14:textId="0951DE28" w:rsidR="009E18E2" w:rsidRDefault="009E18E2">
            <w:pPr>
              <w:pStyle w:val="ListParagraph"/>
              <w:numPr>
                <w:ilvl w:val="1"/>
                <w:numId w:val="26"/>
              </w:numPr>
              <w:spacing w:after="120"/>
              <w:ind w:left="606" w:hanging="284"/>
              <w:rPr>
                <w:sz w:val="20"/>
                <w:szCs w:val="20"/>
              </w:rPr>
            </w:pPr>
            <w:r>
              <w:rPr>
                <w:sz w:val="20"/>
                <w:szCs w:val="20"/>
              </w:rPr>
              <w:t>H</w:t>
            </w:r>
            <w:r w:rsidRPr="009E18E2">
              <w:rPr>
                <w:sz w:val="20"/>
                <w:szCs w:val="20"/>
              </w:rPr>
              <w:t xml:space="preserve">armonization </w:t>
            </w:r>
            <w:r>
              <w:rPr>
                <w:sz w:val="20"/>
                <w:szCs w:val="20"/>
              </w:rPr>
              <w:t xml:space="preserve">efforts </w:t>
            </w:r>
            <w:r w:rsidR="00727D6D">
              <w:rPr>
                <w:sz w:val="20"/>
                <w:szCs w:val="20"/>
              </w:rPr>
              <w:t xml:space="preserve">are also required </w:t>
            </w:r>
            <w:r w:rsidRPr="009E18E2">
              <w:rPr>
                <w:sz w:val="20"/>
                <w:szCs w:val="20"/>
              </w:rPr>
              <w:t>in the enforcement of EU</w:t>
            </w:r>
            <w:r w:rsidR="00727D6D">
              <w:rPr>
                <w:sz w:val="20"/>
                <w:szCs w:val="20"/>
              </w:rPr>
              <w:t xml:space="preserve"> regulatory requirements by national s</w:t>
            </w:r>
            <w:r w:rsidRPr="00735388">
              <w:rPr>
                <w:sz w:val="20"/>
                <w:szCs w:val="20"/>
              </w:rPr>
              <w:t>upervisory authorities</w:t>
            </w:r>
            <w:r w:rsidR="00727D6D">
              <w:rPr>
                <w:sz w:val="20"/>
                <w:szCs w:val="20"/>
              </w:rPr>
              <w:t xml:space="preserve">, which </w:t>
            </w:r>
            <w:r w:rsidRPr="00735388">
              <w:rPr>
                <w:sz w:val="20"/>
                <w:szCs w:val="20"/>
              </w:rPr>
              <w:t xml:space="preserve">follow </w:t>
            </w:r>
            <w:r w:rsidR="00727D6D">
              <w:rPr>
                <w:sz w:val="20"/>
                <w:szCs w:val="20"/>
              </w:rPr>
              <w:t xml:space="preserve">different </w:t>
            </w:r>
            <w:r w:rsidRPr="00735388">
              <w:rPr>
                <w:sz w:val="20"/>
                <w:szCs w:val="20"/>
              </w:rPr>
              <w:t xml:space="preserve">practices. </w:t>
            </w:r>
            <w:r w:rsidR="00727D6D">
              <w:rPr>
                <w:sz w:val="20"/>
                <w:szCs w:val="20"/>
              </w:rPr>
              <w:t xml:space="preserve">For example, firms </w:t>
            </w:r>
            <w:r w:rsidRPr="00735388">
              <w:rPr>
                <w:sz w:val="20"/>
                <w:szCs w:val="20"/>
              </w:rPr>
              <w:t xml:space="preserve">willing to operate in several jurisdictions often find language barriers and different formats and communications methods. </w:t>
            </w:r>
            <w:r w:rsidR="00727D6D">
              <w:rPr>
                <w:sz w:val="20"/>
                <w:szCs w:val="20"/>
              </w:rPr>
              <w:t>F</w:t>
            </w:r>
            <w:r w:rsidRPr="00735388">
              <w:rPr>
                <w:sz w:val="20"/>
                <w:szCs w:val="20"/>
              </w:rPr>
              <w:t xml:space="preserve">inancial </w:t>
            </w:r>
            <w:r w:rsidR="00727D6D">
              <w:rPr>
                <w:sz w:val="20"/>
                <w:szCs w:val="20"/>
              </w:rPr>
              <w:t xml:space="preserve">institutions </w:t>
            </w:r>
            <w:r w:rsidRPr="00735388">
              <w:rPr>
                <w:sz w:val="20"/>
                <w:szCs w:val="20"/>
              </w:rPr>
              <w:t xml:space="preserve">often find difficulties in exercising passporting rights, especially without physical </w:t>
            </w:r>
            <w:r w:rsidR="00727D6D">
              <w:rPr>
                <w:sz w:val="20"/>
                <w:szCs w:val="20"/>
              </w:rPr>
              <w:t>presence</w:t>
            </w:r>
            <w:r w:rsidR="00E60819">
              <w:rPr>
                <w:sz w:val="20"/>
                <w:szCs w:val="20"/>
              </w:rPr>
              <w:t xml:space="preserve"> in a jurisdiction</w:t>
            </w:r>
            <w:r w:rsidRPr="00735388">
              <w:rPr>
                <w:sz w:val="20"/>
                <w:szCs w:val="20"/>
              </w:rPr>
              <w:t>. In most EU member states, authorities require compliance with local prudential or AML/CFT rules, although as</w:t>
            </w:r>
            <w:r w:rsidR="00727D6D">
              <w:rPr>
                <w:sz w:val="20"/>
                <w:szCs w:val="20"/>
              </w:rPr>
              <w:t xml:space="preserve"> </w:t>
            </w:r>
            <w:r w:rsidRPr="00735388">
              <w:rPr>
                <w:sz w:val="20"/>
                <w:szCs w:val="20"/>
              </w:rPr>
              <w:t>passported entit</w:t>
            </w:r>
            <w:r w:rsidR="00727D6D">
              <w:rPr>
                <w:sz w:val="20"/>
                <w:szCs w:val="20"/>
              </w:rPr>
              <w:t>ies</w:t>
            </w:r>
            <w:r w:rsidR="00E60819">
              <w:rPr>
                <w:sz w:val="20"/>
                <w:szCs w:val="20"/>
              </w:rPr>
              <w:t xml:space="preserve">, </w:t>
            </w:r>
            <w:r w:rsidRPr="00735388">
              <w:rPr>
                <w:sz w:val="20"/>
                <w:szCs w:val="20"/>
              </w:rPr>
              <w:t xml:space="preserve">the applicable framework </w:t>
            </w:r>
            <w:r w:rsidR="00727D6D">
              <w:rPr>
                <w:sz w:val="20"/>
                <w:szCs w:val="20"/>
              </w:rPr>
              <w:t xml:space="preserve">should be </w:t>
            </w:r>
            <w:r w:rsidRPr="00735388">
              <w:rPr>
                <w:sz w:val="20"/>
                <w:szCs w:val="20"/>
              </w:rPr>
              <w:t xml:space="preserve">from the home Member State. As a result, the cost of having to comply with local rules, </w:t>
            </w:r>
            <w:r w:rsidR="00727D6D">
              <w:rPr>
                <w:sz w:val="20"/>
                <w:szCs w:val="20"/>
              </w:rPr>
              <w:t>couple</w:t>
            </w:r>
            <w:r w:rsidR="00E60819">
              <w:rPr>
                <w:sz w:val="20"/>
                <w:szCs w:val="20"/>
              </w:rPr>
              <w:t>d</w:t>
            </w:r>
            <w:r w:rsidR="00727D6D">
              <w:rPr>
                <w:sz w:val="20"/>
                <w:szCs w:val="20"/>
              </w:rPr>
              <w:t xml:space="preserve"> with the </w:t>
            </w:r>
            <w:r w:rsidR="00E60819" w:rsidRPr="00727D6D">
              <w:rPr>
                <w:sz w:val="20"/>
                <w:szCs w:val="20"/>
              </w:rPr>
              <w:t>language</w:t>
            </w:r>
            <w:r w:rsidRPr="00735388">
              <w:rPr>
                <w:sz w:val="20"/>
                <w:szCs w:val="20"/>
              </w:rPr>
              <w:t xml:space="preserve"> barrier, can </w:t>
            </w:r>
            <w:r w:rsidR="00727D6D">
              <w:rPr>
                <w:sz w:val="20"/>
                <w:szCs w:val="20"/>
              </w:rPr>
              <w:t xml:space="preserve">pose significant barriers to </w:t>
            </w:r>
            <w:r w:rsidRPr="00735388">
              <w:rPr>
                <w:sz w:val="20"/>
                <w:szCs w:val="20"/>
              </w:rPr>
              <w:t xml:space="preserve">the scale up </w:t>
            </w:r>
            <w:r w:rsidR="00727D6D">
              <w:rPr>
                <w:sz w:val="20"/>
                <w:szCs w:val="20"/>
              </w:rPr>
              <w:t xml:space="preserve">of activities in </w:t>
            </w:r>
            <w:r w:rsidRPr="00735388">
              <w:rPr>
                <w:sz w:val="20"/>
                <w:szCs w:val="20"/>
              </w:rPr>
              <w:t xml:space="preserve">other </w:t>
            </w:r>
            <w:r w:rsidR="00727D6D">
              <w:rPr>
                <w:sz w:val="20"/>
                <w:szCs w:val="20"/>
              </w:rPr>
              <w:t xml:space="preserve">EU </w:t>
            </w:r>
            <w:r w:rsidRPr="00735388">
              <w:rPr>
                <w:sz w:val="20"/>
                <w:szCs w:val="20"/>
              </w:rPr>
              <w:t>jurisdictions.</w:t>
            </w:r>
          </w:p>
          <w:p w14:paraId="386D86EE" w14:textId="24C4486D" w:rsidR="007E6086" w:rsidRPr="00735388" w:rsidRDefault="007E6086" w:rsidP="00735388">
            <w:pPr>
              <w:pStyle w:val="ListParagraph"/>
              <w:numPr>
                <w:ilvl w:val="1"/>
                <w:numId w:val="26"/>
              </w:numPr>
              <w:spacing w:after="120"/>
              <w:ind w:left="606" w:hanging="284"/>
              <w:rPr>
                <w:sz w:val="20"/>
                <w:szCs w:val="20"/>
              </w:rPr>
            </w:pPr>
            <w:r>
              <w:rPr>
                <w:sz w:val="20"/>
                <w:szCs w:val="20"/>
              </w:rPr>
              <w:t xml:space="preserve">Another obstacle to the realisation and </w:t>
            </w:r>
            <w:r w:rsidRPr="007E6086">
              <w:rPr>
                <w:sz w:val="20"/>
                <w:szCs w:val="20"/>
              </w:rPr>
              <w:t xml:space="preserve">full potential of </w:t>
            </w:r>
            <w:r>
              <w:rPr>
                <w:sz w:val="20"/>
                <w:szCs w:val="20"/>
              </w:rPr>
              <w:t xml:space="preserve">an EU </w:t>
            </w:r>
            <w:r w:rsidRPr="007E6086">
              <w:rPr>
                <w:sz w:val="20"/>
                <w:szCs w:val="20"/>
              </w:rPr>
              <w:t>digital single market</w:t>
            </w:r>
            <w:r>
              <w:rPr>
                <w:sz w:val="20"/>
                <w:szCs w:val="20"/>
              </w:rPr>
              <w:t xml:space="preserve"> is digital education and skills</w:t>
            </w:r>
            <w:r w:rsidRPr="007E6086">
              <w:rPr>
                <w:sz w:val="20"/>
                <w:szCs w:val="20"/>
              </w:rPr>
              <w:t xml:space="preserve">. </w:t>
            </w:r>
            <w:r>
              <w:rPr>
                <w:sz w:val="20"/>
                <w:szCs w:val="20"/>
              </w:rPr>
              <w:t>See AFME’s comment provided in response to question 24 and 25.</w:t>
            </w:r>
          </w:p>
          <w:p w14:paraId="230EB647" w14:textId="5B87FB4B" w:rsidR="00892C9D" w:rsidRPr="00735388" w:rsidRDefault="00892C9D" w:rsidP="00735388"/>
        </w:tc>
      </w:tr>
      <w:tr w:rsidR="006E3CA0" w:rsidRPr="002E1C4E" w14:paraId="6EA0C063" w14:textId="77777777" w:rsidTr="006E3CA0">
        <w:trPr>
          <w:trHeight w:val="70"/>
        </w:trPr>
        <w:tc>
          <w:tcPr>
            <w:tcW w:w="10457" w:type="dxa"/>
            <w:gridSpan w:val="3"/>
            <w:shd w:val="clear" w:color="auto" w:fill="D6E3BC" w:themeFill="accent3" w:themeFillTint="66"/>
          </w:tcPr>
          <w:p w14:paraId="72818A3A" w14:textId="38A2F2D8" w:rsidR="006E3CA0" w:rsidRPr="002E1C4E" w:rsidRDefault="006E3CA0" w:rsidP="0053138D">
            <w:pPr>
              <w:spacing w:after="120"/>
              <w:rPr>
                <w:sz w:val="20"/>
                <w:szCs w:val="20"/>
              </w:rPr>
            </w:pPr>
            <w:r w:rsidRPr="006E3CA0">
              <w:rPr>
                <w:sz w:val="20"/>
                <w:szCs w:val="20"/>
              </w:rPr>
              <w:lastRenderedPageBreak/>
              <w:t>Facilitate the use of digital financial identities throughout the EU</w:t>
            </w:r>
          </w:p>
        </w:tc>
      </w:tr>
      <w:tr w:rsidR="004C473C" w:rsidRPr="00E04F86" w14:paraId="083E3FF6" w14:textId="77777777" w:rsidTr="0053138D">
        <w:trPr>
          <w:trHeight w:val="115"/>
        </w:trPr>
        <w:tc>
          <w:tcPr>
            <w:tcW w:w="1271" w:type="dxa"/>
            <w:vMerge w:val="restart"/>
          </w:tcPr>
          <w:p w14:paraId="280196C5" w14:textId="462947C9" w:rsidR="004C473C" w:rsidRDefault="004C473C" w:rsidP="0053138D">
            <w:pPr>
              <w:spacing w:after="120"/>
              <w:rPr>
                <w:sz w:val="20"/>
                <w:szCs w:val="20"/>
              </w:rPr>
            </w:pPr>
            <w:r>
              <w:rPr>
                <w:sz w:val="20"/>
                <w:szCs w:val="20"/>
              </w:rPr>
              <w:t>16</w:t>
            </w:r>
          </w:p>
        </w:tc>
        <w:tc>
          <w:tcPr>
            <w:tcW w:w="2126" w:type="dxa"/>
          </w:tcPr>
          <w:p w14:paraId="3E3C62A2" w14:textId="4BEDC3E7" w:rsidR="004C473C" w:rsidRPr="00A565B8" w:rsidRDefault="004C473C" w:rsidP="00A565B8">
            <w:pPr>
              <w:rPr>
                <w:rFonts w:eastAsia="Times New Roman"/>
                <w:b/>
                <w:sz w:val="20"/>
                <w:szCs w:val="20"/>
                <w:lang w:eastAsia="en-GB"/>
              </w:rPr>
            </w:pPr>
            <w:r w:rsidRPr="00A565B8">
              <w:rPr>
                <w:rFonts w:eastAsia="Times New Roman"/>
                <w:sz w:val="20"/>
                <w:szCs w:val="20"/>
                <w:lang w:eastAsia="en-GB"/>
              </w:rPr>
              <w:t>AFME to respond</w:t>
            </w:r>
          </w:p>
        </w:tc>
        <w:tc>
          <w:tcPr>
            <w:tcW w:w="7060" w:type="dxa"/>
          </w:tcPr>
          <w:p w14:paraId="022509C5" w14:textId="57C291DD" w:rsidR="004C473C" w:rsidRDefault="004C473C" w:rsidP="006E3CA0">
            <w:pPr>
              <w:pStyle w:val="ListParagraph"/>
              <w:numPr>
                <w:ilvl w:val="0"/>
                <w:numId w:val="26"/>
              </w:numPr>
              <w:spacing w:after="120"/>
              <w:ind w:left="184" w:hanging="142"/>
              <w:rPr>
                <w:sz w:val="20"/>
                <w:szCs w:val="20"/>
              </w:rPr>
            </w:pPr>
            <w:r w:rsidRPr="006E3CA0">
              <w:rPr>
                <w:sz w:val="20"/>
                <w:szCs w:val="20"/>
              </w:rPr>
              <w:t>Harmonise rules governing customer due diligence requirements in the Anti-Money Laundering legislatio</w:t>
            </w:r>
            <w:r>
              <w:rPr>
                <w:sz w:val="20"/>
                <w:szCs w:val="20"/>
              </w:rPr>
              <w:t>n</w:t>
            </w:r>
            <w:r w:rsidR="00853258">
              <w:rPr>
                <w:sz w:val="20"/>
                <w:szCs w:val="20"/>
              </w:rPr>
              <w:t>: 5 – fully relevant</w:t>
            </w:r>
          </w:p>
          <w:p w14:paraId="7D298B6F" w14:textId="0934B080" w:rsidR="004C473C" w:rsidRDefault="004C473C" w:rsidP="006E3CA0">
            <w:pPr>
              <w:pStyle w:val="ListParagraph"/>
              <w:numPr>
                <w:ilvl w:val="0"/>
                <w:numId w:val="26"/>
              </w:numPr>
              <w:spacing w:after="120"/>
              <w:ind w:left="184" w:hanging="142"/>
              <w:rPr>
                <w:sz w:val="20"/>
                <w:szCs w:val="20"/>
              </w:rPr>
            </w:pPr>
            <w:r w:rsidRPr="006E3CA0">
              <w:rPr>
                <w:sz w:val="20"/>
                <w:szCs w:val="20"/>
              </w:rPr>
              <w:t>Harmonise rules governing the acceptable use of remote identification technologies and services in the Anti-Money Laundering legislation</w:t>
            </w:r>
            <w:r w:rsidR="00853258">
              <w:rPr>
                <w:sz w:val="20"/>
                <w:szCs w:val="20"/>
              </w:rPr>
              <w:t>: 5 – fully relevant</w:t>
            </w:r>
          </w:p>
          <w:p w14:paraId="476D9529" w14:textId="206A21C8" w:rsidR="004C473C" w:rsidRDefault="004C473C" w:rsidP="006E3CA0">
            <w:pPr>
              <w:pStyle w:val="ListParagraph"/>
              <w:numPr>
                <w:ilvl w:val="0"/>
                <w:numId w:val="26"/>
              </w:numPr>
              <w:spacing w:after="120"/>
              <w:ind w:left="184" w:hanging="142"/>
              <w:rPr>
                <w:sz w:val="20"/>
                <w:szCs w:val="20"/>
              </w:rPr>
            </w:pPr>
            <w:r w:rsidRPr="006E3CA0">
              <w:rPr>
                <w:sz w:val="20"/>
                <w:szCs w:val="20"/>
              </w:rPr>
              <w:t>Broaden access for obliged entities to publicly held information (public databases and registers) to enable verification of customer identities</w:t>
            </w:r>
            <w:r w:rsidR="00853258">
              <w:rPr>
                <w:sz w:val="20"/>
                <w:szCs w:val="20"/>
              </w:rPr>
              <w:t>: 5 – fully relevant</w:t>
            </w:r>
          </w:p>
          <w:p w14:paraId="768320FF" w14:textId="3CE7E238" w:rsidR="004C473C" w:rsidRDefault="004C473C" w:rsidP="006E3CA0">
            <w:pPr>
              <w:pStyle w:val="ListParagraph"/>
              <w:numPr>
                <w:ilvl w:val="0"/>
                <w:numId w:val="26"/>
              </w:numPr>
              <w:spacing w:after="120"/>
              <w:ind w:left="184" w:hanging="142"/>
              <w:rPr>
                <w:sz w:val="20"/>
                <w:szCs w:val="20"/>
              </w:rPr>
            </w:pPr>
            <w:r w:rsidRPr="006E3CA0">
              <w:rPr>
                <w:sz w:val="20"/>
                <w:szCs w:val="20"/>
              </w:rPr>
              <w:t>Provide further guidance or standards in support of the customer due diligence process (e.g. detailed ID elements, eligible trusted sources; risk assessment of remote identification technologies)</w:t>
            </w:r>
            <w:r w:rsidR="00853258">
              <w:rPr>
                <w:sz w:val="20"/>
                <w:szCs w:val="20"/>
              </w:rPr>
              <w:t>: 4 – rather relevant</w:t>
            </w:r>
          </w:p>
          <w:p w14:paraId="3277FF92" w14:textId="10A34542" w:rsidR="004C473C" w:rsidRDefault="004C473C" w:rsidP="006E3CA0">
            <w:pPr>
              <w:pStyle w:val="ListParagraph"/>
              <w:numPr>
                <w:ilvl w:val="0"/>
                <w:numId w:val="26"/>
              </w:numPr>
              <w:spacing w:after="120"/>
              <w:ind w:left="184" w:hanging="142"/>
              <w:rPr>
                <w:sz w:val="20"/>
                <w:szCs w:val="20"/>
              </w:rPr>
            </w:pPr>
            <w:r w:rsidRPr="006E3CA0">
              <w:rPr>
                <w:sz w:val="20"/>
                <w:szCs w:val="20"/>
              </w:rPr>
              <w:t>Facilitate the development of digital on-boarding processes, which build on the e-IDAS Regulation</w:t>
            </w:r>
            <w:r w:rsidR="00853258">
              <w:rPr>
                <w:sz w:val="20"/>
                <w:szCs w:val="20"/>
              </w:rPr>
              <w:t xml:space="preserve">: </w:t>
            </w:r>
            <w:r w:rsidR="00627C08">
              <w:rPr>
                <w:sz w:val="20"/>
                <w:szCs w:val="20"/>
              </w:rPr>
              <w:t>5</w:t>
            </w:r>
            <w:r w:rsidR="00853258">
              <w:rPr>
                <w:sz w:val="20"/>
                <w:szCs w:val="20"/>
              </w:rPr>
              <w:t xml:space="preserve"> – </w:t>
            </w:r>
            <w:r w:rsidR="00627C08">
              <w:rPr>
                <w:sz w:val="20"/>
                <w:szCs w:val="20"/>
              </w:rPr>
              <w:t>fully relevant</w:t>
            </w:r>
          </w:p>
          <w:p w14:paraId="4D35B5FA" w14:textId="051B6139" w:rsidR="004C473C" w:rsidRDefault="004C473C" w:rsidP="006E3CA0">
            <w:pPr>
              <w:pStyle w:val="ListParagraph"/>
              <w:numPr>
                <w:ilvl w:val="0"/>
                <w:numId w:val="26"/>
              </w:numPr>
              <w:spacing w:after="120"/>
              <w:ind w:left="184" w:hanging="142"/>
              <w:rPr>
                <w:sz w:val="20"/>
                <w:szCs w:val="20"/>
              </w:rPr>
            </w:pPr>
            <w:r w:rsidRPr="006E3CA0">
              <w:rPr>
                <w:sz w:val="20"/>
                <w:szCs w:val="20"/>
              </w:rPr>
              <w:t>Facilitate cooperation between public authorities and private sector digital identity solution providers</w:t>
            </w:r>
            <w:r w:rsidR="00853258">
              <w:rPr>
                <w:sz w:val="20"/>
                <w:szCs w:val="20"/>
              </w:rPr>
              <w:t>: 5 – fully relevant</w:t>
            </w:r>
          </w:p>
          <w:p w14:paraId="208FA578" w14:textId="62A4ABAC" w:rsidR="004C473C" w:rsidRDefault="004C473C" w:rsidP="006E3CA0">
            <w:pPr>
              <w:pStyle w:val="ListParagraph"/>
              <w:numPr>
                <w:ilvl w:val="0"/>
                <w:numId w:val="26"/>
              </w:numPr>
              <w:spacing w:after="120"/>
              <w:ind w:left="184" w:hanging="142"/>
              <w:rPr>
                <w:sz w:val="20"/>
                <w:szCs w:val="20"/>
              </w:rPr>
            </w:pPr>
            <w:r w:rsidRPr="006E3CA0">
              <w:rPr>
                <w:sz w:val="20"/>
                <w:szCs w:val="20"/>
              </w:rPr>
              <w:t xml:space="preserve">Integrate KYC attributes into </w:t>
            </w:r>
            <w:proofErr w:type="spellStart"/>
            <w:r w:rsidRPr="006E3CA0">
              <w:rPr>
                <w:sz w:val="20"/>
                <w:szCs w:val="20"/>
              </w:rPr>
              <w:t>eIDAS</w:t>
            </w:r>
            <w:proofErr w:type="spellEnd"/>
            <w:r w:rsidRPr="006E3CA0">
              <w:rPr>
                <w:sz w:val="20"/>
                <w:szCs w:val="20"/>
              </w:rPr>
              <w:t xml:space="preserve"> </w:t>
            </w:r>
            <w:proofErr w:type="gramStart"/>
            <w:r w:rsidRPr="006E3CA0">
              <w:rPr>
                <w:sz w:val="20"/>
                <w:szCs w:val="20"/>
              </w:rPr>
              <w:t>in order to</w:t>
            </w:r>
            <w:proofErr w:type="gramEnd"/>
            <w:r w:rsidRPr="006E3CA0">
              <w:rPr>
                <w:sz w:val="20"/>
                <w:szCs w:val="20"/>
              </w:rPr>
              <w:t xml:space="preserve"> enable onboarding through trusted digital identities</w:t>
            </w:r>
            <w:r w:rsidR="00853258">
              <w:rPr>
                <w:sz w:val="20"/>
                <w:szCs w:val="20"/>
              </w:rPr>
              <w:t>:</w:t>
            </w:r>
            <w:r w:rsidR="004F2C43">
              <w:rPr>
                <w:sz w:val="20"/>
                <w:szCs w:val="20"/>
              </w:rPr>
              <w:t xml:space="preserve"> </w:t>
            </w:r>
            <w:r w:rsidR="00627C08">
              <w:rPr>
                <w:sz w:val="20"/>
                <w:szCs w:val="20"/>
              </w:rPr>
              <w:t>5 – fully relevant</w:t>
            </w:r>
          </w:p>
          <w:p w14:paraId="2DA0ADF4" w14:textId="21787744" w:rsidR="004C473C" w:rsidRPr="006E3CA0" w:rsidRDefault="004C473C" w:rsidP="006E3CA0">
            <w:pPr>
              <w:pStyle w:val="ListParagraph"/>
              <w:numPr>
                <w:ilvl w:val="0"/>
                <w:numId w:val="26"/>
              </w:numPr>
              <w:spacing w:after="120"/>
              <w:ind w:left="184" w:hanging="142"/>
              <w:rPr>
                <w:sz w:val="20"/>
                <w:szCs w:val="20"/>
              </w:rPr>
            </w:pPr>
            <w:r w:rsidRPr="006E3CA0">
              <w:rPr>
                <w:sz w:val="20"/>
                <w:szCs w:val="20"/>
              </w:rPr>
              <w:t>Other</w:t>
            </w:r>
          </w:p>
        </w:tc>
      </w:tr>
      <w:tr w:rsidR="004C473C" w14:paraId="06627947" w14:textId="77777777" w:rsidTr="0053138D">
        <w:trPr>
          <w:trHeight w:val="364"/>
        </w:trPr>
        <w:tc>
          <w:tcPr>
            <w:tcW w:w="1271" w:type="dxa"/>
            <w:vMerge/>
          </w:tcPr>
          <w:p w14:paraId="57287D6F" w14:textId="67EA975F" w:rsidR="004C473C" w:rsidRDefault="004C473C" w:rsidP="0053138D">
            <w:pPr>
              <w:spacing w:after="120"/>
              <w:rPr>
                <w:sz w:val="20"/>
                <w:szCs w:val="20"/>
              </w:rPr>
            </w:pPr>
          </w:p>
        </w:tc>
        <w:tc>
          <w:tcPr>
            <w:tcW w:w="2126" w:type="dxa"/>
          </w:tcPr>
          <w:p w14:paraId="6B7AEB78" w14:textId="0443AE7F" w:rsidR="004C473C" w:rsidRPr="0042399D" w:rsidRDefault="004C473C" w:rsidP="0042399D">
            <w:pPr>
              <w:rPr>
                <w:rFonts w:eastAsia="Times New Roman"/>
                <w:b/>
                <w:sz w:val="20"/>
                <w:szCs w:val="20"/>
                <w:lang w:eastAsia="en-GB"/>
              </w:rPr>
            </w:pPr>
            <w:r w:rsidRPr="0042399D">
              <w:rPr>
                <w:rFonts w:eastAsia="Times New Roman"/>
                <w:sz w:val="20"/>
                <w:szCs w:val="20"/>
                <w:lang w:eastAsia="en-GB"/>
              </w:rPr>
              <w:t>AFME to respond</w:t>
            </w:r>
          </w:p>
        </w:tc>
        <w:tc>
          <w:tcPr>
            <w:tcW w:w="7060" w:type="dxa"/>
          </w:tcPr>
          <w:p w14:paraId="3DDB5B42" w14:textId="6164266E" w:rsidR="00EF7321" w:rsidRPr="00EF7321" w:rsidRDefault="009E18E2" w:rsidP="00735388">
            <w:pPr>
              <w:pStyle w:val="ListParagraph"/>
              <w:numPr>
                <w:ilvl w:val="0"/>
                <w:numId w:val="26"/>
              </w:numPr>
              <w:spacing w:after="120"/>
              <w:ind w:left="184" w:hanging="142"/>
              <w:rPr>
                <w:sz w:val="20"/>
                <w:szCs w:val="20"/>
              </w:rPr>
            </w:pPr>
            <w:r>
              <w:rPr>
                <w:sz w:val="20"/>
                <w:szCs w:val="20"/>
              </w:rPr>
              <w:t>Please see our response to question 13.</w:t>
            </w:r>
          </w:p>
          <w:p w14:paraId="5B48E2BA" w14:textId="12F4148F" w:rsidR="00AC0620" w:rsidRPr="00A77BA8" w:rsidRDefault="00AC0620" w:rsidP="00AC0620">
            <w:pPr>
              <w:pStyle w:val="ListParagraph"/>
              <w:numPr>
                <w:ilvl w:val="0"/>
                <w:numId w:val="26"/>
              </w:numPr>
              <w:spacing w:after="120"/>
              <w:ind w:left="184" w:hanging="142"/>
              <w:jc w:val="both"/>
              <w:rPr>
                <w:sz w:val="20"/>
                <w:szCs w:val="20"/>
              </w:rPr>
            </w:pPr>
            <w:r w:rsidRPr="00A77BA8">
              <w:rPr>
                <w:sz w:val="20"/>
                <w:szCs w:val="20"/>
              </w:rPr>
              <w:t>Harmonisation of the AML legislation is paramount to ensure that interoperable EU digital on-boarding solutions can be implemented. To the extent</w:t>
            </w:r>
            <w:r w:rsidR="00394292">
              <w:rPr>
                <w:sz w:val="20"/>
                <w:szCs w:val="20"/>
              </w:rPr>
              <w:t xml:space="preserve"> </w:t>
            </w:r>
            <w:r w:rsidRPr="00A77BA8">
              <w:rPr>
                <w:sz w:val="20"/>
                <w:szCs w:val="20"/>
              </w:rPr>
              <w:t xml:space="preserve">individual </w:t>
            </w:r>
            <w:r w:rsidR="00394292">
              <w:rPr>
                <w:sz w:val="20"/>
                <w:szCs w:val="20"/>
              </w:rPr>
              <w:t>M</w:t>
            </w:r>
            <w:r w:rsidRPr="00A77BA8">
              <w:rPr>
                <w:sz w:val="20"/>
                <w:szCs w:val="20"/>
              </w:rPr>
              <w:t xml:space="preserve">ember </w:t>
            </w:r>
            <w:r w:rsidR="00394292">
              <w:rPr>
                <w:sz w:val="20"/>
                <w:szCs w:val="20"/>
              </w:rPr>
              <w:t>S</w:t>
            </w:r>
            <w:r w:rsidRPr="00A77BA8">
              <w:rPr>
                <w:sz w:val="20"/>
                <w:szCs w:val="20"/>
              </w:rPr>
              <w:t>tates embed additional</w:t>
            </w:r>
            <w:r w:rsidR="00394292">
              <w:rPr>
                <w:sz w:val="20"/>
                <w:szCs w:val="20"/>
              </w:rPr>
              <w:t>/</w:t>
            </w:r>
            <w:r w:rsidRPr="00A77BA8">
              <w:rPr>
                <w:sz w:val="20"/>
                <w:szCs w:val="20"/>
              </w:rPr>
              <w:t>complex requirements</w:t>
            </w:r>
            <w:r w:rsidR="00394292">
              <w:rPr>
                <w:sz w:val="20"/>
                <w:szCs w:val="20"/>
              </w:rPr>
              <w:t>,</w:t>
            </w:r>
            <w:r w:rsidRPr="00A77BA8">
              <w:rPr>
                <w:sz w:val="20"/>
                <w:szCs w:val="20"/>
              </w:rPr>
              <w:t xml:space="preserve"> over and above those set out in EU Directives, </w:t>
            </w:r>
            <w:r w:rsidR="00394292">
              <w:rPr>
                <w:sz w:val="20"/>
                <w:szCs w:val="20"/>
              </w:rPr>
              <w:t xml:space="preserve">can </w:t>
            </w:r>
            <w:r w:rsidRPr="00A77BA8">
              <w:rPr>
                <w:sz w:val="20"/>
                <w:szCs w:val="20"/>
              </w:rPr>
              <w:t>act as a barrier to</w:t>
            </w:r>
            <w:r w:rsidR="00394292">
              <w:rPr>
                <w:sz w:val="20"/>
                <w:szCs w:val="20"/>
              </w:rPr>
              <w:t xml:space="preserve"> the</w:t>
            </w:r>
            <w:r w:rsidRPr="00A77BA8">
              <w:rPr>
                <w:sz w:val="20"/>
                <w:szCs w:val="20"/>
              </w:rPr>
              <w:t xml:space="preserve"> consistent application of solutions </w:t>
            </w:r>
            <w:r w:rsidR="00394292">
              <w:rPr>
                <w:sz w:val="20"/>
                <w:szCs w:val="20"/>
              </w:rPr>
              <w:t>i</w:t>
            </w:r>
            <w:r w:rsidRPr="00A77BA8">
              <w:rPr>
                <w:sz w:val="20"/>
                <w:szCs w:val="20"/>
              </w:rPr>
              <w:t xml:space="preserve">n Europe. </w:t>
            </w:r>
          </w:p>
          <w:p w14:paraId="2D7D6669" w14:textId="5468C456" w:rsidR="00C54466" w:rsidRDefault="00C54466" w:rsidP="00AF6407">
            <w:pPr>
              <w:pStyle w:val="ListParagraph"/>
              <w:numPr>
                <w:ilvl w:val="1"/>
                <w:numId w:val="26"/>
              </w:numPr>
              <w:spacing w:after="120"/>
              <w:ind w:left="606" w:hanging="284"/>
              <w:rPr>
                <w:sz w:val="20"/>
                <w:szCs w:val="20"/>
              </w:rPr>
            </w:pPr>
            <w:r w:rsidRPr="00C54466">
              <w:rPr>
                <w:sz w:val="20"/>
                <w:szCs w:val="20"/>
              </w:rPr>
              <w:t xml:space="preserve">We support </w:t>
            </w:r>
            <w:r>
              <w:rPr>
                <w:sz w:val="20"/>
                <w:szCs w:val="20"/>
              </w:rPr>
              <w:t xml:space="preserve">the </w:t>
            </w:r>
            <w:r w:rsidRPr="00C54466">
              <w:rPr>
                <w:sz w:val="20"/>
                <w:szCs w:val="20"/>
              </w:rPr>
              <w:t>harmonisation of AML rules</w:t>
            </w:r>
            <w:r>
              <w:rPr>
                <w:sz w:val="20"/>
                <w:szCs w:val="20"/>
              </w:rPr>
              <w:t xml:space="preserve">, which will </w:t>
            </w:r>
            <w:r w:rsidRPr="00C54466">
              <w:rPr>
                <w:sz w:val="20"/>
                <w:szCs w:val="20"/>
              </w:rPr>
              <w:t xml:space="preserve">be beneficial </w:t>
            </w:r>
            <w:r>
              <w:rPr>
                <w:sz w:val="20"/>
                <w:szCs w:val="20"/>
              </w:rPr>
              <w:t xml:space="preserve">for </w:t>
            </w:r>
            <w:r w:rsidRPr="00C54466">
              <w:rPr>
                <w:sz w:val="20"/>
                <w:szCs w:val="20"/>
              </w:rPr>
              <w:t xml:space="preserve">cross </w:t>
            </w:r>
            <w:r>
              <w:rPr>
                <w:sz w:val="20"/>
                <w:szCs w:val="20"/>
              </w:rPr>
              <w:t xml:space="preserve">border </w:t>
            </w:r>
            <w:r w:rsidRPr="00C54466">
              <w:rPr>
                <w:sz w:val="20"/>
                <w:szCs w:val="20"/>
              </w:rPr>
              <w:t>interopera</w:t>
            </w:r>
            <w:r>
              <w:rPr>
                <w:sz w:val="20"/>
                <w:szCs w:val="20"/>
              </w:rPr>
              <w:t xml:space="preserve">bility and </w:t>
            </w:r>
            <w:r w:rsidRPr="00C54466">
              <w:rPr>
                <w:sz w:val="20"/>
                <w:szCs w:val="20"/>
              </w:rPr>
              <w:t xml:space="preserve">digital on-boarding. </w:t>
            </w:r>
            <w:r w:rsidR="00C725C3">
              <w:rPr>
                <w:sz w:val="20"/>
                <w:szCs w:val="20"/>
              </w:rPr>
              <w:t>Currently</w:t>
            </w:r>
            <w:r w:rsidRPr="00C54466">
              <w:rPr>
                <w:sz w:val="20"/>
                <w:szCs w:val="20"/>
              </w:rPr>
              <w:t xml:space="preserve">, there </w:t>
            </w:r>
            <w:r w:rsidR="00C725C3">
              <w:rPr>
                <w:sz w:val="20"/>
                <w:szCs w:val="20"/>
              </w:rPr>
              <w:lastRenderedPageBreak/>
              <w:t xml:space="preserve">are </w:t>
            </w:r>
            <w:r w:rsidRPr="00C54466">
              <w:rPr>
                <w:sz w:val="20"/>
                <w:szCs w:val="20"/>
              </w:rPr>
              <w:t>significant divergence</w:t>
            </w:r>
            <w:r w:rsidR="00C725C3">
              <w:rPr>
                <w:sz w:val="20"/>
                <w:szCs w:val="20"/>
              </w:rPr>
              <w:t>s</w:t>
            </w:r>
            <w:r w:rsidRPr="00C54466">
              <w:rPr>
                <w:sz w:val="20"/>
                <w:szCs w:val="20"/>
              </w:rPr>
              <w:t xml:space="preserve"> in approaches to AML rule</w:t>
            </w:r>
            <w:r>
              <w:rPr>
                <w:sz w:val="20"/>
                <w:szCs w:val="20"/>
              </w:rPr>
              <w:t>s</w:t>
            </w:r>
            <w:r w:rsidRPr="00C54466">
              <w:rPr>
                <w:sz w:val="20"/>
                <w:szCs w:val="20"/>
              </w:rPr>
              <w:t xml:space="preserve"> implementation between Member States</w:t>
            </w:r>
            <w:r>
              <w:rPr>
                <w:sz w:val="20"/>
                <w:szCs w:val="20"/>
              </w:rPr>
              <w:t xml:space="preserve">, for </w:t>
            </w:r>
            <w:r w:rsidRPr="00C54466">
              <w:rPr>
                <w:sz w:val="20"/>
                <w:szCs w:val="20"/>
              </w:rPr>
              <w:t xml:space="preserve">customer due diligence and </w:t>
            </w:r>
            <w:r>
              <w:rPr>
                <w:sz w:val="20"/>
                <w:szCs w:val="20"/>
              </w:rPr>
              <w:t xml:space="preserve">the </w:t>
            </w:r>
            <w:r w:rsidRPr="00C54466">
              <w:rPr>
                <w:sz w:val="20"/>
                <w:szCs w:val="20"/>
              </w:rPr>
              <w:t>acceptable use of remote identification technologies</w:t>
            </w:r>
            <w:r w:rsidR="00C725C3">
              <w:rPr>
                <w:sz w:val="20"/>
                <w:szCs w:val="20"/>
              </w:rPr>
              <w:t>. W</w:t>
            </w:r>
            <w:r w:rsidRPr="00C54466">
              <w:rPr>
                <w:sz w:val="20"/>
                <w:szCs w:val="20"/>
              </w:rPr>
              <w:t xml:space="preserve">e therefore welcome </w:t>
            </w:r>
            <w:r w:rsidR="00C725C3">
              <w:rPr>
                <w:sz w:val="20"/>
                <w:szCs w:val="20"/>
              </w:rPr>
              <w:t xml:space="preserve">any </w:t>
            </w:r>
            <w:r w:rsidR="00170344">
              <w:rPr>
                <w:sz w:val="20"/>
                <w:szCs w:val="20"/>
              </w:rPr>
              <w:t xml:space="preserve">EU </w:t>
            </w:r>
            <w:r w:rsidRPr="00C54466">
              <w:rPr>
                <w:sz w:val="20"/>
                <w:szCs w:val="20"/>
              </w:rPr>
              <w:t>initiatives with a view to creat</w:t>
            </w:r>
            <w:r w:rsidR="00C725C3">
              <w:rPr>
                <w:sz w:val="20"/>
                <w:szCs w:val="20"/>
              </w:rPr>
              <w:t>e</w:t>
            </w:r>
            <w:r w:rsidRPr="00C54466">
              <w:rPr>
                <w:sz w:val="20"/>
                <w:szCs w:val="20"/>
              </w:rPr>
              <w:t xml:space="preserve"> a higher degree of harmonisation. </w:t>
            </w:r>
            <w:r w:rsidR="00313AF6" w:rsidRPr="00313AF6">
              <w:rPr>
                <w:sz w:val="20"/>
                <w:szCs w:val="20"/>
              </w:rPr>
              <w:t>This could also be achieved by supporting the creation of private industry bodies in Member States that would help with the development of AML/CFT industry guidance.</w:t>
            </w:r>
          </w:p>
          <w:p w14:paraId="162EE41F" w14:textId="69D0BA53" w:rsidR="00AC0620" w:rsidRPr="00A77BA8" w:rsidRDefault="00AC0620" w:rsidP="00AF6407">
            <w:pPr>
              <w:pStyle w:val="ListParagraph"/>
              <w:numPr>
                <w:ilvl w:val="1"/>
                <w:numId w:val="26"/>
              </w:numPr>
              <w:spacing w:after="120"/>
              <w:ind w:left="606" w:hanging="284"/>
              <w:rPr>
                <w:sz w:val="20"/>
                <w:szCs w:val="20"/>
              </w:rPr>
            </w:pPr>
            <w:r w:rsidRPr="00A77BA8">
              <w:rPr>
                <w:sz w:val="20"/>
                <w:szCs w:val="20"/>
              </w:rPr>
              <w:t xml:space="preserve">We are </w:t>
            </w:r>
            <w:r w:rsidR="00C725C3">
              <w:rPr>
                <w:sz w:val="20"/>
                <w:szCs w:val="20"/>
              </w:rPr>
              <w:t xml:space="preserve">also </w:t>
            </w:r>
            <w:r w:rsidRPr="00A77BA8">
              <w:rPr>
                <w:sz w:val="20"/>
                <w:szCs w:val="20"/>
              </w:rPr>
              <w:t xml:space="preserve">supportive of initiatives at the EU level that will stipulate compliant methods for the use of digital technologies for the purposes of AML identity verification. At present, we note that digital identities are primarily used by public bodies and uptake is less prevalent in the private sector. </w:t>
            </w:r>
            <w:r w:rsidR="00313AF6" w:rsidRPr="00313AF6">
              <w:rPr>
                <w:sz w:val="20"/>
                <w:szCs w:val="20"/>
              </w:rPr>
              <w:t>In fact, we would like to point out that the FATF guidance on digital identity states that ‘</w:t>
            </w:r>
            <w:r w:rsidR="00313AF6" w:rsidRPr="009726DA">
              <w:rPr>
                <w:i/>
                <w:iCs/>
                <w:sz w:val="20"/>
                <w:szCs w:val="20"/>
              </w:rPr>
              <w:t>using reliable, independent digital ID systems with appropriate risk mitigation measures in place, may present a standard level of risk, and may even be lower-risk</w:t>
            </w:r>
            <w:r w:rsidR="00313AF6" w:rsidRPr="00313AF6">
              <w:rPr>
                <w:sz w:val="20"/>
                <w:szCs w:val="20"/>
              </w:rPr>
              <w:t>’</w:t>
            </w:r>
            <w:r w:rsidR="00313AF6">
              <w:rPr>
                <w:rStyle w:val="FootnoteReference"/>
                <w:sz w:val="20"/>
                <w:szCs w:val="20"/>
              </w:rPr>
              <w:footnoteReference w:id="30"/>
            </w:r>
            <w:r w:rsidR="00313AF6" w:rsidRPr="00313AF6">
              <w:rPr>
                <w:sz w:val="20"/>
                <w:szCs w:val="20"/>
              </w:rPr>
              <w:t xml:space="preserve"> from the AML/CFT perspective.</w:t>
            </w:r>
            <w:r w:rsidRPr="00A77BA8">
              <w:rPr>
                <w:sz w:val="20"/>
                <w:szCs w:val="20"/>
              </w:rPr>
              <w:t xml:space="preserve"> </w:t>
            </w:r>
          </w:p>
          <w:p w14:paraId="65A858C5" w14:textId="59DCB783" w:rsidR="002B3F75" w:rsidRPr="00735388" w:rsidRDefault="00AC0620">
            <w:pPr>
              <w:pStyle w:val="ListParagraph"/>
              <w:numPr>
                <w:ilvl w:val="1"/>
                <w:numId w:val="26"/>
              </w:numPr>
              <w:spacing w:after="120"/>
              <w:ind w:left="606" w:hanging="284"/>
              <w:rPr>
                <w:sz w:val="20"/>
                <w:szCs w:val="20"/>
              </w:rPr>
            </w:pPr>
            <w:r w:rsidRPr="00A77BA8">
              <w:rPr>
                <w:sz w:val="20"/>
                <w:szCs w:val="20"/>
              </w:rPr>
              <w:t xml:space="preserve">The e-IDAS </w:t>
            </w:r>
            <w:r w:rsidR="00170344">
              <w:rPr>
                <w:sz w:val="20"/>
                <w:szCs w:val="20"/>
              </w:rPr>
              <w:t>R</w:t>
            </w:r>
            <w:r w:rsidRPr="00A77BA8">
              <w:rPr>
                <w:sz w:val="20"/>
                <w:szCs w:val="20"/>
              </w:rPr>
              <w:t>egulation</w:t>
            </w:r>
            <w:r w:rsidR="00170344">
              <w:rPr>
                <w:rStyle w:val="FootnoteReference"/>
                <w:sz w:val="20"/>
                <w:szCs w:val="20"/>
              </w:rPr>
              <w:footnoteReference w:id="31"/>
            </w:r>
            <w:r w:rsidRPr="00A77BA8">
              <w:rPr>
                <w:sz w:val="20"/>
                <w:szCs w:val="20"/>
              </w:rPr>
              <w:t xml:space="preserve"> could be a useful mechanism to clarify digital onboarding process</w:t>
            </w:r>
            <w:r w:rsidR="00170344">
              <w:rPr>
                <w:sz w:val="20"/>
                <w:szCs w:val="20"/>
              </w:rPr>
              <w:t>es</w:t>
            </w:r>
            <w:r w:rsidRPr="00A77BA8">
              <w:rPr>
                <w:sz w:val="20"/>
                <w:szCs w:val="20"/>
              </w:rPr>
              <w:t>. The interoperability framework under the e-IDAS Regulation is particularly beneficial from a cross border cooperation perspective as it allows for the interoperability of national digital ID systems. This interoperability should be maintained in any extension of the regime for the purposes of digital onboarding. We comment further below on the use of digital identities.</w:t>
            </w:r>
            <w:r w:rsidR="00627C08">
              <w:rPr>
                <w:sz w:val="20"/>
                <w:szCs w:val="20"/>
              </w:rPr>
              <w:t xml:space="preserve"> </w:t>
            </w:r>
          </w:p>
        </w:tc>
      </w:tr>
      <w:tr w:rsidR="004C473C" w14:paraId="23D56200" w14:textId="77777777" w:rsidTr="0053138D">
        <w:trPr>
          <w:trHeight w:val="458"/>
        </w:trPr>
        <w:tc>
          <w:tcPr>
            <w:tcW w:w="1271" w:type="dxa"/>
            <w:vMerge w:val="restart"/>
          </w:tcPr>
          <w:p w14:paraId="0AD34800" w14:textId="619B8180" w:rsidR="004C473C" w:rsidRDefault="004C473C" w:rsidP="0053138D">
            <w:pPr>
              <w:spacing w:after="120"/>
              <w:rPr>
                <w:sz w:val="20"/>
                <w:szCs w:val="20"/>
              </w:rPr>
            </w:pPr>
            <w:r>
              <w:rPr>
                <w:sz w:val="20"/>
                <w:szCs w:val="20"/>
              </w:rPr>
              <w:lastRenderedPageBreak/>
              <w:t>17</w:t>
            </w:r>
          </w:p>
        </w:tc>
        <w:tc>
          <w:tcPr>
            <w:tcW w:w="2126" w:type="dxa"/>
          </w:tcPr>
          <w:p w14:paraId="07D7CC49" w14:textId="25C3FB25" w:rsidR="004C473C" w:rsidRPr="00A565B8" w:rsidRDefault="004C473C" w:rsidP="00A565B8">
            <w:pPr>
              <w:rPr>
                <w:rFonts w:eastAsia="Times New Roman"/>
                <w:b/>
                <w:sz w:val="20"/>
                <w:szCs w:val="20"/>
                <w:lang w:eastAsia="en-GB"/>
              </w:rPr>
            </w:pPr>
            <w:r w:rsidRPr="00A565B8">
              <w:rPr>
                <w:rFonts w:eastAsia="Times New Roman"/>
                <w:sz w:val="20"/>
                <w:szCs w:val="20"/>
                <w:lang w:eastAsia="en-GB"/>
              </w:rPr>
              <w:t>AFME to respond</w:t>
            </w:r>
          </w:p>
        </w:tc>
        <w:tc>
          <w:tcPr>
            <w:tcW w:w="7060" w:type="dxa"/>
          </w:tcPr>
          <w:p w14:paraId="30A63B19" w14:textId="0379081E" w:rsidR="004C473C" w:rsidRDefault="004C473C" w:rsidP="004C473C">
            <w:pPr>
              <w:pStyle w:val="ListParagraph"/>
              <w:numPr>
                <w:ilvl w:val="0"/>
                <w:numId w:val="26"/>
              </w:numPr>
              <w:spacing w:after="120"/>
              <w:ind w:left="184" w:hanging="142"/>
              <w:rPr>
                <w:sz w:val="20"/>
                <w:szCs w:val="20"/>
              </w:rPr>
            </w:pPr>
            <w:r w:rsidRPr="004C473C">
              <w:rPr>
                <w:sz w:val="20"/>
                <w:szCs w:val="20"/>
              </w:rPr>
              <w:t>Make the rules on third party reliance in the Anti-Money Laundering legislation more specific</w:t>
            </w:r>
            <w:r w:rsidR="00853258">
              <w:rPr>
                <w:sz w:val="20"/>
                <w:szCs w:val="20"/>
              </w:rPr>
              <w:t xml:space="preserve">: </w:t>
            </w:r>
            <w:r w:rsidR="00C725C3">
              <w:rPr>
                <w:sz w:val="20"/>
                <w:szCs w:val="20"/>
              </w:rPr>
              <w:t>4 – rather relevant</w:t>
            </w:r>
            <w:r w:rsidR="00C725C3" w:rsidDel="00C725C3">
              <w:rPr>
                <w:sz w:val="20"/>
                <w:szCs w:val="20"/>
              </w:rPr>
              <w:t xml:space="preserve"> </w:t>
            </w:r>
          </w:p>
          <w:p w14:paraId="667105F6" w14:textId="08B8DD71" w:rsidR="004C473C" w:rsidRDefault="004C473C" w:rsidP="004C473C">
            <w:pPr>
              <w:pStyle w:val="ListParagraph"/>
              <w:numPr>
                <w:ilvl w:val="0"/>
                <w:numId w:val="26"/>
              </w:numPr>
              <w:spacing w:after="120"/>
              <w:ind w:left="184" w:hanging="142"/>
              <w:rPr>
                <w:sz w:val="20"/>
                <w:szCs w:val="20"/>
              </w:rPr>
            </w:pPr>
            <w:r w:rsidRPr="004C473C">
              <w:rPr>
                <w:sz w:val="20"/>
                <w:szCs w:val="20"/>
              </w:rPr>
              <w:t>Provide further guidance relating to reliance on third parties for carrying out identification and verification through digital means, including on issues relating to liability</w:t>
            </w:r>
            <w:r w:rsidR="00853258">
              <w:rPr>
                <w:sz w:val="20"/>
                <w:szCs w:val="20"/>
              </w:rPr>
              <w:t xml:space="preserve">: </w:t>
            </w:r>
            <w:r w:rsidR="00A77BA8">
              <w:rPr>
                <w:sz w:val="20"/>
                <w:szCs w:val="20"/>
              </w:rPr>
              <w:t>5 – fully relevant</w:t>
            </w:r>
          </w:p>
          <w:p w14:paraId="0954CE08" w14:textId="12424B97" w:rsidR="004C473C" w:rsidRDefault="004C473C" w:rsidP="004C473C">
            <w:pPr>
              <w:pStyle w:val="ListParagraph"/>
              <w:numPr>
                <w:ilvl w:val="0"/>
                <w:numId w:val="26"/>
              </w:numPr>
              <w:spacing w:after="120"/>
              <w:ind w:left="184" w:hanging="142"/>
              <w:rPr>
                <w:sz w:val="20"/>
                <w:szCs w:val="20"/>
              </w:rPr>
            </w:pPr>
            <w:r w:rsidRPr="004C473C">
              <w:rPr>
                <w:sz w:val="20"/>
                <w:szCs w:val="20"/>
              </w:rPr>
              <w:t>Promote re-use of digital identities collected for customer due diligence</w:t>
            </w:r>
            <w:r>
              <w:rPr>
                <w:sz w:val="20"/>
                <w:szCs w:val="20"/>
              </w:rPr>
              <w:t xml:space="preserve"> </w:t>
            </w:r>
            <w:r w:rsidRPr="004C473C">
              <w:rPr>
                <w:sz w:val="20"/>
                <w:szCs w:val="20"/>
              </w:rPr>
              <w:t>purposes in accordance with data protection rules</w:t>
            </w:r>
            <w:r w:rsidR="009C0C4D">
              <w:rPr>
                <w:sz w:val="20"/>
                <w:szCs w:val="20"/>
              </w:rPr>
              <w:t>: 5 – fully relevant</w:t>
            </w:r>
          </w:p>
          <w:p w14:paraId="44D87580" w14:textId="285A78A9" w:rsidR="004C473C" w:rsidRDefault="004C473C" w:rsidP="004C473C">
            <w:pPr>
              <w:pStyle w:val="ListParagraph"/>
              <w:numPr>
                <w:ilvl w:val="0"/>
                <w:numId w:val="26"/>
              </w:numPr>
              <w:spacing w:after="120"/>
              <w:ind w:left="184" w:hanging="142"/>
              <w:rPr>
                <w:sz w:val="20"/>
                <w:szCs w:val="20"/>
              </w:rPr>
            </w:pPr>
            <w:r w:rsidRPr="004C473C">
              <w:rPr>
                <w:sz w:val="20"/>
                <w:szCs w:val="20"/>
              </w:rPr>
              <w:t>Promote a universally accepted public electronic identity</w:t>
            </w:r>
            <w:r w:rsidR="009C0C4D">
              <w:rPr>
                <w:sz w:val="20"/>
                <w:szCs w:val="20"/>
              </w:rPr>
              <w:t xml:space="preserve">: </w:t>
            </w:r>
            <w:r w:rsidR="00C725C3">
              <w:rPr>
                <w:sz w:val="20"/>
                <w:szCs w:val="20"/>
              </w:rPr>
              <w:t>3</w:t>
            </w:r>
            <w:r w:rsidR="009C0C4D">
              <w:rPr>
                <w:sz w:val="20"/>
                <w:szCs w:val="20"/>
              </w:rPr>
              <w:t xml:space="preserve"> – </w:t>
            </w:r>
            <w:r w:rsidR="00C725C3">
              <w:rPr>
                <w:sz w:val="20"/>
                <w:szCs w:val="20"/>
              </w:rPr>
              <w:t>neutral</w:t>
            </w:r>
          </w:p>
          <w:p w14:paraId="2C0B537A" w14:textId="10F3F27C" w:rsidR="00C725C3" w:rsidRDefault="004C473C" w:rsidP="000B6B93">
            <w:pPr>
              <w:pStyle w:val="ListParagraph"/>
              <w:numPr>
                <w:ilvl w:val="0"/>
                <w:numId w:val="26"/>
              </w:numPr>
              <w:spacing w:after="120"/>
              <w:ind w:left="184" w:hanging="142"/>
              <w:rPr>
                <w:sz w:val="20"/>
                <w:szCs w:val="20"/>
              </w:rPr>
            </w:pPr>
            <w:r w:rsidRPr="004C473C">
              <w:rPr>
                <w:sz w:val="20"/>
                <w:szCs w:val="20"/>
              </w:rPr>
              <w:t xml:space="preserve">Define the provision of digital identities as a new private sector trust service under the supervisory regime of the </w:t>
            </w:r>
            <w:proofErr w:type="spellStart"/>
            <w:r w:rsidRPr="004C473C">
              <w:rPr>
                <w:sz w:val="20"/>
                <w:szCs w:val="20"/>
              </w:rPr>
              <w:t>eIDAS</w:t>
            </w:r>
            <w:proofErr w:type="spellEnd"/>
            <w:r w:rsidRPr="004C473C">
              <w:rPr>
                <w:sz w:val="20"/>
                <w:szCs w:val="20"/>
              </w:rPr>
              <w:t xml:space="preserve"> Regulation</w:t>
            </w:r>
            <w:r w:rsidR="009C0C4D">
              <w:rPr>
                <w:sz w:val="20"/>
                <w:szCs w:val="20"/>
              </w:rPr>
              <w:t xml:space="preserve">: </w:t>
            </w:r>
            <w:r w:rsidR="00B51DB6">
              <w:rPr>
                <w:sz w:val="20"/>
                <w:szCs w:val="20"/>
              </w:rPr>
              <w:t>3</w:t>
            </w:r>
            <w:r w:rsidR="009C0C4D">
              <w:rPr>
                <w:sz w:val="20"/>
                <w:szCs w:val="20"/>
              </w:rPr>
              <w:t xml:space="preserve"> – </w:t>
            </w:r>
            <w:r w:rsidR="00B51DB6">
              <w:rPr>
                <w:sz w:val="20"/>
                <w:szCs w:val="20"/>
              </w:rPr>
              <w:t>neutral</w:t>
            </w:r>
          </w:p>
          <w:p w14:paraId="7CC4C563" w14:textId="7D299166" w:rsidR="004C473C" w:rsidRPr="004C473C" w:rsidRDefault="004C473C" w:rsidP="006576AB">
            <w:pPr>
              <w:pStyle w:val="ListParagraph"/>
              <w:numPr>
                <w:ilvl w:val="0"/>
                <w:numId w:val="26"/>
              </w:numPr>
              <w:spacing w:after="120"/>
              <w:ind w:left="184" w:hanging="142"/>
              <w:rPr>
                <w:sz w:val="20"/>
                <w:szCs w:val="20"/>
              </w:rPr>
            </w:pPr>
            <w:r w:rsidRPr="004C473C">
              <w:rPr>
                <w:sz w:val="20"/>
                <w:szCs w:val="20"/>
              </w:rPr>
              <w:t>Other</w:t>
            </w:r>
          </w:p>
        </w:tc>
      </w:tr>
      <w:tr w:rsidR="004C473C" w14:paraId="559BB201" w14:textId="77777777" w:rsidTr="0053138D">
        <w:trPr>
          <w:trHeight w:val="552"/>
        </w:trPr>
        <w:tc>
          <w:tcPr>
            <w:tcW w:w="1271" w:type="dxa"/>
            <w:vMerge/>
          </w:tcPr>
          <w:p w14:paraId="4C1D575E" w14:textId="567CE457" w:rsidR="004C473C" w:rsidRDefault="004C473C" w:rsidP="0053138D">
            <w:pPr>
              <w:spacing w:after="120"/>
              <w:rPr>
                <w:sz w:val="20"/>
                <w:szCs w:val="20"/>
              </w:rPr>
            </w:pPr>
          </w:p>
        </w:tc>
        <w:tc>
          <w:tcPr>
            <w:tcW w:w="2126" w:type="dxa"/>
          </w:tcPr>
          <w:p w14:paraId="475E0D3B" w14:textId="1050B43A" w:rsidR="004C473C" w:rsidRPr="00A565B8" w:rsidRDefault="004C473C" w:rsidP="00A565B8">
            <w:pPr>
              <w:rPr>
                <w:rFonts w:eastAsia="Times New Roman"/>
                <w:b/>
                <w:sz w:val="20"/>
                <w:szCs w:val="20"/>
                <w:lang w:eastAsia="en-GB"/>
              </w:rPr>
            </w:pPr>
            <w:r w:rsidRPr="00A565B8">
              <w:rPr>
                <w:rFonts w:eastAsia="Times New Roman"/>
                <w:sz w:val="20"/>
                <w:szCs w:val="20"/>
                <w:lang w:eastAsia="en-GB"/>
              </w:rPr>
              <w:t>AFME to respond</w:t>
            </w:r>
          </w:p>
        </w:tc>
        <w:tc>
          <w:tcPr>
            <w:tcW w:w="7060" w:type="dxa"/>
          </w:tcPr>
          <w:p w14:paraId="566D8B8C" w14:textId="0E88F16D" w:rsidR="00B51DB6" w:rsidRDefault="00C725C3" w:rsidP="00AF6407">
            <w:pPr>
              <w:pStyle w:val="ListParagraph"/>
              <w:numPr>
                <w:ilvl w:val="0"/>
                <w:numId w:val="26"/>
              </w:numPr>
              <w:spacing w:after="120"/>
              <w:ind w:left="184" w:hanging="142"/>
              <w:rPr>
                <w:sz w:val="20"/>
                <w:szCs w:val="20"/>
              </w:rPr>
            </w:pPr>
            <w:r>
              <w:rPr>
                <w:sz w:val="20"/>
                <w:szCs w:val="20"/>
              </w:rPr>
              <w:t>Currently</w:t>
            </w:r>
            <w:r w:rsidR="002730E1">
              <w:rPr>
                <w:sz w:val="20"/>
                <w:szCs w:val="20"/>
              </w:rPr>
              <w:t>,</w:t>
            </w:r>
            <w:r>
              <w:rPr>
                <w:sz w:val="20"/>
                <w:szCs w:val="20"/>
              </w:rPr>
              <w:t xml:space="preserve"> </w:t>
            </w:r>
            <w:proofErr w:type="spellStart"/>
            <w:r w:rsidR="00B51DB6">
              <w:rPr>
                <w:sz w:val="20"/>
                <w:szCs w:val="20"/>
              </w:rPr>
              <w:t>eiDAS</w:t>
            </w:r>
            <w:proofErr w:type="spellEnd"/>
            <w:r w:rsidR="00B51DB6">
              <w:rPr>
                <w:sz w:val="20"/>
                <w:szCs w:val="20"/>
              </w:rPr>
              <w:t xml:space="preserve"> </w:t>
            </w:r>
            <w:r w:rsidR="002730E1" w:rsidRPr="002730E1">
              <w:rPr>
                <w:sz w:val="20"/>
                <w:szCs w:val="20"/>
              </w:rPr>
              <w:t>ensures that people and businesses can use their own national electronic identification schemes (</w:t>
            </w:r>
            <w:proofErr w:type="spellStart"/>
            <w:r w:rsidR="002730E1" w:rsidRPr="002730E1">
              <w:rPr>
                <w:sz w:val="20"/>
                <w:szCs w:val="20"/>
              </w:rPr>
              <w:t>eIDs</w:t>
            </w:r>
            <w:proofErr w:type="spellEnd"/>
            <w:r w:rsidR="002730E1" w:rsidRPr="002730E1">
              <w:rPr>
                <w:sz w:val="20"/>
                <w:szCs w:val="20"/>
              </w:rPr>
              <w:t xml:space="preserve">) to access public services in </w:t>
            </w:r>
            <w:r w:rsidR="002730E1">
              <w:rPr>
                <w:sz w:val="20"/>
                <w:szCs w:val="20"/>
              </w:rPr>
              <w:t xml:space="preserve">the EU, and that </w:t>
            </w:r>
            <w:r w:rsidR="002730E1" w:rsidRPr="002730E1">
              <w:rPr>
                <w:sz w:val="20"/>
                <w:szCs w:val="20"/>
              </w:rPr>
              <w:t xml:space="preserve">other EU </w:t>
            </w:r>
            <w:proofErr w:type="spellStart"/>
            <w:r w:rsidR="002730E1" w:rsidRPr="002730E1">
              <w:rPr>
                <w:sz w:val="20"/>
                <w:szCs w:val="20"/>
              </w:rPr>
              <w:t>eID</w:t>
            </w:r>
            <w:proofErr w:type="spellEnd"/>
            <w:r w:rsidR="002730E1" w:rsidRPr="002730E1">
              <w:rPr>
                <w:sz w:val="20"/>
                <w:szCs w:val="20"/>
              </w:rPr>
              <w:t xml:space="preserve"> are available. </w:t>
            </w:r>
            <w:r w:rsidR="002730E1">
              <w:rPr>
                <w:sz w:val="20"/>
                <w:szCs w:val="20"/>
              </w:rPr>
              <w:t xml:space="preserve">However, the use of </w:t>
            </w:r>
            <w:proofErr w:type="spellStart"/>
            <w:r w:rsidR="002730E1">
              <w:rPr>
                <w:sz w:val="20"/>
                <w:szCs w:val="20"/>
              </w:rPr>
              <w:t>eIDAS</w:t>
            </w:r>
            <w:proofErr w:type="spellEnd"/>
            <w:r w:rsidR="002730E1">
              <w:rPr>
                <w:sz w:val="20"/>
                <w:szCs w:val="20"/>
              </w:rPr>
              <w:t xml:space="preserve"> for the EU financial sector will require further data attributes related to financial transactions, and harmonisation of practices across EU Member States.</w:t>
            </w:r>
          </w:p>
          <w:p w14:paraId="454B830E" w14:textId="18ABAE53" w:rsidR="00AC0620" w:rsidRPr="00A77BA8" w:rsidRDefault="00AC0620" w:rsidP="00AF6407">
            <w:pPr>
              <w:pStyle w:val="ListParagraph"/>
              <w:numPr>
                <w:ilvl w:val="0"/>
                <w:numId w:val="26"/>
              </w:numPr>
              <w:spacing w:after="120"/>
              <w:ind w:left="184" w:hanging="142"/>
              <w:rPr>
                <w:sz w:val="20"/>
                <w:szCs w:val="20"/>
              </w:rPr>
            </w:pPr>
            <w:r w:rsidRPr="00AF6407">
              <w:rPr>
                <w:sz w:val="20"/>
                <w:szCs w:val="20"/>
              </w:rPr>
              <w:t>AFME refers the Commission to the FATF’s recent guidance on digital identities which sets out useful recommendations for government authorities</w:t>
            </w:r>
            <w:r w:rsidRPr="00AF6407">
              <w:rPr>
                <w:sz w:val="22"/>
                <w:szCs w:val="22"/>
                <w:vertAlign w:val="superscript"/>
              </w:rPr>
              <w:footnoteReference w:id="32"/>
            </w:r>
            <w:r w:rsidR="00923EC6">
              <w:rPr>
                <w:sz w:val="20"/>
                <w:szCs w:val="20"/>
              </w:rPr>
              <w:t xml:space="preserve">. </w:t>
            </w:r>
            <w:r w:rsidRPr="00AF6407">
              <w:rPr>
                <w:sz w:val="20"/>
                <w:szCs w:val="20"/>
              </w:rPr>
              <w:t xml:space="preserve">In particular, AFME supports the recommendations to develop clear guidelines or regulations allowing the appropriate, risk-based use of reliable, independent digital ID systems by entities regulated for AML/CFT purposes, and to assess whether existing regulations </w:t>
            </w:r>
            <w:r w:rsidR="00170344">
              <w:rPr>
                <w:sz w:val="20"/>
                <w:szCs w:val="20"/>
              </w:rPr>
              <w:t xml:space="preserve">and </w:t>
            </w:r>
            <w:r w:rsidRPr="00AF6407">
              <w:rPr>
                <w:sz w:val="20"/>
                <w:szCs w:val="20"/>
              </w:rPr>
              <w:t xml:space="preserve">guidance on </w:t>
            </w:r>
            <w:r w:rsidR="00170344">
              <w:rPr>
                <w:sz w:val="20"/>
                <w:szCs w:val="20"/>
              </w:rPr>
              <w:t>customer due diligence (</w:t>
            </w:r>
            <w:r w:rsidRPr="00AF6407">
              <w:rPr>
                <w:sz w:val="20"/>
                <w:szCs w:val="20"/>
              </w:rPr>
              <w:t>CDD</w:t>
            </w:r>
            <w:r w:rsidR="00170344">
              <w:rPr>
                <w:sz w:val="20"/>
                <w:szCs w:val="20"/>
              </w:rPr>
              <w:t>)</w:t>
            </w:r>
            <w:r w:rsidRPr="00AF6407">
              <w:rPr>
                <w:sz w:val="20"/>
                <w:szCs w:val="20"/>
              </w:rPr>
              <w:t xml:space="preserve"> </w:t>
            </w:r>
            <w:r w:rsidR="00170344">
              <w:rPr>
                <w:sz w:val="20"/>
                <w:szCs w:val="20"/>
              </w:rPr>
              <w:t xml:space="preserve">could </w:t>
            </w:r>
            <w:r w:rsidRPr="00AF6407">
              <w:rPr>
                <w:sz w:val="20"/>
                <w:szCs w:val="20"/>
              </w:rPr>
              <w:t>accommodate digital ID systems. Furthermore, we emphasise the need for the EU to monitor developments in the digital ID space with a view to share knowledge, best practices, and to establish legal frameworks at both the domestic and international level that promote responsible innovation and allow for greater flexibility, efficiency and functionality of digital ID systems, both within and across borders.</w:t>
            </w:r>
          </w:p>
          <w:p w14:paraId="4959BE97" w14:textId="77E91EB2" w:rsidR="00AC0620" w:rsidRPr="00AF6407" w:rsidRDefault="00AC0620" w:rsidP="00AF6407">
            <w:pPr>
              <w:pStyle w:val="ListParagraph"/>
              <w:numPr>
                <w:ilvl w:val="0"/>
                <w:numId w:val="26"/>
              </w:numPr>
              <w:spacing w:after="120"/>
              <w:ind w:left="184" w:hanging="142"/>
              <w:rPr>
                <w:sz w:val="20"/>
                <w:szCs w:val="20"/>
              </w:rPr>
            </w:pPr>
            <w:r w:rsidRPr="00AF6407">
              <w:rPr>
                <w:sz w:val="20"/>
                <w:szCs w:val="20"/>
              </w:rPr>
              <w:lastRenderedPageBreak/>
              <w:t xml:space="preserve">More generally, AFME would support further guidance relating to reliance on third parties for carrying out identification and verification through digital means. To the extent that firms were able to rely on digital identities gathered by other institutions, this would promote portability and improve efficiency from an onboarding perspective. However, we note that in respect of ‘reliance’, there </w:t>
            </w:r>
            <w:proofErr w:type="gramStart"/>
            <w:r w:rsidRPr="00AF6407">
              <w:rPr>
                <w:sz w:val="20"/>
                <w:szCs w:val="20"/>
              </w:rPr>
              <w:t>a number of</w:t>
            </w:r>
            <w:proofErr w:type="gramEnd"/>
            <w:r w:rsidRPr="00AF6407">
              <w:rPr>
                <w:sz w:val="20"/>
                <w:szCs w:val="20"/>
              </w:rPr>
              <w:t xml:space="preserve"> issues that need to be considered:</w:t>
            </w:r>
          </w:p>
          <w:p w14:paraId="12F19095" w14:textId="3309D03F" w:rsidR="00AC0620" w:rsidRPr="00A77BA8" w:rsidRDefault="00AC0620" w:rsidP="00AF6407">
            <w:pPr>
              <w:pStyle w:val="ListParagraph"/>
              <w:numPr>
                <w:ilvl w:val="1"/>
                <w:numId w:val="26"/>
              </w:numPr>
              <w:spacing w:after="120"/>
              <w:ind w:left="606" w:hanging="284"/>
              <w:rPr>
                <w:sz w:val="20"/>
                <w:szCs w:val="20"/>
              </w:rPr>
            </w:pPr>
            <w:r w:rsidRPr="00A77BA8">
              <w:rPr>
                <w:sz w:val="20"/>
                <w:szCs w:val="20"/>
              </w:rPr>
              <w:t xml:space="preserve">Series of attributes: A digital identity cannot be viewed as a ‘singular’ data point. An identity is made up of </w:t>
            </w:r>
            <w:r w:rsidR="008A2E7A" w:rsidRPr="00A77BA8">
              <w:rPr>
                <w:sz w:val="20"/>
                <w:szCs w:val="20"/>
              </w:rPr>
              <w:t>several</w:t>
            </w:r>
            <w:r w:rsidRPr="00A77BA8">
              <w:rPr>
                <w:sz w:val="20"/>
                <w:szCs w:val="20"/>
              </w:rPr>
              <w:t xml:space="preserve"> data attributes and </w:t>
            </w:r>
            <w:proofErr w:type="gramStart"/>
            <w:r w:rsidRPr="00A77BA8">
              <w:rPr>
                <w:sz w:val="20"/>
                <w:szCs w:val="20"/>
              </w:rPr>
              <w:t>in order to</w:t>
            </w:r>
            <w:proofErr w:type="gramEnd"/>
            <w:r w:rsidRPr="00A77BA8">
              <w:rPr>
                <w:sz w:val="20"/>
                <w:szCs w:val="20"/>
              </w:rPr>
              <w:t xml:space="preserve"> ensure that ‘reliance’ can be placed on third party identities, firms must be in a position trust to source of each data attribute. The focus should therefore be on creating a framework of data attributes that will enable firms to verify each of the attributes that are provided.  </w:t>
            </w:r>
          </w:p>
          <w:p w14:paraId="7E2E69BF" w14:textId="47F41756" w:rsidR="00AC0620" w:rsidRPr="00AF6407" w:rsidRDefault="00AC0620" w:rsidP="00AF6407">
            <w:pPr>
              <w:pStyle w:val="ListParagraph"/>
              <w:numPr>
                <w:ilvl w:val="1"/>
                <w:numId w:val="26"/>
              </w:numPr>
              <w:spacing w:after="120"/>
              <w:ind w:left="606" w:hanging="284"/>
              <w:rPr>
                <w:sz w:val="20"/>
                <w:szCs w:val="20"/>
              </w:rPr>
            </w:pPr>
            <w:r w:rsidRPr="00A77BA8">
              <w:rPr>
                <w:sz w:val="20"/>
                <w:szCs w:val="20"/>
              </w:rPr>
              <w:t xml:space="preserve">AMLD 4: </w:t>
            </w:r>
            <w:r w:rsidR="009F0E68">
              <w:rPr>
                <w:sz w:val="20"/>
                <w:szCs w:val="20"/>
              </w:rPr>
              <w:t xml:space="preserve">The directive has </w:t>
            </w:r>
            <w:r w:rsidRPr="00A77BA8">
              <w:rPr>
                <w:sz w:val="20"/>
                <w:szCs w:val="20"/>
              </w:rPr>
              <w:t>introduced requirements around the concept of ‘reliance</w:t>
            </w:r>
            <w:r w:rsidR="009F0E68">
              <w:rPr>
                <w:sz w:val="20"/>
                <w:szCs w:val="20"/>
              </w:rPr>
              <w:t xml:space="preserve"> on third parties established in high risk countries</w:t>
            </w:r>
            <w:r w:rsidRPr="00A77BA8">
              <w:rPr>
                <w:sz w:val="20"/>
                <w:szCs w:val="20"/>
              </w:rPr>
              <w:t>’</w:t>
            </w:r>
            <w:r w:rsidR="009F0E68">
              <w:rPr>
                <w:rStyle w:val="FootnoteReference"/>
                <w:sz w:val="20"/>
                <w:szCs w:val="20"/>
              </w:rPr>
              <w:footnoteReference w:id="33"/>
            </w:r>
            <w:r w:rsidRPr="00A77BA8">
              <w:rPr>
                <w:sz w:val="20"/>
                <w:szCs w:val="20"/>
              </w:rPr>
              <w:t xml:space="preserve">. As such, it </w:t>
            </w:r>
            <w:r w:rsidR="009F0E68">
              <w:rPr>
                <w:sz w:val="20"/>
                <w:szCs w:val="20"/>
              </w:rPr>
              <w:t xml:space="preserve">has </w:t>
            </w:r>
            <w:r w:rsidRPr="00A77BA8">
              <w:rPr>
                <w:sz w:val="20"/>
                <w:szCs w:val="20"/>
              </w:rPr>
              <w:t xml:space="preserve">become more </w:t>
            </w:r>
            <w:r w:rsidR="009F0E68">
              <w:rPr>
                <w:sz w:val="20"/>
                <w:szCs w:val="20"/>
              </w:rPr>
              <w:t xml:space="preserve">complex, </w:t>
            </w:r>
            <w:r w:rsidRPr="00A77BA8">
              <w:rPr>
                <w:sz w:val="20"/>
                <w:szCs w:val="20"/>
              </w:rPr>
              <w:t>to rely on third parties</w:t>
            </w:r>
            <w:r w:rsidR="009F0E68">
              <w:rPr>
                <w:sz w:val="20"/>
                <w:szCs w:val="20"/>
              </w:rPr>
              <w:t xml:space="preserve"> based on high risk countries,</w:t>
            </w:r>
            <w:r w:rsidRPr="00A77BA8">
              <w:rPr>
                <w:sz w:val="20"/>
                <w:szCs w:val="20"/>
              </w:rPr>
              <w:t xml:space="preserve"> </w:t>
            </w:r>
            <w:proofErr w:type="spellStart"/>
            <w:r w:rsidRPr="00A77BA8">
              <w:rPr>
                <w:sz w:val="20"/>
                <w:szCs w:val="20"/>
              </w:rPr>
              <w:t xml:space="preserve">for </w:t>
            </w:r>
            <w:r w:rsidR="00587F48">
              <w:rPr>
                <w:sz w:val="20"/>
                <w:szCs w:val="20"/>
              </w:rPr>
              <w:t>know</w:t>
            </w:r>
            <w:proofErr w:type="spellEnd"/>
            <w:r w:rsidR="00587F48">
              <w:rPr>
                <w:sz w:val="20"/>
                <w:szCs w:val="20"/>
              </w:rPr>
              <w:t xml:space="preserve"> your customer (</w:t>
            </w:r>
            <w:r w:rsidRPr="00A77BA8">
              <w:rPr>
                <w:sz w:val="20"/>
                <w:szCs w:val="20"/>
              </w:rPr>
              <w:t>KYC</w:t>
            </w:r>
            <w:r w:rsidR="00587F48">
              <w:rPr>
                <w:sz w:val="20"/>
                <w:szCs w:val="20"/>
              </w:rPr>
              <w:t>)</w:t>
            </w:r>
            <w:r w:rsidRPr="00A77BA8">
              <w:rPr>
                <w:sz w:val="20"/>
                <w:szCs w:val="20"/>
              </w:rPr>
              <w:t xml:space="preserve"> processes. This would therefore need to be considered as part of any guidelines or regulation that looks to facilitate the use of </w:t>
            </w:r>
            <w:r w:rsidR="00A77BA8" w:rsidRPr="00A77BA8">
              <w:rPr>
                <w:sz w:val="20"/>
                <w:szCs w:val="20"/>
              </w:rPr>
              <w:t>third-party</w:t>
            </w:r>
            <w:r w:rsidRPr="00A77BA8">
              <w:rPr>
                <w:sz w:val="20"/>
                <w:szCs w:val="20"/>
              </w:rPr>
              <w:t xml:space="preserve"> digital identities from an AML perspective.</w:t>
            </w:r>
            <w:r w:rsidRPr="002F184D">
              <w:rPr>
                <w:sz w:val="20"/>
                <w:szCs w:val="20"/>
              </w:rPr>
              <w:t xml:space="preserve">  </w:t>
            </w:r>
          </w:p>
        </w:tc>
      </w:tr>
      <w:tr w:rsidR="00147DD7" w14:paraId="5C21DF5E" w14:textId="77777777" w:rsidTr="0053138D">
        <w:trPr>
          <w:trHeight w:val="532"/>
        </w:trPr>
        <w:tc>
          <w:tcPr>
            <w:tcW w:w="1271" w:type="dxa"/>
          </w:tcPr>
          <w:p w14:paraId="5108C6AD" w14:textId="0541740F" w:rsidR="00147DD7" w:rsidRDefault="004C473C" w:rsidP="0053138D">
            <w:pPr>
              <w:spacing w:after="120"/>
              <w:rPr>
                <w:sz w:val="20"/>
                <w:szCs w:val="20"/>
              </w:rPr>
            </w:pPr>
            <w:r>
              <w:rPr>
                <w:sz w:val="20"/>
                <w:szCs w:val="20"/>
              </w:rPr>
              <w:lastRenderedPageBreak/>
              <w:t>18</w:t>
            </w:r>
          </w:p>
        </w:tc>
        <w:tc>
          <w:tcPr>
            <w:tcW w:w="2126" w:type="dxa"/>
          </w:tcPr>
          <w:p w14:paraId="0C9BC228" w14:textId="5736D86E" w:rsidR="00147DD7" w:rsidRPr="00A565B8" w:rsidRDefault="00351797" w:rsidP="00A565B8">
            <w:pPr>
              <w:rPr>
                <w:rFonts w:eastAsia="Times New Roman"/>
                <w:b/>
                <w:sz w:val="20"/>
                <w:szCs w:val="20"/>
                <w:lang w:eastAsia="en-GB"/>
              </w:rPr>
            </w:pPr>
            <w:r w:rsidRPr="00A565B8">
              <w:rPr>
                <w:rFonts w:eastAsia="Times New Roman"/>
                <w:sz w:val="20"/>
                <w:szCs w:val="20"/>
                <w:lang w:eastAsia="en-GB"/>
              </w:rPr>
              <w:t>AFME to respond</w:t>
            </w:r>
          </w:p>
        </w:tc>
        <w:tc>
          <w:tcPr>
            <w:tcW w:w="7060" w:type="dxa"/>
          </w:tcPr>
          <w:p w14:paraId="5815C0E6" w14:textId="50F67F88" w:rsidR="00147DD7" w:rsidRDefault="00D318D9" w:rsidP="0042399D">
            <w:pPr>
              <w:pStyle w:val="ListParagraph"/>
              <w:numPr>
                <w:ilvl w:val="0"/>
                <w:numId w:val="26"/>
              </w:numPr>
              <w:spacing w:after="120"/>
              <w:ind w:left="184" w:hanging="142"/>
              <w:rPr>
                <w:sz w:val="20"/>
                <w:szCs w:val="20"/>
              </w:rPr>
            </w:pPr>
            <w:r>
              <w:rPr>
                <w:sz w:val="20"/>
                <w:szCs w:val="20"/>
              </w:rPr>
              <w:t>Yes</w:t>
            </w:r>
            <w:r w:rsidR="009C0C4D">
              <w:rPr>
                <w:sz w:val="20"/>
                <w:szCs w:val="20"/>
              </w:rPr>
              <w:t>, shou</w:t>
            </w:r>
            <w:r w:rsidR="00923EC6">
              <w:rPr>
                <w:sz w:val="20"/>
                <w:szCs w:val="20"/>
              </w:rPr>
              <w:t>ld</w:t>
            </w:r>
            <w:r w:rsidR="009C0C4D">
              <w:rPr>
                <w:sz w:val="20"/>
                <w:szCs w:val="20"/>
              </w:rPr>
              <w:t xml:space="preserve"> consider g</w:t>
            </w:r>
            <w:r w:rsidR="004C473C" w:rsidRPr="004C473C">
              <w:rPr>
                <w:sz w:val="20"/>
                <w:szCs w:val="20"/>
              </w:rPr>
              <w:t xml:space="preserve">oing beyond customer identification and develop </w:t>
            </w:r>
            <w:r w:rsidR="009C0C4D">
              <w:rPr>
                <w:sz w:val="20"/>
                <w:szCs w:val="20"/>
              </w:rPr>
              <w:t>d</w:t>
            </w:r>
            <w:r w:rsidR="004C473C" w:rsidRPr="004C473C">
              <w:rPr>
                <w:sz w:val="20"/>
                <w:szCs w:val="20"/>
              </w:rPr>
              <w:t xml:space="preserve">igital </w:t>
            </w:r>
            <w:r w:rsidR="009C0C4D">
              <w:rPr>
                <w:sz w:val="20"/>
                <w:szCs w:val="20"/>
              </w:rPr>
              <w:t>f</w:t>
            </w:r>
            <w:r w:rsidR="004C473C" w:rsidRPr="004C473C">
              <w:rPr>
                <w:sz w:val="20"/>
                <w:szCs w:val="20"/>
              </w:rPr>
              <w:t xml:space="preserve">inancial </w:t>
            </w:r>
            <w:r w:rsidR="009C0C4D">
              <w:rPr>
                <w:sz w:val="20"/>
                <w:szCs w:val="20"/>
              </w:rPr>
              <w:t>i</w:t>
            </w:r>
            <w:r w:rsidR="004C473C" w:rsidRPr="004C473C">
              <w:rPr>
                <w:sz w:val="20"/>
                <w:szCs w:val="20"/>
              </w:rPr>
              <w:t>dentities</w:t>
            </w:r>
            <w:r w:rsidR="00742C83">
              <w:rPr>
                <w:sz w:val="20"/>
                <w:szCs w:val="20"/>
              </w:rPr>
              <w:t>.</w:t>
            </w:r>
          </w:p>
          <w:p w14:paraId="4E743BAB" w14:textId="3276D139" w:rsidR="00AC0620" w:rsidRPr="00AF6407" w:rsidRDefault="00D318D9">
            <w:pPr>
              <w:pStyle w:val="ListParagraph"/>
              <w:numPr>
                <w:ilvl w:val="0"/>
                <w:numId w:val="26"/>
              </w:numPr>
              <w:spacing w:after="120"/>
              <w:ind w:left="184" w:hanging="142"/>
              <w:rPr>
                <w:sz w:val="20"/>
                <w:szCs w:val="20"/>
              </w:rPr>
            </w:pPr>
            <w:r>
              <w:rPr>
                <w:sz w:val="20"/>
                <w:szCs w:val="20"/>
              </w:rPr>
              <w:t>AFME believes digital financial identities would be beneficial to the EU financial services sector. However, key challenges would have to be addressed. A d</w:t>
            </w:r>
            <w:r w:rsidR="00AC0620" w:rsidRPr="00AF6407">
              <w:rPr>
                <w:sz w:val="20"/>
                <w:szCs w:val="20"/>
              </w:rPr>
              <w:t xml:space="preserve">igital </w:t>
            </w:r>
            <w:r>
              <w:rPr>
                <w:sz w:val="20"/>
                <w:szCs w:val="20"/>
              </w:rPr>
              <w:t>i</w:t>
            </w:r>
            <w:r w:rsidR="00AC0620" w:rsidRPr="00AF6407">
              <w:rPr>
                <w:sz w:val="20"/>
                <w:szCs w:val="20"/>
              </w:rPr>
              <w:t>dentity is made up of a series of attributes which could include some financial attributes. However, we note that extending into granular financial information may see a confusion of concepts between open finance and digital identities. Furthermore, as with a physical identity, a consumer only has one of these. As such, extending the concept of digital identities to sector specific areas may see a proliferation of identities on a sector by sector basis which could see the concept move away from ‘identity’ and more into a mechanism to share any type of information.</w:t>
            </w:r>
          </w:p>
        </w:tc>
      </w:tr>
      <w:tr w:rsidR="00340848" w14:paraId="31CC49E6" w14:textId="77777777" w:rsidTr="00AF6407">
        <w:trPr>
          <w:trHeight w:val="532"/>
        </w:trPr>
        <w:tc>
          <w:tcPr>
            <w:tcW w:w="1271" w:type="dxa"/>
            <w:vMerge w:val="restart"/>
          </w:tcPr>
          <w:p w14:paraId="3342CD4F" w14:textId="44900B5F" w:rsidR="00340848" w:rsidRDefault="00340848" w:rsidP="00340848">
            <w:pPr>
              <w:spacing w:after="120"/>
              <w:rPr>
                <w:sz w:val="20"/>
                <w:szCs w:val="20"/>
              </w:rPr>
            </w:pPr>
            <w:r>
              <w:rPr>
                <w:sz w:val="20"/>
                <w:szCs w:val="20"/>
              </w:rPr>
              <w:t>19</w:t>
            </w:r>
          </w:p>
        </w:tc>
        <w:tc>
          <w:tcPr>
            <w:tcW w:w="2126" w:type="dxa"/>
          </w:tcPr>
          <w:p w14:paraId="24CB29C4" w14:textId="22261353" w:rsidR="00340848" w:rsidRPr="00A565B8" w:rsidRDefault="00340848" w:rsidP="00340848">
            <w:pPr>
              <w:rPr>
                <w:rFonts w:eastAsia="Times New Roman"/>
                <w:sz w:val="20"/>
                <w:szCs w:val="20"/>
                <w:lang w:eastAsia="en-GB"/>
              </w:rPr>
            </w:pPr>
            <w:r w:rsidRPr="00A565B8">
              <w:rPr>
                <w:rFonts w:eastAsia="Times New Roman"/>
                <w:sz w:val="20"/>
                <w:szCs w:val="20"/>
                <w:lang w:eastAsia="en-GB"/>
              </w:rPr>
              <w:t>AFME to respond</w:t>
            </w:r>
          </w:p>
        </w:tc>
        <w:tc>
          <w:tcPr>
            <w:tcW w:w="7060" w:type="dxa"/>
            <w:shd w:val="clear" w:color="auto" w:fill="auto"/>
          </w:tcPr>
          <w:p w14:paraId="210E046B" w14:textId="134558AB" w:rsidR="00340848" w:rsidRPr="00923EC6" w:rsidRDefault="00FA5D70" w:rsidP="00340848">
            <w:pPr>
              <w:spacing w:after="120"/>
              <w:rPr>
                <w:sz w:val="20"/>
                <w:szCs w:val="20"/>
              </w:rPr>
            </w:pPr>
            <w:r>
              <w:rPr>
                <w:sz w:val="20"/>
                <w:szCs w:val="20"/>
              </w:rPr>
              <w:t>Yes</w:t>
            </w:r>
          </w:p>
        </w:tc>
      </w:tr>
      <w:tr w:rsidR="00340848" w14:paraId="71316CCD" w14:textId="77777777" w:rsidTr="0053138D">
        <w:trPr>
          <w:trHeight w:val="532"/>
        </w:trPr>
        <w:tc>
          <w:tcPr>
            <w:tcW w:w="1271" w:type="dxa"/>
            <w:vMerge/>
          </w:tcPr>
          <w:p w14:paraId="67E9F5A5" w14:textId="77777777" w:rsidR="00340848" w:rsidRDefault="00340848" w:rsidP="0053138D">
            <w:pPr>
              <w:spacing w:after="120"/>
              <w:rPr>
                <w:sz w:val="20"/>
                <w:szCs w:val="20"/>
              </w:rPr>
            </w:pPr>
          </w:p>
        </w:tc>
        <w:tc>
          <w:tcPr>
            <w:tcW w:w="2126" w:type="dxa"/>
          </w:tcPr>
          <w:p w14:paraId="1581ACFD" w14:textId="0FD7D6EF" w:rsidR="00340848" w:rsidRPr="00A565B8" w:rsidRDefault="00340848" w:rsidP="00A565B8">
            <w:pPr>
              <w:rPr>
                <w:rFonts w:eastAsia="Times New Roman"/>
                <w:sz w:val="20"/>
                <w:szCs w:val="20"/>
                <w:lang w:eastAsia="en-GB"/>
              </w:rPr>
            </w:pPr>
            <w:r w:rsidRPr="00A565B8">
              <w:rPr>
                <w:rFonts w:eastAsia="Times New Roman"/>
                <w:sz w:val="20"/>
                <w:szCs w:val="20"/>
                <w:lang w:eastAsia="en-GB"/>
              </w:rPr>
              <w:t>AFME to respond</w:t>
            </w:r>
          </w:p>
        </w:tc>
        <w:tc>
          <w:tcPr>
            <w:tcW w:w="7060" w:type="dxa"/>
          </w:tcPr>
          <w:p w14:paraId="19308C8A" w14:textId="3D61EE20" w:rsidR="000B6B93" w:rsidRDefault="00FA5D70" w:rsidP="000B6B93">
            <w:pPr>
              <w:pStyle w:val="ListParagraph"/>
              <w:numPr>
                <w:ilvl w:val="0"/>
                <w:numId w:val="26"/>
              </w:numPr>
              <w:spacing w:after="120"/>
              <w:ind w:left="184" w:hanging="142"/>
              <w:rPr>
                <w:sz w:val="20"/>
                <w:szCs w:val="20"/>
              </w:rPr>
            </w:pPr>
            <w:r>
              <w:rPr>
                <w:sz w:val="20"/>
                <w:szCs w:val="20"/>
              </w:rPr>
              <w:t>Yes</w:t>
            </w:r>
            <w:r w:rsidR="000B6B93">
              <w:rPr>
                <w:sz w:val="20"/>
                <w:szCs w:val="20"/>
              </w:rPr>
              <w:t>, the mandatory use of LEI, UTI</w:t>
            </w:r>
            <w:r>
              <w:rPr>
                <w:sz w:val="20"/>
                <w:szCs w:val="20"/>
              </w:rPr>
              <w:t xml:space="preserve"> </w:t>
            </w:r>
            <w:r w:rsidR="000B6B93">
              <w:rPr>
                <w:sz w:val="20"/>
                <w:szCs w:val="20"/>
              </w:rPr>
              <w:t xml:space="preserve">UPI may facilitate digital and automated processes in financial services. The potential benefits of their mandatory use would have to be assessed on a case by case basis (e.g. </w:t>
            </w:r>
            <w:r>
              <w:rPr>
                <w:sz w:val="20"/>
                <w:szCs w:val="20"/>
              </w:rPr>
              <w:t>depend</w:t>
            </w:r>
            <w:r w:rsidR="000B6B93">
              <w:rPr>
                <w:sz w:val="20"/>
                <w:szCs w:val="20"/>
              </w:rPr>
              <w:t>ing</w:t>
            </w:r>
            <w:r>
              <w:rPr>
                <w:sz w:val="20"/>
                <w:szCs w:val="20"/>
              </w:rPr>
              <w:t xml:space="preserve"> </w:t>
            </w:r>
            <w:r w:rsidR="003C52E7">
              <w:rPr>
                <w:sz w:val="20"/>
                <w:szCs w:val="20"/>
              </w:rPr>
              <w:t xml:space="preserve">on </w:t>
            </w:r>
            <w:r w:rsidR="000B6B93">
              <w:rPr>
                <w:sz w:val="20"/>
                <w:szCs w:val="20"/>
              </w:rPr>
              <w:t xml:space="preserve">the situation, </w:t>
            </w:r>
            <w:r>
              <w:rPr>
                <w:sz w:val="20"/>
                <w:szCs w:val="20"/>
              </w:rPr>
              <w:t>business model</w:t>
            </w:r>
            <w:r w:rsidR="000B6B93">
              <w:rPr>
                <w:sz w:val="20"/>
                <w:szCs w:val="20"/>
              </w:rPr>
              <w:t>).</w:t>
            </w:r>
          </w:p>
          <w:p w14:paraId="0D8790FA" w14:textId="77777777" w:rsidR="000B6B93" w:rsidRDefault="000B6B93" w:rsidP="000B6B93">
            <w:pPr>
              <w:pStyle w:val="ListParagraph"/>
              <w:numPr>
                <w:ilvl w:val="0"/>
                <w:numId w:val="26"/>
              </w:numPr>
              <w:spacing w:after="120"/>
              <w:ind w:left="184" w:hanging="142"/>
              <w:rPr>
                <w:sz w:val="20"/>
                <w:szCs w:val="20"/>
              </w:rPr>
            </w:pPr>
            <w:r>
              <w:rPr>
                <w:sz w:val="20"/>
                <w:szCs w:val="20"/>
              </w:rPr>
              <w:t xml:space="preserve">Overall, AFME is </w:t>
            </w:r>
            <w:r w:rsidRPr="00735388">
              <w:rPr>
                <w:sz w:val="20"/>
                <w:szCs w:val="20"/>
              </w:rPr>
              <w:t xml:space="preserve">are supportive of LEI being used as a </w:t>
            </w:r>
            <w:r>
              <w:rPr>
                <w:sz w:val="20"/>
                <w:szCs w:val="20"/>
              </w:rPr>
              <w:t>u</w:t>
            </w:r>
            <w:r w:rsidRPr="00735388">
              <w:rPr>
                <w:sz w:val="20"/>
                <w:szCs w:val="20"/>
              </w:rPr>
              <w:t xml:space="preserve">nique </w:t>
            </w:r>
            <w:r>
              <w:rPr>
                <w:sz w:val="20"/>
                <w:szCs w:val="20"/>
              </w:rPr>
              <w:t>i</w:t>
            </w:r>
            <w:r w:rsidRPr="00735388">
              <w:rPr>
                <w:sz w:val="20"/>
                <w:szCs w:val="20"/>
              </w:rPr>
              <w:t>dentifier to facilitate automated processes:</w:t>
            </w:r>
          </w:p>
          <w:p w14:paraId="5389BB1D" w14:textId="659DA328" w:rsidR="000B6B93" w:rsidRPr="00735388" w:rsidRDefault="000B6B93" w:rsidP="00735388">
            <w:pPr>
              <w:pStyle w:val="ListParagraph"/>
              <w:numPr>
                <w:ilvl w:val="1"/>
                <w:numId w:val="26"/>
              </w:numPr>
              <w:spacing w:after="120"/>
              <w:ind w:left="606" w:hanging="284"/>
              <w:rPr>
                <w:sz w:val="20"/>
                <w:szCs w:val="20"/>
              </w:rPr>
            </w:pPr>
            <w:r w:rsidRPr="00735388">
              <w:rPr>
                <w:sz w:val="20"/>
                <w:szCs w:val="20"/>
              </w:rPr>
              <w:t xml:space="preserve"> LEI can be used to help automate a variety of processes including AML/KYC and general </w:t>
            </w:r>
            <w:r w:rsidR="003C52E7" w:rsidRPr="007C5CC4">
              <w:rPr>
                <w:sz w:val="20"/>
                <w:szCs w:val="20"/>
              </w:rPr>
              <w:t>client</w:t>
            </w:r>
            <w:r w:rsidR="003C52E7">
              <w:rPr>
                <w:sz w:val="20"/>
                <w:szCs w:val="20"/>
              </w:rPr>
              <w:t xml:space="preserve"> </w:t>
            </w:r>
            <w:r w:rsidRPr="00735388">
              <w:rPr>
                <w:sz w:val="20"/>
                <w:szCs w:val="20"/>
              </w:rPr>
              <w:t>onboarding</w:t>
            </w:r>
            <w:r>
              <w:rPr>
                <w:sz w:val="20"/>
                <w:szCs w:val="20"/>
              </w:rPr>
              <w:t xml:space="preserve">, </w:t>
            </w:r>
            <w:r w:rsidRPr="00735388">
              <w:rPr>
                <w:sz w:val="20"/>
                <w:szCs w:val="20"/>
              </w:rPr>
              <w:t>mak</w:t>
            </w:r>
            <w:r>
              <w:rPr>
                <w:sz w:val="20"/>
                <w:szCs w:val="20"/>
              </w:rPr>
              <w:t>ing</w:t>
            </w:r>
            <w:r w:rsidRPr="00735388">
              <w:rPr>
                <w:sz w:val="20"/>
                <w:szCs w:val="20"/>
              </w:rPr>
              <w:t xml:space="preserve"> th</w:t>
            </w:r>
            <w:r w:rsidR="003C52E7">
              <w:rPr>
                <w:sz w:val="20"/>
                <w:szCs w:val="20"/>
              </w:rPr>
              <w:t>ese</w:t>
            </w:r>
            <w:r w:rsidRPr="00735388">
              <w:rPr>
                <w:sz w:val="20"/>
                <w:szCs w:val="20"/>
              </w:rPr>
              <w:t xml:space="preserve"> process</w:t>
            </w:r>
            <w:r w:rsidR="003C52E7">
              <w:rPr>
                <w:sz w:val="20"/>
                <w:szCs w:val="20"/>
              </w:rPr>
              <w:t>es</w:t>
            </w:r>
            <w:r w:rsidRPr="00735388">
              <w:rPr>
                <w:sz w:val="20"/>
                <w:szCs w:val="20"/>
              </w:rPr>
              <w:t xml:space="preserve"> more reliable. </w:t>
            </w:r>
          </w:p>
          <w:p w14:paraId="04972F1E" w14:textId="65DC21AC" w:rsidR="000B6B93" w:rsidRDefault="000B6B93" w:rsidP="00735388">
            <w:pPr>
              <w:pStyle w:val="ListParagraph"/>
              <w:numPr>
                <w:ilvl w:val="1"/>
                <w:numId w:val="26"/>
              </w:numPr>
              <w:spacing w:after="120"/>
              <w:ind w:left="606" w:hanging="284"/>
              <w:rPr>
                <w:sz w:val="20"/>
                <w:szCs w:val="20"/>
              </w:rPr>
            </w:pPr>
            <w:r w:rsidRPr="000B6B93">
              <w:rPr>
                <w:sz w:val="20"/>
                <w:szCs w:val="20"/>
              </w:rPr>
              <w:t xml:space="preserve">Regulated financial services firms already use LEI for other regulatory purposes such as </w:t>
            </w:r>
            <w:proofErr w:type="spellStart"/>
            <w:r w:rsidRPr="000B6B93">
              <w:rPr>
                <w:sz w:val="20"/>
                <w:szCs w:val="20"/>
              </w:rPr>
              <w:t>MiFIR</w:t>
            </w:r>
            <w:proofErr w:type="spellEnd"/>
            <w:r w:rsidRPr="000B6B93">
              <w:rPr>
                <w:sz w:val="20"/>
                <w:szCs w:val="20"/>
              </w:rPr>
              <w:t>, EMIR and Dodd Frank reporting, and hence are familiar with it.</w:t>
            </w:r>
          </w:p>
          <w:p w14:paraId="2AD61005" w14:textId="5F9B3D95" w:rsidR="00AC0620" w:rsidRPr="00923EC6" w:rsidRDefault="00AC0620" w:rsidP="0042399D">
            <w:pPr>
              <w:pStyle w:val="ListParagraph"/>
              <w:numPr>
                <w:ilvl w:val="0"/>
                <w:numId w:val="26"/>
              </w:numPr>
              <w:spacing w:after="120"/>
              <w:ind w:left="184" w:hanging="142"/>
              <w:rPr>
                <w:sz w:val="20"/>
                <w:szCs w:val="20"/>
              </w:rPr>
            </w:pPr>
            <w:r w:rsidRPr="00923EC6">
              <w:rPr>
                <w:sz w:val="20"/>
                <w:szCs w:val="20"/>
              </w:rPr>
              <w:t xml:space="preserve">Regulators, both in the EU and globally should continue to progress toward achieving a data standardization framework. Establishing and implementing a common global language for financial instruments and transactions will create efficiency, reduce costs and result in the improved usability of financial data to create valuable information and manage systemic risk. Mandated use of these </w:t>
            </w:r>
            <w:r w:rsidR="00D077F5">
              <w:rPr>
                <w:sz w:val="20"/>
                <w:szCs w:val="20"/>
              </w:rPr>
              <w:t xml:space="preserve">common </w:t>
            </w:r>
            <w:r w:rsidRPr="00923EC6">
              <w:rPr>
                <w:sz w:val="20"/>
                <w:szCs w:val="20"/>
              </w:rPr>
              <w:t xml:space="preserve">identifiers will encourage the uptake of global standards as some market participants are resistant to change.  </w:t>
            </w:r>
            <w:r w:rsidR="00D077F5">
              <w:rPr>
                <w:sz w:val="20"/>
                <w:szCs w:val="20"/>
              </w:rPr>
              <w:t>P</w:t>
            </w:r>
            <w:r w:rsidR="00923EC6">
              <w:rPr>
                <w:sz w:val="20"/>
                <w:szCs w:val="20"/>
              </w:rPr>
              <w:t xml:space="preserve">otential mandatory use </w:t>
            </w:r>
            <w:r w:rsidR="00923EC6">
              <w:rPr>
                <w:sz w:val="20"/>
                <w:szCs w:val="20"/>
              </w:rPr>
              <w:lastRenderedPageBreak/>
              <w:t xml:space="preserve">may </w:t>
            </w:r>
            <w:r w:rsidR="00D91DF9">
              <w:rPr>
                <w:sz w:val="20"/>
                <w:szCs w:val="20"/>
              </w:rPr>
              <w:t xml:space="preserve">obtain </w:t>
            </w:r>
            <w:r w:rsidRPr="00923EC6">
              <w:rPr>
                <w:sz w:val="20"/>
                <w:szCs w:val="20"/>
              </w:rPr>
              <w:t xml:space="preserve">quicker and more thorough adoption of </w:t>
            </w:r>
            <w:r w:rsidR="00D91DF9">
              <w:rPr>
                <w:sz w:val="20"/>
                <w:szCs w:val="20"/>
              </w:rPr>
              <w:t xml:space="preserve">a given </w:t>
            </w:r>
            <w:r w:rsidRPr="00923EC6">
              <w:rPr>
                <w:sz w:val="20"/>
                <w:szCs w:val="20"/>
              </w:rPr>
              <w:t>standard which brings forth the benefits sooner and with less friction.</w:t>
            </w:r>
          </w:p>
        </w:tc>
      </w:tr>
      <w:tr w:rsidR="00340848" w14:paraId="4560AFFE" w14:textId="77777777" w:rsidTr="00340848">
        <w:trPr>
          <w:trHeight w:val="532"/>
        </w:trPr>
        <w:tc>
          <w:tcPr>
            <w:tcW w:w="10457" w:type="dxa"/>
            <w:gridSpan w:val="3"/>
            <w:shd w:val="clear" w:color="auto" w:fill="D6E3BC" w:themeFill="accent3" w:themeFillTint="66"/>
          </w:tcPr>
          <w:p w14:paraId="5346275B" w14:textId="1568531A" w:rsidR="00340848" w:rsidRPr="00340848" w:rsidRDefault="00340848" w:rsidP="00340848">
            <w:pPr>
              <w:spacing w:after="120"/>
              <w:rPr>
                <w:sz w:val="20"/>
                <w:szCs w:val="20"/>
              </w:rPr>
            </w:pPr>
            <w:r w:rsidRPr="00340848">
              <w:rPr>
                <w:sz w:val="20"/>
                <w:szCs w:val="20"/>
              </w:rPr>
              <w:lastRenderedPageBreak/>
              <w:t>Make it easier for firms to carry out technology pilots and scale up across the Single Market</w:t>
            </w:r>
          </w:p>
        </w:tc>
      </w:tr>
      <w:tr w:rsidR="00340848" w14:paraId="5BFCF27C" w14:textId="77777777" w:rsidTr="00735388">
        <w:trPr>
          <w:trHeight w:val="532"/>
        </w:trPr>
        <w:tc>
          <w:tcPr>
            <w:tcW w:w="1271" w:type="dxa"/>
          </w:tcPr>
          <w:p w14:paraId="535A772F" w14:textId="57340000" w:rsidR="00340848" w:rsidRDefault="00340848" w:rsidP="0053138D">
            <w:pPr>
              <w:spacing w:after="120"/>
              <w:rPr>
                <w:sz w:val="20"/>
                <w:szCs w:val="20"/>
              </w:rPr>
            </w:pPr>
            <w:r>
              <w:rPr>
                <w:sz w:val="20"/>
                <w:szCs w:val="20"/>
              </w:rPr>
              <w:t>20</w:t>
            </w:r>
          </w:p>
        </w:tc>
        <w:tc>
          <w:tcPr>
            <w:tcW w:w="2126" w:type="dxa"/>
          </w:tcPr>
          <w:p w14:paraId="509B327F" w14:textId="21FFAEBB" w:rsidR="00340848" w:rsidRPr="00A565B8" w:rsidRDefault="00340848" w:rsidP="00A565B8">
            <w:pPr>
              <w:rPr>
                <w:rFonts w:eastAsia="Times New Roman"/>
                <w:sz w:val="20"/>
                <w:szCs w:val="20"/>
                <w:lang w:eastAsia="en-GB"/>
              </w:rPr>
            </w:pPr>
            <w:r>
              <w:rPr>
                <w:rFonts w:eastAsia="Times New Roman"/>
                <w:sz w:val="20"/>
                <w:szCs w:val="20"/>
                <w:lang w:eastAsia="en-GB"/>
              </w:rPr>
              <w:t>AFME to respond</w:t>
            </w:r>
          </w:p>
        </w:tc>
        <w:tc>
          <w:tcPr>
            <w:tcW w:w="7060" w:type="dxa"/>
            <w:shd w:val="clear" w:color="auto" w:fill="auto"/>
          </w:tcPr>
          <w:p w14:paraId="33397A57" w14:textId="63FA0711" w:rsidR="00382CAF" w:rsidRPr="000B6B93" w:rsidRDefault="00BC504D" w:rsidP="00382CAF">
            <w:pPr>
              <w:pStyle w:val="ListParagraph"/>
              <w:numPr>
                <w:ilvl w:val="0"/>
                <w:numId w:val="26"/>
              </w:numPr>
              <w:ind w:left="179" w:hanging="141"/>
              <w:rPr>
                <w:sz w:val="20"/>
                <w:szCs w:val="20"/>
              </w:rPr>
            </w:pPr>
            <w:r w:rsidRPr="000B6B93">
              <w:rPr>
                <w:sz w:val="20"/>
                <w:szCs w:val="20"/>
              </w:rPr>
              <w:t>R</w:t>
            </w:r>
            <w:r w:rsidR="0086101C" w:rsidRPr="00735388">
              <w:rPr>
                <w:sz w:val="20"/>
                <w:szCs w:val="20"/>
              </w:rPr>
              <w:t>egulated industries</w:t>
            </w:r>
            <w:r w:rsidRPr="000B6B93">
              <w:rPr>
                <w:sz w:val="20"/>
                <w:szCs w:val="20"/>
              </w:rPr>
              <w:t xml:space="preserve">, </w:t>
            </w:r>
            <w:r w:rsidR="0086101C" w:rsidRPr="00735388">
              <w:rPr>
                <w:sz w:val="20"/>
                <w:szCs w:val="20"/>
              </w:rPr>
              <w:t xml:space="preserve">such as financial services, </w:t>
            </w:r>
            <w:r w:rsidR="001568ED">
              <w:rPr>
                <w:sz w:val="20"/>
                <w:szCs w:val="20"/>
              </w:rPr>
              <w:t xml:space="preserve">have </w:t>
            </w:r>
            <w:r w:rsidRPr="000B6B93">
              <w:rPr>
                <w:sz w:val="20"/>
                <w:szCs w:val="20"/>
              </w:rPr>
              <w:t xml:space="preserve">a higher degree of complexity due to compliance with regulatory requirements. </w:t>
            </w:r>
            <w:r w:rsidRPr="006576AB">
              <w:rPr>
                <w:sz w:val="20"/>
                <w:szCs w:val="20"/>
              </w:rPr>
              <w:t xml:space="preserve">This complexity </w:t>
            </w:r>
            <w:r w:rsidR="009E131C">
              <w:rPr>
                <w:sz w:val="20"/>
                <w:szCs w:val="20"/>
              </w:rPr>
              <w:t xml:space="preserve">can </w:t>
            </w:r>
            <w:r w:rsidRPr="000B6B93">
              <w:rPr>
                <w:sz w:val="20"/>
                <w:szCs w:val="20"/>
              </w:rPr>
              <w:t>add</w:t>
            </w:r>
            <w:r w:rsidRPr="006576AB">
              <w:rPr>
                <w:sz w:val="20"/>
                <w:szCs w:val="20"/>
              </w:rPr>
              <w:t xml:space="preserve"> additional delay</w:t>
            </w:r>
            <w:r w:rsidRPr="00080801">
              <w:rPr>
                <w:sz w:val="20"/>
                <w:szCs w:val="20"/>
              </w:rPr>
              <w:t xml:space="preserve">s and costs </w:t>
            </w:r>
            <w:r w:rsidR="001568ED">
              <w:rPr>
                <w:sz w:val="20"/>
                <w:szCs w:val="20"/>
              </w:rPr>
              <w:t xml:space="preserve">when </w:t>
            </w:r>
            <w:r w:rsidRPr="00080801">
              <w:rPr>
                <w:sz w:val="20"/>
                <w:szCs w:val="20"/>
              </w:rPr>
              <w:t>bringing innovation to the market</w:t>
            </w:r>
            <w:r w:rsidR="009E131C">
              <w:rPr>
                <w:sz w:val="20"/>
                <w:szCs w:val="20"/>
              </w:rPr>
              <w:t>.</w:t>
            </w:r>
          </w:p>
          <w:p w14:paraId="115073E9" w14:textId="417164CA" w:rsidR="00382CAF" w:rsidRPr="00735388" w:rsidRDefault="00382CAF" w:rsidP="00735388">
            <w:pPr>
              <w:pStyle w:val="ListParagraph"/>
              <w:numPr>
                <w:ilvl w:val="0"/>
                <w:numId w:val="26"/>
              </w:numPr>
              <w:ind w:left="179" w:hanging="141"/>
              <w:rPr>
                <w:sz w:val="20"/>
                <w:szCs w:val="20"/>
              </w:rPr>
            </w:pPr>
            <w:r w:rsidRPr="00735388">
              <w:rPr>
                <w:sz w:val="20"/>
                <w:szCs w:val="20"/>
              </w:rPr>
              <w:t>Regulatory sandboxes and Innovation hubs</w:t>
            </w:r>
            <w:r w:rsidRPr="00735388">
              <w:rPr>
                <w:rStyle w:val="FootnoteReference"/>
                <w:sz w:val="20"/>
                <w:szCs w:val="20"/>
              </w:rPr>
              <w:footnoteReference w:id="34"/>
            </w:r>
            <w:r w:rsidRPr="000B6B93">
              <w:rPr>
                <w:sz w:val="20"/>
                <w:szCs w:val="20"/>
              </w:rPr>
              <w:t xml:space="preserve"> are </w:t>
            </w:r>
            <w:r w:rsidRPr="00735388">
              <w:rPr>
                <w:sz w:val="20"/>
                <w:szCs w:val="20"/>
              </w:rPr>
              <w:t xml:space="preserve">initiatives </w:t>
            </w:r>
            <w:r w:rsidR="00080801" w:rsidRPr="000B6B93">
              <w:rPr>
                <w:sz w:val="20"/>
                <w:szCs w:val="20"/>
              </w:rPr>
              <w:t>‘</w:t>
            </w:r>
            <w:r w:rsidRPr="000B6B93">
              <w:rPr>
                <w:sz w:val="20"/>
                <w:szCs w:val="20"/>
              </w:rPr>
              <w:t xml:space="preserve">that </w:t>
            </w:r>
            <w:r w:rsidRPr="00735388">
              <w:rPr>
                <w:sz w:val="20"/>
                <w:szCs w:val="20"/>
              </w:rPr>
              <w:t>are designed to promote greater engagement between competent authorities and</w:t>
            </w:r>
            <w:r w:rsidRPr="000B6B93">
              <w:rPr>
                <w:sz w:val="20"/>
                <w:szCs w:val="20"/>
              </w:rPr>
              <w:t xml:space="preserve"> </w:t>
            </w:r>
            <w:r w:rsidRPr="00735388">
              <w:rPr>
                <w:sz w:val="20"/>
                <w:szCs w:val="20"/>
              </w:rPr>
              <w:t>firms about financial innovations with a view to enhancing firms’</w:t>
            </w:r>
            <w:r w:rsidRPr="000B6B93">
              <w:rPr>
                <w:sz w:val="20"/>
                <w:szCs w:val="20"/>
              </w:rPr>
              <w:t xml:space="preserve"> </w:t>
            </w:r>
            <w:r w:rsidRPr="00735388">
              <w:rPr>
                <w:sz w:val="20"/>
                <w:szCs w:val="20"/>
              </w:rPr>
              <w:t>understanding of regulatory and</w:t>
            </w:r>
            <w:r w:rsidRPr="000B6B93">
              <w:rPr>
                <w:sz w:val="20"/>
                <w:szCs w:val="20"/>
              </w:rPr>
              <w:t xml:space="preserve"> </w:t>
            </w:r>
            <w:r w:rsidRPr="00735388">
              <w:rPr>
                <w:sz w:val="20"/>
                <w:szCs w:val="20"/>
              </w:rPr>
              <w:t>supervisory expectations and increasing the knowledge of competent authorities about innovations</w:t>
            </w:r>
            <w:r w:rsidRPr="000B6B93">
              <w:rPr>
                <w:sz w:val="20"/>
                <w:szCs w:val="20"/>
              </w:rPr>
              <w:t xml:space="preserve"> </w:t>
            </w:r>
            <w:r w:rsidRPr="00735388">
              <w:rPr>
                <w:sz w:val="20"/>
                <w:szCs w:val="20"/>
              </w:rPr>
              <w:t>and the opportunities and risks they present</w:t>
            </w:r>
            <w:r w:rsidR="00080801" w:rsidRPr="000B6B93">
              <w:rPr>
                <w:sz w:val="20"/>
                <w:szCs w:val="20"/>
              </w:rPr>
              <w:t>’</w:t>
            </w:r>
            <w:r w:rsidRPr="000B6B93">
              <w:rPr>
                <w:sz w:val="20"/>
                <w:szCs w:val="20"/>
              </w:rPr>
              <w:t xml:space="preserve">. </w:t>
            </w:r>
            <w:r w:rsidRPr="006576AB">
              <w:rPr>
                <w:sz w:val="20"/>
                <w:szCs w:val="20"/>
              </w:rPr>
              <w:t>Wh</w:t>
            </w:r>
            <w:r w:rsidRPr="00080801">
              <w:rPr>
                <w:sz w:val="20"/>
                <w:szCs w:val="20"/>
              </w:rPr>
              <w:t xml:space="preserve">ile most sandboxes and innovation hubs have similar objectives and approaches, common principles </w:t>
            </w:r>
            <w:r w:rsidR="009E131C">
              <w:rPr>
                <w:sz w:val="20"/>
                <w:szCs w:val="20"/>
              </w:rPr>
              <w:t>(</w:t>
            </w:r>
            <w:r w:rsidR="008741C2">
              <w:rPr>
                <w:sz w:val="20"/>
                <w:szCs w:val="20"/>
              </w:rPr>
              <w:t>e.g. common application criteria</w:t>
            </w:r>
            <w:r w:rsidR="009E131C">
              <w:rPr>
                <w:sz w:val="20"/>
                <w:szCs w:val="20"/>
              </w:rPr>
              <w:t xml:space="preserve">) </w:t>
            </w:r>
            <w:r w:rsidR="00080801" w:rsidRPr="000B6B93">
              <w:rPr>
                <w:sz w:val="20"/>
                <w:szCs w:val="20"/>
              </w:rPr>
              <w:t>across national/regional regu</w:t>
            </w:r>
            <w:r w:rsidR="00080801" w:rsidRPr="006576AB">
              <w:rPr>
                <w:sz w:val="20"/>
                <w:szCs w:val="20"/>
              </w:rPr>
              <w:t>latory sandboxes and inno</w:t>
            </w:r>
            <w:r w:rsidR="00080801" w:rsidRPr="00080801">
              <w:rPr>
                <w:sz w:val="20"/>
                <w:szCs w:val="20"/>
              </w:rPr>
              <w:t xml:space="preserve">vation hubs </w:t>
            </w:r>
            <w:r w:rsidRPr="00080801">
              <w:rPr>
                <w:sz w:val="20"/>
                <w:szCs w:val="20"/>
              </w:rPr>
              <w:t>would foster greater cooperation</w:t>
            </w:r>
            <w:r w:rsidR="008741C2">
              <w:rPr>
                <w:sz w:val="20"/>
                <w:szCs w:val="20"/>
              </w:rPr>
              <w:t xml:space="preserve">, </w:t>
            </w:r>
            <w:r w:rsidRPr="006576AB">
              <w:rPr>
                <w:sz w:val="20"/>
                <w:szCs w:val="20"/>
              </w:rPr>
              <w:t>sharing</w:t>
            </w:r>
            <w:r w:rsidRPr="00080801">
              <w:rPr>
                <w:sz w:val="20"/>
                <w:szCs w:val="20"/>
              </w:rPr>
              <w:t xml:space="preserve"> of info</w:t>
            </w:r>
            <w:r w:rsidR="00080801" w:rsidRPr="00080801">
              <w:rPr>
                <w:sz w:val="20"/>
                <w:szCs w:val="20"/>
              </w:rPr>
              <w:t>r</w:t>
            </w:r>
            <w:r w:rsidRPr="00080801">
              <w:rPr>
                <w:sz w:val="20"/>
                <w:szCs w:val="20"/>
              </w:rPr>
              <w:t>m</w:t>
            </w:r>
            <w:r w:rsidR="00080801" w:rsidRPr="00080801">
              <w:rPr>
                <w:sz w:val="20"/>
                <w:szCs w:val="20"/>
              </w:rPr>
              <w:t>a</w:t>
            </w:r>
            <w:r w:rsidRPr="00080801">
              <w:rPr>
                <w:sz w:val="20"/>
                <w:szCs w:val="20"/>
              </w:rPr>
              <w:t xml:space="preserve">tion </w:t>
            </w:r>
            <w:r w:rsidR="008741C2">
              <w:rPr>
                <w:sz w:val="20"/>
                <w:szCs w:val="20"/>
              </w:rPr>
              <w:t xml:space="preserve">and </w:t>
            </w:r>
            <w:r w:rsidR="008741C2" w:rsidRPr="008741C2">
              <w:rPr>
                <w:sz w:val="20"/>
                <w:szCs w:val="20"/>
              </w:rPr>
              <w:t>comparability</w:t>
            </w:r>
            <w:r w:rsidR="008741C2" w:rsidRPr="006576AB">
              <w:rPr>
                <w:sz w:val="20"/>
                <w:szCs w:val="20"/>
              </w:rPr>
              <w:t xml:space="preserve"> </w:t>
            </w:r>
            <w:r w:rsidR="00080801" w:rsidRPr="00080801">
              <w:rPr>
                <w:sz w:val="20"/>
                <w:szCs w:val="20"/>
              </w:rPr>
              <w:t>between jurisdiction</w:t>
            </w:r>
            <w:r w:rsidR="009E131C">
              <w:rPr>
                <w:sz w:val="20"/>
                <w:szCs w:val="20"/>
              </w:rPr>
              <w:t>s</w:t>
            </w:r>
            <w:r w:rsidR="00080801" w:rsidRPr="000B6B93">
              <w:rPr>
                <w:sz w:val="20"/>
                <w:szCs w:val="20"/>
              </w:rPr>
              <w:t>.</w:t>
            </w:r>
            <w:r w:rsidR="008741C2">
              <w:rPr>
                <w:sz w:val="20"/>
                <w:szCs w:val="20"/>
              </w:rPr>
              <w:t xml:space="preserve"> </w:t>
            </w:r>
          </w:p>
          <w:p w14:paraId="24D8CB4B" w14:textId="2E259AAE" w:rsidR="00BC504D" w:rsidRPr="000B6B93" w:rsidRDefault="00BC504D" w:rsidP="0086101C">
            <w:pPr>
              <w:pStyle w:val="ListParagraph"/>
              <w:numPr>
                <w:ilvl w:val="0"/>
                <w:numId w:val="26"/>
              </w:numPr>
              <w:ind w:left="179" w:hanging="141"/>
              <w:rPr>
                <w:sz w:val="20"/>
                <w:szCs w:val="20"/>
              </w:rPr>
            </w:pPr>
            <w:r w:rsidRPr="000B6B93">
              <w:rPr>
                <w:sz w:val="20"/>
                <w:szCs w:val="20"/>
              </w:rPr>
              <w:t xml:space="preserve">We believe, that when </w:t>
            </w:r>
            <w:r w:rsidR="0086101C" w:rsidRPr="00735388">
              <w:rPr>
                <w:sz w:val="20"/>
                <w:szCs w:val="20"/>
              </w:rPr>
              <w:t>adequately implemented, regulatory sandboxes offer promising benefits for all parties involved</w:t>
            </w:r>
            <w:r w:rsidRPr="000B6B93">
              <w:rPr>
                <w:sz w:val="20"/>
                <w:szCs w:val="20"/>
              </w:rPr>
              <w:t xml:space="preserve">: </w:t>
            </w:r>
          </w:p>
          <w:p w14:paraId="58593D29" w14:textId="373E8C32" w:rsidR="00BC504D" w:rsidRPr="000B6B93" w:rsidRDefault="00BC504D" w:rsidP="00BC504D">
            <w:pPr>
              <w:pStyle w:val="ListParagraph"/>
              <w:numPr>
                <w:ilvl w:val="1"/>
                <w:numId w:val="26"/>
              </w:numPr>
              <w:spacing w:after="120"/>
              <w:ind w:left="606" w:hanging="284"/>
              <w:rPr>
                <w:sz w:val="20"/>
                <w:szCs w:val="20"/>
              </w:rPr>
            </w:pPr>
            <w:r w:rsidRPr="006576AB">
              <w:rPr>
                <w:sz w:val="20"/>
                <w:szCs w:val="20"/>
              </w:rPr>
              <w:t>R</w:t>
            </w:r>
            <w:r w:rsidR="0086101C" w:rsidRPr="00735388">
              <w:rPr>
                <w:sz w:val="20"/>
                <w:szCs w:val="20"/>
              </w:rPr>
              <w:t>egulatory sandboxes facilitate the understanding of costs, risks and opportunities of new solutions</w:t>
            </w:r>
            <w:r w:rsidRPr="000B6B93">
              <w:rPr>
                <w:sz w:val="20"/>
                <w:szCs w:val="20"/>
              </w:rPr>
              <w:t xml:space="preserve"> for regulators and supervisors</w:t>
            </w:r>
            <w:r w:rsidR="008F64BB">
              <w:rPr>
                <w:sz w:val="20"/>
                <w:szCs w:val="20"/>
              </w:rPr>
              <w:t>, as well as</w:t>
            </w:r>
            <w:r w:rsidR="002B3F75">
              <w:rPr>
                <w:sz w:val="20"/>
                <w:szCs w:val="20"/>
              </w:rPr>
              <w:t xml:space="preserve"> identifying</w:t>
            </w:r>
            <w:r w:rsidR="008F64BB">
              <w:rPr>
                <w:sz w:val="20"/>
                <w:szCs w:val="20"/>
              </w:rPr>
              <w:t xml:space="preserve"> any </w:t>
            </w:r>
            <w:r w:rsidR="002B3F75">
              <w:rPr>
                <w:sz w:val="20"/>
                <w:szCs w:val="20"/>
              </w:rPr>
              <w:t xml:space="preserve">amendments needed </w:t>
            </w:r>
            <w:r w:rsidR="008F64BB">
              <w:rPr>
                <w:sz w:val="20"/>
                <w:szCs w:val="20"/>
              </w:rPr>
              <w:t xml:space="preserve">to the regulatory framework to appropriate </w:t>
            </w:r>
            <w:r w:rsidR="002B3F75">
              <w:rPr>
                <w:sz w:val="20"/>
                <w:szCs w:val="20"/>
              </w:rPr>
              <w:t>regulate/</w:t>
            </w:r>
            <w:r w:rsidR="008F64BB">
              <w:rPr>
                <w:sz w:val="20"/>
                <w:szCs w:val="20"/>
              </w:rPr>
              <w:t>supervise</w:t>
            </w:r>
            <w:r w:rsidR="00226244">
              <w:rPr>
                <w:sz w:val="20"/>
                <w:szCs w:val="20"/>
              </w:rPr>
              <w:t xml:space="preserve"> </w:t>
            </w:r>
            <w:proofErr w:type="gramStart"/>
            <w:r w:rsidR="00226244">
              <w:rPr>
                <w:sz w:val="20"/>
                <w:szCs w:val="20"/>
              </w:rPr>
              <w:t>firms</w:t>
            </w:r>
            <w:r w:rsidRPr="000B6B93">
              <w:rPr>
                <w:sz w:val="20"/>
                <w:szCs w:val="20"/>
              </w:rPr>
              <w:t>;</w:t>
            </w:r>
            <w:proofErr w:type="gramEnd"/>
          </w:p>
          <w:p w14:paraId="1EE3E843" w14:textId="7A3009C4" w:rsidR="00BC504D" w:rsidRPr="000B6B93" w:rsidRDefault="002C46CA" w:rsidP="00BC504D">
            <w:pPr>
              <w:pStyle w:val="ListParagraph"/>
              <w:numPr>
                <w:ilvl w:val="1"/>
                <w:numId w:val="26"/>
              </w:numPr>
              <w:spacing w:after="120"/>
              <w:ind w:left="606" w:hanging="284"/>
              <w:rPr>
                <w:sz w:val="20"/>
                <w:szCs w:val="20"/>
              </w:rPr>
            </w:pPr>
            <w:r>
              <w:rPr>
                <w:sz w:val="20"/>
                <w:szCs w:val="20"/>
              </w:rPr>
              <w:t>Clients/c</w:t>
            </w:r>
            <w:r w:rsidR="0086101C" w:rsidRPr="00735388">
              <w:rPr>
                <w:sz w:val="20"/>
                <w:szCs w:val="20"/>
              </w:rPr>
              <w:t xml:space="preserve">onsumers benefit </w:t>
            </w:r>
            <w:r w:rsidR="00BC504D" w:rsidRPr="000B6B93">
              <w:rPr>
                <w:sz w:val="20"/>
                <w:szCs w:val="20"/>
              </w:rPr>
              <w:t xml:space="preserve">from </w:t>
            </w:r>
            <w:r w:rsidR="0086101C" w:rsidRPr="00735388">
              <w:rPr>
                <w:sz w:val="20"/>
                <w:szCs w:val="20"/>
              </w:rPr>
              <w:t xml:space="preserve">efficiency gains and </w:t>
            </w:r>
            <w:r w:rsidR="00BC504D" w:rsidRPr="000B6B93">
              <w:rPr>
                <w:sz w:val="20"/>
                <w:szCs w:val="20"/>
              </w:rPr>
              <w:t xml:space="preserve">being able to </w:t>
            </w:r>
            <w:r w:rsidR="0086101C" w:rsidRPr="00735388">
              <w:rPr>
                <w:sz w:val="20"/>
                <w:szCs w:val="20"/>
              </w:rPr>
              <w:t xml:space="preserve">access a broader range of innovative </w:t>
            </w:r>
            <w:proofErr w:type="gramStart"/>
            <w:r w:rsidR="0086101C" w:rsidRPr="00735388">
              <w:rPr>
                <w:sz w:val="20"/>
                <w:szCs w:val="20"/>
              </w:rPr>
              <w:t>solutions</w:t>
            </w:r>
            <w:r w:rsidR="00BC504D" w:rsidRPr="000B6B93">
              <w:rPr>
                <w:sz w:val="20"/>
                <w:szCs w:val="20"/>
              </w:rPr>
              <w:t>;</w:t>
            </w:r>
            <w:proofErr w:type="gramEnd"/>
            <w:r w:rsidR="00BC504D" w:rsidRPr="000B6B93">
              <w:rPr>
                <w:sz w:val="20"/>
                <w:szCs w:val="20"/>
              </w:rPr>
              <w:t xml:space="preserve"> </w:t>
            </w:r>
          </w:p>
          <w:p w14:paraId="3E04F53E" w14:textId="5FE42D5C" w:rsidR="00BC504D" w:rsidRPr="000B6B93" w:rsidRDefault="00BC504D" w:rsidP="00BC504D">
            <w:pPr>
              <w:pStyle w:val="ListParagraph"/>
              <w:numPr>
                <w:ilvl w:val="1"/>
                <w:numId w:val="26"/>
              </w:numPr>
              <w:spacing w:after="120"/>
              <w:ind w:left="606" w:hanging="284"/>
              <w:rPr>
                <w:sz w:val="20"/>
                <w:szCs w:val="20"/>
              </w:rPr>
            </w:pPr>
            <w:r w:rsidRPr="006576AB">
              <w:rPr>
                <w:sz w:val="20"/>
                <w:szCs w:val="20"/>
              </w:rPr>
              <w:t>N</w:t>
            </w:r>
            <w:r w:rsidR="0086101C" w:rsidRPr="00735388">
              <w:rPr>
                <w:sz w:val="20"/>
                <w:szCs w:val="20"/>
              </w:rPr>
              <w:t xml:space="preserve">ew </w:t>
            </w:r>
            <w:r w:rsidR="00080801">
              <w:rPr>
                <w:sz w:val="20"/>
                <w:szCs w:val="20"/>
              </w:rPr>
              <w:t xml:space="preserve">market </w:t>
            </w:r>
            <w:proofErr w:type="gramStart"/>
            <w:r w:rsidR="0086101C" w:rsidRPr="00735388">
              <w:rPr>
                <w:sz w:val="20"/>
                <w:szCs w:val="20"/>
              </w:rPr>
              <w:t>entrants</w:t>
            </w:r>
            <w:proofErr w:type="gramEnd"/>
            <w:r w:rsidR="0086101C" w:rsidRPr="00735388">
              <w:rPr>
                <w:sz w:val="20"/>
                <w:szCs w:val="20"/>
              </w:rPr>
              <w:t xml:space="preserve"> benefit from </w:t>
            </w:r>
            <w:r w:rsidRPr="000B6B93">
              <w:rPr>
                <w:sz w:val="20"/>
                <w:szCs w:val="20"/>
              </w:rPr>
              <w:t xml:space="preserve">increased dialogue with authorities and better understanding of </w:t>
            </w:r>
            <w:r w:rsidRPr="006576AB">
              <w:rPr>
                <w:sz w:val="20"/>
                <w:szCs w:val="20"/>
              </w:rPr>
              <w:t>comp</w:t>
            </w:r>
            <w:r w:rsidRPr="00080801">
              <w:rPr>
                <w:sz w:val="20"/>
                <w:szCs w:val="20"/>
              </w:rPr>
              <w:t xml:space="preserve">liance with </w:t>
            </w:r>
            <w:r w:rsidR="0086101C" w:rsidRPr="00735388">
              <w:rPr>
                <w:sz w:val="20"/>
                <w:szCs w:val="20"/>
              </w:rPr>
              <w:t xml:space="preserve">regulatory requirements; </w:t>
            </w:r>
          </w:p>
          <w:p w14:paraId="470F4816" w14:textId="0E00775D" w:rsidR="0086101C" w:rsidRPr="00735388" w:rsidRDefault="00080801" w:rsidP="00735388">
            <w:pPr>
              <w:pStyle w:val="ListParagraph"/>
              <w:numPr>
                <w:ilvl w:val="1"/>
                <w:numId w:val="26"/>
              </w:numPr>
              <w:spacing w:after="120"/>
              <w:ind w:left="606" w:hanging="284"/>
              <w:rPr>
                <w:sz w:val="20"/>
                <w:szCs w:val="20"/>
              </w:rPr>
            </w:pPr>
            <w:r>
              <w:rPr>
                <w:sz w:val="20"/>
                <w:szCs w:val="20"/>
              </w:rPr>
              <w:t>Financial Institutions</w:t>
            </w:r>
            <w:r w:rsidR="0086101C" w:rsidRPr="00735388">
              <w:rPr>
                <w:sz w:val="20"/>
                <w:szCs w:val="20"/>
              </w:rPr>
              <w:t xml:space="preserve"> benefit from lower costs and </w:t>
            </w:r>
            <w:r>
              <w:rPr>
                <w:sz w:val="20"/>
                <w:szCs w:val="20"/>
              </w:rPr>
              <w:t xml:space="preserve">lesser </w:t>
            </w:r>
            <w:r w:rsidR="0086101C" w:rsidRPr="00735388">
              <w:rPr>
                <w:sz w:val="20"/>
                <w:szCs w:val="20"/>
              </w:rPr>
              <w:t xml:space="preserve">delays </w:t>
            </w:r>
            <w:r w:rsidR="00226244">
              <w:rPr>
                <w:sz w:val="20"/>
                <w:szCs w:val="20"/>
              </w:rPr>
              <w:t xml:space="preserve">when </w:t>
            </w:r>
            <w:r>
              <w:rPr>
                <w:sz w:val="20"/>
                <w:szCs w:val="20"/>
              </w:rPr>
              <w:t xml:space="preserve">bringing </w:t>
            </w:r>
            <w:r w:rsidR="0086101C" w:rsidRPr="00735388">
              <w:rPr>
                <w:sz w:val="20"/>
                <w:szCs w:val="20"/>
              </w:rPr>
              <w:t>innovation</w:t>
            </w:r>
            <w:r>
              <w:rPr>
                <w:sz w:val="20"/>
                <w:szCs w:val="20"/>
              </w:rPr>
              <w:t xml:space="preserve"> to the market</w:t>
            </w:r>
            <w:r w:rsidR="0086101C" w:rsidRPr="00735388">
              <w:rPr>
                <w:sz w:val="20"/>
                <w:szCs w:val="20"/>
              </w:rPr>
              <w:t>.</w:t>
            </w:r>
          </w:p>
          <w:p w14:paraId="6CED059B" w14:textId="1A86D662" w:rsidR="00340848" w:rsidRPr="000B6B93" w:rsidRDefault="00BC504D" w:rsidP="0042399D">
            <w:pPr>
              <w:pStyle w:val="ListParagraph"/>
              <w:numPr>
                <w:ilvl w:val="0"/>
                <w:numId w:val="26"/>
              </w:numPr>
              <w:spacing w:after="120"/>
              <w:ind w:left="184" w:hanging="142"/>
              <w:rPr>
                <w:sz w:val="20"/>
                <w:szCs w:val="20"/>
              </w:rPr>
            </w:pPr>
            <w:r w:rsidRPr="000B6B93">
              <w:rPr>
                <w:sz w:val="20"/>
                <w:szCs w:val="20"/>
              </w:rPr>
              <w:t xml:space="preserve">Sandboxes offer </w:t>
            </w:r>
            <w:r w:rsidR="00080801">
              <w:rPr>
                <w:sz w:val="20"/>
                <w:szCs w:val="20"/>
              </w:rPr>
              <w:t xml:space="preserve">firms </w:t>
            </w:r>
            <w:r w:rsidRPr="000B6B93">
              <w:rPr>
                <w:sz w:val="20"/>
                <w:szCs w:val="20"/>
              </w:rPr>
              <w:t xml:space="preserve">the possibility to </w:t>
            </w:r>
            <w:r w:rsidR="00080801">
              <w:rPr>
                <w:sz w:val="20"/>
                <w:szCs w:val="20"/>
              </w:rPr>
              <w:t xml:space="preserve">accelerate </w:t>
            </w:r>
            <w:r w:rsidRPr="000B6B93">
              <w:rPr>
                <w:sz w:val="20"/>
                <w:szCs w:val="20"/>
              </w:rPr>
              <w:t xml:space="preserve">innovation projects and </w:t>
            </w:r>
            <w:r w:rsidR="00080801">
              <w:rPr>
                <w:sz w:val="20"/>
                <w:szCs w:val="20"/>
              </w:rPr>
              <w:t>increasing learnings</w:t>
            </w:r>
            <w:r w:rsidRPr="000B6B93">
              <w:rPr>
                <w:sz w:val="20"/>
                <w:szCs w:val="20"/>
              </w:rPr>
              <w:t>. AFME believes th</w:t>
            </w:r>
            <w:r w:rsidRPr="006576AB">
              <w:rPr>
                <w:sz w:val="20"/>
                <w:szCs w:val="20"/>
              </w:rPr>
              <w:t xml:space="preserve">e testing of innovative technologies across multiple jurisdictions, should be accelerated in the EU to </w:t>
            </w:r>
            <w:r w:rsidRPr="00080801">
              <w:rPr>
                <w:rFonts w:eastAsia="Times New Roman"/>
                <w:sz w:val="20"/>
                <w:szCs w:val="20"/>
                <w:lang w:eastAsia="en-GB"/>
              </w:rPr>
              <w:t xml:space="preserve">ensure adequate and consistent levels of knowledge and understanding of innovation subject matter, globally. </w:t>
            </w:r>
            <w:r w:rsidRPr="00080801">
              <w:rPr>
                <w:sz w:val="20"/>
                <w:szCs w:val="20"/>
                <w:lang w:eastAsia="en-GB"/>
              </w:rPr>
              <w:t xml:space="preserve">Efforts </w:t>
            </w:r>
            <w:r w:rsidRPr="00080801">
              <w:rPr>
                <w:sz w:val="20"/>
                <w:szCs w:val="20"/>
              </w:rPr>
              <w:t>should focus on facilitating knowledge sharing, education between regulators and a wider network of market participants, and joint work on policy and regulatory requirements applied to innovative technologies. AFME is supportive of global initiatives such as the BIS Innovation hub</w:t>
            </w:r>
            <w:r w:rsidRPr="000B6B93">
              <w:rPr>
                <w:sz w:val="20"/>
                <w:szCs w:val="20"/>
              </w:rPr>
              <w:t>, the Glob</w:t>
            </w:r>
            <w:r w:rsidRPr="006576AB">
              <w:rPr>
                <w:sz w:val="20"/>
                <w:szCs w:val="20"/>
              </w:rPr>
              <w:t>al Financial Innovation Network (GFIN</w:t>
            </w:r>
            <w:r w:rsidRPr="00080801">
              <w:rPr>
                <w:sz w:val="20"/>
                <w:szCs w:val="20"/>
              </w:rPr>
              <w:t>)</w:t>
            </w:r>
            <w:r w:rsidRPr="000B6B93">
              <w:rPr>
                <w:sz w:val="20"/>
                <w:szCs w:val="20"/>
              </w:rPr>
              <w:t xml:space="preserve"> </w:t>
            </w:r>
            <w:r w:rsidR="008A2E7A">
              <w:rPr>
                <w:sz w:val="20"/>
                <w:szCs w:val="20"/>
              </w:rPr>
              <w:t>and</w:t>
            </w:r>
            <w:r w:rsidR="008A2E7A" w:rsidRPr="000B6B93">
              <w:rPr>
                <w:sz w:val="20"/>
                <w:szCs w:val="20"/>
              </w:rPr>
              <w:t xml:space="preserve"> </w:t>
            </w:r>
            <w:r w:rsidRPr="000B6B93">
              <w:rPr>
                <w:sz w:val="20"/>
                <w:szCs w:val="20"/>
              </w:rPr>
              <w:t>the International Association for Trusted Blockchain Applications (INATBA)</w:t>
            </w:r>
            <w:r w:rsidR="008A2E7A">
              <w:rPr>
                <w:sz w:val="20"/>
                <w:szCs w:val="20"/>
              </w:rPr>
              <w:t>,</w:t>
            </w:r>
            <w:r w:rsidR="005D5F62">
              <w:rPr>
                <w:sz w:val="20"/>
                <w:szCs w:val="20"/>
              </w:rPr>
              <w:t xml:space="preserve"> and encourages the </w:t>
            </w:r>
            <w:r w:rsidR="005D5F62" w:rsidRPr="005D5F62">
              <w:rPr>
                <w:sz w:val="20"/>
                <w:szCs w:val="20"/>
              </w:rPr>
              <w:t>European Forum for Innovation Facilitators (EFIF)</w:t>
            </w:r>
            <w:r w:rsidR="005D5F62">
              <w:rPr>
                <w:sz w:val="20"/>
                <w:szCs w:val="20"/>
              </w:rPr>
              <w:t xml:space="preserve"> </w:t>
            </w:r>
            <w:r w:rsidR="00AA736F">
              <w:rPr>
                <w:sz w:val="20"/>
                <w:szCs w:val="20"/>
              </w:rPr>
              <w:t>to take part in relevant forums for the sharing of lessons learned related to innovative technologies</w:t>
            </w:r>
            <w:r w:rsidR="005D5F62">
              <w:rPr>
                <w:sz w:val="20"/>
                <w:szCs w:val="20"/>
              </w:rPr>
              <w:t>.</w:t>
            </w:r>
          </w:p>
        </w:tc>
      </w:tr>
      <w:tr w:rsidR="00340848" w14:paraId="1861F591" w14:textId="77777777" w:rsidTr="0053138D">
        <w:trPr>
          <w:trHeight w:val="532"/>
        </w:trPr>
        <w:tc>
          <w:tcPr>
            <w:tcW w:w="1271" w:type="dxa"/>
            <w:vMerge w:val="restart"/>
          </w:tcPr>
          <w:p w14:paraId="2F5E0D79" w14:textId="3312C80B" w:rsidR="00340848" w:rsidRDefault="00340848" w:rsidP="0053138D">
            <w:pPr>
              <w:spacing w:after="120"/>
              <w:rPr>
                <w:sz w:val="20"/>
                <w:szCs w:val="20"/>
              </w:rPr>
            </w:pPr>
            <w:r>
              <w:rPr>
                <w:sz w:val="20"/>
                <w:szCs w:val="20"/>
              </w:rPr>
              <w:t>21</w:t>
            </w:r>
          </w:p>
        </w:tc>
        <w:tc>
          <w:tcPr>
            <w:tcW w:w="2126" w:type="dxa"/>
          </w:tcPr>
          <w:p w14:paraId="46379BC5" w14:textId="1FACF980" w:rsidR="00340848" w:rsidRPr="00A565B8" w:rsidRDefault="00340848" w:rsidP="00A565B8">
            <w:pPr>
              <w:rPr>
                <w:rFonts w:eastAsia="Times New Roman"/>
                <w:sz w:val="20"/>
                <w:szCs w:val="20"/>
                <w:lang w:eastAsia="en-GB"/>
              </w:rPr>
            </w:pPr>
            <w:r>
              <w:rPr>
                <w:rFonts w:eastAsia="Times New Roman"/>
                <w:sz w:val="20"/>
                <w:szCs w:val="20"/>
                <w:lang w:eastAsia="en-GB"/>
              </w:rPr>
              <w:t>AFME to respond</w:t>
            </w:r>
          </w:p>
        </w:tc>
        <w:tc>
          <w:tcPr>
            <w:tcW w:w="7060" w:type="dxa"/>
          </w:tcPr>
          <w:p w14:paraId="2076FBCE" w14:textId="0D517DEF" w:rsidR="00340848" w:rsidRDefault="00340848" w:rsidP="0042399D">
            <w:pPr>
              <w:pStyle w:val="ListParagraph"/>
              <w:numPr>
                <w:ilvl w:val="0"/>
                <w:numId w:val="26"/>
              </w:numPr>
              <w:spacing w:after="120"/>
              <w:ind w:left="184" w:hanging="142"/>
              <w:rPr>
                <w:sz w:val="20"/>
                <w:szCs w:val="20"/>
              </w:rPr>
            </w:pPr>
            <w:r w:rsidRPr="00340848">
              <w:rPr>
                <w:sz w:val="20"/>
                <w:szCs w:val="20"/>
              </w:rPr>
              <w:t>Promote convergence among national authorities in setting up innovation hubs and sandboxes, through additional best practices or guidelines</w:t>
            </w:r>
            <w:r>
              <w:rPr>
                <w:sz w:val="20"/>
                <w:szCs w:val="20"/>
              </w:rPr>
              <w:t>:</w:t>
            </w:r>
            <w:r w:rsidR="00794B02">
              <w:rPr>
                <w:sz w:val="20"/>
                <w:szCs w:val="20"/>
              </w:rPr>
              <w:t xml:space="preserve"> 5 – fully relevant</w:t>
            </w:r>
          </w:p>
          <w:p w14:paraId="71CB34BE" w14:textId="0E8F0BED" w:rsidR="00340848" w:rsidRDefault="00340848" w:rsidP="00340848">
            <w:pPr>
              <w:pStyle w:val="ListParagraph"/>
              <w:numPr>
                <w:ilvl w:val="0"/>
                <w:numId w:val="26"/>
              </w:numPr>
              <w:spacing w:after="120"/>
              <w:ind w:left="184" w:hanging="142"/>
              <w:rPr>
                <w:sz w:val="20"/>
                <w:szCs w:val="20"/>
              </w:rPr>
            </w:pPr>
            <w:r w:rsidRPr="00340848">
              <w:rPr>
                <w:sz w:val="20"/>
                <w:szCs w:val="20"/>
              </w:rPr>
              <w:t>Facilitate the possibility for firms to test new products and activities for marketing in several Member States (“cross border testing”)</w:t>
            </w:r>
            <w:r>
              <w:rPr>
                <w:sz w:val="20"/>
                <w:szCs w:val="20"/>
              </w:rPr>
              <w:t>:</w:t>
            </w:r>
            <w:r w:rsidR="00794B02">
              <w:rPr>
                <w:sz w:val="20"/>
                <w:szCs w:val="20"/>
              </w:rPr>
              <w:t xml:space="preserve"> 5 – fully relevant</w:t>
            </w:r>
          </w:p>
          <w:p w14:paraId="31B0D862" w14:textId="54FD5A97" w:rsidR="00340848" w:rsidRDefault="00340848" w:rsidP="00340848">
            <w:pPr>
              <w:pStyle w:val="ListParagraph"/>
              <w:numPr>
                <w:ilvl w:val="0"/>
                <w:numId w:val="26"/>
              </w:numPr>
              <w:spacing w:after="120"/>
              <w:ind w:left="184" w:hanging="142"/>
              <w:rPr>
                <w:sz w:val="20"/>
                <w:szCs w:val="20"/>
              </w:rPr>
            </w:pPr>
            <w:r w:rsidRPr="00340848">
              <w:rPr>
                <w:sz w:val="20"/>
                <w:szCs w:val="20"/>
              </w:rPr>
              <w:t>Raise awareness among industry stakeholders</w:t>
            </w:r>
            <w:r w:rsidR="00794B02">
              <w:rPr>
                <w:sz w:val="20"/>
                <w:szCs w:val="20"/>
              </w:rPr>
              <w:t xml:space="preserve">: </w:t>
            </w:r>
            <w:r w:rsidR="00FA5D70">
              <w:rPr>
                <w:sz w:val="20"/>
                <w:szCs w:val="20"/>
              </w:rPr>
              <w:t>4</w:t>
            </w:r>
            <w:r w:rsidR="00794B02">
              <w:rPr>
                <w:sz w:val="20"/>
                <w:szCs w:val="20"/>
              </w:rPr>
              <w:t xml:space="preserve"> – </w:t>
            </w:r>
            <w:r w:rsidR="00A47B0C">
              <w:rPr>
                <w:sz w:val="20"/>
                <w:szCs w:val="20"/>
              </w:rPr>
              <w:t>rather</w:t>
            </w:r>
            <w:r w:rsidR="00794B02">
              <w:rPr>
                <w:sz w:val="20"/>
                <w:szCs w:val="20"/>
              </w:rPr>
              <w:t xml:space="preserve"> relevant</w:t>
            </w:r>
          </w:p>
          <w:p w14:paraId="695BA6B6" w14:textId="374FB6F5" w:rsidR="00340848" w:rsidRDefault="00340848" w:rsidP="00340848">
            <w:pPr>
              <w:pStyle w:val="ListParagraph"/>
              <w:numPr>
                <w:ilvl w:val="0"/>
                <w:numId w:val="26"/>
              </w:numPr>
              <w:spacing w:after="120"/>
              <w:ind w:left="184" w:hanging="142"/>
              <w:rPr>
                <w:sz w:val="20"/>
                <w:szCs w:val="20"/>
              </w:rPr>
            </w:pPr>
            <w:r w:rsidRPr="00340848">
              <w:rPr>
                <w:sz w:val="20"/>
                <w:szCs w:val="20"/>
              </w:rPr>
              <w:t>Ensure closer coordination with authorities beyond the financial sector (e.g. data and consumer protection authorities)</w:t>
            </w:r>
            <w:r w:rsidR="00794B02">
              <w:rPr>
                <w:sz w:val="20"/>
                <w:szCs w:val="20"/>
              </w:rPr>
              <w:t xml:space="preserve">: </w:t>
            </w:r>
            <w:r w:rsidR="00FA5D70">
              <w:rPr>
                <w:sz w:val="20"/>
                <w:szCs w:val="20"/>
              </w:rPr>
              <w:t>5</w:t>
            </w:r>
            <w:r w:rsidR="00794B02">
              <w:rPr>
                <w:sz w:val="20"/>
                <w:szCs w:val="20"/>
              </w:rPr>
              <w:t xml:space="preserve"> –</w:t>
            </w:r>
            <w:r w:rsidR="00646719">
              <w:rPr>
                <w:sz w:val="20"/>
                <w:szCs w:val="20"/>
              </w:rPr>
              <w:t xml:space="preserve"> </w:t>
            </w:r>
            <w:r w:rsidR="00A47B0C">
              <w:rPr>
                <w:sz w:val="20"/>
                <w:szCs w:val="20"/>
              </w:rPr>
              <w:t xml:space="preserve">fully </w:t>
            </w:r>
            <w:r w:rsidR="00794B02">
              <w:rPr>
                <w:sz w:val="20"/>
                <w:szCs w:val="20"/>
              </w:rPr>
              <w:t>relevant</w:t>
            </w:r>
          </w:p>
          <w:p w14:paraId="5530922B" w14:textId="656EC993" w:rsidR="00340848" w:rsidRDefault="00340848" w:rsidP="00340848">
            <w:pPr>
              <w:pStyle w:val="ListParagraph"/>
              <w:numPr>
                <w:ilvl w:val="0"/>
                <w:numId w:val="26"/>
              </w:numPr>
              <w:spacing w:after="120"/>
              <w:ind w:left="184" w:hanging="142"/>
              <w:rPr>
                <w:sz w:val="20"/>
                <w:szCs w:val="20"/>
              </w:rPr>
            </w:pPr>
            <w:r w:rsidRPr="00340848">
              <w:rPr>
                <w:sz w:val="20"/>
                <w:szCs w:val="20"/>
              </w:rPr>
              <w:lastRenderedPageBreak/>
              <w:t>Promote the establishment of innovation hubs or sandboxes with a specific focus (e.g. a specific technology like Blockchain or a specific purpose like sustainable finance)</w:t>
            </w:r>
            <w:r w:rsidR="00794B02">
              <w:rPr>
                <w:sz w:val="20"/>
                <w:szCs w:val="20"/>
              </w:rPr>
              <w:t xml:space="preserve">: </w:t>
            </w:r>
            <w:r w:rsidR="00A47B0C">
              <w:rPr>
                <w:sz w:val="20"/>
                <w:szCs w:val="20"/>
              </w:rPr>
              <w:t>3</w:t>
            </w:r>
            <w:r w:rsidR="00794B02">
              <w:rPr>
                <w:sz w:val="20"/>
                <w:szCs w:val="20"/>
              </w:rPr>
              <w:t xml:space="preserve"> –</w:t>
            </w:r>
            <w:r w:rsidR="00646719">
              <w:rPr>
                <w:sz w:val="20"/>
                <w:szCs w:val="20"/>
              </w:rPr>
              <w:t xml:space="preserve"> </w:t>
            </w:r>
            <w:r w:rsidR="00FA5D70">
              <w:rPr>
                <w:sz w:val="20"/>
                <w:szCs w:val="20"/>
              </w:rPr>
              <w:t>neutral</w:t>
            </w:r>
          </w:p>
          <w:p w14:paraId="5E5FB2F9" w14:textId="1FD1F855" w:rsidR="00340848" w:rsidRPr="00340848" w:rsidRDefault="00340848" w:rsidP="00340848">
            <w:pPr>
              <w:pStyle w:val="ListParagraph"/>
              <w:numPr>
                <w:ilvl w:val="0"/>
                <w:numId w:val="26"/>
              </w:numPr>
              <w:spacing w:after="120"/>
              <w:ind w:left="184" w:hanging="142"/>
              <w:rPr>
                <w:sz w:val="20"/>
                <w:szCs w:val="20"/>
              </w:rPr>
            </w:pPr>
            <w:r w:rsidRPr="00340848">
              <w:rPr>
                <w:sz w:val="20"/>
                <w:szCs w:val="20"/>
              </w:rPr>
              <w:t>Other</w:t>
            </w:r>
          </w:p>
        </w:tc>
      </w:tr>
      <w:tr w:rsidR="00340848" w14:paraId="7DD13EFF" w14:textId="77777777" w:rsidTr="0053138D">
        <w:trPr>
          <w:trHeight w:val="532"/>
        </w:trPr>
        <w:tc>
          <w:tcPr>
            <w:tcW w:w="1271" w:type="dxa"/>
            <w:vMerge/>
          </w:tcPr>
          <w:p w14:paraId="58FE7367" w14:textId="77777777" w:rsidR="00340848" w:rsidRDefault="00340848" w:rsidP="0053138D">
            <w:pPr>
              <w:spacing w:after="120"/>
              <w:rPr>
                <w:sz w:val="20"/>
                <w:szCs w:val="20"/>
              </w:rPr>
            </w:pPr>
          </w:p>
        </w:tc>
        <w:tc>
          <w:tcPr>
            <w:tcW w:w="2126" w:type="dxa"/>
          </w:tcPr>
          <w:p w14:paraId="349E21DE" w14:textId="3003C62E" w:rsidR="00340848" w:rsidRDefault="00340848" w:rsidP="00A565B8">
            <w:pPr>
              <w:rPr>
                <w:rFonts w:eastAsia="Times New Roman"/>
                <w:sz w:val="20"/>
                <w:szCs w:val="20"/>
                <w:lang w:eastAsia="en-GB"/>
              </w:rPr>
            </w:pPr>
            <w:r>
              <w:rPr>
                <w:rFonts w:eastAsia="Times New Roman"/>
                <w:sz w:val="20"/>
                <w:szCs w:val="20"/>
                <w:lang w:eastAsia="en-GB"/>
              </w:rPr>
              <w:t>AFME to respond</w:t>
            </w:r>
          </w:p>
        </w:tc>
        <w:tc>
          <w:tcPr>
            <w:tcW w:w="7060" w:type="dxa"/>
          </w:tcPr>
          <w:p w14:paraId="7808E7AB" w14:textId="45C4247C" w:rsidR="007C46AD" w:rsidRDefault="00BC504D" w:rsidP="007C46AD">
            <w:pPr>
              <w:pStyle w:val="ListParagraph"/>
              <w:numPr>
                <w:ilvl w:val="0"/>
                <w:numId w:val="26"/>
              </w:numPr>
              <w:spacing w:after="120"/>
              <w:ind w:left="184" w:hanging="142"/>
              <w:rPr>
                <w:sz w:val="20"/>
                <w:szCs w:val="20"/>
              </w:rPr>
            </w:pPr>
            <w:r w:rsidRPr="00BC504D">
              <w:rPr>
                <w:sz w:val="20"/>
                <w:szCs w:val="20"/>
              </w:rPr>
              <w:t xml:space="preserve">The Commission and the ESAs should </w:t>
            </w:r>
            <w:r w:rsidR="007C46AD">
              <w:rPr>
                <w:sz w:val="20"/>
                <w:szCs w:val="20"/>
              </w:rPr>
              <w:t xml:space="preserve">actively take part and </w:t>
            </w:r>
            <w:r w:rsidRPr="00BC504D">
              <w:rPr>
                <w:sz w:val="20"/>
                <w:szCs w:val="20"/>
              </w:rPr>
              <w:t>monitor the outcomes of test</w:t>
            </w:r>
            <w:r w:rsidR="007C46AD">
              <w:rPr>
                <w:sz w:val="20"/>
                <w:szCs w:val="20"/>
              </w:rPr>
              <w:t>s</w:t>
            </w:r>
            <w:r w:rsidRPr="00BC504D">
              <w:rPr>
                <w:sz w:val="20"/>
                <w:szCs w:val="20"/>
              </w:rPr>
              <w:t xml:space="preserve"> conducted in national regulatory sandboxes</w:t>
            </w:r>
            <w:r w:rsidR="007C46AD">
              <w:rPr>
                <w:sz w:val="20"/>
                <w:szCs w:val="20"/>
              </w:rPr>
              <w:t xml:space="preserve">, </w:t>
            </w:r>
            <w:r w:rsidRPr="00BC504D">
              <w:rPr>
                <w:sz w:val="20"/>
                <w:szCs w:val="20"/>
              </w:rPr>
              <w:t>leverag</w:t>
            </w:r>
            <w:r w:rsidR="007C46AD">
              <w:rPr>
                <w:sz w:val="20"/>
                <w:szCs w:val="20"/>
              </w:rPr>
              <w:t>ing</w:t>
            </w:r>
            <w:r w:rsidRPr="00BC504D">
              <w:rPr>
                <w:sz w:val="20"/>
                <w:szCs w:val="20"/>
              </w:rPr>
              <w:t xml:space="preserve"> </w:t>
            </w:r>
            <w:r w:rsidR="007C46AD">
              <w:rPr>
                <w:sz w:val="20"/>
                <w:szCs w:val="20"/>
              </w:rPr>
              <w:t xml:space="preserve">lessons learned </w:t>
            </w:r>
            <w:r w:rsidRPr="00BC504D">
              <w:rPr>
                <w:sz w:val="20"/>
                <w:szCs w:val="20"/>
              </w:rPr>
              <w:t xml:space="preserve">to improve the EU financial services regulatory framework. In particular, the Commission and the ESAs should ensure that regulation or standards that are proven to be unfit for </w:t>
            </w:r>
            <w:r w:rsidR="00406E62">
              <w:rPr>
                <w:sz w:val="20"/>
                <w:szCs w:val="20"/>
              </w:rPr>
              <w:t>innovative technologies</w:t>
            </w:r>
            <w:r w:rsidR="007C46AD">
              <w:rPr>
                <w:sz w:val="20"/>
                <w:szCs w:val="20"/>
              </w:rPr>
              <w:t xml:space="preserve">, </w:t>
            </w:r>
            <w:proofErr w:type="gramStart"/>
            <w:r w:rsidRPr="00BC504D">
              <w:rPr>
                <w:sz w:val="20"/>
                <w:szCs w:val="20"/>
              </w:rPr>
              <w:t>as a result of</w:t>
            </w:r>
            <w:proofErr w:type="gramEnd"/>
            <w:r w:rsidRPr="00BC504D">
              <w:rPr>
                <w:sz w:val="20"/>
                <w:szCs w:val="20"/>
              </w:rPr>
              <w:t xml:space="preserve"> sandbox</w:t>
            </w:r>
            <w:r w:rsidR="007C46AD">
              <w:rPr>
                <w:sz w:val="20"/>
                <w:szCs w:val="20"/>
              </w:rPr>
              <w:t xml:space="preserve">es, </w:t>
            </w:r>
            <w:r w:rsidRPr="00BC504D">
              <w:rPr>
                <w:sz w:val="20"/>
                <w:szCs w:val="20"/>
              </w:rPr>
              <w:t xml:space="preserve">are </w:t>
            </w:r>
            <w:r w:rsidR="007C46AD">
              <w:rPr>
                <w:sz w:val="20"/>
                <w:szCs w:val="20"/>
              </w:rPr>
              <w:t xml:space="preserve">assessed/adapted </w:t>
            </w:r>
            <w:r w:rsidRPr="00BC504D">
              <w:rPr>
                <w:sz w:val="20"/>
                <w:szCs w:val="20"/>
              </w:rPr>
              <w:t xml:space="preserve">accordingly. </w:t>
            </w:r>
          </w:p>
          <w:p w14:paraId="2AA50EA5" w14:textId="5415AA56" w:rsidR="00406E62" w:rsidRDefault="00BC504D" w:rsidP="00406E62">
            <w:pPr>
              <w:pStyle w:val="ListParagraph"/>
              <w:numPr>
                <w:ilvl w:val="0"/>
                <w:numId w:val="26"/>
              </w:numPr>
              <w:spacing w:after="120"/>
              <w:ind w:left="184" w:hanging="142"/>
              <w:rPr>
                <w:sz w:val="20"/>
                <w:szCs w:val="20"/>
              </w:rPr>
            </w:pPr>
            <w:r w:rsidRPr="00735388">
              <w:rPr>
                <w:sz w:val="20"/>
                <w:szCs w:val="20"/>
              </w:rPr>
              <w:t>Moreover, the ESAs should build on the results of the EFIF and consider the establishment of an EU-level regulatory sandbox.</w:t>
            </w:r>
          </w:p>
          <w:p w14:paraId="31860742" w14:textId="5E3495C8" w:rsidR="00CA2C73" w:rsidRPr="00735388" w:rsidRDefault="00CA2C73" w:rsidP="00735388">
            <w:pPr>
              <w:pStyle w:val="ListParagraph"/>
              <w:numPr>
                <w:ilvl w:val="0"/>
                <w:numId w:val="26"/>
              </w:numPr>
              <w:spacing w:after="120"/>
              <w:ind w:left="184" w:hanging="142"/>
              <w:rPr>
                <w:sz w:val="20"/>
                <w:szCs w:val="20"/>
              </w:rPr>
            </w:pPr>
            <w:r w:rsidRPr="00735388">
              <w:rPr>
                <w:sz w:val="20"/>
                <w:szCs w:val="20"/>
              </w:rPr>
              <w:t>While AFME is generally supportive of innovation hubs and regulatory sandboxes that cover a broad spectrum of innovative technologies and participants</w:t>
            </w:r>
            <w:r w:rsidR="00406E62" w:rsidRPr="00735388">
              <w:rPr>
                <w:sz w:val="20"/>
                <w:szCs w:val="20"/>
              </w:rPr>
              <w:t xml:space="preserve">, that can span multiple geographies or sectors; we believe </w:t>
            </w:r>
            <w:r w:rsidRPr="00735388">
              <w:rPr>
                <w:sz w:val="20"/>
                <w:szCs w:val="20"/>
              </w:rPr>
              <w:t xml:space="preserve">there is </w:t>
            </w:r>
            <w:r w:rsidRPr="000B6B93">
              <w:rPr>
                <w:sz w:val="20"/>
                <w:szCs w:val="20"/>
              </w:rPr>
              <w:t xml:space="preserve">benefit in </w:t>
            </w:r>
            <w:r w:rsidR="00406E62" w:rsidRPr="00735388">
              <w:rPr>
                <w:sz w:val="20"/>
                <w:szCs w:val="20"/>
              </w:rPr>
              <w:t>establishing those with a specific focus. A specific focus would help identify/test specific applications where SME knowledge would be beneficial.</w:t>
            </w:r>
          </w:p>
        </w:tc>
      </w:tr>
      <w:tr w:rsidR="00340848" w14:paraId="51C0B2C5" w14:textId="77777777" w:rsidTr="0053138D">
        <w:trPr>
          <w:trHeight w:val="532"/>
        </w:trPr>
        <w:tc>
          <w:tcPr>
            <w:tcW w:w="1271" w:type="dxa"/>
          </w:tcPr>
          <w:p w14:paraId="70244C13" w14:textId="65ABEC30" w:rsidR="00340848" w:rsidRDefault="00340848" w:rsidP="0053138D">
            <w:pPr>
              <w:spacing w:after="120"/>
              <w:rPr>
                <w:sz w:val="20"/>
                <w:szCs w:val="20"/>
              </w:rPr>
            </w:pPr>
            <w:r>
              <w:rPr>
                <w:sz w:val="20"/>
                <w:szCs w:val="20"/>
              </w:rPr>
              <w:t>21.1</w:t>
            </w:r>
          </w:p>
        </w:tc>
        <w:tc>
          <w:tcPr>
            <w:tcW w:w="2126" w:type="dxa"/>
          </w:tcPr>
          <w:p w14:paraId="3B87684B" w14:textId="32B1143D" w:rsidR="00340848" w:rsidRPr="00A565B8" w:rsidRDefault="00340848" w:rsidP="00A565B8">
            <w:pPr>
              <w:rPr>
                <w:rFonts w:eastAsia="Times New Roman"/>
                <w:sz w:val="20"/>
                <w:szCs w:val="20"/>
                <w:lang w:eastAsia="en-GB"/>
              </w:rPr>
            </w:pPr>
            <w:r>
              <w:rPr>
                <w:rFonts w:eastAsia="Times New Roman"/>
                <w:sz w:val="20"/>
                <w:szCs w:val="20"/>
                <w:lang w:eastAsia="en-GB"/>
              </w:rPr>
              <w:t>AFME to respond</w:t>
            </w:r>
          </w:p>
        </w:tc>
        <w:tc>
          <w:tcPr>
            <w:tcW w:w="7060" w:type="dxa"/>
          </w:tcPr>
          <w:p w14:paraId="1C3E8EF6" w14:textId="57960C8D" w:rsidR="007C46AD" w:rsidRDefault="007C46AD" w:rsidP="007C46AD">
            <w:pPr>
              <w:pStyle w:val="ListParagraph"/>
              <w:numPr>
                <w:ilvl w:val="0"/>
                <w:numId w:val="26"/>
              </w:numPr>
              <w:spacing w:after="120"/>
              <w:ind w:left="184" w:hanging="142"/>
              <w:rPr>
                <w:sz w:val="20"/>
                <w:szCs w:val="20"/>
              </w:rPr>
            </w:pPr>
            <w:r>
              <w:rPr>
                <w:sz w:val="20"/>
                <w:szCs w:val="20"/>
              </w:rPr>
              <w:t xml:space="preserve">AFME </w:t>
            </w:r>
            <w:r w:rsidRPr="007C46AD">
              <w:rPr>
                <w:sz w:val="20"/>
                <w:szCs w:val="20"/>
              </w:rPr>
              <w:t>support</w:t>
            </w:r>
            <w:r>
              <w:rPr>
                <w:sz w:val="20"/>
                <w:szCs w:val="20"/>
              </w:rPr>
              <w:t>s</w:t>
            </w:r>
            <w:r w:rsidRPr="007C46AD">
              <w:rPr>
                <w:sz w:val="20"/>
                <w:szCs w:val="20"/>
              </w:rPr>
              <w:t xml:space="preserve"> the work </w:t>
            </w:r>
            <w:r>
              <w:rPr>
                <w:sz w:val="20"/>
                <w:szCs w:val="20"/>
              </w:rPr>
              <w:t xml:space="preserve">of </w:t>
            </w:r>
            <w:r w:rsidRPr="007C46AD">
              <w:rPr>
                <w:sz w:val="20"/>
                <w:szCs w:val="20"/>
              </w:rPr>
              <w:t>European Supervisory Authorities to promote the use of innovation facilitators across the EU. This has taken the form of an identification of best practices (ESAs</w:t>
            </w:r>
            <w:r w:rsidR="00967F78">
              <w:rPr>
                <w:sz w:val="20"/>
                <w:szCs w:val="20"/>
              </w:rPr>
              <w:t xml:space="preserve"> report</w:t>
            </w:r>
            <w:r w:rsidR="00226244">
              <w:rPr>
                <w:rStyle w:val="FootnoteReference"/>
                <w:sz w:val="20"/>
                <w:szCs w:val="20"/>
              </w:rPr>
              <w:footnoteReference w:id="35"/>
            </w:r>
            <w:r w:rsidRPr="007C46AD">
              <w:rPr>
                <w:sz w:val="20"/>
                <w:szCs w:val="20"/>
              </w:rPr>
              <w:t>) and the creation of a network for innovation facilitators</w:t>
            </w:r>
            <w:r w:rsidR="00967F78">
              <w:rPr>
                <w:sz w:val="20"/>
                <w:szCs w:val="20"/>
              </w:rPr>
              <w:t xml:space="preserve">, the </w:t>
            </w:r>
            <w:r w:rsidR="00967F78" w:rsidRPr="005D5F62">
              <w:rPr>
                <w:sz w:val="20"/>
                <w:szCs w:val="20"/>
              </w:rPr>
              <w:t xml:space="preserve">European Forum for Innovation Facilitators </w:t>
            </w:r>
            <w:r w:rsidRPr="007C46AD">
              <w:rPr>
                <w:sz w:val="20"/>
                <w:szCs w:val="20"/>
              </w:rPr>
              <w:t xml:space="preserve">(EFIF). </w:t>
            </w:r>
          </w:p>
          <w:p w14:paraId="5720B60F" w14:textId="0D304B02" w:rsidR="007C46AD" w:rsidRDefault="007C46AD" w:rsidP="007C46AD">
            <w:pPr>
              <w:pStyle w:val="ListParagraph"/>
              <w:numPr>
                <w:ilvl w:val="0"/>
                <w:numId w:val="26"/>
              </w:numPr>
              <w:spacing w:after="120"/>
              <w:ind w:left="184" w:hanging="142"/>
              <w:rPr>
                <w:sz w:val="20"/>
                <w:szCs w:val="20"/>
              </w:rPr>
            </w:pPr>
            <w:r w:rsidRPr="00735388">
              <w:rPr>
                <w:sz w:val="20"/>
                <w:szCs w:val="20"/>
              </w:rPr>
              <w:t xml:space="preserve">Still, we urge </w:t>
            </w:r>
            <w:r>
              <w:rPr>
                <w:sz w:val="20"/>
                <w:szCs w:val="20"/>
              </w:rPr>
              <w:t xml:space="preserve">EU </w:t>
            </w:r>
            <w:r w:rsidRPr="00735388">
              <w:rPr>
                <w:sz w:val="20"/>
                <w:szCs w:val="20"/>
              </w:rPr>
              <w:t xml:space="preserve">authorities to take more decisive steps towards the establishment of a true </w:t>
            </w:r>
            <w:r w:rsidR="000411E6">
              <w:rPr>
                <w:sz w:val="20"/>
                <w:szCs w:val="20"/>
              </w:rPr>
              <w:t xml:space="preserve">pan-European </w:t>
            </w:r>
            <w:r w:rsidRPr="00735388">
              <w:rPr>
                <w:sz w:val="20"/>
                <w:szCs w:val="20"/>
              </w:rPr>
              <w:t>framework for experimentation. Coordination across EU member states should be enhanced. This would imply the possibility for national authori</w:t>
            </w:r>
            <w:r>
              <w:rPr>
                <w:sz w:val="20"/>
                <w:szCs w:val="20"/>
              </w:rPr>
              <w:t>ties</w:t>
            </w:r>
            <w:r w:rsidRPr="00735388">
              <w:rPr>
                <w:sz w:val="20"/>
                <w:szCs w:val="20"/>
              </w:rPr>
              <w:t xml:space="preserve"> to rely on the outcome of testing done by another authority</w:t>
            </w:r>
            <w:r>
              <w:rPr>
                <w:sz w:val="20"/>
                <w:szCs w:val="20"/>
              </w:rPr>
              <w:t xml:space="preserve">, </w:t>
            </w:r>
            <w:r w:rsidRPr="00735388">
              <w:rPr>
                <w:sz w:val="20"/>
                <w:szCs w:val="20"/>
              </w:rPr>
              <w:t>within a national sandbox</w:t>
            </w:r>
            <w:r>
              <w:rPr>
                <w:sz w:val="20"/>
                <w:szCs w:val="20"/>
              </w:rPr>
              <w:t xml:space="preserve">, through </w:t>
            </w:r>
            <w:r w:rsidRPr="00735388">
              <w:rPr>
                <w:sz w:val="20"/>
                <w:szCs w:val="20"/>
              </w:rPr>
              <w:t>mutual recognition</w:t>
            </w:r>
            <w:r w:rsidR="000411E6">
              <w:rPr>
                <w:sz w:val="20"/>
                <w:szCs w:val="20"/>
              </w:rPr>
              <w:t>/memorandum of understanding</w:t>
            </w:r>
            <w:r w:rsidRPr="00735388">
              <w:rPr>
                <w:sz w:val="20"/>
                <w:szCs w:val="20"/>
              </w:rPr>
              <w:t xml:space="preserve">. </w:t>
            </w:r>
          </w:p>
          <w:p w14:paraId="064C66FF" w14:textId="5AE435FF" w:rsidR="007C46AD" w:rsidRDefault="007C46AD" w:rsidP="007C46AD">
            <w:pPr>
              <w:pStyle w:val="ListParagraph"/>
              <w:numPr>
                <w:ilvl w:val="0"/>
                <w:numId w:val="26"/>
              </w:numPr>
              <w:spacing w:after="120"/>
              <w:ind w:left="184" w:hanging="142"/>
              <w:rPr>
                <w:sz w:val="20"/>
                <w:szCs w:val="20"/>
              </w:rPr>
            </w:pPr>
            <w:r w:rsidRPr="00735388">
              <w:rPr>
                <w:sz w:val="20"/>
                <w:szCs w:val="20"/>
              </w:rPr>
              <w:t xml:space="preserve">We would welcome the establishment of dedicated guidance, building on the ESAs' best practices, seeking to harmonize the use of regulatory sandboxes across the EU, so as to ensure a level playing field across the Single Market and facilitate </w:t>
            </w:r>
            <w:r>
              <w:rPr>
                <w:sz w:val="20"/>
                <w:szCs w:val="20"/>
              </w:rPr>
              <w:t xml:space="preserve">the </w:t>
            </w:r>
            <w:r w:rsidRPr="00FC7E67">
              <w:rPr>
                <w:sz w:val="20"/>
                <w:szCs w:val="20"/>
              </w:rPr>
              <w:t>scal</w:t>
            </w:r>
            <w:r>
              <w:rPr>
                <w:sz w:val="20"/>
                <w:szCs w:val="20"/>
              </w:rPr>
              <w:t>ing</w:t>
            </w:r>
            <w:r w:rsidRPr="00FC7E67">
              <w:rPr>
                <w:sz w:val="20"/>
                <w:szCs w:val="20"/>
              </w:rPr>
              <w:t xml:space="preserve"> up</w:t>
            </w:r>
            <w:r w:rsidRPr="007C46AD">
              <w:rPr>
                <w:sz w:val="20"/>
                <w:szCs w:val="20"/>
              </w:rPr>
              <w:t xml:space="preserve"> </w:t>
            </w:r>
            <w:r>
              <w:rPr>
                <w:sz w:val="20"/>
                <w:szCs w:val="20"/>
              </w:rPr>
              <w:t xml:space="preserve">of </w:t>
            </w:r>
            <w:r w:rsidRPr="00735388">
              <w:rPr>
                <w:sz w:val="20"/>
                <w:szCs w:val="20"/>
              </w:rPr>
              <w:t>cross-border businesses.</w:t>
            </w:r>
          </w:p>
          <w:p w14:paraId="165A2AF6" w14:textId="4205387E" w:rsidR="007C46AD" w:rsidRDefault="007C46AD" w:rsidP="007C46AD">
            <w:pPr>
              <w:pStyle w:val="ListParagraph"/>
              <w:numPr>
                <w:ilvl w:val="0"/>
                <w:numId w:val="26"/>
              </w:numPr>
              <w:spacing w:after="120"/>
              <w:ind w:left="184" w:hanging="142"/>
              <w:rPr>
                <w:sz w:val="20"/>
                <w:szCs w:val="20"/>
              </w:rPr>
            </w:pPr>
            <w:r>
              <w:rPr>
                <w:sz w:val="20"/>
                <w:szCs w:val="20"/>
              </w:rPr>
              <w:t>W</w:t>
            </w:r>
            <w:r w:rsidRPr="00735388">
              <w:rPr>
                <w:sz w:val="20"/>
                <w:szCs w:val="20"/>
              </w:rPr>
              <w:t xml:space="preserve">e </w:t>
            </w:r>
            <w:r>
              <w:rPr>
                <w:sz w:val="20"/>
                <w:szCs w:val="20"/>
              </w:rPr>
              <w:t xml:space="preserve">also </w:t>
            </w:r>
            <w:r w:rsidRPr="00735388">
              <w:rPr>
                <w:sz w:val="20"/>
                <w:szCs w:val="20"/>
              </w:rPr>
              <w:t>welcome efforts to facilitate the testing of cross-border projects in more than one Member State. In this regard, the ESAs and the Commission should build on the results of the EFIF and consider the establishment of an EU-level regulatory sandbox</w:t>
            </w:r>
            <w:r w:rsidR="00967F78">
              <w:rPr>
                <w:sz w:val="20"/>
                <w:szCs w:val="20"/>
              </w:rPr>
              <w:t xml:space="preserve">. </w:t>
            </w:r>
            <w:r>
              <w:rPr>
                <w:sz w:val="20"/>
                <w:szCs w:val="20"/>
              </w:rPr>
              <w:t xml:space="preserve">AFME believes the testing of innovative technologies across multiple jurisdictions, should be accelerated in the EU to </w:t>
            </w:r>
            <w:r w:rsidRPr="008350B9">
              <w:rPr>
                <w:rFonts w:eastAsia="Times New Roman"/>
                <w:sz w:val="20"/>
                <w:szCs w:val="20"/>
                <w:lang w:eastAsia="en-GB"/>
              </w:rPr>
              <w:t>ensure adequate and consistent levels of knowledge and understanding of innovation subject matter</w:t>
            </w:r>
            <w:r>
              <w:rPr>
                <w:rFonts w:eastAsia="Times New Roman"/>
                <w:sz w:val="20"/>
                <w:szCs w:val="20"/>
                <w:lang w:eastAsia="en-GB"/>
              </w:rPr>
              <w:t xml:space="preserve">, globally. </w:t>
            </w:r>
            <w:r>
              <w:rPr>
                <w:sz w:val="20"/>
                <w:szCs w:val="20"/>
                <w:lang w:eastAsia="en-GB"/>
              </w:rPr>
              <w:t xml:space="preserve">Efforts </w:t>
            </w:r>
            <w:r w:rsidRPr="008350B9">
              <w:rPr>
                <w:sz w:val="20"/>
                <w:szCs w:val="20"/>
              </w:rPr>
              <w:t>should focus on facilitating knowledge sharing</w:t>
            </w:r>
            <w:r>
              <w:rPr>
                <w:sz w:val="20"/>
                <w:szCs w:val="20"/>
              </w:rPr>
              <w:t xml:space="preserve">, </w:t>
            </w:r>
            <w:r w:rsidRPr="008350B9">
              <w:rPr>
                <w:sz w:val="20"/>
                <w:szCs w:val="20"/>
              </w:rPr>
              <w:t xml:space="preserve">education between regulators </w:t>
            </w:r>
            <w:r>
              <w:rPr>
                <w:sz w:val="20"/>
                <w:szCs w:val="20"/>
              </w:rPr>
              <w:t xml:space="preserve">and </w:t>
            </w:r>
            <w:r w:rsidRPr="008350B9">
              <w:rPr>
                <w:sz w:val="20"/>
                <w:szCs w:val="20"/>
              </w:rPr>
              <w:t xml:space="preserve">a wider network of </w:t>
            </w:r>
            <w:r>
              <w:rPr>
                <w:sz w:val="20"/>
                <w:szCs w:val="20"/>
              </w:rPr>
              <w:t xml:space="preserve">market </w:t>
            </w:r>
            <w:r w:rsidRPr="008350B9">
              <w:rPr>
                <w:sz w:val="20"/>
                <w:szCs w:val="20"/>
              </w:rPr>
              <w:t xml:space="preserve">participants, and joint </w:t>
            </w:r>
            <w:r>
              <w:rPr>
                <w:sz w:val="20"/>
                <w:szCs w:val="20"/>
              </w:rPr>
              <w:t xml:space="preserve">work </w:t>
            </w:r>
            <w:r w:rsidRPr="008350B9">
              <w:rPr>
                <w:sz w:val="20"/>
                <w:szCs w:val="20"/>
              </w:rPr>
              <w:t xml:space="preserve">on policy and regulatory requirements applied to innovative </w:t>
            </w:r>
            <w:r>
              <w:rPr>
                <w:sz w:val="20"/>
                <w:szCs w:val="20"/>
              </w:rPr>
              <w:t>technologies. AFME is supportive of global initiatives such as the BIS Innovation hub, the Global Financial Innovation Network (GFIN) or the International Association for Trusted Blockchain Applications (INATBA)</w:t>
            </w:r>
            <w:r w:rsidR="005D5F62">
              <w:rPr>
                <w:sz w:val="20"/>
                <w:szCs w:val="20"/>
              </w:rPr>
              <w:t xml:space="preserve"> and encourages the </w:t>
            </w:r>
            <w:r w:rsidR="005D5F62" w:rsidRPr="005D5F62">
              <w:rPr>
                <w:sz w:val="20"/>
                <w:szCs w:val="20"/>
              </w:rPr>
              <w:t>European Forum for Innovation Facilitators (EFIF)</w:t>
            </w:r>
            <w:r w:rsidR="005D5F62">
              <w:rPr>
                <w:sz w:val="20"/>
                <w:szCs w:val="20"/>
              </w:rPr>
              <w:t xml:space="preserve"> </w:t>
            </w:r>
            <w:r w:rsidR="00AA736F">
              <w:rPr>
                <w:sz w:val="20"/>
                <w:szCs w:val="20"/>
              </w:rPr>
              <w:t>to take part in relevant forums for the sharing of lessons learned related to innovative technologies</w:t>
            </w:r>
            <w:r w:rsidR="005D5F62">
              <w:rPr>
                <w:sz w:val="20"/>
                <w:szCs w:val="20"/>
              </w:rPr>
              <w:t>.</w:t>
            </w:r>
          </w:p>
          <w:p w14:paraId="54B8D498" w14:textId="2263131E" w:rsidR="00340848" w:rsidRPr="00735388" w:rsidRDefault="007C46AD">
            <w:pPr>
              <w:pStyle w:val="ListParagraph"/>
              <w:numPr>
                <w:ilvl w:val="0"/>
                <w:numId w:val="26"/>
              </w:numPr>
              <w:spacing w:after="120"/>
              <w:ind w:left="184" w:hanging="142"/>
              <w:rPr>
                <w:sz w:val="20"/>
                <w:szCs w:val="20"/>
              </w:rPr>
            </w:pPr>
            <w:r w:rsidRPr="00735388">
              <w:rPr>
                <w:sz w:val="20"/>
                <w:szCs w:val="20"/>
              </w:rPr>
              <w:t xml:space="preserve">Finally, to maximize </w:t>
            </w:r>
            <w:r>
              <w:rPr>
                <w:sz w:val="20"/>
                <w:szCs w:val="20"/>
              </w:rPr>
              <w:t xml:space="preserve">the </w:t>
            </w:r>
            <w:r w:rsidRPr="00735388">
              <w:rPr>
                <w:sz w:val="20"/>
                <w:szCs w:val="20"/>
              </w:rPr>
              <w:t xml:space="preserve">benefits of regulatory sandboxes, </w:t>
            </w:r>
            <w:r>
              <w:rPr>
                <w:sz w:val="20"/>
                <w:szCs w:val="20"/>
              </w:rPr>
              <w:t xml:space="preserve">we recommend </w:t>
            </w:r>
            <w:r w:rsidR="00967F78">
              <w:rPr>
                <w:sz w:val="20"/>
                <w:szCs w:val="20"/>
              </w:rPr>
              <w:t xml:space="preserve">innovation hubs/regulatory sandboxes </w:t>
            </w:r>
            <w:r>
              <w:rPr>
                <w:sz w:val="20"/>
                <w:szCs w:val="20"/>
              </w:rPr>
              <w:t>includ</w:t>
            </w:r>
            <w:r w:rsidR="00967F78">
              <w:rPr>
                <w:sz w:val="20"/>
                <w:szCs w:val="20"/>
              </w:rPr>
              <w:t>e</w:t>
            </w:r>
            <w:r>
              <w:rPr>
                <w:sz w:val="20"/>
                <w:szCs w:val="20"/>
              </w:rPr>
              <w:t xml:space="preserve"> </w:t>
            </w:r>
            <w:r w:rsidR="00967F78">
              <w:rPr>
                <w:sz w:val="20"/>
                <w:szCs w:val="20"/>
              </w:rPr>
              <w:t xml:space="preserve">the </w:t>
            </w:r>
            <w:r w:rsidRPr="00735388">
              <w:rPr>
                <w:sz w:val="20"/>
                <w:szCs w:val="20"/>
              </w:rPr>
              <w:t>broad</w:t>
            </w:r>
            <w:r w:rsidR="00967F78">
              <w:rPr>
                <w:sz w:val="20"/>
                <w:szCs w:val="20"/>
              </w:rPr>
              <w:t>est</w:t>
            </w:r>
            <w:r w:rsidRPr="00735388">
              <w:rPr>
                <w:sz w:val="20"/>
                <w:szCs w:val="20"/>
              </w:rPr>
              <w:t xml:space="preserve"> scope, and involvement</w:t>
            </w:r>
            <w:r w:rsidR="00967F78">
              <w:rPr>
                <w:sz w:val="20"/>
                <w:szCs w:val="20"/>
              </w:rPr>
              <w:t>/</w:t>
            </w:r>
            <w:r w:rsidRPr="00735388">
              <w:rPr>
                <w:sz w:val="20"/>
                <w:szCs w:val="20"/>
              </w:rPr>
              <w:t>close cooperation</w:t>
            </w:r>
            <w:r w:rsidR="00967F78">
              <w:rPr>
                <w:sz w:val="20"/>
                <w:szCs w:val="20"/>
              </w:rPr>
              <w:t xml:space="preserve"> </w:t>
            </w:r>
            <w:r>
              <w:rPr>
                <w:sz w:val="20"/>
                <w:szCs w:val="20"/>
              </w:rPr>
              <w:t xml:space="preserve">with </w:t>
            </w:r>
            <w:r w:rsidR="00967F78">
              <w:rPr>
                <w:sz w:val="20"/>
                <w:szCs w:val="20"/>
              </w:rPr>
              <w:t xml:space="preserve">relevant </w:t>
            </w:r>
            <w:r w:rsidRPr="00735388">
              <w:rPr>
                <w:sz w:val="20"/>
                <w:szCs w:val="20"/>
              </w:rPr>
              <w:t xml:space="preserve">authorities beyond the financial </w:t>
            </w:r>
            <w:r>
              <w:rPr>
                <w:sz w:val="20"/>
                <w:szCs w:val="20"/>
              </w:rPr>
              <w:lastRenderedPageBreak/>
              <w:t>sector</w:t>
            </w:r>
            <w:r w:rsidR="00967F78">
              <w:rPr>
                <w:sz w:val="20"/>
                <w:szCs w:val="20"/>
              </w:rPr>
              <w:t>; f</w:t>
            </w:r>
            <w:r>
              <w:rPr>
                <w:sz w:val="20"/>
                <w:szCs w:val="20"/>
              </w:rPr>
              <w:t>or instance</w:t>
            </w:r>
            <w:r w:rsidRPr="00735388">
              <w:rPr>
                <w:sz w:val="20"/>
                <w:szCs w:val="20"/>
              </w:rPr>
              <w:t xml:space="preserve">, data protection authorities, AML authorities </w:t>
            </w:r>
            <w:r w:rsidR="00385F5E">
              <w:rPr>
                <w:sz w:val="20"/>
                <w:szCs w:val="20"/>
              </w:rPr>
              <w:t xml:space="preserve">or </w:t>
            </w:r>
            <w:r w:rsidRPr="00735388">
              <w:rPr>
                <w:sz w:val="20"/>
                <w:szCs w:val="20"/>
              </w:rPr>
              <w:t>consumer protection agencies.</w:t>
            </w:r>
          </w:p>
        </w:tc>
      </w:tr>
      <w:tr w:rsidR="00340848" w14:paraId="15433123" w14:textId="77777777" w:rsidTr="0053138D">
        <w:trPr>
          <w:trHeight w:val="532"/>
        </w:trPr>
        <w:tc>
          <w:tcPr>
            <w:tcW w:w="1271" w:type="dxa"/>
          </w:tcPr>
          <w:p w14:paraId="451209A3" w14:textId="761D5059" w:rsidR="00340848" w:rsidRDefault="00340848" w:rsidP="0053138D">
            <w:pPr>
              <w:spacing w:after="120"/>
              <w:rPr>
                <w:sz w:val="20"/>
                <w:szCs w:val="20"/>
              </w:rPr>
            </w:pPr>
            <w:r>
              <w:rPr>
                <w:sz w:val="20"/>
                <w:szCs w:val="20"/>
              </w:rPr>
              <w:lastRenderedPageBreak/>
              <w:t>22</w:t>
            </w:r>
          </w:p>
        </w:tc>
        <w:tc>
          <w:tcPr>
            <w:tcW w:w="2126" w:type="dxa"/>
          </w:tcPr>
          <w:p w14:paraId="60088DED" w14:textId="7766BF80" w:rsidR="00340848" w:rsidRDefault="00340848" w:rsidP="00A565B8">
            <w:pPr>
              <w:rPr>
                <w:rFonts w:eastAsia="Times New Roman"/>
                <w:sz w:val="20"/>
                <w:szCs w:val="20"/>
                <w:lang w:eastAsia="en-GB"/>
              </w:rPr>
            </w:pPr>
            <w:r>
              <w:rPr>
                <w:rFonts w:eastAsia="Times New Roman"/>
                <w:sz w:val="20"/>
                <w:szCs w:val="20"/>
                <w:lang w:eastAsia="en-GB"/>
              </w:rPr>
              <w:t>AFME to respond</w:t>
            </w:r>
          </w:p>
        </w:tc>
        <w:tc>
          <w:tcPr>
            <w:tcW w:w="7060" w:type="dxa"/>
          </w:tcPr>
          <w:p w14:paraId="5C93B41C" w14:textId="43903361" w:rsidR="001E7096" w:rsidRPr="00735388" w:rsidRDefault="001E7096" w:rsidP="00735388">
            <w:pPr>
              <w:pStyle w:val="ListParagraph"/>
              <w:numPr>
                <w:ilvl w:val="0"/>
                <w:numId w:val="26"/>
              </w:numPr>
              <w:spacing w:after="120"/>
              <w:ind w:left="184" w:hanging="142"/>
              <w:rPr>
                <w:sz w:val="20"/>
                <w:szCs w:val="20"/>
              </w:rPr>
            </w:pPr>
            <w:r w:rsidRPr="001E7096">
              <w:rPr>
                <w:sz w:val="20"/>
                <w:szCs w:val="20"/>
              </w:rPr>
              <w:t xml:space="preserve">A level playing field for all financial services participants is needed to manage </w:t>
            </w:r>
            <w:r w:rsidR="009A5B36">
              <w:rPr>
                <w:sz w:val="20"/>
                <w:szCs w:val="20"/>
              </w:rPr>
              <w:t xml:space="preserve">and mitigate any </w:t>
            </w:r>
            <w:r w:rsidRPr="001E7096">
              <w:rPr>
                <w:sz w:val="20"/>
                <w:szCs w:val="20"/>
              </w:rPr>
              <w:t xml:space="preserve">risk to </w:t>
            </w:r>
            <w:r w:rsidR="00770CDB">
              <w:rPr>
                <w:sz w:val="20"/>
                <w:szCs w:val="20"/>
              </w:rPr>
              <w:t>clients/</w:t>
            </w:r>
            <w:r w:rsidRPr="001E7096">
              <w:rPr>
                <w:sz w:val="20"/>
                <w:szCs w:val="20"/>
              </w:rPr>
              <w:t>consumers and financial stability</w:t>
            </w:r>
            <w:r w:rsidR="009A5B36">
              <w:rPr>
                <w:sz w:val="20"/>
                <w:szCs w:val="20"/>
              </w:rPr>
              <w:t>,</w:t>
            </w:r>
            <w:r w:rsidRPr="001E7096">
              <w:rPr>
                <w:sz w:val="20"/>
                <w:szCs w:val="20"/>
              </w:rPr>
              <w:t xml:space="preserve"> while supporting competition and innovation. A level-playing field should be maintained based on the principle of ‘same risk, same activity, same regulation’</w:t>
            </w:r>
            <w:r w:rsidRPr="00735388">
              <w:rPr>
                <w:sz w:val="20"/>
                <w:szCs w:val="20"/>
              </w:rPr>
              <w:t>.</w:t>
            </w:r>
            <w:r w:rsidR="00BE651F">
              <w:rPr>
                <w:sz w:val="20"/>
                <w:szCs w:val="20"/>
              </w:rPr>
              <w:t xml:space="preserve"> See AFME comments provided </w:t>
            </w:r>
            <w:r w:rsidR="00BE651F" w:rsidRPr="001A71F6">
              <w:rPr>
                <w:sz w:val="20"/>
                <w:szCs w:val="20"/>
              </w:rPr>
              <w:t>in the Executive Summary.</w:t>
            </w:r>
            <w:r w:rsidRPr="00735388">
              <w:rPr>
                <w:sz w:val="20"/>
                <w:szCs w:val="20"/>
              </w:rPr>
              <w:t xml:space="preserve"> </w:t>
            </w:r>
          </w:p>
          <w:p w14:paraId="4339A386" w14:textId="65D06AA5" w:rsidR="00340848" w:rsidRPr="00735388" w:rsidRDefault="001E7096">
            <w:pPr>
              <w:pStyle w:val="ListParagraph"/>
              <w:numPr>
                <w:ilvl w:val="0"/>
                <w:numId w:val="26"/>
              </w:numPr>
              <w:spacing w:after="120"/>
              <w:ind w:left="184" w:hanging="142"/>
              <w:rPr>
                <w:sz w:val="20"/>
                <w:szCs w:val="20"/>
              </w:rPr>
            </w:pPr>
            <w:r w:rsidRPr="001A71F6">
              <w:rPr>
                <w:sz w:val="20"/>
                <w:szCs w:val="20"/>
              </w:rPr>
              <w:t>Regarding lending</w:t>
            </w:r>
            <w:r w:rsidR="001A71F6">
              <w:rPr>
                <w:sz w:val="20"/>
                <w:szCs w:val="20"/>
              </w:rPr>
              <w:t xml:space="preserve"> activity</w:t>
            </w:r>
            <w:r w:rsidRPr="001A71F6">
              <w:rPr>
                <w:sz w:val="20"/>
                <w:szCs w:val="20"/>
              </w:rPr>
              <w:t xml:space="preserve">, currently, some countries require non-bank credit providers to obtain a licence, while others have in place an opt-in framework (e.g. as in the case of Spain's </w:t>
            </w:r>
            <w:r w:rsidR="001A71F6">
              <w:rPr>
                <w:sz w:val="20"/>
                <w:szCs w:val="20"/>
              </w:rPr>
              <w:t>‘</w:t>
            </w:r>
            <w:proofErr w:type="spellStart"/>
            <w:r w:rsidRPr="001A71F6">
              <w:rPr>
                <w:sz w:val="20"/>
                <w:szCs w:val="20"/>
              </w:rPr>
              <w:t>Establecimientos</w:t>
            </w:r>
            <w:proofErr w:type="spellEnd"/>
            <w:r w:rsidRPr="001A71F6">
              <w:rPr>
                <w:sz w:val="20"/>
                <w:szCs w:val="20"/>
              </w:rPr>
              <w:t xml:space="preserve"> </w:t>
            </w:r>
            <w:proofErr w:type="spellStart"/>
            <w:r w:rsidRPr="001A71F6">
              <w:rPr>
                <w:sz w:val="20"/>
                <w:szCs w:val="20"/>
              </w:rPr>
              <w:t>Financieros</w:t>
            </w:r>
            <w:proofErr w:type="spellEnd"/>
            <w:r w:rsidRPr="001A71F6">
              <w:rPr>
                <w:sz w:val="20"/>
                <w:szCs w:val="20"/>
              </w:rPr>
              <w:t xml:space="preserve"> de </w:t>
            </w:r>
            <w:proofErr w:type="spellStart"/>
            <w:r w:rsidRPr="001A71F6">
              <w:rPr>
                <w:sz w:val="20"/>
                <w:szCs w:val="20"/>
              </w:rPr>
              <w:t>Crédito</w:t>
            </w:r>
            <w:proofErr w:type="spellEnd"/>
            <w:r w:rsidR="00A13587">
              <w:rPr>
                <w:rStyle w:val="FootnoteReference"/>
                <w:sz w:val="20"/>
                <w:szCs w:val="20"/>
              </w:rPr>
              <w:footnoteReference w:id="36"/>
            </w:r>
            <w:r w:rsidR="001A71F6">
              <w:rPr>
                <w:sz w:val="20"/>
                <w:szCs w:val="20"/>
              </w:rPr>
              <w:t>’</w:t>
            </w:r>
            <w:r w:rsidRPr="001A71F6">
              <w:rPr>
                <w:sz w:val="20"/>
                <w:szCs w:val="20"/>
              </w:rPr>
              <w:t xml:space="preserve">). In practice, this </w:t>
            </w:r>
            <w:r w:rsidR="00A02FFF">
              <w:rPr>
                <w:sz w:val="20"/>
                <w:szCs w:val="20"/>
              </w:rPr>
              <w:t xml:space="preserve">could </w:t>
            </w:r>
            <w:r w:rsidRPr="001A71F6">
              <w:rPr>
                <w:sz w:val="20"/>
                <w:szCs w:val="20"/>
              </w:rPr>
              <w:t>lead to situation</w:t>
            </w:r>
            <w:r w:rsidR="00A02FFF">
              <w:rPr>
                <w:sz w:val="20"/>
                <w:szCs w:val="20"/>
              </w:rPr>
              <w:t>s</w:t>
            </w:r>
            <w:r w:rsidRPr="001A71F6">
              <w:rPr>
                <w:sz w:val="20"/>
                <w:szCs w:val="20"/>
              </w:rPr>
              <w:t xml:space="preserve"> of </w:t>
            </w:r>
            <w:r w:rsidR="00A02FFF">
              <w:rPr>
                <w:sz w:val="20"/>
                <w:szCs w:val="20"/>
              </w:rPr>
              <w:t xml:space="preserve">an </w:t>
            </w:r>
            <w:r w:rsidRPr="001A71F6">
              <w:rPr>
                <w:sz w:val="20"/>
                <w:szCs w:val="20"/>
              </w:rPr>
              <w:t>un</w:t>
            </w:r>
            <w:r w:rsidR="001A71F6">
              <w:rPr>
                <w:sz w:val="20"/>
                <w:szCs w:val="20"/>
              </w:rPr>
              <w:t>-</w:t>
            </w:r>
            <w:r w:rsidRPr="001A71F6">
              <w:rPr>
                <w:sz w:val="20"/>
                <w:szCs w:val="20"/>
              </w:rPr>
              <w:t xml:space="preserve">levelled playing </w:t>
            </w:r>
            <w:r w:rsidR="001A71F6">
              <w:rPr>
                <w:sz w:val="20"/>
                <w:szCs w:val="20"/>
              </w:rPr>
              <w:t xml:space="preserve">field </w:t>
            </w:r>
            <w:r w:rsidR="00A02FFF">
              <w:rPr>
                <w:sz w:val="20"/>
                <w:szCs w:val="20"/>
              </w:rPr>
              <w:t xml:space="preserve">between </w:t>
            </w:r>
            <w:r w:rsidRPr="001A71F6">
              <w:rPr>
                <w:sz w:val="20"/>
                <w:szCs w:val="20"/>
              </w:rPr>
              <w:t>countries</w:t>
            </w:r>
            <w:r w:rsidR="00A02FFF">
              <w:rPr>
                <w:sz w:val="20"/>
                <w:szCs w:val="20"/>
              </w:rPr>
              <w:t xml:space="preserve"> and </w:t>
            </w:r>
            <w:r w:rsidRPr="001A71F6">
              <w:rPr>
                <w:sz w:val="20"/>
                <w:szCs w:val="20"/>
              </w:rPr>
              <w:t xml:space="preserve">between different types of </w:t>
            </w:r>
            <w:r w:rsidR="00A02FFF" w:rsidRPr="001A71F6">
              <w:rPr>
                <w:sz w:val="20"/>
                <w:szCs w:val="20"/>
              </w:rPr>
              <w:t xml:space="preserve">credit </w:t>
            </w:r>
            <w:r w:rsidRPr="001A71F6">
              <w:rPr>
                <w:sz w:val="20"/>
                <w:szCs w:val="20"/>
              </w:rPr>
              <w:t xml:space="preserve">providers. In this regard, we believe that lending </w:t>
            </w:r>
            <w:r w:rsidR="001A71F6">
              <w:rPr>
                <w:sz w:val="20"/>
                <w:szCs w:val="20"/>
              </w:rPr>
              <w:t xml:space="preserve">activity </w:t>
            </w:r>
            <w:r w:rsidR="00A02FFF">
              <w:rPr>
                <w:sz w:val="20"/>
                <w:szCs w:val="20"/>
              </w:rPr>
              <w:t xml:space="preserve">should </w:t>
            </w:r>
            <w:r w:rsidRPr="001A71F6">
              <w:rPr>
                <w:sz w:val="20"/>
                <w:szCs w:val="20"/>
              </w:rPr>
              <w:t>benefit from higher</w:t>
            </w:r>
            <w:r w:rsidR="001A71F6">
              <w:rPr>
                <w:sz w:val="20"/>
                <w:szCs w:val="20"/>
              </w:rPr>
              <w:t xml:space="preserve"> levels of</w:t>
            </w:r>
            <w:r w:rsidRPr="001A71F6">
              <w:rPr>
                <w:sz w:val="20"/>
                <w:szCs w:val="20"/>
              </w:rPr>
              <w:t xml:space="preserve"> harmoni</w:t>
            </w:r>
            <w:r w:rsidR="001A71F6">
              <w:rPr>
                <w:sz w:val="20"/>
                <w:szCs w:val="20"/>
              </w:rPr>
              <w:t>s</w:t>
            </w:r>
            <w:r w:rsidRPr="001A71F6">
              <w:rPr>
                <w:sz w:val="20"/>
                <w:szCs w:val="20"/>
              </w:rPr>
              <w:t>ation at least through the establishment of a common framework that guarantees minimum</w:t>
            </w:r>
            <w:r w:rsidRPr="001E7096">
              <w:rPr>
                <w:sz w:val="20"/>
                <w:szCs w:val="20"/>
              </w:rPr>
              <w:t xml:space="preserve"> requirements being applied to all credit providers across the EU.</w:t>
            </w:r>
          </w:p>
        </w:tc>
      </w:tr>
      <w:tr w:rsidR="001A72DC" w14:paraId="29E7D4B9" w14:textId="77777777" w:rsidTr="001A72DC">
        <w:trPr>
          <w:trHeight w:val="342"/>
        </w:trPr>
        <w:tc>
          <w:tcPr>
            <w:tcW w:w="10457" w:type="dxa"/>
            <w:gridSpan w:val="3"/>
            <w:shd w:val="clear" w:color="auto" w:fill="D6E3BC" w:themeFill="accent3" w:themeFillTint="66"/>
          </w:tcPr>
          <w:p w14:paraId="5612CA4D" w14:textId="3CE2B3BA" w:rsidR="001A72DC" w:rsidRDefault="001A72DC" w:rsidP="0042399D">
            <w:pPr>
              <w:spacing w:after="120"/>
              <w:rPr>
                <w:sz w:val="20"/>
                <w:szCs w:val="20"/>
              </w:rPr>
            </w:pPr>
            <w:r w:rsidRPr="001A72DC">
              <w:rPr>
                <w:sz w:val="20"/>
                <w:szCs w:val="20"/>
              </w:rPr>
              <w:t>Ensure fair and open access to relevant technical infrastructures for all financial service providers that wish to offer their services across the Single Market</w:t>
            </w:r>
          </w:p>
        </w:tc>
      </w:tr>
      <w:tr w:rsidR="00147DD7" w14:paraId="6910D8F2" w14:textId="77777777" w:rsidTr="0053138D">
        <w:trPr>
          <w:trHeight w:val="436"/>
        </w:trPr>
        <w:tc>
          <w:tcPr>
            <w:tcW w:w="1271" w:type="dxa"/>
          </w:tcPr>
          <w:p w14:paraId="3DD89480" w14:textId="1C5BE0CB" w:rsidR="00147DD7" w:rsidRDefault="001A72DC" w:rsidP="0053138D">
            <w:pPr>
              <w:spacing w:after="120"/>
              <w:rPr>
                <w:sz w:val="20"/>
                <w:szCs w:val="20"/>
              </w:rPr>
            </w:pPr>
            <w:r>
              <w:rPr>
                <w:sz w:val="20"/>
                <w:szCs w:val="20"/>
              </w:rPr>
              <w:t>23</w:t>
            </w:r>
          </w:p>
        </w:tc>
        <w:tc>
          <w:tcPr>
            <w:tcW w:w="2126" w:type="dxa"/>
          </w:tcPr>
          <w:p w14:paraId="1500F104" w14:textId="0BCB8272" w:rsidR="00147DD7" w:rsidRPr="0042399D" w:rsidRDefault="00351797" w:rsidP="0042399D">
            <w:pPr>
              <w:rPr>
                <w:rFonts w:eastAsia="Times New Roman"/>
                <w:b/>
                <w:sz w:val="20"/>
                <w:szCs w:val="20"/>
                <w:lang w:eastAsia="en-GB"/>
              </w:rPr>
            </w:pPr>
            <w:r w:rsidRPr="00E42368">
              <w:rPr>
                <w:rFonts w:eastAsia="Times New Roman"/>
                <w:sz w:val="20"/>
                <w:szCs w:val="20"/>
                <w:lang w:eastAsia="en-GB"/>
              </w:rPr>
              <w:t>AFME to respond</w:t>
            </w:r>
          </w:p>
        </w:tc>
        <w:tc>
          <w:tcPr>
            <w:tcW w:w="7060" w:type="dxa"/>
          </w:tcPr>
          <w:p w14:paraId="4792CB79" w14:textId="12B0CE46" w:rsidR="0037797F" w:rsidRDefault="00E324CF" w:rsidP="0037797F">
            <w:pPr>
              <w:pStyle w:val="ListParagraph"/>
              <w:numPr>
                <w:ilvl w:val="0"/>
                <w:numId w:val="26"/>
              </w:numPr>
              <w:spacing w:after="120"/>
              <w:ind w:left="184" w:hanging="142"/>
              <w:rPr>
                <w:sz w:val="20"/>
                <w:szCs w:val="20"/>
              </w:rPr>
            </w:pPr>
            <w:r>
              <w:rPr>
                <w:sz w:val="20"/>
                <w:szCs w:val="20"/>
              </w:rPr>
              <w:t xml:space="preserve">It is important to note that there are currently a number of interpretations and definitions of </w:t>
            </w:r>
            <w:r w:rsidR="00576DE2">
              <w:rPr>
                <w:sz w:val="20"/>
                <w:szCs w:val="20"/>
              </w:rPr>
              <w:t>the term ‘</w:t>
            </w:r>
            <w:r w:rsidR="00576DE2" w:rsidRPr="00576DE2">
              <w:rPr>
                <w:sz w:val="20"/>
                <w:szCs w:val="20"/>
              </w:rPr>
              <w:t>relevant technical infrastructures</w:t>
            </w:r>
            <w:r w:rsidR="00576DE2">
              <w:rPr>
                <w:sz w:val="20"/>
                <w:szCs w:val="20"/>
              </w:rPr>
              <w:t xml:space="preserve">’ </w:t>
            </w:r>
            <w:r>
              <w:rPr>
                <w:sz w:val="20"/>
                <w:szCs w:val="20"/>
              </w:rPr>
              <w:t>both within and outside the financial sector</w:t>
            </w:r>
            <w:r w:rsidR="00576DE2">
              <w:rPr>
                <w:sz w:val="20"/>
                <w:szCs w:val="20"/>
              </w:rPr>
              <w:t>.</w:t>
            </w:r>
          </w:p>
          <w:p w14:paraId="727713EA" w14:textId="28D0A2CE" w:rsidR="002A1829" w:rsidRDefault="005026FB" w:rsidP="002A1829">
            <w:pPr>
              <w:pStyle w:val="ListParagraph"/>
              <w:numPr>
                <w:ilvl w:val="0"/>
                <w:numId w:val="26"/>
              </w:numPr>
              <w:spacing w:after="120"/>
              <w:ind w:left="184" w:hanging="142"/>
              <w:rPr>
                <w:sz w:val="20"/>
                <w:szCs w:val="20"/>
              </w:rPr>
            </w:pPr>
            <w:r>
              <w:rPr>
                <w:sz w:val="20"/>
                <w:szCs w:val="20"/>
              </w:rPr>
              <w:t>R</w:t>
            </w:r>
            <w:r w:rsidR="003E69B0">
              <w:rPr>
                <w:sz w:val="20"/>
                <w:szCs w:val="20"/>
              </w:rPr>
              <w:t>egarding the technical infrastructure provided by third parties</w:t>
            </w:r>
            <w:r>
              <w:rPr>
                <w:sz w:val="20"/>
                <w:szCs w:val="20"/>
              </w:rPr>
              <w:t>, such as platforms</w:t>
            </w:r>
            <w:r w:rsidR="003E69B0">
              <w:rPr>
                <w:sz w:val="20"/>
                <w:szCs w:val="20"/>
              </w:rPr>
              <w:t xml:space="preserve">, </w:t>
            </w:r>
            <w:r w:rsidR="002A1829">
              <w:rPr>
                <w:sz w:val="20"/>
                <w:szCs w:val="20"/>
              </w:rPr>
              <w:t xml:space="preserve">financial services firms are increasingly required to </w:t>
            </w:r>
            <w:r>
              <w:rPr>
                <w:sz w:val="20"/>
                <w:szCs w:val="20"/>
              </w:rPr>
              <w:t xml:space="preserve">use this infrastructure to </w:t>
            </w:r>
            <w:r w:rsidR="002A1829">
              <w:rPr>
                <w:sz w:val="20"/>
                <w:szCs w:val="20"/>
              </w:rPr>
              <w:t xml:space="preserve">remain abreast of changes and benefits brought forward by </w:t>
            </w:r>
            <w:r w:rsidR="00BA01E8">
              <w:rPr>
                <w:sz w:val="20"/>
                <w:szCs w:val="20"/>
              </w:rPr>
              <w:t xml:space="preserve">the </w:t>
            </w:r>
            <w:r w:rsidR="002A1829">
              <w:rPr>
                <w:sz w:val="20"/>
                <w:szCs w:val="20"/>
              </w:rPr>
              <w:t>digital transformation</w:t>
            </w:r>
            <w:r w:rsidR="00BA01E8">
              <w:rPr>
                <w:sz w:val="20"/>
                <w:szCs w:val="20"/>
              </w:rPr>
              <w:t xml:space="preserve"> of society/the economy</w:t>
            </w:r>
            <w:r>
              <w:rPr>
                <w:sz w:val="20"/>
                <w:szCs w:val="20"/>
              </w:rPr>
              <w:t xml:space="preserve"> and </w:t>
            </w:r>
            <w:r w:rsidR="003E69B0">
              <w:rPr>
                <w:sz w:val="20"/>
                <w:szCs w:val="20"/>
              </w:rPr>
              <w:t>to remain competitive</w:t>
            </w:r>
            <w:r w:rsidR="002A1829">
              <w:rPr>
                <w:sz w:val="20"/>
                <w:szCs w:val="20"/>
              </w:rPr>
              <w:t>. For example,</w:t>
            </w:r>
          </w:p>
          <w:p w14:paraId="6DBDA655" w14:textId="0C0453B7" w:rsidR="00FF14F9" w:rsidRPr="00735388" w:rsidRDefault="00BA01E8" w:rsidP="00735388">
            <w:pPr>
              <w:pStyle w:val="ListParagraph"/>
              <w:numPr>
                <w:ilvl w:val="1"/>
                <w:numId w:val="26"/>
              </w:numPr>
              <w:spacing w:after="120"/>
              <w:ind w:left="606" w:hanging="284"/>
              <w:rPr>
                <w:sz w:val="20"/>
                <w:szCs w:val="20"/>
              </w:rPr>
            </w:pPr>
            <w:r>
              <w:rPr>
                <w:sz w:val="20"/>
                <w:szCs w:val="20"/>
              </w:rPr>
              <w:t xml:space="preserve">Firms must remain abreast </w:t>
            </w:r>
            <w:r w:rsidR="00576DE2">
              <w:rPr>
                <w:sz w:val="20"/>
                <w:szCs w:val="20"/>
              </w:rPr>
              <w:t xml:space="preserve">of </w:t>
            </w:r>
            <w:r w:rsidR="002A1829">
              <w:rPr>
                <w:sz w:val="20"/>
                <w:szCs w:val="20"/>
              </w:rPr>
              <w:t>client/</w:t>
            </w:r>
            <w:r w:rsidR="00FF14F9" w:rsidRPr="00FF14F9">
              <w:rPr>
                <w:sz w:val="20"/>
                <w:szCs w:val="20"/>
              </w:rPr>
              <w:t xml:space="preserve">customer </w:t>
            </w:r>
            <w:r w:rsidR="002A1829">
              <w:rPr>
                <w:sz w:val="20"/>
                <w:szCs w:val="20"/>
              </w:rPr>
              <w:t>preferences</w:t>
            </w:r>
            <w:r w:rsidR="00576DE2">
              <w:rPr>
                <w:sz w:val="20"/>
                <w:szCs w:val="20"/>
              </w:rPr>
              <w:t xml:space="preserve"> and changes</w:t>
            </w:r>
            <w:r>
              <w:rPr>
                <w:sz w:val="20"/>
                <w:szCs w:val="20"/>
              </w:rPr>
              <w:t xml:space="preserve">, such </w:t>
            </w:r>
            <w:r w:rsidR="00576DE2">
              <w:rPr>
                <w:sz w:val="20"/>
                <w:szCs w:val="20"/>
              </w:rPr>
              <w:t xml:space="preserve">as </w:t>
            </w:r>
            <w:r w:rsidR="00FF14F9" w:rsidRPr="00FF14F9">
              <w:rPr>
                <w:sz w:val="20"/>
                <w:szCs w:val="20"/>
              </w:rPr>
              <w:t xml:space="preserve">the rise of electronic </w:t>
            </w:r>
            <w:r w:rsidR="002A1829">
              <w:rPr>
                <w:sz w:val="20"/>
                <w:szCs w:val="20"/>
              </w:rPr>
              <w:t xml:space="preserve">means of </w:t>
            </w:r>
            <w:r w:rsidR="00FF14F9" w:rsidRPr="00FF14F9">
              <w:rPr>
                <w:sz w:val="20"/>
                <w:szCs w:val="20"/>
              </w:rPr>
              <w:t xml:space="preserve">payment; </w:t>
            </w:r>
            <w:r w:rsidR="002A1829">
              <w:rPr>
                <w:sz w:val="20"/>
                <w:szCs w:val="20"/>
              </w:rPr>
              <w:t xml:space="preserve">or </w:t>
            </w:r>
            <w:r>
              <w:rPr>
                <w:sz w:val="20"/>
                <w:szCs w:val="20"/>
              </w:rPr>
              <w:t xml:space="preserve">being able to provide </w:t>
            </w:r>
            <w:r w:rsidR="00FF14F9" w:rsidRPr="00FF14F9">
              <w:rPr>
                <w:sz w:val="20"/>
                <w:szCs w:val="20"/>
              </w:rPr>
              <w:t xml:space="preserve">financial services products </w:t>
            </w:r>
            <w:r w:rsidR="00576DE2">
              <w:rPr>
                <w:sz w:val="20"/>
                <w:szCs w:val="20"/>
              </w:rPr>
              <w:t>through digital means</w:t>
            </w:r>
            <w:r w:rsidR="00FF14F9" w:rsidRPr="00FF14F9">
              <w:rPr>
                <w:sz w:val="20"/>
                <w:szCs w:val="20"/>
              </w:rPr>
              <w:t>.</w:t>
            </w:r>
            <w:r w:rsidR="003E69B0">
              <w:rPr>
                <w:sz w:val="20"/>
                <w:szCs w:val="20"/>
              </w:rPr>
              <w:t xml:space="preserve"> Similarly</w:t>
            </w:r>
            <w:r w:rsidR="00576DE2" w:rsidRPr="00735388">
              <w:rPr>
                <w:sz w:val="20"/>
                <w:szCs w:val="20"/>
              </w:rPr>
              <w:t>, f</w:t>
            </w:r>
            <w:r w:rsidRPr="00735388">
              <w:rPr>
                <w:sz w:val="20"/>
                <w:szCs w:val="20"/>
              </w:rPr>
              <w:t>irms must remain abreast of changes</w:t>
            </w:r>
            <w:r w:rsidR="00576DE2" w:rsidRPr="00735388">
              <w:rPr>
                <w:sz w:val="20"/>
                <w:szCs w:val="20"/>
              </w:rPr>
              <w:t xml:space="preserve"> </w:t>
            </w:r>
            <w:r w:rsidRPr="00735388">
              <w:rPr>
                <w:sz w:val="20"/>
                <w:szCs w:val="20"/>
              </w:rPr>
              <w:t xml:space="preserve">to the </w:t>
            </w:r>
            <w:r w:rsidR="00FF14F9" w:rsidRPr="00735388">
              <w:rPr>
                <w:sz w:val="20"/>
                <w:szCs w:val="20"/>
              </w:rPr>
              <w:t>technical infrastructure</w:t>
            </w:r>
            <w:r w:rsidR="002A1829" w:rsidRPr="00735388">
              <w:rPr>
                <w:sz w:val="20"/>
                <w:szCs w:val="20"/>
              </w:rPr>
              <w:t xml:space="preserve"> provided by third parties</w:t>
            </w:r>
            <w:r w:rsidRPr="00735388">
              <w:rPr>
                <w:sz w:val="20"/>
                <w:szCs w:val="20"/>
              </w:rPr>
              <w:t xml:space="preserve">, </w:t>
            </w:r>
            <w:r w:rsidR="00576DE2" w:rsidRPr="00735388">
              <w:rPr>
                <w:sz w:val="20"/>
                <w:szCs w:val="20"/>
              </w:rPr>
              <w:t xml:space="preserve">that </w:t>
            </w:r>
            <w:r w:rsidR="002A1829" w:rsidRPr="00735388">
              <w:rPr>
                <w:sz w:val="20"/>
                <w:szCs w:val="20"/>
              </w:rPr>
              <w:t xml:space="preserve">can underpin </w:t>
            </w:r>
            <w:r w:rsidR="00576DE2" w:rsidRPr="00735388">
              <w:rPr>
                <w:sz w:val="20"/>
                <w:szCs w:val="20"/>
              </w:rPr>
              <w:t xml:space="preserve">the </w:t>
            </w:r>
            <w:r w:rsidR="002A1829" w:rsidRPr="00735388">
              <w:rPr>
                <w:sz w:val="20"/>
                <w:szCs w:val="20"/>
              </w:rPr>
              <w:t>digital transformation</w:t>
            </w:r>
            <w:r w:rsidR="00576DE2" w:rsidRPr="00735388">
              <w:rPr>
                <w:sz w:val="20"/>
                <w:szCs w:val="20"/>
              </w:rPr>
              <w:t xml:space="preserve"> of firms</w:t>
            </w:r>
            <w:r w:rsidRPr="00735388">
              <w:rPr>
                <w:sz w:val="20"/>
                <w:szCs w:val="20"/>
              </w:rPr>
              <w:t xml:space="preserve">, such as hand-held </w:t>
            </w:r>
            <w:r w:rsidR="00FF14F9" w:rsidRPr="00735388">
              <w:rPr>
                <w:sz w:val="20"/>
                <w:szCs w:val="20"/>
              </w:rPr>
              <w:t xml:space="preserve">devices </w:t>
            </w:r>
            <w:r w:rsidRPr="00735388">
              <w:rPr>
                <w:sz w:val="20"/>
                <w:szCs w:val="20"/>
              </w:rPr>
              <w:t xml:space="preserve">(e.g. and </w:t>
            </w:r>
            <w:r w:rsidR="00FF14F9" w:rsidRPr="00735388">
              <w:rPr>
                <w:sz w:val="20"/>
                <w:szCs w:val="20"/>
              </w:rPr>
              <w:t>associated functionalit</w:t>
            </w:r>
            <w:r w:rsidRPr="00735388">
              <w:rPr>
                <w:sz w:val="20"/>
                <w:szCs w:val="20"/>
              </w:rPr>
              <w:t>ies)</w:t>
            </w:r>
            <w:r w:rsidR="003E69B0">
              <w:rPr>
                <w:sz w:val="20"/>
                <w:szCs w:val="20"/>
              </w:rPr>
              <w:t xml:space="preserve"> and other type of technical infrastructure that may be relevant to their business</w:t>
            </w:r>
            <w:r w:rsidRPr="00735388">
              <w:rPr>
                <w:sz w:val="20"/>
                <w:szCs w:val="20"/>
              </w:rPr>
              <w:t>.</w:t>
            </w:r>
            <w:r w:rsidR="00FF14F9" w:rsidRPr="00735388">
              <w:rPr>
                <w:sz w:val="20"/>
                <w:szCs w:val="20"/>
              </w:rPr>
              <w:t xml:space="preserve"> </w:t>
            </w:r>
            <w:r w:rsidRPr="00735388">
              <w:rPr>
                <w:sz w:val="20"/>
                <w:szCs w:val="20"/>
              </w:rPr>
              <w:t>However, t</w:t>
            </w:r>
            <w:r w:rsidR="00FF14F9" w:rsidRPr="00735388">
              <w:rPr>
                <w:sz w:val="20"/>
                <w:szCs w:val="20"/>
              </w:rPr>
              <w:t>his infrastructure is not always available on an equal basis to all market participants</w:t>
            </w:r>
            <w:r w:rsidRPr="00735388">
              <w:rPr>
                <w:sz w:val="20"/>
                <w:szCs w:val="20"/>
              </w:rPr>
              <w:t xml:space="preserve">. </w:t>
            </w:r>
            <w:r w:rsidR="00FF14F9" w:rsidRPr="00735388">
              <w:rPr>
                <w:sz w:val="20"/>
                <w:szCs w:val="20"/>
              </w:rPr>
              <w:t xml:space="preserve">This </w:t>
            </w:r>
            <w:r w:rsidR="003E69B0">
              <w:rPr>
                <w:sz w:val="20"/>
                <w:szCs w:val="20"/>
              </w:rPr>
              <w:t xml:space="preserve">potential </w:t>
            </w:r>
            <w:r w:rsidRPr="00735388">
              <w:rPr>
                <w:sz w:val="20"/>
                <w:szCs w:val="20"/>
              </w:rPr>
              <w:t xml:space="preserve">un-equal availability could result in some market players being </w:t>
            </w:r>
            <w:r w:rsidR="00FF14F9" w:rsidRPr="00735388">
              <w:rPr>
                <w:sz w:val="20"/>
                <w:szCs w:val="20"/>
              </w:rPr>
              <w:t xml:space="preserve">restricted </w:t>
            </w:r>
            <w:r w:rsidRPr="00735388">
              <w:rPr>
                <w:sz w:val="20"/>
                <w:szCs w:val="20"/>
              </w:rPr>
              <w:t xml:space="preserve">to </w:t>
            </w:r>
            <w:proofErr w:type="gramStart"/>
            <w:r w:rsidR="00FF14F9" w:rsidRPr="00735388">
              <w:rPr>
                <w:sz w:val="20"/>
                <w:szCs w:val="20"/>
              </w:rPr>
              <w:t>particular terms</w:t>
            </w:r>
            <w:proofErr w:type="gramEnd"/>
            <w:r w:rsidR="00FF14F9" w:rsidRPr="00735388">
              <w:rPr>
                <w:sz w:val="20"/>
                <w:szCs w:val="20"/>
              </w:rPr>
              <w:t xml:space="preserve"> and conditions</w:t>
            </w:r>
            <w:r w:rsidRPr="00735388">
              <w:rPr>
                <w:sz w:val="20"/>
                <w:szCs w:val="20"/>
              </w:rPr>
              <w:t xml:space="preserve"> for their use</w:t>
            </w:r>
            <w:r w:rsidR="00FF14F9" w:rsidRPr="00735388">
              <w:rPr>
                <w:sz w:val="20"/>
                <w:szCs w:val="20"/>
              </w:rPr>
              <w:t>.</w:t>
            </w:r>
          </w:p>
          <w:p w14:paraId="1FA2EDA3" w14:textId="0C721B2E" w:rsidR="00FF14F9" w:rsidRPr="00FF14F9" w:rsidRDefault="00FF14F9" w:rsidP="00735388">
            <w:pPr>
              <w:pStyle w:val="ListParagraph"/>
              <w:numPr>
                <w:ilvl w:val="0"/>
                <w:numId w:val="26"/>
              </w:numPr>
              <w:spacing w:after="120"/>
              <w:ind w:left="184" w:hanging="142"/>
              <w:rPr>
                <w:sz w:val="20"/>
                <w:szCs w:val="20"/>
              </w:rPr>
            </w:pPr>
            <w:r w:rsidRPr="00FF14F9">
              <w:rPr>
                <w:sz w:val="20"/>
                <w:szCs w:val="20"/>
              </w:rPr>
              <w:t xml:space="preserve">As the trend towards greater </w:t>
            </w:r>
            <w:r w:rsidR="00BA01E8">
              <w:rPr>
                <w:sz w:val="20"/>
                <w:szCs w:val="20"/>
              </w:rPr>
              <w:t xml:space="preserve">digital transformation </w:t>
            </w:r>
            <w:r w:rsidRPr="00FF14F9">
              <w:rPr>
                <w:sz w:val="20"/>
                <w:szCs w:val="20"/>
              </w:rPr>
              <w:t>of financial services continues</w:t>
            </w:r>
            <w:r w:rsidR="00BA01E8">
              <w:rPr>
                <w:sz w:val="20"/>
                <w:szCs w:val="20"/>
              </w:rPr>
              <w:t xml:space="preserve"> in Europe, </w:t>
            </w:r>
            <w:r w:rsidRPr="00FF14F9">
              <w:rPr>
                <w:sz w:val="20"/>
                <w:szCs w:val="20"/>
              </w:rPr>
              <w:t xml:space="preserve">it is essential </w:t>
            </w:r>
            <w:r w:rsidR="00BA01E8">
              <w:rPr>
                <w:sz w:val="20"/>
                <w:szCs w:val="20"/>
              </w:rPr>
              <w:t xml:space="preserve">the EU </w:t>
            </w:r>
            <w:r w:rsidRPr="00FF14F9">
              <w:rPr>
                <w:sz w:val="20"/>
                <w:szCs w:val="20"/>
              </w:rPr>
              <w:t xml:space="preserve">has </w:t>
            </w:r>
            <w:r w:rsidR="00BA01E8">
              <w:rPr>
                <w:sz w:val="20"/>
                <w:szCs w:val="20"/>
              </w:rPr>
              <w:t xml:space="preserve">an </w:t>
            </w:r>
            <w:r w:rsidRPr="00FF14F9">
              <w:rPr>
                <w:sz w:val="20"/>
                <w:szCs w:val="20"/>
              </w:rPr>
              <w:t xml:space="preserve">appropriate </w:t>
            </w:r>
            <w:r w:rsidR="00BA01E8">
              <w:rPr>
                <w:sz w:val="20"/>
                <w:szCs w:val="20"/>
              </w:rPr>
              <w:t xml:space="preserve">regulatory framework </w:t>
            </w:r>
            <w:r w:rsidRPr="00FF14F9">
              <w:rPr>
                <w:sz w:val="20"/>
                <w:szCs w:val="20"/>
              </w:rPr>
              <w:t xml:space="preserve">to enable </w:t>
            </w:r>
            <w:r w:rsidR="00BA01E8" w:rsidRPr="00FF14F9">
              <w:rPr>
                <w:sz w:val="20"/>
                <w:szCs w:val="20"/>
              </w:rPr>
              <w:t>future innovation</w:t>
            </w:r>
            <w:r w:rsidR="00BA01E8">
              <w:rPr>
                <w:sz w:val="20"/>
                <w:szCs w:val="20"/>
              </w:rPr>
              <w:t>, a competitive level playing field and</w:t>
            </w:r>
            <w:r w:rsidRPr="00FF14F9">
              <w:rPr>
                <w:sz w:val="20"/>
                <w:szCs w:val="20"/>
              </w:rPr>
              <w:t xml:space="preserve"> fair access to </w:t>
            </w:r>
            <w:r w:rsidR="000016EB">
              <w:rPr>
                <w:sz w:val="20"/>
                <w:szCs w:val="20"/>
              </w:rPr>
              <w:t xml:space="preserve">relevant </w:t>
            </w:r>
            <w:r w:rsidRPr="00FF14F9">
              <w:rPr>
                <w:sz w:val="20"/>
                <w:szCs w:val="20"/>
              </w:rPr>
              <w:t>technical infrastructure</w:t>
            </w:r>
            <w:r w:rsidR="000016EB">
              <w:rPr>
                <w:sz w:val="20"/>
                <w:szCs w:val="20"/>
              </w:rPr>
              <w:t xml:space="preserve"> provided by third parties</w:t>
            </w:r>
            <w:r w:rsidR="00BA01E8">
              <w:rPr>
                <w:sz w:val="20"/>
                <w:szCs w:val="20"/>
              </w:rPr>
              <w:t>:</w:t>
            </w:r>
          </w:p>
          <w:p w14:paraId="48834947" w14:textId="220918FB" w:rsidR="00FF14F9" w:rsidRPr="00FF14F9" w:rsidRDefault="00BA01E8" w:rsidP="00735388">
            <w:pPr>
              <w:pStyle w:val="ListParagraph"/>
              <w:numPr>
                <w:ilvl w:val="1"/>
                <w:numId w:val="26"/>
              </w:numPr>
              <w:spacing w:after="120"/>
              <w:ind w:left="606" w:hanging="284"/>
              <w:rPr>
                <w:sz w:val="20"/>
                <w:szCs w:val="20"/>
              </w:rPr>
            </w:pPr>
            <w:r>
              <w:rPr>
                <w:sz w:val="20"/>
                <w:szCs w:val="20"/>
              </w:rPr>
              <w:t>Appropriate a</w:t>
            </w:r>
            <w:r w:rsidR="00FF14F9" w:rsidRPr="00FF14F9">
              <w:rPr>
                <w:sz w:val="20"/>
                <w:szCs w:val="20"/>
              </w:rPr>
              <w:t xml:space="preserve">ction is </w:t>
            </w:r>
            <w:r>
              <w:rPr>
                <w:sz w:val="20"/>
                <w:szCs w:val="20"/>
              </w:rPr>
              <w:t xml:space="preserve">needed </w:t>
            </w:r>
            <w:r w:rsidR="00FF14F9" w:rsidRPr="00FF14F9">
              <w:rPr>
                <w:sz w:val="20"/>
                <w:szCs w:val="20"/>
              </w:rPr>
              <w:t xml:space="preserve">to address </w:t>
            </w:r>
            <w:r>
              <w:rPr>
                <w:sz w:val="20"/>
                <w:szCs w:val="20"/>
              </w:rPr>
              <w:t xml:space="preserve">any </w:t>
            </w:r>
            <w:r w:rsidR="00FF14F9" w:rsidRPr="00FF14F9">
              <w:rPr>
                <w:sz w:val="20"/>
                <w:szCs w:val="20"/>
              </w:rPr>
              <w:t>concerns over market fragmentation</w:t>
            </w:r>
            <w:r>
              <w:rPr>
                <w:sz w:val="20"/>
                <w:szCs w:val="20"/>
              </w:rPr>
              <w:t>. D</w:t>
            </w:r>
            <w:r w:rsidR="00FF14F9" w:rsidRPr="00FF14F9">
              <w:rPr>
                <w:sz w:val="20"/>
                <w:szCs w:val="20"/>
              </w:rPr>
              <w:t xml:space="preserve">isparate and potentially conflicting approaches across different Member States </w:t>
            </w:r>
            <w:r>
              <w:rPr>
                <w:sz w:val="20"/>
                <w:szCs w:val="20"/>
              </w:rPr>
              <w:t xml:space="preserve">must be avoided as these divergences ultimately </w:t>
            </w:r>
            <w:r w:rsidR="00FF14F9" w:rsidRPr="00FF14F9">
              <w:rPr>
                <w:sz w:val="20"/>
                <w:szCs w:val="20"/>
              </w:rPr>
              <w:t xml:space="preserve">undermine the </w:t>
            </w:r>
            <w:r>
              <w:rPr>
                <w:sz w:val="20"/>
                <w:szCs w:val="20"/>
              </w:rPr>
              <w:t xml:space="preserve">objective of a </w:t>
            </w:r>
            <w:r w:rsidR="00FF14F9" w:rsidRPr="00FF14F9">
              <w:rPr>
                <w:sz w:val="20"/>
                <w:szCs w:val="20"/>
              </w:rPr>
              <w:t>digital single market for financial services</w:t>
            </w:r>
            <w:r>
              <w:rPr>
                <w:sz w:val="20"/>
                <w:szCs w:val="20"/>
              </w:rPr>
              <w:t xml:space="preserve">. </w:t>
            </w:r>
          </w:p>
          <w:p w14:paraId="45E1204C" w14:textId="7C23EE52" w:rsidR="00FF14F9" w:rsidRPr="00735388" w:rsidRDefault="00FF14F9" w:rsidP="00735388">
            <w:pPr>
              <w:pStyle w:val="ListParagraph"/>
              <w:numPr>
                <w:ilvl w:val="1"/>
                <w:numId w:val="26"/>
              </w:numPr>
              <w:spacing w:after="120"/>
              <w:ind w:left="606" w:hanging="284"/>
              <w:rPr>
                <w:sz w:val="20"/>
                <w:szCs w:val="20"/>
              </w:rPr>
            </w:pPr>
            <w:r w:rsidRPr="00FF14F9">
              <w:rPr>
                <w:sz w:val="20"/>
                <w:szCs w:val="20"/>
              </w:rPr>
              <w:t xml:space="preserve">Fair access </w:t>
            </w:r>
            <w:r w:rsidR="00FB5051">
              <w:rPr>
                <w:sz w:val="20"/>
                <w:szCs w:val="20"/>
              </w:rPr>
              <w:t xml:space="preserve">by all market players </w:t>
            </w:r>
            <w:r w:rsidRPr="00FF14F9">
              <w:rPr>
                <w:sz w:val="20"/>
                <w:szCs w:val="20"/>
              </w:rPr>
              <w:t xml:space="preserve">to </w:t>
            </w:r>
            <w:r w:rsidR="00F714C2">
              <w:rPr>
                <w:sz w:val="20"/>
                <w:szCs w:val="20"/>
              </w:rPr>
              <w:t xml:space="preserve">the relevant </w:t>
            </w:r>
            <w:r w:rsidRPr="00FF14F9">
              <w:rPr>
                <w:sz w:val="20"/>
                <w:szCs w:val="20"/>
              </w:rPr>
              <w:t>technical infrastructure</w:t>
            </w:r>
            <w:r w:rsidR="000016EB">
              <w:rPr>
                <w:sz w:val="20"/>
                <w:szCs w:val="20"/>
              </w:rPr>
              <w:t xml:space="preserve">, </w:t>
            </w:r>
            <w:r w:rsidRPr="00FF14F9">
              <w:rPr>
                <w:sz w:val="20"/>
                <w:szCs w:val="20"/>
              </w:rPr>
              <w:t xml:space="preserve">that is now, or in the future, </w:t>
            </w:r>
            <w:r w:rsidR="00FB5051">
              <w:rPr>
                <w:sz w:val="20"/>
                <w:szCs w:val="20"/>
              </w:rPr>
              <w:t xml:space="preserve">required </w:t>
            </w:r>
            <w:r w:rsidRPr="00FF14F9">
              <w:rPr>
                <w:sz w:val="20"/>
                <w:szCs w:val="20"/>
              </w:rPr>
              <w:t xml:space="preserve">for the </w:t>
            </w:r>
            <w:r w:rsidR="00FB5051">
              <w:rPr>
                <w:sz w:val="20"/>
                <w:szCs w:val="20"/>
              </w:rPr>
              <w:t xml:space="preserve">digital transformation of </w:t>
            </w:r>
            <w:r w:rsidRPr="00FF14F9">
              <w:rPr>
                <w:sz w:val="20"/>
                <w:szCs w:val="20"/>
              </w:rPr>
              <w:t>financial services</w:t>
            </w:r>
            <w:r w:rsidR="00FB5051">
              <w:rPr>
                <w:sz w:val="20"/>
                <w:szCs w:val="20"/>
              </w:rPr>
              <w:t xml:space="preserve">. </w:t>
            </w:r>
          </w:p>
          <w:p w14:paraId="724EA089" w14:textId="67015CB1" w:rsidR="00476CA9" w:rsidRDefault="00AC0620" w:rsidP="00476CA9">
            <w:pPr>
              <w:pStyle w:val="ListParagraph"/>
              <w:numPr>
                <w:ilvl w:val="0"/>
                <w:numId w:val="26"/>
              </w:numPr>
              <w:spacing w:after="120"/>
              <w:ind w:left="184" w:hanging="142"/>
              <w:rPr>
                <w:sz w:val="20"/>
                <w:szCs w:val="20"/>
              </w:rPr>
            </w:pPr>
            <w:r w:rsidRPr="00AF6407">
              <w:rPr>
                <w:sz w:val="20"/>
                <w:szCs w:val="20"/>
              </w:rPr>
              <w:t xml:space="preserve">In payments, </w:t>
            </w:r>
            <w:r w:rsidR="00476CA9" w:rsidRPr="00FF14F9">
              <w:rPr>
                <w:sz w:val="20"/>
                <w:szCs w:val="20"/>
              </w:rPr>
              <w:t>it is also necessary to ensure</w:t>
            </w:r>
            <w:r w:rsidR="00476CA9">
              <w:rPr>
                <w:sz w:val="20"/>
                <w:szCs w:val="20"/>
              </w:rPr>
              <w:t xml:space="preserve"> </w:t>
            </w:r>
            <w:r w:rsidR="00476CA9" w:rsidRPr="00FF14F9">
              <w:rPr>
                <w:sz w:val="20"/>
                <w:szCs w:val="20"/>
              </w:rPr>
              <w:t xml:space="preserve">the market remain competitive. </w:t>
            </w:r>
            <w:r w:rsidR="00476CA9">
              <w:rPr>
                <w:sz w:val="20"/>
                <w:szCs w:val="20"/>
              </w:rPr>
              <w:t xml:space="preserve">Currently </w:t>
            </w:r>
            <w:r w:rsidR="005026FB">
              <w:rPr>
                <w:sz w:val="20"/>
                <w:szCs w:val="20"/>
              </w:rPr>
              <w:t xml:space="preserve">some </w:t>
            </w:r>
            <w:r w:rsidR="00476CA9">
              <w:rPr>
                <w:sz w:val="20"/>
                <w:szCs w:val="20"/>
              </w:rPr>
              <w:t>payment service providers</w:t>
            </w:r>
            <w:r w:rsidR="005026FB">
              <w:rPr>
                <w:sz w:val="20"/>
                <w:szCs w:val="20"/>
              </w:rPr>
              <w:t xml:space="preserve">, such as wallet providers, </w:t>
            </w:r>
            <w:proofErr w:type="gramStart"/>
            <w:r w:rsidR="00476CA9">
              <w:rPr>
                <w:sz w:val="20"/>
                <w:szCs w:val="20"/>
              </w:rPr>
              <w:t>are able to</w:t>
            </w:r>
            <w:proofErr w:type="gramEnd"/>
            <w:r w:rsidR="00476CA9">
              <w:rPr>
                <w:sz w:val="20"/>
                <w:szCs w:val="20"/>
              </w:rPr>
              <w:t xml:space="preserve"> unilaterally impose commissions on payments </w:t>
            </w:r>
            <w:r w:rsidR="005026FB">
              <w:rPr>
                <w:sz w:val="20"/>
                <w:szCs w:val="20"/>
              </w:rPr>
              <w:t>service providers</w:t>
            </w:r>
            <w:r w:rsidR="00476CA9">
              <w:rPr>
                <w:sz w:val="20"/>
                <w:szCs w:val="20"/>
              </w:rPr>
              <w:t xml:space="preserve">, which </w:t>
            </w:r>
            <w:r w:rsidR="00476CA9">
              <w:rPr>
                <w:sz w:val="20"/>
                <w:szCs w:val="20"/>
              </w:rPr>
              <w:lastRenderedPageBreak/>
              <w:t>impact the sustainability and price to end users. Over time these situations could reduce incentive</w:t>
            </w:r>
            <w:r w:rsidR="00103FA6">
              <w:rPr>
                <w:sz w:val="20"/>
                <w:szCs w:val="20"/>
              </w:rPr>
              <w:t>s</w:t>
            </w:r>
            <w:r w:rsidR="00476CA9">
              <w:rPr>
                <w:sz w:val="20"/>
                <w:szCs w:val="20"/>
              </w:rPr>
              <w:t xml:space="preserve"> to innovate.</w:t>
            </w:r>
          </w:p>
          <w:p w14:paraId="4DD1003E" w14:textId="1EBA05C3" w:rsidR="00AC0620" w:rsidRDefault="00476CA9" w:rsidP="00735388">
            <w:pPr>
              <w:pStyle w:val="ListParagraph"/>
              <w:numPr>
                <w:ilvl w:val="1"/>
                <w:numId w:val="26"/>
              </w:numPr>
              <w:spacing w:after="120"/>
              <w:ind w:left="606" w:hanging="284"/>
              <w:rPr>
                <w:sz w:val="20"/>
                <w:szCs w:val="20"/>
              </w:rPr>
            </w:pPr>
            <w:r>
              <w:rPr>
                <w:sz w:val="20"/>
                <w:szCs w:val="20"/>
              </w:rPr>
              <w:t xml:space="preserve">Further, some local practices </w:t>
            </w:r>
            <w:r w:rsidR="00EF5685">
              <w:rPr>
                <w:sz w:val="20"/>
                <w:szCs w:val="20"/>
              </w:rPr>
              <w:t xml:space="preserve">prevent the full realisation of the </w:t>
            </w:r>
            <w:r w:rsidR="00AC0620" w:rsidRPr="00AF6407">
              <w:rPr>
                <w:sz w:val="20"/>
                <w:szCs w:val="20"/>
              </w:rPr>
              <w:t xml:space="preserve">single euro payments area (SEPA). From an EU perspective, the way in which transactions are processed should be done in a consistent manner </w:t>
            </w:r>
            <w:proofErr w:type="gramStart"/>
            <w:r w:rsidR="00AC0620" w:rsidRPr="00AF6407">
              <w:rPr>
                <w:sz w:val="20"/>
                <w:szCs w:val="20"/>
              </w:rPr>
              <w:t>in order to</w:t>
            </w:r>
            <w:proofErr w:type="gramEnd"/>
            <w:r w:rsidR="00AC0620" w:rsidRPr="00AF6407">
              <w:rPr>
                <w:sz w:val="20"/>
                <w:szCs w:val="20"/>
              </w:rPr>
              <w:t xml:space="preserve"> create fair and open markets. The adoption and maintenance of different standards within the EU creates a fragmented approach to payments processing and prevents efficient cross-border transactions</w:t>
            </w:r>
            <w:r w:rsidR="00AC0620" w:rsidRPr="00D91DF9">
              <w:rPr>
                <w:sz w:val="20"/>
                <w:szCs w:val="20"/>
              </w:rPr>
              <w:t xml:space="preserve">.  </w:t>
            </w:r>
            <w:r w:rsidR="00F44A94" w:rsidRPr="00F44A94">
              <w:rPr>
                <w:sz w:val="20"/>
                <w:szCs w:val="20"/>
              </w:rPr>
              <w:t>For instance, in Finland</w:t>
            </w:r>
            <w:r w:rsidR="00103FA6">
              <w:rPr>
                <w:sz w:val="20"/>
                <w:szCs w:val="20"/>
              </w:rPr>
              <w:t>, the Payment Service Provider (</w:t>
            </w:r>
            <w:r w:rsidR="00103FA6" w:rsidRPr="00F44A94">
              <w:rPr>
                <w:sz w:val="20"/>
                <w:szCs w:val="20"/>
              </w:rPr>
              <w:t>PSP</w:t>
            </w:r>
            <w:r w:rsidR="00103FA6">
              <w:rPr>
                <w:sz w:val="20"/>
                <w:szCs w:val="20"/>
              </w:rPr>
              <w:t>)</w:t>
            </w:r>
            <w:r w:rsidR="00103FA6" w:rsidRPr="00F44A94">
              <w:rPr>
                <w:sz w:val="20"/>
                <w:szCs w:val="20"/>
              </w:rPr>
              <w:t xml:space="preserve"> </w:t>
            </w:r>
            <w:r w:rsidR="00EF5685">
              <w:rPr>
                <w:sz w:val="20"/>
                <w:szCs w:val="20"/>
              </w:rPr>
              <w:t xml:space="preserve">is required to </w:t>
            </w:r>
            <w:r w:rsidR="00F44A94" w:rsidRPr="00F44A94">
              <w:rPr>
                <w:sz w:val="20"/>
                <w:szCs w:val="20"/>
              </w:rPr>
              <w:t>provide the date when the payer</w:t>
            </w:r>
            <w:r w:rsidR="00103FA6">
              <w:rPr>
                <w:sz w:val="20"/>
                <w:szCs w:val="20"/>
              </w:rPr>
              <w:t>’s</w:t>
            </w:r>
            <w:r w:rsidR="00F44A94" w:rsidRPr="00F44A94">
              <w:rPr>
                <w:sz w:val="20"/>
                <w:szCs w:val="20"/>
              </w:rPr>
              <w:t xml:space="preserve"> account was debited</w:t>
            </w:r>
            <w:r w:rsidR="00EF5685">
              <w:rPr>
                <w:sz w:val="20"/>
                <w:szCs w:val="20"/>
              </w:rPr>
              <w:t xml:space="preserve"> </w:t>
            </w:r>
            <w:r w:rsidR="005026FB">
              <w:rPr>
                <w:sz w:val="20"/>
                <w:szCs w:val="20"/>
              </w:rPr>
              <w:t xml:space="preserve">or </w:t>
            </w:r>
            <w:r w:rsidR="00F44A94" w:rsidRPr="00735388">
              <w:rPr>
                <w:sz w:val="20"/>
                <w:szCs w:val="20"/>
              </w:rPr>
              <w:t xml:space="preserve">up to 999 payments can be bundled in a single message. </w:t>
            </w:r>
            <w:r w:rsidR="005026FB">
              <w:rPr>
                <w:sz w:val="20"/>
                <w:szCs w:val="20"/>
              </w:rPr>
              <w:t xml:space="preserve">Also, </w:t>
            </w:r>
            <w:proofErr w:type="gramStart"/>
            <w:r w:rsidR="005026FB">
              <w:rPr>
                <w:sz w:val="20"/>
                <w:szCs w:val="20"/>
              </w:rPr>
              <w:t>a</w:t>
            </w:r>
            <w:r w:rsidR="00F44A94" w:rsidRPr="00735388">
              <w:rPr>
                <w:sz w:val="20"/>
                <w:szCs w:val="20"/>
              </w:rPr>
              <w:t>s a result of</w:t>
            </w:r>
            <w:proofErr w:type="gramEnd"/>
            <w:r w:rsidR="00F44A94" w:rsidRPr="00735388">
              <w:rPr>
                <w:sz w:val="20"/>
                <w:szCs w:val="20"/>
              </w:rPr>
              <w:t xml:space="preserve"> </w:t>
            </w:r>
            <w:r w:rsidR="005026FB">
              <w:rPr>
                <w:sz w:val="20"/>
                <w:szCs w:val="20"/>
              </w:rPr>
              <w:t xml:space="preserve">diverging </w:t>
            </w:r>
            <w:r w:rsidR="00EF5685" w:rsidRPr="00735388">
              <w:rPr>
                <w:sz w:val="20"/>
                <w:szCs w:val="20"/>
              </w:rPr>
              <w:t>‘</w:t>
            </w:r>
            <w:r w:rsidR="00F44A94" w:rsidRPr="00735388">
              <w:rPr>
                <w:sz w:val="20"/>
                <w:szCs w:val="20"/>
              </w:rPr>
              <w:t>local</w:t>
            </w:r>
            <w:r w:rsidR="00EF5685" w:rsidRPr="00735388">
              <w:rPr>
                <w:sz w:val="20"/>
                <w:szCs w:val="20"/>
              </w:rPr>
              <w:t>’</w:t>
            </w:r>
            <w:r w:rsidR="00F44A94" w:rsidRPr="00735388">
              <w:rPr>
                <w:sz w:val="20"/>
                <w:szCs w:val="20"/>
              </w:rPr>
              <w:t xml:space="preserve"> interpretation</w:t>
            </w:r>
            <w:r w:rsidR="00103FA6">
              <w:rPr>
                <w:sz w:val="20"/>
                <w:szCs w:val="20"/>
              </w:rPr>
              <w:t xml:space="preserve">, </w:t>
            </w:r>
            <w:r w:rsidR="00F44A94" w:rsidRPr="00735388">
              <w:rPr>
                <w:sz w:val="20"/>
                <w:szCs w:val="20"/>
              </w:rPr>
              <w:t>banks in some countries disclose payment data to the beneficiary</w:t>
            </w:r>
            <w:r w:rsidR="00EF5685">
              <w:rPr>
                <w:sz w:val="20"/>
                <w:szCs w:val="20"/>
              </w:rPr>
              <w:t xml:space="preserve">, whereas </w:t>
            </w:r>
            <w:r w:rsidR="00F44A94" w:rsidRPr="00735388">
              <w:rPr>
                <w:sz w:val="20"/>
                <w:szCs w:val="20"/>
              </w:rPr>
              <w:t xml:space="preserve">in other countries </w:t>
            </w:r>
            <w:r w:rsidR="00103FA6">
              <w:rPr>
                <w:sz w:val="20"/>
                <w:szCs w:val="20"/>
              </w:rPr>
              <w:t xml:space="preserve">this would be </w:t>
            </w:r>
            <w:r w:rsidR="00F44A94" w:rsidRPr="00735388">
              <w:rPr>
                <w:sz w:val="20"/>
                <w:szCs w:val="20"/>
              </w:rPr>
              <w:t xml:space="preserve">considered sensitive </w:t>
            </w:r>
            <w:r w:rsidR="00EF5685">
              <w:rPr>
                <w:sz w:val="20"/>
                <w:szCs w:val="20"/>
              </w:rPr>
              <w:t xml:space="preserve">data </w:t>
            </w:r>
            <w:r w:rsidR="00F44A94" w:rsidRPr="00735388">
              <w:rPr>
                <w:sz w:val="20"/>
                <w:szCs w:val="20"/>
              </w:rPr>
              <w:t>(</w:t>
            </w:r>
            <w:r w:rsidR="00EF5685">
              <w:rPr>
                <w:sz w:val="20"/>
                <w:szCs w:val="20"/>
              </w:rPr>
              <w:t xml:space="preserve">e.g. a </w:t>
            </w:r>
            <w:r w:rsidR="00F44A94" w:rsidRPr="00735388">
              <w:rPr>
                <w:sz w:val="20"/>
                <w:szCs w:val="20"/>
              </w:rPr>
              <w:t>payer's IBAN, for instance)</w:t>
            </w:r>
            <w:r w:rsidR="00F44A94">
              <w:rPr>
                <w:rStyle w:val="FootnoteReference"/>
                <w:sz w:val="20"/>
                <w:szCs w:val="20"/>
              </w:rPr>
              <w:footnoteReference w:id="37"/>
            </w:r>
          </w:p>
          <w:p w14:paraId="602AE7F0" w14:textId="5C4C400C" w:rsidR="005026FB" w:rsidRPr="009726DA" w:rsidRDefault="005026FB" w:rsidP="009726DA">
            <w:pPr>
              <w:pStyle w:val="ListParagraph"/>
              <w:numPr>
                <w:ilvl w:val="0"/>
                <w:numId w:val="26"/>
              </w:numPr>
              <w:spacing w:after="120"/>
              <w:ind w:left="184" w:hanging="142"/>
              <w:rPr>
                <w:sz w:val="20"/>
                <w:szCs w:val="20"/>
              </w:rPr>
            </w:pPr>
            <w:r>
              <w:rPr>
                <w:sz w:val="20"/>
                <w:szCs w:val="20"/>
              </w:rPr>
              <w:t>Finally, i</w:t>
            </w:r>
            <w:r w:rsidRPr="00735388">
              <w:rPr>
                <w:sz w:val="20"/>
                <w:szCs w:val="20"/>
              </w:rPr>
              <w:t>f a situation occurs where certain F</w:t>
            </w:r>
            <w:r>
              <w:rPr>
                <w:sz w:val="20"/>
                <w:szCs w:val="20"/>
              </w:rPr>
              <w:t xml:space="preserve">inancial </w:t>
            </w:r>
            <w:r w:rsidRPr="00735388">
              <w:rPr>
                <w:sz w:val="20"/>
                <w:szCs w:val="20"/>
              </w:rPr>
              <w:t>I</w:t>
            </w:r>
            <w:r>
              <w:rPr>
                <w:sz w:val="20"/>
                <w:szCs w:val="20"/>
              </w:rPr>
              <w:t>nstitutions (FIs)</w:t>
            </w:r>
            <w:r w:rsidRPr="00735388">
              <w:rPr>
                <w:sz w:val="20"/>
                <w:szCs w:val="20"/>
              </w:rPr>
              <w:t xml:space="preserve"> bear the costs for the business models of their competitors (for instance where PSD2 has allowed other organisations to develop banking services without maintaining banking technology infrastructure or paying for its use),  this will not only limit an FIs ability to invest in innovation, but may also have negative implications on their ability to maintain and continuously improve their technical infrastructure, adapt their business model, and ensure resilience for the financial sector overall. </w:t>
            </w:r>
          </w:p>
        </w:tc>
      </w:tr>
      <w:tr w:rsidR="00195B29" w14:paraId="29E20D5F" w14:textId="77777777" w:rsidTr="00195B29">
        <w:trPr>
          <w:trHeight w:val="260"/>
        </w:trPr>
        <w:tc>
          <w:tcPr>
            <w:tcW w:w="10457" w:type="dxa"/>
            <w:gridSpan w:val="3"/>
            <w:shd w:val="clear" w:color="auto" w:fill="D6E3BC" w:themeFill="accent3" w:themeFillTint="66"/>
          </w:tcPr>
          <w:p w14:paraId="4D895DD8" w14:textId="6B80699C" w:rsidR="00195B29" w:rsidRPr="00195B29" w:rsidRDefault="00195B29" w:rsidP="00195B29">
            <w:pPr>
              <w:spacing w:after="120"/>
              <w:rPr>
                <w:sz w:val="20"/>
                <w:szCs w:val="20"/>
              </w:rPr>
            </w:pPr>
            <w:r w:rsidRPr="00195B29">
              <w:rPr>
                <w:sz w:val="20"/>
                <w:szCs w:val="20"/>
              </w:rPr>
              <w:lastRenderedPageBreak/>
              <w:t>Empower and protect EU consumers and investors using digital finance across the Single Market</w:t>
            </w:r>
          </w:p>
        </w:tc>
      </w:tr>
      <w:tr w:rsidR="0002244B" w14:paraId="179222F4" w14:textId="77777777" w:rsidTr="0053138D">
        <w:trPr>
          <w:trHeight w:val="412"/>
        </w:trPr>
        <w:tc>
          <w:tcPr>
            <w:tcW w:w="1271" w:type="dxa"/>
            <w:vMerge w:val="restart"/>
          </w:tcPr>
          <w:p w14:paraId="6027D08C" w14:textId="42E98A18" w:rsidR="0002244B" w:rsidRDefault="00340848" w:rsidP="0053138D">
            <w:pPr>
              <w:spacing w:after="120"/>
              <w:rPr>
                <w:sz w:val="20"/>
                <w:szCs w:val="20"/>
              </w:rPr>
            </w:pPr>
            <w:r>
              <w:rPr>
                <w:sz w:val="20"/>
                <w:szCs w:val="20"/>
              </w:rPr>
              <w:t>24</w:t>
            </w:r>
          </w:p>
        </w:tc>
        <w:tc>
          <w:tcPr>
            <w:tcW w:w="2126" w:type="dxa"/>
          </w:tcPr>
          <w:p w14:paraId="13B86ACB" w14:textId="3B07FD15" w:rsidR="0002244B" w:rsidRPr="00A565B8" w:rsidRDefault="0002244B" w:rsidP="00A565B8">
            <w:pPr>
              <w:rPr>
                <w:sz w:val="20"/>
                <w:szCs w:val="20"/>
              </w:rPr>
            </w:pPr>
            <w:r w:rsidRPr="00A565B8">
              <w:rPr>
                <w:rFonts w:eastAsia="Times New Roman"/>
                <w:sz w:val="20"/>
                <w:szCs w:val="20"/>
                <w:lang w:eastAsia="en-GB"/>
              </w:rPr>
              <w:t>AFME to respond</w:t>
            </w:r>
          </w:p>
        </w:tc>
        <w:tc>
          <w:tcPr>
            <w:tcW w:w="7060" w:type="dxa"/>
          </w:tcPr>
          <w:p w14:paraId="429B8138" w14:textId="74934C48" w:rsidR="0002244B" w:rsidRDefault="0002244B" w:rsidP="00195B29">
            <w:pPr>
              <w:pStyle w:val="ListParagraph"/>
              <w:numPr>
                <w:ilvl w:val="0"/>
                <w:numId w:val="26"/>
              </w:numPr>
              <w:spacing w:after="120"/>
              <w:ind w:left="184" w:hanging="142"/>
              <w:rPr>
                <w:sz w:val="20"/>
                <w:szCs w:val="20"/>
              </w:rPr>
            </w:pPr>
            <w:r w:rsidRPr="00195B29">
              <w:rPr>
                <w:sz w:val="20"/>
                <w:szCs w:val="20"/>
              </w:rPr>
              <w:t>Ensure more affordable access at EU level to financial data for consumers and retail investors</w:t>
            </w:r>
            <w:r w:rsidR="00646719">
              <w:rPr>
                <w:sz w:val="20"/>
                <w:szCs w:val="20"/>
              </w:rPr>
              <w:t>: 5 – fully relevant</w:t>
            </w:r>
          </w:p>
          <w:p w14:paraId="70585364" w14:textId="2E71D550" w:rsidR="0002244B" w:rsidRDefault="0002244B" w:rsidP="00195B29">
            <w:pPr>
              <w:pStyle w:val="ListParagraph"/>
              <w:numPr>
                <w:ilvl w:val="0"/>
                <w:numId w:val="26"/>
              </w:numPr>
              <w:spacing w:after="120"/>
              <w:ind w:left="184" w:hanging="142"/>
              <w:rPr>
                <w:sz w:val="20"/>
                <w:szCs w:val="20"/>
              </w:rPr>
            </w:pPr>
            <w:r w:rsidRPr="00195B29">
              <w:rPr>
                <w:sz w:val="20"/>
                <w:szCs w:val="20"/>
              </w:rPr>
              <w:t>Encourage supervisors to set up hubs focused on guiding consumers in the digital world</w:t>
            </w:r>
            <w:r w:rsidR="00646719">
              <w:rPr>
                <w:sz w:val="20"/>
                <w:szCs w:val="20"/>
              </w:rPr>
              <w:t>: 5 – fully relevant</w:t>
            </w:r>
          </w:p>
          <w:p w14:paraId="535F4806" w14:textId="0CDD0A26" w:rsidR="0002244B" w:rsidRDefault="0002244B" w:rsidP="00195B29">
            <w:pPr>
              <w:pStyle w:val="ListParagraph"/>
              <w:numPr>
                <w:ilvl w:val="0"/>
                <w:numId w:val="26"/>
              </w:numPr>
              <w:spacing w:after="120"/>
              <w:ind w:left="184" w:hanging="142"/>
              <w:rPr>
                <w:sz w:val="20"/>
                <w:szCs w:val="20"/>
              </w:rPr>
            </w:pPr>
            <w:r w:rsidRPr="00195B29">
              <w:rPr>
                <w:sz w:val="20"/>
                <w:szCs w:val="20"/>
              </w:rPr>
              <w:t>Organise pan-European campaigns and advisory hubs focusing on digitalisation to raise awareness among consumers</w:t>
            </w:r>
            <w:r w:rsidR="00646719">
              <w:rPr>
                <w:sz w:val="20"/>
                <w:szCs w:val="20"/>
              </w:rPr>
              <w:t>: 5 – fully relevant</w:t>
            </w:r>
          </w:p>
          <w:p w14:paraId="29D4C1D8" w14:textId="6CD859A2" w:rsidR="0002244B" w:rsidRDefault="0002244B" w:rsidP="00195B29">
            <w:pPr>
              <w:pStyle w:val="ListParagraph"/>
              <w:numPr>
                <w:ilvl w:val="0"/>
                <w:numId w:val="26"/>
              </w:numPr>
              <w:spacing w:after="120"/>
              <w:ind w:left="184" w:hanging="142"/>
              <w:rPr>
                <w:sz w:val="20"/>
                <w:szCs w:val="20"/>
              </w:rPr>
            </w:pPr>
            <w:r w:rsidRPr="00195B29">
              <w:rPr>
                <w:sz w:val="20"/>
                <w:szCs w:val="20"/>
              </w:rPr>
              <w:t>Collect best practices</w:t>
            </w:r>
            <w:r w:rsidR="00646719">
              <w:rPr>
                <w:sz w:val="20"/>
                <w:szCs w:val="20"/>
              </w:rPr>
              <w:t>: 5 – fully relevant</w:t>
            </w:r>
          </w:p>
          <w:p w14:paraId="581EC075" w14:textId="16E494C4" w:rsidR="0002244B" w:rsidRDefault="0002244B" w:rsidP="00195B29">
            <w:pPr>
              <w:pStyle w:val="ListParagraph"/>
              <w:numPr>
                <w:ilvl w:val="0"/>
                <w:numId w:val="26"/>
              </w:numPr>
              <w:spacing w:after="120"/>
              <w:ind w:left="184" w:hanging="142"/>
              <w:rPr>
                <w:sz w:val="20"/>
                <w:szCs w:val="20"/>
              </w:rPr>
            </w:pPr>
            <w:r w:rsidRPr="00195B29">
              <w:rPr>
                <w:sz w:val="20"/>
                <w:szCs w:val="20"/>
              </w:rPr>
              <w:t>Promote digital financial services to address financial inclusion</w:t>
            </w:r>
            <w:r w:rsidR="00646719">
              <w:rPr>
                <w:sz w:val="20"/>
                <w:szCs w:val="20"/>
              </w:rPr>
              <w:t>: 5 – fully relevant</w:t>
            </w:r>
          </w:p>
          <w:p w14:paraId="7E892CF7" w14:textId="616FA502" w:rsidR="0002244B" w:rsidRDefault="0002244B" w:rsidP="00195B29">
            <w:pPr>
              <w:pStyle w:val="ListParagraph"/>
              <w:numPr>
                <w:ilvl w:val="0"/>
                <w:numId w:val="26"/>
              </w:numPr>
              <w:spacing w:after="120"/>
              <w:ind w:left="184" w:hanging="142"/>
              <w:rPr>
                <w:sz w:val="20"/>
                <w:szCs w:val="20"/>
              </w:rPr>
            </w:pPr>
            <w:r w:rsidRPr="00195B29">
              <w:rPr>
                <w:sz w:val="20"/>
                <w:szCs w:val="20"/>
              </w:rPr>
              <w:t>Introduce rules related to financial education comparable to Article 6 of the Mortgage Credit Directive, with a stronger focus on digitalisation, in other EU financial regulation proposals</w:t>
            </w:r>
            <w:r w:rsidR="00646719">
              <w:rPr>
                <w:sz w:val="20"/>
                <w:szCs w:val="20"/>
              </w:rPr>
              <w:t>: 4 – rather relevant</w:t>
            </w:r>
          </w:p>
          <w:p w14:paraId="24E59BAE" w14:textId="7F30646A" w:rsidR="0002244B" w:rsidRPr="00195B29" w:rsidRDefault="0002244B" w:rsidP="00195B29">
            <w:pPr>
              <w:pStyle w:val="ListParagraph"/>
              <w:numPr>
                <w:ilvl w:val="0"/>
                <w:numId w:val="26"/>
              </w:numPr>
              <w:spacing w:after="120"/>
              <w:ind w:left="184" w:hanging="142"/>
              <w:rPr>
                <w:sz w:val="20"/>
                <w:szCs w:val="20"/>
              </w:rPr>
            </w:pPr>
            <w:r w:rsidRPr="00195B29">
              <w:rPr>
                <w:sz w:val="20"/>
                <w:szCs w:val="20"/>
              </w:rPr>
              <w:t>Other</w:t>
            </w:r>
          </w:p>
        </w:tc>
      </w:tr>
      <w:tr w:rsidR="0002244B" w14:paraId="73DB8B61" w14:textId="77777777" w:rsidTr="0053138D">
        <w:trPr>
          <w:trHeight w:val="423"/>
        </w:trPr>
        <w:tc>
          <w:tcPr>
            <w:tcW w:w="1271" w:type="dxa"/>
            <w:vMerge/>
          </w:tcPr>
          <w:p w14:paraId="5C539BB8" w14:textId="130775E3" w:rsidR="0002244B" w:rsidRDefault="0002244B" w:rsidP="0053138D">
            <w:pPr>
              <w:spacing w:after="120"/>
              <w:rPr>
                <w:sz w:val="20"/>
                <w:szCs w:val="20"/>
              </w:rPr>
            </w:pPr>
          </w:p>
        </w:tc>
        <w:tc>
          <w:tcPr>
            <w:tcW w:w="2126" w:type="dxa"/>
          </w:tcPr>
          <w:p w14:paraId="54CC9BED" w14:textId="130B1BE4" w:rsidR="0002244B" w:rsidRPr="00A565B8" w:rsidRDefault="0002244B" w:rsidP="00A565B8">
            <w:pPr>
              <w:rPr>
                <w:rFonts w:eastAsia="Times New Roman"/>
                <w:b/>
                <w:sz w:val="20"/>
                <w:szCs w:val="20"/>
                <w:lang w:eastAsia="en-GB"/>
              </w:rPr>
            </w:pPr>
            <w:r w:rsidRPr="00A565B8">
              <w:rPr>
                <w:rFonts w:eastAsia="Times New Roman"/>
                <w:sz w:val="20"/>
                <w:szCs w:val="20"/>
                <w:lang w:eastAsia="en-GB"/>
              </w:rPr>
              <w:t>AFME to respond</w:t>
            </w:r>
          </w:p>
        </w:tc>
        <w:tc>
          <w:tcPr>
            <w:tcW w:w="7060" w:type="dxa"/>
          </w:tcPr>
          <w:p w14:paraId="42AEA209" w14:textId="10D2CB52" w:rsidR="00A010F7" w:rsidRDefault="00A010F7" w:rsidP="00A010F7">
            <w:pPr>
              <w:pStyle w:val="ListParagraph"/>
              <w:numPr>
                <w:ilvl w:val="0"/>
                <w:numId w:val="26"/>
              </w:numPr>
              <w:spacing w:after="120"/>
              <w:ind w:left="184" w:hanging="142"/>
              <w:rPr>
                <w:sz w:val="20"/>
                <w:szCs w:val="20"/>
              </w:rPr>
            </w:pPr>
            <w:r w:rsidRPr="00A010F7">
              <w:rPr>
                <w:sz w:val="20"/>
                <w:szCs w:val="20"/>
              </w:rPr>
              <w:t xml:space="preserve">Financial education </w:t>
            </w:r>
            <w:r>
              <w:rPr>
                <w:sz w:val="20"/>
                <w:szCs w:val="20"/>
              </w:rPr>
              <w:t xml:space="preserve">and literacy </w:t>
            </w:r>
            <w:r w:rsidR="001E60D5">
              <w:rPr>
                <w:sz w:val="20"/>
                <w:szCs w:val="20"/>
              </w:rPr>
              <w:t xml:space="preserve">can </w:t>
            </w:r>
            <w:r w:rsidRPr="00A010F7">
              <w:rPr>
                <w:sz w:val="20"/>
                <w:szCs w:val="20"/>
              </w:rPr>
              <w:t>contribut</w:t>
            </w:r>
            <w:r>
              <w:rPr>
                <w:sz w:val="20"/>
                <w:szCs w:val="20"/>
              </w:rPr>
              <w:t>e</w:t>
            </w:r>
            <w:r w:rsidRPr="00A010F7">
              <w:rPr>
                <w:sz w:val="20"/>
                <w:szCs w:val="20"/>
              </w:rPr>
              <w:t xml:space="preserve"> directly to the more efficient functioning of financial markets. </w:t>
            </w:r>
            <w:r w:rsidRPr="00735388">
              <w:rPr>
                <w:sz w:val="20"/>
                <w:szCs w:val="20"/>
              </w:rPr>
              <w:t xml:space="preserve">Clients/consumers who are </w:t>
            </w:r>
            <w:r w:rsidR="001E60D5">
              <w:rPr>
                <w:sz w:val="20"/>
                <w:szCs w:val="20"/>
              </w:rPr>
              <w:t>‘</w:t>
            </w:r>
            <w:r w:rsidRPr="00735388">
              <w:rPr>
                <w:sz w:val="20"/>
                <w:szCs w:val="20"/>
              </w:rPr>
              <w:t>well educated</w:t>
            </w:r>
            <w:r w:rsidR="001E60D5">
              <w:rPr>
                <w:sz w:val="20"/>
                <w:szCs w:val="20"/>
              </w:rPr>
              <w:t>’</w:t>
            </w:r>
            <w:r w:rsidRPr="00735388">
              <w:rPr>
                <w:sz w:val="20"/>
                <w:szCs w:val="20"/>
              </w:rPr>
              <w:t xml:space="preserve"> </w:t>
            </w:r>
            <w:r>
              <w:rPr>
                <w:sz w:val="20"/>
                <w:szCs w:val="20"/>
              </w:rPr>
              <w:t>and possess the right skills/knowledge</w:t>
            </w:r>
            <w:r w:rsidRPr="00735388">
              <w:rPr>
                <w:sz w:val="20"/>
                <w:szCs w:val="20"/>
              </w:rPr>
              <w:t xml:space="preserve">, </w:t>
            </w:r>
            <w:r>
              <w:rPr>
                <w:sz w:val="20"/>
                <w:szCs w:val="20"/>
              </w:rPr>
              <w:t>are more likely to make educated choices</w:t>
            </w:r>
            <w:r w:rsidR="001E60D5">
              <w:rPr>
                <w:sz w:val="20"/>
                <w:szCs w:val="20"/>
              </w:rPr>
              <w:t xml:space="preserve">, </w:t>
            </w:r>
            <w:r>
              <w:rPr>
                <w:sz w:val="20"/>
                <w:szCs w:val="20"/>
              </w:rPr>
              <w:t xml:space="preserve">suited to their risk profile and operating environment (e.g. from </w:t>
            </w:r>
            <w:r w:rsidR="001E60D5">
              <w:rPr>
                <w:sz w:val="20"/>
                <w:szCs w:val="20"/>
              </w:rPr>
              <w:t xml:space="preserve">selecting adequate </w:t>
            </w:r>
            <w:r>
              <w:rPr>
                <w:sz w:val="20"/>
                <w:szCs w:val="20"/>
              </w:rPr>
              <w:t xml:space="preserve">financial products, to </w:t>
            </w:r>
            <w:r w:rsidR="001E60D5">
              <w:rPr>
                <w:sz w:val="20"/>
                <w:szCs w:val="20"/>
              </w:rPr>
              <w:t>detecting fraudulent activities)</w:t>
            </w:r>
            <w:r>
              <w:rPr>
                <w:sz w:val="20"/>
                <w:szCs w:val="20"/>
              </w:rPr>
              <w:t xml:space="preserve">, which in turn promote greater </w:t>
            </w:r>
            <w:r w:rsidR="001E60D5">
              <w:rPr>
                <w:sz w:val="20"/>
                <w:szCs w:val="20"/>
              </w:rPr>
              <w:t>efficiency, financial stability and resilience.</w:t>
            </w:r>
          </w:p>
          <w:p w14:paraId="01CEC6C2" w14:textId="16D05233" w:rsidR="001E60D5" w:rsidRDefault="001E60D5" w:rsidP="00A010F7">
            <w:pPr>
              <w:pStyle w:val="ListParagraph"/>
              <w:numPr>
                <w:ilvl w:val="0"/>
                <w:numId w:val="26"/>
              </w:numPr>
              <w:spacing w:after="120"/>
              <w:ind w:left="184" w:hanging="142"/>
              <w:rPr>
                <w:sz w:val="20"/>
                <w:szCs w:val="20"/>
              </w:rPr>
            </w:pPr>
            <w:r>
              <w:rPr>
                <w:sz w:val="20"/>
                <w:szCs w:val="20"/>
              </w:rPr>
              <w:t>The d</w:t>
            </w:r>
            <w:r w:rsidRPr="001E60D5">
              <w:rPr>
                <w:sz w:val="20"/>
                <w:szCs w:val="20"/>
              </w:rPr>
              <w:t xml:space="preserve">igital </w:t>
            </w:r>
            <w:r>
              <w:rPr>
                <w:sz w:val="20"/>
                <w:szCs w:val="20"/>
              </w:rPr>
              <w:t xml:space="preserve">transformation of </w:t>
            </w:r>
            <w:r w:rsidRPr="001E60D5">
              <w:rPr>
                <w:sz w:val="20"/>
                <w:szCs w:val="20"/>
              </w:rPr>
              <w:t xml:space="preserve">financial services </w:t>
            </w:r>
            <w:r>
              <w:rPr>
                <w:sz w:val="20"/>
                <w:szCs w:val="20"/>
              </w:rPr>
              <w:t xml:space="preserve">brings additional </w:t>
            </w:r>
            <w:r w:rsidRPr="001E60D5">
              <w:rPr>
                <w:sz w:val="20"/>
                <w:szCs w:val="20"/>
              </w:rPr>
              <w:t xml:space="preserve">challenges to </w:t>
            </w:r>
            <w:r>
              <w:rPr>
                <w:sz w:val="20"/>
                <w:szCs w:val="20"/>
              </w:rPr>
              <w:t>clients/</w:t>
            </w:r>
            <w:r w:rsidRPr="001E60D5">
              <w:rPr>
                <w:sz w:val="20"/>
                <w:szCs w:val="20"/>
              </w:rPr>
              <w:t>consumer</w:t>
            </w:r>
            <w:r w:rsidR="0018310F">
              <w:rPr>
                <w:sz w:val="20"/>
                <w:szCs w:val="20"/>
              </w:rPr>
              <w:t>s who may not possess adequate digital skills</w:t>
            </w:r>
            <w:r>
              <w:rPr>
                <w:sz w:val="20"/>
                <w:szCs w:val="20"/>
              </w:rPr>
              <w:t>.</w:t>
            </w:r>
            <w:r w:rsidRPr="001E60D5">
              <w:rPr>
                <w:sz w:val="20"/>
                <w:szCs w:val="20"/>
              </w:rPr>
              <w:t xml:space="preserve"> </w:t>
            </w:r>
            <w:r>
              <w:rPr>
                <w:sz w:val="20"/>
                <w:szCs w:val="20"/>
              </w:rPr>
              <w:t xml:space="preserve">These may come in the form of new </w:t>
            </w:r>
            <w:r w:rsidRPr="001E60D5">
              <w:rPr>
                <w:sz w:val="20"/>
                <w:szCs w:val="20"/>
              </w:rPr>
              <w:t>tools</w:t>
            </w:r>
            <w:r>
              <w:rPr>
                <w:sz w:val="20"/>
                <w:szCs w:val="20"/>
              </w:rPr>
              <w:t>, interfaces, potential</w:t>
            </w:r>
            <w:r w:rsidR="003E1194">
              <w:rPr>
                <w:sz w:val="20"/>
                <w:szCs w:val="20"/>
              </w:rPr>
              <w:t>ly</w:t>
            </w:r>
            <w:r>
              <w:rPr>
                <w:sz w:val="20"/>
                <w:szCs w:val="20"/>
              </w:rPr>
              <w:t xml:space="preserve"> new </w:t>
            </w:r>
            <w:proofErr w:type="gramStart"/>
            <w:r>
              <w:rPr>
                <w:sz w:val="20"/>
                <w:szCs w:val="20"/>
              </w:rPr>
              <w:t>actors</w:t>
            </w:r>
            <w:proofErr w:type="gramEnd"/>
            <w:r>
              <w:rPr>
                <w:sz w:val="20"/>
                <w:szCs w:val="20"/>
              </w:rPr>
              <w:t xml:space="preserve"> </w:t>
            </w:r>
            <w:r w:rsidR="00E41849">
              <w:rPr>
                <w:sz w:val="20"/>
                <w:szCs w:val="20"/>
              </w:rPr>
              <w:t xml:space="preserve">or threats </w:t>
            </w:r>
            <w:r>
              <w:rPr>
                <w:sz w:val="20"/>
                <w:szCs w:val="20"/>
              </w:rPr>
              <w:t xml:space="preserve">which add on top of the current challenges of </w:t>
            </w:r>
            <w:r w:rsidRPr="001E60D5">
              <w:rPr>
                <w:sz w:val="20"/>
                <w:szCs w:val="20"/>
              </w:rPr>
              <w:t>financial literacy.</w:t>
            </w:r>
          </w:p>
          <w:p w14:paraId="21C0E594" w14:textId="7EE0EA64" w:rsidR="001E60D5" w:rsidRDefault="001E60D5" w:rsidP="00A010F7">
            <w:pPr>
              <w:pStyle w:val="ListParagraph"/>
              <w:numPr>
                <w:ilvl w:val="0"/>
                <w:numId w:val="26"/>
              </w:numPr>
              <w:spacing w:after="120"/>
              <w:ind w:left="184" w:hanging="142"/>
              <w:rPr>
                <w:sz w:val="20"/>
                <w:szCs w:val="20"/>
              </w:rPr>
            </w:pPr>
            <w:r>
              <w:rPr>
                <w:sz w:val="20"/>
                <w:szCs w:val="20"/>
              </w:rPr>
              <w:t xml:space="preserve">AFME encourages the European Commission consider the following actions to promote both </w:t>
            </w:r>
            <w:r w:rsidRPr="001E60D5">
              <w:rPr>
                <w:sz w:val="20"/>
                <w:szCs w:val="20"/>
              </w:rPr>
              <w:t xml:space="preserve">financial </w:t>
            </w:r>
            <w:r>
              <w:rPr>
                <w:sz w:val="20"/>
                <w:szCs w:val="20"/>
              </w:rPr>
              <w:t xml:space="preserve">and </w:t>
            </w:r>
            <w:r w:rsidRPr="001E60D5">
              <w:rPr>
                <w:sz w:val="20"/>
                <w:szCs w:val="20"/>
              </w:rPr>
              <w:t>digital education</w:t>
            </w:r>
            <w:r>
              <w:rPr>
                <w:sz w:val="20"/>
                <w:szCs w:val="20"/>
              </w:rPr>
              <w:t>/</w:t>
            </w:r>
            <w:r w:rsidRPr="001E60D5">
              <w:rPr>
                <w:sz w:val="20"/>
                <w:szCs w:val="20"/>
              </w:rPr>
              <w:t>literacy:</w:t>
            </w:r>
          </w:p>
          <w:p w14:paraId="24D5B736" w14:textId="77777777" w:rsidR="00163D19" w:rsidRDefault="00E41849" w:rsidP="00163D19">
            <w:pPr>
              <w:pStyle w:val="ListParagraph"/>
              <w:numPr>
                <w:ilvl w:val="1"/>
                <w:numId w:val="26"/>
              </w:numPr>
              <w:spacing w:after="120"/>
              <w:ind w:left="606" w:hanging="284"/>
              <w:rPr>
                <w:sz w:val="20"/>
                <w:szCs w:val="20"/>
              </w:rPr>
            </w:pPr>
            <w:r>
              <w:rPr>
                <w:sz w:val="20"/>
                <w:szCs w:val="20"/>
              </w:rPr>
              <w:t xml:space="preserve">Promote international </w:t>
            </w:r>
            <w:r w:rsidRPr="00E41849">
              <w:rPr>
                <w:sz w:val="20"/>
                <w:szCs w:val="20"/>
              </w:rPr>
              <w:t>cooperat</w:t>
            </w:r>
            <w:r>
              <w:rPr>
                <w:sz w:val="20"/>
                <w:szCs w:val="20"/>
              </w:rPr>
              <w:t xml:space="preserve">ion </w:t>
            </w:r>
            <w:r w:rsidRPr="00E41849">
              <w:rPr>
                <w:sz w:val="20"/>
                <w:szCs w:val="20"/>
              </w:rPr>
              <w:t xml:space="preserve">to develop consistent </w:t>
            </w:r>
            <w:r>
              <w:rPr>
                <w:sz w:val="20"/>
                <w:szCs w:val="20"/>
              </w:rPr>
              <w:t xml:space="preserve">practices for </w:t>
            </w:r>
            <w:r w:rsidRPr="00E41849">
              <w:rPr>
                <w:sz w:val="20"/>
                <w:szCs w:val="20"/>
              </w:rPr>
              <w:t xml:space="preserve">digital financial literacy </w:t>
            </w:r>
            <w:r>
              <w:rPr>
                <w:sz w:val="20"/>
                <w:szCs w:val="20"/>
              </w:rPr>
              <w:t xml:space="preserve">and continue to </w:t>
            </w:r>
            <w:r w:rsidRPr="00E41849">
              <w:rPr>
                <w:sz w:val="20"/>
                <w:szCs w:val="20"/>
              </w:rPr>
              <w:t>recogni</w:t>
            </w:r>
            <w:r>
              <w:rPr>
                <w:sz w:val="20"/>
                <w:szCs w:val="20"/>
              </w:rPr>
              <w:t>se the</w:t>
            </w:r>
            <w:r w:rsidRPr="00E41849">
              <w:rPr>
                <w:sz w:val="20"/>
                <w:szCs w:val="20"/>
              </w:rPr>
              <w:t xml:space="preserve"> importance of digital financial </w:t>
            </w:r>
            <w:proofErr w:type="gramStart"/>
            <w:r w:rsidRPr="00E41849">
              <w:rPr>
                <w:sz w:val="20"/>
                <w:szCs w:val="20"/>
              </w:rPr>
              <w:t>literacy</w:t>
            </w:r>
            <w:r>
              <w:rPr>
                <w:sz w:val="20"/>
                <w:szCs w:val="20"/>
              </w:rPr>
              <w:t>;</w:t>
            </w:r>
            <w:proofErr w:type="gramEnd"/>
          </w:p>
          <w:p w14:paraId="03396FEE" w14:textId="311D24E2" w:rsidR="00163D19" w:rsidRDefault="00163D19" w:rsidP="00163D19">
            <w:pPr>
              <w:pStyle w:val="ListParagraph"/>
              <w:numPr>
                <w:ilvl w:val="1"/>
                <w:numId w:val="26"/>
              </w:numPr>
              <w:spacing w:after="120"/>
              <w:ind w:left="606" w:hanging="284"/>
              <w:rPr>
                <w:sz w:val="20"/>
                <w:szCs w:val="20"/>
              </w:rPr>
            </w:pPr>
            <w:r>
              <w:rPr>
                <w:sz w:val="20"/>
                <w:szCs w:val="20"/>
              </w:rPr>
              <w:lastRenderedPageBreak/>
              <w:t xml:space="preserve">Increase </w:t>
            </w:r>
            <w:r w:rsidR="00E41849" w:rsidRPr="00735388">
              <w:rPr>
                <w:sz w:val="20"/>
                <w:szCs w:val="20"/>
              </w:rPr>
              <w:t xml:space="preserve">efforts </w:t>
            </w:r>
            <w:r>
              <w:rPr>
                <w:sz w:val="20"/>
                <w:szCs w:val="20"/>
              </w:rPr>
              <w:t xml:space="preserve">to promote </w:t>
            </w:r>
            <w:r w:rsidR="00E41849" w:rsidRPr="00735388">
              <w:rPr>
                <w:sz w:val="20"/>
                <w:szCs w:val="20"/>
              </w:rPr>
              <w:t>financial and digital skills through education (e.g. schools, universities</w:t>
            </w:r>
            <w:r w:rsidR="0018310F">
              <w:rPr>
                <w:sz w:val="20"/>
                <w:szCs w:val="20"/>
              </w:rPr>
              <w:t>, continuous learning</w:t>
            </w:r>
            <w:proofErr w:type="gramStart"/>
            <w:r w:rsidR="00E41849" w:rsidRPr="00735388">
              <w:rPr>
                <w:sz w:val="20"/>
                <w:szCs w:val="20"/>
              </w:rPr>
              <w:t>);</w:t>
            </w:r>
            <w:proofErr w:type="gramEnd"/>
          </w:p>
          <w:p w14:paraId="1BDB6982" w14:textId="241EA80A" w:rsidR="00163D19" w:rsidRDefault="003E1194" w:rsidP="00163D19">
            <w:pPr>
              <w:pStyle w:val="ListParagraph"/>
              <w:numPr>
                <w:ilvl w:val="1"/>
                <w:numId w:val="26"/>
              </w:numPr>
              <w:spacing w:after="120"/>
              <w:ind w:left="606" w:hanging="284"/>
              <w:rPr>
                <w:sz w:val="20"/>
                <w:szCs w:val="20"/>
              </w:rPr>
            </w:pPr>
            <w:r>
              <w:rPr>
                <w:sz w:val="20"/>
                <w:szCs w:val="20"/>
              </w:rPr>
              <w:t>Frequently r</w:t>
            </w:r>
            <w:r w:rsidR="00163D19">
              <w:rPr>
                <w:sz w:val="20"/>
                <w:szCs w:val="20"/>
              </w:rPr>
              <w:t>eview financial education program to complement those with d</w:t>
            </w:r>
            <w:r w:rsidR="00163D19" w:rsidRPr="00660509">
              <w:rPr>
                <w:sz w:val="20"/>
                <w:szCs w:val="20"/>
              </w:rPr>
              <w:t xml:space="preserve">igital </w:t>
            </w:r>
            <w:r w:rsidR="00163D19">
              <w:rPr>
                <w:sz w:val="20"/>
                <w:szCs w:val="20"/>
              </w:rPr>
              <w:t>skills/</w:t>
            </w:r>
            <w:proofErr w:type="gramStart"/>
            <w:r w:rsidR="00163D19">
              <w:rPr>
                <w:sz w:val="20"/>
                <w:szCs w:val="20"/>
              </w:rPr>
              <w:t>tools;</w:t>
            </w:r>
            <w:proofErr w:type="gramEnd"/>
            <w:r w:rsidR="00163D19">
              <w:rPr>
                <w:sz w:val="20"/>
                <w:szCs w:val="20"/>
              </w:rPr>
              <w:t xml:space="preserve"> </w:t>
            </w:r>
          </w:p>
          <w:p w14:paraId="472151F6" w14:textId="1E442744" w:rsidR="0018310F" w:rsidRPr="00660509" w:rsidRDefault="0018310F" w:rsidP="00163D19">
            <w:pPr>
              <w:pStyle w:val="ListParagraph"/>
              <w:numPr>
                <w:ilvl w:val="1"/>
                <w:numId w:val="26"/>
              </w:numPr>
              <w:spacing w:after="120"/>
              <w:ind w:left="606" w:hanging="284"/>
              <w:rPr>
                <w:sz w:val="20"/>
                <w:szCs w:val="20"/>
              </w:rPr>
            </w:pPr>
            <w:r>
              <w:rPr>
                <w:sz w:val="20"/>
                <w:szCs w:val="20"/>
              </w:rPr>
              <w:t>Promote the continued assessment of the financial and digital literacy of clients/customers to identify where additional training or skills could be beneficial; and</w:t>
            </w:r>
          </w:p>
          <w:p w14:paraId="4886BBB3" w14:textId="6C06BBD6" w:rsidR="0002244B" w:rsidRPr="00735388" w:rsidRDefault="00163D19" w:rsidP="00735388">
            <w:pPr>
              <w:pStyle w:val="ListParagraph"/>
              <w:numPr>
                <w:ilvl w:val="1"/>
                <w:numId w:val="26"/>
              </w:numPr>
              <w:spacing w:after="120"/>
              <w:ind w:left="606" w:hanging="284"/>
              <w:rPr>
                <w:sz w:val="20"/>
                <w:szCs w:val="20"/>
              </w:rPr>
            </w:pPr>
            <w:r>
              <w:rPr>
                <w:sz w:val="20"/>
                <w:szCs w:val="20"/>
              </w:rPr>
              <w:t>Promote the use of t</w:t>
            </w:r>
            <w:r w:rsidRPr="00735388">
              <w:rPr>
                <w:sz w:val="20"/>
                <w:szCs w:val="20"/>
              </w:rPr>
              <w:t xml:space="preserve">echnology </w:t>
            </w:r>
            <w:r>
              <w:rPr>
                <w:sz w:val="20"/>
                <w:szCs w:val="20"/>
              </w:rPr>
              <w:t xml:space="preserve">tools to </w:t>
            </w:r>
            <w:r w:rsidRPr="00735388">
              <w:rPr>
                <w:sz w:val="20"/>
                <w:szCs w:val="20"/>
              </w:rPr>
              <w:t>rais</w:t>
            </w:r>
            <w:r>
              <w:rPr>
                <w:sz w:val="20"/>
                <w:szCs w:val="20"/>
              </w:rPr>
              <w:t>e</w:t>
            </w:r>
            <w:r w:rsidRPr="00735388">
              <w:rPr>
                <w:sz w:val="20"/>
                <w:szCs w:val="20"/>
              </w:rPr>
              <w:t xml:space="preserve"> financial literacy levels as th</w:t>
            </w:r>
            <w:r w:rsidR="0018310F">
              <w:rPr>
                <w:sz w:val="20"/>
                <w:szCs w:val="20"/>
              </w:rPr>
              <w:t>ose</w:t>
            </w:r>
            <w:r w:rsidRPr="00735388">
              <w:rPr>
                <w:sz w:val="20"/>
                <w:szCs w:val="20"/>
              </w:rPr>
              <w:t xml:space="preserve"> </w:t>
            </w:r>
            <w:r w:rsidR="0018310F">
              <w:rPr>
                <w:sz w:val="20"/>
                <w:szCs w:val="20"/>
              </w:rPr>
              <w:t xml:space="preserve">could </w:t>
            </w:r>
            <w:r>
              <w:rPr>
                <w:sz w:val="20"/>
                <w:szCs w:val="20"/>
              </w:rPr>
              <w:t xml:space="preserve">be accessed and used </w:t>
            </w:r>
            <w:r w:rsidR="003E1194">
              <w:rPr>
                <w:sz w:val="20"/>
                <w:szCs w:val="20"/>
              </w:rPr>
              <w:t xml:space="preserve">more </w:t>
            </w:r>
            <w:r>
              <w:rPr>
                <w:sz w:val="20"/>
                <w:szCs w:val="20"/>
              </w:rPr>
              <w:t xml:space="preserve">widely (e.g. </w:t>
            </w:r>
            <w:r w:rsidRPr="00163D19">
              <w:rPr>
                <w:sz w:val="20"/>
                <w:szCs w:val="20"/>
              </w:rPr>
              <w:t xml:space="preserve">videos, </w:t>
            </w:r>
            <w:r>
              <w:rPr>
                <w:sz w:val="20"/>
                <w:szCs w:val="20"/>
              </w:rPr>
              <w:t>webinars</w:t>
            </w:r>
            <w:r w:rsidRPr="00163D19">
              <w:rPr>
                <w:sz w:val="20"/>
                <w:szCs w:val="20"/>
              </w:rPr>
              <w:t>, online courses</w:t>
            </w:r>
            <w:r>
              <w:rPr>
                <w:sz w:val="20"/>
                <w:szCs w:val="20"/>
              </w:rPr>
              <w:t>).</w:t>
            </w:r>
          </w:p>
        </w:tc>
      </w:tr>
      <w:tr w:rsidR="00147DD7" w14:paraId="03BD6A85" w14:textId="77777777" w:rsidTr="0053138D">
        <w:trPr>
          <w:trHeight w:val="423"/>
        </w:trPr>
        <w:tc>
          <w:tcPr>
            <w:tcW w:w="1271" w:type="dxa"/>
          </w:tcPr>
          <w:p w14:paraId="487F01C6" w14:textId="4526DA6D" w:rsidR="00147DD7" w:rsidRDefault="0002244B" w:rsidP="0053138D">
            <w:pPr>
              <w:spacing w:after="120"/>
              <w:rPr>
                <w:sz w:val="20"/>
                <w:szCs w:val="20"/>
              </w:rPr>
            </w:pPr>
            <w:r>
              <w:rPr>
                <w:sz w:val="20"/>
                <w:szCs w:val="20"/>
              </w:rPr>
              <w:lastRenderedPageBreak/>
              <w:t>25</w:t>
            </w:r>
          </w:p>
        </w:tc>
        <w:tc>
          <w:tcPr>
            <w:tcW w:w="2126" w:type="dxa"/>
          </w:tcPr>
          <w:p w14:paraId="35A78A12" w14:textId="7E966C13" w:rsidR="00147DD7" w:rsidRPr="00A565B8" w:rsidRDefault="008E7F70" w:rsidP="00A565B8">
            <w:pPr>
              <w:rPr>
                <w:rFonts w:eastAsia="Times New Roman"/>
                <w:b/>
                <w:sz w:val="20"/>
                <w:szCs w:val="20"/>
                <w:lang w:eastAsia="en-GB"/>
              </w:rPr>
            </w:pPr>
            <w:r w:rsidRPr="00A565B8">
              <w:rPr>
                <w:rFonts w:eastAsia="Times New Roman"/>
                <w:sz w:val="20"/>
                <w:szCs w:val="20"/>
                <w:lang w:eastAsia="en-GB"/>
              </w:rPr>
              <w:t>AFME to respond</w:t>
            </w:r>
          </w:p>
        </w:tc>
        <w:tc>
          <w:tcPr>
            <w:tcW w:w="7060" w:type="dxa"/>
          </w:tcPr>
          <w:p w14:paraId="364A02F2" w14:textId="5960EAFD" w:rsidR="003E1194" w:rsidRDefault="003E1194" w:rsidP="003E1194">
            <w:pPr>
              <w:pStyle w:val="ListParagraph"/>
              <w:numPr>
                <w:ilvl w:val="0"/>
                <w:numId w:val="26"/>
              </w:numPr>
              <w:spacing w:after="120"/>
              <w:ind w:left="184" w:hanging="142"/>
              <w:rPr>
                <w:sz w:val="20"/>
                <w:szCs w:val="20"/>
              </w:rPr>
            </w:pPr>
            <w:r>
              <w:rPr>
                <w:sz w:val="20"/>
                <w:szCs w:val="20"/>
              </w:rPr>
              <w:t xml:space="preserve">Alongside increasing digital financial </w:t>
            </w:r>
            <w:r w:rsidRPr="003E1194">
              <w:rPr>
                <w:sz w:val="20"/>
                <w:szCs w:val="20"/>
              </w:rPr>
              <w:t>education</w:t>
            </w:r>
            <w:r>
              <w:rPr>
                <w:sz w:val="20"/>
                <w:szCs w:val="20"/>
              </w:rPr>
              <w:t xml:space="preserve">, AFME recommends the European Commission consider the </w:t>
            </w:r>
            <w:r w:rsidR="00640B93">
              <w:rPr>
                <w:sz w:val="20"/>
                <w:szCs w:val="20"/>
              </w:rPr>
              <w:t>following additional initiatives</w:t>
            </w:r>
            <w:r w:rsidR="0018310F">
              <w:rPr>
                <w:sz w:val="20"/>
                <w:szCs w:val="20"/>
              </w:rPr>
              <w:t xml:space="preserve"> to increase digital financial literacy</w:t>
            </w:r>
            <w:r>
              <w:rPr>
                <w:sz w:val="20"/>
                <w:szCs w:val="20"/>
              </w:rPr>
              <w:t xml:space="preserve">: </w:t>
            </w:r>
          </w:p>
          <w:p w14:paraId="08E33D9B" w14:textId="7623DBA0" w:rsidR="00147DD7" w:rsidRDefault="003E1194" w:rsidP="003E1194">
            <w:pPr>
              <w:pStyle w:val="ListParagraph"/>
              <w:numPr>
                <w:ilvl w:val="1"/>
                <w:numId w:val="26"/>
              </w:numPr>
              <w:spacing w:after="120"/>
              <w:ind w:left="606" w:hanging="284"/>
              <w:rPr>
                <w:sz w:val="20"/>
                <w:szCs w:val="20"/>
              </w:rPr>
            </w:pPr>
            <w:r>
              <w:rPr>
                <w:sz w:val="20"/>
                <w:szCs w:val="20"/>
              </w:rPr>
              <w:t>Increas</w:t>
            </w:r>
            <w:r w:rsidR="00640B93">
              <w:rPr>
                <w:sz w:val="20"/>
                <w:szCs w:val="20"/>
              </w:rPr>
              <w:t>ing</w:t>
            </w:r>
            <w:r>
              <w:rPr>
                <w:sz w:val="20"/>
                <w:szCs w:val="20"/>
              </w:rPr>
              <w:t xml:space="preserve"> </w:t>
            </w:r>
            <w:r w:rsidRPr="003E1194">
              <w:rPr>
                <w:sz w:val="20"/>
                <w:szCs w:val="20"/>
              </w:rPr>
              <w:t xml:space="preserve">the </w:t>
            </w:r>
            <w:r>
              <w:rPr>
                <w:sz w:val="20"/>
                <w:szCs w:val="20"/>
              </w:rPr>
              <w:t xml:space="preserve">overall </w:t>
            </w:r>
            <w:r w:rsidRPr="003E1194">
              <w:rPr>
                <w:sz w:val="20"/>
                <w:szCs w:val="20"/>
              </w:rPr>
              <w:t xml:space="preserve">availability </w:t>
            </w:r>
            <w:r>
              <w:rPr>
                <w:sz w:val="20"/>
                <w:szCs w:val="20"/>
              </w:rPr>
              <w:t xml:space="preserve">of digital tools (e.g. </w:t>
            </w:r>
            <w:r w:rsidRPr="003E1194">
              <w:rPr>
                <w:sz w:val="20"/>
                <w:szCs w:val="20"/>
              </w:rPr>
              <w:t>mobile</w:t>
            </w:r>
            <w:r>
              <w:rPr>
                <w:sz w:val="20"/>
                <w:szCs w:val="20"/>
              </w:rPr>
              <w:t xml:space="preserve"> and internet access</w:t>
            </w:r>
            <w:proofErr w:type="gramStart"/>
            <w:r>
              <w:rPr>
                <w:sz w:val="20"/>
                <w:szCs w:val="20"/>
              </w:rPr>
              <w:t>);</w:t>
            </w:r>
            <w:proofErr w:type="gramEnd"/>
          </w:p>
          <w:p w14:paraId="01FACD28" w14:textId="543922EE" w:rsidR="003E1194" w:rsidRDefault="003E1194" w:rsidP="003E1194">
            <w:pPr>
              <w:pStyle w:val="ListParagraph"/>
              <w:numPr>
                <w:ilvl w:val="1"/>
                <w:numId w:val="26"/>
              </w:numPr>
              <w:spacing w:after="120"/>
              <w:ind w:left="606" w:hanging="284"/>
              <w:rPr>
                <w:sz w:val="20"/>
                <w:szCs w:val="20"/>
              </w:rPr>
            </w:pPr>
            <w:r>
              <w:rPr>
                <w:sz w:val="20"/>
                <w:szCs w:val="20"/>
              </w:rPr>
              <w:t>Support</w:t>
            </w:r>
            <w:r w:rsidR="00640B93">
              <w:rPr>
                <w:sz w:val="20"/>
                <w:szCs w:val="20"/>
              </w:rPr>
              <w:t>ing</w:t>
            </w:r>
            <w:r>
              <w:rPr>
                <w:sz w:val="20"/>
                <w:szCs w:val="20"/>
              </w:rPr>
              <w:t xml:space="preserve"> clients/customers acquir</w:t>
            </w:r>
            <w:r w:rsidR="00640B93">
              <w:rPr>
                <w:sz w:val="20"/>
                <w:szCs w:val="20"/>
              </w:rPr>
              <w:t xml:space="preserve">ing </w:t>
            </w:r>
            <w:r>
              <w:rPr>
                <w:sz w:val="20"/>
                <w:szCs w:val="20"/>
              </w:rPr>
              <w:t>skills relating to financial services regulation;</w:t>
            </w:r>
            <w:r w:rsidR="0018310F">
              <w:rPr>
                <w:sz w:val="20"/>
                <w:szCs w:val="20"/>
              </w:rPr>
              <w:t xml:space="preserve"> and</w:t>
            </w:r>
          </w:p>
          <w:p w14:paraId="77689F8A" w14:textId="461D1F2A" w:rsidR="00640B93" w:rsidRPr="00735388" w:rsidRDefault="003E1194" w:rsidP="00735388">
            <w:pPr>
              <w:pStyle w:val="ListParagraph"/>
              <w:numPr>
                <w:ilvl w:val="1"/>
                <w:numId w:val="26"/>
              </w:numPr>
              <w:spacing w:after="120"/>
              <w:ind w:left="606" w:hanging="284"/>
              <w:rPr>
                <w:sz w:val="20"/>
                <w:szCs w:val="20"/>
              </w:rPr>
            </w:pPr>
            <w:r w:rsidRPr="003E1194">
              <w:rPr>
                <w:sz w:val="20"/>
                <w:szCs w:val="20"/>
              </w:rPr>
              <w:t xml:space="preserve">Digital literacy and skills like coding should be </w:t>
            </w:r>
            <w:r w:rsidR="00640B93">
              <w:rPr>
                <w:sz w:val="20"/>
                <w:szCs w:val="20"/>
              </w:rPr>
              <w:t xml:space="preserve">encouraged </w:t>
            </w:r>
            <w:r w:rsidRPr="003E1194">
              <w:rPr>
                <w:sz w:val="20"/>
                <w:szCs w:val="20"/>
              </w:rPr>
              <w:t>in</w:t>
            </w:r>
            <w:r w:rsidR="00640B93">
              <w:rPr>
                <w:sz w:val="20"/>
                <w:szCs w:val="20"/>
              </w:rPr>
              <w:t xml:space="preserve"> education (e.g. schools, university)</w:t>
            </w:r>
            <w:r w:rsidR="0018310F">
              <w:rPr>
                <w:sz w:val="20"/>
                <w:szCs w:val="20"/>
              </w:rPr>
              <w:t>.</w:t>
            </w:r>
          </w:p>
        </w:tc>
      </w:tr>
    </w:tbl>
    <w:p w14:paraId="19960433" w14:textId="77777777" w:rsidR="00C01618" w:rsidRDefault="00C01618" w:rsidP="00C01618">
      <w:pPr>
        <w:pStyle w:val="ListParagraph"/>
        <w:rPr>
          <w:b/>
          <w:i/>
          <w:sz w:val="20"/>
          <w:szCs w:val="20"/>
        </w:rPr>
      </w:pPr>
    </w:p>
    <w:p w14:paraId="3A9CC4D5" w14:textId="461FA9D3" w:rsidR="00DA57AB" w:rsidRPr="0002244B" w:rsidRDefault="0002244B" w:rsidP="0002244B">
      <w:pPr>
        <w:pStyle w:val="ListParagraph"/>
        <w:numPr>
          <w:ilvl w:val="0"/>
          <w:numId w:val="34"/>
        </w:numPr>
        <w:rPr>
          <w:b/>
          <w:i/>
          <w:sz w:val="20"/>
          <w:szCs w:val="20"/>
        </w:rPr>
      </w:pPr>
      <w:r>
        <w:rPr>
          <w:b/>
          <w:i/>
          <w:sz w:val="20"/>
          <w:szCs w:val="20"/>
        </w:rPr>
        <w:t xml:space="preserve">Promote </w:t>
      </w:r>
      <w:r w:rsidRPr="0002244B">
        <w:rPr>
          <w:b/>
          <w:i/>
          <w:sz w:val="20"/>
          <w:szCs w:val="20"/>
        </w:rPr>
        <w:t>a well-regulated data-driven financial sector</w:t>
      </w:r>
    </w:p>
    <w:p w14:paraId="2B37FCBE" w14:textId="77777777" w:rsidR="00DA57AB" w:rsidRPr="008945E7" w:rsidRDefault="00DA57AB" w:rsidP="00DA57AB">
      <w:pPr>
        <w:pStyle w:val="ListParagraph"/>
        <w:rPr>
          <w:rFonts w:cs="Cambria"/>
          <w:sz w:val="20"/>
          <w:szCs w:val="20"/>
        </w:rPr>
      </w:pPr>
    </w:p>
    <w:tbl>
      <w:tblPr>
        <w:tblStyle w:val="TableGrid"/>
        <w:tblW w:w="0" w:type="auto"/>
        <w:tblLayout w:type="fixed"/>
        <w:tblLook w:val="04A0" w:firstRow="1" w:lastRow="0" w:firstColumn="1" w:lastColumn="0" w:noHBand="0" w:noVBand="1"/>
      </w:tblPr>
      <w:tblGrid>
        <w:gridCol w:w="790"/>
        <w:gridCol w:w="1048"/>
        <w:gridCol w:w="8619"/>
      </w:tblGrid>
      <w:tr w:rsidR="00DA57AB" w:rsidRPr="00DB5E67" w14:paraId="6FA65683" w14:textId="77777777" w:rsidTr="00CA60D1">
        <w:trPr>
          <w:trHeight w:val="352"/>
        </w:trPr>
        <w:tc>
          <w:tcPr>
            <w:tcW w:w="790" w:type="dxa"/>
          </w:tcPr>
          <w:p w14:paraId="0C1B2E5C" w14:textId="14E35620" w:rsidR="00DA57AB" w:rsidRPr="00DB5E67" w:rsidRDefault="009308FD" w:rsidP="0053138D">
            <w:pPr>
              <w:spacing w:after="120"/>
              <w:rPr>
                <w:sz w:val="20"/>
                <w:szCs w:val="20"/>
              </w:rPr>
            </w:pPr>
            <w:r>
              <w:rPr>
                <w:sz w:val="20"/>
                <w:szCs w:val="20"/>
              </w:rPr>
              <w:t>26</w:t>
            </w:r>
          </w:p>
        </w:tc>
        <w:tc>
          <w:tcPr>
            <w:tcW w:w="1048" w:type="dxa"/>
          </w:tcPr>
          <w:p w14:paraId="36C4C116" w14:textId="7864074F" w:rsidR="00DA57AB" w:rsidRDefault="00B23B42" w:rsidP="009308FD">
            <w:pPr>
              <w:jc w:val="left"/>
              <w:rPr>
                <w:rFonts w:eastAsia="Times New Roman"/>
                <w:i/>
                <w:iCs/>
                <w:sz w:val="20"/>
                <w:szCs w:val="20"/>
                <w:lang w:eastAsia="en-GB"/>
              </w:rPr>
            </w:pPr>
            <w:r w:rsidRPr="00A565B8">
              <w:rPr>
                <w:rFonts w:eastAsia="Times New Roman"/>
                <w:sz w:val="20"/>
                <w:szCs w:val="20"/>
                <w:lang w:eastAsia="en-GB"/>
              </w:rPr>
              <w:t>AFME to respond</w:t>
            </w:r>
            <w:r w:rsidR="009308FD">
              <w:rPr>
                <w:rFonts w:eastAsia="Times New Roman"/>
                <w:sz w:val="20"/>
                <w:szCs w:val="20"/>
                <w:lang w:eastAsia="en-GB"/>
              </w:rPr>
              <w:br/>
            </w:r>
          </w:p>
          <w:p w14:paraId="78CFC126" w14:textId="675B5B26" w:rsidR="009308FD" w:rsidRPr="00A565B8" w:rsidRDefault="009308FD" w:rsidP="009308FD">
            <w:pPr>
              <w:jc w:val="left"/>
              <w:rPr>
                <w:rFonts w:eastAsia="Times New Roman"/>
                <w:bCs/>
                <w:sz w:val="20"/>
                <w:szCs w:val="20"/>
                <w:lang w:eastAsia="en-GB"/>
              </w:rPr>
            </w:pPr>
          </w:p>
        </w:tc>
        <w:tc>
          <w:tcPr>
            <w:tcW w:w="8619" w:type="dxa"/>
          </w:tcPr>
          <w:p w14:paraId="12447D30" w14:textId="41D7F1A2" w:rsidR="00FE3068" w:rsidRDefault="00FE3068" w:rsidP="00FE3068">
            <w:pPr>
              <w:spacing w:after="120"/>
              <w:rPr>
                <w:sz w:val="20"/>
                <w:szCs w:val="20"/>
              </w:rPr>
            </w:pPr>
            <w:r w:rsidRPr="00CC5632">
              <w:rPr>
                <w:sz w:val="20"/>
                <w:szCs w:val="20"/>
              </w:rPr>
              <w:t xml:space="preserve">AFME welcomes the Commission’s </w:t>
            </w:r>
            <w:r>
              <w:rPr>
                <w:sz w:val="20"/>
                <w:szCs w:val="20"/>
              </w:rPr>
              <w:t>aim</w:t>
            </w:r>
            <w:r w:rsidRPr="00CC5632">
              <w:rPr>
                <w:sz w:val="20"/>
                <w:szCs w:val="20"/>
              </w:rPr>
              <w:t xml:space="preserve"> to </w:t>
            </w:r>
            <w:r>
              <w:rPr>
                <w:sz w:val="20"/>
                <w:szCs w:val="20"/>
              </w:rPr>
              <w:t>develop</w:t>
            </w:r>
            <w:r w:rsidRPr="00CC5632">
              <w:rPr>
                <w:sz w:val="20"/>
                <w:szCs w:val="20"/>
              </w:rPr>
              <w:t xml:space="preserve"> </w:t>
            </w:r>
            <w:r>
              <w:rPr>
                <w:sz w:val="20"/>
                <w:szCs w:val="20"/>
              </w:rPr>
              <w:t>a</w:t>
            </w:r>
            <w:r w:rsidRPr="00CC5632">
              <w:rPr>
                <w:sz w:val="20"/>
                <w:szCs w:val="20"/>
              </w:rPr>
              <w:t xml:space="preserve"> European data economy that is built on a robust legal framework</w:t>
            </w:r>
            <w:r>
              <w:rPr>
                <w:sz w:val="20"/>
                <w:szCs w:val="20"/>
              </w:rPr>
              <w:t xml:space="preserve"> and promotes competition. </w:t>
            </w:r>
            <w:r w:rsidR="00A97A75">
              <w:rPr>
                <w:sz w:val="20"/>
                <w:szCs w:val="20"/>
              </w:rPr>
              <w:t>We believe this can be only achieved by implementing</w:t>
            </w:r>
            <w:r w:rsidR="00A97A75" w:rsidRPr="00A50024">
              <w:rPr>
                <w:sz w:val="20"/>
                <w:szCs w:val="20"/>
              </w:rPr>
              <w:t xml:space="preserve"> a cross-sectoral regulatory framework that </w:t>
            </w:r>
            <w:r w:rsidR="00A97A75">
              <w:rPr>
                <w:sz w:val="20"/>
                <w:szCs w:val="20"/>
              </w:rPr>
              <w:t xml:space="preserve">enhances </w:t>
            </w:r>
            <w:r w:rsidR="00A97A75" w:rsidRPr="00A50024">
              <w:rPr>
                <w:sz w:val="20"/>
                <w:szCs w:val="20"/>
              </w:rPr>
              <w:t xml:space="preserve">data portability </w:t>
            </w:r>
            <w:r w:rsidR="00A97A75">
              <w:rPr>
                <w:sz w:val="20"/>
                <w:szCs w:val="20"/>
              </w:rPr>
              <w:t>and ensures end user</w:t>
            </w:r>
            <w:r w:rsidR="00A97A75" w:rsidRPr="00A50024">
              <w:rPr>
                <w:sz w:val="20"/>
                <w:szCs w:val="20"/>
              </w:rPr>
              <w:t xml:space="preserve"> control</w:t>
            </w:r>
            <w:r w:rsidR="00A97A75">
              <w:rPr>
                <w:sz w:val="20"/>
                <w:szCs w:val="20"/>
              </w:rPr>
              <w:t>.</w:t>
            </w:r>
            <w:r w:rsidR="00844A21">
              <w:rPr>
                <w:sz w:val="20"/>
                <w:szCs w:val="20"/>
              </w:rPr>
              <w:t xml:space="preserve"> We also </w:t>
            </w:r>
            <w:r w:rsidR="00844A21" w:rsidRPr="00844A21">
              <w:rPr>
                <w:sz w:val="20"/>
                <w:szCs w:val="20"/>
              </w:rPr>
              <w:t>request the Commission to continue to address data localisation restrictions across Member States, which act as a barrier to greater data sharing</w:t>
            </w:r>
            <w:r w:rsidR="00844A21">
              <w:rPr>
                <w:sz w:val="20"/>
                <w:szCs w:val="20"/>
              </w:rPr>
              <w:t>.</w:t>
            </w:r>
          </w:p>
          <w:p w14:paraId="68834345" w14:textId="77777777" w:rsidR="00FE3068" w:rsidRPr="008A5782" w:rsidRDefault="00FE3068" w:rsidP="00FE3068">
            <w:pPr>
              <w:spacing w:after="120"/>
              <w:rPr>
                <w:sz w:val="20"/>
                <w:szCs w:val="20"/>
              </w:rPr>
            </w:pPr>
            <w:r w:rsidRPr="00E85F81">
              <w:rPr>
                <w:sz w:val="20"/>
                <w:szCs w:val="20"/>
              </w:rPr>
              <w:t xml:space="preserve">We support the Commission’s </w:t>
            </w:r>
            <w:r>
              <w:rPr>
                <w:sz w:val="20"/>
                <w:szCs w:val="20"/>
              </w:rPr>
              <w:t>European S</w:t>
            </w:r>
            <w:r w:rsidRPr="00E85F81">
              <w:rPr>
                <w:sz w:val="20"/>
                <w:szCs w:val="20"/>
              </w:rPr>
              <w:t xml:space="preserve">trategy for </w:t>
            </w:r>
            <w:r>
              <w:rPr>
                <w:sz w:val="20"/>
                <w:szCs w:val="20"/>
              </w:rPr>
              <w:t>d</w:t>
            </w:r>
            <w:r w:rsidRPr="00E85F81">
              <w:rPr>
                <w:sz w:val="20"/>
                <w:szCs w:val="20"/>
              </w:rPr>
              <w:t>ata</w:t>
            </w:r>
            <w:r>
              <w:rPr>
                <w:sz w:val="20"/>
                <w:szCs w:val="20"/>
              </w:rPr>
              <w:t>, specifically where it recognises</w:t>
            </w:r>
            <w:r w:rsidRPr="00E85F81">
              <w:rPr>
                <w:sz w:val="20"/>
                <w:szCs w:val="20"/>
              </w:rPr>
              <w:t>:</w:t>
            </w:r>
            <w:r w:rsidRPr="008A5782">
              <w:rPr>
                <w:sz w:val="20"/>
                <w:szCs w:val="20"/>
              </w:rPr>
              <w:t xml:space="preserve"> </w:t>
            </w:r>
          </w:p>
          <w:p w14:paraId="338A60BE" w14:textId="1AE6BBD8" w:rsidR="006F4557" w:rsidRPr="00A97A75" w:rsidRDefault="00FE3068" w:rsidP="00735388">
            <w:pPr>
              <w:pStyle w:val="ListParagraph"/>
              <w:numPr>
                <w:ilvl w:val="0"/>
                <w:numId w:val="26"/>
              </w:numPr>
              <w:spacing w:after="120"/>
              <w:ind w:left="184" w:hanging="142"/>
              <w:rPr>
                <w:sz w:val="20"/>
                <w:szCs w:val="20"/>
              </w:rPr>
            </w:pPr>
            <w:r w:rsidRPr="00A97A75">
              <w:rPr>
                <w:sz w:val="20"/>
                <w:szCs w:val="20"/>
              </w:rPr>
              <w:t>The benefits of cross sectoral data sharing as a crucial element in ensuring a level playing field,</w:t>
            </w:r>
            <w:r w:rsidR="00A97A75" w:rsidRPr="00A97A75">
              <w:rPr>
                <w:sz w:val="20"/>
                <w:szCs w:val="20"/>
              </w:rPr>
              <w:t xml:space="preserve"> and the ability for end-users to share and transmit their data across multiple sectors</w:t>
            </w:r>
            <w:r w:rsidRPr="00A97A75">
              <w:rPr>
                <w:sz w:val="20"/>
                <w:szCs w:val="20"/>
              </w:rPr>
              <w:t xml:space="preserve">. We note that regulatory initiatives should not be confined to the Digital Finance Strategy, but should </w:t>
            </w:r>
            <w:r w:rsidR="00A97A75" w:rsidRPr="00A97A75">
              <w:rPr>
                <w:sz w:val="20"/>
                <w:szCs w:val="20"/>
              </w:rPr>
              <w:t xml:space="preserve">such as </w:t>
            </w:r>
            <w:r w:rsidRPr="00A97A75">
              <w:rPr>
                <w:sz w:val="20"/>
                <w:szCs w:val="20"/>
              </w:rPr>
              <w:t xml:space="preserve">also apply to other sectors, </w:t>
            </w:r>
            <w:r w:rsidR="00A97A75" w:rsidRPr="00A97A75">
              <w:rPr>
                <w:sz w:val="20"/>
                <w:szCs w:val="20"/>
              </w:rPr>
              <w:t xml:space="preserve">at the very least </w:t>
            </w:r>
            <w:r w:rsidRPr="00A97A75">
              <w:rPr>
                <w:sz w:val="20"/>
                <w:szCs w:val="20"/>
              </w:rPr>
              <w:t>those outlined in the Data Strategy, as well as digital platform providers</w:t>
            </w:r>
            <w:r w:rsidR="006F4557">
              <w:rPr>
                <w:sz w:val="20"/>
                <w:szCs w:val="20"/>
              </w:rPr>
              <w:t>.</w:t>
            </w:r>
          </w:p>
          <w:p w14:paraId="292876FC" w14:textId="20C1037F" w:rsidR="006F4557" w:rsidRDefault="00A97A75">
            <w:pPr>
              <w:pStyle w:val="ListParagraph"/>
              <w:numPr>
                <w:ilvl w:val="0"/>
                <w:numId w:val="26"/>
              </w:numPr>
              <w:spacing w:after="120"/>
              <w:ind w:left="184" w:hanging="142"/>
            </w:pPr>
            <w:r w:rsidRPr="00735388">
              <w:rPr>
                <w:sz w:val="20"/>
                <w:szCs w:val="20"/>
              </w:rPr>
              <w:t xml:space="preserve">The need to delineate clearly between raw/observed data and elaborated/inferred data insights when imposing mandatory data sharing requirements. </w:t>
            </w:r>
            <w:r w:rsidRPr="00735388">
              <w:rPr>
                <w:bCs/>
                <w:sz w:val="20"/>
                <w:szCs w:val="20"/>
              </w:rPr>
              <w:t xml:space="preserve">We believe elaborated or inferred data insights should not be shared between </w:t>
            </w:r>
            <w:r w:rsidRPr="00735388">
              <w:rPr>
                <w:sz w:val="20"/>
                <w:szCs w:val="20"/>
              </w:rPr>
              <w:t>organisation</w:t>
            </w:r>
            <w:r w:rsidRPr="00735388">
              <w:rPr>
                <w:bCs/>
                <w:sz w:val="20"/>
                <w:szCs w:val="20"/>
              </w:rPr>
              <w:t>s on a mandatory basis, except where required as part of specific competition policy interventions.</w:t>
            </w:r>
            <w:r w:rsidR="00D76EA2" w:rsidRPr="00735388">
              <w:rPr>
                <w:bCs/>
                <w:sz w:val="20"/>
                <w:szCs w:val="20"/>
              </w:rPr>
              <w:t xml:space="preserve"> We note that there may also be instances where monetisation of elaborated or inferred data insights is appropriate.</w:t>
            </w:r>
          </w:p>
          <w:p w14:paraId="78F234C6" w14:textId="1EF9052B" w:rsidR="006F4557" w:rsidRPr="00A97A75" w:rsidRDefault="00A97A75" w:rsidP="00735388">
            <w:pPr>
              <w:pStyle w:val="ListParagraph"/>
              <w:numPr>
                <w:ilvl w:val="0"/>
                <w:numId w:val="26"/>
              </w:numPr>
              <w:spacing w:after="120"/>
              <w:ind w:left="184" w:hanging="142"/>
            </w:pPr>
            <w:r w:rsidRPr="00735388">
              <w:rPr>
                <w:sz w:val="20"/>
                <w:szCs w:val="20"/>
              </w:rPr>
              <w:t xml:space="preserve">The need to increase data portability under </w:t>
            </w:r>
            <w:proofErr w:type="gramStart"/>
            <w:r w:rsidRPr="00735388">
              <w:rPr>
                <w:sz w:val="20"/>
                <w:szCs w:val="20"/>
              </w:rPr>
              <w:t>GDPR;</w:t>
            </w:r>
            <w:proofErr w:type="gramEnd"/>
            <w:r w:rsidRPr="00735388">
              <w:rPr>
                <w:sz w:val="20"/>
                <w:szCs w:val="20"/>
              </w:rPr>
              <w:t xml:space="preserve"> such as through the use of Application Programming Interfaces (APIs). This will allow individual users or firms to share their data in a real time, ongoing, </w:t>
            </w:r>
            <w:proofErr w:type="gramStart"/>
            <w:r w:rsidRPr="00735388">
              <w:rPr>
                <w:sz w:val="20"/>
                <w:szCs w:val="20"/>
              </w:rPr>
              <w:t>secure</w:t>
            </w:r>
            <w:proofErr w:type="gramEnd"/>
            <w:r w:rsidRPr="00735388">
              <w:rPr>
                <w:sz w:val="20"/>
                <w:szCs w:val="20"/>
              </w:rPr>
              <w:t xml:space="preserve"> and standardised basis with other providers. We also believe this initiative should also be extended to non-personal data under the Data Act/Digital Services Act (for example by applying ex-ante rules in the Digital Services Act to business users’ data held by digital platforms)</w:t>
            </w:r>
            <w:r w:rsidR="006F4557">
              <w:rPr>
                <w:sz w:val="20"/>
                <w:szCs w:val="20"/>
              </w:rPr>
              <w:t>.</w:t>
            </w:r>
          </w:p>
          <w:p w14:paraId="79DCEE25" w14:textId="2DE40CD1" w:rsidR="006F4557" w:rsidRPr="00735388" w:rsidRDefault="00FE3068" w:rsidP="00735388">
            <w:pPr>
              <w:pStyle w:val="ListParagraph"/>
              <w:numPr>
                <w:ilvl w:val="0"/>
                <w:numId w:val="26"/>
              </w:numPr>
              <w:spacing w:after="120"/>
              <w:ind w:left="184" w:hanging="142"/>
              <w:rPr>
                <w:sz w:val="20"/>
                <w:szCs w:val="20"/>
              </w:rPr>
            </w:pPr>
            <w:r w:rsidRPr="00735388">
              <w:rPr>
                <w:sz w:val="20"/>
                <w:szCs w:val="20"/>
              </w:rPr>
              <w:t>The need to preserve data security by</w:t>
            </w:r>
            <w:r w:rsidR="00142D26" w:rsidRPr="00735388">
              <w:rPr>
                <w:sz w:val="20"/>
                <w:szCs w:val="20"/>
              </w:rPr>
              <w:t xml:space="preserve"> creating operational standards for data access to ensure data can be seamlessly connected in a secure environment.</w:t>
            </w:r>
            <w:r w:rsidRPr="00735388">
              <w:rPr>
                <w:sz w:val="20"/>
                <w:szCs w:val="20"/>
              </w:rPr>
              <w:t xml:space="preserve"> This will be essential to creating trust between parties and </w:t>
            </w:r>
            <w:r w:rsidR="00142D26" w:rsidRPr="00735388">
              <w:rPr>
                <w:sz w:val="20"/>
                <w:szCs w:val="20"/>
              </w:rPr>
              <w:t>encouraging greater</w:t>
            </w:r>
            <w:r w:rsidRPr="00735388">
              <w:rPr>
                <w:sz w:val="20"/>
                <w:szCs w:val="20"/>
              </w:rPr>
              <w:t xml:space="preserve"> data sharing</w:t>
            </w:r>
            <w:r w:rsidR="006F4557">
              <w:rPr>
                <w:sz w:val="20"/>
                <w:szCs w:val="20"/>
              </w:rPr>
              <w:t>.</w:t>
            </w:r>
          </w:p>
          <w:p w14:paraId="60379467" w14:textId="5DEC4521" w:rsidR="006F4557" w:rsidRPr="00735388" w:rsidRDefault="00A97A75" w:rsidP="00735388">
            <w:pPr>
              <w:pStyle w:val="ListParagraph"/>
              <w:numPr>
                <w:ilvl w:val="0"/>
                <w:numId w:val="26"/>
              </w:numPr>
              <w:spacing w:after="120"/>
              <w:ind w:left="184" w:hanging="142"/>
              <w:rPr>
                <w:sz w:val="20"/>
                <w:szCs w:val="20"/>
              </w:rPr>
            </w:pPr>
            <w:r w:rsidRPr="00735388">
              <w:rPr>
                <w:sz w:val="20"/>
                <w:szCs w:val="20"/>
              </w:rPr>
              <w:t>Any data deemed highly sensitive, such as financial information, should only be accessible by firms with an appropriate license and robust oversight</w:t>
            </w:r>
            <w:r w:rsidR="006F4557">
              <w:rPr>
                <w:sz w:val="20"/>
                <w:szCs w:val="20"/>
              </w:rPr>
              <w:t>.</w:t>
            </w:r>
          </w:p>
          <w:p w14:paraId="5CC4A5DC" w14:textId="77777777" w:rsidR="003D3CF0" w:rsidRPr="00735388" w:rsidRDefault="00A97A75" w:rsidP="00735388">
            <w:pPr>
              <w:pStyle w:val="ListParagraph"/>
              <w:numPr>
                <w:ilvl w:val="0"/>
                <w:numId w:val="26"/>
              </w:numPr>
              <w:spacing w:after="120"/>
              <w:ind w:left="184" w:hanging="142"/>
              <w:rPr>
                <w:sz w:val="20"/>
                <w:szCs w:val="20"/>
              </w:rPr>
            </w:pPr>
            <w:r w:rsidRPr="00735388">
              <w:rPr>
                <w:sz w:val="20"/>
                <w:szCs w:val="20"/>
              </w:rPr>
              <w:t>Appropriate liability and redress mechanisms will be required for users to clearly understand who is responsible for their data.</w:t>
            </w:r>
          </w:p>
          <w:p w14:paraId="5531B980" w14:textId="2A0821DF" w:rsidR="00A97A75" w:rsidRPr="00FE3068" w:rsidRDefault="00A97A75" w:rsidP="008E2EEC">
            <w:pPr>
              <w:rPr>
                <w:sz w:val="20"/>
                <w:szCs w:val="20"/>
              </w:rPr>
            </w:pPr>
          </w:p>
        </w:tc>
      </w:tr>
      <w:tr w:rsidR="009308FD" w:rsidRPr="002E1C4E" w14:paraId="2446D343" w14:textId="77777777" w:rsidTr="00CA60D1">
        <w:trPr>
          <w:trHeight w:val="70"/>
        </w:trPr>
        <w:tc>
          <w:tcPr>
            <w:tcW w:w="10457" w:type="dxa"/>
            <w:gridSpan w:val="3"/>
            <w:shd w:val="clear" w:color="auto" w:fill="D6E3BC" w:themeFill="accent3" w:themeFillTint="66"/>
          </w:tcPr>
          <w:p w14:paraId="37C1E3A4" w14:textId="402133B9" w:rsidR="009308FD" w:rsidRPr="005D6C94" w:rsidRDefault="009308FD" w:rsidP="005D6C94">
            <w:pPr>
              <w:jc w:val="left"/>
              <w:rPr>
                <w:rFonts w:eastAsia="Times New Roman"/>
                <w:i/>
                <w:iCs/>
                <w:sz w:val="20"/>
                <w:szCs w:val="20"/>
                <w:lang w:eastAsia="en-GB"/>
              </w:rPr>
            </w:pPr>
            <w:r w:rsidRPr="009308FD">
              <w:rPr>
                <w:sz w:val="20"/>
                <w:szCs w:val="20"/>
              </w:rPr>
              <w:t>Facilitate the access to publicly available data in finance</w:t>
            </w:r>
            <w:r w:rsidR="005D6C94">
              <w:rPr>
                <w:sz w:val="20"/>
                <w:szCs w:val="20"/>
              </w:rPr>
              <w:t xml:space="preserve"> </w:t>
            </w:r>
          </w:p>
        </w:tc>
      </w:tr>
      <w:tr w:rsidR="009308FD" w:rsidRPr="00E04F86" w14:paraId="2AFC267D" w14:textId="77777777" w:rsidTr="00CA60D1">
        <w:trPr>
          <w:trHeight w:val="115"/>
        </w:trPr>
        <w:tc>
          <w:tcPr>
            <w:tcW w:w="790" w:type="dxa"/>
            <w:vMerge w:val="restart"/>
          </w:tcPr>
          <w:p w14:paraId="4C236C28" w14:textId="11E081D3" w:rsidR="009308FD" w:rsidRDefault="009308FD" w:rsidP="0053138D">
            <w:pPr>
              <w:spacing w:after="120"/>
              <w:rPr>
                <w:sz w:val="20"/>
                <w:szCs w:val="20"/>
              </w:rPr>
            </w:pPr>
            <w:r>
              <w:rPr>
                <w:sz w:val="20"/>
                <w:szCs w:val="20"/>
              </w:rPr>
              <w:lastRenderedPageBreak/>
              <w:t>27</w:t>
            </w:r>
          </w:p>
        </w:tc>
        <w:tc>
          <w:tcPr>
            <w:tcW w:w="1048" w:type="dxa"/>
          </w:tcPr>
          <w:p w14:paraId="42F08B42" w14:textId="68CF9A65" w:rsidR="009308FD" w:rsidRPr="0042399D" w:rsidRDefault="009308FD" w:rsidP="0042399D">
            <w:pPr>
              <w:rPr>
                <w:rFonts w:eastAsia="Times New Roman"/>
                <w:b/>
                <w:sz w:val="20"/>
                <w:szCs w:val="20"/>
                <w:lang w:eastAsia="en-GB"/>
              </w:rPr>
            </w:pPr>
            <w:r>
              <w:rPr>
                <w:rFonts w:eastAsia="Times New Roman"/>
                <w:sz w:val="20"/>
                <w:szCs w:val="20"/>
                <w:lang w:eastAsia="en-GB"/>
              </w:rPr>
              <w:t>A</w:t>
            </w:r>
            <w:r w:rsidRPr="0042399D">
              <w:rPr>
                <w:rFonts w:eastAsia="Times New Roman"/>
                <w:sz w:val="20"/>
                <w:szCs w:val="20"/>
                <w:lang w:eastAsia="en-GB"/>
              </w:rPr>
              <w:t>FME to respond</w:t>
            </w:r>
          </w:p>
        </w:tc>
        <w:tc>
          <w:tcPr>
            <w:tcW w:w="8619" w:type="dxa"/>
          </w:tcPr>
          <w:p w14:paraId="1313C87A" w14:textId="60EEA64F" w:rsidR="009308FD" w:rsidRDefault="009308FD" w:rsidP="000A0046">
            <w:pPr>
              <w:pStyle w:val="ListParagraph"/>
              <w:numPr>
                <w:ilvl w:val="0"/>
                <w:numId w:val="26"/>
              </w:numPr>
              <w:spacing w:after="120"/>
              <w:ind w:left="184" w:hanging="142"/>
              <w:rPr>
                <w:sz w:val="20"/>
                <w:szCs w:val="20"/>
              </w:rPr>
            </w:pPr>
            <w:r w:rsidRPr="009308FD">
              <w:rPr>
                <w:sz w:val="20"/>
                <w:szCs w:val="20"/>
              </w:rPr>
              <w:t>Financial reporting data from listed companies</w:t>
            </w:r>
            <w:r w:rsidR="009C156E">
              <w:rPr>
                <w:sz w:val="20"/>
                <w:szCs w:val="20"/>
              </w:rPr>
              <w:t xml:space="preserve">: </w:t>
            </w:r>
            <w:r w:rsidR="00CB6624" w:rsidRPr="00CB6624">
              <w:rPr>
                <w:sz w:val="20"/>
                <w:szCs w:val="20"/>
              </w:rPr>
              <w:t>5 – fully relevant</w:t>
            </w:r>
          </w:p>
          <w:p w14:paraId="5390E44E" w14:textId="43F3DC9F" w:rsidR="009308FD" w:rsidRDefault="009308FD" w:rsidP="000A0046">
            <w:pPr>
              <w:pStyle w:val="ListParagraph"/>
              <w:numPr>
                <w:ilvl w:val="0"/>
                <w:numId w:val="26"/>
              </w:numPr>
              <w:spacing w:after="120"/>
              <w:ind w:left="184" w:hanging="142"/>
              <w:rPr>
                <w:sz w:val="20"/>
                <w:szCs w:val="20"/>
              </w:rPr>
            </w:pPr>
            <w:r w:rsidRPr="009308FD">
              <w:rPr>
                <w:sz w:val="20"/>
                <w:szCs w:val="20"/>
              </w:rPr>
              <w:t>Non-financial reporting data from listed companies</w:t>
            </w:r>
            <w:r w:rsidR="00285CBF">
              <w:rPr>
                <w:sz w:val="20"/>
                <w:szCs w:val="20"/>
              </w:rPr>
              <w:t xml:space="preserve">: </w:t>
            </w:r>
            <w:r w:rsidR="00CB6624" w:rsidRPr="00CB6624">
              <w:rPr>
                <w:sz w:val="20"/>
                <w:szCs w:val="20"/>
              </w:rPr>
              <w:t>5 – fully relevant</w:t>
            </w:r>
          </w:p>
          <w:p w14:paraId="5BC6F20B" w14:textId="731C42B0" w:rsidR="009308FD" w:rsidRDefault="009308FD" w:rsidP="000A0046">
            <w:pPr>
              <w:pStyle w:val="ListParagraph"/>
              <w:numPr>
                <w:ilvl w:val="0"/>
                <w:numId w:val="26"/>
              </w:numPr>
              <w:spacing w:after="120"/>
              <w:ind w:left="184" w:hanging="142"/>
              <w:rPr>
                <w:sz w:val="20"/>
                <w:szCs w:val="20"/>
              </w:rPr>
            </w:pPr>
            <w:r w:rsidRPr="009308FD">
              <w:rPr>
                <w:sz w:val="20"/>
                <w:szCs w:val="20"/>
              </w:rPr>
              <w:t>SME data</w:t>
            </w:r>
            <w:r w:rsidR="00285CBF">
              <w:rPr>
                <w:sz w:val="20"/>
                <w:szCs w:val="20"/>
              </w:rPr>
              <w:t xml:space="preserve">: </w:t>
            </w:r>
            <w:r w:rsidR="00CB6624" w:rsidRPr="00CB6624">
              <w:rPr>
                <w:sz w:val="20"/>
                <w:szCs w:val="20"/>
              </w:rPr>
              <w:t>5 – fully relevant</w:t>
            </w:r>
          </w:p>
          <w:p w14:paraId="659B4AF5" w14:textId="3D71F8AB" w:rsidR="009308FD" w:rsidRDefault="009308FD" w:rsidP="009308FD">
            <w:pPr>
              <w:pStyle w:val="ListParagraph"/>
              <w:numPr>
                <w:ilvl w:val="0"/>
                <w:numId w:val="26"/>
              </w:numPr>
              <w:spacing w:after="120"/>
              <w:ind w:left="184" w:hanging="142"/>
              <w:rPr>
                <w:sz w:val="20"/>
                <w:szCs w:val="20"/>
              </w:rPr>
            </w:pPr>
            <w:r w:rsidRPr="009308FD">
              <w:rPr>
                <w:sz w:val="20"/>
                <w:szCs w:val="20"/>
              </w:rPr>
              <w:t>Prudential disclosure stemming from financial services legislation</w:t>
            </w:r>
            <w:r w:rsidR="00285CBF">
              <w:rPr>
                <w:sz w:val="20"/>
                <w:szCs w:val="20"/>
              </w:rPr>
              <w:t xml:space="preserve">: </w:t>
            </w:r>
            <w:r w:rsidR="00FE3068" w:rsidRPr="00CB6624">
              <w:rPr>
                <w:sz w:val="20"/>
                <w:szCs w:val="20"/>
              </w:rPr>
              <w:t>4 – rather relevant</w:t>
            </w:r>
          </w:p>
          <w:p w14:paraId="06B0CC9A" w14:textId="5B83545C" w:rsidR="009308FD" w:rsidRDefault="009308FD" w:rsidP="009308FD">
            <w:pPr>
              <w:pStyle w:val="ListParagraph"/>
              <w:numPr>
                <w:ilvl w:val="0"/>
                <w:numId w:val="26"/>
              </w:numPr>
              <w:spacing w:after="120"/>
              <w:ind w:left="184" w:hanging="142"/>
              <w:rPr>
                <w:sz w:val="20"/>
                <w:szCs w:val="20"/>
              </w:rPr>
            </w:pPr>
            <w:r w:rsidRPr="009308FD">
              <w:rPr>
                <w:sz w:val="20"/>
                <w:szCs w:val="20"/>
              </w:rPr>
              <w:t>Securities market disclosure</w:t>
            </w:r>
            <w:r w:rsidR="00285CBF">
              <w:rPr>
                <w:sz w:val="20"/>
                <w:szCs w:val="20"/>
              </w:rPr>
              <w:t xml:space="preserve">: </w:t>
            </w:r>
            <w:r w:rsidR="00CB6624" w:rsidRPr="00CB6624">
              <w:rPr>
                <w:sz w:val="20"/>
                <w:szCs w:val="20"/>
              </w:rPr>
              <w:t>4 – rather relevant</w:t>
            </w:r>
          </w:p>
          <w:p w14:paraId="0A83515F" w14:textId="58482C6E" w:rsidR="009308FD" w:rsidRDefault="009308FD" w:rsidP="009308FD">
            <w:pPr>
              <w:pStyle w:val="ListParagraph"/>
              <w:numPr>
                <w:ilvl w:val="0"/>
                <w:numId w:val="26"/>
              </w:numPr>
              <w:spacing w:after="120"/>
              <w:ind w:left="184" w:hanging="142"/>
              <w:rPr>
                <w:sz w:val="20"/>
                <w:szCs w:val="20"/>
              </w:rPr>
            </w:pPr>
            <w:r w:rsidRPr="009308FD">
              <w:rPr>
                <w:sz w:val="20"/>
                <w:szCs w:val="20"/>
              </w:rPr>
              <w:t>Disclosure regarding retail investment products</w:t>
            </w:r>
            <w:r w:rsidR="00285CBF">
              <w:rPr>
                <w:sz w:val="20"/>
                <w:szCs w:val="20"/>
              </w:rPr>
              <w:t xml:space="preserve">: </w:t>
            </w:r>
            <w:r w:rsidR="00CB6624" w:rsidRPr="00AF6407">
              <w:rPr>
                <w:sz w:val="20"/>
                <w:szCs w:val="20"/>
              </w:rPr>
              <w:t>3 – neutral</w:t>
            </w:r>
          </w:p>
          <w:p w14:paraId="211B2F8E" w14:textId="5982D581" w:rsidR="009308FD" w:rsidRPr="009308FD" w:rsidRDefault="009308FD" w:rsidP="009308FD">
            <w:pPr>
              <w:pStyle w:val="ListParagraph"/>
              <w:numPr>
                <w:ilvl w:val="0"/>
                <w:numId w:val="26"/>
              </w:numPr>
              <w:spacing w:after="120"/>
              <w:ind w:left="184" w:hanging="142"/>
              <w:rPr>
                <w:sz w:val="20"/>
                <w:szCs w:val="20"/>
              </w:rPr>
            </w:pPr>
            <w:r w:rsidRPr="009308FD">
              <w:rPr>
                <w:sz w:val="20"/>
                <w:szCs w:val="20"/>
              </w:rPr>
              <w:t>Other</w:t>
            </w:r>
            <w:r w:rsidR="00DA7051">
              <w:rPr>
                <w:sz w:val="20"/>
                <w:szCs w:val="20"/>
              </w:rPr>
              <w:t xml:space="preserve">: </w:t>
            </w:r>
            <w:r w:rsidR="00DA7051" w:rsidRPr="00CB6624">
              <w:rPr>
                <w:sz w:val="20"/>
                <w:szCs w:val="20"/>
              </w:rPr>
              <w:t>5 – fully relevant</w:t>
            </w:r>
          </w:p>
        </w:tc>
      </w:tr>
      <w:tr w:rsidR="009308FD" w14:paraId="1421ED52" w14:textId="77777777" w:rsidTr="00CA60D1">
        <w:trPr>
          <w:trHeight w:val="364"/>
        </w:trPr>
        <w:tc>
          <w:tcPr>
            <w:tcW w:w="790" w:type="dxa"/>
            <w:vMerge/>
          </w:tcPr>
          <w:p w14:paraId="265D6353" w14:textId="1732C725" w:rsidR="009308FD" w:rsidRDefault="009308FD" w:rsidP="0053138D">
            <w:pPr>
              <w:spacing w:after="120"/>
              <w:rPr>
                <w:sz w:val="20"/>
                <w:szCs w:val="20"/>
              </w:rPr>
            </w:pPr>
          </w:p>
        </w:tc>
        <w:tc>
          <w:tcPr>
            <w:tcW w:w="1048" w:type="dxa"/>
          </w:tcPr>
          <w:p w14:paraId="22742404" w14:textId="4E2CCCC3" w:rsidR="009308FD" w:rsidRPr="0042399D" w:rsidRDefault="009308FD" w:rsidP="0042399D">
            <w:pPr>
              <w:rPr>
                <w:rFonts w:eastAsia="Times New Roman"/>
                <w:b/>
                <w:sz w:val="20"/>
                <w:szCs w:val="20"/>
                <w:lang w:eastAsia="en-GB"/>
              </w:rPr>
            </w:pPr>
            <w:r w:rsidRPr="0042399D">
              <w:rPr>
                <w:rFonts w:eastAsia="Times New Roman"/>
                <w:sz w:val="20"/>
                <w:szCs w:val="20"/>
                <w:lang w:eastAsia="en-GB"/>
              </w:rPr>
              <w:t>AFME to respond</w:t>
            </w:r>
          </w:p>
        </w:tc>
        <w:tc>
          <w:tcPr>
            <w:tcW w:w="8619" w:type="dxa"/>
          </w:tcPr>
          <w:p w14:paraId="07CE4EE6" w14:textId="612C1872" w:rsidR="00CB6624" w:rsidRDefault="00CB6624" w:rsidP="00CB6624">
            <w:pPr>
              <w:pStyle w:val="ListParagraph"/>
              <w:numPr>
                <w:ilvl w:val="0"/>
                <w:numId w:val="26"/>
              </w:numPr>
              <w:spacing w:after="120"/>
              <w:ind w:left="184" w:hanging="142"/>
              <w:rPr>
                <w:sz w:val="20"/>
                <w:szCs w:val="20"/>
              </w:rPr>
            </w:pPr>
            <w:r w:rsidRPr="00AF6407">
              <w:rPr>
                <w:sz w:val="20"/>
                <w:szCs w:val="20"/>
              </w:rPr>
              <w:t>We note that access should only be provided to data that is already publicly available. Further, any initiative should leverage existing regulations to avoid imposing additional obligations to entities.</w:t>
            </w:r>
          </w:p>
          <w:p w14:paraId="7225742E" w14:textId="499AA0E7" w:rsidR="00A411E4" w:rsidRDefault="00A411E4" w:rsidP="00A411E4">
            <w:pPr>
              <w:pStyle w:val="ListParagraph"/>
              <w:numPr>
                <w:ilvl w:val="0"/>
                <w:numId w:val="26"/>
              </w:numPr>
              <w:spacing w:after="120"/>
              <w:ind w:left="184" w:hanging="142"/>
              <w:rPr>
                <w:sz w:val="20"/>
                <w:szCs w:val="20"/>
              </w:rPr>
            </w:pPr>
            <w:r w:rsidRPr="00A411E4">
              <w:rPr>
                <w:sz w:val="20"/>
                <w:szCs w:val="20"/>
              </w:rPr>
              <w:t xml:space="preserve">At present, firms do generally not have access to aggregated and anonymised reporting data. This also includes data provided to regulators following regulatory reporting such as the ones prescribed under MiFID, SFTR, CSDR and others, where entities provide this data, but have limited </w:t>
            </w:r>
            <w:r>
              <w:rPr>
                <w:sz w:val="20"/>
                <w:szCs w:val="20"/>
              </w:rPr>
              <w:t xml:space="preserve">or no </w:t>
            </w:r>
            <w:r w:rsidRPr="00A411E4">
              <w:rPr>
                <w:sz w:val="20"/>
                <w:szCs w:val="20"/>
              </w:rPr>
              <w:t xml:space="preserve">access to the aggregated output thereof.  Such access to aggregated and anonymised data would be very insightful, not only for internal firm purposes, but </w:t>
            </w:r>
            <w:r w:rsidR="003C2CE9">
              <w:rPr>
                <w:sz w:val="20"/>
                <w:szCs w:val="20"/>
              </w:rPr>
              <w:t xml:space="preserve">also </w:t>
            </w:r>
            <w:r w:rsidRPr="00A411E4">
              <w:rPr>
                <w:sz w:val="20"/>
                <w:szCs w:val="20"/>
              </w:rPr>
              <w:t>for benchmarking with the wider industry and develop</w:t>
            </w:r>
            <w:r w:rsidR="003C2CE9">
              <w:rPr>
                <w:sz w:val="20"/>
                <w:szCs w:val="20"/>
              </w:rPr>
              <w:t xml:space="preserve">ing or </w:t>
            </w:r>
            <w:r w:rsidRPr="00A411E4">
              <w:rPr>
                <w:sz w:val="20"/>
                <w:szCs w:val="20"/>
              </w:rPr>
              <w:t>refin</w:t>
            </w:r>
            <w:r w:rsidR="003C2CE9">
              <w:rPr>
                <w:sz w:val="20"/>
                <w:szCs w:val="20"/>
              </w:rPr>
              <w:t>ing</w:t>
            </w:r>
            <w:r w:rsidRPr="00A411E4">
              <w:rPr>
                <w:sz w:val="20"/>
                <w:szCs w:val="20"/>
              </w:rPr>
              <w:t xml:space="preserve"> market practices and regulations</w:t>
            </w:r>
            <w:r w:rsidR="003C2CE9">
              <w:rPr>
                <w:sz w:val="20"/>
                <w:szCs w:val="20"/>
              </w:rPr>
              <w:t xml:space="preserve"> </w:t>
            </w:r>
            <w:proofErr w:type="gramStart"/>
            <w:r w:rsidR="003C2CE9">
              <w:rPr>
                <w:sz w:val="20"/>
                <w:szCs w:val="20"/>
              </w:rPr>
              <w:t>in order to</w:t>
            </w:r>
            <w:proofErr w:type="gramEnd"/>
            <w:r w:rsidR="003C2CE9">
              <w:rPr>
                <w:sz w:val="20"/>
                <w:szCs w:val="20"/>
              </w:rPr>
              <w:t xml:space="preserve"> meet specific objectives.</w:t>
            </w:r>
          </w:p>
          <w:p w14:paraId="3C758430" w14:textId="665C3897" w:rsidR="00CB6624" w:rsidRDefault="00FE3068" w:rsidP="00CB6624">
            <w:pPr>
              <w:pStyle w:val="ListParagraph"/>
              <w:numPr>
                <w:ilvl w:val="0"/>
                <w:numId w:val="26"/>
              </w:numPr>
              <w:spacing w:after="120"/>
              <w:ind w:left="184" w:hanging="142"/>
              <w:rPr>
                <w:sz w:val="20"/>
                <w:szCs w:val="20"/>
              </w:rPr>
            </w:pPr>
            <w:r>
              <w:rPr>
                <w:sz w:val="20"/>
                <w:szCs w:val="20"/>
              </w:rPr>
              <w:t>Improvin</w:t>
            </w:r>
            <w:r w:rsidRPr="00AF6407">
              <w:rPr>
                <w:sz w:val="20"/>
                <w:szCs w:val="20"/>
              </w:rPr>
              <w:t>g</w:t>
            </w:r>
            <w:r>
              <w:rPr>
                <w:sz w:val="20"/>
                <w:szCs w:val="20"/>
              </w:rPr>
              <w:t xml:space="preserve"> access to</w:t>
            </w:r>
            <w:r w:rsidRPr="00AF6407">
              <w:rPr>
                <w:sz w:val="20"/>
                <w:szCs w:val="20"/>
              </w:rPr>
              <w:t xml:space="preserve"> </w:t>
            </w:r>
            <w:r w:rsidR="00CB6624" w:rsidRPr="00AF6407">
              <w:rPr>
                <w:sz w:val="20"/>
                <w:szCs w:val="20"/>
              </w:rPr>
              <w:t xml:space="preserve">non-financial reporting data </w:t>
            </w:r>
            <w:r>
              <w:rPr>
                <w:sz w:val="20"/>
                <w:szCs w:val="20"/>
              </w:rPr>
              <w:t>w</w:t>
            </w:r>
            <w:r w:rsidR="00A411E4">
              <w:rPr>
                <w:sz w:val="20"/>
                <w:szCs w:val="20"/>
              </w:rPr>
              <w:t>ould</w:t>
            </w:r>
            <w:r>
              <w:rPr>
                <w:sz w:val="20"/>
                <w:szCs w:val="20"/>
              </w:rPr>
              <w:t xml:space="preserve"> make it easier to</w:t>
            </w:r>
            <w:r w:rsidR="00CB6624" w:rsidRPr="00AF6407">
              <w:rPr>
                <w:sz w:val="20"/>
                <w:szCs w:val="20"/>
              </w:rPr>
              <w:t xml:space="preserve"> evaluat</w:t>
            </w:r>
            <w:r>
              <w:rPr>
                <w:sz w:val="20"/>
                <w:szCs w:val="20"/>
              </w:rPr>
              <w:t>e</w:t>
            </w:r>
            <w:r w:rsidR="00CB6624" w:rsidRPr="00AF6407">
              <w:rPr>
                <w:sz w:val="20"/>
                <w:szCs w:val="20"/>
              </w:rPr>
              <w:t xml:space="preserve"> the non-financial performance of companies </w:t>
            </w:r>
            <w:proofErr w:type="gramStart"/>
            <w:r w:rsidR="00CB6624" w:rsidRPr="00AF6407">
              <w:rPr>
                <w:sz w:val="20"/>
                <w:szCs w:val="20"/>
              </w:rPr>
              <w:t>in order to</w:t>
            </w:r>
            <w:proofErr w:type="gramEnd"/>
            <w:r w:rsidR="00CB6624" w:rsidRPr="00AF6407">
              <w:rPr>
                <w:sz w:val="20"/>
                <w:szCs w:val="20"/>
              </w:rPr>
              <w:t xml:space="preserve"> meet Environmental Social Governance (ESG) objectives. </w:t>
            </w:r>
            <w:r>
              <w:rPr>
                <w:sz w:val="20"/>
                <w:szCs w:val="20"/>
              </w:rPr>
              <w:t>For example</w:t>
            </w:r>
            <w:r w:rsidR="00A97A75">
              <w:rPr>
                <w:sz w:val="20"/>
                <w:szCs w:val="20"/>
              </w:rPr>
              <w:t>,</w:t>
            </w:r>
            <w:r>
              <w:rPr>
                <w:sz w:val="20"/>
                <w:szCs w:val="20"/>
              </w:rPr>
              <w:t xml:space="preserve"> standardisation and amalgamation of this data on an automatic basis would be beneficial to limit the additional effort that is required to manually review ESG disclosures.</w:t>
            </w:r>
            <w:r w:rsidRPr="00AF6407">
              <w:rPr>
                <w:sz w:val="20"/>
                <w:szCs w:val="20"/>
              </w:rPr>
              <w:t xml:space="preserve"> </w:t>
            </w:r>
            <w:r w:rsidR="00CB6624" w:rsidRPr="00AF6407">
              <w:rPr>
                <w:sz w:val="20"/>
                <w:szCs w:val="20"/>
              </w:rPr>
              <w:t xml:space="preserve">Further, it would be helpful to include non-financial reporting data from both listed and non-listed companies.  </w:t>
            </w:r>
          </w:p>
          <w:p w14:paraId="4C3B0149" w14:textId="16BCE3DE" w:rsidR="00DA7051" w:rsidRDefault="00DA7051" w:rsidP="00DA7051">
            <w:pPr>
              <w:pStyle w:val="ListParagraph"/>
              <w:numPr>
                <w:ilvl w:val="0"/>
                <w:numId w:val="26"/>
              </w:numPr>
              <w:spacing w:after="120"/>
              <w:ind w:left="184" w:hanging="142"/>
              <w:rPr>
                <w:sz w:val="20"/>
                <w:szCs w:val="20"/>
              </w:rPr>
            </w:pPr>
            <w:bookmarkStart w:id="1" w:name="_Hlk43474606"/>
            <w:r w:rsidRPr="00DA7051">
              <w:rPr>
                <w:sz w:val="20"/>
                <w:szCs w:val="20"/>
              </w:rPr>
              <w:t xml:space="preserve">Regarding securities market disclosure, there </w:t>
            </w:r>
            <w:r w:rsidR="00AC319E" w:rsidRPr="00AC319E">
              <w:rPr>
                <w:sz w:val="20"/>
                <w:szCs w:val="20"/>
              </w:rPr>
              <w:t xml:space="preserve">may </w:t>
            </w:r>
            <w:r w:rsidR="00AC319E">
              <w:rPr>
                <w:sz w:val="20"/>
                <w:szCs w:val="20"/>
              </w:rPr>
              <w:t>be</w:t>
            </w:r>
            <w:r w:rsidR="00AC319E" w:rsidRPr="00AC319E">
              <w:rPr>
                <w:sz w:val="20"/>
                <w:szCs w:val="20"/>
              </w:rPr>
              <w:t xml:space="preserve"> an opportunity to improve access to public information generated by regulators and investments firms relating to EMIR and MiFID II, as well as other trading venue information</w:t>
            </w:r>
            <w:r w:rsidR="00AC319E">
              <w:rPr>
                <w:sz w:val="20"/>
                <w:szCs w:val="20"/>
              </w:rPr>
              <w:t>, including through initiatives</w:t>
            </w:r>
            <w:r w:rsidRPr="00DA7051">
              <w:rPr>
                <w:sz w:val="20"/>
                <w:szCs w:val="20"/>
              </w:rPr>
              <w:t xml:space="preserve"> already in place to improve data sharing between market participants, such as the ongoing MiFID review on market transparenc</w:t>
            </w:r>
            <w:r>
              <w:rPr>
                <w:sz w:val="20"/>
                <w:szCs w:val="20"/>
              </w:rPr>
              <w:t>y</w:t>
            </w:r>
            <w:r w:rsidR="00084510">
              <w:rPr>
                <w:sz w:val="20"/>
                <w:szCs w:val="20"/>
              </w:rPr>
              <w:t>.</w:t>
            </w:r>
          </w:p>
          <w:bookmarkEnd w:id="1"/>
          <w:p w14:paraId="2717834F" w14:textId="365DDC9F" w:rsidR="00DA7051" w:rsidRDefault="004A765B" w:rsidP="004A765B">
            <w:pPr>
              <w:pStyle w:val="ListParagraph"/>
              <w:numPr>
                <w:ilvl w:val="0"/>
                <w:numId w:val="26"/>
              </w:numPr>
              <w:spacing w:after="120"/>
              <w:ind w:left="184" w:hanging="142"/>
              <w:rPr>
                <w:sz w:val="20"/>
                <w:szCs w:val="20"/>
              </w:rPr>
            </w:pPr>
            <w:r>
              <w:rPr>
                <w:sz w:val="20"/>
                <w:szCs w:val="20"/>
              </w:rPr>
              <w:t>Regarding g</w:t>
            </w:r>
            <w:r w:rsidR="00DA7051" w:rsidRPr="004A765B">
              <w:rPr>
                <w:sz w:val="20"/>
                <w:szCs w:val="20"/>
              </w:rPr>
              <w:t>overnment to business (G2B)</w:t>
            </w:r>
            <w:r w:rsidR="00AB4AC5">
              <w:rPr>
                <w:sz w:val="20"/>
                <w:szCs w:val="20"/>
              </w:rPr>
              <w:t>,</w:t>
            </w:r>
            <w:r w:rsidR="00DA7051" w:rsidRPr="004A765B">
              <w:rPr>
                <w:sz w:val="20"/>
                <w:szCs w:val="20"/>
              </w:rPr>
              <w:t xml:space="preserve"> data sharing</w:t>
            </w:r>
            <w:r w:rsidR="00DA7051" w:rsidRPr="00AF6407">
              <w:rPr>
                <w:sz w:val="20"/>
                <w:szCs w:val="20"/>
              </w:rPr>
              <w:t xml:space="preserve"> </w:t>
            </w:r>
            <w:r>
              <w:rPr>
                <w:sz w:val="20"/>
                <w:szCs w:val="20"/>
              </w:rPr>
              <w:t>m</w:t>
            </w:r>
            <w:r w:rsidR="00DA7051" w:rsidRPr="00AF6407">
              <w:rPr>
                <w:sz w:val="20"/>
                <w:szCs w:val="20"/>
              </w:rPr>
              <w:t xml:space="preserve">echanisms should be put in place to ensure market participants are able to share their data stored by a Government (the public sector). This will create more effective reuse of data across private sector services (including potentially within the public sector itself). </w:t>
            </w:r>
          </w:p>
          <w:p w14:paraId="322E8076" w14:textId="77777777" w:rsidR="004A765B" w:rsidRPr="004A765B" w:rsidRDefault="00DA7051" w:rsidP="004A765B">
            <w:pPr>
              <w:spacing w:after="120"/>
              <w:ind w:left="42"/>
              <w:rPr>
                <w:i/>
                <w:iCs/>
                <w:sz w:val="20"/>
                <w:szCs w:val="20"/>
                <w:u w:val="single"/>
              </w:rPr>
            </w:pPr>
            <w:r w:rsidRPr="004A765B">
              <w:rPr>
                <w:i/>
                <w:iCs/>
                <w:sz w:val="20"/>
                <w:szCs w:val="20"/>
                <w:u w:val="single"/>
              </w:rPr>
              <w:t xml:space="preserve">High-value datasets: </w:t>
            </w:r>
          </w:p>
          <w:p w14:paraId="7FD6E702" w14:textId="03215E62" w:rsidR="00DA7051" w:rsidRDefault="00DA7051" w:rsidP="004A765B">
            <w:pPr>
              <w:pStyle w:val="ListParagraph"/>
              <w:numPr>
                <w:ilvl w:val="0"/>
                <w:numId w:val="26"/>
              </w:numPr>
              <w:spacing w:after="120"/>
              <w:ind w:left="184" w:hanging="142"/>
              <w:rPr>
                <w:sz w:val="20"/>
                <w:szCs w:val="20"/>
              </w:rPr>
            </w:pPr>
            <w:r w:rsidRPr="00AF6407">
              <w:rPr>
                <w:sz w:val="20"/>
                <w:szCs w:val="20"/>
              </w:rPr>
              <w:t>A number of datasets that are made available by the public sector could be valuable in the provision of financial services; however, these datasets are not always easily accessible or conducive to efficient reuse, often due to a lack of standardisation and machine-readable formats, or manual access methods.  As part of the work to establish and improve access to high-value public datasets under the Open Data Directive, we encourage the EU to focus on the following datasets:</w:t>
            </w:r>
          </w:p>
          <w:p w14:paraId="28082161" w14:textId="07582A38" w:rsidR="008E2EEC" w:rsidRDefault="008E2EEC" w:rsidP="004A765B">
            <w:pPr>
              <w:pStyle w:val="ListParagraph"/>
              <w:numPr>
                <w:ilvl w:val="1"/>
                <w:numId w:val="26"/>
              </w:numPr>
              <w:spacing w:after="120"/>
              <w:ind w:left="606" w:hanging="284"/>
              <w:rPr>
                <w:sz w:val="20"/>
                <w:szCs w:val="20"/>
              </w:rPr>
            </w:pPr>
            <w:r w:rsidRPr="004A765B">
              <w:rPr>
                <w:sz w:val="20"/>
                <w:szCs w:val="20"/>
                <w:u w:val="single"/>
              </w:rPr>
              <w:t>Geospatial:</w:t>
            </w:r>
            <w:r>
              <w:rPr>
                <w:sz w:val="20"/>
                <w:szCs w:val="20"/>
              </w:rPr>
              <w:t xml:space="preserve"> </w:t>
            </w:r>
            <w:r w:rsidRPr="00AF6407">
              <w:rPr>
                <w:sz w:val="20"/>
                <w:szCs w:val="20"/>
              </w:rPr>
              <w:t>Businesses locations</w:t>
            </w:r>
            <w:r>
              <w:rPr>
                <w:sz w:val="20"/>
                <w:szCs w:val="20"/>
              </w:rPr>
              <w:t xml:space="preserve">, </w:t>
            </w:r>
            <w:r w:rsidR="00E73070">
              <w:rPr>
                <w:sz w:val="20"/>
                <w:szCs w:val="20"/>
              </w:rPr>
              <w:t>d</w:t>
            </w:r>
            <w:r w:rsidRPr="00AF6407">
              <w:rPr>
                <w:sz w:val="20"/>
                <w:szCs w:val="20"/>
              </w:rPr>
              <w:t>etailed cadastre data for business and household premises</w:t>
            </w:r>
            <w:r>
              <w:rPr>
                <w:sz w:val="20"/>
                <w:szCs w:val="20"/>
              </w:rPr>
              <w:t>.</w:t>
            </w:r>
          </w:p>
          <w:p w14:paraId="5AF559B5" w14:textId="5C584F2E" w:rsidR="008E2EEC" w:rsidRDefault="008E2EEC" w:rsidP="004A765B">
            <w:pPr>
              <w:pStyle w:val="ListParagraph"/>
              <w:numPr>
                <w:ilvl w:val="1"/>
                <w:numId w:val="26"/>
              </w:numPr>
              <w:spacing w:after="120"/>
              <w:ind w:left="606" w:hanging="284"/>
              <w:rPr>
                <w:sz w:val="20"/>
                <w:szCs w:val="20"/>
              </w:rPr>
            </w:pPr>
            <w:r w:rsidRPr="004A765B">
              <w:rPr>
                <w:sz w:val="20"/>
                <w:szCs w:val="20"/>
                <w:u w:val="single"/>
              </w:rPr>
              <w:t>Earth observation and environment:</w:t>
            </w:r>
            <w:r>
              <w:rPr>
                <w:sz w:val="20"/>
                <w:szCs w:val="20"/>
              </w:rPr>
              <w:t xml:space="preserve"> </w:t>
            </w:r>
            <w:r w:rsidRPr="00AF6407">
              <w:rPr>
                <w:sz w:val="20"/>
                <w:szCs w:val="20"/>
              </w:rPr>
              <w:t>Natural disasters risk maps</w:t>
            </w:r>
            <w:r>
              <w:rPr>
                <w:sz w:val="20"/>
                <w:szCs w:val="20"/>
              </w:rPr>
              <w:t xml:space="preserve">, </w:t>
            </w:r>
            <w:r w:rsidR="00E73070">
              <w:rPr>
                <w:sz w:val="20"/>
                <w:szCs w:val="20"/>
              </w:rPr>
              <w:t>e</w:t>
            </w:r>
            <w:r w:rsidRPr="00AF6407">
              <w:rPr>
                <w:sz w:val="20"/>
                <w:szCs w:val="20"/>
              </w:rPr>
              <w:t>nergy data (such as official certification of building efficiency)</w:t>
            </w:r>
            <w:r>
              <w:rPr>
                <w:sz w:val="20"/>
                <w:szCs w:val="20"/>
              </w:rPr>
              <w:t>.</w:t>
            </w:r>
          </w:p>
          <w:p w14:paraId="117F5BEF" w14:textId="77777777" w:rsidR="008E2EEC" w:rsidRDefault="008E2EEC" w:rsidP="004A765B">
            <w:pPr>
              <w:pStyle w:val="ListParagraph"/>
              <w:numPr>
                <w:ilvl w:val="1"/>
                <w:numId w:val="26"/>
              </w:numPr>
              <w:spacing w:after="120"/>
              <w:ind w:left="606" w:hanging="284"/>
              <w:rPr>
                <w:sz w:val="20"/>
                <w:szCs w:val="20"/>
              </w:rPr>
            </w:pPr>
            <w:r w:rsidRPr="004A765B">
              <w:rPr>
                <w:sz w:val="20"/>
                <w:szCs w:val="20"/>
                <w:u w:val="single"/>
              </w:rPr>
              <w:t>Statistics:</w:t>
            </w:r>
            <w:r>
              <w:rPr>
                <w:sz w:val="20"/>
                <w:szCs w:val="20"/>
              </w:rPr>
              <w:t xml:space="preserve"> </w:t>
            </w:r>
            <w:r w:rsidRPr="00AF6407">
              <w:rPr>
                <w:sz w:val="20"/>
                <w:szCs w:val="20"/>
              </w:rPr>
              <w:t xml:space="preserve">Economic indicators (such as income) at high levels of granularity and frequency (e.g. available </w:t>
            </w:r>
            <w:proofErr w:type="gramStart"/>
            <w:r w:rsidRPr="00AF6407">
              <w:rPr>
                <w:sz w:val="20"/>
                <w:szCs w:val="20"/>
              </w:rPr>
              <w:t>on a monthly basis</w:t>
            </w:r>
            <w:proofErr w:type="gramEnd"/>
            <w:r w:rsidRPr="00AF6407">
              <w:rPr>
                <w:sz w:val="20"/>
                <w:szCs w:val="20"/>
              </w:rPr>
              <w:t>).  The data should be disaggregation by geography or local administrative region and demographic characteristics</w:t>
            </w:r>
            <w:r>
              <w:rPr>
                <w:sz w:val="20"/>
                <w:szCs w:val="20"/>
              </w:rPr>
              <w:t>.</w:t>
            </w:r>
          </w:p>
          <w:p w14:paraId="5C967C0D" w14:textId="5DF697DE" w:rsidR="00DA7051" w:rsidRPr="00AF6407" w:rsidRDefault="008E2EEC" w:rsidP="004A765B">
            <w:pPr>
              <w:pStyle w:val="ListParagraph"/>
              <w:numPr>
                <w:ilvl w:val="1"/>
                <w:numId w:val="26"/>
              </w:numPr>
              <w:spacing w:after="120"/>
              <w:ind w:left="606" w:hanging="284"/>
              <w:rPr>
                <w:sz w:val="20"/>
                <w:szCs w:val="20"/>
              </w:rPr>
            </w:pPr>
            <w:r w:rsidRPr="004A765B">
              <w:rPr>
                <w:sz w:val="20"/>
                <w:szCs w:val="20"/>
                <w:u w:val="single"/>
              </w:rPr>
              <w:t>Companies and company ownership:</w:t>
            </w:r>
            <w:r>
              <w:rPr>
                <w:sz w:val="20"/>
                <w:szCs w:val="20"/>
              </w:rPr>
              <w:t xml:space="preserve"> </w:t>
            </w:r>
            <w:r w:rsidRPr="00AF6407">
              <w:rPr>
                <w:sz w:val="20"/>
                <w:szCs w:val="20"/>
              </w:rPr>
              <w:t>Company registration information and public accounts</w:t>
            </w:r>
            <w:r>
              <w:rPr>
                <w:sz w:val="20"/>
                <w:szCs w:val="20"/>
              </w:rPr>
              <w:t>.</w:t>
            </w:r>
          </w:p>
        </w:tc>
      </w:tr>
      <w:tr w:rsidR="009308FD" w14:paraId="50CE6B55" w14:textId="77777777" w:rsidTr="00CA60D1">
        <w:trPr>
          <w:trHeight w:val="458"/>
        </w:trPr>
        <w:tc>
          <w:tcPr>
            <w:tcW w:w="790" w:type="dxa"/>
            <w:vMerge w:val="restart"/>
          </w:tcPr>
          <w:p w14:paraId="749A1A28" w14:textId="249C908D" w:rsidR="009308FD" w:rsidRDefault="009308FD" w:rsidP="0053138D">
            <w:pPr>
              <w:spacing w:after="120"/>
              <w:rPr>
                <w:sz w:val="20"/>
                <w:szCs w:val="20"/>
              </w:rPr>
            </w:pPr>
            <w:r>
              <w:rPr>
                <w:sz w:val="20"/>
                <w:szCs w:val="20"/>
              </w:rPr>
              <w:t>28</w:t>
            </w:r>
          </w:p>
        </w:tc>
        <w:tc>
          <w:tcPr>
            <w:tcW w:w="1048" w:type="dxa"/>
          </w:tcPr>
          <w:p w14:paraId="7C49BEBA" w14:textId="25624392" w:rsidR="009308FD" w:rsidRPr="0042399D" w:rsidRDefault="009308FD" w:rsidP="0042399D">
            <w:pPr>
              <w:rPr>
                <w:rFonts w:eastAsia="Times New Roman"/>
                <w:b/>
                <w:sz w:val="20"/>
                <w:szCs w:val="20"/>
                <w:lang w:eastAsia="en-GB"/>
              </w:rPr>
            </w:pPr>
            <w:r w:rsidRPr="0042399D">
              <w:rPr>
                <w:rFonts w:eastAsia="Times New Roman"/>
                <w:sz w:val="20"/>
                <w:szCs w:val="20"/>
                <w:lang w:eastAsia="en-GB"/>
              </w:rPr>
              <w:t>AFME to respond</w:t>
            </w:r>
          </w:p>
        </w:tc>
        <w:tc>
          <w:tcPr>
            <w:tcW w:w="8619" w:type="dxa"/>
          </w:tcPr>
          <w:p w14:paraId="69136875" w14:textId="28E0ED9D" w:rsidR="009308FD" w:rsidRDefault="009308FD" w:rsidP="009308FD">
            <w:pPr>
              <w:pStyle w:val="ListParagraph"/>
              <w:numPr>
                <w:ilvl w:val="0"/>
                <w:numId w:val="26"/>
              </w:numPr>
              <w:spacing w:after="120"/>
              <w:ind w:left="184" w:hanging="142"/>
              <w:rPr>
                <w:sz w:val="20"/>
                <w:szCs w:val="20"/>
              </w:rPr>
            </w:pPr>
            <w:r w:rsidRPr="009308FD">
              <w:rPr>
                <w:sz w:val="20"/>
                <w:szCs w:val="20"/>
              </w:rPr>
              <w:t>Standardised (e.g. XML) and machine-readable format</w:t>
            </w:r>
            <w:r w:rsidR="00C9532E">
              <w:rPr>
                <w:sz w:val="20"/>
                <w:szCs w:val="20"/>
              </w:rPr>
              <w:t xml:space="preserve">: </w:t>
            </w:r>
            <w:r w:rsidR="00CB6624" w:rsidRPr="00CB6624">
              <w:rPr>
                <w:sz w:val="20"/>
                <w:szCs w:val="20"/>
              </w:rPr>
              <w:t>4 – rather relevant</w:t>
            </w:r>
          </w:p>
          <w:p w14:paraId="0228CED5" w14:textId="551EFBBD" w:rsidR="009308FD" w:rsidRDefault="009308FD" w:rsidP="009308FD">
            <w:pPr>
              <w:pStyle w:val="ListParagraph"/>
              <w:numPr>
                <w:ilvl w:val="0"/>
                <w:numId w:val="26"/>
              </w:numPr>
              <w:spacing w:after="120"/>
              <w:ind w:left="184" w:hanging="142"/>
              <w:rPr>
                <w:sz w:val="20"/>
                <w:szCs w:val="20"/>
              </w:rPr>
            </w:pPr>
            <w:r w:rsidRPr="009308FD">
              <w:rPr>
                <w:sz w:val="20"/>
                <w:szCs w:val="20"/>
              </w:rPr>
              <w:t>Further development of the European Financial Transparency Gateway, federating existing public databases with a Single EU access point</w:t>
            </w:r>
            <w:r w:rsidR="00C9532E">
              <w:rPr>
                <w:sz w:val="20"/>
                <w:szCs w:val="20"/>
              </w:rPr>
              <w:t xml:space="preserve">: </w:t>
            </w:r>
            <w:r w:rsidR="00CB6624" w:rsidRPr="00CB6624">
              <w:rPr>
                <w:sz w:val="20"/>
                <w:szCs w:val="20"/>
              </w:rPr>
              <w:t>4 – rather relevant</w:t>
            </w:r>
          </w:p>
          <w:p w14:paraId="35E4FCD1" w14:textId="12E82504" w:rsidR="009308FD" w:rsidRDefault="009308FD" w:rsidP="009308FD">
            <w:pPr>
              <w:pStyle w:val="ListParagraph"/>
              <w:numPr>
                <w:ilvl w:val="0"/>
                <w:numId w:val="26"/>
              </w:numPr>
              <w:spacing w:after="120"/>
              <w:ind w:left="184" w:hanging="142"/>
              <w:rPr>
                <w:sz w:val="20"/>
                <w:szCs w:val="20"/>
              </w:rPr>
            </w:pPr>
            <w:r w:rsidRPr="009308FD">
              <w:rPr>
                <w:sz w:val="20"/>
                <w:szCs w:val="20"/>
              </w:rPr>
              <w:t>Application Programming Interfaces to access databases</w:t>
            </w:r>
            <w:r w:rsidR="00C9532E">
              <w:rPr>
                <w:sz w:val="20"/>
                <w:szCs w:val="20"/>
              </w:rPr>
              <w:t xml:space="preserve">: </w:t>
            </w:r>
            <w:r w:rsidR="00CB6624" w:rsidRPr="00CB6624">
              <w:rPr>
                <w:sz w:val="20"/>
                <w:szCs w:val="20"/>
              </w:rPr>
              <w:t>5 – fully relevant</w:t>
            </w:r>
          </w:p>
          <w:p w14:paraId="7C95868D" w14:textId="3EB52734" w:rsidR="009308FD" w:rsidRDefault="009308FD" w:rsidP="009308FD">
            <w:pPr>
              <w:pStyle w:val="ListParagraph"/>
              <w:numPr>
                <w:ilvl w:val="0"/>
                <w:numId w:val="26"/>
              </w:numPr>
              <w:spacing w:after="120"/>
              <w:ind w:left="184" w:hanging="142"/>
              <w:rPr>
                <w:sz w:val="20"/>
                <w:szCs w:val="20"/>
              </w:rPr>
            </w:pPr>
            <w:r w:rsidRPr="009308FD">
              <w:rPr>
                <w:sz w:val="20"/>
                <w:szCs w:val="20"/>
              </w:rPr>
              <w:t>Public EU databases</w:t>
            </w:r>
            <w:r w:rsidR="00C9532E">
              <w:rPr>
                <w:sz w:val="20"/>
                <w:szCs w:val="20"/>
              </w:rPr>
              <w:t xml:space="preserve">: </w:t>
            </w:r>
            <w:r w:rsidR="00CB6624" w:rsidRPr="00CB6624">
              <w:rPr>
                <w:sz w:val="20"/>
                <w:szCs w:val="20"/>
              </w:rPr>
              <w:t>5 – fully relevant</w:t>
            </w:r>
          </w:p>
          <w:p w14:paraId="3426D537" w14:textId="6554397C" w:rsidR="009308FD" w:rsidRPr="009308FD" w:rsidRDefault="009308FD" w:rsidP="009308FD">
            <w:pPr>
              <w:pStyle w:val="ListParagraph"/>
              <w:numPr>
                <w:ilvl w:val="0"/>
                <w:numId w:val="26"/>
              </w:numPr>
              <w:spacing w:after="120"/>
              <w:ind w:left="184" w:hanging="142"/>
              <w:rPr>
                <w:sz w:val="20"/>
                <w:szCs w:val="20"/>
              </w:rPr>
            </w:pPr>
            <w:r w:rsidRPr="009308FD">
              <w:rPr>
                <w:sz w:val="20"/>
                <w:szCs w:val="20"/>
              </w:rPr>
              <w:lastRenderedPageBreak/>
              <w:t>Other</w:t>
            </w:r>
          </w:p>
        </w:tc>
      </w:tr>
      <w:tr w:rsidR="009308FD" w14:paraId="5610FC42" w14:textId="77777777" w:rsidTr="00CA60D1">
        <w:trPr>
          <w:trHeight w:val="552"/>
        </w:trPr>
        <w:tc>
          <w:tcPr>
            <w:tcW w:w="790" w:type="dxa"/>
            <w:vMerge/>
          </w:tcPr>
          <w:p w14:paraId="19F8793E" w14:textId="0C5AD389" w:rsidR="009308FD" w:rsidRDefault="009308FD" w:rsidP="009308FD">
            <w:pPr>
              <w:spacing w:after="120"/>
              <w:rPr>
                <w:sz w:val="20"/>
                <w:szCs w:val="20"/>
              </w:rPr>
            </w:pPr>
          </w:p>
        </w:tc>
        <w:tc>
          <w:tcPr>
            <w:tcW w:w="1048" w:type="dxa"/>
          </w:tcPr>
          <w:p w14:paraId="54074334" w14:textId="2FCFB8CE" w:rsidR="009308FD" w:rsidRPr="0042399D" w:rsidRDefault="009308FD" w:rsidP="009308FD">
            <w:pPr>
              <w:rPr>
                <w:sz w:val="20"/>
                <w:szCs w:val="20"/>
              </w:rPr>
            </w:pPr>
            <w:r w:rsidRPr="0042399D">
              <w:rPr>
                <w:sz w:val="20"/>
                <w:szCs w:val="20"/>
              </w:rPr>
              <w:t>AFME to respond</w:t>
            </w:r>
          </w:p>
        </w:tc>
        <w:tc>
          <w:tcPr>
            <w:tcW w:w="8619" w:type="dxa"/>
          </w:tcPr>
          <w:p w14:paraId="65AB3632" w14:textId="42E27153" w:rsidR="00142D26" w:rsidRDefault="00CB6624" w:rsidP="00CB6624">
            <w:pPr>
              <w:pStyle w:val="ListParagraph"/>
              <w:numPr>
                <w:ilvl w:val="0"/>
                <w:numId w:val="26"/>
              </w:numPr>
              <w:spacing w:after="120"/>
              <w:ind w:left="184" w:hanging="142"/>
              <w:rPr>
                <w:sz w:val="20"/>
                <w:szCs w:val="20"/>
              </w:rPr>
            </w:pPr>
            <w:r w:rsidRPr="00AF6407">
              <w:rPr>
                <w:sz w:val="20"/>
                <w:szCs w:val="20"/>
              </w:rPr>
              <w:t xml:space="preserve">Allowing </w:t>
            </w:r>
            <w:r>
              <w:rPr>
                <w:sz w:val="20"/>
                <w:szCs w:val="20"/>
              </w:rPr>
              <w:t xml:space="preserve">financial institutions </w:t>
            </w:r>
            <w:r w:rsidRPr="00AF6407">
              <w:rPr>
                <w:sz w:val="20"/>
                <w:szCs w:val="20"/>
              </w:rPr>
              <w:t xml:space="preserve">to </w:t>
            </w:r>
            <w:proofErr w:type="gramStart"/>
            <w:r w:rsidRPr="00AF6407">
              <w:rPr>
                <w:sz w:val="20"/>
                <w:szCs w:val="20"/>
              </w:rPr>
              <w:t>more easily integrate standardised APIs</w:t>
            </w:r>
            <w:proofErr w:type="gramEnd"/>
            <w:r w:rsidRPr="00AF6407">
              <w:rPr>
                <w:sz w:val="20"/>
                <w:szCs w:val="20"/>
              </w:rPr>
              <w:t xml:space="preserve"> would be beneficial to all industry participants (including supervisory authorities and third-party providers) and would </w:t>
            </w:r>
            <w:r w:rsidR="00B02966">
              <w:rPr>
                <w:sz w:val="20"/>
                <w:szCs w:val="20"/>
              </w:rPr>
              <w:t xml:space="preserve">support </w:t>
            </w:r>
            <w:r w:rsidRPr="00AF6407">
              <w:rPr>
                <w:sz w:val="20"/>
                <w:szCs w:val="20"/>
              </w:rPr>
              <w:t>promot</w:t>
            </w:r>
            <w:r w:rsidR="00B02966">
              <w:rPr>
                <w:sz w:val="20"/>
                <w:szCs w:val="20"/>
              </w:rPr>
              <w:t>ing</w:t>
            </w:r>
            <w:r w:rsidRPr="00AF6407">
              <w:rPr>
                <w:sz w:val="20"/>
                <w:szCs w:val="20"/>
              </w:rPr>
              <w:t xml:space="preserve"> a </w:t>
            </w:r>
            <w:r w:rsidR="00B02966">
              <w:rPr>
                <w:sz w:val="20"/>
                <w:szCs w:val="20"/>
              </w:rPr>
              <w:t xml:space="preserve">competitive </w:t>
            </w:r>
            <w:r w:rsidRPr="00AF6407">
              <w:rPr>
                <w:sz w:val="20"/>
                <w:szCs w:val="20"/>
              </w:rPr>
              <w:t>level playing field.</w:t>
            </w:r>
            <w:r w:rsidR="00142D26">
              <w:rPr>
                <w:sz w:val="20"/>
                <w:szCs w:val="20"/>
              </w:rPr>
              <w:t xml:space="preserve"> Creating operational standards for data access will be key in ensuring data can be shared in a secure environment, </w:t>
            </w:r>
            <w:proofErr w:type="gramStart"/>
            <w:r w:rsidR="00142D26">
              <w:rPr>
                <w:sz w:val="20"/>
                <w:szCs w:val="20"/>
              </w:rPr>
              <w:t>in order to</w:t>
            </w:r>
            <w:proofErr w:type="gramEnd"/>
            <w:r w:rsidR="00142D26">
              <w:rPr>
                <w:sz w:val="20"/>
                <w:szCs w:val="20"/>
              </w:rPr>
              <w:t xml:space="preserve"> facilitate trust between parties. </w:t>
            </w:r>
          </w:p>
          <w:p w14:paraId="2DD5D981" w14:textId="0F1A636B" w:rsidR="00CB6624" w:rsidRDefault="00CB6624" w:rsidP="00CB6624">
            <w:pPr>
              <w:pStyle w:val="ListParagraph"/>
              <w:numPr>
                <w:ilvl w:val="0"/>
                <w:numId w:val="26"/>
              </w:numPr>
              <w:spacing w:after="120"/>
              <w:ind w:left="184" w:hanging="142"/>
              <w:rPr>
                <w:sz w:val="20"/>
                <w:szCs w:val="20"/>
              </w:rPr>
            </w:pPr>
            <w:r w:rsidRPr="00AF6407">
              <w:rPr>
                <w:sz w:val="20"/>
                <w:szCs w:val="20"/>
              </w:rPr>
              <w:t xml:space="preserve">APIs should be uniform where possible, and technical details of the required API functionality and standards landscape should be clearly defined. APIs are the preferred method for </w:t>
            </w:r>
            <w:r w:rsidR="00B02966">
              <w:rPr>
                <w:sz w:val="20"/>
                <w:szCs w:val="20"/>
              </w:rPr>
              <w:t xml:space="preserve">data </w:t>
            </w:r>
            <w:r w:rsidRPr="00AF6407">
              <w:rPr>
                <w:sz w:val="20"/>
                <w:szCs w:val="20"/>
              </w:rPr>
              <w:t>transmission as they are secure, efficient and can provide data access on a real-time and/or regular basis. Further, access can also be more easily revoked, where appropriate. Interoperability between different APIs will be essential to make data sharing a reality (both within and across sectors).</w:t>
            </w:r>
            <w:r w:rsidR="00142D26">
              <w:rPr>
                <w:sz w:val="20"/>
                <w:szCs w:val="20"/>
              </w:rPr>
              <w:t xml:space="preserve"> </w:t>
            </w:r>
          </w:p>
          <w:p w14:paraId="2EBC5BC6" w14:textId="77777777" w:rsidR="00CB6624" w:rsidRDefault="00CB6624" w:rsidP="00CB6624">
            <w:pPr>
              <w:pStyle w:val="ListParagraph"/>
              <w:numPr>
                <w:ilvl w:val="0"/>
                <w:numId w:val="26"/>
              </w:numPr>
              <w:spacing w:after="120"/>
              <w:ind w:left="184" w:hanging="142"/>
              <w:rPr>
                <w:sz w:val="20"/>
                <w:szCs w:val="20"/>
              </w:rPr>
            </w:pPr>
            <w:r w:rsidRPr="00AF6407">
              <w:rPr>
                <w:sz w:val="20"/>
                <w:szCs w:val="20"/>
              </w:rPr>
              <w:t>In addition, authorities should carry out the following actions to facilitate the usability and re-</w:t>
            </w:r>
            <w:proofErr w:type="spellStart"/>
            <w:r w:rsidRPr="00AF6407">
              <w:rPr>
                <w:sz w:val="20"/>
                <w:szCs w:val="20"/>
              </w:rPr>
              <w:t>useability</w:t>
            </w:r>
            <w:proofErr w:type="spellEnd"/>
            <w:r w:rsidRPr="00AF6407">
              <w:rPr>
                <w:sz w:val="20"/>
                <w:szCs w:val="20"/>
              </w:rPr>
              <w:t xml:space="preserve"> of data across Europe: </w:t>
            </w:r>
          </w:p>
          <w:p w14:paraId="27122A5A" w14:textId="77777777" w:rsidR="00CB6624" w:rsidRDefault="00CB6624" w:rsidP="00CB6624">
            <w:pPr>
              <w:pStyle w:val="ListParagraph"/>
              <w:numPr>
                <w:ilvl w:val="1"/>
                <w:numId w:val="26"/>
              </w:numPr>
              <w:spacing w:after="120"/>
              <w:ind w:left="606" w:hanging="284"/>
              <w:rPr>
                <w:sz w:val="20"/>
                <w:szCs w:val="20"/>
              </w:rPr>
            </w:pPr>
            <w:r w:rsidRPr="00AF6407">
              <w:rPr>
                <w:sz w:val="20"/>
                <w:szCs w:val="20"/>
              </w:rPr>
              <w:t>Help the re-user identify the exact authority that holds a specific set of data (i.e. one-stop-shop</w:t>
            </w:r>
            <w:proofErr w:type="gramStart"/>
            <w:r w:rsidRPr="00AF6407">
              <w:rPr>
                <w:sz w:val="20"/>
                <w:szCs w:val="20"/>
              </w:rPr>
              <w:t>);</w:t>
            </w:r>
            <w:proofErr w:type="gramEnd"/>
            <w:r w:rsidRPr="00AF6407">
              <w:rPr>
                <w:sz w:val="20"/>
                <w:szCs w:val="20"/>
              </w:rPr>
              <w:t xml:space="preserve"> </w:t>
            </w:r>
          </w:p>
          <w:p w14:paraId="5FD4653B" w14:textId="77777777" w:rsidR="00CB6624" w:rsidRDefault="00CB6624" w:rsidP="00CB6624">
            <w:pPr>
              <w:pStyle w:val="ListParagraph"/>
              <w:numPr>
                <w:ilvl w:val="1"/>
                <w:numId w:val="26"/>
              </w:numPr>
              <w:spacing w:after="120"/>
              <w:ind w:left="606" w:hanging="284"/>
              <w:rPr>
                <w:sz w:val="20"/>
                <w:szCs w:val="20"/>
              </w:rPr>
            </w:pPr>
            <w:r w:rsidRPr="00AF6407">
              <w:rPr>
                <w:sz w:val="20"/>
                <w:szCs w:val="20"/>
              </w:rPr>
              <w:t xml:space="preserve">Ensure that requests for data access are processed quickly and within agreed </w:t>
            </w:r>
            <w:proofErr w:type="gramStart"/>
            <w:r w:rsidRPr="00AF6407">
              <w:rPr>
                <w:sz w:val="20"/>
                <w:szCs w:val="20"/>
              </w:rPr>
              <w:t>deadlines;</w:t>
            </w:r>
            <w:proofErr w:type="gramEnd"/>
            <w:r w:rsidRPr="00AF6407">
              <w:rPr>
                <w:sz w:val="20"/>
                <w:szCs w:val="20"/>
              </w:rPr>
              <w:t xml:space="preserve"> </w:t>
            </w:r>
          </w:p>
          <w:p w14:paraId="4CA1C5E4" w14:textId="77777777" w:rsidR="00CB6624" w:rsidRDefault="00CB6624" w:rsidP="00CB6624">
            <w:pPr>
              <w:pStyle w:val="ListParagraph"/>
              <w:numPr>
                <w:ilvl w:val="1"/>
                <w:numId w:val="26"/>
              </w:numPr>
              <w:spacing w:after="120"/>
              <w:ind w:left="606" w:hanging="284"/>
              <w:rPr>
                <w:sz w:val="20"/>
                <w:szCs w:val="20"/>
              </w:rPr>
            </w:pPr>
            <w:r w:rsidRPr="00AF6407">
              <w:rPr>
                <w:sz w:val="20"/>
                <w:szCs w:val="20"/>
              </w:rPr>
              <w:t>Ensure anonymisation of specific data for concrete use-</w:t>
            </w:r>
            <w:proofErr w:type="gramStart"/>
            <w:r w:rsidRPr="00AF6407">
              <w:rPr>
                <w:sz w:val="20"/>
                <w:szCs w:val="20"/>
              </w:rPr>
              <w:t>cases;</w:t>
            </w:r>
            <w:proofErr w:type="gramEnd"/>
            <w:r w:rsidRPr="00AF6407">
              <w:rPr>
                <w:sz w:val="20"/>
                <w:szCs w:val="20"/>
              </w:rPr>
              <w:t xml:space="preserve">  </w:t>
            </w:r>
          </w:p>
          <w:p w14:paraId="571E59CF" w14:textId="77777777" w:rsidR="007921CA" w:rsidRPr="007921CA" w:rsidRDefault="007921CA" w:rsidP="00AF6407">
            <w:pPr>
              <w:pStyle w:val="ListParagraph"/>
              <w:numPr>
                <w:ilvl w:val="1"/>
                <w:numId w:val="26"/>
              </w:numPr>
              <w:spacing w:after="120"/>
              <w:ind w:left="606" w:hanging="284"/>
              <w:rPr>
                <w:sz w:val="20"/>
                <w:szCs w:val="20"/>
              </w:rPr>
            </w:pPr>
            <w:r w:rsidRPr="007921CA">
              <w:rPr>
                <w:sz w:val="20"/>
                <w:szCs w:val="20"/>
              </w:rPr>
              <w:t xml:space="preserve">Offer the opportunity to process data within a secure </w:t>
            </w:r>
            <w:proofErr w:type="gramStart"/>
            <w:r w:rsidRPr="007921CA">
              <w:rPr>
                <w:sz w:val="20"/>
                <w:szCs w:val="20"/>
              </w:rPr>
              <w:t>environment;</w:t>
            </w:r>
            <w:proofErr w:type="gramEnd"/>
            <w:r w:rsidRPr="007921CA">
              <w:rPr>
                <w:sz w:val="20"/>
                <w:szCs w:val="20"/>
              </w:rPr>
              <w:t xml:space="preserve"> </w:t>
            </w:r>
          </w:p>
          <w:p w14:paraId="42684CD7" w14:textId="04226049" w:rsidR="007921CA" w:rsidRPr="007921CA" w:rsidRDefault="007921CA" w:rsidP="00AF6407">
            <w:pPr>
              <w:pStyle w:val="ListParagraph"/>
              <w:numPr>
                <w:ilvl w:val="1"/>
                <w:numId w:val="26"/>
              </w:numPr>
              <w:spacing w:after="120"/>
              <w:ind w:left="606" w:hanging="284"/>
              <w:rPr>
                <w:sz w:val="20"/>
                <w:szCs w:val="20"/>
              </w:rPr>
            </w:pPr>
            <w:r w:rsidRPr="007921CA">
              <w:rPr>
                <w:sz w:val="20"/>
                <w:szCs w:val="20"/>
              </w:rPr>
              <w:t>Provide clarify from the outset on the legal rules on which the data can be used (e.g. firms' legal rights to their data, rules on the repackaging and reuse of datasets</w:t>
            </w:r>
            <w:proofErr w:type="gramStart"/>
            <w:r w:rsidRPr="007921CA">
              <w:rPr>
                <w:sz w:val="20"/>
                <w:szCs w:val="20"/>
              </w:rPr>
              <w:t>);</w:t>
            </w:r>
            <w:proofErr w:type="gramEnd"/>
            <w:r w:rsidRPr="007921CA">
              <w:rPr>
                <w:sz w:val="20"/>
                <w:szCs w:val="20"/>
              </w:rPr>
              <w:t xml:space="preserve"> </w:t>
            </w:r>
          </w:p>
          <w:p w14:paraId="13885DEC" w14:textId="35D48FE9" w:rsidR="00CB6624" w:rsidRDefault="007921CA" w:rsidP="007921CA">
            <w:pPr>
              <w:pStyle w:val="ListParagraph"/>
              <w:numPr>
                <w:ilvl w:val="1"/>
                <w:numId w:val="26"/>
              </w:numPr>
              <w:spacing w:after="120"/>
              <w:ind w:left="606" w:hanging="284"/>
              <w:rPr>
                <w:sz w:val="20"/>
                <w:szCs w:val="20"/>
              </w:rPr>
            </w:pPr>
            <w:r w:rsidRPr="007921CA">
              <w:rPr>
                <w:sz w:val="20"/>
                <w:szCs w:val="20"/>
              </w:rPr>
              <w:t>Ensure the cost of the data sharing initiative is proportionate to the benefits of the use-case (e.g. does it allow firms to offer better products or services, or bring cost efficiencies; this analysis is separate to that of individual firms)</w:t>
            </w:r>
            <w:r w:rsidR="007120DB">
              <w:rPr>
                <w:sz w:val="20"/>
                <w:szCs w:val="20"/>
              </w:rPr>
              <w:t>; and</w:t>
            </w:r>
          </w:p>
          <w:p w14:paraId="4E7CB1C7" w14:textId="77777777" w:rsidR="00FE3068" w:rsidRPr="00FE3068" w:rsidRDefault="00FE3068" w:rsidP="00FE3068">
            <w:pPr>
              <w:pStyle w:val="ListParagraph"/>
              <w:numPr>
                <w:ilvl w:val="1"/>
                <w:numId w:val="26"/>
              </w:numPr>
              <w:spacing w:after="120"/>
              <w:ind w:left="606" w:hanging="284"/>
              <w:rPr>
                <w:sz w:val="20"/>
                <w:szCs w:val="20"/>
              </w:rPr>
            </w:pPr>
            <w:r w:rsidRPr="00FE3068">
              <w:rPr>
                <w:sz w:val="20"/>
                <w:szCs w:val="20"/>
              </w:rPr>
              <w:t>Establish appropriate governance controls to ensure that data access and sharing is appropriate and fair.</w:t>
            </w:r>
          </w:p>
          <w:p w14:paraId="18CFF73D" w14:textId="77777777" w:rsidR="00FE3068" w:rsidRDefault="00FE3068" w:rsidP="00AA38BC">
            <w:pPr>
              <w:pStyle w:val="ListParagraph"/>
              <w:spacing w:after="120"/>
              <w:ind w:left="606"/>
              <w:rPr>
                <w:sz w:val="20"/>
                <w:szCs w:val="20"/>
              </w:rPr>
            </w:pPr>
          </w:p>
          <w:p w14:paraId="14DC55F2" w14:textId="77777777" w:rsidR="00CF1051" w:rsidRDefault="002B64B3" w:rsidP="002B64B3">
            <w:pPr>
              <w:pStyle w:val="ListParagraph"/>
              <w:numPr>
                <w:ilvl w:val="0"/>
                <w:numId w:val="26"/>
              </w:numPr>
              <w:spacing w:after="120"/>
              <w:ind w:left="184" w:hanging="142"/>
              <w:rPr>
                <w:sz w:val="20"/>
                <w:szCs w:val="20"/>
              </w:rPr>
            </w:pPr>
            <w:r w:rsidRPr="002B64B3">
              <w:rPr>
                <w:sz w:val="20"/>
                <w:szCs w:val="20"/>
              </w:rPr>
              <w:t>Securities market disclosure:</w:t>
            </w:r>
            <w:r>
              <w:rPr>
                <w:sz w:val="20"/>
                <w:szCs w:val="20"/>
              </w:rPr>
              <w:t xml:space="preserve"> </w:t>
            </w:r>
          </w:p>
          <w:p w14:paraId="737C09A4" w14:textId="77777777" w:rsidR="00CF1051" w:rsidRDefault="002B64B3" w:rsidP="00CF1051">
            <w:pPr>
              <w:pStyle w:val="ListParagraph"/>
              <w:numPr>
                <w:ilvl w:val="1"/>
                <w:numId w:val="26"/>
              </w:numPr>
              <w:spacing w:after="120"/>
              <w:ind w:left="606" w:hanging="284"/>
              <w:rPr>
                <w:sz w:val="20"/>
                <w:szCs w:val="20"/>
              </w:rPr>
            </w:pPr>
            <w:r w:rsidRPr="004A765B">
              <w:rPr>
                <w:b/>
                <w:bCs/>
                <w:sz w:val="20"/>
                <w:szCs w:val="20"/>
              </w:rPr>
              <w:t>Transparency regime data</w:t>
            </w:r>
            <w:r w:rsidRPr="002B64B3">
              <w:rPr>
                <w:sz w:val="20"/>
                <w:szCs w:val="20"/>
              </w:rPr>
              <w:t xml:space="preserve">:  A large part of the public data generated by investment firms who are regulated under MiFID II stems from their role as Systematic </w:t>
            </w:r>
            <w:proofErr w:type="spellStart"/>
            <w:r w:rsidRPr="002B64B3">
              <w:rPr>
                <w:sz w:val="20"/>
                <w:szCs w:val="20"/>
              </w:rPr>
              <w:t>Internalisers</w:t>
            </w:r>
            <w:proofErr w:type="spellEnd"/>
            <w:r w:rsidRPr="002B64B3">
              <w:rPr>
                <w:sz w:val="20"/>
                <w:szCs w:val="20"/>
              </w:rPr>
              <w:t xml:space="preserve"> (SI); the data linked to this execution venue must be made available to its participants (quotes subject to pre-trade transparency) or made public (transactions subject to post-trade transparency). This transparency regime is applicable to all equity and non-equity financial instruments. The conditions of the execution of client orders is also made public through the mandatory publication of Best Execution reports. Other data is made public by regulators themselves (e.g. liquidity / illiquidity thresholds, all thresholds linked to the transparency waivers - LIS, SSTI).</w:t>
            </w:r>
          </w:p>
          <w:p w14:paraId="70247654" w14:textId="2EA10CFD" w:rsidR="00CF1051" w:rsidRPr="00AF6407" w:rsidRDefault="00CF1051" w:rsidP="00AF6407">
            <w:pPr>
              <w:pStyle w:val="ListParagraph"/>
              <w:numPr>
                <w:ilvl w:val="1"/>
                <w:numId w:val="26"/>
              </w:numPr>
              <w:spacing w:after="120"/>
              <w:ind w:left="606" w:hanging="284"/>
              <w:rPr>
                <w:sz w:val="20"/>
                <w:szCs w:val="20"/>
              </w:rPr>
            </w:pPr>
            <w:r w:rsidRPr="00AF6407">
              <w:rPr>
                <w:sz w:val="20"/>
                <w:szCs w:val="20"/>
              </w:rPr>
              <w:t>One common feature across these disclosures is the production of large amounts of data that are:</w:t>
            </w:r>
          </w:p>
          <w:p w14:paraId="41DC6F79" w14:textId="77777777" w:rsidR="00CF1051" w:rsidRPr="00CF1051" w:rsidRDefault="00CF1051" w:rsidP="00AF6407">
            <w:pPr>
              <w:pStyle w:val="ListParagraph"/>
              <w:numPr>
                <w:ilvl w:val="2"/>
                <w:numId w:val="26"/>
              </w:numPr>
              <w:spacing w:after="120"/>
              <w:ind w:left="1031"/>
              <w:rPr>
                <w:sz w:val="20"/>
                <w:szCs w:val="20"/>
              </w:rPr>
            </w:pPr>
            <w:r w:rsidRPr="00CF1051">
              <w:rPr>
                <w:sz w:val="20"/>
                <w:szCs w:val="20"/>
              </w:rPr>
              <w:t>Difficult and costly to extract for investment firms and regulators (e.g. annual transparency calculations for non-equity instruments other than bonds and quarterly calculations for the SI regime for derivatives, structured finance products and emission allowances</w:t>
            </w:r>
            <w:proofErr w:type="gramStart"/>
            <w:r w:rsidRPr="00CF1051">
              <w:rPr>
                <w:sz w:val="20"/>
                <w:szCs w:val="20"/>
              </w:rPr>
              <w:t>);</w:t>
            </w:r>
            <w:proofErr w:type="gramEnd"/>
            <w:r w:rsidRPr="00CF1051">
              <w:rPr>
                <w:sz w:val="20"/>
                <w:szCs w:val="20"/>
              </w:rPr>
              <w:t xml:space="preserve"> </w:t>
            </w:r>
          </w:p>
          <w:p w14:paraId="40AD51A5" w14:textId="77777777" w:rsidR="00CF1051" w:rsidRPr="00CF1051" w:rsidRDefault="00CF1051" w:rsidP="00AF6407">
            <w:pPr>
              <w:pStyle w:val="ListParagraph"/>
              <w:numPr>
                <w:ilvl w:val="2"/>
                <w:numId w:val="26"/>
              </w:numPr>
              <w:spacing w:after="120"/>
              <w:ind w:left="1031"/>
              <w:rPr>
                <w:sz w:val="20"/>
                <w:szCs w:val="20"/>
              </w:rPr>
            </w:pPr>
            <w:r w:rsidRPr="00CF1051">
              <w:rPr>
                <w:sz w:val="20"/>
                <w:szCs w:val="20"/>
              </w:rPr>
              <w:t xml:space="preserve">Not user or machine friendly; and </w:t>
            </w:r>
          </w:p>
          <w:p w14:paraId="5421F4DE" w14:textId="77777777" w:rsidR="00CF1051" w:rsidRPr="00CF1051" w:rsidRDefault="00CF1051" w:rsidP="00AF6407">
            <w:pPr>
              <w:pStyle w:val="ListParagraph"/>
              <w:numPr>
                <w:ilvl w:val="2"/>
                <w:numId w:val="26"/>
              </w:numPr>
              <w:spacing w:after="120"/>
              <w:ind w:left="1031"/>
              <w:rPr>
                <w:sz w:val="20"/>
                <w:szCs w:val="20"/>
              </w:rPr>
            </w:pPr>
            <w:r w:rsidRPr="00CF1051">
              <w:rPr>
                <w:sz w:val="20"/>
                <w:szCs w:val="20"/>
              </w:rPr>
              <w:t>Little used by end-users as this data is not needed to operate efficiently.</w:t>
            </w:r>
          </w:p>
          <w:p w14:paraId="5F1B6273" w14:textId="77777777" w:rsidR="00CF1051" w:rsidRDefault="00CF1051" w:rsidP="00CF1051">
            <w:pPr>
              <w:pStyle w:val="ListParagraph"/>
              <w:numPr>
                <w:ilvl w:val="1"/>
                <w:numId w:val="26"/>
              </w:numPr>
              <w:spacing w:after="120"/>
              <w:ind w:left="606" w:hanging="284"/>
              <w:rPr>
                <w:sz w:val="20"/>
                <w:szCs w:val="20"/>
              </w:rPr>
            </w:pPr>
            <w:r w:rsidRPr="004A765B">
              <w:rPr>
                <w:b/>
                <w:bCs/>
                <w:sz w:val="20"/>
                <w:szCs w:val="20"/>
              </w:rPr>
              <w:t>Trading Venue (TV) Data</w:t>
            </w:r>
            <w:r w:rsidRPr="00CF1051">
              <w:rPr>
                <w:sz w:val="20"/>
                <w:szCs w:val="20"/>
              </w:rPr>
              <w:t xml:space="preserve">: Currently, the collection of TV data is fragmented. Market data fees have significantly risen since the application of MiFID II, and at the same time, there is no standard format to access TV information. We believe access to this data should be cheaper, more </w:t>
            </w:r>
            <w:proofErr w:type="gramStart"/>
            <w:r w:rsidRPr="00CF1051">
              <w:rPr>
                <w:sz w:val="20"/>
                <w:szCs w:val="20"/>
              </w:rPr>
              <w:t>open</w:t>
            </w:r>
            <w:proofErr w:type="gramEnd"/>
            <w:r w:rsidRPr="00CF1051">
              <w:rPr>
                <w:sz w:val="20"/>
                <w:szCs w:val="20"/>
              </w:rPr>
              <w:t xml:space="preserve"> and standardised.</w:t>
            </w:r>
          </w:p>
          <w:p w14:paraId="35AA01BA" w14:textId="08DC3D65" w:rsidR="00CF1051" w:rsidRPr="00AF6407" w:rsidRDefault="00CF1051" w:rsidP="00AF6407">
            <w:pPr>
              <w:pStyle w:val="ListParagraph"/>
              <w:numPr>
                <w:ilvl w:val="1"/>
                <w:numId w:val="26"/>
              </w:numPr>
              <w:spacing w:after="120"/>
              <w:ind w:left="606" w:hanging="284"/>
              <w:rPr>
                <w:sz w:val="20"/>
                <w:szCs w:val="20"/>
              </w:rPr>
            </w:pPr>
            <w:r w:rsidRPr="00CF1051">
              <w:rPr>
                <w:sz w:val="20"/>
                <w:szCs w:val="20"/>
              </w:rPr>
              <w:t xml:space="preserve">A lack of a standardised formats and significant costs are the two greatest hurdles regarding TV data. Free or reasonable commercial access to market data, with a common structure / format, should be a policy priority. Public and free access to market data gathered and generated by trading venues is fundamental for effective functioning of MiFID II. The industry is working with policymakers to ensure that the market-wide information aggregator role of CTP (Consolidated Tape Provider) under MiFID II be fulfilled. Therefore, </w:t>
            </w:r>
            <w:r w:rsidRPr="00CF1051">
              <w:rPr>
                <w:sz w:val="20"/>
                <w:szCs w:val="20"/>
              </w:rPr>
              <w:lastRenderedPageBreak/>
              <w:t>it is of critical importance to harmonise the EU securities market data structure to make market data easily accessible to all market participants at a reasonable cost.</w:t>
            </w:r>
          </w:p>
        </w:tc>
      </w:tr>
      <w:tr w:rsidR="009308FD" w14:paraId="489A79BC" w14:textId="77777777" w:rsidTr="00CA60D1">
        <w:trPr>
          <w:trHeight w:val="532"/>
        </w:trPr>
        <w:tc>
          <w:tcPr>
            <w:tcW w:w="10457" w:type="dxa"/>
            <w:gridSpan w:val="3"/>
            <w:shd w:val="clear" w:color="auto" w:fill="D6E3BC" w:themeFill="accent3" w:themeFillTint="66"/>
          </w:tcPr>
          <w:p w14:paraId="14A63DB8" w14:textId="050B8106" w:rsidR="009308FD" w:rsidRPr="005D6C94" w:rsidRDefault="009308FD" w:rsidP="005D6C94">
            <w:pPr>
              <w:jc w:val="left"/>
              <w:rPr>
                <w:rFonts w:eastAsia="Times New Roman"/>
                <w:i/>
                <w:iCs/>
                <w:sz w:val="20"/>
                <w:szCs w:val="20"/>
                <w:lang w:eastAsia="en-GB"/>
              </w:rPr>
            </w:pPr>
            <w:r w:rsidRPr="009308FD">
              <w:rPr>
                <w:sz w:val="20"/>
                <w:szCs w:val="20"/>
              </w:rPr>
              <w:lastRenderedPageBreak/>
              <w:t>Consent-based access to personal data and data sharing in the financial sector</w:t>
            </w:r>
          </w:p>
        </w:tc>
      </w:tr>
      <w:tr w:rsidR="009308FD" w14:paraId="49578FEA" w14:textId="77777777" w:rsidTr="00CA60D1">
        <w:trPr>
          <w:trHeight w:val="342"/>
        </w:trPr>
        <w:tc>
          <w:tcPr>
            <w:tcW w:w="790" w:type="dxa"/>
          </w:tcPr>
          <w:p w14:paraId="693CFC7B" w14:textId="0C652CB4" w:rsidR="009308FD" w:rsidRDefault="009308FD" w:rsidP="009308FD">
            <w:pPr>
              <w:spacing w:after="120"/>
              <w:rPr>
                <w:sz w:val="20"/>
                <w:szCs w:val="20"/>
              </w:rPr>
            </w:pPr>
            <w:r>
              <w:rPr>
                <w:sz w:val="20"/>
                <w:szCs w:val="20"/>
              </w:rPr>
              <w:t>29</w:t>
            </w:r>
          </w:p>
        </w:tc>
        <w:tc>
          <w:tcPr>
            <w:tcW w:w="1048" w:type="dxa"/>
          </w:tcPr>
          <w:p w14:paraId="4B2F0463" w14:textId="6B812AC2" w:rsidR="009308FD" w:rsidRPr="0042399D" w:rsidRDefault="009308FD" w:rsidP="009308FD">
            <w:pPr>
              <w:rPr>
                <w:rFonts w:eastAsia="Times New Roman"/>
                <w:b/>
                <w:sz w:val="20"/>
                <w:szCs w:val="20"/>
                <w:lang w:eastAsia="en-GB"/>
              </w:rPr>
            </w:pPr>
            <w:r w:rsidRPr="0042399D">
              <w:rPr>
                <w:rFonts w:eastAsia="Times New Roman"/>
                <w:sz w:val="20"/>
                <w:szCs w:val="20"/>
                <w:lang w:eastAsia="en-GB"/>
              </w:rPr>
              <w:t>AFME to respond</w:t>
            </w:r>
          </w:p>
        </w:tc>
        <w:tc>
          <w:tcPr>
            <w:tcW w:w="8619" w:type="dxa"/>
          </w:tcPr>
          <w:p w14:paraId="7A6B6EF1" w14:textId="024B5A34" w:rsidR="0085169D" w:rsidRPr="00AF6407" w:rsidRDefault="009308FD" w:rsidP="00AF6407">
            <w:pPr>
              <w:pStyle w:val="ListParagraph"/>
              <w:numPr>
                <w:ilvl w:val="0"/>
                <w:numId w:val="26"/>
              </w:numPr>
              <w:spacing w:after="120"/>
              <w:ind w:left="184" w:hanging="142"/>
              <w:rPr>
                <w:rFonts w:asciiTheme="majorHAnsi" w:hAnsiTheme="majorHAnsi"/>
                <w:sz w:val="20"/>
                <w:szCs w:val="20"/>
                <w:lang w:eastAsia="en-GB"/>
              </w:rPr>
            </w:pPr>
            <w:r w:rsidRPr="00657EDD">
              <w:rPr>
                <w:rFonts w:asciiTheme="majorHAnsi" w:hAnsiTheme="majorHAnsi"/>
                <w:sz w:val="20"/>
                <w:szCs w:val="20"/>
                <w:lang w:eastAsia="en-GB"/>
              </w:rPr>
              <w:t xml:space="preserve"> </w:t>
            </w:r>
            <w:r w:rsidR="0085169D" w:rsidRPr="00AF6407">
              <w:rPr>
                <w:sz w:val="20"/>
                <w:szCs w:val="20"/>
                <w:lang w:eastAsia="en-GB"/>
              </w:rPr>
              <w:t>Important conditions that encourage data sharing by individuals (retail or wholesale) include ensuring:</w:t>
            </w:r>
          </w:p>
          <w:p w14:paraId="068C1C99" w14:textId="77777777" w:rsidR="0085169D" w:rsidRPr="00AF6407" w:rsidRDefault="0085169D" w:rsidP="00AF6407">
            <w:pPr>
              <w:pStyle w:val="ListParagraph"/>
              <w:numPr>
                <w:ilvl w:val="1"/>
                <w:numId w:val="26"/>
              </w:numPr>
              <w:spacing w:after="120"/>
              <w:ind w:left="606" w:hanging="284"/>
              <w:rPr>
                <w:sz w:val="20"/>
                <w:szCs w:val="20"/>
              </w:rPr>
            </w:pPr>
            <w:r w:rsidRPr="00AF6407">
              <w:rPr>
                <w:sz w:val="20"/>
                <w:szCs w:val="20"/>
              </w:rPr>
              <w:t>The secure transmission of data (e.g. via APIs</w:t>
            </w:r>
            <w:proofErr w:type="gramStart"/>
            <w:r w:rsidRPr="00AF6407">
              <w:rPr>
                <w:sz w:val="20"/>
                <w:szCs w:val="20"/>
              </w:rPr>
              <w:t>);</w:t>
            </w:r>
            <w:proofErr w:type="gramEnd"/>
          </w:p>
          <w:p w14:paraId="4831D599" w14:textId="77777777" w:rsidR="0085169D" w:rsidRPr="00AF6407" w:rsidRDefault="0085169D" w:rsidP="00AF6407">
            <w:pPr>
              <w:pStyle w:val="ListParagraph"/>
              <w:numPr>
                <w:ilvl w:val="1"/>
                <w:numId w:val="26"/>
              </w:numPr>
              <w:spacing w:after="120"/>
              <w:ind w:left="606" w:hanging="284"/>
              <w:rPr>
                <w:sz w:val="20"/>
                <w:szCs w:val="20"/>
              </w:rPr>
            </w:pPr>
            <w:r w:rsidRPr="00AF6407">
              <w:rPr>
                <w:sz w:val="20"/>
                <w:szCs w:val="20"/>
              </w:rPr>
              <w:t>The efficient and timely transmission of data (i.e. transmission that is simple, on-going, real time and standardised; and</w:t>
            </w:r>
          </w:p>
          <w:p w14:paraId="3ADC3B61" w14:textId="2679838F" w:rsidR="0085169D" w:rsidRPr="00AF6407" w:rsidRDefault="0085169D" w:rsidP="00AF6407">
            <w:pPr>
              <w:pStyle w:val="ListParagraph"/>
              <w:numPr>
                <w:ilvl w:val="1"/>
                <w:numId w:val="26"/>
              </w:numPr>
              <w:spacing w:after="120"/>
              <w:ind w:left="606" w:hanging="284"/>
              <w:rPr>
                <w:sz w:val="20"/>
                <w:szCs w:val="20"/>
              </w:rPr>
            </w:pPr>
            <w:r w:rsidRPr="00AF6407">
              <w:rPr>
                <w:sz w:val="20"/>
                <w:szCs w:val="20"/>
              </w:rPr>
              <w:t>That individual</w:t>
            </w:r>
            <w:r w:rsidR="007120DB">
              <w:rPr>
                <w:sz w:val="20"/>
                <w:szCs w:val="20"/>
              </w:rPr>
              <w:t>s</w:t>
            </w:r>
            <w:r w:rsidRPr="00AF6407">
              <w:rPr>
                <w:sz w:val="20"/>
                <w:szCs w:val="20"/>
              </w:rPr>
              <w:t xml:space="preserve"> </w:t>
            </w:r>
            <w:r w:rsidR="007120DB">
              <w:rPr>
                <w:sz w:val="20"/>
                <w:szCs w:val="20"/>
              </w:rPr>
              <w:t xml:space="preserve">are </w:t>
            </w:r>
            <w:r w:rsidRPr="00AF6407">
              <w:rPr>
                <w:sz w:val="20"/>
                <w:szCs w:val="20"/>
              </w:rPr>
              <w:t xml:space="preserve">in control of their data, by enhancing data portability and securing data protection rights. </w:t>
            </w:r>
          </w:p>
          <w:p w14:paraId="65C81EEE" w14:textId="7A7772FF" w:rsidR="0085169D" w:rsidRPr="00AF6407" w:rsidRDefault="0085169D">
            <w:pPr>
              <w:pStyle w:val="ListParagraph"/>
              <w:numPr>
                <w:ilvl w:val="0"/>
                <w:numId w:val="26"/>
              </w:numPr>
              <w:spacing w:after="120"/>
              <w:ind w:left="184" w:hanging="142"/>
              <w:rPr>
                <w:sz w:val="20"/>
                <w:szCs w:val="20"/>
              </w:rPr>
            </w:pPr>
            <w:r w:rsidRPr="00AF6407">
              <w:rPr>
                <w:sz w:val="20"/>
                <w:szCs w:val="20"/>
              </w:rPr>
              <w:t xml:space="preserve">Further, data sharing is only successful if users complete the necessary process, including any authentication processes (identity verification) and a selection of relevant datasets. This requires the data sharing process to be efficient, user-friendly and to </w:t>
            </w:r>
            <w:r w:rsidR="00FE3068">
              <w:rPr>
                <w:sz w:val="20"/>
                <w:szCs w:val="20"/>
              </w:rPr>
              <w:t>instil</w:t>
            </w:r>
            <w:r w:rsidR="00FE3068" w:rsidRPr="00AF6407">
              <w:rPr>
                <w:sz w:val="20"/>
                <w:szCs w:val="20"/>
              </w:rPr>
              <w:t xml:space="preserve"> </w:t>
            </w:r>
            <w:r w:rsidRPr="00AF6407">
              <w:rPr>
                <w:sz w:val="20"/>
                <w:szCs w:val="20"/>
              </w:rPr>
              <w:t>users' confidence. Certain standard approaches can help ensure this is adhered to by all organisations. This could include, for example, maximum API response times, minimum API uptimes and the removal of artificial barriers during the user journey</w:t>
            </w:r>
            <w:r>
              <w:rPr>
                <w:sz w:val="20"/>
                <w:szCs w:val="20"/>
              </w:rPr>
              <w:t>.</w:t>
            </w:r>
          </w:p>
        </w:tc>
      </w:tr>
      <w:tr w:rsidR="005D6C94" w14:paraId="3B371D53" w14:textId="77777777" w:rsidTr="00CA60D1">
        <w:trPr>
          <w:trHeight w:val="436"/>
        </w:trPr>
        <w:tc>
          <w:tcPr>
            <w:tcW w:w="790" w:type="dxa"/>
            <w:vMerge w:val="restart"/>
          </w:tcPr>
          <w:p w14:paraId="3F38DCB9" w14:textId="1FFB5D1D" w:rsidR="005D6C94" w:rsidRDefault="005D6C94" w:rsidP="009308FD">
            <w:pPr>
              <w:spacing w:after="120"/>
              <w:rPr>
                <w:sz w:val="20"/>
                <w:szCs w:val="20"/>
              </w:rPr>
            </w:pPr>
            <w:r>
              <w:rPr>
                <w:sz w:val="20"/>
                <w:szCs w:val="20"/>
              </w:rPr>
              <w:t>30</w:t>
            </w:r>
          </w:p>
        </w:tc>
        <w:tc>
          <w:tcPr>
            <w:tcW w:w="1048" w:type="dxa"/>
          </w:tcPr>
          <w:p w14:paraId="410ABCE5" w14:textId="153CFC02" w:rsidR="005D6C94" w:rsidRPr="00A565B8" w:rsidRDefault="005D6C94" w:rsidP="009308FD">
            <w:pPr>
              <w:rPr>
                <w:rFonts w:eastAsia="Times New Roman"/>
                <w:b/>
                <w:sz w:val="20"/>
                <w:szCs w:val="20"/>
                <w:lang w:eastAsia="en-GB"/>
              </w:rPr>
            </w:pPr>
            <w:r w:rsidRPr="00A565B8">
              <w:rPr>
                <w:rFonts w:eastAsia="Times New Roman"/>
                <w:sz w:val="20"/>
                <w:szCs w:val="20"/>
                <w:lang w:eastAsia="en-GB"/>
              </w:rPr>
              <w:t>AFME to respond</w:t>
            </w:r>
          </w:p>
        </w:tc>
        <w:tc>
          <w:tcPr>
            <w:tcW w:w="8619" w:type="dxa"/>
          </w:tcPr>
          <w:p w14:paraId="2503D862" w14:textId="5C1E831E" w:rsidR="005D6C94" w:rsidRPr="009308FD" w:rsidRDefault="005D6C94" w:rsidP="009308FD">
            <w:pPr>
              <w:spacing w:after="120"/>
              <w:rPr>
                <w:sz w:val="20"/>
                <w:szCs w:val="20"/>
              </w:rPr>
            </w:pPr>
            <w:r>
              <w:rPr>
                <w:sz w:val="20"/>
                <w:szCs w:val="20"/>
              </w:rPr>
              <w:t>Benefits of an open finance policy:</w:t>
            </w:r>
          </w:p>
          <w:p w14:paraId="719C0E29" w14:textId="0E611468" w:rsidR="005D6C94" w:rsidRDefault="005D6C94" w:rsidP="009308FD">
            <w:pPr>
              <w:pStyle w:val="ListParagraph"/>
              <w:numPr>
                <w:ilvl w:val="0"/>
                <w:numId w:val="26"/>
              </w:numPr>
              <w:spacing w:after="120"/>
              <w:ind w:left="184" w:hanging="142"/>
              <w:rPr>
                <w:sz w:val="20"/>
                <w:szCs w:val="20"/>
              </w:rPr>
            </w:pPr>
            <w:r w:rsidRPr="009308FD">
              <w:rPr>
                <w:sz w:val="20"/>
                <w:szCs w:val="20"/>
              </w:rPr>
              <w:t>More innovative and convenient services for consumers/investors, e.g. aggregators, comparison, switching tools</w:t>
            </w:r>
            <w:r w:rsidR="00C5006E">
              <w:rPr>
                <w:sz w:val="20"/>
                <w:szCs w:val="20"/>
              </w:rPr>
              <w:t xml:space="preserve">: </w:t>
            </w:r>
            <w:r w:rsidR="00CF1051">
              <w:rPr>
                <w:sz w:val="20"/>
                <w:szCs w:val="20"/>
              </w:rPr>
              <w:t>4</w:t>
            </w:r>
            <w:r w:rsidR="0016070F" w:rsidRPr="0016070F">
              <w:rPr>
                <w:sz w:val="20"/>
                <w:szCs w:val="20"/>
              </w:rPr>
              <w:t xml:space="preserve"> </w:t>
            </w:r>
            <w:r w:rsidR="00CF1051">
              <w:rPr>
                <w:sz w:val="20"/>
                <w:szCs w:val="20"/>
              </w:rPr>
              <w:t>–</w:t>
            </w:r>
            <w:r w:rsidR="0016070F" w:rsidRPr="0016070F">
              <w:rPr>
                <w:sz w:val="20"/>
                <w:szCs w:val="20"/>
              </w:rPr>
              <w:t xml:space="preserve"> </w:t>
            </w:r>
            <w:r w:rsidR="00CF1051">
              <w:rPr>
                <w:sz w:val="20"/>
                <w:szCs w:val="20"/>
              </w:rPr>
              <w:t xml:space="preserve">rather relevant </w:t>
            </w:r>
          </w:p>
          <w:p w14:paraId="1B9F496C" w14:textId="0B12D8ED" w:rsidR="005D6C94" w:rsidRDefault="005D6C94" w:rsidP="009308FD">
            <w:pPr>
              <w:pStyle w:val="ListParagraph"/>
              <w:numPr>
                <w:ilvl w:val="0"/>
                <w:numId w:val="26"/>
              </w:numPr>
              <w:spacing w:after="120"/>
              <w:ind w:left="184" w:hanging="142"/>
              <w:rPr>
                <w:sz w:val="20"/>
                <w:szCs w:val="20"/>
              </w:rPr>
            </w:pPr>
            <w:r w:rsidRPr="009308FD">
              <w:rPr>
                <w:sz w:val="20"/>
                <w:szCs w:val="20"/>
              </w:rPr>
              <w:t>Cheaper traditional services for consumers/investors</w:t>
            </w:r>
            <w:r w:rsidR="00C5006E">
              <w:rPr>
                <w:sz w:val="20"/>
                <w:szCs w:val="20"/>
              </w:rPr>
              <w:t xml:space="preserve">: </w:t>
            </w:r>
            <w:r w:rsidR="0016070F" w:rsidRPr="0016070F">
              <w:rPr>
                <w:sz w:val="20"/>
                <w:szCs w:val="20"/>
              </w:rPr>
              <w:t>3 - neutral</w:t>
            </w:r>
          </w:p>
          <w:p w14:paraId="0F64E383" w14:textId="66BE2FF4" w:rsidR="005D6C94" w:rsidRPr="0044233A" w:rsidRDefault="005D6C94" w:rsidP="0044233A">
            <w:pPr>
              <w:pStyle w:val="ListParagraph"/>
              <w:numPr>
                <w:ilvl w:val="0"/>
                <w:numId w:val="26"/>
              </w:numPr>
              <w:spacing w:after="120"/>
              <w:ind w:left="184" w:hanging="142"/>
              <w:rPr>
                <w:sz w:val="20"/>
                <w:szCs w:val="20"/>
              </w:rPr>
            </w:pPr>
            <w:r w:rsidRPr="0044233A">
              <w:rPr>
                <w:sz w:val="20"/>
                <w:szCs w:val="20"/>
              </w:rPr>
              <w:t>Efficiencies for the industry by making processes more automated (e.g. suitability test for investment services)</w:t>
            </w:r>
            <w:r w:rsidR="00C5006E">
              <w:rPr>
                <w:sz w:val="20"/>
                <w:szCs w:val="20"/>
              </w:rPr>
              <w:t xml:space="preserve">: </w:t>
            </w:r>
            <w:r w:rsidR="0016070F" w:rsidRPr="0016070F">
              <w:rPr>
                <w:sz w:val="20"/>
                <w:szCs w:val="20"/>
              </w:rPr>
              <w:t xml:space="preserve"> </w:t>
            </w:r>
            <w:r w:rsidR="00CF1051">
              <w:rPr>
                <w:sz w:val="20"/>
                <w:szCs w:val="20"/>
              </w:rPr>
              <w:t>4</w:t>
            </w:r>
            <w:r w:rsidR="00CF1051" w:rsidRPr="0016070F">
              <w:rPr>
                <w:sz w:val="20"/>
                <w:szCs w:val="20"/>
              </w:rPr>
              <w:t xml:space="preserve"> </w:t>
            </w:r>
            <w:r w:rsidR="00CF1051">
              <w:rPr>
                <w:sz w:val="20"/>
                <w:szCs w:val="20"/>
              </w:rPr>
              <w:t>–</w:t>
            </w:r>
            <w:r w:rsidR="00CF1051" w:rsidRPr="0016070F">
              <w:rPr>
                <w:sz w:val="20"/>
                <w:szCs w:val="20"/>
              </w:rPr>
              <w:t xml:space="preserve"> </w:t>
            </w:r>
            <w:r w:rsidR="00CF1051">
              <w:rPr>
                <w:sz w:val="20"/>
                <w:szCs w:val="20"/>
              </w:rPr>
              <w:t xml:space="preserve">rather relevant </w:t>
            </w:r>
          </w:p>
          <w:p w14:paraId="2C78D968" w14:textId="780B1B63" w:rsidR="005D6C94" w:rsidRPr="0044233A" w:rsidRDefault="005D6C94" w:rsidP="0044233A">
            <w:pPr>
              <w:pStyle w:val="ListParagraph"/>
              <w:numPr>
                <w:ilvl w:val="0"/>
                <w:numId w:val="26"/>
              </w:numPr>
              <w:spacing w:after="120"/>
              <w:ind w:left="184" w:hanging="142"/>
              <w:rPr>
                <w:sz w:val="20"/>
                <w:szCs w:val="20"/>
              </w:rPr>
            </w:pPr>
            <w:r w:rsidRPr="0044233A">
              <w:rPr>
                <w:sz w:val="20"/>
                <w:szCs w:val="20"/>
              </w:rPr>
              <w:t>Business opportunities for new entrants in the financial industry</w:t>
            </w:r>
            <w:r w:rsidR="00C5006E">
              <w:rPr>
                <w:sz w:val="20"/>
                <w:szCs w:val="20"/>
              </w:rPr>
              <w:t xml:space="preserve">: </w:t>
            </w:r>
            <w:r w:rsidR="00CF1051">
              <w:rPr>
                <w:sz w:val="20"/>
                <w:szCs w:val="20"/>
              </w:rPr>
              <w:t>4</w:t>
            </w:r>
            <w:r w:rsidR="00CF1051" w:rsidRPr="0016070F">
              <w:rPr>
                <w:sz w:val="20"/>
                <w:szCs w:val="20"/>
              </w:rPr>
              <w:t xml:space="preserve"> </w:t>
            </w:r>
            <w:r w:rsidR="00CF1051">
              <w:rPr>
                <w:sz w:val="20"/>
                <w:szCs w:val="20"/>
              </w:rPr>
              <w:t>–</w:t>
            </w:r>
            <w:r w:rsidR="00CF1051" w:rsidRPr="0016070F">
              <w:rPr>
                <w:sz w:val="20"/>
                <w:szCs w:val="20"/>
              </w:rPr>
              <w:t xml:space="preserve"> </w:t>
            </w:r>
            <w:r w:rsidR="00CF1051">
              <w:rPr>
                <w:sz w:val="20"/>
                <w:szCs w:val="20"/>
              </w:rPr>
              <w:t xml:space="preserve">rather relevant </w:t>
            </w:r>
          </w:p>
          <w:p w14:paraId="47837F42" w14:textId="3C9BA0D7" w:rsidR="005D6C94" w:rsidRPr="00C5006E" w:rsidRDefault="005D6C94" w:rsidP="00C5006E">
            <w:pPr>
              <w:pStyle w:val="ListParagraph"/>
              <w:numPr>
                <w:ilvl w:val="0"/>
                <w:numId w:val="26"/>
              </w:numPr>
              <w:spacing w:after="120"/>
              <w:ind w:left="184" w:hanging="142"/>
              <w:rPr>
                <w:sz w:val="20"/>
                <w:szCs w:val="20"/>
              </w:rPr>
            </w:pPr>
            <w:r w:rsidRPr="0044233A">
              <w:rPr>
                <w:sz w:val="20"/>
                <w:szCs w:val="20"/>
              </w:rPr>
              <w:t xml:space="preserve">New opportunities for incumbent financial services </w:t>
            </w:r>
            <w:r w:rsidR="00C5006E">
              <w:rPr>
                <w:sz w:val="20"/>
                <w:szCs w:val="20"/>
              </w:rPr>
              <w:t>f</w:t>
            </w:r>
            <w:r w:rsidRPr="00C5006E">
              <w:rPr>
                <w:sz w:val="20"/>
                <w:szCs w:val="20"/>
              </w:rPr>
              <w:t>irms, including through partnerships with innovative start-ups</w:t>
            </w:r>
            <w:r w:rsidR="00C5006E">
              <w:rPr>
                <w:sz w:val="20"/>
                <w:szCs w:val="20"/>
              </w:rPr>
              <w:t xml:space="preserve">: </w:t>
            </w:r>
            <w:r w:rsidR="00FE3068" w:rsidRPr="0016070F">
              <w:rPr>
                <w:sz w:val="20"/>
                <w:szCs w:val="20"/>
              </w:rPr>
              <w:t>3 - neutral</w:t>
            </w:r>
          </w:p>
          <w:p w14:paraId="1AB5E218" w14:textId="621517A9" w:rsidR="005D6C94" w:rsidRPr="0044233A" w:rsidRDefault="005D6C94" w:rsidP="0044233A">
            <w:pPr>
              <w:pStyle w:val="ListParagraph"/>
              <w:numPr>
                <w:ilvl w:val="0"/>
                <w:numId w:val="26"/>
              </w:numPr>
              <w:spacing w:after="120"/>
              <w:ind w:left="184" w:hanging="142"/>
              <w:rPr>
                <w:sz w:val="20"/>
                <w:szCs w:val="20"/>
              </w:rPr>
            </w:pPr>
            <w:r w:rsidRPr="0044233A">
              <w:rPr>
                <w:sz w:val="20"/>
                <w:szCs w:val="20"/>
              </w:rPr>
              <w:t>Easier access to bigger sets of data, hence facilitating development of data dependent services</w:t>
            </w:r>
            <w:r w:rsidR="00C5006E">
              <w:rPr>
                <w:sz w:val="20"/>
                <w:szCs w:val="20"/>
              </w:rPr>
              <w:t xml:space="preserve">: </w:t>
            </w:r>
            <w:r w:rsidR="0016070F" w:rsidRPr="0016070F">
              <w:rPr>
                <w:sz w:val="20"/>
                <w:szCs w:val="20"/>
              </w:rPr>
              <w:t>3 - neutral</w:t>
            </w:r>
          </w:p>
          <w:p w14:paraId="4EAF6166" w14:textId="62DB388F" w:rsidR="005D6C94" w:rsidRPr="0044233A" w:rsidRDefault="005D6C94" w:rsidP="0044233A">
            <w:pPr>
              <w:pStyle w:val="ListParagraph"/>
              <w:numPr>
                <w:ilvl w:val="0"/>
                <w:numId w:val="26"/>
              </w:numPr>
              <w:spacing w:after="120"/>
              <w:ind w:left="184" w:hanging="142"/>
              <w:rPr>
                <w:sz w:val="20"/>
                <w:szCs w:val="20"/>
              </w:rPr>
            </w:pPr>
            <w:r w:rsidRPr="0044233A">
              <w:rPr>
                <w:sz w:val="20"/>
                <w:szCs w:val="20"/>
              </w:rPr>
              <w:t>Enhanced access to European capital markets for retail investors</w:t>
            </w:r>
            <w:r w:rsidR="00C5006E">
              <w:rPr>
                <w:sz w:val="20"/>
                <w:szCs w:val="20"/>
              </w:rPr>
              <w:t xml:space="preserve">: </w:t>
            </w:r>
            <w:r w:rsidR="0016070F" w:rsidRPr="0016070F">
              <w:rPr>
                <w:sz w:val="20"/>
                <w:szCs w:val="20"/>
              </w:rPr>
              <w:t>3 - neutral</w:t>
            </w:r>
          </w:p>
          <w:p w14:paraId="3938661D" w14:textId="4D6EA53C" w:rsidR="005D6C94" w:rsidRPr="0044233A" w:rsidRDefault="005D6C94" w:rsidP="0044233A">
            <w:pPr>
              <w:pStyle w:val="ListParagraph"/>
              <w:numPr>
                <w:ilvl w:val="0"/>
                <w:numId w:val="26"/>
              </w:numPr>
              <w:spacing w:after="120"/>
              <w:ind w:left="184" w:hanging="142"/>
              <w:rPr>
                <w:sz w:val="20"/>
                <w:szCs w:val="20"/>
              </w:rPr>
            </w:pPr>
            <w:r w:rsidRPr="0044233A">
              <w:rPr>
                <w:sz w:val="20"/>
                <w:szCs w:val="20"/>
              </w:rPr>
              <w:t>Enhanced access to credit for small businesses</w:t>
            </w:r>
            <w:r w:rsidR="00C5006E">
              <w:rPr>
                <w:sz w:val="20"/>
                <w:szCs w:val="20"/>
              </w:rPr>
              <w:t xml:space="preserve">: </w:t>
            </w:r>
            <w:r w:rsidR="0016070F" w:rsidRPr="0016070F">
              <w:rPr>
                <w:sz w:val="20"/>
                <w:szCs w:val="20"/>
              </w:rPr>
              <w:t>3 - neutral</w:t>
            </w:r>
          </w:p>
          <w:p w14:paraId="53FD65CC" w14:textId="1219D847" w:rsidR="005D6C94" w:rsidRPr="00A565B8" w:rsidRDefault="005D6C94" w:rsidP="0044233A">
            <w:pPr>
              <w:pStyle w:val="ListParagraph"/>
              <w:numPr>
                <w:ilvl w:val="0"/>
                <w:numId w:val="26"/>
              </w:numPr>
              <w:spacing w:after="120"/>
              <w:ind w:left="184" w:hanging="142"/>
              <w:rPr>
                <w:sz w:val="20"/>
                <w:szCs w:val="20"/>
              </w:rPr>
            </w:pPr>
            <w:r w:rsidRPr="0044233A">
              <w:rPr>
                <w:sz w:val="20"/>
                <w:szCs w:val="20"/>
              </w:rPr>
              <w:t>Other</w:t>
            </w:r>
            <w:r w:rsidR="00FE3068">
              <w:rPr>
                <w:sz w:val="20"/>
                <w:szCs w:val="20"/>
              </w:rPr>
              <w:t xml:space="preserve">: 5 – fully relevant </w:t>
            </w:r>
          </w:p>
        </w:tc>
      </w:tr>
      <w:tr w:rsidR="005D6C94" w14:paraId="53036126" w14:textId="77777777" w:rsidTr="00CA60D1">
        <w:trPr>
          <w:trHeight w:val="436"/>
        </w:trPr>
        <w:tc>
          <w:tcPr>
            <w:tcW w:w="790" w:type="dxa"/>
            <w:vMerge/>
          </w:tcPr>
          <w:p w14:paraId="0B408B26" w14:textId="77777777" w:rsidR="005D6C94" w:rsidRDefault="005D6C94" w:rsidP="009308FD">
            <w:pPr>
              <w:spacing w:after="120"/>
              <w:rPr>
                <w:sz w:val="20"/>
                <w:szCs w:val="20"/>
              </w:rPr>
            </w:pPr>
          </w:p>
        </w:tc>
        <w:tc>
          <w:tcPr>
            <w:tcW w:w="1048" w:type="dxa"/>
          </w:tcPr>
          <w:p w14:paraId="4626D97E" w14:textId="166C8923" w:rsidR="005D6C94" w:rsidRPr="00A565B8" w:rsidRDefault="005D6C94" w:rsidP="009308FD">
            <w:pPr>
              <w:rPr>
                <w:rFonts w:eastAsia="Times New Roman"/>
                <w:sz w:val="20"/>
                <w:szCs w:val="20"/>
                <w:lang w:eastAsia="en-GB"/>
              </w:rPr>
            </w:pPr>
            <w:r w:rsidRPr="00A565B8">
              <w:rPr>
                <w:rFonts w:eastAsia="Times New Roman"/>
                <w:sz w:val="20"/>
                <w:szCs w:val="20"/>
                <w:lang w:eastAsia="en-GB"/>
              </w:rPr>
              <w:t>AFME to respond</w:t>
            </w:r>
          </w:p>
        </w:tc>
        <w:tc>
          <w:tcPr>
            <w:tcW w:w="8619" w:type="dxa"/>
          </w:tcPr>
          <w:p w14:paraId="49264832" w14:textId="397619D1" w:rsidR="00CF1051" w:rsidRPr="00CF1051" w:rsidRDefault="00CF1051" w:rsidP="00AF6407">
            <w:pPr>
              <w:pStyle w:val="ListParagraph"/>
              <w:numPr>
                <w:ilvl w:val="0"/>
                <w:numId w:val="26"/>
              </w:numPr>
              <w:spacing w:after="120"/>
              <w:ind w:left="184" w:hanging="142"/>
              <w:rPr>
                <w:sz w:val="20"/>
                <w:szCs w:val="20"/>
              </w:rPr>
            </w:pPr>
            <w:r w:rsidRPr="00CF1051">
              <w:rPr>
                <w:sz w:val="20"/>
                <w:szCs w:val="20"/>
              </w:rPr>
              <w:t xml:space="preserve">We welcome the Commission’s aim of encouraging the sharing and reuse of data to strengthen the European digital economy. However, we believe that an open data policy </w:t>
            </w:r>
            <w:r w:rsidR="00FE3068">
              <w:rPr>
                <w:sz w:val="20"/>
                <w:szCs w:val="20"/>
              </w:rPr>
              <w:t>must</w:t>
            </w:r>
            <w:r w:rsidRPr="00CF1051">
              <w:rPr>
                <w:sz w:val="20"/>
                <w:szCs w:val="20"/>
              </w:rPr>
              <w:t xml:space="preserve"> be cross-sectoral (not financial services specific) to bring benefits to users, and our answers to Q30 reflect this position. This is aligned with the views of the Commission’s Expert Group on Regulatory Obstacles to Financial Innovation (ROEFIEG) in their December 2019 final report on 30 Recommendations on Regulation, Innovation and Finance, that regulatory schemes for data sharing should be developed on a horizontal basis. </w:t>
            </w:r>
          </w:p>
          <w:p w14:paraId="1BC071C1" w14:textId="77777777" w:rsidR="00CF1051" w:rsidRDefault="00CF1051" w:rsidP="00CF1051">
            <w:pPr>
              <w:pStyle w:val="ListParagraph"/>
              <w:numPr>
                <w:ilvl w:val="0"/>
                <w:numId w:val="26"/>
              </w:numPr>
              <w:spacing w:after="120"/>
              <w:ind w:left="184" w:hanging="142"/>
              <w:rPr>
                <w:sz w:val="20"/>
                <w:szCs w:val="20"/>
              </w:rPr>
            </w:pPr>
            <w:r w:rsidRPr="00CF1051">
              <w:rPr>
                <w:sz w:val="20"/>
                <w:szCs w:val="20"/>
              </w:rPr>
              <w:t>However, if an open finance approach is implemented in isolation from, or more quickly than, broader action across other sectors,  it will likely lead to weaker outcomes and potentially a number of corresponding risks (such as increased risks for FIs that may be required to bear the liabilities of a data breach from a third party; for more detail on risks please see response to Q31 below).</w:t>
            </w:r>
            <w:r>
              <w:rPr>
                <w:sz w:val="20"/>
                <w:szCs w:val="20"/>
              </w:rPr>
              <w:t xml:space="preserve"> </w:t>
            </w:r>
          </w:p>
          <w:p w14:paraId="30BA9EE6" w14:textId="59EC2D03" w:rsidR="0016070F" w:rsidRDefault="0016070F" w:rsidP="00AF6407">
            <w:pPr>
              <w:pStyle w:val="ListParagraph"/>
              <w:numPr>
                <w:ilvl w:val="0"/>
                <w:numId w:val="26"/>
              </w:numPr>
              <w:spacing w:after="120"/>
              <w:ind w:left="184" w:hanging="142"/>
              <w:rPr>
                <w:sz w:val="20"/>
                <w:szCs w:val="20"/>
              </w:rPr>
            </w:pPr>
            <w:r w:rsidRPr="00AF6407">
              <w:rPr>
                <w:sz w:val="20"/>
                <w:szCs w:val="20"/>
              </w:rPr>
              <w:t>We believe a cross-sectoral open data policy could result in the following</w:t>
            </w:r>
            <w:r w:rsidR="005E6349">
              <w:rPr>
                <w:sz w:val="20"/>
                <w:szCs w:val="20"/>
              </w:rPr>
              <w:t xml:space="preserve"> non-exhaustive list of</w:t>
            </w:r>
            <w:r w:rsidRPr="00AF6407">
              <w:rPr>
                <w:sz w:val="20"/>
                <w:szCs w:val="20"/>
              </w:rPr>
              <w:t xml:space="preserve"> benefits: </w:t>
            </w:r>
          </w:p>
          <w:p w14:paraId="48E7260E" w14:textId="1EB8D294" w:rsidR="0016070F" w:rsidRPr="00AF6407" w:rsidRDefault="0016070F" w:rsidP="00AF6407">
            <w:pPr>
              <w:pStyle w:val="ListParagraph"/>
              <w:numPr>
                <w:ilvl w:val="1"/>
                <w:numId w:val="26"/>
              </w:numPr>
              <w:spacing w:after="120"/>
              <w:ind w:left="606" w:hanging="284"/>
              <w:rPr>
                <w:sz w:val="20"/>
                <w:szCs w:val="20"/>
              </w:rPr>
            </w:pPr>
            <w:r w:rsidRPr="00AF6407">
              <w:rPr>
                <w:sz w:val="20"/>
                <w:szCs w:val="20"/>
              </w:rPr>
              <w:t>More innovative and convenient services for consumers/</w:t>
            </w:r>
            <w:r w:rsidR="005A1E25">
              <w:rPr>
                <w:sz w:val="20"/>
                <w:szCs w:val="20"/>
              </w:rPr>
              <w:t>clients</w:t>
            </w:r>
            <w:r w:rsidRPr="00AF6407">
              <w:rPr>
                <w:sz w:val="20"/>
                <w:szCs w:val="20"/>
              </w:rPr>
              <w:t>, which are not limited to aggregating information but also analysing and</w:t>
            </w:r>
            <w:r>
              <w:rPr>
                <w:sz w:val="20"/>
                <w:szCs w:val="20"/>
              </w:rPr>
              <w:t xml:space="preserve"> </w:t>
            </w:r>
            <w:r w:rsidRPr="00AF6407">
              <w:rPr>
                <w:sz w:val="20"/>
                <w:szCs w:val="20"/>
              </w:rPr>
              <w:t xml:space="preserve">going beyond current value </w:t>
            </w:r>
            <w:proofErr w:type="gramStart"/>
            <w:r w:rsidRPr="00AF6407">
              <w:rPr>
                <w:sz w:val="20"/>
                <w:szCs w:val="20"/>
              </w:rPr>
              <w:t>propositions;</w:t>
            </w:r>
            <w:proofErr w:type="gramEnd"/>
          </w:p>
          <w:p w14:paraId="7A873E1F" w14:textId="77777777" w:rsidR="0016070F" w:rsidRDefault="0016070F" w:rsidP="0016070F">
            <w:pPr>
              <w:pStyle w:val="ListParagraph"/>
              <w:numPr>
                <w:ilvl w:val="1"/>
                <w:numId w:val="26"/>
              </w:numPr>
              <w:spacing w:after="120"/>
              <w:ind w:left="606" w:hanging="284"/>
              <w:rPr>
                <w:sz w:val="20"/>
                <w:szCs w:val="20"/>
              </w:rPr>
            </w:pPr>
            <w:r w:rsidRPr="00507ABB">
              <w:rPr>
                <w:sz w:val="20"/>
                <w:szCs w:val="20"/>
              </w:rPr>
              <w:t xml:space="preserve">Efficiencies for the industry by making processes more automated, robust and traceable, with the opportunity to have a </w:t>
            </w:r>
            <w:r>
              <w:rPr>
                <w:sz w:val="20"/>
                <w:szCs w:val="20"/>
              </w:rPr>
              <w:t>more complete</w:t>
            </w:r>
            <w:r w:rsidRPr="00507ABB">
              <w:rPr>
                <w:sz w:val="20"/>
                <w:szCs w:val="20"/>
              </w:rPr>
              <w:t xml:space="preserve"> view of the customer and provide solutions for the long </w:t>
            </w:r>
            <w:proofErr w:type="gramStart"/>
            <w:r w:rsidRPr="00507ABB">
              <w:rPr>
                <w:sz w:val="20"/>
                <w:szCs w:val="20"/>
              </w:rPr>
              <w:t>term</w:t>
            </w:r>
            <w:r>
              <w:rPr>
                <w:sz w:val="20"/>
                <w:szCs w:val="20"/>
              </w:rPr>
              <w:t>;</w:t>
            </w:r>
            <w:proofErr w:type="gramEnd"/>
          </w:p>
          <w:p w14:paraId="18EA9C3C" w14:textId="77777777" w:rsidR="0016070F" w:rsidRDefault="0016070F" w:rsidP="0016070F">
            <w:pPr>
              <w:pStyle w:val="ListParagraph"/>
              <w:numPr>
                <w:ilvl w:val="1"/>
                <w:numId w:val="26"/>
              </w:numPr>
              <w:spacing w:after="120"/>
              <w:ind w:left="606" w:hanging="284"/>
              <w:rPr>
                <w:sz w:val="20"/>
                <w:szCs w:val="20"/>
              </w:rPr>
            </w:pPr>
            <w:r w:rsidRPr="00AF6407">
              <w:rPr>
                <w:sz w:val="20"/>
                <w:szCs w:val="20"/>
              </w:rPr>
              <w:t xml:space="preserve">Business opportunities for new entrants in the financial industry, but also for existing firms who prove value for consumers and </w:t>
            </w:r>
            <w:proofErr w:type="gramStart"/>
            <w:r w:rsidRPr="00AF6407">
              <w:rPr>
                <w:sz w:val="20"/>
                <w:szCs w:val="20"/>
              </w:rPr>
              <w:t>clients;</w:t>
            </w:r>
            <w:proofErr w:type="gramEnd"/>
            <w:r w:rsidRPr="00AF6407">
              <w:rPr>
                <w:sz w:val="20"/>
                <w:szCs w:val="20"/>
              </w:rPr>
              <w:t xml:space="preserve"> </w:t>
            </w:r>
          </w:p>
          <w:p w14:paraId="3096FD0D" w14:textId="77777777" w:rsidR="0016070F" w:rsidRDefault="0016070F" w:rsidP="0016070F">
            <w:pPr>
              <w:pStyle w:val="ListParagraph"/>
              <w:numPr>
                <w:ilvl w:val="1"/>
                <w:numId w:val="26"/>
              </w:numPr>
              <w:spacing w:after="120"/>
              <w:ind w:left="606" w:hanging="284"/>
              <w:rPr>
                <w:sz w:val="20"/>
                <w:szCs w:val="20"/>
              </w:rPr>
            </w:pPr>
            <w:r w:rsidRPr="00AF6407">
              <w:rPr>
                <w:sz w:val="20"/>
                <w:szCs w:val="20"/>
              </w:rPr>
              <w:lastRenderedPageBreak/>
              <w:t xml:space="preserve">New opportunities for incumbent financial services firms, including through partnerships with innovative </w:t>
            </w:r>
            <w:proofErr w:type="gramStart"/>
            <w:r w:rsidRPr="00AF6407">
              <w:rPr>
                <w:sz w:val="20"/>
                <w:szCs w:val="20"/>
              </w:rPr>
              <w:t>start-ups;</w:t>
            </w:r>
            <w:proofErr w:type="gramEnd"/>
          </w:p>
          <w:p w14:paraId="725FE3AE" w14:textId="5CBE547E" w:rsidR="0016070F" w:rsidRDefault="005E6349" w:rsidP="0016070F">
            <w:pPr>
              <w:pStyle w:val="ListParagraph"/>
              <w:numPr>
                <w:ilvl w:val="1"/>
                <w:numId w:val="26"/>
              </w:numPr>
              <w:spacing w:after="120"/>
              <w:ind w:left="606" w:hanging="284"/>
              <w:rPr>
                <w:sz w:val="20"/>
                <w:szCs w:val="20"/>
              </w:rPr>
            </w:pPr>
            <w:r>
              <w:rPr>
                <w:sz w:val="20"/>
                <w:szCs w:val="20"/>
              </w:rPr>
              <w:t>A</w:t>
            </w:r>
            <w:r w:rsidR="0016070F" w:rsidRPr="00AF6407">
              <w:rPr>
                <w:sz w:val="20"/>
                <w:szCs w:val="20"/>
              </w:rPr>
              <w:t>ccess to bigger sets of data</w:t>
            </w:r>
            <w:r>
              <w:rPr>
                <w:sz w:val="20"/>
                <w:szCs w:val="20"/>
              </w:rPr>
              <w:t xml:space="preserve"> would enhance</w:t>
            </w:r>
            <w:r w:rsidR="0016070F" w:rsidRPr="00AF6407">
              <w:rPr>
                <w:sz w:val="20"/>
                <w:szCs w:val="20"/>
              </w:rPr>
              <w:t xml:space="preserve"> the development of data dependent services; and </w:t>
            </w:r>
          </w:p>
          <w:p w14:paraId="5B728273" w14:textId="6A7328E8" w:rsidR="00FE3068" w:rsidRPr="00084510" w:rsidRDefault="00FE3068" w:rsidP="00084510">
            <w:pPr>
              <w:pStyle w:val="ListParagraph"/>
              <w:numPr>
                <w:ilvl w:val="1"/>
                <w:numId w:val="26"/>
              </w:numPr>
              <w:spacing w:after="120"/>
              <w:ind w:left="606" w:hanging="284"/>
              <w:rPr>
                <w:sz w:val="20"/>
                <w:szCs w:val="20"/>
              </w:rPr>
            </w:pPr>
            <w:r w:rsidRPr="00FE3068">
              <w:rPr>
                <w:sz w:val="20"/>
                <w:szCs w:val="20"/>
              </w:rPr>
              <w:t>Enhanced financial stability through reduced data concentration and greater competition.</w:t>
            </w:r>
          </w:p>
        </w:tc>
      </w:tr>
      <w:tr w:rsidR="005D6C94" w14:paraId="3066DA59" w14:textId="77777777" w:rsidTr="00CA60D1">
        <w:trPr>
          <w:trHeight w:val="436"/>
        </w:trPr>
        <w:tc>
          <w:tcPr>
            <w:tcW w:w="790" w:type="dxa"/>
            <w:vMerge w:val="restart"/>
          </w:tcPr>
          <w:p w14:paraId="66BCC6CE" w14:textId="55C5EE9C" w:rsidR="005D6C94" w:rsidRDefault="00396720" w:rsidP="009308FD">
            <w:pPr>
              <w:spacing w:after="120"/>
              <w:rPr>
                <w:sz w:val="20"/>
                <w:szCs w:val="20"/>
              </w:rPr>
            </w:pPr>
            <w:r>
              <w:rPr>
                <w:sz w:val="20"/>
                <w:szCs w:val="20"/>
              </w:rPr>
              <w:lastRenderedPageBreak/>
              <w:tab/>
            </w:r>
          </w:p>
        </w:tc>
        <w:tc>
          <w:tcPr>
            <w:tcW w:w="1048" w:type="dxa"/>
          </w:tcPr>
          <w:p w14:paraId="7323CCA9" w14:textId="4350FF3D" w:rsidR="005D6C94" w:rsidRPr="00A565B8" w:rsidRDefault="005D6C94" w:rsidP="009308FD">
            <w:pPr>
              <w:rPr>
                <w:rFonts w:eastAsia="Times New Roman"/>
                <w:sz w:val="20"/>
                <w:szCs w:val="20"/>
                <w:lang w:eastAsia="en-GB"/>
              </w:rPr>
            </w:pPr>
            <w:r w:rsidRPr="00A565B8">
              <w:rPr>
                <w:rFonts w:eastAsia="Times New Roman"/>
                <w:sz w:val="20"/>
                <w:szCs w:val="20"/>
                <w:lang w:eastAsia="en-GB"/>
              </w:rPr>
              <w:t>AFME to respond</w:t>
            </w:r>
          </w:p>
        </w:tc>
        <w:tc>
          <w:tcPr>
            <w:tcW w:w="8619" w:type="dxa"/>
          </w:tcPr>
          <w:p w14:paraId="0126F452" w14:textId="773CCF21" w:rsidR="005D6C94" w:rsidRPr="009308FD" w:rsidRDefault="005D6C94" w:rsidP="005D6C94">
            <w:pPr>
              <w:spacing w:after="120"/>
              <w:rPr>
                <w:sz w:val="20"/>
                <w:szCs w:val="20"/>
              </w:rPr>
            </w:pPr>
            <w:r>
              <w:rPr>
                <w:sz w:val="20"/>
                <w:szCs w:val="20"/>
              </w:rPr>
              <w:t>Risks of an open finance policy:</w:t>
            </w:r>
          </w:p>
          <w:p w14:paraId="2FF2EB8C" w14:textId="1AC29BD8" w:rsidR="005D6C94" w:rsidRPr="005D6C94" w:rsidRDefault="005D6C94" w:rsidP="00AF6407">
            <w:pPr>
              <w:pStyle w:val="ListParagraph"/>
              <w:numPr>
                <w:ilvl w:val="0"/>
                <w:numId w:val="26"/>
              </w:numPr>
              <w:spacing w:after="120"/>
              <w:ind w:left="184" w:hanging="142"/>
              <w:rPr>
                <w:sz w:val="20"/>
                <w:szCs w:val="20"/>
              </w:rPr>
            </w:pPr>
            <w:r w:rsidRPr="005D6C94">
              <w:rPr>
                <w:sz w:val="20"/>
                <w:szCs w:val="20"/>
              </w:rPr>
              <w:t>Privacy issues / security of personal data</w:t>
            </w:r>
            <w:r w:rsidR="00C5006E">
              <w:rPr>
                <w:sz w:val="20"/>
                <w:szCs w:val="20"/>
              </w:rPr>
              <w:t xml:space="preserve">: </w:t>
            </w:r>
            <w:r w:rsidR="00080BDA" w:rsidRPr="00080BDA">
              <w:rPr>
                <w:sz w:val="20"/>
                <w:szCs w:val="20"/>
              </w:rPr>
              <w:t>5 – fully relevant</w:t>
            </w:r>
          </w:p>
          <w:p w14:paraId="3DC73407" w14:textId="71863571" w:rsidR="00080BDA" w:rsidRPr="00955C42" w:rsidRDefault="00080BDA" w:rsidP="00AF6407">
            <w:pPr>
              <w:pStyle w:val="ListParagraph"/>
              <w:numPr>
                <w:ilvl w:val="0"/>
                <w:numId w:val="26"/>
              </w:numPr>
              <w:spacing w:after="120"/>
              <w:ind w:left="184" w:hanging="142"/>
              <w:rPr>
                <w:sz w:val="20"/>
                <w:szCs w:val="20"/>
              </w:rPr>
            </w:pPr>
            <w:r w:rsidRPr="00955C42">
              <w:rPr>
                <w:sz w:val="20"/>
                <w:szCs w:val="20"/>
              </w:rPr>
              <w:t>Financial exclusion</w:t>
            </w:r>
            <w:r w:rsidR="004F25AC">
              <w:rPr>
                <w:sz w:val="20"/>
                <w:szCs w:val="20"/>
              </w:rPr>
              <w:t xml:space="preserve">: </w:t>
            </w:r>
            <w:r w:rsidR="00CF1051" w:rsidRPr="004F25AC">
              <w:rPr>
                <w:sz w:val="20"/>
                <w:szCs w:val="20"/>
              </w:rPr>
              <w:t>3 – neutral</w:t>
            </w:r>
          </w:p>
          <w:p w14:paraId="4CB05C62" w14:textId="0CBC5678" w:rsidR="005D6C94" w:rsidRPr="005D6C94" w:rsidRDefault="005D6C94" w:rsidP="00AF6407">
            <w:pPr>
              <w:pStyle w:val="ListParagraph"/>
              <w:numPr>
                <w:ilvl w:val="0"/>
                <w:numId w:val="26"/>
              </w:numPr>
              <w:spacing w:after="120"/>
              <w:ind w:left="184" w:hanging="142"/>
              <w:rPr>
                <w:sz w:val="20"/>
                <w:szCs w:val="20"/>
              </w:rPr>
            </w:pPr>
            <w:r w:rsidRPr="005D6C94">
              <w:rPr>
                <w:sz w:val="20"/>
                <w:szCs w:val="20"/>
              </w:rPr>
              <w:t>Poor consumer outcomes (e.g. unfair pricing strategies)</w:t>
            </w:r>
            <w:r w:rsidR="00C5006E">
              <w:rPr>
                <w:sz w:val="20"/>
                <w:szCs w:val="20"/>
              </w:rPr>
              <w:t xml:space="preserve">: </w:t>
            </w:r>
            <w:r w:rsidR="00A646FE" w:rsidRPr="004F25AC">
              <w:rPr>
                <w:sz w:val="20"/>
                <w:szCs w:val="20"/>
              </w:rPr>
              <w:t>4 – rather relevant</w:t>
            </w:r>
          </w:p>
          <w:p w14:paraId="24D4EF86" w14:textId="6409450C" w:rsidR="005D6C94" w:rsidRPr="005D6C94" w:rsidRDefault="005D6C94" w:rsidP="00AF6407">
            <w:pPr>
              <w:pStyle w:val="ListParagraph"/>
              <w:numPr>
                <w:ilvl w:val="0"/>
                <w:numId w:val="26"/>
              </w:numPr>
              <w:spacing w:after="120"/>
              <w:ind w:left="184" w:hanging="142"/>
              <w:rPr>
                <w:sz w:val="20"/>
                <w:szCs w:val="20"/>
              </w:rPr>
            </w:pPr>
            <w:r w:rsidRPr="005D6C94">
              <w:rPr>
                <w:sz w:val="20"/>
                <w:szCs w:val="20"/>
              </w:rPr>
              <w:t>Misuse of consumers’ financial data</w:t>
            </w:r>
            <w:r w:rsidR="00C5006E">
              <w:rPr>
                <w:sz w:val="20"/>
                <w:szCs w:val="20"/>
              </w:rPr>
              <w:t xml:space="preserve">: </w:t>
            </w:r>
            <w:r w:rsidR="004F25AC" w:rsidRPr="004F25AC">
              <w:rPr>
                <w:sz w:val="20"/>
                <w:szCs w:val="20"/>
              </w:rPr>
              <w:t>4 – rather relevant</w:t>
            </w:r>
          </w:p>
          <w:p w14:paraId="17F5ABF1" w14:textId="7FC93191" w:rsidR="005D6C94" w:rsidRPr="005D6C94" w:rsidRDefault="005D6C94" w:rsidP="00AF6407">
            <w:pPr>
              <w:pStyle w:val="ListParagraph"/>
              <w:numPr>
                <w:ilvl w:val="0"/>
                <w:numId w:val="26"/>
              </w:numPr>
              <w:spacing w:after="120"/>
              <w:ind w:left="184" w:hanging="142"/>
              <w:rPr>
                <w:sz w:val="20"/>
                <w:szCs w:val="20"/>
              </w:rPr>
            </w:pPr>
            <w:r w:rsidRPr="005D6C94">
              <w:rPr>
                <w:sz w:val="20"/>
                <w:szCs w:val="20"/>
              </w:rPr>
              <w:t>Business confidentiality issues</w:t>
            </w:r>
            <w:r w:rsidR="00C5006E">
              <w:rPr>
                <w:sz w:val="20"/>
                <w:szCs w:val="20"/>
              </w:rPr>
              <w:t xml:space="preserve">: </w:t>
            </w:r>
            <w:r w:rsidR="004F25AC" w:rsidRPr="004F25AC">
              <w:rPr>
                <w:sz w:val="20"/>
                <w:szCs w:val="20"/>
              </w:rPr>
              <w:t>4 – rather relevant</w:t>
            </w:r>
          </w:p>
          <w:p w14:paraId="46D2023C" w14:textId="0C55CB70" w:rsidR="005D6C94" w:rsidRPr="005D6C94" w:rsidRDefault="005D6C94" w:rsidP="00AF6407">
            <w:pPr>
              <w:pStyle w:val="ListParagraph"/>
              <w:numPr>
                <w:ilvl w:val="0"/>
                <w:numId w:val="26"/>
              </w:numPr>
              <w:spacing w:after="120"/>
              <w:ind w:left="184" w:hanging="142"/>
              <w:rPr>
                <w:sz w:val="20"/>
                <w:szCs w:val="20"/>
              </w:rPr>
            </w:pPr>
            <w:r w:rsidRPr="005D6C94">
              <w:rPr>
                <w:sz w:val="20"/>
                <w:szCs w:val="20"/>
              </w:rPr>
              <w:t>Increased cyber risks</w:t>
            </w:r>
            <w:r w:rsidR="00C5006E">
              <w:rPr>
                <w:sz w:val="20"/>
                <w:szCs w:val="20"/>
              </w:rPr>
              <w:t xml:space="preserve">: </w:t>
            </w:r>
            <w:r w:rsidR="004F25AC" w:rsidRPr="004F25AC">
              <w:rPr>
                <w:sz w:val="20"/>
                <w:szCs w:val="20"/>
              </w:rPr>
              <w:t>4 – rather relevant</w:t>
            </w:r>
          </w:p>
          <w:p w14:paraId="01AC8ECB" w14:textId="4E6A0314" w:rsidR="005D6C94" w:rsidRPr="005D6C94" w:rsidRDefault="005D6C94" w:rsidP="00AF6407">
            <w:pPr>
              <w:pStyle w:val="ListParagraph"/>
              <w:numPr>
                <w:ilvl w:val="0"/>
                <w:numId w:val="26"/>
              </w:numPr>
              <w:spacing w:after="120"/>
              <w:ind w:left="184" w:hanging="142"/>
              <w:rPr>
                <w:sz w:val="20"/>
                <w:szCs w:val="20"/>
              </w:rPr>
            </w:pPr>
            <w:r w:rsidRPr="005D6C94">
              <w:rPr>
                <w:sz w:val="20"/>
                <w:szCs w:val="20"/>
              </w:rPr>
              <w:t>Lack of level playing field in terms of access to data across financial sector activities</w:t>
            </w:r>
            <w:r w:rsidR="000451EE">
              <w:rPr>
                <w:sz w:val="20"/>
                <w:szCs w:val="20"/>
              </w:rPr>
              <w:t>:</w:t>
            </w:r>
            <w:r w:rsidR="00C5006E">
              <w:rPr>
                <w:sz w:val="20"/>
                <w:szCs w:val="20"/>
              </w:rPr>
              <w:t xml:space="preserve"> </w:t>
            </w:r>
            <w:r w:rsidR="004F25AC" w:rsidRPr="004F25AC">
              <w:rPr>
                <w:sz w:val="20"/>
                <w:szCs w:val="20"/>
              </w:rPr>
              <w:t>5 – fully relevant</w:t>
            </w:r>
          </w:p>
          <w:p w14:paraId="3F6F6AF4" w14:textId="010B35D7" w:rsidR="005D6C94" w:rsidRDefault="005D6C94" w:rsidP="00AF6407">
            <w:pPr>
              <w:pStyle w:val="ListParagraph"/>
              <w:numPr>
                <w:ilvl w:val="0"/>
                <w:numId w:val="26"/>
              </w:numPr>
              <w:spacing w:after="120"/>
              <w:ind w:left="184" w:hanging="142"/>
              <w:rPr>
                <w:sz w:val="20"/>
                <w:szCs w:val="20"/>
              </w:rPr>
            </w:pPr>
            <w:r w:rsidRPr="005D6C94">
              <w:rPr>
                <w:sz w:val="20"/>
                <w:szCs w:val="20"/>
              </w:rPr>
              <w:t>Other</w:t>
            </w:r>
            <w:r w:rsidR="005E6349">
              <w:rPr>
                <w:sz w:val="20"/>
                <w:szCs w:val="20"/>
              </w:rPr>
              <w:t>: 5 – fully relevant</w:t>
            </w:r>
          </w:p>
        </w:tc>
      </w:tr>
      <w:tr w:rsidR="005D6C94" w14:paraId="30DA1469" w14:textId="77777777" w:rsidTr="00CA60D1">
        <w:trPr>
          <w:trHeight w:val="436"/>
        </w:trPr>
        <w:tc>
          <w:tcPr>
            <w:tcW w:w="790" w:type="dxa"/>
            <w:vMerge/>
          </w:tcPr>
          <w:p w14:paraId="3C9FA612" w14:textId="77777777" w:rsidR="005D6C94" w:rsidRDefault="005D6C94" w:rsidP="005D6C94">
            <w:pPr>
              <w:spacing w:after="120"/>
              <w:rPr>
                <w:sz w:val="20"/>
                <w:szCs w:val="20"/>
              </w:rPr>
            </w:pPr>
          </w:p>
        </w:tc>
        <w:tc>
          <w:tcPr>
            <w:tcW w:w="1048" w:type="dxa"/>
          </w:tcPr>
          <w:p w14:paraId="53B2D761" w14:textId="63F4E159" w:rsidR="005D6C94" w:rsidRPr="00A565B8" w:rsidRDefault="005D6C94" w:rsidP="005D6C94">
            <w:pPr>
              <w:rPr>
                <w:rFonts w:eastAsia="Times New Roman"/>
                <w:sz w:val="20"/>
                <w:szCs w:val="20"/>
                <w:lang w:eastAsia="en-GB"/>
              </w:rPr>
            </w:pPr>
            <w:r w:rsidRPr="00A565B8">
              <w:rPr>
                <w:rFonts w:eastAsia="Times New Roman"/>
                <w:sz w:val="20"/>
                <w:szCs w:val="20"/>
                <w:lang w:eastAsia="en-GB"/>
              </w:rPr>
              <w:t>AFME to respond</w:t>
            </w:r>
          </w:p>
        </w:tc>
        <w:tc>
          <w:tcPr>
            <w:tcW w:w="8619" w:type="dxa"/>
          </w:tcPr>
          <w:p w14:paraId="478440F2" w14:textId="33C71A57" w:rsidR="005E6349" w:rsidRPr="00AF77FA" w:rsidRDefault="00D76EA2" w:rsidP="005E6349">
            <w:pPr>
              <w:rPr>
                <w:sz w:val="20"/>
                <w:szCs w:val="20"/>
                <w:u w:val="single"/>
              </w:rPr>
            </w:pPr>
            <w:r>
              <w:rPr>
                <w:i/>
                <w:iCs/>
                <w:sz w:val="20"/>
                <w:szCs w:val="20"/>
                <w:u w:val="single"/>
              </w:rPr>
              <w:t>Risks to f</w:t>
            </w:r>
            <w:r w:rsidR="005E6349" w:rsidRPr="00204CCA">
              <w:rPr>
                <w:i/>
                <w:iCs/>
                <w:sz w:val="20"/>
                <w:szCs w:val="20"/>
                <w:u w:val="single"/>
              </w:rPr>
              <w:t>inancial sector resilience</w:t>
            </w:r>
            <w:r w:rsidR="005E6349" w:rsidRPr="00AF77FA">
              <w:rPr>
                <w:sz w:val="20"/>
                <w:szCs w:val="20"/>
                <w:u w:val="single"/>
              </w:rPr>
              <w:t xml:space="preserve">: </w:t>
            </w:r>
          </w:p>
          <w:p w14:paraId="37BC5F8D" w14:textId="67F975AE" w:rsidR="005E6349" w:rsidRDefault="00D76EA2" w:rsidP="00204CCA">
            <w:pPr>
              <w:pStyle w:val="ListParagraph"/>
              <w:numPr>
                <w:ilvl w:val="0"/>
                <w:numId w:val="26"/>
              </w:numPr>
              <w:spacing w:after="120"/>
              <w:ind w:left="184" w:hanging="142"/>
              <w:rPr>
                <w:sz w:val="20"/>
                <w:szCs w:val="20"/>
              </w:rPr>
            </w:pPr>
            <w:r>
              <w:rPr>
                <w:sz w:val="20"/>
                <w:szCs w:val="20"/>
              </w:rPr>
              <w:t>If a</w:t>
            </w:r>
            <w:r w:rsidR="005E6349" w:rsidRPr="00204CCA">
              <w:rPr>
                <w:sz w:val="20"/>
                <w:szCs w:val="20"/>
              </w:rPr>
              <w:t xml:space="preserve"> situation occur</w:t>
            </w:r>
            <w:r w:rsidR="00AA38BC">
              <w:rPr>
                <w:sz w:val="20"/>
                <w:szCs w:val="20"/>
              </w:rPr>
              <w:t>s</w:t>
            </w:r>
            <w:r w:rsidR="005E6349" w:rsidRPr="00204CCA">
              <w:rPr>
                <w:sz w:val="20"/>
                <w:szCs w:val="20"/>
              </w:rPr>
              <w:t xml:space="preserve"> where certain FIs bear the costs for the business models of their competitors (for instance where PSD2 has allowed other organisations to develop banking services without maintaining banking technology infrastructure or paying for its use)</w:t>
            </w:r>
            <w:r>
              <w:rPr>
                <w:sz w:val="20"/>
                <w:szCs w:val="20"/>
              </w:rPr>
              <w:t>,</w:t>
            </w:r>
            <w:r w:rsidR="005E6349" w:rsidRPr="00204CCA">
              <w:rPr>
                <w:sz w:val="20"/>
                <w:szCs w:val="20"/>
              </w:rPr>
              <w:t xml:space="preserve">  </w:t>
            </w:r>
            <w:r>
              <w:rPr>
                <w:sz w:val="20"/>
                <w:szCs w:val="20"/>
              </w:rPr>
              <w:t>t</w:t>
            </w:r>
            <w:r w:rsidR="005E6349" w:rsidRPr="00204CCA">
              <w:rPr>
                <w:sz w:val="20"/>
                <w:szCs w:val="20"/>
              </w:rPr>
              <w:t xml:space="preserve">his will not only limit an FI’s ability to invest in innovation, but may also have negative implications on their ability to maintain and continuously improve their technical infrastructure, adapt their business model, and ensure resilience for the financial sector overall. </w:t>
            </w:r>
          </w:p>
          <w:p w14:paraId="48954377" w14:textId="7CE04C84" w:rsidR="00AA38BC" w:rsidRPr="002F1649" w:rsidRDefault="00AA38BC" w:rsidP="00084510">
            <w:pPr>
              <w:ind w:left="42"/>
              <w:rPr>
                <w:rFonts w:eastAsia="Calibri"/>
                <w:i/>
                <w:iCs/>
                <w:sz w:val="20"/>
                <w:szCs w:val="20"/>
                <w:u w:val="single"/>
              </w:rPr>
            </w:pPr>
            <w:r w:rsidRPr="002F1649">
              <w:rPr>
                <w:i/>
                <w:iCs/>
                <w:sz w:val="20"/>
                <w:szCs w:val="20"/>
                <w:u w:val="single"/>
              </w:rPr>
              <w:t>Risk to firms’ digital competitiveness:</w:t>
            </w:r>
          </w:p>
          <w:p w14:paraId="5481D901" w14:textId="5FDFAF82" w:rsidR="000163ED" w:rsidRPr="00AA38BC" w:rsidRDefault="000163ED" w:rsidP="00AA38BC">
            <w:pPr>
              <w:pStyle w:val="ListParagraph"/>
              <w:numPr>
                <w:ilvl w:val="0"/>
                <w:numId w:val="26"/>
              </w:numPr>
              <w:spacing w:after="120"/>
              <w:ind w:left="184" w:hanging="142"/>
              <w:rPr>
                <w:sz w:val="20"/>
                <w:szCs w:val="20"/>
              </w:rPr>
            </w:pPr>
            <w:r w:rsidRPr="000163ED">
              <w:rPr>
                <w:sz w:val="20"/>
                <w:szCs w:val="20"/>
              </w:rPr>
              <w:t xml:space="preserve">If regulatory initiatives are put in place only </w:t>
            </w:r>
            <w:r w:rsidR="009F552B">
              <w:rPr>
                <w:sz w:val="20"/>
                <w:szCs w:val="20"/>
              </w:rPr>
              <w:t xml:space="preserve">for </w:t>
            </w:r>
            <w:r w:rsidRPr="000163ED">
              <w:rPr>
                <w:sz w:val="20"/>
                <w:szCs w:val="20"/>
              </w:rPr>
              <w:t>FIs (where PSD2 is already in place), without similar action across other sectors, this would further exacerbate an unlevel playing field in terms of data access and could put FIs’ digital competitiveness at risk.</w:t>
            </w:r>
            <w:r w:rsidR="00AA38BC">
              <w:rPr>
                <w:sz w:val="20"/>
                <w:szCs w:val="20"/>
              </w:rPr>
              <w:t xml:space="preserve"> </w:t>
            </w:r>
            <w:r w:rsidR="00B732A7">
              <w:rPr>
                <w:sz w:val="20"/>
                <w:szCs w:val="20"/>
              </w:rPr>
              <w:t>In particular, s</w:t>
            </w:r>
            <w:r w:rsidRPr="00AA38BC">
              <w:rPr>
                <w:sz w:val="20"/>
                <w:szCs w:val="20"/>
              </w:rPr>
              <w:t>ome authorities</w:t>
            </w:r>
            <w:r w:rsidR="00844A21">
              <w:rPr>
                <w:sz w:val="20"/>
                <w:szCs w:val="20"/>
              </w:rPr>
              <w:t xml:space="preserve"> (e.g. BIS </w:t>
            </w:r>
            <w:proofErr w:type="spellStart"/>
            <w:r w:rsidR="00844A21">
              <w:rPr>
                <w:sz w:val="20"/>
                <w:szCs w:val="20"/>
              </w:rPr>
              <w:t>Bigtech</w:t>
            </w:r>
            <w:proofErr w:type="spellEnd"/>
            <w:r w:rsidR="00844A21">
              <w:rPr>
                <w:sz w:val="20"/>
                <w:szCs w:val="20"/>
              </w:rPr>
              <w:t xml:space="preserve"> in Finance Report, 2019</w:t>
            </w:r>
            <w:r w:rsidR="00E96846">
              <w:rPr>
                <w:sz w:val="20"/>
                <w:szCs w:val="20"/>
              </w:rPr>
              <w:t>;</w:t>
            </w:r>
            <w:r w:rsidR="00844A21">
              <w:rPr>
                <w:sz w:val="20"/>
                <w:szCs w:val="20"/>
              </w:rPr>
              <w:t xml:space="preserve"> FSB</w:t>
            </w:r>
            <w:r w:rsidR="00B732A7">
              <w:rPr>
                <w:sz w:val="20"/>
                <w:szCs w:val="20"/>
              </w:rPr>
              <w:t xml:space="preserve"> </w:t>
            </w:r>
            <w:proofErr w:type="spellStart"/>
            <w:r w:rsidR="00B732A7">
              <w:rPr>
                <w:sz w:val="20"/>
                <w:szCs w:val="20"/>
              </w:rPr>
              <w:t>Bigtech</w:t>
            </w:r>
            <w:proofErr w:type="spellEnd"/>
            <w:r w:rsidR="00B732A7">
              <w:rPr>
                <w:sz w:val="20"/>
                <w:szCs w:val="20"/>
              </w:rPr>
              <w:t xml:space="preserve"> in Finance Report, 2019</w:t>
            </w:r>
            <w:r w:rsidR="00844A21">
              <w:rPr>
                <w:sz w:val="20"/>
                <w:szCs w:val="20"/>
              </w:rPr>
              <w:t>)</w:t>
            </w:r>
            <w:r w:rsidRPr="00AA38BC">
              <w:rPr>
                <w:sz w:val="20"/>
                <w:szCs w:val="20"/>
              </w:rPr>
              <w:t xml:space="preserve">  have identified that the entry or expansion of large technology firms in financial services verticals, as open banking / open finance policies can play a catalysing role by accelerating entry into new business lines and opening up new risk vectors.</w:t>
            </w:r>
            <w:r w:rsidR="00B732A7">
              <w:rPr>
                <w:sz w:val="20"/>
                <w:szCs w:val="20"/>
              </w:rPr>
              <w:t xml:space="preserve"> </w:t>
            </w:r>
          </w:p>
          <w:p w14:paraId="6BFBA12D" w14:textId="41E5DBD1" w:rsidR="000163ED" w:rsidRDefault="000163ED">
            <w:pPr>
              <w:pStyle w:val="ListParagraph"/>
              <w:numPr>
                <w:ilvl w:val="0"/>
                <w:numId w:val="26"/>
              </w:numPr>
              <w:spacing w:after="120"/>
              <w:ind w:left="184" w:hanging="142"/>
              <w:rPr>
                <w:sz w:val="20"/>
                <w:szCs w:val="20"/>
              </w:rPr>
            </w:pPr>
            <w:r w:rsidRPr="000163ED">
              <w:rPr>
                <w:sz w:val="20"/>
                <w:szCs w:val="20"/>
              </w:rPr>
              <w:t>In particular, the existing datasets held by technology firms could be combined with data made available through open banking/open finance policies to provide an unfair advantage over existing FIs, with this effect strengthened by some technology firms’ large user bases and roles as gatekeepers in the digital economy; giving them leverage over the user interaction.</w:t>
            </w:r>
            <w:r w:rsidR="00AA38BC">
              <w:rPr>
                <w:sz w:val="20"/>
                <w:szCs w:val="20"/>
              </w:rPr>
              <w:t xml:space="preserve"> </w:t>
            </w:r>
          </w:p>
          <w:p w14:paraId="5B84DD4C" w14:textId="1DFFFEC1" w:rsidR="00AA38BC" w:rsidRDefault="00AA38BC">
            <w:pPr>
              <w:pStyle w:val="ListParagraph"/>
              <w:numPr>
                <w:ilvl w:val="0"/>
                <w:numId w:val="26"/>
              </w:numPr>
              <w:spacing w:after="120"/>
              <w:ind w:left="184" w:hanging="142"/>
              <w:rPr>
                <w:sz w:val="20"/>
                <w:szCs w:val="20"/>
              </w:rPr>
            </w:pPr>
            <w:r>
              <w:rPr>
                <w:sz w:val="20"/>
                <w:szCs w:val="20"/>
              </w:rPr>
              <w:t xml:space="preserve"> It is therefore important not only that any new initiatives to data sharing apply to all market participants, </w:t>
            </w:r>
            <w:r w:rsidR="00D76EA2">
              <w:rPr>
                <w:sz w:val="20"/>
                <w:szCs w:val="20"/>
              </w:rPr>
              <w:t>but this principle should apply to previous data sharing initiatives such as PSD2 if they are not already encompassed.</w:t>
            </w:r>
          </w:p>
          <w:p w14:paraId="54B2A447" w14:textId="77777777" w:rsidR="005D6C94" w:rsidRDefault="000163ED" w:rsidP="00AF6407">
            <w:pPr>
              <w:pStyle w:val="ListParagraph"/>
              <w:numPr>
                <w:ilvl w:val="0"/>
                <w:numId w:val="26"/>
              </w:numPr>
              <w:spacing w:after="120"/>
              <w:ind w:left="184" w:hanging="142"/>
              <w:rPr>
                <w:sz w:val="20"/>
                <w:szCs w:val="20"/>
              </w:rPr>
            </w:pPr>
            <w:r w:rsidRPr="000163ED">
              <w:rPr>
                <w:sz w:val="20"/>
                <w:szCs w:val="20"/>
              </w:rPr>
              <w:t>Further, action is needed from policymakers</w:t>
            </w:r>
            <w:r w:rsidR="00204CCA">
              <w:rPr>
                <w:sz w:val="20"/>
                <w:szCs w:val="20"/>
              </w:rPr>
              <w:t xml:space="preserve"> regarding data pertaining to users</w:t>
            </w:r>
            <w:r w:rsidRPr="000163ED">
              <w:rPr>
                <w:sz w:val="20"/>
                <w:szCs w:val="20"/>
              </w:rPr>
              <w:t xml:space="preserve"> to delineate clearly between raw/observed data and elaborated/inferred data insights. Users have rights relating to their raw and observed data; organisations can then use their expertise to build around this data (for instance through data validation, </w:t>
            </w:r>
            <w:proofErr w:type="gramStart"/>
            <w:r w:rsidRPr="000163ED">
              <w:rPr>
                <w:sz w:val="20"/>
                <w:szCs w:val="20"/>
              </w:rPr>
              <w:t>combination</w:t>
            </w:r>
            <w:proofErr w:type="gramEnd"/>
            <w:r w:rsidRPr="000163ED">
              <w:rPr>
                <w:sz w:val="20"/>
                <w:szCs w:val="20"/>
              </w:rPr>
              <w:t xml:space="preserve"> and analysis). This data is the product of the intellectual property of an organisation, so to continue to encourage research, development and innovation, organisations must be able to retain this value. Further, this data is unique to an individual organisations’ processes and would not necessarily be easily standardised or understood by other industry participants. It is for these reasons that we believe elaborated or inferred data insights should not be shared between organisations on a mandatory basis, except where required as part of specific competition policy interventions where a market failure is clearly detected.</w:t>
            </w:r>
            <w:r w:rsidDel="004F25AC">
              <w:rPr>
                <w:sz w:val="20"/>
                <w:szCs w:val="20"/>
              </w:rPr>
              <w:t xml:space="preserve"> </w:t>
            </w:r>
            <w:r w:rsidR="00204CCA" w:rsidRPr="00E62EDB">
              <w:rPr>
                <w:sz w:val="20"/>
                <w:szCs w:val="20"/>
              </w:rPr>
              <w:t>There may also be instances w</w:t>
            </w:r>
            <w:r w:rsidR="00204CCA">
              <w:rPr>
                <w:sz w:val="20"/>
                <w:szCs w:val="20"/>
              </w:rPr>
              <w:t>h</w:t>
            </w:r>
            <w:r w:rsidR="00204CCA" w:rsidRPr="00E62EDB">
              <w:rPr>
                <w:sz w:val="20"/>
                <w:szCs w:val="20"/>
              </w:rPr>
              <w:t xml:space="preserve">ere data monetisation is appropriate. </w:t>
            </w:r>
            <w:r w:rsidR="00204CCA">
              <w:rPr>
                <w:sz w:val="20"/>
                <w:szCs w:val="20"/>
              </w:rPr>
              <w:t>F</w:t>
            </w:r>
            <w:r w:rsidR="00204CCA" w:rsidRPr="00E62EDB">
              <w:rPr>
                <w:sz w:val="20"/>
                <w:szCs w:val="20"/>
              </w:rPr>
              <w:t>or instance</w:t>
            </w:r>
            <w:r w:rsidR="00204CCA">
              <w:rPr>
                <w:sz w:val="20"/>
                <w:szCs w:val="20"/>
              </w:rPr>
              <w:t>,</w:t>
            </w:r>
            <w:r w:rsidR="00204CCA" w:rsidRPr="00E62EDB">
              <w:rPr>
                <w:sz w:val="20"/>
                <w:szCs w:val="20"/>
              </w:rPr>
              <w:t xml:space="preserve"> for elaborated/inferred data, including validated data, where costs </w:t>
            </w:r>
            <w:r w:rsidR="00204CCA">
              <w:rPr>
                <w:sz w:val="20"/>
                <w:szCs w:val="20"/>
              </w:rPr>
              <w:t>have been</w:t>
            </w:r>
            <w:r w:rsidR="00204CCA" w:rsidRPr="00E62EDB">
              <w:rPr>
                <w:sz w:val="20"/>
                <w:szCs w:val="20"/>
              </w:rPr>
              <w:t xml:space="preserve"> incurred for the collection and processing of the data. The ability to monetise data services will encourage innovation and competition and improve FIs’ capacity to offer enhanced products and services. </w:t>
            </w:r>
            <w:r w:rsidR="00204CCA">
              <w:rPr>
                <w:sz w:val="20"/>
                <w:szCs w:val="20"/>
              </w:rPr>
              <w:t xml:space="preserve">  </w:t>
            </w:r>
          </w:p>
          <w:p w14:paraId="3292B075" w14:textId="6E7DF25A" w:rsidR="00204CCA" w:rsidRPr="00084510" w:rsidRDefault="00204CCA" w:rsidP="00204CCA">
            <w:pPr>
              <w:rPr>
                <w:i/>
                <w:iCs/>
                <w:sz w:val="20"/>
                <w:szCs w:val="20"/>
                <w:u w:val="single"/>
              </w:rPr>
            </w:pPr>
            <w:r w:rsidRPr="00084510">
              <w:rPr>
                <w:i/>
                <w:iCs/>
                <w:sz w:val="20"/>
                <w:szCs w:val="20"/>
                <w:u w:val="single"/>
              </w:rPr>
              <w:t>Liability</w:t>
            </w:r>
            <w:r w:rsidR="002F1649">
              <w:rPr>
                <w:i/>
                <w:iCs/>
                <w:sz w:val="20"/>
                <w:szCs w:val="20"/>
                <w:u w:val="single"/>
              </w:rPr>
              <w:t xml:space="preserve"> risk</w:t>
            </w:r>
            <w:r w:rsidRPr="00084510">
              <w:rPr>
                <w:i/>
                <w:iCs/>
                <w:sz w:val="20"/>
                <w:szCs w:val="20"/>
                <w:u w:val="single"/>
              </w:rPr>
              <w:t>:</w:t>
            </w:r>
          </w:p>
          <w:p w14:paraId="77D9FAE7" w14:textId="68BAF673" w:rsidR="002F1649" w:rsidRPr="00084510" w:rsidRDefault="00204CCA" w:rsidP="00084510">
            <w:pPr>
              <w:pStyle w:val="ListParagraph"/>
              <w:numPr>
                <w:ilvl w:val="0"/>
                <w:numId w:val="26"/>
              </w:numPr>
              <w:spacing w:after="120"/>
              <w:ind w:left="184" w:hanging="142"/>
              <w:rPr>
                <w:sz w:val="20"/>
                <w:szCs w:val="20"/>
              </w:rPr>
            </w:pPr>
            <w:r>
              <w:rPr>
                <w:sz w:val="20"/>
                <w:szCs w:val="20"/>
              </w:rPr>
              <w:lastRenderedPageBreak/>
              <w:t>O</w:t>
            </w:r>
            <w:r w:rsidRPr="004947CD">
              <w:rPr>
                <w:sz w:val="20"/>
                <w:szCs w:val="20"/>
              </w:rPr>
              <w:t>pen finance policies</w:t>
            </w:r>
            <w:r w:rsidRPr="00550966">
              <w:rPr>
                <w:sz w:val="20"/>
                <w:szCs w:val="20"/>
              </w:rPr>
              <w:t xml:space="preserve"> such as PSD2 can expand the ecosystem of providers that users interact with</w:t>
            </w:r>
            <w:r w:rsidRPr="004947CD">
              <w:rPr>
                <w:sz w:val="20"/>
                <w:szCs w:val="20"/>
              </w:rPr>
              <w:t xml:space="preserve"> to access financial services. Where rules regarding responsibilities and liabilities are unknown, </w:t>
            </w:r>
            <w:proofErr w:type="gramStart"/>
            <w:r w:rsidRPr="004947CD">
              <w:rPr>
                <w:sz w:val="20"/>
                <w:szCs w:val="20"/>
              </w:rPr>
              <w:t>unclear</w:t>
            </w:r>
            <w:proofErr w:type="gramEnd"/>
            <w:r w:rsidRPr="004947CD">
              <w:rPr>
                <w:sz w:val="20"/>
                <w:szCs w:val="20"/>
              </w:rPr>
              <w:t xml:space="preserve"> or undefined, this </w:t>
            </w:r>
            <w:r w:rsidRPr="00550966">
              <w:rPr>
                <w:sz w:val="20"/>
                <w:szCs w:val="20"/>
              </w:rPr>
              <w:t xml:space="preserve">can generate additional overhead and risks for FIs. Where open finance policies are implemented and data is used by third parties, there should be a clear framework for assigning liability. </w:t>
            </w:r>
            <w:r w:rsidRPr="00E96954">
              <w:rPr>
                <w:sz w:val="20"/>
                <w:szCs w:val="20"/>
              </w:rPr>
              <w:t>For example,</w:t>
            </w:r>
            <w:r>
              <w:rPr>
                <w:sz w:val="20"/>
                <w:szCs w:val="20"/>
              </w:rPr>
              <w:t xml:space="preserve"> it must be considered how and where to assign liability for a data breach and the resulting financial harm to users, from a third party.</w:t>
            </w:r>
          </w:p>
          <w:p w14:paraId="2BA4C6B5" w14:textId="3E05A127" w:rsidR="00204CCA" w:rsidRPr="00084510" w:rsidRDefault="002F1649" w:rsidP="00204CCA">
            <w:pPr>
              <w:rPr>
                <w:bCs/>
                <w:i/>
                <w:iCs/>
                <w:sz w:val="20"/>
                <w:szCs w:val="20"/>
                <w:u w:val="single"/>
              </w:rPr>
            </w:pPr>
            <w:r>
              <w:rPr>
                <w:bCs/>
                <w:i/>
                <w:iCs/>
                <w:sz w:val="20"/>
                <w:szCs w:val="20"/>
                <w:u w:val="single"/>
              </w:rPr>
              <w:t xml:space="preserve">Risk of </w:t>
            </w:r>
            <w:r w:rsidR="00A646FE">
              <w:rPr>
                <w:bCs/>
                <w:i/>
                <w:iCs/>
                <w:sz w:val="20"/>
                <w:szCs w:val="20"/>
                <w:u w:val="single"/>
              </w:rPr>
              <w:t>m</w:t>
            </w:r>
            <w:r>
              <w:rPr>
                <w:bCs/>
                <w:i/>
                <w:iCs/>
                <w:sz w:val="20"/>
                <w:szCs w:val="20"/>
                <w:u w:val="single"/>
              </w:rPr>
              <w:t>ist</w:t>
            </w:r>
            <w:r w:rsidR="00204CCA" w:rsidRPr="00084510">
              <w:rPr>
                <w:bCs/>
                <w:i/>
                <w:iCs/>
                <w:sz w:val="20"/>
                <w:szCs w:val="20"/>
                <w:u w:val="single"/>
              </w:rPr>
              <w:t>reatment of firms’ data:</w:t>
            </w:r>
          </w:p>
          <w:p w14:paraId="6B67DC34" w14:textId="77777777" w:rsidR="00204CCA" w:rsidRPr="002F1649" w:rsidRDefault="00204CCA" w:rsidP="00D76EA2">
            <w:pPr>
              <w:pStyle w:val="ListParagraph"/>
              <w:numPr>
                <w:ilvl w:val="0"/>
                <w:numId w:val="26"/>
              </w:numPr>
              <w:spacing w:after="120"/>
              <w:ind w:left="184" w:hanging="142"/>
              <w:rPr>
                <w:sz w:val="20"/>
                <w:szCs w:val="20"/>
              </w:rPr>
            </w:pPr>
            <w:r w:rsidRPr="00D76EA2">
              <w:rPr>
                <w:sz w:val="20"/>
                <w:szCs w:val="20"/>
              </w:rPr>
              <w:t>Other risks may arise if clear rules are not set out regarding the treatment of firms’ data when shared, this includes the permissions required from the entities w</w:t>
            </w:r>
            <w:r w:rsidRPr="00BD0360">
              <w:rPr>
                <w:sz w:val="20"/>
                <w:szCs w:val="20"/>
              </w:rPr>
              <w:t>hom the data are being used</w:t>
            </w:r>
            <w:r w:rsidRPr="008E2EEC">
              <w:rPr>
                <w:sz w:val="20"/>
                <w:szCs w:val="20"/>
              </w:rPr>
              <w:t xml:space="preserve"> by, and the logic and algorithms used to analyse </w:t>
            </w:r>
            <w:r w:rsidRPr="00142D26">
              <w:rPr>
                <w:sz w:val="20"/>
                <w:szCs w:val="20"/>
              </w:rPr>
              <w:t xml:space="preserve">the data. While regulations such as GDPR provide a basis for addressing some of these questions, they will need to be further developed for application to firms. </w:t>
            </w:r>
          </w:p>
          <w:p w14:paraId="30379DAA" w14:textId="6A75632A" w:rsidR="002F1649" w:rsidRPr="00084510" w:rsidRDefault="002F1649" w:rsidP="002F1649">
            <w:pPr>
              <w:rPr>
                <w:i/>
                <w:iCs/>
                <w:sz w:val="20"/>
                <w:szCs w:val="20"/>
                <w:u w:val="single"/>
              </w:rPr>
            </w:pPr>
            <w:r w:rsidRPr="00084510">
              <w:rPr>
                <w:i/>
                <w:iCs/>
                <w:sz w:val="20"/>
                <w:szCs w:val="20"/>
                <w:u w:val="single"/>
              </w:rPr>
              <w:t xml:space="preserve">Reputational risk for the account operator:  </w:t>
            </w:r>
          </w:p>
          <w:p w14:paraId="0EFD9216" w14:textId="08C764A0" w:rsidR="002F1649" w:rsidRPr="00204CCA" w:rsidRDefault="002F1649" w:rsidP="002F1649">
            <w:pPr>
              <w:pStyle w:val="ListParagraph"/>
              <w:numPr>
                <w:ilvl w:val="0"/>
                <w:numId w:val="26"/>
              </w:numPr>
              <w:spacing w:after="120"/>
              <w:ind w:left="184" w:hanging="142"/>
              <w:rPr>
                <w:sz w:val="20"/>
                <w:szCs w:val="20"/>
              </w:rPr>
            </w:pPr>
            <w:r w:rsidRPr="002F1649">
              <w:rPr>
                <w:sz w:val="20"/>
                <w:szCs w:val="20"/>
              </w:rPr>
              <w:t xml:space="preserve">If data is mis-used or used in settings that the </w:t>
            </w:r>
            <w:r>
              <w:rPr>
                <w:sz w:val="20"/>
                <w:szCs w:val="20"/>
              </w:rPr>
              <w:t>users</w:t>
            </w:r>
            <w:r w:rsidRPr="002F1649">
              <w:rPr>
                <w:sz w:val="20"/>
                <w:szCs w:val="20"/>
              </w:rPr>
              <w:t xml:space="preserve"> did not expect, there is a risk of mistrust in the financial services actors (and the financial services industry overall) who are obliged to give out this data</w:t>
            </w:r>
            <w:r>
              <w:rPr>
                <w:sz w:val="20"/>
                <w:szCs w:val="20"/>
              </w:rPr>
              <w:t>.</w:t>
            </w:r>
          </w:p>
        </w:tc>
      </w:tr>
      <w:tr w:rsidR="005D6C94" w14:paraId="5C8EA551" w14:textId="77777777" w:rsidTr="00CA60D1">
        <w:trPr>
          <w:trHeight w:val="436"/>
        </w:trPr>
        <w:tc>
          <w:tcPr>
            <w:tcW w:w="790" w:type="dxa"/>
          </w:tcPr>
          <w:p w14:paraId="2EE025B1" w14:textId="5820BA47" w:rsidR="005D6C94" w:rsidRDefault="005D6C94" w:rsidP="005D6C94">
            <w:pPr>
              <w:spacing w:after="120"/>
              <w:rPr>
                <w:sz w:val="20"/>
                <w:szCs w:val="20"/>
              </w:rPr>
            </w:pPr>
            <w:r>
              <w:rPr>
                <w:sz w:val="20"/>
                <w:szCs w:val="20"/>
              </w:rPr>
              <w:lastRenderedPageBreak/>
              <w:t>32</w:t>
            </w:r>
          </w:p>
        </w:tc>
        <w:tc>
          <w:tcPr>
            <w:tcW w:w="1048" w:type="dxa"/>
          </w:tcPr>
          <w:p w14:paraId="6812C141" w14:textId="30B231EC" w:rsidR="005D6C94" w:rsidRPr="00A565B8" w:rsidRDefault="005D6C94" w:rsidP="005D6C94">
            <w:pPr>
              <w:rPr>
                <w:rFonts w:eastAsia="Times New Roman"/>
                <w:sz w:val="20"/>
                <w:szCs w:val="20"/>
                <w:lang w:eastAsia="en-GB"/>
              </w:rPr>
            </w:pPr>
            <w:r>
              <w:rPr>
                <w:rFonts w:eastAsia="Times New Roman"/>
                <w:sz w:val="20"/>
                <w:szCs w:val="20"/>
                <w:lang w:eastAsia="en-GB"/>
              </w:rPr>
              <w:t>AFME to respond</w:t>
            </w:r>
          </w:p>
        </w:tc>
        <w:tc>
          <w:tcPr>
            <w:tcW w:w="8619" w:type="dxa"/>
          </w:tcPr>
          <w:p w14:paraId="0BB4E2D6" w14:textId="77777777" w:rsidR="004A765B" w:rsidRPr="004A765B" w:rsidRDefault="000C29F7" w:rsidP="004A765B">
            <w:pPr>
              <w:spacing w:after="120"/>
              <w:rPr>
                <w:i/>
                <w:iCs/>
                <w:sz w:val="20"/>
                <w:szCs w:val="20"/>
                <w:u w:val="single"/>
              </w:rPr>
            </w:pPr>
            <w:r w:rsidRPr="004A765B">
              <w:rPr>
                <w:i/>
                <w:iCs/>
                <w:sz w:val="20"/>
                <w:szCs w:val="20"/>
                <w:u w:val="single"/>
              </w:rPr>
              <w:t xml:space="preserve">Lack of a level playing field: </w:t>
            </w:r>
          </w:p>
          <w:p w14:paraId="6324E0B0" w14:textId="5E2FDDD4" w:rsidR="000C29F7" w:rsidRPr="004A765B" w:rsidRDefault="009508A8" w:rsidP="004A765B">
            <w:pPr>
              <w:pStyle w:val="ListParagraph"/>
              <w:numPr>
                <w:ilvl w:val="0"/>
                <w:numId w:val="26"/>
              </w:numPr>
              <w:spacing w:after="120"/>
              <w:ind w:left="184" w:hanging="142"/>
              <w:rPr>
                <w:sz w:val="20"/>
                <w:szCs w:val="20"/>
              </w:rPr>
            </w:pPr>
            <w:r w:rsidRPr="004A765B">
              <w:rPr>
                <w:sz w:val="20"/>
                <w:szCs w:val="20"/>
              </w:rPr>
              <w:t xml:space="preserve">We </w:t>
            </w:r>
            <w:r w:rsidR="000972BE" w:rsidRPr="004A765B">
              <w:rPr>
                <w:sz w:val="20"/>
                <w:szCs w:val="20"/>
              </w:rPr>
              <w:t xml:space="preserve">ask </w:t>
            </w:r>
            <w:r w:rsidRPr="004A765B">
              <w:rPr>
                <w:sz w:val="20"/>
                <w:szCs w:val="20"/>
              </w:rPr>
              <w:t xml:space="preserve">the Commission to implement a cross sectoral data sharing policy that should include key sectors identified within the Data Strategy, </w:t>
            </w:r>
            <w:proofErr w:type="gramStart"/>
            <w:r w:rsidRPr="004A765B">
              <w:rPr>
                <w:sz w:val="20"/>
                <w:szCs w:val="20"/>
              </w:rPr>
              <w:t>and also</w:t>
            </w:r>
            <w:proofErr w:type="gramEnd"/>
            <w:r w:rsidRPr="004A765B">
              <w:rPr>
                <w:sz w:val="20"/>
                <w:szCs w:val="20"/>
              </w:rPr>
              <w:t xml:space="preserve"> significant digital platform providers.</w:t>
            </w:r>
            <w:r w:rsidR="00204CCA" w:rsidRPr="004A765B">
              <w:rPr>
                <w:sz w:val="20"/>
                <w:szCs w:val="20"/>
              </w:rPr>
              <w:t xml:space="preserve"> As highlighted above, </w:t>
            </w:r>
            <w:proofErr w:type="gramStart"/>
            <w:r w:rsidR="00204CCA" w:rsidRPr="004A765B">
              <w:rPr>
                <w:sz w:val="20"/>
                <w:szCs w:val="20"/>
              </w:rPr>
              <w:t>a number of</w:t>
            </w:r>
            <w:proofErr w:type="gramEnd"/>
            <w:r w:rsidR="00204CCA" w:rsidRPr="004A765B">
              <w:rPr>
                <w:sz w:val="20"/>
                <w:szCs w:val="20"/>
              </w:rPr>
              <w:t xml:space="preserve"> initiatives proposed in the Digital and Data strategies offer a practical first step towards achieving this outcome</w:t>
            </w:r>
            <w:r w:rsidR="002D4AA0">
              <w:rPr>
                <w:sz w:val="20"/>
                <w:szCs w:val="20"/>
              </w:rPr>
              <w:t>.</w:t>
            </w:r>
            <w:r w:rsidRPr="004A765B">
              <w:rPr>
                <w:sz w:val="20"/>
                <w:szCs w:val="20"/>
              </w:rPr>
              <w:t xml:space="preserve"> To empower </w:t>
            </w:r>
            <w:r w:rsidR="002D4AA0">
              <w:rPr>
                <w:sz w:val="20"/>
                <w:szCs w:val="20"/>
              </w:rPr>
              <w:t>clients/customers</w:t>
            </w:r>
            <w:r w:rsidRPr="004A765B">
              <w:rPr>
                <w:sz w:val="20"/>
                <w:szCs w:val="20"/>
              </w:rPr>
              <w:t xml:space="preserve">, the Commission should prioritise enhancing GDPR portability through the Data Act. To empower firms, the Commission has an opportunity to start with business users’ data held in digital platforms through ex-ante rules in the Digital Services Act; however, the Commission should also work towards broader portability rights for firms as well as individuals. In addition, in line with the Article 29 Working Party, we believe that </w:t>
            </w:r>
            <w:r w:rsidR="00A97A75" w:rsidRPr="004A765B">
              <w:rPr>
                <w:sz w:val="20"/>
                <w:szCs w:val="20"/>
              </w:rPr>
              <w:t xml:space="preserve">portability for individuals and firms should apply to raw or observed data, rather than </w:t>
            </w:r>
            <w:r w:rsidRPr="004A765B">
              <w:rPr>
                <w:sz w:val="20"/>
                <w:szCs w:val="20"/>
              </w:rPr>
              <w:t>elaborated or inferred data insights</w:t>
            </w:r>
            <w:r w:rsidR="00A97A75" w:rsidRPr="004A765B">
              <w:rPr>
                <w:sz w:val="20"/>
                <w:szCs w:val="20"/>
              </w:rPr>
              <w:t>. At the same time, competition and financial services authorities should carefully assess on an ongoing basis the changing market structure of financial services (influenced by open finance policies such as PSD2) and its implications for competition and financial stability.</w:t>
            </w:r>
          </w:p>
          <w:p w14:paraId="208D6C50" w14:textId="77777777" w:rsidR="004A765B" w:rsidRPr="004A765B" w:rsidRDefault="009508A8" w:rsidP="004A765B">
            <w:pPr>
              <w:spacing w:after="120"/>
              <w:ind w:left="42"/>
              <w:rPr>
                <w:i/>
                <w:iCs/>
                <w:sz w:val="20"/>
                <w:szCs w:val="20"/>
                <w:u w:val="single"/>
              </w:rPr>
            </w:pPr>
            <w:r w:rsidRPr="004A765B">
              <w:rPr>
                <w:i/>
                <w:iCs/>
                <w:sz w:val="20"/>
                <w:szCs w:val="20"/>
                <w:u w:val="single"/>
              </w:rPr>
              <w:t>Privacy issues/security of personal data, increased cyber risks &amp; poor consumer outcomes:</w:t>
            </w:r>
          </w:p>
          <w:p w14:paraId="5AAD4F06" w14:textId="48AA1279" w:rsidR="009508A8" w:rsidRPr="004A765B" w:rsidRDefault="009508A8" w:rsidP="004A765B">
            <w:pPr>
              <w:pStyle w:val="ListParagraph"/>
              <w:numPr>
                <w:ilvl w:val="0"/>
                <w:numId w:val="26"/>
              </w:numPr>
              <w:spacing w:after="120"/>
              <w:ind w:left="184" w:hanging="142"/>
              <w:rPr>
                <w:sz w:val="20"/>
                <w:szCs w:val="20"/>
              </w:rPr>
            </w:pPr>
            <w:r w:rsidRPr="004A765B">
              <w:rPr>
                <w:sz w:val="20"/>
                <w:szCs w:val="20"/>
              </w:rPr>
              <w:t xml:space="preserve">We believe APIs are the preferred method for the transmission of data to address these risks.  APIs are secure, efficient and can provide data access on a real-time and/or regular basis. Further, access can also be more easily revoked, where appropriate. APIs should be uniform where possible, and technical details of the required API functionality and standards landscape should be clearly defined. In addition, a cross-sectoral approach to managing cyber risks would be beneficial. </w:t>
            </w:r>
          </w:p>
          <w:p w14:paraId="468DB868" w14:textId="77777777" w:rsidR="005D6C94" w:rsidRDefault="009508A8" w:rsidP="004A765B">
            <w:pPr>
              <w:pStyle w:val="ListParagraph"/>
              <w:numPr>
                <w:ilvl w:val="0"/>
                <w:numId w:val="26"/>
              </w:numPr>
              <w:spacing w:after="120"/>
              <w:ind w:left="184" w:hanging="142"/>
              <w:rPr>
                <w:sz w:val="20"/>
                <w:szCs w:val="20"/>
              </w:rPr>
            </w:pPr>
            <w:r w:rsidRPr="00AF6407">
              <w:rPr>
                <w:sz w:val="20"/>
                <w:szCs w:val="20"/>
              </w:rPr>
              <w:t>We also believe these risks could arise with the emergence of new financial services providers in a more open finance ecosystem, and the increased availability of new processes and services to users. These risks could be effectively mitigated by applying the same principles and rules to new entrants or firms as they are currently applied to existing FIs.</w:t>
            </w:r>
          </w:p>
          <w:p w14:paraId="45E84C7E" w14:textId="77777777" w:rsidR="00A97A75" w:rsidRDefault="00A97A75" w:rsidP="004A765B">
            <w:pPr>
              <w:pStyle w:val="ListParagraph"/>
              <w:numPr>
                <w:ilvl w:val="0"/>
                <w:numId w:val="26"/>
              </w:numPr>
              <w:spacing w:after="120"/>
              <w:ind w:left="184" w:hanging="142"/>
              <w:rPr>
                <w:sz w:val="20"/>
                <w:szCs w:val="20"/>
              </w:rPr>
            </w:pPr>
            <w:r w:rsidRPr="002C3FF9">
              <w:rPr>
                <w:sz w:val="20"/>
                <w:szCs w:val="20"/>
              </w:rPr>
              <w:t xml:space="preserve">For example, due to the sensitive nature of financial services data and operations, any sharing of financial data requires a robust regime </w:t>
            </w:r>
            <w:r>
              <w:rPr>
                <w:sz w:val="20"/>
                <w:szCs w:val="20"/>
              </w:rPr>
              <w:t>that</w:t>
            </w:r>
            <w:r w:rsidRPr="002C3FF9">
              <w:rPr>
                <w:sz w:val="20"/>
                <w:szCs w:val="20"/>
              </w:rPr>
              <w:t xml:space="preserve"> </w:t>
            </w:r>
            <w:r>
              <w:rPr>
                <w:sz w:val="20"/>
                <w:szCs w:val="20"/>
              </w:rPr>
              <w:t>enforces</w:t>
            </w:r>
            <w:r w:rsidRPr="002C3FF9">
              <w:rPr>
                <w:sz w:val="20"/>
                <w:szCs w:val="20"/>
              </w:rPr>
              <w:t xml:space="preserve"> appropriate rules on consent, transparency, security</w:t>
            </w:r>
            <w:r>
              <w:rPr>
                <w:sz w:val="20"/>
                <w:szCs w:val="20"/>
              </w:rPr>
              <w:t xml:space="preserve">, </w:t>
            </w:r>
            <w:proofErr w:type="gramStart"/>
            <w:r w:rsidRPr="002C3FF9">
              <w:rPr>
                <w:sz w:val="20"/>
                <w:szCs w:val="20"/>
              </w:rPr>
              <w:t>licensing</w:t>
            </w:r>
            <w:proofErr w:type="gramEnd"/>
            <w:r w:rsidRPr="002C3FF9">
              <w:rPr>
                <w:sz w:val="20"/>
                <w:szCs w:val="20"/>
              </w:rPr>
              <w:t xml:space="preserve"> </w:t>
            </w:r>
            <w:r>
              <w:rPr>
                <w:sz w:val="20"/>
                <w:szCs w:val="20"/>
              </w:rPr>
              <w:t xml:space="preserve">and </w:t>
            </w:r>
            <w:r w:rsidRPr="002C3FF9">
              <w:rPr>
                <w:sz w:val="20"/>
                <w:szCs w:val="20"/>
              </w:rPr>
              <w:t>authorisations. In addition, open banking policies must ensure that the broader ecosystem remains sustainable and conducive to future innovation.</w:t>
            </w:r>
          </w:p>
          <w:p w14:paraId="7BCB4806" w14:textId="77777777" w:rsidR="00A97A75" w:rsidRDefault="00A97A75" w:rsidP="004A765B">
            <w:pPr>
              <w:pStyle w:val="ListParagraph"/>
              <w:numPr>
                <w:ilvl w:val="0"/>
                <w:numId w:val="26"/>
              </w:numPr>
              <w:spacing w:after="120"/>
              <w:ind w:left="184" w:hanging="142"/>
              <w:rPr>
                <w:sz w:val="20"/>
                <w:szCs w:val="20"/>
              </w:rPr>
            </w:pPr>
            <w:r w:rsidRPr="002C3FF9">
              <w:rPr>
                <w:sz w:val="20"/>
                <w:szCs w:val="20"/>
              </w:rPr>
              <w:t xml:space="preserve">While PSD2 </w:t>
            </w:r>
            <w:r>
              <w:rPr>
                <w:sz w:val="20"/>
                <w:szCs w:val="20"/>
              </w:rPr>
              <w:t>has begun to</w:t>
            </w:r>
            <w:r w:rsidRPr="002C3FF9">
              <w:rPr>
                <w:sz w:val="20"/>
                <w:szCs w:val="20"/>
              </w:rPr>
              <w:t xml:space="preserve"> establi</w:t>
            </w:r>
            <w:r>
              <w:rPr>
                <w:sz w:val="20"/>
                <w:szCs w:val="20"/>
              </w:rPr>
              <w:t>sh</w:t>
            </w:r>
            <w:r w:rsidRPr="002C3FF9">
              <w:rPr>
                <w:sz w:val="20"/>
                <w:szCs w:val="20"/>
              </w:rPr>
              <w:t xml:space="preserve"> this</w:t>
            </w:r>
            <w:r>
              <w:rPr>
                <w:sz w:val="20"/>
                <w:szCs w:val="20"/>
              </w:rPr>
              <w:t xml:space="preserve"> regime</w:t>
            </w:r>
            <w:r w:rsidRPr="002C3FF9">
              <w:rPr>
                <w:sz w:val="20"/>
                <w:szCs w:val="20"/>
              </w:rPr>
              <w:t xml:space="preserve">, there are </w:t>
            </w:r>
            <w:proofErr w:type="gramStart"/>
            <w:r w:rsidRPr="002C3FF9">
              <w:rPr>
                <w:sz w:val="20"/>
                <w:szCs w:val="20"/>
              </w:rPr>
              <w:t>a number of</w:t>
            </w:r>
            <w:proofErr w:type="gramEnd"/>
            <w:r w:rsidRPr="002C3FF9">
              <w:rPr>
                <w:sz w:val="20"/>
                <w:szCs w:val="20"/>
              </w:rPr>
              <w:t xml:space="preserve"> </w:t>
            </w:r>
            <w:r>
              <w:rPr>
                <w:sz w:val="20"/>
                <w:szCs w:val="20"/>
              </w:rPr>
              <w:t>considerations that still</w:t>
            </w:r>
            <w:r w:rsidRPr="002C3FF9">
              <w:rPr>
                <w:sz w:val="20"/>
                <w:szCs w:val="20"/>
              </w:rPr>
              <w:t xml:space="preserve"> </w:t>
            </w:r>
            <w:r>
              <w:rPr>
                <w:sz w:val="20"/>
                <w:szCs w:val="20"/>
              </w:rPr>
              <w:t>must</w:t>
            </w:r>
            <w:r w:rsidRPr="002C3FF9">
              <w:rPr>
                <w:sz w:val="20"/>
                <w:szCs w:val="20"/>
              </w:rPr>
              <w:t xml:space="preserve"> be addressed:</w:t>
            </w:r>
          </w:p>
          <w:p w14:paraId="427DA5AE" w14:textId="77777777" w:rsidR="004A765B" w:rsidRPr="004A765B" w:rsidRDefault="00A97A75" w:rsidP="004A765B">
            <w:pPr>
              <w:spacing w:after="120"/>
              <w:ind w:left="42"/>
              <w:rPr>
                <w:i/>
                <w:iCs/>
                <w:sz w:val="20"/>
                <w:szCs w:val="20"/>
                <w:u w:val="single"/>
              </w:rPr>
            </w:pPr>
            <w:r w:rsidRPr="004A765B">
              <w:rPr>
                <w:i/>
                <w:iCs/>
                <w:sz w:val="20"/>
                <w:szCs w:val="20"/>
                <w:u w:val="single"/>
              </w:rPr>
              <w:t xml:space="preserve">Competitiveness and innovation: </w:t>
            </w:r>
          </w:p>
          <w:p w14:paraId="40970E9B" w14:textId="3433CE49" w:rsidR="00A97A75" w:rsidRPr="004A765B" w:rsidRDefault="00A97A75" w:rsidP="004A765B">
            <w:pPr>
              <w:pStyle w:val="ListParagraph"/>
              <w:numPr>
                <w:ilvl w:val="0"/>
                <w:numId w:val="26"/>
              </w:numPr>
              <w:spacing w:after="120"/>
              <w:ind w:left="184" w:hanging="142"/>
              <w:rPr>
                <w:sz w:val="20"/>
                <w:szCs w:val="20"/>
              </w:rPr>
            </w:pPr>
            <w:r w:rsidRPr="004A765B">
              <w:rPr>
                <w:sz w:val="20"/>
                <w:szCs w:val="20"/>
              </w:rPr>
              <w:t xml:space="preserve">Under the current PSD2 framework, account providers are unable to charge third parties for access to data or payment initiation. This results in a part of the financial markets infrastructure being provided without remuneration, undermining its financial sustainability. To address this, firms should be able to recover the costs associated with the implementation and operation of </w:t>
            </w:r>
            <w:r w:rsidRPr="004A765B">
              <w:rPr>
                <w:sz w:val="20"/>
                <w:szCs w:val="20"/>
              </w:rPr>
              <w:lastRenderedPageBreak/>
              <w:t>open finance infrastructure, such as APIs, through reasonable charges on the use of such mechanisms.</w:t>
            </w:r>
          </w:p>
          <w:p w14:paraId="4E13AE7E" w14:textId="77777777" w:rsidR="004A765B" w:rsidRPr="004A765B" w:rsidRDefault="00A97A75" w:rsidP="004A765B">
            <w:pPr>
              <w:spacing w:after="120"/>
              <w:rPr>
                <w:i/>
                <w:iCs/>
                <w:sz w:val="20"/>
                <w:szCs w:val="20"/>
                <w:u w:val="single"/>
              </w:rPr>
            </w:pPr>
            <w:r w:rsidRPr="004A765B">
              <w:rPr>
                <w:i/>
                <w:iCs/>
                <w:sz w:val="20"/>
                <w:szCs w:val="20"/>
                <w:u w:val="single"/>
              </w:rPr>
              <w:t xml:space="preserve">Responsibilities and liabilities: </w:t>
            </w:r>
          </w:p>
          <w:p w14:paraId="328CBF2B" w14:textId="7EEFBC31" w:rsidR="00A97A75" w:rsidRPr="004A765B" w:rsidRDefault="00A97A75" w:rsidP="004A765B">
            <w:pPr>
              <w:pStyle w:val="ListParagraph"/>
              <w:numPr>
                <w:ilvl w:val="0"/>
                <w:numId w:val="26"/>
              </w:numPr>
              <w:spacing w:after="120"/>
              <w:ind w:left="184" w:hanging="142"/>
              <w:rPr>
                <w:sz w:val="20"/>
                <w:szCs w:val="20"/>
              </w:rPr>
            </w:pPr>
            <w:r w:rsidRPr="004A765B">
              <w:rPr>
                <w:sz w:val="20"/>
                <w:szCs w:val="20"/>
              </w:rPr>
              <w:t>Clearer rules and coordination models are needed to allow firms to resolve issues that may arise, including inappropriate use of data or loss of data in one part of the ecosystem, or recovery of funds related to a fraudulent payment when the responsibility sits with a third party.</w:t>
            </w:r>
          </w:p>
        </w:tc>
      </w:tr>
      <w:tr w:rsidR="005D6C94" w14:paraId="1AF738AE" w14:textId="77777777" w:rsidTr="00CA60D1">
        <w:trPr>
          <w:trHeight w:val="436"/>
        </w:trPr>
        <w:tc>
          <w:tcPr>
            <w:tcW w:w="790" w:type="dxa"/>
            <w:vMerge w:val="restart"/>
          </w:tcPr>
          <w:p w14:paraId="1E5824C4" w14:textId="6DD435B2" w:rsidR="005D6C94" w:rsidRDefault="005D6C94" w:rsidP="005D6C94">
            <w:pPr>
              <w:spacing w:after="120"/>
              <w:rPr>
                <w:sz w:val="20"/>
                <w:szCs w:val="20"/>
              </w:rPr>
            </w:pPr>
            <w:r>
              <w:rPr>
                <w:sz w:val="20"/>
                <w:szCs w:val="20"/>
              </w:rPr>
              <w:lastRenderedPageBreak/>
              <w:t>33</w:t>
            </w:r>
          </w:p>
        </w:tc>
        <w:tc>
          <w:tcPr>
            <w:tcW w:w="1048" w:type="dxa"/>
          </w:tcPr>
          <w:p w14:paraId="36874148" w14:textId="22C3A962" w:rsidR="005D6C94" w:rsidRPr="00A565B8" w:rsidRDefault="005D6C94" w:rsidP="005D6C94">
            <w:pPr>
              <w:rPr>
                <w:rFonts w:eastAsia="Times New Roman"/>
                <w:sz w:val="20"/>
                <w:szCs w:val="20"/>
                <w:lang w:eastAsia="en-GB"/>
              </w:rPr>
            </w:pPr>
            <w:r>
              <w:rPr>
                <w:rFonts w:eastAsia="Times New Roman"/>
                <w:sz w:val="20"/>
                <w:szCs w:val="20"/>
                <w:lang w:eastAsia="en-GB"/>
              </w:rPr>
              <w:t>AFME to respond</w:t>
            </w:r>
          </w:p>
        </w:tc>
        <w:tc>
          <w:tcPr>
            <w:tcW w:w="8619" w:type="dxa"/>
          </w:tcPr>
          <w:p w14:paraId="66D9752C" w14:textId="28246A22" w:rsidR="005D6C94" w:rsidRPr="005D6C94" w:rsidRDefault="005D6C94" w:rsidP="005D6C94">
            <w:pPr>
              <w:spacing w:after="120"/>
              <w:rPr>
                <w:rFonts w:ascii="Cambria" w:eastAsia="Calibri" w:hAnsi="Cambria" w:cs="Times New Roman"/>
                <w:sz w:val="20"/>
                <w:szCs w:val="20"/>
              </w:rPr>
            </w:pPr>
            <w:r>
              <w:rPr>
                <w:sz w:val="20"/>
                <w:szCs w:val="20"/>
              </w:rPr>
              <w:t>An o</w:t>
            </w:r>
            <w:r w:rsidRPr="005D6C94">
              <w:rPr>
                <w:sz w:val="20"/>
                <w:szCs w:val="20"/>
              </w:rPr>
              <w:t xml:space="preserve">pen finance policy </w:t>
            </w:r>
            <w:r>
              <w:rPr>
                <w:sz w:val="20"/>
                <w:szCs w:val="20"/>
              </w:rPr>
              <w:t xml:space="preserve">would </w:t>
            </w:r>
            <w:r w:rsidRPr="005D6C94">
              <w:rPr>
                <w:sz w:val="20"/>
                <w:szCs w:val="20"/>
              </w:rPr>
              <w:t>offer benefits and opportunities</w:t>
            </w:r>
            <w:r>
              <w:rPr>
                <w:sz w:val="20"/>
                <w:szCs w:val="20"/>
              </w:rPr>
              <w:t xml:space="preserve"> to the following financial products:</w:t>
            </w:r>
          </w:p>
          <w:p w14:paraId="00B9585A" w14:textId="71B405C9" w:rsidR="005D6C94" w:rsidRPr="005D6C94" w:rsidRDefault="005D6C94" w:rsidP="005D6C94">
            <w:pPr>
              <w:pStyle w:val="ListParagraph"/>
              <w:numPr>
                <w:ilvl w:val="0"/>
                <w:numId w:val="26"/>
              </w:numPr>
              <w:spacing w:after="120"/>
              <w:ind w:left="184" w:hanging="142"/>
              <w:rPr>
                <w:sz w:val="20"/>
                <w:szCs w:val="20"/>
              </w:rPr>
            </w:pPr>
            <w:r w:rsidRPr="005D6C94">
              <w:rPr>
                <w:sz w:val="20"/>
                <w:szCs w:val="20"/>
              </w:rPr>
              <w:t>Savings accounts</w:t>
            </w:r>
            <w:r>
              <w:rPr>
                <w:sz w:val="20"/>
                <w:szCs w:val="20"/>
              </w:rPr>
              <w:t xml:space="preserve">: </w:t>
            </w:r>
            <w:r w:rsidR="000C29F7" w:rsidRPr="00AF6407">
              <w:rPr>
                <w:sz w:val="20"/>
                <w:szCs w:val="20"/>
              </w:rPr>
              <w:t>N/A</w:t>
            </w:r>
          </w:p>
          <w:p w14:paraId="617F186F" w14:textId="224EE92E" w:rsidR="005D6C94" w:rsidRPr="005D6C94" w:rsidRDefault="005D6C94" w:rsidP="005D6C94">
            <w:pPr>
              <w:pStyle w:val="ListParagraph"/>
              <w:numPr>
                <w:ilvl w:val="0"/>
                <w:numId w:val="26"/>
              </w:numPr>
              <w:spacing w:after="120"/>
              <w:ind w:left="184" w:hanging="142"/>
              <w:rPr>
                <w:sz w:val="20"/>
                <w:szCs w:val="20"/>
              </w:rPr>
            </w:pPr>
            <w:r w:rsidRPr="005D6C94">
              <w:rPr>
                <w:sz w:val="20"/>
                <w:szCs w:val="20"/>
              </w:rPr>
              <w:t>Consumer credit</w:t>
            </w:r>
            <w:r>
              <w:rPr>
                <w:sz w:val="20"/>
                <w:szCs w:val="20"/>
              </w:rPr>
              <w:t xml:space="preserve">: </w:t>
            </w:r>
            <w:r w:rsidR="000C29F7" w:rsidRPr="002F184D">
              <w:rPr>
                <w:sz w:val="20"/>
                <w:szCs w:val="20"/>
              </w:rPr>
              <w:t>N/A</w:t>
            </w:r>
          </w:p>
          <w:p w14:paraId="63D94CD0" w14:textId="66D83CC6" w:rsidR="005D6C94" w:rsidRPr="005D6C94" w:rsidRDefault="005D6C94" w:rsidP="005D6C94">
            <w:pPr>
              <w:pStyle w:val="ListParagraph"/>
              <w:numPr>
                <w:ilvl w:val="0"/>
                <w:numId w:val="26"/>
              </w:numPr>
              <w:spacing w:after="120"/>
              <w:ind w:left="184" w:hanging="142"/>
              <w:rPr>
                <w:sz w:val="20"/>
                <w:szCs w:val="20"/>
              </w:rPr>
            </w:pPr>
            <w:r w:rsidRPr="005D6C94">
              <w:rPr>
                <w:sz w:val="20"/>
                <w:szCs w:val="20"/>
              </w:rPr>
              <w:t>SME credit</w:t>
            </w:r>
            <w:r w:rsidR="00C5006E">
              <w:rPr>
                <w:sz w:val="20"/>
                <w:szCs w:val="20"/>
              </w:rPr>
              <w:t xml:space="preserve">: </w:t>
            </w:r>
            <w:r w:rsidR="009508A8">
              <w:rPr>
                <w:sz w:val="20"/>
                <w:szCs w:val="20"/>
              </w:rPr>
              <w:t>N/A</w:t>
            </w:r>
          </w:p>
          <w:p w14:paraId="2264C1D9" w14:textId="10A06B8C" w:rsidR="005D6C94" w:rsidRPr="005D6C94" w:rsidRDefault="005D6C94" w:rsidP="005D6C94">
            <w:pPr>
              <w:pStyle w:val="ListParagraph"/>
              <w:numPr>
                <w:ilvl w:val="0"/>
                <w:numId w:val="26"/>
              </w:numPr>
              <w:spacing w:after="120"/>
              <w:ind w:left="184" w:hanging="142"/>
              <w:rPr>
                <w:sz w:val="20"/>
                <w:szCs w:val="20"/>
              </w:rPr>
            </w:pPr>
            <w:r w:rsidRPr="005D6C94">
              <w:rPr>
                <w:sz w:val="20"/>
                <w:szCs w:val="20"/>
              </w:rPr>
              <w:t>Mortgages</w:t>
            </w:r>
            <w:r>
              <w:rPr>
                <w:sz w:val="20"/>
                <w:szCs w:val="20"/>
              </w:rPr>
              <w:t xml:space="preserve">: </w:t>
            </w:r>
            <w:r w:rsidR="000C29F7" w:rsidRPr="002F184D">
              <w:rPr>
                <w:sz w:val="20"/>
                <w:szCs w:val="20"/>
              </w:rPr>
              <w:t>N/A</w:t>
            </w:r>
          </w:p>
          <w:p w14:paraId="0E6D6618" w14:textId="754A97BF" w:rsidR="005D6C94" w:rsidRPr="005D6C94" w:rsidRDefault="005D6C94" w:rsidP="005D6C94">
            <w:pPr>
              <w:pStyle w:val="ListParagraph"/>
              <w:numPr>
                <w:ilvl w:val="0"/>
                <w:numId w:val="26"/>
              </w:numPr>
              <w:spacing w:after="120"/>
              <w:ind w:left="184" w:hanging="142"/>
              <w:rPr>
                <w:sz w:val="20"/>
                <w:szCs w:val="20"/>
              </w:rPr>
            </w:pPr>
            <w:r w:rsidRPr="005D6C94">
              <w:rPr>
                <w:sz w:val="20"/>
                <w:szCs w:val="20"/>
              </w:rPr>
              <w:t>Retail investment products (e. g. securities accounts)</w:t>
            </w:r>
            <w:r>
              <w:rPr>
                <w:sz w:val="20"/>
                <w:szCs w:val="20"/>
              </w:rPr>
              <w:t xml:space="preserve">: </w:t>
            </w:r>
            <w:r w:rsidR="000C29F7" w:rsidRPr="002F184D">
              <w:rPr>
                <w:sz w:val="20"/>
                <w:szCs w:val="20"/>
              </w:rPr>
              <w:t>N/A</w:t>
            </w:r>
          </w:p>
          <w:p w14:paraId="6FD8CB8F" w14:textId="49AC7BF0" w:rsidR="005D6C94" w:rsidRPr="005D6C94" w:rsidRDefault="005D6C94" w:rsidP="005D6C94">
            <w:pPr>
              <w:pStyle w:val="ListParagraph"/>
              <w:numPr>
                <w:ilvl w:val="0"/>
                <w:numId w:val="26"/>
              </w:numPr>
              <w:spacing w:after="120"/>
              <w:ind w:left="184" w:hanging="142"/>
              <w:rPr>
                <w:sz w:val="20"/>
                <w:szCs w:val="20"/>
              </w:rPr>
            </w:pPr>
            <w:r w:rsidRPr="005D6C94">
              <w:rPr>
                <w:sz w:val="20"/>
                <w:szCs w:val="20"/>
              </w:rPr>
              <w:t>Non-life insurance products (e.g. motor, home…)</w:t>
            </w:r>
            <w:r>
              <w:rPr>
                <w:sz w:val="20"/>
                <w:szCs w:val="20"/>
              </w:rPr>
              <w:t xml:space="preserve">: </w:t>
            </w:r>
            <w:r w:rsidR="000C29F7" w:rsidRPr="002F184D">
              <w:rPr>
                <w:sz w:val="20"/>
                <w:szCs w:val="20"/>
              </w:rPr>
              <w:t>N/A</w:t>
            </w:r>
          </w:p>
          <w:p w14:paraId="6B062FD9" w14:textId="2F619A56" w:rsidR="005D6C94" w:rsidRPr="005D6C94" w:rsidRDefault="005D6C94" w:rsidP="005D6C94">
            <w:pPr>
              <w:pStyle w:val="ListParagraph"/>
              <w:numPr>
                <w:ilvl w:val="0"/>
                <w:numId w:val="26"/>
              </w:numPr>
              <w:spacing w:after="120"/>
              <w:ind w:left="184" w:hanging="142"/>
              <w:rPr>
                <w:sz w:val="20"/>
                <w:szCs w:val="20"/>
              </w:rPr>
            </w:pPr>
            <w:r w:rsidRPr="005D6C94">
              <w:rPr>
                <w:sz w:val="20"/>
                <w:szCs w:val="20"/>
              </w:rPr>
              <w:t>Life insurance products</w:t>
            </w:r>
            <w:r>
              <w:rPr>
                <w:sz w:val="20"/>
                <w:szCs w:val="20"/>
              </w:rPr>
              <w:t xml:space="preserve">: </w:t>
            </w:r>
            <w:r w:rsidR="000C29F7" w:rsidRPr="002F184D">
              <w:rPr>
                <w:sz w:val="20"/>
                <w:szCs w:val="20"/>
              </w:rPr>
              <w:t>N/A</w:t>
            </w:r>
          </w:p>
          <w:p w14:paraId="67667E42" w14:textId="4E6AA617" w:rsidR="005D6C94" w:rsidRPr="005D6C94" w:rsidRDefault="005D6C94" w:rsidP="005D6C94">
            <w:pPr>
              <w:pStyle w:val="ListParagraph"/>
              <w:numPr>
                <w:ilvl w:val="0"/>
                <w:numId w:val="26"/>
              </w:numPr>
              <w:spacing w:after="120"/>
              <w:ind w:left="184" w:hanging="142"/>
              <w:rPr>
                <w:sz w:val="20"/>
                <w:szCs w:val="20"/>
              </w:rPr>
            </w:pPr>
            <w:r w:rsidRPr="005D6C94">
              <w:rPr>
                <w:sz w:val="20"/>
                <w:szCs w:val="20"/>
              </w:rPr>
              <w:t>Pension products</w:t>
            </w:r>
            <w:r>
              <w:rPr>
                <w:sz w:val="20"/>
                <w:szCs w:val="20"/>
              </w:rPr>
              <w:t xml:space="preserve">: </w:t>
            </w:r>
            <w:r w:rsidR="000C29F7" w:rsidRPr="002F184D">
              <w:rPr>
                <w:sz w:val="20"/>
                <w:szCs w:val="20"/>
              </w:rPr>
              <w:t>N/A</w:t>
            </w:r>
          </w:p>
          <w:p w14:paraId="7DE024F8" w14:textId="68F8D7B2" w:rsidR="005D6C94" w:rsidRDefault="005D6C94" w:rsidP="005D6C94">
            <w:pPr>
              <w:pStyle w:val="ListParagraph"/>
              <w:numPr>
                <w:ilvl w:val="0"/>
                <w:numId w:val="26"/>
              </w:numPr>
              <w:spacing w:after="120"/>
              <w:ind w:left="184" w:hanging="142"/>
              <w:rPr>
                <w:sz w:val="20"/>
                <w:szCs w:val="20"/>
              </w:rPr>
            </w:pPr>
            <w:r w:rsidRPr="005D6C94">
              <w:rPr>
                <w:sz w:val="20"/>
                <w:szCs w:val="20"/>
              </w:rPr>
              <w:t>Other</w:t>
            </w:r>
            <w:r w:rsidR="009508A8">
              <w:rPr>
                <w:sz w:val="20"/>
                <w:szCs w:val="20"/>
              </w:rPr>
              <w:t xml:space="preserve">: </w:t>
            </w:r>
            <w:r w:rsidR="009508A8" w:rsidRPr="000C29F7">
              <w:rPr>
                <w:sz w:val="20"/>
                <w:szCs w:val="20"/>
              </w:rPr>
              <w:t>5 – fully relevant</w:t>
            </w:r>
          </w:p>
        </w:tc>
      </w:tr>
      <w:tr w:rsidR="005D6C94" w14:paraId="2C5A4752" w14:textId="77777777" w:rsidTr="00CA60D1">
        <w:trPr>
          <w:trHeight w:val="436"/>
        </w:trPr>
        <w:tc>
          <w:tcPr>
            <w:tcW w:w="790" w:type="dxa"/>
            <w:vMerge/>
          </w:tcPr>
          <w:p w14:paraId="6346A281" w14:textId="7C2148F7" w:rsidR="005D6C94" w:rsidRDefault="005D6C94" w:rsidP="005D6C94">
            <w:pPr>
              <w:spacing w:after="120"/>
              <w:rPr>
                <w:sz w:val="20"/>
                <w:szCs w:val="20"/>
              </w:rPr>
            </w:pPr>
          </w:p>
        </w:tc>
        <w:tc>
          <w:tcPr>
            <w:tcW w:w="1048" w:type="dxa"/>
          </w:tcPr>
          <w:p w14:paraId="27D51704" w14:textId="7FE6F90F" w:rsidR="005D6C94" w:rsidRPr="00A565B8" w:rsidRDefault="005D6C94" w:rsidP="005D6C94">
            <w:pPr>
              <w:rPr>
                <w:rFonts w:eastAsia="Times New Roman"/>
                <w:sz w:val="20"/>
                <w:szCs w:val="20"/>
                <w:lang w:eastAsia="en-GB"/>
              </w:rPr>
            </w:pPr>
            <w:r>
              <w:rPr>
                <w:rFonts w:eastAsia="Times New Roman"/>
                <w:sz w:val="20"/>
                <w:szCs w:val="20"/>
                <w:lang w:eastAsia="en-GB"/>
              </w:rPr>
              <w:t>AFME to respond</w:t>
            </w:r>
          </w:p>
        </w:tc>
        <w:tc>
          <w:tcPr>
            <w:tcW w:w="8619" w:type="dxa"/>
          </w:tcPr>
          <w:p w14:paraId="34E0BA5D" w14:textId="73EB7F0D" w:rsidR="00F91392" w:rsidRPr="00AF6407" w:rsidRDefault="009508A8" w:rsidP="00AF6407">
            <w:pPr>
              <w:pStyle w:val="ListParagraph"/>
              <w:numPr>
                <w:ilvl w:val="0"/>
                <w:numId w:val="26"/>
              </w:numPr>
              <w:spacing w:after="120"/>
              <w:ind w:left="184" w:hanging="142"/>
              <w:rPr>
                <w:sz w:val="20"/>
                <w:szCs w:val="20"/>
              </w:rPr>
            </w:pPr>
            <w:r w:rsidRPr="009508A8">
              <w:rPr>
                <w:sz w:val="20"/>
                <w:szCs w:val="20"/>
              </w:rPr>
              <w:t xml:space="preserve">We believe the focus should not be on financial products, but on use cases that can ensure significant advances in innovation. Additional access to data will enhance products and services, but also the way users are served and in managing risk. </w:t>
            </w:r>
          </w:p>
        </w:tc>
      </w:tr>
      <w:tr w:rsidR="005D6C94" w14:paraId="052086DF" w14:textId="77777777" w:rsidTr="00CA60D1">
        <w:trPr>
          <w:trHeight w:val="436"/>
        </w:trPr>
        <w:tc>
          <w:tcPr>
            <w:tcW w:w="790" w:type="dxa"/>
          </w:tcPr>
          <w:p w14:paraId="25384CB9" w14:textId="3FF199EF" w:rsidR="005D6C94" w:rsidRDefault="005D6C94" w:rsidP="005D6C94">
            <w:pPr>
              <w:spacing w:after="120"/>
              <w:rPr>
                <w:sz w:val="20"/>
                <w:szCs w:val="20"/>
              </w:rPr>
            </w:pPr>
            <w:r>
              <w:rPr>
                <w:sz w:val="20"/>
                <w:szCs w:val="20"/>
              </w:rPr>
              <w:t>33.1</w:t>
            </w:r>
          </w:p>
        </w:tc>
        <w:tc>
          <w:tcPr>
            <w:tcW w:w="1048" w:type="dxa"/>
          </w:tcPr>
          <w:p w14:paraId="7BE40BC0" w14:textId="6CCAA48B" w:rsidR="005D6C94" w:rsidRPr="00A565B8" w:rsidRDefault="005D6C94" w:rsidP="005D6C94">
            <w:pPr>
              <w:rPr>
                <w:rFonts w:eastAsia="Times New Roman"/>
                <w:sz w:val="20"/>
                <w:szCs w:val="20"/>
                <w:lang w:eastAsia="en-GB"/>
              </w:rPr>
            </w:pPr>
            <w:r>
              <w:rPr>
                <w:rFonts w:eastAsia="Times New Roman"/>
                <w:sz w:val="20"/>
                <w:szCs w:val="20"/>
                <w:lang w:eastAsia="en-GB"/>
              </w:rPr>
              <w:t>AFME to respond</w:t>
            </w:r>
          </w:p>
        </w:tc>
        <w:tc>
          <w:tcPr>
            <w:tcW w:w="8619" w:type="dxa"/>
          </w:tcPr>
          <w:p w14:paraId="76A3CDF1" w14:textId="22508491" w:rsidR="005D6C94" w:rsidRDefault="009508A8" w:rsidP="005D6C94">
            <w:pPr>
              <w:pStyle w:val="ListParagraph"/>
              <w:numPr>
                <w:ilvl w:val="0"/>
                <w:numId w:val="26"/>
              </w:numPr>
              <w:spacing w:after="120"/>
              <w:ind w:left="184" w:hanging="142"/>
              <w:rPr>
                <w:sz w:val="20"/>
                <w:szCs w:val="20"/>
              </w:rPr>
            </w:pPr>
            <w:r w:rsidRPr="009508A8">
              <w:rPr>
                <w:sz w:val="20"/>
                <w:szCs w:val="20"/>
              </w:rPr>
              <w:t xml:space="preserve">The benefits of an open finance policy will be most prominent if implemented as part of a wider cross-sectoral approach. A cross-sectoral approach would allow for increased data flows within and between sectors, leading to increased competition and data-driven innovation both in the financial sector and the wider digital economy. </w:t>
            </w:r>
          </w:p>
        </w:tc>
      </w:tr>
      <w:tr w:rsidR="005D6C94" w14:paraId="74A7F54C" w14:textId="77777777" w:rsidTr="00CA60D1">
        <w:trPr>
          <w:trHeight w:val="436"/>
        </w:trPr>
        <w:tc>
          <w:tcPr>
            <w:tcW w:w="790" w:type="dxa"/>
          </w:tcPr>
          <w:p w14:paraId="459DD5F6" w14:textId="5612AB5F" w:rsidR="005D6C94" w:rsidRDefault="005D6C94" w:rsidP="005D6C94">
            <w:pPr>
              <w:spacing w:after="120"/>
              <w:rPr>
                <w:sz w:val="20"/>
                <w:szCs w:val="20"/>
              </w:rPr>
            </w:pPr>
            <w:r>
              <w:rPr>
                <w:sz w:val="20"/>
                <w:szCs w:val="20"/>
              </w:rPr>
              <w:t>34</w:t>
            </w:r>
          </w:p>
        </w:tc>
        <w:tc>
          <w:tcPr>
            <w:tcW w:w="1048" w:type="dxa"/>
          </w:tcPr>
          <w:p w14:paraId="532619B4" w14:textId="367E12F6" w:rsidR="005D6C94" w:rsidRPr="00A565B8" w:rsidRDefault="005D6C94" w:rsidP="005D6C94">
            <w:pPr>
              <w:rPr>
                <w:rFonts w:eastAsia="Times New Roman"/>
                <w:sz w:val="20"/>
                <w:szCs w:val="20"/>
                <w:lang w:eastAsia="en-GB"/>
              </w:rPr>
            </w:pPr>
            <w:r>
              <w:rPr>
                <w:rFonts w:eastAsia="Times New Roman"/>
                <w:sz w:val="20"/>
                <w:szCs w:val="20"/>
                <w:lang w:eastAsia="en-GB"/>
              </w:rPr>
              <w:t>AFME to respond</w:t>
            </w:r>
          </w:p>
        </w:tc>
        <w:tc>
          <w:tcPr>
            <w:tcW w:w="8619" w:type="dxa"/>
          </w:tcPr>
          <w:p w14:paraId="5B4EB3A7" w14:textId="7AA0742D" w:rsidR="009508A8" w:rsidRPr="00AF6407" w:rsidRDefault="009508A8" w:rsidP="009508A8">
            <w:pPr>
              <w:pStyle w:val="ListParagraph"/>
              <w:numPr>
                <w:ilvl w:val="0"/>
                <w:numId w:val="26"/>
              </w:numPr>
              <w:spacing w:after="120"/>
              <w:ind w:left="184" w:hanging="142"/>
              <w:rPr>
                <w:b/>
                <w:bCs/>
                <w:sz w:val="20"/>
                <w:szCs w:val="20"/>
              </w:rPr>
            </w:pPr>
            <w:r w:rsidRPr="009508A8">
              <w:rPr>
                <w:sz w:val="20"/>
                <w:szCs w:val="20"/>
              </w:rPr>
              <w:t>As stated previously, we believe a cross-sectoral approach to an open data policy will be crucial to improving services and processes across the economy. Access to additional and varied data, if facilitated appropriately, could improve service offerings to users, for instance through improved risk management by FI</w:t>
            </w:r>
            <w:r w:rsidR="003F53CB">
              <w:rPr>
                <w:sz w:val="20"/>
                <w:szCs w:val="20"/>
              </w:rPr>
              <w:t>s</w:t>
            </w:r>
            <w:r w:rsidRPr="009508A8">
              <w:rPr>
                <w:sz w:val="20"/>
                <w:szCs w:val="20"/>
              </w:rPr>
              <w:t xml:space="preserve"> (e.g. better fraud and cyber incident detection).  We provide below some key examples where data from other sectors would be relevant for financial services:  </w:t>
            </w:r>
          </w:p>
          <w:p w14:paraId="0E012AF9" w14:textId="267F26D4" w:rsidR="009508A8" w:rsidRDefault="009508A8" w:rsidP="009508A8">
            <w:pPr>
              <w:pStyle w:val="ListParagraph"/>
              <w:numPr>
                <w:ilvl w:val="1"/>
                <w:numId w:val="26"/>
              </w:numPr>
              <w:spacing w:after="120"/>
              <w:ind w:left="606" w:hanging="284"/>
              <w:rPr>
                <w:sz w:val="20"/>
                <w:szCs w:val="20"/>
              </w:rPr>
            </w:pPr>
            <w:r w:rsidRPr="00AF6407">
              <w:rPr>
                <w:b/>
                <w:bCs/>
                <w:sz w:val="20"/>
                <w:szCs w:val="20"/>
              </w:rPr>
              <w:t>Financial crime data</w:t>
            </w:r>
            <w:r w:rsidRPr="00AF6407">
              <w:rPr>
                <w:sz w:val="20"/>
                <w:szCs w:val="20"/>
              </w:rPr>
              <w:t xml:space="preserve">: Combatting fraud and scams, is a clear example of where greater data sharing between sectors could result in societal benefits (e.g. protecting clients from </w:t>
            </w:r>
            <w:r w:rsidR="003F53CB">
              <w:rPr>
                <w:sz w:val="20"/>
                <w:szCs w:val="20"/>
              </w:rPr>
              <w:t xml:space="preserve">fraud </w:t>
            </w:r>
            <w:r w:rsidRPr="00AF6407">
              <w:rPr>
                <w:sz w:val="20"/>
                <w:szCs w:val="20"/>
              </w:rPr>
              <w:t>and stemming the flow of funds to organised crime). These types of crimes are increasingly undertaken through the exploitation of vulnerabilities across multiple organisations (e.g. social media sites, online sales platforms, dating websites, telecoms networks, and financial services firms). Greater sharing of data</w:t>
            </w:r>
            <w:r w:rsidR="00A97A75">
              <w:rPr>
                <w:sz w:val="20"/>
                <w:szCs w:val="20"/>
              </w:rPr>
              <w:t>, in full compliance with GDPR,</w:t>
            </w:r>
            <w:r w:rsidRPr="00AF6407">
              <w:rPr>
                <w:sz w:val="20"/>
                <w:szCs w:val="20"/>
              </w:rPr>
              <w:t xml:space="preserve"> could enable potential fraud and scams to be identified and stopped </w:t>
            </w:r>
            <w:r w:rsidR="003F53CB" w:rsidRPr="00AF6407">
              <w:rPr>
                <w:sz w:val="20"/>
                <w:szCs w:val="20"/>
              </w:rPr>
              <w:t>sooner</w:t>
            </w:r>
            <w:r w:rsidRPr="00AF6407">
              <w:rPr>
                <w:sz w:val="20"/>
                <w:szCs w:val="20"/>
              </w:rPr>
              <w:t>.</w:t>
            </w:r>
          </w:p>
          <w:p w14:paraId="6E5FA178" w14:textId="7D7F1F16" w:rsidR="009508A8" w:rsidRPr="00AF6407" w:rsidRDefault="009508A8" w:rsidP="00AF6407">
            <w:pPr>
              <w:pStyle w:val="ListParagraph"/>
              <w:numPr>
                <w:ilvl w:val="1"/>
                <w:numId w:val="26"/>
              </w:numPr>
              <w:spacing w:after="120"/>
              <w:ind w:left="606" w:hanging="284"/>
              <w:rPr>
                <w:sz w:val="20"/>
                <w:szCs w:val="20"/>
              </w:rPr>
            </w:pPr>
            <w:r w:rsidRPr="00AF6407">
              <w:rPr>
                <w:b/>
                <w:bCs/>
                <w:sz w:val="20"/>
                <w:szCs w:val="20"/>
              </w:rPr>
              <w:t>Environmental data</w:t>
            </w:r>
            <w:r w:rsidRPr="00AF6407">
              <w:rPr>
                <w:sz w:val="20"/>
                <w:szCs w:val="20"/>
              </w:rPr>
              <w:t xml:space="preserve">: We believe that Environmental Social Governance (ESG) data would be useful for FIs, as it is a driving force for reshaping financial services (for instance through the provision of green financial products) and will assist with the assessment and analysis of climate risk. ESG data is also useful for understanding the physical risks that contribute to the measurement of an organisation’s climate risk exposure, and for the development of improved services and offerings for clients who seek to hedge against their own climate risk. We note that ESG data can be utilised like any alternative data source for financial analysis purposes, such as for investment and credit forecasting. Specific types of environmental datasets could include information that pertain to the physical risk associated with climate risk, such as natural disaster risk mapping (e.g. flood plain data) and weather forecasting information. Building energy efficiency certifications could also be leveraged as part of investment analyses. However, ESG data quality is an important issue that will need to be addressed, and ESG source diversity is key. We request the Commission to consider further how the European Data Strategy will cover ESG data. </w:t>
            </w:r>
          </w:p>
          <w:p w14:paraId="6C00B123" w14:textId="5296E2D7" w:rsidR="009508A8" w:rsidRPr="00AF6407" w:rsidRDefault="009508A8" w:rsidP="00AF6407">
            <w:pPr>
              <w:pStyle w:val="ListParagraph"/>
              <w:numPr>
                <w:ilvl w:val="1"/>
                <w:numId w:val="26"/>
              </w:numPr>
              <w:spacing w:after="120"/>
              <w:ind w:left="606" w:hanging="284"/>
              <w:rPr>
                <w:b/>
                <w:bCs/>
                <w:sz w:val="20"/>
                <w:szCs w:val="20"/>
              </w:rPr>
            </w:pPr>
            <w:r w:rsidRPr="009508A8">
              <w:rPr>
                <w:b/>
                <w:bCs/>
                <w:sz w:val="20"/>
                <w:szCs w:val="20"/>
              </w:rPr>
              <w:lastRenderedPageBreak/>
              <w:t xml:space="preserve">Statistics: </w:t>
            </w:r>
            <w:r w:rsidRPr="00AF6407">
              <w:rPr>
                <w:sz w:val="20"/>
                <w:szCs w:val="20"/>
              </w:rPr>
              <w:t>Relevant statistics could include economic indicators (such as income) at high levels of granularity and availability on at least a monthly basis, with disaggregation by geography or local administrative region and by demographic characteristics. Ideally, these statistics would be published on a regular basis by central and regional governments and be available wherever feasible through standardised technical interfaces, such as APIs.</w:t>
            </w:r>
          </w:p>
          <w:p w14:paraId="2860776F" w14:textId="7AF3F2C3" w:rsidR="009508A8" w:rsidRPr="00AF6407" w:rsidRDefault="009508A8" w:rsidP="009508A8">
            <w:pPr>
              <w:pStyle w:val="ListParagraph"/>
              <w:numPr>
                <w:ilvl w:val="1"/>
                <w:numId w:val="26"/>
              </w:numPr>
              <w:spacing w:after="120"/>
              <w:ind w:left="606" w:hanging="284"/>
              <w:rPr>
                <w:b/>
                <w:bCs/>
                <w:sz w:val="20"/>
                <w:szCs w:val="20"/>
              </w:rPr>
            </w:pPr>
            <w:r w:rsidRPr="009508A8">
              <w:rPr>
                <w:b/>
                <w:bCs/>
                <w:sz w:val="20"/>
                <w:szCs w:val="20"/>
              </w:rPr>
              <w:t xml:space="preserve">Company ownership: </w:t>
            </w:r>
            <w:r w:rsidRPr="00AF6407">
              <w:rPr>
                <w:sz w:val="20"/>
                <w:szCs w:val="20"/>
              </w:rPr>
              <w:t xml:space="preserve">In respect of ‘companies and company ownership’, the provision of beneficial ownership information can be utilised for AML purposes within financial institutions, which would </w:t>
            </w:r>
            <w:r w:rsidR="00882FED">
              <w:rPr>
                <w:sz w:val="20"/>
                <w:szCs w:val="20"/>
              </w:rPr>
              <w:t>be beneficial for firms</w:t>
            </w:r>
            <w:r w:rsidRPr="00AF6407">
              <w:rPr>
                <w:sz w:val="20"/>
                <w:szCs w:val="20"/>
              </w:rPr>
              <w:t>.</w:t>
            </w:r>
            <w:r w:rsidRPr="009508A8">
              <w:rPr>
                <w:b/>
                <w:bCs/>
                <w:sz w:val="20"/>
                <w:szCs w:val="20"/>
              </w:rPr>
              <w:t xml:space="preserve"> </w:t>
            </w:r>
            <w:r w:rsidRPr="00AF6407">
              <w:rPr>
                <w:sz w:val="20"/>
                <w:szCs w:val="20"/>
              </w:rPr>
              <w:t>The following information might be useful regarding company ownership, if not already available through APIs:</w:t>
            </w:r>
          </w:p>
          <w:p w14:paraId="6812EB4D" w14:textId="48115AAA" w:rsidR="009508A8" w:rsidRDefault="009508A8" w:rsidP="009508A8">
            <w:pPr>
              <w:pStyle w:val="ListParagraph"/>
              <w:numPr>
                <w:ilvl w:val="2"/>
                <w:numId w:val="26"/>
              </w:numPr>
              <w:spacing w:after="120"/>
              <w:ind w:left="1031"/>
              <w:rPr>
                <w:sz w:val="20"/>
                <w:szCs w:val="20"/>
              </w:rPr>
            </w:pPr>
            <w:r w:rsidRPr="00AF6407">
              <w:rPr>
                <w:sz w:val="20"/>
                <w:szCs w:val="20"/>
              </w:rPr>
              <w:t>Company registration information and public accounts; and</w:t>
            </w:r>
          </w:p>
          <w:p w14:paraId="5CD01960" w14:textId="6A955C46" w:rsidR="009508A8" w:rsidRPr="00AF6407" w:rsidRDefault="009508A8" w:rsidP="00AF6407">
            <w:pPr>
              <w:pStyle w:val="ListParagraph"/>
              <w:numPr>
                <w:ilvl w:val="2"/>
                <w:numId w:val="26"/>
              </w:numPr>
              <w:spacing w:after="120"/>
              <w:ind w:left="1031"/>
              <w:rPr>
                <w:sz w:val="20"/>
                <w:szCs w:val="20"/>
              </w:rPr>
            </w:pPr>
            <w:r w:rsidRPr="009508A8">
              <w:rPr>
                <w:sz w:val="20"/>
                <w:szCs w:val="20"/>
              </w:rPr>
              <w:t>Court information regarding companies, e.g. public case brought by state against a firm.</w:t>
            </w:r>
          </w:p>
          <w:p w14:paraId="77B4F856" w14:textId="090423CD" w:rsidR="00F91392" w:rsidRPr="00AF6407" w:rsidRDefault="00F91392" w:rsidP="00AF6407"/>
        </w:tc>
      </w:tr>
      <w:tr w:rsidR="00345EE9" w14:paraId="75C59B32" w14:textId="77777777" w:rsidTr="00CA60D1">
        <w:trPr>
          <w:trHeight w:val="436"/>
        </w:trPr>
        <w:tc>
          <w:tcPr>
            <w:tcW w:w="790" w:type="dxa"/>
            <w:vMerge w:val="restart"/>
          </w:tcPr>
          <w:p w14:paraId="1CF1329B" w14:textId="6FF2E60F" w:rsidR="00345EE9" w:rsidRDefault="00345EE9" w:rsidP="005D6C94">
            <w:pPr>
              <w:spacing w:after="120"/>
              <w:rPr>
                <w:sz w:val="20"/>
                <w:szCs w:val="20"/>
              </w:rPr>
            </w:pPr>
            <w:r>
              <w:rPr>
                <w:sz w:val="20"/>
                <w:szCs w:val="20"/>
              </w:rPr>
              <w:lastRenderedPageBreak/>
              <w:t>35</w:t>
            </w:r>
          </w:p>
        </w:tc>
        <w:tc>
          <w:tcPr>
            <w:tcW w:w="1048" w:type="dxa"/>
          </w:tcPr>
          <w:p w14:paraId="6C2F2EC9" w14:textId="1DAA48ED" w:rsidR="00345EE9" w:rsidRPr="00A565B8" w:rsidRDefault="00345EE9" w:rsidP="005D6C94">
            <w:pPr>
              <w:rPr>
                <w:rFonts w:eastAsia="Times New Roman"/>
                <w:sz w:val="20"/>
                <w:szCs w:val="20"/>
                <w:lang w:eastAsia="en-GB"/>
              </w:rPr>
            </w:pPr>
            <w:r>
              <w:rPr>
                <w:rFonts w:eastAsia="Times New Roman"/>
                <w:sz w:val="20"/>
                <w:szCs w:val="20"/>
                <w:lang w:eastAsia="en-GB"/>
              </w:rPr>
              <w:t>AFME to respond</w:t>
            </w:r>
          </w:p>
        </w:tc>
        <w:tc>
          <w:tcPr>
            <w:tcW w:w="8619" w:type="dxa"/>
          </w:tcPr>
          <w:p w14:paraId="7103C610" w14:textId="22FF83B8" w:rsidR="00345EE9" w:rsidRPr="00345EE9" w:rsidRDefault="00345EE9" w:rsidP="00345EE9">
            <w:pPr>
              <w:spacing w:after="120"/>
              <w:rPr>
                <w:sz w:val="20"/>
                <w:szCs w:val="20"/>
              </w:rPr>
            </w:pPr>
            <w:r w:rsidRPr="00345EE9">
              <w:rPr>
                <w:sz w:val="20"/>
                <w:szCs w:val="20"/>
              </w:rPr>
              <w:t>Elements to consider in implementing an open finance policy:</w:t>
            </w:r>
          </w:p>
          <w:p w14:paraId="260D08BC" w14:textId="2D0BFDA3" w:rsidR="00345EE9" w:rsidRPr="00345EE9" w:rsidRDefault="00345EE9" w:rsidP="00345EE9">
            <w:pPr>
              <w:pStyle w:val="ListParagraph"/>
              <w:numPr>
                <w:ilvl w:val="0"/>
                <w:numId w:val="26"/>
              </w:numPr>
              <w:spacing w:after="120"/>
              <w:ind w:left="184" w:hanging="142"/>
              <w:rPr>
                <w:sz w:val="20"/>
                <w:szCs w:val="20"/>
              </w:rPr>
            </w:pPr>
            <w:r w:rsidRPr="00345EE9">
              <w:rPr>
                <w:sz w:val="20"/>
                <w:szCs w:val="20"/>
              </w:rPr>
              <w:t>Standardisation of data, data formats</w:t>
            </w:r>
            <w:r w:rsidR="00703008">
              <w:rPr>
                <w:sz w:val="20"/>
                <w:szCs w:val="20"/>
              </w:rPr>
              <w:t xml:space="preserve">: </w:t>
            </w:r>
            <w:r w:rsidR="00871223" w:rsidRPr="00F91392">
              <w:rPr>
                <w:sz w:val="20"/>
                <w:szCs w:val="20"/>
              </w:rPr>
              <w:t>5 – fully relevant</w:t>
            </w:r>
            <w:r w:rsidR="00871223" w:rsidDel="00F91392">
              <w:rPr>
                <w:sz w:val="20"/>
                <w:szCs w:val="20"/>
              </w:rPr>
              <w:t xml:space="preserve"> </w:t>
            </w:r>
          </w:p>
          <w:p w14:paraId="5D14CFB7" w14:textId="7A2B6834" w:rsidR="00345EE9" w:rsidRPr="00345EE9" w:rsidRDefault="00345EE9" w:rsidP="00345EE9">
            <w:pPr>
              <w:pStyle w:val="ListParagraph"/>
              <w:numPr>
                <w:ilvl w:val="0"/>
                <w:numId w:val="26"/>
              </w:numPr>
              <w:spacing w:after="120"/>
              <w:ind w:left="184" w:hanging="142"/>
              <w:rPr>
                <w:sz w:val="20"/>
                <w:szCs w:val="20"/>
              </w:rPr>
            </w:pPr>
            <w:r w:rsidRPr="00345EE9">
              <w:rPr>
                <w:sz w:val="20"/>
                <w:szCs w:val="20"/>
              </w:rPr>
              <w:t xml:space="preserve">Clarity on the entities covered, including potential </w:t>
            </w:r>
            <w:r w:rsidR="00703008">
              <w:rPr>
                <w:sz w:val="20"/>
                <w:szCs w:val="20"/>
              </w:rPr>
              <w:t>threshol</w:t>
            </w:r>
            <w:r w:rsidRPr="00345EE9">
              <w:rPr>
                <w:sz w:val="20"/>
                <w:szCs w:val="20"/>
              </w:rPr>
              <w:t>ds</w:t>
            </w:r>
            <w:r w:rsidR="00703008">
              <w:rPr>
                <w:sz w:val="20"/>
                <w:szCs w:val="20"/>
              </w:rPr>
              <w:t xml:space="preserve">: </w:t>
            </w:r>
            <w:r w:rsidR="00F91392" w:rsidRPr="00F91392">
              <w:rPr>
                <w:sz w:val="20"/>
                <w:szCs w:val="20"/>
              </w:rPr>
              <w:t>5 – fully relevant</w:t>
            </w:r>
          </w:p>
          <w:p w14:paraId="02717AE6" w14:textId="49D65534" w:rsidR="00345EE9" w:rsidRPr="00345EE9" w:rsidRDefault="00345EE9" w:rsidP="00345EE9">
            <w:pPr>
              <w:pStyle w:val="ListParagraph"/>
              <w:numPr>
                <w:ilvl w:val="0"/>
                <w:numId w:val="26"/>
              </w:numPr>
              <w:spacing w:after="120"/>
              <w:ind w:left="184" w:hanging="142"/>
              <w:rPr>
                <w:sz w:val="20"/>
                <w:szCs w:val="20"/>
              </w:rPr>
            </w:pPr>
            <w:r w:rsidRPr="00345EE9">
              <w:rPr>
                <w:sz w:val="20"/>
                <w:szCs w:val="20"/>
              </w:rPr>
              <w:t>Clarity on the way data can be technically accessed including whether data is shared in real</w:t>
            </w:r>
            <w:r w:rsidR="00A97A75">
              <w:rPr>
                <w:sz w:val="20"/>
                <w:szCs w:val="20"/>
              </w:rPr>
              <w:t xml:space="preserve"> </w:t>
            </w:r>
            <w:r w:rsidRPr="00345EE9">
              <w:rPr>
                <w:sz w:val="20"/>
                <w:szCs w:val="20"/>
              </w:rPr>
              <w:t>time (e.g. standardised APIs)</w:t>
            </w:r>
            <w:r w:rsidR="00703008">
              <w:rPr>
                <w:sz w:val="20"/>
                <w:szCs w:val="20"/>
              </w:rPr>
              <w:t xml:space="preserve">: </w:t>
            </w:r>
            <w:r w:rsidR="00F91392" w:rsidRPr="00F91392">
              <w:rPr>
                <w:sz w:val="20"/>
                <w:szCs w:val="20"/>
              </w:rPr>
              <w:t>5 – fully relevant</w:t>
            </w:r>
          </w:p>
          <w:p w14:paraId="56846DBE" w14:textId="520AD575" w:rsidR="00345EE9" w:rsidRPr="00345EE9" w:rsidRDefault="00345EE9" w:rsidP="00345EE9">
            <w:pPr>
              <w:pStyle w:val="ListParagraph"/>
              <w:numPr>
                <w:ilvl w:val="0"/>
                <w:numId w:val="26"/>
              </w:numPr>
              <w:spacing w:after="120"/>
              <w:ind w:left="184" w:hanging="142"/>
              <w:rPr>
                <w:sz w:val="20"/>
                <w:szCs w:val="20"/>
              </w:rPr>
            </w:pPr>
            <w:r w:rsidRPr="00345EE9">
              <w:rPr>
                <w:sz w:val="20"/>
                <w:szCs w:val="20"/>
              </w:rPr>
              <w:t xml:space="preserve">Clarity on how to ensure full compliance with GDPR and </w:t>
            </w:r>
            <w:proofErr w:type="spellStart"/>
            <w:r w:rsidRPr="00345EE9">
              <w:rPr>
                <w:sz w:val="20"/>
                <w:szCs w:val="20"/>
              </w:rPr>
              <w:t>ePrivacy</w:t>
            </w:r>
            <w:proofErr w:type="spellEnd"/>
            <w:r w:rsidRPr="00345EE9">
              <w:rPr>
                <w:sz w:val="20"/>
                <w:szCs w:val="20"/>
              </w:rPr>
              <w:t xml:space="preserve"> Directive requirements and need to ensure that data subjects remain in full control of their personal data</w:t>
            </w:r>
            <w:r w:rsidR="00703008">
              <w:rPr>
                <w:sz w:val="20"/>
                <w:szCs w:val="20"/>
              </w:rPr>
              <w:t xml:space="preserve">: </w:t>
            </w:r>
            <w:r w:rsidR="00F91392" w:rsidRPr="00F91392">
              <w:rPr>
                <w:sz w:val="20"/>
                <w:szCs w:val="20"/>
              </w:rPr>
              <w:t>5 – fully relevant</w:t>
            </w:r>
          </w:p>
          <w:p w14:paraId="317307F7" w14:textId="4C7D581F" w:rsidR="00345EE9" w:rsidRPr="00345EE9" w:rsidRDefault="00345EE9" w:rsidP="00345EE9">
            <w:pPr>
              <w:pStyle w:val="ListParagraph"/>
              <w:numPr>
                <w:ilvl w:val="0"/>
                <w:numId w:val="26"/>
              </w:numPr>
              <w:spacing w:after="120"/>
              <w:ind w:left="184" w:hanging="142"/>
              <w:rPr>
                <w:sz w:val="20"/>
                <w:szCs w:val="20"/>
              </w:rPr>
            </w:pPr>
            <w:r w:rsidRPr="00345EE9">
              <w:rPr>
                <w:sz w:val="20"/>
                <w:szCs w:val="20"/>
              </w:rPr>
              <w:t>Clarity on the terms and conditions under which data can be shared between financial services providers (e. g. fees)</w:t>
            </w:r>
            <w:r w:rsidR="00703008">
              <w:rPr>
                <w:sz w:val="20"/>
                <w:szCs w:val="20"/>
              </w:rPr>
              <w:t xml:space="preserve">: </w:t>
            </w:r>
            <w:r w:rsidR="00F91392" w:rsidRPr="00F91392">
              <w:rPr>
                <w:sz w:val="20"/>
                <w:szCs w:val="20"/>
              </w:rPr>
              <w:t>5 – fully relevant</w:t>
            </w:r>
          </w:p>
          <w:p w14:paraId="25055577" w14:textId="7FAA8C87" w:rsidR="00345EE9" w:rsidRPr="00345EE9" w:rsidRDefault="00345EE9" w:rsidP="00345EE9">
            <w:pPr>
              <w:pStyle w:val="ListParagraph"/>
              <w:numPr>
                <w:ilvl w:val="0"/>
                <w:numId w:val="26"/>
              </w:numPr>
              <w:spacing w:after="120"/>
              <w:ind w:left="184" w:hanging="142"/>
              <w:rPr>
                <w:sz w:val="20"/>
                <w:szCs w:val="20"/>
              </w:rPr>
            </w:pPr>
            <w:r w:rsidRPr="00345EE9">
              <w:rPr>
                <w:sz w:val="20"/>
                <w:szCs w:val="20"/>
              </w:rPr>
              <w:t>Interoperability across sectors</w:t>
            </w:r>
            <w:r w:rsidR="00703008">
              <w:rPr>
                <w:sz w:val="20"/>
                <w:szCs w:val="20"/>
              </w:rPr>
              <w:t xml:space="preserve">: </w:t>
            </w:r>
            <w:r w:rsidR="00C3287B" w:rsidRPr="00F91392">
              <w:rPr>
                <w:sz w:val="20"/>
                <w:szCs w:val="20"/>
              </w:rPr>
              <w:t>5 – fully relevant</w:t>
            </w:r>
          </w:p>
          <w:p w14:paraId="11BFBC2E" w14:textId="7DAA8F04" w:rsidR="00345EE9" w:rsidRDefault="00345EE9" w:rsidP="00345EE9">
            <w:pPr>
              <w:pStyle w:val="ListParagraph"/>
              <w:numPr>
                <w:ilvl w:val="0"/>
                <w:numId w:val="26"/>
              </w:numPr>
              <w:spacing w:after="120"/>
              <w:ind w:left="184" w:hanging="142"/>
              <w:rPr>
                <w:sz w:val="20"/>
                <w:szCs w:val="20"/>
              </w:rPr>
            </w:pPr>
            <w:r w:rsidRPr="00345EE9">
              <w:rPr>
                <w:sz w:val="20"/>
                <w:szCs w:val="20"/>
              </w:rPr>
              <w:t>Clarity on the way data shared will be used</w:t>
            </w:r>
            <w:r w:rsidR="00703008">
              <w:rPr>
                <w:sz w:val="20"/>
                <w:szCs w:val="20"/>
              </w:rPr>
              <w:t xml:space="preserve">: </w:t>
            </w:r>
            <w:r w:rsidR="00C3287B" w:rsidRPr="00F91392">
              <w:rPr>
                <w:sz w:val="20"/>
                <w:szCs w:val="20"/>
              </w:rPr>
              <w:t>5 – fully relevant</w:t>
            </w:r>
          </w:p>
          <w:p w14:paraId="733A95DD" w14:textId="385B9C9C" w:rsidR="00345EE9" w:rsidRPr="00345EE9" w:rsidRDefault="00345EE9" w:rsidP="00345EE9">
            <w:pPr>
              <w:pStyle w:val="ListParagraph"/>
              <w:numPr>
                <w:ilvl w:val="0"/>
                <w:numId w:val="26"/>
              </w:numPr>
              <w:spacing w:after="120"/>
              <w:ind w:left="184" w:hanging="142"/>
              <w:rPr>
                <w:sz w:val="20"/>
                <w:szCs w:val="20"/>
              </w:rPr>
            </w:pPr>
            <w:r w:rsidRPr="00345EE9">
              <w:rPr>
                <w:sz w:val="20"/>
                <w:szCs w:val="20"/>
              </w:rPr>
              <w:t>Introduction of mandatory data sharing beyond PSD2 in the framework of EU regulatory regime</w:t>
            </w:r>
            <w:r w:rsidR="00703008">
              <w:rPr>
                <w:sz w:val="20"/>
                <w:szCs w:val="20"/>
              </w:rPr>
              <w:t xml:space="preserve">: </w:t>
            </w:r>
            <w:r w:rsidR="00C3287B" w:rsidRPr="00C3287B">
              <w:rPr>
                <w:sz w:val="20"/>
                <w:szCs w:val="20"/>
              </w:rPr>
              <w:t>3 – neutral</w:t>
            </w:r>
          </w:p>
          <w:p w14:paraId="29944602" w14:textId="1A7B49BE" w:rsidR="00345EE9" w:rsidRPr="00345EE9" w:rsidRDefault="00345EE9" w:rsidP="00345EE9">
            <w:pPr>
              <w:pStyle w:val="ListParagraph"/>
              <w:numPr>
                <w:ilvl w:val="0"/>
                <w:numId w:val="26"/>
              </w:numPr>
              <w:spacing w:after="120"/>
              <w:ind w:left="184" w:hanging="142"/>
              <w:rPr>
                <w:sz w:val="20"/>
                <w:szCs w:val="20"/>
              </w:rPr>
            </w:pPr>
            <w:r w:rsidRPr="00345EE9">
              <w:rPr>
                <w:sz w:val="20"/>
                <w:szCs w:val="20"/>
              </w:rPr>
              <w:t>If mandatory data sharing is considered, making data available free of cost for the recipient</w:t>
            </w:r>
            <w:r w:rsidR="00703008">
              <w:rPr>
                <w:sz w:val="20"/>
                <w:szCs w:val="20"/>
              </w:rPr>
              <w:t xml:space="preserve">: </w:t>
            </w:r>
            <w:r w:rsidR="00C3287B" w:rsidRPr="00C3287B">
              <w:rPr>
                <w:sz w:val="20"/>
                <w:szCs w:val="20"/>
              </w:rPr>
              <w:t>3 – neutral</w:t>
            </w:r>
          </w:p>
          <w:p w14:paraId="6922C3FC" w14:textId="384E84FB" w:rsidR="00345EE9" w:rsidRPr="00345EE9" w:rsidRDefault="00345EE9" w:rsidP="00345EE9">
            <w:pPr>
              <w:pStyle w:val="ListParagraph"/>
              <w:numPr>
                <w:ilvl w:val="0"/>
                <w:numId w:val="26"/>
              </w:numPr>
              <w:spacing w:after="120"/>
              <w:ind w:left="184" w:hanging="142"/>
              <w:rPr>
                <w:sz w:val="20"/>
                <w:szCs w:val="20"/>
              </w:rPr>
            </w:pPr>
            <w:r w:rsidRPr="00345EE9">
              <w:rPr>
                <w:sz w:val="20"/>
                <w:szCs w:val="20"/>
              </w:rPr>
              <w:t>Other</w:t>
            </w:r>
          </w:p>
        </w:tc>
      </w:tr>
      <w:tr w:rsidR="00345EE9" w14:paraId="766C6ECA" w14:textId="77777777" w:rsidTr="00CA60D1">
        <w:trPr>
          <w:trHeight w:val="436"/>
        </w:trPr>
        <w:tc>
          <w:tcPr>
            <w:tcW w:w="790" w:type="dxa"/>
            <w:vMerge/>
          </w:tcPr>
          <w:p w14:paraId="10FAD58D" w14:textId="6D3F892B" w:rsidR="00345EE9" w:rsidRDefault="00345EE9" w:rsidP="005D6C94">
            <w:pPr>
              <w:spacing w:after="120"/>
              <w:rPr>
                <w:sz w:val="20"/>
                <w:szCs w:val="20"/>
              </w:rPr>
            </w:pPr>
          </w:p>
        </w:tc>
        <w:tc>
          <w:tcPr>
            <w:tcW w:w="1048" w:type="dxa"/>
          </w:tcPr>
          <w:p w14:paraId="01DF4ECE" w14:textId="32ED476D" w:rsidR="00345EE9" w:rsidRPr="00A565B8" w:rsidRDefault="00345EE9" w:rsidP="005D6C94">
            <w:pPr>
              <w:rPr>
                <w:rFonts w:eastAsia="Times New Roman"/>
                <w:sz w:val="20"/>
                <w:szCs w:val="20"/>
                <w:lang w:eastAsia="en-GB"/>
              </w:rPr>
            </w:pPr>
            <w:r>
              <w:rPr>
                <w:rFonts w:eastAsia="Times New Roman"/>
                <w:sz w:val="20"/>
                <w:szCs w:val="20"/>
                <w:lang w:eastAsia="en-GB"/>
              </w:rPr>
              <w:t>AFME to respond</w:t>
            </w:r>
          </w:p>
        </w:tc>
        <w:tc>
          <w:tcPr>
            <w:tcW w:w="8619" w:type="dxa"/>
          </w:tcPr>
          <w:p w14:paraId="6B9A1591" w14:textId="77777777" w:rsidR="00C3287B" w:rsidRDefault="00C3287B" w:rsidP="00C3287B">
            <w:pPr>
              <w:pStyle w:val="ListParagraph"/>
              <w:numPr>
                <w:ilvl w:val="0"/>
                <w:numId w:val="26"/>
              </w:numPr>
              <w:spacing w:after="120"/>
              <w:ind w:left="184" w:hanging="142"/>
              <w:rPr>
                <w:sz w:val="20"/>
                <w:szCs w:val="20"/>
              </w:rPr>
            </w:pPr>
            <w:r w:rsidRPr="00C3287B">
              <w:rPr>
                <w:sz w:val="20"/>
                <w:szCs w:val="20"/>
              </w:rPr>
              <w:t>As stated previously, we believe that an open data, not an open finance policy is needed, so our scores on specific financial services related areas for Q35 reflect this.</w:t>
            </w:r>
          </w:p>
          <w:p w14:paraId="6EF371A2" w14:textId="797E3DDD" w:rsidR="00871223" w:rsidRDefault="00871223" w:rsidP="00C3287B">
            <w:pPr>
              <w:pStyle w:val="ListParagraph"/>
              <w:numPr>
                <w:ilvl w:val="0"/>
                <w:numId w:val="26"/>
              </w:numPr>
              <w:spacing w:after="120"/>
              <w:ind w:left="184" w:hanging="142"/>
              <w:rPr>
                <w:sz w:val="20"/>
                <w:szCs w:val="20"/>
              </w:rPr>
            </w:pPr>
            <w:r w:rsidRPr="00871223">
              <w:rPr>
                <w:sz w:val="20"/>
                <w:szCs w:val="20"/>
              </w:rPr>
              <w:t>Users should remain in control of their data</w:t>
            </w:r>
            <w:r w:rsidR="00A97A75">
              <w:rPr>
                <w:sz w:val="20"/>
                <w:szCs w:val="20"/>
              </w:rPr>
              <w:t>.</w:t>
            </w:r>
            <w:r w:rsidRPr="00871223">
              <w:rPr>
                <w:sz w:val="20"/>
                <w:szCs w:val="20"/>
              </w:rPr>
              <w:t xml:space="preserve"> </w:t>
            </w:r>
            <w:r w:rsidR="00A97A75">
              <w:rPr>
                <w:sz w:val="20"/>
                <w:szCs w:val="20"/>
              </w:rPr>
              <w:t>To ensure users can effectively share their data,</w:t>
            </w:r>
            <w:r w:rsidRPr="00871223">
              <w:rPr>
                <w:sz w:val="20"/>
                <w:szCs w:val="20"/>
              </w:rPr>
              <w:t xml:space="preserve"> further consideration may be required relating to user consent</w:t>
            </w:r>
            <w:r w:rsidR="00A97A75">
              <w:rPr>
                <w:sz w:val="20"/>
                <w:szCs w:val="20"/>
              </w:rPr>
              <w:t xml:space="preserve">, </w:t>
            </w:r>
            <w:r w:rsidR="00A97A75" w:rsidRPr="00887AA8">
              <w:rPr>
                <w:sz w:val="20"/>
                <w:szCs w:val="20"/>
              </w:rPr>
              <w:t>including ensur</w:t>
            </w:r>
            <w:r w:rsidR="00A97A75">
              <w:rPr>
                <w:sz w:val="20"/>
                <w:szCs w:val="20"/>
              </w:rPr>
              <w:t>ing</w:t>
            </w:r>
            <w:r w:rsidR="00A97A75" w:rsidRPr="00887AA8">
              <w:rPr>
                <w:sz w:val="20"/>
                <w:szCs w:val="20"/>
              </w:rPr>
              <w:t xml:space="preserve"> the effective implementation of GDPR to data access</w:t>
            </w:r>
            <w:r w:rsidRPr="00871223">
              <w:rPr>
                <w:sz w:val="20"/>
                <w:szCs w:val="20"/>
              </w:rPr>
              <w:t xml:space="preserve">. This could include for instance, the need for clear and accessible documentation on how data is controlled, implementing proactive controls to manage </w:t>
            </w:r>
            <w:r w:rsidR="00A97A75">
              <w:rPr>
                <w:sz w:val="20"/>
                <w:szCs w:val="20"/>
              </w:rPr>
              <w:t xml:space="preserve">data use and </w:t>
            </w:r>
            <w:r w:rsidRPr="00871223">
              <w:rPr>
                <w:sz w:val="20"/>
                <w:szCs w:val="20"/>
              </w:rPr>
              <w:t>access in order to maintain user trust, implementing proper controls for revocation and lineage management (in the case of data compromise) and the need for clear management of end of life access (managing access in case of data revocation).</w:t>
            </w:r>
          </w:p>
          <w:p w14:paraId="3F05C8AE" w14:textId="45AA60E6" w:rsidR="00C3287B" w:rsidRPr="00AF6407" w:rsidRDefault="00C3287B" w:rsidP="00AF6407">
            <w:pPr>
              <w:pStyle w:val="ListParagraph"/>
              <w:numPr>
                <w:ilvl w:val="0"/>
                <w:numId w:val="26"/>
              </w:numPr>
              <w:spacing w:after="120"/>
              <w:ind w:left="184" w:hanging="142"/>
              <w:rPr>
                <w:sz w:val="20"/>
                <w:szCs w:val="20"/>
              </w:rPr>
            </w:pPr>
            <w:r w:rsidRPr="00AF6407">
              <w:rPr>
                <w:sz w:val="20"/>
                <w:szCs w:val="20"/>
              </w:rPr>
              <w:t xml:space="preserve">If a cross-sectoral approach is utilised, we believe that other relevant points include: </w:t>
            </w:r>
          </w:p>
          <w:p w14:paraId="5BF08FBB" w14:textId="7B183068" w:rsidR="00C3287B" w:rsidRPr="00AF6407" w:rsidRDefault="00C3287B" w:rsidP="00AF6407">
            <w:pPr>
              <w:pStyle w:val="ListParagraph"/>
              <w:numPr>
                <w:ilvl w:val="1"/>
                <w:numId w:val="26"/>
              </w:numPr>
              <w:spacing w:after="120"/>
              <w:ind w:left="606" w:hanging="284"/>
              <w:rPr>
                <w:rFonts w:asciiTheme="majorHAnsi" w:hAnsiTheme="majorHAnsi"/>
                <w:sz w:val="20"/>
                <w:szCs w:val="20"/>
              </w:rPr>
            </w:pPr>
            <w:r w:rsidRPr="00AF6407">
              <w:rPr>
                <w:rFonts w:asciiTheme="majorHAnsi" w:hAnsiTheme="majorHAnsi"/>
                <w:sz w:val="20"/>
                <w:szCs w:val="20"/>
              </w:rPr>
              <w:t>Control must be given to the user</w:t>
            </w:r>
            <w:r w:rsidR="00A97A75">
              <w:rPr>
                <w:rFonts w:asciiTheme="majorHAnsi" w:hAnsiTheme="majorHAnsi"/>
                <w:sz w:val="20"/>
                <w:szCs w:val="20"/>
              </w:rPr>
              <w:t>s</w:t>
            </w:r>
            <w:r w:rsidRPr="00AF6407">
              <w:rPr>
                <w:rFonts w:asciiTheme="majorHAnsi" w:hAnsiTheme="majorHAnsi"/>
                <w:sz w:val="20"/>
                <w:szCs w:val="20"/>
              </w:rPr>
              <w:t xml:space="preserve"> </w:t>
            </w:r>
            <w:r w:rsidR="00A97A75">
              <w:rPr>
                <w:sz w:val="20"/>
                <w:szCs w:val="20"/>
              </w:rPr>
              <w:t>(individuals and firms</w:t>
            </w:r>
            <w:proofErr w:type="gramStart"/>
            <w:r w:rsidR="00A97A75">
              <w:rPr>
                <w:sz w:val="20"/>
                <w:szCs w:val="20"/>
              </w:rPr>
              <w:t>);</w:t>
            </w:r>
            <w:proofErr w:type="gramEnd"/>
          </w:p>
          <w:p w14:paraId="36C6CE94" w14:textId="77777777" w:rsidR="00C3287B" w:rsidRPr="00AF6407" w:rsidRDefault="00C3287B" w:rsidP="00AF6407">
            <w:pPr>
              <w:pStyle w:val="ListParagraph"/>
              <w:numPr>
                <w:ilvl w:val="1"/>
                <w:numId w:val="26"/>
              </w:numPr>
              <w:spacing w:after="120"/>
              <w:ind w:left="606" w:hanging="284"/>
              <w:rPr>
                <w:rFonts w:asciiTheme="majorHAnsi" w:hAnsiTheme="majorHAnsi"/>
                <w:sz w:val="20"/>
                <w:szCs w:val="20"/>
              </w:rPr>
            </w:pPr>
            <w:r w:rsidRPr="00AF6407">
              <w:rPr>
                <w:rFonts w:asciiTheme="majorHAnsi" w:hAnsiTheme="majorHAnsi"/>
                <w:sz w:val="20"/>
                <w:szCs w:val="20"/>
              </w:rPr>
              <w:t xml:space="preserve">Data access should be facilitated through APIs; to ensure the data shared is safe and useful for innovation </w:t>
            </w:r>
            <w:proofErr w:type="gramStart"/>
            <w:r w:rsidRPr="00AF6407">
              <w:rPr>
                <w:rFonts w:asciiTheme="majorHAnsi" w:hAnsiTheme="majorHAnsi"/>
                <w:sz w:val="20"/>
                <w:szCs w:val="20"/>
              </w:rPr>
              <w:t>purposes;</w:t>
            </w:r>
            <w:proofErr w:type="gramEnd"/>
          </w:p>
          <w:p w14:paraId="03EFCED9" w14:textId="77777777" w:rsidR="00C3287B" w:rsidRPr="00AF6407" w:rsidRDefault="00C3287B" w:rsidP="00AF6407">
            <w:pPr>
              <w:pStyle w:val="ListParagraph"/>
              <w:numPr>
                <w:ilvl w:val="1"/>
                <w:numId w:val="26"/>
              </w:numPr>
              <w:spacing w:after="120"/>
              <w:ind w:left="606" w:hanging="284"/>
              <w:rPr>
                <w:rFonts w:asciiTheme="majorHAnsi" w:hAnsiTheme="majorHAnsi"/>
                <w:sz w:val="20"/>
                <w:szCs w:val="20"/>
              </w:rPr>
            </w:pPr>
            <w:r w:rsidRPr="00AF6407">
              <w:rPr>
                <w:rFonts w:asciiTheme="majorHAnsi" w:hAnsiTheme="majorHAnsi"/>
                <w:sz w:val="20"/>
                <w:szCs w:val="20"/>
              </w:rPr>
              <w:t>Access to greater and varied data, via cross-sectorial data sharing, is critical to triggering disruptive innovation; and</w:t>
            </w:r>
          </w:p>
          <w:p w14:paraId="6EDEDA5F" w14:textId="06C8C8F5" w:rsidR="00AC0620" w:rsidRPr="00AF6407" w:rsidRDefault="00C3287B" w:rsidP="00AF6407">
            <w:pPr>
              <w:pStyle w:val="ListParagraph"/>
              <w:numPr>
                <w:ilvl w:val="1"/>
                <w:numId w:val="26"/>
              </w:numPr>
              <w:spacing w:after="120"/>
              <w:ind w:left="606" w:hanging="284"/>
              <w:rPr>
                <w:rFonts w:asciiTheme="majorHAnsi" w:hAnsiTheme="majorHAnsi"/>
                <w:sz w:val="20"/>
                <w:szCs w:val="20"/>
              </w:rPr>
            </w:pPr>
            <w:r w:rsidRPr="00AF6407">
              <w:rPr>
                <w:rFonts w:asciiTheme="majorHAnsi" w:hAnsiTheme="majorHAnsi"/>
                <w:sz w:val="20"/>
                <w:szCs w:val="20"/>
              </w:rPr>
              <w:t>Incentives must be kept for players to invest in data processing, so data sharing should not include derived or inferred data.</w:t>
            </w:r>
          </w:p>
        </w:tc>
      </w:tr>
      <w:tr w:rsidR="00345EE9" w14:paraId="2D5FED51" w14:textId="77777777" w:rsidTr="00CA60D1">
        <w:trPr>
          <w:trHeight w:val="436"/>
        </w:trPr>
        <w:tc>
          <w:tcPr>
            <w:tcW w:w="10457" w:type="dxa"/>
            <w:gridSpan w:val="3"/>
            <w:shd w:val="clear" w:color="auto" w:fill="D6E3BC" w:themeFill="accent3" w:themeFillTint="66"/>
          </w:tcPr>
          <w:p w14:paraId="0F438C09" w14:textId="7EB4B601" w:rsidR="00345EE9" w:rsidRDefault="00345EE9" w:rsidP="005D6C94">
            <w:pPr>
              <w:spacing w:after="120"/>
              <w:rPr>
                <w:sz w:val="20"/>
                <w:szCs w:val="20"/>
              </w:rPr>
            </w:pPr>
            <w:r w:rsidRPr="00345EE9">
              <w:rPr>
                <w:sz w:val="20"/>
                <w:szCs w:val="20"/>
              </w:rPr>
              <w:t>Support the uptake of Artificial intelligence in finance</w:t>
            </w:r>
          </w:p>
        </w:tc>
      </w:tr>
      <w:tr w:rsidR="00345EE9" w14:paraId="25BC5CE4" w14:textId="77777777" w:rsidTr="00CA60D1">
        <w:trPr>
          <w:trHeight w:val="436"/>
        </w:trPr>
        <w:tc>
          <w:tcPr>
            <w:tcW w:w="790" w:type="dxa"/>
          </w:tcPr>
          <w:p w14:paraId="3BA7F296" w14:textId="04C9B556" w:rsidR="00345EE9" w:rsidRDefault="00345EE9" w:rsidP="005D6C94">
            <w:pPr>
              <w:spacing w:after="120"/>
              <w:rPr>
                <w:sz w:val="20"/>
                <w:szCs w:val="20"/>
              </w:rPr>
            </w:pPr>
            <w:r>
              <w:rPr>
                <w:sz w:val="20"/>
                <w:szCs w:val="20"/>
              </w:rPr>
              <w:t>36</w:t>
            </w:r>
          </w:p>
        </w:tc>
        <w:tc>
          <w:tcPr>
            <w:tcW w:w="1048" w:type="dxa"/>
          </w:tcPr>
          <w:p w14:paraId="3512374A" w14:textId="58A96D34" w:rsidR="00345EE9" w:rsidRPr="00A565B8" w:rsidRDefault="00A67751" w:rsidP="005D6C94">
            <w:pPr>
              <w:rPr>
                <w:rFonts w:eastAsia="Times New Roman"/>
                <w:sz w:val="20"/>
                <w:szCs w:val="20"/>
                <w:lang w:eastAsia="en-GB"/>
              </w:rPr>
            </w:pPr>
            <w:r>
              <w:rPr>
                <w:rFonts w:eastAsia="Times New Roman"/>
                <w:sz w:val="20"/>
                <w:szCs w:val="20"/>
                <w:lang w:eastAsia="en-GB"/>
              </w:rPr>
              <w:t xml:space="preserve">AFME to </w:t>
            </w:r>
            <w:r w:rsidRPr="00A67751">
              <w:rPr>
                <w:rFonts w:eastAsia="Times New Roman"/>
                <w:sz w:val="20"/>
                <w:szCs w:val="20"/>
                <w:u w:val="single"/>
                <w:lang w:eastAsia="en-GB"/>
              </w:rPr>
              <w:t>not</w:t>
            </w:r>
            <w:r>
              <w:rPr>
                <w:rFonts w:eastAsia="Times New Roman"/>
                <w:sz w:val="20"/>
                <w:szCs w:val="20"/>
                <w:lang w:eastAsia="en-GB"/>
              </w:rPr>
              <w:t xml:space="preserve"> respond</w:t>
            </w:r>
          </w:p>
        </w:tc>
        <w:tc>
          <w:tcPr>
            <w:tcW w:w="8619" w:type="dxa"/>
          </w:tcPr>
          <w:p w14:paraId="16DFE0B6" w14:textId="70E43C2E" w:rsidR="00345EE9" w:rsidRDefault="009E3E46" w:rsidP="00A67751">
            <w:pPr>
              <w:pStyle w:val="ListParagraph"/>
              <w:numPr>
                <w:ilvl w:val="0"/>
                <w:numId w:val="26"/>
              </w:numPr>
              <w:spacing w:after="120"/>
              <w:ind w:left="184" w:hanging="142"/>
              <w:rPr>
                <w:sz w:val="20"/>
                <w:szCs w:val="20"/>
              </w:rPr>
            </w:pPr>
            <w:r>
              <w:rPr>
                <w:sz w:val="20"/>
                <w:szCs w:val="20"/>
              </w:rPr>
              <w:t>Not relevant</w:t>
            </w:r>
          </w:p>
        </w:tc>
      </w:tr>
      <w:tr w:rsidR="00345EE9" w14:paraId="1CBB277E" w14:textId="77777777" w:rsidTr="00CA60D1">
        <w:trPr>
          <w:trHeight w:val="436"/>
        </w:trPr>
        <w:tc>
          <w:tcPr>
            <w:tcW w:w="790" w:type="dxa"/>
          </w:tcPr>
          <w:p w14:paraId="19CAA008" w14:textId="28F76F89" w:rsidR="00345EE9" w:rsidRDefault="00A67751" w:rsidP="005D6C94">
            <w:pPr>
              <w:spacing w:after="120"/>
              <w:rPr>
                <w:sz w:val="20"/>
                <w:szCs w:val="20"/>
              </w:rPr>
            </w:pPr>
            <w:r>
              <w:rPr>
                <w:sz w:val="20"/>
                <w:szCs w:val="20"/>
              </w:rPr>
              <w:lastRenderedPageBreak/>
              <w:t>36.1</w:t>
            </w:r>
          </w:p>
        </w:tc>
        <w:tc>
          <w:tcPr>
            <w:tcW w:w="1048" w:type="dxa"/>
          </w:tcPr>
          <w:p w14:paraId="0D6A069C" w14:textId="75F2F853" w:rsidR="00345EE9" w:rsidRPr="00A565B8" w:rsidRDefault="00A67751" w:rsidP="005D6C94">
            <w:pPr>
              <w:rPr>
                <w:rFonts w:eastAsia="Times New Roman"/>
                <w:sz w:val="20"/>
                <w:szCs w:val="20"/>
                <w:lang w:eastAsia="en-GB"/>
              </w:rPr>
            </w:pPr>
            <w:r>
              <w:rPr>
                <w:rFonts w:eastAsia="Times New Roman"/>
                <w:sz w:val="20"/>
                <w:szCs w:val="20"/>
                <w:lang w:eastAsia="en-GB"/>
              </w:rPr>
              <w:t xml:space="preserve">AFME to </w:t>
            </w:r>
            <w:r w:rsidRPr="00A67751">
              <w:rPr>
                <w:rFonts w:eastAsia="Times New Roman"/>
                <w:sz w:val="20"/>
                <w:szCs w:val="20"/>
                <w:u w:val="single"/>
                <w:lang w:eastAsia="en-GB"/>
              </w:rPr>
              <w:t>not</w:t>
            </w:r>
            <w:r>
              <w:rPr>
                <w:rFonts w:eastAsia="Times New Roman"/>
                <w:sz w:val="20"/>
                <w:szCs w:val="20"/>
                <w:lang w:eastAsia="en-GB"/>
              </w:rPr>
              <w:t xml:space="preserve"> respond</w:t>
            </w:r>
          </w:p>
        </w:tc>
        <w:tc>
          <w:tcPr>
            <w:tcW w:w="8619" w:type="dxa"/>
          </w:tcPr>
          <w:p w14:paraId="378C4EE3" w14:textId="7EE5B5EE" w:rsidR="00345EE9" w:rsidRPr="00A67751" w:rsidRDefault="009E3E46" w:rsidP="00A67751">
            <w:pPr>
              <w:pStyle w:val="ListParagraph"/>
              <w:numPr>
                <w:ilvl w:val="0"/>
                <w:numId w:val="26"/>
              </w:numPr>
              <w:spacing w:after="120"/>
              <w:ind w:left="184" w:hanging="142"/>
              <w:rPr>
                <w:sz w:val="20"/>
                <w:szCs w:val="20"/>
              </w:rPr>
            </w:pPr>
            <w:r>
              <w:rPr>
                <w:sz w:val="20"/>
                <w:szCs w:val="20"/>
              </w:rPr>
              <w:t>Not relevant</w:t>
            </w:r>
          </w:p>
        </w:tc>
      </w:tr>
      <w:tr w:rsidR="009E3E46" w14:paraId="02613098" w14:textId="77777777" w:rsidTr="00CA60D1">
        <w:trPr>
          <w:trHeight w:val="436"/>
        </w:trPr>
        <w:tc>
          <w:tcPr>
            <w:tcW w:w="790" w:type="dxa"/>
          </w:tcPr>
          <w:p w14:paraId="709F9398" w14:textId="57A6E5E7" w:rsidR="009E3E46" w:rsidRDefault="009E3E46" w:rsidP="009E3E46">
            <w:pPr>
              <w:spacing w:after="120"/>
              <w:rPr>
                <w:sz w:val="20"/>
                <w:szCs w:val="20"/>
              </w:rPr>
            </w:pPr>
            <w:r>
              <w:rPr>
                <w:sz w:val="20"/>
                <w:szCs w:val="20"/>
              </w:rPr>
              <w:t>37</w:t>
            </w:r>
          </w:p>
        </w:tc>
        <w:tc>
          <w:tcPr>
            <w:tcW w:w="1048" w:type="dxa"/>
          </w:tcPr>
          <w:p w14:paraId="34EE0F8D" w14:textId="4923C493" w:rsidR="009E3E46" w:rsidRPr="00A565B8"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14C18182" w14:textId="77777777" w:rsidR="00431180" w:rsidRPr="00AF6407" w:rsidRDefault="00431180" w:rsidP="00431180">
            <w:pPr>
              <w:pStyle w:val="ListParagraph"/>
              <w:numPr>
                <w:ilvl w:val="0"/>
                <w:numId w:val="26"/>
              </w:numPr>
              <w:spacing w:after="120"/>
              <w:ind w:left="184" w:hanging="142"/>
              <w:rPr>
                <w:sz w:val="20"/>
                <w:szCs w:val="20"/>
              </w:rPr>
            </w:pPr>
            <w:r w:rsidRPr="00AF6407">
              <w:rPr>
                <w:sz w:val="20"/>
                <w:szCs w:val="20"/>
              </w:rPr>
              <w:t xml:space="preserve">While AFME considers that, overall, the regulatory framework as it applies to AI within capital markets is largely appropriate, we would like to take the opportunity to raise some specific challenges. These should be considered </w:t>
            </w:r>
            <w:proofErr w:type="gramStart"/>
            <w:r w:rsidRPr="00AF6407">
              <w:rPr>
                <w:sz w:val="20"/>
                <w:szCs w:val="20"/>
              </w:rPr>
              <w:t>in light of</w:t>
            </w:r>
            <w:proofErr w:type="gramEnd"/>
            <w:r w:rsidRPr="00AF6407">
              <w:rPr>
                <w:sz w:val="20"/>
                <w:szCs w:val="20"/>
              </w:rPr>
              <w:t xml:space="preserve"> our earlier comments on the importance of technology-neutral and principles-based regulation. </w:t>
            </w:r>
          </w:p>
          <w:p w14:paraId="5E920EB3" w14:textId="75B747EF" w:rsidR="00431180" w:rsidRDefault="00431180" w:rsidP="00431180">
            <w:pPr>
              <w:pStyle w:val="ListParagraph"/>
              <w:numPr>
                <w:ilvl w:val="1"/>
                <w:numId w:val="26"/>
              </w:numPr>
              <w:spacing w:after="120"/>
              <w:ind w:left="606" w:hanging="284"/>
              <w:rPr>
                <w:sz w:val="20"/>
                <w:szCs w:val="20"/>
              </w:rPr>
            </w:pPr>
            <w:r>
              <w:rPr>
                <w:sz w:val="20"/>
                <w:szCs w:val="20"/>
              </w:rPr>
              <w:t>D</w:t>
            </w:r>
            <w:r w:rsidRPr="00B36B99">
              <w:rPr>
                <w:sz w:val="20"/>
                <w:szCs w:val="20"/>
              </w:rPr>
              <w:t>ata limitation</w:t>
            </w:r>
            <w:r>
              <w:rPr>
                <w:sz w:val="20"/>
                <w:szCs w:val="20"/>
              </w:rPr>
              <w:t xml:space="preserve">/minimisation: </w:t>
            </w:r>
            <w:r w:rsidRPr="00384A8B">
              <w:rPr>
                <w:sz w:val="20"/>
                <w:szCs w:val="20"/>
              </w:rPr>
              <w:t>The data minimisation principle recognised in GDPR might limit AI innovation, as the suitability of new personal datasets for a certain use case must be known before requesting consent from users to access their data. Th</w:t>
            </w:r>
            <w:r>
              <w:rPr>
                <w:sz w:val="20"/>
                <w:szCs w:val="20"/>
              </w:rPr>
              <w:t>at</w:t>
            </w:r>
            <w:r w:rsidRPr="00384A8B">
              <w:rPr>
                <w:sz w:val="20"/>
                <w:szCs w:val="20"/>
              </w:rPr>
              <w:t xml:space="preserve"> is, under GDPR, data scientists cannot experiment on the appropriateness of new personal datasets that have not been previously </w:t>
            </w:r>
            <w:r>
              <w:rPr>
                <w:sz w:val="20"/>
                <w:szCs w:val="20"/>
              </w:rPr>
              <w:t>identified</w:t>
            </w:r>
            <w:r w:rsidRPr="00384A8B">
              <w:rPr>
                <w:sz w:val="20"/>
                <w:szCs w:val="20"/>
              </w:rPr>
              <w:t xml:space="preserve"> as relevant for the use case.</w:t>
            </w:r>
            <w:r>
              <w:rPr>
                <w:sz w:val="20"/>
                <w:szCs w:val="20"/>
              </w:rPr>
              <w:t xml:space="preserve"> Consent can be difficult to obtain and the ‘</w:t>
            </w:r>
            <w:r w:rsidRPr="00FF02F8">
              <w:rPr>
                <w:sz w:val="20"/>
                <w:szCs w:val="20"/>
              </w:rPr>
              <w:t>purpose limitation</w:t>
            </w:r>
            <w:r>
              <w:rPr>
                <w:sz w:val="20"/>
                <w:szCs w:val="20"/>
              </w:rPr>
              <w:t>’</w:t>
            </w:r>
            <w:r w:rsidRPr="00FF02F8">
              <w:rPr>
                <w:sz w:val="20"/>
                <w:szCs w:val="20"/>
              </w:rPr>
              <w:t xml:space="preserve"> principle </w:t>
            </w:r>
            <w:r>
              <w:rPr>
                <w:sz w:val="20"/>
                <w:szCs w:val="20"/>
              </w:rPr>
              <w:t xml:space="preserve">of Article 5(1)(b) </w:t>
            </w:r>
            <w:r w:rsidRPr="00FF02F8">
              <w:rPr>
                <w:sz w:val="20"/>
                <w:szCs w:val="20"/>
              </w:rPr>
              <w:t xml:space="preserve">makes it </w:t>
            </w:r>
            <w:r>
              <w:rPr>
                <w:sz w:val="20"/>
                <w:szCs w:val="20"/>
              </w:rPr>
              <w:t xml:space="preserve">further </w:t>
            </w:r>
            <w:r w:rsidRPr="00FF02F8">
              <w:rPr>
                <w:sz w:val="20"/>
                <w:szCs w:val="20"/>
              </w:rPr>
              <w:t>difficult to rely on the validity of any consent given</w:t>
            </w:r>
          </w:p>
          <w:p w14:paraId="244AC4E4" w14:textId="77777777" w:rsidR="00431180" w:rsidRDefault="00431180" w:rsidP="00431180">
            <w:pPr>
              <w:pStyle w:val="ListParagraph"/>
              <w:numPr>
                <w:ilvl w:val="1"/>
                <w:numId w:val="26"/>
              </w:numPr>
              <w:spacing w:after="120"/>
              <w:ind w:left="606" w:hanging="284"/>
              <w:rPr>
                <w:sz w:val="20"/>
                <w:szCs w:val="20"/>
              </w:rPr>
            </w:pPr>
            <w:r w:rsidRPr="00AF6407">
              <w:rPr>
                <w:sz w:val="20"/>
                <w:szCs w:val="20"/>
              </w:rPr>
              <w:t>Use of synthetic/anonymised data in AI: we suggest that further clarity is needed on the point at which such data is no longer able to be traced back to individuals and therefore does not fall within GDPR. We note that the UK Information Commissioner’s Office (ICO) has performed some useful research in this area (</w:t>
            </w:r>
            <w:hyperlink r:id="rId10" w:history="1">
              <w:r w:rsidRPr="00F22969">
                <w:rPr>
                  <w:rStyle w:val="Hyperlink"/>
                  <w:sz w:val="20"/>
                  <w:szCs w:val="20"/>
                </w:rPr>
                <w:t>https://ico.org.uk/about-the-ico/news-and-events/ai-auditing-framework/</w:t>
              </w:r>
            </w:hyperlink>
            <w:r w:rsidRPr="00AF6407">
              <w:rPr>
                <w:sz w:val="20"/>
                <w:szCs w:val="20"/>
              </w:rPr>
              <w:t>)</w:t>
            </w:r>
          </w:p>
          <w:p w14:paraId="63702CD4" w14:textId="072C5D68" w:rsidR="00431180" w:rsidRDefault="00431180" w:rsidP="00431180">
            <w:pPr>
              <w:pStyle w:val="ListParagraph"/>
              <w:numPr>
                <w:ilvl w:val="1"/>
                <w:numId w:val="26"/>
              </w:numPr>
              <w:spacing w:after="120"/>
              <w:ind w:left="606" w:hanging="284"/>
              <w:rPr>
                <w:sz w:val="20"/>
                <w:szCs w:val="20"/>
              </w:rPr>
            </w:pPr>
            <w:r w:rsidRPr="00AF6407">
              <w:rPr>
                <w:sz w:val="20"/>
                <w:szCs w:val="20"/>
              </w:rPr>
              <w:t>Transparency: further work with the industry would be welcome is this area, for example (</w:t>
            </w:r>
            <w:proofErr w:type="spellStart"/>
            <w:r w:rsidRPr="00AF6407">
              <w:rPr>
                <w:sz w:val="20"/>
                <w:szCs w:val="20"/>
              </w:rPr>
              <w:t>i</w:t>
            </w:r>
            <w:proofErr w:type="spellEnd"/>
            <w:r w:rsidRPr="00AF6407">
              <w:rPr>
                <w:sz w:val="20"/>
                <w:szCs w:val="20"/>
              </w:rPr>
              <w:t xml:space="preserve">) the use of models with a lower degree of </w:t>
            </w:r>
            <w:proofErr w:type="spellStart"/>
            <w:r w:rsidRPr="00AF6407">
              <w:rPr>
                <w:sz w:val="20"/>
                <w:szCs w:val="20"/>
              </w:rPr>
              <w:t>explainability</w:t>
            </w:r>
            <w:proofErr w:type="spellEnd"/>
            <w:r w:rsidRPr="00AF6407">
              <w:rPr>
                <w:sz w:val="20"/>
                <w:szCs w:val="20"/>
              </w:rPr>
              <w:t>, e.g. use of AI for complex internal capital models, and (ii) the need for clarity for clients on firms’ use of AI and the level of human intervention.</w:t>
            </w:r>
          </w:p>
          <w:p w14:paraId="61749E3A" w14:textId="7BB510FB" w:rsidR="00431180" w:rsidRDefault="00431180" w:rsidP="00431180">
            <w:pPr>
              <w:pStyle w:val="ListParagraph"/>
              <w:numPr>
                <w:ilvl w:val="1"/>
                <w:numId w:val="26"/>
              </w:numPr>
              <w:spacing w:after="120"/>
              <w:ind w:left="606" w:hanging="284"/>
              <w:rPr>
                <w:sz w:val="20"/>
                <w:szCs w:val="20"/>
              </w:rPr>
            </w:pPr>
            <w:r w:rsidRPr="00AF6407">
              <w:rPr>
                <w:sz w:val="20"/>
                <w:szCs w:val="20"/>
              </w:rPr>
              <w:t xml:space="preserve">Supervisory approaches: it </w:t>
            </w:r>
            <w:r w:rsidR="00A13AA1">
              <w:rPr>
                <w:sz w:val="20"/>
                <w:szCs w:val="20"/>
              </w:rPr>
              <w:t xml:space="preserve">may </w:t>
            </w:r>
            <w:r w:rsidRPr="00AF6407">
              <w:rPr>
                <w:sz w:val="20"/>
                <w:szCs w:val="20"/>
              </w:rPr>
              <w:t>be</w:t>
            </w:r>
            <w:r w:rsidR="00A13AA1">
              <w:rPr>
                <w:sz w:val="20"/>
                <w:szCs w:val="20"/>
              </w:rPr>
              <w:t>come</w:t>
            </w:r>
            <w:r w:rsidRPr="00AF6407">
              <w:rPr>
                <w:sz w:val="20"/>
                <w:szCs w:val="20"/>
              </w:rPr>
              <w:t xml:space="preserve"> the case that the support for the use of complex AI differs between the policy and supervisory teams within authorities, which can be extremely challenging for firms. </w:t>
            </w:r>
          </w:p>
          <w:p w14:paraId="51E6EF69" w14:textId="77777777" w:rsidR="00431180" w:rsidRDefault="00431180" w:rsidP="00431180">
            <w:pPr>
              <w:pStyle w:val="ListParagraph"/>
              <w:numPr>
                <w:ilvl w:val="1"/>
                <w:numId w:val="26"/>
              </w:numPr>
              <w:spacing w:after="120"/>
              <w:ind w:left="606" w:hanging="284"/>
              <w:rPr>
                <w:sz w:val="20"/>
                <w:szCs w:val="20"/>
              </w:rPr>
            </w:pPr>
            <w:r w:rsidRPr="00AF6407">
              <w:rPr>
                <w:sz w:val="20"/>
                <w:szCs w:val="20"/>
              </w:rPr>
              <w:t xml:space="preserve">Risk minimisation/mitigation: it would be helpful for firms if this were the key focus of supervisory oversight of firms’ use of AI, rather than any requirement for the elimination of risk, which is not practical in a business scenario (whether using AI or not). </w:t>
            </w:r>
          </w:p>
          <w:p w14:paraId="237B6EE8" w14:textId="285F9DBD" w:rsidR="00431180" w:rsidRDefault="00431180" w:rsidP="00431180">
            <w:pPr>
              <w:pStyle w:val="ListParagraph"/>
              <w:numPr>
                <w:ilvl w:val="1"/>
                <w:numId w:val="26"/>
              </w:numPr>
              <w:spacing w:after="120"/>
              <w:ind w:left="606" w:hanging="284"/>
              <w:rPr>
                <w:sz w:val="20"/>
                <w:szCs w:val="20"/>
              </w:rPr>
            </w:pPr>
            <w:r w:rsidRPr="00AF6407">
              <w:rPr>
                <w:sz w:val="20"/>
                <w:szCs w:val="20"/>
              </w:rPr>
              <w:t xml:space="preserve">Global coordination: as the use of AI in financial services becomes a key focus for global and regional authorities, harmonisation of approaches is key. AFME’s members operate cross-border business, meaning that regulatory fragmentation imposes unnecessary cost and operational inefficiencies, which inhibits the realisation of benefits from technologies such as AI. </w:t>
            </w:r>
          </w:p>
          <w:p w14:paraId="77331773" w14:textId="3BEA23F9" w:rsidR="00A13AA1" w:rsidRPr="009726DA" w:rsidRDefault="00A13AA1">
            <w:pPr>
              <w:pStyle w:val="ListParagraph"/>
              <w:numPr>
                <w:ilvl w:val="1"/>
                <w:numId w:val="26"/>
              </w:numPr>
              <w:spacing w:after="120"/>
              <w:ind w:left="606" w:hanging="284"/>
              <w:rPr>
                <w:sz w:val="20"/>
                <w:szCs w:val="20"/>
              </w:rPr>
            </w:pPr>
            <w:r>
              <w:rPr>
                <w:sz w:val="20"/>
                <w:szCs w:val="20"/>
              </w:rPr>
              <w:t xml:space="preserve">Fragmentation: EU Member States take different approaches to their implementation of </w:t>
            </w:r>
            <w:proofErr w:type="gramStart"/>
            <w:r>
              <w:rPr>
                <w:sz w:val="20"/>
                <w:szCs w:val="20"/>
              </w:rPr>
              <w:t>GDPR, and</w:t>
            </w:r>
            <w:proofErr w:type="gramEnd"/>
            <w:r>
              <w:rPr>
                <w:sz w:val="20"/>
                <w:szCs w:val="20"/>
              </w:rPr>
              <w:t xml:space="preserve"> have their own local privacy laws and data protection authorities. The intersection of these different approaches can present issues for the consistent deployment of models across the EU and therefore negate the benefits that can be obtained from EU wide data insight and analysis of such models.  </w:t>
            </w:r>
          </w:p>
          <w:p w14:paraId="2BD76C44" w14:textId="4D3C649F" w:rsidR="009E3E46" w:rsidRPr="00AF6407" w:rsidRDefault="00431180" w:rsidP="00AF6407">
            <w:pPr>
              <w:pStyle w:val="ListParagraph"/>
              <w:numPr>
                <w:ilvl w:val="0"/>
                <w:numId w:val="26"/>
              </w:numPr>
              <w:spacing w:after="120"/>
              <w:ind w:left="184" w:hanging="142"/>
              <w:rPr>
                <w:sz w:val="20"/>
                <w:szCs w:val="20"/>
              </w:rPr>
            </w:pPr>
            <w:r w:rsidRPr="00AF6407">
              <w:rPr>
                <w:sz w:val="20"/>
                <w:szCs w:val="20"/>
              </w:rPr>
              <w:t xml:space="preserve">We also direct the Commission to our recent response to its White Paper on </w:t>
            </w:r>
            <w:r w:rsidRPr="001137CB">
              <w:rPr>
                <w:sz w:val="20"/>
                <w:szCs w:val="20"/>
              </w:rPr>
              <w:t>‘Artificial Intelligence – a European Approach to Excellence and Trust’ (</w:t>
            </w:r>
            <w:hyperlink r:id="rId11" w:history="1">
              <w:r w:rsidR="001137CB" w:rsidRPr="001137CB">
                <w:rPr>
                  <w:rStyle w:val="Hyperlink"/>
                  <w:sz w:val="20"/>
                  <w:szCs w:val="20"/>
                </w:rPr>
                <w:t>https://www.afme.eu/Portals/0/DispatchFeaturedImages/20200612%20AFME%20EC%20AI%20CP%20Response%20-%20Final_.pdf</w:t>
              </w:r>
            </w:hyperlink>
            <w:r w:rsidRPr="001137CB">
              <w:rPr>
                <w:sz w:val="20"/>
                <w:szCs w:val="20"/>
              </w:rPr>
              <w:t>).</w:t>
            </w:r>
          </w:p>
        </w:tc>
      </w:tr>
      <w:tr w:rsidR="009E3E46" w14:paraId="7F43583A" w14:textId="77777777" w:rsidTr="00CA60D1">
        <w:trPr>
          <w:trHeight w:val="436"/>
        </w:trPr>
        <w:tc>
          <w:tcPr>
            <w:tcW w:w="790" w:type="dxa"/>
          </w:tcPr>
          <w:p w14:paraId="7A85885A" w14:textId="5709306B" w:rsidR="009E3E46" w:rsidRDefault="009E3E46" w:rsidP="009E3E46">
            <w:pPr>
              <w:spacing w:after="120"/>
              <w:rPr>
                <w:sz w:val="20"/>
                <w:szCs w:val="20"/>
              </w:rPr>
            </w:pPr>
            <w:r>
              <w:rPr>
                <w:sz w:val="20"/>
                <w:szCs w:val="20"/>
              </w:rPr>
              <w:t>38</w:t>
            </w:r>
          </w:p>
        </w:tc>
        <w:tc>
          <w:tcPr>
            <w:tcW w:w="1048" w:type="dxa"/>
          </w:tcPr>
          <w:p w14:paraId="6FCCD815" w14:textId="6C5C33AD" w:rsidR="009E3E46" w:rsidRPr="00A565B8"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09C6DA44" w14:textId="77777777" w:rsidR="00F22969" w:rsidRDefault="009E3E46" w:rsidP="00F22969">
            <w:pPr>
              <w:pStyle w:val="ListParagraph"/>
              <w:numPr>
                <w:ilvl w:val="0"/>
                <w:numId w:val="26"/>
              </w:numPr>
              <w:spacing w:after="120"/>
              <w:ind w:left="184" w:hanging="142"/>
              <w:rPr>
                <w:sz w:val="20"/>
                <w:szCs w:val="20"/>
              </w:rPr>
            </w:pPr>
            <w:r w:rsidRPr="00AF6407">
              <w:rPr>
                <w:sz w:val="20"/>
                <w:szCs w:val="20"/>
              </w:rPr>
              <w:t>As outlined in AFME’s 2018 White Paper ‘Artificial Intelligence; Adoption  in Capital Markets’ (</w:t>
            </w:r>
            <w:hyperlink r:id="rId12" w:history="1">
              <w:r w:rsidRPr="009E3E46">
                <w:rPr>
                  <w:rStyle w:val="Hyperlink"/>
                  <w:sz w:val="20"/>
                  <w:szCs w:val="20"/>
                </w:rPr>
                <w:t>https://www.afme.eu/reports/publications/details//Artificial-Intelligence-Adoption-in-Capital-Markets</w:t>
              </w:r>
            </w:hyperlink>
            <w:r w:rsidRPr="00AF6407">
              <w:rPr>
                <w:sz w:val="20"/>
                <w:szCs w:val="20"/>
              </w:rPr>
              <w:t xml:space="preserve">), there are many areas in which AI is already beginning to be deployed, bringing significant benefits for the sector. </w:t>
            </w:r>
          </w:p>
          <w:p w14:paraId="728269DF" w14:textId="77777777" w:rsidR="00F22969" w:rsidRDefault="009E3E46" w:rsidP="00F22969">
            <w:pPr>
              <w:pStyle w:val="ListParagraph"/>
              <w:numPr>
                <w:ilvl w:val="0"/>
                <w:numId w:val="26"/>
              </w:numPr>
              <w:spacing w:after="120"/>
              <w:ind w:left="184" w:hanging="142"/>
              <w:rPr>
                <w:sz w:val="20"/>
                <w:szCs w:val="20"/>
              </w:rPr>
            </w:pPr>
            <w:r w:rsidRPr="00AF6407">
              <w:rPr>
                <w:sz w:val="20"/>
                <w:szCs w:val="20"/>
              </w:rPr>
              <w:t>Our report on Technology and Innovation in Europe’s Capital Markets, published later that year (</w:t>
            </w:r>
            <w:hyperlink r:id="rId13" w:history="1">
              <w:r w:rsidRPr="00F22969">
                <w:rPr>
                  <w:rStyle w:val="Hyperlink"/>
                  <w:sz w:val="20"/>
                  <w:szCs w:val="20"/>
                </w:rPr>
                <w:t>https://www.afme.eu/reports/publications/details/technology-and-innovation-in-europes-capital-markets</w:t>
              </w:r>
            </w:hyperlink>
            <w:r w:rsidRPr="00AF6407">
              <w:rPr>
                <w:sz w:val="20"/>
                <w:szCs w:val="20"/>
              </w:rPr>
              <w:t xml:space="preserve">) noted that market participants saw AI being embedded over 5 years in functions such as: natural language processing (NLP), such as speech recognition; optical character recognition (OCR), such as the ability to read unstructured (e.g. handwritten) documents; and trading risk analytics, and social networks analysis.  </w:t>
            </w:r>
          </w:p>
          <w:p w14:paraId="40EF9B4B" w14:textId="2F9B43BD" w:rsidR="009E3E46" w:rsidRPr="00AF6407" w:rsidRDefault="009E3E46" w:rsidP="00AF6407">
            <w:pPr>
              <w:pStyle w:val="ListParagraph"/>
              <w:numPr>
                <w:ilvl w:val="0"/>
                <w:numId w:val="26"/>
              </w:numPr>
              <w:spacing w:after="120"/>
              <w:ind w:left="184" w:hanging="142"/>
              <w:rPr>
                <w:sz w:val="20"/>
                <w:szCs w:val="20"/>
              </w:rPr>
            </w:pPr>
            <w:r w:rsidRPr="00AF6407">
              <w:rPr>
                <w:sz w:val="20"/>
                <w:szCs w:val="20"/>
              </w:rPr>
              <w:lastRenderedPageBreak/>
              <w:t xml:space="preserve">The key benefit of AI is that it allows firms to perform tasks that would otherwise be too complex, </w:t>
            </w:r>
            <w:proofErr w:type="gramStart"/>
            <w:r w:rsidRPr="00AF6407">
              <w:rPr>
                <w:sz w:val="20"/>
                <w:szCs w:val="20"/>
              </w:rPr>
              <w:t>slow</w:t>
            </w:r>
            <w:proofErr w:type="gramEnd"/>
            <w:r w:rsidRPr="00AF6407">
              <w:rPr>
                <w:sz w:val="20"/>
                <w:szCs w:val="20"/>
              </w:rPr>
              <w:t xml:space="preserve"> or labour-intensive. Our white paper called out the following </w:t>
            </w:r>
            <w:proofErr w:type="gramStart"/>
            <w:r w:rsidRPr="00AF6407">
              <w:rPr>
                <w:sz w:val="20"/>
                <w:szCs w:val="20"/>
              </w:rPr>
              <w:t>particular benefits</w:t>
            </w:r>
            <w:proofErr w:type="gramEnd"/>
            <w:r w:rsidRPr="00AF6407">
              <w:rPr>
                <w:sz w:val="20"/>
                <w:szCs w:val="20"/>
              </w:rPr>
              <w:t xml:space="preserve"> for capital markets firms:</w:t>
            </w:r>
          </w:p>
          <w:p w14:paraId="27634260" w14:textId="7A345ED2" w:rsidR="00F22969" w:rsidRDefault="009E3E46" w:rsidP="00F22969">
            <w:pPr>
              <w:pStyle w:val="ListParagraph"/>
              <w:numPr>
                <w:ilvl w:val="1"/>
                <w:numId w:val="26"/>
              </w:numPr>
              <w:spacing w:after="120"/>
              <w:ind w:left="606" w:hanging="284"/>
              <w:rPr>
                <w:sz w:val="20"/>
                <w:szCs w:val="20"/>
              </w:rPr>
            </w:pPr>
            <w:r w:rsidRPr="00E5360C">
              <w:rPr>
                <w:sz w:val="20"/>
                <w:szCs w:val="20"/>
              </w:rPr>
              <w:t>Client servicing</w:t>
            </w:r>
            <w:r>
              <w:rPr>
                <w:sz w:val="20"/>
                <w:szCs w:val="20"/>
              </w:rPr>
              <w:t>, e.g.</w:t>
            </w:r>
            <w:r w:rsidRPr="00E5360C">
              <w:rPr>
                <w:sz w:val="20"/>
                <w:szCs w:val="20"/>
              </w:rPr>
              <w:t xml:space="preserve"> personalised products and services to meet individual client needs;</w:t>
            </w:r>
            <w:r>
              <w:rPr>
                <w:sz w:val="20"/>
                <w:szCs w:val="20"/>
              </w:rPr>
              <w:t xml:space="preserve"> a</w:t>
            </w:r>
            <w:r w:rsidRPr="00E5360C">
              <w:rPr>
                <w:sz w:val="20"/>
                <w:szCs w:val="20"/>
              </w:rPr>
              <w:t xml:space="preserve">utomated and predictive resolution of client service </w:t>
            </w:r>
            <w:proofErr w:type="gramStart"/>
            <w:r w:rsidRPr="00E5360C">
              <w:rPr>
                <w:sz w:val="20"/>
                <w:szCs w:val="20"/>
              </w:rPr>
              <w:t>issues</w:t>
            </w:r>
            <w:r w:rsidR="00F22969">
              <w:rPr>
                <w:sz w:val="20"/>
                <w:szCs w:val="20"/>
              </w:rPr>
              <w:t>;</w:t>
            </w:r>
            <w:proofErr w:type="gramEnd"/>
          </w:p>
          <w:p w14:paraId="76171AAA" w14:textId="6F66D794" w:rsidR="00F22969" w:rsidRDefault="009E3E46" w:rsidP="00F22969">
            <w:pPr>
              <w:pStyle w:val="ListParagraph"/>
              <w:numPr>
                <w:ilvl w:val="1"/>
                <w:numId w:val="26"/>
              </w:numPr>
              <w:spacing w:after="120"/>
              <w:ind w:left="606" w:hanging="284"/>
              <w:rPr>
                <w:sz w:val="20"/>
                <w:szCs w:val="20"/>
              </w:rPr>
            </w:pPr>
            <w:r w:rsidRPr="00AF6407">
              <w:rPr>
                <w:sz w:val="20"/>
                <w:szCs w:val="20"/>
              </w:rPr>
              <w:t xml:space="preserve">Organisational change and operational efficiency, e.g. enables existing staff to focus on high value efforts and activities; improved decision-making based on increased data and simulations; continuous performance </w:t>
            </w:r>
            <w:proofErr w:type="gramStart"/>
            <w:r w:rsidRPr="00AF6407">
              <w:rPr>
                <w:sz w:val="20"/>
                <w:szCs w:val="20"/>
              </w:rPr>
              <w:t>improvements</w:t>
            </w:r>
            <w:r w:rsidR="00F22969">
              <w:rPr>
                <w:sz w:val="20"/>
                <w:szCs w:val="20"/>
              </w:rPr>
              <w:t>;</w:t>
            </w:r>
            <w:proofErr w:type="gramEnd"/>
          </w:p>
          <w:p w14:paraId="1D8E1C1E" w14:textId="6C596DFC" w:rsidR="00F22969" w:rsidRDefault="009E3E46" w:rsidP="00F22969">
            <w:pPr>
              <w:pStyle w:val="ListParagraph"/>
              <w:numPr>
                <w:ilvl w:val="1"/>
                <w:numId w:val="26"/>
              </w:numPr>
              <w:spacing w:after="120"/>
              <w:ind w:left="606" w:hanging="284"/>
              <w:rPr>
                <w:sz w:val="20"/>
                <w:szCs w:val="20"/>
              </w:rPr>
            </w:pPr>
            <w:r w:rsidRPr="00AF6407">
              <w:rPr>
                <w:sz w:val="20"/>
                <w:szCs w:val="20"/>
              </w:rPr>
              <w:t>Market efficiency, e.g. reduced transaction breaks and exceptions and increasing data quality; more rapid entry into and development of new markets; increased standardisation and commoditisation of existing products and service</w:t>
            </w:r>
            <w:r w:rsidR="00F22969">
              <w:rPr>
                <w:sz w:val="20"/>
                <w:szCs w:val="20"/>
              </w:rPr>
              <w:t>s;</w:t>
            </w:r>
            <w:r w:rsidR="00323B3D">
              <w:rPr>
                <w:sz w:val="20"/>
                <w:szCs w:val="20"/>
              </w:rPr>
              <w:t xml:space="preserve"> more efficient pricing and execution </w:t>
            </w:r>
            <w:proofErr w:type="gramStart"/>
            <w:r w:rsidR="00323B3D">
              <w:rPr>
                <w:sz w:val="20"/>
                <w:szCs w:val="20"/>
              </w:rPr>
              <w:t>algorithms;</w:t>
            </w:r>
            <w:proofErr w:type="gramEnd"/>
            <w:r w:rsidR="00F22969">
              <w:rPr>
                <w:sz w:val="20"/>
                <w:szCs w:val="20"/>
              </w:rPr>
              <w:t xml:space="preserve"> </w:t>
            </w:r>
          </w:p>
          <w:p w14:paraId="4603CE85" w14:textId="26A681EB" w:rsidR="00F22969" w:rsidRDefault="009E3E46" w:rsidP="00F22969">
            <w:pPr>
              <w:pStyle w:val="ListParagraph"/>
              <w:numPr>
                <w:ilvl w:val="1"/>
                <w:numId w:val="26"/>
              </w:numPr>
              <w:spacing w:after="120"/>
              <w:ind w:left="606" w:hanging="284"/>
              <w:rPr>
                <w:sz w:val="20"/>
                <w:szCs w:val="20"/>
              </w:rPr>
            </w:pPr>
            <w:r w:rsidRPr="00AF6407">
              <w:rPr>
                <w:sz w:val="20"/>
                <w:szCs w:val="20"/>
              </w:rPr>
              <w:t xml:space="preserve">Compliance and reporting, e.g. </w:t>
            </w:r>
            <w:r w:rsidR="00323B3D">
              <w:rPr>
                <w:sz w:val="20"/>
                <w:szCs w:val="20"/>
              </w:rPr>
              <w:t xml:space="preserve">better use of data to prevent and detect fraud, money-laundering and market abuse; </w:t>
            </w:r>
            <w:r w:rsidRPr="00AF6407">
              <w:rPr>
                <w:sz w:val="20"/>
                <w:szCs w:val="20"/>
              </w:rPr>
              <w:t>more efficient processing of information; increased ability for firms to report and supervisors to evaluate large and complex data sets; mining of both structured and unstructured data sets;</w:t>
            </w:r>
            <w:r w:rsidR="00323B3D">
              <w:rPr>
                <w:sz w:val="20"/>
                <w:szCs w:val="20"/>
              </w:rPr>
              <w:t xml:space="preserve"> improved ability for internal monitoring, including voice, for infractions</w:t>
            </w:r>
            <w:r w:rsidR="00F22969">
              <w:rPr>
                <w:sz w:val="20"/>
                <w:szCs w:val="20"/>
              </w:rPr>
              <w:t>;</w:t>
            </w:r>
          </w:p>
          <w:p w14:paraId="1EE81EC0" w14:textId="60085343" w:rsidR="00691F89" w:rsidRDefault="009E3E46" w:rsidP="00691F89">
            <w:pPr>
              <w:pStyle w:val="ListParagraph"/>
              <w:numPr>
                <w:ilvl w:val="1"/>
                <w:numId w:val="26"/>
              </w:numPr>
              <w:spacing w:after="120"/>
              <w:ind w:left="606" w:hanging="284"/>
              <w:rPr>
                <w:sz w:val="20"/>
                <w:szCs w:val="20"/>
              </w:rPr>
            </w:pPr>
            <w:r w:rsidRPr="00691F89">
              <w:rPr>
                <w:sz w:val="20"/>
                <w:szCs w:val="20"/>
              </w:rPr>
              <w:t>Cybersecurity, e.g. reduced time required to detect and respond to cyber threats</w:t>
            </w:r>
            <w:r w:rsidR="00F22969" w:rsidRPr="00691F89">
              <w:rPr>
                <w:sz w:val="20"/>
                <w:szCs w:val="20"/>
              </w:rPr>
              <w:t>; and</w:t>
            </w:r>
          </w:p>
          <w:p w14:paraId="3A6F19F1" w14:textId="25BDB7EC" w:rsidR="00691F89" w:rsidRDefault="00691F89" w:rsidP="00691F89">
            <w:pPr>
              <w:pStyle w:val="ListParagraph"/>
              <w:numPr>
                <w:ilvl w:val="1"/>
                <w:numId w:val="26"/>
              </w:numPr>
              <w:spacing w:after="120"/>
              <w:ind w:left="606" w:hanging="284"/>
              <w:rPr>
                <w:sz w:val="20"/>
                <w:szCs w:val="20"/>
              </w:rPr>
            </w:pPr>
            <w:r>
              <w:rPr>
                <w:sz w:val="20"/>
                <w:szCs w:val="20"/>
              </w:rPr>
              <w:t>Risk management, e.g. better assessment of financial and non-financial risks.</w:t>
            </w:r>
          </w:p>
          <w:p w14:paraId="208A9358" w14:textId="63DBF234" w:rsidR="009E3E46" w:rsidRDefault="009E3E46" w:rsidP="00691F89">
            <w:pPr>
              <w:pStyle w:val="ListParagraph"/>
            </w:pPr>
          </w:p>
        </w:tc>
      </w:tr>
      <w:tr w:rsidR="0017299A" w14:paraId="10692DE0" w14:textId="77777777" w:rsidTr="00CA60D1">
        <w:trPr>
          <w:trHeight w:val="436"/>
        </w:trPr>
        <w:tc>
          <w:tcPr>
            <w:tcW w:w="790" w:type="dxa"/>
            <w:vMerge w:val="restart"/>
          </w:tcPr>
          <w:p w14:paraId="190457E4" w14:textId="7745CA51" w:rsidR="0017299A" w:rsidRDefault="0017299A" w:rsidP="0017299A">
            <w:pPr>
              <w:spacing w:after="120"/>
              <w:rPr>
                <w:sz w:val="20"/>
                <w:szCs w:val="20"/>
              </w:rPr>
            </w:pPr>
            <w:r>
              <w:rPr>
                <w:sz w:val="20"/>
                <w:szCs w:val="20"/>
              </w:rPr>
              <w:lastRenderedPageBreak/>
              <w:t>39</w:t>
            </w:r>
          </w:p>
        </w:tc>
        <w:tc>
          <w:tcPr>
            <w:tcW w:w="1048" w:type="dxa"/>
          </w:tcPr>
          <w:p w14:paraId="56AC867D" w14:textId="11045C33" w:rsidR="0017299A" w:rsidRDefault="0017299A" w:rsidP="0017299A">
            <w:pPr>
              <w:rPr>
                <w:rFonts w:eastAsia="Times New Roman"/>
                <w:sz w:val="20"/>
                <w:szCs w:val="20"/>
                <w:lang w:eastAsia="en-GB"/>
              </w:rPr>
            </w:pPr>
            <w:r>
              <w:rPr>
                <w:rFonts w:eastAsia="Times New Roman"/>
                <w:sz w:val="20"/>
                <w:szCs w:val="20"/>
                <w:lang w:eastAsia="en-GB"/>
              </w:rPr>
              <w:t>AFME to respond</w:t>
            </w:r>
          </w:p>
        </w:tc>
        <w:tc>
          <w:tcPr>
            <w:tcW w:w="8619" w:type="dxa"/>
          </w:tcPr>
          <w:p w14:paraId="280EBDA6" w14:textId="77777777" w:rsidR="0017299A" w:rsidRDefault="0017299A" w:rsidP="0017299A">
            <w:pPr>
              <w:spacing w:after="120"/>
              <w:rPr>
                <w:sz w:val="20"/>
                <w:szCs w:val="20"/>
              </w:rPr>
            </w:pPr>
            <w:r>
              <w:rPr>
                <w:sz w:val="20"/>
                <w:szCs w:val="20"/>
              </w:rPr>
              <w:t xml:space="preserve">1. </w:t>
            </w:r>
            <w:r w:rsidRPr="008519A8">
              <w:rPr>
                <w:sz w:val="20"/>
                <w:szCs w:val="20"/>
              </w:rPr>
              <w:t>Main challenges or risks of AI based models for the financial industry:</w:t>
            </w:r>
          </w:p>
          <w:p w14:paraId="588E5761" w14:textId="60747FE6" w:rsidR="0017299A" w:rsidRPr="008519A8" w:rsidRDefault="0017299A" w:rsidP="0017299A">
            <w:pPr>
              <w:pStyle w:val="ListParagraph"/>
              <w:numPr>
                <w:ilvl w:val="0"/>
                <w:numId w:val="37"/>
              </w:numPr>
              <w:spacing w:after="120"/>
              <w:rPr>
                <w:sz w:val="20"/>
                <w:szCs w:val="20"/>
              </w:rPr>
            </w:pPr>
            <w:r>
              <w:rPr>
                <w:sz w:val="20"/>
                <w:szCs w:val="20"/>
              </w:rPr>
              <w:t xml:space="preserve">1.1. </w:t>
            </w:r>
            <w:r w:rsidRPr="008519A8">
              <w:rPr>
                <w:sz w:val="20"/>
                <w:szCs w:val="20"/>
              </w:rPr>
              <w:t>Lack of legal clarity on certain horizontal EU rules</w:t>
            </w:r>
            <w:r>
              <w:rPr>
                <w:sz w:val="20"/>
                <w:szCs w:val="20"/>
              </w:rPr>
              <w:t>: 4 – rather relevant</w:t>
            </w:r>
          </w:p>
          <w:p w14:paraId="67BB086A" w14:textId="77777777" w:rsidR="0017299A" w:rsidRPr="008519A8" w:rsidRDefault="0017299A" w:rsidP="0017299A">
            <w:pPr>
              <w:pStyle w:val="ListParagraph"/>
              <w:numPr>
                <w:ilvl w:val="0"/>
                <w:numId w:val="37"/>
              </w:numPr>
              <w:spacing w:after="120"/>
              <w:rPr>
                <w:sz w:val="20"/>
                <w:szCs w:val="20"/>
              </w:rPr>
            </w:pPr>
            <w:r>
              <w:rPr>
                <w:sz w:val="20"/>
                <w:szCs w:val="20"/>
              </w:rPr>
              <w:t xml:space="preserve">1.2. </w:t>
            </w:r>
            <w:r w:rsidRPr="008519A8">
              <w:rPr>
                <w:sz w:val="20"/>
                <w:szCs w:val="20"/>
              </w:rPr>
              <w:t>Lack of legal clarity on certain sector-specific EU rules</w:t>
            </w:r>
            <w:r>
              <w:rPr>
                <w:sz w:val="20"/>
                <w:szCs w:val="20"/>
              </w:rPr>
              <w:t>: 3 - neutral</w:t>
            </w:r>
          </w:p>
          <w:p w14:paraId="0D3EC518" w14:textId="77777777" w:rsidR="0017299A" w:rsidRPr="008519A8" w:rsidRDefault="0017299A" w:rsidP="0017299A">
            <w:pPr>
              <w:pStyle w:val="ListParagraph"/>
              <w:numPr>
                <w:ilvl w:val="0"/>
                <w:numId w:val="37"/>
              </w:numPr>
              <w:spacing w:after="120"/>
              <w:rPr>
                <w:sz w:val="20"/>
                <w:szCs w:val="20"/>
              </w:rPr>
            </w:pPr>
            <w:r>
              <w:rPr>
                <w:sz w:val="20"/>
                <w:szCs w:val="20"/>
              </w:rPr>
              <w:t xml:space="preserve">1.3. </w:t>
            </w:r>
            <w:r w:rsidRPr="008519A8">
              <w:rPr>
                <w:sz w:val="20"/>
                <w:szCs w:val="20"/>
              </w:rPr>
              <w:t>Lack of skills to develop such models</w:t>
            </w:r>
            <w:r>
              <w:rPr>
                <w:sz w:val="20"/>
                <w:szCs w:val="20"/>
              </w:rPr>
              <w:t>: 5 – fully relevant</w:t>
            </w:r>
          </w:p>
          <w:p w14:paraId="3C1BE37D" w14:textId="77777777" w:rsidR="0017299A" w:rsidRPr="008519A8" w:rsidRDefault="0017299A" w:rsidP="0017299A">
            <w:pPr>
              <w:pStyle w:val="ListParagraph"/>
              <w:numPr>
                <w:ilvl w:val="0"/>
                <w:numId w:val="37"/>
              </w:numPr>
              <w:spacing w:after="120"/>
              <w:rPr>
                <w:sz w:val="20"/>
                <w:szCs w:val="20"/>
              </w:rPr>
            </w:pPr>
            <w:r>
              <w:rPr>
                <w:sz w:val="20"/>
                <w:szCs w:val="20"/>
              </w:rPr>
              <w:t xml:space="preserve">1.4. </w:t>
            </w:r>
            <w:r w:rsidRPr="008519A8">
              <w:rPr>
                <w:sz w:val="20"/>
                <w:szCs w:val="20"/>
              </w:rPr>
              <w:t>Lack of understanding from and oversight by the supervisory authorities</w:t>
            </w:r>
            <w:r>
              <w:rPr>
                <w:sz w:val="20"/>
                <w:szCs w:val="20"/>
              </w:rPr>
              <w:t>: 4 – rather relevant</w:t>
            </w:r>
          </w:p>
          <w:p w14:paraId="14F30DFA" w14:textId="77777777" w:rsidR="0017299A" w:rsidRPr="008519A8" w:rsidRDefault="0017299A" w:rsidP="0017299A">
            <w:pPr>
              <w:pStyle w:val="ListParagraph"/>
              <w:numPr>
                <w:ilvl w:val="0"/>
                <w:numId w:val="37"/>
              </w:numPr>
              <w:spacing w:after="120"/>
              <w:rPr>
                <w:sz w:val="20"/>
                <w:szCs w:val="20"/>
              </w:rPr>
            </w:pPr>
            <w:r>
              <w:rPr>
                <w:sz w:val="20"/>
                <w:szCs w:val="20"/>
              </w:rPr>
              <w:t xml:space="preserve">1.5. </w:t>
            </w:r>
            <w:r w:rsidRPr="008519A8">
              <w:rPr>
                <w:sz w:val="20"/>
                <w:szCs w:val="20"/>
              </w:rPr>
              <w:t>Concentration risks</w:t>
            </w:r>
            <w:r>
              <w:rPr>
                <w:sz w:val="20"/>
                <w:szCs w:val="20"/>
              </w:rPr>
              <w:t>: 2 – rather not relevant</w:t>
            </w:r>
          </w:p>
          <w:p w14:paraId="33B0603F" w14:textId="18211ECC" w:rsidR="0017299A" w:rsidRPr="008519A8" w:rsidRDefault="0017299A" w:rsidP="0017299A">
            <w:pPr>
              <w:pStyle w:val="ListParagraph"/>
              <w:numPr>
                <w:ilvl w:val="0"/>
                <w:numId w:val="37"/>
              </w:numPr>
              <w:spacing w:after="120"/>
              <w:rPr>
                <w:sz w:val="20"/>
                <w:szCs w:val="20"/>
              </w:rPr>
            </w:pPr>
            <w:r>
              <w:rPr>
                <w:sz w:val="20"/>
                <w:szCs w:val="20"/>
              </w:rPr>
              <w:t xml:space="preserve">1.6. </w:t>
            </w:r>
            <w:r w:rsidRPr="008519A8">
              <w:rPr>
                <w:sz w:val="20"/>
                <w:szCs w:val="20"/>
              </w:rPr>
              <w:t>Other</w:t>
            </w:r>
          </w:p>
        </w:tc>
      </w:tr>
      <w:tr w:rsidR="0017299A" w14:paraId="56226CEB" w14:textId="77777777" w:rsidTr="00CA60D1">
        <w:trPr>
          <w:trHeight w:val="436"/>
        </w:trPr>
        <w:tc>
          <w:tcPr>
            <w:tcW w:w="790" w:type="dxa"/>
            <w:vMerge/>
          </w:tcPr>
          <w:p w14:paraId="67CBEA4A" w14:textId="77777777" w:rsidR="0017299A" w:rsidRDefault="0017299A" w:rsidP="0017299A">
            <w:pPr>
              <w:spacing w:after="120"/>
              <w:rPr>
                <w:sz w:val="20"/>
                <w:szCs w:val="20"/>
              </w:rPr>
            </w:pPr>
          </w:p>
        </w:tc>
        <w:tc>
          <w:tcPr>
            <w:tcW w:w="1048" w:type="dxa"/>
          </w:tcPr>
          <w:p w14:paraId="14E8060E" w14:textId="3C5A4424" w:rsidR="0017299A" w:rsidRDefault="0017299A" w:rsidP="0017299A">
            <w:pPr>
              <w:rPr>
                <w:rFonts w:eastAsia="Times New Roman"/>
                <w:sz w:val="20"/>
                <w:szCs w:val="20"/>
                <w:lang w:eastAsia="en-GB"/>
              </w:rPr>
            </w:pPr>
            <w:r>
              <w:rPr>
                <w:rFonts w:eastAsia="Times New Roman"/>
                <w:sz w:val="20"/>
                <w:szCs w:val="20"/>
                <w:lang w:eastAsia="en-GB"/>
              </w:rPr>
              <w:t>AFME to respond</w:t>
            </w:r>
          </w:p>
        </w:tc>
        <w:tc>
          <w:tcPr>
            <w:tcW w:w="8619" w:type="dxa"/>
          </w:tcPr>
          <w:p w14:paraId="3C2866E6" w14:textId="77777777" w:rsidR="0017299A" w:rsidRDefault="0017299A" w:rsidP="0017299A">
            <w:pPr>
              <w:pStyle w:val="ListParagraph"/>
              <w:numPr>
                <w:ilvl w:val="0"/>
                <w:numId w:val="37"/>
              </w:numPr>
              <w:spacing w:after="120"/>
              <w:rPr>
                <w:sz w:val="20"/>
                <w:szCs w:val="20"/>
              </w:rPr>
            </w:pPr>
            <w:r w:rsidRPr="002F184D">
              <w:rPr>
                <w:sz w:val="20"/>
                <w:szCs w:val="20"/>
              </w:rPr>
              <w:t xml:space="preserve">In relation to a lack of legal clarity on horizonal or sector-specific rules, we note our response to Question 37. In most cases, we feel that the solution would be more dialogue between supervisors and the industry to obtain clarity on expectations, rather than regulatory changes.  </w:t>
            </w:r>
          </w:p>
          <w:p w14:paraId="480241E8" w14:textId="77777777" w:rsidR="0017299A" w:rsidRDefault="0017299A" w:rsidP="0017299A">
            <w:pPr>
              <w:pStyle w:val="ListParagraph"/>
              <w:numPr>
                <w:ilvl w:val="0"/>
                <w:numId w:val="37"/>
              </w:numPr>
              <w:spacing w:after="120"/>
              <w:rPr>
                <w:sz w:val="20"/>
                <w:szCs w:val="20"/>
              </w:rPr>
            </w:pPr>
            <w:r w:rsidRPr="002F184D">
              <w:rPr>
                <w:sz w:val="20"/>
                <w:szCs w:val="20"/>
              </w:rPr>
              <w:t xml:space="preserve">In relation to industry skills and supervisory understanding of AI, these should be a key priority for both the public and private sectors. We note that although supervisors have devoted significant resource to upskilling their staff, this must be a continuous process. Additionally, we feel that the progress has not been consistent across all supervisory authorities, which risks leading to a disparity of approaches and potentially unequal development of AI capabilities across the EU.  </w:t>
            </w:r>
          </w:p>
          <w:p w14:paraId="4E46B5AC" w14:textId="065519E3" w:rsidR="00691F89" w:rsidRPr="00691F89" w:rsidRDefault="00691F89" w:rsidP="00691F89">
            <w:pPr>
              <w:pStyle w:val="ListParagraph"/>
              <w:numPr>
                <w:ilvl w:val="0"/>
                <w:numId w:val="37"/>
              </w:numPr>
              <w:spacing w:after="120"/>
              <w:rPr>
                <w:sz w:val="20"/>
                <w:szCs w:val="20"/>
              </w:rPr>
            </w:pPr>
            <w:r>
              <w:rPr>
                <w:sz w:val="20"/>
                <w:szCs w:val="20"/>
              </w:rPr>
              <w:t>In relation to other issues, a</w:t>
            </w:r>
            <w:r w:rsidRPr="00691F89">
              <w:rPr>
                <w:sz w:val="20"/>
                <w:szCs w:val="20"/>
              </w:rPr>
              <w:t xml:space="preserve">ccess to quality and consistent data sets presents a challenge for AI adoption in financial services. Broad data sets are required to train models, and to ensure the benefits data-driven innovation can materialise. </w:t>
            </w:r>
          </w:p>
          <w:p w14:paraId="243D1384" w14:textId="4A02C3D6" w:rsidR="00A37098" w:rsidRPr="008519A8" w:rsidRDefault="00691F89" w:rsidP="00691F89">
            <w:pPr>
              <w:pStyle w:val="ListParagraph"/>
              <w:numPr>
                <w:ilvl w:val="0"/>
                <w:numId w:val="37"/>
              </w:numPr>
              <w:spacing w:after="120"/>
              <w:rPr>
                <w:sz w:val="20"/>
                <w:szCs w:val="20"/>
              </w:rPr>
            </w:pPr>
            <w:r w:rsidRPr="00691F89">
              <w:rPr>
                <w:sz w:val="20"/>
                <w:szCs w:val="20"/>
              </w:rPr>
              <w:t xml:space="preserve">Further, we note while there is potential for risks that not listed above to arise, these should be appropriately addressed by firms’ robust internal control frameworks. These include the inadvertent creation of malfunctions in models, machine’s learning to engage in misconduct, and inappropriate data use. However, these issues should all be addressed by firms through the use of skilled </w:t>
            </w:r>
            <w:proofErr w:type="gramStart"/>
            <w:r w:rsidRPr="00691F89">
              <w:rPr>
                <w:sz w:val="20"/>
                <w:szCs w:val="20"/>
              </w:rPr>
              <w:t>first and second line</w:t>
            </w:r>
            <w:proofErr w:type="gramEnd"/>
            <w:r w:rsidRPr="00691F89">
              <w:rPr>
                <w:sz w:val="20"/>
                <w:szCs w:val="20"/>
              </w:rPr>
              <w:t xml:space="preserve"> talent, ongoing user testing, appropriate model governance, close engagement with model developers and robust data use governance.</w:t>
            </w:r>
          </w:p>
        </w:tc>
      </w:tr>
      <w:tr w:rsidR="009E3E46" w14:paraId="6FFD40FF" w14:textId="77777777" w:rsidTr="00CA60D1">
        <w:trPr>
          <w:trHeight w:val="436"/>
        </w:trPr>
        <w:tc>
          <w:tcPr>
            <w:tcW w:w="790" w:type="dxa"/>
            <w:vMerge/>
          </w:tcPr>
          <w:p w14:paraId="3BABE7F0" w14:textId="77777777" w:rsidR="009E3E46" w:rsidRDefault="009E3E46" w:rsidP="009E3E46">
            <w:pPr>
              <w:spacing w:after="120"/>
              <w:rPr>
                <w:sz w:val="20"/>
                <w:szCs w:val="20"/>
              </w:rPr>
            </w:pPr>
          </w:p>
        </w:tc>
        <w:tc>
          <w:tcPr>
            <w:tcW w:w="1048" w:type="dxa"/>
          </w:tcPr>
          <w:p w14:paraId="4CEDA7B8" w14:textId="0DE35718"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6590F547" w14:textId="159D8BCC" w:rsidR="009E3E46" w:rsidRDefault="009E3E46" w:rsidP="009E3E46">
            <w:pPr>
              <w:spacing w:after="120"/>
              <w:rPr>
                <w:sz w:val="20"/>
                <w:szCs w:val="20"/>
              </w:rPr>
            </w:pPr>
            <w:r>
              <w:rPr>
                <w:sz w:val="20"/>
                <w:szCs w:val="20"/>
              </w:rPr>
              <w:t xml:space="preserve">2. </w:t>
            </w:r>
            <w:r w:rsidRPr="008519A8">
              <w:rPr>
                <w:sz w:val="20"/>
                <w:szCs w:val="20"/>
              </w:rPr>
              <w:t xml:space="preserve">Main challenges or risks of AI based models for </w:t>
            </w:r>
            <w:r>
              <w:rPr>
                <w:sz w:val="20"/>
                <w:szCs w:val="20"/>
              </w:rPr>
              <w:t>consumers/investors</w:t>
            </w:r>
            <w:r w:rsidRPr="008519A8">
              <w:rPr>
                <w:sz w:val="20"/>
                <w:szCs w:val="20"/>
              </w:rPr>
              <w:t>:</w:t>
            </w:r>
          </w:p>
          <w:p w14:paraId="5FBF490B" w14:textId="1869A407" w:rsidR="009E3E46" w:rsidRPr="008519A8" w:rsidRDefault="009E3E46" w:rsidP="009E3E46">
            <w:pPr>
              <w:pStyle w:val="ListParagraph"/>
              <w:numPr>
                <w:ilvl w:val="0"/>
                <w:numId w:val="37"/>
              </w:numPr>
              <w:spacing w:after="120"/>
              <w:rPr>
                <w:sz w:val="20"/>
                <w:szCs w:val="20"/>
              </w:rPr>
            </w:pPr>
            <w:r w:rsidRPr="008519A8">
              <w:rPr>
                <w:sz w:val="20"/>
                <w:szCs w:val="20"/>
              </w:rPr>
              <w:t>2.1. Lack of awareness on the use of an algorithm</w:t>
            </w:r>
            <w:r>
              <w:rPr>
                <w:sz w:val="20"/>
                <w:szCs w:val="20"/>
              </w:rPr>
              <w:t xml:space="preserve">: </w:t>
            </w:r>
            <w:r w:rsidR="0017299A">
              <w:rPr>
                <w:sz w:val="20"/>
                <w:szCs w:val="20"/>
              </w:rPr>
              <w:t>3 - neutral</w:t>
            </w:r>
          </w:p>
          <w:p w14:paraId="486222F5" w14:textId="27C65FA2" w:rsidR="009E3E46" w:rsidRPr="008519A8" w:rsidRDefault="009E3E46" w:rsidP="009E3E46">
            <w:pPr>
              <w:pStyle w:val="ListParagraph"/>
              <w:numPr>
                <w:ilvl w:val="0"/>
                <w:numId w:val="37"/>
              </w:numPr>
              <w:spacing w:after="120"/>
              <w:rPr>
                <w:sz w:val="20"/>
                <w:szCs w:val="20"/>
              </w:rPr>
            </w:pPr>
            <w:r w:rsidRPr="008519A8">
              <w:rPr>
                <w:sz w:val="20"/>
                <w:szCs w:val="20"/>
              </w:rPr>
              <w:t>2.2. Lack of transparency on how the outcome has been produced</w:t>
            </w:r>
            <w:r>
              <w:rPr>
                <w:sz w:val="20"/>
                <w:szCs w:val="20"/>
              </w:rPr>
              <w:t xml:space="preserve">: </w:t>
            </w:r>
            <w:r w:rsidR="0017299A">
              <w:rPr>
                <w:sz w:val="20"/>
                <w:szCs w:val="20"/>
              </w:rPr>
              <w:t>3 - neutral</w:t>
            </w:r>
          </w:p>
          <w:p w14:paraId="77E3E36C" w14:textId="004FA172" w:rsidR="009E3E46" w:rsidRPr="008519A8" w:rsidRDefault="009E3E46" w:rsidP="009E3E46">
            <w:pPr>
              <w:pStyle w:val="ListParagraph"/>
              <w:numPr>
                <w:ilvl w:val="0"/>
                <w:numId w:val="37"/>
              </w:numPr>
              <w:spacing w:after="120"/>
              <w:rPr>
                <w:sz w:val="20"/>
                <w:szCs w:val="20"/>
              </w:rPr>
            </w:pPr>
            <w:r w:rsidRPr="008519A8">
              <w:rPr>
                <w:sz w:val="20"/>
                <w:szCs w:val="20"/>
              </w:rPr>
              <w:t>2.3. Lack of understanding on how the outcome has been produced</w:t>
            </w:r>
            <w:r>
              <w:rPr>
                <w:sz w:val="20"/>
                <w:szCs w:val="20"/>
              </w:rPr>
              <w:t xml:space="preserve">: </w:t>
            </w:r>
            <w:r w:rsidR="0017299A">
              <w:rPr>
                <w:sz w:val="20"/>
                <w:szCs w:val="20"/>
              </w:rPr>
              <w:t>3 - neutral</w:t>
            </w:r>
          </w:p>
          <w:p w14:paraId="7C989EF1" w14:textId="09F152DB" w:rsidR="009E3E46" w:rsidRPr="008519A8" w:rsidRDefault="009E3E46" w:rsidP="009E3E46">
            <w:pPr>
              <w:pStyle w:val="ListParagraph"/>
              <w:numPr>
                <w:ilvl w:val="0"/>
                <w:numId w:val="37"/>
              </w:numPr>
              <w:spacing w:after="120"/>
              <w:rPr>
                <w:sz w:val="20"/>
                <w:szCs w:val="20"/>
              </w:rPr>
            </w:pPr>
            <w:r w:rsidRPr="008519A8">
              <w:rPr>
                <w:sz w:val="20"/>
                <w:szCs w:val="20"/>
              </w:rPr>
              <w:t>2.4. Difficult to challenge a specific outcome</w:t>
            </w:r>
            <w:r>
              <w:rPr>
                <w:sz w:val="20"/>
                <w:szCs w:val="20"/>
              </w:rPr>
              <w:t xml:space="preserve">: </w:t>
            </w:r>
            <w:r w:rsidR="0017299A">
              <w:rPr>
                <w:sz w:val="20"/>
                <w:szCs w:val="20"/>
              </w:rPr>
              <w:t>3 - neutral</w:t>
            </w:r>
          </w:p>
          <w:p w14:paraId="0616755F" w14:textId="0A045722" w:rsidR="009E3E46" w:rsidRPr="008519A8" w:rsidRDefault="009E3E46" w:rsidP="009E3E46">
            <w:pPr>
              <w:pStyle w:val="ListParagraph"/>
              <w:numPr>
                <w:ilvl w:val="0"/>
                <w:numId w:val="37"/>
              </w:numPr>
              <w:spacing w:after="120"/>
              <w:rPr>
                <w:sz w:val="20"/>
                <w:szCs w:val="20"/>
              </w:rPr>
            </w:pPr>
            <w:r w:rsidRPr="008519A8">
              <w:rPr>
                <w:sz w:val="20"/>
                <w:szCs w:val="20"/>
              </w:rPr>
              <w:t>2.5. Biases and/or exploitative profiling</w:t>
            </w:r>
            <w:r>
              <w:rPr>
                <w:sz w:val="20"/>
                <w:szCs w:val="20"/>
              </w:rPr>
              <w:t xml:space="preserve">: </w:t>
            </w:r>
            <w:r w:rsidR="0017299A">
              <w:rPr>
                <w:sz w:val="20"/>
                <w:szCs w:val="20"/>
              </w:rPr>
              <w:t>3 - neutral</w:t>
            </w:r>
          </w:p>
          <w:p w14:paraId="26A16DB1" w14:textId="638F5E59" w:rsidR="009E3E46" w:rsidRPr="008519A8" w:rsidRDefault="009E3E46" w:rsidP="009E3E46">
            <w:pPr>
              <w:pStyle w:val="ListParagraph"/>
              <w:numPr>
                <w:ilvl w:val="0"/>
                <w:numId w:val="37"/>
              </w:numPr>
              <w:spacing w:after="120"/>
              <w:rPr>
                <w:sz w:val="20"/>
                <w:szCs w:val="20"/>
              </w:rPr>
            </w:pPr>
            <w:r w:rsidRPr="008519A8">
              <w:rPr>
                <w:sz w:val="20"/>
                <w:szCs w:val="20"/>
              </w:rPr>
              <w:lastRenderedPageBreak/>
              <w:t>2.6. Financial exclusion</w:t>
            </w:r>
            <w:r>
              <w:rPr>
                <w:sz w:val="20"/>
                <w:szCs w:val="20"/>
              </w:rPr>
              <w:t xml:space="preserve">: </w:t>
            </w:r>
            <w:r w:rsidR="0017299A">
              <w:rPr>
                <w:sz w:val="20"/>
                <w:szCs w:val="20"/>
              </w:rPr>
              <w:t>N/A</w:t>
            </w:r>
          </w:p>
          <w:p w14:paraId="19F9F146" w14:textId="0E237752" w:rsidR="009E3E46" w:rsidRPr="008519A8" w:rsidRDefault="009E3E46" w:rsidP="009E3E46">
            <w:pPr>
              <w:pStyle w:val="ListParagraph"/>
              <w:numPr>
                <w:ilvl w:val="0"/>
                <w:numId w:val="37"/>
              </w:numPr>
              <w:spacing w:after="120"/>
              <w:rPr>
                <w:sz w:val="20"/>
                <w:szCs w:val="20"/>
              </w:rPr>
            </w:pPr>
            <w:r w:rsidRPr="008519A8">
              <w:rPr>
                <w:sz w:val="20"/>
                <w:szCs w:val="20"/>
              </w:rPr>
              <w:t xml:space="preserve">2.7. Algorithm-based behavioural manipulation (e.g. collusion and </w:t>
            </w:r>
            <w:proofErr w:type="gramStart"/>
            <w:r w:rsidRPr="008519A8">
              <w:rPr>
                <w:sz w:val="20"/>
                <w:szCs w:val="20"/>
              </w:rPr>
              <w:t>other</w:t>
            </w:r>
            <w:proofErr w:type="gramEnd"/>
            <w:r w:rsidRPr="008519A8">
              <w:rPr>
                <w:sz w:val="20"/>
                <w:szCs w:val="20"/>
              </w:rPr>
              <w:t xml:space="preserve"> coordinated firm behaviour)</w:t>
            </w:r>
            <w:r>
              <w:rPr>
                <w:sz w:val="20"/>
                <w:szCs w:val="20"/>
              </w:rPr>
              <w:t xml:space="preserve">: </w:t>
            </w:r>
            <w:r w:rsidR="0017299A">
              <w:rPr>
                <w:sz w:val="20"/>
                <w:szCs w:val="20"/>
              </w:rPr>
              <w:t>3 - neutral</w:t>
            </w:r>
          </w:p>
          <w:p w14:paraId="24A9D955" w14:textId="01A54276" w:rsidR="009E3E46" w:rsidRPr="008519A8" w:rsidRDefault="009E3E46" w:rsidP="009E3E46">
            <w:pPr>
              <w:pStyle w:val="ListParagraph"/>
              <w:numPr>
                <w:ilvl w:val="0"/>
                <w:numId w:val="37"/>
              </w:numPr>
              <w:spacing w:after="120"/>
              <w:rPr>
                <w:sz w:val="20"/>
                <w:szCs w:val="20"/>
              </w:rPr>
            </w:pPr>
            <w:r w:rsidRPr="008519A8">
              <w:rPr>
                <w:sz w:val="20"/>
                <w:szCs w:val="20"/>
              </w:rPr>
              <w:t>2.8. Loss of privacy</w:t>
            </w:r>
            <w:r>
              <w:rPr>
                <w:sz w:val="20"/>
                <w:szCs w:val="20"/>
              </w:rPr>
              <w:t xml:space="preserve">: </w:t>
            </w:r>
            <w:r w:rsidR="0017299A">
              <w:rPr>
                <w:sz w:val="20"/>
                <w:szCs w:val="20"/>
              </w:rPr>
              <w:t>3 - neutral</w:t>
            </w:r>
          </w:p>
          <w:p w14:paraId="54482D43" w14:textId="23034F9F" w:rsidR="009E3E46" w:rsidRDefault="009E3E46" w:rsidP="009E3E46">
            <w:pPr>
              <w:pStyle w:val="ListParagraph"/>
              <w:numPr>
                <w:ilvl w:val="0"/>
                <w:numId w:val="37"/>
              </w:numPr>
              <w:spacing w:after="120"/>
              <w:rPr>
                <w:sz w:val="20"/>
                <w:szCs w:val="20"/>
              </w:rPr>
            </w:pPr>
            <w:r w:rsidRPr="008519A8">
              <w:rPr>
                <w:sz w:val="20"/>
                <w:szCs w:val="20"/>
              </w:rPr>
              <w:t>2.9. Other</w:t>
            </w:r>
          </w:p>
        </w:tc>
      </w:tr>
      <w:tr w:rsidR="009E3E46" w14:paraId="65B9F4CC" w14:textId="77777777" w:rsidTr="00CA60D1">
        <w:trPr>
          <w:trHeight w:val="436"/>
        </w:trPr>
        <w:tc>
          <w:tcPr>
            <w:tcW w:w="790" w:type="dxa"/>
            <w:vMerge/>
          </w:tcPr>
          <w:p w14:paraId="27A6D305" w14:textId="77777777" w:rsidR="009E3E46" w:rsidRDefault="009E3E46" w:rsidP="009E3E46">
            <w:pPr>
              <w:spacing w:after="120"/>
              <w:rPr>
                <w:sz w:val="20"/>
                <w:szCs w:val="20"/>
              </w:rPr>
            </w:pPr>
          </w:p>
        </w:tc>
        <w:tc>
          <w:tcPr>
            <w:tcW w:w="1048" w:type="dxa"/>
          </w:tcPr>
          <w:p w14:paraId="45FA253B" w14:textId="5F1F8C7C"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28732E0A" w14:textId="589BAC2F" w:rsidR="0017299A" w:rsidRPr="00AF6407" w:rsidRDefault="0017299A">
            <w:pPr>
              <w:pStyle w:val="ListParagraph"/>
              <w:numPr>
                <w:ilvl w:val="0"/>
                <w:numId w:val="37"/>
              </w:numPr>
              <w:spacing w:after="120"/>
              <w:rPr>
                <w:sz w:val="20"/>
                <w:szCs w:val="20"/>
              </w:rPr>
            </w:pPr>
            <w:r w:rsidRPr="00AF6407">
              <w:rPr>
                <w:sz w:val="20"/>
                <w:szCs w:val="20"/>
              </w:rPr>
              <w:t xml:space="preserve">We have selected ‘neutral’ for each of the above risks, noting that capital markets </w:t>
            </w:r>
            <w:proofErr w:type="gramStart"/>
            <w:r w:rsidRPr="00AF6407">
              <w:rPr>
                <w:sz w:val="20"/>
                <w:szCs w:val="20"/>
              </w:rPr>
              <w:t>is</w:t>
            </w:r>
            <w:proofErr w:type="gramEnd"/>
            <w:r w:rsidRPr="00AF6407">
              <w:rPr>
                <w:sz w:val="20"/>
                <w:szCs w:val="20"/>
              </w:rPr>
              <w:t xml:space="preserve"> already a highly regulated industry, with firms subject to significant obligations such as preventing/detecting misconduct and the protection of clients. Our scoring is therefore based on our view of the residual risk once this existing regulatory environment is </w:t>
            </w:r>
            <w:proofErr w:type="gramStart"/>
            <w:r w:rsidRPr="00AF6407">
              <w:rPr>
                <w:sz w:val="20"/>
                <w:szCs w:val="20"/>
              </w:rPr>
              <w:t>taken into account</w:t>
            </w:r>
            <w:proofErr w:type="gramEnd"/>
            <w:r w:rsidRPr="00AF6407">
              <w:rPr>
                <w:sz w:val="20"/>
                <w:szCs w:val="20"/>
              </w:rPr>
              <w:t xml:space="preserve">. </w:t>
            </w:r>
          </w:p>
        </w:tc>
      </w:tr>
      <w:tr w:rsidR="009E3E46" w14:paraId="652073C3" w14:textId="77777777" w:rsidTr="00CA60D1">
        <w:trPr>
          <w:trHeight w:val="436"/>
        </w:trPr>
        <w:tc>
          <w:tcPr>
            <w:tcW w:w="790" w:type="dxa"/>
            <w:vMerge/>
          </w:tcPr>
          <w:p w14:paraId="359165E4" w14:textId="77777777" w:rsidR="009E3E46" w:rsidRDefault="009E3E46" w:rsidP="009E3E46">
            <w:pPr>
              <w:spacing w:after="120"/>
              <w:rPr>
                <w:sz w:val="20"/>
                <w:szCs w:val="20"/>
              </w:rPr>
            </w:pPr>
          </w:p>
        </w:tc>
        <w:tc>
          <w:tcPr>
            <w:tcW w:w="1048" w:type="dxa"/>
          </w:tcPr>
          <w:p w14:paraId="25FEBD76" w14:textId="59309806"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3844F47F" w14:textId="2763D35D" w:rsidR="009E3E46" w:rsidRDefault="009E3E46" w:rsidP="009E3E46">
            <w:pPr>
              <w:spacing w:after="120"/>
              <w:rPr>
                <w:sz w:val="20"/>
                <w:szCs w:val="20"/>
              </w:rPr>
            </w:pPr>
            <w:r>
              <w:rPr>
                <w:sz w:val="20"/>
                <w:szCs w:val="20"/>
              </w:rPr>
              <w:t xml:space="preserve">3. </w:t>
            </w:r>
            <w:r w:rsidRPr="008519A8">
              <w:rPr>
                <w:sz w:val="20"/>
                <w:szCs w:val="20"/>
              </w:rPr>
              <w:t xml:space="preserve">Main challenges or risks of AI based models for </w:t>
            </w:r>
            <w:r>
              <w:rPr>
                <w:sz w:val="20"/>
                <w:szCs w:val="20"/>
              </w:rPr>
              <w:t>supervisory authorities</w:t>
            </w:r>
            <w:r w:rsidRPr="008519A8">
              <w:rPr>
                <w:sz w:val="20"/>
                <w:szCs w:val="20"/>
              </w:rPr>
              <w:t>:</w:t>
            </w:r>
          </w:p>
          <w:p w14:paraId="7E6CAEFC" w14:textId="67296FBF" w:rsidR="009E3E46" w:rsidRPr="008519A8" w:rsidRDefault="009E3E46" w:rsidP="009E3E46">
            <w:pPr>
              <w:pStyle w:val="ListParagraph"/>
              <w:numPr>
                <w:ilvl w:val="0"/>
                <w:numId w:val="37"/>
              </w:numPr>
              <w:spacing w:after="120"/>
              <w:rPr>
                <w:sz w:val="20"/>
                <w:szCs w:val="20"/>
              </w:rPr>
            </w:pPr>
            <w:r w:rsidRPr="008519A8">
              <w:rPr>
                <w:sz w:val="20"/>
                <w:szCs w:val="20"/>
              </w:rPr>
              <w:t>3.1. Lack of expertise in understanding more complex AI-based models used by the supervised entities</w:t>
            </w:r>
            <w:r>
              <w:rPr>
                <w:sz w:val="20"/>
                <w:szCs w:val="20"/>
              </w:rPr>
              <w:t xml:space="preserve">: </w:t>
            </w:r>
            <w:r w:rsidR="005301D6">
              <w:rPr>
                <w:sz w:val="20"/>
                <w:szCs w:val="20"/>
              </w:rPr>
              <w:t>4 – rather relevant</w:t>
            </w:r>
          </w:p>
          <w:p w14:paraId="2A81F45B" w14:textId="3BB0E913" w:rsidR="009E3E46" w:rsidRPr="008519A8" w:rsidRDefault="009E3E46" w:rsidP="009E3E46">
            <w:pPr>
              <w:pStyle w:val="ListParagraph"/>
              <w:numPr>
                <w:ilvl w:val="0"/>
                <w:numId w:val="37"/>
              </w:numPr>
              <w:spacing w:after="120"/>
              <w:rPr>
                <w:sz w:val="20"/>
                <w:szCs w:val="20"/>
              </w:rPr>
            </w:pPr>
            <w:r w:rsidRPr="008519A8">
              <w:rPr>
                <w:sz w:val="20"/>
                <w:szCs w:val="20"/>
              </w:rPr>
              <w:t xml:space="preserve">3.2. Lack of clarity in </w:t>
            </w:r>
            <w:proofErr w:type="spellStart"/>
            <w:r w:rsidRPr="008519A8">
              <w:rPr>
                <w:sz w:val="20"/>
                <w:szCs w:val="20"/>
              </w:rPr>
              <w:t>explainability</w:t>
            </w:r>
            <w:proofErr w:type="spellEnd"/>
            <w:r w:rsidRPr="008519A8">
              <w:rPr>
                <w:sz w:val="20"/>
                <w:szCs w:val="20"/>
              </w:rPr>
              <w:t xml:space="preserve"> requirements, which may lead to reject these models</w:t>
            </w:r>
            <w:r>
              <w:rPr>
                <w:sz w:val="20"/>
                <w:szCs w:val="20"/>
              </w:rPr>
              <w:t xml:space="preserve">: </w:t>
            </w:r>
            <w:r w:rsidR="005301D6">
              <w:rPr>
                <w:sz w:val="20"/>
                <w:szCs w:val="20"/>
              </w:rPr>
              <w:t>4 – rather relevant</w:t>
            </w:r>
          </w:p>
          <w:p w14:paraId="568815CF" w14:textId="0CEA4CF5" w:rsidR="009E3E46" w:rsidRPr="008519A8" w:rsidRDefault="009E3E46" w:rsidP="009E3E46">
            <w:pPr>
              <w:pStyle w:val="ListParagraph"/>
              <w:numPr>
                <w:ilvl w:val="0"/>
                <w:numId w:val="37"/>
              </w:numPr>
              <w:spacing w:after="120"/>
              <w:rPr>
                <w:sz w:val="20"/>
                <w:szCs w:val="20"/>
              </w:rPr>
            </w:pPr>
            <w:r w:rsidRPr="008519A8">
              <w:rPr>
                <w:sz w:val="20"/>
                <w:szCs w:val="20"/>
              </w:rPr>
              <w:t>3.3. Lack of adequate coordination with other authorities (e.g. data protection)</w:t>
            </w:r>
            <w:r>
              <w:rPr>
                <w:sz w:val="20"/>
                <w:szCs w:val="20"/>
              </w:rPr>
              <w:t xml:space="preserve">: </w:t>
            </w:r>
            <w:r w:rsidR="005301D6">
              <w:rPr>
                <w:sz w:val="20"/>
                <w:szCs w:val="20"/>
              </w:rPr>
              <w:t>4 – rather relevant</w:t>
            </w:r>
          </w:p>
          <w:p w14:paraId="3DB97C5E" w14:textId="1396F852" w:rsidR="009E3E46" w:rsidRPr="008519A8" w:rsidRDefault="009E3E46" w:rsidP="009E3E46">
            <w:pPr>
              <w:pStyle w:val="ListParagraph"/>
              <w:numPr>
                <w:ilvl w:val="0"/>
                <w:numId w:val="37"/>
              </w:numPr>
              <w:spacing w:after="120"/>
              <w:rPr>
                <w:sz w:val="20"/>
                <w:szCs w:val="20"/>
              </w:rPr>
            </w:pPr>
            <w:r w:rsidRPr="008519A8">
              <w:rPr>
                <w:sz w:val="20"/>
                <w:szCs w:val="20"/>
              </w:rPr>
              <w:t>3.4. Biases</w:t>
            </w:r>
            <w:r>
              <w:rPr>
                <w:sz w:val="20"/>
                <w:szCs w:val="20"/>
              </w:rPr>
              <w:t xml:space="preserve">: </w:t>
            </w:r>
            <w:r w:rsidR="005301D6">
              <w:rPr>
                <w:sz w:val="20"/>
                <w:szCs w:val="20"/>
              </w:rPr>
              <w:t>2 – rather not relevant</w:t>
            </w:r>
          </w:p>
          <w:p w14:paraId="38B72558" w14:textId="58C0A3C8" w:rsidR="009E3E46" w:rsidRDefault="009E3E46" w:rsidP="009E3E46">
            <w:pPr>
              <w:pStyle w:val="ListParagraph"/>
              <w:numPr>
                <w:ilvl w:val="0"/>
                <w:numId w:val="37"/>
              </w:numPr>
              <w:spacing w:after="120"/>
              <w:rPr>
                <w:sz w:val="20"/>
                <w:szCs w:val="20"/>
              </w:rPr>
            </w:pPr>
            <w:r w:rsidRPr="008519A8">
              <w:rPr>
                <w:sz w:val="20"/>
                <w:szCs w:val="20"/>
              </w:rPr>
              <w:t>3.5. Othe</w:t>
            </w:r>
            <w:r>
              <w:rPr>
                <w:sz w:val="20"/>
                <w:szCs w:val="20"/>
              </w:rPr>
              <w:t>r</w:t>
            </w:r>
          </w:p>
        </w:tc>
      </w:tr>
      <w:tr w:rsidR="009E3E46" w14:paraId="58AD50B5" w14:textId="77777777" w:rsidTr="00CA60D1">
        <w:trPr>
          <w:trHeight w:val="436"/>
        </w:trPr>
        <w:tc>
          <w:tcPr>
            <w:tcW w:w="790" w:type="dxa"/>
            <w:vMerge/>
          </w:tcPr>
          <w:p w14:paraId="5569201F" w14:textId="77777777" w:rsidR="009E3E46" w:rsidRDefault="009E3E46" w:rsidP="009E3E46">
            <w:pPr>
              <w:spacing w:after="120"/>
              <w:rPr>
                <w:sz w:val="20"/>
                <w:szCs w:val="20"/>
              </w:rPr>
            </w:pPr>
          </w:p>
        </w:tc>
        <w:tc>
          <w:tcPr>
            <w:tcW w:w="1048" w:type="dxa"/>
          </w:tcPr>
          <w:p w14:paraId="3D021955" w14:textId="7F2A7D16"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1BA44068" w14:textId="4E6BBD10" w:rsidR="005301D6" w:rsidRDefault="005301D6" w:rsidP="005301D6">
            <w:pPr>
              <w:pStyle w:val="ListParagraph"/>
              <w:numPr>
                <w:ilvl w:val="0"/>
                <w:numId w:val="37"/>
              </w:numPr>
              <w:spacing w:after="120"/>
              <w:rPr>
                <w:sz w:val="20"/>
                <w:szCs w:val="20"/>
              </w:rPr>
            </w:pPr>
            <w:r w:rsidRPr="00AF6407">
              <w:rPr>
                <w:sz w:val="20"/>
                <w:szCs w:val="20"/>
              </w:rPr>
              <w:t>As outlined in our responses to question 37, more discussion would be welcome on supervisory expectations in relation to transparency/</w:t>
            </w:r>
            <w:proofErr w:type="spellStart"/>
            <w:r w:rsidRPr="00AF6407">
              <w:rPr>
                <w:sz w:val="20"/>
                <w:szCs w:val="20"/>
              </w:rPr>
              <w:t>explainability</w:t>
            </w:r>
            <w:proofErr w:type="spellEnd"/>
            <w:r w:rsidRPr="00AF6407">
              <w:rPr>
                <w:sz w:val="20"/>
                <w:szCs w:val="20"/>
              </w:rPr>
              <w:t xml:space="preserve"> of more complex models.</w:t>
            </w:r>
          </w:p>
          <w:p w14:paraId="1492A414" w14:textId="4F2F1A7D" w:rsidR="005301D6" w:rsidRPr="00AF6407" w:rsidRDefault="005301D6">
            <w:pPr>
              <w:pStyle w:val="ListParagraph"/>
              <w:numPr>
                <w:ilvl w:val="0"/>
                <w:numId w:val="37"/>
              </w:numPr>
              <w:spacing w:after="120"/>
              <w:rPr>
                <w:sz w:val="20"/>
                <w:szCs w:val="20"/>
              </w:rPr>
            </w:pPr>
            <w:r w:rsidRPr="00AF6407">
              <w:rPr>
                <w:sz w:val="20"/>
                <w:szCs w:val="20"/>
              </w:rPr>
              <w:t>In relation to industry skills and supervisory understanding of AI, these should be a key priority for both the public and private sectors. We note that although supervisors have devoted significant resource to upskilling their staff, this must be a continuous process. Additionally, we feel that the progress has not been consistent across all supervisory authorities, which risks leading to a disparity of approaches and potentially unequal development of AI capabilities across the EU</w:t>
            </w:r>
            <w:r>
              <w:rPr>
                <w:sz w:val="20"/>
                <w:szCs w:val="20"/>
              </w:rPr>
              <w:t>.</w:t>
            </w:r>
          </w:p>
        </w:tc>
      </w:tr>
      <w:tr w:rsidR="009E3E46" w14:paraId="611D1A2A" w14:textId="77777777" w:rsidTr="00CA60D1">
        <w:trPr>
          <w:trHeight w:val="436"/>
        </w:trPr>
        <w:tc>
          <w:tcPr>
            <w:tcW w:w="790" w:type="dxa"/>
            <w:vMerge w:val="restart"/>
          </w:tcPr>
          <w:p w14:paraId="3EC214F6" w14:textId="5455A240" w:rsidR="009E3E46" w:rsidRDefault="009E3E46" w:rsidP="009E3E46">
            <w:pPr>
              <w:spacing w:after="120"/>
              <w:rPr>
                <w:sz w:val="20"/>
                <w:szCs w:val="20"/>
              </w:rPr>
            </w:pPr>
            <w:r>
              <w:rPr>
                <w:sz w:val="20"/>
                <w:szCs w:val="20"/>
              </w:rPr>
              <w:t>40</w:t>
            </w:r>
          </w:p>
        </w:tc>
        <w:tc>
          <w:tcPr>
            <w:tcW w:w="1048" w:type="dxa"/>
          </w:tcPr>
          <w:p w14:paraId="36AB0506" w14:textId="1C0DB0ED"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55C43AB0" w14:textId="5689489C" w:rsidR="009E3E46" w:rsidRDefault="009E3E46" w:rsidP="009E3E46">
            <w:pPr>
              <w:spacing w:after="120"/>
              <w:rPr>
                <w:sz w:val="20"/>
                <w:szCs w:val="20"/>
              </w:rPr>
            </w:pPr>
            <w:r>
              <w:rPr>
                <w:sz w:val="20"/>
                <w:szCs w:val="20"/>
              </w:rPr>
              <w:t>B</w:t>
            </w:r>
            <w:r w:rsidRPr="008519A8">
              <w:rPr>
                <w:sz w:val="20"/>
                <w:szCs w:val="20"/>
              </w:rPr>
              <w:t xml:space="preserve">est ways to address these </w:t>
            </w:r>
            <w:r>
              <w:rPr>
                <w:sz w:val="20"/>
                <w:szCs w:val="20"/>
              </w:rPr>
              <w:t>issues:</w:t>
            </w:r>
          </w:p>
          <w:p w14:paraId="1645A99A" w14:textId="16410008" w:rsidR="009E3E46" w:rsidRPr="008519A8" w:rsidRDefault="009E3E46" w:rsidP="009E3E46">
            <w:pPr>
              <w:pStyle w:val="ListParagraph"/>
              <w:numPr>
                <w:ilvl w:val="0"/>
                <w:numId w:val="37"/>
              </w:numPr>
              <w:spacing w:after="120"/>
              <w:rPr>
                <w:sz w:val="20"/>
                <w:szCs w:val="20"/>
              </w:rPr>
            </w:pPr>
            <w:r w:rsidRPr="008519A8">
              <w:rPr>
                <w:sz w:val="20"/>
                <w:szCs w:val="20"/>
              </w:rPr>
              <w:t>New EU rules on AI at horizontal level</w:t>
            </w:r>
            <w:r>
              <w:rPr>
                <w:sz w:val="20"/>
                <w:szCs w:val="20"/>
              </w:rPr>
              <w:t xml:space="preserve">: </w:t>
            </w:r>
            <w:r w:rsidR="005301D6">
              <w:rPr>
                <w:sz w:val="20"/>
                <w:szCs w:val="20"/>
              </w:rPr>
              <w:t>2 – rather not relevant</w:t>
            </w:r>
          </w:p>
          <w:p w14:paraId="09882B87" w14:textId="56AAF7FD" w:rsidR="009E3E46" w:rsidRPr="008519A8" w:rsidRDefault="009E3E46" w:rsidP="009E3E46">
            <w:pPr>
              <w:pStyle w:val="ListParagraph"/>
              <w:numPr>
                <w:ilvl w:val="0"/>
                <w:numId w:val="37"/>
              </w:numPr>
              <w:spacing w:after="120"/>
              <w:rPr>
                <w:sz w:val="20"/>
                <w:szCs w:val="20"/>
              </w:rPr>
            </w:pPr>
            <w:r w:rsidRPr="008519A8">
              <w:rPr>
                <w:sz w:val="20"/>
                <w:szCs w:val="20"/>
              </w:rPr>
              <w:t>New EU rules on AI for the financial sector</w:t>
            </w:r>
            <w:r>
              <w:rPr>
                <w:sz w:val="20"/>
                <w:szCs w:val="20"/>
              </w:rPr>
              <w:t xml:space="preserve">: </w:t>
            </w:r>
            <w:r w:rsidR="005301D6">
              <w:rPr>
                <w:sz w:val="20"/>
                <w:szCs w:val="20"/>
              </w:rPr>
              <w:t>2 – rather not relevant</w:t>
            </w:r>
          </w:p>
          <w:p w14:paraId="47FA7E75" w14:textId="77F890E1" w:rsidR="009E3E46" w:rsidRPr="008519A8" w:rsidRDefault="009E3E46" w:rsidP="009E3E46">
            <w:pPr>
              <w:pStyle w:val="ListParagraph"/>
              <w:numPr>
                <w:ilvl w:val="0"/>
                <w:numId w:val="37"/>
              </w:numPr>
              <w:spacing w:after="120"/>
              <w:rPr>
                <w:sz w:val="20"/>
                <w:szCs w:val="20"/>
              </w:rPr>
            </w:pPr>
            <w:r w:rsidRPr="008519A8">
              <w:rPr>
                <w:sz w:val="20"/>
                <w:szCs w:val="20"/>
              </w:rPr>
              <w:t>Guidance at EU level for the financial sector</w:t>
            </w:r>
            <w:r>
              <w:rPr>
                <w:sz w:val="20"/>
                <w:szCs w:val="20"/>
              </w:rPr>
              <w:t xml:space="preserve">: </w:t>
            </w:r>
            <w:r w:rsidR="005301D6">
              <w:rPr>
                <w:sz w:val="20"/>
                <w:szCs w:val="20"/>
              </w:rPr>
              <w:t>4 – rather relevant</w:t>
            </w:r>
          </w:p>
          <w:p w14:paraId="6FD232FB" w14:textId="15DAFE21" w:rsidR="009E3E46" w:rsidRPr="008519A8" w:rsidRDefault="009E3E46" w:rsidP="009E3E46">
            <w:pPr>
              <w:pStyle w:val="ListParagraph"/>
              <w:numPr>
                <w:ilvl w:val="0"/>
                <w:numId w:val="37"/>
              </w:numPr>
              <w:spacing w:after="120"/>
              <w:rPr>
                <w:sz w:val="20"/>
                <w:szCs w:val="20"/>
              </w:rPr>
            </w:pPr>
            <w:r w:rsidRPr="008519A8">
              <w:rPr>
                <w:sz w:val="20"/>
                <w:szCs w:val="20"/>
              </w:rPr>
              <w:t>Experimentation on specific AI applications under the control of competent authorities</w:t>
            </w:r>
            <w:r>
              <w:rPr>
                <w:sz w:val="20"/>
                <w:szCs w:val="20"/>
              </w:rPr>
              <w:t xml:space="preserve">: </w:t>
            </w:r>
            <w:r w:rsidR="005301D6">
              <w:rPr>
                <w:sz w:val="20"/>
                <w:szCs w:val="20"/>
              </w:rPr>
              <w:t>5 – fully relevant</w:t>
            </w:r>
          </w:p>
          <w:p w14:paraId="6DFAB746" w14:textId="0D53EB2B" w:rsidR="009E3E46" w:rsidRPr="008519A8" w:rsidRDefault="009E3E46" w:rsidP="009E3E46">
            <w:pPr>
              <w:pStyle w:val="ListParagraph"/>
              <w:numPr>
                <w:ilvl w:val="0"/>
                <w:numId w:val="37"/>
              </w:numPr>
              <w:spacing w:after="120"/>
              <w:rPr>
                <w:sz w:val="20"/>
                <w:szCs w:val="20"/>
              </w:rPr>
            </w:pPr>
            <w:r w:rsidRPr="008519A8">
              <w:rPr>
                <w:sz w:val="20"/>
                <w:szCs w:val="20"/>
              </w:rPr>
              <w:t>Certification of AI systems</w:t>
            </w:r>
            <w:r>
              <w:rPr>
                <w:sz w:val="20"/>
                <w:szCs w:val="20"/>
              </w:rPr>
              <w:t xml:space="preserve">: </w:t>
            </w:r>
            <w:r w:rsidR="005301D6">
              <w:rPr>
                <w:sz w:val="20"/>
                <w:szCs w:val="20"/>
              </w:rPr>
              <w:t>2 – rather not relevant</w:t>
            </w:r>
          </w:p>
          <w:p w14:paraId="4655EE71" w14:textId="671FC1D4" w:rsidR="009E3E46" w:rsidRPr="008519A8" w:rsidRDefault="009E3E46" w:rsidP="009E3E46">
            <w:pPr>
              <w:pStyle w:val="ListParagraph"/>
              <w:numPr>
                <w:ilvl w:val="0"/>
                <w:numId w:val="37"/>
              </w:numPr>
              <w:spacing w:after="120"/>
              <w:rPr>
                <w:sz w:val="20"/>
                <w:szCs w:val="20"/>
              </w:rPr>
            </w:pPr>
            <w:r w:rsidRPr="008519A8">
              <w:rPr>
                <w:sz w:val="20"/>
                <w:szCs w:val="20"/>
              </w:rPr>
              <w:t>Auditing of AI systems</w:t>
            </w:r>
            <w:r>
              <w:rPr>
                <w:sz w:val="20"/>
                <w:szCs w:val="20"/>
              </w:rPr>
              <w:t xml:space="preserve">: </w:t>
            </w:r>
            <w:r w:rsidR="00A37098">
              <w:rPr>
                <w:sz w:val="20"/>
                <w:szCs w:val="20"/>
              </w:rPr>
              <w:t>2 – rather not relevant</w:t>
            </w:r>
            <w:r w:rsidR="00A37098" w:rsidDel="00431180">
              <w:rPr>
                <w:sz w:val="20"/>
                <w:szCs w:val="20"/>
              </w:rPr>
              <w:t xml:space="preserve"> </w:t>
            </w:r>
          </w:p>
          <w:p w14:paraId="69A9422F" w14:textId="093EA0C0" w:rsidR="009E3E46" w:rsidRPr="008519A8" w:rsidRDefault="009E3E46" w:rsidP="009E3E46">
            <w:pPr>
              <w:pStyle w:val="ListParagraph"/>
              <w:numPr>
                <w:ilvl w:val="0"/>
                <w:numId w:val="37"/>
              </w:numPr>
              <w:spacing w:after="120"/>
              <w:rPr>
                <w:sz w:val="20"/>
                <w:szCs w:val="20"/>
              </w:rPr>
            </w:pPr>
            <w:r w:rsidRPr="008519A8">
              <w:rPr>
                <w:sz w:val="20"/>
                <w:szCs w:val="20"/>
              </w:rPr>
              <w:t>Registration with and access to AI systems for relevant supervisory authorities</w:t>
            </w:r>
            <w:r>
              <w:rPr>
                <w:sz w:val="20"/>
                <w:szCs w:val="20"/>
              </w:rPr>
              <w:t xml:space="preserve">: </w:t>
            </w:r>
            <w:r w:rsidR="005301D6">
              <w:rPr>
                <w:sz w:val="20"/>
                <w:szCs w:val="20"/>
              </w:rPr>
              <w:t>2 – rather not relevant</w:t>
            </w:r>
          </w:p>
          <w:p w14:paraId="59EC80FC" w14:textId="4798E335" w:rsidR="009E3E46" w:rsidRPr="008519A8" w:rsidRDefault="009E3E46" w:rsidP="009E3E46">
            <w:pPr>
              <w:pStyle w:val="ListParagraph"/>
              <w:numPr>
                <w:ilvl w:val="0"/>
                <w:numId w:val="37"/>
              </w:numPr>
              <w:spacing w:after="120"/>
              <w:rPr>
                <w:sz w:val="20"/>
                <w:szCs w:val="20"/>
              </w:rPr>
            </w:pPr>
            <w:r w:rsidRPr="008519A8">
              <w:rPr>
                <w:sz w:val="20"/>
                <w:szCs w:val="20"/>
              </w:rPr>
              <w:t>Other</w:t>
            </w:r>
          </w:p>
        </w:tc>
      </w:tr>
      <w:tr w:rsidR="009E3E46" w14:paraId="3E4317D5" w14:textId="77777777" w:rsidTr="00CA60D1">
        <w:trPr>
          <w:trHeight w:val="436"/>
        </w:trPr>
        <w:tc>
          <w:tcPr>
            <w:tcW w:w="790" w:type="dxa"/>
            <w:vMerge/>
          </w:tcPr>
          <w:p w14:paraId="28C7F4A8" w14:textId="77777777" w:rsidR="009E3E46" w:rsidRDefault="009E3E46" w:rsidP="009E3E46">
            <w:pPr>
              <w:spacing w:after="120"/>
              <w:rPr>
                <w:sz w:val="20"/>
                <w:szCs w:val="20"/>
              </w:rPr>
            </w:pPr>
          </w:p>
        </w:tc>
        <w:tc>
          <w:tcPr>
            <w:tcW w:w="1048" w:type="dxa"/>
          </w:tcPr>
          <w:p w14:paraId="1A01A0AF" w14:textId="72A8ED95"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559010C0" w14:textId="565CBE93" w:rsidR="005301D6" w:rsidRDefault="005301D6" w:rsidP="005301D6">
            <w:pPr>
              <w:pStyle w:val="ListParagraph"/>
              <w:numPr>
                <w:ilvl w:val="0"/>
                <w:numId w:val="37"/>
              </w:numPr>
              <w:spacing w:after="120"/>
              <w:rPr>
                <w:sz w:val="20"/>
                <w:szCs w:val="20"/>
              </w:rPr>
            </w:pPr>
            <w:r w:rsidRPr="00AF6407">
              <w:rPr>
                <w:sz w:val="20"/>
                <w:szCs w:val="20"/>
              </w:rPr>
              <w:t>Overall, we believe that the regulatory framework as it applies to AI within capital markets is largely appropriate</w:t>
            </w:r>
            <w:r w:rsidR="00323B3D">
              <w:rPr>
                <w:sz w:val="20"/>
                <w:szCs w:val="20"/>
              </w:rPr>
              <w:t xml:space="preserve"> (except as in reference to Q 37)</w:t>
            </w:r>
            <w:r w:rsidRPr="00AF6407">
              <w:rPr>
                <w:sz w:val="20"/>
                <w:szCs w:val="20"/>
              </w:rPr>
              <w:t xml:space="preserve">, and any future initiatives in this regard should remain technology-neutral and principles-based. Greater supervisory dialogue between the industry and sectoral authorities regarding developments in AI and supervisory expectations would be our preferred priority. Coordination with authorities in other jurisdictions should also be prioritised, </w:t>
            </w:r>
            <w:proofErr w:type="gramStart"/>
            <w:r w:rsidRPr="00AF6407">
              <w:rPr>
                <w:sz w:val="20"/>
                <w:szCs w:val="20"/>
              </w:rPr>
              <w:t>in order to</w:t>
            </w:r>
            <w:proofErr w:type="gramEnd"/>
            <w:r w:rsidRPr="00AF6407">
              <w:rPr>
                <w:sz w:val="20"/>
                <w:szCs w:val="20"/>
              </w:rPr>
              <w:t xml:space="preserve"> share experience and best practices.</w:t>
            </w:r>
          </w:p>
          <w:p w14:paraId="1DBDDB76" w14:textId="51DB4FFE" w:rsidR="00A37098" w:rsidRPr="00691F89" w:rsidRDefault="00A37098">
            <w:pPr>
              <w:pStyle w:val="ListParagraph"/>
              <w:numPr>
                <w:ilvl w:val="0"/>
                <w:numId w:val="37"/>
              </w:numPr>
              <w:spacing w:after="120"/>
              <w:rPr>
                <w:sz w:val="20"/>
                <w:szCs w:val="20"/>
              </w:rPr>
            </w:pPr>
            <w:r>
              <w:rPr>
                <w:sz w:val="20"/>
                <w:szCs w:val="20"/>
              </w:rPr>
              <w:t xml:space="preserve">We note that in relation to ‘Auditing of AI systems’, we currently understand ‘systems’ to be </w:t>
            </w:r>
            <w:r w:rsidRPr="00691F89">
              <w:rPr>
                <w:sz w:val="20"/>
                <w:szCs w:val="20"/>
              </w:rPr>
              <w:t>regulatory audits. If systems referr</w:t>
            </w:r>
            <w:r w:rsidRPr="002027D5">
              <w:rPr>
                <w:sz w:val="20"/>
                <w:szCs w:val="20"/>
              </w:rPr>
              <w:t>ed to internal audits, our answer would be ‘3 – neutral’.</w:t>
            </w:r>
          </w:p>
          <w:p w14:paraId="4B7E1046" w14:textId="03FDEB02" w:rsidR="005301D6" w:rsidRPr="00AF6407" w:rsidRDefault="005301D6">
            <w:pPr>
              <w:pStyle w:val="ListParagraph"/>
              <w:numPr>
                <w:ilvl w:val="0"/>
                <w:numId w:val="37"/>
              </w:numPr>
              <w:spacing w:after="120"/>
              <w:rPr>
                <w:sz w:val="20"/>
                <w:szCs w:val="20"/>
              </w:rPr>
            </w:pPr>
            <w:r w:rsidRPr="00691F89">
              <w:rPr>
                <w:sz w:val="20"/>
                <w:szCs w:val="20"/>
              </w:rPr>
              <w:t>We also direct the Commission to our recent response to its White Paper on ‘Artificial Intelligence – a European Approach to Excellence and Trust’ (</w:t>
            </w:r>
            <w:hyperlink r:id="rId14" w:history="1">
              <w:r w:rsidR="00691F89" w:rsidRPr="00691F89">
                <w:rPr>
                  <w:rStyle w:val="Hyperlink"/>
                  <w:sz w:val="20"/>
                  <w:szCs w:val="20"/>
                </w:rPr>
                <w:t>https://www.afme.eu/Portals/0/DispatchFeaturedImages/20200612%20AFME%20EC%20AI%20CP%20Response%20-%20Final_.pdf</w:t>
              </w:r>
            </w:hyperlink>
            <w:r w:rsidRPr="00691F89">
              <w:rPr>
                <w:sz w:val="20"/>
                <w:szCs w:val="20"/>
              </w:rPr>
              <w:t>), where we raised some concerns with its proposed regulatory and certification framework for AI in Europe.</w:t>
            </w:r>
            <w:r w:rsidRPr="00AF6407">
              <w:rPr>
                <w:sz w:val="20"/>
                <w:szCs w:val="20"/>
              </w:rPr>
              <w:t xml:space="preserve"> </w:t>
            </w:r>
          </w:p>
        </w:tc>
      </w:tr>
      <w:tr w:rsidR="009E3E46" w14:paraId="19AE11E7" w14:textId="77777777" w:rsidTr="00CA60D1">
        <w:trPr>
          <w:trHeight w:val="436"/>
        </w:trPr>
        <w:tc>
          <w:tcPr>
            <w:tcW w:w="10457" w:type="dxa"/>
            <w:gridSpan w:val="3"/>
            <w:shd w:val="clear" w:color="auto" w:fill="D6E3BC" w:themeFill="accent3" w:themeFillTint="66"/>
          </w:tcPr>
          <w:p w14:paraId="2C85878E" w14:textId="4396FC82" w:rsidR="009E3E46" w:rsidRPr="008519A8" w:rsidRDefault="009E3E46" w:rsidP="009E3E46">
            <w:pPr>
              <w:spacing w:after="120"/>
              <w:rPr>
                <w:sz w:val="20"/>
                <w:szCs w:val="20"/>
              </w:rPr>
            </w:pPr>
            <w:r w:rsidRPr="008519A8">
              <w:rPr>
                <w:sz w:val="20"/>
                <w:szCs w:val="20"/>
              </w:rPr>
              <w:lastRenderedPageBreak/>
              <w:t>Harness the benefits data-driven innovation can bring in compliance and supervisio</w:t>
            </w:r>
            <w:r>
              <w:rPr>
                <w:sz w:val="20"/>
                <w:szCs w:val="20"/>
              </w:rPr>
              <w:t>n</w:t>
            </w:r>
          </w:p>
        </w:tc>
      </w:tr>
      <w:tr w:rsidR="00C14DED" w14:paraId="4D2DB398" w14:textId="77777777" w:rsidTr="00CA60D1">
        <w:trPr>
          <w:trHeight w:val="4060"/>
        </w:trPr>
        <w:tc>
          <w:tcPr>
            <w:tcW w:w="790" w:type="dxa"/>
            <w:vMerge w:val="restart"/>
          </w:tcPr>
          <w:p w14:paraId="2E31F3F1" w14:textId="21458F0C" w:rsidR="00C14DED" w:rsidRDefault="00C14DED" w:rsidP="009E3E46">
            <w:pPr>
              <w:spacing w:after="120"/>
              <w:rPr>
                <w:sz w:val="20"/>
                <w:szCs w:val="20"/>
              </w:rPr>
            </w:pPr>
            <w:r>
              <w:rPr>
                <w:sz w:val="20"/>
                <w:szCs w:val="20"/>
              </w:rPr>
              <w:t>41</w:t>
            </w:r>
          </w:p>
        </w:tc>
        <w:tc>
          <w:tcPr>
            <w:tcW w:w="1048" w:type="dxa"/>
          </w:tcPr>
          <w:p w14:paraId="4D682178" w14:textId="55AF54AE" w:rsidR="00C14DED" w:rsidRDefault="00C14DED"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530454C7" w14:textId="57BD1280" w:rsidR="00C14DED" w:rsidRPr="008519A8" w:rsidRDefault="00C14DED" w:rsidP="009E3E46">
            <w:pPr>
              <w:spacing w:after="120"/>
              <w:rPr>
                <w:sz w:val="20"/>
                <w:szCs w:val="20"/>
              </w:rPr>
            </w:pPr>
            <w:r>
              <w:rPr>
                <w:sz w:val="20"/>
                <w:szCs w:val="20"/>
              </w:rPr>
              <w:t xml:space="preserve">1. </w:t>
            </w:r>
            <w:r w:rsidRPr="008519A8">
              <w:rPr>
                <w:sz w:val="20"/>
                <w:szCs w:val="20"/>
              </w:rPr>
              <w:t xml:space="preserve">Barriers for new </w:t>
            </w:r>
            <w:proofErr w:type="spellStart"/>
            <w:r w:rsidRPr="008519A8">
              <w:rPr>
                <w:sz w:val="20"/>
                <w:szCs w:val="20"/>
              </w:rPr>
              <w:t>RegTech</w:t>
            </w:r>
            <w:proofErr w:type="spellEnd"/>
            <w:r w:rsidRPr="008519A8">
              <w:rPr>
                <w:sz w:val="20"/>
                <w:szCs w:val="20"/>
              </w:rPr>
              <w:t xml:space="preserve"> solutions to scale up in the EU Single Market for providers of </w:t>
            </w:r>
            <w:proofErr w:type="spellStart"/>
            <w:r w:rsidRPr="008519A8">
              <w:rPr>
                <w:sz w:val="20"/>
                <w:szCs w:val="20"/>
              </w:rPr>
              <w:t>RegTech</w:t>
            </w:r>
            <w:proofErr w:type="spellEnd"/>
            <w:r w:rsidRPr="008519A8">
              <w:rPr>
                <w:sz w:val="20"/>
                <w:szCs w:val="20"/>
              </w:rPr>
              <w:t xml:space="preserve"> solutions:</w:t>
            </w:r>
          </w:p>
          <w:p w14:paraId="7D310592" w14:textId="51AD87B5" w:rsidR="00C14DED" w:rsidRPr="008519A8" w:rsidRDefault="00C14DED" w:rsidP="009E3E46">
            <w:pPr>
              <w:pStyle w:val="ListParagraph"/>
              <w:numPr>
                <w:ilvl w:val="0"/>
                <w:numId w:val="37"/>
              </w:numPr>
              <w:spacing w:after="120"/>
              <w:rPr>
                <w:sz w:val="20"/>
                <w:szCs w:val="20"/>
              </w:rPr>
            </w:pPr>
            <w:r w:rsidRPr="008519A8">
              <w:rPr>
                <w:sz w:val="20"/>
                <w:szCs w:val="20"/>
              </w:rPr>
              <w:t>Lack of harmonisation of EU rules</w:t>
            </w:r>
            <w:r>
              <w:rPr>
                <w:sz w:val="20"/>
                <w:szCs w:val="20"/>
              </w:rPr>
              <w:t>: 5 – fully relevant</w:t>
            </w:r>
          </w:p>
          <w:p w14:paraId="5CAFBA55" w14:textId="5F0D46F1" w:rsidR="00C14DED" w:rsidRPr="008519A8" w:rsidRDefault="00C14DED" w:rsidP="009E3E46">
            <w:pPr>
              <w:pStyle w:val="ListParagraph"/>
              <w:numPr>
                <w:ilvl w:val="0"/>
                <w:numId w:val="37"/>
              </w:numPr>
              <w:spacing w:after="120"/>
              <w:rPr>
                <w:sz w:val="20"/>
                <w:szCs w:val="20"/>
              </w:rPr>
            </w:pPr>
            <w:r w:rsidRPr="008519A8">
              <w:rPr>
                <w:sz w:val="20"/>
                <w:szCs w:val="20"/>
              </w:rPr>
              <w:t>Lack of clarity regarding the interpretation of regulatory requirements (e.g. reporting)</w:t>
            </w:r>
            <w:r>
              <w:rPr>
                <w:sz w:val="20"/>
                <w:szCs w:val="20"/>
              </w:rPr>
              <w:t>: 5 – fully relevant</w:t>
            </w:r>
          </w:p>
          <w:p w14:paraId="5C8C384D" w14:textId="68EE7BE5" w:rsidR="00C14DED" w:rsidRPr="008519A8" w:rsidRDefault="00C14DED" w:rsidP="009E3E46">
            <w:pPr>
              <w:pStyle w:val="ListParagraph"/>
              <w:numPr>
                <w:ilvl w:val="0"/>
                <w:numId w:val="37"/>
              </w:numPr>
              <w:spacing w:after="120"/>
              <w:rPr>
                <w:sz w:val="20"/>
                <w:szCs w:val="20"/>
              </w:rPr>
            </w:pPr>
            <w:r w:rsidRPr="008519A8">
              <w:rPr>
                <w:sz w:val="20"/>
                <w:szCs w:val="20"/>
              </w:rPr>
              <w:t>Lack of standards</w:t>
            </w:r>
            <w:r>
              <w:rPr>
                <w:sz w:val="20"/>
                <w:szCs w:val="20"/>
              </w:rPr>
              <w:t>: 5 – fully relevant</w:t>
            </w:r>
          </w:p>
          <w:p w14:paraId="0A58D19F" w14:textId="36FBDB6C" w:rsidR="00C14DED" w:rsidRPr="008519A8" w:rsidRDefault="00C14DED" w:rsidP="009E3E46">
            <w:pPr>
              <w:pStyle w:val="ListParagraph"/>
              <w:numPr>
                <w:ilvl w:val="0"/>
                <w:numId w:val="37"/>
              </w:numPr>
              <w:spacing w:after="120"/>
              <w:rPr>
                <w:sz w:val="20"/>
                <w:szCs w:val="20"/>
              </w:rPr>
            </w:pPr>
            <w:r w:rsidRPr="008519A8">
              <w:rPr>
                <w:sz w:val="20"/>
                <w:szCs w:val="20"/>
              </w:rPr>
              <w:t>Lack of real time access to data from regulated institutions</w:t>
            </w:r>
            <w:r>
              <w:rPr>
                <w:sz w:val="20"/>
                <w:szCs w:val="20"/>
              </w:rPr>
              <w:t>: 4 – rather relevant</w:t>
            </w:r>
          </w:p>
          <w:p w14:paraId="0C6E669B" w14:textId="41335081" w:rsidR="00C14DED" w:rsidRPr="008519A8" w:rsidRDefault="00C14DED" w:rsidP="009E3E46">
            <w:pPr>
              <w:pStyle w:val="ListParagraph"/>
              <w:numPr>
                <w:ilvl w:val="0"/>
                <w:numId w:val="37"/>
              </w:numPr>
              <w:spacing w:after="120"/>
              <w:rPr>
                <w:sz w:val="20"/>
                <w:szCs w:val="20"/>
              </w:rPr>
            </w:pPr>
            <w:r w:rsidRPr="008519A8">
              <w:rPr>
                <w:sz w:val="20"/>
                <w:szCs w:val="20"/>
              </w:rPr>
              <w:t xml:space="preserve">Lack of interactions between </w:t>
            </w:r>
            <w:proofErr w:type="spellStart"/>
            <w:r w:rsidRPr="008519A8">
              <w:rPr>
                <w:sz w:val="20"/>
                <w:szCs w:val="20"/>
              </w:rPr>
              <w:t>RegTech</w:t>
            </w:r>
            <w:proofErr w:type="spellEnd"/>
            <w:r w:rsidRPr="008519A8">
              <w:rPr>
                <w:sz w:val="20"/>
                <w:szCs w:val="20"/>
              </w:rPr>
              <w:t xml:space="preserve"> firms, regulated financial institutions and authorities</w:t>
            </w:r>
            <w:r>
              <w:rPr>
                <w:sz w:val="20"/>
                <w:szCs w:val="20"/>
              </w:rPr>
              <w:t>: 3 – neutral</w:t>
            </w:r>
          </w:p>
          <w:p w14:paraId="0262F160" w14:textId="014E0253" w:rsidR="00C14DED" w:rsidRPr="008519A8" w:rsidRDefault="00C14DED" w:rsidP="009E3E46">
            <w:pPr>
              <w:pStyle w:val="ListParagraph"/>
              <w:numPr>
                <w:ilvl w:val="0"/>
                <w:numId w:val="37"/>
              </w:numPr>
              <w:spacing w:after="120"/>
              <w:rPr>
                <w:sz w:val="20"/>
                <w:szCs w:val="20"/>
              </w:rPr>
            </w:pPr>
            <w:r w:rsidRPr="008519A8">
              <w:rPr>
                <w:sz w:val="20"/>
                <w:szCs w:val="20"/>
              </w:rPr>
              <w:t xml:space="preserve">Lack of supervisory one stop </w:t>
            </w:r>
            <w:proofErr w:type="gramStart"/>
            <w:r w:rsidRPr="008519A8">
              <w:rPr>
                <w:sz w:val="20"/>
                <w:szCs w:val="20"/>
              </w:rPr>
              <w:t>shop</w:t>
            </w:r>
            <w:proofErr w:type="gramEnd"/>
            <w:r w:rsidRPr="008519A8">
              <w:rPr>
                <w:sz w:val="20"/>
                <w:szCs w:val="20"/>
              </w:rPr>
              <w:t xml:space="preserve"> for </w:t>
            </w:r>
            <w:proofErr w:type="spellStart"/>
            <w:r w:rsidRPr="008519A8">
              <w:rPr>
                <w:sz w:val="20"/>
                <w:szCs w:val="20"/>
              </w:rPr>
              <w:t>RegTech</w:t>
            </w:r>
            <w:proofErr w:type="spellEnd"/>
            <w:r w:rsidRPr="008519A8">
              <w:rPr>
                <w:sz w:val="20"/>
                <w:szCs w:val="20"/>
              </w:rPr>
              <w:t xml:space="preserve"> within the EU</w:t>
            </w:r>
            <w:r>
              <w:rPr>
                <w:sz w:val="20"/>
                <w:szCs w:val="20"/>
              </w:rPr>
              <w:t>: 5 – fully relevant</w:t>
            </w:r>
          </w:p>
          <w:p w14:paraId="28D291AB" w14:textId="48B6CC3B" w:rsidR="00C14DED" w:rsidRPr="008519A8" w:rsidRDefault="00C14DED" w:rsidP="009E3E46">
            <w:pPr>
              <w:pStyle w:val="ListParagraph"/>
              <w:numPr>
                <w:ilvl w:val="0"/>
                <w:numId w:val="37"/>
              </w:numPr>
              <w:spacing w:after="120"/>
              <w:rPr>
                <w:sz w:val="20"/>
                <w:szCs w:val="20"/>
              </w:rPr>
            </w:pPr>
            <w:r w:rsidRPr="008519A8">
              <w:rPr>
                <w:sz w:val="20"/>
                <w:szCs w:val="20"/>
              </w:rPr>
              <w:t>Frequent changes in the applicable rules</w:t>
            </w:r>
            <w:r>
              <w:rPr>
                <w:sz w:val="20"/>
                <w:szCs w:val="20"/>
              </w:rPr>
              <w:t>: 5 – fully relevant</w:t>
            </w:r>
          </w:p>
          <w:p w14:paraId="2ED8C5EC" w14:textId="312B23E4" w:rsidR="00C14DED" w:rsidRDefault="00C14DED" w:rsidP="009E3E46">
            <w:pPr>
              <w:pStyle w:val="ListParagraph"/>
              <w:numPr>
                <w:ilvl w:val="0"/>
                <w:numId w:val="37"/>
              </w:numPr>
              <w:spacing w:after="120"/>
              <w:rPr>
                <w:sz w:val="20"/>
                <w:szCs w:val="20"/>
              </w:rPr>
            </w:pPr>
            <w:r w:rsidRPr="008519A8">
              <w:rPr>
                <w:sz w:val="20"/>
                <w:szCs w:val="20"/>
              </w:rPr>
              <w:t>Other</w:t>
            </w:r>
          </w:p>
        </w:tc>
      </w:tr>
      <w:tr w:rsidR="009E3E46" w14:paraId="28E00729" w14:textId="77777777" w:rsidTr="00CA60D1">
        <w:trPr>
          <w:trHeight w:val="436"/>
        </w:trPr>
        <w:tc>
          <w:tcPr>
            <w:tcW w:w="790" w:type="dxa"/>
            <w:vMerge/>
          </w:tcPr>
          <w:p w14:paraId="6FBDC7A7" w14:textId="77777777" w:rsidR="009E3E46" w:rsidRDefault="009E3E46" w:rsidP="009E3E46">
            <w:pPr>
              <w:spacing w:after="120"/>
              <w:rPr>
                <w:sz w:val="20"/>
                <w:szCs w:val="20"/>
              </w:rPr>
            </w:pPr>
          </w:p>
        </w:tc>
        <w:tc>
          <w:tcPr>
            <w:tcW w:w="1048" w:type="dxa"/>
          </w:tcPr>
          <w:p w14:paraId="5EA13DDD" w14:textId="71B22018"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4D852E37" w14:textId="3CA5BBCE" w:rsidR="009E3E46" w:rsidRPr="008519A8" w:rsidRDefault="009E3E46" w:rsidP="009E3E46">
            <w:pPr>
              <w:spacing w:after="120"/>
              <w:rPr>
                <w:sz w:val="20"/>
                <w:szCs w:val="20"/>
              </w:rPr>
            </w:pPr>
            <w:r>
              <w:rPr>
                <w:sz w:val="20"/>
                <w:szCs w:val="20"/>
              </w:rPr>
              <w:t xml:space="preserve">2. </w:t>
            </w:r>
            <w:r w:rsidRPr="008519A8">
              <w:rPr>
                <w:sz w:val="20"/>
                <w:szCs w:val="20"/>
              </w:rPr>
              <w:t xml:space="preserve">Barriers for new </w:t>
            </w:r>
            <w:proofErr w:type="spellStart"/>
            <w:r w:rsidRPr="008519A8">
              <w:rPr>
                <w:sz w:val="20"/>
                <w:szCs w:val="20"/>
              </w:rPr>
              <w:t>RegTech</w:t>
            </w:r>
            <w:proofErr w:type="spellEnd"/>
            <w:r w:rsidRPr="008519A8">
              <w:rPr>
                <w:sz w:val="20"/>
                <w:szCs w:val="20"/>
              </w:rPr>
              <w:t xml:space="preserve"> solutions to scale up in the EU Single Market for </w:t>
            </w:r>
            <w:r>
              <w:rPr>
                <w:sz w:val="20"/>
                <w:szCs w:val="20"/>
              </w:rPr>
              <w:t xml:space="preserve">Financial service </w:t>
            </w:r>
            <w:r w:rsidRPr="008519A8">
              <w:rPr>
                <w:sz w:val="20"/>
                <w:szCs w:val="20"/>
              </w:rPr>
              <w:t>providers:</w:t>
            </w:r>
          </w:p>
          <w:p w14:paraId="2129C591" w14:textId="6D11392A" w:rsidR="009E3E46" w:rsidRPr="006B3F7C" w:rsidRDefault="009E3E46" w:rsidP="009E3E46">
            <w:pPr>
              <w:pStyle w:val="ListParagraph"/>
              <w:numPr>
                <w:ilvl w:val="0"/>
                <w:numId w:val="37"/>
              </w:numPr>
              <w:spacing w:after="120"/>
              <w:rPr>
                <w:sz w:val="20"/>
                <w:szCs w:val="20"/>
              </w:rPr>
            </w:pPr>
            <w:r w:rsidRPr="006B3F7C">
              <w:rPr>
                <w:sz w:val="20"/>
                <w:szCs w:val="20"/>
              </w:rPr>
              <w:t>Lack of harmonisation of EU rules</w:t>
            </w:r>
            <w:r>
              <w:rPr>
                <w:sz w:val="20"/>
                <w:szCs w:val="20"/>
              </w:rPr>
              <w:t>: 5 – fully relevant</w:t>
            </w:r>
          </w:p>
          <w:p w14:paraId="5A8D0059" w14:textId="2B232B8D" w:rsidR="009E3E46" w:rsidRPr="006B3F7C" w:rsidRDefault="009E3E46" w:rsidP="009E3E46">
            <w:pPr>
              <w:pStyle w:val="ListParagraph"/>
              <w:numPr>
                <w:ilvl w:val="0"/>
                <w:numId w:val="37"/>
              </w:numPr>
              <w:spacing w:after="120"/>
              <w:rPr>
                <w:sz w:val="20"/>
                <w:szCs w:val="20"/>
              </w:rPr>
            </w:pPr>
            <w:r w:rsidRPr="006B3F7C">
              <w:rPr>
                <w:sz w:val="20"/>
                <w:szCs w:val="20"/>
              </w:rPr>
              <w:t>Lack of trust in newly developed solutions</w:t>
            </w:r>
            <w:r>
              <w:rPr>
                <w:sz w:val="20"/>
                <w:szCs w:val="20"/>
              </w:rPr>
              <w:t>: 5 – fully relevant</w:t>
            </w:r>
          </w:p>
          <w:p w14:paraId="6E534AC5" w14:textId="6B10D47A" w:rsidR="009E3E46" w:rsidRPr="006B3F7C" w:rsidRDefault="009E3E46" w:rsidP="009E3E46">
            <w:pPr>
              <w:pStyle w:val="ListParagraph"/>
              <w:numPr>
                <w:ilvl w:val="0"/>
                <w:numId w:val="37"/>
              </w:numPr>
              <w:spacing w:after="120"/>
              <w:rPr>
                <w:sz w:val="20"/>
                <w:szCs w:val="20"/>
              </w:rPr>
            </w:pPr>
            <w:r w:rsidRPr="006B3F7C">
              <w:rPr>
                <w:sz w:val="20"/>
                <w:szCs w:val="20"/>
              </w:rPr>
              <w:t xml:space="preserve">Lack of harmonised approach to </w:t>
            </w:r>
            <w:proofErr w:type="spellStart"/>
            <w:r w:rsidRPr="006B3F7C">
              <w:rPr>
                <w:sz w:val="20"/>
                <w:szCs w:val="20"/>
              </w:rPr>
              <w:t>RegTech</w:t>
            </w:r>
            <w:proofErr w:type="spellEnd"/>
            <w:r w:rsidRPr="006B3F7C">
              <w:rPr>
                <w:sz w:val="20"/>
                <w:szCs w:val="20"/>
              </w:rPr>
              <w:t xml:space="preserve"> within the EU</w:t>
            </w:r>
            <w:r>
              <w:rPr>
                <w:sz w:val="20"/>
                <w:szCs w:val="20"/>
              </w:rPr>
              <w:t>: 5 – fully relevant</w:t>
            </w:r>
          </w:p>
          <w:p w14:paraId="6ACF2C36" w14:textId="0C684BC0" w:rsidR="009E3E46" w:rsidRDefault="009E3E46" w:rsidP="009E3E46">
            <w:pPr>
              <w:pStyle w:val="ListParagraph"/>
              <w:numPr>
                <w:ilvl w:val="0"/>
                <w:numId w:val="37"/>
              </w:numPr>
              <w:spacing w:after="120"/>
              <w:rPr>
                <w:sz w:val="20"/>
                <w:szCs w:val="20"/>
              </w:rPr>
            </w:pPr>
            <w:r w:rsidRPr="006B3F7C">
              <w:rPr>
                <w:sz w:val="20"/>
                <w:szCs w:val="20"/>
              </w:rPr>
              <w:t>Other</w:t>
            </w:r>
          </w:p>
        </w:tc>
      </w:tr>
      <w:tr w:rsidR="009E3E46" w14:paraId="58349A7B" w14:textId="77777777" w:rsidTr="00CA60D1">
        <w:trPr>
          <w:trHeight w:val="436"/>
        </w:trPr>
        <w:tc>
          <w:tcPr>
            <w:tcW w:w="790" w:type="dxa"/>
            <w:vMerge/>
          </w:tcPr>
          <w:p w14:paraId="6AC2F5BA" w14:textId="77777777" w:rsidR="009E3E46" w:rsidRDefault="009E3E46" w:rsidP="009E3E46">
            <w:pPr>
              <w:spacing w:after="120"/>
              <w:rPr>
                <w:sz w:val="20"/>
                <w:szCs w:val="20"/>
              </w:rPr>
            </w:pPr>
          </w:p>
        </w:tc>
        <w:tc>
          <w:tcPr>
            <w:tcW w:w="1048" w:type="dxa"/>
          </w:tcPr>
          <w:p w14:paraId="5459CABE" w14:textId="598620A5"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5D325452" w14:textId="728C3567" w:rsidR="000972BE" w:rsidRPr="00735388" w:rsidRDefault="000972BE">
            <w:pPr>
              <w:pStyle w:val="ListParagraph"/>
              <w:numPr>
                <w:ilvl w:val="0"/>
                <w:numId w:val="37"/>
              </w:numPr>
              <w:spacing w:after="120"/>
              <w:rPr>
                <w:sz w:val="20"/>
                <w:szCs w:val="20"/>
              </w:rPr>
            </w:pPr>
            <w:r w:rsidRPr="000972BE">
              <w:rPr>
                <w:sz w:val="20"/>
                <w:szCs w:val="20"/>
              </w:rPr>
              <w:t xml:space="preserve">The </w:t>
            </w:r>
            <w:proofErr w:type="spellStart"/>
            <w:r w:rsidRPr="000972BE">
              <w:rPr>
                <w:sz w:val="20"/>
                <w:szCs w:val="20"/>
              </w:rPr>
              <w:t>RegTech</w:t>
            </w:r>
            <w:proofErr w:type="spellEnd"/>
            <w:r w:rsidRPr="000972BE">
              <w:rPr>
                <w:sz w:val="20"/>
                <w:szCs w:val="20"/>
              </w:rPr>
              <w:t xml:space="preserve"> market is still </w:t>
            </w:r>
            <w:r>
              <w:rPr>
                <w:sz w:val="20"/>
                <w:szCs w:val="20"/>
              </w:rPr>
              <w:t>developing</w:t>
            </w:r>
            <w:r w:rsidRPr="000972BE">
              <w:rPr>
                <w:sz w:val="20"/>
                <w:szCs w:val="20"/>
              </w:rPr>
              <w:t xml:space="preserve">, </w:t>
            </w:r>
            <w:r>
              <w:rPr>
                <w:sz w:val="20"/>
                <w:szCs w:val="20"/>
              </w:rPr>
              <w:t xml:space="preserve">with </w:t>
            </w:r>
            <w:r w:rsidRPr="000972BE">
              <w:rPr>
                <w:sz w:val="20"/>
                <w:szCs w:val="20"/>
              </w:rPr>
              <w:t xml:space="preserve">no solution </w:t>
            </w:r>
            <w:proofErr w:type="gramStart"/>
            <w:r>
              <w:rPr>
                <w:sz w:val="20"/>
                <w:szCs w:val="20"/>
              </w:rPr>
              <w:t xml:space="preserve">as </w:t>
            </w:r>
            <w:r w:rsidRPr="000972BE">
              <w:rPr>
                <w:sz w:val="20"/>
                <w:szCs w:val="20"/>
              </w:rPr>
              <w:t>yet</w:t>
            </w:r>
            <w:proofErr w:type="gramEnd"/>
            <w:r w:rsidRPr="000972BE">
              <w:rPr>
                <w:sz w:val="20"/>
                <w:szCs w:val="20"/>
              </w:rPr>
              <w:t xml:space="preserve"> identified as dominant or widely used </w:t>
            </w:r>
            <w:r w:rsidR="009105B1">
              <w:rPr>
                <w:sz w:val="20"/>
                <w:szCs w:val="20"/>
              </w:rPr>
              <w:t xml:space="preserve">by </w:t>
            </w:r>
            <w:r>
              <w:rPr>
                <w:sz w:val="20"/>
                <w:szCs w:val="20"/>
              </w:rPr>
              <w:t xml:space="preserve">firms </w:t>
            </w:r>
            <w:r w:rsidRPr="000972BE">
              <w:rPr>
                <w:sz w:val="20"/>
                <w:szCs w:val="20"/>
              </w:rPr>
              <w:t xml:space="preserve">or authorities. This might be due to </w:t>
            </w:r>
            <w:r w:rsidR="009105B1">
              <w:rPr>
                <w:sz w:val="20"/>
                <w:szCs w:val="20"/>
              </w:rPr>
              <w:t xml:space="preserve">the </w:t>
            </w:r>
            <w:r w:rsidRPr="000972BE">
              <w:rPr>
                <w:sz w:val="20"/>
                <w:szCs w:val="20"/>
              </w:rPr>
              <w:t>reluctanc</w:t>
            </w:r>
            <w:r w:rsidR="009105B1">
              <w:rPr>
                <w:sz w:val="20"/>
                <w:szCs w:val="20"/>
              </w:rPr>
              <w:t>y</w:t>
            </w:r>
            <w:r w:rsidRPr="000972BE">
              <w:rPr>
                <w:sz w:val="20"/>
                <w:szCs w:val="20"/>
              </w:rPr>
              <w:t xml:space="preserve"> </w:t>
            </w:r>
            <w:r>
              <w:rPr>
                <w:sz w:val="20"/>
                <w:szCs w:val="20"/>
              </w:rPr>
              <w:t xml:space="preserve">by firms to use </w:t>
            </w:r>
            <w:r w:rsidRPr="000972BE">
              <w:rPr>
                <w:sz w:val="20"/>
                <w:szCs w:val="20"/>
              </w:rPr>
              <w:t xml:space="preserve">innovative technologies </w:t>
            </w:r>
            <w:r>
              <w:rPr>
                <w:sz w:val="20"/>
                <w:szCs w:val="20"/>
              </w:rPr>
              <w:t xml:space="preserve">for </w:t>
            </w:r>
            <w:r w:rsidR="009105B1">
              <w:rPr>
                <w:sz w:val="20"/>
                <w:szCs w:val="20"/>
              </w:rPr>
              <w:t xml:space="preserve">conducting </w:t>
            </w:r>
            <w:r>
              <w:rPr>
                <w:sz w:val="20"/>
                <w:szCs w:val="20"/>
              </w:rPr>
              <w:t>regulat</w:t>
            </w:r>
            <w:r w:rsidR="009D4BFE">
              <w:rPr>
                <w:sz w:val="20"/>
                <w:szCs w:val="20"/>
              </w:rPr>
              <w:t>ed</w:t>
            </w:r>
            <w:r>
              <w:rPr>
                <w:sz w:val="20"/>
                <w:szCs w:val="20"/>
              </w:rPr>
              <w:t xml:space="preserve"> activities (e.g. </w:t>
            </w:r>
            <w:r w:rsidRPr="000972BE">
              <w:rPr>
                <w:sz w:val="20"/>
                <w:szCs w:val="20"/>
              </w:rPr>
              <w:t>reporting</w:t>
            </w:r>
            <w:r>
              <w:rPr>
                <w:sz w:val="20"/>
                <w:szCs w:val="20"/>
              </w:rPr>
              <w:t xml:space="preserve">, </w:t>
            </w:r>
            <w:r w:rsidRPr="000972BE">
              <w:rPr>
                <w:sz w:val="20"/>
                <w:szCs w:val="20"/>
              </w:rPr>
              <w:t>compliance</w:t>
            </w:r>
            <w:r>
              <w:rPr>
                <w:sz w:val="20"/>
                <w:szCs w:val="20"/>
              </w:rPr>
              <w:t>)</w:t>
            </w:r>
            <w:r w:rsidRPr="00735388">
              <w:rPr>
                <w:sz w:val="20"/>
                <w:szCs w:val="20"/>
              </w:rPr>
              <w:t xml:space="preserve">. </w:t>
            </w:r>
          </w:p>
          <w:p w14:paraId="38B1B33C" w14:textId="4FAFBF43" w:rsidR="009D4BFE" w:rsidRDefault="000972BE" w:rsidP="000972BE">
            <w:pPr>
              <w:pStyle w:val="ListParagraph"/>
              <w:numPr>
                <w:ilvl w:val="0"/>
                <w:numId w:val="37"/>
              </w:numPr>
              <w:spacing w:after="120"/>
              <w:rPr>
                <w:sz w:val="20"/>
                <w:szCs w:val="20"/>
              </w:rPr>
            </w:pPr>
            <w:r w:rsidRPr="000972BE">
              <w:rPr>
                <w:sz w:val="20"/>
                <w:szCs w:val="20"/>
              </w:rPr>
              <w:t xml:space="preserve">However, </w:t>
            </w:r>
            <w:r w:rsidR="009D4BFE">
              <w:rPr>
                <w:sz w:val="20"/>
                <w:szCs w:val="20"/>
              </w:rPr>
              <w:t xml:space="preserve">the constantly evolving nature of the EU </w:t>
            </w:r>
            <w:r w:rsidRPr="000972BE">
              <w:rPr>
                <w:sz w:val="20"/>
                <w:szCs w:val="20"/>
              </w:rPr>
              <w:t>regulatory framework,</w:t>
            </w:r>
            <w:r w:rsidR="009D4BFE">
              <w:rPr>
                <w:sz w:val="20"/>
                <w:szCs w:val="20"/>
              </w:rPr>
              <w:t xml:space="preserve"> has added additional </w:t>
            </w:r>
            <w:r w:rsidRPr="000972BE">
              <w:rPr>
                <w:sz w:val="20"/>
                <w:szCs w:val="20"/>
              </w:rPr>
              <w:t xml:space="preserve">uncertainty </w:t>
            </w:r>
            <w:r w:rsidR="009D4BFE">
              <w:rPr>
                <w:sz w:val="20"/>
                <w:szCs w:val="20"/>
              </w:rPr>
              <w:t xml:space="preserve">and made </w:t>
            </w:r>
            <w:r w:rsidRPr="000972BE">
              <w:rPr>
                <w:sz w:val="20"/>
                <w:szCs w:val="20"/>
              </w:rPr>
              <w:t>difficult</w:t>
            </w:r>
            <w:r w:rsidR="009D4BFE">
              <w:rPr>
                <w:sz w:val="20"/>
                <w:szCs w:val="20"/>
              </w:rPr>
              <w:t xml:space="preserve">, for firms, the use of a </w:t>
            </w:r>
            <w:proofErr w:type="gramStart"/>
            <w:r w:rsidR="009D4BFE">
              <w:rPr>
                <w:sz w:val="20"/>
                <w:szCs w:val="20"/>
              </w:rPr>
              <w:t>particular solution</w:t>
            </w:r>
            <w:proofErr w:type="gramEnd"/>
            <w:r w:rsidR="009D4BFE">
              <w:rPr>
                <w:sz w:val="20"/>
                <w:szCs w:val="20"/>
              </w:rPr>
              <w:t xml:space="preserve"> or technology.</w:t>
            </w:r>
          </w:p>
          <w:p w14:paraId="13C3C3A0" w14:textId="7FB42ACD" w:rsidR="009E3E46" w:rsidRPr="00735388" w:rsidRDefault="009D4BFE">
            <w:pPr>
              <w:pStyle w:val="ListParagraph"/>
              <w:numPr>
                <w:ilvl w:val="0"/>
                <w:numId w:val="37"/>
              </w:numPr>
              <w:spacing w:after="120"/>
              <w:rPr>
                <w:sz w:val="20"/>
                <w:szCs w:val="20"/>
              </w:rPr>
            </w:pPr>
            <w:r>
              <w:rPr>
                <w:sz w:val="20"/>
                <w:szCs w:val="20"/>
              </w:rPr>
              <w:t>F</w:t>
            </w:r>
            <w:r w:rsidR="000972BE" w:rsidRPr="000972BE">
              <w:rPr>
                <w:sz w:val="20"/>
                <w:szCs w:val="20"/>
              </w:rPr>
              <w:t xml:space="preserve">inally, the lack of </w:t>
            </w:r>
            <w:r>
              <w:rPr>
                <w:sz w:val="20"/>
                <w:szCs w:val="20"/>
              </w:rPr>
              <w:t>common interpretation and implementation of EU requirements, across EU Member States</w:t>
            </w:r>
            <w:r w:rsidR="000972BE" w:rsidRPr="000972BE">
              <w:rPr>
                <w:sz w:val="20"/>
                <w:szCs w:val="20"/>
              </w:rPr>
              <w:t xml:space="preserve">, </w:t>
            </w:r>
            <w:r>
              <w:rPr>
                <w:sz w:val="20"/>
                <w:szCs w:val="20"/>
              </w:rPr>
              <w:t xml:space="preserve">has </w:t>
            </w:r>
            <w:r w:rsidR="000972BE" w:rsidRPr="000972BE">
              <w:rPr>
                <w:sz w:val="20"/>
                <w:szCs w:val="20"/>
              </w:rPr>
              <w:t>often led to inconsistent</w:t>
            </w:r>
            <w:r>
              <w:rPr>
                <w:sz w:val="20"/>
                <w:szCs w:val="20"/>
              </w:rPr>
              <w:t xml:space="preserve"> requirements.</w:t>
            </w:r>
            <w:r w:rsidR="000972BE" w:rsidRPr="000972BE">
              <w:rPr>
                <w:sz w:val="20"/>
                <w:szCs w:val="20"/>
              </w:rPr>
              <w:t xml:space="preserve"> </w:t>
            </w:r>
            <w:r>
              <w:rPr>
                <w:sz w:val="20"/>
                <w:szCs w:val="20"/>
              </w:rPr>
              <w:t xml:space="preserve">This </w:t>
            </w:r>
            <w:r w:rsidR="000972BE" w:rsidRPr="000972BE">
              <w:rPr>
                <w:sz w:val="20"/>
                <w:szCs w:val="20"/>
              </w:rPr>
              <w:t xml:space="preserve">is </w:t>
            </w:r>
            <w:r>
              <w:rPr>
                <w:sz w:val="20"/>
                <w:szCs w:val="20"/>
              </w:rPr>
              <w:t xml:space="preserve">another </w:t>
            </w:r>
            <w:r w:rsidR="000972BE" w:rsidRPr="000972BE">
              <w:rPr>
                <w:sz w:val="20"/>
                <w:szCs w:val="20"/>
              </w:rPr>
              <w:t xml:space="preserve">obstacle to the development of </w:t>
            </w:r>
            <w:r>
              <w:rPr>
                <w:sz w:val="20"/>
                <w:szCs w:val="20"/>
              </w:rPr>
              <w:t xml:space="preserve">a mature </w:t>
            </w:r>
            <w:proofErr w:type="spellStart"/>
            <w:r w:rsidR="000972BE" w:rsidRPr="000972BE">
              <w:rPr>
                <w:sz w:val="20"/>
                <w:szCs w:val="20"/>
              </w:rPr>
              <w:t>RegTech</w:t>
            </w:r>
            <w:proofErr w:type="spellEnd"/>
            <w:r w:rsidR="000972BE" w:rsidRPr="000972BE">
              <w:rPr>
                <w:sz w:val="20"/>
                <w:szCs w:val="20"/>
              </w:rPr>
              <w:t xml:space="preserve"> market. </w:t>
            </w:r>
          </w:p>
        </w:tc>
      </w:tr>
      <w:tr w:rsidR="009E3E46" w14:paraId="7075B12E" w14:textId="77777777" w:rsidTr="00CA60D1">
        <w:trPr>
          <w:trHeight w:val="436"/>
        </w:trPr>
        <w:tc>
          <w:tcPr>
            <w:tcW w:w="790" w:type="dxa"/>
          </w:tcPr>
          <w:p w14:paraId="12E4A6D7" w14:textId="1CED6828" w:rsidR="009E3E46" w:rsidRDefault="009E3E46" w:rsidP="009E3E46">
            <w:pPr>
              <w:spacing w:after="120"/>
              <w:rPr>
                <w:sz w:val="20"/>
                <w:szCs w:val="20"/>
              </w:rPr>
            </w:pPr>
            <w:r>
              <w:rPr>
                <w:sz w:val="20"/>
                <w:szCs w:val="20"/>
              </w:rPr>
              <w:t>42</w:t>
            </w:r>
          </w:p>
        </w:tc>
        <w:tc>
          <w:tcPr>
            <w:tcW w:w="1048" w:type="dxa"/>
          </w:tcPr>
          <w:p w14:paraId="68E14BDD" w14:textId="7BC65BAC"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26283B3F" w14:textId="749D5860" w:rsidR="009E3E46" w:rsidRPr="006B3F7C" w:rsidRDefault="009E3E46" w:rsidP="009E3E46">
            <w:pPr>
              <w:spacing w:after="120"/>
              <w:rPr>
                <w:sz w:val="20"/>
                <w:szCs w:val="20"/>
              </w:rPr>
            </w:pPr>
            <w:r>
              <w:rPr>
                <w:sz w:val="20"/>
                <w:szCs w:val="20"/>
              </w:rPr>
              <w:t>Yes</w:t>
            </w:r>
          </w:p>
        </w:tc>
      </w:tr>
      <w:tr w:rsidR="009E3E46" w14:paraId="32A1F3FB" w14:textId="77777777" w:rsidTr="00CA60D1">
        <w:trPr>
          <w:trHeight w:val="436"/>
        </w:trPr>
        <w:tc>
          <w:tcPr>
            <w:tcW w:w="790" w:type="dxa"/>
          </w:tcPr>
          <w:p w14:paraId="1EB208DD" w14:textId="48133E60" w:rsidR="009E3E46" w:rsidRDefault="009E3E46" w:rsidP="009E3E46">
            <w:pPr>
              <w:spacing w:after="120"/>
              <w:rPr>
                <w:sz w:val="20"/>
                <w:szCs w:val="20"/>
              </w:rPr>
            </w:pPr>
            <w:r>
              <w:rPr>
                <w:sz w:val="20"/>
                <w:szCs w:val="20"/>
              </w:rPr>
              <w:t>42.1</w:t>
            </w:r>
          </w:p>
        </w:tc>
        <w:tc>
          <w:tcPr>
            <w:tcW w:w="1048" w:type="dxa"/>
          </w:tcPr>
          <w:p w14:paraId="2F0ADAA8" w14:textId="442A6B99"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78FBD5A8" w14:textId="41DB2ABE" w:rsidR="009D4BFE" w:rsidRPr="009D4BFE" w:rsidRDefault="009D4BFE" w:rsidP="009D4BFE">
            <w:pPr>
              <w:pStyle w:val="ListParagraph"/>
              <w:numPr>
                <w:ilvl w:val="0"/>
                <w:numId w:val="37"/>
              </w:numPr>
              <w:spacing w:after="120"/>
              <w:rPr>
                <w:sz w:val="20"/>
                <w:szCs w:val="20"/>
              </w:rPr>
            </w:pPr>
            <w:r w:rsidRPr="009D4BFE">
              <w:rPr>
                <w:sz w:val="20"/>
                <w:szCs w:val="20"/>
              </w:rPr>
              <w:t xml:space="preserve">The development of </w:t>
            </w:r>
            <w:r>
              <w:rPr>
                <w:sz w:val="20"/>
                <w:szCs w:val="20"/>
              </w:rPr>
              <w:t xml:space="preserve">a </w:t>
            </w:r>
            <w:proofErr w:type="spellStart"/>
            <w:r w:rsidRPr="009D4BFE">
              <w:rPr>
                <w:sz w:val="20"/>
                <w:szCs w:val="20"/>
              </w:rPr>
              <w:t>RegTech</w:t>
            </w:r>
            <w:proofErr w:type="spellEnd"/>
            <w:r w:rsidRPr="009D4BFE">
              <w:rPr>
                <w:sz w:val="20"/>
                <w:szCs w:val="20"/>
              </w:rPr>
              <w:t xml:space="preserve"> market</w:t>
            </w:r>
            <w:r>
              <w:rPr>
                <w:sz w:val="20"/>
                <w:szCs w:val="20"/>
              </w:rPr>
              <w:t xml:space="preserve"> </w:t>
            </w:r>
            <w:r w:rsidRPr="009D4BFE">
              <w:rPr>
                <w:sz w:val="20"/>
                <w:szCs w:val="20"/>
              </w:rPr>
              <w:t xml:space="preserve">requires collaboration of technology </w:t>
            </w:r>
            <w:r>
              <w:rPr>
                <w:sz w:val="20"/>
                <w:szCs w:val="20"/>
              </w:rPr>
              <w:t>providers</w:t>
            </w:r>
            <w:r w:rsidRPr="009D4BFE">
              <w:rPr>
                <w:sz w:val="20"/>
                <w:szCs w:val="20"/>
              </w:rPr>
              <w:t xml:space="preserve">, financial </w:t>
            </w:r>
            <w:r>
              <w:rPr>
                <w:sz w:val="20"/>
                <w:szCs w:val="20"/>
              </w:rPr>
              <w:t>institutions</w:t>
            </w:r>
            <w:r w:rsidR="008A2E7A">
              <w:rPr>
                <w:sz w:val="20"/>
                <w:szCs w:val="20"/>
              </w:rPr>
              <w:t xml:space="preserve"> (FIs),</w:t>
            </w:r>
            <w:r>
              <w:rPr>
                <w:sz w:val="20"/>
                <w:szCs w:val="20"/>
              </w:rPr>
              <w:t xml:space="preserve"> and financial services </w:t>
            </w:r>
            <w:r w:rsidRPr="009D4BFE">
              <w:rPr>
                <w:sz w:val="20"/>
                <w:szCs w:val="20"/>
              </w:rPr>
              <w:t xml:space="preserve">authorities. </w:t>
            </w:r>
          </w:p>
          <w:p w14:paraId="70409533" w14:textId="10039D42" w:rsidR="009D4BFE" w:rsidRPr="009D4BFE" w:rsidRDefault="009D4BFE" w:rsidP="009D4BFE">
            <w:pPr>
              <w:pStyle w:val="ListParagraph"/>
              <w:numPr>
                <w:ilvl w:val="0"/>
                <w:numId w:val="37"/>
              </w:numPr>
              <w:spacing w:after="120"/>
              <w:rPr>
                <w:sz w:val="20"/>
                <w:szCs w:val="20"/>
              </w:rPr>
            </w:pPr>
            <w:r w:rsidRPr="009D4BFE">
              <w:rPr>
                <w:sz w:val="20"/>
                <w:szCs w:val="20"/>
              </w:rPr>
              <w:t>Whil</w:t>
            </w:r>
            <w:r w:rsidR="008A2E7A">
              <w:rPr>
                <w:sz w:val="20"/>
                <w:szCs w:val="20"/>
              </w:rPr>
              <w:t>st</w:t>
            </w:r>
            <w:r w:rsidRPr="009D4BFE">
              <w:rPr>
                <w:sz w:val="20"/>
                <w:szCs w:val="20"/>
              </w:rPr>
              <w:t xml:space="preserve"> technology providers and </w:t>
            </w:r>
            <w:r>
              <w:rPr>
                <w:sz w:val="20"/>
                <w:szCs w:val="20"/>
              </w:rPr>
              <w:t xml:space="preserve">FIs </w:t>
            </w:r>
            <w:r w:rsidRPr="009D4BFE">
              <w:rPr>
                <w:sz w:val="20"/>
                <w:szCs w:val="20"/>
              </w:rPr>
              <w:t>are increasing</w:t>
            </w:r>
            <w:r>
              <w:rPr>
                <w:sz w:val="20"/>
                <w:szCs w:val="20"/>
              </w:rPr>
              <w:t>ly</w:t>
            </w:r>
            <w:r w:rsidRPr="009D4BFE">
              <w:rPr>
                <w:sz w:val="20"/>
                <w:szCs w:val="20"/>
              </w:rPr>
              <w:t xml:space="preserve"> collaborati</w:t>
            </w:r>
            <w:r>
              <w:rPr>
                <w:sz w:val="20"/>
                <w:szCs w:val="20"/>
              </w:rPr>
              <w:t>ng</w:t>
            </w:r>
            <w:r w:rsidRPr="009D4BFE">
              <w:rPr>
                <w:sz w:val="20"/>
                <w:szCs w:val="20"/>
              </w:rPr>
              <w:t xml:space="preserve">, public sector </w:t>
            </w:r>
            <w:r>
              <w:rPr>
                <w:sz w:val="20"/>
                <w:szCs w:val="20"/>
              </w:rPr>
              <w:t xml:space="preserve">participation </w:t>
            </w:r>
            <w:r w:rsidR="009F265D">
              <w:rPr>
                <w:sz w:val="20"/>
                <w:szCs w:val="20"/>
              </w:rPr>
              <w:t xml:space="preserve">and engagement </w:t>
            </w:r>
            <w:r w:rsidRPr="009D4BFE">
              <w:rPr>
                <w:sz w:val="20"/>
                <w:szCs w:val="20"/>
              </w:rPr>
              <w:t xml:space="preserve">is </w:t>
            </w:r>
            <w:r w:rsidR="009F265D">
              <w:rPr>
                <w:sz w:val="20"/>
                <w:szCs w:val="20"/>
              </w:rPr>
              <w:t>inconsistent across EU Members States</w:t>
            </w:r>
            <w:r w:rsidRPr="009D4BFE">
              <w:rPr>
                <w:sz w:val="20"/>
                <w:szCs w:val="20"/>
              </w:rPr>
              <w:t xml:space="preserve">. To </w:t>
            </w:r>
            <w:r>
              <w:rPr>
                <w:sz w:val="20"/>
                <w:szCs w:val="20"/>
              </w:rPr>
              <w:t xml:space="preserve">increase and </w:t>
            </w:r>
            <w:r w:rsidRPr="009D4BFE">
              <w:rPr>
                <w:sz w:val="20"/>
                <w:szCs w:val="20"/>
              </w:rPr>
              <w:t xml:space="preserve">facilitate the participation of all parties, it would be </w:t>
            </w:r>
            <w:r>
              <w:rPr>
                <w:sz w:val="20"/>
                <w:szCs w:val="20"/>
              </w:rPr>
              <w:t xml:space="preserve">beneficial </w:t>
            </w:r>
            <w:r w:rsidRPr="009D4BFE">
              <w:rPr>
                <w:sz w:val="20"/>
                <w:szCs w:val="20"/>
              </w:rPr>
              <w:t xml:space="preserve">for authorities to </w:t>
            </w:r>
            <w:r>
              <w:rPr>
                <w:sz w:val="20"/>
                <w:szCs w:val="20"/>
              </w:rPr>
              <w:t xml:space="preserve">contribute </w:t>
            </w:r>
            <w:r w:rsidR="009F265D">
              <w:rPr>
                <w:sz w:val="20"/>
                <w:szCs w:val="20"/>
              </w:rPr>
              <w:t xml:space="preserve">to </w:t>
            </w:r>
            <w:r w:rsidRPr="009D4BFE">
              <w:rPr>
                <w:sz w:val="20"/>
                <w:szCs w:val="20"/>
              </w:rPr>
              <w:t xml:space="preserve">initiatives such as accelerators or innovation </w:t>
            </w:r>
            <w:r w:rsidR="009F265D" w:rsidRPr="009D4BFE">
              <w:rPr>
                <w:sz w:val="20"/>
                <w:szCs w:val="20"/>
              </w:rPr>
              <w:t>centres</w:t>
            </w:r>
            <w:r w:rsidRPr="009D4BFE">
              <w:rPr>
                <w:sz w:val="20"/>
                <w:szCs w:val="20"/>
              </w:rPr>
              <w:t>, to promote an effective exchange of knowledge between parties.</w:t>
            </w:r>
          </w:p>
          <w:p w14:paraId="5B821282" w14:textId="75B4A578" w:rsidR="009E3E46" w:rsidRDefault="009D4BFE" w:rsidP="009D4BFE">
            <w:pPr>
              <w:pStyle w:val="ListParagraph"/>
              <w:numPr>
                <w:ilvl w:val="0"/>
                <w:numId w:val="37"/>
              </w:numPr>
              <w:spacing w:after="120"/>
              <w:rPr>
                <w:sz w:val="20"/>
                <w:szCs w:val="20"/>
              </w:rPr>
            </w:pPr>
            <w:r>
              <w:rPr>
                <w:sz w:val="20"/>
                <w:szCs w:val="20"/>
              </w:rPr>
              <w:t>Similarly</w:t>
            </w:r>
            <w:r w:rsidR="009F265D">
              <w:rPr>
                <w:sz w:val="20"/>
                <w:szCs w:val="20"/>
              </w:rPr>
              <w:t xml:space="preserve">, alongside </w:t>
            </w:r>
            <w:r>
              <w:rPr>
                <w:sz w:val="20"/>
                <w:szCs w:val="20"/>
              </w:rPr>
              <w:t>technology firms and FIs, f</w:t>
            </w:r>
            <w:r w:rsidRPr="009D4BFE">
              <w:rPr>
                <w:sz w:val="20"/>
                <w:szCs w:val="20"/>
              </w:rPr>
              <w:t xml:space="preserve">inancial sector authorities </w:t>
            </w:r>
            <w:r>
              <w:rPr>
                <w:sz w:val="20"/>
                <w:szCs w:val="20"/>
              </w:rPr>
              <w:t xml:space="preserve">should also </w:t>
            </w:r>
            <w:r w:rsidR="008A2E7A">
              <w:rPr>
                <w:sz w:val="20"/>
                <w:szCs w:val="20"/>
              </w:rPr>
              <w:t xml:space="preserve">continue to </w:t>
            </w:r>
            <w:r w:rsidRPr="009D4BFE">
              <w:rPr>
                <w:sz w:val="20"/>
                <w:szCs w:val="20"/>
              </w:rPr>
              <w:t xml:space="preserve">acquire </w:t>
            </w:r>
            <w:r>
              <w:rPr>
                <w:sz w:val="20"/>
                <w:szCs w:val="20"/>
              </w:rPr>
              <w:t xml:space="preserve">experience and </w:t>
            </w:r>
            <w:r w:rsidRPr="009D4BFE">
              <w:rPr>
                <w:sz w:val="20"/>
                <w:szCs w:val="20"/>
              </w:rPr>
              <w:t xml:space="preserve">knowledge on </w:t>
            </w:r>
            <w:r>
              <w:rPr>
                <w:sz w:val="20"/>
                <w:szCs w:val="20"/>
              </w:rPr>
              <w:t xml:space="preserve">innovative </w:t>
            </w:r>
            <w:r w:rsidRPr="009D4BFE">
              <w:rPr>
                <w:sz w:val="20"/>
                <w:szCs w:val="20"/>
              </w:rPr>
              <w:t xml:space="preserve">technologies and solutions to maximize </w:t>
            </w:r>
            <w:r>
              <w:rPr>
                <w:sz w:val="20"/>
                <w:szCs w:val="20"/>
              </w:rPr>
              <w:t xml:space="preserve">potential </w:t>
            </w:r>
            <w:r w:rsidRPr="009D4BFE">
              <w:rPr>
                <w:sz w:val="20"/>
                <w:szCs w:val="20"/>
              </w:rPr>
              <w:t>opportunities</w:t>
            </w:r>
            <w:r>
              <w:rPr>
                <w:sz w:val="20"/>
                <w:szCs w:val="20"/>
              </w:rPr>
              <w:t>.</w:t>
            </w:r>
          </w:p>
          <w:p w14:paraId="4E7326BD" w14:textId="404751E1" w:rsidR="009D4BFE" w:rsidRDefault="009D4BFE" w:rsidP="009D4BFE">
            <w:pPr>
              <w:pStyle w:val="ListParagraph"/>
              <w:numPr>
                <w:ilvl w:val="0"/>
                <w:numId w:val="37"/>
              </w:numPr>
              <w:spacing w:after="120"/>
              <w:rPr>
                <w:sz w:val="20"/>
                <w:szCs w:val="20"/>
              </w:rPr>
            </w:pPr>
            <w:r>
              <w:rPr>
                <w:sz w:val="20"/>
                <w:szCs w:val="20"/>
              </w:rPr>
              <w:t>See AFME’s comments provided in response to question 20.</w:t>
            </w:r>
          </w:p>
        </w:tc>
      </w:tr>
      <w:tr w:rsidR="009E3E46" w14:paraId="288EA5CD" w14:textId="77777777" w:rsidTr="00CA60D1">
        <w:trPr>
          <w:trHeight w:val="851"/>
        </w:trPr>
        <w:tc>
          <w:tcPr>
            <w:tcW w:w="790" w:type="dxa"/>
          </w:tcPr>
          <w:p w14:paraId="5ECDBD5A" w14:textId="16201DF7" w:rsidR="009E3E46" w:rsidRDefault="009E3E46" w:rsidP="009E3E46">
            <w:pPr>
              <w:spacing w:after="120"/>
              <w:rPr>
                <w:sz w:val="20"/>
                <w:szCs w:val="20"/>
              </w:rPr>
            </w:pPr>
            <w:r>
              <w:rPr>
                <w:sz w:val="20"/>
                <w:szCs w:val="20"/>
              </w:rPr>
              <w:t>43</w:t>
            </w:r>
          </w:p>
        </w:tc>
        <w:tc>
          <w:tcPr>
            <w:tcW w:w="1048" w:type="dxa"/>
          </w:tcPr>
          <w:p w14:paraId="15E61CC2" w14:textId="276E0F44"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37EA0A01" w14:textId="75E866E4" w:rsidR="009E3E46" w:rsidRDefault="009F265D">
            <w:pPr>
              <w:pStyle w:val="ListParagraph"/>
              <w:numPr>
                <w:ilvl w:val="0"/>
                <w:numId w:val="37"/>
              </w:numPr>
              <w:spacing w:after="120"/>
              <w:rPr>
                <w:sz w:val="20"/>
                <w:szCs w:val="20"/>
              </w:rPr>
            </w:pPr>
            <w:r>
              <w:rPr>
                <w:sz w:val="20"/>
                <w:szCs w:val="20"/>
              </w:rPr>
              <w:t>For additional information on areas where data collection could be enhanced in the Financial services sector, please read AFME’s response</w:t>
            </w:r>
            <w:r>
              <w:rPr>
                <w:rStyle w:val="FootnoteReference"/>
                <w:sz w:val="20"/>
                <w:szCs w:val="20"/>
              </w:rPr>
              <w:footnoteReference w:id="38"/>
            </w:r>
            <w:r>
              <w:rPr>
                <w:sz w:val="20"/>
                <w:szCs w:val="20"/>
              </w:rPr>
              <w:t xml:space="preserve"> to the Bank of England consultation paper on ‘</w:t>
            </w:r>
            <w:hyperlink r:id="rId15" w:history="1">
              <w:r w:rsidRPr="00FB3EB6">
                <w:rPr>
                  <w:rStyle w:val="Hyperlink"/>
                  <w:sz w:val="20"/>
                  <w:szCs w:val="20"/>
                </w:rPr>
                <w:t>Transforming Data Collection from the UK Financial Sector’</w:t>
              </w:r>
            </w:hyperlink>
            <w:r>
              <w:rPr>
                <w:sz w:val="20"/>
                <w:szCs w:val="20"/>
              </w:rPr>
              <w:t>.</w:t>
            </w:r>
          </w:p>
        </w:tc>
      </w:tr>
      <w:tr w:rsidR="009E3E46" w14:paraId="19B3EEE0" w14:textId="77777777" w:rsidTr="00CA60D1">
        <w:trPr>
          <w:trHeight w:val="436"/>
        </w:trPr>
        <w:tc>
          <w:tcPr>
            <w:tcW w:w="790" w:type="dxa"/>
          </w:tcPr>
          <w:p w14:paraId="2AC5AB89" w14:textId="2FA48517" w:rsidR="009E3E46" w:rsidRDefault="009E3E46" w:rsidP="009E3E46">
            <w:pPr>
              <w:spacing w:after="120"/>
              <w:rPr>
                <w:sz w:val="20"/>
                <w:szCs w:val="20"/>
              </w:rPr>
            </w:pPr>
            <w:r>
              <w:rPr>
                <w:sz w:val="20"/>
                <w:szCs w:val="20"/>
              </w:rPr>
              <w:t>44</w:t>
            </w:r>
          </w:p>
        </w:tc>
        <w:tc>
          <w:tcPr>
            <w:tcW w:w="1048" w:type="dxa"/>
          </w:tcPr>
          <w:p w14:paraId="7C526435" w14:textId="444C5C0D" w:rsidR="009E3E46" w:rsidRDefault="009E3E46" w:rsidP="009E3E46">
            <w:pPr>
              <w:rPr>
                <w:rFonts w:eastAsia="Times New Roman"/>
                <w:sz w:val="20"/>
                <w:szCs w:val="20"/>
                <w:lang w:eastAsia="en-GB"/>
              </w:rPr>
            </w:pPr>
            <w:r>
              <w:rPr>
                <w:rFonts w:eastAsia="Times New Roman"/>
                <w:sz w:val="20"/>
                <w:szCs w:val="20"/>
                <w:lang w:eastAsia="en-GB"/>
              </w:rPr>
              <w:t>AFME to respond</w:t>
            </w:r>
          </w:p>
        </w:tc>
        <w:tc>
          <w:tcPr>
            <w:tcW w:w="8619" w:type="dxa"/>
          </w:tcPr>
          <w:p w14:paraId="46D042FA" w14:textId="2E3CEB26" w:rsidR="009E3E46" w:rsidRDefault="009E3E46" w:rsidP="009E3E46">
            <w:pPr>
              <w:pStyle w:val="ListParagraph"/>
              <w:numPr>
                <w:ilvl w:val="0"/>
                <w:numId w:val="37"/>
              </w:numPr>
              <w:spacing w:after="120"/>
              <w:rPr>
                <w:sz w:val="20"/>
                <w:szCs w:val="20"/>
              </w:rPr>
            </w:pPr>
            <w:r>
              <w:rPr>
                <w:sz w:val="20"/>
                <w:szCs w:val="20"/>
              </w:rPr>
              <w:t xml:space="preserve">Further to the Commission’s work to </w:t>
            </w:r>
            <w:r w:rsidRPr="006B3F7C">
              <w:rPr>
                <w:sz w:val="20"/>
                <w:szCs w:val="20"/>
              </w:rPr>
              <w:t>standardis</w:t>
            </w:r>
            <w:r>
              <w:rPr>
                <w:sz w:val="20"/>
                <w:szCs w:val="20"/>
              </w:rPr>
              <w:t>e</w:t>
            </w:r>
            <w:r w:rsidRPr="006B3F7C">
              <w:rPr>
                <w:sz w:val="20"/>
                <w:szCs w:val="20"/>
              </w:rPr>
              <w:t xml:space="preserve"> concept definitions and reporting obligations across the whole EU financial services</w:t>
            </w:r>
            <w:r>
              <w:rPr>
                <w:sz w:val="20"/>
                <w:szCs w:val="20"/>
              </w:rPr>
              <w:t xml:space="preserve"> legislation,</w:t>
            </w:r>
            <w:r w:rsidRPr="006B3F7C">
              <w:rPr>
                <w:sz w:val="20"/>
                <w:szCs w:val="20"/>
              </w:rPr>
              <w:t xml:space="preserve"> additional initiatives should </w:t>
            </w:r>
            <w:r>
              <w:rPr>
                <w:sz w:val="20"/>
                <w:szCs w:val="20"/>
              </w:rPr>
              <w:t xml:space="preserve">be </w:t>
            </w:r>
            <w:r w:rsidRPr="006B3F7C">
              <w:rPr>
                <w:sz w:val="20"/>
                <w:szCs w:val="20"/>
              </w:rPr>
              <w:t>take</w:t>
            </w:r>
            <w:r>
              <w:rPr>
                <w:sz w:val="20"/>
                <w:szCs w:val="20"/>
              </w:rPr>
              <w:t>n</w:t>
            </w:r>
            <w:r w:rsidRPr="006B3F7C">
              <w:rPr>
                <w:sz w:val="20"/>
                <w:szCs w:val="20"/>
              </w:rPr>
              <w:t xml:space="preserve"> to support a move towards a fully digitalised supervisory approach </w:t>
            </w:r>
            <w:r w:rsidR="008A2E7A" w:rsidRPr="006B3F7C">
              <w:rPr>
                <w:sz w:val="20"/>
                <w:szCs w:val="20"/>
              </w:rPr>
              <w:t>in</w:t>
            </w:r>
            <w:r>
              <w:rPr>
                <w:sz w:val="20"/>
                <w:szCs w:val="20"/>
              </w:rPr>
              <w:t xml:space="preserve"> financial services</w:t>
            </w:r>
            <w:r w:rsidR="00530941">
              <w:rPr>
                <w:sz w:val="20"/>
                <w:szCs w:val="20"/>
              </w:rPr>
              <w:t>.</w:t>
            </w:r>
          </w:p>
          <w:p w14:paraId="7FDB435B" w14:textId="7215E2B3" w:rsidR="009E3E46" w:rsidRDefault="009E3E46" w:rsidP="009E3E46">
            <w:pPr>
              <w:pStyle w:val="ListParagraph"/>
              <w:numPr>
                <w:ilvl w:val="0"/>
                <w:numId w:val="37"/>
              </w:numPr>
              <w:spacing w:after="120"/>
              <w:rPr>
                <w:sz w:val="20"/>
                <w:szCs w:val="20"/>
              </w:rPr>
            </w:pPr>
            <w:r w:rsidRPr="00530941">
              <w:rPr>
                <w:sz w:val="20"/>
                <w:szCs w:val="20"/>
              </w:rPr>
              <w:lastRenderedPageBreak/>
              <w:t xml:space="preserve">We believe it will be essential long-term as part of this initiative to coordinate with other national, </w:t>
            </w:r>
            <w:r w:rsidR="008A2E7A" w:rsidRPr="00530941">
              <w:rPr>
                <w:sz w:val="20"/>
                <w:szCs w:val="20"/>
              </w:rPr>
              <w:t>regional,</w:t>
            </w:r>
            <w:r w:rsidRPr="00530941">
              <w:rPr>
                <w:sz w:val="20"/>
                <w:szCs w:val="20"/>
              </w:rPr>
              <w:t xml:space="preserve"> and global authorities, wherever practicable. AFME’s members, and the wholesale capital markets industry, are cross-border in nature and this is inherent in many of the requirements, and obligations, in reporting development and submissions today.</w:t>
            </w:r>
          </w:p>
        </w:tc>
      </w:tr>
      <w:tr w:rsidR="009E3E46" w14:paraId="40A7000D" w14:textId="77777777" w:rsidTr="00CA60D1">
        <w:trPr>
          <w:trHeight w:val="436"/>
        </w:trPr>
        <w:tc>
          <w:tcPr>
            <w:tcW w:w="790" w:type="dxa"/>
          </w:tcPr>
          <w:p w14:paraId="5FAA6D20" w14:textId="4354D8E2" w:rsidR="009E3E46" w:rsidRDefault="009E3E46" w:rsidP="009E3E46">
            <w:pPr>
              <w:spacing w:after="120"/>
              <w:rPr>
                <w:sz w:val="20"/>
                <w:szCs w:val="20"/>
              </w:rPr>
            </w:pPr>
            <w:r>
              <w:rPr>
                <w:sz w:val="20"/>
                <w:szCs w:val="20"/>
              </w:rPr>
              <w:lastRenderedPageBreak/>
              <w:t>45</w:t>
            </w:r>
          </w:p>
        </w:tc>
        <w:tc>
          <w:tcPr>
            <w:tcW w:w="1048" w:type="dxa"/>
          </w:tcPr>
          <w:p w14:paraId="28294FC6" w14:textId="019CA7AB" w:rsidR="009E3E46" w:rsidRDefault="009E3E46" w:rsidP="009E3E46">
            <w:pPr>
              <w:jc w:val="left"/>
              <w:rPr>
                <w:rFonts w:eastAsia="Times New Roman"/>
                <w:sz w:val="20"/>
                <w:szCs w:val="20"/>
                <w:lang w:eastAsia="en-GB"/>
              </w:rPr>
            </w:pPr>
            <w:r>
              <w:rPr>
                <w:rFonts w:eastAsia="Times New Roman"/>
                <w:sz w:val="20"/>
                <w:szCs w:val="20"/>
                <w:lang w:eastAsia="en-GB"/>
              </w:rPr>
              <w:t>AFME to respond</w:t>
            </w:r>
            <w:r>
              <w:rPr>
                <w:rFonts w:eastAsia="Times New Roman"/>
                <w:sz w:val="20"/>
                <w:szCs w:val="20"/>
                <w:lang w:eastAsia="en-GB"/>
              </w:rPr>
              <w:br/>
            </w:r>
          </w:p>
        </w:tc>
        <w:tc>
          <w:tcPr>
            <w:tcW w:w="8619" w:type="dxa"/>
          </w:tcPr>
          <w:p w14:paraId="0834FDD9" w14:textId="4F5C0149" w:rsidR="009E3E46" w:rsidRPr="00AF6407" w:rsidRDefault="009E3E46">
            <w:pPr>
              <w:pStyle w:val="ListParagraph"/>
              <w:numPr>
                <w:ilvl w:val="0"/>
                <w:numId w:val="37"/>
              </w:numPr>
              <w:spacing w:after="120"/>
              <w:rPr>
                <w:sz w:val="20"/>
                <w:szCs w:val="20"/>
              </w:rPr>
            </w:pPr>
            <w:r w:rsidRPr="00530941">
              <w:rPr>
                <w:sz w:val="20"/>
                <w:szCs w:val="20"/>
              </w:rPr>
              <w:t xml:space="preserve">The use of ‘other publicly available data’ would need to be appropriately defined by regulators to the extent that it was relied upon from a supervisory perspective, along with the purpose for which it would be relied upon. An important consideration would be the extent to which the information provided can be verified. Where this information was limited to verified information that derives from social media platforms owned and operated by the supervised entity, this may be appropriate. However, in this context, it is important to note that regulators are mandated to supervise legal entities, as opposed to brand presence. Social media channels may represent the global brand messages that may be misconstrued or out of context with reference to individual legal entities that sit within a global group.   </w:t>
            </w:r>
          </w:p>
          <w:p w14:paraId="53E62F07" w14:textId="1566C8D9" w:rsidR="009E3E46" w:rsidRDefault="009E3E46" w:rsidP="009E3E46">
            <w:pPr>
              <w:pStyle w:val="ListParagraph"/>
              <w:numPr>
                <w:ilvl w:val="0"/>
                <w:numId w:val="37"/>
              </w:numPr>
              <w:spacing w:after="120"/>
              <w:rPr>
                <w:sz w:val="20"/>
                <w:szCs w:val="20"/>
              </w:rPr>
            </w:pPr>
            <w:r w:rsidRPr="00530941">
              <w:rPr>
                <w:sz w:val="20"/>
                <w:szCs w:val="20"/>
              </w:rPr>
              <w:t>Broader reliance on social media information</w:t>
            </w:r>
            <w:r w:rsidR="008A2E7A">
              <w:rPr>
                <w:sz w:val="20"/>
                <w:szCs w:val="20"/>
              </w:rPr>
              <w:t>,</w:t>
            </w:r>
            <w:r w:rsidRPr="00530941">
              <w:rPr>
                <w:sz w:val="20"/>
                <w:szCs w:val="20"/>
              </w:rPr>
              <w:t xml:space="preserve"> outside of the social media platforms owned and operated by the supervised entity</w:t>
            </w:r>
            <w:r w:rsidR="008A2E7A">
              <w:rPr>
                <w:sz w:val="20"/>
                <w:szCs w:val="20"/>
              </w:rPr>
              <w:t>,</w:t>
            </w:r>
            <w:r w:rsidRPr="00530941">
              <w:rPr>
                <w:sz w:val="20"/>
                <w:szCs w:val="20"/>
              </w:rPr>
              <w:t xml:space="preserve"> would need to be very carefully considered from an accuracy perspective. It may be very difficult to accurately verify the source and correctness of such information and to therefore justify relying on such information for supervisory purposes.</w:t>
            </w:r>
          </w:p>
        </w:tc>
      </w:tr>
    </w:tbl>
    <w:p w14:paraId="5F91B29C" w14:textId="737DFD29" w:rsidR="00DA57AB" w:rsidRDefault="00DA57AB" w:rsidP="00147DD7">
      <w:pPr>
        <w:rPr>
          <w:rFonts w:cs="Cambria"/>
          <w:sz w:val="20"/>
          <w:szCs w:val="20"/>
        </w:rPr>
      </w:pPr>
    </w:p>
    <w:p w14:paraId="3444B9F8" w14:textId="10A6AC47" w:rsidR="00EF504F" w:rsidRPr="006B3F7C" w:rsidRDefault="006B3F7C" w:rsidP="006B3F7C">
      <w:pPr>
        <w:pStyle w:val="ListParagraph"/>
        <w:numPr>
          <w:ilvl w:val="0"/>
          <w:numId w:val="34"/>
        </w:numPr>
        <w:rPr>
          <w:b/>
          <w:i/>
          <w:sz w:val="20"/>
          <w:szCs w:val="20"/>
        </w:rPr>
      </w:pPr>
      <w:r>
        <w:rPr>
          <w:b/>
          <w:i/>
          <w:sz w:val="20"/>
          <w:szCs w:val="20"/>
        </w:rPr>
        <w:t>Broader issues</w:t>
      </w:r>
    </w:p>
    <w:p w14:paraId="674823FD" w14:textId="77777777" w:rsidR="00DA57AB" w:rsidRPr="00735388" w:rsidRDefault="00DA57AB">
      <w:pPr>
        <w:pStyle w:val="ListParagraph"/>
        <w:rPr>
          <w:rFonts w:cs="Cambria"/>
          <w:sz w:val="20"/>
          <w:szCs w:val="20"/>
        </w:rPr>
      </w:pPr>
    </w:p>
    <w:tbl>
      <w:tblPr>
        <w:tblStyle w:val="TableGrid"/>
        <w:tblW w:w="10627" w:type="dxa"/>
        <w:tblLook w:val="04A0" w:firstRow="1" w:lastRow="0" w:firstColumn="1" w:lastColumn="0" w:noHBand="0" w:noVBand="1"/>
      </w:tblPr>
      <w:tblGrid>
        <w:gridCol w:w="1271"/>
        <w:gridCol w:w="2126"/>
        <w:gridCol w:w="7230"/>
      </w:tblGrid>
      <w:tr w:rsidR="00DA57AB" w:rsidRPr="00DB5E67" w14:paraId="5BA0C81F" w14:textId="77777777" w:rsidTr="00A565B8">
        <w:trPr>
          <w:trHeight w:val="226"/>
        </w:trPr>
        <w:tc>
          <w:tcPr>
            <w:tcW w:w="1271" w:type="dxa"/>
            <w:shd w:val="clear" w:color="auto" w:fill="D6E3BC" w:themeFill="accent3" w:themeFillTint="66"/>
          </w:tcPr>
          <w:p w14:paraId="687A8A54" w14:textId="77777777" w:rsidR="00DA57AB" w:rsidRPr="00DB5E67" w:rsidRDefault="00DA57AB" w:rsidP="0053138D">
            <w:pPr>
              <w:spacing w:after="120"/>
              <w:rPr>
                <w:b/>
                <w:sz w:val="20"/>
                <w:szCs w:val="20"/>
              </w:rPr>
            </w:pPr>
            <w:r>
              <w:rPr>
                <w:b/>
                <w:sz w:val="20"/>
                <w:szCs w:val="20"/>
              </w:rPr>
              <w:t>Question</w:t>
            </w:r>
          </w:p>
        </w:tc>
        <w:tc>
          <w:tcPr>
            <w:tcW w:w="2126" w:type="dxa"/>
            <w:shd w:val="clear" w:color="auto" w:fill="D6E3BC" w:themeFill="accent3" w:themeFillTint="66"/>
          </w:tcPr>
          <w:p w14:paraId="4019B413" w14:textId="77777777" w:rsidR="00DA57AB" w:rsidRPr="00DB5E67" w:rsidRDefault="00DA57AB" w:rsidP="0053138D">
            <w:pPr>
              <w:spacing w:after="120"/>
              <w:rPr>
                <w:b/>
                <w:sz w:val="20"/>
                <w:szCs w:val="20"/>
              </w:rPr>
            </w:pPr>
            <w:r w:rsidRPr="00DB5E67">
              <w:rPr>
                <w:b/>
                <w:sz w:val="20"/>
                <w:szCs w:val="20"/>
              </w:rPr>
              <w:t>Comment</w:t>
            </w:r>
          </w:p>
        </w:tc>
        <w:tc>
          <w:tcPr>
            <w:tcW w:w="7230" w:type="dxa"/>
            <w:shd w:val="clear" w:color="auto" w:fill="D6E3BC" w:themeFill="accent3" w:themeFillTint="66"/>
          </w:tcPr>
          <w:p w14:paraId="351E0489" w14:textId="77777777" w:rsidR="00DA57AB" w:rsidRPr="00DB5E67" w:rsidRDefault="00DA57AB" w:rsidP="0053138D">
            <w:pPr>
              <w:spacing w:after="120"/>
              <w:rPr>
                <w:b/>
                <w:sz w:val="20"/>
                <w:szCs w:val="20"/>
              </w:rPr>
            </w:pPr>
            <w:r w:rsidRPr="00DB5E67">
              <w:rPr>
                <w:b/>
                <w:sz w:val="20"/>
                <w:szCs w:val="20"/>
              </w:rPr>
              <w:t>Reasoning</w:t>
            </w:r>
          </w:p>
        </w:tc>
      </w:tr>
      <w:tr w:rsidR="006B3F7C" w:rsidRPr="00DB5E67" w14:paraId="0B8B88AE" w14:textId="77777777" w:rsidTr="00A565B8">
        <w:trPr>
          <w:trHeight w:val="352"/>
        </w:trPr>
        <w:tc>
          <w:tcPr>
            <w:tcW w:w="1271" w:type="dxa"/>
          </w:tcPr>
          <w:p w14:paraId="422A2A9F" w14:textId="6DA46AE7" w:rsidR="006B3F7C" w:rsidRPr="00DB5E67" w:rsidRDefault="006B3F7C" w:rsidP="006B3F7C">
            <w:pPr>
              <w:spacing w:after="120"/>
              <w:rPr>
                <w:sz w:val="20"/>
                <w:szCs w:val="20"/>
              </w:rPr>
            </w:pPr>
            <w:r>
              <w:rPr>
                <w:sz w:val="20"/>
                <w:szCs w:val="20"/>
              </w:rPr>
              <w:t>46</w:t>
            </w:r>
          </w:p>
        </w:tc>
        <w:tc>
          <w:tcPr>
            <w:tcW w:w="2126" w:type="dxa"/>
          </w:tcPr>
          <w:p w14:paraId="1CFD08A4" w14:textId="57A5FFC0" w:rsidR="006B3F7C" w:rsidRPr="0042399D" w:rsidRDefault="006B3F7C" w:rsidP="00CA60D1">
            <w:pPr>
              <w:jc w:val="left"/>
              <w:rPr>
                <w:rFonts w:eastAsia="Times New Roman"/>
                <w:bCs/>
                <w:sz w:val="20"/>
                <w:szCs w:val="20"/>
                <w:lang w:eastAsia="en-GB"/>
              </w:rPr>
            </w:pPr>
            <w:r w:rsidRPr="0042399D">
              <w:rPr>
                <w:rFonts w:eastAsia="Times New Roman"/>
                <w:sz w:val="20"/>
                <w:szCs w:val="20"/>
                <w:lang w:eastAsia="en-GB"/>
              </w:rPr>
              <w:t>AFME to respond</w:t>
            </w:r>
          </w:p>
        </w:tc>
        <w:tc>
          <w:tcPr>
            <w:tcW w:w="7230" w:type="dxa"/>
          </w:tcPr>
          <w:p w14:paraId="6BE1EAFD" w14:textId="4CA6DB52" w:rsidR="00742AE1" w:rsidRPr="00742AE1" w:rsidRDefault="00742AE1" w:rsidP="00735388">
            <w:pPr>
              <w:pStyle w:val="ListParagraph"/>
              <w:numPr>
                <w:ilvl w:val="0"/>
                <w:numId w:val="26"/>
              </w:numPr>
              <w:spacing w:after="120"/>
              <w:ind w:left="184" w:hanging="142"/>
              <w:rPr>
                <w:sz w:val="20"/>
                <w:szCs w:val="20"/>
              </w:rPr>
            </w:pPr>
            <w:r w:rsidRPr="00742AE1">
              <w:rPr>
                <w:sz w:val="20"/>
                <w:szCs w:val="20"/>
              </w:rPr>
              <w:t xml:space="preserve">The </w:t>
            </w:r>
            <w:r w:rsidR="00EA6092">
              <w:rPr>
                <w:sz w:val="20"/>
                <w:szCs w:val="20"/>
              </w:rPr>
              <w:t xml:space="preserve">EU </w:t>
            </w:r>
            <w:r w:rsidRPr="00742AE1">
              <w:rPr>
                <w:sz w:val="20"/>
                <w:szCs w:val="20"/>
              </w:rPr>
              <w:t xml:space="preserve">financial sector </w:t>
            </w:r>
            <w:r w:rsidR="00EA6092">
              <w:rPr>
                <w:sz w:val="20"/>
                <w:szCs w:val="20"/>
              </w:rPr>
              <w:t xml:space="preserve">is an </w:t>
            </w:r>
            <w:r w:rsidRPr="00742AE1">
              <w:rPr>
                <w:sz w:val="20"/>
                <w:szCs w:val="20"/>
              </w:rPr>
              <w:t xml:space="preserve">essential </w:t>
            </w:r>
            <w:r w:rsidR="00EA6092">
              <w:rPr>
                <w:sz w:val="20"/>
                <w:szCs w:val="20"/>
              </w:rPr>
              <w:t>component of a transition</w:t>
            </w:r>
            <w:r w:rsidRPr="00742AE1">
              <w:rPr>
                <w:sz w:val="20"/>
                <w:szCs w:val="20"/>
              </w:rPr>
              <w:t xml:space="preserve"> </w:t>
            </w:r>
            <w:r w:rsidR="00EA6092">
              <w:rPr>
                <w:sz w:val="20"/>
                <w:szCs w:val="20"/>
              </w:rPr>
              <w:t xml:space="preserve">towards a </w:t>
            </w:r>
            <w:r w:rsidRPr="00742AE1">
              <w:rPr>
                <w:sz w:val="20"/>
                <w:szCs w:val="20"/>
              </w:rPr>
              <w:t xml:space="preserve">digital </w:t>
            </w:r>
            <w:r w:rsidR="00EA6092">
              <w:rPr>
                <w:sz w:val="20"/>
                <w:szCs w:val="20"/>
              </w:rPr>
              <w:t>single market</w:t>
            </w:r>
            <w:r w:rsidRPr="00742AE1">
              <w:rPr>
                <w:sz w:val="20"/>
                <w:szCs w:val="20"/>
              </w:rPr>
              <w:t>. First, by providing financ</w:t>
            </w:r>
            <w:r w:rsidR="00EA6092">
              <w:rPr>
                <w:sz w:val="20"/>
                <w:szCs w:val="20"/>
              </w:rPr>
              <w:t>ing</w:t>
            </w:r>
            <w:r w:rsidRPr="00742AE1">
              <w:rPr>
                <w:sz w:val="20"/>
                <w:szCs w:val="20"/>
              </w:rPr>
              <w:t xml:space="preserve"> to support </w:t>
            </w:r>
            <w:r w:rsidR="00EA6092">
              <w:rPr>
                <w:sz w:val="20"/>
                <w:szCs w:val="20"/>
              </w:rPr>
              <w:t xml:space="preserve">firms’ digital transformation </w:t>
            </w:r>
            <w:r w:rsidRPr="00742AE1">
              <w:rPr>
                <w:sz w:val="20"/>
                <w:szCs w:val="20"/>
              </w:rPr>
              <w:t>(</w:t>
            </w:r>
            <w:r w:rsidR="00EA6092">
              <w:rPr>
                <w:sz w:val="20"/>
                <w:szCs w:val="20"/>
              </w:rPr>
              <w:t xml:space="preserve">e.g. </w:t>
            </w:r>
            <w:r w:rsidRPr="00742AE1">
              <w:rPr>
                <w:sz w:val="20"/>
                <w:szCs w:val="20"/>
              </w:rPr>
              <w:t xml:space="preserve">including </w:t>
            </w:r>
            <w:r w:rsidR="00EA6092">
              <w:rPr>
                <w:sz w:val="20"/>
                <w:szCs w:val="20"/>
              </w:rPr>
              <w:t xml:space="preserve">new skills, culture, </w:t>
            </w:r>
            <w:r w:rsidRPr="00742AE1">
              <w:rPr>
                <w:sz w:val="20"/>
                <w:szCs w:val="20"/>
              </w:rPr>
              <w:t xml:space="preserve">customers’ expectations). </w:t>
            </w:r>
            <w:r w:rsidR="00EA6092">
              <w:rPr>
                <w:sz w:val="20"/>
                <w:szCs w:val="20"/>
              </w:rPr>
              <w:t>Also, b</w:t>
            </w:r>
            <w:r w:rsidRPr="00742AE1">
              <w:rPr>
                <w:sz w:val="20"/>
                <w:szCs w:val="20"/>
              </w:rPr>
              <w:t>y providing financ</w:t>
            </w:r>
            <w:r w:rsidR="00EA6092">
              <w:rPr>
                <w:sz w:val="20"/>
                <w:szCs w:val="20"/>
              </w:rPr>
              <w:t xml:space="preserve">ing </w:t>
            </w:r>
            <w:r w:rsidRPr="00742AE1">
              <w:rPr>
                <w:sz w:val="20"/>
                <w:szCs w:val="20"/>
              </w:rPr>
              <w:t>to support the scal</w:t>
            </w:r>
            <w:r w:rsidR="00EA6092">
              <w:rPr>
                <w:sz w:val="20"/>
                <w:szCs w:val="20"/>
              </w:rPr>
              <w:t>ing</w:t>
            </w:r>
            <w:r w:rsidRPr="00742AE1">
              <w:rPr>
                <w:sz w:val="20"/>
                <w:szCs w:val="20"/>
              </w:rPr>
              <w:t xml:space="preserve">-up of </w:t>
            </w:r>
            <w:r w:rsidR="00EA6092">
              <w:rPr>
                <w:sz w:val="20"/>
                <w:szCs w:val="20"/>
              </w:rPr>
              <w:t xml:space="preserve">firms </w:t>
            </w:r>
            <w:r w:rsidRPr="00742AE1">
              <w:rPr>
                <w:sz w:val="20"/>
                <w:szCs w:val="20"/>
              </w:rPr>
              <w:t>across the Single Market</w:t>
            </w:r>
            <w:r w:rsidR="00EA6092">
              <w:rPr>
                <w:sz w:val="20"/>
                <w:szCs w:val="20"/>
              </w:rPr>
              <w:t xml:space="preserve">, </w:t>
            </w:r>
            <w:r w:rsidRPr="00742AE1">
              <w:rPr>
                <w:sz w:val="20"/>
                <w:szCs w:val="20"/>
              </w:rPr>
              <w:t xml:space="preserve">as well as funding entrepreneurial activity. Finally, </w:t>
            </w:r>
            <w:r w:rsidR="00EA6092">
              <w:rPr>
                <w:sz w:val="20"/>
                <w:szCs w:val="20"/>
              </w:rPr>
              <w:t xml:space="preserve">by </w:t>
            </w:r>
            <w:r w:rsidRPr="00742AE1">
              <w:rPr>
                <w:sz w:val="20"/>
                <w:szCs w:val="20"/>
              </w:rPr>
              <w:t xml:space="preserve">offering </w:t>
            </w:r>
            <w:r w:rsidR="00EA6092">
              <w:rPr>
                <w:sz w:val="20"/>
                <w:szCs w:val="20"/>
              </w:rPr>
              <w:t xml:space="preserve">safe, </w:t>
            </w:r>
            <w:r w:rsidR="008A2E7A" w:rsidRPr="00742AE1">
              <w:rPr>
                <w:sz w:val="20"/>
                <w:szCs w:val="20"/>
              </w:rPr>
              <w:t>efficient,</w:t>
            </w:r>
            <w:r w:rsidRPr="00742AE1">
              <w:rPr>
                <w:sz w:val="20"/>
                <w:szCs w:val="20"/>
              </w:rPr>
              <w:t xml:space="preserve"> and affordable financial services suited to the needs of EU </w:t>
            </w:r>
            <w:r w:rsidR="00EA6092">
              <w:rPr>
                <w:sz w:val="20"/>
                <w:szCs w:val="20"/>
              </w:rPr>
              <w:t xml:space="preserve">firms </w:t>
            </w:r>
            <w:r w:rsidRPr="00742AE1">
              <w:rPr>
                <w:sz w:val="20"/>
                <w:szCs w:val="20"/>
              </w:rPr>
              <w:t xml:space="preserve">and </w:t>
            </w:r>
            <w:r w:rsidR="00EA6092">
              <w:rPr>
                <w:sz w:val="20"/>
                <w:szCs w:val="20"/>
              </w:rPr>
              <w:t>clients/customers</w:t>
            </w:r>
            <w:r w:rsidRPr="00742AE1">
              <w:rPr>
                <w:sz w:val="20"/>
                <w:szCs w:val="20"/>
              </w:rPr>
              <w:t xml:space="preserve">. </w:t>
            </w:r>
          </w:p>
          <w:p w14:paraId="3632B501" w14:textId="3838C104" w:rsidR="00742AE1" w:rsidRDefault="00742AE1" w:rsidP="00EA6092">
            <w:pPr>
              <w:pStyle w:val="ListParagraph"/>
              <w:numPr>
                <w:ilvl w:val="0"/>
                <w:numId w:val="26"/>
              </w:numPr>
              <w:spacing w:after="120"/>
              <w:ind w:left="184" w:hanging="142"/>
              <w:rPr>
                <w:sz w:val="20"/>
                <w:szCs w:val="20"/>
              </w:rPr>
            </w:pPr>
            <w:r w:rsidRPr="00742AE1">
              <w:rPr>
                <w:sz w:val="20"/>
                <w:szCs w:val="20"/>
              </w:rPr>
              <w:t xml:space="preserve">However, </w:t>
            </w:r>
            <w:r w:rsidR="008A2E7A" w:rsidRPr="00742AE1">
              <w:rPr>
                <w:sz w:val="20"/>
                <w:szCs w:val="20"/>
              </w:rPr>
              <w:t>to</w:t>
            </w:r>
            <w:r w:rsidRPr="00742AE1">
              <w:rPr>
                <w:sz w:val="20"/>
                <w:szCs w:val="20"/>
              </w:rPr>
              <w:t xml:space="preserve"> </w:t>
            </w:r>
            <w:r w:rsidR="00EA6092">
              <w:rPr>
                <w:sz w:val="20"/>
                <w:szCs w:val="20"/>
              </w:rPr>
              <w:t xml:space="preserve">deliver on </w:t>
            </w:r>
            <w:r w:rsidRPr="00742AE1">
              <w:rPr>
                <w:sz w:val="20"/>
                <w:szCs w:val="20"/>
              </w:rPr>
              <w:t>this crucial task,</w:t>
            </w:r>
            <w:r w:rsidR="00EA6092">
              <w:rPr>
                <w:sz w:val="20"/>
                <w:szCs w:val="20"/>
              </w:rPr>
              <w:t xml:space="preserve"> the EU requires</w:t>
            </w:r>
            <w:r w:rsidRPr="00742AE1">
              <w:rPr>
                <w:sz w:val="20"/>
                <w:szCs w:val="20"/>
              </w:rPr>
              <w:t>:</w:t>
            </w:r>
          </w:p>
          <w:p w14:paraId="529930E8" w14:textId="6D2FCF03" w:rsidR="00EA6092" w:rsidRPr="00EA6092" w:rsidRDefault="00EA6092" w:rsidP="00735388">
            <w:pPr>
              <w:pStyle w:val="ListParagraph"/>
              <w:numPr>
                <w:ilvl w:val="1"/>
                <w:numId w:val="26"/>
              </w:numPr>
              <w:spacing w:after="120"/>
              <w:ind w:left="606" w:hanging="284"/>
              <w:rPr>
                <w:sz w:val="20"/>
                <w:szCs w:val="20"/>
              </w:rPr>
            </w:pPr>
            <w:r>
              <w:rPr>
                <w:sz w:val="20"/>
                <w:szCs w:val="20"/>
              </w:rPr>
              <w:t>F</w:t>
            </w:r>
            <w:r w:rsidRPr="00EA6092">
              <w:rPr>
                <w:sz w:val="20"/>
                <w:szCs w:val="20"/>
              </w:rPr>
              <w:t xml:space="preserve">air and even conditions </w:t>
            </w:r>
            <w:r>
              <w:rPr>
                <w:sz w:val="20"/>
                <w:szCs w:val="20"/>
              </w:rPr>
              <w:t xml:space="preserve">for all market players, to </w:t>
            </w:r>
            <w:r w:rsidRPr="00EA6092">
              <w:rPr>
                <w:sz w:val="20"/>
                <w:szCs w:val="20"/>
              </w:rPr>
              <w:t>access data</w:t>
            </w:r>
            <w:r>
              <w:rPr>
                <w:sz w:val="20"/>
                <w:szCs w:val="20"/>
              </w:rPr>
              <w:t xml:space="preserve">, and </w:t>
            </w:r>
            <w:r w:rsidRPr="00EA6092">
              <w:rPr>
                <w:sz w:val="20"/>
                <w:szCs w:val="20"/>
              </w:rPr>
              <w:t xml:space="preserve">promote data-driven innovation in the </w:t>
            </w:r>
            <w:proofErr w:type="gramStart"/>
            <w:r w:rsidRPr="00EA6092">
              <w:rPr>
                <w:sz w:val="20"/>
                <w:szCs w:val="20"/>
              </w:rPr>
              <w:t>EU</w:t>
            </w:r>
            <w:r>
              <w:rPr>
                <w:sz w:val="20"/>
                <w:szCs w:val="20"/>
              </w:rPr>
              <w:t>;</w:t>
            </w:r>
            <w:proofErr w:type="gramEnd"/>
          </w:p>
          <w:p w14:paraId="59F62892" w14:textId="73D56262" w:rsidR="00EA6092" w:rsidRPr="00EA6092" w:rsidRDefault="00EA6092" w:rsidP="00735388">
            <w:pPr>
              <w:pStyle w:val="ListParagraph"/>
              <w:numPr>
                <w:ilvl w:val="1"/>
                <w:numId w:val="26"/>
              </w:numPr>
              <w:spacing w:after="120"/>
              <w:ind w:left="606" w:hanging="284"/>
              <w:rPr>
                <w:sz w:val="20"/>
                <w:szCs w:val="20"/>
              </w:rPr>
            </w:pPr>
            <w:r>
              <w:rPr>
                <w:sz w:val="20"/>
                <w:szCs w:val="20"/>
              </w:rPr>
              <w:t xml:space="preserve">A </w:t>
            </w:r>
            <w:r w:rsidRPr="00EA6092">
              <w:rPr>
                <w:sz w:val="20"/>
                <w:szCs w:val="20"/>
              </w:rPr>
              <w:t xml:space="preserve">regulatory framework that </w:t>
            </w:r>
            <w:r>
              <w:rPr>
                <w:sz w:val="20"/>
                <w:szCs w:val="20"/>
              </w:rPr>
              <w:t xml:space="preserve">does not impose undue limitations or burden on </w:t>
            </w:r>
            <w:r w:rsidRPr="00EA6092">
              <w:rPr>
                <w:sz w:val="20"/>
                <w:szCs w:val="20"/>
              </w:rPr>
              <w:t xml:space="preserve">the uptake of </w:t>
            </w:r>
            <w:r>
              <w:rPr>
                <w:sz w:val="20"/>
                <w:szCs w:val="20"/>
              </w:rPr>
              <w:t xml:space="preserve">innovative </w:t>
            </w:r>
            <w:r w:rsidRPr="00EA6092">
              <w:rPr>
                <w:sz w:val="20"/>
                <w:szCs w:val="20"/>
              </w:rPr>
              <w:t>technologi</w:t>
            </w:r>
            <w:r>
              <w:rPr>
                <w:sz w:val="20"/>
                <w:szCs w:val="20"/>
              </w:rPr>
              <w:t>es</w:t>
            </w:r>
            <w:r w:rsidRPr="00EA6092">
              <w:rPr>
                <w:sz w:val="20"/>
                <w:szCs w:val="20"/>
              </w:rPr>
              <w:t xml:space="preserve"> (e.g. cloud, AI, DLT</w:t>
            </w:r>
            <w:proofErr w:type="gramStart"/>
            <w:r w:rsidRPr="00EA6092">
              <w:rPr>
                <w:sz w:val="20"/>
                <w:szCs w:val="20"/>
              </w:rPr>
              <w:t>)</w:t>
            </w:r>
            <w:r w:rsidR="0008563D">
              <w:rPr>
                <w:sz w:val="20"/>
                <w:szCs w:val="20"/>
              </w:rPr>
              <w:t>;</w:t>
            </w:r>
            <w:proofErr w:type="gramEnd"/>
          </w:p>
          <w:p w14:paraId="0B0934BE" w14:textId="6363808C" w:rsidR="0008563D" w:rsidRPr="00735388" w:rsidRDefault="00EA6092">
            <w:pPr>
              <w:pStyle w:val="ListParagraph"/>
              <w:numPr>
                <w:ilvl w:val="1"/>
                <w:numId w:val="26"/>
              </w:numPr>
              <w:spacing w:after="120"/>
              <w:ind w:left="606" w:hanging="284"/>
              <w:rPr>
                <w:sz w:val="20"/>
                <w:szCs w:val="20"/>
              </w:rPr>
            </w:pPr>
            <w:r w:rsidRPr="00EA6092">
              <w:rPr>
                <w:sz w:val="20"/>
                <w:szCs w:val="20"/>
              </w:rPr>
              <w:t xml:space="preserve">A level playing field that ensures all </w:t>
            </w:r>
            <w:r w:rsidR="0008563D">
              <w:rPr>
                <w:sz w:val="20"/>
                <w:szCs w:val="20"/>
              </w:rPr>
              <w:t xml:space="preserve">market </w:t>
            </w:r>
            <w:r w:rsidRPr="00EA6092">
              <w:rPr>
                <w:sz w:val="20"/>
                <w:szCs w:val="20"/>
              </w:rPr>
              <w:t xml:space="preserve">players </w:t>
            </w:r>
            <w:r w:rsidR="0008563D">
              <w:rPr>
                <w:sz w:val="20"/>
                <w:szCs w:val="20"/>
              </w:rPr>
              <w:t xml:space="preserve">benefit </w:t>
            </w:r>
            <w:r w:rsidRPr="00EA6092">
              <w:rPr>
                <w:sz w:val="20"/>
                <w:szCs w:val="20"/>
              </w:rPr>
              <w:t xml:space="preserve">from </w:t>
            </w:r>
            <w:r w:rsidR="0008563D">
              <w:rPr>
                <w:sz w:val="20"/>
                <w:szCs w:val="20"/>
              </w:rPr>
              <w:t xml:space="preserve">the opportunities of digital transformation, </w:t>
            </w:r>
            <w:r w:rsidR="0060039A">
              <w:rPr>
                <w:sz w:val="20"/>
                <w:szCs w:val="20"/>
              </w:rPr>
              <w:t xml:space="preserve">while ensuring </w:t>
            </w:r>
            <w:r w:rsidRPr="00EA6092">
              <w:rPr>
                <w:sz w:val="20"/>
                <w:szCs w:val="20"/>
              </w:rPr>
              <w:t>risks to financial stability, integrity</w:t>
            </w:r>
            <w:r w:rsidR="0008563D">
              <w:rPr>
                <w:sz w:val="20"/>
                <w:szCs w:val="20"/>
              </w:rPr>
              <w:t xml:space="preserve"> and </w:t>
            </w:r>
            <w:r w:rsidR="00770CDB">
              <w:rPr>
                <w:sz w:val="20"/>
                <w:szCs w:val="20"/>
              </w:rPr>
              <w:t>client/</w:t>
            </w:r>
            <w:r w:rsidRPr="00EA6092">
              <w:rPr>
                <w:sz w:val="20"/>
                <w:szCs w:val="20"/>
              </w:rPr>
              <w:t>consumer protection</w:t>
            </w:r>
            <w:r w:rsidR="0008563D">
              <w:rPr>
                <w:sz w:val="20"/>
                <w:szCs w:val="20"/>
              </w:rPr>
              <w:t xml:space="preserve"> are mitigated through appropriate </w:t>
            </w:r>
            <w:r w:rsidR="0008563D" w:rsidRPr="00EA6092">
              <w:rPr>
                <w:sz w:val="20"/>
                <w:szCs w:val="20"/>
              </w:rPr>
              <w:t>control</w:t>
            </w:r>
            <w:r w:rsidR="0008563D">
              <w:rPr>
                <w:sz w:val="20"/>
                <w:szCs w:val="20"/>
              </w:rPr>
              <w:t>s.</w:t>
            </w:r>
          </w:p>
          <w:p w14:paraId="0C679372" w14:textId="4B086BBD" w:rsidR="0060039A" w:rsidRDefault="0060039A" w:rsidP="0008563D">
            <w:pPr>
              <w:pStyle w:val="ListParagraph"/>
              <w:numPr>
                <w:ilvl w:val="1"/>
                <w:numId w:val="26"/>
              </w:numPr>
              <w:spacing w:after="120"/>
              <w:ind w:left="606" w:hanging="284"/>
              <w:rPr>
                <w:sz w:val="20"/>
                <w:szCs w:val="20"/>
              </w:rPr>
            </w:pPr>
            <w:r>
              <w:rPr>
                <w:sz w:val="20"/>
                <w:szCs w:val="20"/>
              </w:rPr>
              <w:t xml:space="preserve">A </w:t>
            </w:r>
            <w:r w:rsidRPr="00FC7E67">
              <w:rPr>
                <w:sz w:val="20"/>
                <w:szCs w:val="20"/>
              </w:rPr>
              <w:t xml:space="preserve">true digital single market for financial services that guarantees </w:t>
            </w:r>
            <w:r>
              <w:rPr>
                <w:sz w:val="20"/>
                <w:szCs w:val="20"/>
              </w:rPr>
              <w:t xml:space="preserve">EU clients/customers </w:t>
            </w:r>
            <w:r w:rsidRPr="00FC7E67">
              <w:rPr>
                <w:sz w:val="20"/>
                <w:szCs w:val="20"/>
              </w:rPr>
              <w:t>are provided with</w:t>
            </w:r>
            <w:r>
              <w:rPr>
                <w:sz w:val="20"/>
                <w:szCs w:val="20"/>
              </w:rPr>
              <w:t xml:space="preserve"> safe, effective and efficient </w:t>
            </w:r>
            <w:r w:rsidRPr="00FC7E67">
              <w:rPr>
                <w:sz w:val="20"/>
                <w:szCs w:val="20"/>
              </w:rPr>
              <w:t xml:space="preserve">products and services, irrespective of their location within the </w:t>
            </w:r>
            <w:proofErr w:type="gramStart"/>
            <w:r w:rsidRPr="00FC7E67">
              <w:rPr>
                <w:sz w:val="20"/>
                <w:szCs w:val="20"/>
              </w:rPr>
              <w:t>region</w:t>
            </w:r>
            <w:r>
              <w:rPr>
                <w:sz w:val="20"/>
                <w:szCs w:val="20"/>
              </w:rPr>
              <w:t>;</w:t>
            </w:r>
            <w:proofErr w:type="gramEnd"/>
          </w:p>
          <w:p w14:paraId="32413B45" w14:textId="42A2B99A" w:rsidR="006B3F7C" w:rsidRPr="00CA60D1" w:rsidRDefault="0060039A" w:rsidP="00735388">
            <w:pPr>
              <w:pStyle w:val="ListParagraph"/>
              <w:numPr>
                <w:ilvl w:val="1"/>
                <w:numId w:val="26"/>
              </w:numPr>
              <w:spacing w:after="120"/>
              <w:ind w:left="606" w:hanging="284"/>
              <w:rPr>
                <w:sz w:val="20"/>
                <w:szCs w:val="20"/>
              </w:rPr>
            </w:pPr>
            <w:r>
              <w:rPr>
                <w:sz w:val="20"/>
                <w:szCs w:val="20"/>
              </w:rPr>
              <w:t>R</w:t>
            </w:r>
            <w:r w:rsidR="0008563D" w:rsidRPr="0008563D">
              <w:rPr>
                <w:sz w:val="20"/>
                <w:szCs w:val="20"/>
              </w:rPr>
              <w:t xml:space="preserve">egulatory </w:t>
            </w:r>
            <w:r>
              <w:rPr>
                <w:sz w:val="20"/>
                <w:szCs w:val="20"/>
              </w:rPr>
              <w:t xml:space="preserve">harmonisation </w:t>
            </w:r>
            <w:r w:rsidR="0008563D" w:rsidRPr="0008563D">
              <w:rPr>
                <w:sz w:val="20"/>
                <w:szCs w:val="20"/>
              </w:rPr>
              <w:t>globally and within the EU</w:t>
            </w:r>
            <w:r>
              <w:rPr>
                <w:sz w:val="20"/>
                <w:szCs w:val="20"/>
              </w:rPr>
              <w:t xml:space="preserve">, </w:t>
            </w:r>
            <w:r w:rsidR="0008563D" w:rsidRPr="0008563D">
              <w:rPr>
                <w:sz w:val="20"/>
                <w:szCs w:val="20"/>
              </w:rPr>
              <w:t xml:space="preserve">to enable the EU </w:t>
            </w:r>
            <w:r>
              <w:rPr>
                <w:sz w:val="20"/>
                <w:szCs w:val="20"/>
              </w:rPr>
              <w:t xml:space="preserve">financial </w:t>
            </w:r>
            <w:r w:rsidR="0008563D" w:rsidRPr="0008563D">
              <w:rPr>
                <w:sz w:val="20"/>
                <w:szCs w:val="20"/>
              </w:rPr>
              <w:t>sector</w:t>
            </w:r>
            <w:r>
              <w:rPr>
                <w:sz w:val="20"/>
                <w:szCs w:val="20"/>
              </w:rPr>
              <w:t xml:space="preserve">, </w:t>
            </w:r>
            <w:r w:rsidR="0008563D" w:rsidRPr="0008563D">
              <w:rPr>
                <w:sz w:val="20"/>
                <w:szCs w:val="20"/>
              </w:rPr>
              <w:t xml:space="preserve">to </w:t>
            </w:r>
            <w:r>
              <w:rPr>
                <w:sz w:val="20"/>
                <w:szCs w:val="20"/>
              </w:rPr>
              <w:t xml:space="preserve">remain </w:t>
            </w:r>
            <w:r w:rsidR="0008563D" w:rsidRPr="0008563D">
              <w:rPr>
                <w:sz w:val="20"/>
                <w:szCs w:val="20"/>
              </w:rPr>
              <w:t xml:space="preserve">competitive in </w:t>
            </w:r>
            <w:r>
              <w:rPr>
                <w:sz w:val="20"/>
                <w:szCs w:val="20"/>
              </w:rPr>
              <w:t xml:space="preserve">a </w:t>
            </w:r>
            <w:r w:rsidR="0008563D" w:rsidRPr="0008563D">
              <w:rPr>
                <w:sz w:val="20"/>
                <w:szCs w:val="20"/>
              </w:rPr>
              <w:t>global landscape</w:t>
            </w:r>
            <w:r>
              <w:rPr>
                <w:sz w:val="20"/>
                <w:szCs w:val="20"/>
              </w:rPr>
              <w:t>.</w:t>
            </w:r>
          </w:p>
        </w:tc>
      </w:tr>
      <w:tr w:rsidR="006B3F7C" w:rsidRPr="002E1C4E" w14:paraId="065AD217" w14:textId="77777777" w:rsidTr="00A565B8">
        <w:trPr>
          <w:trHeight w:val="70"/>
        </w:trPr>
        <w:tc>
          <w:tcPr>
            <w:tcW w:w="1271" w:type="dxa"/>
          </w:tcPr>
          <w:p w14:paraId="0307410C" w14:textId="2856C784" w:rsidR="006B3F7C" w:rsidRDefault="006B3F7C" w:rsidP="006B3F7C">
            <w:pPr>
              <w:spacing w:after="120"/>
              <w:rPr>
                <w:sz w:val="20"/>
                <w:szCs w:val="20"/>
              </w:rPr>
            </w:pPr>
            <w:r>
              <w:rPr>
                <w:sz w:val="20"/>
                <w:szCs w:val="20"/>
              </w:rPr>
              <w:t>47</w:t>
            </w:r>
          </w:p>
        </w:tc>
        <w:tc>
          <w:tcPr>
            <w:tcW w:w="2126" w:type="dxa"/>
          </w:tcPr>
          <w:p w14:paraId="63004DD1" w14:textId="67A154DE" w:rsidR="00B061DD" w:rsidRPr="00B061DD" w:rsidRDefault="006B3F7C" w:rsidP="00CA60D1">
            <w:pPr>
              <w:jc w:val="left"/>
              <w:rPr>
                <w:rFonts w:eastAsia="Times New Roman"/>
                <w:sz w:val="20"/>
                <w:szCs w:val="20"/>
                <w:lang w:eastAsia="en-GB"/>
              </w:rPr>
            </w:pPr>
            <w:r w:rsidRPr="0042399D">
              <w:rPr>
                <w:rFonts w:eastAsia="Times New Roman"/>
                <w:sz w:val="20"/>
                <w:szCs w:val="20"/>
                <w:lang w:eastAsia="en-GB"/>
              </w:rPr>
              <w:t>AFME to respond</w:t>
            </w:r>
            <w:r w:rsidR="00B061DD">
              <w:rPr>
                <w:rFonts w:eastAsia="Times New Roman"/>
                <w:sz w:val="20"/>
                <w:szCs w:val="20"/>
                <w:lang w:eastAsia="en-GB"/>
              </w:rPr>
              <w:br/>
            </w:r>
          </w:p>
          <w:p w14:paraId="52A37C46" w14:textId="316F4610" w:rsidR="00B061DD" w:rsidRPr="0042399D" w:rsidRDefault="00B061DD" w:rsidP="00CA60D1">
            <w:pPr>
              <w:jc w:val="left"/>
              <w:rPr>
                <w:rFonts w:eastAsia="Times New Roman"/>
                <w:b/>
                <w:sz w:val="20"/>
                <w:szCs w:val="20"/>
                <w:lang w:eastAsia="en-GB"/>
              </w:rPr>
            </w:pPr>
          </w:p>
        </w:tc>
        <w:tc>
          <w:tcPr>
            <w:tcW w:w="7230" w:type="dxa"/>
          </w:tcPr>
          <w:p w14:paraId="59A01D4F" w14:textId="77777777" w:rsidR="008E2EEC" w:rsidRPr="00FB3EB6" w:rsidRDefault="008E2EEC" w:rsidP="00735388">
            <w:pPr>
              <w:pStyle w:val="ListParagraph"/>
              <w:numPr>
                <w:ilvl w:val="0"/>
                <w:numId w:val="26"/>
              </w:numPr>
              <w:spacing w:after="120"/>
              <w:ind w:left="184" w:hanging="142"/>
              <w:rPr>
                <w:sz w:val="20"/>
                <w:szCs w:val="20"/>
              </w:rPr>
            </w:pPr>
            <w:r w:rsidRPr="00FB3EB6">
              <w:rPr>
                <w:sz w:val="20"/>
                <w:szCs w:val="20"/>
              </w:rPr>
              <w:t>A cross-sectoral approach to data sharing will be key to fulfilling sustainability objectives, as outlined in the European Green Deal, as data on emissions, energy usage, and climate risk mapping will be key in identifying more sustainable products and services and ways of doing business. We therefore invite the Commission to facilitate the development of data ecosystems for the sharing of relevant Environmental Social Governance (ESG) data.</w:t>
            </w:r>
          </w:p>
          <w:p w14:paraId="6E913E08" w14:textId="77777777" w:rsidR="008E2EEC" w:rsidRPr="008E2EEC" w:rsidRDefault="008E2EEC" w:rsidP="00735388">
            <w:pPr>
              <w:pStyle w:val="ListParagraph"/>
              <w:numPr>
                <w:ilvl w:val="0"/>
                <w:numId w:val="26"/>
              </w:numPr>
              <w:spacing w:after="120"/>
              <w:ind w:left="184" w:hanging="142"/>
              <w:rPr>
                <w:sz w:val="20"/>
                <w:szCs w:val="20"/>
              </w:rPr>
            </w:pPr>
            <w:r w:rsidRPr="008E2EEC">
              <w:rPr>
                <w:sz w:val="20"/>
                <w:szCs w:val="20"/>
              </w:rPr>
              <w:t xml:space="preserve">We welcome the proposals put forward in the European Strategy for Data on creating Common European Data Spaces to facilitate the greater sharing of relevant data between market participants. A "European Green Deal data space" may support access to and sharing of data that is useful across </w:t>
            </w:r>
            <w:proofErr w:type="gramStart"/>
            <w:r w:rsidRPr="008E2EEC">
              <w:rPr>
                <w:sz w:val="20"/>
                <w:szCs w:val="20"/>
              </w:rPr>
              <w:t>a number of</w:t>
            </w:r>
            <w:proofErr w:type="gramEnd"/>
            <w:r w:rsidRPr="008E2EEC">
              <w:rPr>
                <w:sz w:val="20"/>
                <w:szCs w:val="20"/>
              </w:rPr>
              <w:t xml:space="preserve"> </w:t>
            </w:r>
            <w:r w:rsidRPr="008E2EEC">
              <w:rPr>
                <w:sz w:val="20"/>
                <w:szCs w:val="20"/>
              </w:rPr>
              <w:lastRenderedPageBreak/>
              <w:t xml:space="preserve">different sectors, including the financial sector. The financial sector could use relevant data to contribute to its role in helping its customers and wider economy meet their sustainability objectives, including through better climate change related risk assessments, or the provision of </w:t>
            </w:r>
            <w:proofErr w:type="gramStart"/>
            <w:r w:rsidRPr="008E2EEC">
              <w:rPr>
                <w:sz w:val="20"/>
                <w:szCs w:val="20"/>
              </w:rPr>
              <w:t>green-loans</w:t>
            </w:r>
            <w:proofErr w:type="gramEnd"/>
            <w:r w:rsidRPr="008E2EEC">
              <w:rPr>
                <w:sz w:val="20"/>
                <w:szCs w:val="20"/>
              </w:rPr>
              <w:t>.</w:t>
            </w:r>
          </w:p>
          <w:p w14:paraId="64E37DB7" w14:textId="3A42BA92" w:rsidR="00A36B0C" w:rsidRPr="00AF6407" w:rsidRDefault="008E2EEC" w:rsidP="00AF6407">
            <w:pPr>
              <w:pStyle w:val="ListParagraph"/>
              <w:numPr>
                <w:ilvl w:val="1"/>
                <w:numId w:val="26"/>
              </w:numPr>
              <w:spacing w:after="120"/>
              <w:ind w:left="606" w:hanging="284"/>
              <w:rPr>
                <w:sz w:val="20"/>
                <w:szCs w:val="20"/>
              </w:rPr>
            </w:pPr>
            <w:r w:rsidRPr="008E2EEC">
              <w:rPr>
                <w:sz w:val="20"/>
                <w:szCs w:val="20"/>
              </w:rPr>
              <w:t xml:space="preserve">In addition, innovation forums provide a place to share best practises while regulatory sandboxes provide opportunities to test new digital tools in a safe environment. We recommend that the Commission continue to support innovation forums such as the European Forum for Innovation Facilitators (EFIF) and to further develop regulatory sandbox testing environments </w:t>
            </w:r>
            <w:proofErr w:type="gramStart"/>
            <w:r w:rsidRPr="008E2EEC">
              <w:rPr>
                <w:sz w:val="20"/>
                <w:szCs w:val="20"/>
              </w:rPr>
              <w:t>in order to</w:t>
            </w:r>
            <w:proofErr w:type="gramEnd"/>
            <w:r w:rsidRPr="008E2EEC">
              <w:rPr>
                <w:sz w:val="20"/>
                <w:szCs w:val="20"/>
              </w:rPr>
              <w:t xml:space="preserve"> maximise the potential of digital tools for integrating sustainability.</w:t>
            </w:r>
          </w:p>
        </w:tc>
      </w:tr>
    </w:tbl>
    <w:p w14:paraId="469BF7C1" w14:textId="77777777" w:rsidR="00CA60D1" w:rsidRDefault="00CA60D1" w:rsidP="00187E24">
      <w:pPr>
        <w:spacing w:before="0" w:after="200" w:line="276" w:lineRule="auto"/>
        <w:jc w:val="left"/>
        <w:rPr>
          <w:rFonts w:cs="Times New Roman"/>
          <w:b/>
          <w:bCs/>
          <w:color w:val="9BBB59" w:themeColor="accent3"/>
          <w:sz w:val="20"/>
          <w:szCs w:val="20"/>
          <w:lang w:val="fr-FR"/>
        </w:rPr>
      </w:pPr>
    </w:p>
    <w:p w14:paraId="0D35F42B" w14:textId="77B71B37" w:rsidR="00187E24" w:rsidRPr="00F30C46" w:rsidRDefault="00187E24" w:rsidP="00187E24">
      <w:pPr>
        <w:spacing w:before="0" w:after="200" w:line="276" w:lineRule="auto"/>
        <w:jc w:val="left"/>
        <w:rPr>
          <w:rFonts w:ascii="Cambria" w:eastAsia="Times New Roman" w:hAnsi="Cambria"/>
          <w:sz w:val="20"/>
          <w:szCs w:val="20"/>
          <w:lang w:eastAsia="en-GB"/>
        </w:rPr>
      </w:pPr>
      <w:r w:rsidRPr="00F30C46">
        <w:rPr>
          <w:rFonts w:cs="Times New Roman"/>
          <w:b/>
          <w:bCs/>
          <w:color w:val="9BBB59" w:themeColor="accent3"/>
          <w:sz w:val="20"/>
          <w:szCs w:val="20"/>
          <w:lang w:val="fr-FR"/>
        </w:rPr>
        <w:t>Contacts</w:t>
      </w:r>
    </w:p>
    <w:p w14:paraId="44881E21" w14:textId="0ED532BE" w:rsidR="005E6179" w:rsidRPr="006B3F7C" w:rsidRDefault="005E6179" w:rsidP="00187E24">
      <w:pPr>
        <w:spacing w:before="0"/>
        <w:jc w:val="left"/>
        <w:rPr>
          <w:sz w:val="20"/>
          <w:szCs w:val="20"/>
        </w:rPr>
      </w:pPr>
      <w:r>
        <w:rPr>
          <w:b/>
          <w:bCs/>
          <w:sz w:val="20"/>
          <w:szCs w:val="20"/>
        </w:rPr>
        <w:t>AFME</w:t>
      </w:r>
      <w:r>
        <w:rPr>
          <w:b/>
          <w:bCs/>
          <w:sz w:val="20"/>
          <w:szCs w:val="20"/>
        </w:rPr>
        <w:tab/>
      </w:r>
      <w:r>
        <w:rPr>
          <w:b/>
          <w:bCs/>
          <w:sz w:val="20"/>
          <w:szCs w:val="20"/>
        </w:rPr>
        <w:tab/>
      </w:r>
      <w:r w:rsidRPr="005E6179">
        <w:rPr>
          <w:sz w:val="20"/>
          <w:szCs w:val="20"/>
        </w:rPr>
        <w:t>Andrew Harvey</w:t>
      </w:r>
      <w:r w:rsidRPr="005E6179">
        <w:rPr>
          <w:sz w:val="20"/>
          <w:szCs w:val="20"/>
        </w:rPr>
        <w:tab/>
      </w:r>
      <w:r w:rsidRPr="005E6179">
        <w:rPr>
          <w:sz w:val="20"/>
          <w:szCs w:val="20"/>
        </w:rPr>
        <w:tab/>
      </w:r>
      <w:r w:rsidRPr="006B3F7C">
        <w:rPr>
          <w:sz w:val="20"/>
          <w:szCs w:val="20"/>
        </w:rPr>
        <w:t>+44(0)20 3828 2694</w:t>
      </w:r>
      <w:r w:rsidRPr="006B3F7C">
        <w:rPr>
          <w:sz w:val="20"/>
          <w:szCs w:val="20"/>
        </w:rPr>
        <w:tab/>
      </w:r>
      <w:r w:rsidRPr="006B3F7C">
        <w:rPr>
          <w:sz w:val="20"/>
          <w:szCs w:val="20"/>
        </w:rPr>
        <w:tab/>
        <w:t>aharvey@gfma.org</w:t>
      </w:r>
    </w:p>
    <w:p w14:paraId="6E0460B2" w14:textId="0801B4F7" w:rsidR="00DE1BE7" w:rsidRPr="006B3F7C" w:rsidRDefault="00DE1BE7" w:rsidP="00187E24">
      <w:pPr>
        <w:spacing w:before="0"/>
        <w:jc w:val="left"/>
        <w:rPr>
          <w:rFonts w:cs="Times New Roman"/>
          <w:b/>
          <w:sz w:val="20"/>
          <w:szCs w:val="20"/>
          <w:lang w:val="fr-FR"/>
        </w:rPr>
      </w:pPr>
      <w:r w:rsidRPr="006B3F7C">
        <w:rPr>
          <w:b/>
          <w:bCs/>
          <w:sz w:val="20"/>
          <w:szCs w:val="20"/>
        </w:rPr>
        <w:t>AFME</w:t>
      </w:r>
      <w:r w:rsidRPr="006B3F7C">
        <w:rPr>
          <w:b/>
          <w:bCs/>
          <w:sz w:val="20"/>
          <w:szCs w:val="20"/>
        </w:rPr>
        <w:tab/>
      </w:r>
      <w:r w:rsidRPr="006B3F7C">
        <w:rPr>
          <w:b/>
          <w:bCs/>
          <w:sz w:val="20"/>
          <w:szCs w:val="20"/>
        </w:rPr>
        <w:tab/>
      </w:r>
      <w:r w:rsidRPr="006B3F7C">
        <w:rPr>
          <w:bCs/>
          <w:sz w:val="20"/>
          <w:szCs w:val="20"/>
        </w:rPr>
        <w:t>David</w:t>
      </w:r>
      <w:r w:rsidRPr="006B3F7C">
        <w:rPr>
          <w:b/>
          <w:bCs/>
          <w:sz w:val="20"/>
          <w:szCs w:val="20"/>
        </w:rPr>
        <w:t xml:space="preserve"> </w:t>
      </w:r>
      <w:r w:rsidRPr="006B3F7C">
        <w:rPr>
          <w:bCs/>
          <w:sz w:val="20"/>
          <w:szCs w:val="20"/>
        </w:rPr>
        <w:t>Ostojitsch</w:t>
      </w:r>
      <w:r w:rsidRPr="006B3F7C">
        <w:rPr>
          <w:bCs/>
          <w:sz w:val="20"/>
          <w:szCs w:val="20"/>
        </w:rPr>
        <w:tab/>
      </w:r>
      <w:r w:rsidRPr="006B3F7C">
        <w:rPr>
          <w:bCs/>
          <w:sz w:val="20"/>
          <w:szCs w:val="20"/>
        </w:rPr>
        <w:tab/>
        <w:t>+44 (0)20 3828 2761</w:t>
      </w:r>
      <w:r w:rsidRPr="006B3F7C">
        <w:rPr>
          <w:bCs/>
          <w:sz w:val="20"/>
          <w:szCs w:val="20"/>
        </w:rPr>
        <w:tab/>
      </w:r>
      <w:r w:rsidRPr="006B3F7C">
        <w:rPr>
          <w:bCs/>
          <w:sz w:val="20"/>
          <w:szCs w:val="20"/>
        </w:rPr>
        <w:tab/>
        <w:t>david.ostojitsch@afme.eu</w:t>
      </w:r>
    </w:p>
    <w:p w14:paraId="07B624C2" w14:textId="65F52064" w:rsidR="00187E24" w:rsidRPr="006B3F7C" w:rsidRDefault="00187E24" w:rsidP="00187E24">
      <w:pPr>
        <w:spacing w:before="0"/>
        <w:jc w:val="left"/>
        <w:rPr>
          <w:rFonts w:cs="Times New Roman"/>
          <w:sz w:val="20"/>
          <w:szCs w:val="20"/>
          <w:lang w:val="fr-FR"/>
        </w:rPr>
      </w:pPr>
      <w:r w:rsidRPr="006B3F7C">
        <w:rPr>
          <w:rFonts w:cs="Times New Roman"/>
          <w:b/>
          <w:sz w:val="20"/>
          <w:szCs w:val="20"/>
          <w:lang w:val="fr-FR"/>
        </w:rPr>
        <w:t>AFME</w:t>
      </w:r>
      <w:r w:rsidRPr="006B3F7C">
        <w:rPr>
          <w:rFonts w:cs="Times New Roman"/>
          <w:sz w:val="20"/>
          <w:szCs w:val="20"/>
          <w:lang w:val="fr-FR"/>
        </w:rPr>
        <w:t xml:space="preserve"> </w:t>
      </w:r>
      <w:r w:rsidRPr="006B3F7C">
        <w:rPr>
          <w:rFonts w:cs="Times New Roman"/>
          <w:sz w:val="20"/>
          <w:szCs w:val="20"/>
          <w:lang w:val="fr-FR"/>
        </w:rPr>
        <w:tab/>
      </w:r>
      <w:r w:rsidRPr="006B3F7C">
        <w:rPr>
          <w:rFonts w:cs="Times New Roman"/>
          <w:sz w:val="20"/>
          <w:szCs w:val="20"/>
          <w:lang w:val="fr-FR"/>
        </w:rPr>
        <w:tab/>
        <w:t>Emmanuel Le Marois</w:t>
      </w:r>
      <w:r w:rsidRPr="006B3F7C">
        <w:rPr>
          <w:rFonts w:cs="Times New Roman"/>
          <w:sz w:val="20"/>
          <w:szCs w:val="20"/>
          <w:lang w:val="fr-FR"/>
        </w:rPr>
        <w:tab/>
        <w:t xml:space="preserve">+44 (0)20 3828 </w:t>
      </w:r>
      <w:r w:rsidR="006B3F7C" w:rsidRPr="006B3F7C">
        <w:rPr>
          <w:rFonts w:cs="Times New Roman"/>
          <w:sz w:val="20"/>
          <w:szCs w:val="20"/>
          <w:lang w:val="fr-FR"/>
        </w:rPr>
        <w:t>2674</w:t>
      </w:r>
      <w:r w:rsidRPr="006B3F7C">
        <w:rPr>
          <w:rFonts w:cs="Times New Roman"/>
          <w:sz w:val="20"/>
          <w:szCs w:val="20"/>
          <w:lang w:val="fr-FR"/>
        </w:rPr>
        <w:tab/>
      </w:r>
      <w:r w:rsidRPr="006B3F7C">
        <w:rPr>
          <w:rFonts w:cs="Times New Roman"/>
          <w:sz w:val="20"/>
          <w:szCs w:val="20"/>
          <w:lang w:val="fr-FR"/>
        </w:rPr>
        <w:tab/>
        <w:t xml:space="preserve">emmanuel.lemarois@afme.eu </w:t>
      </w:r>
    </w:p>
    <w:p w14:paraId="7EB90E6B" w14:textId="64AC7319" w:rsidR="006B3F7C" w:rsidRPr="006B3F7C" w:rsidRDefault="006B3F7C" w:rsidP="00187E24">
      <w:pPr>
        <w:spacing w:before="0"/>
        <w:jc w:val="left"/>
        <w:rPr>
          <w:rFonts w:cs="Times New Roman"/>
          <w:sz w:val="20"/>
          <w:szCs w:val="20"/>
          <w:lang w:val="fr-FR"/>
        </w:rPr>
      </w:pPr>
      <w:r w:rsidRPr="006B3F7C">
        <w:rPr>
          <w:rFonts w:cs="Times New Roman"/>
          <w:sz w:val="20"/>
          <w:szCs w:val="20"/>
          <w:lang w:val="fr-FR"/>
        </w:rPr>
        <w:t>AFME</w:t>
      </w:r>
      <w:r w:rsidRPr="006B3F7C">
        <w:rPr>
          <w:rFonts w:cs="Times New Roman"/>
          <w:sz w:val="20"/>
          <w:szCs w:val="20"/>
          <w:lang w:val="fr-FR"/>
        </w:rPr>
        <w:tab/>
      </w:r>
      <w:r w:rsidRPr="006B3F7C">
        <w:rPr>
          <w:rFonts w:cs="Times New Roman"/>
          <w:sz w:val="20"/>
          <w:szCs w:val="20"/>
          <w:lang w:val="fr-FR"/>
        </w:rPr>
        <w:tab/>
        <w:t>Fiona Willis</w:t>
      </w:r>
      <w:r w:rsidRPr="006B3F7C">
        <w:rPr>
          <w:rFonts w:cs="Times New Roman"/>
          <w:sz w:val="20"/>
          <w:szCs w:val="20"/>
          <w:lang w:val="fr-FR"/>
        </w:rPr>
        <w:tab/>
      </w:r>
      <w:r w:rsidRPr="006B3F7C">
        <w:rPr>
          <w:rFonts w:cs="Times New Roman"/>
          <w:sz w:val="20"/>
          <w:szCs w:val="20"/>
          <w:lang w:val="fr-FR"/>
        </w:rPr>
        <w:tab/>
        <w:t>+44 (0)20 3828 2739</w:t>
      </w:r>
      <w:r w:rsidRPr="006B3F7C">
        <w:rPr>
          <w:rFonts w:cs="Times New Roman"/>
          <w:sz w:val="20"/>
          <w:szCs w:val="20"/>
          <w:lang w:val="fr-FR"/>
        </w:rPr>
        <w:tab/>
      </w:r>
      <w:r w:rsidRPr="006B3F7C">
        <w:rPr>
          <w:rFonts w:cs="Times New Roman"/>
          <w:sz w:val="20"/>
          <w:szCs w:val="20"/>
          <w:lang w:val="fr-FR"/>
        </w:rPr>
        <w:tab/>
        <w:t>fwillis@gfma.org</w:t>
      </w:r>
    </w:p>
    <w:p w14:paraId="30CAB72A" w14:textId="312C5EFB" w:rsidR="00187E24" w:rsidRDefault="00DE1BE7" w:rsidP="00187E24">
      <w:pPr>
        <w:spacing w:before="0"/>
        <w:jc w:val="left"/>
        <w:rPr>
          <w:b/>
          <w:bCs/>
          <w:sz w:val="20"/>
          <w:szCs w:val="20"/>
        </w:rPr>
      </w:pPr>
      <w:r w:rsidRPr="006B3F7C">
        <w:rPr>
          <w:b/>
          <w:bCs/>
          <w:sz w:val="20"/>
          <w:szCs w:val="20"/>
        </w:rPr>
        <w:t>AFME</w:t>
      </w:r>
      <w:r w:rsidRPr="006B3F7C">
        <w:rPr>
          <w:b/>
          <w:bCs/>
          <w:sz w:val="20"/>
          <w:szCs w:val="20"/>
        </w:rPr>
        <w:tab/>
      </w:r>
      <w:r w:rsidRPr="006B3F7C">
        <w:rPr>
          <w:b/>
          <w:bCs/>
          <w:sz w:val="20"/>
          <w:szCs w:val="20"/>
        </w:rPr>
        <w:tab/>
      </w:r>
      <w:r w:rsidRPr="006B3F7C">
        <w:rPr>
          <w:bCs/>
          <w:sz w:val="20"/>
          <w:szCs w:val="20"/>
        </w:rPr>
        <w:t>Madeline Taylor</w:t>
      </w:r>
      <w:r w:rsidRPr="006B3F7C">
        <w:rPr>
          <w:bCs/>
          <w:sz w:val="20"/>
          <w:szCs w:val="20"/>
        </w:rPr>
        <w:tab/>
      </w:r>
      <w:r w:rsidRPr="006B3F7C">
        <w:rPr>
          <w:b/>
          <w:bCs/>
          <w:sz w:val="20"/>
          <w:szCs w:val="20"/>
        </w:rPr>
        <w:tab/>
      </w:r>
      <w:r w:rsidRPr="006B3F7C">
        <w:rPr>
          <w:bCs/>
          <w:sz w:val="20"/>
          <w:szCs w:val="20"/>
        </w:rPr>
        <w:t>+44 (0)20 3828 2688</w:t>
      </w:r>
      <w:r>
        <w:rPr>
          <w:bCs/>
          <w:sz w:val="20"/>
          <w:szCs w:val="20"/>
        </w:rPr>
        <w:tab/>
      </w:r>
      <w:r>
        <w:rPr>
          <w:bCs/>
          <w:sz w:val="20"/>
          <w:szCs w:val="20"/>
        </w:rPr>
        <w:tab/>
        <w:t>m</w:t>
      </w:r>
      <w:r w:rsidRPr="00DE1BE7">
        <w:rPr>
          <w:bCs/>
          <w:sz w:val="20"/>
          <w:szCs w:val="20"/>
        </w:rPr>
        <w:t>adeline.</w:t>
      </w:r>
      <w:r>
        <w:rPr>
          <w:bCs/>
          <w:sz w:val="20"/>
          <w:szCs w:val="20"/>
        </w:rPr>
        <w:t>t</w:t>
      </w:r>
      <w:r w:rsidRPr="00DE1BE7">
        <w:rPr>
          <w:bCs/>
          <w:sz w:val="20"/>
          <w:szCs w:val="20"/>
        </w:rPr>
        <w:t>aylor@afme.eu</w:t>
      </w:r>
    </w:p>
    <w:p w14:paraId="27C3F44E" w14:textId="77777777" w:rsidR="00187E24" w:rsidRDefault="00187E24" w:rsidP="00187E24">
      <w:pPr>
        <w:spacing w:after="120"/>
        <w:rPr>
          <w:b/>
          <w:color w:val="000000" w:themeColor="text1"/>
        </w:rPr>
      </w:pPr>
    </w:p>
    <w:p w14:paraId="23802C01" w14:textId="7BA6BFF1" w:rsidR="00187E24" w:rsidRPr="00F30C46" w:rsidRDefault="00187E24" w:rsidP="00187E24">
      <w:pPr>
        <w:spacing w:before="0" w:after="200" w:line="276" w:lineRule="auto"/>
        <w:jc w:val="left"/>
        <w:rPr>
          <w:rFonts w:cs="Times New Roman"/>
          <w:b/>
          <w:bCs/>
          <w:color w:val="9BBB59" w:themeColor="accent3"/>
          <w:sz w:val="20"/>
          <w:szCs w:val="20"/>
          <w:lang w:val="fr-FR"/>
        </w:rPr>
      </w:pPr>
      <w:r w:rsidRPr="00F30C46">
        <w:rPr>
          <w:rFonts w:cs="Times New Roman"/>
          <w:b/>
          <w:bCs/>
          <w:color w:val="9BBB59" w:themeColor="accent3"/>
          <w:sz w:val="20"/>
          <w:szCs w:val="20"/>
          <w:lang w:val="fr-FR"/>
        </w:rPr>
        <w:t xml:space="preserve">About </w:t>
      </w:r>
      <w:r w:rsidR="00DE1BE7">
        <w:rPr>
          <w:rFonts w:cs="Times New Roman"/>
          <w:b/>
          <w:bCs/>
          <w:color w:val="9BBB59" w:themeColor="accent3"/>
          <w:sz w:val="20"/>
          <w:szCs w:val="20"/>
          <w:lang w:val="fr-FR"/>
        </w:rPr>
        <w:t>AFME</w:t>
      </w:r>
    </w:p>
    <w:p w14:paraId="0724E9C6" w14:textId="7F4AAFC0" w:rsidR="00187E24" w:rsidRPr="00F30C46" w:rsidRDefault="00DE1BE7" w:rsidP="00DE1BE7">
      <w:pPr>
        <w:rPr>
          <w:rFonts w:eastAsia="Times New Roman"/>
          <w:sz w:val="20"/>
          <w:szCs w:val="20"/>
        </w:rPr>
      </w:pPr>
      <w:r w:rsidRPr="00DE1BE7">
        <w:rPr>
          <w:rFonts w:eastAsia="Times New Roman"/>
          <w:sz w:val="20"/>
          <w:szCs w:val="20"/>
        </w:rPr>
        <w:t>The Association for Financial Markets in Europe (AFME) is the voice of all Europe’s wholesale financial markets, providing expertise across a broad range of regulatory and capital markets issues.</w:t>
      </w:r>
      <w:r>
        <w:rPr>
          <w:rFonts w:eastAsia="Times New Roman"/>
          <w:sz w:val="20"/>
          <w:szCs w:val="20"/>
        </w:rPr>
        <w:t xml:space="preserve"> AFME </w:t>
      </w:r>
      <w:r w:rsidRPr="00DE1BE7">
        <w:rPr>
          <w:rFonts w:eastAsia="Times New Roman"/>
          <w:sz w:val="20"/>
          <w:szCs w:val="20"/>
        </w:rPr>
        <w:t>represent the leading global and European banks and other significant capital market players.</w:t>
      </w:r>
      <w:r>
        <w:rPr>
          <w:rFonts w:eastAsia="Times New Roman"/>
          <w:sz w:val="20"/>
          <w:szCs w:val="20"/>
        </w:rPr>
        <w:t xml:space="preserve"> AFME </w:t>
      </w:r>
      <w:r w:rsidRPr="00DE1BE7">
        <w:rPr>
          <w:rFonts w:eastAsia="Times New Roman"/>
          <w:sz w:val="20"/>
          <w:szCs w:val="20"/>
        </w:rPr>
        <w:t>advocate</w:t>
      </w:r>
      <w:r>
        <w:rPr>
          <w:rFonts w:eastAsia="Times New Roman"/>
          <w:sz w:val="20"/>
          <w:szCs w:val="20"/>
        </w:rPr>
        <w:t>s</w:t>
      </w:r>
      <w:r w:rsidRPr="00DE1BE7">
        <w:rPr>
          <w:rFonts w:eastAsia="Times New Roman"/>
          <w:sz w:val="20"/>
          <w:szCs w:val="20"/>
        </w:rPr>
        <w:t xml:space="preserve"> for deep and integrated European capital markets which serve the needs of companies and investors, supporting economic growth and benefiting society.</w:t>
      </w:r>
      <w:r>
        <w:rPr>
          <w:rFonts w:eastAsia="Times New Roman"/>
          <w:sz w:val="20"/>
          <w:szCs w:val="20"/>
        </w:rPr>
        <w:t xml:space="preserve"> AFME </w:t>
      </w:r>
      <w:r w:rsidRPr="00DE1BE7">
        <w:rPr>
          <w:rFonts w:eastAsia="Times New Roman"/>
          <w:sz w:val="20"/>
          <w:szCs w:val="20"/>
        </w:rPr>
        <w:t>aim</w:t>
      </w:r>
      <w:r>
        <w:rPr>
          <w:rFonts w:eastAsia="Times New Roman"/>
          <w:sz w:val="20"/>
          <w:szCs w:val="20"/>
        </w:rPr>
        <w:t>s</w:t>
      </w:r>
      <w:r w:rsidRPr="00DE1BE7">
        <w:rPr>
          <w:rFonts w:eastAsia="Times New Roman"/>
          <w:sz w:val="20"/>
          <w:szCs w:val="20"/>
        </w:rPr>
        <w:t xml:space="preserve"> to act as a bridge between market participants and policy makers across Europe, drawing on our strong and long-standing relationships, our technical knowledge and fact-based work.</w:t>
      </w:r>
      <w:r>
        <w:rPr>
          <w:rFonts w:eastAsia="Times New Roman"/>
          <w:sz w:val="20"/>
          <w:szCs w:val="20"/>
        </w:rPr>
        <w:t xml:space="preserve"> </w:t>
      </w:r>
      <w:r w:rsidR="00187E24" w:rsidRPr="00F30C46">
        <w:rPr>
          <w:rFonts w:eastAsia="Times New Roman"/>
          <w:sz w:val="20"/>
          <w:szCs w:val="20"/>
        </w:rPr>
        <w:t xml:space="preserve">For more information, visit </w:t>
      </w:r>
      <w:r w:rsidRPr="00DE1BE7">
        <w:rPr>
          <w:rStyle w:val="Hyperlink"/>
          <w:rFonts w:eastAsia="Times New Roman"/>
          <w:sz w:val="20"/>
          <w:szCs w:val="20"/>
        </w:rPr>
        <w:t>https://www.afme.eu/</w:t>
      </w:r>
    </w:p>
    <w:sectPr w:rsidR="00187E24" w:rsidRPr="00F30C46" w:rsidSect="00E557C7">
      <w:footerReference w:type="default" r:id="rId16"/>
      <w:pgSz w:w="11907" w:h="16839" w:code="9"/>
      <w:pgMar w:top="720" w:right="720" w:bottom="720" w:left="720" w:header="709"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EC4115" w14:textId="77777777" w:rsidR="00FA4DF4" w:rsidRDefault="00FA4DF4" w:rsidP="00AD5A26">
      <w:pPr>
        <w:spacing w:before="0"/>
      </w:pPr>
      <w:r>
        <w:separator/>
      </w:r>
    </w:p>
  </w:endnote>
  <w:endnote w:type="continuationSeparator" w:id="0">
    <w:p w14:paraId="231F1AF3" w14:textId="77777777" w:rsidR="00FA4DF4" w:rsidRDefault="00FA4DF4" w:rsidP="00AD5A2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rPr>
      <w:id w:val="-1698457989"/>
      <w:docPartObj>
        <w:docPartGallery w:val="Page Numbers (Bottom of Page)"/>
        <w:docPartUnique/>
      </w:docPartObj>
    </w:sdtPr>
    <w:sdtContent>
      <w:sdt>
        <w:sdtPr>
          <w:rPr>
            <w:sz w:val="20"/>
          </w:rPr>
          <w:id w:val="1229569757"/>
          <w:docPartObj>
            <w:docPartGallery w:val="Page Numbers (Top of Page)"/>
            <w:docPartUnique/>
          </w:docPartObj>
        </w:sdtPr>
        <w:sdtContent>
          <w:p w14:paraId="7FF40A05" w14:textId="7D914664" w:rsidR="00FA4DF4" w:rsidRPr="00FE18A5" w:rsidRDefault="00FA4DF4">
            <w:pPr>
              <w:pStyle w:val="Footer"/>
              <w:jc w:val="right"/>
              <w:rPr>
                <w:sz w:val="20"/>
              </w:rPr>
            </w:pPr>
            <w:r w:rsidRPr="0003144F">
              <w:rPr>
                <w:sz w:val="20"/>
              </w:rPr>
              <w:t xml:space="preserve">Page </w:t>
            </w:r>
            <w:r w:rsidRPr="0003144F">
              <w:rPr>
                <w:b/>
                <w:sz w:val="20"/>
              </w:rPr>
              <w:fldChar w:fldCharType="begin"/>
            </w:r>
            <w:r w:rsidRPr="0003144F">
              <w:rPr>
                <w:b/>
                <w:sz w:val="20"/>
              </w:rPr>
              <w:instrText xml:space="preserve"> PAGE </w:instrText>
            </w:r>
            <w:r w:rsidRPr="0003144F">
              <w:rPr>
                <w:b/>
                <w:sz w:val="20"/>
              </w:rPr>
              <w:fldChar w:fldCharType="separate"/>
            </w:r>
            <w:r>
              <w:rPr>
                <w:b/>
                <w:noProof/>
                <w:sz w:val="20"/>
              </w:rPr>
              <w:t>3</w:t>
            </w:r>
            <w:r w:rsidRPr="0003144F">
              <w:rPr>
                <w:b/>
                <w:sz w:val="20"/>
              </w:rPr>
              <w:fldChar w:fldCharType="end"/>
            </w:r>
            <w:r w:rsidRPr="0003144F">
              <w:rPr>
                <w:sz w:val="20"/>
              </w:rPr>
              <w:t xml:space="preserve"> of </w:t>
            </w:r>
            <w:r w:rsidRPr="0003144F">
              <w:rPr>
                <w:b/>
                <w:sz w:val="20"/>
              </w:rPr>
              <w:fldChar w:fldCharType="begin"/>
            </w:r>
            <w:r w:rsidRPr="0003144F">
              <w:rPr>
                <w:b/>
                <w:sz w:val="20"/>
              </w:rPr>
              <w:instrText xml:space="preserve"> NUMPAGES  </w:instrText>
            </w:r>
            <w:r w:rsidRPr="0003144F">
              <w:rPr>
                <w:b/>
                <w:sz w:val="20"/>
              </w:rPr>
              <w:fldChar w:fldCharType="separate"/>
            </w:r>
            <w:r>
              <w:rPr>
                <w:b/>
                <w:noProof/>
                <w:sz w:val="20"/>
              </w:rPr>
              <w:t>4</w:t>
            </w:r>
            <w:r w:rsidRPr="0003144F">
              <w:rPr>
                <w:b/>
                <w:sz w:val="20"/>
              </w:rPr>
              <w:fldChar w:fldCharType="end"/>
            </w:r>
          </w:p>
        </w:sdtContent>
      </w:sdt>
    </w:sdtContent>
  </w:sdt>
  <w:p w14:paraId="50316D8F" w14:textId="77777777" w:rsidR="00FA4DF4" w:rsidRDefault="00FA4D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36065" w14:textId="77777777" w:rsidR="00FA4DF4" w:rsidRDefault="00FA4DF4" w:rsidP="00AD5A26">
      <w:pPr>
        <w:spacing w:before="0"/>
      </w:pPr>
      <w:r>
        <w:separator/>
      </w:r>
    </w:p>
  </w:footnote>
  <w:footnote w:type="continuationSeparator" w:id="0">
    <w:p w14:paraId="789B9EC4" w14:textId="77777777" w:rsidR="00FA4DF4" w:rsidRDefault="00FA4DF4" w:rsidP="00AD5A26">
      <w:pPr>
        <w:spacing w:before="0"/>
      </w:pPr>
      <w:r>
        <w:continuationSeparator/>
      </w:r>
    </w:p>
  </w:footnote>
  <w:footnote w:id="1">
    <w:p w14:paraId="7487C943" w14:textId="77777777" w:rsidR="00FA4DF4" w:rsidRDefault="00FA4DF4" w:rsidP="00513A06">
      <w:pPr>
        <w:pStyle w:val="FootnoteText"/>
      </w:pPr>
      <w:r>
        <w:rPr>
          <w:rStyle w:val="FootnoteReference"/>
        </w:rPr>
        <w:footnoteRef/>
      </w:r>
      <w:r>
        <w:t xml:space="preserve"> </w:t>
      </w:r>
      <w:hyperlink r:id="rId1" w:history="1">
        <w:r w:rsidRPr="008350B9">
          <w:rPr>
            <w:rStyle w:val="Hyperlink"/>
            <w:sz w:val="16"/>
            <w:szCs w:val="16"/>
          </w:rPr>
          <w:t>https://www.bis.org/topic/fintech/hub.htm</w:t>
        </w:r>
      </w:hyperlink>
    </w:p>
  </w:footnote>
  <w:footnote w:id="2">
    <w:p w14:paraId="1840F2FF" w14:textId="77777777" w:rsidR="00FA4DF4" w:rsidRDefault="00FA4DF4" w:rsidP="00513A06">
      <w:pPr>
        <w:pStyle w:val="FootnoteText"/>
      </w:pPr>
      <w:r>
        <w:rPr>
          <w:rStyle w:val="FootnoteReference"/>
        </w:rPr>
        <w:footnoteRef/>
      </w:r>
      <w:r>
        <w:t xml:space="preserve"> </w:t>
      </w:r>
      <w:hyperlink r:id="rId2" w:history="1">
        <w:r w:rsidRPr="008350B9">
          <w:rPr>
            <w:rStyle w:val="Hyperlink"/>
            <w:sz w:val="16"/>
            <w:szCs w:val="16"/>
          </w:rPr>
          <w:t>https://www.thegfin.com/</w:t>
        </w:r>
      </w:hyperlink>
    </w:p>
  </w:footnote>
  <w:footnote w:id="3">
    <w:p w14:paraId="0EB6EA98" w14:textId="77777777" w:rsidR="00FA4DF4" w:rsidRDefault="00FA4DF4" w:rsidP="00513A06">
      <w:pPr>
        <w:pStyle w:val="FootnoteText"/>
      </w:pPr>
      <w:r>
        <w:rPr>
          <w:rStyle w:val="FootnoteReference"/>
        </w:rPr>
        <w:footnoteRef/>
      </w:r>
      <w:r>
        <w:t xml:space="preserve"> </w:t>
      </w:r>
      <w:hyperlink r:id="rId3" w:history="1">
        <w:r w:rsidRPr="008350B9">
          <w:rPr>
            <w:rStyle w:val="Hyperlink"/>
            <w:sz w:val="16"/>
            <w:szCs w:val="16"/>
          </w:rPr>
          <w:t>https://inatba.org/</w:t>
        </w:r>
      </w:hyperlink>
    </w:p>
  </w:footnote>
  <w:footnote w:id="4">
    <w:p w14:paraId="00962ED4" w14:textId="5FD17554" w:rsidR="00FA4DF4" w:rsidRDefault="00FA4DF4">
      <w:pPr>
        <w:pStyle w:val="FootnoteText"/>
      </w:pPr>
      <w:r>
        <w:rPr>
          <w:rStyle w:val="FootnoteReference"/>
        </w:rPr>
        <w:footnoteRef/>
      </w:r>
      <w:r>
        <w:t xml:space="preserve"> </w:t>
      </w:r>
      <w:hyperlink r:id="rId4" w:history="1">
        <w:r w:rsidRPr="00735388">
          <w:rPr>
            <w:rStyle w:val="Hyperlink"/>
            <w:sz w:val="16"/>
            <w:szCs w:val="16"/>
          </w:rPr>
          <w:t>https://esas-joint-committee.europa.eu/Pages/Activities/EFIF/European-Forum-for-Innovation-Facilitators.aspx</w:t>
        </w:r>
      </w:hyperlink>
    </w:p>
  </w:footnote>
  <w:footnote w:id="5">
    <w:p w14:paraId="18D581F4" w14:textId="77777777" w:rsidR="00FA4DF4" w:rsidRPr="005459DF" w:rsidRDefault="00FA4DF4" w:rsidP="001803BB">
      <w:pPr>
        <w:pStyle w:val="FootnoteText"/>
        <w:rPr>
          <w:color w:val="0000FF"/>
          <w:sz w:val="16"/>
          <w:szCs w:val="16"/>
          <w:u w:val="single"/>
        </w:rPr>
      </w:pPr>
      <w:r>
        <w:rPr>
          <w:rStyle w:val="FootnoteReference"/>
        </w:rPr>
        <w:footnoteRef/>
      </w:r>
      <w:r>
        <w:t xml:space="preserve"> ‘</w:t>
      </w:r>
      <w:hyperlink r:id="rId5" w:history="1">
        <w:r w:rsidRPr="005459DF">
          <w:rPr>
            <w:rStyle w:val="Hyperlink"/>
            <w:sz w:val="16"/>
            <w:szCs w:val="16"/>
          </w:rPr>
          <w:t>Digital Operational Resilience Framework for financial services: Making the EU financial</w:t>
        </w:r>
        <w:r w:rsidRPr="008A433C">
          <w:rPr>
            <w:rStyle w:val="Hyperlink"/>
            <w:sz w:val="16"/>
            <w:szCs w:val="16"/>
          </w:rPr>
          <w:t xml:space="preserve"> </w:t>
        </w:r>
        <w:r w:rsidRPr="005459DF">
          <w:rPr>
            <w:rStyle w:val="Hyperlink"/>
            <w:sz w:val="16"/>
            <w:szCs w:val="16"/>
          </w:rPr>
          <w:t>sector more secure</w:t>
        </w:r>
      </w:hyperlink>
      <w:r w:rsidRPr="005459DF">
        <w:rPr>
          <w:sz w:val="16"/>
          <w:szCs w:val="16"/>
        </w:rPr>
        <w:t>’ (2019)</w:t>
      </w:r>
      <w:r>
        <w:rPr>
          <w:sz w:val="16"/>
          <w:szCs w:val="16"/>
        </w:rPr>
        <w:t>.</w:t>
      </w:r>
    </w:p>
  </w:footnote>
  <w:footnote w:id="6">
    <w:p w14:paraId="51E72E61" w14:textId="77777777" w:rsidR="00FA4DF4" w:rsidRPr="005459DF" w:rsidRDefault="00FA4DF4" w:rsidP="001803BB">
      <w:pPr>
        <w:pStyle w:val="FootnoteText"/>
        <w:rPr>
          <w:sz w:val="16"/>
          <w:szCs w:val="16"/>
        </w:rPr>
      </w:pPr>
      <w:r>
        <w:rPr>
          <w:rStyle w:val="FootnoteReference"/>
        </w:rPr>
        <w:footnoteRef/>
      </w:r>
      <w:r>
        <w:t xml:space="preserve"> </w:t>
      </w:r>
      <w:r w:rsidRPr="005459DF">
        <w:rPr>
          <w:sz w:val="16"/>
          <w:szCs w:val="16"/>
        </w:rPr>
        <w:t>‘</w:t>
      </w:r>
      <w:hyperlink r:id="rId6" w:history="1">
        <w:r w:rsidRPr="005459DF">
          <w:rPr>
            <w:rStyle w:val="Hyperlink"/>
            <w:sz w:val="16"/>
            <w:szCs w:val="16"/>
          </w:rPr>
          <w:t>On an EU framework for markets in crypto-assets</w:t>
        </w:r>
      </w:hyperlink>
      <w:r w:rsidRPr="005459DF">
        <w:rPr>
          <w:sz w:val="16"/>
          <w:szCs w:val="16"/>
        </w:rPr>
        <w:t>’ (2019</w:t>
      </w:r>
      <w:r>
        <w:rPr>
          <w:sz w:val="16"/>
          <w:szCs w:val="16"/>
        </w:rPr>
        <w:t>).</w:t>
      </w:r>
    </w:p>
  </w:footnote>
  <w:footnote w:id="7">
    <w:p w14:paraId="581F1EC2" w14:textId="77777777" w:rsidR="00FA4DF4" w:rsidRPr="005459DF" w:rsidRDefault="00FA4DF4" w:rsidP="00A47A42">
      <w:pPr>
        <w:pStyle w:val="FootnoteText"/>
        <w:rPr>
          <w:sz w:val="16"/>
          <w:szCs w:val="16"/>
        </w:rPr>
      </w:pPr>
      <w:r>
        <w:rPr>
          <w:rStyle w:val="FootnoteReference"/>
        </w:rPr>
        <w:footnoteRef/>
      </w:r>
      <w:r>
        <w:t xml:space="preserve"> </w:t>
      </w:r>
      <w:r w:rsidRPr="005459DF">
        <w:rPr>
          <w:sz w:val="16"/>
          <w:szCs w:val="16"/>
        </w:rPr>
        <w:t>‘</w:t>
      </w:r>
      <w:hyperlink r:id="rId7" w:history="1">
        <w:r w:rsidRPr="005459DF">
          <w:rPr>
            <w:rStyle w:val="Hyperlink"/>
            <w:sz w:val="16"/>
            <w:szCs w:val="16"/>
          </w:rPr>
          <w:t>A European strategy for data</w:t>
        </w:r>
      </w:hyperlink>
      <w:r w:rsidRPr="005459DF">
        <w:rPr>
          <w:sz w:val="16"/>
          <w:szCs w:val="16"/>
        </w:rPr>
        <w:t>’ (2020)</w:t>
      </w:r>
      <w:r>
        <w:rPr>
          <w:sz w:val="16"/>
          <w:szCs w:val="16"/>
        </w:rPr>
        <w:t>.</w:t>
      </w:r>
    </w:p>
  </w:footnote>
  <w:footnote w:id="8">
    <w:p w14:paraId="3CEBCB1F" w14:textId="77777777" w:rsidR="00FA4DF4" w:rsidRDefault="00FA4DF4" w:rsidP="00A47A42">
      <w:pPr>
        <w:pStyle w:val="FootnoteText"/>
      </w:pPr>
      <w:r w:rsidRPr="00AC0620">
        <w:rPr>
          <w:rStyle w:val="FootnoteReference"/>
        </w:rPr>
        <w:footnoteRef/>
      </w:r>
      <w:r w:rsidRPr="005459DF">
        <w:rPr>
          <w:sz w:val="16"/>
          <w:szCs w:val="16"/>
        </w:rPr>
        <w:t xml:space="preserve"> ‘</w:t>
      </w:r>
      <w:hyperlink r:id="rId8" w:history="1">
        <w:r w:rsidRPr="005459DF">
          <w:rPr>
            <w:rStyle w:val="Hyperlink"/>
            <w:sz w:val="16"/>
            <w:szCs w:val="16"/>
          </w:rPr>
          <w:t>White Paper on Artificial Intelligence - a European Approach</w:t>
        </w:r>
      </w:hyperlink>
      <w:r w:rsidRPr="005459DF">
        <w:rPr>
          <w:sz w:val="16"/>
          <w:szCs w:val="16"/>
        </w:rPr>
        <w:t>’ (2020)</w:t>
      </w:r>
      <w:r>
        <w:rPr>
          <w:sz w:val="16"/>
          <w:szCs w:val="16"/>
        </w:rPr>
        <w:t>.</w:t>
      </w:r>
    </w:p>
  </w:footnote>
  <w:footnote w:id="9">
    <w:p w14:paraId="3CDC4B83" w14:textId="77777777" w:rsidR="00FA4DF4" w:rsidRDefault="00FA4DF4" w:rsidP="00A47A42">
      <w:pPr>
        <w:pStyle w:val="FootnoteText"/>
      </w:pPr>
      <w:r>
        <w:rPr>
          <w:rStyle w:val="FootnoteReference"/>
        </w:rPr>
        <w:footnoteRef/>
      </w:r>
      <w:r>
        <w:t xml:space="preserve"> </w:t>
      </w:r>
      <w:hyperlink r:id="rId9" w:history="1">
        <w:r w:rsidRPr="005459DF">
          <w:rPr>
            <w:rStyle w:val="Hyperlink"/>
            <w:sz w:val="16"/>
            <w:szCs w:val="16"/>
          </w:rPr>
          <w:t>Cloud Service Providers consultation meeting on standard contractual clauses for cloud use by financial institutions</w:t>
        </w:r>
      </w:hyperlink>
      <w:r w:rsidRPr="005459DF">
        <w:rPr>
          <w:sz w:val="16"/>
          <w:szCs w:val="16"/>
        </w:rPr>
        <w:t xml:space="preserve"> (2020)</w:t>
      </w:r>
      <w:r>
        <w:rPr>
          <w:sz w:val="16"/>
          <w:szCs w:val="16"/>
        </w:rPr>
        <w:t>.</w:t>
      </w:r>
    </w:p>
  </w:footnote>
  <w:footnote w:id="10">
    <w:p w14:paraId="59F2C1DB" w14:textId="77777777" w:rsidR="00FA4DF4" w:rsidRDefault="00FA4DF4" w:rsidP="001803BB">
      <w:pPr>
        <w:pStyle w:val="FootnoteText"/>
      </w:pPr>
      <w:r>
        <w:rPr>
          <w:rStyle w:val="FootnoteReference"/>
        </w:rPr>
        <w:footnoteRef/>
      </w:r>
      <w:r>
        <w:t xml:space="preserve"> </w:t>
      </w:r>
      <w:r w:rsidRPr="005459DF">
        <w:rPr>
          <w:sz w:val="16"/>
          <w:szCs w:val="16"/>
        </w:rPr>
        <w:t>‘</w:t>
      </w:r>
      <w:hyperlink r:id="rId10" w:history="1">
        <w:r w:rsidRPr="005459DF">
          <w:rPr>
            <w:rStyle w:val="Hyperlink"/>
            <w:sz w:val="16"/>
            <w:szCs w:val="16"/>
          </w:rPr>
          <w:t>FinTech action plan: For a more competitive and innovative European financial sector</w:t>
        </w:r>
      </w:hyperlink>
      <w:r w:rsidRPr="005459DF">
        <w:rPr>
          <w:sz w:val="16"/>
          <w:szCs w:val="16"/>
        </w:rPr>
        <w:t>’ (2018)</w:t>
      </w:r>
      <w:r>
        <w:rPr>
          <w:sz w:val="16"/>
          <w:szCs w:val="16"/>
        </w:rPr>
        <w:t>.</w:t>
      </w:r>
    </w:p>
  </w:footnote>
  <w:footnote w:id="11">
    <w:p w14:paraId="2311C3AA" w14:textId="200EDAED" w:rsidR="00FA4DF4" w:rsidRDefault="00FA4DF4">
      <w:pPr>
        <w:pStyle w:val="FootnoteText"/>
      </w:pPr>
      <w:r>
        <w:rPr>
          <w:rStyle w:val="FootnoteReference"/>
        </w:rPr>
        <w:footnoteRef/>
      </w:r>
      <w:r>
        <w:t xml:space="preserve"> ’</w:t>
      </w:r>
      <w:hyperlink r:id="rId11" w:history="1">
        <w:r w:rsidRPr="00735388">
          <w:rPr>
            <w:rStyle w:val="Hyperlink"/>
            <w:sz w:val="16"/>
            <w:szCs w:val="16"/>
          </w:rPr>
          <w:t>Expert Group on Regulatory Obstacles to Financial Innovation: 30 Recommendations on Regulation, Innovation and Finance</w:t>
        </w:r>
      </w:hyperlink>
      <w:r w:rsidRPr="00735388">
        <w:rPr>
          <w:sz w:val="16"/>
          <w:szCs w:val="16"/>
        </w:rPr>
        <w:t>’ (2019)</w:t>
      </w:r>
      <w:r>
        <w:t>.</w:t>
      </w:r>
    </w:p>
  </w:footnote>
  <w:footnote w:id="12">
    <w:p w14:paraId="0583550A" w14:textId="27C1534B" w:rsidR="00FA4DF4" w:rsidRDefault="00FA4DF4">
      <w:pPr>
        <w:pStyle w:val="FootnoteText"/>
      </w:pPr>
      <w:r>
        <w:rPr>
          <w:rStyle w:val="FootnoteReference"/>
        </w:rPr>
        <w:footnoteRef/>
      </w:r>
      <w:r>
        <w:t xml:space="preserve"> </w:t>
      </w:r>
      <w:r>
        <w:rPr>
          <w:sz w:val="16"/>
          <w:szCs w:val="16"/>
        </w:rPr>
        <w:t>EBA ‘</w:t>
      </w:r>
      <w:hyperlink r:id="rId12" w:history="1">
        <w:r w:rsidRPr="005330BA">
          <w:rPr>
            <w:rStyle w:val="Hyperlink"/>
            <w:sz w:val="16"/>
            <w:szCs w:val="16"/>
          </w:rPr>
          <w:t>Regulatory Technical Standards for the definition of material risk takers for remuneration purposes</w:t>
        </w:r>
      </w:hyperlink>
      <w:r>
        <w:rPr>
          <w:sz w:val="16"/>
          <w:szCs w:val="16"/>
        </w:rPr>
        <w:t>’</w:t>
      </w:r>
    </w:p>
  </w:footnote>
  <w:footnote w:id="13">
    <w:p w14:paraId="63882C75" w14:textId="0164B097" w:rsidR="00FA4DF4" w:rsidRDefault="00FA4DF4">
      <w:pPr>
        <w:pStyle w:val="FootnoteText"/>
      </w:pPr>
      <w:r>
        <w:rPr>
          <w:rStyle w:val="FootnoteReference"/>
        </w:rPr>
        <w:footnoteRef/>
      </w:r>
      <w:r>
        <w:t xml:space="preserve"> </w:t>
      </w:r>
      <w:r w:rsidRPr="00735388">
        <w:rPr>
          <w:sz w:val="16"/>
          <w:szCs w:val="16"/>
        </w:rPr>
        <w:t>European Commission ‘</w:t>
      </w:r>
      <w:hyperlink r:id="rId13" w:history="1">
        <w:r w:rsidRPr="00735388">
          <w:rPr>
            <w:rStyle w:val="Hyperlink"/>
            <w:sz w:val="16"/>
            <w:szCs w:val="16"/>
          </w:rPr>
          <w:t>Payment Services Directive (PSD2)</w:t>
        </w:r>
      </w:hyperlink>
      <w:r w:rsidRPr="00735388">
        <w:rPr>
          <w:sz w:val="16"/>
          <w:szCs w:val="16"/>
        </w:rPr>
        <w:t>’</w:t>
      </w:r>
    </w:p>
  </w:footnote>
  <w:footnote w:id="14">
    <w:p w14:paraId="066C6F7D" w14:textId="77777777" w:rsidR="00FA4DF4" w:rsidRDefault="00FA4DF4" w:rsidP="003B2ACD">
      <w:pPr>
        <w:pStyle w:val="FootnoteText"/>
        <w:jc w:val="left"/>
      </w:pPr>
      <w:r>
        <w:rPr>
          <w:rStyle w:val="FootnoteReference"/>
        </w:rPr>
        <w:footnoteRef/>
      </w:r>
      <w:r>
        <w:rPr>
          <w:sz w:val="16"/>
          <w:szCs w:val="16"/>
        </w:rPr>
        <w:t xml:space="preserve"> EBA ‘</w:t>
      </w:r>
      <w:hyperlink r:id="rId14" w:history="1">
        <w:r w:rsidRPr="00F2786C">
          <w:rPr>
            <w:rStyle w:val="Hyperlink"/>
            <w:sz w:val="16"/>
            <w:szCs w:val="16"/>
          </w:rPr>
          <w:t>The EBA’s Fintech Roadmap</w:t>
        </w:r>
      </w:hyperlink>
      <w:r>
        <w:rPr>
          <w:sz w:val="16"/>
          <w:szCs w:val="16"/>
        </w:rPr>
        <w:t xml:space="preserve">’ (2018). See technology neutrality, </w:t>
      </w:r>
      <w:proofErr w:type="gramStart"/>
      <w:r>
        <w:rPr>
          <w:sz w:val="16"/>
          <w:szCs w:val="16"/>
        </w:rPr>
        <w:t>flexibility</w:t>
      </w:r>
      <w:proofErr w:type="gramEnd"/>
      <w:r>
        <w:rPr>
          <w:sz w:val="16"/>
          <w:szCs w:val="16"/>
        </w:rPr>
        <w:t xml:space="preserve"> and proportionality (p. 11).</w:t>
      </w:r>
    </w:p>
  </w:footnote>
  <w:footnote w:id="15">
    <w:p w14:paraId="0B4D1CD9" w14:textId="77777777" w:rsidR="00FA4DF4" w:rsidRDefault="00FA4DF4" w:rsidP="004051AC">
      <w:pPr>
        <w:pStyle w:val="FootnoteText"/>
      </w:pPr>
      <w:r>
        <w:rPr>
          <w:rStyle w:val="FootnoteReference"/>
        </w:rPr>
        <w:footnoteRef/>
      </w:r>
      <w:r>
        <w:t xml:space="preserve"> </w:t>
      </w:r>
      <w:r w:rsidRPr="002F184D">
        <w:rPr>
          <w:sz w:val="16"/>
          <w:szCs w:val="16"/>
        </w:rPr>
        <w:t>’</w:t>
      </w:r>
      <w:hyperlink r:id="rId15" w:history="1">
        <w:r w:rsidRPr="002F184D">
          <w:rPr>
            <w:rStyle w:val="Hyperlink"/>
            <w:sz w:val="16"/>
            <w:szCs w:val="16"/>
          </w:rPr>
          <w:t>30 Recommendations on regulation, innovation and finance</w:t>
        </w:r>
      </w:hyperlink>
      <w:r w:rsidRPr="002F184D">
        <w:rPr>
          <w:sz w:val="16"/>
          <w:szCs w:val="16"/>
        </w:rPr>
        <w:t>’ (2019)</w:t>
      </w:r>
      <w:r>
        <w:rPr>
          <w:sz w:val="16"/>
          <w:szCs w:val="16"/>
        </w:rPr>
        <w:t xml:space="preserve">. See </w:t>
      </w:r>
      <w:r w:rsidRPr="00C776E3">
        <w:rPr>
          <w:sz w:val="16"/>
          <w:szCs w:val="16"/>
        </w:rPr>
        <w:t>Establishing priorities in regulating FinTech</w:t>
      </w:r>
      <w:r>
        <w:rPr>
          <w:sz w:val="16"/>
          <w:szCs w:val="16"/>
        </w:rPr>
        <w:t xml:space="preserve"> (p. 95-96).</w:t>
      </w:r>
    </w:p>
  </w:footnote>
  <w:footnote w:id="16">
    <w:p w14:paraId="0D50416A" w14:textId="78314639" w:rsidR="00FA4DF4" w:rsidRDefault="00FA4DF4">
      <w:pPr>
        <w:pStyle w:val="FootnoteText"/>
      </w:pPr>
      <w:r>
        <w:rPr>
          <w:rStyle w:val="FootnoteReference"/>
        </w:rPr>
        <w:footnoteRef/>
      </w:r>
      <w:r>
        <w:t xml:space="preserve"> </w:t>
      </w:r>
      <w:r w:rsidRPr="00735388">
        <w:rPr>
          <w:sz w:val="16"/>
          <w:szCs w:val="16"/>
        </w:rPr>
        <w:t>EBA ‘</w:t>
      </w:r>
      <w:hyperlink r:id="rId16" w:history="1">
        <w:r w:rsidRPr="00735388">
          <w:rPr>
            <w:rStyle w:val="Hyperlink"/>
            <w:sz w:val="16"/>
            <w:szCs w:val="16"/>
          </w:rPr>
          <w:t>Guidelines on Outsourcing Arrangements</w:t>
        </w:r>
      </w:hyperlink>
      <w:r w:rsidRPr="00735388">
        <w:rPr>
          <w:sz w:val="16"/>
          <w:szCs w:val="16"/>
        </w:rPr>
        <w:t>’ (2018)</w:t>
      </w:r>
    </w:p>
  </w:footnote>
  <w:footnote w:id="17">
    <w:p w14:paraId="07688263" w14:textId="77777777" w:rsidR="00FA4DF4" w:rsidRDefault="00FA4DF4" w:rsidP="002F5FF9">
      <w:pPr>
        <w:pStyle w:val="FootnoteText"/>
      </w:pPr>
      <w:r>
        <w:rPr>
          <w:rStyle w:val="FootnoteReference"/>
        </w:rPr>
        <w:footnoteRef/>
      </w:r>
      <w:r>
        <w:t xml:space="preserve"> </w:t>
      </w:r>
      <w:hyperlink r:id="rId17" w:history="1">
        <w:r w:rsidRPr="00AF6407">
          <w:rPr>
            <w:rStyle w:val="Hyperlink"/>
            <w:sz w:val="16"/>
            <w:szCs w:val="16"/>
          </w:rPr>
          <w:t>https://www.cssf.lu/fileadmin/files/Lois_reglements/Circulaires/Hors_blanchiment_terrorisme/cssf19_714eng.pdf</w:t>
        </w:r>
      </w:hyperlink>
    </w:p>
  </w:footnote>
  <w:footnote w:id="18">
    <w:p w14:paraId="25D714C6" w14:textId="5CC904E1" w:rsidR="00FA4DF4" w:rsidRDefault="00FA4DF4">
      <w:pPr>
        <w:pStyle w:val="FootnoteText"/>
      </w:pPr>
      <w:r>
        <w:rPr>
          <w:rStyle w:val="FootnoteReference"/>
        </w:rPr>
        <w:footnoteRef/>
      </w:r>
      <w:r>
        <w:t xml:space="preserve"> </w:t>
      </w:r>
      <w:hyperlink r:id="rId18" w:history="1">
        <w:r w:rsidRPr="00735388">
          <w:rPr>
            <w:rStyle w:val="Hyperlink"/>
            <w:sz w:val="16"/>
            <w:szCs w:val="16"/>
          </w:rPr>
          <w:t>Payment Services (PSD2) Directive EU 2015/2366</w:t>
        </w:r>
      </w:hyperlink>
      <w:r w:rsidRPr="00735388">
        <w:rPr>
          <w:sz w:val="16"/>
          <w:szCs w:val="16"/>
        </w:rPr>
        <w:t xml:space="preserve"> </w:t>
      </w:r>
    </w:p>
  </w:footnote>
  <w:footnote w:id="19">
    <w:p w14:paraId="4722A081" w14:textId="6195BAAA" w:rsidR="00FA4DF4" w:rsidRDefault="00FA4DF4">
      <w:pPr>
        <w:pStyle w:val="FootnoteText"/>
      </w:pPr>
      <w:r>
        <w:rPr>
          <w:rStyle w:val="FootnoteReference"/>
        </w:rPr>
        <w:footnoteRef/>
      </w:r>
      <w:hyperlink r:id="rId19" w:history="1">
        <w:r w:rsidRPr="00735388">
          <w:rPr>
            <w:rStyle w:val="Hyperlink"/>
            <w:sz w:val="16"/>
            <w:szCs w:val="16"/>
          </w:rPr>
          <w:t>https://ec.europa.eu/info/sites/info/files/business_economy_euro/banking_and_finance/documents/191113-report-expert-group-regulatory-obstacles-financial-innovation_en.pdf</w:t>
        </w:r>
      </w:hyperlink>
      <w:r>
        <w:rPr>
          <w:sz w:val="16"/>
          <w:szCs w:val="16"/>
        </w:rPr>
        <w:t xml:space="preserve"> (p.49)</w:t>
      </w:r>
    </w:p>
  </w:footnote>
  <w:footnote w:id="20">
    <w:p w14:paraId="44303757" w14:textId="2FFE6BA1" w:rsidR="00FA4DF4" w:rsidRDefault="00FA4DF4">
      <w:pPr>
        <w:pStyle w:val="FootnoteText"/>
      </w:pPr>
      <w:r>
        <w:rPr>
          <w:rStyle w:val="FootnoteReference"/>
        </w:rPr>
        <w:footnoteRef/>
      </w:r>
      <w:r>
        <w:t xml:space="preserve"> </w:t>
      </w:r>
      <w:r w:rsidRPr="00735388">
        <w:rPr>
          <w:sz w:val="16"/>
          <w:szCs w:val="16"/>
        </w:rPr>
        <w:t xml:space="preserve">European Parliament </w:t>
      </w:r>
      <w:hyperlink r:id="rId20" w:history="1">
        <w:r w:rsidRPr="00735388">
          <w:rPr>
            <w:rStyle w:val="Hyperlink"/>
            <w:sz w:val="16"/>
            <w:szCs w:val="16"/>
          </w:rPr>
          <w:t>‘Blockchain and the General Data Protection regulation: Can distributed ledgers be squared with European data protection law’</w:t>
        </w:r>
      </w:hyperlink>
      <w:r w:rsidRPr="00DC1F3E">
        <w:rPr>
          <w:sz w:val="16"/>
          <w:szCs w:val="16"/>
        </w:rPr>
        <w:t xml:space="preserve"> (2019)</w:t>
      </w:r>
    </w:p>
  </w:footnote>
  <w:footnote w:id="21">
    <w:p w14:paraId="3942E22F" w14:textId="16950D7F" w:rsidR="00FA4DF4" w:rsidRDefault="00FA4DF4">
      <w:pPr>
        <w:pStyle w:val="FootnoteText"/>
      </w:pPr>
      <w:r>
        <w:rPr>
          <w:rStyle w:val="FootnoteReference"/>
        </w:rPr>
        <w:footnoteRef/>
      </w:r>
      <w:r>
        <w:t xml:space="preserve"> </w:t>
      </w:r>
      <w:r w:rsidRPr="00AF6407">
        <w:rPr>
          <w:sz w:val="16"/>
          <w:szCs w:val="16"/>
        </w:rPr>
        <w:t>‘</w:t>
      </w:r>
      <w:proofErr w:type="spellStart"/>
      <w:r>
        <w:fldChar w:fldCharType="begin"/>
      </w:r>
      <w:r>
        <w:instrText xml:space="preserve"> HYPERLINK "https://www.fsb.org/wp-content/uploads/P091219-1.pdf" </w:instrText>
      </w:r>
      <w:r>
        <w:fldChar w:fldCharType="separate"/>
      </w:r>
      <w:r w:rsidRPr="00AF6407">
        <w:rPr>
          <w:rStyle w:val="Hyperlink"/>
          <w:sz w:val="16"/>
          <w:szCs w:val="16"/>
        </w:rPr>
        <w:t>BigTech</w:t>
      </w:r>
      <w:proofErr w:type="spellEnd"/>
      <w:r w:rsidRPr="00AF6407">
        <w:rPr>
          <w:rStyle w:val="Hyperlink"/>
          <w:sz w:val="16"/>
          <w:szCs w:val="16"/>
        </w:rPr>
        <w:t xml:space="preserve"> in Finance: Market developments and potential financial stability implication</w:t>
      </w:r>
      <w:r>
        <w:rPr>
          <w:rStyle w:val="Hyperlink"/>
          <w:sz w:val="16"/>
          <w:szCs w:val="16"/>
        </w:rPr>
        <w:fldChar w:fldCharType="end"/>
      </w:r>
      <w:r w:rsidRPr="00AF6407">
        <w:rPr>
          <w:sz w:val="16"/>
          <w:szCs w:val="16"/>
        </w:rPr>
        <w:t>’ (2019)</w:t>
      </w:r>
    </w:p>
  </w:footnote>
  <w:footnote w:id="22">
    <w:p w14:paraId="14122C44" w14:textId="65B1603E" w:rsidR="00FA4DF4" w:rsidRDefault="00FA4DF4">
      <w:pPr>
        <w:pStyle w:val="FootnoteText"/>
      </w:pPr>
      <w:r>
        <w:rPr>
          <w:rStyle w:val="FootnoteReference"/>
        </w:rPr>
        <w:footnoteRef/>
      </w:r>
      <w:r>
        <w:t xml:space="preserve"> </w:t>
      </w:r>
      <w:r w:rsidRPr="00AF6407">
        <w:rPr>
          <w:sz w:val="16"/>
          <w:szCs w:val="16"/>
        </w:rPr>
        <w:t>‘</w:t>
      </w:r>
      <w:hyperlink r:id="rId21" w:history="1">
        <w:r w:rsidRPr="00AF6407">
          <w:rPr>
            <w:rStyle w:val="Hyperlink"/>
            <w:sz w:val="16"/>
            <w:szCs w:val="16"/>
          </w:rPr>
          <w:t>Big tech in finance: opportunities and risks</w:t>
        </w:r>
      </w:hyperlink>
      <w:r w:rsidRPr="00AF6407">
        <w:rPr>
          <w:sz w:val="16"/>
          <w:szCs w:val="16"/>
        </w:rPr>
        <w:t>’ (2019)</w:t>
      </w:r>
    </w:p>
  </w:footnote>
  <w:footnote w:id="23">
    <w:p w14:paraId="441E4648" w14:textId="3AC9B2C2" w:rsidR="00FA4DF4" w:rsidRDefault="00FA4DF4">
      <w:pPr>
        <w:pStyle w:val="FootnoteText"/>
      </w:pPr>
      <w:r>
        <w:rPr>
          <w:rStyle w:val="FootnoteReference"/>
        </w:rPr>
        <w:footnoteRef/>
      </w:r>
      <w:r>
        <w:t xml:space="preserve"> ‘</w:t>
      </w:r>
      <w:proofErr w:type="spellStart"/>
      <w:r>
        <w:fldChar w:fldCharType="begin"/>
      </w:r>
      <w:r>
        <w:instrText xml:space="preserve"> HYPERLINK "https://www.bis.org/publ/arpdf/ar2019e3.pdf" </w:instrText>
      </w:r>
      <w:r>
        <w:fldChar w:fldCharType="separate"/>
      </w:r>
      <w:r w:rsidRPr="00AF6407">
        <w:rPr>
          <w:rStyle w:val="Hyperlink"/>
          <w:sz w:val="16"/>
          <w:szCs w:val="16"/>
        </w:rPr>
        <w:t>Bigtech</w:t>
      </w:r>
      <w:proofErr w:type="spellEnd"/>
      <w:r w:rsidRPr="00AF6407">
        <w:rPr>
          <w:rStyle w:val="Hyperlink"/>
          <w:sz w:val="16"/>
          <w:szCs w:val="16"/>
        </w:rPr>
        <w:t xml:space="preserve"> in Finance: opportunities and risks</w:t>
      </w:r>
      <w:r>
        <w:rPr>
          <w:rStyle w:val="Hyperlink"/>
          <w:sz w:val="16"/>
          <w:szCs w:val="16"/>
        </w:rPr>
        <w:fldChar w:fldCharType="end"/>
      </w:r>
      <w:r w:rsidRPr="00AF6407">
        <w:rPr>
          <w:sz w:val="16"/>
          <w:szCs w:val="16"/>
        </w:rPr>
        <w:t>’ (2019)</w:t>
      </w:r>
    </w:p>
  </w:footnote>
  <w:footnote w:id="24">
    <w:p w14:paraId="0BBBA6E8" w14:textId="2179A955" w:rsidR="00FA4DF4" w:rsidRDefault="00FA4DF4">
      <w:pPr>
        <w:pStyle w:val="FootnoteText"/>
      </w:pPr>
      <w:r>
        <w:rPr>
          <w:rStyle w:val="FootnoteReference"/>
        </w:rPr>
        <w:footnoteRef/>
      </w:r>
      <w:r>
        <w:t xml:space="preserve"> ‘</w:t>
      </w:r>
      <w:hyperlink r:id="rId22" w:history="1">
        <w:r w:rsidRPr="00AF6407">
          <w:rPr>
            <w:rStyle w:val="Hyperlink"/>
            <w:sz w:val="16"/>
            <w:szCs w:val="16"/>
          </w:rPr>
          <w:t>Big tech in finance: opportunities and risks</w:t>
        </w:r>
      </w:hyperlink>
      <w:r w:rsidRPr="00AF6407">
        <w:rPr>
          <w:sz w:val="16"/>
          <w:szCs w:val="16"/>
        </w:rPr>
        <w:t>’ (2019)</w:t>
      </w:r>
    </w:p>
  </w:footnote>
  <w:footnote w:id="25">
    <w:p w14:paraId="6A31E679" w14:textId="351EB99D" w:rsidR="00FA4DF4" w:rsidRDefault="00FA4DF4">
      <w:pPr>
        <w:pStyle w:val="FootnoteText"/>
      </w:pPr>
      <w:r>
        <w:rPr>
          <w:rStyle w:val="FootnoteReference"/>
        </w:rPr>
        <w:footnoteRef/>
      </w:r>
      <w:r>
        <w:t xml:space="preserve"> </w:t>
      </w:r>
      <w:hyperlink r:id="rId23" w:history="1">
        <w:r w:rsidRPr="00735388">
          <w:rPr>
            <w:rStyle w:val="Hyperlink"/>
            <w:sz w:val="16"/>
            <w:szCs w:val="16"/>
          </w:rPr>
          <w:t>https://www.bis.org/cpmi/info_pfmi.htm</w:t>
        </w:r>
      </w:hyperlink>
    </w:p>
  </w:footnote>
  <w:footnote w:id="26">
    <w:p w14:paraId="7D917526" w14:textId="3CC0C689" w:rsidR="00FA4DF4" w:rsidRDefault="00FA4DF4">
      <w:pPr>
        <w:pStyle w:val="FootnoteText"/>
      </w:pPr>
      <w:r>
        <w:rPr>
          <w:rStyle w:val="FootnoteReference"/>
        </w:rPr>
        <w:footnoteRef/>
      </w:r>
      <w:r>
        <w:t xml:space="preserve"> </w:t>
      </w:r>
      <w:hyperlink r:id="rId24" w:history="1">
        <w:r w:rsidRPr="00735388">
          <w:rPr>
            <w:rStyle w:val="Hyperlink"/>
            <w:sz w:val="16"/>
            <w:szCs w:val="16"/>
          </w:rPr>
          <w:t>https://www.fatf-gafi.org/</w:t>
        </w:r>
      </w:hyperlink>
    </w:p>
  </w:footnote>
  <w:footnote w:id="27">
    <w:p w14:paraId="3B34F476" w14:textId="77486E0E" w:rsidR="00FA4DF4" w:rsidRDefault="00FA4DF4">
      <w:pPr>
        <w:pStyle w:val="FootnoteText"/>
      </w:pPr>
      <w:r>
        <w:rPr>
          <w:rStyle w:val="FootnoteReference"/>
        </w:rPr>
        <w:footnoteRef/>
      </w:r>
      <w:r>
        <w:t xml:space="preserve"> </w:t>
      </w:r>
      <w:r w:rsidRPr="00735388">
        <w:rPr>
          <w:sz w:val="16"/>
          <w:szCs w:val="16"/>
        </w:rPr>
        <w:t>FATF Guidance ‘</w:t>
      </w:r>
      <w:proofErr w:type="spellStart"/>
      <w:r>
        <w:fldChar w:fldCharType="begin"/>
      </w:r>
      <w:r>
        <w:instrText xml:space="preserve"> HYPERLINK "http://www.fatf-gafi.org/media/fatf/documents/reports/Guidance-Correspondent-Banking-Services.pdf" </w:instrText>
      </w:r>
      <w:r>
        <w:fldChar w:fldCharType="separate"/>
      </w:r>
      <w:r w:rsidRPr="00735388">
        <w:rPr>
          <w:rStyle w:val="Hyperlink"/>
          <w:sz w:val="16"/>
          <w:szCs w:val="16"/>
        </w:rPr>
        <w:t>Correspondant</w:t>
      </w:r>
      <w:proofErr w:type="spellEnd"/>
      <w:r w:rsidRPr="00735388">
        <w:rPr>
          <w:rStyle w:val="Hyperlink"/>
          <w:sz w:val="16"/>
          <w:szCs w:val="16"/>
        </w:rPr>
        <w:t xml:space="preserve"> Banking Services</w:t>
      </w:r>
      <w:r>
        <w:rPr>
          <w:rStyle w:val="Hyperlink"/>
          <w:sz w:val="16"/>
          <w:szCs w:val="16"/>
        </w:rPr>
        <w:fldChar w:fldCharType="end"/>
      </w:r>
      <w:r w:rsidRPr="00735388">
        <w:rPr>
          <w:sz w:val="16"/>
          <w:szCs w:val="16"/>
        </w:rPr>
        <w:t>’ (2016)</w:t>
      </w:r>
    </w:p>
  </w:footnote>
  <w:footnote w:id="28">
    <w:p w14:paraId="698EA41A" w14:textId="4D672A93" w:rsidR="00FA4DF4" w:rsidRDefault="00FA4DF4">
      <w:pPr>
        <w:pStyle w:val="FootnoteText"/>
      </w:pPr>
      <w:r>
        <w:rPr>
          <w:rStyle w:val="FootnoteReference"/>
        </w:rPr>
        <w:footnoteRef/>
      </w:r>
      <w:r>
        <w:t xml:space="preserve"> </w:t>
      </w:r>
      <w:r w:rsidRPr="00AF6407">
        <w:rPr>
          <w:sz w:val="16"/>
          <w:szCs w:val="16"/>
        </w:rPr>
        <w:t>‘</w:t>
      </w:r>
      <w:hyperlink r:id="rId25" w:history="1">
        <w:r w:rsidRPr="00AF6407">
          <w:rPr>
            <w:rStyle w:val="Hyperlink"/>
            <w:sz w:val="16"/>
            <w:szCs w:val="16"/>
          </w:rPr>
          <w:t>Big tech in finance: opportunities and risks</w:t>
        </w:r>
      </w:hyperlink>
      <w:r w:rsidRPr="00AF6407">
        <w:rPr>
          <w:sz w:val="16"/>
          <w:szCs w:val="16"/>
        </w:rPr>
        <w:t>’ (2019)</w:t>
      </w:r>
    </w:p>
  </w:footnote>
  <w:footnote w:id="29">
    <w:p w14:paraId="34C2FEFB" w14:textId="706E3957" w:rsidR="00FA4DF4" w:rsidRDefault="00FA4DF4">
      <w:pPr>
        <w:pStyle w:val="FootnoteText"/>
      </w:pPr>
      <w:r>
        <w:rPr>
          <w:rStyle w:val="FootnoteReference"/>
        </w:rPr>
        <w:footnoteRef/>
      </w:r>
      <w:r>
        <w:t xml:space="preserve"> </w:t>
      </w:r>
      <w:hyperlink r:id="rId26" w:history="1">
        <w:r w:rsidRPr="00735388">
          <w:rPr>
            <w:rStyle w:val="Hyperlink"/>
            <w:sz w:val="16"/>
            <w:szCs w:val="16"/>
          </w:rPr>
          <w:t>Payment services (PSD2) – Directive (EU) 2015/2366</w:t>
        </w:r>
      </w:hyperlink>
    </w:p>
  </w:footnote>
  <w:footnote w:id="30">
    <w:p w14:paraId="6AB6CC7A" w14:textId="07AAC760" w:rsidR="00FA4DF4" w:rsidRPr="009726DA" w:rsidRDefault="00FA4DF4">
      <w:pPr>
        <w:pStyle w:val="FootnoteText"/>
        <w:rPr>
          <w:lang w:val="en-US"/>
        </w:rPr>
      </w:pPr>
      <w:r>
        <w:rPr>
          <w:rStyle w:val="FootnoteReference"/>
        </w:rPr>
        <w:footnoteRef/>
      </w:r>
      <w:r>
        <w:t xml:space="preserve"> </w:t>
      </w:r>
      <w:hyperlink r:id="rId27" w:history="1">
        <w:r w:rsidRPr="009726DA">
          <w:rPr>
            <w:rStyle w:val="Hyperlink"/>
            <w:sz w:val="16"/>
            <w:szCs w:val="16"/>
          </w:rPr>
          <w:t>https://www.fatf-gafi.org/media/fatf/documents/recommendations/pdfs/Guidance-on-Digital-Identity-Executive-Summary.pdf</w:t>
        </w:r>
      </w:hyperlink>
    </w:p>
  </w:footnote>
  <w:footnote w:id="31">
    <w:p w14:paraId="24B6BEC8" w14:textId="5A06EB92" w:rsidR="00FA4DF4" w:rsidRDefault="00FA4DF4">
      <w:pPr>
        <w:pStyle w:val="FootnoteText"/>
      </w:pPr>
      <w:r>
        <w:rPr>
          <w:rStyle w:val="FootnoteReference"/>
        </w:rPr>
        <w:footnoteRef/>
      </w:r>
      <w:r>
        <w:t xml:space="preserve"> </w:t>
      </w:r>
      <w:hyperlink r:id="rId28" w:history="1">
        <w:proofErr w:type="spellStart"/>
        <w:r w:rsidRPr="00735388">
          <w:rPr>
            <w:rStyle w:val="Hyperlink"/>
            <w:sz w:val="16"/>
            <w:szCs w:val="16"/>
          </w:rPr>
          <w:t>eIDAS</w:t>
        </w:r>
        <w:proofErr w:type="spellEnd"/>
        <w:r w:rsidRPr="00735388">
          <w:rPr>
            <w:rStyle w:val="Hyperlink"/>
            <w:sz w:val="16"/>
            <w:szCs w:val="16"/>
          </w:rPr>
          <w:t xml:space="preserve"> regulation (EU) n.910/2014</w:t>
        </w:r>
      </w:hyperlink>
      <w:r w:rsidRPr="00735388">
        <w:rPr>
          <w:sz w:val="16"/>
          <w:szCs w:val="16"/>
        </w:rPr>
        <w:t xml:space="preserve"> </w:t>
      </w:r>
    </w:p>
  </w:footnote>
  <w:footnote w:id="32">
    <w:p w14:paraId="5293B374" w14:textId="77777777" w:rsidR="00FA4DF4" w:rsidRDefault="00FA4DF4" w:rsidP="00AC0620">
      <w:pPr>
        <w:pStyle w:val="FootnoteText"/>
      </w:pPr>
      <w:r>
        <w:rPr>
          <w:rStyle w:val="FootnoteReference"/>
        </w:rPr>
        <w:footnoteRef/>
      </w:r>
      <w:r>
        <w:t xml:space="preserve"> </w:t>
      </w:r>
      <w:hyperlink r:id="rId29" w:history="1">
        <w:r w:rsidRPr="00735388">
          <w:rPr>
            <w:rStyle w:val="Hyperlink"/>
            <w:sz w:val="16"/>
            <w:szCs w:val="16"/>
          </w:rPr>
          <w:t>https://www.fatf-gafi.org/media/fatf/documents/recommendations/pdfs/Guidance-on-Digital-Identity.pdf</w:t>
        </w:r>
      </w:hyperlink>
    </w:p>
  </w:footnote>
  <w:footnote w:id="33">
    <w:p w14:paraId="09BADB98" w14:textId="206ABD53" w:rsidR="00FA4DF4" w:rsidRPr="009726DA" w:rsidRDefault="00FA4DF4">
      <w:pPr>
        <w:pStyle w:val="FootnoteText"/>
        <w:rPr>
          <w:lang w:val="en-US"/>
        </w:rPr>
      </w:pPr>
      <w:r>
        <w:rPr>
          <w:rStyle w:val="FootnoteReference"/>
        </w:rPr>
        <w:footnoteRef/>
      </w:r>
      <w:r>
        <w:t xml:space="preserve"> </w:t>
      </w:r>
      <w:hyperlink r:id="rId30" w:history="1">
        <w:r w:rsidRPr="009726DA">
          <w:rPr>
            <w:rStyle w:val="Hyperlink"/>
            <w:sz w:val="16"/>
            <w:szCs w:val="16"/>
          </w:rPr>
          <w:t>https://eur-lex.europa.eu/legal-content/EN/TXT/HTML/?uri=CELEX:32015L0849&amp;from=EN</w:t>
        </w:r>
      </w:hyperlink>
      <w:r>
        <w:rPr>
          <w:sz w:val="16"/>
          <w:szCs w:val="16"/>
        </w:rPr>
        <w:t xml:space="preserve"> (see 29.)</w:t>
      </w:r>
    </w:p>
  </w:footnote>
  <w:footnote w:id="34">
    <w:p w14:paraId="7C7672F1" w14:textId="6C4179C1" w:rsidR="00FA4DF4" w:rsidRDefault="00FA4DF4">
      <w:pPr>
        <w:pStyle w:val="FootnoteText"/>
      </w:pPr>
      <w:r>
        <w:rPr>
          <w:rStyle w:val="FootnoteReference"/>
        </w:rPr>
        <w:footnoteRef/>
      </w:r>
      <w:r>
        <w:t xml:space="preserve"> </w:t>
      </w:r>
      <w:r w:rsidRPr="00735388">
        <w:rPr>
          <w:sz w:val="16"/>
          <w:szCs w:val="16"/>
        </w:rPr>
        <w:t>EBA, ESMA, EIOPA ‘</w:t>
      </w:r>
      <w:hyperlink r:id="rId31" w:history="1">
        <w:r w:rsidRPr="00735388">
          <w:rPr>
            <w:rStyle w:val="Hyperlink"/>
            <w:sz w:val="16"/>
            <w:szCs w:val="16"/>
          </w:rPr>
          <w:t>FinTech: Regulatory sandboxes and innovation hubs</w:t>
        </w:r>
      </w:hyperlink>
      <w:r w:rsidRPr="00735388">
        <w:rPr>
          <w:sz w:val="16"/>
          <w:szCs w:val="16"/>
        </w:rPr>
        <w:t xml:space="preserve">’ – </w:t>
      </w:r>
      <w:r>
        <w:rPr>
          <w:sz w:val="16"/>
          <w:szCs w:val="16"/>
        </w:rPr>
        <w:t xml:space="preserve">see </w:t>
      </w:r>
      <w:r w:rsidRPr="00735388">
        <w:rPr>
          <w:sz w:val="16"/>
          <w:szCs w:val="16"/>
        </w:rPr>
        <w:t>definition</w:t>
      </w:r>
      <w:r>
        <w:rPr>
          <w:sz w:val="16"/>
          <w:szCs w:val="16"/>
        </w:rPr>
        <w:t>s for innovation hubs and regulatory sandboxes</w:t>
      </w:r>
      <w:r w:rsidRPr="00735388">
        <w:rPr>
          <w:sz w:val="16"/>
          <w:szCs w:val="16"/>
        </w:rPr>
        <w:t xml:space="preserve"> (p5)</w:t>
      </w:r>
    </w:p>
  </w:footnote>
  <w:footnote w:id="35">
    <w:p w14:paraId="0A591D8C" w14:textId="7EFD57A8" w:rsidR="00FA4DF4" w:rsidRDefault="00FA4DF4">
      <w:pPr>
        <w:pStyle w:val="FootnoteText"/>
      </w:pPr>
      <w:r>
        <w:rPr>
          <w:rStyle w:val="FootnoteReference"/>
        </w:rPr>
        <w:footnoteRef/>
      </w:r>
      <w:r>
        <w:t xml:space="preserve"> ESMA, EBA, EIOPA ‘</w:t>
      </w:r>
      <w:hyperlink r:id="rId32" w:history="1">
        <w:r w:rsidRPr="00226244">
          <w:rPr>
            <w:rStyle w:val="Hyperlink"/>
          </w:rPr>
          <w:t>FinTech: Regulatory sandboxes and innovation hubs</w:t>
        </w:r>
      </w:hyperlink>
      <w:r>
        <w:t>’ (2019)</w:t>
      </w:r>
    </w:p>
  </w:footnote>
  <w:footnote w:id="36">
    <w:p w14:paraId="170FBB25" w14:textId="4B2698D4" w:rsidR="00FA4DF4" w:rsidRDefault="00FA4DF4">
      <w:pPr>
        <w:pStyle w:val="FootnoteText"/>
      </w:pPr>
      <w:r>
        <w:rPr>
          <w:rStyle w:val="FootnoteReference"/>
        </w:rPr>
        <w:footnoteRef/>
      </w:r>
      <w:hyperlink r:id="rId33" w:history="1">
        <w:r w:rsidRPr="00735388">
          <w:rPr>
            <w:rStyle w:val="Hyperlink"/>
            <w:sz w:val="16"/>
            <w:szCs w:val="16"/>
          </w:rPr>
          <w:t>https://clientebancario.bde.es/pcb/es/menu-horizontal/productosservici/relacionados/entidades/guia-textual/tiposentidadesso/Establecimientos-financieros-de-credito.html</w:t>
        </w:r>
      </w:hyperlink>
    </w:p>
  </w:footnote>
  <w:footnote w:id="37">
    <w:p w14:paraId="6BF3ED89" w14:textId="32D4849B" w:rsidR="00FA4DF4" w:rsidRDefault="00FA4DF4">
      <w:pPr>
        <w:pStyle w:val="FootnoteText"/>
      </w:pPr>
      <w:r>
        <w:rPr>
          <w:rStyle w:val="FootnoteReference"/>
        </w:rPr>
        <w:footnoteRef/>
      </w:r>
      <w:r>
        <w:t xml:space="preserve"> </w:t>
      </w:r>
      <w:hyperlink r:id="rId34" w:history="1">
        <w:r w:rsidRPr="00735388">
          <w:rPr>
            <w:rStyle w:val="Hyperlink"/>
            <w:sz w:val="16"/>
            <w:szCs w:val="16"/>
          </w:rPr>
          <w:t>https://www.europeanpaymentscouncil.eu/what-we-do/sepa-payment-schemes/sepa-credit-transfer/sepa-credit-transfer-additional-optional</w:t>
        </w:r>
      </w:hyperlink>
    </w:p>
  </w:footnote>
  <w:footnote w:id="38">
    <w:p w14:paraId="7AD94E32" w14:textId="017DB85F" w:rsidR="00FA4DF4" w:rsidRDefault="00FA4DF4">
      <w:pPr>
        <w:pStyle w:val="FootnoteText"/>
      </w:pPr>
      <w:r>
        <w:rPr>
          <w:rStyle w:val="FootnoteReference"/>
        </w:rPr>
        <w:footnoteRef/>
      </w:r>
      <w:hyperlink r:id="rId35" w:history="1">
        <w:r w:rsidRPr="00735388">
          <w:rPr>
            <w:rStyle w:val="Hyperlink"/>
            <w:sz w:val="16"/>
            <w:szCs w:val="16"/>
          </w:rPr>
          <w:t>https://www.afme.eu/Portals/0/DispatchFeaturedImages/2020-05%20AFME%20Transforming%20Data%20Response%20-%20Final_.pdf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64555"/>
    <w:multiLevelType w:val="multilevel"/>
    <w:tmpl w:val="FD8C8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C4EF2"/>
    <w:multiLevelType w:val="hybridMultilevel"/>
    <w:tmpl w:val="C852A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651048"/>
    <w:multiLevelType w:val="hybridMultilevel"/>
    <w:tmpl w:val="95985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EA5F21"/>
    <w:multiLevelType w:val="hybridMultilevel"/>
    <w:tmpl w:val="699E3906"/>
    <w:lvl w:ilvl="0" w:tplc="FC1C47CC">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B95EB7"/>
    <w:multiLevelType w:val="hybridMultilevel"/>
    <w:tmpl w:val="898E99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F03ECF"/>
    <w:multiLevelType w:val="hybridMultilevel"/>
    <w:tmpl w:val="867A8D7C"/>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6" w15:restartNumberingAfterBreak="0">
    <w:nsid w:val="12A4403C"/>
    <w:multiLevelType w:val="hybridMultilevel"/>
    <w:tmpl w:val="F1DC3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CE0B2C"/>
    <w:multiLevelType w:val="hybridMultilevel"/>
    <w:tmpl w:val="E2C8C04A"/>
    <w:lvl w:ilvl="0" w:tplc="ABD0E006">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FC5345"/>
    <w:multiLevelType w:val="hybridMultilevel"/>
    <w:tmpl w:val="BAC22524"/>
    <w:lvl w:ilvl="0" w:tplc="CDF276B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DE0AAB"/>
    <w:multiLevelType w:val="hybridMultilevel"/>
    <w:tmpl w:val="7AC6885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344D61"/>
    <w:multiLevelType w:val="hybridMultilevel"/>
    <w:tmpl w:val="764A60B8"/>
    <w:lvl w:ilvl="0" w:tplc="089823E0">
      <w:start w:val="1"/>
      <w:numFmt w:val="bullet"/>
      <w:lvlText w:val="o"/>
      <w:lvlJc w:val="left"/>
      <w:pPr>
        <w:tabs>
          <w:tab w:val="num" w:pos="720"/>
        </w:tabs>
        <w:ind w:left="720" w:hanging="360"/>
      </w:pPr>
      <w:rPr>
        <w:rFonts w:ascii="Courier New" w:hAnsi="Courier New" w:hint="default"/>
      </w:rPr>
    </w:lvl>
    <w:lvl w:ilvl="1" w:tplc="8F5ADAA0">
      <w:start w:val="1"/>
      <w:numFmt w:val="bullet"/>
      <w:lvlText w:val="o"/>
      <w:lvlJc w:val="left"/>
      <w:pPr>
        <w:tabs>
          <w:tab w:val="num" w:pos="1440"/>
        </w:tabs>
        <w:ind w:left="1440" w:hanging="360"/>
      </w:pPr>
      <w:rPr>
        <w:rFonts w:ascii="Courier New" w:hAnsi="Courier New" w:hint="default"/>
      </w:rPr>
    </w:lvl>
    <w:lvl w:ilvl="2" w:tplc="CD968AD2" w:tentative="1">
      <w:start w:val="1"/>
      <w:numFmt w:val="bullet"/>
      <w:lvlText w:val="o"/>
      <w:lvlJc w:val="left"/>
      <w:pPr>
        <w:tabs>
          <w:tab w:val="num" w:pos="2160"/>
        </w:tabs>
        <w:ind w:left="2160" w:hanging="360"/>
      </w:pPr>
      <w:rPr>
        <w:rFonts w:ascii="Courier New" w:hAnsi="Courier New" w:hint="default"/>
      </w:rPr>
    </w:lvl>
    <w:lvl w:ilvl="3" w:tplc="0406B200" w:tentative="1">
      <w:start w:val="1"/>
      <w:numFmt w:val="bullet"/>
      <w:lvlText w:val="o"/>
      <w:lvlJc w:val="left"/>
      <w:pPr>
        <w:tabs>
          <w:tab w:val="num" w:pos="2880"/>
        </w:tabs>
        <w:ind w:left="2880" w:hanging="360"/>
      </w:pPr>
      <w:rPr>
        <w:rFonts w:ascii="Courier New" w:hAnsi="Courier New" w:hint="default"/>
      </w:rPr>
    </w:lvl>
    <w:lvl w:ilvl="4" w:tplc="49AEFBB8" w:tentative="1">
      <w:start w:val="1"/>
      <w:numFmt w:val="bullet"/>
      <w:lvlText w:val="o"/>
      <w:lvlJc w:val="left"/>
      <w:pPr>
        <w:tabs>
          <w:tab w:val="num" w:pos="3600"/>
        </w:tabs>
        <w:ind w:left="3600" w:hanging="360"/>
      </w:pPr>
      <w:rPr>
        <w:rFonts w:ascii="Courier New" w:hAnsi="Courier New" w:hint="default"/>
      </w:rPr>
    </w:lvl>
    <w:lvl w:ilvl="5" w:tplc="8DF68FDA" w:tentative="1">
      <w:start w:val="1"/>
      <w:numFmt w:val="bullet"/>
      <w:lvlText w:val="o"/>
      <w:lvlJc w:val="left"/>
      <w:pPr>
        <w:tabs>
          <w:tab w:val="num" w:pos="4320"/>
        </w:tabs>
        <w:ind w:left="4320" w:hanging="360"/>
      </w:pPr>
      <w:rPr>
        <w:rFonts w:ascii="Courier New" w:hAnsi="Courier New" w:hint="default"/>
      </w:rPr>
    </w:lvl>
    <w:lvl w:ilvl="6" w:tplc="108ACB18" w:tentative="1">
      <w:start w:val="1"/>
      <w:numFmt w:val="bullet"/>
      <w:lvlText w:val="o"/>
      <w:lvlJc w:val="left"/>
      <w:pPr>
        <w:tabs>
          <w:tab w:val="num" w:pos="5040"/>
        </w:tabs>
        <w:ind w:left="5040" w:hanging="360"/>
      </w:pPr>
      <w:rPr>
        <w:rFonts w:ascii="Courier New" w:hAnsi="Courier New" w:hint="default"/>
      </w:rPr>
    </w:lvl>
    <w:lvl w:ilvl="7" w:tplc="F35CBEAE" w:tentative="1">
      <w:start w:val="1"/>
      <w:numFmt w:val="bullet"/>
      <w:lvlText w:val="o"/>
      <w:lvlJc w:val="left"/>
      <w:pPr>
        <w:tabs>
          <w:tab w:val="num" w:pos="5760"/>
        </w:tabs>
        <w:ind w:left="5760" w:hanging="360"/>
      </w:pPr>
      <w:rPr>
        <w:rFonts w:ascii="Courier New" w:hAnsi="Courier New" w:hint="default"/>
      </w:rPr>
    </w:lvl>
    <w:lvl w:ilvl="8" w:tplc="B106AB08" w:tentative="1">
      <w:start w:val="1"/>
      <w:numFmt w:val="bullet"/>
      <w:lvlText w:val="o"/>
      <w:lvlJc w:val="left"/>
      <w:pPr>
        <w:tabs>
          <w:tab w:val="num" w:pos="6480"/>
        </w:tabs>
        <w:ind w:left="6480" w:hanging="360"/>
      </w:pPr>
      <w:rPr>
        <w:rFonts w:ascii="Courier New" w:hAnsi="Courier New" w:hint="default"/>
      </w:rPr>
    </w:lvl>
  </w:abstractNum>
  <w:abstractNum w:abstractNumId="11" w15:restartNumberingAfterBreak="0">
    <w:nsid w:val="189E210C"/>
    <w:multiLevelType w:val="hybridMultilevel"/>
    <w:tmpl w:val="F8FA19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985407B"/>
    <w:multiLevelType w:val="hybridMultilevel"/>
    <w:tmpl w:val="E5326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BE37953"/>
    <w:multiLevelType w:val="multilevel"/>
    <w:tmpl w:val="4A74A9A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1BF258CF"/>
    <w:multiLevelType w:val="hybridMultilevel"/>
    <w:tmpl w:val="2990E592"/>
    <w:lvl w:ilvl="0" w:tplc="0809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CD13406"/>
    <w:multiLevelType w:val="hybridMultilevel"/>
    <w:tmpl w:val="A8AA0A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904385"/>
    <w:multiLevelType w:val="hybridMultilevel"/>
    <w:tmpl w:val="C1960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7F5C7D"/>
    <w:multiLevelType w:val="hybridMultilevel"/>
    <w:tmpl w:val="01B4D4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834023D"/>
    <w:multiLevelType w:val="hybridMultilevel"/>
    <w:tmpl w:val="1CE61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FF728B"/>
    <w:multiLevelType w:val="hybridMultilevel"/>
    <w:tmpl w:val="36246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154E7A"/>
    <w:multiLevelType w:val="hybridMultilevel"/>
    <w:tmpl w:val="EC9468E6"/>
    <w:lvl w:ilvl="0" w:tplc="A19C6BA4">
      <w:start w:val="1"/>
      <w:numFmt w:val="bullet"/>
      <w:lvlText w:val=""/>
      <w:lvlJc w:val="left"/>
      <w:pPr>
        <w:tabs>
          <w:tab w:val="num" w:pos="720"/>
        </w:tabs>
        <w:ind w:left="720" w:hanging="360"/>
      </w:pPr>
      <w:rPr>
        <w:rFonts w:ascii="Symbol" w:hAnsi="Symbol" w:hint="default"/>
      </w:rPr>
    </w:lvl>
    <w:lvl w:ilvl="1" w:tplc="03B48D22" w:tentative="1">
      <w:start w:val="1"/>
      <w:numFmt w:val="bullet"/>
      <w:lvlText w:val=""/>
      <w:lvlJc w:val="left"/>
      <w:pPr>
        <w:tabs>
          <w:tab w:val="num" w:pos="1440"/>
        </w:tabs>
        <w:ind w:left="1440" w:hanging="360"/>
      </w:pPr>
      <w:rPr>
        <w:rFonts w:ascii="Symbol" w:hAnsi="Symbol" w:hint="default"/>
      </w:rPr>
    </w:lvl>
    <w:lvl w:ilvl="2" w:tplc="E3AE3096" w:tentative="1">
      <w:start w:val="1"/>
      <w:numFmt w:val="bullet"/>
      <w:lvlText w:val=""/>
      <w:lvlJc w:val="left"/>
      <w:pPr>
        <w:tabs>
          <w:tab w:val="num" w:pos="2160"/>
        </w:tabs>
        <w:ind w:left="2160" w:hanging="360"/>
      </w:pPr>
      <w:rPr>
        <w:rFonts w:ascii="Symbol" w:hAnsi="Symbol" w:hint="default"/>
      </w:rPr>
    </w:lvl>
    <w:lvl w:ilvl="3" w:tplc="37CAA1A4" w:tentative="1">
      <w:start w:val="1"/>
      <w:numFmt w:val="bullet"/>
      <w:lvlText w:val=""/>
      <w:lvlJc w:val="left"/>
      <w:pPr>
        <w:tabs>
          <w:tab w:val="num" w:pos="2880"/>
        </w:tabs>
        <w:ind w:left="2880" w:hanging="360"/>
      </w:pPr>
      <w:rPr>
        <w:rFonts w:ascii="Symbol" w:hAnsi="Symbol" w:hint="default"/>
      </w:rPr>
    </w:lvl>
    <w:lvl w:ilvl="4" w:tplc="B2FC227C" w:tentative="1">
      <w:start w:val="1"/>
      <w:numFmt w:val="bullet"/>
      <w:lvlText w:val=""/>
      <w:lvlJc w:val="left"/>
      <w:pPr>
        <w:tabs>
          <w:tab w:val="num" w:pos="3600"/>
        </w:tabs>
        <w:ind w:left="3600" w:hanging="360"/>
      </w:pPr>
      <w:rPr>
        <w:rFonts w:ascii="Symbol" w:hAnsi="Symbol" w:hint="default"/>
      </w:rPr>
    </w:lvl>
    <w:lvl w:ilvl="5" w:tplc="3B20CD82" w:tentative="1">
      <w:start w:val="1"/>
      <w:numFmt w:val="bullet"/>
      <w:lvlText w:val=""/>
      <w:lvlJc w:val="left"/>
      <w:pPr>
        <w:tabs>
          <w:tab w:val="num" w:pos="4320"/>
        </w:tabs>
        <w:ind w:left="4320" w:hanging="360"/>
      </w:pPr>
      <w:rPr>
        <w:rFonts w:ascii="Symbol" w:hAnsi="Symbol" w:hint="default"/>
      </w:rPr>
    </w:lvl>
    <w:lvl w:ilvl="6" w:tplc="7AF0DF7E" w:tentative="1">
      <w:start w:val="1"/>
      <w:numFmt w:val="bullet"/>
      <w:lvlText w:val=""/>
      <w:lvlJc w:val="left"/>
      <w:pPr>
        <w:tabs>
          <w:tab w:val="num" w:pos="5040"/>
        </w:tabs>
        <w:ind w:left="5040" w:hanging="360"/>
      </w:pPr>
      <w:rPr>
        <w:rFonts w:ascii="Symbol" w:hAnsi="Symbol" w:hint="default"/>
      </w:rPr>
    </w:lvl>
    <w:lvl w:ilvl="7" w:tplc="717C1BE6" w:tentative="1">
      <w:start w:val="1"/>
      <w:numFmt w:val="bullet"/>
      <w:lvlText w:val=""/>
      <w:lvlJc w:val="left"/>
      <w:pPr>
        <w:tabs>
          <w:tab w:val="num" w:pos="5760"/>
        </w:tabs>
        <w:ind w:left="5760" w:hanging="360"/>
      </w:pPr>
      <w:rPr>
        <w:rFonts w:ascii="Symbol" w:hAnsi="Symbol" w:hint="default"/>
      </w:rPr>
    </w:lvl>
    <w:lvl w:ilvl="8" w:tplc="C5EA1BE2"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2B3842BA"/>
    <w:multiLevelType w:val="hybridMultilevel"/>
    <w:tmpl w:val="E0629A0C"/>
    <w:lvl w:ilvl="0" w:tplc="04090001">
      <w:start w:val="1"/>
      <w:numFmt w:val="bullet"/>
      <w:lvlText w:val=""/>
      <w:lvlJc w:val="left"/>
      <w:pPr>
        <w:ind w:left="705" w:hanging="360"/>
      </w:pPr>
      <w:rPr>
        <w:rFonts w:ascii="Symbol" w:hAnsi="Symbol" w:hint="default"/>
      </w:rPr>
    </w:lvl>
    <w:lvl w:ilvl="1" w:tplc="0C0A0003">
      <w:start w:val="1"/>
      <w:numFmt w:val="bullet"/>
      <w:lvlText w:val="o"/>
      <w:lvlJc w:val="left"/>
      <w:pPr>
        <w:ind w:left="1425" w:hanging="360"/>
      </w:pPr>
      <w:rPr>
        <w:rFonts w:ascii="Courier New" w:hAnsi="Courier New" w:cs="Courier New" w:hint="default"/>
      </w:rPr>
    </w:lvl>
    <w:lvl w:ilvl="2" w:tplc="0C0A0005">
      <w:start w:val="1"/>
      <w:numFmt w:val="bullet"/>
      <w:lvlText w:val=""/>
      <w:lvlJc w:val="left"/>
      <w:pPr>
        <w:ind w:left="2145" w:hanging="360"/>
      </w:pPr>
      <w:rPr>
        <w:rFonts w:ascii="Wingdings" w:hAnsi="Wingdings" w:hint="default"/>
      </w:rPr>
    </w:lvl>
    <w:lvl w:ilvl="3" w:tplc="0C0A0001">
      <w:start w:val="1"/>
      <w:numFmt w:val="bullet"/>
      <w:lvlText w:val=""/>
      <w:lvlJc w:val="left"/>
      <w:pPr>
        <w:ind w:left="2865" w:hanging="360"/>
      </w:pPr>
      <w:rPr>
        <w:rFonts w:ascii="Symbol" w:hAnsi="Symbol" w:hint="default"/>
      </w:rPr>
    </w:lvl>
    <w:lvl w:ilvl="4" w:tplc="0C0A0003">
      <w:start w:val="1"/>
      <w:numFmt w:val="bullet"/>
      <w:lvlText w:val="o"/>
      <w:lvlJc w:val="left"/>
      <w:pPr>
        <w:ind w:left="3585" w:hanging="360"/>
      </w:pPr>
      <w:rPr>
        <w:rFonts w:ascii="Courier New" w:hAnsi="Courier New" w:cs="Courier New" w:hint="default"/>
      </w:rPr>
    </w:lvl>
    <w:lvl w:ilvl="5" w:tplc="0C0A0005">
      <w:start w:val="1"/>
      <w:numFmt w:val="bullet"/>
      <w:lvlText w:val=""/>
      <w:lvlJc w:val="left"/>
      <w:pPr>
        <w:ind w:left="4305" w:hanging="360"/>
      </w:pPr>
      <w:rPr>
        <w:rFonts w:ascii="Wingdings" w:hAnsi="Wingdings" w:hint="default"/>
      </w:rPr>
    </w:lvl>
    <w:lvl w:ilvl="6" w:tplc="0C0A0001">
      <w:start w:val="1"/>
      <w:numFmt w:val="bullet"/>
      <w:lvlText w:val=""/>
      <w:lvlJc w:val="left"/>
      <w:pPr>
        <w:ind w:left="5025" w:hanging="360"/>
      </w:pPr>
      <w:rPr>
        <w:rFonts w:ascii="Symbol" w:hAnsi="Symbol" w:hint="default"/>
      </w:rPr>
    </w:lvl>
    <w:lvl w:ilvl="7" w:tplc="0C0A0003">
      <w:start w:val="1"/>
      <w:numFmt w:val="bullet"/>
      <w:lvlText w:val="o"/>
      <w:lvlJc w:val="left"/>
      <w:pPr>
        <w:ind w:left="5745" w:hanging="360"/>
      </w:pPr>
      <w:rPr>
        <w:rFonts w:ascii="Courier New" w:hAnsi="Courier New" w:cs="Courier New" w:hint="default"/>
      </w:rPr>
    </w:lvl>
    <w:lvl w:ilvl="8" w:tplc="0C0A0005">
      <w:start w:val="1"/>
      <w:numFmt w:val="bullet"/>
      <w:lvlText w:val=""/>
      <w:lvlJc w:val="left"/>
      <w:pPr>
        <w:ind w:left="6465" w:hanging="360"/>
      </w:pPr>
      <w:rPr>
        <w:rFonts w:ascii="Wingdings" w:hAnsi="Wingdings" w:hint="default"/>
      </w:rPr>
    </w:lvl>
  </w:abstractNum>
  <w:abstractNum w:abstractNumId="22" w15:restartNumberingAfterBreak="0">
    <w:nsid w:val="2DF25092"/>
    <w:multiLevelType w:val="hybridMultilevel"/>
    <w:tmpl w:val="EB6E7A62"/>
    <w:lvl w:ilvl="0" w:tplc="AFA03E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2EC46202"/>
    <w:multiLevelType w:val="hybridMultilevel"/>
    <w:tmpl w:val="66ECD29C"/>
    <w:lvl w:ilvl="0" w:tplc="12742D8A">
      <w:start w:val="3"/>
      <w:numFmt w:val="bullet"/>
      <w:lvlText w:val="-"/>
      <w:lvlJc w:val="left"/>
      <w:pPr>
        <w:ind w:left="720" w:hanging="360"/>
      </w:pPr>
      <w:rPr>
        <w:rFonts w:ascii="Cambria" w:eastAsia="Calibri"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3059071B"/>
    <w:multiLevelType w:val="hybridMultilevel"/>
    <w:tmpl w:val="92229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2844004"/>
    <w:multiLevelType w:val="hybridMultilevel"/>
    <w:tmpl w:val="0FFA5862"/>
    <w:lvl w:ilvl="0" w:tplc="626EA3D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56E7A80"/>
    <w:multiLevelType w:val="hybridMultilevel"/>
    <w:tmpl w:val="AE129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5D44FC5"/>
    <w:multiLevelType w:val="hybridMultilevel"/>
    <w:tmpl w:val="A192DB20"/>
    <w:lvl w:ilvl="0" w:tplc="9DBA763E">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74502AD"/>
    <w:multiLevelType w:val="hybridMultilevel"/>
    <w:tmpl w:val="C6C4EC6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78E7136"/>
    <w:multiLevelType w:val="hybridMultilevel"/>
    <w:tmpl w:val="503ECCB0"/>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2626E7B"/>
    <w:multiLevelType w:val="multilevel"/>
    <w:tmpl w:val="88DCC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B6567A"/>
    <w:multiLevelType w:val="hybridMultilevel"/>
    <w:tmpl w:val="B2AE5C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43EC6AAB"/>
    <w:multiLevelType w:val="multilevel"/>
    <w:tmpl w:val="F9F0F43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15:restartNumberingAfterBreak="0">
    <w:nsid w:val="450E680F"/>
    <w:multiLevelType w:val="hybridMultilevel"/>
    <w:tmpl w:val="B29EDA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5C85D22"/>
    <w:multiLevelType w:val="hybridMultilevel"/>
    <w:tmpl w:val="76B46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84426A4"/>
    <w:multiLevelType w:val="hybridMultilevel"/>
    <w:tmpl w:val="396AE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9700A23"/>
    <w:multiLevelType w:val="hybridMultilevel"/>
    <w:tmpl w:val="15BACD9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9A61A9A"/>
    <w:multiLevelType w:val="hybridMultilevel"/>
    <w:tmpl w:val="AAFE4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A4A3C53"/>
    <w:multiLevelType w:val="hybridMultilevel"/>
    <w:tmpl w:val="39282C3A"/>
    <w:lvl w:ilvl="0" w:tplc="904C1F1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AC94482"/>
    <w:multiLevelType w:val="hybridMultilevel"/>
    <w:tmpl w:val="022460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40" w15:restartNumberingAfterBreak="0">
    <w:nsid w:val="4B9E32F3"/>
    <w:multiLevelType w:val="hybridMultilevel"/>
    <w:tmpl w:val="C342541C"/>
    <w:lvl w:ilvl="0" w:tplc="08090001">
      <w:start w:val="1"/>
      <w:numFmt w:val="bullet"/>
      <w:lvlText w:val=""/>
      <w:lvlJc w:val="left"/>
      <w:pPr>
        <w:ind w:left="1440" w:hanging="360"/>
      </w:pPr>
      <w:rPr>
        <w:rFonts w:ascii="Symbol" w:hAnsi="Symbol" w:cs="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cs="Wingdings" w:hint="default"/>
      </w:rPr>
    </w:lvl>
    <w:lvl w:ilvl="3" w:tplc="08090001" w:tentative="1">
      <w:start w:val="1"/>
      <w:numFmt w:val="bullet"/>
      <w:lvlText w:val=""/>
      <w:lvlJc w:val="left"/>
      <w:pPr>
        <w:ind w:left="3600" w:hanging="360"/>
      </w:pPr>
      <w:rPr>
        <w:rFonts w:ascii="Symbol" w:hAnsi="Symbol" w:cs="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cs="Wingdings" w:hint="default"/>
      </w:rPr>
    </w:lvl>
    <w:lvl w:ilvl="6" w:tplc="08090001" w:tentative="1">
      <w:start w:val="1"/>
      <w:numFmt w:val="bullet"/>
      <w:lvlText w:val=""/>
      <w:lvlJc w:val="left"/>
      <w:pPr>
        <w:ind w:left="5760" w:hanging="360"/>
      </w:pPr>
      <w:rPr>
        <w:rFonts w:ascii="Symbol" w:hAnsi="Symbol" w:cs="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cs="Wingdings" w:hint="default"/>
      </w:rPr>
    </w:lvl>
  </w:abstractNum>
  <w:abstractNum w:abstractNumId="41" w15:restartNumberingAfterBreak="0">
    <w:nsid w:val="4BED7E73"/>
    <w:multiLevelType w:val="hybridMultilevel"/>
    <w:tmpl w:val="BE94C9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4F5C349B"/>
    <w:multiLevelType w:val="hybridMultilevel"/>
    <w:tmpl w:val="C09254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2B35D7"/>
    <w:multiLevelType w:val="hybridMultilevel"/>
    <w:tmpl w:val="599ABCFE"/>
    <w:lvl w:ilvl="0" w:tplc="2D66E78A">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1BB39A3"/>
    <w:multiLevelType w:val="hybridMultilevel"/>
    <w:tmpl w:val="CB6A41D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53081B3D"/>
    <w:multiLevelType w:val="hybridMultilevel"/>
    <w:tmpl w:val="61BE4FCC"/>
    <w:lvl w:ilvl="0" w:tplc="0409000F">
      <w:start w:val="1"/>
      <w:numFmt w:val="decimal"/>
      <w:lvlText w:val="%1."/>
      <w:lvlJc w:val="left"/>
      <w:pPr>
        <w:tabs>
          <w:tab w:val="num" w:pos="786"/>
        </w:tabs>
        <w:ind w:left="786" w:hanging="360"/>
      </w:p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6" w15:restartNumberingAfterBreak="0">
    <w:nsid w:val="537E55B7"/>
    <w:multiLevelType w:val="hybridMultilevel"/>
    <w:tmpl w:val="62CEDC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7603DE8"/>
    <w:multiLevelType w:val="hybridMultilevel"/>
    <w:tmpl w:val="F0A0E3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8D234F5"/>
    <w:multiLevelType w:val="hybridMultilevel"/>
    <w:tmpl w:val="91D87BD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A00680D"/>
    <w:multiLevelType w:val="hybridMultilevel"/>
    <w:tmpl w:val="458428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C16754A"/>
    <w:multiLevelType w:val="hybridMultilevel"/>
    <w:tmpl w:val="C9EA9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D8E63AE"/>
    <w:multiLevelType w:val="multilevel"/>
    <w:tmpl w:val="AB9618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01A1874"/>
    <w:multiLevelType w:val="hybridMultilevel"/>
    <w:tmpl w:val="BD1C5A3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416771E"/>
    <w:multiLevelType w:val="hybridMultilevel"/>
    <w:tmpl w:val="28BAE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4D874CF"/>
    <w:multiLevelType w:val="hybridMultilevel"/>
    <w:tmpl w:val="F6C46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5B648E2"/>
    <w:multiLevelType w:val="hybridMultilevel"/>
    <w:tmpl w:val="8F1CCDD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6" w15:restartNumberingAfterBreak="0">
    <w:nsid w:val="69152934"/>
    <w:multiLevelType w:val="hybridMultilevel"/>
    <w:tmpl w:val="E182D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B0B6593"/>
    <w:multiLevelType w:val="hybridMultilevel"/>
    <w:tmpl w:val="041CF536"/>
    <w:lvl w:ilvl="0" w:tplc="868E5B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CFD0256"/>
    <w:multiLevelType w:val="hybridMultilevel"/>
    <w:tmpl w:val="9ABCAD2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F5D121A"/>
    <w:multiLevelType w:val="hybridMultilevel"/>
    <w:tmpl w:val="6BDAF126"/>
    <w:lvl w:ilvl="0" w:tplc="0682F764">
      <w:start w:val="1"/>
      <w:numFmt w:val="bullet"/>
      <w:lvlText w:val=""/>
      <w:lvlJc w:val="left"/>
      <w:pPr>
        <w:tabs>
          <w:tab w:val="num" w:pos="720"/>
        </w:tabs>
        <w:ind w:left="720" w:hanging="360"/>
      </w:pPr>
      <w:rPr>
        <w:rFonts w:ascii="Symbol" w:hAnsi="Symbol" w:hint="default"/>
      </w:rPr>
    </w:lvl>
    <w:lvl w:ilvl="1" w:tplc="5C70CE84" w:tentative="1">
      <w:start w:val="1"/>
      <w:numFmt w:val="bullet"/>
      <w:lvlText w:val=""/>
      <w:lvlJc w:val="left"/>
      <w:pPr>
        <w:tabs>
          <w:tab w:val="num" w:pos="1440"/>
        </w:tabs>
        <w:ind w:left="1440" w:hanging="360"/>
      </w:pPr>
      <w:rPr>
        <w:rFonts w:ascii="Symbol" w:hAnsi="Symbol" w:hint="default"/>
      </w:rPr>
    </w:lvl>
    <w:lvl w:ilvl="2" w:tplc="53F2E67C" w:tentative="1">
      <w:start w:val="1"/>
      <w:numFmt w:val="bullet"/>
      <w:lvlText w:val=""/>
      <w:lvlJc w:val="left"/>
      <w:pPr>
        <w:tabs>
          <w:tab w:val="num" w:pos="2160"/>
        </w:tabs>
        <w:ind w:left="2160" w:hanging="360"/>
      </w:pPr>
      <w:rPr>
        <w:rFonts w:ascii="Symbol" w:hAnsi="Symbol" w:hint="default"/>
      </w:rPr>
    </w:lvl>
    <w:lvl w:ilvl="3" w:tplc="D652B0B4" w:tentative="1">
      <w:start w:val="1"/>
      <w:numFmt w:val="bullet"/>
      <w:lvlText w:val=""/>
      <w:lvlJc w:val="left"/>
      <w:pPr>
        <w:tabs>
          <w:tab w:val="num" w:pos="2880"/>
        </w:tabs>
        <w:ind w:left="2880" w:hanging="360"/>
      </w:pPr>
      <w:rPr>
        <w:rFonts w:ascii="Symbol" w:hAnsi="Symbol" w:hint="default"/>
      </w:rPr>
    </w:lvl>
    <w:lvl w:ilvl="4" w:tplc="6CD468B0" w:tentative="1">
      <w:start w:val="1"/>
      <w:numFmt w:val="bullet"/>
      <w:lvlText w:val=""/>
      <w:lvlJc w:val="left"/>
      <w:pPr>
        <w:tabs>
          <w:tab w:val="num" w:pos="3600"/>
        </w:tabs>
        <w:ind w:left="3600" w:hanging="360"/>
      </w:pPr>
      <w:rPr>
        <w:rFonts w:ascii="Symbol" w:hAnsi="Symbol" w:hint="default"/>
      </w:rPr>
    </w:lvl>
    <w:lvl w:ilvl="5" w:tplc="C7242DC6" w:tentative="1">
      <w:start w:val="1"/>
      <w:numFmt w:val="bullet"/>
      <w:lvlText w:val=""/>
      <w:lvlJc w:val="left"/>
      <w:pPr>
        <w:tabs>
          <w:tab w:val="num" w:pos="4320"/>
        </w:tabs>
        <w:ind w:left="4320" w:hanging="360"/>
      </w:pPr>
      <w:rPr>
        <w:rFonts w:ascii="Symbol" w:hAnsi="Symbol" w:hint="default"/>
      </w:rPr>
    </w:lvl>
    <w:lvl w:ilvl="6" w:tplc="5C94067E" w:tentative="1">
      <w:start w:val="1"/>
      <w:numFmt w:val="bullet"/>
      <w:lvlText w:val=""/>
      <w:lvlJc w:val="left"/>
      <w:pPr>
        <w:tabs>
          <w:tab w:val="num" w:pos="5040"/>
        </w:tabs>
        <w:ind w:left="5040" w:hanging="360"/>
      </w:pPr>
      <w:rPr>
        <w:rFonts w:ascii="Symbol" w:hAnsi="Symbol" w:hint="default"/>
      </w:rPr>
    </w:lvl>
    <w:lvl w:ilvl="7" w:tplc="8F86AADA" w:tentative="1">
      <w:start w:val="1"/>
      <w:numFmt w:val="bullet"/>
      <w:lvlText w:val=""/>
      <w:lvlJc w:val="left"/>
      <w:pPr>
        <w:tabs>
          <w:tab w:val="num" w:pos="5760"/>
        </w:tabs>
        <w:ind w:left="5760" w:hanging="360"/>
      </w:pPr>
      <w:rPr>
        <w:rFonts w:ascii="Symbol" w:hAnsi="Symbol" w:hint="default"/>
      </w:rPr>
    </w:lvl>
    <w:lvl w:ilvl="8" w:tplc="EC46FACC" w:tentative="1">
      <w:start w:val="1"/>
      <w:numFmt w:val="bullet"/>
      <w:lvlText w:val=""/>
      <w:lvlJc w:val="left"/>
      <w:pPr>
        <w:tabs>
          <w:tab w:val="num" w:pos="6480"/>
        </w:tabs>
        <w:ind w:left="6480" w:hanging="360"/>
      </w:pPr>
      <w:rPr>
        <w:rFonts w:ascii="Symbol" w:hAnsi="Symbol" w:hint="default"/>
      </w:rPr>
    </w:lvl>
  </w:abstractNum>
  <w:abstractNum w:abstractNumId="60" w15:restartNumberingAfterBreak="0">
    <w:nsid w:val="791625FF"/>
    <w:multiLevelType w:val="hybridMultilevel"/>
    <w:tmpl w:val="836E8D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A8E5BB8"/>
    <w:multiLevelType w:val="multilevel"/>
    <w:tmpl w:val="FC0E4C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B8167DF"/>
    <w:multiLevelType w:val="multilevel"/>
    <w:tmpl w:val="82800AA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cstheme="minorBidi" w:hint="default"/>
        <w:b/>
        <w:i/>
      </w:rPr>
    </w:lvl>
    <w:lvl w:ilvl="2">
      <w:start w:val="1"/>
      <w:numFmt w:val="decimal"/>
      <w:isLgl/>
      <w:lvlText w:val="%1.%2.%3."/>
      <w:lvlJc w:val="left"/>
      <w:pPr>
        <w:ind w:left="1080" w:hanging="720"/>
      </w:pPr>
      <w:rPr>
        <w:rFonts w:cstheme="minorBidi" w:hint="default"/>
        <w:b/>
        <w:i/>
      </w:rPr>
    </w:lvl>
    <w:lvl w:ilvl="3">
      <w:start w:val="1"/>
      <w:numFmt w:val="decimal"/>
      <w:isLgl/>
      <w:lvlText w:val="%1.%2.%3.%4."/>
      <w:lvlJc w:val="left"/>
      <w:pPr>
        <w:ind w:left="1080" w:hanging="720"/>
      </w:pPr>
      <w:rPr>
        <w:rFonts w:cstheme="minorBidi" w:hint="default"/>
        <w:b/>
        <w:i/>
      </w:rPr>
    </w:lvl>
    <w:lvl w:ilvl="4">
      <w:start w:val="1"/>
      <w:numFmt w:val="decimal"/>
      <w:isLgl/>
      <w:lvlText w:val="%1.%2.%3.%4.%5."/>
      <w:lvlJc w:val="left"/>
      <w:pPr>
        <w:ind w:left="1440" w:hanging="1080"/>
      </w:pPr>
      <w:rPr>
        <w:rFonts w:cstheme="minorBidi" w:hint="default"/>
        <w:b/>
        <w:i/>
      </w:rPr>
    </w:lvl>
    <w:lvl w:ilvl="5">
      <w:start w:val="1"/>
      <w:numFmt w:val="decimal"/>
      <w:isLgl/>
      <w:lvlText w:val="%1.%2.%3.%4.%5.%6."/>
      <w:lvlJc w:val="left"/>
      <w:pPr>
        <w:ind w:left="1440" w:hanging="1080"/>
      </w:pPr>
      <w:rPr>
        <w:rFonts w:cstheme="minorBidi" w:hint="default"/>
        <w:b/>
        <w:i/>
      </w:rPr>
    </w:lvl>
    <w:lvl w:ilvl="6">
      <w:start w:val="1"/>
      <w:numFmt w:val="decimal"/>
      <w:isLgl/>
      <w:lvlText w:val="%1.%2.%3.%4.%5.%6.%7."/>
      <w:lvlJc w:val="left"/>
      <w:pPr>
        <w:ind w:left="1800" w:hanging="1440"/>
      </w:pPr>
      <w:rPr>
        <w:rFonts w:cstheme="minorBidi" w:hint="default"/>
        <w:b/>
        <w:i/>
      </w:rPr>
    </w:lvl>
    <w:lvl w:ilvl="7">
      <w:start w:val="1"/>
      <w:numFmt w:val="decimal"/>
      <w:isLgl/>
      <w:lvlText w:val="%1.%2.%3.%4.%5.%6.%7.%8."/>
      <w:lvlJc w:val="left"/>
      <w:pPr>
        <w:ind w:left="1800" w:hanging="1440"/>
      </w:pPr>
      <w:rPr>
        <w:rFonts w:cstheme="minorBidi" w:hint="default"/>
        <w:b/>
        <w:i/>
      </w:rPr>
    </w:lvl>
    <w:lvl w:ilvl="8">
      <w:start w:val="1"/>
      <w:numFmt w:val="decimal"/>
      <w:isLgl/>
      <w:lvlText w:val="%1.%2.%3.%4.%5.%6.%7.%8.%9."/>
      <w:lvlJc w:val="left"/>
      <w:pPr>
        <w:ind w:left="2160" w:hanging="1800"/>
      </w:pPr>
      <w:rPr>
        <w:rFonts w:cstheme="minorBidi" w:hint="default"/>
        <w:b/>
        <w:i/>
      </w:rPr>
    </w:lvl>
  </w:abstractNum>
  <w:abstractNum w:abstractNumId="63" w15:restartNumberingAfterBreak="0">
    <w:nsid w:val="7C424CE4"/>
    <w:multiLevelType w:val="hybridMultilevel"/>
    <w:tmpl w:val="3416A5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7E543B75"/>
    <w:multiLevelType w:val="hybridMultilevel"/>
    <w:tmpl w:val="A4389A62"/>
    <w:lvl w:ilvl="0" w:tplc="590EBEE4">
      <w:numFmt w:val="bullet"/>
      <w:lvlText w:val="-"/>
      <w:lvlJc w:val="left"/>
      <w:pPr>
        <w:ind w:left="720" w:hanging="360"/>
      </w:pPr>
      <w:rPr>
        <w:rFonts w:ascii="Cambria" w:eastAsiaTheme="minorHAnsi" w:hAnsi="Cambria"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F9B2D1E"/>
    <w:multiLevelType w:val="hybridMultilevel"/>
    <w:tmpl w:val="20C23E8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2"/>
  </w:num>
  <w:num w:numId="2">
    <w:abstractNumId w:val="21"/>
  </w:num>
  <w:num w:numId="3">
    <w:abstractNumId w:val="31"/>
  </w:num>
  <w:num w:numId="4">
    <w:abstractNumId w:val="32"/>
  </w:num>
  <w:num w:numId="5">
    <w:abstractNumId w:val="13"/>
  </w:num>
  <w:num w:numId="6">
    <w:abstractNumId w:val="41"/>
  </w:num>
  <w:num w:numId="7">
    <w:abstractNumId w:val="38"/>
  </w:num>
  <w:num w:numId="8">
    <w:abstractNumId w:val="6"/>
  </w:num>
  <w:num w:numId="9">
    <w:abstractNumId w:val="57"/>
  </w:num>
  <w:num w:numId="10">
    <w:abstractNumId w:val="22"/>
  </w:num>
  <w:num w:numId="11">
    <w:abstractNumId w:val="63"/>
  </w:num>
  <w:num w:numId="12">
    <w:abstractNumId w:val="28"/>
  </w:num>
  <w:num w:numId="13">
    <w:abstractNumId w:val="55"/>
  </w:num>
  <w:num w:numId="14">
    <w:abstractNumId w:val="50"/>
  </w:num>
  <w:num w:numId="15">
    <w:abstractNumId w:val="11"/>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46"/>
  </w:num>
  <w:num w:numId="19">
    <w:abstractNumId w:val="49"/>
  </w:num>
  <w:num w:numId="20">
    <w:abstractNumId w:val="16"/>
  </w:num>
  <w:num w:numId="21">
    <w:abstractNumId w:val="2"/>
  </w:num>
  <w:num w:numId="22">
    <w:abstractNumId w:val="61"/>
  </w:num>
  <w:num w:numId="23">
    <w:abstractNumId w:val="30"/>
  </w:num>
  <w:num w:numId="24">
    <w:abstractNumId w:val="47"/>
  </w:num>
  <w:num w:numId="25">
    <w:abstractNumId w:val="33"/>
  </w:num>
  <w:num w:numId="26">
    <w:abstractNumId w:val="25"/>
  </w:num>
  <w:num w:numId="27">
    <w:abstractNumId w:val="9"/>
  </w:num>
  <w:num w:numId="28">
    <w:abstractNumId w:val="4"/>
  </w:num>
  <w:num w:numId="29">
    <w:abstractNumId w:val="35"/>
  </w:num>
  <w:num w:numId="30">
    <w:abstractNumId w:val="5"/>
  </w:num>
  <w:num w:numId="31">
    <w:abstractNumId w:val="0"/>
  </w:num>
  <w:num w:numId="32">
    <w:abstractNumId w:val="48"/>
  </w:num>
  <w:num w:numId="33">
    <w:abstractNumId w:val="12"/>
  </w:num>
  <w:num w:numId="34">
    <w:abstractNumId w:val="52"/>
  </w:num>
  <w:num w:numId="35">
    <w:abstractNumId w:val="34"/>
  </w:num>
  <w:num w:numId="36">
    <w:abstractNumId w:val="60"/>
  </w:num>
  <w:num w:numId="37">
    <w:abstractNumId w:val="58"/>
  </w:num>
  <w:num w:numId="38">
    <w:abstractNumId w:val="51"/>
  </w:num>
  <w:num w:numId="39">
    <w:abstractNumId w:val="15"/>
  </w:num>
  <w:num w:numId="40">
    <w:abstractNumId w:val="65"/>
  </w:num>
  <w:num w:numId="41">
    <w:abstractNumId w:val="64"/>
  </w:num>
  <w:num w:numId="42">
    <w:abstractNumId w:val="40"/>
  </w:num>
  <w:num w:numId="43">
    <w:abstractNumId w:val="39"/>
  </w:num>
  <w:num w:numId="44">
    <w:abstractNumId w:val="20"/>
  </w:num>
  <w:num w:numId="45">
    <w:abstractNumId w:val="59"/>
  </w:num>
  <w:num w:numId="46">
    <w:abstractNumId w:val="10"/>
  </w:num>
  <w:num w:numId="47">
    <w:abstractNumId w:val="54"/>
  </w:num>
  <w:num w:numId="48">
    <w:abstractNumId w:val="17"/>
  </w:num>
  <w:num w:numId="49">
    <w:abstractNumId w:val="36"/>
  </w:num>
  <w:num w:numId="50">
    <w:abstractNumId w:val="14"/>
  </w:num>
  <w:num w:numId="51">
    <w:abstractNumId w:val="23"/>
  </w:num>
  <w:num w:numId="52">
    <w:abstractNumId w:val="18"/>
  </w:num>
  <w:num w:numId="53">
    <w:abstractNumId w:val="1"/>
  </w:num>
  <w:num w:numId="54">
    <w:abstractNumId w:val="44"/>
  </w:num>
  <w:num w:numId="55">
    <w:abstractNumId w:val="19"/>
  </w:num>
  <w:num w:numId="56">
    <w:abstractNumId w:val="42"/>
  </w:num>
  <w:num w:numId="57">
    <w:abstractNumId w:val="56"/>
  </w:num>
  <w:num w:numId="58">
    <w:abstractNumId w:val="8"/>
  </w:num>
  <w:num w:numId="59">
    <w:abstractNumId w:val="43"/>
  </w:num>
  <w:num w:numId="60">
    <w:abstractNumId w:val="27"/>
  </w:num>
  <w:num w:numId="61">
    <w:abstractNumId w:val="3"/>
  </w:num>
  <w:num w:numId="62">
    <w:abstractNumId w:val="7"/>
  </w:num>
  <w:num w:numId="63">
    <w:abstractNumId w:val="53"/>
  </w:num>
  <w:num w:numId="64">
    <w:abstractNumId w:val="29"/>
  </w:num>
  <w:num w:numId="65">
    <w:abstractNumId w:val="24"/>
  </w:num>
  <w:num w:numId="66">
    <w:abstractNumId w:val="2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651"/>
    <w:rsid w:val="0000031C"/>
    <w:rsid w:val="00000849"/>
    <w:rsid w:val="000016EB"/>
    <w:rsid w:val="00001FBD"/>
    <w:rsid w:val="000021F7"/>
    <w:rsid w:val="00004A22"/>
    <w:rsid w:val="0000511A"/>
    <w:rsid w:val="00006612"/>
    <w:rsid w:val="00006DF8"/>
    <w:rsid w:val="000070AC"/>
    <w:rsid w:val="0000794A"/>
    <w:rsid w:val="00007A4F"/>
    <w:rsid w:val="0001059E"/>
    <w:rsid w:val="00011DC9"/>
    <w:rsid w:val="000123B9"/>
    <w:rsid w:val="00012FFD"/>
    <w:rsid w:val="0001330E"/>
    <w:rsid w:val="00013DD4"/>
    <w:rsid w:val="0001416F"/>
    <w:rsid w:val="00014FB2"/>
    <w:rsid w:val="00015047"/>
    <w:rsid w:val="00015C19"/>
    <w:rsid w:val="000163ED"/>
    <w:rsid w:val="00017629"/>
    <w:rsid w:val="00017A86"/>
    <w:rsid w:val="000218C6"/>
    <w:rsid w:val="0002244B"/>
    <w:rsid w:val="000228FA"/>
    <w:rsid w:val="000235AF"/>
    <w:rsid w:val="00023B19"/>
    <w:rsid w:val="0002549C"/>
    <w:rsid w:val="0002632D"/>
    <w:rsid w:val="0003144F"/>
    <w:rsid w:val="00031844"/>
    <w:rsid w:val="00031FB8"/>
    <w:rsid w:val="00035787"/>
    <w:rsid w:val="00035D93"/>
    <w:rsid w:val="00035E3F"/>
    <w:rsid w:val="00037012"/>
    <w:rsid w:val="00037707"/>
    <w:rsid w:val="00037B12"/>
    <w:rsid w:val="0004058D"/>
    <w:rsid w:val="000411E6"/>
    <w:rsid w:val="000413A1"/>
    <w:rsid w:val="00041429"/>
    <w:rsid w:val="0004155D"/>
    <w:rsid w:val="000429CA"/>
    <w:rsid w:val="0004465F"/>
    <w:rsid w:val="000451EE"/>
    <w:rsid w:val="000452C6"/>
    <w:rsid w:val="0004623B"/>
    <w:rsid w:val="0004724A"/>
    <w:rsid w:val="00053C68"/>
    <w:rsid w:val="00053D55"/>
    <w:rsid w:val="000566EB"/>
    <w:rsid w:val="00056C89"/>
    <w:rsid w:val="00057D1F"/>
    <w:rsid w:val="00060897"/>
    <w:rsid w:val="0006168B"/>
    <w:rsid w:val="00061811"/>
    <w:rsid w:val="00063041"/>
    <w:rsid w:val="00063379"/>
    <w:rsid w:val="0006339A"/>
    <w:rsid w:val="00064C31"/>
    <w:rsid w:val="00065A78"/>
    <w:rsid w:val="00065C3E"/>
    <w:rsid w:val="00067E69"/>
    <w:rsid w:val="000711F5"/>
    <w:rsid w:val="00072415"/>
    <w:rsid w:val="0007287D"/>
    <w:rsid w:val="00072E9C"/>
    <w:rsid w:val="00074B12"/>
    <w:rsid w:val="00074C37"/>
    <w:rsid w:val="000764B3"/>
    <w:rsid w:val="00076B71"/>
    <w:rsid w:val="00080801"/>
    <w:rsid w:val="00080BDA"/>
    <w:rsid w:val="000811CE"/>
    <w:rsid w:val="00082174"/>
    <w:rsid w:val="00083351"/>
    <w:rsid w:val="0008349C"/>
    <w:rsid w:val="00083884"/>
    <w:rsid w:val="00084510"/>
    <w:rsid w:val="00084745"/>
    <w:rsid w:val="00084AD8"/>
    <w:rsid w:val="0008563D"/>
    <w:rsid w:val="00086032"/>
    <w:rsid w:val="000862BF"/>
    <w:rsid w:val="00087D92"/>
    <w:rsid w:val="00090BBB"/>
    <w:rsid w:val="00091AEF"/>
    <w:rsid w:val="000920A3"/>
    <w:rsid w:val="00092DE9"/>
    <w:rsid w:val="0009348B"/>
    <w:rsid w:val="00096B25"/>
    <w:rsid w:val="000972BE"/>
    <w:rsid w:val="000975C3"/>
    <w:rsid w:val="000A0046"/>
    <w:rsid w:val="000A1828"/>
    <w:rsid w:val="000A350B"/>
    <w:rsid w:val="000A4FD7"/>
    <w:rsid w:val="000A54FC"/>
    <w:rsid w:val="000A64D7"/>
    <w:rsid w:val="000A74A8"/>
    <w:rsid w:val="000B0777"/>
    <w:rsid w:val="000B11C7"/>
    <w:rsid w:val="000B1542"/>
    <w:rsid w:val="000B1755"/>
    <w:rsid w:val="000B1F1E"/>
    <w:rsid w:val="000B24F7"/>
    <w:rsid w:val="000B3237"/>
    <w:rsid w:val="000B3EEF"/>
    <w:rsid w:val="000B55E3"/>
    <w:rsid w:val="000B6354"/>
    <w:rsid w:val="000B6B93"/>
    <w:rsid w:val="000B7243"/>
    <w:rsid w:val="000C00D7"/>
    <w:rsid w:val="000C1143"/>
    <w:rsid w:val="000C21F2"/>
    <w:rsid w:val="000C224F"/>
    <w:rsid w:val="000C29F7"/>
    <w:rsid w:val="000C3D83"/>
    <w:rsid w:val="000C453F"/>
    <w:rsid w:val="000C4F7D"/>
    <w:rsid w:val="000C5EDB"/>
    <w:rsid w:val="000C6802"/>
    <w:rsid w:val="000C7EFE"/>
    <w:rsid w:val="000D0CE0"/>
    <w:rsid w:val="000D14D1"/>
    <w:rsid w:val="000D2013"/>
    <w:rsid w:val="000D3232"/>
    <w:rsid w:val="000D3265"/>
    <w:rsid w:val="000D36CC"/>
    <w:rsid w:val="000D3751"/>
    <w:rsid w:val="000D48C8"/>
    <w:rsid w:val="000D4F3D"/>
    <w:rsid w:val="000D6866"/>
    <w:rsid w:val="000D6A6C"/>
    <w:rsid w:val="000D6D53"/>
    <w:rsid w:val="000D74F6"/>
    <w:rsid w:val="000D7808"/>
    <w:rsid w:val="000E0650"/>
    <w:rsid w:val="000E0A8C"/>
    <w:rsid w:val="000E0EC0"/>
    <w:rsid w:val="000E1289"/>
    <w:rsid w:val="000E28E4"/>
    <w:rsid w:val="000E2DC5"/>
    <w:rsid w:val="000E40B2"/>
    <w:rsid w:val="000E40B9"/>
    <w:rsid w:val="000E45AD"/>
    <w:rsid w:val="000E4644"/>
    <w:rsid w:val="000E4902"/>
    <w:rsid w:val="000E50B6"/>
    <w:rsid w:val="000E6205"/>
    <w:rsid w:val="000E64E5"/>
    <w:rsid w:val="000F07C5"/>
    <w:rsid w:val="000F1461"/>
    <w:rsid w:val="000F168C"/>
    <w:rsid w:val="000F2C31"/>
    <w:rsid w:val="000F2E2B"/>
    <w:rsid w:val="000F3456"/>
    <w:rsid w:val="000F47C2"/>
    <w:rsid w:val="000F787F"/>
    <w:rsid w:val="00100292"/>
    <w:rsid w:val="00101527"/>
    <w:rsid w:val="00102453"/>
    <w:rsid w:val="00102689"/>
    <w:rsid w:val="00103FA6"/>
    <w:rsid w:val="001059A4"/>
    <w:rsid w:val="001129E6"/>
    <w:rsid w:val="001137CB"/>
    <w:rsid w:val="00117D64"/>
    <w:rsid w:val="0012295D"/>
    <w:rsid w:val="00123609"/>
    <w:rsid w:val="00123A23"/>
    <w:rsid w:val="00126BFC"/>
    <w:rsid w:val="001302A3"/>
    <w:rsid w:val="001312E0"/>
    <w:rsid w:val="00132F86"/>
    <w:rsid w:val="00133278"/>
    <w:rsid w:val="00133341"/>
    <w:rsid w:val="00134A52"/>
    <w:rsid w:val="00137B5F"/>
    <w:rsid w:val="001400C2"/>
    <w:rsid w:val="00140174"/>
    <w:rsid w:val="00140A30"/>
    <w:rsid w:val="00140C68"/>
    <w:rsid w:val="00140FB0"/>
    <w:rsid w:val="0014155C"/>
    <w:rsid w:val="00141AB2"/>
    <w:rsid w:val="00141D47"/>
    <w:rsid w:val="00142389"/>
    <w:rsid w:val="001425ED"/>
    <w:rsid w:val="00142B95"/>
    <w:rsid w:val="00142D26"/>
    <w:rsid w:val="00143CDA"/>
    <w:rsid w:val="00144CEC"/>
    <w:rsid w:val="00146030"/>
    <w:rsid w:val="00146890"/>
    <w:rsid w:val="00147DD7"/>
    <w:rsid w:val="00150149"/>
    <w:rsid w:val="00150FEE"/>
    <w:rsid w:val="00152BFF"/>
    <w:rsid w:val="00153EDB"/>
    <w:rsid w:val="00154FD9"/>
    <w:rsid w:val="00155DD1"/>
    <w:rsid w:val="001565E0"/>
    <w:rsid w:val="001568ED"/>
    <w:rsid w:val="001569E2"/>
    <w:rsid w:val="00157198"/>
    <w:rsid w:val="001576BB"/>
    <w:rsid w:val="0016070F"/>
    <w:rsid w:val="001611D8"/>
    <w:rsid w:val="001621D1"/>
    <w:rsid w:val="001627C5"/>
    <w:rsid w:val="001631C1"/>
    <w:rsid w:val="00163877"/>
    <w:rsid w:val="00163D19"/>
    <w:rsid w:val="00163E45"/>
    <w:rsid w:val="00164825"/>
    <w:rsid w:val="00164F59"/>
    <w:rsid w:val="001653F9"/>
    <w:rsid w:val="001665C2"/>
    <w:rsid w:val="001667C3"/>
    <w:rsid w:val="0016683E"/>
    <w:rsid w:val="00166AC1"/>
    <w:rsid w:val="00166C98"/>
    <w:rsid w:val="001675E9"/>
    <w:rsid w:val="001679E1"/>
    <w:rsid w:val="00167A83"/>
    <w:rsid w:val="00170344"/>
    <w:rsid w:val="00171277"/>
    <w:rsid w:val="00172296"/>
    <w:rsid w:val="00172845"/>
    <w:rsid w:val="0017299A"/>
    <w:rsid w:val="001733CF"/>
    <w:rsid w:val="00173DF7"/>
    <w:rsid w:val="00174602"/>
    <w:rsid w:val="00175062"/>
    <w:rsid w:val="001754EF"/>
    <w:rsid w:val="001767B2"/>
    <w:rsid w:val="00176D31"/>
    <w:rsid w:val="00177B1F"/>
    <w:rsid w:val="001803BB"/>
    <w:rsid w:val="001827D4"/>
    <w:rsid w:val="0018310F"/>
    <w:rsid w:val="00187288"/>
    <w:rsid w:val="00187E24"/>
    <w:rsid w:val="0019055E"/>
    <w:rsid w:val="001912F2"/>
    <w:rsid w:val="001925E2"/>
    <w:rsid w:val="00192F5D"/>
    <w:rsid w:val="0019359E"/>
    <w:rsid w:val="00193B19"/>
    <w:rsid w:val="00194D11"/>
    <w:rsid w:val="00194F36"/>
    <w:rsid w:val="00194FFE"/>
    <w:rsid w:val="00195492"/>
    <w:rsid w:val="001955DE"/>
    <w:rsid w:val="00195B29"/>
    <w:rsid w:val="00197041"/>
    <w:rsid w:val="001972F2"/>
    <w:rsid w:val="00197460"/>
    <w:rsid w:val="001A4019"/>
    <w:rsid w:val="001A7008"/>
    <w:rsid w:val="001A71F6"/>
    <w:rsid w:val="001A72DC"/>
    <w:rsid w:val="001A7C27"/>
    <w:rsid w:val="001A7E96"/>
    <w:rsid w:val="001B18F2"/>
    <w:rsid w:val="001B49D0"/>
    <w:rsid w:val="001B76FA"/>
    <w:rsid w:val="001B796D"/>
    <w:rsid w:val="001C02A8"/>
    <w:rsid w:val="001C1959"/>
    <w:rsid w:val="001C3C7A"/>
    <w:rsid w:val="001C49AB"/>
    <w:rsid w:val="001C5FEF"/>
    <w:rsid w:val="001C6218"/>
    <w:rsid w:val="001C6513"/>
    <w:rsid w:val="001D1C74"/>
    <w:rsid w:val="001D1F14"/>
    <w:rsid w:val="001D25F3"/>
    <w:rsid w:val="001D285C"/>
    <w:rsid w:val="001D3DAB"/>
    <w:rsid w:val="001D40DB"/>
    <w:rsid w:val="001E074D"/>
    <w:rsid w:val="001E0C63"/>
    <w:rsid w:val="001E216E"/>
    <w:rsid w:val="001E21A9"/>
    <w:rsid w:val="001E38C4"/>
    <w:rsid w:val="001E5217"/>
    <w:rsid w:val="001E60D5"/>
    <w:rsid w:val="001E62AC"/>
    <w:rsid w:val="001E6675"/>
    <w:rsid w:val="001E6753"/>
    <w:rsid w:val="001E7096"/>
    <w:rsid w:val="001E79D7"/>
    <w:rsid w:val="001F1F9F"/>
    <w:rsid w:val="001F2C9C"/>
    <w:rsid w:val="001F394A"/>
    <w:rsid w:val="001F3D10"/>
    <w:rsid w:val="001F6F0F"/>
    <w:rsid w:val="001F77DF"/>
    <w:rsid w:val="0020027C"/>
    <w:rsid w:val="00201643"/>
    <w:rsid w:val="00201FD0"/>
    <w:rsid w:val="002027D5"/>
    <w:rsid w:val="00203B04"/>
    <w:rsid w:val="00203CC6"/>
    <w:rsid w:val="00204CCA"/>
    <w:rsid w:val="002061BC"/>
    <w:rsid w:val="00206C17"/>
    <w:rsid w:val="00206F78"/>
    <w:rsid w:val="00210A8F"/>
    <w:rsid w:val="00211230"/>
    <w:rsid w:val="002114D4"/>
    <w:rsid w:val="00212647"/>
    <w:rsid w:val="002147C3"/>
    <w:rsid w:val="00214E67"/>
    <w:rsid w:val="002167C0"/>
    <w:rsid w:val="00220BD5"/>
    <w:rsid w:val="002218A1"/>
    <w:rsid w:val="00222300"/>
    <w:rsid w:val="002232CE"/>
    <w:rsid w:val="00224C52"/>
    <w:rsid w:val="00226244"/>
    <w:rsid w:val="00226CC1"/>
    <w:rsid w:val="00231155"/>
    <w:rsid w:val="0023144B"/>
    <w:rsid w:val="00232F39"/>
    <w:rsid w:val="00233A35"/>
    <w:rsid w:val="00234259"/>
    <w:rsid w:val="002346CE"/>
    <w:rsid w:val="00236743"/>
    <w:rsid w:val="0024064F"/>
    <w:rsid w:val="00240CF9"/>
    <w:rsid w:val="00242F27"/>
    <w:rsid w:val="00246883"/>
    <w:rsid w:val="00247A68"/>
    <w:rsid w:val="00247F73"/>
    <w:rsid w:val="002500DC"/>
    <w:rsid w:val="002504B5"/>
    <w:rsid w:val="00250EA8"/>
    <w:rsid w:val="00250F94"/>
    <w:rsid w:val="00251CB5"/>
    <w:rsid w:val="0025349D"/>
    <w:rsid w:val="002535B1"/>
    <w:rsid w:val="00254E5C"/>
    <w:rsid w:val="002564F9"/>
    <w:rsid w:val="00256D07"/>
    <w:rsid w:val="00257ED6"/>
    <w:rsid w:val="0026006B"/>
    <w:rsid w:val="002603EE"/>
    <w:rsid w:val="00260E1A"/>
    <w:rsid w:val="00262872"/>
    <w:rsid w:val="002628BD"/>
    <w:rsid w:val="00263F46"/>
    <w:rsid w:val="002640BF"/>
    <w:rsid w:val="00264AAB"/>
    <w:rsid w:val="002658A1"/>
    <w:rsid w:val="00266AEB"/>
    <w:rsid w:val="00266C3E"/>
    <w:rsid w:val="00270063"/>
    <w:rsid w:val="00271152"/>
    <w:rsid w:val="00271B7F"/>
    <w:rsid w:val="002730E1"/>
    <w:rsid w:val="002732A5"/>
    <w:rsid w:val="00273F65"/>
    <w:rsid w:val="002749B7"/>
    <w:rsid w:val="0027581F"/>
    <w:rsid w:val="00276706"/>
    <w:rsid w:val="00276E8A"/>
    <w:rsid w:val="00280362"/>
    <w:rsid w:val="00280B80"/>
    <w:rsid w:val="00281C36"/>
    <w:rsid w:val="002859B7"/>
    <w:rsid w:val="00285CBF"/>
    <w:rsid w:val="002864FE"/>
    <w:rsid w:val="00286901"/>
    <w:rsid w:val="002932AF"/>
    <w:rsid w:val="002933AE"/>
    <w:rsid w:val="002934E1"/>
    <w:rsid w:val="0029749B"/>
    <w:rsid w:val="002A0705"/>
    <w:rsid w:val="002A1829"/>
    <w:rsid w:val="002A4A58"/>
    <w:rsid w:val="002A54E7"/>
    <w:rsid w:val="002B08B7"/>
    <w:rsid w:val="002B2CA6"/>
    <w:rsid w:val="002B3F75"/>
    <w:rsid w:val="002B64B3"/>
    <w:rsid w:val="002B7181"/>
    <w:rsid w:val="002B725F"/>
    <w:rsid w:val="002C0A33"/>
    <w:rsid w:val="002C2295"/>
    <w:rsid w:val="002C46CA"/>
    <w:rsid w:val="002C48E0"/>
    <w:rsid w:val="002C490D"/>
    <w:rsid w:val="002C505E"/>
    <w:rsid w:val="002C5C73"/>
    <w:rsid w:val="002C5D4E"/>
    <w:rsid w:val="002C619D"/>
    <w:rsid w:val="002C640D"/>
    <w:rsid w:val="002C7B98"/>
    <w:rsid w:val="002D1E78"/>
    <w:rsid w:val="002D2406"/>
    <w:rsid w:val="002D269C"/>
    <w:rsid w:val="002D4A0A"/>
    <w:rsid w:val="002D4AA0"/>
    <w:rsid w:val="002D53DA"/>
    <w:rsid w:val="002D729C"/>
    <w:rsid w:val="002D7B53"/>
    <w:rsid w:val="002E0B6D"/>
    <w:rsid w:val="002E1C4E"/>
    <w:rsid w:val="002E2D68"/>
    <w:rsid w:val="002E3AC1"/>
    <w:rsid w:val="002E4A76"/>
    <w:rsid w:val="002E4B81"/>
    <w:rsid w:val="002E53CB"/>
    <w:rsid w:val="002E71BE"/>
    <w:rsid w:val="002E74DF"/>
    <w:rsid w:val="002E7EB6"/>
    <w:rsid w:val="002F0D09"/>
    <w:rsid w:val="002F1649"/>
    <w:rsid w:val="002F17BF"/>
    <w:rsid w:val="002F2D62"/>
    <w:rsid w:val="002F4321"/>
    <w:rsid w:val="002F5008"/>
    <w:rsid w:val="002F5084"/>
    <w:rsid w:val="002F56D1"/>
    <w:rsid w:val="002F5FDA"/>
    <w:rsid w:val="002F5FF9"/>
    <w:rsid w:val="002F6D0D"/>
    <w:rsid w:val="003013B4"/>
    <w:rsid w:val="003019CC"/>
    <w:rsid w:val="00305951"/>
    <w:rsid w:val="0030621D"/>
    <w:rsid w:val="0030685D"/>
    <w:rsid w:val="00307E54"/>
    <w:rsid w:val="003107D6"/>
    <w:rsid w:val="00310BC0"/>
    <w:rsid w:val="003116F0"/>
    <w:rsid w:val="00313607"/>
    <w:rsid w:val="00313AF6"/>
    <w:rsid w:val="00313DB3"/>
    <w:rsid w:val="00313F57"/>
    <w:rsid w:val="00314478"/>
    <w:rsid w:val="003165F2"/>
    <w:rsid w:val="0031664E"/>
    <w:rsid w:val="003166F7"/>
    <w:rsid w:val="003204C4"/>
    <w:rsid w:val="0032065A"/>
    <w:rsid w:val="00323B3D"/>
    <w:rsid w:val="00323CCE"/>
    <w:rsid w:val="00324B5F"/>
    <w:rsid w:val="00326AAF"/>
    <w:rsid w:val="003271E0"/>
    <w:rsid w:val="00331E85"/>
    <w:rsid w:val="0033225F"/>
    <w:rsid w:val="00332BA8"/>
    <w:rsid w:val="00333600"/>
    <w:rsid w:val="003336A7"/>
    <w:rsid w:val="00333BE8"/>
    <w:rsid w:val="00335B6D"/>
    <w:rsid w:val="00335E61"/>
    <w:rsid w:val="00340848"/>
    <w:rsid w:val="00340C4E"/>
    <w:rsid w:val="00340DB4"/>
    <w:rsid w:val="00341545"/>
    <w:rsid w:val="003422FB"/>
    <w:rsid w:val="00344549"/>
    <w:rsid w:val="0034536D"/>
    <w:rsid w:val="00345865"/>
    <w:rsid w:val="003458CB"/>
    <w:rsid w:val="00345E8A"/>
    <w:rsid w:val="00345EE9"/>
    <w:rsid w:val="00346B44"/>
    <w:rsid w:val="00347B00"/>
    <w:rsid w:val="00350140"/>
    <w:rsid w:val="003502F7"/>
    <w:rsid w:val="0035057B"/>
    <w:rsid w:val="00351797"/>
    <w:rsid w:val="00351C4F"/>
    <w:rsid w:val="00355F99"/>
    <w:rsid w:val="0035665C"/>
    <w:rsid w:val="003569B8"/>
    <w:rsid w:val="00356E06"/>
    <w:rsid w:val="003618C0"/>
    <w:rsid w:val="00361B0C"/>
    <w:rsid w:val="00361F95"/>
    <w:rsid w:val="00362030"/>
    <w:rsid w:val="00362C52"/>
    <w:rsid w:val="00363D43"/>
    <w:rsid w:val="00363EB3"/>
    <w:rsid w:val="00364ACE"/>
    <w:rsid w:val="00364ADC"/>
    <w:rsid w:val="00366D20"/>
    <w:rsid w:val="00367283"/>
    <w:rsid w:val="003712B5"/>
    <w:rsid w:val="0037338A"/>
    <w:rsid w:val="00373CA5"/>
    <w:rsid w:val="00373E7B"/>
    <w:rsid w:val="00374312"/>
    <w:rsid w:val="003746B1"/>
    <w:rsid w:val="00374E91"/>
    <w:rsid w:val="00375E12"/>
    <w:rsid w:val="00376EEE"/>
    <w:rsid w:val="0037797F"/>
    <w:rsid w:val="00377AC5"/>
    <w:rsid w:val="00382CAF"/>
    <w:rsid w:val="00383B3E"/>
    <w:rsid w:val="003844F4"/>
    <w:rsid w:val="00384F60"/>
    <w:rsid w:val="00385172"/>
    <w:rsid w:val="00385F5E"/>
    <w:rsid w:val="0038607D"/>
    <w:rsid w:val="00387353"/>
    <w:rsid w:val="00391929"/>
    <w:rsid w:val="00392470"/>
    <w:rsid w:val="0039417A"/>
    <w:rsid w:val="00394292"/>
    <w:rsid w:val="00395645"/>
    <w:rsid w:val="003963FD"/>
    <w:rsid w:val="00396720"/>
    <w:rsid w:val="00397574"/>
    <w:rsid w:val="0039797E"/>
    <w:rsid w:val="003A1389"/>
    <w:rsid w:val="003A5111"/>
    <w:rsid w:val="003A5468"/>
    <w:rsid w:val="003A6CA4"/>
    <w:rsid w:val="003A6D3E"/>
    <w:rsid w:val="003B16E7"/>
    <w:rsid w:val="003B211E"/>
    <w:rsid w:val="003B2844"/>
    <w:rsid w:val="003B2ACD"/>
    <w:rsid w:val="003B3623"/>
    <w:rsid w:val="003B433A"/>
    <w:rsid w:val="003B586C"/>
    <w:rsid w:val="003B613E"/>
    <w:rsid w:val="003B6A64"/>
    <w:rsid w:val="003B6B4A"/>
    <w:rsid w:val="003B6E9D"/>
    <w:rsid w:val="003B74C9"/>
    <w:rsid w:val="003B771E"/>
    <w:rsid w:val="003B7E88"/>
    <w:rsid w:val="003C21FC"/>
    <w:rsid w:val="003C2CE9"/>
    <w:rsid w:val="003C3895"/>
    <w:rsid w:val="003C39A0"/>
    <w:rsid w:val="003C4503"/>
    <w:rsid w:val="003C52E7"/>
    <w:rsid w:val="003C5B5F"/>
    <w:rsid w:val="003C6641"/>
    <w:rsid w:val="003D07A9"/>
    <w:rsid w:val="003D3CF0"/>
    <w:rsid w:val="003D4EB3"/>
    <w:rsid w:val="003D5B7A"/>
    <w:rsid w:val="003D724D"/>
    <w:rsid w:val="003E0461"/>
    <w:rsid w:val="003E06B4"/>
    <w:rsid w:val="003E07DA"/>
    <w:rsid w:val="003E1194"/>
    <w:rsid w:val="003E1486"/>
    <w:rsid w:val="003E359A"/>
    <w:rsid w:val="003E3825"/>
    <w:rsid w:val="003E3B39"/>
    <w:rsid w:val="003E4009"/>
    <w:rsid w:val="003E56E9"/>
    <w:rsid w:val="003E6520"/>
    <w:rsid w:val="003E6891"/>
    <w:rsid w:val="003E69B0"/>
    <w:rsid w:val="003E7CFA"/>
    <w:rsid w:val="003E7FC1"/>
    <w:rsid w:val="003F1749"/>
    <w:rsid w:val="003F1A1C"/>
    <w:rsid w:val="003F1B6D"/>
    <w:rsid w:val="003F35B1"/>
    <w:rsid w:val="003F3775"/>
    <w:rsid w:val="003F4826"/>
    <w:rsid w:val="003F4A07"/>
    <w:rsid w:val="003F53CB"/>
    <w:rsid w:val="003F550E"/>
    <w:rsid w:val="003F7D13"/>
    <w:rsid w:val="0040254B"/>
    <w:rsid w:val="00402C14"/>
    <w:rsid w:val="00404EA1"/>
    <w:rsid w:val="004051AC"/>
    <w:rsid w:val="00405572"/>
    <w:rsid w:val="004067EB"/>
    <w:rsid w:val="00406BAB"/>
    <w:rsid w:val="00406C69"/>
    <w:rsid w:val="00406E62"/>
    <w:rsid w:val="00407125"/>
    <w:rsid w:val="00407BC2"/>
    <w:rsid w:val="00411B4C"/>
    <w:rsid w:val="0041239D"/>
    <w:rsid w:val="00412605"/>
    <w:rsid w:val="00412A27"/>
    <w:rsid w:val="004131BC"/>
    <w:rsid w:val="0041327A"/>
    <w:rsid w:val="004151B7"/>
    <w:rsid w:val="00415407"/>
    <w:rsid w:val="0041541C"/>
    <w:rsid w:val="00415E11"/>
    <w:rsid w:val="004161F2"/>
    <w:rsid w:val="004169CD"/>
    <w:rsid w:val="00420B9A"/>
    <w:rsid w:val="00420F98"/>
    <w:rsid w:val="004211EB"/>
    <w:rsid w:val="0042217E"/>
    <w:rsid w:val="00422C40"/>
    <w:rsid w:val="0042399D"/>
    <w:rsid w:val="00425882"/>
    <w:rsid w:val="00425FE9"/>
    <w:rsid w:val="00426461"/>
    <w:rsid w:val="0043008A"/>
    <w:rsid w:val="0043057A"/>
    <w:rsid w:val="00431180"/>
    <w:rsid w:val="00431BD7"/>
    <w:rsid w:val="00431F70"/>
    <w:rsid w:val="004378A7"/>
    <w:rsid w:val="004403A5"/>
    <w:rsid w:val="00440651"/>
    <w:rsid w:val="004422A8"/>
    <w:rsid w:val="0044233A"/>
    <w:rsid w:val="00442ADA"/>
    <w:rsid w:val="0044320C"/>
    <w:rsid w:val="00443609"/>
    <w:rsid w:val="00443D5E"/>
    <w:rsid w:val="0044491E"/>
    <w:rsid w:val="00445B7F"/>
    <w:rsid w:val="00445C99"/>
    <w:rsid w:val="00446B9B"/>
    <w:rsid w:val="00446BB1"/>
    <w:rsid w:val="0044710F"/>
    <w:rsid w:val="00447232"/>
    <w:rsid w:val="0045068F"/>
    <w:rsid w:val="00450FA8"/>
    <w:rsid w:val="00451A1A"/>
    <w:rsid w:val="004530FA"/>
    <w:rsid w:val="0045310C"/>
    <w:rsid w:val="0045531B"/>
    <w:rsid w:val="004566B3"/>
    <w:rsid w:val="00460654"/>
    <w:rsid w:val="00461495"/>
    <w:rsid w:val="0046320F"/>
    <w:rsid w:val="00463418"/>
    <w:rsid w:val="004649E5"/>
    <w:rsid w:val="00464B19"/>
    <w:rsid w:val="00465AD2"/>
    <w:rsid w:val="004707AA"/>
    <w:rsid w:val="00472798"/>
    <w:rsid w:val="00472D8A"/>
    <w:rsid w:val="0047318F"/>
    <w:rsid w:val="0047391D"/>
    <w:rsid w:val="004739AA"/>
    <w:rsid w:val="00473C3E"/>
    <w:rsid w:val="004756C9"/>
    <w:rsid w:val="004765B4"/>
    <w:rsid w:val="00476CA9"/>
    <w:rsid w:val="0048092C"/>
    <w:rsid w:val="00480DD1"/>
    <w:rsid w:val="00480FF5"/>
    <w:rsid w:val="00481156"/>
    <w:rsid w:val="004812B7"/>
    <w:rsid w:val="00481774"/>
    <w:rsid w:val="004817A8"/>
    <w:rsid w:val="00482739"/>
    <w:rsid w:val="00483161"/>
    <w:rsid w:val="00485A59"/>
    <w:rsid w:val="0048671E"/>
    <w:rsid w:val="004900D3"/>
    <w:rsid w:val="00491FE8"/>
    <w:rsid w:val="00492458"/>
    <w:rsid w:val="00492594"/>
    <w:rsid w:val="00492FE3"/>
    <w:rsid w:val="004941AD"/>
    <w:rsid w:val="00495E41"/>
    <w:rsid w:val="004971FF"/>
    <w:rsid w:val="004A0502"/>
    <w:rsid w:val="004A1146"/>
    <w:rsid w:val="004A4B96"/>
    <w:rsid w:val="004A5424"/>
    <w:rsid w:val="004A5B92"/>
    <w:rsid w:val="004A66EF"/>
    <w:rsid w:val="004A765B"/>
    <w:rsid w:val="004B0344"/>
    <w:rsid w:val="004B0C87"/>
    <w:rsid w:val="004B330A"/>
    <w:rsid w:val="004B4AB0"/>
    <w:rsid w:val="004B6B8C"/>
    <w:rsid w:val="004C121E"/>
    <w:rsid w:val="004C1534"/>
    <w:rsid w:val="004C15FF"/>
    <w:rsid w:val="004C2E94"/>
    <w:rsid w:val="004C3315"/>
    <w:rsid w:val="004C386B"/>
    <w:rsid w:val="004C4226"/>
    <w:rsid w:val="004C473C"/>
    <w:rsid w:val="004C47AC"/>
    <w:rsid w:val="004C491D"/>
    <w:rsid w:val="004C6285"/>
    <w:rsid w:val="004C71F4"/>
    <w:rsid w:val="004D0134"/>
    <w:rsid w:val="004D0972"/>
    <w:rsid w:val="004D16CF"/>
    <w:rsid w:val="004D31C0"/>
    <w:rsid w:val="004D3592"/>
    <w:rsid w:val="004D3A94"/>
    <w:rsid w:val="004D3C49"/>
    <w:rsid w:val="004D41BC"/>
    <w:rsid w:val="004D4BA1"/>
    <w:rsid w:val="004D5C6D"/>
    <w:rsid w:val="004D78AF"/>
    <w:rsid w:val="004D7E24"/>
    <w:rsid w:val="004E0FAC"/>
    <w:rsid w:val="004E1776"/>
    <w:rsid w:val="004E26FD"/>
    <w:rsid w:val="004E78C7"/>
    <w:rsid w:val="004F1D7A"/>
    <w:rsid w:val="004F24F5"/>
    <w:rsid w:val="004F25AC"/>
    <w:rsid w:val="004F2A35"/>
    <w:rsid w:val="004F2C43"/>
    <w:rsid w:val="004F33DD"/>
    <w:rsid w:val="004F404A"/>
    <w:rsid w:val="004F40A8"/>
    <w:rsid w:val="004F481D"/>
    <w:rsid w:val="004F59F3"/>
    <w:rsid w:val="004F6D82"/>
    <w:rsid w:val="004F765D"/>
    <w:rsid w:val="004F7B57"/>
    <w:rsid w:val="005018FB"/>
    <w:rsid w:val="00501D80"/>
    <w:rsid w:val="005026FB"/>
    <w:rsid w:val="00502729"/>
    <w:rsid w:val="00502EA4"/>
    <w:rsid w:val="005038A5"/>
    <w:rsid w:val="00503C3C"/>
    <w:rsid w:val="0050445B"/>
    <w:rsid w:val="0050457A"/>
    <w:rsid w:val="005107CA"/>
    <w:rsid w:val="0051090C"/>
    <w:rsid w:val="00512965"/>
    <w:rsid w:val="0051307D"/>
    <w:rsid w:val="00513576"/>
    <w:rsid w:val="00513A06"/>
    <w:rsid w:val="00514AAD"/>
    <w:rsid w:val="00514D34"/>
    <w:rsid w:val="00516FFE"/>
    <w:rsid w:val="0051751E"/>
    <w:rsid w:val="00517E10"/>
    <w:rsid w:val="00520A01"/>
    <w:rsid w:val="00521A39"/>
    <w:rsid w:val="005222AE"/>
    <w:rsid w:val="00522F73"/>
    <w:rsid w:val="005236A8"/>
    <w:rsid w:val="00524111"/>
    <w:rsid w:val="0052443D"/>
    <w:rsid w:val="0052448D"/>
    <w:rsid w:val="0052450A"/>
    <w:rsid w:val="005301D6"/>
    <w:rsid w:val="00530941"/>
    <w:rsid w:val="00531193"/>
    <w:rsid w:val="00531247"/>
    <w:rsid w:val="0053138D"/>
    <w:rsid w:val="005330BA"/>
    <w:rsid w:val="00533C40"/>
    <w:rsid w:val="00535E8B"/>
    <w:rsid w:val="0053753B"/>
    <w:rsid w:val="00540C66"/>
    <w:rsid w:val="00541E6B"/>
    <w:rsid w:val="00544452"/>
    <w:rsid w:val="00544593"/>
    <w:rsid w:val="00544A15"/>
    <w:rsid w:val="00547C9E"/>
    <w:rsid w:val="00551E0E"/>
    <w:rsid w:val="00552CAF"/>
    <w:rsid w:val="00552F21"/>
    <w:rsid w:val="00555DBA"/>
    <w:rsid w:val="005570B7"/>
    <w:rsid w:val="00557CF5"/>
    <w:rsid w:val="00560106"/>
    <w:rsid w:val="00563076"/>
    <w:rsid w:val="005640CF"/>
    <w:rsid w:val="00564C35"/>
    <w:rsid w:val="00564FDC"/>
    <w:rsid w:val="0056550F"/>
    <w:rsid w:val="00565CEF"/>
    <w:rsid w:val="00565DD7"/>
    <w:rsid w:val="00567270"/>
    <w:rsid w:val="0056769F"/>
    <w:rsid w:val="00570190"/>
    <w:rsid w:val="00570A13"/>
    <w:rsid w:val="005721BC"/>
    <w:rsid w:val="0057278E"/>
    <w:rsid w:val="00572898"/>
    <w:rsid w:val="0057318C"/>
    <w:rsid w:val="00573B19"/>
    <w:rsid w:val="00574857"/>
    <w:rsid w:val="00576331"/>
    <w:rsid w:val="00576DE2"/>
    <w:rsid w:val="00577939"/>
    <w:rsid w:val="00580028"/>
    <w:rsid w:val="0058166F"/>
    <w:rsid w:val="00583F61"/>
    <w:rsid w:val="005844C0"/>
    <w:rsid w:val="00587F48"/>
    <w:rsid w:val="00590138"/>
    <w:rsid w:val="0059196E"/>
    <w:rsid w:val="00593359"/>
    <w:rsid w:val="00596DA3"/>
    <w:rsid w:val="005A0678"/>
    <w:rsid w:val="005A0A66"/>
    <w:rsid w:val="005A1E25"/>
    <w:rsid w:val="005A21B1"/>
    <w:rsid w:val="005A235F"/>
    <w:rsid w:val="005A3A93"/>
    <w:rsid w:val="005A4FA0"/>
    <w:rsid w:val="005A7608"/>
    <w:rsid w:val="005A76C3"/>
    <w:rsid w:val="005A7D98"/>
    <w:rsid w:val="005A7F4F"/>
    <w:rsid w:val="005B1A4C"/>
    <w:rsid w:val="005B2CE4"/>
    <w:rsid w:val="005B3066"/>
    <w:rsid w:val="005B344E"/>
    <w:rsid w:val="005B3476"/>
    <w:rsid w:val="005B438C"/>
    <w:rsid w:val="005B46AA"/>
    <w:rsid w:val="005B4D33"/>
    <w:rsid w:val="005B66C6"/>
    <w:rsid w:val="005C3F22"/>
    <w:rsid w:val="005C50A1"/>
    <w:rsid w:val="005C5431"/>
    <w:rsid w:val="005C553F"/>
    <w:rsid w:val="005C68EE"/>
    <w:rsid w:val="005C6D66"/>
    <w:rsid w:val="005C71C9"/>
    <w:rsid w:val="005C74CB"/>
    <w:rsid w:val="005C75D6"/>
    <w:rsid w:val="005C7AE2"/>
    <w:rsid w:val="005D19A9"/>
    <w:rsid w:val="005D2F39"/>
    <w:rsid w:val="005D34F6"/>
    <w:rsid w:val="005D38F7"/>
    <w:rsid w:val="005D5F62"/>
    <w:rsid w:val="005D6C94"/>
    <w:rsid w:val="005D75DA"/>
    <w:rsid w:val="005D7BC3"/>
    <w:rsid w:val="005E0436"/>
    <w:rsid w:val="005E0DDE"/>
    <w:rsid w:val="005E1A29"/>
    <w:rsid w:val="005E6179"/>
    <w:rsid w:val="005E631C"/>
    <w:rsid w:val="005E6349"/>
    <w:rsid w:val="005E6526"/>
    <w:rsid w:val="005E6E22"/>
    <w:rsid w:val="005F08DB"/>
    <w:rsid w:val="005F183B"/>
    <w:rsid w:val="005F2644"/>
    <w:rsid w:val="005F2962"/>
    <w:rsid w:val="005F3769"/>
    <w:rsid w:val="005F3CDB"/>
    <w:rsid w:val="005F4D17"/>
    <w:rsid w:val="005F59A3"/>
    <w:rsid w:val="005F5D99"/>
    <w:rsid w:val="005F63C6"/>
    <w:rsid w:val="005F6651"/>
    <w:rsid w:val="005F7179"/>
    <w:rsid w:val="005F73D7"/>
    <w:rsid w:val="005F7BE2"/>
    <w:rsid w:val="0060039A"/>
    <w:rsid w:val="00600612"/>
    <w:rsid w:val="00602861"/>
    <w:rsid w:val="00603619"/>
    <w:rsid w:val="00604DE2"/>
    <w:rsid w:val="006051C8"/>
    <w:rsid w:val="006111D8"/>
    <w:rsid w:val="006116CE"/>
    <w:rsid w:val="00612B23"/>
    <w:rsid w:val="00613918"/>
    <w:rsid w:val="00614967"/>
    <w:rsid w:val="00614C26"/>
    <w:rsid w:val="00614D9E"/>
    <w:rsid w:val="0061637F"/>
    <w:rsid w:val="00616EDA"/>
    <w:rsid w:val="0061750C"/>
    <w:rsid w:val="006178F1"/>
    <w:rsid w:val="006218C8"/>
    <w:rsid w:val="0062254F"/>
    <w:rsid w:val="00622E17"/>
    <w:rsid w:val="00623EA8"/>
    <w:rsid w:val="0062540B"/>
    <w:rsid w:val="006273E5"/>
    <w:rsid w:val="00627C08"/>
    <w:rsid w:val="0063073F"/>
    <w:rsid w:val="006315D9"/>
    <w:rsid w:val="00633BA2"/>
    <w:rsid w:val="00633D54"/>
    <w:rsid w:val="00633ED6"/>
    <w:rsid w:val="00635A66"/>
    <w:rsid w:val="00640B93"/>
    <w:rsid w:val="00640DD4"/>
    <w:rsid w:val="00642079"/>
    <w:rsid w:val="00645488"/>
    <w:rsid w:val="00646719"/>
    <w:rsid w:val="00646D76"/>
    <w:rsid w:val="00647141"/>
    <w:rsid w:val="00652289"/>
    <w:rsid w:val="00652C18"/>
    <w:rsid w:val="00653421"/>
    <w:rsid w:val="00653768"/>
    <w:rsid w:val="006539B1"/>
    <w:rsid w:val="00654A45"/>
    <w:rsid w:val="0065519C"/>
    <w:rsid w:val="0065553C"/>
    <w:rsid w:val="006556CA"/>
    <w:rsid w:val="00655C3C"/>
    <w:rsid w:val="00656561"/>
    <w:rsid w:val="006576AB"/>
    <w:rsid w:val="00657885"/>
    <w:rsid w:val="00657EDD"/>
    <w:rsid w:val="00660504"/>
    <w:rsid w:val="006605EF"/>
    <w:rsid w:val="006617ED"/>
    <w:rsid w:val="00662DD6"/>
    <w:rsid w:val="00663DAA"/>
    <w:rsid w:val="00664153"/>
    <w:rsid w:val="006668E6"/>
    <w:rsid w:val="006700C3"/>
    <w:rsid w:val="00670D6C"/>
    <w:rsid w:val="0067246B"/>
    <w:rsid w:val="006738E6"/>
    <w:rsid w:val="006809B5"/>
    <w:rsid w:val="0068173B"/>
    <w:rsid w:val="00682A71"/>
    <w:rsid w:val="00682B0F"/>
    <w:rsid w:val="00683610"/>
    <w:rsid w:val="00684A68"/>
    <w:rsid w:val="00685134"/>
    <w:rsid w:val="00685AA0"/>
    <w:rsid w:val="00686180"/>
    <w:rsid w:val="00686993"/>
    <w:rsid w:val="00686A26"/>
    <w:rsid w:val="006902F9"/>
    <w:rsid w:val="00690F06"/>
    <w:rsid w:val="0069124E"/>
    <w:rsid w:val="00691F89"/>
    <w:rsid w:val="00694521"/>
    <w:rsid w:val="00695FD1"/>
    <w:rsid w:val="00696839"/>
    <w:rsid w:val="00696876"/>
    <w:rsid w:val="00696FFD"/>
    <w:rsid w:val="006A202C"/>
    <w:rsid w:val="006A2384"/>
    <w:rsid w:val="006A395C"/>
    <w:rsid w:val="006A42EB"/>
    <w:rsid w:val="006A48E4"/>
    <w:rsid w:val="006A6527"/>
    <w:rsid w:val="006B1875"/>
    <w:rsid w:val="006B2001"/>
    <w:rsid w:val="006B2C0E"/>
    <w:rsid w:val="006B3A82"/>
    <w:rsid w:val="006B3F7C"/>
    <w:rsid w:val="006C0AA0"/>
    <w:rsid w:val="006C1C24"/>
    <w:rsid w:val="006C274E"/>
    <w:rsid w:val="006C45E1"/>
    <w:rsid w:val="006C4720"/>
    <w:rsid w:val="006C5226"/>
    <w:rsid w:val="006C536C"/>
    <w:rsid w:val="006C6858"/>
    <w:rsid w:val="006C6F0E"/>
    <w:rsid w:val="006D3013"/>
    <w:rsid w:val="006D30EC"/>
    <w:rsid w:val="006D4029"/>
    <w:rsid w:val="006D5E78"/>
    <w:rsid w:val="006D6D33"/>
    <w:rsid w:val="006E0A1A"/>
    <w:rsid w:val="006E15FF"/>
    <w:rsid w:val="006E3CA0"/>
    <w:rsid w:val="006E4CA0"/>
    <w:rsid w:val="006E4F4E"/>
    <w:rsid w:val="006E57CE"/>
    <w:rsid w:val="006E7584"/>
    <w:rsid w:val="006E7DD5"/>
    <w:rsid w:val="006F01DB"/>
    <w:rsid w:val="006F1694"/>
    <w:rsid w:val="006F1930"/>
    <w:rsid w:val="006F24D9"/>
    <w:rsid w:val="006F4557"/>
    <w:rsid w:val="006F46CF"/>
    <w:rsid w:val="006F5A4A"/>
    <w:rsid w:val="006F6094"/>
    <w:rsid w:val="006F6A51"/>
    <w:rsid w:val="006F6ECE"/>
    <w:rsid w:val="006F7472"/>
    <w:rsid w:val="007013FF"/>
    <w:rsid w:val="00701ED1"/>
    <w:rsid w:val="00703008"/>
    <w:rsid w:val="0070597E"/>
    <w:rsid w:val="00707D19"/>
    <w:rsid w:val="007120DB"/>
    <w:rsid w:val="0071358C"/>
    <w:rsid w:val="00715DBE"/>
    <w:rsid w:val="00717B2F"/>
    <w:rsid w:val="00717D8F"/>
    <w:rsid w:val="00721EBC"/>
    <w:rsid w:val="00722FB5"/>
    <w:rsid w:val="0072689D"/>
    <w:rsid w:val="00727CBD"/>
    <w:rsid w:val="00727D6D"/>
    <w:rsid w:val="00730261"/>
    <w:rsid w:val="0073056D"/>
    <w:rsid w:val="007326DD"/>
    <w:rsid w:val="00735388"/>
    <w:rsid w:val="00735FA0"/>
    <w:rsid w:val="00735FC2"/>
    <w:rsid w:val="00736083"/>
    <w:rsid w:val="00737E26"/>
    <w:rsid w:val="00741E3C"/>
    <w:rsid w:val="00742AE1"/>
    <w:rsid w:val="00742C83"/>
    <w:rsid w:val="00744239"/>
    <w:rsid w:val="00744EEE"/>
    <w:rsid w:val="0074591D"/>
    <w:rsid w:val="0074623D"/>
    <w:rsid w:val="00747F9C"/>
    <w:rsid w:val="007515B4"/>
    <w:rsid w:val="00751AFC"/>
    <w:rsid w:val="00752EC7"/>
    <w:rsid w:val="007611DB"/>
    <w:rsid w:val="007616AF"/>
    <w:rsid w:val="00762478"/>
    <w:rsid w:val="00763BBA"/>
    <w:rsid w:val="00764284"/>
    <w:rsid w:val="00764FAA"/>
    <w:rsid w:val="00766662"/>
    <w:rsid w:val="007666FA"/>
    <w:rsid w:val="00766E82"/>
    <w:rsid w:val="00770CDB"/>
    <w:rsid w:val="00772798"/>
    <w:rsid w:val="00772898"/>
    <w:rsid w:val="00773818"/>
    <w:rsid w:val="00774196"/>
    <w:rsid w:val="00775A14"/>
    <w:rsid w:val="00776D76"/>
    <w:rsid w:val="00777E20"/>
    <w:rsid w:val="00777FE9"/>
    <w:rsid w:val="007803BD"/>
    <w:rsid w:val="00780853"/>
    <w:rsid w:val="0078128B"/>
    <w:rsid w:val="00782524"/>
    <w:rsid w:val="00784CD0"/>
    <w:rsid w:val="00790116"/>
    <w:rsid w:val="00790445"/>
    <w:rsid w:val="00791ACD"/>
    <w:rsid w:val="007921CA"/>
    <w:rsid w:val="00792DBB"/>
    <w:rsid w:val="0079409A"/>
    <w:rsid w:val="007944CA"/>
    <w:rsid w:val="00794B02"/>
    <w:rsid w:val="00796BA9"/>
    <w:rsid w:val="007A0EC4"/>
    <w:rsid w:val="007A1835"/>
    <w:rsid w:val="007A2133"/>
    <w:rsid w:val="007A2976"/>
    <w:rsid w:val="007A68DE"/>
    <w:rsid w:val="007B0178"/>
    <w:rsid w:val="007B29C8"/>
    <w:rsid w:val="007B3047"/>
    <w:rsid w:val="007B416C"/>
    <w:rsid w:val="007B4953"/>
    <w:rsid w:val="007B4DB8"/>
    <w:rsid w:val="007B6328"/>
    <w:rsid w:val="007C019E"/>
    <w:rsid w:val="007C1883"/>
    <w:rsid w:val="007C2940"/>
    <w:rsid w:val="007C31E9"/>
    <w:rsid w:val="007C3720"/>
    <w:rsid w:val="007C46AD"/>
    <w:rsid w:val="007C4D0E"/>
    <w:rsid w:val="007C4F16"/>
    <w:rsid w:val="007C6571"/>
    <w:rsid w:val="007D000A"/>
    <w:rsid w:val="007D00E0"/>
    <w:rsid w:val="007D06F0"/>
    <w:rsid w:val="007D085A"/>
    <w:rsid w:val="007D0FA5"/>
    <w:rsid w:val="007D2B4D"/>
    <w:rsid w:val="007D4A24"/>
    <w:rsid w:val="007D5DD4"/>
    <w:rsid w:val="007D60E9"/>
    <w:rsid w:val="007D745A"/>
    <w:rsid w:val="007D7C6A"/>
    <w:rsid w:val="007E0282"/>
    <w:rsid w:val="007E0C95"/>
    <w:rsid w:val="007E0FC9"/>
    <w:rsid w:val="007E1095"/>
    <w:rsid w:val="007E1643"/>
    <w:rsid w:val="007E238E"/>
    <w:rsid w:val="007E6086"/>
    <w:rsid w:val="007E6825"/>
    <w:rsid w:val="007F1C82"/>
    <w:rsid w:val="007F70AB"/>
    <w:rsid w:val="007F7255"/>
    <w:rsid w:val="008003E2"/>
    <w:rsid w:val="00800624"/>
    <w:rsid w:val="00800B52"/>
    <w:rsid w:val="00800D13"/>
    <w:rsid w:val="00800DCB"/>
    <w:rsid w:val="00800FA7"/>
    <w:rsid w:val="0080147D"/>
    <w:rsid w:val="00801821"/>
    <w:rsid w:val="00801DBB"/>
    <w:rsid w:val="008037B4"/>
    <w:rsid w:val="00804B50"/>
    <w:rsid w:val="00804F88"/>
    <w:rsid w:val="00805795"/>
    <w:rsid w:val="00805E9C"/>
    <w:rsid w:val="00806939"/>
    <w:rsid w:val="008069C9"/>
    <w:rsid w:val="00806BC0"/>
    <w:rsid w:val="00807CA3"/>
    <w:rsid w:val="008100B0"/>
    <w:rsid w:val="008104B3"/>
    <w:rsid w:val="008107F5"/>
    <w:rsid w:val="008125B1"/>
    <w:rsid w:val="008139D1"/>
    <w:rsid w:val="00816F3A"/>
    <w:rsid w:val="00817541"/>
    <w:rsid w:val="00820843"/>
    <w:rsid w:val="0082084D"/>
    <w:rsid w:val="00824ED6"/>
    <w:rsid w:val="00825105"/>
    <w:rsid w:val="00825F1D"/>
    <w:rsid w:val="00825F3D"/>
    <w:rsid w:val="00827340"/>
    <w:rsid w:val="008279F4"/>
    <w:rsid w:val="00830E60"/>
    <w:rsid w:val="008312C6"/>
    <w:rsid w:val="0083133D"/>
    <w:rsid w:val="00834008"/>
    <w:rsid w:val="008353E8"/>
    <w:rsid w:val="008375ED"/>
    <w:rsid w:val="00837A63"/>
    <w:rsid w:val="008421E2"/>
    <w:rsid w:val="0084369A"/>
    <w:rsid w:val="00843B56"/>
    <w:rsid w:val="00843D94"/>
    <w:rsid w:val="00843E80"/>
    <w:rsid w:val="00844354"/>
    <w:rsid w:val="00844A21"/>
    <w:rsid w:val="00844BDC"/>
    <w:rsid w:val="00845141"/>
    <w:rsid w:val="00845F1B"/>
    <w:rsid w:val="00846554"/>
    <w:rsid w:val="0084734B"/>
    <w:rsid w:val="00850773"/>
    <w:rsid w:val="00850ABA"/>
    <w:rsid w:val="008510A9"/>
    <w:rsid w:val="008512AC"/>
    <w:rsid w:val="0085169D"/>
    <w:rsid w:val="008519A8"/>
    <w:rsid w:val="00851B56"/>
    <w:rsid w:val="00853187"/>
    <w:rsid w:val="00853258"/>
    <w:rsid w:val="008573DF"/>
    <w:rsid w:val="00860763"/>
    <w:rsid w:val="00860B89"/>
    <w:rsid w:val="0086101C"/>
    <w:rsid w:val="0086327B"/>
    <w:rsid w:val="0086441D"/>
    <w:rsid w:val="00865DBA"/>
    <w:rsid w:val="00866CCF"/>
    <w:rsid w:val="008670D0"/>
    <w:rsid w:val="008673A0"/>
    <w:rsid w:val="00871223"/>
    <w:rsid w:val="0087168A"/>
    <w:rsid w:val="00872452"/>
    <w:rsid w:val="008741C2"/>
    <w:rsid w:val="00875D76"/>
    <w:rsid w:val="008761CB"/>
    <w:rsid w:val="00876890"/>
    <w:rsid w:val="00880298"/>
    <w:rsid w:val="00880C58"/>
    <w:rsid w:val="00881A06"/>
    <w:rsid w:val="00882C8A"/>
    <w:rsid w:val="00882FED"/>
    <w:rsid w:val="00883532"/>
    <w:rsid w:val="00884377"/>
    <w:rsid w:val="00885B6A"/>
    <w:rsid w:val="008860A0"/>
    <w:rsid w:val="00886556"/>
    <w:rsid w:val="00890DE5"/>
    <w:rsid w:val="0089167F"/>
    <w:rsid w:val="0089255B"/>
    <w:rsid w:val="008927F0"/>
    <w:rsid w:val="008929F8"/>
    <w:rsid w:val="00892C9D"/>
    <w:rsid w:val="00893F1A"/>
    <w:rsid w:val="00894533"/>
    <w:rsid w:val="008945E7"/>
    <w:rsid w:val="008963D2"/>
    <w:rsid w:val="00896D10"/>
    <w:rsid w:val="0089780B"/>
    <w:rsid w:val="008A0057"/>
    <w:rsid w:val="008A0D03"/>
    <w:rsid w:val="008A16C8"/>
    <w:rsid w:val="008A2BC0"/>
    <w:rsid w:val="008A2E7A"/>
    <w:rsid w:val="008A37FB"/>
    <w:rsid w:val="008A433C"/>
    <w:rsid w:val="008A5E8D"/>
    <w:rsid w:val="008B0F23"/>
    <w:rsid w:val="008B2A85"/>
    <w:rsid w:val="008B35BF"/>
    <w:rsid w:val="008B4452"/>
    <w:rsid w:val="008B4775"/>
    <w:rsid w:val="008B71AC"/>
    <w:rsid w:val="008B7D4C"/>
    <w:rsid w:val="008C1458"/>
    <w:rsid w:val="008C1579"/>
    <w:rsid w:val="008C4AE5"/>
    <w:rsid w:val="008C50C3"/>
    <w:rsid w:val="008C6175"/>
    <w:rsid w:val="008D16E6"/>
    <w:rsid w:val="008D2F79"/>
    <w:rsid w:val="008D3773"/>
    <w:rsid w:val="008D4379"/>
    <w:rsid w:val="008D4468"/>
    <w:rsid w:val="008D552D"/>
    <w:rsid w:val="008D583D"/>
    <w:rsid w:val="008D5F27"/>
    <w:rsid w:val="008D5FEA"/>
    <w:rsid w:val="008D60B8"/>
    <w:rsid w:val="008D6A97"/>
    <w:rsid w:val="008D7CDF"/>
    <w:rsid w:val="008D7EAF"/>
    <w:rsid w:val="008E0087"/>
    <w:rsid w:val="008E2A40"/>
    <w:rsid w:val="008E2EEC"/>
    <w:rsid w:val="008E36B5"/>
    <w:rsid w:val="008E4D26"/>
    <w:rsid w:val="008E5527"/>
    <w:rsid w:val="008E792D"/>
    <w:rsid w:val="008E7F70"/>
    <w:rsid w:val="008F09EB"/>
    <w:rsid w:val="008F3166"/>
    <w:rsid w:val="008F363F"/>
    <w:rsid w:val="008F3EFD"/>
    <w:rsid w:val="008F64BB"/>
    <w:rsid w:val="008F7F5D"/>
    <w:rsid w:val="0090006D"/>
    <w:rsid w:val="009022CE"/>
    <w:rsid w:val="00905010"/>
    <w:rsid w:val="009057AF"/>
    <w:rsid w:val="00905F60"/>
    <w:rsid w:val="009065AD"/>
    <w:rsid w:val="00906A1C"/>
    <w:rsid w:val="0090740D"/>
    <w:rsid w:val="00907B5D"/>
    <w:rsid w:val="009105B1"/>
    <w:rsid w:val="00910E5C"/>
    <w:rsid w:val="009125C9"/>
    <w:rsid w:val="00912FFB"/>
    <w:rsid w:val="009136FF"/>
    <w:rsid w:val="0091380A"/>
    <w:rsid w:val="00913AC4"/>
    <w:rsid w:val="009145E1"/>
    <w:rsid w:val="00915011"/>
    <w:rsid w:val="00915447"/>
    <w:rsid w:val="00916269"/>
    <w:rsid w:val="0091684D"/>
    <w:rsid w:val="00916DF1"/>
    <w:rsid w:val="009172AD"/>
    <w:rsid w:val="00917518"/>
    <w:rsid w:val="0092065D"/>
    <w:rsid w:val="00921805"/>
    <w:rsid w:val="0092234F"/>
    <w:rsid w:val="00922BBF"/>
    <w:rsid w:val="00923EC6"/>
    <w:rsid w:val="00924AC3"/>
    <w:rsid w:val="0092514A"/>
    <w:rsid w:val="009270AF"/>
    <w:rsid w:val="00930268"/>
    <w:rsid w:val="009308FD"/>
    <w:rsid w:val="009319E5"/>
    <w:rsid w:val="00931C42"/>
    <w:rsid w:val="009327D8"/>
    <w:rsid w:val="0093338F"/>
    <w:rsid w:val="009337A4"/>
    <w:rsid w:val="00937428"/>
    <w:rsid w:val="00940583"/>
    <w:rsid w:val="009422CD"/>
    <w:rsid w:val="00943578"/>
    <w:rsid w:val="00943EE1"/>
    <w:rsid w:val="00943FD1"/>
    <w:rsid w:val="00944876"/>
    <w:rsid w:val="0094522E"/>
    <w:rsid w:val="009465B8"/>
    <w:rsid w:val="00947ED9"/>
    <w:rsid w:val="009508A8"/>
    <w:rsid w:val="00952187"/>
    <w:rsid w:val="00952D51"/>
    <w:rsid w:val="00960997"/>
    <w:rsid w:val="00960B88"/>
    <w:rsid w:val="00960F0B"/>
    <w:rsid w:val="00961E3A"/>
    <w:rsid w:val="00962714"/>
    <w:rsid w:val="009648BC"/>
    <w:rsid w:val="009657C5"/>
    <w:rsid w:val="009658C4"/>
    <w:rsid w:val="00967C55"/>
    <w:rsid w:val="00967F78"/>
    <w:rsid w:val="009726DA"/>
    <w:rsid w:val="0097396D"/>
    <w:rsid w:val="00980155"/>
    <w:rsid w:val="00980890"/>
    <w:rsid w:val="00982360"/>
    <w:rsid w:val="00982400"/>
    <w:rsid w:val="009826A9"/>
    <w:rsid w:val="0098276B"/>
    <w:rsid w:val="0098386C"/>
    <w:rsid w:val="00984C68"/>
    <w:rsid w:val="0098650E"/>
    <w:rsid w:val="00990277"/>
    <w:rsid w:val="00991DE7"/>
    <w:rsid w:val="0099224E"/>
    <w:rsid w:val="009923B0"/>
    <w:rsid w:val="00994284"/>
    <w:rsid w:val="0099490E"/>
    <w:rsid w:val="00994E30"/>
    <w:rsid w:val="009954FB"/>
    <w:rsid w:val="009959D7"/>
    <w:rsid w:val="00996BE5"/>
    <w:rsid w:val="00997227"/>
    <w:rsid w:val="009A196B"/>
    <w:rsid w:val="009A4582"/>
    <w:rsid w:val="009A507B"/>
    <w:rsid w:val="009A57DC"/>
    <w:rsid w:val="009A582E"/>
    <w:rsid w:val="009A58A1"/>
    <w:rsid w:val="009A5B36"/>
    <w:rsid w:val="009A60A0"/>
    <w:rsid w:val="009A6B24"/>
    <w:rsid w:val="009A7651"/>
    <w:rsid w:val="009A7ED7"/>
    <w:rsid w:val="009B0362"/>
    <w:rsid w:val="009B4F64"/>
    <w:rsid w:val="009B62F5"/>
    <w:rsid w:val="009C0C4D"/>
    <w:rsid w:val="009C12C3"/>
    <w:rsid w:val="009C1553"/>
    <w:rsid w:val="009C156E"/>
    <w:rsid w:val="009C3693"/>
    <w:rsid w:val="009C3E76"/>
    <w:rsid w:val="009C3EAB"/>
    <w:rsid w:val="009C63CB"/>
    <w:rsid w:val="009C6F39"/>
    <w:rsid w:val="009D0378"/>
    <w:rsid w:val="009D0F9C"/>
    <w:rsid w:val="009D2849"/>
    <w:rsid w:val="009D3E29"/>
    <w:rsid w:val="009D4B7B"/>
    <w:rsid w:val="009D4BFE"/>
    <w:rsid w:val="009D5500"/>
    <w:rsid w:val="009D5F06"/>
    <w:rsid w:val="009D6371"/>
    <w:rsid w:val="009E0245"/>
    <w:rsid w:val="009E1031"/>
    <w:rsid w:val="009E131C"/>
    <w:rsid w:val="009E18E2"/>
    <w:rsid w:val="009E1E2F"/>
    <w:rsid w:val="009E1E78"/>
    <w:rsid w:val="009E2E22"/>
    <w:rsid w:val="009E2E29"/>
    <w:rsid w:val="009E3129"/>
    <w:rsid w:val="009E3144"/>
    <w:rsid w:val="009E322E"/>
    <w:rsid w:val="009E3424"/>
    <w:rsid w:val="009E34FA"/>
    <w:rsid w:val="009E3E46"/>
    <w:rsid w:val="009E47C2"/>
    <w:rsid w:val="009E6C8C"/>
    <w:rsid w:val="009E7594"/>
    <w:rsid w:val="009F0E68"/>
    <w:rsid w:val="009F1157"/>
    <w:rsid w:val="009F265D"/>
    <w:rsid w:val="009F552B"/>
    <w:rsid w:val="009F5606"/>
    <w:rsid w:val="009F62D0"/>
    <w:rsid w:val="009F7509"/>
    <w:rsid w:val="00A00EAC"/>
    <w:rsid w:val="00A010F7"/>
    <w:rsid w:val="00A0161D"/>
    <w:rsid w:val="00A01F9B"/>
    <w:rsid w:val="00A02FFF"/>
    <w:rsid w:val="00A04B29"/>
    <w:rsid w:val="00A04E61"/>
    <w:rsid w:val="00A058D3"/>
    <w:rsid w:val="00A05E58"/>
    <w:rsid w:val="00A05FBB"/>
    <w:rsid w:val="00A06A52"/>
    <w:rsid w:val="00A06E21"/>
    <w:rsid w:val="00A07CB6"/>
    <w:rsid w:val="00A105A1"/>
    <w:rsid w:val="00A10CB2"/>
    <w:rsid w:val="00A11953"/>
    <w:rsid w:val="00A13587"/>
    <w:rsid w:val="00A13AA1"/>
    <w:rsid w:val="00A13FD5"/>
    <w:rsid w:val="00A143BB"/>
    <w:rsid w:val="00A16FBA"/>
    <w:rsid w:val="00A178DE"/>
    <w:rsid w:val="00A213E6"/>
    <w:rsid w:val="00A221B9"/>
    <w:rsid w:val="00A22F2C"/>
    <w:rsid w:val="00A23671"/>
    <w:rsid w:val="00A24252"/>
    <w:rsid w:val="00A253B6"/>
    <w:rsid w:val="00A301D9"/>
    <w:rsid w:val="00A30284"/>
    <w:rsid w:val="00A30D9B"/>
    <w:rsid w:val="00A3249E"/>
    <w:rsid w:val="00A34EC8"/>
    <w:rsid w:val="00A362DD"/>
    <w:rsid w:val="00A369A8"/>
    <w:rsid w:val="00A36B0C"/>
    <w:rsid w:val="00A37098"/>
    <w:rsid w:val="00A373BD"/>
    <w:rsid w:val="00A37910"/>
    <w:rsid w:val="00A4032E"/>
    <w:rsid w:val="00A403AF"/>
    <w:rsid w:val="00A406F5"/>
    <w:rsid w:val="00A409A3"/>
    <w:rsid w:val="00A411E4"/>
    <w:rsid w:val="00A41879"/>
    <w:rsid w:val="00A43179"/>
    <w:rsid w:val="00A4413C"/>
    <w:rsid w:val="00A44815"/>
    <w:rsid w:val="00A44821"/>
    <w:rsid w:val="00A45A0D"/>
    <w:rsid w:val="00A46C5A"/>
    <w:rsid w:val="00A47688"/>
    <w:rsid w:val="00A47A42"/>
    <w:rsid w:val="00A47B0C"/>
    <w:rsid w:val="00A50586"/>
    <w:rsid w:val="00A52504"/>
    <w:rsid w:val="00A52844"/>
    <w:rsid w:val="00A52B16"/>
    <w:rsid w:val="00A53E96"/>
    <w:rsid w:val="00A5554D"/>
    <w:rsid w:val="00A565B8"/>
    <w:rsid w:val="00A56737"/>
    <w:rsid w:val="00A57A7A"/>
    <w:rsid w:val="00A60F9F"/>
    <w:rsid w:val="00A61244"/>
    <w:rsid w:val="00A61DEC"/>
    <w:rsid w:val="00A62FF6"/>
    <w:rsid w:val="00A633B9"/>
    <w:rsid w:val="00A645D0"/>
    <w:rsid w:val="00A646FE"/>
    <w:rsid w:val="00A64F21"/>
    <w:rsid w:val="00A64F6C"/>
    <w:rsid w:val="00A657FF"/>
    <w:rsid w:val="00A66761"/>
    <w:rsid w:val="00A669BD"/>
    <w:rsid w:val="00A66E95"/>
    <w:rsid w:val="00A67751"/>
    <w:rsid w:val="00A704F5"/>
    <w:rsid w:val="00A706F1"/>
    <w:rsid w:val="00A71EAE"/>
    <w:rsid w:val="00A71FFE"/>
    <w:rsid w:val="00A720E3"/>
    <w:rsid w:val="00A72B14"/>
    <w:rsid w:val="00A73546"/>
    <w:rsid w:val="00A75474"/>
    <w:rsid w:val="00A77BA8"/>
    <w:rsid w:val="00A81F1A"/>
    <w:rsid w:val="00A86397"/>
    <w:rsid w:val="00A871A3"/>
    <w:rsid w:val="00A90044"/>
    <w:rsid w:val="00A90395"/>
    <w:rsid w:val="00A90CE5"/>
    <w:rsid w:val="00A91BE4"/>
    <w:rsid w:val="00A92262"/>
    <w:rsid w:val="00A9294B"/>
    <w:rsid w:val="00A92BB2"/>
    <w:rsid w:val="00A93FD3"/>
    <w:rsid w:val="00A94F2F"/>
    <w:rsid w:val="00A9655B"/>
    <w:rsid w:val="00A96B4F"/>
    <w:rsid w:val="00A973E5"/>
    <w:rsid w:val="00A97A75"/>
    <w:rsid w:val="00A97B2D"/>
    <w:rsid w:val="00A97F28"/>
    <w:rsid w:val="00AA0A99"/>
    <w:rsid w:val="00AA0CF9"/>
    <w:rsid w:val="00AA1068"/>
    <w:rsid w:val="00AA230A"/>
    <w:rsid w:val="00AA362F"/>
    <w:rsid w:val="00AA38BC"/>
    <w:rsid w:val="00AA44C0"/>
    <w:rsid w:val="00AA5376"/>
    <w:rsid w:val="00AA5EA1"/>
    <w:rsid w:val="00AA6685"/>
    <w:rsid w:val="00AA736F"/>
    <w:rsid w:val="00AA75E0"/>
    <w:rsid w:val="00AA7830"/>
    <w:rsid w:val="00AB02DD"/>
    <w:rsid w:val="00AB1C44"/>
    <w:rsid w:val="00AB2779"/>
    <w:rsid w:val="00AB2CF3"/>
    <w:rsid w:val="00AB44ED"/>
    <w:rsid w:val="00AB45A6"/>
    <w:rsid w:val="00AB4AC5"/>
    <w:rsid w:val="00AB6AF5"/>
    <w:rsid w:val="00AB771B"/>
    <w:rsid w:val="00AB7C37"/>
    <w:rsid w:val="00AC0620"/>
    <w:rsid w:val="00AC18BE"/>
    <w:rsid w:val="00AC2784"/>
    <w:rsid w:val="00AC279E"/>
    <w:rsid w:val="00AC319E"/>
    <w:rsid w:val="00AC540A"/>
    <w:rsid w:val="00AC5D5C"/>
    <w:rsid w:val="00AC605D"/>
    <w:rsid w:val="00AC64F2"/>
    <w:rsid w:val="00AC734B"/>
    <w:rsid w:val="00AC7952"/>
    <w:rsid w:val="00AD4087"/>
    <w:rsid w:val="00AD4242"/>
    <w:rsid w:val="00AD5A26"/>
    <w:rsid w:val="00AD78D0"/>
    <w:rsid w:val="00AD7F94"/>
    <w:rsid w:val="00AE0199"/>
    <w:rsid w:val="00AE12F9"/>
    <w:rsid w:val="00AE1A74"/>
    <w:rsid w:val="00AE2BE5"/>
    <w:rsid w:val="00AE34AE"/>
    <w:rsid w:val="00AE613C"/>
    <w:rsid w:val="00AE626B"/>
    <w:rsid w:val="00AE6EC2"/>
    <w:rsid w:val="00AE7038"/>
    <w:rsid w:val="00AE76C0"/>
    <w:rsid w:val="00AE7B34"/>
    <w:rsid w:val="00AF0BE3"/>
    <w:rsid w:val="00AF1083"/>
    <w:rsid w:val="00AF24CA"/>
    <w:rsid w:val="00AF2982"/>
    <w:rsid w:val="00AF3619"/>
    <w:rsid w:val="00AF5A2E"/>
    <w:rsid w:val="00AF5B4C"/>
    <w:rsid w:val="00AF5E98"/>
    <w:rsid w:val="00AF6407"/>
    <w:rsid w:val="00AF7AE1"/>
    <w:rsid w:val="00B00A0F"/>
    <w:rsid w:val="00B00CF6"/>
    <w:rsid w:val="00B01A11"/>
    <w:rsid w:val="00B01F29"/>
    <w:rsid w:val="00B022F6"/>
    <w:rsid w:val="00B023A1"/>
    <w:rsid w:val="00B023D3"/>
    <w:rsid w:val="00B02966"/>
    <w:rsid w:val="00B04BD9"/>
    <w:rsid w:val="00B061DD"/>
    <w:rsid w:val="00B0622D"/>
    <w:rsid w:val="00B0682A"/>
    <w:rsid w:val="00B10F0C"/>
    <w:rsid w:val="00B111C6"/>
    <w:rsid w:val="00B115BF"/>
    <w:rsid w:val="00B11A5E"/>
    <w:rsid w:val="00B12A84"/>
    <w:rsid w:val="00B13743"/>
    <w:rsid w:val="00B13ADE"/>
    <w:rsid w:val="00B17391"/>
    <w:rsid w:val="00B21366"/>
    <w:rsid w:val="00B215C4"/>
    <w:rsid w:val="00B23485"/>
    <w:rsid w:val="00B23874"/>
    <w:rsid w:val="00B23A57"/>
    <w:rsid w:val="00B23B42"/>
    <w:rsid w:val="00B2461F"/>
    <w:rsid w:val="00B3321B"/>
    <w:rsid w:val="00B33BCD"/>
    <w:rsid w:val="00B33C33"/>
    <w:rsid w:val="00B34612"/>
    <w:rsid w:val="00B4079A"/>
    <w:rsid w:val="00B40E69"/>
    <w:rsid w:val="00B424DA"/>
    <w:rsid w:val="00B4354F"/>
    <w:rsid w:val="00B4359F"/>
    <w:rsid w:val="00B4437D"/>
    <w:rsid w:val="00B44B78"/>
    <w:rsid w:val="00B44E2E"/>
    <w:rsid w:val="00B51DB6"/>
    <w:rsid w:val="00B52ACC"/>
    <w:rsid w:val="00B53084"/>
    <w:rsid w:val="00B57903"/>
    <w:rsid w:val="00B57AD7"/>
    <w:rsid w:val="00B60692"/>
    <w:rsid w:val="00B60D66"/>
    <w:rsid w:val="00B61F26"/>
    <w:rsid w:val="00B620FD"/>
    <w:rsid w:val="00B62984"/>
    <w:rsid w:val="00B632AC"/>
    <w:rsid w:val="00B640A7"/>
    <w:rsid w:val="00B643C0"/>
    <w:rsid w:val="00B67AEA"/>
    <w:rsid w:val="00B708F8"/>
    <w:rsid w:val="00B708FC"/>
    <w:rsid w:val="00B732A7"/>
    <w:rsid w:val="00B735B6"/>
    <w:rsid w:val="00B73CB5"/>
    <w:rsid w:val="00B73F6D"/>
    <w:rsid w:val="00B746F0"/>
    <w:rsid w:val="00B75C16"/>
    <w:rsid w:val="00B75CF9"/>
    <w:rsid w:val="00B76558"/>
    <w:rsid w:val="00B7725E"/>
    <w:rsid w:val="00B776B4"/>
    <w:rsid w:val="00B779EB"/>
    <w:rsid w:val="00B80129"/>
    <w:rsid w:val="00B803A1"/>
    <w:rsid w:val="00B811E0"/>
    <w:rsid w:val="00B811FD"/>
    <w:rsid w:val="00B81AD9"/>
    <w:rsid w:val="00B82052"/>
    <w:rsid w:val="00B83338"/>
    <w:rsid w:val="00B84A20"/>
    <w:rsid w:val="00B85429"/>
    <w:rsid w:val="00B85AA4"/>
    <w:rsid w:val="00B86FD8"/>
    <w:rsid w:val="00B87D14"/>
    <w:rsid w:val="00B90F10"/>
    <w:rsid w:val="00B913F5"/>
    <w:rsid w:val="00B92A75"/>
    <w:rsid w:val="00B93A3A"/>
    <w:rsid w:val="00B94C3D"/>
    <w:rsid w:val="00B95584"/>
    <w:rsid w:val="00B964A7"/>
    <w:rsid w:val="00B966C1"/>
    <w:rsid w:val="00B96BC8"/>
    <w:rsid w:val="00B971DD"/>
    <w:rsid w:val="00B97C38"/>
    <w:rsid w:val="00BA01E8"/>
    <w:rsid w:val="00BA157D"/>
    <w:rsid w:val="00BA26E1"/>
    <w:rsid w:val="00BA331B"/>
    <w:rsid w:val="00BA3565"/>
    <w:rsid w:val="00BA3647"/>
    <w:rsid w:val="00BA408A"/>
    <w:rsid w:val="00BA44A0"/>
    <w:rsid w:val="00BA45D8"/>
    <w:rsid w:val="00BA496A"/>
    <w:rsid w:val="00BA61DB"/>
    <w:rsid w:val="00BB1599"/>
    <w:rsid w:val="00BB3F89"/>
    <w:rsid w:val="00BB3FD1"/>
    <w:rsid w:val="00BB6D40"/>
    <w:rsid w:val="00BB7B33"/>
    <w:rsid w:val="00BC0014"/>
    <w:rsid w:val="00BC0388"/>
    <w:rsid w:val="00BC2F99"/>
    <w:rsid w:val="00BC30AB"/>
    <w:rsid w:val="00BC3B7E"/>
    <w:rsid w:val="00BC4E49"/>
    <w:rsid w:val="00BC504D"/>
    <w:rsid w:val="00BC5565"/>
    <w:rsid w:val="00BC5940"/>
    <w:rsid w:val="00BC6060"/>
    <w:rsid w:val="00BC6179"/>
    <w:rsid w:val="00BC6EDE"/>
    <w:rsid w:val="00BC75C7"/>
    <w:rsid w:val="00BD0360"/>
    <w:rsid w:val="00BD4C67"/>
    <w:rsid w:val="00BD545B"/>
    <w:rsid w:val="00BD5A87"/>
    <w:rsid w:val="00BD6226"/>
    <w:rsid w:val="00BD70F0"/>
    <w:rsid w:val="00BD7C2F"/>
    <w:rsid w:val="00BE1EB9"/>
    <w:rsid w:val="00BE1EC7"/>
    <w:rsid w:val="00BE3FF7"/>
    <w:rsid w:val="00BE45AC"/>
    <w:rsid w:val="00BE4EFF"/>
    <w:rsid w:val="00BE5D13"/>
    <w:rsid w:val="00BE60BE"/>
    <w:rsid w:val="00BE651F"/>
    <w:rsid w:val="00BE6601"/>
    <w:rsid w:val="00BF038D"/>
    <w:rsid w:val="00BF1C88"/>
    <w:rsid w:val="00BF2061"/>
    <w:rsid w:val="00BF24D3"/>
    <w:rsid w:val="00BF266E"/>
    <w:rsid w:val="00BF3FF9"/>
    <w:rsid w:val="00BF500C"/>
    <w:rsid w:val="00BF6575"/>
    <w:rsid w:val="00BF6AE6"/>
    <w:rsid w:val="00C0086B"/>
    <w:rsid w:val="00C00B9F"/>
    <w:rsid w:val="00C00E5D"/>
    <w:rsid w:val="00C01618"/>
    <w:rsid w:val="00C0216E"/>
    <w:rsid w:val="00C029AC"/>
    <w:rsid w:val="00C0371C"/>
    <w:rsid w:val="00C03DB9"/>
    <w:rsid w:val="00C0498E"/>
    <w:rsid w:val="00C04AA4"/>
    <w:rsid w:val="00C067AF"/>
    <w:rsid w:val="00C069BE"/>
    <w:rsid w:val="00C111BE"/>
    <w:rsid w:val="00C1259F"/>
    <w:rsid w:val="00C12F3D"/>
    <w:rsid w:val="00C149F0"/>
    <w:rsid w:val="00C14A75"/>
    <w:rsid w:val="00C14DED"/>
    <w:rsid w:val="00C16265"/>
    <w:rsid w:val="00C2032A"/>
    <w:rsid w:val="00C22CCC"/>
    <w:rsid w:val="00C234B8"/>
    <w:rsid w:val="00C23899"/>
    <w:rsid w:val="00C23BEC"/>
    <w:rsid w:val="00C27A2D"/>
    <w:rsid w:val="00C3006E"/>
    <w:rsid w:val="00C30695"/>
    <w:rsid w:val="00C31C0D"/>
    <w:rsid w:val="00C32736"/>
    <w:rsid w:val="00C3287B"/>
    <w:rsid w:val="00C34C65"/>
    <w:rsid w:val="00C35464"/>
    <w:rsid w:val="00C366D0"/>
    <w:rsid w:val="00C42455"/>
    <w:rsid w:val="00C4471E"/>
    <w:rsid w:val="00C44DB5"/>
    <w:rsid w:val="00C45228"/>
    <w:rsid w:val="00C45C8F"/>
    <w:rsid w:val="00C46565"/>
    <w:rsid w:val="00C46C58"/>
    <w:rsid w:val="00C472B1"/>
    <w:rsid w:val="00C4785F"/>
    <w:rsid w:val="00C5006E"/>
    <w:rsid w:val="00C514BF"/>
    <w:rsid w:val="00C51744"/>
    <w:rsid w:val="00C54466"/>
    <w:rsid w:val="00C54A80"/>
    <w:rsid w:val="00C558A6"/>
    <w:rsid w:val="00C60607"/>
    <w:rsid w:val="00C61C5B"/>
    <w:rsid w:val="00C627C7"/>
    <w:rsid w:val="00C6388E"/>
    <w:rsid w:val="00C63BF5"/>
    <w:rsid w:val="00C64E2A"/>
    <w:rsid w:val="00C65849"/>
    <w:rsid w:val="00C66169"/>
    <w:rsid w:val="00C6767A"/>
    <w:rsid w:val="00C70901"/>
    <w:rsid w:val="00C725C3"/>
    <w:rsid w:val="00C741E9"/>
    <w:rsid w:val="00C749CE"/>
    <w:rsid w:val="00C74A07"/>
    <w:rsid w:val="00C74CF1"/>
    <w:rsid w:val="00C7621A"/>
    <w:rsid w:val="00C76D5F"/>
    <w:rsid w:val="00C776E3"/>
    <w:rsid w:val="00C80FA9"/>
    <w:rsid w:val="00C81DD8"/>
    <w:rsid w:val="00C82A60"/>
    <w:rsid w:val="00C82E2A"/>
    <w:rsid w:val="00C84EFB"/>
    <w:rsid w:val="00C85022"/>
    <w:rsid w:val="00C853E3"/>
    <w:rsid w:val="00C85D20"/>
    <w:rsid w:val="00C86D57"/>
    <w:rsid w:val="00C87EA0"/>
    <w:rsid w:val="00C90175"/>
    <w:rsid w:val="00C90503"/>
    <w:rsid w:val="00C91AE9"/>
    <w:rsid w:val="00C931AF"/>
    <w:rsid w:val="00C94180"/>
    <w:rsid w:val="00C94CB2"/>
    <w:rsid w:val="00C9532E"/>
    <w:rsid w:val="00C9567E"/>
    <w:rsid w:val="00C962A2"/>
    <w:rsid w:val="00C97124"/>
    <w:rsid w:val="00CA04E7"/>
    <w:rsid w:val="00CA05DE"/>
    <w:rsid w:val="00CA0FAA"/>
    <w:rsid w:val="00CA1951"/>
    <w:rsid w:val="00CA1E75"/>
    <w:rsid w:val="00CA2074"/>
    <w:rsid w:val="00CA2728"/>
    <w:rsid w:val="00CA2C73"/>
    <w:rsid w:val="00CA301A"/>
    <w:rsid w:val="00CA38F1"/>
    <w:rsid w:val="00CA51E0"/>
    <w:rsid w:val="00CA5DDB"/>
    <w:rsid w:val="00CA60D1"/>
    <w:rsid w:val="00CA62DC"/>
    <w:rsid w:val="00CA6D36"/>
    <w:rsid w:val="00CA71F7"/>
    <w:rsid w:val="00CB0254"/>
    <w:rsid w:val="00CB0CDD"/>
    <w:rsid w:val="00CB0D24"/>
    <w:rsid w:val="00CB12A7"/>
    <w:rsid w:val="00CB2D5E"/>
    <w:rsid w:val="00CB3A52"/>
    <w:rsid w:val="00CB3DA1"/>
    <w:rsid w:val="00CB53DD"/>
    <w:rsid w:val="00CB6624"/>
    <w:rsid w:val="00CB7776"/>
    <w:rsid w:val="00CB7A1D"/>
    <w:rsid w:val="00CC0BAD"/>
    <w:rsid w:val="00CC3D9A"/>
    <w:rsid w:val="00CC5EA5"/>
    <w:rsid w:val="00CC6914"/>
    <w:rsid w:val="00CC71FB"/>
    <w:rsid w:val="00CD017F"/>
    <w:rsid w:val="00CD181A"/>
    <w:rsid w:val="00CD2CE7"/>
    <w:rsid w:val="00CD2F6F"/>
    <w:rsid w:val="00CD35AB"/>
    <w:rsid w:val="00CD3A19"/>
    <w:rsid w:val="00CD45F9"/>
    <w:rsid w:val="00CD4B75"/>
    <w:rsid w:val="00CD6961"/>
    <w:rsid w:val="00CD727D"/>
    <w:rsid w:val="00CE142F"/>
    <w:rsid w:val="00CE2437"/>
    <w:rsid w:val="00CE2BB3"/>
    <w:rsid w:val="00CF1051"/>
    <w:rsid w:val="00CF1800"/>
    <w:rsid w:val="00CF2084"/>
    <w:rsid w:val="00CF392A"/>
    <w:rsid w:val="00CF5A6C"/>
    <w:rsid w:val="00CF68E2"/>
    <w:rsid w:val="00CF6B6D"/>
    <w:rsid w:val="00CF6E66"/>
    <w:rsid w:val="00D0091F"/>
    <w:rsid w:val="00D019E0"/>
    <w:rsid w:val="00D01FC8"/>
    <w:rsid w:val="00D024DF"/>
    <w:rsid w:val="00D02BB2"/>
    <w:rsid w:val="00D02F02"/>
    <w:rsid w:val="00D0415E"/>
    <w:rsid w:val="00D04AA1"/>
    <w:rsid w:val="00D062E7"/>
    <w:rsid w:val="00D06F20"/>
    <w:rsid w:val="00D077F5"/>
    <w:rsid w:val="00D1075E"/>
    <w:rsid w:val="00D11318"/>
    <w:rsid w:val="00D1240F"/>
    <w:rsid w:val="00D1468E"/>
    <w:rsid w:val="00D15ECD"/>
    <w:rsid w:val="00D206AD"/>
    <w:rsid w:val="00D21E17"/>
    <w:rsid w:val="00D2200D"/>
    <w:rsid w:val="00D22C0E"/>
    <w:rsid w:val="00D25E5C"/>
    <w:rsid w:val="00D270B2"/>
    <w:rsid w:val="00D2712D"/>
    <w:rsid w:val="00D27CBF"/>
    <w:rsid w:val="00D30CBD"/>
    <w:rsid w:val="00D3133F"/>
    <w:rsid w:val="00D318D9"/>
    <w:rsid w:val="00D32182"/>
    <w:rsid w:val="00D32EC1"/>
    <w:rsid w:val="00D34703"/>
    <w:rsid w:val="00D3488C"/>
    <w:rsid w:val="00D34A3E"/>
    <w:rsid w:val="00D36026"/>
    <w:rsid w:val="00D366A3"/>
    <w:rsid w:val="00D401BC"/>
    <w:rsid w:val="00D410F0"/>
    <w:rsid w:val="00D4124F"/>
    <w:rsid w:val="00D41FDF"/>
    <w:rsid w:val="00D42A9E"/>
    <w:rsid w:val="00D43F4D"/>
    <w:rsid w:val="00D442AC"/>
    <w:rsid w:val="00D445F3"/>
    <w:rsid w:val="00D4527E"/>
    <w:rsid w:val="00D45D78"/>
    <w:rsid w:val="00D4799B"/>
    <w:rsid w:val="00D5022A"/>
    <w:rsid w:val="00D503B0"/>
    <w:rsid w:val="00D50480"/>
    <w:rsid w:val="00D52231"/>
    <w:rsid w:val="00D54CBF"/>
    <w:rsid w:val="00D557A9"/>
    <w:rsid w:val="00D55C20"/>
    <w:rsid w:val="00D57256"/>
    <w:rsid w:val="00D60849"/>
    <w:rsid w:val="00D6251C"/>
    <w:rsid w:val="00D62603"/>
    <w:rsid w:val="00D63AFD"/>
    <w:rsid w:val="00D64E4C"/>
    <w:rsid w:val="00D7069A"/>
    <w:rsid w:val="00D72799"/>
    <w:rsid w:val="00D730AB"/>
    <w:rsid w:val="00D73988"/>
    <w:rsid w:val="00D747CF"/>
    <w:rsid w:val="00D749F2"/>
    <w:rsid w:val="00D75827"/>
    <w:rsid w:val="00D76EA2"/>
    <w:rsid w:val="00D77094"/>
    <w:rsid w:val="00D8092E"/>
    <w:rsid w:val="00D80CCA"/>
    <w:rsid w:val="00D81DB1"/>
    <w:rsid w:val="00D83836"/>
    <w:rsid w:val="00D83E11"/>
    <w:rsid w:val="00D843CA"/>
    <w:rsid w:val="00D84AA8"/>
    <w:rsid w:val="00D8503A"/>
    <w:rsid w:val="00D85C6F"/>
    <w:rsid w:val="00D8641B"/>
    <w:rsid w:val="00D910D1"/>
    <w:rsid w:val="00D91C60"/>
    <w:rsid w:val="00D91DF9"/>
    <w:rsid w:val="00D931E3"/>
    <w:rsid w:val="00D93AB7"/>
    <w:rsid w:val="00D941A5"/>
    <w:rsid w:val="00D944F9"/>
    <w:rsid w:val="00D970A9"/>
    <w:rsid w:val="00DA0DD1"/>
    <w:rsid w:val="00DA0F19"/>
    <w:rsid w:val="00DA3530"/>
    <w:rsid w:val="00DA36EF"/>
    <w:rsid w:val="00DA3A49"/>
    <w:rsid w:val="00DA45F1"/>
    <w:rsid w:val="00DA57AB"/>
    <w:rsid w:val="00DA7051"/>
    <w:rsid w:val="00DB0867"/>
    <w:rsid w:val="00DB355E"/>
    <w:rsid w:val="00DB3F23"/>
    <w:rsid w:val="00DB419F"/>
    <w:rsid w:val="00DB49D1"/>
    <w:rsid w:val="00DB5E67"/>
    <w:rsid w:val="00DB7F13"/>
    <w:rsid w:val="00DC1F3E"/>
    <w:rsid w:val="00DC20C0"/>
    <w:rsid w:val="00DC315C"/>
    <w:rsid w:val="00DC336D"/>
    <w:rsid w:val="00DC6413"/>
    <w:rsid w:val="00DD0E60"/>
    <w:rsid w:val="00DD2B30"/>
    <w:rsid w:val="00DD304D"/>
    <w:rsid w:val="00DD31D1"/>
    <w:rsid w:val="00DD37AF"/>
    <w:rsid w:val="00DD399B"/>
    <w:rsid w:val="00DD4832"/>
    <w:rsid w:val="00DD4BC1"/>
    <w:rsid w:val="00DE1BE7"/>
    <w:rsid w:val="00DE29CA"/>
    <w:rsid w:val="00DE31E4"/>
    <w:rsid w:val="00DE6697"/>
    <w:rsid w:val="00DE6F7D"/>
    <w:rsid w:val="00DE753D"/>
    <w:rsid w:val="00DF14C3"/>
    <w:rsid w:val="00DF15AC"/>
    <w:rsid w:val="00DF2BF6"/>
    <w:rsid w:val="00DF410B"/>
    <w:rsid w:val="00DF587E"/>
    <w:rsid w:val="00DF58FD"/>
    <w:rsid w:val="00DF5948"/>
    <w:rsid w:val="00DF634D"/>
    <w:rsid w:val="00DF6D26"/>
    <w:rsid w:val="00DF7064"/>
    <w:rsid w:val="00E00E82"/>
    <w:rsid w:val="00E0318C"/>
    <w:rsid w:val="00E03FB8"/>
    <w:rsid w:val="00E0478A"/>
    <w:rsid w:val="00E049FF"/>
    <w:rsid w:val="00E04F86"/>
    <w:rsid w:val="00E06074"/>
    <w:rsid w:val="00E073A6"/>
    <w:rsid w:val="00E10732"/>
    <w:rsid w:val="00E12D81"/>
    <w:rsid w:val="00E1529A"/>
    <w:rsid w:val="00E202B7"/>
    <w:rsid w:val="00E21623"/>
    <w:rsid w:val="00E21872"/>
    <w:rsid w:val="00E219F9"/>
    <w:rsid w:val="00E233A4"/>
    <w:rsid w:val="00E2344E"/>
    <w:rsid w:val="00E236CA"/>
    <w:rsid w:val="00E2428C"/>
    <w:rsid w:val="00E242CD"/>
    <w:rsid w:val="00E2462C"/>
    <w:rsid w:val="00E2653B"/>
    <w:rsid w:val="00E271ED"/>
    <w:rsid w:val="00E32093"/>
    <w:rsid w:val="00E324CF"/>
    <w:rsid w:val="00E33277"/>
    <w:rsid w:val="00E33E8F"/>
    <w:rsid w:val="00E34EC3"/>
    <w:rsid w:val="00E35098"/>
    <w:rsid w:val="00E35468"/>
    <w:rsid w:val="00E36031"/>
    <w:rsid w:val="00E36754"/>
    <w:rsid w:val="00E415FF"/>
    <w:rsid w:val="00E41849"/>
    <w:rsid w:val="00E428BC"/>
    <w:rsid w:val="00E43B8C"/>
    <w:rsid w:val="00E44F4E"/>
    <w:rsid w:val="00E4689B"/>
    <w:rsid w:val="00E503F6"/>
    <w:rsid w:val="00E50F28"/>
    <w:rsid w:val="00E538ED"/>
    <w:rsid w:val="00E53D39"/>
    <w:rsid w:val="00E557C7"/>
    <w:rsid w:val="00E5697F"/>
    <w:rsid w:val="00E57822"/>
    <w:rsid w:val="00E57885"/>
    <w:rsid w:val="00E579CE"/>
    <w:rsid w:val="00E57C0E"/>
    <w:rsid w:val="00E60819"/>
    <w:rsid w:val="00E6148B"/>
    <w:rsid w:val="00E61D43"/>
    <w:rsid w:val="00E61E88"/>
    <w:rsid w:val="00E61FF3"/>
    <w:rsid w:val="00E62AEA"/>
    <w:rsid w:val="00E62E17"/>
    <w:rsid w:val="00E631E3"/>
    <w:rsid w:val="00E636E2"/>
    <w:rsid w:val="00E63FFF"/>
    <w:rsid w:val="00E64862"/>
    <w:rsid w:val="00E66CD0"/>
    <w:rsid w:val="00E70E75"/>
    <w:rsid w:val="00E726B3"/>
    <w:rsid w:val="00E72E8C"/>
    <w:rsid w:val="00E73070"/>
    <w:rsid w:val="00E7377B"/>
    <w:rsid w:val="00E74A87"/>
    <w:rsid w:val="00E75FB7"/>
    <w:rsid w:val="00E7611E"/>
    <w:rsid w:val="00E77E37"/>
    <w:rsid w:val="00E80D09"/>
    <w:rsid w:val="00E8442B"/>
    <w:rsid w:val="00E84B70"/>
    <w:rsid w:val="00E86A5F"/>
    <w:rsid w:val="00E8739B"/>
    <w:rsid w:val="00E9127E"/>
    <w:rsid w:val="00E917F3"/>
    <w:rsid w:val="00E920C5"/>
    <w:rsid w:val="00E94157"/>
    <w:rsid w:val="00E94728"/>
    <w:rsid w:val="00E94EE0"/>
    <w:rsid w:val="00E957A6"/>
    <w:rsid w:val="00E9615C"/>
    <w:rsid w:val="00E966F6"/>
    <w:rsid w:val="00E967E5"/>
    <w:rsid w:val="00E96846"/>
    <w:rsid w:val="00EA1329"/>
    <w:rsid w:val="00EA1909"/>
    <w:rsid w:val="00EA1E40"/>
    <w:rsid w:val="00EA256D"/>
    <w:rsid w:val="00EA32C2"/>
    <w:rsid w:val="00EA37DB"/>
    <w:rsid w:val="00EA482A"/>
    <w:rsid w:val="00EA5743"/>
    <w:rsid w:val="00EA5E1A"/>
    <w:rsid w:val="00EA6092"/>
    <w:rsid w:val="00EA76AF"/>
    <w:rsid w:val="00EA798A"/>
    <w:rsid w:val="00EB0A0B"/>
    <w:rsid w:val="00EB0E62"/>
    <w:rsid w:val="00EB21E5"/>
    <w:rsid w:val="00EB2C6C"/>
    <w:rsid w:val="00EB2F2D"/>
    <w:rsid w:val="00EB33D1"/>
    <w:rsid w:val="00EB3450"/>
    <w:rsid w:val="00EB3832"/>
    <w:rsid w:val="00EB5C6B"/>
    <w:rsid w:val="00EB638C"/>
    <w:rsid w:val="00EB75F6"/>
    <w:rsid w:val="00EB7D3C"/>
    <w:rsid w:val="00EC11A3"/>
    <w:rsid w:val="00EC270C"/>
    <w:rsid w:val="00EC32B6"/>
    <w:rsid w:val="00EC49B2"/>
    <w:rsid w:val="00EC5C99"/>
    <w:rsid w:val="00EC7631"/>
    <w:rsid w:val="00EC7CAB"/>
    <w:rsid w:val="00ED4E5A"/>
    <w:rsid w:val="00ED53FC"/>
    <w:rsid w:val="00ED543B"/>
    <w:rsid w:val="00ED63B1"/>
    <w:rsid w:val="00ED6CE9"/>
    <w:rsid w:val="00ED7B68"/>
    <w:rsid w:val="00ED7C0D"/>
    <w:rsid w:val="00EE0000"/>
    <w:rsid w:val="00EE0099"/>
    <w:rsid w:val="00EE0214"/>
    <w:rsid w:val="00EE0467"/>
    <w:rsid w:val="00EE0C4D"/>
    <w:rsid w:val="00EE1C7B"/>
    <w:rsid w:val="00EE1C8B"/>
    <w:rsid w:val="00EE2CE3"/>
    <w:rsid w:val="00EE36D8"/>
    <w:rsid w:val="00EE3DB5"/>
    <w:rsid w:val="00EE3FE5"/>
    <w:rsid w:val="00EE49E8"/>
    <w:rsid w:val="00EE52E9"/>
    <w:rsid w:val="00EE74C4"/>
    <w:rsid w:val="00EF0A70"/>
    <w:rsid w:val="00EF2615"/>
    <w:rsid w:val="00EF3007"/>
    <w:rsid w:val="00EF3CD1"/>
    <w:rsid w:val="00EF44D5"/>
    <w:rsid w:val="00EF504F"/>
    <w:rsid w:val="00EF555A"/>
    <w:rsid w:val="00EF5685"/>
    <w:rsid w:val="00EF5801"/>
    <w:rsid w:val="00EF5837"/>
    <w:rsid w:val="00EF6230"/>
    <w:rsid w:val="00EF6413"/>
    <w:rsid w:val="00EF7321"/>
    <w:rsid w:val="00EF7FDF"/>
    <w:rsid w:val="00F001C0"/>
    <w:rsid w:val="00F010DE"/>
    <w:rsid w:val="00F01855"/>
    <w:rsid w:val="00F024F1"/>
    <w:rsid w:val="00F04A3B"/>
    <w:rsid w:val="00F05DF4"/>
    <w:rsid w:val="00F05F85"/>
    <w:rsid w:val="00F07CA1"/>
    <w:rsid w:val="00F10E8E"/>
    <w:rsid w:val="00F12AE6"/>
    <w:rsid w:val="00F1305B"/>
    <w:rsid w:val="00F13E76"/>
    <w:rsid w:val="00F14D0B"/>
    <w:rsid w:val="00F150FC"/>
    <w:rsid w:val="00F1513A"/>
    <w:rsid w:val="00F15224"/>
    <w:rsid w:val="00F15296"/>
    <w:rsid w:val="00F16FD3"/>
    <w:rsid w:val="00F17107"/>
    <w:rsid w:val="00F22969"/>
    <w:rsid w:val="00F2388F"/>
    <w:rsid w:val="00F24A4A"/>
    <w:rsid w:val="00F24A6E"/>
    <w:rsid w:val="00F25967"/>
    <w:rsid w:val="00F25DC5"/>
    <w:rsid w:val="00F26F64"/>
    <w:rsid w:val="00F271CF"/>
    <w:rsid w:val="00F275A5"/>
    <w:rsid w:val="00F2786C"/>
    <w:rsid w:val="00F2791F"/>
    <w:rsid w:val="00F3153C"/>
    <w:rsid w:val="00F31596"/>
    <w:rsid w:val="00F31DB1"/>
    <w:rsid w:val="00F33B29"/>
    <w:rsid w:val="00F34903"/>
    <w:rsid w:val="00F34C73"/>
    <w:rsid w:val="00F34DF3"/>
    <w:rsid w:val="00F36C06"/>
    <w:rsid w:val="00F36EB9"/>
    <w:rsid w:val="00F409D4"/>
    <w:rsid w:val="00F415E5"/>
    <w:rsid w:val="00F44A94"/>
    <w:rsid w:val="00F45D2D"/>
    <w:rsid w:val="00F45FB1"/>
    <w:rsid w:val="00F5181F"/>
    <w:rsid w:val="00F52314"/>
    <w:rsid w:val="00F52A1C"/>
    <w:rsid w:val="00F52D09"/>
    <w:rsid w:val="00F534F8"/>
    <w:rsid w:val="00F53FBF"/>
    <w:rsid w:val="00F544D9"/>
    <w:rsid w:val="00F563C2"/>
    <w:rsid w:val="00F565FE"/>
    <w:rsid w:val="00F56A41"/>
    <w:rsid w:val="00F57219"/>
    <w:rsid w:val="00F6021B"/>
    <w:rsid w:val="00F611FE"/>
    <w:rsid w:val="00F62EA4"/>
    <w:rsid w:val="00F65788"/>
    <w:rsid w:val="00F66891"/>
    <w:rsid w:val="00F6691F"/>
    <w:rsid w:val="00F6708E"/>
    <w:rsid w:val="00F7121B"/>
    <w:rsid w:val="00F714C2"/>
    <w:rsid w:val="00F71F7C"/>
    <w:rsid w:val="00F721EF"/>
    <w:rsid w:val="00F72579"/>
    <w:rsid w:val="00F72AE5"/>
    <w:rsid w:val="00F736D2"/>
    <w:rsid w:val="00F7420A"/>
    <w:rsid w:val="00F750E6"/>
    <w:rsid w:val="00F80514"/>
    <w:rsid w:val="00F82D50"/>
    <w:rsid w:val="00F8368D"/>
    <w:rsid w:val="00F844F9"/>
    <w:rsid w:val="00F85265"/>
    <w:rsid w:val="00F91392"/>
    <w:rsid w:val="00F91ECD"/>
    <w:rsid w:val="00F924C3"/>
    <w:rsid w:val="00F92E9A"/>
    <w:rsid w:val="00F92F37"/>
    <w:rsid w:val="00F934A7"/>
    <w:rsid w:val="00F9406A"/>
    <w:rsid w:val="00F9418A"/>
    <w:rsid w:val="00F942F6"/>
    <w:rsid w:val="00F943ED"/>
    <w:rsid w:val="00F96042"/>
    <w:rsid w:val="00F96D2B"/>
    <w:rsid w:val="00F97307"/>
    <w:rsid w:val="00F97681"/>
    <w:rsid w:val="00FA000D"/>
    <w:rsid w:val="00FA010A"/>
    <w:rsid w:val="00FA02FF"/>
    <w:rsid w:val="00FA1B89"/>
    <w:rsid w:val="00FA2C8D"/>
    <w:rsid w:val="00FA2CA6"/>
    <w:rsid w:val="00FA2FDE"/>
    <w:rsid w:val="00FA43DD"/>
    <w:rsid w:val="00FA4615"/>
    <w:rsid w:val="00FA47EB"/>
    <w:rsid w:val="00FA4DF4"/>
    <w:rsid w:val="00FA5858"/>
    <w:rsid w:val="00FA5D70"/>
    <w:rsid w:val="00FA66A0"/>
    <w:rsid w:val="00FB0BE9"/>
    <w:rsid w:val="00FB0D9C"/>
    <w:rsid w:val="00FB17F0"/>
    <w:rsid w:val="00FB183F"/>
    <w:rsid w:val="00FB38B0"/>
    <w:rsid w:val="00FB3EB6"/>
    <w:rsid w:val="00FB428A"/>
    <w:rsid w:val="00FB4E0A"/>
    <w:rsid w:val="00FB5051"/>
    <w:rsid w:val="00FB5A72"/>
    <w:rsid w:val="00FB5C0A"/>
    <w:rsid w:val="00FC03F1"/>
    <w:rsid w:val="00FC1129"/>
    <w:rsid w:val="00FC2003"/>
    <w:rsid w:val="00FC3EF0"/>
    <w:rsid w:val="00FC4761"/>
    <w:rsid w:val="00FC77EB"/>
    <w:rsid w:val="00FD1743"/>
    <w:rsid w:val="00FD280D"/>
    <w:rsid w:val="00FD358A"/>
    <w:rsid w:val="00FD421B"/>
    <w:rsid w:val="00FD4385"/>
    <w:rsid w:val="00FD5F9E"/>
    <w:rsid w:val="00FD6C62"/>
    <w:rsid w:val="00FE18A5"/>
    <w:rsid w:val="00FE2A51"/>
    <w:rsid w:val="00FE3068"/>
    <w:rsid w:val="00FE326B"/>
    <w:rsid w:val="00FE4638"/>
    <w:rsid w:val="00FE47A5"/>
    <w:rsid w:val="00FE53AB"/>
    <w:rsid w:val="00FE6191"/>
    <w:rsid w:val="00FE6878"/>
    <w:rsid w:val="00FE6A32"/>
    <w:rsid w:val="00FF115A"/>
    <w:rsid w:val="00FF131E"/>
    <w:rsid w:val="00FF14F9"/>
    <w:rsid w:val="00FF15C6"/>
    <w:rsid w:val="00FF1ACE"/>
    <w:rsid w:val="00FF3D74"/>
    <w:rsid w:val="00FF3FFA"/>
    <w:rsid w:val="00FF44A3"/>
    <w:rsid w:val="00FF454A"/>
    <w:rsid w:val="00FF5514"/>
    <w:rsid w:val="00FF7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BCA452B"/>
  <w15:docId w15:val="{EDE3D2DB-F6FF-4E27-A620-5BE19E26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HAnsi" w:hAnsiTheme="majorHAnsi" w:cstheme="minorBidi"/>
        <w:sz w:val="24"/>
        <w:szCs w:val="24"/>
        <w:lang w:val="en-US" w:eastAsia="en-US"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21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31D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D31D1"/>
    <w:pPr>
      <w:autoSpaceDE w:val="0"/>
      <w:autoSpaceDN w:val="0"/>
      <w:adjustRightInd w:val="0"/>
    </w:pPr>
    <w:rPr>
      <w:rFonts w:ascii="Cambria" w:hAnsi="Cambria" w:cs="Cambria"/>
      <w:color w:val="000000"/>
    </w:rPr>
  </w:style>
  <w:style w:type="paragraph" w:styleId="NormalWeb">
    <w:name w:val="Normal (Web)"/>
    <w:basedOn w:val="Normal"/>
    <w:uiPriority w:val="99"/>
    <w:unhideWhenUsed/>
    <w:rsid w:val="00DD31D1"/>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CD6961"/>
    <w:rPr>
      <w:rFonts w:ascii="Tahoma" w:hAnsi="Tahoma" w:cs="Tahoma"/>
      <w:sz w:val="16"/>
      <w:szCs w:val="16"/>
    </w:rPr>
  </w:style>
  <w:style w:type="character" w:customStyle="1" w:styleId="BalloonTextChar">
    <w:name w:val="Balloon Text Char"/>
    <w:basedOn w:val="DefaultParagraphFont"/>
    <w:link w:val="BalloonText"/>
    <w:uiPriority w:val="99"/>
    <w:semiHidden/>
    <w:rsid w:val="00CD6961"/>
    <w:rPr>
      <w:rFonts w:ascii="Tahoma" w:hAnsi="Tahoma" w:cs="Tahoma"/>
      <w:sz w:val="16"/>
      <w:szCs w:val="16"/>
    </w:rPr>
  </w:style>
  <w:style w:type="character" w:styleId="PlaceholderText">
    <w:name w:val="Placeholder Text"/>
    <w:basedOn w:val="DefaultParagraphFont"/>
    <w:uiPriority w:val="99"/>
    <w:semiHidden/>
    <w:rsid w:val="00C74CF1"/>
    <w:rPr>
      <w:color w:val="808080"/>
    </w:rPr>
  </w:style>
  <w:style w:type="paragraph" w:styleId="Header">
    <w:name w:val="header"/>
    <w:basedOn w:val="Normal"/>
    <w:link w:val="HeaderChar"/>
    <w:uiPriority w:val="99"/>
    <w:unhideWhenUsed/>
    <w:rsid w:val="00AD5A26"/>
    <w:pPr>
      <w:tabs>
        <w:tab w:val="center" w:pos="4513"/>
        <w:tab w:val="right" w:pos="9026"/>
      </w:tabs>
      <w:spacing w:before="0"/>
    </w:pPr>
  </w:style>
  <w:style w:type="character" w:customStyle="1" w:styleId="HeaderChar">
    <w:name w:val="Header Char"/>
    <w:basedOn w:val="DefaultParagraphFont"/>
    <w:link w:val="Header"/>
    <w:uiPriority w:val="99"/>
    <w:rsid w:val="00AD5A26"/>
    <w:rPr>
      <w:lang w:val="en-GB"/>
    </w:rPr>
  </w:style>
  <w:style w:type="paragraph" w:styleId="Footer">
    <w:name w:val="footer"/>
    <w:basedOn w:val="Normal"/>
    <w:link w:val="FooterChar"/>
    <w:uiPriority w:val="99"/>
    <w:unhideWhenUsed/>
    <w:rsid w:val="00AD5A26"/>
    <w:pPr>
      <w:tabs>
        <w:tab w:val="center" w:pos="4513"/>
        <w:tab w:val="right" w:pos="9026"/>
      </w:tabs>
      <w:spacing w:before="0"/>
    </w:pPr>
  </w:style>
  <w:style w:type="character" w:customStyle="1" w:styleId="FooterChar">
    <w:name w:val="Footer Char"/>
    <w:basedOn w:val="DefaultParagraphFont"/>
    <w:link w:val="Footer"/>
    <w:uiPriority w:val="99"/>
    <w:rsid w:val="00AD5A26"/>
    <w:rPr>
      <w:lang w:val="en-GB"/>
    </w:rPr>
  </w:style>
  <w:style w:type="character" w:styleId="Hyperlink">
    <w:name w:val="Hyperlink"/>
    <w:basedOn w:val="DefaultParagraphFont"/>
    <w:unhideWhenUsed/>
    <w:rsid w:val="00B4359F"/>
    <w:rPr>
      <w:color w:val="0000FF"/>
      <w:u w:val="single"/>
    </w:rPr>
  </w:style>
  <w:style w:type="paragraph" w:styleId="Title">
    <w:name w:val="Title"/>
    <w:basedOn w:val="Normal"/>
    <w:next w:val="Normal"/>
    <w:link w:val="TitleChar"/>
    <w:uiPriority w:val="10"/>
    <w:qFormat/>
    <w:rsid w:val="00EB75F6"/>
    <w:pPr>
      <w:spacing w:before="0" w:line="340" w:lineRule="exact"/>
      <w:jc w:val="left"/>
      <w:outlineLvl w:val="0"/>
    </w:pPr>
    <w:rPr>
      <w:rFonts w:ascii="Times New Roman" w:eastAsiaTheme="majorEastAsia" w:hAnsi="Times New Roman"/>
      <w:b/>
      <w:bCs/>
      <w:color w:val="78A32E"/>
      <w:kern w:val="28"/>
      <w:sz w:val="32"/>
      <w:szCs w:val="32"/>
      <w:lang w:eastAsia="en-GB"/>
    </w:rPr>
  </w:style>
  <w:style w:type="character" w:customStyle="1" w:styleId="TitleChar">
    <w:name w:val="Title Char"/>
    <w:basedOn w:val="DefaultParagraphFont"/>
    <w:link w:val="Title"/>
    <w:uiPriority w:val="10"/>
    <w:rsid w:val="00EB75F6"/>
    <w:rPr>
      <w:rFonts w:ascii="Times New Roman" w:eastAsiaTheme="majorEastAsia" w:hAnsi="Times New Roman"/>
      <w:b/>
      <w:bCs/>
      <w:color w:val="78A32E"/>
      <w:kern w:val="28"/>
      <w:sz w:val="32"/>
      <w:szCs w:val="32"/>
      <w:lang w:val="en-GB" w:eastAsia="en-GB"/>
    </w:rPr>
  </w:style>
  <w:style w:type="paragraph" w:customStyle="1" w:styleId="Footer1">
    <w:name w:val="Footer1"/>
    <w:basedOn w:val="Normal"/>
    <w:qFormat/>
    <w:rsid w:val="00E36754"/>
    <w:pPr>
      <w:spacing w:before="0" w:after="140" w:line="200" w:lineRule="exact"/>
      <w:jc w:val="left"/>
    </w:pPr>
    <w:rPr>
      <w:rFonts w:ascii="Times New Roman" w:eastAsiaTheme="minorEastAsia" w:hAnsi="Times New Roman"/>
      <w:sz w:val="20"/>
      <w:szCs w:val="22"/>
      <w:lang w:eastAsia="en-GB"/>
    </w:rPr>
  </w:style>
  <w:style w:type="paragraph" w:customStyle="1" w:styleId="Footer2">
    <w:name w:val="Footer2"/>
    <w:basedOn w:val="Normal"/>
    <w:qFormat/>
    <w:rsid w:val="00E36754"/>
    <w:pPr>
      <w:spacing w:before="0" w:line="160" w:lineRule="exact"/>
      <w:jc w:val="left"/>
    </w:pPr>
    <w:rPr>
      <w:rFonts w:ascii="Times New Roman" w:eastAsiaTheme="minorEastAsia" w:hAnsi="Times New Roman"/>
      <w:sz w:val="16"/>
      <w:szCs w:val="22"/>
      <w:lang w:eastAsia="en-GB"/>
    </w:rPr>
  </w:style>
  <w:style w:type="paragraph" w:customStyle="1" w:styleId="Footer3">
    <w:name w:val="Footer3"/>
    <w:basedOn w:val="Footer2"/>
    <w:qFormat/>
    <w:rsid w:val="00E36754"/>
    <w:pPr>
      <w:spacing w:line="200" w:lineRule="exact"/>
    </w:pPr>
    <w:rPr>
      <w:sz w:val="14"/>
    </w:rPr>
  </w:style>
  <w:style w:type="paragraph" w:styleId="ListParagraph">
    <w:name w:val="List Paragraph"/>
    <w:aliases w:val="List Paragraph Main,List first level,Paragraphe EI,Paragraphe de liste1,EC,OBC Bullet,List Paragraph11,List Paragrap,Colorful List - Accent 12,Bullet Styl,Bullet,No Spacing11,L,Recommendation,Recommendati,Recommendatio,List Paragraph3,lp1"/>
    <w:basedOn w:val="Normal"/>
    <w:link w:val="ListParagraphChar"/>
    <w:uiPriority w:val="1"/>
    <w:qFormat/>
    <w:rsid w:val="00E917F3"/>
    <w:pPr>
      <w:spacing w:before="0" w:after="200" w:line="276" w:lineRule="auto"/>
      <w:ind w:left="720"/>
      <w:contextualSpacing/>
      <w:jc w:val="left"/>
    </w:pPr>
    <w:rPr>
      <w:rFonts w:ascii="Cambria" w:eastAsia="Calibri" w:hAnsi="Cambria" w:cs="Times New Roman"/>
    </w:rPr>
  </w:style>
  <w:style w:type="paragraph" w:styleId="FootnoteText">
    <w:name w:val="footnote text"/>
    <w:basedOn w:val="Normal"/>
    <w:link w:val="FootnoteTextChar"/>
    <w:uiPriority w:val="29"/>
    <w:unhideWhenUsed/>
    <w:rsid w:val="0065519C"/>
    <w:pPr>
      <w:spacing w:before="0"/>
    </w:pPr>
    <w:rPr>
      <w:sz w:val="20"/>
      <w:szCs w:val="20"/>
    </w:rPr>
  </w:style>
  <w:style w:type="character" w:customStyle="1" w:styleId="FootnoteTextChar">
    <w:name w:val="Footnote Text Char"/>
    <w:basedOn w:val="DefaultParagraphFont"/>
    <w:link w:val="FootnoteText"/>
    <w:uiPriority w:val="29"/>
    <w:rsid w:val="0065519C"/>
    <w:rPr>
      <w:sz w:val="20"/>
      <w:szCs w:val="20"/>
      <w:lang w:val="en-GB"/>
    </w:rPr>
  </w:style>
  <w:style w:type="character" w:styleId="FootnoteReference">
    <w:name w:val="footnote reference"/>
    <w:basedOn w:val="DefaultParagraphFont"/>
    <w:uiPriority w:val="99"/>
    <w:semiHidden/>
    <w:unhideWhenUsed/>
    <w:rsid w:val="0065519C"/>
    <w:rPr>
      <w:vertAlign w:val="superscript"/>
    </w:rPr>
  </w:style>
  <w:style w:type="paragraph" w:customStyle="1" w:styleId="CM14">
    <w:name w:val="CM1+4"/>
    <w:basedOn w:val="Default"/>
    <w:next w:val="Default"/>
    <w:uiPriority w:val="99"/>
    <w:rsid w:val="00FE6191"/>
    <w:pPr>
      <w:spacing w:before="0"/>
      <w:jc w:val="left"/>
    </w:pPr>
    <w:rPr>
      <w:rFonts w:ascii="EUAlbertina" w:hAnsi="EUAlbertina" w:cstheme="minorBidi"/>
      <w:color w:val="auto"/>
      <w:lang w:val="en-GB"/>
    </w:rPr>
  </w:style>
  <w:style w:type="paragraph" w:customStyle="1" w:styleId="CM34">
    <w:name w:val="CM3+4"/>
    <w:basedOn w:val="Default"/>
    <w:next w:val="Default"/>
    <w:uiPriority w:val="99"/>
    <w:rsid w:val="00FE6191"/>
    <w:pPr>
      <w:spacing w:before="0"/>
      <w:jc w:val="left"/>
    </w:pPr>
    <w:rPr>
      <w:rFonts w:ascii="EUAlbertina" w:hAnsi="EUAlbertina" w:cstheme="minorBidi"/>
      <w:color w:val="auto"/>
      <w:lang w:val="en-GB"/>
    </w:rPr>
  </w:style>
  <w:style w:type="character" w:styleId="CommentReference">
    <w:name w:val="annotation reference"/>
    <w:basedOn w:val="DefaultParagraphFont"/>
    <w:uiPriority w:val="99"/>
    <w:semiHidden/>
    <w:unhideWhenUsed/>
    <w:rsid w:val="00744239"/>
    <w:rPr>
      <w:sz w:val="16"/>
      <w:szCs w:val="16"/>
    </w:rPr>
  </w:style>
  <w:style w:type="paragraph" w:styleId="CommentText">
    <w:name w:val="annotation text"/>
    <w:basedOn w:val="Normal"/>
    <w:link w:val="CommentTextChar"/>
    <w:uiPriority w:val="99"/>
    <w:unhideWhenUsed/>
    <w:rsid w:val="00744239"/>
    <w:rPr>
      <w:sz w:val="20"/>
      <w:szCs w:val="20"/>
    </w:rPr>
  </w:style>
  <w:style w:type="character" w:customStyle="1" w:styleId="CommentTextChar">
    <w:name w:val="Comment Text Char"/>
    <w:basedOn w:val="DefaultParagraphFont"/>
    <w:link w:val="CommentText"/>
    <w:uiPriority w:val="99"/>
    <w:rsid w:val="00744239"/>
    <w:rPr>
      <w:sz w:val="20"/>
      <w:szCs w:val="20"/>
      <w:lang w:val="en-GB"/>
    </w:rPr>
  </w:style>
  <w:style w:type="paragraph" w:styleId="CommentSubject">
    <w:name w:val="annotation subject"/>
    <w:basedOn w:val="CommentText"/>
    <w:next w:val="CommentText"/>
    <w:link w:val="CommentSubjectChar"/>
    <w:uiPriority w:val="99"/>
    <w:semiHidden/>
    <w:unhideWhenUsed/>
    <w:rsid w:val="00744239"/>
    <w:rPr>
      <w:b/>
      <w:bCs/>
    </w:rPr>
  </w:style>
  <w:style w:type="character" w:customStyle="1" w:styleId="CommentSubjectChar">
    <w:name w:val="Comment Subject Char"/>
    <w:basedOn w:val="CommentTextChar"/>
    <w:link w:val="CommentSubject"/>
    <w:uiPriority w:val="99"/>
    <w:semiHidden/>
    <w:rsid w:val="00744239"/>
    <w:rPr>
      <w:b/>
      <w:bCs/>
      <w:sz w:val="20"/>
      <w:szCs w:val="20"/>
      <w:lang w:val="en-GB"/>
    </w:rPr>
  </w:style>
  <w:style w:type="paragraph" w:styleId="PlainText">
    <w:name w:val="Plain Text"/>
    <w:basedOn w:val="Normal"/>
    <w:link w:val="PlainTextChar"/>
    <w:uiPriority w:val="99"/>
    <w:unhideWhenUsed/>
    <w:rsid w:val="000B0777"/>
    <w:pPr>
      <w:spacing w:before="0"/>
      <w:jc w:val="left"/>
    </w:pPr>
    <w:rPr>
      <w:rFonts w:ascii="Consolas" w:hAnsi="Consolas" w:cs="Consolas"/>
      <w:sz w:val="21"/>
      <w:szCs w:val="21"/>
    </w:rPr>
  </w:style>
  <w:style w:type="character" w:customStyle="1" w:styleId="PlainTextChar">
    <w:name w:val="Plain Text Char"/>
    <w:basedOn w:val="DefaultParagraphFont"/>
    <w:link w:val="PlainText"/>
    <w:uiPriority w:val="99"/>
    <w:rsid w:val="000B0777"/>
    <w:rPr>
      <w:rFonts w:ascii="Consolas" w:hAnsi="Consolas" w:cs="Consolas"/>
      <w:sz w:val="21"/>
      <w:szCs w:val="21"/>
      <w:lang w:val="en-GB"/>
    </w:rPr>
  </w:style>
  <w:style w:type="character" w:customStyle="1" w:styleId="ListParagraphChar">
    <w:name w:val="List Paragraph Char"/>
    <w:aliases w:val="List Paragraph Main Char,List first level Char,Paragraphe EI Char,Paragraphe de liste1 Char,EC Char,OBC Bullet Char,List Paragraph11 Char,List Paragrap Char,Colorful List - Accent 12 Char,Bullet Styl Char,Bullet Char,L Char,lp1 Char"/>
    <w:basedOn w:val="DefaultParagraphFont"/>
    <w:link w:val="ListParagraph"/>
    <w:uiPriority w:val="1"/>
    <w:qFormat/>
    <w:locked/>
    <w:rsid w:val="00735FA0"/>
    <w:rPr>
      <w:rFonts w:ascii="Cambria" w:eastAsia="Calibri" w:hAnsi="Cambria" w:cs="Times New Roman"/>
      <w:lang w:val="en-GB"/>
    </w:rPr>
  </w:style>
  <w:style w:type="character" w:customStyle="1" w:styleId="UnresolvedMention1">
    <w:name w:val="Unresolved Mention1"/>
    <w:basedOn w:val="DefaultParagraphFont"/>
    <w:uiPriority w:val="99"/>
    <w:semiHidden/>
    <w:unhideWhenUsed/>
    <w:rsid w:val="00270063"/>
    <w:rPr>
      <w:color w:val="808080"/>
      <w:shd w:val="clear" w:color="auto" w:fill="E6E6E6"/>
    </w:rPr>
  </w:style>
  <w:style w:type="character" w:styleId="FollowedHyperlink">
    <w:name w:val="FollowedHyperlink"/>
    <w:basedOn w:val="DefaultParagraphFont"/>
    <w:uiPriority w:val="99"/>
    <w:semiHidden/>
    <w:unhideWhenUsed/>
    <w:rsid w:val="007F1C82"/>
    <w:rPr>
      <w:color w:val="800080" w:themeColor="followedHyperlink"/>
      <w:u w:val="single"/>
    </w:rPr>
  </w:style>
  <w:style w:type="character" w:styleId="Strong">
    <w:name w:val="Strong"/>
    <w:basedOn w:val="DefaultParagraphFont"/>
    <w:uiPriority w:val="22"/>
    <w:qFormat/>
    <w:rsid w:val="00C16265"/>
    <w:rPr>
      <w:b/>
      <w:bCs/>
    </w:rPr>
  </w:style>
  <w:style w:type="character" w:styleId="UnresolvedMention">
    <w:name w:val="Unresolved Mention"/>
    <w:basedOn w:val="DefaultParagraphFont"/>
    <w:uiPriority w:val="99"/>
    <w:semiHidden/>
    <w:unhideWhenUsed/>
    <w:rsid w:val="00640DD4"/>
    <w:rPr>
      <w:color w:val="605E5C"/>
      <w:shd w:val="clear" w:color="auto" w:fill="E1DFDD"/>
    </w:rPr>
  </w:style>
  <w:style w:type="paragraph" w:styleId="Revision">
    <w:name w:val="Revision"/>
    <w:hidden/>
    <w:uiPriority w:val="99"/>
    <w:semiHidden/>
    <w:rsid w:val="00EE49E8"/>
    <w:pPr>
      <w:spacing w:before="0"/>
      <w:jc w:val="left"/>
    </w:pPr>
    <w:rPr>
      <w:lang w:val="en-GB"/>
    </w:rPr>
  </w:style>
  <w:style w:type="paragraph" w:styleId="BodyText">
    <w:name w:val="Body Text"/>
    <w:basedOn w:val="Normal"/>
    <w:link w:val="BodyTextChar"/>
    <w:qFormat/>
    <w:rsid w:val="00091AEF"/>
    <w:pPr>
      <w:spacing w:before="0" w:after="120" w:line="260" w:lineRule="atLeast"/>
    </w:pPr>
    <w:rPr>
      <w:rFonts w:asciiTheme="minorHAnsi" w:eastAsia="Calibri" w:hAnsiTheme="minorHAnsi" w:cs="Times New Roman"/>
      <w:sz w:val="22"/>
      <w:szCs w:val="22"/>
      <w:lang w:eastAsia="en-GB"/>
    </w:rPr>
  </w:style>
  <w:style w:type="character" w:customStyle="1" w:styleId="BodyTextChar">
    <w:name w:val="Body Text Char"/>
    <w:basedOn w:val="DefaultParagraphFont"/>
    <w:link w:val="BodyText"/>
    <w:rsid w:val="00091AEF"/>
    <w:rPr>
      <w:rFonts w:asciiTheme="minorHAnsi" w:eastAsia="Calibri" w:hAnsiTheme="minorHAnsi" w:cs="Times New Roman"/>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73394">
      <w:bodyDiv w:val="1"/>
      <w:marLeft w:val="0"/>
      <w:marRight w:val="0"/>
      <w:marTop w:val="0"/>
      <w:marBottom w:val="0"/>
      <w:divBdr>
        <w:top w:val="none" w:sz="0" w:space="0" w:color="auto"/>
        <w:left w:val="none" w:sz="0" w:space="0" w:color="auto"/>
        <w:bottom w:val="none" w:sz="0" w:space="0" w:color="auto"/>
        <w:right w:val="none" w:sz="0" w:space="0" w:color="auto"/>
      </w:divBdr>
    </w:div>
    <w:div w:id="159393138">
      <w:bodyDiv w:val="1"/>
      <w:marLeft w:val="0"/>
      <w:marRight w:val="0"/>
      <w:marTop w:val="0"/>
      <w:marBottom w:val="0"/>
      <w:divBdr>
        <w:top w:val="none" w:sz="0" w:space="0" w:color="auto"/>
        <w:left w:val="none" w:sz="0" w:space="0" w:color="auto"/>
        <w:bottom w:val="none" w:sz="0" w:space="0" w:color="auto"/>
        <w:right w:val="none" w:sz="0" w:space="0" w:color="auto"/>
      </w:divBdr>
      <w:divsChild>
        <w:div w:id="916942482">
          <w:marLeft w:val="547"/>
          <w:marRight w:val="0"/>
          <w:marTop w:val="0"/>
          <w:marBottom w:val="0"/>
          <w:divBdr>
            <w:top w:val="none" w:sz="0" w:space="0" w:color="auto"/>
            <w:left w:val="none" w:sz="0" w:space="0" w:color="auto"/>
            <w:bottom w:val="none" w:sz="0" w:space="0" w:color="auto"/>
            <w:right w:val="none" w:sz="0" w:space="0" w:color="auto"/>
          </w:divBdr>
        </w:div>
      </w:divsChild>
    </w:div>
    <w:div w:id="184562762">
      <w:bodyDiv w:val="1"/>
      <w:marLeft w:val="0"/>
      <w:marRight w:val="0"/>
      <w:marTop w:val="0"/>
      <w:marBottom w:val="0"/>
      <w:divBdr>
        <w:top w:val="none" w:sz="0" w:space="0" w:color="auto"/>
        <w:left w:val="none" w:sz="0" w:space="0" w:color="auto"/>
        <w:bottom w:val="none" w:sz="0" w:space="0" w:color="auto"/>
        <w:right w:val="none" w:sz="0" w:space="0" w:color="auto"/>
      </w:divBdr>
      <w:divsChild>
        <w:div w:id="117339635">
          <w:marLeft w:val="1166"/>
          <w:marRight w:val="0"/>
          <w:marTop w:val="60"/>
          <w:marBottom w:val="0"/>
          <w:divBdr>
            <w:top w:val="none" w:sz="0" w:space="0" w:color="auto"/>
            <w:left w:val="none" w:sz="0" w:space="0" w:color="auto"/>
            <w:bottom w:val="none" w:sz="0" w:space="0" w:color="auto"/>
            <w:right w:val="none" w:sz="0" w:space="0" w:color="auto"/>
          </w:divBdr>
        </w:div>
      </w:divsChild>
    </w:div>
    <w:div w:id="195506219">
      <w:bodyDiv w:val="1"/>
      <w:marLeft w:val="0"/>
      <w:marRight w:val="0"/>
      <w:marTop w:val="0"/>
      <w:marBottom w:val="0"/>
      <w:divBdr>
        <w:top w:val="none" w:sz="0" w:space="0" w:color="auto"/>
        <w:left w:val="none" w:sz="0" w:space="0" w:color="auto"/>
        <w:bottom w:val="none" w:sz="0" w:space="0" w:color="auto"/>
        <w:right w:val="none" w:sz="0" w:space="0" w:color="auto"/>
      </w:divBdr>
    </w:div>
    <w:div w:id="202986470">
      <w:bodyDiv w:val="1"/>
      <w:marLeft w:val="0"/>
      <w:marRight w:val="0"/>
      <w:marTop w:val="0"/>
      <w:marBottom w:val="0"/>
      <w:divBdr>
        <w:top w:val="none" w:sz="0" w:space="0" w:color="auto"/>
        <w:left w:val="none" w:sz="0" w:space="0" w:color="auto"/>
        <w:bottom w:val="none" w:sz="0" w:space="0" w:color="auto"/>
        <w:right w:val="none" w:sz="0" w:space="0" w:color="auto"/>
      </w:divBdr>
    </w:div>
    <w:div w:id="216401570">
      <w:bodyDiv w:val="1"/>
      <w:marLeft w:val="0"/>
      <w:marRight w:val="0"/>
      <w:marTop w:val="0"/>
      <w:marBottom w:val="0"/>
      <w:divBdr>
        <w:top w:val="none" w:sz="0" w:space="0" w:color="auto"/>
        <w:left w:val="none" w:sz="0" w:space="0" w:color="auto"/>
        <w:bottom w:val="none" w:sz="0" w:space="0" w:color="auto"/>
        <w:right w:val="none" w:sz="0" w:space="0" w:color="auto"/>
      </w:divBdr>
    </w:div>
    <w:div w:id="248121903">
      <w:bodyDiv w:val="1"/>
      <w:marLeft w:val="0"/>
      <w:marRight w:val="0"/>
      <w:marTop w:val="0"/>
      <w:marBottom w:val="0"/>
      <w:divBdr>
        <w:top w:val="none" w:sz="0" w:space="0" w:color="auto"/>
        <w:left w:val="none" w:sz="0" w:space="0" w:color="auto"/>
        <w:bottom w:val="none" w:sz="0" w:space="0" w:color="auto"/>
        <w:right w:val="none" w:sz="0" w:space="0" w:color="auto"/>
      </w:divBdr>
    </w:div>
    <w:div w:id="291328427">
      <w:bodyDiv w:val="1"/>
      <w:marLeft w:val="0"/>
      <w:marRight w:val="0"/>
      <w:marTop w:val="0"/>
      <w:marBottom w:val="0"/>
      <w:divBdr>
        <w:top w:val="none" w:sz="0" w:space="0" w:color="auto"/>
        <w:left w:val="none" w:sz="0" w:space="0" w:color="auto"/>
        <w:bottom w:val="none" w:sz="0" w:space="0" w:color="auto"/>
        <w:right w:val="none" w:sz="0" w:space="0" w:color="auto"/>
      </w:divBdr>
    </w:div>
    <w:div w:id="308097697">
      <w:bodyDiv w:val="1"/>
      <w:marLeft w:val="0"/>
      <w:marRight w:val="0"/>
      <w:marTop w:val="0"/>
      <w:marBottom w:val="0"/>
      <w:divBdr>
        <w:top w:val="none" w:sz="0" w:space="0" w:color="auto"/>
        <w:left w:val="none" w:sz="0" w:space="0" w:color="auto"/>
        <w:bottom w:val="none" w:sz="0" w:space="0" w:color="auto"/>
        <w:right w:val="none" w:sz="0" w:space="0" w:color="auto"/>
      </w:divBdr>
    </w:div>
    <w:div w:id="325594231">
      <w:bodyDiv w:val="1"/>
      <w:marLeft w:val="0"/>
      <w:marRight w:val="0"/>
      <w:marTop w:val="0"/>
      <w:marBottom w:val="0"/>
      <w:divBdr>
        <w:top w:val="none" w:sz="0" w:space="0" w:color="auto"/>
        <w:left w:val="none" w:sz="0" w:space="0" w:color="auto"/>
        <w:bottom w:val="none" w:sz="0" w:space="0" w:color="auto"/>
        <w:right w:val="none" w:sz="0" w:space="0" w:color="auto"/>
      </w:divBdr>
    </w:div>
    <w:div w:id="348414930">
      <w:bodyDiv w:val="1"/>
      <w:marLeft w:val="0"/>
      <w:marRight w:val="0"/>
      <w:marTop w:val="0"/>
      <w:marBottom w:val="0"/>
      <w:divBdr>
        <w:top w:val="none" w:sz="0" w:space="0" w:color="auto"/>
        <w:left w:val="none" w:sz="0" w:space="0" w:color="auto"/>
        <w:bottom w:val="none" w:sz="0" w:space="0" w:color="auto"/>
        <w:right w:val="none" w:sz="0" w:space="0" w:color="auto"/>
      </w:divBdr>
    </w:div>
    <w:div w:id="371270459">
      <w:bodyDiv w:val="1"/>
      <w:marLeft w:val="0"/>
      <w:marRight w:val="0"/>
      <w:marTop w:val="0"/>
      <w:marBottom w:val="0"/>
      <w:divBdr>
        <w:top w:val="none" w:sz="0" w:space="0" w:color="auto"/>
        <w:left w:val="none" w:sz="0" w:space="0" w:color="auto"/>
        <w:bottom w:val="none" w:sz="0" w:space="0" w:color="auto"/>
        <w:right w:val="none" w:sz="0" w:space="0" w:color="auto"/>
      </w:divBdr>
    </w:div>
    <w:div w:id="408164005">
      <w:bodyDiv w:val="1"/>
      <w:marLeft w:val="0"/>
      <w:marRight w:val="0"/>
      <w:marTop w:val="0"/>
      <w:marBottom w:val="0"/>
      <w:divBdr>
        <w:top w:val="none" w:sz="0" w:space="0" w:color="auto"/>
        <w:left w:val="none" w:sz="0" w:space="0" w:color="auto"/>
        <w:bottom w:val="none" w:sz="0" w:space="0" w:color="auto"/>
        <w:right w:val="none" w:sz="0" w:space="0" w:color="auto"/>
      </w:divBdr>
    </w:div>
    <w:div w:id="419910354">
      <w:bodyDiv w:val="1"/>
      <w:marLeft w:val="0"/>
      <w:marRight w:val="0"/>
      <w:marTop w:val="0"/>
      <w:marBottom w:val="0"/>
      <w:divBdr>
        <w:top w:val="none" w:sz="0" w:space="0" w:color="auto"/>
        <w:left w:val="none" w:sz="0" w:space="0" w:color="auto"/>
        <w:bottom w:val="none" w:sz="0" w:space="0" w:color="auto"/>
        <w:right w:val="none" w:sz="0" w:space="0" w:color="auto"/>
      </w:divBdr>
    </w:div>
    <w:div w:id="427777794">
      <w:bodyDiv w:val="1"/>
      <w:marLeft w:val="0"/>
      <w:marRight w:val="0"/>
      <w:marTop w:val="0"/>
      <w:marBottom w:val="0"/>
      <w:divBdr>
        <w:top w:val="none" w:sz="0" w:space="0" w:color="auto"/>
        <w:left w:val="none" w:sz="0" w:space="0" w:color="auto"/>
        <w:bottom w:val="none" w:sz="0" w:space="0" w:color="auto"/>
        <w:right w:val="none" w:sz="0" w:space="0" w:color="auto"/>
      </w:divBdr>
    </w:div>
    <w:div w:id="478959572">
      <w:bodyDiv w:val="1"/>
      <w:marLeft w:val="0"/>
      <w:marRight w:val="0"/>
      <w:marTop w:val="0"/>
      <w:marBottom w:val="0"/>
      <w:divBdr>
        <w:top w:val="none" w:sz="0" w:space="0" w:color="auto"/>
        <w:left w:val="none" w:sz="0" w:space="0" w:color="auto"/>
        <w:bottom w:val="none" w:sz="0" w:space="0" w:color="auto"/>
        <w:right w:val="none" w:sz="0" w:space="0" w:color="auto"/>
      </w:divBdr>
    </w:div>
    <w:div w:id="514157050">
      <w:bodyDiv w:val="1"/>
      <w:marLeft w:val="0"/>
      <w:marRight w:val="0"/>
      <w:marTop w:val="0"/>
      <w:marBottom w:val="0"/>
      <w:divBdr>
        <w:top w:val="none" w:sz="0" w:space="0" w:color="auto"/>
        <w:left w:val="none" w:sz="0" w:space="0" w:color="auto"/>
        <w:bottom w:val="none" w:sz="0" w:space="0" w:color="auto"/>
        <w:right w:val="none" w:sz="0" w:space="0" w:color="auto"/>
      </w:divBdr>
    </w:div>
    <w:div w:id="531383708">
      <w:bodyDiv w:val="1"/>
      <w:marLeft w:val="0"/>
      <w:marRight w:val="0"/>
      <w:marTop w:val="0"/>
      <w:marBottom w:val="0"/>
      <w:divBdr>
        <w:top w:val="none" w:sz="0" w:space="0" w:color="auto"/>
        <w:left w:val="none" w:sz="0" w:space="0" w:color="auto"/>
        <w:bottom w:val="none" w:sz="0" w:space="0" w:color="auto"/>
        <w:right w:val="none" w:sz="0" w:space="0" w:color="auto"/>
      </w:divBdr>
    </w:div>
    <w:div w:id="575894469">
      <w:bodyDiv w:val="1"/>
      <w:marLeft w:val="0"/>
      <w:marRight w:val="0"/>
      <w:marTop w:val="0"/>
      <w:marBottom w:val="0"/>
      <w:divBdr>
        <w:top w:val="none" w:sz="0" w:space="0" w:color="auto"/>
        <w:left w:val="none" w:sz="0" w:space="0" w:color="auto"/>
        <w:bottom w:val="none" w:sz="0" w:space="0" w:color="auto"/>
        <w:right w:val="none" w:sz="0" w:space="0" w:color="auto"/>
      </w:divBdr>
    </w:div>
    <w:div w:id="630868743">
      <w:bodyDiv w:val="1"/>
      <w:marLeft w:val="0"/>
      <w:marRight w:val="0"/>
      <w:marTop w:val="0"/>
      <w:marBottom w:val="0"/>
      <w:divBdr>
        <w:top w:val="none" w:sz="0" w:space="0" w:color="auto"/>
        <w:left w:val="none" w:sz="0" w:space="0" w:color="auto"/>
        <w:bottom w:val="none" w:sz="0" w:space="0" w:color="auto"/>
        <w:right w:val="none" w:sz="0" w:space="0" w:color="auto"/>
      </w:divBdr>
    </w:div>
    <w:div w:id="646908078">
      <w:bodyDiv w:val="1"/>
      <w:marLeft w:val="0"/>
      <w:marRight w:val="0"/>
      <w:marTop w:val="0"/>
      <w:marBottom w:val="0"/>
      <w:divBdr>
        <w:top w:val="none" w:sz="0" w:space="0" w:color="auto"/>
        <w:left w:val="none" w:sz="0" w:space="0" w:color="auto"/>
        <w:bottom w:val="none" w:sz="0" w:space="0" w:color="auto"/>
        <w:right w:val="none" w:sz="0" w:space="0" w:color="auto"/>
      </w:divBdr>
    </w:div>
    <w:div w:id="650210192">
      <w:bodyDiv w:val="1"/>
      <w:marLeft w:val="0"/>
      <w:marRight w:val="0"/>
      <w:marTop w:val="0"/>
      <w:marBottom w:val="0"/>
      <w:divBdr>
        <w:top w:val="none" w:sz="0" w:space="0" w:color="auto"/>
        <w:left w:val="none" w:sz="0" w:space="0" w:color="auto"/>
        <w:bottom w:val="none" w:sz="0" w:space="0" w:color="auto"/>
        <w:right w:val="none" w:sz="0" w:space="0" w:color="auto"/>
      </w:divBdr>
    </w:div>
    <w:div w:id="700936421">
      <w:bodyDiv w:val="1"/>
      <w:marLeft w:val="0"/>
      <w:marRight w:val="0"/>
      <w:marTop w:val="0"/>
      <w:marBottom w:val="0"/>
      <w:divBdr>
        <w:top w:val="none" w:sz="0" w:space="0" w:color="auto"/>
        <w:left w:val="none" w:sz="0" w:space="0" w:color="auto"/>
        <w:bottom w:val="none" w:sz="0" w:space="0" w:color="auto"/>
        <w:right w:val="none" w:sz="0" w:space="0" w:color="auto"/>
      </w:divBdr>
    </w:div>
    <w:div w:id="717583301">
      <w:bodyDiv w:val="1"/>
      <w:marLeft w:val="0"/>
      <w:marRight w:val="0"/>
      <w:marTop w:val="0"/>
      <w:marBottom w:val="0"/>
      <w:divBdr>
        <w:top w:val="none" w:sz="0" w:space="0" w:color="auto"/>
        <w:left w:val="none" w:sz="0" w:space="0" w:color="auto"/>
        <w:bottom w:val="none" w:sz="0" w:space="0" w:color="auto"/>
        <w:right w:val="none" w:sz="0" w:space="0" w:color="auto"/>
      </w:divBdr>
    </w:div>
    <w:div w:id="723717277">
      <w:bodyDiv w:val="1"/>
      <w:marLeft w:val="0"/>
      <w:marRight w:val="0"/>
      <w:marTop w:val="0"/>
      <w:marBottom w:val="0"/>
      <w:divBdr>
        <w:top w:val="none" w:sz="0" w:space="0" w:color="auto"/>
        <w:left w:val="none" w:sz="0" w:space="0" w:color="auto"/>
        <w:bottom w:val="none" w:sz="0" w:space="0" w:color="auto"/>
        <w:right w:val="none" w:sz="0" w:space="0" w:color="auto"/>
      </w:divBdr>
    </w:div>
    <w:div w:id="742989982">
      <w:bodyDiv w:val="1"/>
      <w:marLeft w:val="0"/>
      <w:marRight w:val="0"/>
      <w:marTop w:val="0"/>
      <w:marBottom w:val="0"/>
      <w:divBdr>
        <w:top w:val="none" w:sz="0" w:space="0" w:color="auto"/>
        <w:left w:val="none" w:sz="0" w:space="0" w:color="auto"/>
        <w:bottom w:val="none" w:sz="0" w:space="0" w:color="auto"/>
        <w:right w:val="none" w:sz="0" w:space="0" w:color="auto"/>
      </w:divBdr>
    </w:div>
    <w:div w:id="788015477">
      <w:bodyDiv w:val="1"/>
      <w:marLeft w:val="0"/>
      <w:marRight w:val="0"/>
      <w:marTop w:val="0"/>
      <w:marBottom w:val="0"/>
      <w:divBdr>
        <w:top w:val="none" w:sz="0" w:space="0" w:color="auto"/>
        <w:left w:val="none" w:sz="0" w:space="0" w:color="auto"/>
        <w:bottom w:val="none" w:sz="0" w:space="0" w:color="auto"/>
        <w:right w:val="none" w:sz="0" w:space="0" w:color="auto"/>
      </w:divBdr>
    </w:div>
    <w:div w:id="808017550">
      <w:bodyDiv w:val="1"/>
      <w:marLeft w:val="0"/>
      <w:marRight w:val="0"/>
      <w:marTop w:val="0"/>
      <w:marBottom w:val="0"/>
      <w:divBdr>
        <w:top w:val="none" w:sz="0" w:space="0" w:color="auto"/>
        <w:left w:val="none" w:sz="0" w:space="0" w:color="auto"/>
        <w:bottom w:val="none" w:sz="0" w:space="0" w:color="auto"/>
        <w:right w:val="none" w:sz="0" w:space="0" w:color="auto"/>
      </w:divBdr>
    </w:div>
    <w:div w:id="824668976">
      <w:bodyDiv w:val="1"/>
      <w:marLeft w:val="0"/>
      <w:marRight w:val="0"/>
      <w:marTop w:val="0"/>
      <w:marBottom w:val="0"/>
      <w:divBdr>
        <w:top w:val="none" w:sz="0" w:space="0" w:color="auto"/>
        <w:left w:val="none" w:sz="0" w:space="0" w:color="auto"/>
        <w:bottom w:val="none" w:sz="0" w:space="0" w:color="auto"/>
        <w:right w:val="none" w:sz="0" w:space="0" w:color="auto"/>
      </w:divBdr>
    </w:div>
    <w:div w:id="837354841">
      <w:bodyDiv w:val="1"/>
      <w:marLeft w:val="0"/>
      <w:marRight w:val="0"/>
      <w:marTop w:val="0"/>
      <w:marBottom w:val="0"/>
      <w:divBdr>
        <w:top w:val="none" w:sz="0" w:space="0" w:color="auto"/>
        <w:left w:val="none" w:sz="0" w:space="0" w:color="auto"/>
        <w:bottom w:val="none" w:sz="0" w:space="0" w:color="auto"/>
        <w:right w:val="none" w:sz="0" w:space="0" w:color="auto"/>
      </w:divBdr>
    </w:div>
    <w:div w:id="854149525">
      <w:bodyDiv w:val="1"/>
      <w:marLeft w:val="0"/>
      <w:marRight w:val="0"/>
      <w:marTop w:val="0"/>
      <w:marBottom w:val="0"/>
      <w:divBdr>
        <w:top w:val="none" w:sz="0" w:space="0" w:color="auto"/>
        <w:left w:val="none" w:sz="0" w:space="0" w:color="auto"/>
        <w:bottom w:val="none" w:sz="0" w:space="0" w:color="auto"/>
        <w:right w:val="none" w:sz="0" w:space="0" w:color="auto"/>
      </w:divBdr>
    </w:div>
    <w:div w:id="855197472">
      <w:bodyDiv w:val="1"/>
      <w:marLeft w:val="0"/>
      <w:marRight w:val="0"/>
      <w:marTop w:val="0"/>
      <w:marBottom w:val="0"/>
      <w:divBdr>
        <w:top w:val="none" w:sz="0" w:space="0" w:color="auto"/>
        <w:left w:val="none" w:sz="0" w:space="0" w:color="auto"/>
        <w:bottom w:val="none" w:sz="0" w:space="0" w:color="auto"/>
        <w:right w:val="none" w:sz="0" w:space="0" w:color="auto"/>
      </w:divBdr>
    </w:div>
    <w:div w:id="866068215">
      <w:bodyDiv w:val="1"/>
      <w:marLeft w:val="0"/>
      <w:marRight w:val="0"/>
      <w:marTop w:val="0"/>
      <w:marBottom w:val="0"/>
      <w:divBdr>
        <w:top w:val="none" w:sz="0" w:space="0" w:color="auto"/>
        <w:left w:val="none" w:sz="0" w:space="0" w:color="auto"/>
        <w:bottom w:val="none" w:sz="0" w:space="0" w:color="auto"/>
        <w:right w:val="none" w:sz="0" w:space="0" w:color="auto"/>
      </w:divBdr>
    </w:div>
    <w:div w:id="881134282">
      <w:bodyDiv w:val="1"/>
      <w:marLeft w:val="0"/>
      <w:marRight w:val="0"/>
      <w:marTop w:val="0"/>
      <w:marBottom w:val="0"/>
      <w:divBdr>
        <w:top w:val="none" w:sz="0" w:space="0" w:color="auto"/>
        <w:left w:val="none" w:sz="0" w:space="0" w:color="auto"/>
        <w:bottom w:val="none" w:sz="0" w:space="0" w:color="auto"/>
        <w:right w:val="none" w:sz="0" w:space="0" w:color="auto"/>
      </w:divBdr>
    </w:div>
    <w:div w:id="887885359">
      <w:bodyDiv w:val="1"/>
      <w:marLeft w:val="0"/>
      <w:marRight w:val="0"/>
      <w:marTop w:val="0"/>
      <w:marBottom w:val="0"/>
      <w:divBdr>
        <w:top w:val="none" w:sz="0" w:space="0" w:color="auto"/>
        <w:left w:val="none" w:sz="0" w:space="0" w:color="auto"/>
        <w:bottom w:val="none" w:sz="0" w:space="0" w:color="auto"/>
        <w:right w:val="none" w:sz="0" w:space="0" w:color="auto"/>
      </w:divBdr>
    </w:div>
    <w:div w:id="908804329">
      <w:bodyDiv w:val="1"/>
      <w:marLeft w:val="0"/>
      <w:marRight w:val="0"/>
      <w:marTop w:val="0"/>
      <w:marBottom w:val="0"/>
      <w:divBdr>
        <w:top w:val="none" w:sz="0" w:space="0" w:color="auto"/>
        <w:left w:val="none" w:sz="0" w:space="0" w:color="auto"/>
        <w:bottom w:val="none" w:sz="0" w:space="0" w:color="auto"/>
        <w:right w:val="none" w:sz="0" w:space="0" w:color="auto"/>
      </w:divBdr>
    </w:div>
    <w:div w:id="930312718">
      <w:bodyDiv w:val="1"/>
      <w:marLeft w:val="0"/>
      <w:marRight w:val="0"/>
      <w:marTop w:val="0"/>
      <w:marBottom w:val="0"/>
      <w:divBdr>
        <w:top w:val="none" w:sz="0" w:space="0" w:color="auto"/>
        <w:left w:val="none" w:sz="0" w:space="0" w:color="auto"/>
        <w:bottom w:val="none" w:sz="0" w:space="0" w:color="auto"/>
        <w:right w:val="none" w:sz="0" w:space="0" w:color="auto"/>
      </w:divBdr>
    </w:div>
    <w:div w:id="934247769">
      <w:bodyDiv w:val="1"/>
      <w:marLeft w:val="0"/>
      <w:marRight w:val="0"/>
      <w:marTop w:val="0"/>
      <w:marBottom w:val="0"/>
      <w:divBdr>
        <w:top w:val="none" w:sz="0" w:space="0" w:color="auto"/>
        <w:left w:val="none" w:sz="0" w:space="0" w:color="auto"/>
        <w:bottom w:val="none" w:sz="0" w:space="0" w:color="auto"/>
        <w:right w:val="none" w:sz="0" w:space="0" w:color="auto"/>
      </w:divBdr>
      <w:divsChild>
        <w:div w:id="1683170041">
          <w:marLeft w:val="446"/>
          <w:marRight w:val="0"/>
          <w:marTop w:val="60"/>
          <w:marBottom w:val="0"/>
          <w:divBdr>
            <w:top w:val="none" w:sz="0" w:space="0" w:color="auto"/>
            <w:left w:val="none" w:sz="0" w:space="0" w:color="auto"/>
            <w:bottom w:val="none" w:sz="0" w:space="0" w:color="auto"/>
            <w:right w:val="none" w:sz="0" w:space="0" w:color="auto"/>
          </w:divBdr>
        </w:div>
      </w:divsChild>
    </w:div>
    <w:div w:id="953638220">
      <w:bodyDiv w:val="1"/>
      <w:marLeft w:val="0"/>
      <w:marRight w:val="0"/>
      <w:marTop w:val="0"/>
      <w:marBottom w:val="0"/>
      <w:divBdr>
        <w:top w:val="none" w:sz="0" w:space="0" w:color="auto"/>
        <w:left w:val="none" w:sz="0" w:space="0" w:color="auto"/>
        <w:bottom w:val="none" w:sz="0" w:space="0" w:color="auto"/>
        <w:right w:val="none" w:sz="0" w:space="0" w:color="auto"/>
      </w:divBdr>
    </w:div>
    <w:div w:id="958142127">
      <w:bodyDiv w:val="1"/>
      <w:marLeft w:val="0"/>
      <w:marRight w:val="0"/>
      <w:marTop w:val="0"/>
      <w:marBottom w:val="0"/>
      <w:divBdr>
        <w:top w:val="none" w:sz="0" w:space="0" w:color="auto"/>
        <w:left w:val="none" w:sz="0" w:space="0" w:color="auto"/>
        <w:bottom w:val="none" w:sz="0" w:space="0" w:color="auto"/>
        <w:right w:val="none" w:sz="0" w:space="0" w:color="auto"/>
      </w:divBdr>
    </w:div>
    <w:div w:id="1007442678">
      <w:bodyDiv w:val="1"/>
      <w:marLeft w:val="0"/>
      <w:marRight w:val="0"/>
      <w:marTop w:val="0"/>
      <w:marBottom w:val="0"/>
      <w:divBdr>
        <w:top w:val="none" w:sz="0" w:space="0" w:color="auto"/>
        <w:left w:val="none" w:sz="0" w:space="0" w:color="auto"/>
        <w:bottom w:val="none" w:sz="0" w:space="0" w:color="auto"/>
        <w:right w:val="none" w:sz="0" w:space="0" w:color="auto"/>
      </w:divBdr>
    </w:div>
    <w:div w:id="1042249609">
      <w:bodyDiv w:val="1"/>
      <w:marLeft w:val="0"/>
      <w:marRight w:val="0"/>
      <w:marTop w:val="0"/>
      <w:marBottom w:val="0"/>
      <w:divBdr>
        <w:top w:val="none" w:sz="0" w:space="0" w:color="auto"/>
        <w:left w:val="none" w:sz="0" w:space="0" w:color="auto"/>
        <w:bottom w:val="none" w:sz="0" w:space="0" w:color="auto"/>
        <w:right w:val="none" w:sz="0" w:space="0" w:color="auto"/>
      </w:divBdr>
    </w:div>
    <w:div w:id="1054162653">
      <w:bodyDiv w:val="1"/>
      <w:marLeft w:val="0"/>
      <w:marRight w:val="0"/>
      <w:marTop w:val="0"/>
      <w:marBottom w:val="0"/>
      <w:divBdr>
        <w:top w:val="none" w:sz="0" w:space="0" w:color="auto"/>
        <w:left w:val="none" w:sz="0" w:space="0" w:color="auto"/>
        <w:bottom w:val="none" w:sz="0" w:space="0" w:color="auto"/>
        <w:right w:val="none" w:sz="0" w:space="0" w:color="auto"/>
      </w:divBdr>
    </w:div>
    <w:div w:id="1056509150">
      <w:bodyDiv w:val="1"/>
      <w:marLeft w:val="0"/>
      <w:marRight w:val="0"/>
      <w:marTop w:val="0"/>
      <w:marBottom w:val="0"/>
      <w:divBdr>
        <w:top w:val="none" w:sz="0" w:space="0" w:color="auto"/>
        <w:left w:val="none" w:sz="0" w:space="0" w:color="auto"/>
        <w:bottom w:val="none" w:sz="0" w:space="0" w:color="auto"/>
        <w:right w:val="none" w:sz="0" w:space="0" w:color="auto"/>
      </w:divBdr>
    </w:div>
    <w:div w:id="1116945108">
      <w:bodyDiv w:val="1"/>
      <w:marLeft w:val="0"/>
      <w:marRight w:val="0"/>
      <w:marTop w:val="0"/>
      <w:marBottom w:val="0"/>
      <w:divBdr>
        <w:top w:val="none" w:sz="0" w:space="0" w:color="auto"/>
        <w:left w:val="none" w:sz="0" w:space="0" w:color="auto"/>
        <w:bottom w:val="none" w:sz="0" w:space="0" w:color="auto"/>
        <w:right w:val="none" w:sz="0" w:space="0" w:color="auto"/>
      </w:divBdr>
    </w:div>
    <w:div w:id="1129669413">
      <w:bodyDiv w:val="1"/>
      <w:marLeft w:val="0"/>
      <w:marRight w:val="0"/>
      <w:marTop w:val="0"/>
      <w:marBottom w:val="0"/>
      <w:divBdr>
        <w:top w:val="none" w:sz="0" w:space="0" w:color="auto"/>
        <w:left w:val="none" w:sz="0" w:space="0" w:color="auto"/>
        <w:bottom w:val="none" w:sz="0" w:space="0" w:color="auto"/>
        <w:right w:val="none" w:sz="0" w:space="0" w:color="auto"/>
      </w:divBdr>
      <w:divsChild>
        <w:div w:id="510728199">
          <w:marLeft w:val="547"/>
          <w:marRight w:val="0"/>
          <w:marTop w:val="0"/>
          <w:marBottom w:val="0"/>
          <w:divBdr>
            <w:top w:val="none" w:sz="0" w:space="0" w:color="auto"/>
            <w:left w:val="none" w:sz="0" w:space="0" w:color="auto"/>
            <w:bottom w:val="none" w:sz="0" w:space="0" w:color="auto"/>
            <w:right w:val="none" w:sz="0" w:space="0" w:color="auto"/>
          </w:divBdr>
        </w:div>
      </w:divsChild>
    </w:div>
    <w:div w:id="1155953267">
      <w:bodyDiv w:val="1"/>
      <w:marLeft w:val="0"/>
      <w:marRight w:val="0"/>
      <w:marTop w:val="0"/>
      <w:marBottom w:val="0"/>
      <w:divBdr>
        <w:top w:val="none" w:sz="0" w:space="0" w:color="auto"/>
        <w:left w:val="none" w:sz="0" w:space="0" w:color="auto"/>
        <w:bottom w:val="none" w:sz="0" w:space="0" w:color="auto"/>
        <w:right w:val="none" w:sz="0" w:space="0" w:color="auto"/>
      </w:divBdr>
    </w:div>
    <w:div w:id="1164593226">
      <w:bodyDiv w:val="1"/>
      <w:marLeft w:val="0"/>
      <w:marRight w:val="0"/>
      <w:marTop w:val="0"/>
      <w:marBottom w:val="0"/>
      <w:divBdr>
        <w:top w:val="none" w:sz="0" w:space="0" w:color="auto"/>
        <w:left w:val="none" w:sz="0" w:space="0" w:color="auto"/>
        <w:bottom w:val="none" w:sz="0" w:space="0" w:color="auto"/>
        <w:right w:val="none" w:sz="0" w:space="0" w:color="auto"/>
      </w:divBdr>
    </w:div>
    <w:div w:id="1194542145">
      <w:bodyDiv w:val="1"/>
      <w:marLeft w:val="0"/>
      <w:marRight w:val="0"/>
      <w:marTop w:val="0"/>
      <w:marBottom w:val="0"/>
      <w:divBdr>
        <w:top w:val="none" w:sz="0" w:space="0" w:color="auto"/>
        <w:left w:val="none" w:sz="0" w:space="0" w:color="auto"/>
        <w:bottom w:val="none" w:sz="0" w:space="0" w:color="auto"/>
        <w:right w:val="none" w:sz="0" w:space="0" w:color="auto"/>
      </w:divBdr>
    </w:div>
    <w:div w:id="1199203635">
      <w:bodyDiv w:val="1"/>
      <w:marLeft w:val="0"/>
      <w:marRight w:val="0"/>
      <w:marTop w:val="0"/>
      <w:marBottom w:val="0"/>
      <w:divBdr>
        <w:top w:val="none" w:sz="0" w:space="0" w:color="auto"/>
        <w:left w:val="none" w:sz="0" w:space="0" w:color="auto"/>
        <w:bottom w:val="none" w:sz="0" w:space="0" w:color="auto"/>
        <w:right w:val="none" w:sz="0" w:space="0" w:color="auto"/>
      </w:divBdr>
    </w:div>
    <w:div w:id="1226065692">
      <w:bodyDiv w:val="1"/>
      <w:marLeft w:val="0"/>
      <w:marRight w:val="0"/>
      <w:marTop w:val="0"/>
      <w:marBottom w:val="0"/>
      <w:divBdr>
        <w:top w:val="none" w:sz="0" w:space="0" w:color="auto"/>
        <w:left w:val="none" w:sz="0" w:space="0" w:color="auto"/>
        <w:bottom w:val="none" w:sz="0" w:space="0" w:color="auto"/>
        <w:right w:val="none" w:sz="0" w:space="0" w:color="auto"/>
      </w:divBdr>
    </w:div>
    <w:div w:id="1262647298">
      <w:bodyDiv w:val="1"/>
      <w:marLeft w:val="0"/>
      <w:marRight w:val="0"/>
      <w:marTop w:val="0"/>
      <w:marBottom w:val="0"/>
      <w:divBdr>
        <w:top w:val="none" w:sz="0" w:space="0" w:color="auto"/>
        <w:left w:val="none" w:sz="0" w:space="0" w:color="auto"/>
        <w:bottom w:val="none" w:sz="0" w:space="0" w:color="auto"/>
        <w:right w:val="none" w:sz="0" w:space="0" w:color="auto"/>
      </w:divBdr>
    </w:div>
    <w:div w:id="1329671554">
      <w:bodyDiv w:val="1"/>
      <w:marLeft w:val="0"/>
      <w:marRight w:val="0"/>
      <w:marTop w:val="0"/>
      <w:marBottom w:val="0"/>
      <w:divBdr>
        <w:top w:val="none" w:sz="0" w:space="0" w:color="auto"/>
        <w:left w:val="none" w:sz="0" w:space="0" w:color="auto"/>
        <w:bottom w:val="none" w:sz="0" w:space="0" w:color="auto"/>
        <w:right w:val="none" w:sz="0" w:space="0" w:color="auto"/>
      </w:divBdr>
    </w:div>
    <w:div w:id="1329750622">
      <w:bodyDiv w:val="1"/>
      <w:marLeft w:val="0"/>
      <w:marRight w:val="0"/>
      <w:marTop w:val="0"/>
      <w:marBottom w:val="0"/>
      <w:divBdr>
        <w:top w:val="none" w:sz="0" w:space="0" w:color="auto"/>
        <w:left w:val="none" w:sz="0" w:space="0" w:color="auto"/>
        <w:bottom w:val="none" w:sz="0" w:space="0" w:color="auto"/>
        <w:right w:val="none" w:sz="0" w:space="0" w:color="auto"/>
      </w:divBdr>
    </w:div>
    <w:div w:id="1341003270">
      <w:bodyDiv w:val="1"/>
      <w:marLeft w:val="0"/>
      <w:marRight w:val="0"/>
      <w:marTop w:val="0"/>
      <w:marBottom w:val="0"/>
      <w:divBdr>
        <w:top w:val="none" w:sz="0" w:space="0" w:color="auto"/>
        <w:left w:val="none" w:sz="0" w:space="0" w:color="auto"/>
        <w:bottom w:val="none" w:sz="0" w:space="0" w:color="auto"/>
        <w:right w:val="none" w:sz="0" w:space="0" w:color="auto"/>
      </w:divBdr>
    </w:div>
    <w:div w:id="1344284557">
      <w:bodyDiv w:val="1"/>
      <w:marLeft w:val="0"/>
      <w:marRight w:val="0"/>
      <w:marTop w:val="0"/>
      <w:marBottom w:val="0"/>
      <w:divBdr>
        <w:top w:val="none" w:sz="0" w:space="0" w:color="auto"/>
        <w:left w:val="none" w:sz="0" w:space="0" w:color="auto"/>
        <w:bottom w:val="none" w:sz="0" w:space="0" w:color="auto"/>
        <w:right w:val="none" w:sz="0" w:space="0" w:color="auto"/>
      </w:divBdr>
      <w:divsChild>
        <w:div w:id="1374188010">
          <w:marLeft w:val="1166"/>
          <w:marRight w:val="0"/>
          <w:marTop w:val="60"/>
          <w:marBottom w:val="0"/>
          <w:divBdr>
            <w:top w:val="none" w:sz="0" w:space="0" w:color="auto"/>
            <w:left w:val="none" w:sz="0" w:space="0" w:color="auto"/>
            <w:bottom w:val="none" w:sz="0" w:space="0" w:color="auto"/>
            <w:right w:val="none" w:sz="0" w:space="0" w:color="auto"/>
          </w:divBdr>
        </w:div>
      </w:divsChild>
    </w:div>
    <w:div w:id="1347093728">
      <w:bodyDiv w:val="1"/>
      <w:marLeft w:val="0"/>
      <w:marRight w:val="0"/>
      <w:marTop w:val="0"/>
      <w:marBottom w:val="0"/>
      <w:divBdr>
        <w:top w:val="none" w:sz="0" w:space="0" w:color="auto"/>
        <w:left w:val="none" w:sz="0" w:space="0" w:color="auto"/>
        <w:bottom w:val="none" w:sz="0" w:space="0" w:color="auto"/>
        <w:right w:val="none" w:sz="0" w:space="0" w:color="auto"/>
      </w:divBdr>
    </w:div>
    <w:div w:id="1349676919">
      <w:bodyDiv w:val="1"/>
      <w:marLeft w:val="0"/>
      <w:marRight w:val="0"/>
      <w:marTop w:val="0"/>
      <w:marBottom w:val="0"/>
      <w:divBdr>
        <w:top w:val="none" w:sz="0" w:space="0" w:color="auto"/>
        <w:left w:val="none" w:sz="0" w:space="0" w:color="auto"/>
        <w:bottom w:val="none" w:sz="0" w:space="0" w:color="auto"/>
        <w:right w:val="none" w:sz="0" w:space="0" w:color="auto"/>
      </w:divBdr>
    </w:div>
    <w:div w:id="1363172377">
      <w:bodyDiv w:val="1"/>
      <w:marLeft w:val="0"/>
      <w:marRight w:val="0"/>
      <w:marTop w:val="0"/>
      <w:marBottom w:val="0"/>
      <w:divBdr>
        <w:top w:val="none" w:sz="0" w:space="0" w:color="auto"/>
        <w:left w:val="none" w:sz="0" w:space="0" w:color="auto"/>
        <w:bottom w:val="none" w:sz="0" w:space="0" w:color="auto"/>
        <w:right w:val="none" w:sz="0" w:space="0" w:color="auto"/>
      </w:divBdr>
    </w:div>
    <w:div w:id="1368988713">
      <w:bodyDiv w:val="1"/>
      <w:marLeft w:val="0"/>
      <w:marRight w:val="0"/>
      <w:marTop w:val="0"/>
      <w:marBottom w:val="0"/>
      <w:divBdr>
        <w:top w:val="none" w:sz="0" w:space="0" w:color="auto"/>
        <w:left w:val="none" w:sz="0" w:space="0" w:color="auto"/>
        <w:bottom w:val="none" w:sz="0" w:space="0" w:color="auto"/>
        <w:right w:val="none" w:sz="0" w:space="0" w:color="auto"/>
      </w:divBdr>
    </w:div>
    <w:div w:id="1385520880">
      <w:bodyDiv w:val="1"/>
      <w:marLeft w:val="0"/>
      <w:marRight w:val="0"/>
      <w:marTop w:val="0"/>
      <w:marBottom w:val="0"/>
      <w:divBdr>
        <w:top w:val="none" w:sz="0" w:space="0" w:color="auto"/>
        <w:left w:val="none" w:sz="0" w:space="0" w:color="auto"/>
        <w:bottom w:val="none" w:sz="0" w:space="0" w:color="auto"/>
        <w:right w:val="none" w:sz="0" w:space="0" w:color="auto"/>
      </w:divBdr>
    </w:div>
    <w:div w:id="1385987068">
      <w:bodyDiv w:val="1"/>
      <w:marLeft w:val="0"/>
      <w:marRight w:val="0"/>
      <w:marTop w:val="0"/>
      <w:marBottom w:val="0"/>
      <w:divBdr>
        <w:top w:val="none" w:sz="0" w:space="0" w:color="auto"/>
        <w:left w:val="none" w:sz="0" w:space="0" w:color="auto"/>
        <w:bottom w:val="none" w:sz="0" w:space="0" w:color="auto"/>
        <w:right w:val="none" w:sz="0" w:space="0" w:color="auto"/>
      </w:divBdr>
    </w:div>
    <w:div w:id="1386372404">
      <w:bodyDiv w:val="1"/>
      <w:marLeft w:val="0"/>
      <w:marRight w:val="0"/>
      <w:marTop w:val="0"/>
      <w:marBottom w:val="0"/>
      <w:divBdr>
        <w:top w:val="none" w:sz="0" w:space="0" w:color="auto"/>
        <w:left w:val="none" w:sz="0" w:space="0" w:color="auto"/>
        <w:bottom w:val="none" w:sz="0" w:space="0" w:color="auto"/>
        <w:right w:val="none" w:sz="0" w:space="0" w:color="auto"/>
      </w:divBdr>
    </w:div>
    <w:div w:id="1397627301">
      <w:bodyDiv w:val="1"/>
      <w:marLeft w:val="0"/>
      <w:marRight w:val="0"/>
      <w:marTop w:val="0"/>
      <w:marBottom w:val="0"/>
      <w:divBdr>
        <w:top w:val="none" w:sz="0" w:space="0" w:color="auto"/>
        <w:left w:val="none" w:sz="0" w:space="0" w:color="auto"/>
        <w:bottom w:val="none" w:sz="0" w:space="0" w:color="auto"/>
        <w:right w:val="none" w:sz="0" w:space="0" w:color="auto"/>
      </w:divBdr>
    </w:div>
    <w:div w:id="1403335548">
      <w:bodyDiv w:val="1"/>
      <w:marLeft w:val="0"/>
      <w:marRight w:val="0"/>
      <w:marTop w:val="0"/>
      <w:marBottom w:val="0"/>
      <w:divBdr>
        <w:top w:val="none" w:sz="0" w:space="0" w:color="auto"/>
        <w:left w:val="none" w:sz="0" w:space="0" w:color="auto"/>
        <w:bottom w:val="none" w:sz="0" w:space="0" w:color="auto"/>
        <w:right w:val="none" w:sz="0" w:space="0" w:color="auto"/>
      </w:divBdr>
      <w:divsChild>
        <w:div w:id="1698890417">
          <w:marLeft w:val="547"/>
          <w:marRight w:val="0"/>
          <w:marTop w:val="0"/>
          <w:marBottom w:val="0"/>
          <w:divBdr>
            <w:top w:val="none" w:sz="0" w:space="0" w:color="auto"/>
            <w:left w:val="none" w:sz="0" w:space="0" w:color="auto"/>
            <w:bottom w:val="none" w:sz="0" w:space="0" w:color="auto"/>
            <w:right w:val="none" w:sz="0" w:space="0" w:color="auto"/>
          </w:divBdr>
        </w:div>
      </w:divsChild>
    </w:div>
    <w:div w:id="1404645246">
      <w:bodyDiv w:val="1"/>
      <w:marLeft w:val="0"/>
      <w:marRight w:val="0"/>
      <w:marTop w:val="0"/>
      <w:marBottom w:val="0"/>
      <w:divBdr>
        <w:top w:val="none" w:sz="0" w:space="0" w:color="auto"/>
        <w:left w:val="none" w:sz="0" w:space="0" w:color="auto"/>
        <w:bottom w:val="none" w:sz="0" w:space="0" w:color="auto"/>
        <w:right w:val="none" w:sz="0" w:space="0" w:color="auto"/>
      </w:divBdr>
    </w:div>
    <w:div w:id="1419135218">
      <w:bodyDiv w:val="1"/>
      <w:marLeft w:val="0"/>
      <w:marRight w:val="0"/>
      <w:marTop w:val="0"/>
      <w:marBottom w:val="0"/>
      <w:divBdr>
        <w:top w:val="none" w:sz="0" w:space="0" w:color="auto"/>
        <w:left w:val="none" w:sz="0" w:space="0" w:color="auto"/>
        <w:bottom w:val="none" w:sz="0" w:space="0" w:color="auto"/>
        <w:right w:val="none" w:sz="0" w:space="0" w:color="auto"/>
      </w:divBdr>
    </w:div>
    <w:div w:id="1419248617">
      <w:bodyDiv w:val="1"/>
      <w:marLeft w:val="0"/>
      <w:marRight w:val="0"/>
      <w:marTop w:val="0"/>
      <w:marBottom w:val="0"/>
      <w:divBdr>
        <w:top w:val="none" w:sz="0" w:space="0" w:color="auto"/>
        <w:left w:val="none" w:sz="0" w:space="0" w:color="auto"/>
        <w:bottom w:val="none" w:sz="0" w:space="0" w:color="auto"/>
        <w:right w:val="none" w:sz="0" w:space="0" w:color="auto"/>
      </w:divBdr>
    </w:div>
    <w:div w:id="1457917033">
      <w:bodyDiv w:val="1"/>
      <w:marLeft w:val="0"/>
      <w:marRight w:val="0"/>
      <w:marTop w:val="0"/>
      <w:marBottom w:val="0"/>
      <w:divBdr>
        <w:top w:val="none" w:sz="0" w:space="0" w:color="auto"/>
        <w:left w:val="none" w:sz="0" w:space="0" w:color="auto"/>
        <w:bottom w:val="none" w:sz="0" w:space="0" w:color="auto"/>
        <w:right w:val="none" w:sz="0" w:space="0" w:color="auto"/>
      </w:divBdr>
    </w:div>
    <w:div w:id="1538467347">
      <w:bodyDiv w:val="1"/>
      <w:marLeft w:val="0"/>
      <w:marRight w:val="0"/>
      <w:marTop w:val="0"/>
      <w:marBottom w:val="0"/>
      <w:divBdr>
        <w:top w:val="none" w:sz="0" w:space="0" w:color="auto"/>
        <w:left w:val="none" w:sz="0" w:space="0" w:color="auto"/>
        <w:bottom w:val="none" w:sz="0" w:space="0" w:color="auto"/>
        <w:right w:val="none" w:sz="0" w:space="0" w:color="auto"/>
      </w:divBdr>
    </w:div>
    <w:div w:id="1539003616">
      <w:bodyDiv w:val="1"/>
      <w:marLeft w:val="0"/>
      <w:marRight w:val="0"/>
      <w:marTop w:val="0"/>
      <w:marBottom w:val="0"/>
      <w:divBdr>
        <w:top w:val="none" w:sz="0" w:space="0" w:color="auto"/>
        <w:left w:val="none" w:sz="0" w:space="0" w:color="auto"/>
        <w:bottom w:val="none" w:sz="0" w:space="0" w:color="auto"/>
        <w:right w:val="none" w:sz="0" w:space="0" w:color="auto"/>
      </w:divBdr>
    </w:div>
    <w:div w:id="1549415678">
      <w:bodyDiv w:val="1"/>
      <w:marLeft w:val="0"/>
      <w:marRight w:val="0"/>
      <w:marTop w:val="0"/>
      <w:marBottom w:val="0"/>
      <w:divBdr>
        <w:top w:val="none" w:sz="0" w:space="0" w:color="auto"/>
        <w:left w:val="none" w:sz="0" w:space="0" w:color="auto"/>
        <w:bottom w:val="none" w:sz="0" w:space="0" w:color="auto"/>
        <w:right w:val="none" w:sz="0" w:space="0" w:color="auto"/>
      </w:divBdr>
    </w:div>
    <w:div w:id="1550678425">
      <w:bodyDiv w:val="1"/>
      <w:marLeft w:val="0"/>
      <w:marRight w:val="0"/>
      <w:marTop w:val="0"/>
      <w:marBottom w:val="0"/>
      <w:divBdr>
        <w:top w:val="none" w:sz="0" w:space="0" w:color="auto"/>
        <w:left w:val="none" w:sz="0" w:space="0" w:color="auto"/>
        <w:bottom w:val="none" w:sz="0" w:space="0" w:color="auto"/>
        <w:right w:val="none" w:sz="0" w:space="0" w:color="auto"/>
      </w:divBdr>
    </w:div>
    <w:div w:id="1614364086">
      <w:bodyDiv w:val="1"/>
      <w:marLeft w:val="0"/>
      <w:marRight w:val="0"/>
      <w:marTop w:val="0"/>
      <w:marBottom w:val="0"/>
      <w:divBdr>
        <w:top w:val="none" w:sz="0" w:space="0" w:color="auto"/>
        <w:left w:val="none" w:sz="0" w:space="0" w:color="auto"/>
        <w:bottom w:val="none" w:sz="0" w:space="0" w:color="auto"/>
        <w:right w:val="none" w:sz="0" w:space="0" w:color="auto"/>
      </w:divBdr>
    </w:div>
    <w:div w:id="1651325988">
      <w:bodyDiv w:val="1"/>
      <w:marLeft w:val="0"/>
      <w:marRight w:val="0"/>
      <w:marTop w:val="0"/>
      <w:marBottom w:val="0"/>
      <w:divBdr>
        <w:top w:val="none" w:sz="0" w:space="0" w:color="auto"/>
        <w:left w:val="none" w:sz="0" w:space="0" w:color="auto"/>
        <w:bottom w:val="none" w:sz="0" w:space="0" w:color="auto"/>
        <w:right w:val="none" w:sz="0" w:space="0" w:color="auto"/>
      </w:divBdr>
    </w:div>
    <w:div w:id="1662392785">
      <w:bodyDiv w:val="1"/>
      <w:marLeft w:val="0"/>
      <w:marRight w:val="0"/>
      <w:marTop w:val="0"/>
      <w:marBottom w:val="0"/>
      <w:divBdr>
        <w:top w:val="none" w:sz="0" w:space="0" w:color="auto"/>
        <w:left w:val="none" w:sz="0" w:space="0" w:color="auto"/>
        <w:bottom w:val="none" w:sz="0" w:space="0" w:color="auto"/>
        <w:right w:val="none" w:sz="0" w:space="0" w:color="auto"/>
      </w:divBdr>
      <w:divsChild>
        <w:div w:id="492262448">
          <w:marLeft w:val="1166"/>
          <w:marRight w:val="0"/>
          <w:marTop w:val="0"/>
          <w:marBottom w:val="0"/>
          <w:divBdr>
            <w:top w:val="none" w:sz="0" w:space="0" w:color="auto"/>
            <w:left w:val="none" w:sz="0" w:space="0" w:color="auto"/>
            <w:bottom w:val="none" w:sz="0" w:space="0" w:color="auto"/>
            <w:right w:val="none" w:sz="0" w:space="0" w:color="auto"/>
          </w:divBdr>
        </w:div>
      </w:divsChild>
    </w:div>
    <w:div w:id="1674725311">
      <w:bodyDiv w:val="1"/>
      <w:marLeft w:val="0"/>
      <w:marRight w:val="0"/>
      <w:marTop w:val="0"/>
      <w:marBottom w:val="0"/>
      <w:divBdr>
        <w:top w:val="none" w:sz="0" w:space="0" w:color="auto"/>
        <w:left w:val="none" w:sz="0" w:space="0" w:color="auto"/>
        <w:bottom w:val="none" w:sz="0" w:space="0" w:color="auto"/>
        <w:right w:val="none" w:sz="0" w:space="0" w:color="auto"/>
      </w:divBdr>
    </w:div>
    <w:div w:id="1676104413">
      <w:bodyDiv w:val="1"/>
      <w:marLeft w:val="0"/>
      <w:marRight w:val="0"/>
      <w:marTop w:val="0"/>
      <w:marBottom w:val="0"/>
      <w:divBdr>
        <w:top w:val="none" w:sz="0" w:space="0" w:color="auto"/>
        <w:left w:val="none" w:sz="0" w:space="0" w:color="auto"/>
        <w:bottom w:val="none" w:sz="0" w:space="0" w:color="auto"/>
        <w:right w:val="none" w:sz="0" w:space="0" w:color="auto"/>
      </w:divBdr>
    </w:div>
    <w:div w:id="1747922396">
      <w:bodyDiv w:val="1"/>
      <w:marLeft w:val="0"/>
      <w:marRight w:val="0"/>
      <w:marTop w:val="0"/>
      <w:marBottom w:val="0"/>
      <w:divBdr>
        <w:top w:val="none" w:sz="0" w:space="0" w:color="auto"/>
        <w:left w:val="none" w:sz="0" w:space="0" w:color="auto"/>
        <w:bottom w:val="none" w:sz="0" w:space="0" w:color="auto"/>
        <w:right w:val="none" w:sz="0" w:space="0" w:color="auto"/>
      </w:divBdr>
    </w:div>
    <w:div w:id="1776435744">
      <w:bodyDiv w:val="1"/>
      <w:marLeft w:val="0"/>
      <w:marRight w:val="0"/>
      <w:marTop w:val="0"/>
      <w:marBottom w:val="0"/>
      <w:divBdr>
        <w:top w:val="none" w:sz="0" w:space="0" w:color="auto"/>
        <w:left w:val="none" w:sz="0" w:space="0" w:color="auto"/>
        <w:bottom w:val="none" w:sz="0" w:space="0" w:color="auto"/>
        <w:right w:val="none" w:sz="0" w:space="0" w:color="auto"/>
      </w:divBdr>
    </w:div>
    <w:div w:id="1787113407">
      <w:bodyDiv w:val="1"/>
      <w:marLeft w:val="0"/>
      <w:marRight w:val="0"/>
      <w:marTop w:val="0"/>
      <w:marBottom w:val="0"/>
      <w:divBdr>
        <w:top w:val="none" w:sz="0" w:space="0" w:color="auto"/>
        <w:left w:val="none" w:sz="0" w:space="0" w:color="auto"/>
        <w:bottom w:val="none" w:sz="0" w:space="0" w:color="auto"/>
        <w:right w:val="none" w:sz="0" w:space="0" w:color="auto"/>
      </w:divBdr>
    </w:div>
    <w:div w:id="1796291949">
      <w:bodyDiv w:val="1"/>
      <w:marLeft w:val="0"/>
      <w:marRight w:val="0"/>
      <w:marTop w:val="0"/>
      <w:marBottom w:val="0"/>
      <w:divBdr>
        <w:top w:val="none" w:sz="0" w:space="0" w:color="auto"/>
        <w:left w:val="none" w:sz="0" w:space="0" w:color="auto"/>
        <w:bottom w:val="none" w:sz="0" w:space="0" w:color="auto"/>
        <w:right w:val="none" w:sz="0" w:space="0" w:color="auto"/>
      </w:divBdr>
    </w:div>
    <w:div w:id="1800998684">
      <w:bodyDiv w:val="1"/>
      <w:marLeft w:val="0"/>
      <w:marRight w:val="0"/>
      <w:marTop w:val="0"/>
      <w:marBottom w:val="0"/>
      <w:divBdr>
        <w:top w:val="none" w:sz="0" w:space="0" w:color="auto"/>
        <w:left w:val="none" w:sz="0" w:space="0" w:color="auto"/>
        <w:bottom w:val="none" w:sz="0" w:space="0" w:color="auto"/>
        <w:right w:val="none" w:sz="0" w:space="0" w:color="auto"/>
      </w:divBdr>
    </w:div>
    <w:div w:id="1844663209">
      <w:bodyDiv w:val="1"/>
      <w:marLeft w:val="0"/>
      <w:marRight w:val="0"/>
      <w:marTop w:val="0"/>
      <w:marBottom w:val="0"/>
      <w:divBdr>
        <w:top w:val="none" w:sz="0" w:space="0" w:color="auto"/>
        <w:left w:val="none" w:sz="0" w:space="0" w:color="auto"/>
        <w:bottom w:val="none" w:sz="0" w:space="0" w:color="auto"/>
        <w:right w:val="none" w:sz="0" w:space="0" w:color="auto"/>
      </w:divBdr>
    </w:div>
    <w:div w:id="1849245478">
      <w:bodyDiv w:val="1"/>
      <w:marLeft w:val="0"/>
      <w:marRight w:val="0"/>
      <w:marTop w:val="0"/>
      <w:marBottom w:val="0"/>
      <w:divBdr>
        <w:top w:val="none" w:sz="0" w:space="0" w:color="auto"/>
        <w:left w:val="none" w:sz="0" w:space="0" w:color="auto"/>
        <w:bottom w:val="none" w:sz="0" w:space="0" w:color="auto"/>
        <w:right w:val="none" w:sz="0" w:space="0" w:color="auto"/>
      </w:divBdr>
      <w:divsChild>
        <w:div w:id="428620096">
          <w:marLeft w:val="446"/>
          <w:marRight w:val="0"/>
          <w:marTop w:val="60"/>
          <w:marBottom w:val="0"/>
          <w:divBdr>
            <w:top w:val="none" w:sz="0" w:space="0" w:color="auto"/>
            <w:left w:val="none" w:sz="0" w:space="0" w:color="auto"/>
            <w:bottom w:val="none" w:sz="0" w:space="0" w:color="auto"/>
            <w:right w:val="none" w:sz="0" w:space="0" w:color="auto"/>
          </w:divBdr>
        </w:div>
      </w:divsChild>
    </w:div>
    <w:div w:id="1862082929">
      <w:bodyDiv w:val="1"/>
      <w:marLeft w:val="0"/>
      <w:marRight w:val="0"/>
      <w:marTop w:val="0"/>
      <w:marBottom w:val="0"/>
      <w:divBdr>
        <w:top w:val="none" w:sz="0" w:space="0" w:color="auto"/>
        <w:left w:val="none" w:sz="0" w:space="0" w:color="auto"/>
        <w:bottom w:val="none" w:sz="0" w:space="0" w:color="auto"/>
        <w:right w:val="none" w:sz="0" w:space="0" w:color="auto"/>
      </w:divBdr>
    </w:div>
    <w:div w:id="1893035519">
      <w:bodyDiv w:val="1"/>
      <w:marLeft w:val="0"/>
      <w:marRight w:val="0"/>
      <w:marTop w:val="0"/>
      <w:marBottom w:val="0"/>
      <w:divBdr>
        <w:top w:val="none" w:sz="0" w:space="0" w:color="auto"/>
        <w:left w:val="none" w:sz="0" w:space="0" w:color="auto"/>
        <w:bottom w:val="none" w:sz="0" w:space="0" w:color="auto"/>
        <w:right w:val="none" w:sz="0" w:space="0" w:color="auto"/>
      </w:divBdr>
    </w:div>
    <w:div w:id="1899169641">
      <w:bodyDiv w:val="1"/>
      <w:marLeft w:val="0"/>
      <w:marRight w:val="0"/>
      <w:marTop w:val="0"/>
      <w:marBottom w:val="0"/>
      <w:divBdr>
        <w:top w:val="none" w:sz="0" w:space="0" w:color="auto"/>
        <w:left w:val="none" w:sz="0" w:space="0" w:color="auto"/>
        <w:bottom w:val="none" w:sz="0" w:space="0" w:color="auto"/>
        <w:right w:val="none" w:sz="0" w:space="0" w:color="auto"/>
      </w:divBdr>
    </w:div>
    <w:div w:id="1926379290">
      <w:bodyDiv w:val="1"/>
      <w:marLeft w:val="0"/>
      <w:marRight w:val="0"/>
      <w:marTop w:val="0"/>
      <w:marBottom w:val="0"/>
      <w:divBdr>
        <w:top w:val="none" w:sz="0" w:space="0" w:color="auto"/>
        <w:left w:val="none" w:sz="0" w:space="0" w:color="auto"/>
        <w:bottom w:val="none" w:sz="0" w:space="0" w:color="auto"/>
        <w:right w:val="none" w:sz="0" w:space="0" w:color="auto"/>
      </w:divBdr>
    </w:div>
    <w:div w:id="1947077620">
      <w:bodyDiv w:val="1"/>
      <w:marLeft w:val="0"/>
      <w:marRight w:val="0"/>
      <w:marTop w:val="0"/>
      <w:marBottom w:val="0"/>
      <w:divBdr>
        <w:top w:val="none" w:sz="0" w:space="0" w:color="auto"/>
        <w:left w:val="none" w:sz="0" w:space="0" w:color="auto"/>
        <w:bottom w:val="none" w:sz="0" w:space="0" w:color="auto"/>
        <w:right w:val="none" w:sz="0" w:space="0" w:color="auto"/>
      </w:divBdr>
    </w:div>
    <w:div w:id="1956058921">
      <w:bodyDiv w:val="1"/>
      <w:marLeft w:val="0"/>
      <w:marRight w:val="0"/>
      <w:marTop w:val="0"/>
      <w:marBottom w:val="0"/>
      <w:divBdr>
        <w:top w:val="none" w:sz="0" w:space="0" w:color="auto"/>
        <w:left w:val="none" w:sz="0" w:space="0" w:color="auto"/>
        <w:bottom w:val="none" w:sz="0" w:space="0" w:color="auto"/>
        <w:right w:val="none" w:sz="0" w:space="0" w:color="auto"/>
      </w:divBdr>
      <w:divsChild>
        <w:div w:id="319431512">
          <w:marLeft w:val="547"/>
          <w:marRight w:val="0"/>
          <w:marTop w:val="0"/>
          <w:marBottom w:val="0"/>
          <w:divBdr>
            <w:top w:val="none" w:sz="0" w:space="0" w:color="auto"/>
            <w:left w:val="none" w:sz="0" w:space="0" w:color="auto"/>
            <w:bottom w:val="none" w:sz="0" w:space="0" w:color="auto"/>
            <w:right w:val="none" w:sz="0" w:space="0" w:color="auto"/>
          </w:divBdr>
        </w:div>
      </w:divsChild>
    </w:div>
    <w:div w:id="1969505197">
      <w:bodyDiv w:val="1"/>
      <w:marLeft w:val="0"/>
      <w:marRight w:val="0"/>
      <w:marTop w:val="0"/>
      <w:marBottom w:val="0"/>
      <w:divBdr>
        <w:top w:val="none" w:sz="0" w:space="0" w:color="auto"/>
        <w:left w:val="none" w:sz="0" w:space="0" w:color="auto"/>
        <w:bottom w:val="none" w:sz="0" w:space="0" w:color="auto"/>
        <w:right w:val="none" w:sz="0" w:space="0" w:color="auto"/>
      </w:divBdr>
    </w:div>
    <w:div w:id="1985967581">
      <w:bodyDiv w:val="1"/>
      <w:marLeft w:val="0"/>
      <w:marRight w:val="0"/>
      <w:marTop w:val="0"/>
      <w:marBottom w:val="0"/>
      <w:divBdr>
        <w:top w:val="none" w:sz="0" w:space="0" w:color="auto"/>
        <w:left w:val="none" w:sz="0" w:space="0" w:color="auto"/>
        <w:bottom w:val="none" w:sz="0" w:space="0" w:color="auto"/>
        <w:right w:val="none" w:sz="0" w:space="0" w:color="auto"/>
      </w:divBdr>
    </w:div>
    <w:div w:id="2001346664">
      <w:bodyDiv w:val="1"/>
      <w:marLeft w:val="0"/>
      <w:marRight w:val="0"/>
      <w:marTop w:val="0"/>
      <w:marBottom w:val="0"/>
      <w:divBdr>
        <w:top w:val="none" w:sz="0" w:space="0" w:color="auto"/>
        <w:left w:val="none" w:sz="0" w:space="0" w:color="auto"/>
        <w:bottom w:val="none" w:sz="0" w:space="0" w:color="auto"/>
        <w:right w:val="none" w:sz="0" w:space="0" w:color="auto"/>
      </w:divBdr>
    </w:div>
    <w:div w:id="2043818476">
      <w:bodyDiv w:val="1"/>
      <w:marLeft w:val="0"/>
      <w:marRight w:val="0"/>
      <w:marTop w:val="0"/>
      <w:marBottom w:val="0"/>
      <w:divBdr>
        <w:top w:val="none" w:sz="0" w:space="0" w:color="auto"/>
        <w:left w:val="none" w:sz="0" w:space="0" w:color="auto"/>
        <w:bottom w:val="none" w:sz="0" w:space="0" w:color="auto"/>
        <w:right w:val="none" w:sz="0" w:space="0" w:color="auto"/>
      </w:divBdr>
    </w:div>
    <w:div w:id="2053916414">
      <w:bodyDiv w:val="1"/>
      <w:marLeft w:val="0"/>
      <w:marRight w:val="0"/>
      <w:marTop w:val="0"/>
      <w:marBottom w:val="0"/>
      <w:divBdr>
        <w:top w:val="none" w:sz="0" w:space="0" w:color="auto"/>
        <w:left w:val="none" w:sz="0" w:space="0" w:color="auto"/>
        <w:bottom w:val="none" w:sz="0" w:space="0" w:color="auto"/>
        <w:right w:val="none" w:sz="0" w:space="0" w:color="auto"/>
      </w:divBdr>
    </w:div>
    <w:div w:id="2057773463">
      <w:bodyDiv w:val="1"/>
      <w:marLeft w:val="0"/>
      <w:marRight w:val="0"/>
      <w:marTop w:val="0"/>
      <w:marBottom w:val="0"/>
      <w:divBdr>
        <w:top w:val="none" w:sz="0" w:space="0" w:color="auto"/>
        <w:left w:val="none" w:sz="0" w:space="0" w:color="auto"/>
        <w:bottom w:val="none" w:sz="0" w:space="0" w:color="auto"/>
        <w:right w:val="none" w:sz="0" w:space="0" w:color="auto"/>
      </w:divBdr>
    </w:div>
    <w:div w:id="2087217183">
      <w:bodyDiv w:val="1"/>
      <w:marLeft w:val="0"/>
      <w:marRight w:val="0"/>
      <w:marTop w:val="0"/>
      <w:marBottom w:val="0"/>
      <w:divBdr>
        <w:top w:val="none" w:sz="0" w:space="0" w:color="auto"/>
        <w:left w:val="none" w:sz="0" w:space="0" w:color="auto"/>
        <w:bottom w:val="none" w:sz="0" w:space="0" w:color="auto"/>
        <w:right w:val="none" w:sz="0" w:space="0" w:color="auto"/>
      </w:divBdr>
    </w:div>
    <w:div w:id="2089300709">
      <w:bodyDiv w:val="1"/>
      <w:marLeft w:val="0"/>
      <w:marRight w:val="0"/>
      <w:marTop w:val="0"/>
      <w:marBottom w:val="0"/>
      <w:divBdr>
        <w:top w:val="none" w:sz="0" w:space="0" w:color="auto"/>
        <w:left w:val="none" w:sz="0" w:space="0" w:color="auto"/>
        <w:bottom w:val="none" w:sz="0" w:space="0" w:color="auto"/>
        <w:right w:val="none" w:sz="0" w:space="0" w:color="auto"/>
      </w:divBdr>
    </w:div>
    <w:div w:id="2092045255">
      <w:bodyDiv w:val="1"/>
      <w:marLeft w:val="0"/>
      <w:marRight w:val="0"/>
      <w:marTop w:val="0"/>
      <w:marBottom w:val="0"/>
      <w:divBdr>
        <w:top w:val="none" w:sz="0" w:space="0" w:color="auto"/>
        <w:left w:val="none" w:sz="0" w:space="0" w:color="auto"/>
        <w:bottom w:val="none" w:sz="0" w:space="0" w:color="auto"/>
        <w:right w:val="none" w:sz="0" w:space="0" w:color="auto"/>
      </w:divBdr>
    </w:div>
    <w:div w:id="214056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fme.eu/reports/publications/details/technology-and-innovation-in-europes-capital-market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fme.eu/reports/publications/details//Artificial-Intelligence-Adoption-in-Capital-Market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me.eu/Portals/0/DispatchFeaturedImages/20200612%20AFME%20EC%20AI%20CP%20Response%20-%20Final_.pdf" TargetMode="External"/><Relationship Id="rId5" Type="http://schemas.openxmlformats.org/officeDocument/2006/relationships/webSettings" Target="webSettings.xml"/><Relationship Id="rId15" Type="http://schemas.openxmlformats.org/officeDocument/2006/relationships/hyperlink" Target="https://www.bankofengland.co.uk/paper/2020/transforming-data-collection-from-the-uk-financial-sector" TargetMode="External"/><Relationship Id="rId10" Type="http://schemas.openxmlformats.org/officeDocument/2006/relationships/hyperlink" Target="https://ico.org.uk/about-the-ico/news-and-events/ai-auditing-framework/" TargetMode="External"/><Relationship Id="rId4" Type="http://schemas.openxmlformats.org/officeDocument/2006/relationships/settings" Target="settings.xml"/><Relationship Id="rId9" Type="http://schemas.openxmlformats.org/officeDocument/2006/relationships/hyperlink" Target="https://ec.europa.eu/info/publications/191113-report-expert-group-regulatory-obstacles-financial-innovation_en" TargetMode="External"/><Relationship Id="rId14" Type="http://schemas.openxmlformats.org/officeDocument/2006/relationships/hyperlink" Target="https://www.afme.eu/Portals/0/DispatchFeaturedImages/20200612%20AFME%20EC%20AI%20CP%20Response%20-%20Final_.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info/law/better-regulation/have-your-say/initiatives/12270-White-Paper-on-Artificial-Intelligence-a-European-Approach/public-consultation" TargetMode="External"/><Relationship Id="rId13" Type="http://schemas.openxmlformats.org/officeDocument/2006/relationships/hyperlink" Target="https://ec.europa.eu/info/law/payment-services-psd-2-directive-eu-2015-2366_en" TargetMode="External"/><Relationship Id="rId18" Type="http://schemas.openxmlformats.org/officeDocument/2006/relationships/hyperlink" Target="https://ec.europa.eu/info/law/payment-services-psd-2-directive-eu-2015-2366_en" TargetMode="External"/><Relationship Id="rId26" Type="http://schemas.openxmlformats.org/officeDocument/2006/relationships/hyperlink" Target="https://ec.europa.eu/info/law/payment-services-psd-2-directive-eu-2015-2366_en" TargetMode="External"/><Relationship Id="rId3" Type="http://schemas.openxmlformats.org/officeDocument/2006/relationships/hyperlink" Target="https://inatba.org/" TargetMode="External"/><Relationship Id="rId21" Type="http://schemas.openxmlformats.org/officeDocument/2006/relationships/hyperlink" Target="https://www.bis.org/publ/arpdf/ar2019e3.pdf" TargetMode="External"/><Relationship Id="rId34" Type="http://schemas.openxmlformats.org/officeDocument/2006/relationships/hyperlink" Target="https://www.europeanpaymentscouncil.eu/what-we-do/sepa-payment-schemes/sepa-credit-transfer/sepa-credit-transfer-additional-optional" TargetMode="External"/><Relationship Id="rId7" Type="http://schemas.openxmlformats.org/officeDocument/2006/relationships/hyperlink" Target="https://ec.europa.eu/digital-single-market/en/news/online-consultation-european-strategy-data" TargetMode="External"/><Relationship Id="rId12" Type="http://schemas.openxmlformats.org/officeDocument/2006/relationships/hyperlink" Target="https://eba.europa.eu/regulation-and-policy/remuneration/draft-regulatory-technical-standards-for-the-definition-of-material-risk-takers-for-remuneration-purposes" TargetMode="External"/><Relationship Id="rId17" Type="http://schemas.openxmlformats.org/officeDocument/2006/relationships/hyperlink" Target="https://www.cssf.lu/fileadmin/files/Lois_reglements/Circulaires/Hors_blanchiment_terrorisme/cssf19_714eng.pdf" TargetMode="External"/><Relationship Id="rId25" Type="http://schemas.openxmlformats.org/officeDocument/2006/relationships/hyperlink" Target="https://www.bis.org/publ/arpdf/ar2019e3.pdf" TargetMode="External"/><Relationship Id="rId33" Type="http://schemas.openxmlformats.org/officeDocument/2006/relationships/hyperlink" Target="https://clientebancario.bde.es/pcb/es/menu-horizontal/productosservici/relacionados/entidades/guia-textual/tiposentidadesso/Establecimientos-financieros-de-credito.html" TargetMode="External"/><Relationship Id="rId2" Type="http://schemas.openxmlformats.org/officeDocument/2006/relationships/hyperlink" Target="https://www.thegfin.com/" TargetMode="External"/><Relationship Id="rId16" Type="http://schemas.openxmlformats.org/officeDocument/2006/relationships/hyperlink" Target="https://eba.europa.eu/regulation-and-policy/internal-governance/guidelines-on-outsourcing-arrangements" TargetMode="External"/><Relationship Id="rId20" Type="http://schemas.openxmlformats.org/officeDocument/2006/relationships/hyperlink" Target="https://www.europarl.europa.eu/RegData/etudes/STUD/2019/634445/EPRS_STU(2019)634445_EN.pdf" TargetMode="External"/><Relationship Id="rId29" Type="http://schemas.openxmlformats.org/officeDocument/2006/relationships/hyperlink" Target="https://www.fatf-gafi.org/media/fatf/documents/recommendations/pdfs/Guidance-on-Digital-Identity.pdf" TargetMode="External"/><Relationship Id="rId1" Type="http://schemas.openxmlformats.org/officeDocument/2006/relationships/hyperlink" Target="https://www.bis.org/topic/fintech/hub.htm" TargetMode="External"/><Relationship Id="rId6" Type="http://schemas.openxmlformats.org/officeDocument/2006/relationships/hyperlink" Target="https://ec.europa.eu/info/sites/info/files/business_economy_euro/banking_and_finance/documents/2019-crypto-assets-consultation-document_en.pdf" TargetMode="External"/><Relationship Id="rId11" Type="http://schemas.openxmlformats.org/officeDocument/2006/relationships/hyperlink" Target="https://ec.europa.eu/info/sites/info/files/business_economy_euro/banking_and_finance/documents/191113-report-expert-group-regulatory-obstacles-financial-innovation_en.pdf" TargetMode="External"/><Relationship Id="rId24" Type="http://schemas.openxmlformats.org/officeDocument/2006/relationships/hyperlink" Target="https://www.fatf-gafi.org/" TargetMode="External"/><Relationship Id="rId32" Type="http://schemas.openxmlformats.org/officeDocument/2006/relationships/hyperlink" Target="https://eba.europa.eu/sites/default/documents/files/documents/10180/2545547/154a7ccb-06de-4514-a1e3-0d063b5edb46/JC%202018%2074%20Joint%20Report%20on%20Regulatory%20Sandboxes%20and%20Innovation%20Hubs.pdf" TargetMode="External"/><Relationship Id="rId5" Type="http://schemas.openxmlformats.org/officeDocument/2006/relationships/hyperlink" Target="https://ec.europa.eu/info/sites/info/files/business_economy_euro/banking_and_finance/documents/2019-financial-services-digital-resilience-consultation-document_en.pdf" TargetMode="External"/><Relationship Id="rId15" Type="http://schemas.openxmlformats.org/officeDocument/2006/relationships/hyperlink" Target="https://ec.europa.eu/info/sites/info/files/business_economy_euro/banking_and_finance/documents/191113-report-expert-group-regulatory-obstacles-financial-innovation_en.pdf" TargetMode="External"/><Relationship Id="rId23" Type="http://schemas.openxmlformats.org/officeDocument/2006/relationships/hyperlink" Target="https://www.bis.org/cpmi/info_pfmi.htm" TargetMode="External"/><Relationship Id="rId28" Type="http://schemas.openxmlformats.org/officeDocument/2006/relationships/hyperlink" Target="https://eur-lex.europa.eu/legal-content/EN/TXT/?uri=uriserv%3AOJ.L_.2014.257.01.0073.01.ENG" TargetMode="External"/><Relationship Id="rId10" Type="http://schemas.openxmlformats.org/officeDocument/2006/relationships/hyperlink" Target="https://eur-lex.europa.eu/legal-content/EN/TXT/?uri=CELEX:52018DC0109" TargetMode="External"/><Relationship Id="rId19" Type="http://schemas.openxmlformats.org/officeDocument/2006/relationships/hyperlink" Target="https://ec.europa.eu/info/sites/info/files/business_economy_euro/banking_and_finance/documents/191113-report-expert-group-regulatory-obstacles-financial-innovation_en.pdf" TargetMode="External"/><Relationship Id="rId31" Type="http://schemas.openxmlformats.org/officeDocument/2006/relationships/hyperlink" Target="https://eba.europa.eu/sites/default/documents/files/documents/10180/2545547/154a7ccb-06de-4514-a1e3-0d063b5edb46/JC%202018%2074%20Joint%20Report%20on%20Regulatory%20Sandboxes%20and%20Innovation%20Hubs.pdf" TargetMode="External"/><Relationship Id="rId4" Type="http://schemas.openxmlformats.org/officeDocument/2006/relationships/hyperlink" Target="https://esas-joint-committee.europa.eu/Pages/Activities/EFIF/European-Forum-for-Innovation-Facilitators.aspx" TargetMode="External"/><Relationship Id="rId9" Type="http://schemas.openxmlformats.org/officeDocument/2006/relationships/hyperlink" Target="https://ec.europa.eu/digital-single-market/en/news/cloud-service-providers-consultation-meeting-standard-contractual-clauses-cloud-use-financial" TargetMode="External"/><Relationship Id="rId14" Type="http://schemas.openxmlformats.org/officeDocument/2006/relationships/hyperlink" Target="https://eba.europa.eu/sites/default/documents/files/documents/10180/1919160/79d2cbc6-ce28-482a-9291-34cfba8e0c02/EBA%20FinTech%20Roadmap.pdf" TargetMode="External"/><Relationship Id="rId22" Type="http://schemas.openxmlformats.org/officeDocument/2006/relationships/hyperlink" Target="https://www.bis.org/publ/arpdf/ar2019e3.pdf" TargetMode="External"/><Relationship Id="rId27" Type="http://schemas.openxmlformats.org/officeDocument/2006/relationships/hyperlink" Target="https://www.fatf-gafi.org/media/fatf/documents/recommendations/pdfs/Guidance-on-Digital-Identity-Executive-Summary.pdf" TargetMode="External"/><Relationship Id="rId30" Type="http://schemas.openxmlformats.org/officeDocument/2006/relationships/hyperlink" Target="https://eur-lex.europa.eu/legal-content/EN/TXT/HTML/?uri=CELEX:32015L0849&amp;from=EN" TargetMode="External"/><Relationship Id="rId35" Type="http://schemas.openxmlformats.org/officeDocument/2006/relationships/hyperlink" Target="https://www.afme.eu/Portals/0/DispatchFeaturedImages/2020-05%20AFME%20Transforming%20Data%20Response%20-%20Final_.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28F39-FBA6-4F77-9338-2AF5B9E9C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37</Pages>
  <Words>19570</Words>
  <Characters>111549</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
    </vt:vector>
  </TitlesOfParts>
  <Company>AFME</Company>
  <LinksUpToDate>false</LinksUpToDate>
  <CharactersWithSpaces>130858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Marois, Emmanuel</dc:creator>
  <cp:keywords/>
  <dc:description/>
  <cp:lastModifiedBy>Le Marois, Emmanuel</cp:lastModifiedBy>
  <cp:revision>5</cp:revision>
  <cp:lastPrinted>2018-09-11T09:13:00Z</cp:lastPrinted>
  <dcterms:created xsi:type="dcterms:W3CDTF">2020-06-26T12:20:00Z</dcterms:created>
  <dcterms:modified xsi:type="dcterms:W3CDTF">2020-06-26T14:33:00Z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