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2630" w14:textId="0561629F" w:rsidR="00A9204E" w:rsidRPr="00FA034A" w:rsidRDefault="003458C8" w:rsidP="00C03F12">
      <w:pPr>
        <w:pStyle w:val="Title"/>
        <w:jc w:val="center"/>
        <w:rPr>
          <w:sz w:val="48"/>
          <w:szCs w:val="48"/>
          <w:lang w:val="en-GB"/>
        </w:rPr>
      </w:pPr>
      <w:r>
        <w:rPr>
          <w:noProof/>
        </w:rPr>
        <w:drawing>
          <wp:inline distT="0" distB="0" distL="0" distR="0" wp14:anchorId="0411261D" wp14:editId="20EFCA6E">
            <wp:extent cx="1493520" cy="693420"/>
            <wp:effectExtent l="0" t="0" r="11430" b="11430"/>
            <wp:docPr id="5" name="Picture 5" descr="Logo&#10;&#10;Description automatically generated with medium confidence">
              <a:hlinkClick xmlns:a="http://schemas.openxmlformats.org/drawingml/2006/main" r:id="rId8" tgtFrame="_blank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 with medium confidence">
                      <a:hlinkClick r:id="rId8" tgtFrame="_blank"/>
                    </pic:cNvPr>
                    <pic:cNvPicPr/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F12" w:rsidRPr="00FA034A">
        <w:rPr>
          <w:sz w:val="48"/>
          <w:szCs w:val="48"/>
          <w:lang w:val="en-GB"/>
        </w:rPr>
        <w:t xml:space="preserve">Use case for the EGEDFS: </w:t>
      </w:r>
      <w:proofErr w:type="gramStart"/>
      <w:r w:rsidR="00647CDA" w:rsidRPr="00FA034A">
        <w:rPr>
          <w:sz w:val="48"/>
          <w:szCs w:val="48"/>
          <w:lang w:val="en-GB"/>
        </w:rPr>
        <w:t xml:space="preserve">some </w:t>
      </w:r>
      <w:r w:rsidR="00C03F12" w:rsidRPr="00FA034A">
        <w:rPr>
          <w:sz w:val="48"/>
          <w:szCs w:val="48"/>
          <w:lang w:val="en-GB"/>
        </w:rPr>
        <w:t xml:space="preserve"> weaknesses</w:t>
      </w:r>
      <w:proofErr w:type="gramEnd"/>
      <w:r w:rsidR="00C03F12" w:rsidRPr="00FA034A">
        <w:rPr>
          <w:sz w:val="48"/>
          <w:szCs w:val="48"/>
          <w:lang w:val="en-GB"/>
        </w:rPr>
        <w:t xml:space="preserve"> of PSD2 as regard AIS providers.</w:t>
      </w:r>
    </w:p>
    <w:p w14:paraId="67D50828" w14:textId="72A6DB44" w:rsidR="00C03F12" w:rsidRPr="00FA034A" w:rsidRDefault="00C03F12" w:rsidP="00C03F12">
      <w:pPr>
        <w:rPr>
          <w:sz w:val="18"/>
          <w:szCs w:val="18"/>
          <w:lang w:val="en-GB"/>
        </w:rPr>
      </w:pPr>
    </w:p>
    <w:p w14:paraId="0636BFC2" w14:textId="7D673949" w:rsidR="00C03F12" w:rsidRPr="00FA034A" w:rsidRDefault="00C03F12" w:rsidP="00C03F12">
      <w:pPr>
        <w:rPr>
          <w:sz w:val="20"/>
          <w:szCs w:val="20"/>
          <w:lang w:val="en-GB"/>
        </w:rPr>
      </w:pPr>
    </w:p>
    <w:p w14:paraId="7C0D8E1E" w14:textId="15E25943" w:rsidR="00C03F12" w:rsidRDefault="00C03F12" w:rsidP="00C03F12">
      <w:pPr>
        <w:rPr>
          <w:lang w:val="en-GB"/>
        </w:rPr>
      </w:pPr>
      <w:r>
        <w:rPr>
          <w:lang w:val="en-GB"/>
        </w:rPr>
        <w:t>Account Information Service Provider</w:t>
      </w:r>
      <w:r w:rsidR="00C41AAA">
        <w:rPr>
          <w:lang w:val="en-GB"/>
        </w:rPr>
        <w:t>s (</w:t>
      </w:r>
      <w:proofErr w:type="gramStart"/>
      <w:r w:rsidR="00647CDA">
        <w:rPr>
          <w:lang w:val="en-GB"/>
        </w:rPr>
        <w:t xml:space="preserve">AIS)  </w:t>
      </w:r>
      <w:r w:rsidR="00C41AAA">
        <w:rPr>
          <w:lang w:val="en-GB"/>
        </w:rPr>
        <w:t>are</w:t>
      </w:r>
      <w:proofErr w:type="gramEnd"/>
      <w:r w:rsidR="00C41AAA">
        <w:rPr>
          <w:lang w:val="en-GB"/>
        </w:rPr>
        <w:t xml:space="preserve"> defined by article 4.16   and their activities and obligation by article 67.2 of  </w:t>
      </w:r>
      <w:hyperlink r:id="rId10" w:history="1">
        <w:r w:rsidR="00C41AAA" w:rsidRPr="00C41AAA">
          <w:rPr>
            <w:rStyle w:val="Hyperlink"/>
            <w:lang w:val="en-GB"/>
          </w:rPr>
          <w:t>PSD2</w:t>
        </w:r>
      </w:hyperlink>
    </w:p>
    <w:p w14:paraId="18BFBE90" w14:textId="1027B2FC" w:rsidR="00820BE6" w:rsidRDefault="0038379F" w:rsidP="00C03F12">
      <w:pPr>
        <w:rPr>
          <w:lang w:val="en-GB"/>
        </w:rPr>
      </w:pPr>
      <w:r>
        <w:rPr>
          <w:lang w:val="en-GB"/>
        </w:rPr>
        <w:t xml:space="preserve">The consumer has a </w:t>
      </w:r>
      <w:r w:rsidR="001C30BD">
        <w:rPr>
          <w:lang w:val="en-GB"/>
        </w:rPr>
        <w:t>contract with</w:t>
      </w:r>
      <w:r>
        <w:rPr>
          <w:lang w:val="en-GB"/>
        </w:rPr>
        <w:t xml:space="preserve"> the AIS.</w:t>
      </w:r>
      <w:r w:rsidR="001C30BD">
        <w:rPr>
          <w:lang w:val="en-GB"/>
        </w:rPr>
        <w:t xml:space="preserve"> The AIS has no contract with the bank </w:t>
      </w:r>
      <w:r w:rsidR="00684D1F">
        <w:rPr>
          <w:lang w:val="en-GB"/>
        </w:rPr>
        <w:t>(article</w:t>
      </w:r>
      <w:r w:rsidR="00AE5DD5">
        <w:rPr>
          <w:lang w:val="en-GB"/>
        </w:rPr>
        <w:t xml:space="preserve"> 67.4 PSD2</w:t>
      </w:r>
      <w:proofErr w:type="gramStart"/>
      <w:r w:rsidR="00AE5DD5">
        <w:rPr>
          <w:lang w:val="en-GB"/>
        </w:rPr>
        <w:t xml:space="preserve">) </w:t>
      </w:r>
      <w:r>
        <w:rPr>
          <w:lang w:val="en-GB"/>
        </w:rPr>
        <w:t xml:space="preserve"> </w:t>
      </w:r>
      <w:r w:rsidR="00820BE6">
        <w:rPr>
          <w:lang w:val="en-GB"/>
        </w:rPr>
        <w:t>A</w:t>
      </w:r>
      <w:proofErr w:type="gramEnd"/>
      <w:r w:rsidR="00820BE6">
        <w:rPr>
          <w:lang w:val="en-GB"/>
        </w:rPr>
        <w:t xml:space="preserve"> very important point which </w:t>
      </w:r>
      <w:r w:rsidR="009A0AD3">
        <w:rPr>
          <w:lang w:val="en-GB"/>
        </w:rPr>
        <w:t xml:space="preserve">is </w:t>
      </w:r>
      <w:r w:rsidR="00820BE6">
        <w:rPr>
          <w:lang w:val="en-GB"/>
        </w:rPr>
        <w:t>very o</w:t>
      </w:r>
      <w:r w:rsidR="00E660E4">
        <w:rPr>
          <w:lang w:val="en-GB"/>
        </w:rPr>
        <w:t xml:space="preserve">ften forgotten:  any bank can act as an AIS, which </w:t>
      </w:r>
      <w:r w:rsidR="00910CD3">
        <w:rPr>
          <w:lang w:val="en-GB"/>
        </w:rPr>
        <w:t>mean</w:t>
      </w:r>
      <w:r w:rsidR="004A6DC4">
        <w:rPr>
          <w:lang w:val="en-GB"/>
        </w:rPr>
        <w:t>s</w:t>
      </w:r>
      <w:r w:rsidR="00910CD3">
        <w:rPr>
          <w:lang w:val="en-GB"/>
        </w:rPr>
        <w:t xml:space="preserve"> to </w:t>
      </w:r>
      <w:r w:rsidR="00E660E4">
        <w:rPr>
          <w:lang w:val="en-GB"/>
        </w:rPr>
        <w:t xml:space="preserve">request to the consumer to have access to </w:t>
      </w:r>
      <w:r w:rsidR="00910CD3">
        <w:rPr>
          <w:lang w:val="en-GB"/>
        </w:rPr>
        <w:t>their account</w:t>
      </w:r>
      <w:r w:rsidR="006B0227">
        <w:rPr>
          <w:lang w:val="en-GB"/>
        </w:rPr>
        <w:t>s</w:t>
      </w:r>
      <w:r w:rsidR="00910CD3">
        <w:rPr>
          <w:lang w:val="en-GB"/>
        </w:rPr>
        <w:t xml:space="preserve"> in other banks. </w:t>
      </w:r>
    </w:p>
    <w:p w14:paraId="2D6A1572" w14:textId="77777777" w:rsidR="00C41AAA" w:rsidRDefault="00C41AAA" w:rsidP="00C03F12">
      <w:pPr>
        <w:rPr>
          <w:lang w:val="en-GB"/>
        </w:rPr>
      </w:pPr>
    </w:p>
    <w:p w14:paraId="25309E4E" w14:textId="2A2ABC31" w:rsidR="007C2B03" w:rsidRDefault="007C2B03" w:rsidP="00C41AAA">
      <w:pPr>
        <w:rPr>
          <w:lang w:val="en-GB"/>
        </w:rPr>
      </w:pPr>
      <w:r>
        <w:rPr>
          <w:lang w:val="en-GB"/>
        </w:rPr>
        <w:t xml:space="preserve">The data subject (the consumer) cannot instruct the data keeper (the bank) not to share his payment account data with a data intermediary (the </w:t>
      </w:r>
      <w:r w:rsidR="0034209C">
        <w:rPr>
          <w:lang w:val="en-GB"/>
        </w:rPr>
        <w:t>AIS) The</w:t>
      </w:r>
      <w:r>
        <w:rPr>
          <w:lang w:val="en-GB"/>
        </w:rPr>
        <w:t xml:space="preserve"> consumer cannot ask to the bank to establish a </w:t>
      </w:r>
      <w:proofErr w:type="gramStart"/>
      <w:r w:rsidR="0045458E">
        <w:rPr>
          <w:lang w:val="en-GB"/>
        </w:rPr>
        <w:t>white list</w:t>
      </w:r>
      <w:proofErr w:type="gramEnd"/>
      <w:r>
        <w:rPr>
          <w:lang w:val="en-GB"/>
        </w:rPr>
        <w:t xml:space="preserve"> of AIS who can have </w:t>
      </w:r>
      <w:r w:rsidR="00354F42">
        <w:rPr>
          <w:lang w:val="en-GB"/>
        </w:rPr>
        <w:t>access or</w:t>
      </w:r>
      <w:r>
        <w:rPr>
          <w:lang w:val="en-GB"/>
        </w:rPr>
        <w:t xml:space="preserve"> a black list of AIS who cannot have access. </w:t>
      </w:r>
      <w:r w:rsidR="00FD2A29">
        <w:rPr>
          <w:lang w:val="en-GB"/>
        </w:rPr>
        <w:t xml:space="preserve"> </w:t>
      </w:r>
      <w:r w:rsidR="00D270DA">
        <w:rPr>
          <w:lang w:val="en-GB"/>
        </w:rPr>
        <w:t>(Europe</w:t>
      </w:r>
      <w:r w:rsidR="00715E36">
        <w:rPr>
          <w:lang w:val="en-GB"/>
        </w:rPr>
        <w:t xml:space="preserve">an Banking Authority </w:t>
      </w:r>
      <w:hyperlink r:id="rId11" w:history="1">
        <w:r w:rsidR="0034209C" w:rsidRPr="000956DA">
          <w:rPr>
            <w:rStyle w:val="Hyperlink"/>
            <w:lang w:val="en-GB"/>
          </w:rPr>
          <w:t>answer to question 2018_4309</w:t>
        </w:r>
      </w:hyperlink>
      <w:r w:rsidR="00975B21">
        <w:rPr>
          <w:lang w:val="en-GB"/>
        </w:rPr>
        <w:t>)</w:t>
      </w:r>
    </w:p>
    <w:p w14:paraId="7560BD85" w14:textId="77777777" w:rsidR="007C2B03" w:rsidRDefault="007C2B03" w:rsidP="00C41AAA">
      <w:pPr>
        <w:rPr>
          <w:lang w:val="en-GB"/>
        </w:rPr>
      </w:pPr>
    </w:p>
    <w:p w14:paraId="26029275" w14:textId="69E769A4" w:rsidR="007C2B03" w:rsidRDefault="007C2B03" w:rsidP="00C41AAA">
      <w:pPr>
        <w:rPr>
          <w:lang w:val="en-GB"/>
        </w:rPr>
      </w:pPr>
      <w:r>
        <w:rPr>
          <w:lang w:val="en-GB"/>
        </w:rPr>
        <w:t xml:space="preserve">The data keeper (the bank) has no right to check if the data subject (the </w:t>
      </w:r>
      <w:r w:rsidR="00975B21">
        <w:rPr>
          <w:lang w:val="en-GB"/>
        </w:rPr>
        <w:t>consumer) has</w:t>
      </w:r>
      <w:r>
        <w:rPr>
          <w:lang w:val="en-GB"/>
        </w:rPr>
        <w:t xml:space="preserve"> given an agreement to the data intermediary </w:t>
      </w:r>
      <w:r w:rsidR="00685F98">
        <w:rPr>
          <w:lang w:val="en-GB"/>
        </w:rPr>
        <w:t>(the</w:t>
      </w:r>
      <w:r>
        <w:rPr>
          <w:lang w:val="en-GB"/>
        </w:rPr>
        <w:t xml:space="preserve"> AIS)</w:t>
      </w:r>
      <w:r w:rsidR="004E4386">
        <w:rPr>
          <w:lang w:val="en-GB"/>
        </w:rPr>
        <w:t xml:space="preserve">EBA </w:t>
      </w:r>
      <w:hyperlink r:id="rId12" w:history="1">
        <w:r w:rsidR="005641B6" w:rsidRPr="005641B6">
          <w:rPr>
            <w:rStyle w:val="Hyperlink"/>
            <w:lang w:val="en-GB"/>
          </w:rPr>
          <w:t>answer to question 2018_4123</w:t>
        </w:r>
      </w:hyperlink>
      <w:r>
        <w:rPr>
          <w:lang w:val="en-GB"/>
        </w:rPr>
        <w:t>.</w:t>
      </w:r>
      <w:r w:rsidR="001D54D2">
        <w:rPr>
          <w:lang w:val="en-GB"/>
        </w:rPr>
        <w:t xml:space="preserve"> The simple fact that the bank checks if the consumer has given</w:t>
      </w:r>
      <w:r w:rsidR="00411DED">
        <w:rPr>
          <w:lang w:val="en-GB"/>
        </w:rPr>
        <w:t xml:space="preserve"> his consent is consider</w:t>
      </w:r>
      <w:r w:rsidR="00803ED4">
        <w:rPr>
          <w:lang w:val="en-GB"/>
        </w:rPr>
        <w:t>ed</w:t>
      </w:r>
      <w:r w:rsidR="00411DED">
        <w:rPr>
          <w:lang w:val="en-GB"/>
        </w:rPr>
        <w:t xml:space="preserve"> as an obstacle. </w:t>
      </w:r>
      <w:r>
        <w:rPr>
          <w:lang w:val="en-GB"/>
        </w:rPr>
        <w:t xml:space="preserve"> </w:t>
      </w:r>
    </w:p>
    <w:p w14:paraId="7B5C9206" w14:textId="77777777" w:rsidR="007C2B03" w:rsidRDefault="007C2B03" w:rsidP="00C41AAA">
      <w:pPr>
        <w:rPr>
          <w:lang w:val="en-GB"/>
        </w:rPr>
      </w:pPr>
    </w:p>
    <w:p w14:paraId="2023B898" w14:textId="44CC768A" w:rsidR="007C2B03" w:rsidRDefault="007C2B03" w:rsidP="0064313F">
      <w:pPr>
        <w:autoSpaceDE w:val="0"/>
        <w:autoSpaceDN w:val="0"/>
        <w:adjustRightInd w:val="0"/>
        <w:rPr>
          <w:lang w:val="en-GB"/>
        </w:rPr>
      </w:pPr>
      <w:r>
        <w:rPr>
          <w:lang w:val="en-GB"/>
        </w:rPr>
        <w:t xml:space="preserve">The consumer can </w:t>
      </w:r>
      <w:r w:rsidR="003F3C8B">
        <w:rPr>
          <w:lang w:val="en-GB"/>
        </w:rPr>
        <w:t xml:space="preserve">instruct the bank to give access to only some </w:t>
      </w:r>
      <w:proofErr w:type="gramStart"/>
      <w:r w:rsidR="003F3C8B">
        <w:rPr>
          <w:lang w:val="en-GB"/>
        </w:rPr>
        <w:t>data</w:t>
      </w:r>
      <w:proofErr w:type="gramEnd"/>
      <w:r w:rsidR="006205A3">
        <w:rPr>
          <w:lang w:val="en-GB"/>
        </w:rPr>
        <w:t xml:space="preserve"> but the bank has no obligation to </w:t>
      </w:r>
      <w:r w:rsidR="00E24B08">
        <w:rPr>
          <w:lang w:val="en-GB"/>
        </w:rPr>
        <w:t xml:space="preserve">apply </w:t>
      </w:r>
      <w:r w:rsidR="004929E8">
        <w:rPr>
          <w:lang w:val="en-GB"/>
        </w:rPr>
        <w:t>any filter</w:t>
      </w:r>
      <w:r w:rsidR="00E24B08">
        <w:rPr>
          <w:lang w:val="en-GB"/>
        </w:rPr>
        <w:t xml:space="preserve"> as regard these data. </w:t>
      </w:r>
      <w:r w:rsidR="002B059F">
        <w:rPr>
          <w:lang w:val="en-GB"/>
        </w:rPr>
        <w:t xml:space="preserve"> As indicated by point </w:t>
      </w:r>
      <w:r w:rsidR="00444971">
        <w:rPr>
          <w:lang w:val="en-GB"/>
        </w:rPr>
        <w:t xml:space="preserve">63 of the </w:t>
      </w:r>
      <w:hyperlink r:id="rId13" w:history="1">
        <w:r w:rsidR="001E2EB3" w:rsidRPr="001E2EB3">
          <w:rPr>
            <w:rStyle w:val="Hyperlink"/>
            <w:lang w:val="en-GB"/>
          </w:rPr>
          <w:t>Guidelines 06/2020</w:t>
        </w:r>
      </w:hyperlink>
      <w:r w:rsidR="001E2EB3">
        <w:rPr>
          <w:lang w:val="en-GB"/>
        </w:rPr>
        <w:t xml:space="preserve"> </w:t>
      </w:r>
      <w:r w:rsidR="00B132D1">
        <w:rPr>
          <w:lang w:val="en-GB"/>
        </w:rPr>
        <w:t xml:space="preserve">on the interplay of PSD2 with GDPR </w:t>
      </w:r>
      <w:r w:rsidR="00182155">
        <w:rPr>
          <w:lang w:val="en-GB"/>
        </w:rPr>
        <w:t xml:space="preserve">, </w:t>
      </w:r>
      <w:r w:rsidR="00A0316D">
        <w:rPr>
          <w:lang w:val="en-GB"/>
        </w:rPr>
        <w:t xml:space="preserve"> </w:t>
      </w:r>
      <w:r w:rsidR="0064313F">
        <w:rPr>
          <w:lang w:val="en-GB"/>
        </w:rPr>
        <w:t xml:space="preserve"> “</w:t>
      </w:r>
      <w:r w:rsidR="0064313F" w:rsidRPr="003036F6">
        <w:rPr>
          <w:rFonts w:ascii="Calibri" w:hAnsi="Calibri" w:cs="Calibri"/>
          <w:i/>
          <w:iCs/>
          <w:lang w:val="en-GB"/>
        </w:rPr>
        <w:t>a digital selection tool could function as a means for TPPs to exclude this field from</w:t>
      </w:r>
      <w:r w:rsidR="0064313F" w:rsidRPr="003036F6">
        <w:rPr>
          <w:rFonts w:ascii="Calibri" w:hAnsi="Calibri" w:cs="Calibri"/>
          <w:i/>
          <w:iCs/>
          <w:lang w:val="en-GB"/>
        </w:rPr>
        <w:t xml:space="preserve"> </w:t>
      </w:r>
      <w:r w:rsidR="0064313F" w:rsidRPr="003036F6">
        <w:rPr>
          <w:rFonts w:ascii="Calibri" w:hAnsi="Calibri" w:cs="Calibri"/>
          <w:i/>
          <w:iCs/>
          <w:lang w:val="en-GB"/>
        </w:rPr>
        <w:t>the overall processing operations by the TPP</w:t>
      </w:r>
      <w:r w:rsidR="0064313F">
        <w:rPr>
          <w:rFonts w:ascii="Calibri" w:hAnsi="Calibri" w:cs="Calibri"/>
          <w:lang w:val="en-GB"/>
        </w:rPr>
        <w:t>”</w:t>
      </w:r>
      <w:r w:rsidR="0064313F">
        <w:rPr>
          <w:rFonts w:ascii="Calibri" w:hAnsi="Calibri" w:cs="Calibri"/>
          <w:lang w:val="en-GB"/>
        </w:rPr>
        <w:t>.</w:t>
      </w:r>
      <w:r w:rsidR="0064313F">
        <w:rPr>
          <w:rFonts w:ascii="Calibri" w:hAnsi="Calibri" w:cs="Calibri"/>
          <w:lang w:val="en-GB"/>
        </w:rPr>
        <w:t xml:space="preserve">  It means that the </w:t>
      </w:r>
      <w:r w:rsidR="00B24D2C">
        <w:rPr>
          <w:rFonts w:ascii="Calibri" w:hAnsi="Calibri" w:cs="Calibri"/>
          <w:lang w:val="en-GB"/>
        </w:rPr>
        <w:t xml:space="preserve">bank has no liability </w:t>
      </w:r>
      <w:r w:rsidR="004213AD">
        <w:rPr>
          <w:rFonts w:ascii="Calibri" w:hAnsi="Calibri" w:cs="Calibri"/>
          <w:lang w:val="en-GB"/>
        </w:rPr>
        <w:t>if the</w:t>
      </w:r>
      <w:r w:rsidR="003036F6">
        <w:rPr>
          <w:rFonts w:ascii="Calibri" w:hAnsi="Calibri" w:cs="Calibri"/>
          <w:lang w:val="en-GB"/>
        </w:rPr>
        <w:t xml:space="preserve"> AIS has accessed to </w:t>
      </w:r>
      <w:r w:rsidR="00420499">
        <w:rPr>
          <w:rFonts w:ascii="Calibri" w:hAnsi="Calibri" w:cs="Calibri"/>
          <w:lang w:val="en-GB"/>
        </w:rPr>
        <w:t>confidential or sensitive data</w:t>
      </w:r>
      <w:r w:rsidR="004213AD">
        <w:rPr>
          <w:rFonts w:ascii="Calibri" w:hAnsi="Calibri" w:cs="Calibri"/>
          <w:lang w:val="en-GB"/>
        </w:rPr>
        <w:t xml:space="preserve"> despite the request of the consumer. </w:t>
      </w:r>
    </w:p>
    <w:p w14:paraId="1F1B5C0D" w14:textId="77777777" w:rsidR="007C2B03" w:rsidRDefault="007C2B03" w:rsidP="00C41AAA">
      <w:pPr>
        <w:rPr>
          <w:lang w:val="en-GB"/>
        </w:rPr>
      </w:pPr>
    </w:p>
    <w:p w14:paraId="63F2AC56" w14:textId="454B58D3" w:rsidR="007C2B03" w:rsidRDefault="00EA0DD8" w:rsidP="00C41AAA">
      <w:pPr>
        <w:rPr>
          <w:lang w:val="en-GB"/>
        </w:rPr>
      </w:pPr>
      <w:r>
        <w:rPr>
          <w:lang w:val="en-GB"/>
        </w:rPr>
        <w:t>The consumer should be able to cancel at any time</w:t>
      </w:r>
      <w:r w:rsidR="00475885">
        <w:rPr>
          <w:lang w:val="en-GB"/>
        </w:rPr>
        <w:t xml:space="preserve"> any specific agreement they have given to a third party</w:t>
      </w:r>
      <w:r w:rsidR="00835FB6">
        <w:rPr>
          <w:lang w:val="en-GB"/>
        </w:rPr>
        <w:t xml:space="preserve">. </w:t>
      </w:r>
      <w:r w:rsidR="009E6ACC">
        <w:rPr>
          <w:lang w:val="en-GB"/>
        </w:rPr>
        <w:t>For the time being the  cancellation can be done through the  AIS and not directly to the data keeper</w:t>
      </w:r>
      <w:r w:rsidR="00685F98">
        <w:rPr>
          <w:lang w:val="en-GB"/>
        </w:rPr>
        <w:t xml:space="preserve"> (EBA </w:t>
      </w:r>
      <w:hyperlink r:id="rId14" w:history="1">
        <w:r w:rsidR="009D5C8E" w:rsidRPr="009D5C8E">
          <w:rPr>
            <w:rStyle w:val="Hyperlink"/>
            <w:lang w:val="en-GB"/>
          </w:rPr>
          <w:t>answer to question 2018_4309</w:t>
        </w:r>
      </w:hyperlink>
      <w:r w:rsidR="009D5C8E">
        <w:rPr>
          <w:lang w:val="en-GB"/>
        </w:rPr>
        <w:t>)</w:t>
      </w:r>
      <w:r w:rsidR="009E6ACC">
        <w:rPr>
          <w:lang w:val="en-GB"/>
        </w:rPr>
        <w:t xml:space="preserve">. </w:t>
      </w:r>
      <w:r w:rsidR="00CD11D2">
        <w:rPr>
          <w:lang w:val="en-GB"/>
        </w:rPr>
        <w:t>Interesting to note that the E</w:t>
      </w:r>
      <w:r w:rsidR="00957643">
        <w:rPr>
          <w:lang w:val="en-GB"/>
        </w:rPr>
        <w:t xml:space="preserve">DBP disagrees with this answer </w:t>
      </w:r>
      <w:proofErr w:type="gramStart"/>
      <w:r w:rsidR="00957643">
        <w:rPr>
          <w:lang w:val="en-GB"/>
        </w:rPr>
        <w:t>(</w:t>
      </w:r>
      <w:r w:rsidR="008A1AC7">
        <w:rPr>
          <w:lang w:val="en-GB"/>
        </w:rPr>
        <w:t xml:space="preserve"> point</w:t>
      </w:r>
      <w:proofErr w:type="gramEnd"/>
      <w:r w:rsidR="008A1AC7">
        <w:rPr>
          <w:lang w:val="en-GB"/>
        </w:rPr>
        <w:t xml:space="preserve"> 79 of guidelines PSD2</w:t>
      </w:r>
      <w:r w:rsidR="00294DEC">
        <w:rPr>
          <w:lang w:val="en-GB"/>
        </w:rPr>
        <w:t>.GDPR)</w:t>
      </w:r>
    </w:p>
    <w:p w14:paraId="761CD370" w14:textId="77A7303E" w:rsidR="00C41AAA" w:rsidRDefault="007C2B03" w:rsidP="00C41AAA">
      <w:pPr>
        <w:rPr>
          <w:lang w:val="en-GB"/>
        </w:rPr>
      </w:pPr>
      <w:r>
        <w:rPr>
          <w:lang w:val="en-GB"/>
        </w:rPr>
        <w:t xml:space="preserve"> </w:t>
      </w:r>
    </w:p>
    <w:p w14:paraId="62901974" w14:textId="1700ABBE" w:rsidR="007C2B03" w:rsidRDefault="00CC57DB" w:rsidP="00C41AAA">
      <w:pPr>
        <w:rPr>
          <w:lang w:val="en-GB"/>
        </w:rPr>
      </w:pPr>
      <w:r>
        <w:rPr>
          <w:lang w:val="en-GB"/>
        </w:rPr>
        <w:t xml:space="preserve">This short use case about AIS is not dealing with the complex </w:t>
      </w:r>
      <w:r w:rsidR="000168E8">
        <w:rPr>
          <w:lang w:val="en-GB"/>
        </w:rPr>
        <w:t xml:space="preserve">issue of explicit consent in PSD2 and GDPR. </w:t>
      </w:r>
    </w:p>
    <w:p w14:paraId="60DE63F4" w14:textId="4EAD7A35" w:rsidR="007C2B03" w:rsidRDefault="007C2B03" w:rsidP="00C41AAA">
      <w:pPr>
        <w:rPr>
          <w:lang w:val="en-GB"/>
        </w:rPr>
      </w:pPr>
    </w:p>
    <w:p w14:paraId="703612AD" w14:textId="759D4E07" w:rsidR="007C2B03" w:rsidRDefault="000168E8" w:rsidP="00C41AAA">
      <w:pPr>
        <w:rPr>
          <w:lang w:val="en-GB"/>
        </w:rPr>
      </w:pPr>
      <w:r>
        <w:rPr>
          <w:lang w:val="en-GB"/>
        </w:rPr>
        <w:t>More information</w:t>
      </w:r>
      <w:r w:rsidR="002147F5">
        <w:rPr>
          <w:lang w:val="en-GB"/>
        </w:rPr>
        <w:t>:</w:t>
      </w:r>
    </w:p>
    <w:p w14:paraId="2EC75782" w14:textId="61CCDE28" w:rsidR="002147F5" w:rsidRDefault="005318A2" w:rsidP="00C41AAA">
      <w:pPr>
        <w:rPr>
          <w:lang w:val="en-GB"/>
        </w:rPr>
      </w:pPr>
      <w:hyperlink r:id="rId15" w:history="1">
        <w:r w:rsidRPr="00C862D3">
          <w:rPr>
            <w:rStyle w:val="Hyperlink"/>
            <w:lang w:val="en-GB"/>
          </w:rPr>
          <w:t>https://www.beuc.eu/publications/consumer-friendly-open-banking/html</w:t>
        </w:r>
      </w:hyperlink>
    </w:p>
    <w:p w14:paraId="08596D77" w14:textId="7DA6A61E" w:rsidR="005318A2" w:rsidRDefault="00641E05" w:rsidP="00C41AAA">
      <w:pPr>
        <w:rPr>
          <w:lang w:val="en-GB"/>
        </w:rPr>
      </w:pPr>
      <w:hyperlink r:id="rId16" w:history="1">
        <w:r w:rsidRPr="00C862D3">
          <w:rPr>
            <w:rStyle w:val="Hyperlink"/>
            <w:lang w:val="en-GB"/>
          </w:rPr>
          <w:t>https://www.beuc.eu/publications/beuc-x-2020-086_guidelines_on_the_interplay_on_the_second_payment_services_directive_and_the_gdpr.pdf</w:t>
        </w:r>
      </w:hyperlink>
    </w:p>
    <w:p w14:paraId="440A11F9" w14:textId="7DD27E0E" w:rsidR="00641E05" w:rsidRDefault="000E357D" w:rsidP="00C41AAA">
      <w:pPr>
        <w:rPr>
          <w:lang w:val="en-GB"/>
        </w:rPr>
      </w:pPr>
      <w:hyperlink r:id="rId17" w:history="1">
        <w:r w:rsidRPr="00C862D3">
          <w:rPr>
            <w:rStyle w:val="Hyperlink"/>
            <w:lang w:val="en-GB"/>
          </w:rPr>
          <w:t>https://www.beuc.eu/publications/beuc-x-2020-070_digital-finance-strategy-consultation_beuc_paper.pdf</w:t>
        </w:r>
      </w:hyperlink>
    </w:p>
    <w:p w14:paraId="5A876B73" w14:textId="77777777" w:rsidR="000E357D" w:rsidRPr="00C41AAA" w:rsidRDefault="000E357D" w:rsidP="00C41AAA">
      <w:pPr>
        <w:rPr>
          <w:lang w:val="en-GB"/>
        </w:rPr>
      </w:pPr>
    </w:p>
    <w:p w14:paraId="538EFEC3" w14:textId="2FD0608C" w:rsidR="00C41AAA" w:rsidRPr="00C41AAA" w:rsidRDefault="00C41AAA" w:rsidP="00C41AAA">
      <w:pPr>
        <w:rPr>
          <w:lang w:val="en-GB"/>
        </w:rPr>
      </w:pPr>
    </w:p>
    <w:sectPr w:rsidR="00C41AAA" w:rsidRPr="00C41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12"/>
    <w:rsid w:val="000168E8"/>
    <w:rsid w:val="000365C2"/>
    <w:rsid w:val="000956DA"/>
    <w:rsid w:val="000E357D"/>
    <w:rsid w:val="00182155"/>
    <w:rsid w:val="00182B45"/>
    <w:rsid w:val="00193F44"/>
    <w:rsid w:val="001C30BD"/>
    <w:rsid w:val="001D54D2"/>
    <w:rsid w:val="001E2EB3"/>
    <w:rsid w:val="001E7EB7"/>
    <w:rsid w:val="002147F5"/>
    <w:rsid w:val="00294DEC"/>
    <w:rsid w:val="002B059F"/>
    <w:rsid w:val="003036F6"/>
    <w:rsid w:val="0034209C"/>
    <w:rsid w:val="003458C8"/>
    <w:rsid w:val="00354F42"/>
    <w:rsid w:val="0038379F"/>
    <w:rsid w:val="003F3C8B"/>
    <w:rsid w:val="00411DED"/>
    <w:rsid w:val="00420499"/>
    <w:rsid w:val="004213AD"/>
    <w:rsid w:val="00444971"/>
    <w:rsid w:val="0045458E"/>
    <w:rsid w:val="00475885"/>
    <w:rsid w:val="004929E8"/>
    <w:rsid w:val="004A6DC4"/>
    <w:rsid w:val="004C5DB5"/>
    <w:rsid w:val="004E4386"/>
    <w:rsid w:val="005318A2"/>
    <w:rsid w:val="005641B6"/>
    <w:rsid w:val="00615313"/>
    <w:rsid w:val="006205A3"/>
    <w:rsid w:val="00641E05"/>
    <w:rsid w:val="0064313F"/>
    <w:rsid w:val="00645252"/>
    <w:rsid w:val="00647CDA"/>
    <w:rsid w:val="00684D1F"/>
    <w:rsid w:val="00685F98"/>
    <w:rsid w:val="006B0227"/>
    <w:rsid w:val="006D3D74"/>
    <w:rsid w:val="00715E36"/>
    <w:rsid w:val="007C2B03"/>
    <w:rsid w:val="00803ED4"/>
    <w:rsid w:val="00804BCE"/>
    <w:rsid w:val="00820BE6"/>
    <w:rsid w:val="0083569A"/>
    <w:rsid w:val="00835FB6"/>
    <w:rsid w:val="008A1AC7"/>
    <w:rsid w:val="00910CD3"/>
    <w:rsid w:val="00957643"/>
    <w:rsid w:val="00975B21"/>
    <w:rsid w:val="009A0AD3"/>
    <w:rsid w:val="009D5C8E"/>
    <w:rsid w:val="009E6ACC"/>
    <w:rsid w:val="00A0316D"/>
    <w:rsid w:val="00A9204E"/>
    <w:rsid w:val="00AE5DD5"/>
    <w:rsid w:val="00B132D1"/>
    <w:rsid w:val="00B24D2C"/>
    <w:rsid w:val="00C03F12"/>
    <w:rsid w:val="00C41AAA"/>
    <w:rsid w:val="00CC57DB"/>
    <w:rsid w:val="00CD11D2"/>
    <w:rsid w:val="00D270DA"/>
    <w:rsid w:val="00D32FD3"/>
    <w:rsid w:val="00E24B08"/>
    <w:rsid w:val="00E660E4"/>
    <w:rsid w:val="00EA0DD8"/>
    <w:rsid w:val="00FA034A"/>
    <w:rsid w:val="00FD2A29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04875"/>
  <w15:chartTrackingRefBased/>
  <w15:docId w15:val="{17119A04-6685-46F2-AA9A-1A639351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C4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uc.eu/" TargetMode="External"/><Relationship Id="rId13" Type="http://schemas.openxmlformats.org/officeDocument/2006/relationships/hyperlink" Target="https://edpb.europa.eu/our-work-tools/our-documents/guidelines/guidelines-062020-interplay-second-payment-services_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ba.europa.eu/single-rule-book-qa/-/qna/view/publicId/2018_4123" TargetMode="External"/><Relationship Id="rId17" Type="http://schemas.openxmlformats.org/officeDocument/2006/relationships/hyperlink" Target="https://www.beuc.eu/publications/beuc-x-2020-070_digital-finance-strategy-consultation_beuc_paper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euc.eu/publications/beuc-x-2020-086_guidelines_on_the_interplay_on_the_second_payment_services_directive_and_the_gdpr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ba.europa.eu/single-rule-book-qa/-/qna/view/publicId/2018_4309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euc.eu/publications/consumer-friendly-open-banking/html" TargetMode="External"/><Relationship Id="rId10" Type="http://schemas.openxmlformats.org/officeDocument/2006/relationships/hyperlink" Target="https://eur-lex.europa.eu/legal-content/EN/TXT/?uri=CELEX:32015L2366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image" Target="https://www.beuc.eu/sites/default/files/beuc-logo-signature.png" TargetMode="External"/><Relationship Id="rId14" Type="http://schemas.openxmlformats.org/officeDocument/2006/relationships/hyperlink" Target="https://www.eba.europa.eu/single-rule-book-qa/-/qna/view/publicId/2018_430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7c780c7-e6aa-48c6-a571-78954b2467e8">
      <UserInfo>
        <DisplayName>Agustin Reyna (BEUC)</DisplayName>
        <AccountId>259</AccountId>
        <AccountType/>
      </UserInfo>
      <UserInfo>
        <DisplayName>Jean Allix</DisplayName>
        <AccountId>204</AccountId>
        <AccountType/>
      </UserInfo>
      <UserInfo>
        <DisplayName>Ursula Pachl (BEUC)</DisplayName>
        <AccountId>26</AccountId>
        <AccountType/>
      </UserInfo>
      <UserInfo>
        <DisplayName>Monique Goyens (BEUC)</DisplayName>
        <AccountId>155</AccountId>
        <AccountType/>
      </UserInfo>
      <UserInfo>
        <DisplayName>Carmen Martin (BEUC)</DisplayName>
        <AccountId>25</AccountId>
        <AccountType/>
      </UserInfo>
      <UserInfo>
        <DisplayName>Vanessa Turner (BEUC)</DisplayName>
        <AccountId>3208</AccountId>
        <AccountType/>
      </UserInfo>
      <UserInfo>
        <DisplayName>Andrew Canning (BEUC)</DisplayName>
        <AccountId>3809</AccountId>
        <AccountType/>
      </UserInfo>
      <UserInfo>
        <DisplayName>Bryan Coughlan (BEUC)</DisplayName>
        <AccountId>7513</AccountId>
        <AccountType/>
      </UserInfo>
      <UserInfo>
        <DisplayName>Anna Martin (BEUC)</DisplayName>
        <AccountId>7866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6CBCB1441AE41945485AC9BABB79E" ma:contentTypeVersion="12" ma:contentTypeDescription="Crée un document." ma:contentTypeScope="" ma:versionID="3a880451e57bf66de77f68e95a21b5ea">
  <xsd:schema xmlns:xsd="http://www.w3.org/2001/XMLSchema" xmlns:xs="http://www.w3.org/2001/XMLSchema" xmlns:p="http://schemas.microsoft.com/office/2006/metadata/properties" xmlns:ns2="13cdcbb0-3f73-4ab1-b8cf-693d5506db25" xmlns:ns3="87c780c7-e6aa-48c6-a571-78954b2467e8" targetNamespace="http://schemas.microsoft.com/office/2006/metadata/properties" ma:root="true" ma:fieldsID="914bffa100cfbfef66696efd1ec77ae5" ns2:_="" ns3:_="">
    <xsd:import namespace="13cdcbb0-3f73-4ab1-b8cf-693d5506db25"/>
    <xsd:import namespace="87c780c7-e6aa-48c6-a571-78954b2467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dcbb0-3f73-4ab1-b8cf-693d5506d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780c7-e6aa-48c6-a571-78954b246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9930E-EEFE-464C-B2C4-D54B2EFC0E3D}"/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5A26EFCA-D31B-46CA-8422-9A393D315C65}"/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240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Allix</dc:creator>
  <cp:keywords/>
  <dc:description/>
  <cp:lastModifiedBy>Jean Allix</cp:lastModifiedBy>
  <cp:revision>65</cp:revision>
  <dcterms:created xsi:type="dcterms:W3CDTF">2021-07-16T10:22:00Z</dcterms:created>
  <dcterms:modified xsi:type="dcterms:W3CDTF">2021-07-16T17:03:00Z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0x01010044A6CBCB1441AE41945485AC9BABB79E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